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5B426" w14:textId="77777777" w:rsidR="005B6E53" w:rsidRDefault="005B6E53" w:rsidP="005B6E53">
      <w:pPr>
        <w:spacing w:after="0"/>
        <w:rPr>
          <w:rFonts w:ascii="Verdana" w:hAnsi="Verdana"/>
        </w:rPr>
      </w:pPr>
      <w:bookmarkStart w:id="0" w:name="_Hlk143780582"/>
    </w:p>
    <w:p w14:paraId="021D071A" w14:textId="77777777" w:rsidR="005B6E53" w:rsidRPr="00914070" w:rsidRDefault="005B6E53" w:rsidP="005B6E53">
      <w:pPr>
        <w:spacing w:after="0" w:line="240" w:lineRule="auto"/>
        <w:jc w:val="both"/>
        <w:rPr>
          <w:rFonts w:ascii="Verdana" w:eastAsia="Calibri" w:hAnsi="Verdana" w:cs="Arial"/>
          <w:b/>
          <w:bCs/>
          <w:lang w:val="es-ES" w:eastAsia="es-ES"/>
        </w:rPr>
      </w:pPr>
      <w:r w:rsidRPr="00914070">
        <w:rPr>
          <w:rFonts w:ascii="Verdana" w:eastAsia="Calibri" w:hAnsi="Verdana" w:cs="Arial"/>
          <w:b/>
          <w:bCs/>
          <w:lang w:val="es-ES" w:eastAsia="es-ES"/>
        </w:rPr>
        <w:t>SUBSANABILIDAD – Aplicación – R</w:t>
      </w:r>
      <w:r w:rsidRPr="00914070">
        <w:rPr>
          <w:rFonts w:ascii="Verdana" w:eastAsia="Calibri" w:hAnsi="Verdana"/>
          <w:b/>
          <w:bCs/>
          <w:lang w:val="es-ES" w:eastAsia="es-ES"/>
        </w:rPr>
        <w:t>egla general</w:t>
      </w:r>
      <w:r w:rsidRPr="00914070">
        <w:rPr>
          <w:rFonts w:ascii="Verdana" w:eastAsia="Calibri" w:hAnsi="Verdana" w:cs="Arial"/>
          <w:b/>
          <w:bCs/>
          <w:lang w:val="es-ES" w:eastAsia="es-ES"/>
        </w:rPr>
        <w:t xml:space="preserve"> – Excepciones </w:t>
      </w:r>
    </w:p>
    <w:p w14:paraId="2EA61623" w14:textId="77777777" w:rsidR="005B6E53" w:rsidRDefault="005B6E53" w:rsidP="005B6E53">
      <w:pPr>
        <w:spacing w:after="0" w:line="240" w:lineRule="auto"/>
        <w:jc w:val="both"/>
        <w:rPr>
          <w:rFonts w:ascii="Verdana" w:hAnsi="Verdana" w:cs="Arial"/>
          <w:noProof/>
          <w:sz w:val="20"/>
          <w:szCs w:val="20"/>
          <w:lang w:val="es-ES_tradnl"/>
        </w:rPr>
      </w:pPr>
    </w:p>
    <w:p w14:paraId="34ABFE35" w14:textId="77777777" w:rsidR="005B6E53" w:rsidRPr="00914070" w:rsidRDefault="005B6E53" w:rsidP="005B6E53">
      <w:pPr>
        <w:spacing w:after="0" w:line="240" w:lineRule="auto"/>
        <w:jc w:val="both"/>
        <w:rPr>
          <w:rFonts w:ascii="Verdana" w:eastAsia="Times New Roman" w:hAnsi="Verdana" w:cs="Arial"/>
          <w:sz w:val="20"/>
          <w:szCs w:val="20"/>
          <w:lang w:val="es-ES_tradnl" w:eastAsia="es-ES_tradnl"/>
        </w:rPr>
      </w:pPr>
      <w:r w:rsidRPr="00914070">
        <w:rPr>
          <w:rFonts w:ascii="Verdana" w:hAnsi="Verdana" w:cs="Arial"/>
          <w:noProof/>
          <w:sz w:val="20"/>
          <w:szCs w:val="20"/>
          <w:lang w:val="es-ES_tradnl"/>
        </w:rPr>
        <w:t>L</w:t>
      </w:r>
      <w:r w:rsidRPr="00914070">
        <w:rPr>
          <w:rFonts w:ascii="Verdana" w:eastAsia="Times New Roman" w:hAnsi="Verdana" w:cs="Arial"/>
          <w:sz w:val="20"/>
          <w:szCs w:val="20"/>
        </w:rPr>
        <w:t>a regla de la subsanabilidad de las ofertas en los procedimientos de selección</w:t>
      </w:r>
      <w:r w:rsidRPr="00914070">
        <w:rPr>
          <w:rFonts w:ascii="Verdana" w:eastAsia="Times New Roman" w:hAnsi="Verdana" w:cs="Arial"/>
          <w:b/>
          <w:bCs/>
          <w:sz w:val="20"/>
          <w:szCs w:val="20"/>
        </w:rPr>
        <w:t xml:space="preserve"> </w:t>
      </w:r>
      <w:r w:rsidRPr="00914070">
        <w:rPr>
          <w:rFonts w:ascii="Verdana" w:eastAsia="Times New Roman" w:hAnsi="Verdana" w:cs="Arial"/>
          <w:sz w:val="20"/>
          <w:szCs w:val="20"/>
          <w:lang w:val="es-ES_tradnl" w:eastAsia="es-ES_tradnl"/>
        </w:rPr>
        <w:t>indica que, por regla general, la falta de entrega y los defectos en la acreditación de los requisitos habilitantes son aspectos subsanables. La excepción a esta regla se encuentra en la prohibición de permitir la entrega de la garantía de seriedad de la oferta que no fue aportada con la propuesta y de valer la acreditación de circunstancias ocurridas con posterioridad al cierre del proceso.</w:t>
      </w:r>
    </w:p>
    <w:p w14:paraId="4543F84B" w14:textId="77777777" w:rsidR="005B6E53" w:rsidRPr="00914070" w:rsidRDefault="005B6E53" w:rsidP="005B6E53">
      <w:pPr>
        <w:spacing w:after="0" w:line="240" w:lineRule="auto"/>
        <w:jc w:val="both"/>
        <w:rPr>
          <w:rFonts w:ascii="Verdana" w:eastAsia="Calibri" w:hAnsi="Verdana" w:cs="Arial"/>
          <w:sz w:val="20"/>
          <w:szCs w:val="20"/>
          <w:lang w:val="es-ES" w:eastAsia="es-ES"/>
        </w:rPr>
      </w:pPr>
    </w:p>
    <w:p w14:paraId="5B992232" w14:textId="77777777" w:rsidR="005B6E53" w:rsidRPr="00914070" w:rsidRDefault="005B6E53" w:rsidP="005B6E53">
      <w:pPr>
        <w:spacing w:after="0" w:line="240" w:lineRule="auto"/>
        <w:jc w:val="both"/>
        <w:rPr>
          <w:rFonts w:ascii="Verdana" w:eastAsia="Calibri" w:hAnsi="Verdana" w:cs="Arial"/>
          <w:b/>
          <w:bCs/>
          <w:lang w:val="es-ES" w:eastAsia="es-ES"/>
        </w:rPr>
      </w:pPr>
      <w:r w:rsidRPr="00914070">
        <w:rPr>
          <w:rFonts w:ascii="Verdana" w:eastAsia="Calibri" w:hAnsi="Verdana" w:cs="Arial"/>
          <w:b/>
          <w:bCs/>
          <w:lang w:val="es-ES" w:eastAsia="es-ES"/>
        </w:rPr>
        <w:t xml:space="preserve">SUBSANABILIDAD – Circunstancias posteriores – Cierre del proceso- Ley 1882 de 2018 </w:t>
      </w:r>
    </w:p>
    <w:p w14:paraId="1CC1C6E9" w14:textId="77777777" w:rsidR="005B6E53" w:rsidRPr="00914070" w:rsidRDefault="005B6E53" w:rsidP="005B6E53">
      <w:pPr>
        <w:spacing w:after="0" w:line="240" w:lineRule="auto"/>
        <w:jc w:val="both"/>
        <w:rPr>
          <w:rFonts w:ascii="Verdana" w:eastAsia="Calibri" w:hAnsi="Verdana" w:cs="Arial"/>
          <w:sz w:val="20"/>
          <w:szCs w:val="20"/>
          <w:lang w:val="es-ES" w:eastAsia="es-ES"/>
        </w:rPr>
      </w:pPr>
    </w:p>
    <w:p w14:paraId="50F89DF4" w14:textId="77777777" w:rsidR="005B6E53" w:rsidRDefault="005B6E53" w:rsidP="005B6E53">
      <w:pPr>
        <w:spacing w:after="0" w:line="240" w:lineRule="auto"/>
        <w:jc w:val="both"/>
        <w:rPr>
          <w:rFonts w:ascii="Verdana" w:eastAsia="Times New Roman" w:hAnsi="Verdana" w:cs="Arial"/>
          <w:sz w:val="20"/>
          <w:szCs w:val="20"/>
          <w:lang w:val="es-ES_tradnl" w:eastAsia="es-ES_tradnl"/>
        </w:rPr>
      </w:pPr>
      <w:r w:rsidRPr="00914070">
        <w:rPr>
          <w:rFonts w:ascii="Verdana" w:eastAsia="Times New Roman" w:hAnsi="Verdana" w:cs="Arial"/>
          <w:sz w:val="20"/>
          <w:szCs w:val="20"/>
          <w:lang w:val="es-ES_tradnl" w:eastAsia="es-ES_tradn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6CD07427" w14:textId="77777777" w:rsidR="005B6E53" w:rsidRPr="00914070" w:rsidRDefault="005B6E53" w:rsidP="005B6E53">
      <w:pPr>
        <w:spacing w:after="0" w:line="240" w:lineRule="auto"/>
        <w:jc w:val="both"/>
        <w:rPr>
          <w:rFonts w:ascii="Verdana" w:eastAsia="Times New Roman" w:hAnsi="Verdana" w:cs="Arial"/>
          <w:sz w:val="20"/>
          <w:szCs w:val="20"/>
          <w:lang w:val="es-ES_tradnl" w:eastAsia="es-ES_tradnl"/>
        </w:rPr>
      </w:pPr>
    </w:p>
    <w:p w14:paraId="1404E632" w14:textId="77777777" w:rsidR="005B6E53" w:rsidRDefault="005B6E53" w:rsidP="005B6E53">
      <w:pPr>
        <w:spacing w:after="0" w:line="240" w:lineRule="auto"/>
        <w:jc w:val="both"/>
        <w:rPr>
          <w:rFonts w:ascii="Verdana" w:eastAsia="Times New Roman" w:hAnsi="Verdana" w:cs="Arial"/>
          <w:sz w:val="20"/>
          <w:szCs w:val="20"/>
          <w:lang w:val="es-ES" w:eastAsia="es-ES"/>
        </w:rPr>
      </w:pPr>
      <w:r w:rsidRPr="00914070">
        <w:rPr>
          <w:rFonts w:ascii="Verdana" w:eastAsia="Times New Roman" w:hAnsi="Verdana" w:cs="Arial"/>
          <w:sz w:val="20"/>
          <w:szCs w:val="20"/>
          <w:lang w:val="es-ES" w:eastAsia="es-ES"/>
        </w:rPr>
        <w:t xml:space="preserve">Un mejor entendimiento del significado de la expresión </w:t>
      </w:r>
      <w:r w:rsidRPr="00914070">
        <w:rPr>
          <w:rFonts w:ascii="Verdana" w:eastAsia="Times New Roman" w:hAnsi="Verdana" w:cs="Arial"/>
          <w:i/>
          <w:sz w:val="20"/>
          <w:szCs w:val="20"/>
          <w:lang w:val="es-ES" w:eastAsia="es-ES"/>
        </w:rPr>
        <w:t>“circunstancias ocurridas con posterioridad al cierre del proceso”</w:t>
      </w:r>
      <w:r w:rsidRPr="00914070">
        <w:rPr>
          <w:rFonts w:ascii="Verdana" w:eastAsia="Times New Roman" w:hAnsi="Verdana" w:cs="Arial"/>
          <w:sz w:val="20"/>
          <w:szCs w:val="20"/>
          <w:lang w:val="es-ES" w:eastAsia="es-ES"/>
        </w:rPr>
        <w:t xml:space="preserve"> implica distinguir entre la prueba de un hecho y el hecho mismo. En el caso de la subsanabilidad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w:t>
      </w:r>
      <w:r>
        <w:rPr>
          <w:rFonts w:ascii="Verdana" w:eastAsia="Times New Roman" w:hAnsi="Verdana" w:cs="Arial"/>
          <w:sz w:val="20"/>
          <w:szCs w:val="20"/>
          <w:lang w:val="es-ES" w:eastAsia="es-ES"/>
        </w:rPr>
        <w:t xml:space="preserve">. </w:t>
      </w:r>
    </w:p>
    <w:p w14:paraId="1AFFC08B" w14:textId="77777777" w:rsidR="005B6E53" w:rsidRDefault="005B6E53" w:rsidP="005B6E53">
      <w:pPr>
        <w:rPr>
          <w:rFonts w:ascii="Verdana" w:hAnsi="Verdana"/>
          <w:lang w:val="es-ES"/>
        </w:rPr>
      </w:pPr>
    </w:p>
    <w:p w14:paraId="608A46B2" w14:textId="77777777" w:rsidR="005B6E53" w:rsidRPr="00946815" w:rsidRDefault="005B6E53" w:rsidP="005B6E53">
      <w:pPr>
        <w:pStyle w:val="Textoindependiente"/>
        <w:ind w:right="307"/>
        <w:jc w:val="both"/>
        <w:rPr>
          <w:rFonts w:ascii="Verdana" w:hAnsi="Verdana"/>
          <w:b/>
        </w:rPr>
      </w:pPr>
      <w:r w:rsidRPr="00946815">
        <w:rPr>
          <w:rFonts w:ascii="Verdana" w:hAnsi="Verdana"/>
          <w:b/>
        </w:rPr>
        <w:t xml:space="preserve">SUBSANABILIDAD – Ficha o anexo técnicos – Posición anterior – Colombia Compra Eficiente </w:t>
      </w:r>
    </w:p>
    <w:p w14:paraId="33C70F54" w14:textId="77777777" w:rsidR="005B6E53" w:rsidRDefault="005B6E53" w:rsidP="005B6E53">
      <w:pPr>
        <w:pStyle w:val="Textoindependiente"/>
        <w:ind w:right="307"/>
        <w:jc w:val="both"/>
        <w:rPr>
          <w:rFonts w:ascii="Verdana" w:hAnsi="Verdana"/>
          <w:sz w:val="20"/>
          <w:szCs w:val="20"/>
        </w:rPr>
      </w:pPr>
    </w:p>
    <w:p w14:paraId="76A3DC3C" w14:textId="77777777" w:rsidR="005B6E53" w:rsidRPr="00B418EE" w:rsidRDefault="005B6E53" w:rsidP="005B6E53">
      <w:pPr>
        <w:spacing w:after="120" w:line="276" w:lineRule="auto"/>
        <w:jc w:val="both"/>
        <w:rPr>
          <w:rFonts w:ascii="Verdana" w:hAnsi="Verdana" w:cs="Arial"/>
          <w:sz w:val="20"/>
        </w:rPr>
      </w:pPr>
      <w:r w:rsidRPr="00B418EE">
        <w:rPr>
          <w:rFonts w:ascii="Verdana" w:hAnsi="Verdana"/>
          <w:sz w:val="20"/>
        </w:rPr>
        <w:t xml:space="preserve">La ficha técnica no tiene una definición formal en dentro del Estatuto General de Contratación de la Administración Pública-EGCAP-, por lo que se limita a una serie de menciones dentro del Decreto 1082 de 2015, que en el artículo 2.2.1.2.1.2.1, señala que en el pliego de condiciones se deben indicar las condiciones que deben estar incluidas en la “ficha técnica” para los procesos de selección abreviada para adquirir bienes y servicios de características técnicas uniformes, las cuales son: i) la clasificación del bien o servicio de acuerdo con el Clasificador de Bienes y Servicios; ii) la identificación adicional requerida; iii) la unidad de medida; </w:t>
      </w:r>
      <w:proofErr w:type="spellStart"/>
      <w:r w:rsidRPr="00B418EE">
        <w:rPr>
          <w:rFonts w:ascii="Verdana" w:hAnsi="Verdana"/>
          <w:sz w:val="20"/>
        </w:rPr>
        <w:t>iv</w:t>
      </w:r>
      <w:proofErr w:type="spellEnd"/>
      <w:r w:rsidRPr="00B418EE">
        <w:rPr>
          <w:rFonts w:ascii="Verdana" w:hAnsi="Verdana"/>
          <w:sz w:val="20"/>
        </w:rPr>
        <w:t>) la calidad mínima, y v) los patrones de desempeño</w:t>
      </w:r>
      <w:r w:rsidRPr="00B418EE">
        <w:rPr>
          <w:rFonts w:ascii="Verdana" w:hAnsi="Verdana"/>
          <w:spacing w:val="-2"/>
          <w:sz w:val="20"/>
        </w:rPr>
        <w:t xml:space="preserve"> </w:t>
      </w:r>
      <w:r w:rsidRPr="00B418EE">
        <w:rPr>
          <w:rFonts w:ascii="Verdana" w:hAnsi="Verdana"/>
          <w:sz w:val="20"/>
        </w:rPr>
        <w:t>mínimos</w:t>
      </w:r>
      <w:r w:rsidRPr="00B418EE">
        <w:rPr>
          <w:rFonts w:ascii="Verdana" w:hAnsi="Verdana" w:cs="Arial"/>
          <w:sz w:val="20"/>
        </w:rPr>
        <w:t>.</w:t>
      </w:r>
    </w:p>
    <w:p w14:paraId="0744D805" w14:textId="77777777" w:rsidR="005B6E53" w:rsidRPr="00946815" w:rsidRDefault="005B6E53" w:rsidP="005B6E53">
      <w:pPr>
        <w:pStyle w:val="Textoindependiente"/>
        <w:ind w:right="307"/>
        <w:jc w:val="both"/>
        <w:rPr>
          <w:rFonts w:ascii="Verdana" w:hAnsi="Verdana"/>
          <w:b/>
        </w:rPr>
      </w:pPr>
      <w:r w:rsidRPr="00946815">
        <w:rPr>
          <w:rFonts w:ascii="Verdana" w:hAnsi="Verdana"/>
          <w:b/>
        </w:rPr>
        <w:t xml:space="preserve">SUBSANABILIDAD – Ficha o anexo técnicos – Posición vigente – Colombia Compra Eficiente </w:t>
      </w:r>
    </w:p>
    <w:p w14:paraId="771FF2C8" w14:textId="77777777" w:rsidR="005B6E53" w:rsidRDefault="005B6E53" w:rsidP="005B6E53">
      <w:pPr>
        <w:spacing w:after="120" w:line="276" w:lineRule="auto"/>
        <w:jc w:val="both"/>
        <w:rPr>
          <w:rFonts w:ascii="Verdana" w:hAnsi="Verdana"/>
          <w:b/>
        </w:rPr>
      </w:pPr>
    </w:p>
    <w:p w14:paraId="1FB1E0FD" w14:textId="77777777" w:rsidR="005B6E53" w:rsidRPr="003E0097" w:rsidRDefault="005B6E53" w:rsidP="005B6E53">
      <w:pPr>
        <w:spacing w:after="120" w:line="276" w:lineRule="auto"/>
        <w:jc w:val="both"/>
        <w:rPr>
          <w:rFonts w:ascii="Verdana" w:hAnsi="Verdana"/>
          <w:sz w:val="20"/>
        </w:rPr>
      </w:pPr>
      <w:r w:rsidRPr="003E0097">
        <w:rPr>
          <w:rFonts w:ascii="Verdana" w:hAnsi="Verdana"/>
          <w:sz w:val="20"/>
        </w:rPr>
        <w:lastRenderedPageBreak/>
        <w:t>El cambio de posición se origina en la medida en que la ausencia de requisitos o los errores en los documentos del proponente que no son necesarios para comparar las propuestas, no pueden ser una razón suficiente para el rechazo de la oferta y por lo tanto deben ser subsanados12. Como se ha explicado, en los procesos donde el precio es el único criterio para la comparación de las ofertas, como por ejemplo la selección abreviada para adquirir bienes y servicios de características técnicas uniforme mediante subasta inversa, no es viable impedir que subsanen requisitos diferentes a los que afecten el precio, pues estos en la medida en que no son necesarios para comparar las propuestas, no modifican los criterios que otorgan puntaje, sino que permiten habilitar o demostrar que el proponente tiene la capacidad para cumplir con el objeto del contrato. por consiguiente, siempre que la ficha técnica no sea un requisito puntuable o que cambie uno de ellos que pueda mejorar la oferta, deberá subsanarse.</w:t>
      </w:r>
    </w:p>
    <w:p w14:paraId="061106FB" w14:textId="77777777" w:rsidR="005B6E53" w:rsidRDefault="005B6E53" w:rsidP="005B6E53">
      <w:pPr>
        <w:rPr>
          <w:rFonts w:ascii="Verdana" w:hAnsi="Verdana"/>
        </w:rPr>
      </w:pPr>
      <w:r>
        <w:rPr>
          <w:rFonts w:ascii="Verdana" w:hAnsi="Verdana"/>
        </w:rPr>
        <w:br w:type="page"/>
      </w:r>
    </w:p>
    <w:p w14:paraId="56458015" w14:textId="73CACB1B" w:rsidR="005B6E53" w:rsidRPr="0044528D" w:rsidRDefault="005B6E53" w:rsidP="005B6E53">
      <w:pPr>
        <w:spacing w:after="0"/>
        <w:rPr>
          <w:rFonts w:ascii="Verdana" w:hAnsi="Verdana"/>
        </w:rPr>
      </w:pPr>
      <w:r w:rsidRPr="0044528D">
        <w:rPr>
          <w:rFonts w:ascii="Verdana" w:hAnsi="Verdana"/>
        </w:rPr>
        <w:lastRenderedPageBreak/>
        <w:t>Bogotá D.C., [Día] [</w:t>
      </w:r>
      <w:proofErr w:type="spellStart"/>
      <w:r w:rsidRPr="0044528D">
        <w:rPr>
          <w:rFonts w:ascii="Verdana" w:hAnsi="Verdana"/>
        </w:rPr>
        <w:t>Mes</w:t>
      </w:r>
      <w:r>
        <w:rPr>
          <w:rFonts w:ascii="Verdana" w:hAnsi="Verdana"/>
        </w:rPr>
        <w:t>.</w:t>
      </w:r>
      <w:r w:rsidRPr="0044528D">
        <w:rPr>
          <w:rFonts w:ascii="Verdana" w:hAnsi="Verdana"/>
        </w:rPr>
        <w:t>NombreCapitalizado</w:t>
      </w:r>
      <w:proofErr w:type="spellEnd"/>
      <w:r w:rsidRPr="0044528D">
        <w:rPr>
          <w:rFonts w:ascii="Verdana" w:hAnsi="Verdana"/>
        </w:rPr>
        <w:t>] [Año]</w:t>
      </w:r>
      <w:r w:rsidRPr="0044528D">
        <w:rPr>
          <w:rFonts w:ascii="Verdana" w:hAnsi="Verdana"/>
        </w:rPr>
        <w:tab/>
      </w:r>
    </w:p>
    <w:p w14:paraId="434F889C" w14:textId="38D1B524" w:rsidR="005B6E53" w:rsidRDefault="00FB12CE" w:rsidP="005B6E53">
      <w:pPr>
        <w:spacing w:after="0"/>
        <w:rPr>
          <w:rFonts w:ascii="Verdana" w:hAnsi="Verdana"/>
        </w:rPr>
      </w:pPr>
      <w:r>
        <w:rPr>
          <w:rFonts w:ascii="Verdana" w:hAnsi="Verdana"/>
        </w:rPr>
        <w:t xml:space="preserve">                                                                   </w:t>
      </w:r>
    </w:p>
    <w:p w14:paraId="1E55A2AD" w14:textId="006DE279" w:rsidR="00FB12CE" w:rsidRPr="0044528D" w:rsidRDefault="00FB12CE" w:rsidP="005B6E53">
      <w:pPr>
        <w:spacing w:after="0"/>
        <w:rPr>
          <w:rFonts w:ascii="Verdana" w:hAnsi="Verdana"/>
        </w:rPr>
      </w:pPr>
      <w:r w:rsidRPr="00FB12CE">
        <w:rPr>
          <w:rFonts w:ascii="Verdana" w:hAnsi="Verdana"/>
          <w:noProof/>
        </w:rPr>
        <w:drawing>
          <wp:anchor distT="0" distB="0" distL="114300" distR="114300" simplePos="0" relativeHeight="251664896" behindDoc="1" locked="0" layoutInCell="1" allowOverlap="1" wp14:anchorId="2B4C2DEA" wp14:editId="2A3CE20C">
            <wp:simplePos x="0" y="0"/>
            <wp:positionH relativeFrom="margin">
              <wp:posOffset>3148965</wp:posOffset>
            </wp:positionH>
            <wp:positionV relativeFrom="paragraph">
              <wp:posOffset>16510</wp:posOffset>
            </wp:positionV>
            <wp:extent cx="2459355" cy="1047750"/>
            <wp:effectExtent l="0" t="0" r="0" b="0"/>
            <wp:wrapTight wrapText="bothSides">
              <wp:wrapPolygon edited="0">
                <wp:start x="0" y="0"/>
                <wp:lineTo x="0" y="21207"/>
                <wp:lineTo x="21416" y="21207"/>
                <wp:lineTo x="21416" y="0"/>
                <wp:lineTo x="0" y="0"/>
              </wp:wrapPolygon>
            </wp:wrapTight>
            <wp:docPr id="81792929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935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rPr>
        <w:t xml:space="preserve">                                                                    </w:t>
      </w:r>
    </w:p>
    <w:p w14:paraId="5D38A07D" w14:textId="0C2B05C7" w:rsidR="005B6E53" w:rsidRDefault="005B6E53" w:rsidP="005B6E53">
      <w:pPr>
        <w:spacing w:after="0"/>
        <w:rPr>
          <w:rFonts w:ascii="Verdana" w:hAnsi="Verdana"/>
        </w:rPr>
      </w:pPr>
      <w:r>
        <w:rPr>
          <w:rFonts w:ascii="Verdana" w:hAnsi="Verdana"/>
        </w:rPr>
        <w:t xml:space="preserve">Señor </w:t>
      </w:r>
      <w:r w:rsidR="00FB12CE">
        <w:rPr>
          <w:rFonts w:ascii="Verdana" w:hAnsi="Verdana"/>
        </w:rPr>
        <w:t xml:space="preserve">                                                                    </w:t>
      </w:r>
    </w:p>
    <w:p w14:paraId="6071B0C0" w14:textId="77777777" w:rsidR="005B6E53" w:rsidRPr="00785254" w:rsidRDefault="005B6E53" w:rsidP="005B6E53">
      <w:pPr>
        <w:spacing w:after="0"/>
        <w:rPr>
          <w:rFonts w:ascii="Verdana" w:hAnsi="Verdana"/>
          <w:b/>
          <w:bCs/>
        </w:rPr>
      </w:pPr>
      <w:r w:rsidRPr="00785254">
        <w:rPr>
          <w:rFonts w:ascii="Verdana" w:hAnsi="Verdana"/>
          <w:b/>
          <w:bCs/>
        </w:rPr>
        <w:t>Gerson Ricardo Ovalle Reita</w:t>
      </w:r>
    </w:p>
    <w:p w14:paraId="0496B1AF" w14:textId="77777777" w:rsidR="005B6E53" w:rsidRDefault="005B6E53" w:rsidP="005B6E53">
      <w:pPr>
        <w:spacing w:after="0"/>
        <w:rPr>
          <w:rFonts w:ascii="Verdana" w:hAnsi="Verdana"/>
        </w:rPr>
      </w:pPr>
      <w:hyperlink r:id="rId11" w:history="1">
        <w:r w:rsidRPr="00FC0F4E">
          <w:rPr>
            <w:rStyle w:val="Hipervnculo"/>
            <w:rFonts w:ascii="Verdana" w:hAnsi="Verdana"/>
          </w:rPr>
          <w:t>gersonovalle@hotmail.com</w:t>
        </w:r>
      </w:hyperlink>
      <w:r>
        <w:rPr>
          <w:rFonts w:ascii="Verdana" w:hAnsi="Verdana"/>
        </w:rPr>
        <w:t xml:space="preserve"> </w:t>
      </w:r>
    </w:p>
    <w:p w14:paraId="242B4AB0" w14:textId="77777777" w:rsidR="005B6E53" w:rsidRDefault="005B6E53" w:rsidP="005B6E53">
      <w:pPr>
        <w:spacing w:after="0"/>
        <w:rPr>
          <w:rFonts w:ascii="Verdana" w:hAnsi="Verdana"/>
        </w:rPr>
      </w:pPr>
      <w:r>
        <w:rPr>
          <w:rFonts w:ascii="Verdana" w:hAnsi="Verdana"/>
        </w:rPr>
        <w:t xml:space="preserve">Ciudad </w:t>
      </w:r>
    </w:p>
    <w:p w14:paraId="2BDCF9B0" w14:textId="77777777" w:rsidR="005B6E53" w:rsidRDefault="005B6E53" w:rsidP="005B6E53">
      <w:pPr>
        <w:spacing w:after="0"/>
        <w:rPr>
          <w:rFonts w:ascii="Verdana" w:hAnsi="Verdana"/>
        </w:rPr>
      </w:pPr>
    </w:p>
    <w:p w14:paraId="57638DCF" w14:textId="77777777" w:rsidR="005B6E53" w:rsidRDefault="005B6E53" w:rsidP="00FB12CE">
      <w:pPr>
        <w:spacing w:after="0"/>
        <w:ind w:left="2124" w:firstLine="708"/>
        <w:rPr>
          <w:rFonts w:ascii="Verdana" w:hAnsi="Verdana"/>
          <w:b/>
          <w:bCs/>
        </w:rPr>
      </w:pPr>
      <w:r w:rsidRPr="00DC3F6D">
        <w:rPr>
          <w:rFonts w:ascii="Verdana" w:hAnsi="Verdana"/>
          <w:b/>
          <w:bCs/>
        </w:rPr>
        <w:t>Concepto C-</w:t>
      </w:r>
      <w:r>
        <w:rPr>
          <w:rFonts w:ascii="Verdana" w:hAnsi="Verdana"/>
          <w:b/>
          <w:bCs/>
        </w:rPr>
        <w:t>720</w:t>
      </w:r>
      <w:r w:rsidRPr="00DC3F6D">
        <w:rPr>
          <w:rFonts w:ascii="Verdana" w:hAnsi="Verdana"/>
          <w:b/>
          <w:bCs/>
        </w:rPr>
        <w:t xml:space="preserve"> de 2024</w:t>
      </w:r>
    </w:p>
    <w:p w14:paraId="214412DF" w14:textId="77777777" w:rsidR="005B6E53" w:rsidRDefault="005B6E53" w:rsidP="005B6E53">
      <w:pPr>
        <w:spacing w:after="0"/>
        <w:ind w:firstLine="708"/>
        <w:jc w:val="center"/>
        <w:rPr>
          <w:rFonts w:ascii="Verdana" w:hAnsi="Verdana"/>
          <w:b/>
          <w:bCs/>
        </w:rPr>
      </w:pPr>
    </w:p>
    <w:p w14:paraId="4B94B23A" w14:textId="77777777" w:rsidR="005B6E53" w:rsidRDefault="005B6E53" w:rsidP="005B6E53">
      <w:pPr>
        <w:spacing w:after="0"/>
        <w:ind w:firstLine="708"/>
        <w:jc w:val="center"/>
        <w:rPr>
          <w:rFonts w:ascii="Verdana" w:hAnsi="Verdana"/>
          <w:b/>
          <w:bCs/>
        </w:rPr>
      </w:pPr>
    </w:p>
    <w:p w14:paraId="22864446" w14:textId="77777777" w:rsidR="005B6E53" w:rsidRPr="0011467B" w:rsidRDefault="005B6E53" w:rsidP="005B6E53">
      <w:pPr>
        <w:spacing w:after="0" w:line="240" w:lineRule="auto"/>
        <w:ind w:left="2694"/>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5B6E53" w:rsidRPr="0011467B" w14:paraId="7BB7A087" w14:textId="77777777" w:rsidTr="004924D0">
        <w:trPr>
          <w:trHeight w:val="884"/>
        </w:trPr>
        <w:tc>
          <w:tcPr>
            <w:tcW w:w="2689" w:type="dxa"/>
          </w:tcPr>
          <w:p w14:paraId="13F5E5CF" w14:textId="77777777" w:rsidR="005B6E53" w:rsidRPr="001306C5" w:rsidRDefault="005B6E53" w:rsidP="004924D0">
            <w:pPr>
              <w:jc w:val="both"/>
              <w:rPr>
                <w:rFonts w:ascii="Verdana" w:eastAsia="Calibri" w:hAnsi="Verdana" w:cs="Arial"/>
                <w:b/>
                <w:szCs w:val="24"/>
                <w:lang w:val="es-ES_tradnl" w:eastAsia="es-ES_tradnl"/>
              </w:rPr>
            </w:pPr>
            <w:r w:rsidRPr="001306C5">
              <w:rPr>
                <w:rFonts w:ascii="Verdana" w:eastAsia="Calibri" w:hAnsi="Verdana" w:cs="Arial"/>
                <w:b/>
                <w:szCs w:val="24"/>
                <w:lang w:val="es-ES_tradnl" w:eastAsia="es-ES_tradnl"/>
              </w:rPr>
              <w:t xml:space="preserve">Temas:                   </w:t>
            </w:r>
          </w:p>
        </w:tc>
        <w:tc>
          <w:tcPr>
            <w:tcW w:w="6237" w:type="dxa"/>
          </w:tcPr>
          <w:p w14:paraId="5B7DE866" w14:textId="77777777" w:rsidR="005B6E53" w:rsidRDefault="005B6E53" w:rsidP="004924D0">
            <w:pPr>
              <w:jc w:val="both"/>
              <w:rPr>
                <w:rFonts w:ascii="Verdana" w:eastAsia="Times New Roman" w:hAnsi="Verdana" w:cs="Arial"/>
                <w:lang w:val="es-ES_tradnl" w:eastAsia="es-ES_tradnl"/>
              </w:rPr>
            </w:pPr>
            <w:r w:rsidRPr="00C02E1B">
              <w:rPr>
                <w:rFonts w:ascii="Verdana" w:eastAsia="Calibri" w:hAnsi="Verdana" w:cs="Arial"/>
                <w:lang w:val="es-ES" w:eastAsia="es-ES"/>
              </w:rPr>
              <w:t>SUBSANABILIDAD – Aplicación – R</w:t>
            </w:r>
            <w:r w:rsidRPr="00C02E1B">
              <w:rPr>
                <w:rFonts w:ascii="Verdana" w:eastAsia="Calibri" w:hAnsi="Verdana"/>
                <w:lang w:val="es-ES" w:eastAsia="es-ES"/>
              </w:rPr>
              <w:t>egla general</w:t>
            </w:r>
            <w:r w:rsidRPr="00C02E1B">
              <w:rPr>
                <w:rFonts w:ascii="Verdana" w:eastAsia="Calibri" w:hAnsi="Verdana" w:cs="Arial"/>
                <w:lang w:val="es-ES" w:eastAsia="es-ES"/>
              </w:rPr>
              <w:t xml:space="preserve"> – Excepciones / SUBSANABILIDAD – Circunstancias posteriores – Cierre del proceso- Ley 1882 de 2018</w:t>
            </w:r>
            <w:r>
              <w:rPr>
                <w:rFonts w:ascii="Verdana" w:eastAsia="Calibri" w:hAnsi="Verdana" w:cs="Arial"/>
                <w:lang w:val="es-ES" w:eastAsia="es-ES"/>
              </w:rPr>
              <w:t xml:space="preserve"> / SUBSANABILIDAD – Proceso de selección abreviada de mínima cuantía – Ficha técnica – Subsanabilidad – Oportunidad.</w:t>
            </w:r>
          </w:p>
          <w:p w14:paraId="084985B9" w14:textId="77777777" w:rsidR="005B6E53" w:rsidRPr="0011467B" w:rsidRDefault="005B6E53" w:rsidP="004924D0">
            <w:pPr>
              <w:jc w:val="both"/>
              <w:rPr>
                <w:rFonts w:ascii="Verdana" w:eastAsia="Calibri" w:hAnsi="Verdana" w:cs="Arial"/>
                <w:lang w:val="es-ES" w:eastAsia="es-ES"/>
              </w:rPr>
            </w:pPr>
          </w:p>
        </w:tc>
        <w:tc>
          <w:tcPr>
            <w:tcW w:w="6237" w:type="dxa"/>
          </w:tcPr>
          <w:p w14:paraId="079BB691" w14:textId="77777777" w:rsidR="005B6E53" w:rsidRPr="0011467B" w:rsidRDefault="005B6E53" w:rsidP="004924D0">
            <w:pPr>
              <w:jc w:val="both"/>
              <w:rPr>
                <w:rFonts w:ascii="Verdana" w:hAnsi="Verdana" w:cs="Arial"/>
                <w:lang w:val="es-ES"/>
              </w:rPr>
            </w:pPr>
          </w:p>
        </w:tc>
      </w:tr>
      <w:tr w:rsidR="005B6E53" w:rsidRPr="0011467B" w14:paraId="3D1200CC" w14:textId="77777777" w:rsidTr="004924D0">
        <w:tc>
          <w:tcPr>
            <w:tcW w:w="2689" w:type="dxa"/>
          </w:tcPr>
          <w:p w14:paraId="4E9662AA" w14:textId="77777777" w:rsidR="005B6E53" w:rsidRPr="001306C5" w:rsidRDefault="005B6E53" w:rsidP="004924D0">
            <w:pPr>
              <w:spacing w:before="120"/>
              <w:jc w:val="both"/>
              <w:rPr>
                <w:rFonts w:ascii="Verdana" w:eastAsia="Calibri" w:hAnsi="Verdana" w:cs="Arial"/>
                <w:b/>
                <w:szCs w:val="24"/>
                <w:lang w:val="es-ES_tradnl" w:eastAsia="es-ES_tradnl"/>
              </w:rPr>
            </w:pPr>
            <w:r w:rsidRPr="001306C5">
              <w:rPr>
                <w:rFonts w:ascii="Verdana" w:eastAsia="Calibri" w:hAnsi="Verdana" w:cs="Arial"/>
                <w:b/>
                <w:szCs w:val="24"/>
                <w:lang w:val="es-ES_tradnl" w:eastAsia="es-ES_tradnl"/>
              </w:rPr>
              <w:t xml:space="preserve">Radicación:               </w:t>
            </w:r>
          </w:p>
        </w:tc>
        <w:tc>
          <w:tcPr>
            <w:tcW w:w="6237" w:type="dxa"/>
          </w:tcPr>
          <w:p w14:paraId="7A53E4E7" w14:textId="77777777" w:rsidR="005B6E53" w:rsidRDefault="005B6E53" w:rsidP="004924D0">
            <w:pPr>
              <w:spacing w:before="120"/>
              <w:jc w:val="both"/>
              <w:rPr>
                <w:rFonts w:ascii="Verdana" w:eastAsia="Calibri" w:hAnsi="Verdana" w:cs="Arial"/>
                <w:szCs w:val="24"/>
                <w:lang w:val="es-ES_tradnl" w:eastAsia="es-ES_tradnl"/>
              </w:rPr>
            </w:pPr>
            <w:r w:rsidRPr="0011467B">
              <w:rPr>
                <w:rFonts w:ascii="Verdana" w:eastAsia="Calibri" w:hAnsi="Verdana" w:cs="Arial"/>
                <w:szCs w:val="24"/>
                <w:lang w:val="es-ES_tradnl" w:eastAsia="es-ES_tradnl"/>
              </w:rPr>
              <w:t xml:space="preserve">Respuesta a consulta con radicado No. </w:t>
            </w:r>
            <w:r w:rsidRPr="00D81B8E">
              <w:rPr>
                <w:rFonts w:ascii="Verdana" w:eastAsia="Calibri" w:hAnsi="Verdana" w:cs="Arial"/>
                <w:szCs w:val="24"/>
                <w:lang w:val="es-ES_tradnl" w:eastAsia="es-ES_tradnl"/>
              </w:rPr>
              <w:t>P2024</w:t>
            </w:r>
            <w:r>
              <w:rPr>
                <w:rFonts w:ascii="Verdana" w:eastAsia="Calibri" w:hAnsi="Verdana" w:cs="Arial"/>
                <w:szCs w:val="24"/>
                <w:lang w:val="es-ES_tradnl" w:eastAsia="es-ES_tradnl"/>
              </w:rPr>
              <w:t>1010010338</w:t>
            </w:r>
          </w:p>
          <w:p w14:paraId="7F816741" w14:textId="77777777" w:rsidR="005B6E53" w:rsidRDefault="005B6E53" w:rsidP="004924D0">
            <w:pPr>
              <w:spacing w:before="120"/>
              <w:rPr>
                <w:rFonts w:ascii="Verdana" w:eastAsia="Calibri" w:hAnsi="Verdana" w:cs="Arial"/>
                <w:szCs w:val="24"/>
                <w:lang w:val="es-ES_tradnl" w:eastAsia="es-ES_tradnl"/>
              </w:rPr>
            </w:pPr>
          </w:p>
          <w:p w14:paraId="226313D6" w14:textId="77777777" w:rsidR="005B6E53" w:rsidRDefault="005B6E53" w:rsidP="004924D0">
            <w:pPr>
              <w:spacing w:before="120"/>
              <w:rPr>
                <w:rFonts w:ascii="Verdana" w:eastAsia="Calibri" w:hAnsi="Verdana" w:cs="Arial"/>
                <w:szCs w:val="24"/>
                <w:lang w:val="es-ES_tradnl" w:eastAsia="es-ES_tradnl"/>
              </w:rPr>
            </w:pPr>
          </w:p>
          <w:p w14:paraId="4DFCCFE2" w14:textId="77777777" w:rsidR="005B6E53" w:rsidRPr="0011467B" w:rsidRDefault="005B6E53" w:rsidP="004924D0">
            <w:pPr>
              <w:spacing w:before="120"/>
              <w:rPr>
                <w:rFonts w:ascii="Verdana" w:eastAsia="Calibri" w:hAnsi="Verdana" w:cs="Arial"/>
                <w:szCs w:val="24"/>
                <w:lang w:val="es-ES_tradnl" w:eastAsia="es-ES_tradnl"/>
              </w:rPr>
            </w:pPr>
          </w:p>
        </w:tc>
        <w:tc>
          <w:tcPr>
            <w:tcW w:w="6237" w:type="dxa"/>
          </w:tcPr>
          <w:p w14:paraId="76BFF474" w14:textId="77777777" w:rsidR="005B6E53" w:rsidRPr="0011467B" w:rsidRDefault="005B6E53" w:rsidP="004924D0">
            <w:pPr>
              <w:spacing w:before="120"/>
              <w:jc w:val="both"/>
              <w:rPr>
                <w:rFonts w:ascii="Verdana" w:eastAsia="Calibri" w:hAnsi="Verdana" w:cs="Arial"/>
                <w:szCs w:val="24"/>
                <w:lang w:val="es-ES_tradnl" w:eastAsia="es-ES_tradnl"/>
              </w:rPr>
            </w:pPr>
          </w:p>
        </w:tc>
      </w:tr>
    </w:tbl>
    <w:p w14:paraId="76B57948" w14:textId="77777777" w:rsidR="005B6E53" w:rsidRDefault="005B6E53" w:rsidP="005B6E53">
      <w:pPr>
        <w:spacing w:after="0"/>
        <w:rPr>
          <w:rFonts w:ascii="Verdana" w:hAnsi="Verdana"/>
        </w:rPr>
      </w:pPr>
      <w:r>
        <w:rPr>
          <w:rFonts w:ascii="Verdana" w:hAnsi="Verdana"/>
        </w:rPr>
        <w:t>Estimado señor Ovalle;</w:t>
      </w:r>
    </w:p>
    <w:p w14:paraId="2AFAC3EE" w14:textId="77777777" w:rsidR="005B6E53" w:rsidRDefault="005B6E53" w:rsidP="005B6E53">
      <w:pPr>
        <w:spacing w:after="0"/>
        <w:rPr>
          <w:rFonts w:ascii="Verdana" w:hAnsi="Verdana"/>
        </w:rPr>
      </w:pPr>
    </w:p>
    <w:p w14:paraId="713B5634" w14:textId="77777777" w:rsidR="005B6E53" w:rsidRDefault="005B6E53" w:rsidP="005B6E53">
      <w:pPr>
        <w:spacing w:after="0"/>
        <w:rPr>
          <w:rFonts w:ascii="Verdana" w:hAnsi="Verdana"/>
        </w:rPr>
      </w:pPr>
      <w:r>
        <w:rPr>
          <w:rFonts w:ascii="Verdana" w:hAnsi="Verdana"/>
        </w:rPr>
        <w:t>En ejercicio de la competencia otorgada por los artículos 3, numeral 5° y 11, numeral 8°, del Decreto 4170 de 2011, así como lo establecido en el artículo 4 de la Resolución 1707 de 2018 expedida por esta Entidad, la Agencia Nacional de Contratación Pública – Colombia Compra Eficiente – responde su solicitud de consulta de fecha 10 de octubre de 2024, en la cual usted manifiesta lo siguiente:</w:t>
      </w:r>
    </w:p>
    <w:p w14:paraId="0C66F371" w14:textId="77777777" w:rsidR="005B6E53" w:rsidRDefault="005B6E53" w:rsidP="005B6E53">
      <w:pPr>
        <w:spacing w:after="0"/>
        <w:rPr>
          <w:rFonts w:ascii="Verdana" w:hAnsi="Verdana"/>
        </w:rPr>
      </w:pPr>
    </w:p>
    <w:p w14:paraId="6495F4EA" w14:textId="5F1596E8" w:rsidR="005B6E53" w:rsidRDefault="005B6E53" w:rsidP="005B6E53">
      <w:pPr>
        <w:spacing w:after="0"/>
        <w:ind w:left="709" w:right="709"/>
        <w:jc w:val="both"/>
        <w:rPr>
          <w:rFonts w:ascii="Verdana" w:hAnsi="Verdana"/>
          <w:i/>
          <w:iCs/>
          <w:sz w:val="21"/>
          <w:szCs w:val="21"/>
        </w:rPr>
      </w:pPr>
      <w:r>
        <w:rPr>
          <w:rFonts w:ascii="Verdana" w:hAnsi="Verdana"/>
          <w:i/>
          <w:iCs/>
          <w:sz w:val="21"/>
          <w:szCs w:val="21"/>
        </w:rPr>
        <w:t xml:space="preserve">“En la modalidad de mínima cuantía ¿un proponente puede subsanar la hoja de vida de un profesional a los profesionales requeridos en los requisitos técnicos habilitantes así no haya adjuntado inicialmente en los documentos de su oferta ningún documento de los profesionales? ¿en mínima cuantía que es lo subsanable? ¿en las modalidades de selección abreviada y licitación </w:t>
      </w:r>
      <w:r>
        <w:rPr>
          <w:rFonts w:ascii="Verdana" w:hAnsi="Verdana"/>
          <w:i/>
          <w:iCs/>
          <w:sz w:val="21"/>
          <w:szCs w:val="21"/>
        </w:rPr>
        <w:t>pública</w:t>
      </w:r>
      <w:r>
        <w:rPr>
          <w:rFonts w:ascii="Verdana" w:hAnsi="Verdana"/>
          <w:i/>
          <w:iCs/>
          <w:sz w:val="21"/>
          <w:szCs w:val="21"/>
        </w:rPr>
        <w:t xml:space="preserve"> se puede subsanar hojas de vida de profesionales así no hayan incluido inicialmente en los </w:t>
      </w:r>
      <w:r>
        <w:rPr>
          <w:rFonts w:ascii="Verdana" w:hAnsi="Verdana"/>
          <w:i/>
          <w:iCs/>
          <w:sz w:val="21"/>
          <w:szCs w:val="21"/>
        </w:rPr>
        <w:lastRenderedPageBreak/>
        <w:t>documentos de la oferta antes del cierre? ¿Qué es lo subsanable? ¿una ficha técnica es subsanable?” (SIC).</w:t>
      </w:r>
    </w:p>
    <w:p w14:paraId="67E19E0E" w14:textId="77777777" w:rsidR="005B6E53" w:rsidRDefault="005B6E53" w:rsidP="005B6E53">
      <w:pPr>
        <w:spacing w:after="0"/>
        <w:ind w:left="709" w:right="709"/>
        <w:jc w:val="both"/>
        <w:rPr>
          <w:rFonts w:ascii="Verdana" w:hAnsi="Verdana"/>
          <w:i/>
          <w:iCs/>
          <w:sz w:val="21"/>
          <w:szCs w:val="21"/>
        </w:rPr>
      </w:pPr>
    </w:p>
    <w:p w14:paraId="55797240" w14:textId="67931F10" w:rsidR="005B6E53" w:rsidRDefault="005B6E53" w:rsidP="005B6E53">
      <w:pPr>
        <w:spacing w:after="0" w:line="276" w:lineRule="auto"/>
        <w:ind w:firstLine="709"/>
        <w:jc w:val="both"/>
        <w:rPr>
          <w:rFonts w:ascii="Verdana" w:hAnsi="Verdana"/>
        </w:rPr>
      </w:pPr>
      <w:r>
        <w:rPr>
          <w:rFonts w:ascii="Verdana" w:hAnsi="Verdana"/>
        </w:rPr>
        <w:tab/>
        <w:t xml:space="preserve">De manera preliminar, resulta necesario acotas que esta Entidad solo tiene competencia para responder consultas sobre la aplicación de normas de carácter general en materias de compras y contratación pública. En ese sentido, resolver casos particulares desborda las atribuciones asignadas por el legislador extraordinario, que no concibió a Colombia Compra Eficiente como una autoridad para solucionar problemas jurídicos particulares de todos los </w:t>
      </w:r>
      <w:r>
        <w:rPr>
          <w:rFonts w:ascii="Verdana" w:hAnsi="Verdana"/>
        </w:rPr>
        <w:t>partícipes</w:t>
      </w:r>
      <w:r>
        <w:rPr>
          <w:rFonts w:ascii="Verdana" w:hAnsi="Verdana"/>
        </w:rPr>
        <w:t xml:space="preserve"> del sistema de compra pública. La competencia de esta entidad se fija con </w:t>
      </w:r>
      <w:r>
        <w:rPr>
          <w:rFonts w:ascii="Verdana" w:hAnsi="Verdana"/>
        </w:rPr>
        <w:t>límites</w:t>
      </w:r>
      <w:r>
        <w:rPr>
          <w:rFonts w:ascii="Verdana" w:hAnsi="Verdana"/>
        </w:rPr>
        <w:t xml:space="preserve">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bookmarkEnd w:id="0"/>
    </w:p>
    <w:p w14:paraId="2F20E20F" w14:textId="77777777" w:rsidR="005B6E53" w:rsidRDefault="005B6E53" w:rsidP="005B6E53">
      <w:pPr>
        <w:spacing w:after="0" w:line="276" w:lineRule="auto"/>
        <w:ind w:firstLine="709"/>
        <w:jc w:val="both"/>
        <w:rPr>
          <w:rFonts w:ascii="Verdana" w:hAnsi="Verdana"/>
        </w:rPr>
      </w:pPr>
    </w:p>
    <w:p w14:paraId="1B8D2701" w14:textId="77777777" w:rsidR="005B6E53" w:rsidRDefault="005B6E53" w:rsidP="005B6E53">
      <w:pPr>
        <w:spacing w:after="0" w:line="276" w:lineRule="auto"/>
        <w:ind w:firstLine="709"/>
        <w:jc w:val="both"/>
        <w:rPr>
          <w:rFonts w:ascii="Verdana" w:hAnsi="Verdana"/>
        </w:rPr>
      </w:pPr>
      <w:r>
        <w:rPr>
          <w:rFonts w:ascii="Verdana" w:hAnsi="Verdana"/>
        </w:rPr>
        <w:t>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111E04C4" w14:textId="77777777" w:rsidR="005B6E53" w:rsidRDefault="005B6E53" w:rsidP="005B6E53">
      <w:pPr>
        <w:spacing w:after="0" w:line="276" w:lineRule="auto"/>
        <w:ind w:firstLine="709"/>
        <w:jc w:val="both"/>
        <w:rPr>
          <w:rFonts w:ascii="Verdana" w:hAnsi="Verdana"/>
        </w:rPr>
      </w:pPr>
    </w:p>
    <w:p w14:paraId="47A99DE8" w14:textId="77777777" w:rsidR="005B6E53" w:rsidRDefault="005B6E53" w:rsidP="005B6E53">
      <w:pPr>
        <w:pStyle w:val="Prrafodelista"/>
        <w:numPr>
          <w:ilvl w:val="0"/>
          <w:numId w:val="17"/>
        </w:numPr>
        <w:spacing w:after="0" w:line="276" w:lineRule="auto"/>
        <w:jc w:val="both"/>
        <w:rPr>
          <w:rFonts w:ascii="Verdana" w:hAnsi="Verdana"/>
          <w:b/>
          <w:bCs/>
        </w:rPr>
      </w:pPr>
      <w:r>
        <w:rPr>
          <w:rFonts w:ascii="Verdana" w:hAnsi="Verdana"/>
          <w:b/>
          <w:bCs/>
        </w:rPr>
        <w:t>Problema planteado:</w:t>
      </w:r>
    </w:p>
    <w:p w14:paraId="511BAACB" w14:textId="77777777" w:rsidR="005B6E53" w:rsidRDefault="005B6E53" w:rsidP="005B6E53">
      <w:pPr>
        <w:spacing w:after="0" w:line="276" w:lineRule="auto"/>
        <w:ind w:left="360"/>
        <w:jc w:val="both"/>
        <w:rPr>
          <w:rFonts w:ascii="Verdana" w:hAnsi="Verdana"/>
          <w:b/>
          <w:bCs/>
        </w:rPr>
      </w:pPr>
    </w:p>
    <w:p w14:paraId="2D73FB99" w14:textId="77777777" w:rsidR="005B6E53" w:rsidRPr="00F858AE" w:rsidRDefault="005B6E53" w:rsidP="005B6E53">
      <w:pPr>
        <w:spacing w:after="0" w:line="276" w:lineRule="auto"/>
        <w:jc w:val="both"/>
        <w:rPr>
          <w:rFonts w:ascii="Verdana" w:eastAsia="Century Gothic" w:hAnsi="Verdana" w:cs="Century Gothic"/>
        </w:rPr>
      </w:pPr>
      <w:r>
        <w:rPr>
          <w:rFonts w:ascii="Verdana" w:hAnsi="Verdana"/>
        </w:rPr>
        <w:t xml:space="preserve">De acuerdo con el contenido de su solicitud, esta Agencia resolverá el siguiente problema jurídicos: </w:t>
      </w:r>
      <w:r w:rsidRPr="00F858AE">
        <w:rPr>
          <w:rFonts w:ascii="Verdana" w:eastAsia="Century Gothic" w:hAnsi="Verdana" w:cs="Century Gothic"/>
        </w:rPr>
        <w:t>¿La subsanación de un requisito habilitante puede constituirse como mejoramiento de la oferta?</w:t>
      </w:r>
    </w:p>
    <w:p w14:paraId="5587EBDB" w14:textId="77777777" w:rsidR="005B6E53" w:rsidRPr="006F004F" w:rsidRDefault="005B6E53" w:rsidP="005B6E53">
      <w:pPr>
        <w:spacing w:after="0" w:line="276" w:lineRule="auto"/>
        <w:jc w:val="both"/>
        <w:rPr>
          <w:rFonts w:ascii="Verdana" w:hAnsi="Verdana"/>
          <w:strike/>
        </w:rPr>
      </w:pPr>
    </w:p>
    <w:p w14:paraId="5A701124" w14:textId="77777777" w:rsidR="005B6E53" w:rsidRDefault="005B6E53" w:rsidP="005B6E53">
      <w:pPr>
        <w:spacing w:after="0" w:line="276" w:lineRule="auto"/>
        <w:ind w:left="360" w:firstLine="348"/>
        <w:jc w:val="both"/>
        <w:rPr>
          <w:rFonts w:ascii="Verdana" w:hAnsi="Verdana"/>
        </w:rPr>
      </w:pPr>
    </w:p>
    <w:p w14:paraId="184E7117" w14:textId="77777777" w:rsidR="005B6E53" w:rsidRDefault="005B6E53" w:rsidP="005B6E53">
      <w:pPr>
        <w:pStyle w:val="Prrafodelista"/>
        <w:numPr>
          <w:ilvl w:val="0"/>
          <w:numId w:val="17"/>
        </w:numPr>
        <w:spacing w:after="0" w:line="276" w:lineRule="auto"/>
        <w:jc w:val="both"/>
        <w:rPr>
          <w:rFonts w:ascii="Verdana" w:hAnsi="Verdana"/>
          <w:b/>
          <w:bCs/>
        </w:rPr>
      </w:pPr>
      <w:r>
        <w:rPr>
          <w:rFonts w:ascii="Verdana" w:hAnsi="Verdana"/>
          <w:b/>
          <w:bCs/>
        </w:rPr>
        <w:t xml:space="preserve">Respuesta: </w:t>
      </w:r>
    </w:p>
    <w:p w14:paraId="14553F1F" w14:textId="77777777" w:rsidR="005B6E53" w:rsidRDefault="005B6E53" w:rsidP="005B6E53">
      <w:pPr>
        <w:spacing w:after="0" w:line="276" w:lineRule="auto"/>
        <w:jc w:val="both"/>
        <w:rPr>
          <w:rFonts w:ascii="Verdana" w:hAnsi="Verdana"/>
          <w:b/>
          <w:bCs/>
        </w:rPr>
      </w:pPr>
    </w:p>
    <w:p w14:paraId="256351D8" w14:textId="77777777" w:rsidR="005B6E53" w:rsidRDefault="005B6E53" w:rsidP="005B6E53">
      <w:pPr>
        <w:pStyle w:val="Prrafodelista"/>
        <w:spacing w:after="120" w:line="276" w:lineRule="auto"/>
        <w:ind w:left="1146"/>
        <w:jc w:val="both"/>
        <w:rPr>
          <w:rFonts w:ascii="Verdana" w:hAnsi="Verdana"/>
        </w:rPr>
      </w:pPr>
    </w:p>
    <w:p w14:paraId="6E478D2E" w14:textId="77777777" w:rsidR="005B6E53" w:rsidRPr="00AC76D7" w:rsidRDefault="005B6E53" w:rsidP="005B6E53">
      <w:pPr>
        <w:pBdr>
          <w:top w:val="single" w:sz="4" w:space="1" w:color="auto"/>
          <w:left w:val="single" w:sz="4" w:space="4" w:color="auto"/>
          <w:bottom w:val="single" w:sz="4" w:space="1" w:color="auto"/>
          <w:right w:val="single" w:sz="4" w:space="4" w:color="auto"/>
        </w:pBdr>
        <w:spacing w:line="276" w:lineRule="auto"/>
        <w:jc w:val="both"/>
        <w:rPr>
          <w:rFonts w:ascii="Verdana" w:eastAsia="Calibri" w:hAnsi="Verdana" w:cs="Arial"/>
          <w:color w:val="000000" w:themeColor="text1"/>
        </w:rPr>
      </w:pPr>
      <w:r w:rsidRPr="00AC76D7">
        <w:rPr>
          <w:rFonts w:ascii="Verdana" w:eastAsia="Calibri" w:hAnsi="Verdana" w:cs="Arial"/>
          <w:color w:val="000000" w:themeColor="text1"/>
        </w:rPr>
        <w:t xml:space="preserve">Frente </w:t>
      </w:r>
      <w:r w:rsidRPr="00AC76D7">
        <w:rPr>
          <w:rFonts w:ascii="Verdana" w:hAnsi="Verdana" w:cs="Arial"/>
          <w:color w:val="000000" w:themeColor="text1"/>
          <w:lang w:val="es-ES"/>
        </w:rPr>
        <w:t xml:space="preserve">a la subsanación de los requisitos habilitantes, resulta necesario indicar que conforme a lo dispuesto en el </w:t>
      </w:r>
      <w:r w:rsidRPr="00AC76D7">
        <w:rPr>
          <w:rFonts w:ascii="Verdana" w:eastAsia="Calibri" w:hAnsi="Verdana" w:cs="Arial"/>
          <w:lang w:val="es-ES_tradnl"/>
        </w:rPr>
        <w:t>artículo 5 de la Ley 1150 de 2007</w:t>
      </w:r>
      <w:r w:rsidRPr="00AC76D7">
        <w:rPr>
          <w:rFonts w:ascii="Verdana" w:eastAsia="Calibri" w:hAnsi="Verdana" w:cs="Arial"/>
          <w:color w:val="000000" w:themeColor="text1"/>
        </w:rPr>
        <w:t xml:space="preserve"> adicionado por la Ley 1882 de 2018–, es viable e</w:t>
      </w:r>
      <w:r w:rsidRPr="00AC76D7">
        <w:rPr>
          <w:rFonts w:ascii="Verdana" w:hAnsi="Verdana"/>
        </w:rPr>
        <w:t xml:space="preserve">nmendar, corregir o modificar los errores </w:t>
      </w:r>
      <w:r w:rsidRPr="00AC76D7">
        <w:rPr>
          <w:rFonts w:ascii="Verdana" w:eastAsia="Calibri" w:hAnsi="Verdana" w:cs="Arial"/>
          <w:color w:val="000000" w:themeColor="text1"/>
        </w:rPr>
        <w:t xml:space="preserve">de los requisitos habilitantes, lo expuesto, encuentra plena justificación en que estos aspectos no son un factor susceptible de evaluación mediante la asignación de puntaje. En ese orden, las Entidades Estatales deben permitir a los oferentes subsanar los defectos de los requisitos habilitantes de las propuestas </w:t>
      </w:r>
      <w:r w:rsidRPr="00AC76D7">
        <w:rPr>
          <w:rFonts w:ascii="Verdana" w:eastAsia="Calibri" w:hAnsi="Verdana" w:cs="Arial"/>
          <w:color w:val="000000" w:themeColor="text1"/>
        </w:rPr>
        <w:lastRenderedPageBreak/>
        <w:t>presentadas, en tanto a que es un asunto al que no se le asigna puntaje y en este sentido no podría interpretarse como un mejoramiento de la oferta.</w:t>
      </w:r>
    </w:p>
    <w:p w14:paraId="4A000304" w14:textId="77777777" w:rsidR="005B6E53" w:rsidRPr="00AC76D7" w:rsidRDefault="005B6E53" w:rsidP="005B6E53">
      <w:pPr>
        <w:pBdr>
          <w:top w:val="single" w:sz="4" w:space="1" w:color="auto"/>
          <w:left w:val="single" w:sz="4" w:space="4" w:color="auto"/>
          <w:bottom w:val="single" w:sz="4" w:space="1" w:color="auto"/>
          <w:right w:val="single" w:sz="4" w:space="4" w:color="auto"/>
        </w:pBdr>
        <w:spacing w:line="276" w:lineRule="auto"/>
        <w:jc w:val="both"/>
        <w:rPr>
          <w:rFonts w:ascii="Verdana" w:eastAsia="Calibri" w:hAnsi="Verdana" w:cs="Arial"/>
          <w:color w:val="000000" w:themeColor="text1"/>
        </w:rPr>
      </w:pPr>
      <w:r w:rsidRPr="00AC76D7">
        <w:rPr>
          <w:rFonts w:ascii="Verdana" w:eastAsia="Calibri" w:hAnsi="Verdana" w:cs="Arial"/>
          <w:color w:val="000000" w:themeColor="text1"/>
        </w:rPr>
        <w:t xml:space="preserve">En complemento con lo anterior, debe tenerse en consideración que la subsanabilidad de los requisitos habilitantes y de otros aspectos de las ofertas, siempre que no afecten la asignación de puntaje, deberán ser solicitados por las Entidades Estatales y entregados por los proponentes hasta el término de traslado del informe de evaluación </w:t>
      </w:r>
      <w:r w:rsidRPr="00AC76D7">
        <w:rPr>
          <w:rFonts w:ascii="Verdana" w:eastAsia="Calibri" w:hAnsi="Verdana" w:cs="Arial"/>
          <w:bCs/>
        </w:rPr>
        <w:t>que corresponda a cada modalidad de selección. Así las cosas, si el proponente no subsana la información solicitada por la entidad dentro del plazo, será rechazada la oferta.</w:t>
      </w:r>
    </w:p>
    <w:p w14:paraId="7D807A1B" w14:textId="77777777" w:rsidR="005B6E53" w:rsidRPr="0004483A" w:rsidRDefault="005B6E53" w:rsidP="005B6E53">
      <w:pPr>
        <w:pBdr>
          <w:top w:val="single" w:sz="4" w:space="1" w:color="auto"/>
          <w:left w:val="single" w:sz="4" w:space="4" w:color="auto"/>
          <w:bottom w:val="single" w:sz="4" w:space="1" w:color="auto"/>
          <w:right w:val="single" w:sz="4" w:space="4" w:color="auto"/>
        </w:pBdr>
        <w:spacing w:after="0" w:line="276" w:lineRule="auto"/>
        <w:jc w:val="both"/>
        <w:rPr>
          <w:rFonts w:ascii="Verdana" w:hAnsi="Verdana"/>
          <w:b/>
          <w:bCs/>
        </w:rPr>
      </w:pPr>
      <w:r w:rsidRPr="00AC76D7">
        <w:rPr>
          <w:rFonts w:ascii="Verdana" w:eastAsia="Calibri" w:hAnsi="Verdana" w:cs="Arial"/>
          <w:color w:val="000000" w:themeColor="text1"/>
        </w:rPr>
        <w:t xml:space="preserve">Ahora bien, en lo que respecta al reemplazo de las hojas de vida, debe manifestarse que si la Entidad Estatal dentro del proceso de contratación que adelanta, identifica que es un aspecto susceptible de asignación de puntaje no podrá tenerlo en cuenta al momento de realizar la evaluación de la propuesta. Igualmente, si la Entidad Estatal corrobora que con esta modificación se pretende acreditar un requisito que no se cumplía al momento de presentar la oferta, tampoco podrá tenerla en cuenta, esto, en razón a que lo que permite la norma en mención es la subsanación de aspectos formales de oferta más no la oportunidad de </w:t>
      </w:r>
      <w:r w:rsidRPr="00AC76D7">
        <w:rPr>
          <w:rFonts w:ascii="Verdana" w:eastAsia="Calibri" w:hAnsi="Verdana" w:cs="Arial"/>
          <w:lang w:val="es-ES_tradnl"/>
        </w:rPr>
        <w:t>acreditar circunstancias ocurridas con posterioridad al cierre del proceso.</w:t>
      </w:r>
    </w:p>
    <w:p w14:paraId="44D94CDA" w14:textId="77777777" w:rsidR="005B6E53" w:rsidRPr="00284F6C" w:rsidRDefault="005B6E53" w:rsidP="005B6E53">
      <w:pPr>
        <w:pBdr>
          <w:top w:val="single" w:sz="4" w:space="1" w:color="auto"/>
          <w:left w:val="single" w:sz="4" w:space="4" w:color="auto"/>
          <w:bottom w:val="single" w:sz="4" w:space="1" w:color="auto"/>
          <w:right w:val="single" w:sz="4" w:space="4" w:color="auto"/>
        </w:pBdr>
        <w:jc w:val="both"/>
      </w:pPr>
    </w:p>
    <w:p w14:paraId="5F662887" w14:textId="77777777" w:rsidR="005B6E53" w:rsidRPr="006F004F" w:rsidRDefault="005B6E53" w:rsidP="005B6E53">
      <w:pPr>
        <w:pBdr>
          <w:top w:val="single" w:sz="4" w:space="1" w:color="auto"/>
          <w:left w:val="single" w:sz="4" w:space="4" w:color="auto"/>
          <w:bottom w:val="single" w:sz="4" w:space="1" w:color="auto"/>
          <w:right w:val="single" w:sz="4" w:space="4" w:color="auto"/>
        </w:pBdr>
        <w:spacing w:after="120" w:line="276" w:lineRule="auto"/>
        <w:jc w:val="both"/>
        <w:rPr>
          <w:rFonts w:ascii="Verdana" w:hAnsi="Verdana"/>
          <w:b/>
          <w:bCs/>
        </w:rPr>
      </w:pPr>
      <w:r w:rsidRPr="006F004F">
        <w:rPr>
          <w:rFonts w:ascii="Verdana" w:hAnsi="Verdana"/>
        </w:rPr>
        <w:t xml:space="preserve">Por otra parte, con respecto a la ficha técnica, en los procesos de selección abreviada de subasta inversa o mínima cuantía deben solicitarle al oferente que subsane la ficha técnica cuando no fue presentada o cuando tenga </w:t>
      </w:r>
      <w:r>
        <w:rPr>
          <w:rFonts w:ascii="Verdana" w:hAnsi="Verdana"/>
        </w:rPr>
        <w:t>d</w:t>
      </w:r>
      <w:r w:rsidRPr="006F004F">
        <w:rPr>
          <w:rFonts w:ascii="Verdana" w:hAnsi="Verdana"/>
        </w:rPr>
        <w:t>efectos, porque si bien contiene los aspectos técnicos del bien o servicio a contratar, este requisito no es objeto de puntaje, pues es factor determinante para la adjudicación del contrato es menor el valor y no el contenido de la ficha técnica, sin embargo, debe tenerse en cuenta que la subsanabilidad de la ficha técnica no puede modificar el precio de la oferta, pues en este caso no podrá subsanarse por estar incurso en una posible mejora de la oferta.</w:t>
      </w:r>
    </w:p>
    <w:p w14:paraId="6D2D9B02" w14:textId="77777777" w:rsidR="005B6E53" w:rsidRPr="00284F6C" w:rsidRDefault="005B6E53" w:rsidP="005B6E53">
      <w:pPr>
        <w:pStyle w:val="Prrafodelista"/>
        <w:spacing w:after="120" w:line="276" w:lineRule="auto"/>
        <w:ind w:left="1146"/>
        <w:jc w:val="both"/>
        <w:rPr>
          <w:rFonts w:ascii="Verdana" w:hAnsi="Verdana"/>
          <w:b/>
          <w:bCs/>
        </w:rPr>
      </w:pPr>
    </w:p>
    <w:p w14:paraId="09A07F03" w14:textId="77777777" w:rsidR="005B6E53" w:rsidRPr="00711E13" w:rsidRDefault="005B6E53" w:rsidP="005B6E53">
      <w:pPr>
        <w:pStyle w:val="Prrafodelista"/>
        <w:numPr>
          <w:ilvl w:val="0"/>
          <w:numId w:val="17"/>
        </w:numPr>
        <w:spacing w:after="120" w:line="276" w:lineRule="auto"/>
        <w:jc w:val="both"/>
        <w:rPr>
          <w:rFonts w:ascii="Verdana" w:hAnsi="Verdana"/>
          <w:b/>
          <w:bCs/>
        </w:rPr>
      </w:pPr>
      <w:r w:rsidRPr="00711E13">
        <w:rPr>
          <w:rFonts w:ascii="Verdana" w:hAnsi="Verdana"/>
          <w:b/>
          <w:bCs/>
        </w:rPr>
        <w:t>Razones de la respuesta:</w:t>
      </w:r>
    </w:p>
    <w:p w14:paraId="6D353D20" w14:textId="77777777" w:rsidR="005B6E53" w:rsidRDefault="005B6E53" w:rsidP="005B6E53">
      <w:pPr>
        <w:spacing w:after="120" w:line="276" w:lineRule="auto"/>
        <w:jc w:val="both"/>
        <w:rPr>
          <w:rFonts w:ascii="Verdana" w:hAnsi="Verdana"/>
        </w:rPr>
      </w:pPr>
      <w:r>
        <w:rPr>
          <w:rFonts w:ascii="Verdana" w:hAnsi="Verdana"/>
        </w:rPr>
        <w:t>Lo anterior se sustenta en las siguientes consideraciones:</w:t>
      </w:r>
    </w:p>
    <w:p w14:paraId="2E76E6D1" w14:textId="77777777" w:rsidR="005B6E53" w:rsidRPr="00C861EF" w:rsidRDefault="005B6E53" w:rsidP="005B6E53">
      <w:pPr>
        <w:pStyle w:val="Prrafodelista"/>
        <w:numPr>
          <w:ilvl w:val="0"/>
          <w:numId w:val="25"/>
        </w:numPr>
        <w:spacing w:after="120" w:line="276" w:lineRule="auto"/>
        <w:jc w:val="both"/>
        <w:rPr>
          <w:rFonts w:ascii="Verdana" w:eastAsia="Calibri" w:hAnsi="Verdana" w:cs="Arial"/>
          <w:lang w:eastAsia="es-MX"/>
        </w:rPr>
      </w:pPr>
      <w:bookmarkStart w:id="1" w:name="_Hlk99546562"/>
      <w:r w:rsidRPr="7464E62E">
        <w:rPr>
          <w:rFonts w:ascii="Verdana" w:eastAsia="Calibri" w:hAnsi="Verdana" w:cs="Arial"/>
          <w:lang w:eastAsia="es-MX"/>
        </w:rPr>
        <w:t xml:space="preserve">Los </w:t>
      </w:r>
      <w:r w:rsidRPr="7464E62E">
        <w:rPr>
          <w:rFonts w:ascii="Verdana" w:eastAsia="Calibri" w:hAnsi="Verdana" w:cs="Arial"/>
          <w:i/>
          <w:lang w:eastAsia="es-MX"/>
        </w:rPr>
        <w:t>requisitos habilitantes</w:t>
      </w:r>
      <w:r w:rsidRPr="7464E62E">
        <w:rPr>
          <w:rFonts w:ascii="Verdana" w:eastAsia="Calibri" w:hAnsi="Verdana" w:cs="Arial"/>
          <w:lang w:eastAsia="es-MX"/>
        </w:rPr>
        <w:t xml:space="preserve"> se definen como aquellas exigencias de participación en los procedimientos de selección, establecidas en disposiciones normativas, de carácter legal o reglamentario, o contenidas en el acto administrativo que regula las reglas de la convocatoria–es decir, </w:t>
      </w:r>
      <w:r w:rsidRPr="7464E62E">
        <w:rPr>
          <w:rFonts w:ascii="Verdana" w:eastAsia="Calibri" w:hAnsi="Verdana" w:cs="Arial"/>
          <w:lang w:eastAsia="es-MX"/>
        </w:rPr>
        <w:lastRenderedPageBreak/>
        <w:t xml:space="preserve">en el pliego de condiciones o el documento equivalente a este–. Se diferencian de los </w:t>
      </w:r>
      <w:r w:rsidRPr="7464E62E">
        <w:rPr>
          <w:rFonts w:ascii="Verdana" w:eastAsia="Calibri" w:hAnsi="Verdana" w:cs="Arial"/>
          <w:i/>
          <w:lang w:eastAsia="es-MX"/>
        </w:rPr>
        <w:t>criterios de evaluación</w:t>
      </w:r>
      <w:r w:rsidRPr="7464E62E">
        <w:rPr>
          <w:rFonts w:ascii="Verdana" w:eastAsia="Calibri" w:hAnsi="Verdana" w:cs="Arial"/>
          <w:lang w:eastAsia="es-MX"/>
        </w:rPr>
        <w:t xml:space="preserve"> –también 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 </w:t>
      </w:r>
    </w:p>
    <w:bookmarkEnd w:id="1"/>
    <w:p w14:paraId="2281B2E0" w14:textId="77777777" w:rsidR="005B6E53" w:rsidRPr="00C861EF" w:rsidRDefault="005B6E53" w:rsidP="005B6E53">
      <w:pPr>
        <w:pStyle w:val="Prrafodelista"/>
        <w:numPr>
          <w:ilvl w:val="0"/>
          <w:numId w:val="25"/>
        </w:numPr>
        <w:spacing w:after="120" w:line="276" w:lineRule="auto"/>
        <w:jc w:val="both"/>
        <w:rPr>
          <w:rFonts w:ascii="Verdana" w:eastAsia="Calibri" w:hAnsi="Verdana" w:cs="Arial"/>
          <w:lang w:eastAsia="es-MX"/>
        </w:rPr>
      </w:pPr>
      <w:r w:rsidRPr="7464E62E">
        <w:rPr>
          <w:rFonts w:ascii="Verdana" w:eastAsia="Calibri" w:hAnsi="Verdana" w:cs="Arial"/>
          <w:lang w:eastAsia="es-MX"/>
        </w:rPr>
        <w:t>Los requisitos habilitantes constituyen los requerimientos mínimos con los que deben cumplir los proponentes para poder participar en el procedimiento de selección, razón por la que los mismos no se valoran con un puntaje tendiente a determinar el orden de escogencia, sino que se analizan como criterios previos a la evaluación en sentido estricto, de manera que quienes no los reúnan no pueden continuar en el procedimiento de selección, es decir, incurren en causal de rechazo. Esto sin perjuicio del derecho que tienen los oferentes de subsanar los defectos que se presenten en la prueba de tales requisitos, de conformidad con el artículo 5, parágrafos 1º al 4º, de la Ley 1150 de 2007.</w:t>
      </w:r>
    </w:p>
    <w:p w14:paraId="64B7F1C5" w14:textId="77777777" w:rsidR="005B6E53" w:rsidRPr="00C861EF" w:rsidRDefault="005B6E53" w:rsidP="005B6E53">
      <w:pPr>
        <w:pStyle w:val="Prrafodelista"/>
        <w:numPr>
          <w:ilvl w:val="0"/>
          <w:numId w:val="25"/>
        </w:numPr>
        <w:spacing w:after="120" w:line="276" w:lineRule="auto"/>
        <w:jc w:val="both"/>
        <w:rPr>
          <w:rFonts w:ascii="Verdana" w:eastAsia="Calibri" w:hAnsi="Verdana" w:cs="Arial"/>
          <w:lang w:val="es-ES_tradnl" w:eastAsia="es-MX"/>
        </w:rPr>
      </w:pPr>
      <w:r w:rsidRPr="00C861EF">
        <w:rPr>
          <w:rFonts w:ascii="Verdana" w:eastAsia="Calibri" w:hAnsi="Verdana" w:cs="Arial"/>
          <w:lang w:val="es-ES_tradnl" w:eastAsia="es-MX"/>
        </w:rPr>
        <w:t xml:space="preserve">El mencionado artículo dispone que se considera “[…]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sus documentos equivalentes deberán tener en cuenta, entre otras cuestiones, los criterios establecidos en dicha disposición. </w:t>
      </w:r>
    </w:p>
    <w:p w14:paraId="7FC30DD2" w14:textId="77777777" w:rsidR="005B6E53" w:rsidRPr="00C861EF" w:rsidRDefault="005B6E53" w:rsidP="005B6E53">
      <w:pPr>
        <w:pStyle w:val="Prrafodelista"/>
        <w:numPr>
          <w:ilvl w:val="0"/>
          <w:numId w:val="25"/>
        </w:numPr>
        <w:spacing w:after="0" w:line="276" w:lineRule="auto"/>
        <w:jc w:val="both"/>
        <w:rPr>
          <w:rFonts w:ascii="Verdana" w:eastAsia="Calibri" w:hAnsi="Verdana" w:cs="Arial"/>
          <w:lang w:eastAsia="es-MX"/>
        </w:rPr>
      </w:pPr>
      <w:r w:rsidRPr="7464E62E">
        <w:rPr>
          <w:rFonts w:ascii="Verdana" w:eastAsia="Calibri" w:hAnsi="Verdana" w:cs="Arial"/>
          <w:lang w:eastAsia="es-MX"/>
        </w:rPr>
        <w:t xml:space="preserve">Específicamente, el numeral 1º del artículo referido establece que en los procesos de selección de contratistas serán objeto de verificación, como requisitos habilitantes, entre otros, los siguientes: i) la capacidad jurídica; ii) la experiencia; iii) la capacidad financiera y </w:t>
      </w:r>
      <w:proofErr w:type="spellStart"/>
      <w:r w:rsidRPr="7464E62E">
        <w:rPr>
          <w:rFonts w:ascii="Verdana" w:eastAsia="Calibri" w:hAnsi="Verdana" w:cs="Arial"/>
          <w:lang w:eastAsia="es-MX"/>
        </w:rPr>
        <w:t>iv</w:t>
      </w:r>
      <w:proofErr w:type="spellEnd"/>
      <w:r w:rsidRPr="7464E62E">
        <w:rPr>
          <w:rFonts w:ascii="Verdana" w:eastAsia="Calibri" w:hAnsi="Verdana" w:cs="Arial"/>
          <w:lang w:eastAsia="es-MX"/>
        </w:rPr>
        <w:t xml:space="preserve">) la capacidad de organización. En efecto, la normativa citada dispone: </w:t>
      </w:r>
    </w:p>
    <w:p w14:paraId="78F629C5" w14:textId="77777777" w:rsidR="005B6E53" w:rsidRPr="00C861EF" w:rsidRDefault="005B6E53" w:rsidP="005B6E53">
      <w:pPr>
        <w:pStyle w:val="Prrafodelista"/>
        <w:spacing w:after="0" w:line="276" w:lineRule="auto"/>
        <w:jc w:val="both"/>
        <w:rPr>
          <w:rFonts w:ascii="Verdana" w:eastAsia="Calibri" w:hAnsi="Verdana" w:cs="Arial"/>
          <w:lang w:val="es-ES_tradnl" w:eastAsia="es-MX"/>
        </w:rPr>
      </w:pPr>
    </w:p>
    <w:p w14:paraId="16AD6DC5" w14:textId="77777777" w:rsidR="005B6E53" w:rsidRPr="00C861EF" w:rsidRDefault="005B6E53" w:rsidP="005B6E53">
      <w:pPr>
        <w:pStyle w:val="Prrafodelista"/>
        <w:spacing w:after="0"/>
        <w:ind w:left="1134" w:right="357"/>
        <w:jc w:val="both"/>
        <w:rPr>
          <w:rFonts w:ascii="Verdana" w:eastAsia="Calibri" w:hAnsi="Verdana" w:cs="Arial"/>
          <w:sz w:val="20"/>
          <w:szCs w:val="20"/>
          <w:lang w:val="es-ES_tradnl" w:eastAsia="es-MX"/>
        </w:rPr>
      </w:pPr>
      <w:r w:rsidRPr="00C861EF">
        <w:rPr>
          <w:rFonts w:ascii="Verdana" w:eastAsia="Calibri" w:hAnsi="Verdana" w:cs="Arial"/>
          <w:sz w:val="20"/>
          <w:szCs w:val="20"/>
          <w:lang w:val="es-ES_tradnl" w:eastAsia="es-MX"/>
        </w:rPr>
        <w:t xml:space="preserve">“Artículo 5. De la Selección Objetiva. </w:t>
      </w:r>
    </w:p>
    <w:p w14:paraId="1658D425" w14:textId="77777777" w:rsidR="005B6E53" w:rsidRPr="00C861EF" w:rsidRDefault="005B6E53" w:rsidP="005B6E53">
      <w:pPr>
        <w:pStyle w:val="Prrafodelista"/>
        <w:spacing w:after="120"/>
        <w:ind w:left="1134" w:right="357"/>
        <w:jc w:val="both"/>
        <w:rPr>
          <w:rFonts w:ascii="Verdana" w:eastAsia="Calibri" w:hAnsi="Verdana" w:cs="Arial"/>
          <w:sz w:val="20"/>
          <w:szCs w:val="20"/>
          <w:lang w:val="es-ES_tradnl" w:eastAsia="es-MX"/>
        </w:rPr>
      </w:pPr>
      <w:r w:rsidRPr="00C861EF">
        <w:rPr>
          <w:rFonts w:ascii="Verdana" w:eastAsia="Calibri" w:hAnsi="Verdana" w:cs="Arial"/>
          <w:sz w:val="20"/>
          <w:szCs w:val="20"/>
          <w:lang w:val="es-ES_tradnl" w:eastAsia="es-MX"/>
        </w:rPr>
        <w:t>[…]</w:t>
      </w:r>
    </w:p>
    <w:p w14:paraId="68CF3E0B" w14:textId="77777777" w:rsidR="005B6E53" w:rsidRPr="00C861EF" w:rsidRDefault="005B6E53" w:rsidP="005B6E53">
      <w:pPr>
        <w:pStyle w:val="Prrafodelista"/>
        <w:spacing w:after="0"/>
        <w:ind w:left="1134" w:right="357"/>
        <w:jc w:val="both"/>
        <w:rPr>
          <w:rFonts w:ascii="Verdana" w:eastAsia="Calibri" w:hAnsi="Verdana" w:cs="Arial"/>
          <w:sz w:val="20"/>
          <w:szCs w:val="20"/>
        </w:rPr>
      </w:pPr>
      <w:r w:rsidRPr="7464E62E">
        <w:rPr>
          <w:rFonts w:ascii="Verdana" w:eastAsia="Calibri" w:hAnsi="Verdana" w:cs="Arial"/>
          <w:sz w:val="20"/>
          <w:szCs w:val="20"/>
        </w:rPr>
        <w:t xml:space="preserve">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w:t>
      </w:r>
      <w:r w:rsidRPr="7464E62E">
        <w:rPr>
          <w:rFonts w:ascii="Verdana" w:eastAsia="Calibri" w:hAnsi="Verdana" w:cs="Arial"/>
          <w:sz w:val="20"/>
          <w:szCs w:val="20"/>
        </w:rPr>
        <w:lastRenderedPageBreak/>
        <w:t>Comercio de conformidad con lo establecido en el artículo 6 de la presente ley, de acuerdo con lo cual se expedirá la respectiva certificación.”</w:t>
      </w:r>
    </w:p>
    <w:p w14:paraId="718C2B72" w14:textId="77777777" w:rsidR="005B6E53" w:rsidRPr="00C861EF" w:rsidRDefault="005B6E53" w:rsidP="005B6E53">
      <w:pPr>
        <w:pStyle w:val="Prrafodelista"/>
        <w:spacing w:after="0"/>
        <w:ind w:right="709"/>
        <w:jc w:val="both"/>
        <w:rPr>
          <w:rFonts w:ascii="Verdana" w:eastAsia="Calibri" w:hAnsi="Verdana" w:cs="Arial"/>
          <w:sz w:val="21"/>
          <w:szCs w:val="21"/>
          <w:lang w:val="es-ES_tradnl"/>
        </w:rPr>
      </w:pPr>
    </w:p>
    <w:p w14:paraId="296BB37F" w14:textId="77777777" w:rsidR="005B6E53" w:rsidRPr="00C861EF" w:rsidRDefault="005B6E53" w:rsidP="005B6E53">
      <w:pPr>
        <w:pStyle w:val="Prrafodelista"/>
        <w:numPr>
          <w:ilvl w:val="0"/>
          <w:numId w:val="25"/>
        </w:numPr>
        <w:spacing w:after="0"/>
        <w:jc w:val="both"/>
        <w:rPr>
          <w:rFonts w:ascii="Verdana" w:eastAsia="Calibri" w:hAnsi="Verdana" w:cs="Arial"/>
          <w:sz w:val="21"/>
          <w:szCs w:val="21"/>
          <w:lang w:val="es-ES_tradnl"/>
        </w:rPr>
      </w:pPr>
      <w:bookmarkStart w:id="2" w:name="_Hlk99547809"/>
      <w:bookmarkStart w:id="3" w:name="_Hlk99546625"/>
      <w:r w:rsidRPr="00C861EF">
        <w:rPr>
          <w:rFonts w:ascii="Verdana" w:eastAsia="Times New Roman" w:hAnsi="Verdana" w:cs="Arial"/>
          <w:lang w:val="es-ES_tradnl" w:eastAsia="es-MX"/>
        </w:rPr>
        <w:t xml:space="preserve">La Agencia Nacional de Contratación Pública ha defendido el carácter </w:t>
      </w:r>
      <w:bookmarkStart w:id="4" w:name="_Hlk99547799"/>
      <w:r w:rsidRPr="00C861EF">
        <w:rPr>
          <w:rFonts w:ascii="Verdana" w:eastAsia="Times New Roman" w:hAnsi="Verdana" w:cs="Arial"/>
          <w:lang w:val="es-ES_tradnl" w:eastAsia="es-MX"/>
        </w:rPr>
        <w:t xml:space="preserve">enunciativo del listado de los requisitos habilitantes contenidos en el numeral 1 del artículo 5 de la Ley 1150 de 2007, en la medida en que la referida disposición, al referirse a los requisitos habilitantes, no contiene una expresión como “únicamente” o “solo”, de la que pueda colegirse la taxatividad de los requisitos mencionados. </w:t>
      </w:r>
      <w:bookmarkEnd w:id="2"/>
      <w:bookmarkEnd w:id="4"/>
      <w:r w:rsidRPr="00C861EF">
        <w:rPr>
          <w:rFonts w:ascii="Verdana" w:eastAsia="Times New Roman" w:hAnsi="Verdana" w:cs="Arial"/>
          <w:lang w:val="es-ES_tradnl" w:eastAsia="es-MX"/>
        </w:rPr>
        <w:t>Esta conclusión además se apoya en una la lectura integral de las normas que regulan la contratación estatal, en virtud de la cual es posible evidenciar que existen otras condiciones que deben cumplirse para la contratación con entidades públicas, de las que derivan requisitos habilitantes, como sucede, por ejemplo, con la capacidad residual a la que se refiere el artículo 6º, parágrafo 1, de la Ley 1150 de 2007</w:t>
      </w:r>
      <w:bookmarkEnd w:id="3"/>
      <w:r w:rsidRPr="00C861EF">
        <w:rPr>
          <w:rFonts w:ascii="Verdana" w:hAnsi="Verdana"/>
          <w:vertAlign w:val="superscript"/>
          <w:lang w:val="es-ES_tradnl" w:eastAsia="es-MX"/>
        </w:rPr>
        <w:footnoteReference w:id="2"/>
      </w:r>
      <w:r w:rsidRPr="00C861EF">
        <w:rPr>
          <w:rFonts w:ascii="Verdana" w:eastAsia="Times New Roman" w:hAnsi="Verdana" w:cs="Arial"/>
          <w:lang w:val="es-ES_tradnl" w:eastAsia="es-MX"/>
        </w:rPr>
        <w:t xml:space="preserve">. </w:t>
      </w:r>
    </w:p>
    <w:p w14:paraId="23D1C503" w14:textId="77777777" w:rsidR="005B6E53" w:rsidRPr="00C861EF" w:rsidRDefault="005B6E53" w:rsidP="005B6E53">
      <w:pPr>
        <w:pStyle w:val="Prrafodelista"/>
        <w:numPr>
          <w:ilvl w:val="0"/>
          <w:numId w:val="25"/>
        </w:numPr>
        <w:spacing w:before="120" w:after="120" w:line="276" w:lineRule="auto"/>
        <w:jc w:val="both"/>
        <w:rPr>
          <w:rFonts w:ascii="Verdana" w:eastAsia="Times New Roman" w:hAnsi="Verdana" w:cs="Arial"/>
          <w:lang w:val="es-ES_tradnl" w:eastAsia="es-MX"/>
        </w:rPr>
      </w:pPr>
      <w:r w:rsidRPr="00C861EF">
        <w:rPr>
          <w:rFonts w:ascii="Verdana" w:eastAsia="Times New Roman" w:hAnsi="Verdana" w:cs="Arial"/>
          <w:lang w:val="es-ES_tradnl" w:eastAsia="es-MX"/>
        </w:rPr>
        <w:t>Por otro lado, en el “Manual para determinar y verificar los requisitos habilitantes en los Procesos de Contratación”</w:t>
      </w:r>
      <w:r w:rsidRPr="00C861EF">
        <w:rPr>
          <w:rFonts w:ascii="Verdana" w:eastAsia="Calibri" w:hAnsi="Verdana" w:cs="Arial"/>
          <w:lang w:val="es-ES_tradnl" w:eastAsia="es-MX"/>
        </w:rPr>
        <w:t>,</w:t>
      </w:r>
      <w:r w:rsidRPr="00C861EF">
        <w:rPr>
          <w:rFonts w:ascii="Verdana" w:eastAsia="Times New Roman" w:hAnsi="Verdana" w:cs="Arial"/>
          <w:lang w:val="es-ES_tradnl" w:eastAsia="es-MX"/>
        </w:rPr>
        <w:t xml:space="preserve"> expedido por la </w:t>
      </w:r>
      <w:r w:rsidRPr="00C861EF">
        <w:rPr>
          <w:rFonts w:ascii="Verdana" w:eastAsia="Calibri" w:hAnsi="Verdana" w:cs="Arial"/>
          <w:lang w:val="es-ES_tradnl" w:eastAsia="es-MX"/>
        </w:rPr>
        <w:t>Agencia Nacional de Contratación Pública – Colombia Compra Eficiente</w:t>
      </w:r>
      <w:r w:rsidRPr="00C861EF">
        <w:rPr>
          <w:rFonts w:ascii="Verdana" w:eastAsia="Times New Roman" w:hAnsi="Verdana" w:cs="Arial"/>
          <w:lang w:val="es-ES_tradnl" w:eastAsia="es-MX"/>
        </w:rPr>
        <w:t xml:space="preserve"> se determinaron los parámetros para establecer, acreditar y subsanar los requisitos habilitantes. Allí también se precisó que estos tienen como fin primordial medir “la aptitud del proponente para participar en un Proceso de Contratación como oferente y están referidos a su capacidad jurídica, financiera, organizacional y su experiencia”. De acuerdo con el Manual, su propósito consiste en “establecer unas condiciones mínimas para los proponentes de tal manera que la Entidad Estatal sólo evalúe las ofertas de aquellos que están en condiciones de cumplir con el objeto del Proceso de Contratación”. </w:t>
      </w:r>
    </w:p>
    <w:p w14:paraId="417FCE92" w14:textId="77777777" w:rsidR="005B6E53" w:rsidRPr="00C861EF" w:rsidRDefault="005B6E53" w:rsidP="005B6E53">
      <w:pPr>
        <w:pStyle w:val="Prrafodelista"/>
        <w:numPr>
          <w:ilvl w:val="0"/>
          <w:numId w:val="25"/>
        </w:numPr>
        <w:spacing w:before="120" w:after="120" w:line="276" w:lineRule="auto"/>
        <w:jc w:val="both"/>
        <w:rPr>
          <w:rFonts w:ascii="Verdana" w:eastAsia="Times New Roman" w:hAnsi="Verdana" w:cs="Arial"/>
          <w:lang w:val="es-ES_tradnl" w:eastAsia="es-MX"/>
        </w:rPr>
      </w:pPr>
      <w:r w:rsidRPr="00C861EF">
        <w:rPr>
          <w:rFonts w:ascii="Verdana" w:eastAsia="Times New Roman" w:hAnsi="Verdana" w:cs="Arial"/>
          <w:lang w:val="es-ES_tradnl" w:eastAsia="es-MX"/>
        </w:rPr>
        <w:t>Así las cosas, al tratarse de condiciones mínimas, significa que las entidades podrían establecer otras, según su autonomía de la voluntad, y teniendo en cuenta el objeto del contrato, los riesgos detectados en los estudios previos, el presupuesto oficial, entre otros factores.</w:t>
      </w:r>
    </w:p>
    <w:p w14:paraId="5F247FA5" w14:textId="77777777" w:rsidR="005B6E53" w:rsidRPr="00C861EF" w:rsidRDefault="005B6E53" w:rsidP="005B6E53">
      <w:pPr>
        <w:pStyle w:val="Prrafodelista"/>
        <w:numPr>
          <w:ilvl w:val="0"/>
          <w:numId w:val="25"/>
        </w:numPr>
        <w:spacing w:before="120" w:after="120" w:line="276" w:lineRule="auto"/>
        <w:jc w:val="both"/>
        <w:rPr>
          <w:rFonts w:ascii="Verdana" w:eastAsia="Times New Roman" w:hAnsi="Verdana" w:cs="Arial"/>
          <w:lang w:val="es-ES_tradnl" w:eastAsia="es-MX"/>
        </w:rPr>
      </w:pPr>
      <w:r w:rsidRPr="00C861EF">
        <w:rPr>
          <w:rFonts w:ascii="Verdana" w:eastAsia="Times New Roman" w:hAnsi="Verdana" w:cs="Arial"/>
          <w:lang w:val="es-ES_tradnl" w:eastAsia="es-MX"/>
        </w:rPr>
        <w:t xml:space="preserve">Al respecto, en la Sentencia C-004 de 2017, la Corte Constitucional señaló que “[l]a determinación de dichas condiciones habilitantes para participar, es competencia de la entidad que planee la celebración del contrato, a través de la valoración en concreto de las características mínimas de </w:t>
      </w:r>
      <w:r w:rsidRPr="00C861EF">
        <w:rPr>
          <w:rFonts w:ascii="Verdana" w:eastAsia="Times New Roman" w:hAnsi="Verdana" w:cs="Arial"/>
          <w:lang w:val="es-ES_tradnl" w:eastAsia="es-MX"/>
        </w:rPr>
        <w:lastRenderedPageBreak/>
        <w:t>idoneidad, experiencia, capacidad jurídica y financiera para que la realización del objeto contractual resulte eficiente y eficaz frente a la necesidad identificada”.</w:t>
      </w:r>
    </w:p>
    <w:p w14:paraId="1641B728" w14:textId="77777777" w:rsidR="005B6E53" w:rsidRPr="00C861EF" w:rsidRDefault="005B6E53" w:rsidP="005B6E53">
      <w:pPr>
        <w:pStyle w:val="Prrafodelista"/>
        <w:numPr>
          <w:ilvl w:val="0"/>
          <w:numId w:val="25"/>
        </w:numPr>
        <w:tabs>
          <w:tab w:val="left" w:pos="426"/>
        </w:tabs>
        <w:spacing w:before="120" w:after="120" w:line="276" w:lineRule="auto"/>
        <w:jc w:val="both"/>
        <w:rPr>
          <w:rFonts w:ascii="Verdana" w:eastAsia="Times New Roman" w:hAnsi="Verdana" w:cs="Arial"/>
          <w:lang w:val="es-ES_tradnl" w:eastAsia="es-MX"/>
        </w:rPr>
      </w:pPr>
      <w:bookmarkStart w:id="5" w:name="_Hlk99548027"/>
      <w:r w:rsidRPr="00C861EF">
        <w:rPr>
          <w:rFonts w:ascii="Verdana" w:eastAsia="Times New Roman" w:hAnsi="Verdana" w:cs="Arial"/>
          <w:lang w:val="es-ES_tradnl" w:eastAsia="es-MX"/>
        </w:rPr>
        <w:t xml:space="preserve">En ese sentido, si bien </w:t>
      </w:r>
      <w:r w:rsidRPr="00C861EF">
        <w:rPr>
          <w:rFonts w:ascii="Verdana" w:eastAsia="Calibri" w:hAnsi="Verdana" w:cs="Arial"/>
          <w:lang w:val="es-ES_tradnl" w:eastAsia="es-MX"/>
        </w:rPr>
        <w:t xml:space="preserve">la Ley 1150 de 2007 estableció unos requisitos habilitantes para los proponentes –la capacidad jurídica, las condiciones de experiencia, la capacidad financiera y la capacidad de organización–, estos no son taxativos. </w:t>
      </w:r>
      <w:bookmarkStart w:id="6" w:name="_Hlk34917473"/>
      <w:r w:rsidRPr="00C861EF">
        <w:rPr>
          <w:rFonts w:ascii="Verdana" w:eastAsia="Times New Roman" w:hAnsi="Verdana" w:cs="Arial"/>
          <w:lang w:val="es-ES_tradnl" w:eastAsia="es-MX"/>
        </w:rPr>
        <w:t xml:space="preserve">En consecuencia, corresponde a las entidades estatales, durante la etapa de planeación del contrato estatal, estudiar y </w:t>
      </w:r>
      <w:r w:rsidRPr="00C861EF">
        <w:rPr>
          <w:rFonts w:ascii="Verdana" w:eastAsia="Times New Roman" w:hAnsi="Verdana" w:cs="Arial"/>
          <w:bCs/>
          <w:iCs/>
          <w:lang w:val="es-ES_tradnl" w:eastAsia="es-MX"/>
        </w:rPr>
        <w:t>determinar</w:t>
      </w:r>
      <w:r w:rsidRPr="00C861EF">
        <w:rPr>
          <w:rFonts w:ascii="Verdana" w:eastAsia="Times New Roman" w:hAnsi="Verdana" w:cs="Arial"/>
          <w:lang w:val="es-ES_tradnl" w:eastAsia="es-MX"/>
        </w:rPr>
        <w:t xml:space="preserve"> los requisitos habilitantes que establecerán en los pliegos de condiciones, los cuales deben fijarse de forma adecuada y proporcional. </w:t>
      </w:r>
    </w:p>
    <w:bookmarkEnd w:id="5"/>
    <w:p w14:paraId="721C47AE" w14:textId="77777777" w:rsidR="005B6E53" w:rsidRPr="00C861EF" w:rsidRDefault="005B6E53" w:rsidP="005B6E53">
      <w:pPr>
        <w:pStyle w:val="Prrafodelista"/>
        <w:numPr>
          <w:ilvl w:val="0"/>
          <w:numId w:val="25"/>
        </w:numPr>
        <w:tabs>
          <w:tab w:val="left" w:pos="426"/>
        </w:tabs>
        <w:spacing w:before="120" w:after="120" w:line="276" w:lineRule="auto"/>
        <w:jc w:val="both"/>
        <w:rPr>
          <w:rFonts w:ascii="Verdana" w:eastAsia="Times New Roman" w:hAnsi="Verdana" w:cs="Arial"/>
          <w:lang w:val="es-ES_tradnl" w:eastAsia="es-MX"/>
        </w:rPr>
      </w:pPr>
      <w:r w:rsidRPr="00C861EF">
        <w:rPr>
          <w:rFonts w:ascii="Verdana" w:eastAsia="Times New Roman" w:hAnsi="Verdana" w:cs="Arial"/>
          <w:lang w:val="es-ES_tradnl" w:eastAsia="es-MX"/>
        </w:rPr>
        <w:t>El Decreto 1082 de 2015 en su artículo 2.2.1.1.1.6.2 reglamenta los requisitos habilitantes, estableciendo que estos deben ser señalados en los pliegos de condiciones o en la invitación</w:t>
      </w:r>
      <w:r w:rsidRPr="00C861EF">
        <w:rPr>
          <w:rStyle w:val="Refdenotaalpie"/>
          <w:rFonts w:ascii="Verdana" w:eastAsia="Times New Roman" w:hAnsi="Verdana" w:cs="Arial"/>
          <w:lang w:val="es-ES_tradnl" w:eastAsia="es-MX"/>
        </w:rPr>
        <w:footnoteReference w:id="3"/>
      </w:r>
      <w:r w:rsidRPr="00C861EF">
        <w:rPr>
          <w:rFonts w:ascii="Verdana" w:eastAsia="Times New Roman" w:hAnsi="Verdana" w:cs="Arial"/>
          <w:lang w:val="es-ES_tradnl" w:eastAsia="es-MX"/>
        </w:rPr>
        <w:t>, lo cual es concordante con el numeral 5 del artículo 2.2.1.1.2.1.3, en el que se establece como uno de los componentes mínimos de los pliegos de condiciones</w:t>
      </w:r>
      <w:r w:rsidRPr="00C861EF">
        <w:rPr>
          <w:rFonts w:ascii="Verdana" w:hAnsi="Verdana" w:cs="Arial"/>
          <w:color w:val="000000"/>
        </w:rPr>
        <w:t xml:space="preserve"> a las reglas aplicables a la presentación y evaluación de las ofertas, entre las que se inscriben las relativas a la acreditación de las condiciones habilitantes. </w:t>
      </w:r>
      <w:r w:rsidRPr="00C861EF">
        <w:rPr>
          <w:rFonts w:ascii="Verdana" w:eastAsia="Times New Roman" w:hAnsi="Verdana" w:cs="Arial"/>
          <w:lang w:val="es-ES_tradnl" w:eastAsia="es-MX"/>
        </w:rPr>
        <w:t xml:space="preserve"> Establece además el artículo 2.2.1.1.1.6.2 que la determinación de los requisitos habilitantes debe ser realizada en función de criterios como el riesgo del proceso de contratación, el valor del contrato, el análisis del sector económico respectivo y el conocimiento de fondo de los posibles oferentes desde la perspectiva comercial. </w:t>
      </w:r>
    </w:p>
    <w:p w14:paraId="41F6C95C" w14:textId="77777777" w:rsidR="005B6E53" w:rsidRPr="00C861EF" w:rsidRDefault="005B6E53" w:rsidP="005B6E53">
      <w:pPr>
        <w:pStyle w:val="Prrafodelista"/>
        <w:numPr>
          <w:ilvl w:val="0"/>
          <w:numId w:val="25"/>
        </w:numPr>
        <w:tabs>
          <w:tab w:val="left" w:pos="426"/>
        </w:tabs>
        <w:spacing w:before="120" w:after="0" w:line="276" w:lineRule="auto"/>
        <w:jc w:val="both"/>
        <w:rPr>
          <w:rFonts w:ascii="Verdana" w:eastAsia="Times New Roman" w:hAnsi="Verdana" w:cs="Arial"/>
          <w:lang w:eastAsia="es-MX"/>
        </w:rPr>
      </w:pPr>
      <w:r w:rsidRPr="7464E62E">
        <w:rPr>
          <w:rFonts w:ascii="Verdana" w:eastAsia="Times New Roman" w:hAnsi="Verdana" w:cs="Arial"/>
          <w:lang w:eastAsia="es-MX"/>
        </w:rPr>
        <w:t xml:space="preserve">Los mencionados criterios deben ser aplicados de manera tal que de la ponderación de los mismos resulten requisitos que permitan medir la aptitud de los oferentes para cumplir con el contrato, y que, además de ser proporcionales y adecuados al objeto del contrato, no limiten la participación en el proceso de selección. </w:t>
      </w:r>
    </w:p>
    <w:p w14:paraId="33979EAC" w14:textId="77777777" w:rsidR="005B6E53" w:rsidRPr="00C861EF" w:rsidRDefault="005B6E53" w:rsidP="005B6E53">
      <w:pPr>
        <w:pStyle w:val="Prrafodelista"/>
        <w:numPr>
          <w:ilvl w:val="0"/>
          <w:numId w:val="25"/>
        </w:numPr>
        <w:tabs>
          <w:tab w:val="left" w:pos="426"/>
        </w:tabs>
        <w:spacing w:before="120" w:after="0" w:line="276" w:lineRule="auto"/>
        <w:jc w:val="both"/>
        <w:rPr>
          <w:rFonts w:ascii="Verdana" w:eastAsia="Times New Roman" w:hAnsi="Verdana" w:cs="Arial"/>
          <w:lang w:eastAsia="es-MX"/>
        </w:rPr>
      </w:pPr>
      <w:r w:rsidRPr="7464E62E">
        <w:rPr>
          <w:rFonts w:ascii="Verdana" w:eastAsia="Times New Roman" w:hAnsi="Verdana" w:cs="Arial"/>
          <w:lang w:eastAsia="es-MX"/>
        </w:rPr>
        <w:lastRenderedPageBreak/>
        <w:t xml:space="preserve">En ese sentido, las entidades tienen autonomía para estructurar los requisitos habilitantes en los procesos que adelantan, pero tal facultad no puede ejercerse de forma arbitraria, caprichosa y, mucho menos, con el ánimo de direccionar el proceso de contratación o favorecer a alguno de los proponentes. Tampoco puede suceder que el ejercicio de dicha atribución se haga con desconocimiento de los límites impuestos por la normativa vigente, como, por ejemplo, el parágrafo 2 del artículo 5 de la Ley 1150 de 2007, que prohíbe exigir certificaciones de sistemas de gestión de calidad como requisito habilitante. </w:t>
      </w:r>
    </w:p>
    <w:p w14:paraId="5AAEF490" w14:textId="77777777" w:rsidR="005B6E53" w:rsidRPr="00C861EF" w:rsidRDefault="005B6E53" w:rsidP="005B6E53">
      <w:pPr>
        <w:pStyle w:val="Prrafodelista"/>
        <w:numPr>
          <w:ilvl w:val="0"/>
          <w:numId w:val="25"/>
        </w:numPr>
        <w:tabs>
          <w:tab w:val="left" w:pos="426"/>
        </w:tabs>
        <w:spacing w:before="120" w:after="0" w:line="276" w:lineRule="auto"/>
        <w:jc w:val="both"/>
        <w:rPr>
          <w:rFonts w:ascii="Verdana" w:eastAsia="Times New Roman" w:hAnsi="Verdana" w:cs="Arial"/>
          <w:lang w:eastAsia="es-MX"/>
        </w:rPr>
      </w:pPr>
      <w:bookmarkStart w:id="7" w:name="_Hlk99547936"/>
      <w:r w:rsidRPr="7464E62E">
        <w:rPr>
          <w:rFonts w:ascii="Verdana" w:eastAsia="Times New Roman" w:hAnsi="Verdana" w:cs="Arial"/>
          <w:lang w:eastAsia="es-MX"/>
        </w:rPr>
        <w:t xml:space="preserve">De tal manera que, las entidades estatales son autónomas para definir los requisitos habilitantes, pero tal facultad debe ser ejercida procurando diseñar condiciones habilitantes de manera objetiva, de suerte que estas sirvan para determinar si los participantes del proceso de contratación cuentan con las capacidades que los hacen aptos para ejecutar el objeto contractual. Para esto resulta indispensable que los requisitos establecidos por la entidad, además se fijen de manera adecuada y proporcional a las características del objeto ofertado, procurando además ceñirse a la normativa que resulte aplicable. </w:t>
      </w:r>
    </w:p>
    <w:bookmarkEnd w:id="6"/>
    <w:bookmarkEnd w:id="7"/>
    <w:p w14:paraId="04E92E7A" w14:textId="77777777" w:rsidR="005B6E53" w:rsidRPr="00C861EF" w:rsidRDefault="005B6E53" w:rsidP="005B6E53">
      <w:pPr>
        <w:pStyle w:val="Prrafodelista"/>
        <w:numPr>
          <w:ilvl w:val="0"/>
          <w:numId w:val="25"/>
        </w:numPr>
        <w:spacing w:line="276" w:lineRule="auto"/>
        <w:jc w:val="both"/>
        <w:rPr>
          <w:rFonts w:ascii="Verdana" w:hAnsi="Verdana"/>
        </w:rPr>
      </w:pPr>
      <w:r w:rsidRPr="00C861EF">
        <w:rPr>
          <w:rFonts w:ascii="Verdana" w:hAnsi="Verdana"/>
        </w:rPr>
        <w:t>La regla de subsanabilidad es un mecanismo previsto en los procesos de contratación estatal que se regulan por el Estatuto General de Contratación de la Administración Pública – en adelante EGCAP. Esta regla, prevista en el artículo 5 de la Ley 1150 de 2007, consiste en permitir que los proponentes puedan enmendar, corregir o modificar los errores en los que se incurre en los documentos contentivos de la oferta. Así lo ha establecido el Consejo de Estado, en los siguientes términos:</w:t>
      </w:r>
    </w:p>
    <w:p w14:paraId="00A8C2F5" w14:textId="77777777" w:rsidR="005B6E53" w:rsidRPr="00C861EF" w:rsidRDefault="005B6E53" w:rsidP="005B6E53">
      <w:pPr>
        <w:pStyle w:val="Prrafodelista"/>
        <w:spacing w:line="276" w:lineRule="auto"/>
        <w:jc w:val="both"/>
        <w:rPr>
          <w:rFonts w:ascii="Verdana" w:hAnsi="Verdana"/>
        </w:rPr>
      </w:pPr>
    </w:p>
    <w:p w14:paraId="654BF32A" w14:textId="77777777" w:rsidR="005B6E53" w:rsidRPr="00C861EF" w:rsidRDefault="005B6E53" w:rsidP="005B6E53">
      <w:pPr>
        <w:pStyle w:val="Prrafodelista"/>
        <w:spacing w:line="240" w:lineRule="auto"/>
        <w:ind w:left="1134" w:right="357"/>
        <w:jc w:val="both"/>
        <w:rPr>
          <w:rFonts w:ascii="Verdana" w:hAnsi="Verdana"/>
          <w:sz w:val="20"/>
          <w:szCs w:val="20"/>
        </w:rPr>
      </w:pPr>
      <w:r w:rsidRPr="00C861EF">
        <w:rPr>
          <w:rFonts w:ascii="Verdana" w:hAnsi="Verdana"/>
          <w:sz w:val="20"/>
          <w:szCs w:val="20"/>
        </w:rPr>
        <w:t>“[…] materializar un principio general de primacía de lo sustancial sobre lo formal, adoptando medidas de saneamiento del proceso de selección tendientes a que los meros defectos formales, que no afecten sustancialmente la oferta, referidos a la documentación o instrumentalización de la misma, priven a la administración de considerar una oferta por causa de tales falencias”</w:t>
      </w:r>
      <w:r w:rsidRPr="00C861EF">
        <w:rPr>
          <w:rStyle w:val="Refdenotaalpie"/>
          <w:rFonts w:ascii="Verdana" w:hAnsi="Verdana"/>
          <w:sz w:val="20"/>
          <w:szCs w:val="20"/>
        </w:rPr>
        <w:footnoteReference w:id="4"/>
      </w:r>
      <w:r w:rsidRPr="00C861EF">
        <w:rPr>
          <w:rFonts w:ascii="Verdana" w:hAnsi="Verdana"/>
          <w:sz w:val="20"/>
          <w:szCs w:val="20"/>
        </w:rPr>
        <w:t>.</w:t>
      </w:r>
    </w:p>
    <w:p w14:paraId="2DBC7B03" w14:textId="77777777" w:rsidR="005B6E53" w:rsidRPr="00C861EF" w:rsidRDefault="005B6E53" w:rsidP="005B6E53">
      <w:pPr>
        <w:pStyle w:val="Prrafodelista"/>
        <w:spacing w:line="240" w:lineRule="auto"/>
        <w:ind w:left="1134" w:right="357"/>
        <w:jc w:val="both"/>
        <w:rPr>
          <w:rFonts w:ascii="Verdana" w:hAnsi="Verdana"/>
          <w:sz w:val="20"/>
          <w:szCs w:val="20"/>
        </w:rPr>
      </w:pPr>
    </w:p>
    <w:p w14:paraId="32C7DE7C" w14:textId="77777777" w:rsidR="005B6E53" w:rsidRPr="00C861EF" w:rsidRDefault="005B6E53" w:rsidP="005B6E53">
      <w:pPr>
        <w:pStyle w:val="Prrafodelista"/>
        <w:widowControl w:val="0"/>
        <w:numPr>
          <w:ilvl w:val="0"/>
          <w:numId w:val="25"/>
        </w:numPr>
        <w:autoSpaceDE w:val="0"/>
        <w:autoSpaceDN w:val="0"/>
        <w:spacing w:line="276" w:lineRule="auto"/>
        <w:jc w:val="both"/>
        <w:rPr>
          <w:rFonts w:ascii="Verdana" w:eastAsia="Calibri" w:hAnsi="Verdana" w:cs="Arial"/>
          <w:lang w:eastAsia="es-ES_tradnl"/>
        </w:rPr>
      </w:pPr>
      <w:r w:rsidRPr="00C861EF">
        <w:rPr>
          <w:rFonts w:ascii="Verdana" w:eastAsia="Calibri" w:hAnsi="Verdana" w:cs="Arial"/>
          <w:lang w:eastAsia="es-ES_tradnl"/>
        </w:rPr>
        <w:t>Esta Subdirección se ha pronunciado en diversas oportunidades acerca del alcance de la regla de la subsanabilidad</w:t>
      </w:r>
      <w:r>
        <w:rPr>
          <w:rStyle w:val="Refdenotaalpie"/>
          <w:rFonts w:ascii="Verdana" w:eastAsia="Calibri" w:hAnsi="Verdana" w:cs="Arial"/>
          <w:lang w:eastAsia="es-ES_tradnl"/>
        </w:rPr>
        <w:footnoteReference w:id="5"/>
      </w:r>
      <w:r w:rsidRPr="00C861EF">
        <w:rPr>
          <w:rFonts w:ascii="Verdana" w:eastAsia="Calibri" w:hAnsi="Verdana" w:cs="Arial"/>
          <w:lang w:eastAsia="es-ES_tradnl"/>
        </w:rPr>
        <w:t xml:space="preserve">, contenida actualmente en el parágrafo 1 del artículo 5 de la Ley 1150 de 2007, modificado por el </w:t>
      </w:r>
      <w:r w:rsidRPr="00C861EF">
        <w:rPr>
          <w:rFonts w:ascii="Verdana" w:eastAsia="Calibri" w:hAnsi="Verdana" w:cs="Arial"/>
          <w:lang w:eastAsia="es-ES_tradnl"/>
        </w:rPr>
        <w:lastRenderedPageBreak/>
        <w:t>artículo 5 de la Ley 1882 de 2018</w:t>
      </w:r>
      <w:r w:rsidRPr="00C861EF">
        <w:rPr>
          <w:rFonts w:ascii="Verdana" w:hAnsi="Verdana"/>
          <w:vertAlign w:val="superscript"/>
          <w:lang w:eastAsia="es-ES_tradnl"/>
        </w:rPr>
        <w:footnoteReference w:id="6"/>
      </w:r>
      <w:r w:rsidRPr="00C861EF">
        <w:rPr>
          <w:rFonts w:ascii="Verdana" w:eastAsia="Calibri" w:hAnsi="Verdana" w:cs="Arial"/>
          <w:lang w:eastAsia="es-ES_tradnl"/>
        </w:rPr>
        <w:t>. Al respecto, la postura que se reitera en el presente concepto es la siguiente: por regla general, la falta de entrega o los defectos frente a los requisitos que no asignan puntaje, son subsanables. La excepción se encuentra en los casos, previstos en la ley, que limitan la subsanabilidad, como, por ejemplo, la prohibición de permitir la entrega de la garantía de seriedad de la oferta que no fue aportada con la propuesta y de permitir la acreditación de circunstancias ocurridas con posterioridad al cierre del proceso.</w:t>
      </w:r>
    </w:p>
    <w:p w14:paraId="38AEFDF5" w14:textId="77777777" w:rsidR="005B6E53" w:rsidRPr="00C861EF" w:rsidRDefault="005B6E53" w:rsidP="005B6E53">
      <w:pPr>
        <w:pStyle w:val="Prrafodelista"/>
        <w:widowControl w:val="0"/>
        <w:numPr>
          <w:ilvl w:val="0"/>
          <w:numId w:val="25"/>
        </w:numPr>
        <w:tabs>
          <w:tab w:val="left" w:pos="284"/>
        </w:tabs>
        <w:autoSpaceDE w:val="0"/>
        <w:autoSpaceDN w:val="0"/>
        <w:spacing w:before="120" w:line="276" w:lineRule="auto"/>
        <w:jc w:val="both"/>
        <w:rPr>
          <w:rFonts w:ascii="Verdana" w:eastAsia="Calibri" w:hAnsi="Verdana" w:cs="Arial"/>
          <w:color w:val="000000"/>
          <w:lang w:val="es-ES_tradnl" w:eastAsia="es-ES_tradnl"/>
        </w:rPr>
      </w:pPr>
      <w:r w:rsidRPr="00C861EF">
        <w:rPr>
          <w:rFonts w:ascii="Verdana" w:eastAsia="Calibri" w:hAnsi="Verdana" w:cs="Arial"/>
          <w:lang w:eastAsia="es-ES_tradnl"/>
        </w:rPr>
        <w:t xml:space="preserve">En este sentido, bajo la normativa actual que regula la subsanabilidad de las ofertas debe tenerse en cuenta que </w:t>
      </w:r>
      <w:r w:rsidRPr="00C861EF">
        <w:rPr>
          <w:rFonts w:ascii="Verdana" w:eastAsia="Arial" w:hAnsi="Verdana" w:cs="Arial"/>
          <w:lang w:eastAsia="es-ES_tradnl"/>
        </w:rPr>
        <w:t>el</w:t>
      </w:r>
      <w:r w:rsidRPr="00C861EF">
        <w:rPr>
          <w:rFonts w:ascii="Verdana" w:eastAsia="Arial" w:hAnsi="Verdana" w:cs="Arial"/>
          <w:spacing w:val="-12"/>
          <w:lang w:eastAsia="es-ES_tradnl"/>
        </w:rPr>
        <w:t xml:space="preserve"> </w:t>
      </w:r>
      <w:r w:rsidRPr="00C861EF">
        <w:rPr>
          <w:rFonts w:ascii="Verdana" w:eastAsia="Arial" w:hAnsi="Verdana" w:cs="Arial"/>
          <w:lang w:eastAsia="es-ES_tradnl"/>
        </w:rPr>
        <w:t>legislador</w:t>
      </w:r>
      <w:r w:rsidRPr="00C861EF">
        <w:rPr>
          <w:rFonts w:ascii="Verdana" w:eastAsia="Arial" w:hAnsi="Verdana" w:cs="Arial"/>
          <w:spacing w:val="-12"/>
          <w:lang w:eastAsia="es-ES_tradnl"/>
        </w:rPr>
        <w:t xml:space="preserve"> </w:t>
      </w:r>
      <w:r w:rsidRPr="00C861EF">
        <w:rPr>
          <w:rFonts w:ascii="Verdana" w:eastAsia="Arial" w:hAnsi="Verdana" w:cs="Arial"/>
          <w:lang w:eastAsia="es-ES_tradnl"/>
        </w:rPr>
        <w:t>expidió</w:t>
      </w:r>
      <w:r w:rsidRPr="00C861EF">
        <w:rPr>
          <w:rFonts w:ascii="Verdana" w:eastAsia="Arial" w:hAnsi="Verdana" w:cs="Arial"/>
          <w:spacing w:val="-13"/>
          <w:lang w:eastAsia="es-ES_tradnl"/>
        </w:rPr>
        <w:t xml:space="preserve"> </w:t>
      </w:r>
      <w:r w:rsidRPr="00C861EF">
        <w:rPr>
          <w:rFonts w:ascii="Verdana" w:eastAsia="Arial" w:hAnsi="Verdana" w:cs="Arial"/>
          <w:lang w:eastAsia="es-ES_tradnl"/>
        </w:rPr>
        <w:t>la</w:t>
      </w:r>
      <w:r w:rsidRPr="00C861EF">
        <w:rPr>
          <w:rFonts w:ascii="Verdana" w:eastAsia="Arial" w:hAnsi="Verdana" w:cs="Arial"/>
          <w:spacing w:val="-12"/>
          <w:lang w:eastAsia="es-ES_tradnl"/>
        </w:rPr>
        <w:t xml:space="preserve"> </w:t>
      </w:r>
      <w:r w:rsidRPr="00C861EF">
        <w:rPr>
          <w:rFonts w:ascii="Verdana" w:eastAsia="Arial" w:hAnsi="Verdana" w:cs="Arial"/>
          <w:lang w:eastAsia="es-ES_tradnl"/>
        </w:rPr>
        <w:t>Ley</w:t>
      </w:r>
      <w:r w:rsidRPr="00C861EF">
        <w:rPr>
          <w:rFonts w:ascii="Verdana" w:eastAsia="Arial" w:hAnsi="Verdana" w:cs="Arial"/>
          <w:spacing w:val="-13"/>
          <w:lang w:eastAsia="es-ES_tradnl"/>
        </w:rPr>
        <w:t xml:space="preserve"> </w:t>
      </w:r>
      <w:r w:rsidRPr="00C861EF">
        <w:rPr>
          <w:rFonts w:ascii="Verdana" w:eastAsia="Arial" w:hAnsi="Verdana" w:cs="Arial"/>
          <w:lang w:eastAsia="es-ES_tradnl"/>
        </w:rPr>
        <w:t>1882</w:t>
      </w:r>
      <w:r w:rsidRPr="00C861EF">
        <w:rPr>
          <w:rFonts w:ascii="Verdana" w:eastAsia="Arial" w:hAnsi="Verdana" w:cs="Arial"/>
          <w:spacing w:val="-13"/>
          <w:lang w:eastAsia="es-ES_tradnl"/>
        </w:rPr>
        <w:t xml:space="preserve"> </w:t>
      </w:r>
      <w:r w:rsidRPr="00C861EF">
        <w:rPr>
          <w:rFonts w:ascii="Verdana" w:eastAsia="Arial" w:hAnsi="Verdana" w:cs="Arial"/>
          <w:lang w:eastAsia="es-ES_tradnl"/>
        </w:rPr>
        <w:t>de</w:t>
      </w:r>
      <w:r w:rsidRPr="00C861EF">
        <w:rPr>
          <w:rFonts w:ascii="Verdana" w:eastAsia="Arial" w:hAnsi="Verdana" w:cs="Arial"/>
          <w:spacing w:val="-12"/>
          <w:lang w:eastAsia="es-ES_tradnl"/>
        </w:rPr>
        <w:t xml:space="preserve"> </w:t>
      </w:r>
      <w:r w:rsidRPr="00C861EF">
        <w:rPr>
          <w:rFonts w:ascii="Verdana" w:eastAsia="Arial" w:hAnsi="Verdana" w:cs="Arial"/>
          <w:lang w:eastAsia="es-ES_tradnl"/>
        </w:rPr>
        <w:t>2018,</w:t>
      </w:r>
      <w:r w:rsidRPr="00C861EF">
        <w:rPr>
          <w:rFonts w:ascii="Verdana" w:eastAsia="Arial" w:hAnsi="Verdana" w:cs="Arial"/>
          <w:spacing w:val="-13"/>
          <w:lang w:eastAsia="es-ES_tradnl"/>
        </w:rPr>
        <w:t xml:space="preserve"> </w:t>
      </w:r>
      <w:r w:rsidRPr="00C861EF">
        <w:rPr>
          <w:rFonts w:ascii="Verdana" w:eastAsia="Arial" w:hAnsi="Verdana" w:cs="Arial"/>
          <w:lang w:eastAsia="es-ES_tradnl"/>
        </w:rPr>
        <w:t>con</w:t>
      </w:r>
      <w:r w:rsidRPr="00C861EF">
        <w:rPr>
          <w:rFonts w:ascii="Verdana" w:eastAsia="Arial" w:hAnsi="Verdana" w:cs="Arial"/>
          <w:spacing w:val="-12"/>
          <w:lang w:eastAsia="es-ES_tradnl"/>
        </w:rPr>
        <w:t xml:space="preserve"> </w:t>
      </w:r>
      <w:r w:rsidRPr="00C861EF">
        <w:rPr>
          <w:rFonts w:ascii="Verdana" w:eastAsia="Arial" w:hAnsi="Verdana" w:cs="Arial"/>
          <w:lang w:eastAsia="es-ES_tradnl"/>
        </w:rPr>
        <w:t>la</w:t>
      </w:r>
      <w:r w:rsidRPr="00C861EF">
        <w:rPr>
          <w:rFonts w:ascii="Verdana" w:eastAsia="Arial" w:hAnsi="Verdana" w:cs="Arial"/>
          <w:spacing w:val="-13"/>
          <w:lang w:eastAsia="es-ES_tradnl"/>
        </w:rPr>
        <w:t xml:space="preserve"> </w:t>
      </w:r>
      <w:r w:rsidRPr="00C861EF">
        <w:rPr>
          <w:rFonts w:ascii="Verdana" w:eastAsia="Arial" w:hAnsi="Verdana" w:cs="Arial"/>
          <w:lang w:eastAsia="es-ES_tradnl"/>
        </w:rPr>
        <w:t xml:space="preserve">finalidad de introducir cambios y ajustes para fortalecer la contratación pública. </w:t>
      </w:r>
      <w:r w:rsidRPr="00C861EF">
        <w:rPr>
          <w:rFonts w:ascii="Verdana" w:eastAsia="Calibri" w:hAnsi="Verdana" w:cs="Arial"/>
          <w:lang w:eastAsia="es-ES_tradnl"/>
        </w:rPr>
        <w:t>Particularmente, el artículo 5 modificó el parágrafo 1º del artículo 5 de la Ley 1150 de 2007</w:t>
      </w:r>
      <w:r w:rsidRPr="00C861EF">
        <w:rPr>
          <w:rFonts w:ascii="Verdana" w:eastAsia="Arial" w:hAnsi="Verdana" w:cs="Arial"/>
          <w:color w:val="000000"/>
          <w:lang w:val="es-ES_tradnl" w:eastAsia="es-ES_tradnl"/>
        </w:rPr>
        <w:t xml:space="preserve">: </w:t>
      </w:r>
    </w:p>
    <w:p w14:paraId="2C5181B6" w14:textId="77777777" w:rsidR="005B6E53" w:rsidRPr="00C861EF" w:rsidRDefault="005B6E53" w:rsidP="005B6E53">
      <w:pPr>
        <w:pStyle w:val="Prrafodelista"/>
        <w:widowControl w:val="0"/>
        <w:tabs>
          <w:tab w:val="left" w:pos="284"/>
        </w:tabs>
        <w:autoSpaceDE w:val="0"/>
        <w:autoSpaceDN w:val="0"/>
        <w:spacing w:before="120" w:line="276" w:lineRule="auto"/>
        <w:jc w:val="both"/>
        <w:rPr>
          <w:rFonts w:ascii="Verdana" w:eastAsia="Calibri" w:hAnsi="Verdana" w:cs="Arial"/>
          <w:color w:val="000000"/>
          <w:lang w:val="es-ES_tradnl" w:eastAsia="es-ES_tradnl"/>
        </w:rPr>
      </w:pPr>
    </w:p>
    <w:p w14:paraId="4DE9F790" w14:textId="77777777" w:rsidR="005B6E53" w:rsidRPr="00C861EF" w:rsidRDefault="005B6E53" w:rsidP="005B6E53">
      <w:pPr>
        <w:pStyle w:val="Prrafodelista"/>
        <w:spacing w:line="240" w:lineRule="auto"/>
        <w:ind w:left="1134" w:right="357"/>
        <w:jc w:val="both"/>
        <w:rPr>
          <w:rFonts w:ascii="Verdana" w:eastAsia="Calibri" w:hAnsi="Verdana" w:cs="Arial"/>
          <w:color w:val="000000"/>
          <w:sz w:val="20"/>
          <w:szCs w:val="20"/>
          <w:lang w:val="es-ES_tradnl" w:eastAsia="es-ES_tradnl"/>
        </w:rPr>
      </w:pPr>
      <w:r w:rsidRPr="00C861EF">
        <w:rPr>
          <w:rFonts w:ascii="Verdana" w:eastAsia="Calibri" w:hAnsi="Verdana" w:cs="Arial"/>
          <w:color w:val="000000"/>
          <w:sz w:val="20"/>
          <w:szCs w:val="20"/>
          <w:lang w:val="es-ES_tradnl" w:eastAsia="es-ES_tradnl"/>
        </w:rPr>
        <w:t xml:space="preserve">“Artículo 5°. De la selección objetiva. </w:t>
      </w:r>
    </w:p>
    <w:p w14:paraId="23CB1DFD" w14:textId="77777777" w:rsidR="005B6E53" w:rsidRPr="00C861EF" w:rsidRDefault="005B6E53" w:rsidP="005B6E53">
      <w:pPr>
        <w:pStyle w:val="Prrafodelista"/>
        <w:spacing w:line="240" w:lineRule="auto"/>
        <w:ind w:left="1134" w:right="357"/>
        <w:jc w:val="both"/>
        <w:rPr>
          <w:rFonts w:ascii="Verdana" w:eastAsia="Calibri" w:hAnsi="Verdana" w:cs="Arial"/>
          <w:color w:val="000000"/>
          <w:sz w:val="20"/>
          <w:szCs w:val="20"/>
          <w:lang w:val="es-ES_tradnl" w:eastAsia="es-ES_tradnl"/>
        </w:rPr>
      </w:pPr>
      <w:r w:rsidRPr="00C861EF">
        <w:rPr>
          <w:rFonts w:ascii="Verdana" w:eastAsia="Calibri" w:hAnsi="Verdana" w:cs="Arial"/>
          <w:color w:val="000000"/>
          <w:sz w:val="20"/>
          <w:szCs w:val="20"/>
          <w:lang w:val="es-ES_tradnl" w:eastAsia="es-ES_tradnl"/>
        </w:rPr>
        <w:t xml:space="preserve">[...] </w:t>
      </w:r>
    </w:p>
    <w:p w14:paraId="424A421C" w14:textId="77777777" w:rsidR="005B6E53" w:rsidRPr="00C861EF" w:rsidRDefault="005B6E53" w:rsidP="005B6E53">
      <w:pPr>
        <w:pStyle w:val="Prrafodelista"/>
        <w:spacing w:line="240" w:lineRule="auto"/>
        <w:ind w:left="1134" w:right="357"/>
        <w:jc w:val="both"/>
        <w:rPr>
          <w:rFonts w:ascii="Verdana" w:eastAsia="Calibri" w:hAnsi="Verdana" w:cs="Arial"/>
          <w:color w:val="000000"/>
          <w:sz w:val="20"/>
          <w:szCs w:val="20"/>
          <w:lang w:eastAsia="es-ES"/>
        </w:rPr>
      </w:pPr>
      <w:r w:rsidRPr="7464E62E">
        <w:rPr>
          <w:rFonts w:ascii="Verdana" w:eastAsia="Calibri" w:hAnsi="Verdana" w:cs="Arial"/>
          <w:color w:val="000000" w:themeColor="text1"/>
          <w:sz w:val="20"/>
          <w:szCs w:val="20"/>
          <w:lang w:eastAsia="es-ES"/>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7464E62E">
        <w:rPr>
          <w:rFonts w:ascii="Verdana" w:eastAsia="Calibri" w:hAnsi="Verdana" w:cs="Arial"/>
          <w:color w:val="000000" w:themeColor="text1"/>
          <w:sz w:val="20"/>
          <w:szCs w:val="20"/>
          <w:lang w:eastAsia="es-ES"/>
        </w:rPr>
        <w:t>puntaje,</w:t>
      </w:r>
      <w:proofErr w:type="gramEnd"/>
      <w:r w:rsidRPr="7464E62E">
        <w:rPr>
          <w:rFonts w:ascii="Verdana" w:eastAsia="Calibri" w:hAnsi="Verdana" w:cs="Arial"/>
          <w:color w:val="000000" w:themeColor="text1"/>
          <w:sz w:val="20"/>
          <w:szCs w:val="20"/>
          <w:lang w:eastAsia="es-ES"/>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w:t>
      </w:r>
    </w:p>
    <w:p w14:paraId="35D705C9" w14:textId="77777777" w:rsidR="005B6E53" w:rsidRPr="00C861EF" w:rsidRDefault="005B6E53" w:rsidP="005B6E53">
      <w:pPr>
        <w:pStyle w:val="Prrafodelista"/>
        <w:spacing w:line="276" w:lineRule="auto"/>
        <w:ind w:right="709"/>
        <w:jc w:val="both"/>
        <w:rPr>
          <w:rFonts w:ascii="Verdana" w:hAnsi="Verdana"/>
        </w:rPr>
      </w:pPr>
    </w:p>
    <w:p w14:paraId="1505D327" w14:textId="77777777" w:rsidR="005B6E53" w:rsidRPr="00C861EF" w:rsidRDefault="005B6E53" w:rsidP="005B6E53">
      <w:pPr>
        <w:pStyle w:val="Prrafodelista"/>
        <w:numPr>
          <w:ilvl w:val="0"/>
          <w:numId w:val="25"/>
        </w:numPr>
        <w:spacing w:line="276" w:lineRule="auto"/>
        <w:jc w:val="both"/>
        <w:rPr>
          <w:rFonts w:ascii="Verdana" w:eastAsia="Arial" w:hAnsi="Verdana" w:cs="Arial"/>
          <w:color w:val="000000"/>
          <w:lang w:eastAsia="es-MX"/>
        </w:rPr>
      </w:pPr>
      <w:r w:rsidRPr="00C861EF">
        <w:rPr>
          <w:rFonts w:ascii="Verdana" w:eastAsia="Calibri" w:hAnsi="Verdana" w:cs="Arial"/>
          <w:color w:val="000000"/>
          <w:lang w:val="es-ES_tradnl" w:eastAsia="es-ES_tradnl"/>
        </w:rPr>
        <w:t>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tres aspectos que se analizarán a continuación</w:t>
      </w:r>
      <w:r w:rsidRPr="00C861EF">
        <w:rPr>
          <w:rFonts w:ascii="Verdana" w:eastAsia="Arial" w:hAnsi="Verdana"/>
          <w:vertAlign w:val="superscript"/>
          <w:lang w:eastAsia="es-MX"/>
        </w:rPr>
        <w:footnoteReference w:id="7"/>
      </w:r>
      <w:r w:rsidRPr="00C861EF">
        <w:rPr>
          <w:rFonts w:ascii="Verdana" w:eastAsia="Arial" w:hAnsi="Verdana" w:cs="Arial"/>
          <w:color w:val="000000"/>
          <w:lang w:eastAsia="es-MX"/>
        </w:rPr>
        <w:t xml:space="preserve">. </w:t>
      </w:r>
    </w:p>
    <w:p w14:paraId="1B823E8F" w14:textId="77777777" w:rsidR="005B6E53" w:rsidRPr="00C861EF" w:rsidRDefault="005B6E53" w:rsidP="005B6E53">
      <w:pPr>
        <w:pStyle w:val="Prrafodelista"/>
        <w:numPr>
          <w:ilvl w:val="0"/>
          <w:numId w:val="25"/>
        </w:numPr>
        <w:spacing w:line="276" w:lineRule="auto"/>
        <w:jc w:val="both"/>
        <w:rPr>
          <w:rFonts w:ascii="Verdana" w:eastAsia="Arial" w:hAnsi="Verdana" w:cs="Arial"/>
          <w:color w:val="000000"/>
          <w:lang w:eastAsia="es-MX"/>
        </w:rPr>
      </w:pPr>
      <w:r w:rsidRPr="00C861EF">
        <w:rPr>
          <w:rFonts w:ascii="Verdana" w:eastAsia="Arial" w:hAnsi="Verdana" w:cs="Arial"/>
          <w:color w:val="000000"/>
          <w:lang w:eastAsia="es-MX"/>
        </w:rPr>
        <w:lastRenderedPageBreak/>
        <w:t xml:space="preserve">Por un lado, el </w:t>
      </w:r>
      <w:r w:rsidRPr="00C861EF">
        <w:rPr>
          <w:rFonts w:ascii="Verdana" w:eastAsia="Arial" w:hAnsi="Verdana" w:cs="Arial"/>
          <w:i/>
          <w:iCs/>
          <w:color w:val="000000"/>
          <w:lang w:eastAsia="es-MX"/>
        </w:rPr>
        <w:t>primero</w:t>
      </w:r>
      <w:r w:rsidRPr="00C861EF">
        <w:rPr>
          <w:rFonts w:ascii="Verdana" w:eastAsia="Arial" w:hAnsi="Verdana" w:cs="Arial"/>
          <w:color w:val="000000"/>
          <w:lang w:eastAsia="es-MX"/>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 en este último los documentos o requisitos subsanables deben solicitarse, como límite final, hasta el momento previo a su realización</w:t>
      </w:r>
      <w:r w:rsidRPr="00C861EF">
        <w:rPr>
          <w:rFonts w:ascii="Verdana" w:hAnsi="Verdana"/>
          <w:vertAlign w:val="superscript"/>
          <w:lang w:eastAsia="es-MX"/>
        </w:rPr>
        <w:footnoteReference w:id="8"/>
      </w:r>
      <w:r w:rsidRPr="00C861EF">
        <w:rPr>
          <w:rFonts w:ascii="Verdana" w:eastAsia="Arial" w:hAnsi="Verdana" w:cs="Arial"/>
          <w:color w:val="000000"/>
          <w:lang w:eastAsia="es-MX"/>
        </w:rPr>
        <w:t>.</w:t>
      </w:r>
    </w:p>
    <w:p w14:paraId="6EA6C10C" w14:textId="77777777" w:rsidR="005B6E53" w:rsidRPr="00C861EF" w:rsidRDefault="005B6E53" w:rsidP="005B6E53">
      <w:pPr>
        <w:pStyle w:val="Prrafodelista"/>
        <w:numPr>
          <w:ilvl w:val="0"/>
          <w:numId w:val="25"/>
        </w:numPr>
        <w:spacing w:line="276" w:lineRule="auto"/>
        <w:jc w:val="both"/>
        <w:rPr>
          <w:rFonts w:ascii="Verdana" w:eastAsia="Calibri" w:hAnsi="Verdana" w:cs="Arial"/>
          <w:bCs/>
          <w:lang w:val="es-MX" w:eastAsia="es-ES_tradnl"/>
        </w:rPr>
      </w:pPr>
      <w:r w:rsidRPr="00C861EF">
        <w:rPr>
          <w:rFonts w:ascii="Verdana" w:eastAsia="Times New Roman" w:hAnsi="Verdana" w:cs="Arial"/>
          <w:color w:val="000000"/>
          <w:shd w:val="clear" w:color="auto" w:fill="FFFFFF"/>
          <w:lang w:eastAsia="es-MX"/>
        </w:rPr>
        <w:t>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r w:rsidRPr="00C861EF">
        <w:rPr>
          <w:rFonts w:ascii="Verdana" w:eastAsia="Calibri" w:hAnsi="Verdana" w:cs="Arial"/>
          <w:bCs/>
          <w:lang w:val="es-MX" w:eastAsia="es-ES_tradnl"/>
        </w:rPr>
        <w:t>En efecto, la redacción de la norma permite que la Administración solicite a los oferentes subsanar y que estos lo hagan hasta antes del término del traslado del informe de evaluación: “deberán ser solicitados por las entidades estatales y deberán ser entregados por los proponentes hasta el término de traslado del informe de evaluación que corresponda a cada modalidad de selección”.</w:t>
      </w:r>
    </w:p>
    <w:p w14:paraId="0E48E60B" w14:textId="77777777" w:rsidR="005B6E53" w:rsidRPr="00C861EF" w:rsidRDefault="005B6E53" w:rsidP="005B6E53">
      <w:pPr>
        <w:pStyle w:val="Prrafodelista"/>
        <w:numPr>
          <w:ilvl w:val="0"/>
          <w:numId w:val="25"/>
        </w:numPr>
        <w:spacing w:line="276" w:lineRule="auto"/>
        <w:jc w:val="both"/>
        <w:rPr>
          <w:rFonts w:ascii="Verdana" w:eastAsia="Times New Roman" w:hAnsi="Verdana" w:cs="Arial"/>
          <w:lang w:val="es-ES_tradnl" w:eastAsia="es-ES_tradnl"/>
        </w:rPr>
      </w:pPr>
      <w:r w:rsidRPr="00C861EF">
        <w:rPr>
          <w:rFonts w:ascii="Verdana" w:eastAsia="Times New Roman" w:hAnsi="Verdana" w:cs="Arial"/>
          <w:lang w:val="es-ES_tradnl" w:eastAsia="es-ES_tradnl"/>
        </w:rPr>
        <w:t xml:space="preserve">No obstante, de la lectura de este aparte podrían, en la práctica, darse dos interpretaciones que dan lugar a dos formas de proceder en los procesos de selección, en lo que a la subsanabilidad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w:t>
      </w:r>
      <w:r w:rsidRPr="00C861EF">
        <w:rPr>
          <w:rFonts w:ascii="Verdana" w:eastAsia="Times New Roman" w:hAnsi="Verdana" w:cs="Arial"/>
          <w:i/>
          <w:iCs/>
          <w:lang w:val="es-ES_tradnl" w:eastAsia="es-ES_tradnl"/>
        </w:rPr>
        <w:t>límite</w:t>
      </w:r>
      <w:r w:rsidRPr="00C861EF">
        <w:rPr>
          <w:rFonts w:ascii="Verdana" w:eastAsia="Times New Roman" w:hAnsi="Verdana" w:cs="Arial"/>
          <w:lang w:val="es-ES_tradnl" w:eastAsia="es-ES_tradnl"/>
        </w:rPr>
        <w:t xml:space="preserve"> para la subsanación de ofertas, pero no el único momento para hacerlo. </w:t>
      </w:r>
    </w:p>
    <w:p w14:paraId="1DADF111" w14:textId="77777777" w:rsidR="005B6E53" w:rsidRPr="00C861EF" w:rsidRDefault="005B6E53" w:rsidP="005B6E53">
      <w:pPr>
        <w:pStyle w:val="Prrafodelista"/>
        <w:numPr>
          <w:ilvl w:val="0"/>
          <w:numId w:val="25"/>
        </w:numPr>
        <w:spacing w:line="276" w:lineRule="auto"/>
        <w:jc w:val="both"/>
        <w:rPr>
          <w:rFonts w:ascii="Verdana" w:eastAsia="Times New Roman" w:hAnsi="Verdana" w:cs="Arial"/>
          <w:lang w:val="es-ES_tradnl" w:eastAsia="es-ES_tradnl"/>
        </w:rPr>
      </w:pPr>
      <w:r w:rsidRPr="00C861EF">
        <w:rPr>
          <w:rFonts w:ascii="Verdana" w:eastAsia="Times New Roman" w:hAnsi="Verdana" w:cs="Arial"/>
          <w:lang w:val="es-ES_tradnl" w:eastAsia="es-ES_tradnl"/>
        </w:rPr>
        <w:t xml:space="preserve">De acuerdo con la primera interpretación, el informe de evaluación se convierte en la oportunidad que adopta la Administración para decirles a los oferentes qué documentos o requisitos omitieron y deben subsanar y, consecuentemente, el término del traslado es la oportunidad del proponente para cumplir con lo solicitado.  </w:t>
      </w:r>
    </w:p>
    <w:p w14:paraId="3505CE13" w14:textId="77777777" w:rsidR="005B6E53" w:rsidRPr="00C861EF" w:rsidRDefault="005B6E53" w:rsidP="005B6E53">
      <w:pPr>
        <w:pStyle w:val="Prrafodelista"/>
        <w:numPr>
          <w:ilvl w:val="0"/>
          <w:numId w:val="25"/>
        </w:numPr>
        <w:spacing w:line="276" w:lineRule="auto"/>
        <w:jc w:val="both"/>
        <w:rPr>
          <w:rFonts w:ascii="Verdana" w:eastAsia="Times New Roman" w:hAnsi="Verdana" w:cs="Arial"/>
          <w:lang w:val="es-ES_tradnl" w:eastAsia="es-ES_tradnl"/>
        </w:rPr>
      </w:pPr>
      <w:r w:rsidRPr="00C861EF">
        <w:rPr>
          <w:rFonts w:ascii="Verdana" w:eastAsia="Times New Roman" w:hAnsi="Verdana" w:cs="Arial"/>
          <w:lang w:val="es-ES_tradnl" w:eastAsia="es-ES_tradnl"/>
        </w:rPr>
        <w:lastRenderedPageBreak/>
        <w:t>La segunda interpretación permitiría que la Administración requiera al oferente durante el proceso de evaluación de las propuestas, tan pronto advierta que hace falta un documento o requisito que se puede subsanar. En este caso, el proceso de subsanación se podría realizar con anterioridad a la publicación del informe de evaluación, de manera que, una vez se publique el informe ya se encuentren subsanadas las propuestas, sin perjuicio del término límite que concedió la ley.</w:t>
      </w:r>
    </w:p>
    <w:p w14:paraId="3ABF91E2" w14:textId="77777777" w:rsidR="005B6E53" w:rsidRPr="00C861EF" w:rsidRDefault="005B6E53" w:rsidP="005B6E53">
      <w:pPr>
        <w:pStyle w:val="Prrafodelista"/>
        <w:numPr>
          <w:ilvl w:val="0"/>
          <w:numId w:val="25"/>
        </w:numPr>
        <w:spacing w:line="276" w:lineRule="auto"/>
        <w:jc w:val="both"/>
        <w:rPr>
          <w:rFonts w:ascii="Verdana" w:eastAsia="Times New Roman" w:hAnsi="Verdana" w:cs="Arial"/>
          <w:lang w:val="es-ES_tradnl" w:eastAsia="es-ES_tradnl"/>
        </w:rPr>
      </w:pPr>
      <w:r w:rsidRPr="00C861EF">
        <w:rPr>
          <w:rFonts w:ascii="Verdana" w:eastAsia="Times New Roman" w:hAnsi="Verdana" w:cs="Arial"/>
          <w:lang w:val="es-ES_tradnl" w:eastAsia="es-ES_tradnl"/>
        </w:rPr>
        <w:t xml:space="preserve">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w:t>
      </w:r>
    </w:p>
    <w:p w14:paraId="624C62EA" w14:textId="77777777" w:rsidR="005B6E53" w:rsidRPr="00C861EF" w:rsidRDefault="005B6E53" w:rsidP="005B6E53">
      <w:pPr>
        <w:pStyle w:val="Prrafodelista"/>
        <w:numPr>
          <w:ilvl w:val="0"/>
          <w:numId w:val="25"/>
        </w:numPr>
        <w:spacing w:line="276" w:lineRule="auto"/>
        <w:jc w:val="both"/>
        <w:rPr>
          <w:rFonts w:ascii="Verdana" w:eastAsia="Times New Roman" w:hAnsi="Verdana" w:cs="Arial"/>
          <w:lang w:eastAsia="es-ES"/>
        </w:rPr>
      </w:pPr>
      <w:r w:rsidRPr="7464E62E">
        <w:rPr>
          <w:rFonts w:ascii="Verdana" w:eastAsia="Times New Roman" w:hAnsi="Verdana" w:cs="Arial"/>
          <w:lang w:eastAsia="es-ES"/>
        </w:rPr>
        <w:t>Lo anterior, se aclara, sin desconocer el límite que establece la norma para que los oferentes, sin perjuicio de que lo hagan antes, cuenten hasta el término de traslado del informe de evaluación con la posibilidad de presentar la información solicitada.</w:t>
      </w:r>
    </w:p>
    <w:p w14:paraId="277BA6B7" w14:textId="77777777" w:rsidR="005B6E53" w:rsidRPr="00C861EF" w:rsidRDefault="005B6E53" w:rsidP="005B6E53">
      <w:pPr>
        <w:pStyle w:val="Prrafodelista"/>
        <w:numPr>
          <w:ilvl w:val="0"/>
          <w:numId w:val="25"/>
        </w:numPr>
        <w:spacing w:line="276" w:lineRule="auto"/>
        <w:jc w:val="both"/>
        <w:rPr>
          <w:rFonts w:ascii="Verdana" w:eastAsia="Calibri" w:hAnsi="Verdana" w:cs="Arial"/>
          <w:color w:val="000000"/>
          <w:lang w:eastAsia="es-MX"/>
        </w:rPr>
      </w:pPr>
      <w:r w:rsidRPr="00C861EF">
        <w:rPr>
          <w:rFonts w:ascii="Verdana" w:eastAsia="Arial" w:hAnsi="Verdana" w:cs="Arial"/>
          <w:color w:val="000000"/>
          <w:lang w:eastAsia="es-MX"/>
        </w:rPr>
        <w:t xml:space="preserve">Por otro lado, el </w:t>
      </w:r>
      <w:r w:rsidRPr="00C861EF">
        <w:rPr>
          <w:rFonts w:ascii="Verdana" w:eastAsia="Arial" w:hAnsi="Verdana" w:cs="Arial"/>
          <w:i/>
          <w:iCs/>
          <w:color w:val="000000"/>
          <w:lang w:eastAsia="es-MX"/>
        </w:rPr>
        <w:t>segundo</w:t>
      </w:r>
      <w:r w:rsidRPr="00C861EF">
        <w:rPr>
          <w:rFonts w:ascii="Verdana" w:eastAsia="Arial" w:hAnsi="Verdana" w:cs="Arial"/>
          <w:color w:val="000000"/>
          <w:lang w:eastAsia="es-MX"/>
        </w:rPr>
        <w:t xml:space="preserve"> cambio importante de la Ley 1882 de 2018 </w:t>
      </w:r>
      <w:r w:rsidRPr="00C861EF">
        <w:rPr>
          <w:rFonts w:ascii="Verdana" w:eastAsia="Calibri" w:hAnsi="Verdana" w:cs="Arial"/>
          <w:color w:val="000000"/>
          <w:lang w:eastAsia="es-MX"/>
        </w:rPr>
        <w:t>es el correspondiente a la garantía de seriedad, a la cual hace referencia en su consulta. El parágrafo 3 del artículo 5 de la Ley 1150 de 2007, adicionado por el artículo 5 de la Ley 1882 de 2018 dispone que la falta de entrega de la garantía de seriedad es insubsanable. Al respecto, la norma prescribe lo siguiente: “Parágrafo 3o. La no entrega de la garantía de seriedad junto con la propuesta no será subsanable y será causal de rechazo de la misma”.</w:t>
      </w:r>
    </w:p>
    <w:p w14:paraId="4DB7900C" w14:textId="77777777" w:rsidR="005B6E53" w:rsidRPr="00C861EF" w:rsidRDefault="005B6E53" w:rsidP="005B6E53">
      <w:pPr>
        <w:pStyle w:val="Prrafodelista"/>
        <w:numPr>
          <w:ilvl w:val="0"/>
          <w:numId w:val="25"/>
        </w:numPr>
        <w:spacing w:line="276" w:lineRule="auto"/>
        <w:jc w:val="both"/>
        <w:rPr>
          <w:rFonts w:ascii="Verdana" w:eastAsia="Times New Roman" w:hAnsi="Verdana" w:cs="Arial"/>
          <w:bdr w:val="none" w:sz="0" w:space="0" w:color="auto" w:frame="1"/>
          <w:lang w:val="es-ES_tradnl" w:eastAsia="es-MX"/>
        </w:rPr>
      </w:pPr>
      <w:r w:rsidRPr="00C861EF">
        <w:rPr>
          <w:rFonts w:ascii="Verdana" w:eastAsia="Arial" w:hAnsi="Verdana" w:cs="Arial"/>
          <w:color w:val="000000"/>
          <w:lang w:eastAsia="es-MX"/>
        </w:rPr>
        <w:t xml:space="preserve">Finalmente, el </w:t>
      </w:r>
      <w:r w:rsidRPr="00C861EF">
        <w:rPr>
          <w:rFonts w:ascii="Verdana" w:eastAsia="Arial" w:hAnsi="Verdana" w:cs="Arial"/>
          <w:i/>
          <w:iCs/>
          <w:color w:val="000000"/>
          <w:lang w:eastAsia="es-MX"/>
        </w:rPr>
        <w:t>último</w:t>
      </w:r>
      <w:r w:rsidRPr="00C861EF">
        <w:rPr>
          <w:rFonts w:ascii="Verdana" w:eastAsia="Arial" w:hAnsi="Verdana" w:cs="Arial"/>
          <w:color w:val="000000"/>
          <w:lang w:eastAsia="es-MX"/>
        </w:rPr>
        <w:t xml:space="preserve"> cambio de la Ley 1882 de 2018 fue la introducción de un criterio material, directamente relacionado con los aspectos subsanables: “los proponentes no podrán acreditar circunstancias ocurridas con posterioridad al cierre del proceso”</w:t>
      </w:r>
      <w:r w:rsidRPr="00C861EF">
        <w:rPr>
          <w:rFonts w:ascii="Verdana" w:eastAsia="Arial" w:hAnsi="Verdana" w:cs="Arial"/>
          <w:b/>
          <w:bCs/>
          <w:color w:val="000000"/>
          <w:lang w:eastAsia="es-MX"/>
        </w:rPr>
        <w:t>.</w:t>
      </w:r>
      <w:r w:rsidRPr="00C861EF">
        <w:rPr>
          <w:rFonts w:ascii="Verdana" w:eastAsia="Times New Roman" w:hAnsi="Verdana" w:cs="Arial"/>
          <w:bdr w:val="none" w:sz="0" w:space="0" w:color="auto" w:frame="1"/>
          <w:lang w:val="es-ES_tradnl" w:eastAsia="es-MX"/>
        </w:rPr>
        <w:t xml:space="preserve"> Esta regla tiene una finalidad particular y es que, al momento de presentar la oferta, el proponente la deberá hacerlo de forma íntegra y así evitar que a lo largo del procedimiento contractual complete o adicione su propuesta, conforme mejora su situación particular. En términos del Consejo de Estado:</w:t>
      </w:r>
    </w:p>
    <w:p w14:paraId="161E06D6" w14:textId="77777777" w:rsidR="005B6E53" w:rsidRPr="00C861EF" w:rsidRDefault="005B6E53" w:rsidP="005B6E53">
      <w:pPr>
        <w:pStyle w:val="Prrafodelista"/>
        <w:tabs>
          <w:tab w:val="left" w:pos="426"/>
        </w:tabs>
        <w:spacing w:line="276" w:lineRule="auto"/>
        <w:ind w:right="709"/>
        <w:jc w:val="both"/>
        <w:rPr>
          <w:rFonts w:ascii="Verdana" w:eastAsia="Arial" w:hAnsi="Verdana" w:cs="Arial"/>
          <w:color w:val="000000"/>
          <w:sz w:val="20"/>
          <w:szCs w:val="20"/>
          <w:lang w:eastAsia="es-MX"/>
        </w:rPr>
      </w:pPr>
    </w:p>
    <w:p w14:paraId="18F8F77E" w14:textId="77777777" w:rsidR="005B6E53" w:rsidRDefault="005B6E53" w:rsidP="005B6E53">
      <w:pPr>
        <w:pStyle w:val="Prrafodelista"/>
        <w:tabs>
          <w:tab w:val="left" w:pos="426"/>
        </w:tabs>
        <w:spacing w:line="276" w:lineRule="auto"/>
        <w:ind w:left="1134" w:right="357"/>
        <w:jc w:val="both"/>
        <w:rPr>
          <w:rFonts w:ascii="Verdana" w:eastAsia="Arial" w:hAnsi="Verdana" w:cs="Arial"/>
          <w:color w:val="000000"/>
          <w:sz w:val="20"/>
          <w:szCs w:val="20"/>
          <w:lang w:eastAsia="es-MX"/>
        </w:rPr>
      </w:pPr>
      <w:r w:rsidRPr="00C861EF">
        <w:rPr>
          <w:rFonts w:ascii="Verdana" w:eastAsia="Arial" w:hAnsi="Verdana" w:cs="Arial"/>
          <w:color w:val="000000"/>
          <w:sz w:val="20"/>
          <w:szCs w:val="20"/>
          <w:lang w:eastAsia="es-MX"/>
        </w:rPr>
        <w:t>“[…] no es posible que el oferente vaya mejorando, completando, adicionando, modificando o estructurando su propuesta a lo largo del proceso contractual según vaya evolucionando su situación particular en el mismo, pues como se establece en el numeral 6º del artículo 30 de la Ley 80 de 1993, “las propuestas deben referirse y sujetarse a todos y cada uno de los puntos contenidos en el pliego de condiciones”, es decir, todos los elementos del negocio jurídico exigidos en los pliegos de condiciones. Dicho de otra forma, el oferente tiene la carga de presentar su oferta en forma íntegra, esto es, respondiendo todos los puntos del pliego de condiciones y adjuntando todos los documentos de soporte o prueba de las condiciones habilitantes y de los elementos de su oferta, de manera que la entidad licitante pueda, con economía de medios, evaluarla lo más eficientemente posible, y sólo si hace falta algún requisito o un documento, la administración puede requerirlo del oferente”.</w:t>
      </w:r>
      <w:r w:rsidRPr="00C861EF">
        <w:rPr>
          <w:rFonts w:ascii="Verdana" w:hAnsi="Verdana"/>
          <w:vertAlign w:val="superscript"/>
          <w:lang w:eastAsia="es-MX"/>
        </w:rPr>
        <w:footnoteReference w:id="9"/>
      </w:r>
    </w:p>
    <w:p w14:paraId="223B55A5" w14:textId="77777777" w:rsidR="005B6E53" w:rsidRDefault="005B6E53" w:rsidP="005B6E53">
      <w:pPr>
        <w:pStyle w:val="Prrafodelista"/>
        <w:tabs>
          <w:tab w:val="left" w:pos="426"/>
        </w:tabs>
        <w:spacing w:line="276" w:lineRule="auto"/>
        <w:ind w:left="1134" w:right="357"/>
        <w:jc w:val="both"/>
        <w:rPr>
          <w:rFonts w:ascii="Verdana" w:eastAsia="Arial" w:hAnsi="Verdana" w:cs="Arial"/>
          <w:color w:val="000000"/>
          <w:sz w:val="20"/>
          <w:szCs w:val="20"/>
          <w:lang w:eastAsia="es-MX"/>
        </w:rPr>
      </w:pPr>
    </w:p>
    <w:p w14:paraId="59516F9C" w14:textId="77777777" w:rsidR="005B6E53" w:rsidRPr="0004483A" w:rsidRDefault="005B6E53" w:rsidP="005B6E53">
      <w:pPr>
        <w:pStyle w:val="Prrafodelista"/>
        <w:numPr>
          <w:ilvl w:val="0"/>
          <w:numId w:val="29"/>
        </w:numPr>
        <w:spacing w:after="0" w:line="276" w:lineRule="auto"/>
        <w:jc w:val="both"/>
        <w:rPr>
          <w:rFonts w:ascii="Verdana" w:hAnsi="Verdana"/>
          <w:b/>
          <w:bCs/>
        </w:rPr>
      </w:pPr>
      <w:r w:rsidRPr="006F004F">
        <w:rPr>
          <w:rFonts w:ascii="Verdana" w:eastAsia="Arial" w:hAnsi="Verdana" w:cs="Arial"/>
          <w:color w:val="000000"/>
          <w:sz w:val="20"/>
          <w:szCs w:val="20"/>
          <w:lang w:eastAsia="es-MX"/>
        </w:rPr>
        <w:t xml:space="preserve">De tal manera que, </w:t>
      </w:r>
      <w:r w:rsidRPr="006F004F">
        <w:rPr>
          <w:rFonts w:ascii="Verdana" w:eastAsia="Calibri" w:hAnsi="Verdana" w:cs="Arial"/>
          <w:color w:val="000000" w:themeColor="text1"/>
        </w:rPr>
        <w:t xml:space="preserve">en lo que respecta al reemplazo de las hojas de vida, debe manifestarse que si la Entidad Estatal dentro del proceso de contratación que adelanta, identifica que es un aspecto susceptible de asignación de puntaje no podrá tenerlo en cuenta al momento de realizar la evaluación de la propuesta. Igualmente, si la Entidad Estatal corrobora que con esta modificación se pretende acreditar un requisito que no se cumplía al momento de presentar la oferta, tampoco podrá tenerla en cuenta, esto, en razón a que lo que permite la norma en mención es la subsanación de aspectos formales de oferta más no la oportunidad de </w:t>
      </w:r>
      <w:r w:rsidRPr="0004483A">
        <w:rPr>
          <w:rFonts w:ascii="Verdana" w:eastAsia="Calibri" w:hAnsi="Verdana" w:cs="Arial"/>
          <w:lang w:val="es-ES_tradnl"/>
        </w:rPr>
        <w:t>acreditar circunstancias ocurridas con posterioridad al cierre del proceso.</w:t>
      </w:r>
    </w:p>
    <w:p w14:paraId="24339741" w14:textId="77777777" w:rsidR="005B6E53" w:rsidRPr="006F004F" w:rsidRDefault="005B6E53" w:rsidP="005B6E53">
      <w:pPr>
        <w:pStyle w:val="Prrafodelista"/>
        <w:tabs>
          <w:tab w:val="left" w:pos="426"/>
        </w:tabs>
        <w:spacing w:after="0" w:line="240" w:lineRule="auto"/>
        <w:jc w:val="both"/>
        <w:rPr>
          <w:rFonts w:ascii="Verdana" w:eastAsia="Arial" w:hAnsi="Verdana" w:cs="Arial"/>
          <w:color w:val="000000"/>
          <w:sz w:val="20"/>
          <w:szCs w:val="20"/>
          <w:lang w:eastAsia="es-MX"/>
        </w:rPr>
      </w:pPr>
    </w:p>
    <w:p w14:paraId="6A3E5B72" w14:textId="77777777" w:rsidR="005B6E53" w:rsidRPr="003660AB" w:rsidRDefault="005B6E53" w:rsidP="005B6E53">
      <w:pPr>
        <w:pStyle w:val="Prrafodelista"/>
        <w:numPr>
          <w:ilvl w:val="0"/>
          <w:numId w:val="29"/>
        </w:numPr>
        <w:tabs>
          <w:tab w:val="left" w:pos="426"/>
        </w:tabs>
        <w:spacing w:after="0" w:line="240" w:lineRule="auto"/>
        <w:jc w:val="both"/>
        <w:rPr>
          <w:rFonts w:ascii="Verdana" w:eastAsia="Arial" w:hAnsi="Verdana" w:cs="Arial"/>
          <w:color w:val="000000"/>
          <w:sz w:val="20"/>
          <w:szCs w:val="20"/>
          <w:lang w:eastAsia="es-MX"/>
        </w:rPr>
      </w:pPr>
      <w:r w:rsidRPr="003660AB">
        <w:rPr>
          <w:rFonts w:ascii="Verdana" w:hAnsi="Verdana" w:cs="Arial"/>
        </w:rPr>
        <w:t xml:space="preserve">Por otra parte, </w:t>
      </w:r>
      <w:r>
        <w:rPr>
          <w:rFonts w:ascii="Verdana" w:hAnsi="Verdana" w:cs="Arial"/>
        </w:rPr>
        <w:t xml:space="preserve">respecto a </w:t>
      </w:r>
      <w:r w:rsidRPr="003660AB">
        <w:rPr>
          <w:rFonts w:ascii="Verdana" w:hAnsi="Verdana" w:cs="Arial"/>
        </w:rPr>
        <w:t>la ficha técnica</w:t>
      </w:r>
      <w:r>
        <w:rPr>
          <w:rFonts w:ascii="Verdana" w:hAnsi="Verdana" w:cs="Arial"/>
        </w:rPr>
        <w:t xml:space="preserve">, el </w:t>
      </w:r>
      <w:r w:rsidRPr="003660AB">
        <w:rPr>
          <w:rFonts w:ascii="Verdana" w:hAnsi="Verdana"/>
        </w:rPr>
        <w:t>artículo 2.2.1.2.1.2.1</w:t>
      </w:r>
      <w:r>
        <w:rPr>
          <w:rFonts w:ascii="Verdana" w:hAnsi="Verdana"/>
        </w:rPr>
        <w:t xml:space="preserve"> del  del </w:t>
      </w:r>
      <w:r w:rsidRPr="003660AB">
        <w:rPr>
          <w:rFonts w:ascii="Verdana" w:hAnsi="Verdana"/>
        </w:rPr>
        <w:t xml:space="preserve">Decreto 1082 de 2015, artículo 2.2.1.2.1.2.1, se remite a señalar que para contratar bienes y servicios de características técnicas uniformes, en el pliego de condiciones se deben indicar las condiciones que deben estar incluidas en la “ficha técnica” para los procesos de selección abreviada para adquirir bienes y servicios de características técnicas uniformes, las cuales son: i) la clasificación del bien o servicio de acuerdo con el Clasificador de Bienes y Servicios; ii) la identificación adicional requerida; </w:t>
      </w:r>
      <w:r w:rsidRPr="003660AB">
        <w:rPr>
          <w:rFonts w:ascii="Verdana" w:hAnsi="Verdana"/>
        </w:rPr>
        <w:lastRenderedPageBreak/>
        <w:t xml:space="preserve">iii) la unidad de medida; </w:t>
      </w:r>
      <w:proofErr w:type="spellStart"/>
      <w:r w:rsidRPr="003660AB">
        <w:rPr>
          <w:rFonts w:ascii="Verdana" w:hAnsi="Verdana"/>
        </w:rPr>
        <w:t>iv</w:t>
      </w:r>
      <w:proofErr w:type="spellEnd"/>
      <w:r w:rsidRPr="003660AB">
        <w:rPr>
          <w:rFonts w:ascii="Verdana" w:hAnsi="Verdana"/>
        </w:rPr>
        <w:t>) la calidad mínima, y v) los patrones de desempeño</w:t>
      </w:r>
      <w:r w:rsidRPr="003660AB">
        <w:rPr>
          <w:rFonts w:ascii="Verdana" w:hAnsi="Verdana"/>
          <w:spacing w:val="-2"/>
        </w:rPr>
        <w:t xml:space="preserve"> </w:t>
      </w:r>
      <w:r w:rsidRPr="003660AB">
        <w:rPr>
          <w:rFonts w:ascii="Verdana" w:hAnsi="Verdana"/>
        </w:rPr>
        <w:t>mínimos</w:t>
      </w:r>
      <w:r w:rsidRPr="00AE2DBA">
        <w:rPr>
          <w:rStyle w:val="Refdenotaalpie"/>
          <w:rFonts w:ascii="Verdana" w:hAnsi="Verdana"/>
        </w:rPr>
        <w:footnoteReference w:id="10"/>
      </w:r>
      <w:r w:rsidRPr="003660AB">
        <w:rPr>
          <w:rFonts w:ascii="Verdana" w:hAnsi="Verdana" w:cs="Arial"/>
        </w:rPr>
        <w:t>.</w:t>
      </w:r>
    </w:p>
    <w:p w14:paraId="75472583" w14:textId="77777777" w:rsidR="005B6E53" w:rsidRPr="00B702F0" w:rsidRDefault="005B6E53" w:rsidP="005B6E53">
      <w:pPr>
        <w:pStyle w:val="Prrafodelista"/>
        <w:numPr>
          <w:ilvl w:val="0"/>
          <w:numId w:val="29"/>
        </w:numPr>
        <w:tabs>
          <w:tab w:val="left" w:pos="426"/>
        </w:tabs>
        <w:spacing w:after="0" w:line="240" w:lineRule="auto"/>
        <w:jc w:val="both"/>
        <w:rPr>
          <w:rFonts w:ascii="Verdana" w:eastAsia="Arial" w:hAnsi="Verdana" w:cs="Arial"/>
          <w:color w:val="000000"/>
          <w:sz w:val="20"/>
          <w:szCs w:val="20"/>
          <w:lang w:eastAsia="es-MX"/>
        </w:rPr>
      </w:pPr>
      <w:r w:rsidRPr="003660AB">
        <w:rPr>
          <w:rFonts w:ascii="Verdana" w:hAnsi="Verdana"/>
        </w:rPr>
        <w:t>El artículo 2.2.1.2.1.2.2, de</w:t>
      </w:r>
      <w:r>
        <w:rPr>
          <w:rFonts w:ascii="Verdana" w:hAnsi="Verdana"/>
        </w:rPr>
        <w:t xml:space="preserve"> la norma ibidem</w:t>
      </w:r>
      <w:r w:rsidRPr="003660AB">
        <w:rPr>
          <w:rFonts w:ascii="Verdana" w:hAnsi="Verdana"/>
        </w:rPr>
        <w:t>, establece que para presentar la oferta en los procesos de selección abreviada para adquirir bienes y servicios de características técnicas uniforme por subasta inversa, el proponente debe indicar si cumple con la ficha técnica, y la entidad debe habilitar al oferente que cumple con esta, pues solo hay subasta inversa cuando se presentan mínimo dos oferentes que cumplan con la ficha técnica; pero si un único proponente cumple, puede adjudicarle el contrato al único oferente si el valor de la oferta es igual o inferior a la disponibilidad presupuestal para el</w:t>
      </w:r>
      <w:r w:rsidRPr="003660AB">
        <w:rPr>
          <w:rFonts w:ascii="Verdana" w:hAnsi="Verdana"/>
          <w:spacing w:val="-1"/>
        </w:rPr>
        <w:t xml:space="preserve"> </w:t>
      </w:r>
      <w:r w:rsidRPr="003660AB">
        <w:rPr>
          <w:rFonts w:ascii="Verdana" w:hAnsi="Verdana"/>
        </w:rPr>
        <w:t>contrato.</w:t>
      </w:r>
    </w:p>
    <w:p w14:paraId="45771185" w14:textId="77777777" w:rsidR="005B6E53" w:rsidRPr="003660AB" w:rsidRDefault="005B6E53" w:rsidP="005B6E53">
      <w:pPr>
        <w:pStyle w:val="Prrafodelista"/>
        <w:tabs>
          <w:tab w:val="left" w:pos="426"/>
        </w:tabs>
        <w:spacing w:after="0" w:line="240" w:lineRule="auto"/>
        <w:ind w:left="0"/>
        <w:jc w:val="both"/>
        <w:rPr>
          <w:rFonts w:ascii="Verdana" w:eastAsia="Arial" w:hAnsi="Verdana" w:cs="Arial"/>
          <w:color w:val="000000"/>
          <w:sz w:val="20"/>
          <w:szCs w:val="20"/>
          <w:lang w:eastAsia="es-MX"/>
        </w:rPr>
      </w:pPr>
    </w:p>
    <w:p w14:paraId="03E7E9C5" w14:textId="77777777" w:rsidR="005B6E53" w:rsidRPr="00E95433" w:rsidRDefault="005B6E53" w:rsidP="005B6E53">
      <w:pPr>
        <w:spacing w:after="0" w:line="240" w:lineRule="auto"/>
        <w:ind w:left="709" w:right="709"/>
        <w:jc w:val="both"/>
        <w:rPr>
          <w:rFonts w:ascii="Verdana" w:hAnsi="Verdana"/>
          <w:i/>
          <w:iCs/>
          <w:sz w:val="21"/>
        </w:rPr>
      </w:pPr>
      <w:r w:rsidRPr="00E95433">
        <w:rPr>
          <w:rFonts w:ascii="Verdana" w:hAnsi="Verdana"/>
          <w:i/>
          <w:iCs/>
          <w:sz w:val="21"/>
        </w:rPr>
        <w:t>“[…] Artículo 2.2.1.2.1.2.2. Procedimiento para la subasta inversa. Además de las reglas generales previstas en la ley y en el presente título, las siguientes reglas son aplicables a la subasta inversa:</w:t>
      </w:r>
    </w:p>
    <w:p w14:paraId="72FFE4DC" w14:textId="77777777" w:rsidR="005B6E53" w:rsidRPr="00E95433" w:rsidRDefault="005B6E53" w:rsidP="005B6E53">
      <w:pPr>
        <w:pStyle w:val="Textoindependiente"/>
        <w:spacing w:after="0" w:line="240" w:lineRule="auto"/>
        <w:ind w:left="709" w:right="709"/>
        <w:jc w:val="both"/>
        <w:rPr>
          <w:rFonts w:ascii="Verdana" w:hAnsi="Verdana"/>
          <w:i/>
          <w:iCs/>
          <w:sz w:val="20"/>
        </w:rPr>
      </w:pPr>
    </w:p>
    <w:p w14:paraId="5DFBB1E6" w14:textId="77777777" w:rsidR="005B6E53" w:rsidRPr="00E95433" w:rsidRDefault="005B6E53" w:rsidP="005B6E53">
      <w:pPr>
        <w:pStyle w:val="Prrafodelista"/>
        <w:widowControl w:val="0"/>
        <w:numPr>
          <w:ilvl w:val="2"/>
          <w:numId w:val="19"/>
        </w:numPr>
        <w:tabs>
          <w:tab w:val="left" w:pos="1283"/>
        </w:tabs>
        <w:autoSpaceDE w:val="0"/>
        <w:autoSpaceDN w:val="0"/>
        <w:spacing w:after="0" w:line="240" w:lineRule="auto"/>
        <w:ind w:left="709" w:right="709" w:firstLine="0"/>
        <w:contextualSpacing w:val="0"/>
        <w:jc w:val="both"/>
        <w:rPr>
          <w:rFonts w:ascii="Verdana" w:hAnsi="Verdana"/>
          <w:i/>
          <w:iCs/>
          <w:sz w:val="21"/>
        </w:rPr>
      </w:pPr>
      <w:r w:rsidRPr="00E95433">
        <w:rPr>
          <w:rFonts w:ascii="Verdana" w:hAnsi="Verdana"/>
          <w:i/>
          <w:iCs/>
          <w:sz w:val="21"/>
        </w:rPr>
        <w:t>Los pliegos de condiciones deben indicar: a) la fecha y hora de inicio de la subasta; b) la periodicidad de los Lances; y c) el Margen Mínimo para mejorar la oferta durante la subasta</w:t>
      </w:r>
      <w:r w:rsidRPr="00E95433">
        <w:rPr>
          <w:rFonts w:ascii="Verdana" w:hAnsi="Verdana"/>
          <w:i/>
          <w:iCs/>
          <w:spacing w:val="-5"/>
          <w:sz w:val="21"/>
        </w:rPr>
        <w:t xml:space="preserve"> </w:t>
      </w:r>
      <w:r w:rsidRPr="00E95433">
        <w:rPr>
          <w:rFonts w:ascii="Verdana" w:hAnsi="Verdana"/>
          <w:i/>
          <w:iCs/>
          <w:sz w:val="21"/>
        </w:rPr>
        <w:t>inversa.</w:t>
      </w:r>
    </w:p>
    <w:p w14:paraId="1BE4A6A3" w14:textId="77777777" w:rsidR="005B6E53" w:rsidRPr="00E95433" w:rsidRDefault="005B6E53" w:rsidP="005B6E53">
      <w:pPr>
        <w:pStyle w:val="Textoindependiente"/>
        <w:spacing w:after="0" w:line="240" w:lineRule="auto"/>
        <w:ind w:left="709" w:right="709"/>
        <w:jc w:val="both"/>
        <w:rPr>
          <w:rFonts w:ascii="Verdana" w:hAnsi="Verdana"/>
          <w:i/>
          <w:iCs/>
          <w:sz w:val="20"/>
        </w:rPr>
      </w:pPr>
    </w:p>
    <w:p w14:paraId="2DD98C24" w14:textId="77777777" w:rsidR="005B6E53" w:rsidRPr="00E95433" w:rsidRDefault="005B6E53" w:rsidP="005B6E53">
      <w:pPr>
        <w:pStyle w:val="Prrafodelista"/>
        <w:widowControl w:val="0"/>
        <w:numPr>
          <w:ilvl w:val="2"/>
          <w:numId w:val="19"/>
        </w:numPr>
        <w:tabs>
          <w:tab w:val="left" w:pos="1258"/>
        </w:tabs>
        <w:autoSpaceDE w:val="0"/>
        <w:autoSpaceDN w:val="0"/>
        <w:spacing w:after="0" w:line="240" w:lineRule="auto"/>
        <w:ind w:left="709" w:right="709" w:firstLine="0"/>
        <w:contextualSpacing w:val="0"/>
        <w:jc w:val="both"/>
        <w:rPr>
          <w:rFonts w:ascii="Verdana" w:hAnsi="Verdana"/>
          <w:i/>
          <w:iCs/>
          <w:sz w:val="21"/>
        </w:rPr>
      </w:pPr>
      <w:r w:rsidRPr="00E95433">
        <w:rPr>
          <w:rFonts w:ascii="Verdana" w:hAnsi="Verdana"/>
          <w:i/>
          <w:iCs/>
          <w:sz w:val="21"/>
        </w:rPr>
        <w:t xml:space="preserve">La oferta debe contener dos partes, la primera </w:t>
      </w:r>
      <w:r w:rsidRPr="00E95433">
        <w:rPr>
          <w:rFonts w:ascii="Verdana" w:hAnsi="Verdana"/>
          <w:i/>
          <w:iCs/>
          <w:spacing w:val="3"/>
          <w:sz w:val="21"/>
        </w:rPr>
        <w:t xml:space="preserve">en </w:t>
      </w:r>
      <w:r w:rsidRPr="00E95433">
        <w:rPr>
          <w:rFonts w:ascii="Verdana" w:hAnsi="Verdana"/>
          <w:i/>
          <w:iCs/>
          <w:sz w:val="21"/>
        </w:rPr>
        <w:t>la cual el interesado acredite su capacidad de participar en el Proceso de Contratación y acredite el cumplimiento de la ficha técnica; y la segunda parte debe contener el precio inicial propuesto por el</w:t>
      </w:r>
      <w:r w:rsidRPr="00E95433">
        <w:rPr>
          <w:rFonts w:ascii="Verdana" w:hAnsi="Verdana"/>
          <w:i/>
          <w:iCs/>
          <w:spacing w:val="-4"/>
          <w:sz w:val="21"/>
        </w:rPr>
        <w:t xml:space="preserve"> </w:t>
      </w:r>
      <w:r w:rsidRPr="00E95433">
        <w:rPr>
          <w:rFonts w:ascii="Verdana" w:hAnsi="Verdana"/>
          <w:i/>
          <w:iCs/>
          <w:sz w:val="21"/>
        </w:rPr>
        <w:t>oferente.</w:t>
      </w:r>
    </w:p>
    <w:p w14:paraId="0DE1FB27" w14:textId="77777777" w:rsidR="005B6E53" w:rsidRPr="00E95433" w:rsidRDefault="005B6E53" w:rsidP="005B6E53">
      <w:pPr>
        <w:pStyle w:val="Textoindependiente"/>
        <w:spacing w:after="0" w:line="240" w:lineRule="auto"/>
        <w:ind w:left="709" w:right="709"/>
        <w:jc w:val="both"/>
        <w:rPr>
          <w:rFonts w:ascii="Verdana" w:hAnsi="Verdana"/>
          <w:i/>
          <w:iCs/>
          <w:sz w:val="21"/>
        </w:rPr>
      </w:pPr>
    </w:p>
    <w:p w14:paraId="316CB1E1" w14:textId="77777777" w:rsidR="005B6E53" w:rsidRPr="00E95433" w:rsidRDefault="005B6E53" w:rsidP="005B6E53">
      <w:pPr>
        <w:pStyle w:val="Prrafodelista"/>
        <w:widowControl w:val="0"/>
        <w:numPr>
          <w:ilvl w:val="2"/>
          <w:numId w:val="19"/>
        </w:numPr>
        <w:tabs>
          <w:tab w:val="left" w:pos="1256"/>
        </w:tabs>
        <w:autoSpaceDE w:val="0"/>
        <w:autoSpaceDN w:val="0"/>
        <w:spacing w:after="0" w:line="240" w:lineRule="auto"/>
        <w:ind w:left="709" w:right="709" w:firstLine="0"/>
        <w:contextualSpacing w:val="0"/>
        <w:jc w:val="both"/>
        <w:rPr>
          <w:rFonts w:ascii="Verdana" w:hAnsi="Verdana"/>
          <w:i/>
          <w:iCs/>
          <w:sz w:val="21"/>
        </w:rPr>
      </w:pPr>
      <w:r w:rsidRPr="00E95433">
        <w:rPr>
          <w:rFonts w:ascii="Verdana" w:hAnsi="Verdana"/>
          <w:i/>
          <w:iCs/>
          <w:sz w:val="21"/>
        </w:rPr>
        <w:t>La Entidad Estatal debe publicar un informe de habilitación de los oferentes, en el cual debe indicar si los bienes o servicios ofrecidos por el interesado cumplen con la ficha técnica y si el oferente se encuentra</w:t>
      </w:r>
      <w:r w:rsidRPr="00E95433">
        <w:rPr>
          <w:rFonts w:ascii="Verdana" w:hAnsi="Verdana"/>
          <w:i/>
          <w:iCs/>
          <w:spacing w:val="-13"/>
          <w:sz w:val="21"/>
        </w:rPr>
        <w:t xml:space="preserve"> </w:t>
      </w:r>
      <w:r w:rsidRPr="00E95433">
        <w:rPr>
          <w:rFonts w:ascii="Verdana" w:hAnsi="Verdana"/>
          <w:i/>
          <w:iCs/>
          <w:sz w:val="21"/>
        </w:rPr>
        <w:t>habilitado.</w:t>
      </w:r>
    </w:p>
    <w:p w14:paraId="31F0CCBF" w14:textId="77777777" w:rsidR="005B6E53" w:rsidRPr="00E95433" w:rsidRDefault="005B6E53" w:rsidP="005B6E53">
      <w:pPr>
        <w:pStyle w:val="Textoindependiente"/>
        <w:spacing w:after="0" w:line="240" w:lineRule="auto"/>
        <w:ind w:left="709" w:right="709"/>
        <w:jc w:val="both"/>
        <w:rPr>
          <w:rFonts w:ascii="Verdana" w:hAnsi="Verdana"/>
          <w:i/>
          <w:iCs/>
          <w:sz w:val="21"/>
        </w:rPr>
      </w:pPr>
    </w:p>
    <w:p w14:paraId="7DEB8437" w14:textId="77777777" w:rsidR="005B6E53" w:rsidRPr="00E95433" w:rsidRDefault="005B6E53" w:rsidP="005B6E53">
      <w:pPr>
        <w:pStyle w:val="Prrafodelista"/>
        <w:widowControl w:val="0"/>
        <w:numPr>
          <w:ilvl w:val="2"/>
          <w:numId w:val="19"/>
        </w:numPr>
        <w:tabs>
          <w:tab w:val="left" w:pos="1261"/>
        </w:tabs>
        <w:autoSpaceDE w:val="0"/>
        <w:autoSpaceDN w:val="0"/>
        <w:spacing w:after="0" w:line="240" w:lineRule="auto"/>
        <w:ind w:left="709" w:right="709" w:firstLine="0"/>
        <w:contextualSpacing w:val="0"/>
        <w:jc w:val="both"/>
        <w:rPr>
          <w:rFonts w:ascii="Verdana" w:hAnsi="Verdana"/>
          <w:i/>
          <w:iCs/>
          <w:sz w:val="21"/>
        </w:rPr>
      </w:pPr>
      <w:r w:rsidRPr="00E95433">
        <w:rPr>
          <w:rFonts w:ascii="Verdana" w:hAnsi="Verdana"/>
          <w:i/>
          <w:iCs/>
          <w:sz w:val="21"/>
        </w:rPr>
        <w:t>Hay subasta inversa siempre que haya como mínimo dos oferentes habilitados cuyos bienes o servicios cumplen con la ficha</w:t>
      </w:r>
      <w:r w:rsidRPr="00E95433">
        <w:rPr>
          <w:rFonts w:ascii="Verdana" w:hAnsi="Verdana"/>
          <w:i/>
          <w:iCs/>
          <w:spacing w:val="-6"/>
          <w:sz w:val="21"/>
        </w:rPr>
        <w:t xml:space="preserve"> </w:t>
      </w:r>
      <w:r w:rsidRPr="00E95433">
        <w:rPr>
          <w:rFonts w:ascii="Verdana" w:hAnsi="Verdana"/>
          <w:i/>
          <w:iCs/>
          <w:sz w:val="21"/>
        </w:rPr>
        <w:t>técnica.</w:t>
      </w:r>
    </w:p>
    <w:p w14:paraId="4F3C2119" w14:textId="77777777" w:rsidR="005B6E53" w:rsidRPr="00E95433" w:rsidRDefault="005B6E53" w:rsidP="005B6E53">
      <w:pPr>
        <w:pStyle w:val="Textoindependiente"/>
        <w:spacing w:after="0" w:line="240" w:lineRule="auto"/>
        <w:ind w:left="709" w:right="709"/>
        <w:jc w:val="both"/>
        <w:rPr>
          <w:rFonts w:ascii="Verdana" w:hAnsi="Verdana"/>
          <w:i/>
          <w:iCs/>
          <w:sz w:val="21"/>
        </w:rPr>
      </w:pPr>
    </w:p>
    <w:p w14:paraId="50CEA44E" w14:textId="77777777" w:rsidR="005B6E53" w:rsidRDefault="005B6E53" w:rsidP="005B6E53">
      <w:pPr>
        <w:pStyle w:val="Prrafodelista"/>
        <w:widowControl w:val="0"/>
        <w:numPr>
          <w:ilvl w:val="2"/>
          <w:numId w:val="19"/>
        </w:numPr>
        <w:tabs>
          <w:tab w:val="left" w:pos="1256"/>
        </w:tabs>
        <w:autoSpaceDE w:val="0"/>
        <w:autoSpaceDN w:val="0"/>
        <w:spacing w:after="0" w:line="240" w:lineRule="auto"/>
        <w:ind w:left="709" w:right="709" w:firstLine="0"/>
        <w:contextualSpacing w:val="0"/>
        <w:jc w:val="both"/>
        <w:rPr>
          <w:rFonts w:ascii="Verdana" w:hAnsi="Verdana"/>
          <w:i/>
          <w:iCs/>
          <w:sz w:val="21"/>
        </w:rPr>
      </w:pPr>
      <w:r w:rsidRPr="00E95433">
        <w:rPr>
          <w:rFonts w:ascii="Verdana" w:hAnsi="Verdana"/>
          <w:i/>
          <w:iCs/>
          <w:sz w:val="21"/>
        </w:rPr>
        <w:t xml:space="preserve">Si en el Proceso de Contratación se presenta un único oferente cuyos bienes o servicios cumplen con la ficha técnica y está habilitado, la Entidad Estatal puede adjudicarle el contrato al único oferente si el valor de la oferta es igual o inferior a la disponibilidad presupuestal </w:t>
      </w:r>
      <w:r w:rsidRPr="00E95433">
        <w:rPr>
          <w:rFonts w:ascii="Verdana" w:hAnsi="Verdana"/>
          <w:i/>
          <w:iCs/>
          <w:sz w:val="21"/>
        </w:rPr>
        <w:lastRenderedPageBreak/>
        <w:t>para el contrato, caso en el cual no hay lugar a la subasta inversa (cursiva fuera del</w:t>
      </w:r>
      <w:r w:rsidRPr="00E95433">
        <w:rPr>
          <w:rFonts w:ascii="Verdana" w:hAnsi="Verdana"/>
          <w:i/>
          <w:iCs/>
          <w:spacing w:val="-6"/>
          <w:sz w:val="21"/>
        </w:rPr>
        <w:t xml:space="preserve"> </w:t>
      </w:r>
      <w:r w:rsidRPr="00E95433">
        <w:rPr>
          <w:rFonts w:ascii="Verdana" w:hAnsi="Verdana"/>
          <w:i/>
          <w:iCs/>
          <w:sz w:val="21"/>
        </w:rPr>
        <w:t>texto). […]”</w:t>
      </w:r>
    </w:p>
    <w:p w14:paraId="22823794" w14:textId="77777777" w:rsidR="005B6E53" w:rsidRPr="003660AB" w:rsidRDefault="005B6E53" w:rsidP="005B6E53">
      <w:pPr>
        <w:pStyle w:val="Prrafodelista"/>
        <w:rPr>
          <w:rFonts w:ascii="Verdana" w:hAnsi="Verdana"/>
          <w:i/>
          <w:iCs/>
          <w:sz w:val="21"/>
        </w:rPr>
      </w:pPr>
    </w:p>
    <w:p w14:paraId="789AEA2D" w14:textId="77777777" w:rsidR="005B6E53" w:rsidRDefault="005B6E53" w:rsidP="005B6E53">
      <w:pPr>
        <w:pStyle w:val="Prrafodelista"/>
        <w:widowControl w:val="0"/>
        <w:tabs>
          <w:tab w:val="left" w:pos="1256"/>
        </w:tabs>
        <w:autoSpaceDE w:val="0"/>
        <w:autoSpaceDN w:val="0"/>
        <w:spacing w:after="0" w:line="240" w:lineRule="auto"/>
        <w:ind w:left="1418" w:right="709"/>
        <w:contextualSpacing w:val="0"/>
        <w:jc w:val="both"/>
        <w:rPr>
          <w:rFonts w:ascii="Verdana" w:hAnsi="Verdana"/>
          <w:i/>
          <w:iCs/>
          <w:sz w:val="21"/>
        </w:rPr>
      </w:pPr>
    </w:p>
    <w:p w14:paraId="6A16B023" w14:textId="77777777" w:rsidR="005B6E53" w:rsidRPr="003660AB" w:rsidRDefault="005B6E53" w:rsidP="005B6E53">
      <w:pPr>
        <w:pStyle w:val="Prrafodelista"/>
        <w:numPr>
          <w:ilvl w:val="0"/>
          <w:numId w:val="31"/>
        </w:numPr>
        <w:spacing w:after="0" w:line="240" w:lineRule="auto"/>
        <w:jc w:val="both"/>
        <w:rPr>
          <w:rFonts w:ascii="Verdana" w:hAnsi="Verdana"/>
        </w:rPr>
      </w:pPr>
      <w:r w:rsidRPr="003660AB">
        <w:rPr>
          <w:rFonts w:ascii="Verdana" w:hAnsi="Verdana"/>
        </w:rPr>
        <w:t>En este sentido, se entiende que ajustarse a la ficha técnica es un requisito habilitante de los procesos de selección abreviada para contratar bienes de características técnicas uniforme, pero que no es obligatorio para los demás procesos de contratación.</w:t>
      </w:r>
    </w:p>
    <w:p w14:paraId="03702F39" w14:textId="77777777" w:rsidR="005B6E53" w:rsidRPr="003660AB" w:rsidRDefault="005B6E53" w:rsidP="005B6E53">
      <w:pPr>
        <w:pStyle w:val="Prrafodelista"/>
        <w:numPr>
          <w:ilvl w:val="0"/>
          <w:numId w:val="31"/>
        </w:numPr>
        <w:spacing w:after="0" w:line="240" w:lineRule="auto"/>
        <w:jc w:val="both"/>
        <w:rPr>
          <w:rFonts w:ascii="Verdana" w:hAnsi="Verdana"/>
        </w:rPr>
      </w:pPr>
      <w:r w:rsidRPr="003660AB">
        <w:rPr>
          <w:rFonts w:ascii="Verdana" w:hAnsi="Verdana"/>
        </w:rPr>
        <w:t>El Decreto 1082 de 2015, en el artículo 2.2.1.1.2.1.1., “Estudios y documentos previos”, aplicable a la mayoría de procesos de selección, ya no solo para la adquisición de bienes y servicios de características técnicas uniformes, establece que en ellos se indicará el objeto del contrato con sus especificaciones y documentos técnicos, el cual puede revestir el carácter de “ficha técnica”, “anexo técnico” o “especificaciones técnicas”, y además, el proponente con la presentación de la oferta debe señalar</w:t>
      </w:r>
      <w:r w:rsidRPr="003660AB">
        <w:rPr>
          <w:rFonts w:ascii="Verdana" w:hAnsi="Verdana"/>
          <w:spacing w:val="-17"/>
        </w:rPr>
        <w:t xml:space="preserve"> </w:t>
      </w:r>
      <w:r w:rsidRPr="003660AB">
        <w:rPr>
          <w:rFonts w:ascii="Verdana" w:hAnsi="Verdana"/>
        </w:rPr>
        <w:t>las especificaciones técnicas del bien o servicio que permitan corroborar que cumple con las condiciones exigidas en el pliego de condiciones.</w:t>
      </w:r>
    </w:p>
    <w:p w14:paraId="01D03E88" w14:textId="77777777" w:rsidR="005B6E53" w:rsidRPr="003660AB" w:rsidRDefault="005B6E53" w:rsidP="005B6E53">
      <w:pPr>
        <w:pStyle w:val="Prrafodelista"/>
        <w:numPr>
          <w:ilvl w:val="0"/>
          <w:numId w:val="31"/>
        </w:numPr>
        <w:spacing w:after="0" w:line="240" w:lineRule="auto"/>
        <w:jc w:val="both"/>
        <w:rPr>
          <w:rFonts w:ascii="Verdana" w:hAnsi="Verdana"/>
          <w:sz w:val="25"/>
        </w:rPr>
      </w:pPr>
      <w:r w:rsidRPr="003660AB">
        <w:rPr>
          <w:rFonts w:ascii="Verdana" w:hAnsi="Verdana"/>
        </w:rPr>
        <w:t>En este orden de ideas, la ficha técnica y/o anexo técnico es el documento que contiene las especificaciones técnicas que debe cumplir el bien o servicio a contratar, o aquel documento que indica las especificaciones técnicas respecto del bien o servicio ofertado por el proponente. En otras palabras, en lo relativo al proponente, el documento que anexa como “ficha técnica” y/o “anexo técnico” está estrechamente vinculado con el bien o servicio ofertado, toda vez que es la descripción más minuciosa y detallada de las características, componentes y funcionamiento de los bienes y servicios con los que se busca satisfacer la necesidad de la</w:t>
      </w:r>
      <w:r w:rsidRPr="003660AB">
        <w:rPr>
          <w:rFonts w:ascii="Verdana" w:hAnsi="Verdana"/>
          <w:spacing w:val="-10"/>
        </w:rPr>
        <w:t xml:space="preserve"> </w:t>
      </w:r>
      <w:r w:rsidRPr="003660AB">
        <w:rPr>
          <w:rFonts w:ascii="Verdana" w:hAnsi="Verdana"/>
        </w:rPr>
        <w:t>entidad.</w:t>
      </w:r>
    </w:p>
    <w:p w14:paraId="2CFB89F3" w14:textId="77777777" w:rsidR="005B6E53" w:rsidRPr="003660AB" w:rsidRDefault="005B6E53" w:rsidP="005B6E53">
      <w:pPr>
        <w:pStyle w:val="Prrafodelista"/>
        <w:numPr>
          <w:ilvl w:val="0"/>
          <w:numId w:val="31"/>
        </w:numPr>
        <w:spacing w:after="0" w:line="240" w:lineRule="auto"/>
        <w:jc w:val="both"/>
        <w:rPr>
          <w:rFonts w:ascii="Verdana" w:hAnsi="Verdana"/>
        </w:rPr>
      </w:pPr>
      <w:r w:rsidRPr="003660AB">
        <w:rPr>
          <w:rFonts w:ascii="Verdana" w:hAnsi="Verdana"/>
        </w:rPr>
        <w:t>Dicho lo anterior, Respecto a la subsanabilidad de la ficha técnica, la Agencia Nacional de Contratación Pública – Colombia Compra Eficiente, en diferentes conceptos, consideraba que en los procesos de selección donde el criterio para comparar las oferta es el precio, la ficha técnica no era subsanable, porque esta, al contener las características específicas que deben cumplir los bienes y servicios señalados por la entidad en los pliegos de condiciones, y por estar estrictamente en relación con la oferta del proponente, constituye un requisito esencial para comparar las</w:t>
      </w:r>
      <w:r w:rsidRPr="003660AB">
        <w:rPr>
          <w:rFonts w:ascii="Verdana" w:hAnsi="Verdana"/>
          <w:spacing w:val="-9"/>
        </w:rPr>
        <w:t xml:space="preserve"> </w:t>
      </w:r>
      <w:r w:rsidRPr="003660AB">
        <w:rPr>
          <w:rFonts w:ascii="Verdana" w:hAnsi="Verdana"/>
        </w:rPr>
        <w:t>propuestas.</w:t>
      </w:r>
    </w:p>
    <w:p w14:paraId="48E7FF01" w14:textId="77777777" w:rsidR="005B6E53" w:rsidRPr="003660AB" w:rsidRDefault="005B6E53" w:rsidP="005B6E53">
      <w:pPr>
        <w:pStyle w:val="Prrafodelista"/>
        <w:numPr>
          <w:ilvl w:val="0"/>
          <w:numId w:val="31"/>
        </w:numPr>
        <w:spacing w:after="0" w:line="240" w:lineRule="auto"/>
        <w:jc w:val="both"/>
        <w:rPr>
          <w:rFonts w:ascii="Verdana" w:hAnsi="Verdana"/>
        </w:rPr>
      </w:pPr>
      <w:r w:rsidRPr="003660AB">
        <w:rPr>
          <w:rFonts w:ascii="Verdana" w:hAnsi="Verdana"/>
        </w:rPr>
        <w:t xml:space="preserve">Sin embargo, esta posición cambió con el concepto identificado con el radicado No. 4201912000004846, del 3 de septiembre de 2019, señalando que la exigencia de la ficha técnica en los procesos de selección abreviada con subasta inversa, no hace parte de los factores susceptibles de evaluación a través de la asignación de puntaje, pues el único criterio para la comparación de las propuestas es el precio, y por lo tanto la ficha </w:t>
      </w:r>
      <w:r w:rsidRPr="003660AB">
        <w:rPr>
          <w:rFonts w:ascii="Verdana" w:hAnsi="Verdana"/>
        </w:rPr>
        <w:lastRenderedPageBreak/>
        <w:t>técnica es subsanable, bien sea por la no presentación, o por errores y defectos presentados en esta</w:t>
      </w:r>
      <w:r>
        <w:rPr>
          <w:rStyle w:val="Refdenotaalpie"/>
          <w:rFonts w:ascii="Verdana" w:hAnsi="Verdana"/>
        </w:rPr>
        <w:footnoteReference w:id="11"/>
      </w:r>
      <w:r w:rsidRPr="003660AB">
        <w:rPr>
          <w:rFonts w:ascii="Verdana" w:hAnsi="Verdana"/>
        </w:rPr>
        <w:t>.</w:t>
      </w:r>
    </w:p>
    <w:p w14:paraId="072E9E09" w14:textId="77777777" w:rsidR="005B6E53" w:rsidRPr="003660AB" w:rsidRDefault="005B6E53" w:rsidP="005B6E53">
      <w:pPr>
        <w:pStyle w:val="Prrafodelista"/>
        <w:numPr>
          <w:ilvl w:val="0"/>
          <w:numId w:val="31"/>
        </w:numPr>
        <w:spacing w:after="0" w:line="240" w:lineRule="auto"/>
        <w:jc w:val="both"/>
        <w:rPr>
          <w:rFonts w:ascii="Verdana" w:hAnsi="Verdana"/>
        </w:rPr>
      </w:pPr>
      <w:r w:rsidRPr="003660AB">
        <w:rPr>
          <w:rFonts w:ascii="Verdana" w:hAnsi="Verdana"/>
        </w:rPr>
        <w:t>El cambio de posición se origina en la medida en que la ausencia de requisitos o los errores en los documentos del proponente que no son necesarios para comparar las propuestas, no pueden ser una razón suficiente para el rechazo de la oferta y por lo tanto deben ser subsanados</w:t>
      </w:r>
      <w:r w:rsidRPr="003660AB">
        <w:rPr>
          <w:rFonts w:ascii="Verdana" w:hAnsi="Verdana"/>
          <w:position w:val="8"/>
          <w:sz w:val="14"/>
        </w:rPr>
        <w:t>12</w:t>
      </w:r>
      <w:r w:rsidRPr="003660AB">
        <w:rPr>
          <w:rFonts w:ascii="Verdana" w:hAnsi="Verdana"/>
        </w:rPr>
        <w:t>. Como se ha explicado, en los procesos donde el precio es el único criterio para la comparación de las ofertas, como por ejemplo la selección abreviada para</w:t>
      </w:r>
      <w:r w:rsidRPr="003660AB">
        <w:rPr>
          <w:rFonts w:ascii="Verdana" w:hAnsi="Verdana"/>
          <w:spacing w:val="9"/>
        </w:rPr>
        <w:t xml:space="preserve"> </w:t>
      </w:r>
      <w:r w:rsidRPr="003660AB">
        <w:rPr>
          <w:rFonts w:ascii="Verdana" w:hAnsi="Verdana"/>
        </w:rPr>
        <w:t>adquirir</w:t>
      </w:r>
      <w:r w:rsidRPr="003660AB">
        <w:rPr>
          <w:rFonts w:ascii="Verdana" w:hAnsi="Verdana"/>
          <w:spacing w:val="10"/>
        </w:rPr>
        <w:t xml:space="preserve"> </w:t>
      </w:r>
      <w:r w:rsidRPr="003660AB">
        <w:rPr>
          <w:rFonts w:ascii="Verdana" w:hAnsi="Verdana"/>
        </w:rPr>
        <w:t>bienes</w:t>
      </w:r>
      <w:r w:rsidRPr="003660AB">
        <w:rPr>
          <w:rFonts w:ascii="Verdana" w:hAnsi="Verdana"/>
          <w:spacing w:val="11"/>
        </w:rPr>
        <w:t xml:space="preserve"> </w:t>
      </w:r>
      <w:r w:rsidRPr="003660AB">
        <w:rPr>
          <w:rFonts w:ascii="Verdana" w:hAnsi="Verdana"/>
        </w:rPr>
        <w:t>y</w:t>
      </w:r>
      <w:r w:rsidRPr="003660AB">
        <w:rPr>
          <w:rFonts w:ascii="Verdana" w:hAnsi="Verdana"/>
          <w:spacing w:val="8"/>
        </w:rPr>
        <w:t xml:space="preserve"> </w:t>
      </w:r>
      <w:r w:rsidRPr="003660AB">
        <w:rPr>
          <w:rFonts w:ascii="Verdana" w:hAnsi="Verdana"/>
        </w:rPr>
        <w:t>servicios</w:t>
      </w:r>
      <w:r w:rsidRPr="003660AB">
        <w:rPr>
          <w:rFonts w:ascii="Verdana" w:hAnsi="Verdana"/>
          <w:spacing w:val="10"/>
        </w:rPr>
        <w:t xml:space="preserve"> </w:t>
      </w:r>
      <w:r w:rsidRPr="003660AB">
        <w:rPr>
          <w:rFonts w:ascii="Verdana" w:hAnsi="Verdana"/>
        </w:rPr>
        <w:t>de</w:t>
      </w:r>
      <w:r w:rsidRPr="003660AB">
        <w:rPr>
          <w:rFonts w:ascii="Verdana" w:hAnsi="Verdana"/>
          <w:spacing w:val="11"/>
        </w:rPr>
        <w:t xml:space="preserve"> </w:t>
      </w:r>
      <w:r w:rsidRPr="003660AB">
        <w:rPr>
          <w:rFonts w:ascii="Verdana" w:hAnsi="Verdana"/>
        </w:rPr>
        <w:t>características</w:t>
      </w:r>
      <w:r w:rsidRPr="003660AB">
        <w:rPr>
          <w:rFonts w:ascii="Verdana" w:hAnsi="Verdana"/>
          <w:spacing w:val="10"/>
        </w:rPr>
        <w:t xml:space="preserve"> </w:t>
      </w:r>
      <w:r w:rsidRPr="003660AB">
        <w:rPr>
          <w:rFonts w:ascii="Verdana" w:hAnsi="Verdana"/>
        </w:rPr>
        <w:t>técnicas</w:t>
      </w:r>
      <w:r w:rsidRPr="003660AB">
        <w:rPr>
          <w:rFonts w:ascii="Verdana" w:hAnsi="Verdana"/>
          <w:spacing w:val="10"/>
        </w:rPr>
        <w:t xml:space="preserve"> </w:t>
      </w:r>
      <w:r w:rsidRPr="003660AB">
        <w:rPr>
          <w:rFonts w:ascii="Verdana" w:hAnsi="Verdana"/>
        </w:rPr>
        <w:t>uniforme</w:t>
      </w:r>
      <w:r w:rsidRPr="003660AB">
        <w:rPr>
          <w:rFonts w:ascii="Verdana" w:hAnsi="Verdana"/>
          <w:spacing w:val="8"/>
        </w:rPr>
        <w:t xml:space="preserve"> </w:t>
      </w:r>
      <w:r w:rsidRPr="003660AB">
        <w:rPr>
          <w:rFonts w:ascii="Verdana" w:hAnsi="Verdana"/>
        </w:rPr>
        <w:t>por</w:t>
      </w:r>
      <w:r w:rsidRPr="003660AB">
        <w:rPr>
          <w:rFonts w:ascii="Verdana" w:hAnsi="Verdana"/>
          <w:spacing w:val="10"/>
        </w:rPr>
        <w:t xml:space="preserve"> </w:t>
      </w:r>
      <w:r w:rsidRPr="003660AB">
        <w:rPr>
          <w:rFonts w:ascii="Verdana" w:hAnsi="Verdana"/>
        </w:rPr>
        <w:t>subasta</w:t>
      </w:r>
      <w:r w:rsidRPr="003660AB">
        <w:rPr>
          <w:rFonts w:ascii="Verdana" w:hAnsi="Verdana"/>
          <w:spacing w:val="10"/>
        </w:rPr>
        <w:t xml:space="preserve"> </w:t>
      </w:r>
      <w:r w:rsidRPr="003660AB">
        <w:rPr>
          <w:rFonts w:ascii="Verdana" w:hAnsi="Verdana"/>
        </w:rPr>
        <w:t>inversa</w:t>
      </w:r>
      <w:r w:rsidRPr="003660AB">
        <w:rPr>
          <w:rFonts w:ascii="Verdana" w:hAnsi="Verdana"/>
          <w:spacing w:val="16"/>
        </w:rPr>
        <w:t xml:space="preserve"> </w:t>
      </w:r>
      <w:r w:rsidRPr="003660AB">
        <w:rPr>
          <w:rFonts w:ascii="Verdana" w:hAnsi="Verdana"/>
        </w:rPr>
        <w:t>o el proceso de mínima cuantía, no es viable impedir que subsanen requisitos diferentes a los que afecten el precio, pues estos en la medida en que no son necesarios para comparar las propuestas, no modifican los criterios que otorgan puntaje, sino que permiten habilitar o demostrar que el proponente tiene la capacidad para cumplir con el objeto del contrato. por consiguiente, siempre que la ficha técnica no sea un requisito puntuable o que cambie uno de ellos que pueda mejorar la oferta, deberá</w:t>
      </w:r>
      <w:r w:rsidRPr="003660AB">
        <w:rPr>
          <w:rFonts w:ascii="Verdana" w:hAnsi="Verdana"/>
          <w:spacing w:val="-20"/>
        </w:rPr>
        <w:t xml:space="preserve"> </w:t>
      </w:r>
      <w:r w:rsidRPr="003660AB">
        <w:rPr>
          <w:rFonts w:ascii="Verdana" w:hAnsi="Verdana"/>
        </w:rPr>
        <w:t>subsanarse.</w:t>
      </w:r>
    </w:p>
    <w:p w14:paraId="22717C7D" w14:textId="77777777" w:rsidR="005B6E53" w:rsidRDefault="005B6E53" w:rsidP="005B6E53">
      <w:pPr>
        <w:pStyle w:val="Textoindependiente"/>
        <w:numPr>
          <w:ilvl w:val="0"/>
          <w:numId w:val="31"/>
        </w:numPr>
        <w:spacing w:after="0" w:line="240" w:lineRule="auto"/>
        <w:jc w:val="both"/>
        <w:rPr>
          <w:rFonts w:ascii="Verdana" w:hAnsi="Verdana"/>
        </w:rPr>
      </w:pPr>
      <w:r w:rsidRPr="00BA0906">
        <w:rPr>
          <w:rFonts w:ascii="Verdana" w:hAnsi="Verdana"/>
        </w:rPr>
        <w:t>En este orden de ideas, debe tenerse en cuenta los supuestos en que la ficha técnica puede afectar un requisito puntuable como lo puede ser el precio, en relación al precio se puede ejemplificar lo siguiente:</w:t>
      </w:r>
    </w:p>
    <w:p w14:paraId="76C18A3E" w14:textId="77777777" w:rsidR="005B6E53" w:rsidRDefault="005B6E53" w:rsidP="005B6E53">
      <w:pPr>
        <w:pStyle w:val="Textoindependiente"/>
        <w:numPr>
          <w:ilvl w:val="0"/>
          <w:numId w:val="33"/>
        </w:numPr>
        <w:spacing w:after="0" w:line="240" w:lineRule="auto"/>
        <w:jc w:val="both"/>
        <w:rPr>
          <w:rFonts w:ascii="Verdana" w:hAnsi="Verdana"/>
        </w:rPr>
      </w:pPr>
      <w:proofErr w:type="spellStart"/>
      <w:r w:rsidRPr="00BA0906">
        <w:rPr>
          <w:rFonts w:ascii="Verdana" w:hAnsi="Verdana"/>
        </w:rPr>
        <w:t>si</w:t>
      </w:r>
      <w:proofErr w:type="spellEnd"/>
      <w:r w:rsidRPr="00BA0906">
        <w:rPr>
          <w:rFonts w:ascii="Verdana" w:hAnsi="Verdana"/>
        </w:rPr>
        <w:t xml:space="preserve"> en un proceso de contratación se pide por ejemplo, adquirir mesas blancas con características técnicas específicas y el proponente ofrece sillas anexando la ficha técnica de estas, al permitirse presentar o corregir la no oferta de mesas, se estaría haciendo una mejora de la oferta, en la medida en que se está haciendo una nueva oferta que evidencia el precio de las mesas que no se encontraban en la oferta inicial, y por lo tanto la presentación de la ficha técnica de las mesas afecta el requisito puntuable, razón por la que la ficha técnica no podrá subsanarse; </w:t>
      </w:r>
    </w:p>
    <w:p w14:paraId="79E16D9F" w14:textId="77777777" w:rsidR="005B6E53" w:rsidRDefault="005B6E53" w:rsidP="005B6E53">
      <w:pPr>
        <w:pStyle w:val="Textoindependiente"/>
        <w:numPr>
          <w:ilvl w:val="0"/>
          <w:numId w:val="33"/>
        </w:numPr>
        <w:spacing w:after="0" w:line="240" w:lineRule="auto"/>
        <w:jc w:val="both"/>
        <w:rPr>
          <w:rFonts w:ascii="Verdana" w:hAnsi="Verdana"/>
        </w:rPr>
      </w:pPr>
      <w:r w:rsidRPr="00BA0906">
        <w:rPr>
          <w:rFonts w:ascii="Verdana" w:hAnsi="Verdana"/>
        </w:rPr>
        <w:t>teniendo en cuenta el ejemplo anterior, si el proponente ofrece mesas negras anexando la ficha técnica de estás, es posible que se subsane la ficha técnica para las mesas blancas siempre que mantengan el mismo valor de la oferta de las mesas negras; y</w:t>
      </w:r>
    </w:p>
    <w:p w14:paraId="58376BC4" w14:textId="77777777" w:rsidR="005B6E53" w:rsidRDefault="005B6E53" w:rsidP="005B6E53">
      <w:pPr>
        <w:pStyle w:val="Textoindependiente"/>
        <w:numPr>
          <w:ilvl w:val="0"/>
          <w:numId w:val="33"/>
        </w:numPr>
        <w:spacing w:after="0" w:line="240" w:lineRule="auto"/>
        <w:jc w:val="both"/>
        <w:rPr>
          <w:rFonts w:ascii="Verdana" w:hAnsi="Verdana"/>
        </w:rPr>
      </w:pPr>
      <w:r w:rsidRPr="00BA0906">
        <w:rPr>
          <w:rFonts w:ascii="Verdana" w:hAnsi="Verdana"/>
        </w:rPr>
        <w:t>si el oferente ofrece mesas, sin anexar la ficha técnica que permita observar si estas cumplen con las características técnicas exigidas por la entidad, el proponente podrá subsanar la ficha técnica, siempre que no afecte el precio de la oferta</w:t>
      </w:r>
      <w:r w:rsidRPr="00BA0906">
        <w:rPr>
          <w:rFonts w:ascii="Verdana" w:hAnsi="Verdana"/>
          <w:spacing w:val="-8"/>
        </w:rPr>
        <w:t xml:space="preserve"> </w:t>
      </w:r>
      <w:r w:rsidRPr="00BA0906">
        <w:rPr>
          <w:rFonts w:ascii="Verdana" w:hAnsi="Verdana"/>
        </w:rPr>
        <w:t>inicial.</w:t>
      </w:r>
    </w:p>
    <w:p w14:paraId="612E138B" w14:textId="77777777" w:rsidR="005B6E53" w:rsidRDefault="005B6E53" w:rsidP="005B6E53">
      <w:pPr>
        <w:pStyle w:val="Textoindependiente"/>
        <w:spacing w:after="0" w:line="240" w:lineRule="auto"/>
        <w:ind w:left="1520"/>
        <w:jc w:val="both"/>
        <w:rPr>
          <w:rFonts w:ascii="Verdana" w:hAnsi="Verdana"/>
        </w:rPr>
      </w:pPr>
    </w:p>
    <w:p w14:paraId="3FB0B76E" w14:textId="77777777" w:rsidR="005B6E53" w:rsidRDefault="005B6E53" w:rsidP="005B6E53">
      <w:pPr>
        <w:pStyle w:val="Textoindependiente"/>
        <w:numPr>
          <w:ilvl w:val="0"/>
          <w:numId w:val="31"/>
        </w:numPr>
        <w:spacing w:after="0" w:line="240" w:lineRule="auto"/>
        <w:jc w:val="both"/>
        <w:rPr>
          <w:rFonts w:ascii="Verdana" w:hAnsi="Verdana"/>
        </w:rPr>
      </w:pPr>
      <w:r w:rsidRPr="00D71D4E">
        <w:rPr>
          <w:rFonts w:ascii="Verdana" w:hAnsi="Verdana"/>
        </w:rPr>
        <w:t>En todo caso, es importante precisar que , si bien la posibilidad de</w:t>
      </w:r>
      <w:r>
        <w:rPr>
          <w:rFonts w:ascii="Verdana" w:hAnsi="Verdana"/>
        </w:rPr>
        <w:t xml:space="preserve"> </w:t>
      </w:r>
      <w:r w:rsidRPr="00D71D4E">
        <w:rPr>
          <w:rFonts w:ascii="Verdana" w:hAnsi="Verdana"/>
        </w:rPr>
        <w:t xml:space="preserve">subsanar la ficha técnica se sustenta en el criterio establecido en el </w:t>
      </w:r>
      <w:r w:rsidRPr="00D71D4E">
        <w:rPr>
          <w:rFonts w:ascii="Verdana" w:hAnsi="Verdana"/>
        </w:rPr>
        <w:lastRenderedPageBreak/>
        <w:t>parágrafo 1°</w:t>
      </w:r>
      <w:r>
        <w:rPr>
          <w:rFonts w:ascii="Verdana" w:hAnsi="Verdana"/>
        </w:rPr>
        <w:t xml:space="preserve"> </w:t>
      </w:r>
      <w:r w:rsidRPr="00D71D4E">
        <w:rPr>
          <w:rFonts w:ascii="Verdana" w:hAnsi="Verdana"/>
        </w:rPr>
        <w:t xml:space="preserve">del artículo 5 de la Ley 1150 de 2007, modificado por la L </w:t>
      </w:r>
      <w:proofErr w:type="spellStart"/>
      <w:r w:rsidRPr="00D71D4E">
        <w:rPr>
          <w:rFonts w:ascii="Verdana" w:hAnsi="Verdana"/>
        </w:rPr>
        <w:t>ey</w:t>
      </w:r>
      <w:proofErr w:type="spellEnd"/>
      <w:r w:rsidRPr="00D71D4E">
        <w:rPr>
          <w:rFonts w:ascii="Verdana" w:hAnsi="Verdana"/>
        </w:rPr>
        <w:t xml:space="preserve"> 1882 de 2018, –</w:t>
      </w:r>
      <w:r>
        <w:rPr>
          <w:rFonts w:ascii="Verdana" w:hAnsi="Verdana"/>
        </w:rPr>
        <w:t xml:space="preserve"> </w:t>
      </w:r>
      <w:r w:rsidRPr="00D71D4E">
        <w:rPr>
          <w:rFonts w:ascii="Verdana" w:hAnsi="Verdana"/>
        </w:rPr>
        <w:t>según el cual no es título suficiente para el rechazo de la oferta la ausencia de</w:t>
      </w:r>
      <w:r>
        <w:rPr>
          <w:rFonts w:ascii="Verdana" w:hAnsi="Verdana"/>
        </w:rPr>
        <w:t xml:space="preserve"> </w:t>
      </w:r>
      <w:r w:rsidRPr="00D71D4E">
        <w:rPr>
          <w:rFonts w:ascii="Verdana" w:hAnsi="Verdana"/>
        </w:rPr>
        <w:t>requisitos no necesarios para la comparación de oferta s – , los procesos en los</w:t>
      </w:r>
      <w:r>
        <w:rPr>
          <w:rFonts w:ascii="Verdana" w:hAnsi="Verdana"/>
        </w:rPr>
        <w:t xml:space="preserve"> </w:t>
      </w:r>
      <w:r w:rsidRPr="00D71D4E">
        <w:rPr>
          <w:rFonts w:ascii="Verdana" w:hAnsi="Verdana"/>
        </w:rPr>
        <w:t>que se aplica el mecanismo de subasta tienen una oportunidad distinta de la</w:t>
      </w:r>
      <w:r>
        <w:rPr>
          <w:rFonts w:ascii="Verdana" w:hAnsi="Verdana"/>
        </w:rPr>
        <w:t xml:space="preserve"> </w:t>
      </w:r>
      <w:r w:rsidRPr="00D71D4E">
        <w:rPr>
          <w:rFonts w:ascii="Verdana" w:hAnsi="Verdana"/>
        </w:rPr>
        <w:t>delimitada como regla general por dicho parágrafo, el cual hace referencia al</w:t>
      </w:r>
      <w:r>
        <w:rPr>
          <w:rFonts w:ascii="Verdana" w:hAnsi="Verdana"/>
        </w:rPr>
        <w:t xml:space="preserve"> </w:t>
      </w:r>
      <w:r w:rsidRPr="00D71D4E">
        <w:rPr>
          <w:rFonts w:ascii="Verdana" w:hAnsi="Verdana"/>
        </w:rPr>
        <w:t>traslado del informe de evaluación. Esa oportunidad está señalada por el</w:t>
      </w:r>
      <w:r>
        <w:rPr>
          <w:rFonts w:ascii="Verdana" w:hAnsi="Verdana"/>
        </w:rPr>
        <w:t xml:space="preserve"> </w:t>
      </w:r>
      <w:r w:rsidRPr="00D71D4E">
        <w:rPr>
          <w:rFonts w:ascii="Verdana" w:hAnsi="Verdana"/>
        </w:rPr>
        <w:t>parágrafo 4 °, el cual establece que en estos procesos los documentos necesarios</w:t>
      </w:r>
      <w:r>
        <w:rPr>
          <w:rFonts w:ascii="Verdana" w:hAnsi="Verdana"/>
        </w:rPr>
        <w:t xml:space="preserve"> </w:t>
      </w:r>
      <w:r w:rsidRPr="00D71D4E">
        <w:rPr>
          <w:rFonts w:ascii="Verdana" w:hAnsi="Verdana"/>
        </w:rPr>
        <w:t>para la comparación de ofertas deberán ser solicitados hasta el momento previo</w:t>
      </w:r>
      <w:r>
        <w:rPr>
          <w:rFonts w:ascii="Verdana" w:hAnsi="Verdana"/>
        </w:rPr>
        <w:t xml:space="preserve"> </w:t>
      </w:r>
      <w:r w:rsidRPr="00D71D4E">
        <w:rPr>
          <w:rFonts w:ascii="Verdana" w:hAnsi="Verdana"/>
        </w:rPr>
        <w:t>a la realización de la subasta, de forma tal que si no subsana no será posible</w:t>
      </w:r>
      <w:r>
        <w:rPr>
          <w:rFonts w:ascii="Verdana" w:hAnsi="Verdana"/>
        </w:rPr>
        <w:t xml:space="preserve"> </w:t>
      </w:r>
      <w:r w:rsidRPr="00D71D4E">
        <w:rPr>
          <w:rFonts w:ascii="Verdana" w:hAnsi="Verdana"/>
        </w:rPr>
        <w:t>participar en la subasta.</w:t>
      </w:r>
    </w:p>
    <w:p w14:paraId="7979BB11" w14:textId="77777777" w:rsidR="005B6E53" w:rsidRPr="003660AB" w:rsidRDefault="005B6E53" w:rsidP="005B6E53">
      <w:pPr>
        <w:pStyle w:val="Prrafodelista"/>
        <w:tabs>
          <w:tab w:val="left" w:pos="426"/>
        </w:tabs>
        <w:spacing w:line="276" w:lineRule="auto"/>
        <w:ind w:left="1134" w:right="357"/>
        <w:jc w:val="both"/>
        <w:rPr>
          <w:rFonts w:ascii="Verdana" w:eastAsia="Arial" w:hAnsi="Verdana" w:cs="Arial"/>
          <w:color w:val="000000"/>
          <w:sz w:val="20"/>
          <w:szCs w:val="20"/>
          <w:lang w:val="es-CO" w:eastAsia="es-MX"/>
        </w:rPr>
      </w:pPr>
    </w:p>
    <w:p w14:paraId="03CFE28B" w14:textId="7882E48B" w:rsidR="005B6E53" w:rsidRPr="000E6D07" w:rsidRDefault="005B6E53" w:rsidP="000E6D07">
      <w:pPr>
        <w:pStyle w:val="Prrafodelista"/>
        <w:numPr>
          <w:ilvl w:val="0"/>
          <w:numId w:val="17"/>
        </w:numPr>
        <w:tabs>
          <w:tab w:val="left" w:pos="142"/>
          <w:tab w:val="left" w:pos="284"/>
        </w:tabs>
        <w:spacing w:after="0" w:line="276" w:lineRule="auto"/>
        <w:jc w:val="both"/>
        <w:rPr>
          <w:rFonts w:ascii="Verdana" w:eastAsia="Century Gothic" w:hAnsi="Verdana" w:cs="Century Gothic"/>
          <w:b/>
          <w:bCs/>
        </w:rPr>
      </w:pPr>
      <w:r w:rsidRPr="000E6D07">
        <w:rPr>
          <w:rFonts w:ascii="Verdana" w:eastAsia="Century Gothic" w:hAnsi="Verdana" w:cs="Century Gothic"/>
          <w:b/>
          <w:bCs/>
        </w:rPr>
        <w:t>Referencias normativas, jurisprudenciales y otras fuentes:</w:t>
      </w:r>
    </w:p>
    <w:p w14:paraId="59329CCD" w14:textId="77777777" w:rsidR="005B6E53" w:rsidRPr="00593A5F" w:rsidRDefault="005B6E53" w:rsidP="005B6E53">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7"/>
      </w:tblGrid>
      <w:tr w:rsidR="005B6E53" w:rsidRPr="00593A5F" w14:paraId="5A7CB636" w14:textId="77777777" w:rsidTr="004924D0">
        <w:trPr>
          <w:trHeight w:val="870"/>
        </w:trPr>
        <w:tc>
          <w:tcPr>
            <w:tcW w:w="8647" w:type="dxa"/>
          </w:tcPr>
          <w:p w14:paraId="05B6480E" w14:textId="77777777" w:rsidR="005B6E53" w:rsidRPr="00EA78E3" w:rsidRDefault="005B6E53" w:rsidP="005B6E53">
            <w:pPr>
              <w:pStyle w:val="Prrafodelista"/>
              <w:numPr>
                <w:ilvl w:val="0"/>
                <w:numId w:val="22"/>
              </w:numPr>
              <w:ind w:left="0" w:firstLine="0"/>
              <w:jc w:val="both"/>
              <w:rPr>
                <w:rFonts w:ascii="Verdana" w:hAnsi="Verdana" w:cs="Arial"/>
                <w:bCs/>
                <w:color w:val="000000"/>
                <w:lang w:val="es-ES_tradnl" w:eastAsia="es-MX"/>
              </w:rPr>
            </w:pPr>
            <w:r w:rsidRPr="00F908CF">
              <w:rPr>
                <w:rFonts w:ascii="Verdana" w:hAnsi="Verdana"/>
              </w:rPr>
              <w:t>artículo 5 de la Ley 1882 de 2018</w:t>
            </w:r>
            <w:r>
              <w:rPr>
                <w:rFonts w:ascii="Verdana" w:hAnsi="Verdana"/>
              </w:rPr>
              <w:t xml:space="preserve">. Disponible en: </w:t>
            </w:r>
          </w:p>
          <w:p w14:paraId="3CF703EC" w14:textId="77777777" w:rsidR="005B6E53" w:rsidRDefault="005B6E53" w:rsidP="004924D0">
            <w:pPr>
              <w:pStyle w:val="Prrafodelista"/>
              <w:ind w:left="0"/>
              <w:jc w:val="both"/>
              <w:rPr>
                <w:rFonts w:ascii="Verdana" w:hAnsi="Verdana" w:cs="Arial"/>
                <w:bCs/>
                <w:color w:val="000000"/>
                <w:lang w:val="es-ES_tradnl" w:eastAsia="es-MX"/>
              </w:rPr>
            </w:pPr>
            <w:hyperlink r:id="rId12" w:history="1">
              <w:r w:rsidRPr="00930F35">
                <w:rPr>
                  <w:rStyle w:val="Hipervnculo"/>
                  <w:rFonts w:ascii="Verdana" w:hAnsi="Verdana" w:cs="Arial"/>
                  <w:bCs/>
                  <w:lang w:val="es-ES_tradnl" w:eastAsia="es-MX"/>
                </w:rPr>
                <w:t>https://cceficiente.sharepoint.com/:w:/r/sites/SGC-Consultas/_layouts/15/Doc.aspx?sourcedoc=%7BBF2B9A07-0DB0-498F-9D41-EB6BB06EDECE%7D&amp;file=Ley%201882%20de%202018.docx&amp;action=default&amp;mobileredirect=true</w:t>
              </w:r>
            </w:hyperlink>
            <w:r>
              <w:rPr>
                <w:rFonts w:ascii="Verdana" w:hAnsi="Verdana" w:cs="Arial"/>
                <w:bCs/>
                <w:color w:val="000000"/>
                <w:lang w:val="es-ES_tradnl" w:eastAsia="es-MX"/>
              </w:rPr>
              <w:t xml:space="preserve"> </w:t>
            </w:r>
          </w:p>
          <w:p w14:paraId="6B5E4F78" w14:textId="77777777" w:rsidR="005B6E53" w:rsidRPr="003829C7" w:rsidRDefault="005B6E53" w:rsidP="004924D0">
            <w:pPr>
              <w:pStyle w:val="Prrafodelista"/>
              <w:ind w:left="0"/>
              <w:jc w:val="both"/>
              <w:rPr>
                <w:rFonts w:ascii="Verdana" w:hAnsi="Verdana" w:cs="Arial"/>
                <w:bCs/>
                <w:color w:val="000000"/>
                <w:lang w:val="es-ES_tradnl" w:eastAsia="es-MX"/>
              </w:rPr>
            </w:pPr>
          </w:p>
          <w:p w14:paraId="1C1BAD86" w14:textId="77777777" w:rsidR="005B6E53" w:rsidRPr="00D265F0" w:rsidRDefault="005B6E53" w:rsidP="005B6E53">
            <w:pPr>
              <w:pStyle w:val="Prrafodelista"/>
              <w:numPr>
                <w:ilvl w:val="0"/>
                <w:numId w:val="22"/>
              </w:numPr>
              <w:ind w:left="0" w:firstLine="0"/>
              <w:jc w:val="both"/>
              <w:rPr>
                <w:rFonts w:ascii="Verdana" w:hAnsi="Verdana" w:cs="Arial"/>
                <w:bCs/>
                <w:color w:val="000000"/>
                <w:lang w:val="es-ES_tradnl" w:eastAsia="es-MX"/>
              </w:rPr>
            </w:pPr>
            <w:r>
              <w:rPr>
                <w:rFonts w:ascii="Verdana" w:hAnsi="Verdana"/>
              </w:rPr>
              <w:t xml:space="preserve">Artículo 30 Ley 80 de 1993. Disponible en: </w:t>
            </w:r>
          </w:p>
          <w:p w14:paraId="6CDCBC21" w14:textId="77777777" w:rsidR="005B6E53" w:rsidRDefault="005B6E53" w:rsidP="004924D0">
            <w:pPr>
              <w:pStyle w:val="Prrafodelista"/>
              <w:ind w:left="0"/>
              <w:jc w:val="both"/>
              <w:rPr>
                <w:rFonts w:ascii="Verdana" w:hAnsi="Verdana" w:cs="Arial"/>
                <w:bCs/>
                <w:color w:val="000000"/>
                <w:lang w:val="es-ES_tradnl" w:eastAsia="es-MX"/>
              </w:rPr>
            </w:pPr>
            <w:hyperlink r:id="rId13" w:history="1">
              <w:r w:rsidRPr="00930F35">
                <w:rPr>
                  <w:rStyle w:val="Hipervnculo"/>
                  <w:rFonts w:ascii="Verdana" w:hAnsi="Verdana" w:cs="Arial"/>
                  <w:bCs/>
                  <w:lang w:val="es-ES_tradnl" w:eastAsia="es-MX"/>
                </w:rPr>
                <w:t>https://cceficiente.sharepoint.com/:w:/r/sites/SGC-Consultas/_layouts/15/Doc.aspx?sourcedoc=%7B603E9E70-5CDD-4057-AD0B-04E86291845F%7D&amp;file=Ley%2080%20de%201993.docx&amp;action=default&amp;mobileredirect=true</w:t>
              </w:r>
            </w:hyperlink>
            <w:r>
              <w:rPr>
                <w:rFonts w:ascii="Verdana" w:hAnsi="Verdana" w:cs="Arial"/>
                <w:bCs/>
                <w:color w:val="000000"/>
                <w:lang w:val="es-ES_tradnl" w:eastAsia="es-MX"/>
              </w:rPr>
              <w:t xml:space="preserve"> </w:t>
            </w:r>
          </w:p>
          <w:p w14:paraId="6B2A1EA5" w14:textId="77777777" w:rsidR="005B6E53" w:rsidRPr="00D71D4E" w:rsidRDefault="005B6E53" w:rsidP="004924D0">
            <w:pPr>
              <w:pStyle w:val="Prrafodelista"/>
              <w:ind w:left="0"/>
              <w:jc w:val="both"/>
              <w:rPr>
                <w:rFonts w:ascii="Verdana" w:hAnsi="Verdana" w:cs="Arial"/>
                <w:bCs/>
                <w:color w:val="000000"/>
                <w:lang w:val="es-ES_tradnl" w:eastAsia="es-MX"/>
              </w:rPr>
            </w:pPr>
          </w:p>
          <w:p w14:paraId="49E68612" w14:textId="77777777" w:rsidR="005B6E53" w:rsidRPr="00A64DD6" w:rsidRDefault="005B6E53" w:rsidP="005B6E53">
            <w:pPr>
              <w:pStyle w:val="Prrafodelista"/>
              <w:numPr>
                <w:ilvl w:val="0"/>
                <w:numId w:val="22"/>
              </w:numPr>
              <w:ind w:left="0" w:firstLine="0"/>
              <w:jc w:val="both"/>
              <w:rPr>
                <w:rFonts w:ascii="Verdana" w:hAnsi="Verdana" w:cs="Arial"/>
                <w:bCs/>
                <w:color w:val="000000"/>
                <w:lang w:val="es-ES_tradnl" w:eastAsia="es-MX"/>
              </w:rPr>
            </w:pPr>
            <w:r w:rsidRPr="00D71D4E">
              <w:rPr>
                <w:rFonts w:ascii="Verdana" w:hAnsi="Verdana" w:cs="Arial"/>
                <w:bCs/>
                <w:color w:val="000000"/>
                <w:lang w:eastAsia="es-MX"/>
              </w:rPr>
              <w:t>Ley 1150 de 2007, artículo 5 parágrafos 1° y 4°.</w:t>
            </w:r>
          </w:p>
          <w:p w14:paraId="2BB22A32" w14:textId="77777777" w:rsidR="005B6E53" w:rsidRDefault="005B6E53" w:rsidP="004924D0">
            <w:pPr>
              <w:pStyle w:val="Prrafodelista"/>
              <w:ind w:left="0"/>
              <w:jc w:val="both"/>
              <w:rPr>
                <w:rFonts w:ascii="Verdana" w:hAnsi="Verdana" w:cs="Arial"/>
                <w:bCs/>
                <w:color w:val="000000"/>
                <w:lang w:val="es-ES_tradnl" w:eastAsia="es-MX"/>
              </w:rPr>
            </w:pPr>
            <w:hyperlink r:id="rId14" w:history="1">
              <w:r w:rsidRPr="00930F35">
                <w:rPr>
                  <w:rStyle w:val="Hipervnculo"/>
                  <w:rFonts w:ascii="Verdana" w:hAnsi="Verdana" w:cs="Arial"/>
                  <w:bCs/>
                  <w:lang w:val="es-ES_tradnl" w:eastAsia="es-MX"/>
                </w:rPr>
                <w:t>https://cceficiente.sharepoint.com/:w:/r/sites/SGC-Consultas/_layouts/15/Doc.aspx?sourcedoc=%7B603E9E70-5CDD-4057-AD0B-04E86291845F%7D&amp;file=Ley%2080%20de%201993.docx&amp;action=default&amp;mobileredirect=true</w:t>
              </w:r>
            </w:hyperlink>
            <w:r>
              <w:rPr>
                <w:rFonts w:ascii="Verdana" w:hAnsi="Verdana" w:cs="Arial"/>
                <w:bCs/>
                <w:color w:val="000000"/>
                <w:lang w:val="es-ES_tradnl" w:eastAsia="es-MX"/>
              </w:rPr>
              <w:t xml:space="preserve"> </w:t>
            </w:r>
          </w:p>
          <w:p w14:paraId="6D0988D8" w14:textId="77777777" w:rsidR="005B6E53" w:rsidRPr="00C16372" w:rsidRDefault="005B6E53" w:rsidP="004924D0">
            <w:pPr>
              <w:pStyle w:val="Prrafodelista"/>
              <w:ind w:left="0"/>
              <w:jc w:val="both"/>
              <w:rPr>
                <w:rFonts w:ascii="Verdana" w:hAnsi="Verdana" w:cs="Arial"/>
                <w:bCs/>
                <w:color w:val="000000"/>
                <w:lang w:val="es-ES_tradnl" w:eastAsia="es-MX"/>
              </w:rPr>
            </w:pPr>
          </w:p>
          <w:p w14:paraId="21D3A7A7" w14:textId="77777777" w:rsidR="005B6E53" w:rsidRPr="006A71B2" w:rsidRDefault="005B6E53" w:rsidP="005B6E53">
            <w:pPr>
              <w:pStyle w:val="Prrafodelista"/>
              <w:numPr>
                <w:ilvl w:val="0"/>
                <w:numId w:val="22"/>
              </w:numPr>
              <w:ind w:left="0" w:firstLine="0"/>
              <w:jc w:val="both"/>
              <w:rPr>
                <w:rFonts w:ascii="Verdana" w:hAnsi="Verdana" w:cs="Arial"/>
                <w:bCs/>
                <w:color w:val="000000"/>
                <w:lang w:val="es-ES_tradnl" w:eastAsia="es-MX"/>
              </w:rPr>
            </w:pPr>
            <w:r w:rsidRPr="00AE2DBA">
              <w:rPr>
                <w:rFonts w:ascii="Verdana" w:hAnsi="Verdana"/>
              </w:rPr>
              <w:t>artículo 2.2.1.2.1.2.1</w:t>
            </w:r>
            <w:r>
              <w:rPr>
                <w:rFonts w:ascii="Verdana" w:hAnsi="Verdana"/>
              </w:rPr>
              <w:t xml:space="preserve"> y </w:t>
            </w:r>
            <w:r w:rsidRPr="00C55F1F">
              <w:rPr>
                <w:rFonts w:ascii="Verdana" w:hAnsi="Verdana"/>
              </w:rPr>
              <w:t>2.2.1.2.1.2.2</w:t>
            </w:r>
            <w:r>
              <w:rPr>
                <w:rFonts w:ascii="Verdana" w:hAnsi="Verdana"/>
              </w:rPr>
              <w:t xml:space="preserve"> Decreto 1082 de 2015. Disponible en: </w:t>
            </w:r>
          </w:p>
          <w:p w14:paraId="4FD37BC5" w14:textId="77777777" w:rsidR="005B6E53" w:rsidRDefault="005B6E53" w:rsidP="004924D0">
            <w:pPr>
              <w:pStyle w:val="Prrafodelista"/>
              <w:ind w:left="0"/>
              <w:jc w:val="both"/>
              <w:rPr>
                <w:rFonts w:ascii="Verdana" w:hAnsi="Verdana" w:cs="Arial"/>
                <w:bCs/>
                <w:color w:val="000000"/>
                <w:lang w:val="es-ES_tradnl" w:eastAsia="es-MX"/>
              </w:rPr>
            </w:pPr>
            <w:hyperlink r:id="rId15" w:history="1">
              <w:r w:rsidRPr="00930F35">
                <w:rPr>
                  <w:rStyle w:val="Hipervnculo"/>
                  <w:rFonts w:ascii="Verdana" w:hAnsi="Verdana" w:cs="Arial"/>
                  <w:bCs/>
                  <w:lang w:val="es-ES_tradnl" w:eastAsia="es-MX"/>
                </w:rPr>
                <w:t>https://cceficiente.sharepoint.com/:w:/r/sites/SGC-Consultas/_layouts/15/Doc.aspx?sourcedoc=%7B29359D70-67D4-4566-91EA-D62D911AF562%7D&amp;file=Decreto%201082%20de%202015.docx&amp;action=default&amp;mobileredirect=true</w:t>
              </w:r>
            </w:hyperlink>
            <w:r>
              <w:rPr>
                <w:rFonts w:ascii="Verdana" w:hAnsi="Verdana" w:cs="Arial"/>
                <w:bCs/>
                <w:color w:val="000000"/>
                <w:lang w:val="es-ES_tradnl" w:eastAsia="es-MX"/>
              </w:rPr>
              <w:t xml:space="preserve"> </w:t>
            </w:r>
          </w:p>
          <w:p w14:paraId="7F40270E" w14:textId="77777777" w:rsidR="005B6E53" w:rsidRPr="00000343" w:rsidRDefault="005B6E53" w:rsidP="004924D0">
            <w:pPr>
              <w:pStyle w:val="Prrafodelista"/>
              <w:ind w:left="0"/>
              <w:jc w:val="both"/>
              <w:rPr>
                <w:rFonts w:ascii="Verdana" w:hAnsi="Verdana" w:cs="Arial"/>
                <w:bCs/>
                <w:color w:val="000000"/>
                <w:lang w:val="es-ES_tradnl" w:eastAsia="es-MX"/>
              </w:rPr>
            </w:pPr>
          </w:p>
          <w:p w14:paraId="5B2732E7" w14:textId="77777777" w:rsidR="005B6E53" w:rsidRPr="00923CA0" w:rsidRDefault="005B6E53" w:rsidP="005B6E53">
            <w:pPr>
              <w:pStyle w:val="Prrafodelista"/>
              <w:widowControl w:val="0"/>
              <w:numPr>
                <w:ilvl w:val="0"/>
                <w:numId w:val="21"/>
              </w:numPr>
              <w:autoSpaceDE w:val="0"/>
              <w:autoSpaceDN w:val="0"/>
              <w:ind w:left="0" w:firstLine="0"/>
              <w:contextualSpacing w:val="0"/>
              <w:jc w:val="both"/>
              <w:rPr>
                <w:rFonts w:ascii="Verdana" w:hAnsi="Verdana" w:cs="Arial"/>
              </w:rPr>
            </w:pPr>
            <w:r w:rsidRPr="00923CA0">
              <w:rPr>
                <w:rFonts w:ascii="Verdana" w:hAnsi="Verdana" w:cs="Arial"/>
              </w:rPr>
              <w:t xml:space="preserve">Jurisprudencia del Consejo de Estado. Disponible en: </w:t>
            </w:r>
            <w:hyperlink r:id="rId16" w:history="1">
              <w:r w:rsidRPr="00923CA0">
                <w:rPr>
                  <w:rStyle w:val="Hipervnculo"/>
                  <w:rFonts w:ascii="Verdana" w:hAnsi="Verdana" w:cs="Arial"/>
                </w:rPr>
                <w:t>https://relatoria.colombiacompra.gov.co/providencias-consejo-de-estado/</w:t>
              </w:r>
            </w:hyperlink>
            <w:r w:rsidRPr="00923CA0">
              <w:rPr>
                <w:rFonts w:ascii="Verdana" w:hAnsi="Verdana" w:cs="Arial"/>
              </w:rPr>
              <w:t xml:space="preserve"> </w:t>
            </w:r>
          </w:p>
          <w:p w14:paraId="09D8BAA3" w14:textId="77777777" w:rsidR="005B6E53" w:rsidRPr="00000343" w:rsidRDefault="005B6E53" w:rsidP="005B6E53">
            <w:pPr>
              <w:pStyle w:val="Prrafodelista"/>
              <w:widowControl w:val="0"/>
              <w:numPr>
                <w:ilvl w:val="0"/>
                <w:numId w:val="21"/>
              </w:numPr>
              <w:autoSpaceDE w:val="0"/>
              <w:autoSpaceDN w:val="0"/>
              <w:ind w:left="0" w:firstLine="0"/>
              <w:contextualSpacing w:val="0"/>
              <w:jc w:val="both"/>
              <w:rPr>
                <w:rFonts w:ascii="Verdana" w:hAnsi="Verdana" w:cs="Arial"/>
              </w:rPr>
            </w:pPr>
            <w:r w:rsidRPr="004B2B8D">
              <w:rPr>
                <w:rFonts w:ascii="Verdana" w:hAnsi="Verdana" w:cs="Arial"/>
              </w:rPr>
              <w:lastRenderedPageBreak/>
              <w:t>Guías y manuales expedidos por la ANCP-CCE. Disponible en:</w:t>
            </w:r>
            <w:r w:rsidRPr="004B2B8D">
              <w:t xml:space="preserve"> </w:t>
            </w:r>
            <w:hyperlink r:id="rId17" w:history="1">
              <w:r w:rsidRPr="00340039">
                <w:rPr>
                  <w:rStyle w:val="Hipervnculo"/>
                  <w:rFonts w:ascii="Verdana" w:hAnsi="Verdana" w:cs="Arial"/>
                </w:rPr>
                <w:t>https://www.colombiacompra.gov.co/manuales-guias-y-pliegos-tipo/manuales-y-guias</w:t>
              </w:r>
            </w:hyperlink>
            <w:r>
              <w:rPr>
                <w:rFonts w:ascii="Verdana" w:hAnsi="Verdana" w:cs="Arial"/>
              </w:rPr>
              <w:t xml:space="preserve"> </w:t>
            </w:r>
          </w:p>
        </w:tc>
      </w:tr>
    </w:tbl>
    <w:p w14:paraId="7D671BE4" w14:textId="77777777" w:rsidR="005B6E53" w:rsidRDefault="005B6E53" w:rsidP="005B6E53">
      <w:pPr>
        <w:widowControl w:val="0"/>
        <w:autoSpaceDE w:val="0"/>
        <w:autoSpaceDN w:val="0"/>
        <w:spacing w:after="0" w:line="276" w:lineRule="auto"/>
        <w:jc w:val="both"/>
        <w:rPr>
          <w:rFonts w:ascii="Verdana" w:hAnsi="Verdana" w:cs="Arial"/>
        </w:rPr>
      </w:pPr>
    </w:p>
    <w:p w14:paraId="77A5F7B4" w14:textId="77777777" w:rsidR="005B6E53" w:rsidRPr="00593A5F" w:rsidRDefault="005B6E53" w:rsidP="005B6E53">
      <w:pPr>
        <w:widowControl w:val="0"/>
        <w:autoSpaceDE w:val="0"/>
        <w:autoSpaceDN w:val="0"/>
        <w:spacing w:after="0" w:line="276" w:lineRule="auto"/>
        <w:jc w:val="both"/>
        <w:rPr>
          <w:rFonts w:ascii="Verdana" w:hAnsi="Verdana" w:cs="Arial"/>
        </w:rPr>
      </w:pPr>
    </w:p>
    <w:p w14:paraId="351CBA97" w14:textId="77777777" w:rsidR="005B6E53" w:rsidRDefault="005B6E53" w:rsidP="005B6E53">
      <w:pPr>
        <w:pStyle w:val="Prrafodelista"/>
        <w:numPr>
          <w:ilvl w:val="0"/>
          <w:numId w:val="17"/>
        </w:numPr>
        <w:tabs>
          <w:tab w:val="left" w:pos="142"/>
          <w:tab w:val="left" w:pos="284"/>
        </w:tabs>
        <w:spacing w:after="0" w:line="276" w:lineRule="auto"/>
        <w:jc w:val="both"/>
        <w:rPr>
          <w:rFonts w:ascii="Verdana" w:eastAsia="Century Gothic" w:hAnsi="Verdana" w:cs="Century Gothic"/>
          <w:b/>
          <w:bCs/>
        </w:rPr>
      </w:pPr>
      <w:r w:rsidRPr="00F45B26">
        <w:rPr>
          <w:rFonts w:ascii="Verdana" w:eastAsia="Century Gothic" w:hAnsi="Verdana" w:cs="Century Gothic"/>
          <w:b/>
          <w:bCs/>
        </w:rPr>
        <w:t>Doctrina de la Agencia Nacional de Contratación Pública:</w:t>
      </w:r>
    </w:p>
    <w:p w14:paraId="2A2EF29F" w14:textId="77777777" w:rsidR="005B6E53" w:rsidRDefault="005B6E53" w:rsidP="005B6E53">
      <w:pPr>
        <w:pStyle w:val="Prrafodelista"/>
        <w:tabs>
          <w:tab w:val="left" w:pos="142"/>
          <w:tab w:val="left" w:pos="284"/>
        </w:tabs>
        <w:spacing w:after="0" w:line="276" w:lineRule="auto"/>
        <w:jc w:val="both"/>
        <w:rPr>
          <w:rFonts w:ascii="Verdana" w:eastAsia="Century Gothic" w:hAnsi="Verdana" w:cs="Century Gothic"/>
          <w:b/>
          <w:bCs/>
        </w:rPr>
      </w:pPr>
    </w:p>
    <w:p w14:paraId="661E8757" w14:textId="77777777" w:rsidR="005B6E53" w:rsidRPr="00923CA0" w:rsidRDefault="005B6E53" w:rsidP="005B6E53">
      <w:pPr>
        <w:spacing w:before="120" w:after="0" w:line="276" w:lineRule="auto"/>
        <w:jc w:val="both"/>
        <w:rPr>
          <w:rStyle w:val="normaltextrun"/>
          <w:rFonts w:ascii="Verdana" w:eastAsia="Calibri" w:hAnsi="Verdana" w:cs="Arial"/>
          <w:color w:val="000000" w:themeColor="text1"/>
          <w:lang w:val="es-ES"/>
        </w:rPr>
      </w:pPr>
      <w:r w:rsidRPr="00D16A5E">
        <w:rPr>
          <w:rFonts w:ascii="Verdana" w:eastAsia="Calibri" w:hAnsi="Verdana" w:cs="Arial"/>
          <w:lang w:val="es-ES" w:eastAsia="es-ES"/>
        </w:rPr>
        <w:t xml:space="preserve">Sobre la </w:t>
      </w:r>
      <w:r w:rsidRPr="00D16A5E">
        <w:rPr>
          <w:rFonts w:ascii="Verdana" w:eastAsia="Calibri" w:hAnsi="Verdana" w:cs="Arial"/>
          <w:lang w:val="es-ES"/>
        </w:rPr>
        <w:t>regla de subsanabilidad en los procesos de selección,</w:t>
      </w:r>
      <w:r w:rsidRPr="00D16A5E">
        <w:rPr>
          <w:rStyle w:val="superscript"/>
          <w:rFonts w:ascii="Verdana" w:hAnsi="Verdana" w:cs="Arial"/>
          <w:shd w:val="clear" w:color="auto" w:fill="FFFFFF"/>
          <w:lang w:val="es-ES"/>
        </w:rPr>
        <w:t xml:space="preserve"> </w:t>
      </w:r>
      <w:r w:rsidRPr="00D16A5E">
        <w:rPr>
          <w:rStyle w:val="normaltextrun"/>
          <w:rFonts w:ascii="Verdana" w:hAnsi="Verdana" w:cs="Arial"/>
          <w:shd w:val="clear" w:color="auto" w:fill="FFFFFF"/>
          <w:lang w:val="es-ES"/>
        </w:rPr>
        <w:t xml:space="preserve">se pronunció esta Subdirección </w:t>
      </w:r>
      <w:r w:rsidRPr="00D16A5E">
        <w:rPr>
          <w:rFonts w:ascii="Verdana" w:eastAsia="Calibri" w:hAnsi="Verdana" w:cs="Arial"/>
          <w:lang w:val="es-ES"/>
        </w:rPr>
        <w:t>en los conceptos 4201913000007643 del 26 de diciembre de 2019, C-343 del 17 de junio de 2020, C-518 del 9 de septiembre de 2020, C-614 del 5 de octubre de 2022, C-882 del 21 de diciembre de 2022 y C-172 del 6 de junio de 2023.</w:t>
      </w:r>
      <w:r>
        <w:rPr>
          <w:rFonts w:ascii="Verdana" w:eastAsia="Calibri" w:hAnsi="Verdana" w:cs="Arial"/>
        </w:rPr>
        <w:t xml:space="preserve"> De igual manera, esta Agencia en el radicado 42021912000006453 del 14 de noviembre de 2019, explicó lo referente a la subsanabilidad de la ficha técnica en los procesos de selección abreviada. Estos y otros conceptos </w:t>
      </w:r>
      <w:r w:rsidRPr="00000343">
        <w:rPr>
          <w:rFonts w:ascii="Verdana" w:hAnsi="Verdana"/>
        </w:rPr>
        <w:t>se encuentran disponibles para consulta en el Sistema de relatoría</w:t>
      </w:r>
      <w:r w:rsidRPr="00923CA0">
        <w:rPr>
          <w:rFonts w:ascii="Verdana" w:hAnsi="Verdana"/>
        </w:rPr>
        <w:t xml:space="preserve"> de la Agencia, al cual se puede acceder a través del siguiente enlace:</w:t>
      </w:r>
      <w:r w:rsidRPr="00923CA0">
        <w:rPr>
          <w:rStyle w:val="normaltextrun"/>
          <w:rFonts w:ascii="Verdana" w:hAnsi="Verdana" w:cs="Arial"/>
          <w:shd w:val="clear" w:color="auto" w:fill="FFFFFF"/>
          <w:lang w:val="es-ES"/>
        </w:rPr>
        <w:t xml:space="preserve"> </w:t>
      </w:r>
      <w:r w:rsidRPr="00923CA0">
        <w:rPr>
          <w:rStyle w:val="normaltextrun"/>
          <w:rFonts w:ascii="Verdana" w:hAnsi="Verdana" w:cs="Arial"/>
          <w:color w:val="FF0000"/>
          <w:shd w:val="clear" w:color="auto" w:fill="FFFFFF"/>
          <w:lang w:val="es-ES"/>
        </w:rPr>
        <w:t>HYPERLINK ""</w:t>
      </w:r>
      <w:r w:rsidRPr="00923CA0">
        <w:rPr>
          <w:rStyle w:val="Hipervnculo"/>
          <w:rFonts w:ascii="Verdana" w:hAnsi="Verdana" w:cs="Arial"/>
          <w:shd w:val="clear" w:color="auto" w:fill="FFFFFF"/>
          <w:lang w:val="es-ES"/>
        </w:rPr>
        <w:t>https://relatoria.colombiacompra.gov.co/búsqueda/conceptos</w:t>
      </w:r>
      <w:r w:rsidRPr="00923CA0">
        <w:rPr>
          <w:rStyle w:val="normaltextrun"/>
          <w:rFonts w:ascii="Verdana" w:hAnsi="Verdana" w:cs="Arial"/>
          <w:color w:val="FF0000"/>
          <w:shd w:val="clear" w:color="auto" w:fill="FFFFFF"/>
          <w:lang w:val="es-ES"/>
        </w:rPr>
        <w:t xml:space="preserve">. </w:t>
      </w:r>
    </w:p>
    <w:p w14:paraId="3C3AFCAE" w14:textId="77777777" w:rsidR="005B6E53" w:rsidRPr="00F45B26" w:rsidRDefault="005B6E53" w:rsidP="005B6E53">
      <w:pPr>
        <w:pStyle w:val="Prrafodelista"/>
        <w:tabs>
          <w:tab w:val="left" w:pos="142"/>
          <w:tab w:val="left" w:pos="284"/>
        </w:tabs>
        <w:spacing w:after="0" w:line="276" w:lineRule="auto"/>
        <w:jc w:val="both"/>
        <w:rPr>
          <w:rFonts w:ascii="Verdana" w:eastAsia="Century Gothic" w:hAnsi="Verdana" w:cs="Century Gothic"/>
          <w:b/>
          <w:bCs/>
        </w:rPr>
      </w:pPr>
    </w:p>
    <w:p w14:paraId="3DFC8484" w14:textId="77777777" w:rsidR="005B6E53" w:rsidRPr="00916188" w:rsidRDefault="005B6E53" w:rsidP="005B6E53">
      <w:pPr>
        <w:pStyle w:val="Textonotapie"/>
        <w:spacing w:line="276" w:lineRule="auto"/>
        <w:jc w:val="both"/>
        <w:rPr>
          <w:rFonts w:ascii="Verdana" w:hAnsi="Verdana"/>
          <w:color w:val="000000"/>
          <w:sz w:val="22"/>
          <w:szCs w:val="22"/>
          <w:shd w:val="clear" w:color="auto" w:fill="FFFFFF"/>
        </w:rPr>
      </w:pPr>
      <w:r w:rsidRPr="00916188">
        <w:rPr>
          <w:rFonts w:ascii="Verdana" w:hAnsi="Verdana"/>
          <w:color w:val="000000"/>
          <w:sz w:val="22"/>
          <w:szCs w:val="22"/>
          <w:shd w:val="clear" w:color="auto" w:fill="FFFFFF"/>
        </w:rPr>
        <w:t>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hyperlink r:id="rId18" w:tgtFrame="_blank" w:tooltip="Dirección URL original: https://www.colombiacompra.gov.co/content/borrador-de-documentos-tipo-de-consultoria-de-obra-publica-de-infraestructura-de-transporte. Haga clic o pulse si confía en este vínculo." w:history="1">
        <w:r w:rsidRPr="00916188">
          <w:rPr>
            <w:rStyle w:val="Hipervnculo"/>
            <w:rFonts w:ascii="Verdana" w:hAnsi="Verdana"/>
            <w:sz w:val="22"/>
            <w:szCs w:val="22"/>
            <w:shd w:val="clear" w:color="auto" w:fill="FFFFFF"/>
          </w:rPr>
          <w:t>https://www.colombiacompra.gov.co/content/borrador-de-documentos-tipo-de-consultoria-de-obra-publica-de-infraestructura-de-transporte</w:t>
        </w:r>
      </w:hyperlink>
      <w:r w:rsidRPr="00916188">
        <w:rPr>
          <w:rFonts w:ascii="Verdana" w:hAnsi="Verdana"/>
          <w:color w:val="000000"/>
          <w:sz w:val="22"/>
          <w:szCs w:val="22"/>
          <w:shd w:val="clear" w:color="auto" w:fill="FFFFFF"/>
        </w:rPr>
        <w:t> y </w:t>
      </w:r>
      <w:hyperlink r:id="rId19" w:tgtFrame="_blank" w:tooltip="Dirección URL original: https://www.colombiacompra.gov.co/content/borrador-de-documentos-tipo-de-interventoria-de-obra-publica-de-infraestructura-de. Haga clic o pulse si confía en este vínculo." w:history="1">
        <w:r w:rsidRPr="00916188">
          <w:rPr>
            <w:rStyle w:val="Hipervnculo"/>
            <w:rFonts w:ascii="Verdana" w:hAnsi="Verdana"/>
            <w:sz w:val="22"/>
            <w:szCs w:val="22"/>
            <w:shd w:val="clear" w:color="auto" w:fill="FFFFFF"/>
          </w:rPr>
          <w:t>https://www.colombiacompra.gov.co/content/borrador-de-documentos-tipo-de-interventoria-de-obra-publica-de-infraestructura-de</w:t>
        </w:r>
      </w:hyperlink>
      <w:r w:rsidRPr="00916188">
        <w:rPr>
          <w:rFonts w:ascii="Verdana" w:hAnsi="Verdana"/>
          <w:color w:val="000000"/>
          <w:sz w:val="22"/>
          <w:szCs w:val="22"/>
          <w:shd w:val="clear" w:color="auto" w:fill="FFFFFF"/>
        </w:rPr>
        <w:t> .</w:t>
      </w:r>
    </w:p>
    <w:p w14:paraId="1B74859C" w14:textId="77777777" w:rsidR="005B6E53" w:rsidRPr="00916188" w:rsidRDefault="005B6E53" w:rsidP="005B6E53">
      <w:pPr>
        <w:pStyle w:val="Textonotapie"/>
        <w:spacing w:line="276" w:lineRule="auto"/>
        <w:jc w:val="both"/>
        <w:rPr>
          <w:rFonts w:ascii="Verdana" w:hAnsi="Verdana"/>
          <w:color w:val="000000"/>
          <w:sz w:val="22"/>
          <w:szCs w:val="22"/>
          <w:shd w:val="clear" w:color="auto" w:fill="FFFFFF"/>
        </w:rPr>
      </w:pPr>
    </w:p>
    <w:p w14:paraId="60367A5A" w14:textId="77777777" w:rsidR="005B6E53" w:rsidRDefault="005B6E53" w:rsidP="005B6E53">
      <w:pPr>
        <w:pStyle w:val="Textonotapie"/>
        <w:spacing w:line="276" w:lineRule="auto"/>
        <w:jc w:val="both"/>
        <w:rPr>
          <w:rFonts w:ascii="Verdana" w:hAnsi="Verdana"/>
          <w:color w:val="000000"/>
          <w:sz w:val="22"/>
          <w:szCs w:val="22"/>
          <w:shd w:val="clear" w:color="auto" w:fill="FFFFFF"/>
        </w:rPr>
      </w:pPr>
      <w:r w:rsidRPr="00916188">
        <w:rPr>
          <w:rFonts w:ascii="Verdana" w:hAnsi="Verdana"/>
          <w:color w:val="000000"/>
          <w:sz w:val="22"/>
          <w:szCs w:val="22"/>
          <w:shd w:val="clear" w:color="auto" w:fill="FFFFFF"/>
        </w:rPr>
        <w:t>De otra parte, te contamos que ya publicamos el borrador de la nueva Guía de Contratación Pública Sostenible y Socialmente Responsable. Conoce el documento y realiza tus comentarios hasta el 14 de noviembre de 2024 a través del siguiente enlace: </w:t>
      </w:r>
      <w:hyperlink r:id="rId20" w:tgtFrame="_blank" w:tooltip="Dirección URL original: https://www.sucop.gov.co/entidades/colombiacompra/Normativa?IDNorma=18320. Haga clic o pulse si confía en este vínculo." w:history="1">
        <w:r w:rsidRPr="00916188">
          <w:rPr>
            <w:rStyle w:val="Hipervnculo"/>
            <w:rFonts w:ascii="Verdana" w:hAnsi="Verdana"/>
            <w:sz w:val="22"/>
            <w:szCs w:val="22"/>
            <w:shd w:val="clear" w:color="auto" w:fill="FFFFFF"/>
          </w:rPr>
          <w:t>https://www.sucop.gov.co/entidades/colombiacompra/Normativa?IDNorma=18320</w:t>
        </w:r>
      </w:hyperlink>
      <w:r w:rsidRPr="00916188">
        <w:rPr>
          <w:rFonts w:ascii="Verdana" w:hAnsi="Verdana"/>
          <w:color w:val="000000"/>
          <w:sz w:val="22"/>
          <w:szCs w:val="22"/>
          <w:shd w:val="clear" w:color="auto" w:fill="FFFFFF"/>
        </w:rPr>
        <w:t>  </w:t>
      </w:r>
    </w:p>
    <w:p w14:paraId="32CFDA09" w14:textId="77777777" w:rsidR="00597333" w:rsidRPr="00916188" w:rsidRDefault="00597333" w:rsidP="005B6E53">
      <w:pPr>
        <w:pStyle w:val="Textonotapie"/>
        <w:spacing w:line="276" w:lineRule="auto"/>
        <w:jc w:val="both"/>
        <w:rPr>
          <w:rFonts w:ascii="Verdana" w:hAnsi="Verdana"/>
          <w:color w:val="000000"/>
          <w:sz w:val="22"/>
          <w:szCs w:val="22"/>
          <w:shd w:val="clear" w:color="auto" w:fill="FFFFFF"/>
        </w:rPr>
      </w:pPr>
    </w:p>
    <w:p w14:paraId="27680825" w14:textId="77777777" w:rsidR="00597333" w:rsidRDefault="00FA2FA1" w:rsidP="00597333">
      <w:pPr>
        <w:spacing w:after="0" w:line="276" w:lineRule="auto"/>
        <w:jc w:val="both"/>
        <w:rPr>
          <w:rFonts w:ascii="Verdana" w:hAnsi="Verdana" w:cs="Arial"/>
        </w:rPr>
      </w:pPr>
      <w:r>
        <w:rPr>
          <w:rFonts w:ascii="Verdana" w:hAnsi="Verdana"/>
          <w:color w:val="000000"/>
          <w:shd w:val="clear" w:color="auto" w:fill="FFFFFF"/>
        </w:rPr>
        <w:t xml:space="preserve">Asimismo, </w:t>
      </w:r>
      <w:r w:rsidR="00597333">
        <w:rPr>
          <w:rFonts w:ascii="Verdana" w:hAnsi="Verdana" w:cs="Arial"/>
        </w:rPr>
        <w:t xml:space="preserve">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Pueden consultar la versión actualizada en el siguiente enlace: </w:t>
      </w:r>
    </w:p>
    <w:p w14:paraId="5D0D33F4" w14:textId="77777777" w:rsidR="00597333" w:rsidRDefault="00597333" w:rsidP="00597333">
      <w:pPr>
        <w:spacing w:after="0" w:line="276" w:lineRule="auto"/>
        <w:jc w:val="both"/>
        <w:rPr>
          <w:rFonts w:ascii="Verdana" w:hAnsi="Verdana" w:cs="Arial"/>
        </w:rPr>
      </w:pPr>
    </w:p>
    <w:p w14:paraId="5E8F008A" w14:textId="77777777" w:rsidR="00597333" w:rsidRPr="0007514F" w:rsidRDefault="00597333" w:rsidP="00597333">
      <w:pPr>
        <w:numPr>
          <w:ilvl w:val="0"/>
          <w:numId w:val="34"/>
        </w:numPr>
        <w:spacing w:after="0" w:line="276" w:lineRule="auto"/>
        <w:jc w:val="both"/>
        <w:rPr>
          <w:rFonts w:ascii="Verdana" w:hAnsi="Verdana" w:cs="Arial"/>
        </w:rPr>
      </w:pPr>
      <w:r w:rsidRPr="0007514F">
        <w:rPr>
          <w:rFonts w:ascii="Verdana" w:hAnsi="Verdana" w:cs="Arial"/>
        </w:rPr>
        <w:t>Enlace página ANCP-CCE: </w:t>
      </w:r>
      <w:hyperlink r:id="rId21" w:tgtFrame="_blank" w:tooltip="Dirección URL original: https://www.colombiacompra.gov.co/content/convocatorias. Haga clic o pulse si confía en este vínculo." w:history="1">
        <w:r w:rsidRPr="0007514F">
          <w:rPr>
            <w:rStyle w:val="Hipervnculo"/>
            <w:rFonts w:ascii="Verdana" w:hAnsi="Verdana" w:cs="Arial"/>
          </w:rPr>
          <w:t>https://www.colombiacompra.gov.co/content/convocatorias</w:t>
        </w:r>
      </w:hyperlink>
    </w:p>
    <w:p w14:paraId="2F14935D" w14:textId="77777777" w:rsidR="00597333" w:rsidRPr="0007514F" w:rsidRDefault="00597333" w:rsidP="00597333">
      <w:pPr>
        <w:numPr>
          <w:ilvl w:val="0"/>
          <w:numId w:val="34"/>
        </w:numPr>
        <w:spacing w:after="0" w:line="276" w:lineRule="auto"/>
        <w:jc w:val="both"/>
        <w:rPr>
          <w:rFonts w:ascii="Verdana" w:hAnsi="Verdana" w:cs="Arial"/>
          <w:lang w:val="en-US"/>
        </w:rPr>
      </w:pPr>
      <w:r w:rsidRPr="0007514F">
        <w:rPr>
          <w:rFonts w:ascii="Verdana" w:hAnsi="Verdana" w:cs="Arial"/>
          <w:lang w:val="en-US"/>
        </w:rPr>
        <w:t>Enlace SUCOP:  </w:t>
      </w:r>
      <w:hyperlink r:id="rId22" w:tgtFrame="_blank" w:tooltip="Dirección URL original: https://www.sucop.gov.co/entidades/colombiacompra/Normativa?IDNorma=19201. Haga clic o pulse si confía en este vínculo." w:history="1">
        <w:r w:rsidRPr="0007514F">
          <w:rPr>
            <w:rStyle w:val="Hipervnculo"/>
            <w:rFonts w:ascii="Verdana" w:hAnsi="Verdana" w:cs="Arial"/>
            <w:lang w:val="en-US"/>
          </w:rPr>
          <w:t>https://www.sucop.gov.co/entidades/colombiacompra/Normativa?IDNorma=19201</w:t>
        </w:r>
      </w:hyperlink>
    </w:p>
    <w:p w14:paraId="2500AFE1" w14:textId="43661979" w:rsidR="005B6E53" w:rsidRPr="00597333" w:rsidRDefault="005B6E53" w:rsidP="005B6E53">
      <w:pPr>
        <w:pStyle w:val="Textonotapie"/>
        <w:spacing w:line="276" w:lineRule="auto"/>
        <w:jc w:val="both"/>
        <w:rPr>
          <w:rFonts w:ascii="Verdana" w:hAnsi="Verdana"/>
          <w:color w:val="000000"/>
          <w:sz w:val="22"/>
          <w:szCs w:val="22"/>
          <w:shd w:val="clear" w:color="auto" w:fill="FFFFFF"/>
          <w:lang w:val="en-US"/>
        </w:rPr>
      </w:pPr>
    </w:p>
    <w:p w14:paraId="6349C51E" w14:textId="77777777" w:rsidR="00FA2FA1" w:rsidRPr="0007514F" w:rsidRDefault="00FA2FA1" w:rsidP="00FA2FA1">
      <w:pPr>
        <w:spacing w:after="0" w:line="276" w:lineRule="auto"/>
        <w:jc w:val="both"/>
        <w:rPr>
          <w:rFonts w:ascii="Verdana" w:hAnsi="Verdana" w:cs="Arial"/>
        </w:rPr>
      </w:pPr>
      <w:r w:rsidRPr="00D544D3">
        <w:rPr>
          <w:rFonts w:ascii="Verdana" w:hAnsi="Verdana" w:cs="Arial"/>
        </w:rPr>
        <w:t xml:space="preserve">También le invitamos a </w:t>
      </w:r>
      <w:r>
        <w:rPr>
          <w:rFonts w:ascii="Verdana" w:hAnsi="Verdana" w:cs="Arial"/>
        </w:rPr>
        <w:t xml:space="preserve">consultar la versión VII de 2024, del Boletín de Relatoría de la Subdirección de Gestión Contractual relacionado con las ASOCIACIONES PÚBLICO POPULARES, en el cual se puede descargar en la </w:t>
      </w:r>
      <w:proofErr w:type="spellStart"/>
      <w:r>
        <w:rPr>
          <w:rFonts w:ascii="Verdana" w:hAnsi="Verdana" w:cs="Arial"/>
        </w:rPr>
        <w:t>pagina</w:t>
      </w:r>
      <w:proofErr w:type="spellEnd"/>
      <w:r>
        <w:rPr>
          <w:rFonts w:ascii="Verdana" w:hAnsi="Verdana" w:cs="Arial"/>
        </w:rPr>
        <w:t xml:space="preserve"> web de la Agencia: </w:t>
      </w:r>
      <w:hyperlink r:id="rId23" w:tgtFrame="_blank" w:tooltip="Dirección URL original: https://www.colombiacompra.gov.co/sala-de-prensa/boletin-digital. Haga clic o pulse si confía en este vínculo." w:history="1">
        <w:r w:rsidRPr="0010298F">
          <w:rPr>
            <w:rStyle w:val="Hipervnculo"/>
            <w:rFonts w:ascii="Verdana" w:hAnsi="Verdana" w:cs="Arial"/>
          </w:rPr>
          <w:t>https://www.colombiacompra.gov.co/sala-de-prensa/boletin-digital</w:t>
        </w:r>
      </w:hyperlink>
      <w:r w:rsidRPr="0010298F">
        <w:rPr>
          <w:rFonts w:ascii="Verdana" w:hAnsi="Verdana" w:cs="Arial"/>
        </w:rPr>
        <w:t> </w:t>
      </w:r>
    </w:p>
    <w:p w14:paraId="01F18EBB" w14:textId="77777777" w:rsidR="005B6E53" w:rsidRDefault="005B6E53" w:rsidP="005B6E53">
      <w:pPr>
        <w:spacing w:after="0" w:line="240" w:lineRule="auto"/>
        <w:jc w:val="both"/>
        <w:rPr>
          <w:rFonts w:ascii="Verdana" w:hAnsi="Verdana"/>
        </w:rPr>
      </w:pPr>
    </w:p>
    <w:p w14:paraId="2AFD4226" w14:textId="77777777" w:rsidR="005B6E53" w:rsidRPr="0011467B" w:rsidRDefault="005B6E53" w:rsidP="005B6E53">
      <w:pPr>
        <w:spacing w:after="0" w:line="276" w:lineRule="auto"/>
        <w:jc w:val="both"/>
        <w:rPr>
          <w:rFonts w:ascii="Verdana" w:hAnsi="Verdana"/>
        </w:rPr>
      </w:pPr>
      <w:r w:rsidRPr="0011467B">
        <w:rPr>
          <w:rFonts w:ascii="Verdana" w:hAnsi="Verdana"/>
        </w:rPr>
        <w:t xml:space="preserve">Por último, lo invitamos a seguirnos en las redes sociales en las cuales se difunde información institucional: </w:t>
      </w:r>
    </w:p>
    <w:p w14:paraId="50DF77B5" w14:textId="77777777" w:rsidR="005B6E53" w:rsidRPr="0011467B" w:rsidRDefault="005B6E53" w:rsidP="005B6E53">
      <w:pPr>
        <w:spacing w:after="0" w:line="240" w:lineRule="auto"/>
        <w:jc w:val="both"/>
        <w:rPr>
          <w:rFonts w:ascii="Verdana" w:hAnsi="Verdana"/>
        </w:rPr>
      </w:pPr>
    </w:p>
    <w:p w14:paraId="28004BAC" w14:textId="77777777" w:rsidR="005B6E53" w:rsidRPr="0011467B" w:rsidRDefault="005B6E53" w:rsidP="005B6E53">
      <w:pPr>
        <w:spacing w:after="0" w:line="240" w:lineRule="auto"/>
        <w:jc w:val="both"/>
        <w:rPr>
          <w:rFonts w:ascii="Verdana" w:hAnsi="Verdana"/>
        </w:rPr>
      </w:pPr>
      <w:r w:rsidRPr="0011467B">
        <w:rPr>
          <w:rFonts w:ascii="Verdana" w:hAnsi="Verdana"/>
        </w:rPr>
        <w:t xml:space="preserve">Twitter: </w:t>
      </w:r>
      <w:r w:rsidRPr="00CE40A8">
        <w:rPr>
          <w:rStyle w:val="Hipervnculo"/>
          <w:rFonts w:ascii="Verdana" w:hAnsi="Verdana"/>
          <w:color w:val="4472C4" w:themeColor="accent1"/>
        </w:rPr>
        <w:t>@colombiacompra</w:t>
      </w:r>
      <w:r w:rsidRPr="00CE40A8">
        <w:rPr>
          <w:rFonts w:ascii="Verdana" w:hAnsi="Verdana"/>
          <w:color w:val="4472C4" w:themeColor="accent1"/>
        </w:rPr>
        <w:t xml:space="preserve"> </w:t>
      </w:r>
    </w:p>
    <w:p w14:paraId="2E63D50F" w14:textId="77777777" w:rsidR="005B6E53" w:rsidRPr="0011467B" w:rsidRDefault="005B6E53" w:rsidP="005B6E53">
      <w:pPr>
        <w:spacing w:after="0" w:line="240" w:lineRule="auto"/>
        <w:jc w:val="both"/>
        <w:rPr>
          <w:rFonts w:ascii="Verdana" w:hAnsi="Verdana"/>
        </w:rPr>
      </w:pPr>
      <w:r w:rsidRPr="0011467B">
        <w:rPr>
          <w:rFonts w:ascii="Verdana" w:hAnsi="Verdana"/>
        </w:rPr>
        <w:t xml:space="preserve">Facebook: </w:t>
      </w:r>
      <w:r w:rsidRPr="0011467B">
        <w:rPr>
          <w:rStyle w:val="Hipervnculo"/>
          <w:rFonts w:ascii="Verdana" w:hAnsi="Verdana"/>
          <w:color w:val="4472C4" w:themeColor="accent1"/>
        </w:rPr>
        <w:t>ColombiaCompraEficiente</w:t>
      </w:r>
    </w:p>
    <w:p w14:paraId="46F1768B" w14:textId="77777777" w:rsidR="005B6E53" w:rsidRPr="0011467B" w:rsidRDefault="005B6E53" w:rsidP="005B6E53">
      <w:pPr>
        <w:spacing w:after="0" w:line="240" w:lineRule="auto"/>
        <w:jc w:val="both"/>
        <w:rPr>
          <w:rFonts w:ascii="Verdana" w:hAnsi="Verdana"/>
        </w:rPr>
      </w:pPr>
      <w:r w:rsidRPr="0011467B">
        <w:rPr>
          <w:rFonts w:ascii="Verdana" w:hAnsi="Verdana"/>
        </w:rPr>
        <w:t xml:space="preserve">LinkedIn: </w:t>
      </w:r>
      <w:r w:rsidRPr="0011467B">
        <w:rPr>
          <w:rStyle w:val="Hipervnculo"/>
          <w:rFonts w:ascii="Verdana" w:hAnsi="Verdana"/>
          <w:color w:val="4472C4" w:themeColor="accent1"/>
        </w:rPr>
        <w:t>Agencia Nacional de Contratación Pública - Colombia Compra Eficiente</w:t>
      </w:r>
      <w:r w:rsidRPr="0011467B">
        <w:rPr>
          <w:rFonts w:ascii="Verdana" w:hAnsi="Verdana"/>
          <w:color w:val="4472C4" w:themeColor="accent1"/>
        </w:rPr>
        <w:t xml:space="preserve"> </w:t>
      </w:r>
      <w:r w:rsidRPr="0011467B">
        <w:rPr>
          <w:rFonts w:ascii="Verdana" w:hAnsi="Verdana"/>
        </w:rPr>
        <w:t xml:space="preserve">Instagram: </w:t>
      </w:r>
      <w:r w:rsidRPr="0011467B">
        <w:rPr>
          <w:rStyle w:val="Hipervnculo"/>
          <w:rFonts w:ascii="Verdana" w:hAnsi="Verdana"/>
          <w:color w:val="4472C4" w:themeColor="accent1"/>
        </w:rPr>
        <w:t>@colombiacompraeficiente_cce</w:t>
      </w:r>
    </w:p>
    <w:p w14:paraId="385D8106" w14:textId="77777777" w:rsidR="005B6E53" w:rsidRPr="0011467B" w:rsidRDefault="005B6E53" w:rsidP="005B6E53">
      <w:pPr>
        <w:spacing w:after="120" w:line="276" w:lineRule="auto"/>
        <w:jc w:val="center"/>
        <w:rPr>
          <w:rFonts w:ascii="Verdana" w:hAnsi="Verdana" w:cs="Arial"/>
          <w:lang w:val="es-ES"/>
        </w:rPr>
      </w:pPr>
    </w:p>
    <w:p w14:paraId="762B8470" w14:textId="77777777" w:rsidR="005B6E53" w:rsidRPr="0011467B" w:rsidRDefault="005B6E53" w:rsidP="005B6E53">
      <w:pPr>
        <w:spacing w:after="120" w:line="276" w:lineRule="auto"/>
        <w:jc w:val="both"/>
        <w:rPr>
          <w:rFonts w:ascii="Verdana" w:hAnsi="Verdana" w:cs="Arial"/>
          <w:color w:val="000000" w:themeColor="text1"/>
          <w:lang w:val="es-ES_tradnl"/>
        </w:rPr>
      </w:pPr>
      <w:r w:rsidRPr="0011467B">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441F80EC" w14:textId="77777777" w:rsidR="000E6D07" w:rsidRDefault="000E6D07" w:rsidP="005B6E53">
      <w:pPr>
        <w:spacing w:after="0" w:line="240" w:lineRule="auto"/>
        <w:rPr>
          <w:rFonts w:ascii="Verdana" w:eastAsia="Times New Roman" w:hAnsi="Verdana" w:cs="Arial"/>
          <w:i/>
          <w:lang w:val="es-ES" w:eastAsia="es-ES"/>
        </w:rPr>
      </w:pPr>
    </w:p>
    <w:p w14:paraId="25113202" w14:textId="6A9FFCEF" w:rsidR="005B6E53" w:rsidRDefault="005B6E53" w:rsidP="005B6E53">
      <w:pPr>
        <w:spacing w:after="0" w:line="240" w:lineRule="auto"/>
        <w:rPr>
          <w:rFonts w:ascii="Verdana" w:eastAsia="Times New Roman" w:hAnsi="Verdana" w:cs="Arial"/>
          <w:lang w:eastAsia="es-CO"/>
        </w:rPr>
      </w:pPr>
      <w:r w:rsidRPr="0011467B">
        <w:rPr>
          <w:rFonts w:ascii="Verdana" w:eastAsia="Times New Roman" w:hAnsi="Verdana" w:cs="Arial"/>
          <w:lang w:eastAsia="es-CO"/>
        </w:rPr>
        <w:t>A</w:t>
      </w:r>
      <w:r>
        <w:rPr>
          <w:rFonts w:ascii="Verdana" w:eastAsia="Times New Roman" w:hAnsi="Verdana" w:cs="Arial"/>
          <w:lang w:eastAsia="es-CO"/>
        </w:rPr>
        <w:t xml:space="preserve">tentamente, </w:t>
      </w:r>
    </w:p>
    <w:p w14:paraId="109E2C0E" w14:textId="77777777" w:rsidR="000E6D07" w:rsidRDefault="000E6D07" w:rsidP="005B6E53">
      <w:pPr>
        <w:spacing w:after="0" w:line="240" w:lineRule="auto"/>
        <w:rPr>
          <w:rFonts w:ascii="Verdana" w:eastAsia="Times New Roman" w:hAnsi="Verdana" w:cs="Arial"/>
          <w:lang w:eastAsia="es-CO"/>
        </w:rPr>
      </w:pPr>
    </w:p>
    <w:p w14:paraId="49B8FF80" w14:textId="592EA9B0" w:rsidR="000E6D07" w:rsidRPr="00DC1867" w:rsidRDefault="000E6D07" w:rsidP="000E6D07">
      <w:pPr>
        <w:spacing w:after="0" w:line="240" w:lineRule="auto"/>
        <w:jc w:val="center"/>
        <w:rPr>
          <w:rFonts w:ascii="Verdana" w:eastAsia="Times New Roman" w:hAnsi="Verdana" w:cs="Arial"/>
          <w:lang w:eastAsia="es-CO"/>
        </w:rPr>
      </w:pPr>
      <w:r w:rsidRPr="00F858AE">
        <w:rPr>
          <w:rFonts w:ascii="Verdana" w:hAnsi="Verdana"/>
          <w:noProof/>
        </w:rPr>
        <w:drawing>
          <wp:inline distT="0" distB="0" distL="0" distR="0" wp14:anchorId="6E30BD1F" wp14:editId="5ED43596">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24"/>
                    <a:stretch>
                      <a:fillRect/>
                    </a:stretch>
                  </pic:blipFill>
                  <pic:spPr>
                    <a:xfrm>
                      <a:off x="0" y="0"/>
                      <a:ext cx="3705742" cy="1590897"/>
                    </a:xfrm>
                    <a:prstGeom prst="rect">
                      <a:avLst/>
                    </a:prstGeom>
                  </pic:spPr>
                </pic:pic>
              </a:graphicData>
            </a:graphic>
          </wp:inline>
        </w:drawing>
      </w:r>
    </w:p>
    <w:p w14:paraId="1FB84567" w14:textId="15FAB6E6" w:rsidR="005B6E53" w:rsidRPr="00377184" w:rsidRDefault="005B6E53" w:rsidP="000E6D07">
      <w:pPr>
        <w:shd w:val="clear" w:color="auto" w:fill="FFFFFF"/>
        <w:spacing w:after="120"/>
        <w:jc w:val="center"/>
        <w:rPr>
          <w:rFonts w:ascii="Verdana" w:eastAsia="Times New Roman" w:hAnsi="Verdana" w:cs="Times New Roman"/>
          <w:color w:val="333333"/>
          <w:sz w:val="21"/>
          <w:szCs w:val="21"/>
          <w:lang w:eastAsia="es-MX"/>
        </w:rPr>
      </w:pPr>
    </w:p>
    <w:p w14:paraId="4A89DF64" w14:textId="77777777" w:rsidR="005B6E53" w:rsidRPr="00292355" w:rsidRDefault="005B6E53" w:rsidP="000E6D07">
      <w:pPr>
        <w:spacing w:line="276" w:lineRule="auto"/>
        <w:rPr>
          <w:rFonts w:ascii="Verdana" w:eastAsia="Aptos" w:hAnsi="Verdana" w:cs="Arial"/>
          <w:lang w:val="es-ES_tradnl" w:eastAsia="es-CO"/>
        </w:rPr>
      </w:pP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5B6E53" w:rsidRPr="00292355" w14:paraId="7FEB2B64" w14:textId="77777777" w:rsidTr="004924D0">
        <w:trPr>
          <w:trHeight w:val="286"/>
        </w:trPr>
        <w:tc>
          <w:tcPr>
            <w:tcW w:w="901" w:type="dxa"/>
            <w:vAlign w:val="center"/>
            <w:hideMark/>
          </w:tcPr>
          <w:p w14:paraId="264BE2C3" w14:textId="77777777" w:rsidR="005B6E53" w:rsidRPr="00292355" w:rsidRDefault="005B6E53" w:rsidP="004924D0">
            <w:pPr>
              <w:rPr>
                <w:rFonts w:ascii="Verdana" w:eastAsia="Aptos" w:hAnsi="Verdana" w:cs="Arial"/>
                <w:sz w:val="14"/>
                <w:szCs w:val="14"/>
                <w:lang w:eastAsia="es-ES"/>
              </w:rPr>
            </w:pPr>
            <w:r w:rsidRPr="00292355">
              <w:rPr>
                <w:rFonts w:ascii="Verdana" w:eastAsia="Aptos" w:hAnsi="Verdana" w:cs="Arial"/>
                <w:sz w:val="14"/>
                <w:szCs w:val="14"/>
                <w:lang w:eastAsia="es-ES"/>
              </w:rPr>
              <w:lastRenderedPageBreak/>
              <w:t>Elaboró:</w:t>
            </w:r>
          </w:p>
        </w:tc>
        <w:tc>
          <w:tcPr>
            <w:tcW w:w="4344" w:type="dxa"/>
            <w:tcBorders>
              <w:top w:val="nil"/>
              <w:left w:val="nil"/>
              <w:bottom w:val="dotted" w:sz="4" w:space="0" w:color="7F7F7F"/>
              <w:right w:val="nil"/>
            </w:tcBorders>
            <w:vAlign w:val="center"/>
            <w:hideMark/>
          </w:tcPr>
          <w:p w14:paraId="484707BD" w14:textId="77777777" w:rsidR="005B6E53" w:rsidRPr="00292355" w:rsidRDefault="005B6E53" w:rsidP="004924D0">
            <w:pPr>
              <w:rPr>
                <w:rFonts w:ascii="Verdana" w:eastAsia="Aptos" w:hAnsi="Verdana" w:cs="Arial"/>
                <w:sz w:val="14"/>
                <w:szCs w:val="14"/>
                <w:lang w:eastAsia="es-ES"/>
              </w:rPr>
            </w:pPr>
            <w:r>
              <w:rPr>
                <w:rFonts w:ascii="Verdana" w:eastAsia="Aptos" w:hAnsi="Verdana" w:cs="Arial"/>
                <w:sz w:val="14"/>
                <w:szCs w:val="14"/>
                <w:lang w:eastAsia="es-ES"/>
              </w:rPr>
              <w:t>Kelmis Yirama Brugés Alvarado</w:t>
            </w:r>
          </w:p>
          <w:p w14:paraId="6800C0A3" w14:textId="77777777" w:rsidR="005B6E53" w:rsidRPr="00292355" w:rsidRDefault="005B6E53" w:rsidP="004924D0">
            <w:pPr>
              <w:rPr>
                <w:rFonts w:ascii="Verdana" w:eastAsia="Aptos" w:hAnsi="Verdana" w:cs="Arial"/>
                <w:sz w:val="14"/>
                <w:szCs w:val="14"/>
                <w:lang w:eastAsia="es-ES"/>
              </w:rPr>
            </w:pPr>
            <w:r w:rsidRPr="00292355">
              <w:rPr>
                <w:rFonts w:ascii="Verdana" w:eastAsia="Aptos" w:hAnsi="Verdana" w:cs="Arial"/>
                <w:sz w:val="14"/>
                <w:szCs w:val="14"/>
                <w:lang w:eastAsia="es-ES"/>
              </w:rPr>
              <w:t>Analista T2–0</w:t>
            </w:r>
            <w:r>
              <w:rPr>
                <w:rFonts w:ascii="Verdana" w:eastAsia="Aptos" w:hAnsi="Verdana" w:cs="Arial"/>
                <w:sz w:val="14"/>
                <w:szCs w:val="14"/>
                <w:lang w:eastAsia="es-ES"/>
              </w:rPr>
              <w:t xml:space="preserve">4 </w:t>
            </w:r>
            <w:r w:rsidRPr="00292355">
              <w:rPr>
                <w:rFonts w:ascii="Verdana" w:eastAsia="Aptos" w:hAnsi="Verdana" w:cs="Arial"/>
                <w:sz w:val="14"/>
                <w:szCs w:val="14"/>
                <w:lang w:eastAsia="es-ES"/>
              </w:rPr>
              <w:t>de la Subdirección de Gestión Contractual</w:t>
            </w:r>
          </w:p>
        </w:tc>
      </w:tr>
      <w:tr w:rsidR="005B6E53" w:rsidRPr="00292355" w14:paraId="54CD02DA" w14:textId="77777777" w:rsidTr="004924D0">
        <w:trPr>
          <w:trHeight w:val="299"/>
        </w:trPr>
        <w:tc>
          <w:tcPr>
            <w:tcW w:w="901" w:type="dxa"/>
            <w:vAlign w:val="center"/>
          </w:tcPr>
          <w:p w14:paraId="7BEC9708" w14:textId="77777777" w:rsidR="005B6E53" w:rsidRPr="00292355" w:rsidRDefault="005B6E53" w:rsidP="004924D0">
            <w:pPr>
              <w:rPr>
                <w:rFonts w:ascii="Verdana" w:eastAsia="Aptos" w:hAnsi="Verdana" w:cs="Arial"/>
                <w:sz w:val="14"/>
                <w:szCs w:val="14"/>
                <w:lang w:eastAsia="es-ES"/>
              </w:rPr>
            </w:pPr>
            <w:r w:rsidRPr="00292355">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3E6B09EA" w14:textId="77777777" w:rsidR="005B6E53" w:rsidRPr="00292355" w:rsidRDefault="005B6E53" w:rsidP="004924D0">
            <w:pPr>
              <w:rPr>
                <w:rFonts w:ascii="Verdana" w:eastAsia="Aptos" w:hAnsi="Verdana" w:cs="Arial"/>
                <w:sz w:val="14"/>
                <w:szCs w:val="14"/>
                <w:lang w:eastAsia="es-ES"/>
              </w:rPr>
            </w:pPr>
            <w:r>
              <w:rPr>
                <w:rFonts w:ascii="Verdana" w:eastAsia="Aptos" w:hAnsi="Verdana" w:cs="Arial"/>
                <w:sz w:val="14"/>
                <w:szCs w:val="14"/>
                <w:lang w:eastAsia="es-ES"/>
              </w:rPr>
              <w:t>Cielo González Mesa</w:t>
            </w:r>
          </w:p>
          <w:p w14:paraId="2B68212A" w14:textId="77777777" w:rsidR="005B6E53" w:rsidRPr="00292355" w:rsidRDefault="005B6E53" w:rsidP="004924D0">
            <w:pPr>
              <w:rPr>
                <w:rFonts w:ascii="Verdana" w:eastAsia="Aptos" w:hAnsi="Verdana" w:cs="Arial"/>
                <w:sz w:val="14"/>
                <w:szCs w:val="14"/>
                <w:lang w:eastAsia="es-ES"/>
              </w:rPr>
            </w:pPr>
            <w:r>
              <w:rPr>
                <w:rFonts w:ascii="Verdana" w:eastAsia="Aptos" w:hAnsi="Verdana" w:cs="Arial"/>
                <w:sz w:val="14"/>
                <w:szCs w:val="14"/>
                <w:lang w:eastAsia="es-ES"/>
              </w:rPr>
              <w:t xml:space="preserve">Contratista </w:t>
            </w:r>
            <w:r w:rsidRPr="00292355">
              <w:rPr>
                <w:rFonts w:ascii="Verdana" w:eastAsia="Aptos" w:hAnsi="Verdana" w:cs="Arial"/>
                <w:sz w:val="14"/>
                <w:szCs w:val="14"/>
                <w:lang w:eastAsia="es-ES"/>
              </w:rPr>
              <w:t>de la Subdirección de Gestión Contractual</w:t>
            </w:r>
          </w:p>
        </w:tc>
      </w:tr>
      <w:tr w:rsidR="005B6E53" w:rsidRPr="00292355" w14:paraId="4026633D" w14:textId="77777777" w:rsidTr="004924D0">
        <w:trPr>
          <w:trHeight w:val="272"/>
        </w:trPr>
        <w:tc>
          <w:tcPr>
            <w:tcW w:w="901" w:type="dxa"/>
            <w:vAlign w:val="center"/>
            <w:hideMark/>
          </w:tcPr>
          <w:p w14:paraId="57F340AE" w14:textId="77777777" w:rsidR="005B6E53" w:rsidRPr="00292355" w:rsidRDefault="005B6E53" w:rsidP="004924D0">
            <w:pPr>
              <w:rPr>
                <w:rFonts w:ascii="Verdana" w:eastAsia="Aptos" w:hAnsi="Verdana" w:cs="Arial"/>
                <w:sz w:val="14"/>
                <w:szCs w:val="14"/>
                <w:lang w:eastAsia="es-ES"/>
              </w:rPr>
            </w:pPr>
            <w:r w:rsidRPr="00292355">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2A054B19" w14:textId="77777777" w:rsidR="005B6E53" w:rsidRPr="00292355" w:rsidRDefault="005B6E53" w:rsidP="004924D0">
            <w:pPr>
              <w:rPr>
                <w:rFonts w:ascii="Verdana" w:eastAsia="Aptos" w:hAnsi="Verdana" w:cs="Arial"/>
                <w:sz w:val="14"/>
                <w:szCs w:val="14"/>
                <w:lang w:eastAsia="es-ES"/>
              </w:rPr>
            </w:pPr>
            <w:r w:rsidRPr="00292355">
              <w:rPr>
                <w:rFonts w:ascii="Verdana" w:eastAsia="Aptos" w:hAnsi="Verdana" w:cs="Arial"/>
                <w:sz w:val="14"/>
                <w:szCs w:val="14"/>
                <w:lang w:eastAsia="es-ES"/>
              </w:rPr>
              <w:t>Carolina Quintero Gacharná</w:t>
            </w:r>
          </w:p>
          <w:p w14:paraId="281EC989" w14:textId="77777777" w:rsidR="005B6E53" w:rsidRPr="00292355" w:rsidRDefault="005B6E53" w:rsidP="004924D0">
            <w:pPr>
              <w:rPr>
                <w:rFonts w:ascii="Verdana" w:eastAsia="Aptos" w:hAnsi="Verdana" w:cs="Arial"/>
                <w:sz w:val="14"/>
                <w:szCs w:val="14"/>
                <w:lang w:eastAsia="es-ES"/>
              </w:rPr>
            </w:pPr>
            <w:r w:rsidRPr="00292355">
              <w:rPr>
                <w:rFonts w:ascii="Verdana" w:eastAsia="Aptos" w:hAnsi="Verdana" w:cs="Arial"/>
                <w:sz w:val="14"/>
                <w:szCs w:val="14"/>
                <w:lang w:eastAsia="es-ES"/>
              </w:rPr>
              <w:t>Subdirectora de Gestión Contractual ANCP – CCE</w:t>
            </w:r>
          </w:p>
        </w:tc>
      </w:tr>
    </w:tbl>
    <w:p w14:paraId="1BB9E62A" w14:textId="77777777" w:rsidR="005B6E53" w:rsidRPr="00292355" w:rsidRDefault="005B6E53" w:rsidP="005B6E53">
      <w:pPr>
        <w:spacing w:after="0" w:line="240" w:lineRule="auto"/>
        <w:rPr>
          <w:rFonts w:ascii="Verdana" w:eastAsia="Times New Roman" w:hAnsi="Verdana" w:cs="Arial"/>
          <w:sz w:val="24"/>
          <w:szCs w:val="24"/>
          <w:lang w:eastAsia="es-ES"/>
        </w:rPr>
      </w:pPr>
    </w:p>
    <w:p w14:paraId="45BFAC47" w14:textId="77777777" w:rsidR="005B6E53" w:rsidRPr="008F00A2" w:rsidRDefault="005B6E53" w:rsidP="005B6E53">
      <w:pPr>
        <w:spacing w:after="120" w:line="240" w:lineRule="auto"/>
        <w:jc w:val="both"/>
        <w:rPr>
          <w:rFonts w:ascii="Verdana" w:hAnsi="Verdana"/>
          <w:vanish/>
          <w:lang w:val="es-ES"/>
          <w:specVanish/>
        </w:rPr>
      </w:pPr>
    </w:p>
    <w:p w14:paraId="65410385" w14:textId="77777777" w:rsidR="005B6E53" w:rsidRPr="00AB3CCA" w:rsidRDefault="005B6E53" w:rsidP="005B6E53">
      <w:pPr>
        <w:rPr>
          <w:rFonts w:ascii="Verdana" w:hAnsi="Verdana"/>
          <w:lang w:val="es-ES"/>
        </w:rPr>
      </w:pPr>
    </w:p>
    <w:p w14:paraId="629D9924" w14:textId="77777777" w:rsidR="008F00A2" w:rsidRPr="005B6E53" w:rsidRDefault="008F00A2" w:rsidP="005B6E53">
      <w:pPr>
        <w:rPr>
          <w:lang w:val="es-ES"/>
        </w:rPr>
      </w:pPr>
    </w:p>
    <w:sectPr w:rsidR="008F00A2" w:rsidRPr="005B6E53" w:rsidSect="007C0C0F">
      <w:headerReference w:type="default" r:id="rId25"/>
      <w:footerReference w:type="default" r:id="rId2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4CBE3" w14:textId="77777777" w:rsidR="003A26D1" w:rsidRDefault="003A26D1" w:rsidP="004A1847">
      <w:pPr>
        <w:spacing w:after="0" w:line="240" w:lineRule="auto"/>
      </w:pPr>
      <w:r>
        <w:separator/>
      </w:r>
    </w:p>
  </w:endnote>
  <w:endnote w:type="continuationSeparator" w:id="0">
    <w:p w14:paraId="65206EE7" w14:textId="77777777" w:rsidR="003A26D1" w:rsidRDefault="003A26D1" w:rsidP="004A1847">
      <w:pPr>
        <w:spacing w:after="0" w:line="240" w:lineRule="auto"/>
      </w:pPr>
      <w:r>
        <w:continuationSeparator/>
      </w:r>
    </w:p>
  </w:endnote>
  <w:endnote w:type="continuationNotice" w:id="1">
    <w:p w14:paraId="72F4C3AB" w14:textId="77777777" w:rsidR="008C7229" w:rsidRDefault="008C72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F4637" w14:textId="77777777" w:rsidR="003A26D1" w:rsidRDefault="003A26D1" w:rsidP="004A1847">
      <w:pPr>
        <w:spacing w:after="0" w:line="240" w:lineRule="auto"/>
      </w:pPr>
      <w:r>
        <w:separator/>
      </w:r>
    </w:p>
  </w:footnote>
  <w:footnote w:type="continuationSeparator" w:id="0">
    <w:p w14:paraId="77E7CEA2" w14:textId="77777777" w:rsidR="003A26D1" w:rsidRDefault="003A26D1" w:rsidP="004A1847">
      <w:pPr>
        <w:spacing w:after="0" w:line="240" w:lineRule="auto"/>
      </w:pPr>
      <w:r>
        <w:continuationSeparator/>
      </w:r>
    </w:p>
  </w:footnote>
  <w:footnote w:type="continuationNotice" w:id="1">
    <w:p w14:paraId="774C35A9" w14:textId="77777777" w:rsidR="008C7229" w:rsidRDefault="008C7229">
      <w:pPr>
        <w:spacing w:after="0" w:line="240" w:lineRule="auto"/>
      </w:pPr>
    </w:p>
  </w:footnote>
  <w:footnote w:id="2">
    <w:p w14:paraId="1F580688" w14:textId="77777777" w:rsidR="005B6E53" w:rsidRPr="00045DDA" w:rsidRDefault="005B6E53" w:rsidP="005B6E53">
      <w:pPr>
        <w:pStyle w:val="NormalWeb"/>
        <w:spacing w:after="0"/>
        <w:ind w:firstLine="709"/>
        <w:contextualSpacing/>
        <w:jc w:val="both"/>
        <w:rPr>
          <w:rFonts w:ascii="Verdana" w:hAnsi="Verdana" w:cs="Arial"/>
          <w:sz w:val="14"/>
          <w:szCs w:val="14"/>
        </w:rPr>
      </w:pPr>
      <w:r w:rsidRPr="00045DDA">
        <w:rPr>
          <w:rStyle w:val="Refdenotaalpie"/>
          <w:rFonts w:ascii="Verdana" w:hAnsi="Verdana" w:cs="Arial"/>
          <w:sz w:val="14"/>
          <w:szCs w:val="14"/>
        </w:rPr>
        <w:footnoteRef/>
      </w:r>
      <w:r w:rsidRPr="00045DDA">
        <w:rPr>
          <w:rFonts w:ascii="Verdana" w:hAnsi="Verdana" w:cs="Arial"/>
          <w:sz w:val="14"/>
          <w:szCs w:val="14"/>
        </w:rPr>
        <w:t xml:space="preserve"> </w:t>
      </w:r>
      <w:r w:rsidRPr="00045DDA">
        <w:rPr>
          <w:rFonts w:ascii="Verdana" w:hAnsi="Verdana" w:cs="Arial"/>
          <w:sz w:val="14"/>
          <w:szCs w:val="14"/>
          <w:lang w:val="es-ES"/>
        </w:rPr>
        <w:t>“</w:t>
      </w:r>
      <w:r w:rsidRPr="00045DDA">
        <w:rPr>
          <w:rFonts w:ascii="Verdana" w:hAnsi="Verdana" w:cs="Arial"/>
          <w:sz w:val="14"/>
          <w:szCs w:val="14"/>
        </w:rPr>
        <w:t xml:space="preserve">Para poder participar en los procesos de selección de los contratos de obra, la capacidad residual del proponente o K de contratación deberá ser igual o superior al que la entidad haya establecido para el efecto en los pliegos de condiciones. </w:t>
      </w:r>
    </w:p>
    <w:p w14:paraId="0EFF56AB" w14:textId="77777777" w:rsidR="005B6E53" w:rsidRPr="00045DDA" w:rsidRDefault="005B6E53" w:rsidP="005B6E53">
      <w:pPr>
        <w:pStyle w:val="NormalWeb"/>
        <w:spacing w:after="0"/>
        <w:ind w:firstLine="709"/>
        <w:contextualSpacing/>
        <w:jc w:val="both"/>
        <w:rPr>
          <w:rFonts w:ascii="Verdana" w:hAnsi="Verdana" w:cs="Arial"/>
          <w:sz w:val="14"/>
          <w:szCs w:val="14"/>
        </w:rPr>
      </w:pPr>
    </w:p>
    <w:p w14:paraId="74AC87A1" w14:textId="77777777" w:rsidR="005B6E53" w:rsidRPr="00045DDA" w:rsidRDefault="005B6E53" w:rsidP="005B6E53">
      <w:pPr>
        <w:spacing w:after="0" w:line="240" w:lineRule="auto"/>
        <w:ind w:firstLine="709"/>
        <w:contextualSpacing/>
        <w:jc w:val="both"/>
        <w:rPr>
          <w:rFonts w:ascii="Verdana" w:hAnsi="Verdana" w:cs="Arial"/>
          <w:sz w:val="14"/>
          <w:szCs w:val="14"/>
        </w:rPr>
      </w:pPr>
      <w:r w:rsidRPr="00045DDA">
        <w:rPr>
          <w:rFonts w:ascii="Verdana" w:hAnsi="Verdana" w:cs="Arial"/>
          <w:sz w:val="14"/>
          <w:szCs w:val="14"/>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footnote>
  <w:footnote w:id="3">
    <w:p w14:paraId="19DC1D75" w14:textId="77777777" w:rsidR="005B6E53" w:rsidRPr="00045DDA" w:rsidRDefault="005B6E53" w:rsidP="005B6E53">
      <w:pPr>
        <w:pStyle w:val="NormalWeb"/>
        <w:spacing w:after="0"/>
        <w:ind w:firstLine="709"/>
        <w:contextualSpacing/>
        <w:jc w:val="both"/>
        <w:rPr>
          <w:rFonts w:ascii="Verdana" w:hAnsi="Verdana" w:cs="Arial"/>
          <w:sz w:val="14"/>
          <w:szCs w:val="14"/>
          <w:lang w:val="es-ES"/>
        </w:rPr>
      </w:pPr>
      <w:r w:rsidRPr="00045DDA">
        <w:rPr>
          <w:rStyle w:val="Refdenotaalpie"/>
          <w:rFonts w:ascii="Verdana" w:hAnsi="Verdana" w:cs="Arial"/>
          <w:sz w:val="14"/>
          <w:szCs w:val="14"/>
        </w:rPr>
        <w:footnoteRef/>
      </w:r>
      <w:r w:rsidRPr="00045DDA">
        <w:rPr>
          <w:rStyle w:val="Refdenotaalpie"/>
          <w:rFonts w:ascii="Verdana" w:hAnsi="Verdana" w:cs="Arial"/>
          <w:sz w:val="14"/>
          <w:szCs w:val="14"/>
        </w:rPr>
        <w:t xml:space="preserve"> “</w:t>
      </w:r>
      <w:r w:rsidRPr="00045DDA">
        <w:rPr>
          <w:rFonts w:ascii="Verdana" w:hAnsi="Verdana" w:cs="Arial"/>
          <w:sz w:val="14"/>
          <w:szCs w:val="14"/>
          <w:lang w:val="es-ES"/>
        </w:rPr>
        <w:t>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2C62CF9F" w14:textId="77777777" w:rsidR="005B6E53" w:rsidRPr="00045DDA" w:rsidRDefault="005B6E53" w:rsidP="005B6E53">
      <w:pPr>
        <w:pStyle w:val="NormalWeb"/>
        <w:spacing w:after="0"/>
        <w:ind w:firstLine="709"/>
        <w:contextualSpacing/>
        <w:jc w:val="both"/>
        <w:rPr>
          <w:rFonts w:ascii="Verdana" w:hAnsi="Verdana" w:cs="Arial"/>
          <w:sz w:val="14"/>
          <w:szCs w:val="14"/>
          <w:lang w:val="es-ES"/>
        </w:rPr>
      </w:pPr>
      <w:r w:rsidRPr="00045DDA">
        <w:rPr>
          <w:rFonts w:ascii="Verdana" w:hAnsi="Verdana" w:cs="Arial"/>
          <w:sz w:val="14"/>
          <w:szCs w:val="14"/>
          <w:lang w:val="es-ES"/>
        </w:rPr>
        <w:t>“Parágrafo Transitorio. </w:t>
      </w:r>
      <w:hyperlink r:id="rId1" w:tgtFrame="_blank" w:history="1">
        <w:r>
          <w:t>https://colaboracion.dnp.gov.co/CDT/Normatividad/DECRETO 579 DEL 31 DE MAYO DE 2021.pdf</w:t>
        </w:r>
      </w:hyperlink>
      <w:r w:rsidRPr="00045DDA">
        <w:rPr>
          <w:rFonts w:ascii="Verdana" w:hAnsi="Verdana" w:cs="Arial"/>
          <w:sz w:val="14"/>
          <w:szCs w:val="14"/>
          <w:lang w:val="es-ES"/>
        </w:rPr>
        <w:t>De conformidad con los parágrafos transitorios de los artículos 2.2.1.1.1.5.2. y 2.2.1.1.1.5.6., yen desarrollo del deber de análisis de las Entidades Estatales, de que trata el artículo 2.2.1.1.1.6.1. de este Decreto, a partir del 1 de julio de 2021 las Entidades Estatales establecerán y evaluarán los requisitos habilitantes de capacidad financiera y organizacional teniendo en cuenta la información que conste en el Registro Único de Proponentes. En todo caso, se establecerán indicadores proporcionales al procedimiento de contratación.  </w:t>
      </w:r>
    </w:p>
    <w:p w14:paraId="65C3D07D" w14:textId="77777777" w:rsidR="005B6E53" w:rsidRPr="00045DDA" w:rsidRDefault="005B6E53" w:rsidP="005B6E53">
      <w:pPr>
        <w:pStyle w:val="NormalWeb"/>
        <w:spacing w:after="0"/>
        <w:ind w:firstLine="709"/>
        <w:contextualSpacing/>
        <w:jc w:val="both"/>
        <w:rPr>
          <w:rFonts w:ascii="Verdana" w:hAnsi="Verdana" w:cs="Arial"/>
          <w:sz w:val="14"/>
          <w:szCs w:val="14"/>
          <w:lang w:val="es-ES"/>
        </w:rPr>
      </w:pPr>
      <w:r w:rsidRPr="00045DDA">
        <w:rPr>
          <w:rFonts w:ascii="Verdana" w:hAnsi="Verdana" w:cs="Arial"/>
          <w:sz w:val="14"/>
          <w:szCs w:val="14"/>
          <w:lang w:val="es-ES"/>
        </w:rPr>
        <w:t>“Para ello, atendiendo a las condiciones aludidas, en relación con los indicadores de la capacidad financiera y organizacional, de los procesos de selección cuyo acto administrativo de apertura o invitación se publique a partir del 1 de julio de 2021, se tendrá en cuenta la información vigente y en firme en el RUP, por lo que las Entidades Estatales evaluarán estos indicadores, teniendo en cuenta el mejor año fiscal que se refleje en el registro de cada proponente</w:t>
      </w:r>
      <w:r w:rsidRPr="00045DDA">
        <w:rPr>
          <w:rFonts w:ascii="Arial" w:hAnsi="Arial" w:cs="Arial"/>
          <w:sz w:val="14"/>
          <w:szCs w:val="14"/>
          <w:lang w:val="es-ES"/>
        </w:rPr>
        <w:t>​</w:t>
      </w:r>
      <w:r w:rsidRPr="00045DDA">
        <w:rPr>
          <w:rFonts w:ascii="Verdana" w:hAnsi="Verdana" w:cs="Arial"/>
          <w:sz w:val="14"/>
          <w:szCs w:val="14"/>
          <w:lang w:val="es-ES"/>
        </w:rPr>
        <w:t>”.</w:t>
      </w:r>
    </w:p>
    <w:p w14:paraId="2422416D" w14:textId="77777777" w:rsidR="005B6E53" w:rsidRPr="00045DDA" w:rsidRDefault="005B6E53" w:rsidP="005B6E53">
      <w:pPr>
        <w:pStyle w:val="NormalWeb"/>
        <w:spacing w:after="0"/>
        <w:ind w:firstLine="709"/>
        <w:contextualSpacing/>
        <w:jc w:val="both"/>
        <w:rPr>
          <w:rStyle w:val="Refdenotaalpie"/>
          <w:rFonts w:ascii="Verdana" w:hAnsi="Verdana" w:cs="Arial"/>
          <w:sz w:val="14"/>
          <w:szCs w:val="14"/>
        </w:rPr>
      </w:pPr>
    </w:p>
  </w:footnote>
  <w:footnote w:id="4">
    <w:p w14:paraId="5134A94B" w14:textId="77777777" w:rsidR="005B6E53" w:rsidRPr="00045DDA" w:rsidRDefault="005B6E53" w:rsidP="005B6E53">
      <w:pPr>
        <w:pStyle w:val="Textonotapie"/>
        <w:ind w:firstLine="708"/>
        <w:contextualSpacing/>
        <w:jc w:val="both"/>
        <w:rPr>
          <w:rFonts w:ascii="Verdana" w:eastAsia="Times New Roman" w:hAnsi="Verdana" w:cs="Arial"/>
          <w:sz w:val="14"/>
          <w:szCs w:val="14"/>
          <w:lang w:eastAsia="es-CO"/>
        </w:rPr>
      </w:pPr>
      <w:r w:rsidRPr="00045DDA">
        <w:rPr>
          <w:rStyle w:val="Refdenotaalpie"/>
          <w:rFonts w:ascii="Verdana" w:hAnsi="Verdana"/>
          <w:sz w:val="14"/>
          <w:szCs w:val="14"/>
        </w:rPr>
        <w:footnoteRef/>
      </w:r>
      <w:r w:rsidRPr="00045DDA">
        <w:rPr>
          <w:rFonts w:ascii="Verdana" w:hAnsi="Verdana"/>
          <w:sz w:val="14"/>
          <w:szCs w:val="14"/>
        </w:rPr>
        <w:t xml:space="preserve"> </w:t>
      </w:r>
      <w:r w:rsidRPr="00045DDA">
        <w:rPr>
          <w:rFonts w:ascii="Verdana" w:eastAsia="Times New Roman" w:hAnsi="Verdana" w:cs="Arial"/>
          <w:sz w:val="14"/>
          <w:szCs w:val="14"/>
          <w:lang w:eastAsia="es-CO"/>
        </w:rPr>
        <w:t>Consejo de Estado. Sala de Consulta y Servicio Civil. Concepto del 20 de mayo de 2010. Exp. 1.992. C.P. Enrique José Arboleda Perdomo.</w:t>
      </w:r>
    </w:p>
    <w:p w14:paraId="6C4F9303" w14:textId="77777777" w:rsidR="005B6E53" w:rsidRPr="00045DDA" w:rsidRDefault="005B6E53" w:rsidP="005B6E53">
      <w:pPr>
        <w:pStyle w:val="Textonotapie"/>
        <w:jc w:val="both"/>
        <w:rPr>
          <w:rFonts w:ascii="Verdana" w:hAnsi="Verdana"/>
          <w:sz w:val="14"/>
          <w:szCs w:val="14"/>
        </w:rPr>
      </w:pPr>
    </w:p>
  </w:footnote>
  <w:footnote w:id="5">
    <w:p w14:paraId="43C7C217" w14:textId="77777777" w:rsidR="005B6E53" w:rsidRPr="00045DDA" w:rsidRDefault="005B6E53" w:rsidP="005B6E53">
      <w:pPr>
        <w:pStyle w:val="Textonotapie"/>
        <w:jc w:val="both"/>
        <w:rPr>
          <w:rFonts w:ascii="Verdana" w:hAnsi="Verdana"/>
          <w:sz w:val="14"/>
          <w:szCs w:val="14"/>
        </w:rPr>
      </w:pPr>
      <w:r w:rsidRPr="00045DDA">
        <w:rPr>
          <w:rStyle w:val="Refdenotaalpie"/>
          <w:rFonts w:ascii="Verdana" w:hAnsi="Verdana"/>
          <w:sz w:val="14"/>
          <w:szCs w:val="14"/>
        </w:rPr>
        <w:footnoteRef/>
      </w:r>
      <w:r w:rsidRPr="00045DDA">
        <w:rPr>
          <w:rFonts w:ascii="Verdana" w:hAnsi="Verdana"/>
          <w:sz w:val="14"/>
          <w:szCs w:val="14"/>
        </w:rPr>
        <w:t xml:space="preserve"> </w:t>
      </w:r>
      <w:r>
        <w:rPr>
          <w:rFonts w:ascii="Verdana" w:hAnsi="Verdana"/>
          <w:sz w:val="14"/>
          <w:szCs w:val="14"/>
        </w:rPr>
        <w:t xml:space="preserve">Conceptos: </w:t>
      </w:r>
      <w:r w:rsidRPr="00045DDA">
        <w:rPr>
          <w:rFonts w:ascii="Verdana" w:hAnsi="Verdana"/>
          <w:sz w:val="14"/>
          <w:szCs w:val="14"/>
          <w:lang w:val="es-ES"/>
        </w:rPr>
        <w:t xml:space="preserve">C-218 del 2 de abril de 2020, C-307 del 21 de mayo de 2020, C-391 del 10 de agosto de 2020, C-675 del 25 de noviembre de 2020 y C-683 del 21 de noviembre de 2020, C-779 del 20 de septiembre de 2020, C-882 del 21 de diciembre de 2022 y C-426 del 17 de octubre de 2023. </w:t>
      </w:r>
      <w:hyperlink r:id="rId2" w:history="1">
        <w:r w:rsidRPr="00045DDA">
          <w:rPr>
            <w:rStyle w:val="Hipervnculo"/>
            <w:rFonts w:ascii="Verdana" w:hAnsi="Verdana"/>
            <w:color w:val="4472C4" w:themeColor="accent1"/>
            <w:sz w:val="14"/>
            <w:szCs w:val="14"/>
            <w:lang w:val="es-ES"/>
          </w:rPr>
          <w:t>https://relatoria.colombiacompra.gov.co/busqueda/conceptos</w:t>
        </w:r>
      </w:hyperlink>
    </w:p>
  </w:footnote>
  <w:footnote w:id="6">
    <w:p w14:paraId="616DCAB0" w14:textId="77777777" w:rsidR="005B6E53" w:rsidRPr="00045DDA" w:rsidRDefault="005B6E53" w:rsidP="005B6E53">
      <w:pPr>
        <w:pStyle w:val="Textonotapie"/>
        <w:ind w:firstLine="708"/>
        <w:contextualSpacing/>
        <w:jc w:val="both"/>
        <w:rPr>
          <w:rFonts w:ascii="Verdana" w:eastAsia="Times New Roman" w:hAnsi="Verdana" w:cs="Arial"/>
          <w:sz w:val="14"/>
          <w:szCs w:val="14"/>
          <w:lang w:eastAsia="es-CO"/>
        </w:rPr>
      </w:pPr>
      <w:r w:rsidRPr="00045DDA">
        <w:rPr>
          <w:rStyle w:val="Refdenotaalpie"/>
          <w:rFonts w:ascii="Verdana" w:hAnsi="Verdana" w:cs="Arial"/>
          <w:sz w:val="14"/>
          <w:szCs w:val="14"/>
        </w:rPr>
        <w:footnoteRef/>
      </w:r>
      <w:r w:rsidRPr="00045DDA">
        <w:rPr>
          <w:rFonts w:ascii="Verdana" w:hAnsi="Verdana" w:cs="Arial"/>
          <w:sz w:val="14"/>
          <w:szCs w:val="14"/>
        </w:rPr>
        <w:t xml:space="preserve"> </w:t>
      </w:r>
      <w:r w:rsidRPr="00045DDA">
        <w:rPr>
          <w:rFonts w:ascii="Verdana" w:eastAsia="Times New Roman" w:hAnsi="Verdana" w:cs="Arial"/>
          <w:sz w:val="14"/>
          <w:szCs w:val="14"/>
          <w:lang w:eastAsia="es-CO"/>
        </w:rPr>
        <w:t>Ver conceptos: C-008 del 4 de mayo de 2020, C-267 del 4 de mayo de 2020, C-283 del 4 de mayo de 2020, C-365 del 30 de junio de 2020 y C-730 del 14 de diciembre del 2020 y C-779 de 18 de enero de 2021.</w:t>
      </w:r>
    </w:p>
    <w:p w14:paraId="4C05B613" w14:textId="77777777" w:rsidR="005B6E53" w:rsidRPr="00045DDA" w:rsidRDefault="005B6E53" w:rsidP="005B6E53">
      <w:pPr>
        <w:pStyle w:val="Textonotapie"/>
        <w:ind w:firstLine="708"/>
        <w:contextualSpacing/>
        <w:jc w:val="both"/>
        <w:rPr>
          <w:rFonts w:ascii="Verdana" w:eastAsia="Times New Roman" w:hAnsi="Verdana" w:cs="Arial"/>
          <w:sz w:val="14"/>
          <w:szCs w:val="14"/>
          <w:lang w:eastAsia="es-CO"/>
        </w:rPr>
      </w:pPr>
    </w:p>
  </w:footnote>
  <w:footnote w:id="7">
    <w:p w14:paraId="1226E593" w14:textId="77777777" w:rsidR="005B6E53" w:rsidRPr="00045DDA" w:rsidRDefault="005B6E53" w:rsidP="005B6E53">
      <w:pPr>
        <w:pStyle w:val="Textonotapie"/>
        <w:ind w:firstLine="708"/>
        <w:contextualSpacing/>
        <w:jc w:val="both"/>
        <w:rPr>
          <w:rFonts w:ascii="Verdana" w:hAnsi="Verdana" w:cs="Arial"/>
          <w:sz w:val="14"/>
          <w:szCs w:val="14"/>
        </w:rPr>
      </w:pPr>
      <w:r w:rsidRPr="00045DDA">
        <w:rPr>
          <w:rStyle w:val="Refdenotaalpie"/>
          <w:rFonts w:ascii="Verdana" w:hAnsi="Verdana" w:cs="Arial"/>
          <w:sz w:val="14"/>
          <w:szCs w:val="14"/>
        </w:rPr>
        <w:footnoteRef/>
      </w:r>
      <w:r w:rsidRPr="00045DDA">
        <w:rPr>
          <w:rFonts w:ascii="Verdana" w:hAnsi="Verdana" w:cs="Arial"/>
          <w:sz w:val="14"/>
          <w:szCs w:val="14"/>
        </w:rPr>
        <w:t xml:space="preserve"> Solo se profundizará en dos de ellos, por tener relación con el esquema general de subsanabilidad, en este sentido, el tercer aspecto, en que no se profundizará en este texto, se deriva de lo establecido en el parágrafo 3 del artículo 5 de la Ley 1150 de 2007, incluido por el artículo 5 de la Ley 1882 de 2018: “Parágrafo 3. La no entrega de la garantía de seriedad junto con la propuesta no será subsanable y será causal de rechazo de la misma”. </w:t>
      </w:r>
    </w:p>
    <w:p w14:paraId="7941F6BD" w14:textId="77777777" w:rsidR="005B6E53" w:rsidRPr="00045DDA" w:rsidRDefault="005B6E53" w:rsidP="005B6E53">
      <w:pPr>
        <w:pStyle w:val="Textonotapie"/>
        <w:ind w:firstLine="708"/>
        <w:contextualSpacing/>
        <w:jc w:val="both"/>
        <w:rPr>
          <w:rFonts w:ascii="Verdana" w:hAnsi="Verdana" w:cs="Arial"/>
          <w:sz w:val="14"/>
          <w:szCs w:val="14"/>
          <w:lang w:val="es-CO"/>
        </w:rPr>
      </w:pPr>
    </w:p>
  </w:footnote>
  <w:footnote w:id="8">
    <w:p w14:paraId="72A3B5A8" w14:textId="77777777" w:rsidR="005B6E53" w:rsidRPr="00045DDA" w:rsidRDefault="005B6E53" w:rsidP="005B6E53">
      <w:pPr>
        <w:pBdr>
          <w:top w:val="nil"/>
          <w:left w:val="nil"/>
          <w:bottom w:val="nil"/>
          <w:right w:val="nil"/>
          <w:between w:val="nil"/>
        </w:pBdr>
        <w:spacing w:after="0" w:line="240" w:lineRule="auto"/>
        <w:ind w:firstLine="709"/>
        <w:contextualSpacing/>
        <w:jc w:val="both"/>
        <w:rPr>
          <w:rFonts w:ascii="Verdana" w:eastAsia="Arial" w:hAnsi="Verdana" w:cs="Arial"/>
          <w:sz w:val="14"/>
          <w:szCs w:val="14"/>
        </w:rPr>
      </w:pPr>
      <w:r w:rsidRPr="00045DDA">
        <w:rPr>
          <w:rFonts w:ascii="Verdana" w:hAnsi="Verdana" w:cs="Arial"/>
          <w:sz w:val="14"/>
          <w:szCs w:val="14"/>
          <w:vertAlign w:val="superscript"/>
        </w:rPr>
        <w:footnoteRef/>
      </w:r>
      <w:r w:rsidRPr="00045DDA">
        <w:rPr>
          <w:rFonts w:ascii="Verdana" w:eastAsia="Arial" w:hAnsi="Verdana" w:cs="Arial"/>
          <w:sz w:val="14"/>
          <w:szCs w:val="14"/>
          <w:vertAlign w:val="superscript"/>
        </w:rPr>
        <w:t xml:space="preserve"> </w:t>
      </w:r>
      <w:r w:rsidRPr="00045DDA">
        <w:rPr>
          <w:rFonts w:ascii="Verdana" w:eastAsia="Arial" w:hAnsi="Verdana" w:cs="Arial"/>
          <w:sz w:val="14"/>
          <w:szCs w:val="14"/>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p w14:paraId="0D7CD7C2" w14:textId="77777777" w:rsidR="005B6E53" w:rsidRPr="00045DDA" w:rsidRDefault="005B6E53" w:rsidP="005B6E53">
      <w:pPr>
        <w:pBdr>
          <w:top w:val="nil"/>
          <w:left w:val="nil"/>
          <w:bottom w:val="nil"/>
          <w:right w:val="nil"/>
          <w:between w:val="nil"/>
        </w:pBdr>
        <w:spacing w:after="0" w:line="240" w:lineRule="auto"/>
        <w:ind w:firstLine="709"/>
        <w:contextualSpacing/>
        <w:jc w:val="both"/>
        <w:rPr>
          <w:rFonts w:ascii="Verdana" w:eastAsia="Arial" w:hAnsi="Verdana" w:cs="Arial"/>
          <w:sz w:val="14"/>
          <w:szCs w:val="14"/>
        </w:rPr>
      </w:pPr>
    </w:p>
  </w:footnote>
  <w:footnote w:id="9">
    <w:p w14:paraId="096DEC58" w14:textId="77777777" w:rsidR="005B6E53" w:rsidRPr="00045DDA" w:rsidRDefault="005B6E53" w:rsidP="005B6E53">
      <w:pPr>
        <w:pStyle w:val="Textonotapie"/>
        <w:ind w:firstLine="708"/>
        <w:contextualSpacing/>
        <w:jc w:val="both"/>
        <w:rPr>
          <w:rFonts w:ascii="Verdana" w:hAnsi="Verdana" w:cs="Arial"/>
          <w:sz w:val="14"/>
          <w:szCs w:val="14"/>
        </w:rPr>
      </w:pPr>
      <w:r w:rsidRPr="00045DDA">
        <w:rPr>
          <w:rFonts w:ascii="Verdana" w:eastAsia="Arial" w:hAnsi="Verdana" w:cs="Arial"/>
          <w:sz w:val="14"/>
          <w:szCs w:val="14"/>
          <w:vertAlign w:val="superscript"/>
        </w:rPr>
        <w:footnoteRef/>
      </w:r>
      <w:r w:rsidRPr="00045DDA">
        <w:rPr>
          <w:rFonts w:ascii="Verdana" w:eastAsia="Arial" w:hAnsi="Verdana" w:cs="Arial"/>
          <w:sz w:val="14"/>
          <w:szCs w:val="14"/>
          <w:vertAlign w:val="superscript"/>
        </w:rPr>
        <w:t xml:space="preserve"> </w:t>
      </w:r>
      <w:r w:rsidRPr="00045DDA">
        <w:rPr>
          <w:rFonts w:ascii="Verdana" w:eastAsia="Arial" w:hAnsi="Verdana" w:cs="Arial"/>
          <w:sz w:val="14"/>
          <w:szCs w:val="14"/>
        </w:rPr>
        <w:t>Consejo de Estado. Sala de Consulta y Servicio Civil. Concepto del 20 de mayo de 2010. No. de Radicado: 11001-03-06-000-2010-00034-00(1992). C.P. Enrique José Arboleda Perdomo.</w:t>
      </w:r>
    </w:p>
    <w:p w14:paraId="5910AEA7" w14:textId="77777777" w:rsidR="005B6E53" w:rsidRPr="00045DDA" w:rsidRDefault="005B6E53" w:rsidP="005B6E53">
      <w:pPr>
        <w:pStyle w:val="Textonotapie"/>
        <w:ind w:firstLine="708"/>
        <w:contextualSpacing/>
        <w:jc w:val="both"/>
        <w:rPr>
          <w:rFonts w:ascii="Verdana" w:hAnsi="Verdana" w:cs="Arial"/>
          <w:sz w:val="14"/>
          <w:szCs w:val="14"/>
        </w:rPr>
      </w:pPr>
    </w:p>
  </w:footnote>
  <w:footnote w:id="10">
    <w:p w14:paraId="70092FD5" w14:textId="77777777" w:rsidR="005B6E53" w:rsidRPr="005245B1" w:rsidRDefault="005B6E53" w:rsidP="005B6E53">
      <w:pPr>
        <w:spacing w:before="86" w:line="254" w:lineRule="auto"/>
        <w:ind w:left="300" w:right="232"/>
        <w:jc w:val="both"/>
        <w:rPr>
          <w:rFonts w:ascii="Verdana" w:hAnsi="Verdana"/>
          <w:sz w:val="12"/>
          <w:szCs w:val="12"/>
        </w:rPr>
      </w:pPr>
      <w:r w:rsidRPr="005245B1">
        <w:rPr>
          <w:rStyle w:val="Refdenotaalpie"/>
          <w:rFonts w:ascii="Verdana" w:hAnsi="Verdana"/>
          <w:sz w:val="12"/>
          <w:szCs w:val="12"/>
        </w:rPr>
        <w:footnoteRef/>
      </w:r>
      <w:r w:rsidRPr="005245B1">
        <w:rPr>
          <w:rFonts w:ascii="Verdana" w:hAnsi="Verdana"/>
          <w:sz w:val="12"/>
          <w:szCs w:val="12"/>
        </w:rPr>
        <w:t xml:space="preserve"> Decreto 1082 de 2015: “Artículo 2.2.1.2.1.2.1. Pliegos de condiciones. En los pliegos de condiciones para contratar Bienes y Servicios de Características Técnicas Uniformes, la Entidad Estatal debe indicar:</w:t>
      </w:r>
    </w:p>
    <w:p w14:paraId="2B7CDF30" w14:textId="77777777" w:rsidR="005B6E53" w:rsidRPr="005245B1" w:rsidRDefault="005B6E53" w:rsidP="005B6E53">
      <w:pPr>
        <w:ind w:left="300" w:right="309"/>
        <w:jc w:val="both"/>
        <w:rPr>
          <w:rFonts w:ascii="Verdana" w:hAnsi="Verdana"/>
          <w:sz w:val="12"/>
          <w:szCs w:val="12"/>
        </w:rPr>
      </w:pPr>
      <w:r w:rsidRPr="005245B1">
        <w:rPr>
          <w:rFonts w:ascii="Verdana" w:hAnsi="Verdana"/>
          <w:sz w:val="12"/>
          <w:szCs w:val="12"/>
        </w:rPr>
        <w:t xml:space="preserve">“1. La ficha técnica del bien o servicio que debe incluir: a) la clasificación del bien o servicio de acuerdo con el Clasificador de Bienes y Servicios; b) la identificación adicional requerida; c) la unidad de medida; d) la calidad mínima, y </w:t>
      </w:r>
      <w:proofErr w:type="spellStart"/>
      <w:r w:rsidRPr="005245B1">
        <w:rPr>
          <w:rFonts w:ascii="Verdana" w:hAnsi="Verdana"/>
          <w:sz w:val="12"/>
          <w:szCs w:val="12"/>
        </w:rPr>
        <w:t>e</w:t>
      </w:r>
      <w:proofErr w:type="spellEnd"/>
      <w:r w:rsidRPr="005245B1">
        <w:rPr>
          <w:rFonts w:ascii="Verdana" w:hAnsi="Verdana"/>
          <w:sz w:val="12"/>
          <w:szCs w:val="12"/>
        </w:rPr>
        <w:t>) los patrones de desempeño mínimos.</w:t>
      </w:r>
    </w:p>
    <w:p w14:paraId="708B01FC" w14:textId="77777777" w:rsidR="005B6E53" w:rsidRPr="005245B1" w:rsidRDefault="005B6E53" w:rsidP="005B6E53">
      <w:pPr>
        <w:ind w:left="300" w:right="309"/>
        <w:jc w:val="both"/>
        <w:rPr>
          <w:rFonts w:ascii="Verdana" w:hAnsi="Verdana"/>
          <w:sz w:val="12"/>
          <w:szCs w:val="12"/>
        </w:rPr>
      </w:pPr>
      <w:r w:rsidRPr="005245B1">
        <w:rPr>
          <w:rFonts w:ascii="Verdana" w:hAnsi="Verdana"/>
          <w:sz w:val="12"/>
          <w:szCs w:val="12"/>
        </w:rPr>
        <w:t>“2. Si el precio del bien o servicio es regulado, la variable sobre la cual se hace la evaluación de las ofertas.</w:t>
      </w:r>
    </w:p>
    <w:p w14:paraId="1FD820AD" w14:textId="77777777" w:rsidR="005B6E53" w:rsidRPr="005245B1" w:rsidRDefault="005B6E53" w:rsidP="005B6E53">
      <w:pPr>
        <w:ind w:left="300" w:right="309"/>
        <w:jc w:val="both"/>
        <w:rPr>
          <w:rFonts w:ascii="Verdana" w:hAnsi="Verdana"/>
          <w:sz w:val="12"/>
          <w:szCs w:val="12"/>
        </w:rPr>
      </w:pPr>
      <w:r w:rsidRPr="005245B1">
        <w:rPr>
          <w:rFonts w:ascii="Verdana" w:hAnsi="Verdana"/>
          <w:sz w:val="12"/>
          <w:szCs w:val="12"/>
        </w:rPr>
        <w:t xml:space="preserve"> “3. Definir el contenido de cada uno de las partes o lotes, si la adquisición se pretende hacer por partes”.</w:t>
      </w:r>
    </w:p>
    <w:p w14:paraId="416A57B4" w14:textId="77777777" w:rsidR="005B6E53" w:rsidRPr="00AE2DBA" w:rsidRDefault="005B6E53" w:rsidP="005B6E53">
      <w:pPr>
        <w:pStyle w:val="Textonotapie"/>
        <w:rPr>
          <w:lang w:val="es-CO"/>
        </w:rPr>
      </w:pPr>
    </w:p>
  </w:footnote>
  <w:footnote w:id="11">
    <w:p w14:paraId="27B3597A" w14:textId="77777777" w:rsidR="005B6E53" w:rsidRPr="005245B1" w:rsidRDefault="005B6E53" w:rsidP="005B6E53">
      <w:pPr>
        <w:spacing w:before="86" w:line="242" w:lineRule="auto"/>
        <w:ind w:left="300" w:right="306"/>
        <w:jc w:val="both"/>
        <w:rPr>
          <w:rFonts w:ascii="Verdana" w:hAnsi="Verdana"/>
          <w:sz w:val="12"/>
          <w:szCs w:val="12"/>
        </w:rPr>
      </w:pPr>
      <w:r w:rsidRPr="005245B1">
        <w:rPr>
          <w:rStyle w:val="Refdenotaalpie"/>
          <w:rFonts w:ascii="Verdana" w:hAnsi="Verdana"/>
          <w:sz w:val="12"/>
          <w:szCs w:val="12"/>
        </w:rPr>
        <w:footnoteRef/>
      </w:r>
      <w:r w:rsidRPr="005245B1">
        <w:rPr>
          <w:rFonts w:ascii="Verdana" w:hAnsi="Verdana"/>
          <w:sz w:val="12"/>
          <w:szCs w:val="12"/>
        </w:rPr>
        <w:t xml:space="preserve"> Colombia Compra Eficiente, concepto del 3 de septiembre de 2019, radicado No. 4201912000004846: “A partir de lo anterior resulta posible concluir que toda vez que la ficha técnica es un documento que contiene los aspectos técnicos mínimos de acreditación del bien o servicio a ofertar, no es un factor susceptible de evaluación a través de la asignación de puntaje, en consecuencia la entidad debe permitirle al oferente subsanar la ficha técnica, en concreto para el caso de la subasta inversa. El término será hasta el momento previo de la realización de la subasta”.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772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568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B3C2467"/>
    <w:multiLevelType w:val="hybridMultilevel"/>
    <w:tmpl w:val="9D64A6B2"/>
    <w:lvl w:ilvl="0" w:tplc="A59836F8">
      <w:start w:val="1"/>
      <w:numFmt w:val="lowerRoman"/>
      <w:lvlText w:val="%1)"/>
      <w:lvlJc w:val="left"/>
      <w:pPr>
        <w:ind w:left="1146" w:hanging="720"/>
      </w:pPr>
      <w:rPr>
        <w:rFonts w:hint="default"/>
        <w:b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15:restartNumberingAfterBreak="0">
    <w:nsid w:val="0C542AF2"/>
    <w:multiLevelType w:val="multilevel"/>
    <w:tmpl w:val="1400BD8E"/>
    <w:lvl w:ilvl="0">
      <w:start w:val="1"/>
      <w:numFmt w:val="decimal"/>
      <w:lvlText w:val="%1."/>
      <w:lvlJc w:val="left"/>
      <w:pPr>
        <w:ind w:left="660" w:hanging="360"/>
      </w:pPr>
      <w:rPr>
        <w:rFonts w:ascii="Arial" w:eastAsia="Arial" w:hAnsi="Arial" w:cs="Arial" w:hint="default"/>
        <w:b/>
        <w:bCs/>
        <w:color w:val="0D62A8"/>
        <w:spacing w:val="-8"/>
        <w:w w:val="100"/>
        <w:sz w:val="22"/>
        <w:szCs w:val="22"/>
        <w:lang w:val="es-ES" w:eastAsia="es-ES" w:bidi="es-ES"/>
      </w:rPr>
    </w:lvl>
    <w:lvl w:ilvl="1">
      <w:start w:val="1"/>
      <w:numFmt w:val="decimal"/>
      <w:lvlText w:val="%1.%2."/>
      <w:lvlJc w:val="left"/>
      <w:pPr>
        <w:ind w:left="725" w:hanging="425"/>
      </w:pPr>
      <w:rPr>
        <w:rFonts w:ascii="Arial" w:eastAsia="Arial" w:hAnsi="Arial" w:cs="Arial" w:hint="default"/>
        <w:b/>
        <w:bCs/>
        <w:color w:val="4E4D4D"/>
        <w:spacing w:val="-1"/>
        <w:w w:val="100"/>
        <w:sz w:val="22"/>
        <w:szCs w:val="22"/>
        <w:lang w:val="es-ES" w:eastAsia="es-ES" w:bidi="es-ES"/>
      </w:rPr>
    </w:lvl>
    <w:lvl w:ilvl="2">
      <w:start w:val="1"/>
      <w:numFmt w:val="decimal"/>
      <w:lvlText w:val="%3."/>
      <w:lvlJc w:val="left"/>
      <w:pPr>
        <w:ind w:left="1008" w:hanging="275"/>
      </w:pPr>
      <w:rPr>
        <w:rFonts w:ascii="Arial" w:eastAsia="Arial" w:hAnsi="Arial" w:cs="Arial" w:hint="default"/>
        <w:color w:val="auto"/>
        <w:spacing w:val="-20"/>
        <w:w w:val="100"/>
        <w:sz w:val="21"/>
        <w:szCs w:val="21"/>
        <w:lang w:val="es-ES" w:eastAsia="es-ES" w:bidi="es-ES"/>
      </w:rPr>
    </w:lvl>
    <w:lvl w:ilvl="3">
      <w:numFmt w:val="bullet"/>
      <w:lvlText w:val="•"/>
      <w:lvlJc w:val="left"/>
      <w:pPr>
        <w:ind w:left="1000" w:hanging="275"/>
      </w:pPr>
      <w:rPr>
        <w:rFonts w:hint="default"/>
        <w:lang w:val="es-ES" w:eastAsia="es-ES" w:bidi="es-ES"/>
      </w:rPr>
    </w:lvl>
    <w:lvl w:ilvl="4">
      <w:numFmt w:val="bullet"/>
      <w:lvlText w:val="•"/>
      <w:lvlJc w:val="left"/>
      <w:pPr>
        <w:ind w:left="2220" w:hanging="275"/>
      </w:pPr>
      <w:rPr>
        <w:rFonts w:hint="default"/>
        <w:lang w:val="es-ES" w:eastAsia="es-ES" w:bidi="es-ES"/>
      </w:rPr>
    </w:lvl>
    <w:lvl w:ilvl="5">
      <w:numFmt w:val="bullet"/>
      <w:lvlText w:val="•"/>
      <w:lvlJc w:val="left"/>
      <w:pPr>
        <w:ind w:left="3440" w:hanging="275"/>
      </w:pPr>
      <w:rPr>
        <w:rFonts w:hint="default"/>
        <w:lang w:val="es-ES" w:eastAsia="es-ES" w:bidi="es-ES"/>
      </w:rPr>
    </w:lvl>
    <w:lvl w:ilvl="6">
      <w:numFmt w:val="bullet"/>
      <w:lvlText w:val="•"/>
      <w:lvlJc w:val="left"/>
      <w:pPr>
        <w:ind w:left="4660" w:hanging="275"/>
      </w:pPr>
      <w:rPr>
        <w:rFonts w:hint="default"/>
        <w:lang w:val="es-ES" w:eastAsia="es-ES" w:bidi="es-ES"/>
      </w:rPr>
    </w:lvl>
    <w:lvl w:ilvl="7">
      <w:numFmt w:val="bullet"/>
      <w:lvlText w:val="•"/>
      <w:lvlJc w:val="left"/>
      <w:pPr>
        <w:ind w:left="5880" w:hanging="275"/>
      </w:pPr>
      <w:rPr>
        <w:rFonts w:hint="default"/>
        <w:lang w:val="es-ES" w:eastAsia="es-ES" w:bidi="es-ES"/>
      </w:rPr>
    </w:lvl>
    <w:lvl w:ilvl="8">
      <w:numFmt w:val="bullet"/>
      <w:lvlText w:val="•"/>
      <w:lvlJc w:val="left"/>
      <w:pPr>
        <w:ind w:left="7100" w:hanging="275"/>
      </w:pPr>
      <w:rPr>
        <w:rFonts w:hint="default"/>
        <w:lang w:val="es-ES" w:eastAsia="es-ES" w:bidi="es-ES"/>
      </w:rPr>
    </w:lvl>
  </w:abstractNum>
  <w:abstractNum w:abstractNumId="5" w15:restartNumberingAfterBreak="0">
    <w:nsid w:val="12033297"/>
    <w:multiLevelType w:val="hybridMultilevel"/>
    <w:tmpl w:val="A1CEE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3F1336"/>
    <w:multiLevelType w:val="multilevel"/>
    <w:tmpl w:val="599C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CC1DF1"/>
    <w:multiLevelType w:val="hybridMultilevel"/>
    <w:tmpl w:val="0DA84760"/>
    <w:lvl w:ilvl="0" w:tplc="07B03AE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47745FB8"/>
    <w:multiLevelType w:val="hybridMultilevel"/>
    <w:tmpl w:val="61AC5C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F3C75A8"/>
    <w:multiLevelType w:val="hybridMultilevel"/>
    <w:tmpl w:val="52FC0A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43D5C97"/>
    <w:multiLevelType w:val="hybridMultilevel"/>
    <w:tmpl w:val="92F06BAA"/>
    <w:lvl w:ilvl="0" w:tplc="57023D7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A31F57"/>
    <w:multiLevelType w:val="hybridMultilevel"/>
    <w:tmpl w:val="5C082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A455F01"/>
    <w:multiLevelType w:val="hybridMultilevel"/>
    <w:tmpl w:val="81C4DB3E"/>
    <w:lvl w:ilvl="0" w:tplc="DF902E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A5E0011"/>
    <w:multiLevelType w:val="hybridMultilevel"/>
    <w:tmpl w:val="BF3C0F4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11A7536"/>
    <w:multiLevelType w:val="hybridMultilevel"/>
    <w:tmpl w:val="537ADE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982536"/>
    <w:multiLevelType w:val="hybridMultilevel"/>
    <w:tmpl w:val="757EF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EFF0B38"/>
    <w:multiLevelType w:val="hybridMultilevel"/>
    <w:tmpl w:val="0360CB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D136CB"/>
    <w:multiLevelType w:val="hybridMultilevel"/>
    <w:tmpl w:val="F238D21C"/>
    <w:lvl w:ilvl="0" w:tplc="34F069FA">
      <w:start w:val="58"/>
      <w:numFmt w:val="decimal"/>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BAD64AB"/>
    <w:multiLevelType w:val="hybridMultilevel"/>
    <w:tmpl w:val="52B8B6AA"/>
    <w:lvl w:ilvl="0" w:tplc="6CBE502E">
      <w:start w:val="1"/>
      <w:numFmt w:val="lowerRoman"/>
      <w:lvlText w:val="%1)"/>
      <w:lvlJc w:val="left"/>
      <w:pPr>
        <w:ind w:left="1520" w:hanging="720"/>
      </w:pPr>
      <w:rPr>
        <w:rFonts w:hint="default"/>
      </w:rPr>
    </w:lvl>
    <w:lvl w:ilvl="1" w:tplc="080A0019" w:tentative="1">
      <w:start w:val="1"/>
      <w:numFmt w:val="lowerLetter"/>
      <w:lvlText w:val="%2."/>
      <w:lvlJc w:val="left"/>
      <w:pPr>
        <w:ind w:left="1880" w:hanging="360"/>
      </w:pPr>
    </w:lvl>
    <w:lvl w:ilvl="2" w:tplc="080A001B" w:tentative="1">
      <w:start w:val="1"/>
      <w:numFmt w:val="lowerRoman"/>
      <w:lvlText w:val="%3."/>
      <w:lvlJc w:val="right"/>
      <w:pPr>
        <w:ind w:left="2600" w:hanging="180"/>
      </w:pPr>
    </w:lvl>
    <w:lvl w:ilvl="3" w:tplc="080A000F" w:tentative="1">
      <w:start w:val="1"/>
      <w:numFmt w:val="decimal"/>
      <w:lvlText w:val="%4."/>
      <w:lvlJc w:val="left"/>
      <w:pPr>
        <w:ind w:left="3320" w:hanging="360"/>
      </w:pPr>
    </w:lvl>
    <w:lvl w:ilvl="4" w:tplc="080A0019" w:tentative="1">
      <w:start w:val="1"/>
      <w:numFmt w:val="lowerLetter"/>
      <w:lvlText w:val="%5."/>
      <w:lvlJc w:val="left"/>
      <w:pPr>
        <w:ind w:left="4040" w:hanging="360"/>
      </w:pPr>
    </w:lvl>
    <w:lvl w:ilvl="5" w:tplc="080A001B" w:tentative="1">
      <w:start w:val="1"/>
      <w:numFmt w:val="lowerRoman"/>
      <w:lvlText w:val="%6."/>
      <w:lvlJc w:val="right"/>
      <w:pPr>
        <w:ind w:left="4760" w:hanging="180"/>
      </w:pPr>
    </w:lvl>
    <w:lvl w:ilvl="6" w:tplc="080A000F" w:tentative="1">
      <w:start w:val="1"/>
      <w:numFmt w:val="decimal"/>
      <w:lvlText w:val="%7."/>
      <w:lvlJc w:val="left"/>
      <w:pPr>
        <w:ind w:left="5480" w:hanging="360"/>
      </w:pPr>
    </w:lvl>
    <w:lvl w:ilvl="7" w:tplc="080A0019" w:tentative="1">
      <w:start w:val="1"/>
      <w:numFmt w:val="lowerLetter"/>
      <w:lvlText w:val="%8."/>
      <w:lvlJc w:val="left"/>
      <w:pPr>
        <w:ind w:left="6200" w:hanging="360"/>
      </w:pPr>
    </w:lvl>
    <w:lvl w:ilvl="8" w:tplc="080A001B" w:tentative="1">
      <w:start w:val="1"/>
      <w:numFmt w:val="lowerRoman"/>
      <w:lvlText w:val="%9."/>
      <w:lvlJc w:val="right"/>
      <w:pPr>
        <w:ind w:left="6920" w:hanging="180"/>
      </w:pPr>
    </w:lvl>
  </w:abstractNum>
  <w:num w:numId="1" w16cid:durableId="948779781">
    <w:abstractNumId w:val="11"/>
  </w:num>
  <w:num w:numId="2" w16cid:durableId="19822139">
    <w:abstractNumId w:val="2"/>
  </w:num>
  <w:num w:numId="3" w16cid:durableId="876742304">
    <w:abstractNumId w:val="8"/>
  </w:num>
  <w:num w:numId="4" w16cid:durableId="2451864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28"/>
  </w:num>
  <w:num w:numId="7" w16cid:durableId="1946422806">
    <w:abstractNumId w:val="10"/>
  </w:num>
  <w:num w:numId="8" w16cid:durableId="152644682">
    <w:abstractNumId w:val="25"/>
  </w:num>
  <w:num w:numId="9" w16cid:durableId="1317221377">
    <w:abstractNumId w:val="12"/>
  </w:num>
  <w:num w:numId="10" w16cid:durableId="1471245386">
    <w:abstractNumId w:val="24"/>
  </w:num>
  <w:num w:numId="11" w16cid:durableId="289172385">
    <w:abstractNumId w:val="13"/>
  </w:num>
  <w:num w:numId="12" w16cid:durableId="1470781324">
    <w:abstractNumId w:val="1"/>
  </w:num>
  <w:num w:numId="13" w16cid:durableId="1512908409">
    <w:abstractNumId w:val="7"/>
  </w:num>
  <w:num w:numId="14" w16cid:durableId="895897244">
    <w:abstractNumId w:val="29"/>
  </w:num>
  <w:num w:numId="15" w16cid:durableId="390349800">
    <w:abstractNumId w:val="23"/>
  </w:num>
  <w:num w:numId="16" w16cid:durableId="1624117512">
    <w:abstractNumId w:val="14"/>
  </w:num>
  <w:num w:numId="17" w16cid:durableId="1037654961">
    <w:abstractNumId w:val="21"/>
  </w:num>
  <w:num w:numId="18" w16cid:durableId="1535843791">
    <w:abstractNumId w:val="16"/>
  </w:num>
  <w:num w:numId="19" w16cid:durableId="1559509179">
    <w:abstractNumId w:val="4"/>
  </w:num>
  <w:num w:numId="20" w16cid:durableId="341274352">
    <w:abstractNumId w:val="0"/>
  </w:num>
  <w:num w:numId="21" w16cid:durableId="679089576">
    <w:abstractNumId w:val="15"/>
  </w:num>
  <w:num w:numId="22" w16cid:durableId="820266944">
    <w:abstractNumId w:val="17"/>
  </w:num>
  <w:num w:numId="23" w16cid:durableId="1074741125">
    <w:abstractNumId w:val="30"/>
  </w:num>
  <w:num w:numId="24" w16cid:durableId="1218592097">
    <w:abstractNumId w:val="20"/>
  </w:num>
  <w:num w:numId="25" w16cid:durableId="187254162">
    <w:abstractNumId w:val="9"/>
  </w:num>
  <w:num w:numId="26" w16cid:durableId="1682509838">
    <w:abstractNumId w:val="18"/>
  </w:num>
  <w:num w:numId="27" w16cid:durableId="1898316888">
    <w:abstractNumId w:val="3"/>
  </w:num>
  <w:num w:numId="28" w16cid:durableId="949970096">
    <w:abstractNumId w:val="27"/>
  </w:num>
  <w:num w:numId="29" w16cid:durableId="2031949523">
    <w:abstractNumId w:val="19"/>
  </w:num>
  <w:num w:numId="30" w16cid:durableId="1972860379">
    <w:abstractNumId w:val="5"/>
  </w:num>
  <w:num w:numId="31" w16cid:durableId="341931705">
    <w:abstractNumId w:val="22"/>
  </w:num>
  <w:num w:numId="32" w16cid:durableId="701707984">
    <w:abstractNumId w:val="26"/>
  </w:num>
  <w:num w:numId="33" w16cid:durableId="1112673835">
    <w:abstractNumId w:val="31"/>
  </w:num>
  <w:num w:numId="34" w16cid:durableId="1628244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65B"/>
    <w:rsid w:val="0000472D"/>
    <w:rsid w:val="00004C36"/>
    <w:rsid w:val="0002537D"/>
    <w:rsid w:val="00030C14"/>
    <w:rsid w:val="000600D2"/>
    <w:rsid w:val="00061B2A"/>
    <w:rsid w:val="00061C53"/>
    <w:rsid w:val="00064EE1"/>
    <w:rsid w:val="00067C74"/>
    <w:rsid w:val="00073B47"/>
    <w:rsid w:val="000757DD"/>
    <w:rsid w:val="0007597C"/>
    <w:rsid w:val="00082362"/>
    <w:rsid w:val="0008317C"/>
    <w:rsid w:val="00097174"/>
    <w:rsid w:val="000A26F9"/>
    <w:rsid w:val="000A5C08"/>
    <w:rsid w:val="000A683E"/>
    <w:rsid w:val="000A7CAE"/>
    <w:rsid w:val="000B19B9"/>
    <w:rsid w:val="000B521E"/>
    <w:rsid w:val="000C389A"/>
    <w:rsid w:val="000C6C81"/>
    <w:rsid w:val="000C6CD9"/>
    <w:rsid w:val="000C6E12"/>
    <w:rsid w:val="000D0334"/>
    <w:rsid w:val="000E1DF2"/>
    <w:rsid w:val="000E39B7"/>
    <w:rsid w:val="000E4761"/>
    <w:rsid w:val="000E6D07"/>
    <w:rsid w:val="000F2240"/>
    <w:rsid w:val="000F6486"/>
    <w:rsid w:val="000F6DC3"/>
    <w:rsid w:val="0010112D"/>
    <w:rsid w:val="00101F46"/>
    <w:rsid w:val="0012027E"/>
    <w:rsid w:val="00125105"/>
    <w:rsid w:val="0012632E"/>
    <w:rsid w:val="00127233"/>
    <w:rsid w:val="00127C6F"/>
    <w:rsid w:val="00131296"/>
    <w:rsid w:val="00137DB3"/>
    <w:rsid w:val="00142D26"/>
    <w:rsid w:val="001477D7"/>
    <w:rsid w:val="00162A07"/>
    <w:rsid w:val="00170050"/>
    <w:rsid w:val="00170AE0"/>
    <w:rsid w:val="00181021"/>
    <w:rsid w:val="00183B26"/>
    <w:rsid w:val="00183C74"/>
    <w:rsid w:val="00186AA3"/>
    <w:rsid w:val="00190AE2"/>
    <w:rsid w:val="001A6BD5"/>
    <w:rsid w:val="001B5C65"/>
    <w:rsid w:val="001D26C8"/>
    <w:rsid w:val="001D52EE"/>
    <w:rsid w:val="001E3DA4"/>
    <w:rsid w:val="001E4177"/>
    <w:rsid w:val="001F1D5D"/>
    <w:rsid w:val="001F7DC6"/>
    <w:rsid w:val="002234D9"/>
    <w:rsid w:val="00233C8F"/>
    <w:rsid w:val="002421BB"/>
    <w:rsid w:val="002509D3"/>
    <w:rsid w:val="00253B17"/>
    <w:rsid w:val="0025796E"/>
    <w:rsid w:val="002707A2"/>
    <w:rsid w:val="00274C70"/>
    <w:rsid w:val="0028268A"/>
    <w:rsid w:val="00284F6C"/>
    <w:rsid w:val="002951A0"/>
    <w:rsid w:val="002962BC"/>
    <w:rsid w:val="002A093D"/>
    <w:rsid w:val="002A0DD0"/>
    <w:rsid w:val="002A2508"/>
    <w:rsid w:val="002A49AC"/>
    <w:rsid w:val="002A5409"/>
    <w:rsid w:val="002A64FD"/>
    <w:rsid w:val="002B3B27"/>
    <w:rsid w:val="002B43C1"/>
    <w:rsid w:val="002C0228"/>
    <w:rsid w:val="002C234E"/>
    <w:rsid w:val="002C30AD"/>
    <w:rsid w:val="002C3D47"/>
    <w:rsid w:val="002C70C4"/>
    <w:rsid w:val="002C7A84"/>
    <w:rsid w:val="002D0390"/>
    <w:rsid w:val="002D1251"/>
    <w:rsid w:val="002D46AD"/>
    <w:rsid w:val="002D526F"/>
    <w:rsid w:val="002D7CA5"/>
    <w:rsid w:val="002E41E7"/>
    <w:rsid w:val="002E4D76"/>
    <w:rsid w:val="002E4FD9"/>
    <w:rsid w:val="002E5CF6"/>
    <w:rsid w:val="002E7BD4"/>
    <w:rsid w:val="002F35D4"/>
    <w:rsid w:val="002F5742"/>
    <w:rsid w:val="003101B7"/>
    <w:rsid w:val="00312E58"/>
    <w:rsid w:val="00313056"/>
    <w:rsid w:val="00322A85"/>
    <w:rsid w:val="003230B9"/>
    <w:rsid w:val="00324168"/>
    <w:rsid w:val="003276A6"/>
    <w:rsid w:val="003448F4"/>
    <w:rsid w:val="00354D2D"/>
    <w:rsid w:val="003660AB"/>
    <w:rsid w:val="00374F5E"/>
    <w:rsid w:val="00377E3E"/>
    <w:rsid w:val="00380F57"/>
    <w:rsid w:val="003829C7"/>
    <w:rsid w:val="00385FF3"/>
    <w:rsid w:val="00386610"/>
    <w:rsid w:val="003A0082"/>
    <w:rsid w:val="003A26D1"/>
    <w:rsid w:val="003A36D0"/>
    <w:rsid w:val="003A779E"/>
    <w:rsid w:val="003C1AEA"/>
    <w:rsid w:val="003D0F4D"/>
    <w:rsid w:val="003D0FB8"/>
    <w:rsid w:val="003D2ECC"/>
    <w:rsid w:val="003D5B0D"/>
    <w:rsid w:val="003E0499"/>
    <w:rsid w:val="003E1739"/>
    <w:rsid w:val="003E2E2E"/>
    <w:rsid w:val="003E560F"/>
    <w:rsid w:val="003E5DF8"/>
    <w:rsid w:val="003F3941"/>
    <w:rsid w:val="00406575"/>
    <w:rsid w:val="0041095A"/>
    <w:rsid w:val="00420B57"/>
    <w:rsid w:val="00422877"/>
    <w:rsid w:val="0042722E"/>
    <w:rsid w:val="00434B2B"/>
    <w:rsid w:val="00436952"/>
    <w:rsid w:val="00443A70"/>
    <w:rsid w:val="0044528D"/>
    <w:rsid w:val="00447AA5"/>
    <w:rsid w:val="004521EB"/>
    <w:rsid w:val="00456674"/>
    <w:rsid w:val="004571C2"/>
    <w:rsid w:val="00465F96"/>
    <w:rsid w:val="004731D9"/>
    <w:rsid w:val="00486F6C"/>
    <w:rsid w:val="00496399"/>
    <w:rsid w:val="00496EA1"/>
    <w:rsid w:val="004A0E32"/>
    <w:rsid w:val="004A1847"/>
    <w:rsid w:val="004A2228"/>
    <w:rsid w:val="004A305D"/>
    <w:rsid w:val="004B1C8B"/>
    <w:rsid w:val="004C3184"/>
    <w:rsid w:val="004C65EF"/>
    <w:rsid w:val="004D0A88"/>
    <w:rsid w:val="004E1D12"/>
    <w:rsid w:val="004E3629"/>
    <w:rsid w:val="004F21C4"/>
    <w:rsid w:val="004F31F0"/>
    <w:rsid w:val="004F321C"/>
    <w:rsid w:val="004F5322"/>
    <w:rsid w:val="004F53A1"/>
    <w:rsid w:val="004F685F"/>
    <w:rsid w:val="005109CF"/>
    <w:rsid w:val="005154FA"/>
    <w:rsid w:val="0052407F"/>
    <w:rsid w:val="005245B1"/>
    <w:rsid w:val="005315D7"/>
    <w:rsid w:val="00532825"/>
    <w:rsid w:val="00535B59"/>
    <w:rsid w:val="00537FF3"/>
    <w:rsid w:val="00540C3A"/>
    <w:rsid w:val="00553B1C"/>
    <w:rsid w:val="005566E8"/>
    <w:rsid w:val="00562C7C"/>
    <w:rsid w:val="0057316A"/>
    <w:rsid w:val="00574867"/>
    <w:rsid w:val="0058655C"/>
    <w:rsid w:val="0059061F"/>
    <w:rsid w:val="00591460"/>
    <w:rsid w:val="00592628"/>
    <w:rsid w:val="005954D8"/>
    <w:rsid w:val="00597333"/>
    <w:rsid w:val="005A7180"/>
    <w:rsid w:val="005B01F3"/>
    <w:rsid w:val="005B6E53"/>
    <w:rsid w:val="005C208C"/>
    <w:rsid w:val="005C3777"/>
    <w:rsid w:val="005C5CDC"/>
    <w:rsid w:val="005D476C"/>
    <w:rsid w:val="005D7BF2"/>
    <w:rsid w:val="005E16E5"/>
    <w:rsid w:val="005E24AC"/>
    <w:rsid w:val="005E7974"/>
    <w:rsid w:val="005F035C"/>
    <w:rsid w:val="005F3FE8"/>
    <w:rsid w:val="005F5A83"/>
    <w:rsid w:val="00604994"/>
    <w:rsid w:val="00607776"/>
    <w:rsid w:val="006100DE"/>
    <w:rsid w:val="00610812"/>
    <w:rsid w:val="00614E64"/>
    <w:rsid w:val="006219F8"/>
    <w:rsid w:val="00624377"/>
    <w:rsid w:val="006309C1"/>
    <w:rsid w:val="00631438"/>
    <w:rsid w:val="006321DF"/>
    <w:rsid w:val="00633930"/>
    <w:rsid w:val="00636910"/>
    <w:rsid w:val="00650BFB"/>
    <w:rsid w:val="00650FF7"/>
    <w:rsid w:val="00665D70"/>
    <w:rsid w:val="00671DAC"/>
    <w:rsid w:val="00687702"/>
    <w:rsid w:val="006900D9"/>
    <w:rsid w:val="00690840"/>
    <w:rsid w:val="006917BC"/>
    <w:rsid w:val="00692E4D"/>
    <w:rsid w:val="006A211D"/>
    <w:rsid w:val="006A71B2"/>
    <w:rsid w:val="006B20B5"/>
    <w:rsid w:val="006B5948"/>
    <w:rsid w:val="006B6883"/>
    <w:rsid w:val="006D12F8"/>
    <w:rsid w:val="006F0D2C"/>
    <w:rsid w:val="006F7ABC"/>
    <w:rsid w:val="00706C16"/>
    <w:rsid w:val="00711E13"/>
    <w:rsid w:val="00712F8E"/>
    <w:rsid w:val="00714D37"/>
    <w:rsid w:val="0071527D"/>
    <w:rsid w:val="00717D63"/>
    <w:rsid w:val="0073016F"/>
    <w:rsid w:val="0073476C"/>
    <w:rsid w:val="00735E9F"/>
    <w:rsid w:val="0074181E"/>
    <w:rsid w:val="00747902"/>
    <w:rsid w:val="007502C3"/>
    <w:rsid w:val="00754FD4"/>
    <w:rsid w:val="00756841"/>
    <w:rsid w:val="0076449A"/>
    <w:rsid w:val="007649AB"/>
    <w:rsid w:val="00771D0C"/>
    <w:rsid w:val="007833AC"/>
    <w:rsid w:val="00785254"/>
    <w:rsid w:val="00791075"/>
    <w:rsid w:val="0079517A"/>
    <w:rsid w:val="007977C6"/>
    <w:rsid w:val="007A3A2C"/>
    <w:rsid w:val="007A63B0"/>
    <w:rsid w:val="007B268C"/>
    <w:rsid w:val="007B7171"/>
    <w:rsid w:val="007C0C0F"/>
    <w:rsid w:val="007C205B"/>
    <w:rsid w:val="007C2BDD"/>
    <w:rsid w:val="007C3DC2"/>
    <w:rsid w:val="007D4B6C"/>
    <w:rsid w:val="007D4FFC"/>
    <w:rsid w:val="007E2F42"/>
    <w:rsid w:val="007E5497"/>
    <w:rsid w:val="00802193"/>
    <w:rsid w:val="00806F5F"/>
    <w:rsid w:val="00816374"/>
    <w:rsid w:val="00820278"/>
    <w:rsid w:val="008210F6"/>
    <w:rsid w:val="008317DE"/>
    <w:rsid w:val="00835BD4"/>
    <w:rsid w:val="00847551"/>
    <w:rsid w:val="00851ECE"/>
    <w:rsid w:val="0085536A"/>
    <w:rsid w:val="00870DC2"/>
    <w:rsid w:val="00877021"/>
    <w:rsid w:val="0088419F"/>
    <w:rsid w:val="008843B6"/>
    <w:rsid w:val="0089101F"/>
    <w:rsid w:val="00891928"/>
    <w:rsid w:val="008937AA"/>
    <w:rsid w:val="008A446D"/>
    <w:rsid w:val="008C7229"/>
    <w:rsid w:val="008D180B"/>
    <w:rsid w:val="008E22FF"/>
    <w:rsid w:val="008F00A2"/>
    <w:rsid w:val="008F0EA7"/>
    <w:rsid w:val="008F2209"/>
    <w:rsid w:val="008F3A99"/>
    <w:rsid w:val="008F4B60"/>
    <w:rsid w:val="00900DFF"/>
    <w:rsid w:val="00903617"/>
    <w:rsid w:val="0092010D"/>
    <w:rsid w:val="00923EEF"/>
    <w:rsid w:val="009263A2"/>
    <w:rsid w:val="0093113C"/>
    <w:rsid w:val="009419F9"/>
    <w:rsid w:val="00945120"/>
    <w:rsid w:val="009459AD"/>
    <w:rsid w:val="0095685E"/>
    <w:rsid w:val="00961B09"/>
    <w:rsid w:val="00961E64"/>
    <w:rsid w:val="00965334"/>
    <w:rsid w:val="009660B9"/>
    <w:rsid w:val="0097093E"/>
    <w:rsid w:val="00974529"/>
    <w:rsid w:val="00981AE0"/>
    <w:rsid w:val="00984F5E"/>
    <w:rsid w:val="009A0DFA"/>
    <w:rsid w:val="009A6E98"/>
    <w:rsid w:val="009B2D26"/>
    <w:rsid w:val="009B794D"/>
    <w:rsid w:val="009B7F3C"/>
    <w:rsid w:val="009C2A28"/>
    <w:rsid w:val="009C71FA"/>
    <w:rsid w:val="009C72E7"/>
    <w:rsid w:val="009D3058"/>
    <w:rsid w:val="009D3242"/>
    <w:rsid w:val="009E0D8F"/>
    <w:rsid w:val="009E5F69"/>
    <w:rsid w:val="009E7DCF"/>
    <w:rsid w:val="009F3A13"/>
    <w:rsid w:val="009F45AA"/>
    <w:rsid w:val="00A04873"/>
    <w:rsid w:val="00A07584"/>
    <w:rsid w:val="00A122D3"/>
    <w:rsid w:val="00A124A1"/>
    <w:rsid w:val="00A17F13"/>
    <w:rsid w:val="00A20739"/>
    <w:rsid w:val="00A2335E"/>
    <w:rsid w:val="00A260F9"/>
    <w:rsid w:val="00A277EF"/>
    <w:rsid w:val="00A33C78"/>
    <w:rsid w:val="00A41434"/>
    <w:rsid w:val="00A46A33"/>
    <w:rsid w:val="00A56ECB"/>
    <w:rsid w:val="00A64DD6"/>
    <w:rsid w:val="00A85587"/>
    <w:rsid w:val="00A912D3"/>
    <w:rsid w:val="00AA4605"/>
    <w:rsid w:val="00AA4EED"/>
    <w:rsid w:val="00AA6A6E"/>
    <w:rsid w:val="00AA7B77"/>
    <w:rsid w:val="00AA7C37"/>
    <w:rsid w:val="00AB0ADB"/>
    <w:rsid w:val="00AB2CD0"/>
    <w:rsid w:val="00AB3CCA"/>
    <w:rsid w:val="00AB3CE0"/>
    <w:rsid w:val="00AB71F5"/>
    <w:rsid w:val="00AC6EDF"/>
    <w:rsid w:val="00AE2466"/>
    <w:rsid w:val="00B01B1A"/>
    <w:rsid w:val="00B06444"/>
    <w:rsid w:val="00B163D0"/>
    <w:rsid w:val="00B1724B"/>
    <w:rsid w:val="00B27527"/>
    <w:rsid w:val="00B445AF"/>
    <w:rsid w:val="00B53534"/>
    <w:rsid w:val="00B54E56"/>
    <w:rsid w:val="00B55F2D"/>
    <w:rsid w:val="00B610E2"/>
    <w:rsid w:val="00B611E8"/>
    <w:rsid w:val="00B62574"/>
    <w:rsid w:val="00B702F0"/>
    <w:rsid w:val="00B72CD3"/>
    <w:rsid w:val="00B72FFF"/>
    <w:rsid w:val="00B74FA7"/>
    <w:rsid w:val="00B97B9B"/>
    <w:rsid w:val="00BB5B06"/>
    <w:rsid w:val="00BB61B9"/>
    <w:rsid w:val="00BC1BC6"/>
    <w:rsid w:val="00BC3D36"/>
    <w:rsid w:val="00BC5D9C"/>
    <w:rsid w:val="00BD41DE"/>
    <w:rsid w:val="00BD788E"/>
    <w:rsid w:val="00BD7F72"/>
    <w:rsid w:val="00BE708F"/>
    <w:rsid w:val="00BF3199"/>
    <w:rsid w:val="00C04FB3"/>
    <w:rsid w:val="00C05437"/>
    <w:rsid w:val="00C150CA"/>
    <w:rsid w:val="00C30C35"/>
    <w:rsid w:val="00C330EB"/>
    <w:rsid w:val="00C37E63"/>
    <w:rsid w:val="00C446C0"/>
    <w:rsid w:val="00C55227"/>
    <w:rsid w:val="00C55F1F"/>
    <w:rsid w:val="00C60206"/>
    <w:rsid w:val="00C65970"/>
    <w:rsid w:val="00C754BE"/>
    <w:rsid w:val="00C75A5F"/>
    <w:rsid w:val="00C76B1C"/>
    <w:rsid w:val="00C87F37"/>
    <w:rsid w:val="00C90E7D"/>
    <w:rsid w:val="00C965E5"/>
    <w:rsid w:val="00CB369D"/>
    <w:rsid w:val="00CB6357"/>
    <w:rsid w:val="00CC0257"/>
    <w:rsid w:val="00CC1B26"/>
    <w:rsid w:val="00CC4E5A"/>
    <w:rsid w:val="00CC4E94"/>
    <w:rsid w:val="00CD7BD9"/>
    <w:rsid w:val="00CE1114"/>
    <w:rsid w:val="00CE4257"/>
    <w:rsid w:val="00CF0AC4"/>
    <w:rsid w:val="00CF1921"/>
    <w:rsid w:val="00CF4513"/>
    <w:rsid w:val="00CF74F2"/>
    <w:rsid w:val="00D067E3"/>
    <w:rsid w:val="00D13038"/>
    <w:rsid w:val="00D2440E"/>
    <w:rsid w:val="00D265F0"/>
    <w:rsid w:val="00D306D8"/>
    <w:rsid w:val="00D312A1"/>
    <w:rsid w:val="00D36D39"/>
    <w:rsid w:val="00D423A2"/>
    <w:rsid w:val="00D453F8"/>
    <w:rsid w:val="00D50693"/>
    <w:rsid w:val="00D520D8"/>
    <w:rsid w:val="00D53B5A"/>
    <w:rsid w:val="00D63AC2"/>
    <w:rsid w:val="00D72AC9"/>
    <w:rsid w:val="00D7383B"/>
    <w:rsid w:val="00D80D20"/>
    <w:rsid w:val="00D84853"/>
    <w:rsid w:val="00D85F46"/>
    <w:rsid w:val="00D8689A"/>
    <w:rsid w:val="00D9210F"/>
    <w:rsid w:val="00D9477E"/>
    <w:rsid w:val="00DA231B"/>
    <w:rsid w:val="00DA23A0"/>
    <w:rsid w:val="00DB07A1"/>
    <w:rsid w:val="00DC39FC"/>
    <w:rsid w:val="00DC3F6D"/>
    <w:rsid w:val="00DD0559"/>
    <w:rsid w:val="00DD1286"/>
    <w:rsid w:val="00DD7912"/>
    <w:rsid w:val="00DF13F8"/>
    <w:rsid w:val="00DF5254"/>
    <w:rsid w:val="00DF5411"/>
    <w:rsid w:val="00E15C26"/>
    <w:rsid w:val="00E16408"/>
    <w:rsid w:val="00E20894"/>
    <w:rsid w:val="00E20AE2"/>
    <w:rsid w:val="00E24598"/>
    <w:rsid w:val="00E245AB"/>
    <w:rsid w:val="00E2764C"/>
    <w:rsid w:val="00E27F2E"/>
    <w:rsid w:val="00E37714"/>
    <w:rsid w:val="00E4134C"/>
    <w:rsid w:val="00E413EA"/>
    <w:rsid w:val="00E5011A"/>
    <w:rsid w:val="00E50AFE"/>
    <w:rsid w:val="00E56557"/>
    <w:rsid w:val="00E57354"/>
    <w:rsid w:val="00E63437"/>
    <w:rsid w:val="00E75C92"/>
    <w:rsid w:val="00E7689C"/>
    <w:rsid w:val="00E771DC"/>
    <w:rsid w:val="00E834A5"/>
    <w:rsid w:val="00E8772A"/>
    <w:rsid w:val="00E90F6B"/>
    <w:rsid w:val="00E91899"/>
    <w:rsid w:val="00E92C27"/>
    <w:rsid w:val="00E93CFF"/>
    <w:rsid w:val="00E96344"/>
    <w:rsid w:val="00EA0E3D"/>
    <w:rsid w:val="00EA60F7"/>
    <w:rsid w:val="00EA78E3"/>
    <w:rsid w:val="00EB58F6"/>
    <w:rsid w:val="00EC38A7"/>
    <w:rsid w:val="00EC3A90"/>
    <w:rsid w:val="00ED708F"/>
    <w:rsid w:val="00ED7A59"/>
    <w:rsid w:val="00EE0B2F"/>
    <w:rsid w:val="00EE1AA8"/>
    <w:rsid w:val="00EE3CA1"/>
    <w:rsid w:val="00EE6CEE"/>
    <w:rsid w:val="00F03473"/>
    <w:rsid w:val="00F21D2F"/>
    <w:rsid w:val="00F24E8A"/>
    <w:rsid w:val="00F31EDC"/>
    <w:rsid w:val="00F3200E"/>
    <w:rsid w:val="00F40D2F"/>
    <w:rsid w:val="00F452A6"/>
    <w:rsid w:val="00F45B26"/>
    <w:rsid w:val="00F46270"/>
    <w:rsid w:val="00F462B3"/>
    <w:rsid w:val="00F539DD"/>
    <w:rsid w:val="00F5664F"/>
    <w:rsid w:val="00F65E4C"/>
    <w:rsid w:val="00F665EC"/>
    <w:rsid w:val="00F666C4"/>
    <w:rsid w:val="00F72083"/>
    <w:rsid w:val="00F7213B"/>
    <w:rsid w:val="00F76AFC"/>
    <w:rsid w:val="00F82F73"/>
    <w:rsid w:val="00F94D19"/>
    <w:rsid w:val="00F94E20"/>
    <w:rsid w:val="00FA2FA1"/>
    <w:rsid w:val="00FA47C0"/>
    <w:rsid w:val="00FB12CE"/>
    <w:rsid w:val="00FB533B"/>
    <w:rsid w:val="00FB5DD1"/>
    <w:rsid w:val="00FC2B5D"/>
    <w:rsid w:val="00FD02C6"/>
    <w:rsid w:val="00FE097D"/>
    <w:rsid w:val="00FE3679"/>
    <w:rsid w:val="00FE7FF4"/>
    <w:rsid w:val="00FF00D2"/>
    <w:rsid w:val="00FF0917"/>
    <w:rsid w:val="00FF1449"/>
    <w:rsid w:val="00FF3E23"/>
    <w:rsid w:val="00FF5A5C"/>
    <w:rsid w:val="5CEADB7B"/>
    <w:rsid w:val="7464E6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AB3CCA"/>
    <w:pPr>
      <w:spacing w:line="240" w:lineRule="exact"/>
    </w:pPr>
    <w:rPr>
      <w:vertAlign w:val="superscript"/>
    </w:rPr>
  </w:style>
  <w:style w:type="paragraph" w:styleId="Textoindependiente">
    <w:name w:val="Body Text"/>
    <w:basedOn w:val="Normal"/>
    <w:link w:val="TextoindependienteCar"/>
    <w:uiPriority w:val="1"/>
    <w:unhideWhenUsed/>
    <w:qFormat/>
    <w:rsid w:val="00313056"/>
    <w:pPr>
      <w:spacing w:after="120"/>
    </w:pPr>
  </w:style>
  <w:style w:type="character" w:customStyle="1" w:styleId="TextoindependienteCar">
    <w:name w:val="Texto independiente Car"/>
    <w:basedOn w:val="Fuentedeprrafopredeter"/>
    <w:link w:val="Textoindependiente"/>
    <w:uiPriority w:val="1"/>
    <w:rsid w:val="00313056"/>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13056"/>
    <w:rPr>
      <w:rFonts w:ascii="Geomanist Light" w:hAnsi="Geomanist Light"/>
      <w:lang w:val="es-ES"/>
    </w:rPr>
  </w:style>
  <w:style w:type="character" w:customStyle="1" w:styleId="superscript">
    <w:name w:val="superscript"/>
    <w:basedOn w:val="Fuentedeprrafopredeter"/>
    <w:rsid w:val="009B7F3C"/>
  </w:style>
  <w:style w:type="table" w:customStyle="1" w:styleId="Tablaconcuadrcula11">
    <w:name w:val="Tabla con cuadrícula11"/>
    <w:basedOn w:val="Tablanormal"/>
    <w:next w:val="Tablaconcuadrcula"/>
    <w:uiPriority w:val="59"/>
    <w:qFormat/>
    <w:rsid w:val="006B5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locked/>
    <w:rsid w:val="00B53534"/>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D9477E"/>
    <w:rPr>
      <w:sz w:val="16"/>
      <w:szCs w:val="16"/>
    </w:rPr>
  </w:style>
  <w:style w:type="paragraph" w:styleId="Textocomentario">
    <w:name w:val="annotation text"/>
    <w:basedOn w:val="Normal"/>
    <w:link w:val="TextocomentarioCar"/>
    <w:uiPriority w:val="99"/>
    <w:semiHidden/>
    <w:unhideWhenUsed/>
    <w:rsid w:val="00D947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477E"/>
    <w:rPr>
      <w:sz w:val="20"/>
      <w:szCs w:val="20"/>
    </w:rPr>
  </w:style>
  <w:style w:type="paragraph" w:styleId="Asuntodelcomentario">
    <w:name w:val="annotation subject"/>
    <w:basedOn w:val="Textocomentario"/>
    <w:next w:val="Textocomentario"/>
    <w:link w:val="AsuntodelcomentarioCar"/>
    <w:uiPriority w:val="99"/>
    <w:semiHidden/>
    <w:unhideWhenUsed/>
    <w:rsid w:val="00D9477E"/>
    <w:rPr>
      <w:b/>
      <w:bCs/>
    </w:rPr>
  </w:style>
  <w:style w:type="character" w:customStyle="1" w:styleId="AsuntodelcomentarioCar">
    <w:name w:val="Asunto del comentario Car"/>
    <w:basedOn w:val="TextocomentarioCar"/>
    <w:link w:val="Asuntodelcomentario"/>
    <w:uiPriority w:val="99"/>
    <w:semiHidden/>
    <w:rsid w:val="00D947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ceficiente.sharepoint.com/:w:/r/sites/SGC-Consultas/_layouts/15/Doc.aspx?sourcedoc=%7B603E9E70-5CDD-4057-AD0B-04E86291845F%7D&amp;file=Ley%2080%20de%201993.docx&amp;action=default&amp;mobileredirect=true" TargetMode="External"/><Relationship Id="rId18" Type="http://schemas.openxmlformats.org/officeDocument/2006/relationships/hyperlink" Target="https://nam02.safelinks.protection.outlook.com/?url=https%3A%2F%2Fwww.colombiacompra.gov.co%2Fcontent%2Fborrador-de-documentos-tipo-de-consultoria-de-obra-publica-de-infraestructura-de-transporte&amp;data=05%7C02%7Ckelmis.bruges%40colombiacompra.gov.co%7C096eca3fdcca424ff1c708dcf932f947%7C7b09041e245149d08cb179d5e3d8c1be%7C0%7C0%7C638659244557793956%7CUnknown%7CTWFpbGZsb3d8eyJWIjoiMC4wLjAwMDAiLCJQIjoiV2luMzIiLCJBTiI6Ik1haWwiLCJXVCI6Mn0%3D%7C0%7C%7C%7C&amp;sdata=NONvjuNsqFK1Enw6vT3xdBLX%2F0DYMXnDXH6TULKIsaM%3D&amp;reserved=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nam02.safelinks.protection.outlook.com/?url=https%3A%2F%2Fwww.colombiacompra.gov.co%2Fcontent%2Fconvocatorias&amp;data=05%7C02%7Ckelmis.bruges%40colombiacompra.gov.co%7C6192b0470d324981a09708dd0a6c28db%7C7b09041e245149d08cb179d5e3d8c1be%7C0%7C0%7C638678181873366257%7CUnknown%7CTWFpbGZsb3d8eyJFbXB0eU1hcGkiOnRydWUsIlYiOiIwLjAuMDAwMCIsIlAiOiJXaW4zMiIsIkFOIjoiTWFpbCIsIldUIjoyfQ%3D%3D%7C0%7C%7C%7C&amp;sdata=V8PYYdV2Nuf9jcxmWItEjK14yqQ5yWFt%2B3mbCOT6Eh8%3D&amp;reserved=0" TargetMode="External"/><Relationship Id="rId7" Type="http://schemas.openxmlformats.org/officeDocument/2006/relationships/webSettings" Target="webSettings.xml"/><Relationship Id="rId12" Type="http://schemas.openxmlformats.org/officeDocument/2006/relationships/hyperlink" Target="https://cceficiente.sharepoint.com/:w:/r/sites/SGC-Consultas/_layouts/15/Doc.aspx?sourcedoc=%7BBF2B9A07-0DB0-498F-9D41-EB6BB06EDECE%7D&amp;file=Ley%201882%20de%202018.docx&amp;action=default&amp;mobileredirect=true" TargetMode="External"/><Relationship Id="rId17" Type="http://schemas.openxmlformats.org/officeDocument/2006/relationships/hyperlink" Target="about:blan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s://nam02.safelinks.protection.outlook.com/?url=https%3A%2F%2Fwww.sucop.gov.co%2Fentidades%2Fcolombiacompra%2FNormativa%3FIDNorma%3D18320&amp;data=05%7C02%7Ckelmis.bruges%40colombiacompra.gov.co%7C096eca3fdcca424ff1c708dcf932f947%7C7b09041e245149d08cb179d5e3d8c1be%7C0%7C0%7C638659244557840711%7CUnknown%7CTWFpbGZsb3d8eyJWIjoiMC4wLjAwMDAiLCJQIjoiV2luMzIiLCJBTiI6Ik1haWwiLCJXVCI6Mn0%3D%7C0%7C%7C%7C&amp;sdata=i8t39ge82bAwFEJTEviOC8pYjtd6b7iRL2D4fPnyyIo%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rsonovalle@hotmail.com" TargetMode="External"/><Relationship Id="rId24"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cceficiente.sharepoint.com/:w:/r/sites/SGC-Consultas/_layouts/15/Doc.aspx?sourcedoc=%7B29359D70-67D4-4566-91EA-D62D911AF562%7D&amp;file=Decreto%201082%20de%202015.docx&amp;action=default&amp;mobileredirect=true" TargetMode="External"/><Relationship Id="rId23" Type="http://schemas.openxmlformats.org/officeDocument/2006/relationships/hyperlink" Target="https://nam02.safelinks.protection.outlook.com/?url=https%3A%2F%2Fwww.colombiacompra.gov.co%2Fsala-de-prensa%2Fboletin-digital&amp;data=05%7C02%7Ckelmis.bruges%40colombiacompra.gov.co%7C6192b0470d324981a09708dd0a6c28db%7C7b09041e245149d08cb179d5e3d8c1be%7C0%7C0%7C638678181873404574%7CUnknown%7CTWFpbGZsb3d8eyJFbXB0eU1hcGkiOnRydWUsIlYiOiIwLjAuMDAwMCIsIlAiOiJXaW4zMiIsIkFOIjoiTWFpbCIsIldUIjoyfQ%3D%3D%7C0%7C%7C%7C&amp;sdata=8XnnSu8pvZCRY0En%2F68DmJGfx%2FMJVfEWvKLLLbfyvb8%3D&amp;reserved=0" TargetMode="Externa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s://nam02.safelinks.protection.outlook.com/?url=https%3A%2F%2Fwww.colombiacompra.gov.co%2Fcontent%2Fborrador-de-documentos-tipo-de-interventoria-de-obra-publica-de-infraestructura-de&amp;data=05%7C02%7Ckelmis.bruges%40colombiacompra.gov.co%7C096eca3fdcca424ff1c708dcf932f947%7C7b09041e245149d08cb179d5e3d8c1be%7C0%7C0%7C638659244557816541%7CUnknown%7CTWFpbGZsb3d8eyJWIjoiMC4wLjAwMDAiLCJQIjoiV2luMzIiLCJBTiI6Ik1haWwiLCJXVCI6Mn0%3D%7C0%7C%7C%7C&amp;sdata=PlHDSUVCDKvJbNofa1VPZlMCz%2BWPKRWPE%2FErtSAGQVI%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ceficiente.sharepoint.com/:w:/r/sites/SGC-Consultas/_layouts/15/Doc.aspx?sourcedoc=%7B603E9E70-5CDD-4057-AD0B-04E86291845F%7D&amp;file=Ley%2080%20de%201993.docx&amp;action=default&amp;mobileredirect=true" TargetMode="External"/><Relationship Id="rId22" Type="http://schemas.openxmlformats.org/officeDocument/2006/relationships/hyperlink" Target="https://nam02.safelinks.protection.outlook.com/?url=https%3A%2F%2Fwww.sucop.gov.co%2Fentidades%2Fcolombiacompra%2FNormativa%3FIDNorma%3D19201&amp;data=05%7C02%7Ckelmis.bruges%40colombiacompra.gov.co%7C6192b0470d324981a09708dd0a6c28db%7C7b09041e245149d08cb179d5e3d8c1be%7C0%7C0%7C638678181873387210%7CUnknown%7CTWFpbGZsb3d8eyJFbXB0eU1hcGkiOnRydWUsIlYiOiIwLjAuMDAwMCIsIlAiOiJXaW4zMiIsIkFOIjoiTWFpbCIsIldUIjoyfQ%3D%3D%7C0%7C%7C%7C&amp;sdata=fjC16KH%2FGdYzCdiHuCUuCKzfJvTIv1vvkrRb%2F%2BEilSY%3D&amp;reserved=0"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elatoria.colombiacompra.gov.co/busqueda/conceptos" TargetMode="External"/><Relationship Id="rId1" Type="http://schemas.openxmlformats.org/officeDocument/2006/relationships/hyperlink" Target="https://colaboracion.dnp.gov.co/CDT/Normatividad/DECRETO%20579%20DEL%2031%20DE%20MAYO%20DE%20202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8ae15d26-076e-464e-81a7-6f76a0fb3917"/>
    <ds:schemaRef ds:uri="http://purl.org/dc/terms/"/>
    <ds:schemaRef ds:uri="http://schemas.microsoft.com/office/2006/metadata/properties"/>
    <ds:schemaRef ds:uri="http://www.w3.org/XML/1998/namespace"/>
    <ds:schemaRef ds:uri="http://purl.org/dc/elements/1.1/"/>
    <ds:schemaRef ds:uri="36c82cfe-0eda-494d-b392-a9281b89aaf0"/>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A9F4D37-944E-464C-A9BE-D9E34BD3C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7134</Words>
  <Characters>39237</Characters>
  <Application>Microsoft Office Word</Application>
  <DocSecurity>0</DocSecurity>
  <Lines>326</Lines>
  <Paragraphs>92</Paragraphs>
  <ScaleCrop>false</ScaleCrop>
  <Company/>
  <LinksUpToDate>false</LinksUpToDate>
  <CharactersWithSpaces>46279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2024-11-25T20:58:00Z</dcterms:created>
  <dcterms:modified xsi:type="dcterms:W3CDTF">2024-11-25T20:58:00Z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