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C248" w14:textId="77777777" w:rsidR="0020513C" w:rsidRPr="00267EC4" w:rsidRDefault="0020513C" w:rsidP="00267EC4">
      <w:pPr>
        <w:spacing w:before="120" w:after="120" w:line="276" w:lineRule="auto"/>
        <w:jc w:val="both"/>
        <w:rPr>
          <w:rFonts w:ascii="Verdana" w:eastAsia="Calibri" w:hAnsi="Verdana" w:cs="Arial"/>
          <w:b/>
          <w:bCs/>
          <w:lang w:val="es-ES"/>
        </w:rPr>
      </w:pPr>
      <w:r w:rsidRPr="00267EC4">
        <w:rPr>
          <w:rFonts w:ascii="Verdana" w:eastAsia="Calibri" w:hAnsi="Verdana" w:cs="Arial"/>
          <w:b/>
          <w:bCs/>
          <w:lang w:val="es-ES"/>
        </w:rPr>
        <w:t xml:space="preserve">CONTRATO DE ARRENDAMIENTO – Definición – Características </w:t>
      </w:r>
    </w:p>
    <w:p w14:paraId="5220FB61" w14:textId="77777777" w:rsidR="0020513C" w:rsidRPr="00946B17" w:rsidRDefault="0020513C" w:rsidP="0020513C">
      <w:pPr>
        <w:spacing w:after="0" w:line="240" w:lineRule="auto"/>
        <w:jc w:val="both"/>
        <w:rPr>
          <w:rFonts w:ascii="Arial" w:hAnsi="Arial" w:cs="Arial"/>
          <w:sz w:val="20"/>
          <w:szCs w:val="20"/>
          <w:lang w:val="es-ES"/>
        </w:rPr>
      </w:pPr>
    </w:p>
    <w:p w14:paraId="56588D0E" w14:textId="77777777" w:rsidR="0020513C" w:rsidRPr="006B6547" w:rsidRDefault="0020513C" w:rsidP="00267EC4">
      <w:pPr>
        <w:spacing w:after="0" w:line="240" w:lineRule="auto"/>
        <w:jc w:val="both"/>
        <w:rPr>
          <w:rFonts w:ascii="Verdana" w:hAnsi="Verdana" w:cs="Arial"/>
          <w:sz w:val="20"/>
          <w:szCs w:val="20"/>
          <w:lang w:val="es-ES"/>
        </w:rPr>
      </w:pPr>
      <w:r w:rsidRPr="00946B17">
        <w:rPr>
          <w:rFonts w:ascii="Arial" w:hAnsi="Arial" w:cs="Arial"/>
          <w:sz w:val="20"/>
          <w:szCs w:val="20"/>
          <w:lang w:val="es-ES"/>
        </w:rPr>
        <w:t>El</w:t>
      </w:r>
      <w:r w:rsidRPr="006B6547">
        <w:rPr>
          <w:rFonts w:ascii="Verdana" w:hAnsi="Verdana" w:cs="Arial"/>
          <w:sz w:val="20"/>
          <w:szCs w:val="20"/>
          <w:lang w:val="es-ES"/>
        </w:rPr>
        <w:t xml:space="preserve"> artículo 1973 del Código Civil define el contrato de arrendamiento como </w:t>
      </w:r>
      <w:r>
        <w:rPr>
          <w:rFonts w:ascii="Verdana" w:hAnsi="Verdana" w:cs="Arial"/>
          <w:sz w:val="20"/>
          <w:szCs w:val="20"/>
          <w:lang w:val="es-ES"/>
        </w:rPr>
        <w:t>“</w:t>
      </w:r>
      <w:r w:rsidRPr="006B6547">
        <w:rPr>
          <w:rFonts w:ascii="Verdana" w:hAnsi="Verdana" w:cs="Arial"/>
          <w:sz w:val="20"/>
          <w:szCs w:val="20"/>
          <w:lang w:val="es-ES"/>
        </w:rPr>
        <w:t>[…] un contrato en que las dos partes se obligan recíprocamente, la una a conceder el goce de una cosa, o a ejecutar una obra o prestar un servicio, y la otra a pagar por este goce, obra o servicio un precio determinado</w:t>
      </w:r>
      <w:r>
        <w:rPr>
          <w:rFonts w:ascii="Verdana" w:hAnsi="Verdana" w:cs="Arial"/>
          <w:sz w:val="20"/>
          <w:szCs w:val="20"/>
          <w:lang w:val="es-ES"/>
        </w:rPr>
        <w:t>”</w:t>
      </w:r>
      <w:r w:rsidRPr="006B6547">
        <w:rPr>
          <w:rFonts w:ascii="Verdana" w:hAnsi="Verdana" w:cs="Arial"/>
          <w:sz w:val="20"/>
          <w:szCs w:val="20"/>
          <w:lang w:val="es-ES"/>
        </w:rPr>
        <w:t>. Se trata pues del acuerdo de voluntades en virtud del cual una de las partes –llamada arrendador o arrendadora– se obliga a concederle a otra –llamada arrendatario o arrendataria– el uso y goce de un bien, a cambio de una renta o canon, diferenciándose del contrato de compraventa en que no opera una transferencia del dominio del bien cuyo uso y goce se entrega.</w:t>
      </w:r>
    </w:p>
    <w:p w14:paraId="1E28439B" w14:textId="77777777" w:rsidR="0020513C" w:rsidRPr="006B6547" w:rsidRDefault="0020513C" w:rsidP="00267EC4">
      <w:pPr>
        <w:spacing w:after="0" w:line="240" w:lineRule="auto"/>
        <w:jc w:val="both"/>
        <w:rPr>
          <w:rFonts w:ascii="Verdana" w:hAnsi="Verdana" w:cs="Arial"/>
          <w:sz w:val="20"/>
          <w:szCs w:val="20"/>
          <w:lang w:val="es-ES"/>
        </w:rPr>
      </w:pPr>
      <w:r w:rsidRPr="006B6547">
        <w:rPr>
          <w:rFonts w:ascii="Verdana" w:hAnsi="Verdana" w:cs="Arial"/>
          <w:sz w:val="20"/>
          <w:szCs w:val="20"/>
          <w:lang w:val="es-ES"/>
        </w:rPr>
        <w:t>En cuanto a sus características, la doctrina ha indicado que el arrendamiento es un contrato: i) bilateral, pues ambas partes se obligan recíprocamente; ii) consensual, dado que se perfecciona con el consentimiento ;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p>
    <w:p w14:paraId="09B64BE8" w14:textId="77777777" w:rsidR="0020513C" w:rsidRPr="0020513C" w:rsidRDefault="0020513C" w:rsidP="0020513C">
      <w:pPr>
        <w:spacing w:before="120" w:after="120" w:line="276" w:lineRule="auto"/>
        <w:jc w:val="both"/>
        <w:rPr>
          <w:rFonts w:ascii="Verdana" w:eastAsia="Calibri" w:hAnsi="Verdana" w:cs="Arial"/>
          <w:b/>
          <w:bCs/>
          <w:lang w:val="es-ES"/>
        </w:rPr>
      </w:pPr>
      <w:r w:rsidRPr="0020513C">
        <w:rPr>
          <w:rFonts w:ascii="Verdana" w:eastAsia="Calibri" w:hAnsi="Verdana" w:cs="Arial"/>
          <w:b/>
          <w:bCs/>
          <w:lang w:val="es-ES"/>
        </w:rPr>
        <w:t>CONTRATO DE ARRENDAMIENTO – Contrato estatal – Regulación – Bienes fiscales</w:t>
      </w:r>
    </w:p>
    <w:p w14:paraId="318AB868" w14:textId="77777777" w:rsidR="0020513C" w:rsidRPr="001C4B4C" w:rsidRDefault="0020513C" w:rsidP="0020513C">
      <w:pPr>
        <w:spacing w:after="0" w:line="240" w:lineRule="auto"/>
        <w:jc w:val="both"/>
        <w:rPr>
          <w:rFonts w:ascii="Verdana" w:eastAsia="Calibri" w:hAnsi="Verdana" w:cs="Arial"/>
          <w:sz w:val="20"/>
          <w:szCs w:val="20"/>
          <w:lang w:val="es-ES"/>
        </w:rPr>
      </w:pPr>
    </w:p>
    <w:p w14:paraId="31D13F4E" w14:textId="77777777" w:rsidR="0020513C" w:rsidRPr="000D7008" w:rsidRDefault="0020513C" w:rsidP="00267EC4">
      <w:pPr>
        <w:spacing w:after="0" w:line="240" w:lineRule="auto"/>
        <w:jc w:val="both"/>
        <w:rPr>
          <w:rFonts w:ascii="Verdana" w:hAnsi="Verdana" w:cs="Arial"/>
          <w:sz w:val="20"/>
          <w:szCs w:val="20"/>
          <w:lang w:val="es-ES"/>
        </w:rPr>
      </w:pPr>
      <w:r w:rsidRPr="001C4B4C">
        <w:rPr>
          <w:rFonts w:ascii="Verdana" w:eastAsia="Calibri" w:hAnsi="Verdana" w:cs="Arial"/>
          <w:sz w:val="20"/>
          <w:szCs w:val="20"/>
          <w:lang w:val="es-ES"/>
        </w:rPr>
        <w:t>Aunque</w:t>
      </w:r>
      <w:r w:rsidRPr="001C4B4C">
        <w:rPr>
          <w:rFonts w:ascii="Verdana" w:hAnsi="Verdana" w:cs="Arial"/>
          <w:sz w:val="20"/>
          <w:szCs w:val="20"/>
          <w:lang w:val="es-ES"/>
        </w:rPr>
        <w:t xml:space="preserve"> el contrato de arrendamiento no se encuentra dentro del listado enunciativo del artículo 32</w:t>
      </w:r>
      <w:r w:rsidRPr="000D7008">
        <w:rPr>
          <w:rFonts w:ascii="Verdana" w:hAnsi="Verdana" w:cs="Arial"/>
          <w:sz w:val="20"/>
          <w:szCs w:val="20"/>
          <w:lang w:val="es-ES"/>
        </w:rPr>
        <w:t xml:space="preserve"> de la Ley 80 de 1993, su regulación se encuentra en el Código Civil y en el Código de Comercio, principalmente, los artículos 1973 al 2078 del Código Civil que lo desarrollan.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p>
    <w:p w14:paraId="43765ECA" w14:textId="77777777" w:rsidR="0020513C" w:rsidRPr="000D7008" w:rsidRDefault="0020513C" w:rsidP="00267EC4">
      <w:pPr>
        <w:spacing w:after="0" w:line="240" w:lineRule="auto"/>
        <w:jc w:val="both"/>
        <w:rPr>
          <w:rFonts w:ascii="Verdana" w:hAnsi="Verdana" w:cs="Arial"/>
          <w:sz w:val="20"/>
          <w:szCs w:val="20"/>
          <w:lang w:val="es-ES"/>
        </w:rPr>
      </w:pPr>
      <w:r w:rsidRPr="000D7008">
        <w:rPr>
          <w:rFonts w:ascii="Verdana" w:hAnsi="Verdana" w:cs="Arial"/>
          <w:sz w:val="20"/>
          <w:szCs w:val="20"/>
          <w:lang w:val="es-ES"/>
        </w:rPr>
        <w:t>[…] en los casos en donde una de las partes del contrato de arrendamiento sea una entidad estatal, este en los casos en donde una de las partes del contrato de arrendamiento sea una entidad pública, este contrato adquiere el carácter de estatal y su contenido se enmarcará en las normas civiles y comerciales que lo regulan, además de las establecidas en el Estatuto General de Contratación de la Administración Pública.  En este tipo de contratos no podrán pactarse cláusulas de prórroga automática y únicamente serán susceptibles de darse en arrendamiento los bienes fiscales, puesto que las entidades pueden disponer de ellos, lo que no ocurre con los bienes de uso público, pues se encuentran fuera del comercio.</w:t>
      </w:r>
    </w:p>
    <w:p w14:paraId="2F1F41DA" w14:textId="77777777" w:rsidR="0020513C" w:rsidRDefault="0020513C" w:rsidP="0020513C">
      <w:pPr>
        <w:spacing w:after="0" w:line="240" w:lineRule="auto"/>
        <w:rPr>
          <w:rFonts w:ascii="Verdana" w:eastAsia="Geomanist Light" w:hAnsi="Verdana" w:cs="Arial"/>
          <w:color w:val="000000" w:themeColor="text1"/>
          <w:lang w:val="es-MX"/>
        </w:rPr>
      </w:pPr>
    </w:p>
    <w:p w14:paraId="5D2E1332" w14:textId="77777777" w:rsidR="0020513C" w:rsidRDefault="0020513C" w:rsidP="0020513C">
      <w:pPr>
        <w:spacing w:after="0" w:line="240" w:lineRule="auto"/>
        <w:rPr>
          <w:rFonts w:ascii="Verdana" w:eastAsia="Geomanist Light" w:hAnsi="Verdana" w:cs="Arial"/>
          <w:color w:val="000000" w:themeColor="text1"/>
          <w:lang w:val="es-MX"/>
        </w:rPr>
      </w:pPr>
    </w:p>
    <w:p w14:paraId="4BA35E8C" w14:textId="77777777" w:rsidR="0020513C" w:rsidRDefault="0020513C" w:rsidP="0020513C">
      <w:pPr>
        <w:spacing w:after="0" w:line="240" w:lineRule="auto"/>
        <w:rPr>
          <w:rFonts w:ascii="Verdana" w:eastAsia="Geomanist Light" w:hAnsi="Verdana" w:cs="Arial"/>
          <w:color w:val="000000" w:themeColor="text1"/>
          <w:lang w:val="es-MX"/>
        </w:rPr>
      </w:pPr>
    </w:p>
    <w:p w14:paraId="556F0497" w14:textId="77777777" w:rsidR="0020513C" w:rsidRDefault="0020513C" w:rsidP="0020513C">
      <w:pPr>
        <w:spacing w:after="0" w:line="240" w:lineRule="auto"/>
        <w:rPr>
          <w:rFonts w:ascii="Verdana" w:eastAsia="Geomanist Light" w:hAnsi="Verdana" w:cs="Arial"/>
          <w:color w:val="000000" w:themeColor="text1"/>
          <w:lang w:val="es-MX"/>
        </w:rPr>
      </w:pPr>
    </w:p>
    <w:p w14:paraId="35CE4D67" w14:textId="77777777" w:rsidR="002B790F" w:rsidRDefault="002B790F" w:rsidP="008639F6">
      <w:pPr>
        <w:spacing w:after="0" w:line="240" w:lineRule="auto"/>
        <w:rPr>
          <w:rFonts w:ascii="Verdana" w:eastAsia="Geomanist Light" w:hAnsi="Verdana" w:cs="Arial"/>
          <w:color w:val="000000" w:themeColor="text1"/>
          <w:lang w:val="es-MX"/>
        </w:rPr>
      </w:pPr>
    </w:p>
    <w:p w14:paraId="5DFAC644" w14:textId="77777777" w:rsidR="0020513C" w:rsidRDefault="0020513C" w:rsidP="008639F6">
      <w:pPr>
        <w:spacing w:after="0" w:line="240" w:lineRule="auto"/>
        <w:rPr>
          <w:rFonts w:ascii="Verdana" w:eastAsia="Geomanist Light" w:hAnsi="Verdana" w:cs="Arial"/>
          <w:color w:val="000000" w:themeColor="text1"/>
          <w:lang w:val="es-MX"/>
        </w:rPr>
      </w:pPr>
    </w:p>
    <w:p w14:paraId="07435055" w14:textId="77777777" w:rsidR="0020513C" w:rsidRDefault="0020513C" w:rsidP="008639F6">
      <w:pPr>
        <w:spacing w:after="0" w:line="240" w:lineRule="auto"/>
        <w:rPr>
          <w:rFonts w:ascii="Verdana" w:eastAsia="Geomanist Light" w:hAnsi="Verdana" w:cs="Arial"/>
          <w:color w:val="000000" w:themeColor="text1"/>
          <w:lang w:val="es-MX"/>
        </w:rPr>
      </w:pPr>
    </w:p>
    <w:p w14:paraId="2529B0A1" w14:textId="77777777" w:rsidR="002B790F" w:rsidRDefault="002B790F" w:rsidP="008639F6">
      <w:pPr>
        <w:spacing w:after="0" w:line="240" w:lineRule="auto"/>
        <w:rPr>
          <w:rFonts w:ascii="Verdana" w:eastAsia="Geomanist Light" w:hAnsi="Verdana" w:cs="Arial"/>
          <w:color w:val="000000" w:themeColor="text1"/>
          <w:lang w:val="es-MX"/>
        </w:rPr>
      </w:pPr>
    </w:p>
    <w:p w14:paraId="6983C2B6" w14:textId="467C2F26" w:rsidR="00840CFD" w:rsidRDefault="00840CFD" w:rsidP="008639F6">
      <w:pPr>
        <w:spacing w:after="0" w:line="240" w:lineRule="auto"/>
        <w:rPr>
          <w:rFonts w:ascii="Verdana" w:eastAsia="Geomanist Light" w:hAnsi="Verdana" w:cs="Arial"/>
          <w:color w:val="201F1E"/>
          <w:lang w:val="es-MX"/>
        </w:rPr>
      </w:pPr>
      <w:r w:rsidRPr="00840CFD">
        <w:rPr>
          <w:rFonts w:ascii="Verdana" w:eastAsia="Calibri" w:hAnsi="Verdana" w:cs="Arial"/>
          <w:b/>
          <w:bCs/>
          <w:noProof/>
        </w:rPr>
        <w:lastRenderedPageBreak/>
        <w:drawing>
          <wp:anchor distT="0" distB="0" distL="114300" distR="114300" simplePos="0" relativeHeight="251658240" behindDoc="0" locked="0" layoutInCell="1" allowOverlap="1" wp14:anchorId="298EC4C6" wp14:editId="7097D361">
            <wp:simplePos x="0" y="0"/>
            <wp:positionH relativeFrom="column">
              <wp:posOffset>2453640</wp:posOffset>
            </wp:positionH>
            <wp:positionV relativeFrom="paragraph">
              <wp:posOffset>9525</wp:posOffset>
            </wp:positionV>
            <wp:extent cx="3267075" cy="933450"/>
            <wp:effectExtent l="0" t="0" r="9525" b="0"/>
            <wp:wrapNone/>
            <wp:docPr id="6241536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53617"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67075" cy="933450"/>
                    </a:xfrm>
                    <a:prstGeom prst="rect">
                      <a:avLst/>
                    </a:prstGeom>
                  </pic:spPr>
                </pic:pic>
              </a:graphicData>
            </a:graphic>
          </wp:anchor>
        </w:drawing>
      </w:r>
      <w:r w:rsidR="008639F6" w:rsidRPr="00593A5F">
        <w:rPr>
          <w:rFonts w:ascii="Verdana" w:eastAsia="Geomanist Light" w:hAnsi="Verdana" w:cs="Arial"/>
          <w:color w:val="000000" w:themeColor="text1"/>
          <w:lang w:val="es-MX"/>
        </w:rPr>
        <w:t>Bogotá D.C., </w:t>
      </w:r>
      <w:r>
        <w:rPr>
          <w:rFonts w:ascii="Verdana" w:eastAsia="Geomanist Light" w:hAnsi="Verdana" w:cs="Arial"/>
          <w:color w:val="201F1E"/>
          <w:lang w:val="es-MX"/>
        </w:rPr>
        <w:t xml:space="preserve">19 de noviembre de </w:t>
      </w:r>
    </w:p>
    <w:p w14:paraId="7367216F" w14:textId="5563220D" w:rsidR="008639F6" w:rsidRPr="00593A5F" w:rsidRDefault="00840CFD" w:rsidP="008639F6">
      <w:pPr>
        <w:spacing w:after="0" w:line="240" w:lineRule="auto"/>
        <w:rPr>
          <w:rFonts w:ascii="Verdana" w:eastAsia="Geomanist Light" w:hAnsi="Verdana" w:cs="Arial"/>
          <w:color w:val="201F1E"/>
          <w:lang w:val="es-MX"/>
        </w:rPr>
      </w:pPr>
      <w:r>
        <w:rPr>
          <w:rFonts w:ascii="Verdana" w:eastAsia="Geomanist Light" w:hAnsi="Verdana" w:cs="Arial"/>
          <w:color w:val="201F1E"/>
          <w:lang w:val="es-MX"/>
        </w:rPr>
        <w:t>2024</w:t>
      </w:r>
    </w:p>
    <w:p w14:paraId="567A9BC7" w14:textId="77777777" w:rsidR="008639F6" w:rsidRPr="00593A5F" w:rsidRDefault="008639F6" w:rsidP="008639F6">
      <w:pPr>
        <w:spacing w:after="0" w:line="240" w:lineRule="auto"/>
        <w:jc w:val="both"/>
        <w:rPr>
          <w:rFonts w:ascii="Verdana" w:eastAsia="Calibri" w:hAnsi="Verdana" w:cs="Arial"/>
          <w:color w:val="000000"/>
          <w:lang w:val="es-ES"/>
        </w:rPr>
      </w:pPr>
    </w:p>
    <w:p w14:paraId="586B61F8" w14:textId="6DCBC7DB" w:rsidR="001D1F6B" w:rsidRDefault="001D1F6B" w:rsidP="008639F6">
      <w:pPr>
        <w:spacing w:after="0" w:line="240" w:lineRule="auto"/>
        <w:jc w:val="both"/>
        <w:rPr>
          <w:rFonts w:ascii="Verdana" w:eastAsia="Calibri" w:hAnsi="Verdana" w:cs="Arial"/>
          <w:color w:val="000000"/>
          <w:lang w:val="es-ES"/>
        </w:rPr>
      </w:pPr>
    </w:p>
    <w:p w14:paraId="3D51398D" w14:textId="77777777" w:rsidR="001D1F6B" w:rsidRPr="00593A5F" w:rsidRDefault="001D1F6B" w:rsidP="008639F6">
      <w:pPr>
        <w:spacing w:after="0" w:line="240" w:lineRule="auto"/>
        <w:jc w:val="both"/>
        <w:rPr>
          <w:rFonts w:ascii="Verdana" w:eastAsia="Calibri" w:hAnsi="Verdana" w:cs="Arial"/>
          <w:color w:val="000000"/>
          <w:lang w:val="es-ES"/>
        </w:rPr>
      </w:pPr>
    </w:p>
    <w:p w14:paraId="38B71642" w14:textId="241F338E" w:rsidR="008639F6" w:rsidRPr="006575A2" w:rsidRDefault="008639F6" w:rsidP="008639F6">
      <w:pPr>
        <w:spacing w:after="0" w:line="240" w:lineRule="auto"/>
        <w:textAlignment w:val="baseline"/>
        <w:rPr>
          <w:rFonts w:ascii="Verdana" w:eastAsia="Calibri" w:hAnsi="Verdana" w:cs="Arial"/>
        </w:rPr>
      </w:pPr>
      <w:r w:rsidRPr="006575A2">
        <w:rPr>
          <w:rFonts w:ascii="Verdana" w:eastAsia="Calibri" w:hAnsi="Verdana" w:cs="Arial"/>
        </w:rPr>
        <w:t>Señora</w:t>
      </w:r>
    </w:p>
    <w:p w14:paraId="62DDAA35" w14:textId="49EF48D7" w:rsidR="008639F6" w:rsidRPr="006575A2" w:rsidRDefault="008639F6" w:rsidP="008639F6">
      <w:pPr>
        <w:spacing w:after="0" w:line="240" w:lineRule="auto"/>
        <w:rPr>
          <w:rFonts w:ascii="Verdana" w:eastAsia="Calibri" w:hAnsi="Verdana" w:cs="Arial"/>
          <w:b/>
          <w:bCs/>
        </w:rPr>
      </w:pPr>
      <w:r w:rsidRPr="006575A2">
        <w:rPr>
          <w:rFonts w:ascii="Verdana" w:eastAsia="Calibri" w:hAnsi="Verdana" w:cs="Arial"/>
          <w:b/>
          <w:bCs/>
        </w:rPr>
        <w:t>Astrid Carolina León Núñez</w:t>
      </w:r>
    </w:p>
    <w:p w14:paraId="6CD790FD" w14:textId="77777777" w:rsidR="008639F6" w:rsidRPr="006575A2" w:rsidRDefault="008639F6" w:rsidP="008639F6">
      <w:pPr>
        <w:spacing w:after="0" w:line="240" w:lineRule="auto"/>
        <w:rPr>
          <w:rFonts w:ascii="Verdana" w:eastAsia="Calibri" w:hAnsi="Verdana" w:cs="Arial"/>
        </w:rPr>
      </w:pPr>
      <w:r w:rsidRPr="006575A2">
        <w:rPr>
          <w:rFonts w:ascii="Verdana" w:eastAsia="Calibri" w:hAnsi="Verdana" w:cs="Arial"/>
        </w:rPr>
        <w:t>Jefe Oficina Asesora Jurídica</w:t>
      </w:r>
    </w:p>
    <w:p w14:paraId="24E21CAB" w14:textId="77777777" w:rsidR="008639F6" w:rsidRPr="006575A2" w:rsidRDefault="008639F6" w:rsidP="008639F6">
      <w:pPr>
        <w:spacing w:after="0" w:line="240" w:lineRule="auto"/>
        <w:rPr>
          <w:rFonts w:ascii="Verdana" w:eastAsia="Calibri" w:hAnsi="Verdana" w:cs="Arial"/>
        </w:rPr>
      </w:pPr>
      <w:r w:rsidRPr="006575A2">
        <w:rPr>
          <w:rFonts w:ascii="Verdana" w:eastAsia="Calibri" w:hAnsi="Verdana" w:cs="Arial"/>
        </w:rPr>
        <w:t>Alcaldía Municipal de Paz de Ariporo</w:t>
      </w:r>
    </w:p>
    <w:p w14:paraId="11728F2F" w14:textId="77777777" w:rsidR="008639F6" w:rsidRPr="004C12C3" w:rsidRDefault="008639F6" w:rsidP="008639F6">
      <w:pPr>
        <w:spacing w:after="0" w:line="240" w:lineRule="auto"/>
        <w:rPr>
          <w:rFonts w:ascii="Verdana" w:eastAsia="Calibri" w:hAnsi="Verdana" w:cs="Arial"/>
          <w:color w:val="4472C4" w:themeColor="accent1"/>
        </w:rPr>
      </w:pPr>
      <w:hyperlink r:id="rId11" w:history="1">
        <w:r w:rsidRPr="004C12C3">
          <w:rPr>
            <w:rStyle w:val="Hipervnculo"/>
            <w:rFonts w:ascii="Verdana" w:eastAsia="Calibri" w:hAnsi="Verdana" w:cs="Arial"/>
            <w:color w:val="4472C4" w:themeColor="accent1"/>
          </w:rPr>
          <w:t>juridica@pazdeariporo-casanare.gov.co</w:t>
        </w:r>
      </w:hyperlink>
      <w:r w:rsidRPr="004C12C3">
        <w:rPr>
          <w:rFonts w:ascii="Verdana" w:eastAsia="Calibri" w:hAnsi="Verdana" w:cs="Arial"/>
          <w:color w:val="4472C4" w:themeColor="accent1"/>
        </w:rPr>
        <w:t xml:space="preserve"> </w:t>
      </w:r>
    </w:p>
    <w:p w14:paraId="5A4BBA42" w14:textId="39FABD07" w:rsidR="008639F6" w:rsidRPr="00451A40" w:rsidRDefault="008639F6" w:rsidP="008639F6">
      <w:pPr>
        <w:spacing w:after="0" w:line="240" w:lineRule="auto"/>
        <w:rPr>
          <w:rFonts w:ascii="Verdana" w:eastAsia="Calibri" w:hAnsi="Verdana" w:cs="Arial"/>
        </w:rPr>
      </w:pPr>
      <w:r w:rsidRPr="006575A2">
        <w:rPr>
          <w:rFonts w:ascii="Verdana" w:eastAsia="Calibri" w:hAnsi="Verdana" w:cs="Arial"/>
        </w:rPr>
        <w:t>Paz de Ariporo, Casanare</w:t>
      </w:r>
    </w:p>
    <w:p w14:paraId="26356BD7" w14:textId="77777777" w:rsidR="008639F6" w:rsidRPr="00593A5F" w:rsidRDefault="008639F6" w:rsidP="008639F6">
      <w:pPr>
        <w:spacing w:after="0" w:line="240" w:lineRule="auto"/>
        <w:rPr>
          <w:rFonts w:ascii="Verdana" w:eastAsia="Calibri" w:hAnsi="Verdana" w:cs="Arial"/>
          <w:b/>
          <w:bCs/>
          <w:color w:val="000000"/>
          <w:lang w:val="es-ES_tradnl" w:eastAsia="es-ES_tradnl"/>
        </w:rPr>
      </w:pPr>
    </w:p>
    <w:p w14:paraId="57CE629A" w14:textId="77777777" w:rsidR="001D1F6B" w:rsidRDefault="001D1F6B" w:rsidP="008639F6">
      <w:pPr>
        <w:spacing w:after="0" w:line="240" w:lineRule="auto"/>
        <w:rPr>
          <w:rFonts w:ascii="Verdana" w:eastAsia="Calibri" w:hAnsi="Verdana" w:cs="Arial"/>
          <w:b/>
          <w:bCs/>
          <w:color w:val="000000"/>
          <w:lang w:val="es-ES_tradnl" w:eastAsia="es-ES_tradnl"/>
        </w:rPr>
      </w:pPr>
    </w:p>
    <w:p w14:paraId="380F4DA1" w14:textId="77777777" w:rsidR="001D1F6B" w:rsidRPr="00593A5F" w:rsidRDefault="001D1F6B" w:rsidP="008639F6">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639F6" w:rsidRPr="00AC522B" w14:paraId="22533E85" w14:textId="77777777" w:rsidTr="001D7719">
        <w:trPr>
          <w:trHeight w:val="884"/>
        </w:trPr>
        <w:tc>
          <w:tcPr>
            <w:tcW w:w="2689" w:type="dxa"/>
          </w:tcPr>
          <w:p w14:paraId="6A76E63A" w14:textId="77777777" w:rsidR="008639F6" w:rsidRPr="00AC522B" w:rsidRDefault="008639F6" w:rsidP="001D7719">
            <w:pPr>
              <w:jc w:val="both"/>
              <w:rPr>
                <w:rFonts w:ascii="Verdana" w:eastAsia="Calibri" w:hAnsi="Verdana" w:cs="Arial"/>
                <w:b/>
                <w:bCs/>
                <w:lang w:val="es-ES_tradnl" w:eastAsia="es-ES_tradnl"/>
              </w:rPr>
            </w:pPr>
          </w:p>
        </w:tc>
        <w:tc>
          <w:tcPr>
            <w:tcW w:w="6100" w:type="dxa"/>
          </w:tcPr>
          <w:p w14:paraId="6E6B3814" w14:textId="77777777" w:rsidR="008639F6" w:rsidRPr="00AC522B" w:rsidRDefault="008639F6" w:rsidP="001D7719">
            <w:pPr>
              <w:jc w:val="both"/>
              <w:rPr>
                <w:rFonts w:ascii="Verdana" w:eastAsia="Calibri" w:hAnsi="Verdana" w:cs="Arial"/>
                <w:b/>
                <w:bCs/>
                <w:lang w:val="es-ES" w:eastAsia="es-ES"/>
              </w:rPr>
            </w:pPr>
            <w:r w:rsidRPr="00AC522B">
              <w:rPr>
                <w:rFonts w:ascii="Verdana" w:eastAsia="Calibri" w:hAnsi="Verdana" w:cs="Arial"/>
                <w:b/>
                <w:bCs/>
                <w:lang w:val="es-ES" w:eastAsia="es-ES"/>
              </w:rPr>
              <w:t>Concepto C-723 de 2024</w:t>
            </w:r>
          </w:p>
        </w:tc>
      </w:tr>
      <w:tr w:rsidR="008639F6" w:rsidRPr="00AC522B" w14:paraId="00F63A04" w14:textId="77777777" w:rsidTr="001D7719">
        <w:trPr>
          <w:trHeight w:val="884"/>
        </w:trPr>
        <w:tc>
          <w:tcPr>
            <w:tcW w:w="2689" w:type="dxa"/>
          </w:tcPr>
          <w:p w14:paraId="6E92337A" w14:textId="77777777" w:rsidR="008639F6" w:rsidRPr="00AC522B" w:rsidRDefault="008639F6" w:rsidP="001D7719">
            <w:pPr>
              <w:jc w:val="both"/>
              <w:rPr>
                <w:rFonts w:ascii="Verdana" w:eastAsia="Calibri" w:hAnsi="Verdana" w:cs="Arial"/>
                <w:lang w:val="es-ES_tradnl" w:eastAsia="es-ES_tradnl"/>
              </w:rPr>
            </w:pPr>
            <w:r w:rsidRPr="00AC522B">
              <w:rPr>
                <w:rFonts w:ascii="Verdana" w:eastAsia="Calibri" w:hAnsi="Verdana" w:cs="Arial"/>
                <w:b/>
                <w:lang w:val="es-ES_tradnl" w:eastAsia="es-ES_tradnl"/>
              </w:rPr>
              <w:t>Temas:</w:t>
            </w:r>
            <w:r w:rsidRPr="00AC522B">
              <w:rPr>
                <w:rFonts w:ascii="Verdana" w:eastAsia="Calibri" w:hAnsi="Verdana" w:cs="Arial"/>
                <w:lang w:val="es-ES_tradnl" w:eastAsia="es-ES_tradnl"/>
              </w:rPr>
              <w:t xml:space="preserve">                   </w:t>
            </w:r>
          </w:p>
        </w:tc>
        <w:tc>
          <w:tcPr>
            <w:tcW w:w="6100" w:type="dxa"/>
          </w:tcPr>
          <w:p w14:paraId="79CDD43D" w14:textId="681B7FA0" w:rsidR="008639F6" w:rsidRPr="00AC522B" w:rsidRDefault="008639F6" w:rsidP="001D7719">
            <w:pPr>
              <w:jc w:val="both"/>
              <w:rPr>
                <w:rFonts w:ascii="Verdana" w:eastAsia="Calibri" w:hAnsi="Verdana" w:cs="Arial"/>
                <w:lang w:val="es-ES_tradnl" w:eastAsia="es-ES"/>
              </w:rPr>
            </w:pPr>
            <w:r w:rsidRPr="00AC522B">
              <w:rPr>
                <w:rFonts w:ascii="Verdana" w:eastAsia="Calibri" w:hAnsi="Verdana" w:cs="Arial"/>
                <w:lang w:val="es-ES_tradnl" w:eastAsia="es-ES"/>
              </w:rPr>
              <w:t xml:space="preserve">CONTRATO DE ARRENDAMIENTO – Definición – Características – Decreto 1082 </w:t>
            </w:r>
            <w:r w:rsidR="00AB0994">
              <w:rPr>
                <w:rFonts w:ascii="Verdana" w:eastAsia="Calibri" w:hAnsi="Verdana" w:cs="Arial"/>
                <w:lang w:val="es-ES_tradnl" w:eastAsia="es-ES"/>
              </w:rPr>
              <w:t>de</w:t>
            </w:r>
            <w:r w:rsidRPr="00AC522B">
              <w:rPr>
                <w:rFonts w:ascii="Verdana" w:eastAsia="Calibri" w:hAnsi="Verdana" w:cs="Arial"/>
                <w:lang w:val="es-ES_tradnl" w:eastAsia="es-ES"/>
              </w:rPr>
              <w:t xml:space="preserve"> 2015 – Artículo 2.2.1.2.1.4.11 / </w:t>
            </w:r>
            <w:r w:rsidR="004C12C3">
              <w:rPr>
                <w:rFonts w:ascii="Verdana" w:eastAsia="Calibri" w:hAnsi="Verdana" w:cs="Arial"/>
                <w:lang w:val="es-ES_tradnl" w:eastAsia="es-ES"/>
              </w:rPr>
              <w:t xml:space="preserve">PUBLICIDAD EN SECOP </w:t>
            </w:r>
            <w:r w:rsidR="00B55280">
              <w:rPr>
                <w:rFonts w:ascii="Verdana" w:eastAsia="Calibri" w:hAnsi="Verdana" w:cs="Arial"/>
                <w:lang w:val="es-ES_tradnl" w:eastAsia="es-ES"/>
              </w:rPr>
              <w:t xml:space="preserve">II </w:t>
            </w:r>
            <w:r w:rsidR="004C12C3">
              <w:rPr>
                <w:rFonts w:ascii="Verdana" w:eastAsia="Calibri" w:hAnsi="Verdana" w:cs="Arial"/>
                <w:lang w:val="es-ES_tradnl" w:eastAsia="es-ES"/>
              </w:rPr>
              <w:t>– Obligatoriedad</w:t>
            </w:r>
          </w:p>
          <w:p w14:paraId="6854315A" w14:textId="77777777" w:rsidR="008639F6" w:rsidRPr="00AC522B" w:rsidRDefault="008639F6" w:rsidP="001D7719">
            <w:pPr>
              <w:spacing w:line="276" w:lineRule="auto"/>
              <w:jc w:val="both"/>
              <w:rPr>
                <w:rFonts w:ascii="Verdana" w:eastAsia="Calibri" w:hAnsi="Verdana" w:cs="Arial"/>
                <w:lang w:val="es-ES" w:eastAsia="es-ES"/>
              </w:rPr>
            </w:pPr>
          </w:p>
        </w:tc>
      </w:tr>
      <w:tr w:rsidR="008639F6" w:rsidRPr="00AC522B" w14:paraId="3A17FD9B" w14:textId="77777777" w:rsidTr="001D7719">
        <w:tc>
          <w:tcPr>
            <w:tcW w:w="2689" w:type="dxa"/>
          </w:tcPr>
          <w:p w14:paraId="011C69A6" w14:textId="77777777" w:rsidR="008639F6" w:rsidRPr="00AC522B" w:rsidRDefault="008639F6" w:rsidP="001D7719">
            <w:pPr>
              <w:jc w:val="both"/>
              <w:rPr>
                <w:rFonts w:ascii="Verdana" w:eastAsia="Calibri" w:hAnsi="Verdana" w:cs="Arial"/>
                <w:b/>
                <w:lang w:val="es-ES_tradnl" w:eastAsia="es-ES_tradnl"/>
              </w:rPr>
            </w:pPr>
            <w:r w:rsidRPr="00AC522B">
              <w:rPr>
                <w:rFonts w:ascii="Verdana" w:eastAsia="Calibri" w:hAnsi="Verdana" w:cs="Arial"/>
                <w:b/>
                <w:lang w:val="es-ES_tradnl" w:eastAsia="es-ES_tradnl"/>
              </w:rPr>
              <w:t>Radicación:</w:t>
            </w:r>
            <w:r w:rsidRPr="00AC522B">
              <w:rPr>
                <w:rFonts w:ascii="Verdana" w:eastAsia="Calibri" w:hAnsi="Verdana" w:cs="Arial"/>
                <w:lang w:val="es-ES_tradnl" w:eastAsia="es-ES_tradnl"/>
              </w:rPr>
              <w:t xml:space="preserve">               </w:t>
            </w:r>
          </w:p>
        </w:tc>
        <w:tc>
          <w:tcPr>
            <w:tcW w:w="6100" w:type="dxa"/>
          </w:tcPr>
          <w:p w14:paraId="3A0DAFA4" w14:textId="77777777" w:rsidR="008639F6" w:rsidRPr="00AC522B" w:rsidRDefault="008639F6" w:rsidP="001D7719">
            <w:pPr>
              <w:jc w:val="both"/>
              <w:rPr>
                <w:rFonts w:ascii="Verdana" w:eastAsia="Calibri" w:hAnsi="Verdana" w:cs="Arial"/>
                <w:lang w:val="es-ES_tradnl" w:eastAsia="es-ES_tradnl"/>
              </w:rPr>
            </w:pPr>
            <w:r w:rsidRPr="00AC522B">
              <w:rPr>
                <w:rFonts w:ascii="Verdana" w:eastAsia="Calibri" w:hAnsi="Verdana" w:cs="Arial"/>
                <w:lang w:val="es-ES_tradnl" w:eastAsia="es-ES_tradnl"/>
              </w:rPr>
              <w:t xml:space="preserve">Respuesta a consulta con radicado No. </w:t>
            </w:r>
            <w:r w:rsidRPr="00AC522B">
              <w:rPr>
                <w:rFonts w:ascii="Verdana" w:eastAsia="Calibri" w:hAnsi="Verdana" w:cs="Arial"/>
              </w:rPr>
              <w:t>P20241010010351</w:t>
            </w:r>
          </w:p>
        </w:tc>
      </w:tr>
    </w:tbl>
    <w:p w14:paraId="670F549F" w14:textId="77777777" w:rsidR="008639F6" w:rsidRPr="00AC522B" w:rsidRDefault="008639F6" w:rsidP="008639F6">
      <w:pPr>
        <w:spacing w:after="0" w:line="240" w:lineRule="auto"/>
        <w:jc w:val="both"/>
        <w:rPr>
          <w:rFonts w:ascii="Verdana" w:eastAsia="Calibri" w:hAnsi="Verdana" w:cs="Arial"/>
          <w:lang w:val="es-ES_tradnl" w:eastAsia="es-ES_tradnl"/>
        </w:rPr>
      </w:pPr>
    </w:p>
    <w:p w14:paraId="522E4E99" w14:textId="77777777" w:rsidR="008639F6" w:rsidRPr="00AC522B" w:rsidRDefault="008639F6" w:rsidP="008639F6">
      <w:pPr>
        <w:spacing w:after="0" w:line="276" w:lineRule="auto"/>
        <w:jc w:val="both"/>
        <w:rPr>
          <w:rFonts w:ascii="Verdana" w:eastAsia="Calibri" w:hAnsi="Verdana" w:cs="Arial"/>
          <w:lang w:val="es-ES" w:eastAsia="es-ES"/>
        </w:rPr>
      </w:pPr>
      <w:r w:rsidRPr="00AC522B">
        <w:rPr>
          <w:rFonts w:ascii="Verdana" w:eastAsia="Calibri" w:hAnsi="Verdana" w:cs="Arial"/>
          <w:lang w:val="es-ES" w:eastAsia="es-ES"/>
        </w:rPr>
        <w:t xml:space="preserve">Estimado señora Astrid: </w:t>
      </w:r>
    </w:p>
    <w:p w14:paraId="558A2091" w14:textId="77777777" w:rsidR="008639F6" w:rsidRPr="00AC522B" w:rsidRDefault="008639F6" w:rsidP="008639F6">
      <w:pPr>
        <w:tabs>
          <w:tab w:val="left" w:pos="3768"/>
        </w:tabs>
        <w:spacing w:after="0" w:line="276" w:lineRule="auto"/>
        <w:jc w:val="both"/>
        <w:rPr>
          <w:rFonts w:ascii="Verdana" w:eastAsia="Calibri" w:hAnsi="Verdana" w:cs="Arial"/>
          <w:lang w:val="es-ES" w:eastAsia="es-ES"/>
        </w:rPr>
      </w:pPr>
      <w:r w:rsidRPr="00AC522B">
        <w:rPr>
          <w:rFonts w:ascii="Verdana" w:eastAsia="Calibri" w:hAnsi="Verdana" w:cs="Arial"/>
          <w:lang w:val="es-ES" w:eastAsia="es-ES"/>
        </w:rPr>
        <w:tab/>
      </w:r>
    </w:p>
    <w:p w14:paraId="48BB2E48" w14:textId="367640D0" w:rsidR="008639F6" w:rsidRPr="00593A5F" w:rsidRDefault="008639F6" w:rsidP="005F01A2">
      <w:pPr>
        <w:spacing w:after="120" w:line="276" w:lineRule="auto"/>
        <w:jc w:val="both"/>
        <w:rPr>
          <w:rFonts w:ascii="Verdana" w:eastAsia="Century Gothic" w:hAnsi="Verdana" w:cs="Century Gothic"/>
          <w:b/>
          <w:bCs/>
        </w:rPr>
      </w:pPr>
      <w:r w:rsidRPr="00AC522B">
        <w:rPr>
          <w:rFonts w:ascii="Verdana" w:eastAsia="Calibri" w:hAnsi="Verdana" w:cs="Arial"/>
          <w:lang w:val="es-ES" w:eastAsia="es-ES"/>
        </w:rPr>
        <w:t>En ejercicio de la competencia otorgada por los artículos 3, numeral 5º, y 11, numeral 8º, del Decreto Ley 4170 de 2011,</w:t>
      </w:r>
      <w:r w:rsidRPr="00AC522B">
        <w:rPr>
          <w:rFonts w:ascii="Verdana" w:eastAsia="Arial MT" w:hAnsi="Verdana" w:cs="Arial MT"/>
          <w:lang w:val="es-ES" w:eastAsia="es-ES"/>
        </w:rPr>
        <w:t xml:space="preserve"> </w:t>
      </w:r>
      <w:r w:rsidRPr="00AC522B">
        <w:rPr>
          <w:rFonts w:ascii="Verdana" w:hAnsi="Verdana" w:cs="Arial"/>
        </w:rPr>
        <w:t xml:space="preserve">así como lo establecido en el artículo 4 de la Resolución 1707 de 2018 expedida por esta Entidad, </w:t>
      </w:r>
      <w:r w:rsidRPr="00AC522B">
        <w:rPr>
          <w:rFonts w:ascii="Verdana" w:eastAsia="Calibri" w:hAnsi="Verdana" w:cs="Arial"/>
          <w:lang w:val="es-ES" w:eastAsia="es-ES"/>
        </w:rPr>
        <w:t xml:space="preserve">la Agencia Nacional de Contratación Pública – Colombia Compra Eficiente– responde su solicitud de consulta de fecha 25 de septiembre de 2024, </w:t>
      </w:r>
      <w:r w:rsidRPr="00AC522B">
        <w:rPr>
          <w:rFonts w:ascii="Verdana" w:eastAsia="Calibri" w:hAnsi="Verdana" w:cs="Arial"/>
        </w:rPr>
        <w:t xml:space="preserve">remitida el 10 de octubre, por el Departamento Administrativo de la Función Pública con oficio remisorio No. 20246000596211, </w:t>
      </w:r>
      <w:r w:rsidRPr="00AC522B">
        <w:rPr>
          <w:rFonts w:ascii="Verdana" w:eastAsia="Calibri" w:hAnsi="Verdana" w:cs="Arial"/>
          <w:lang w:val="es-ES" w:eastAsia="es-ES"/>
        </w:rPr>
        <w:t xml:space="preserve">en la cual manifiesta lo siguiente: </w:t>
      </w:r>
      <w:bookmarkStart w:id="0" w:name="_Hlk95313578"/>
      <w:r w:rsidRPr="005F01A2">
        <w:rPr>
          <w:rFonts w:ascii="Verdana" w:eastAsia="Calibri" w:hAnsi="Verdana" w:cs="Arial"/>
          <w:i/>
          <w:iCs/>
        </w:rPr>
        <w:t>“[…]</w:t>
      </w:r>
      <w:r w:rsidR="00193926" w:rsidRPr="005F01A2">
        <w:rPr>
          <w:rFonts w:ascii="Verdana" w:eastAsia="Calibri" w:hAnsi="Verdana" w:cs="Arial"/>
          <w:i/>
          <w:iCs/>
        </w:rPr>
        <w:t xml:space="preserve"> </w:t>
      </w:r>
      <w:r w:rsidRPr="005F01A2">
        <w:rPr>
          <w:rFonts w:ascii="Verdana" w:eastAsia="Calibri" w:hAnsi="Verdana" w:cs="Arial"/>
          <w:i/>
        </w:rPr>
        <w:t>6. ¿En caso de ser factible la suscripción del mencionado contrato de arrendamiento, es necesario publicar el mismo en la página del Secop ii?</w:t>
      </w:r>
      <w:bookmarkEnd w:id="0"/>
      <w:r w:rsidR="00193926" w:rsidRPr="005F01A2">
        <w:rPr>
          <w:rFonts w:ascii="Verdana" w:eastAsia="Calibri" w:hAnsi="Verdana" w:cs="Arial"/>
          <w:i/>
          <w:iCs/>
        </w:rPr>
        <w:t xml:space="preserve"> </w:t>
      </w:r>
      <w:r w:rsidRPr="005F01A2">
        <w:rPr>
          <w:rStyle w:val="normaltextrun"/>
          <w:rFonts w:ascii="Verdana" w:hAnsi="Verdana" w:cs="Arial"/>
          <w:i/>
          <w:iCs/>
          <w:color w:val="7030A0"/>
          <w:shd w:val="clear" w:color="auto" w:fill="FFFFFF"/>
          <w:lang w:val="es-ES"/>
        </w:rPr>
        <w:t>[…]</w:t>
      </w:r>
      <w:r w:rsidRPr="005F01A2">
        <w:rPr>
          <w:rFonts w:ascii="Verdana" w:eastAsia="Century Gothic" w:hAnsi="Verdana" w:cs="Century Gothic"/>
          <w:i/>
          <w:iCs/>
          <w:color w:val="7030A0"/>
          <w:lang w:val="es-ES"/>
        </w:rPr>
        <w:t>”.</w:t>
      </w:r>
    </w:p>
    <w:p w14:paraId="4FEB4A09" w14:textId="77777777" w:rsidR="008639F6" w:rsidRDefault="008639F6" w:rsidP="008639F6">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593A5F">
        <w:rPr>
          <w:rFonts w:ascii="Verdana" w:eastAsia="Calibri" w:hAnsi="Verdana" w:cs="Arial"/>
          <w:color w:val="000000"/>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08418DC" w14:textId="77777777" w:rsidR="008639F6" w:rsidRDefault="008639F6" w:rsidP="008639F6">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36BA5E61" w14:textId="77777777" w:rsidR="008639F6" w:rsidRPr="00593A5F" w:rsidRDefault="008639F6" w:rsidP="008639F6">
      <w:pPr>
        <w:spacing w:after="0" w:line="276" w:lineRule="auto"/>
        <w:ind w:firstLine="709"/>
        <w:jc w:val="both"/>
        <w:rPr>
          <w:rFonts w:ascii="Verdana" w:eastAsia="Calibri" w:hAnsi="Verdana" w:cs="Arial"/>
          <w:color w:val="000000"/>
          <w:lang w:val="es-ES" w:eastAsia="es-ES"/>
        </w:rPr>
      </w:pPr>
    </w:p>
    <w:p w14:paraId="26C37A65" w14:textId="77777777" w:rsidR="008639F6" w:rsidRPr="00593A5F" w:rsidRDefault="008639F6" w:rsidP="008639F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343B2F49" w14:textId="77777777" w:rsidR="008639F6" w:rsidRPr="00593A5F" w:rsidRDefault="008639F6" w:rsidP="008639F6">
      <w:pPr>
        <w:tabs>
          <w:tab w:val="left" w:pos="426"/>
        </w:tabs>
        <w:spacing w:after="0" w:line="276" w:lineRule="auto"/>
        <w:jc w:val="both"/>
        <w:rPr>
          <w:rFonts w:ascii="Verdana" w:eastAsia="Century Gothic" w:hAnsi="Verdana" w:cs="Century Gothic"/>
          <w:lang w:val="es-ES"/>
        </w:rPr>
      </w:pPr>
    </w:p>
    <w:p w14:paraId="5D91DF01" w14:textId="77777777" w:rsidR="008639F6" w:rsidRPr="00AC522B" w:rsidRDefault="008639F6" w:rsidP="008639F6">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siguiente problema jurídico</w:t>
      </w:r>
      <w:r w:rsidRPr="00AC522B">
        <w:rPr>
          <w:rFonts w:ascii="Verdana" w:eastAsia="Century Gothic" w:hAnsi="Verdana" w:cs="Century Gothic"/>
        </w:rPr>
        <w:t xml:space="preserve">: ¿Los contratos de arrendamiento celebrados por una alcaldía municipal deberán ser publicados en SECOP II? </w:t>
      </w:r>
    </w:p>
    <w:p w14:paraId="40252140" w14:textId="77777777" w:rsidR="008639F6" w:rsidRPr="00593A5F" w:rsidRDefault="008639F6" w:rsidP="008639F6">
      <w:pPr>
        <w:spacing w:after="0" w:line="276" w:lineRule="auto"/>
        <w:jc w:val="both"/>
        <w:rPr>
          <w:rFonts w:ascii="Verdana" w:eastAsia="Calibri" w:hAnsi="Verdana" w:cs="Arial"/>
          <w:color w:val="7030A0"/>
          <w:lang w:val="es-ES"/>
        </w:rPr>
      </w:pPr>
    </w:p>
    <w:p w14:paraId="6B795FB3" w14:textId="77777777" w:rsidR="008639F6" w:rsidRPr="00593A5F" w:rsidRDefault="008639F6" w:rsidP="008639F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2A5952DC" w14:textId="77777777" w:rsidR="008639F6" w:rsidRPr="00593A5F" w:rsidRDefault="008639F6" w:rsidP="008639F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639F6" w:rsidRPr="00593A5F" w14:paraId="236A22F2" w14:textId="77777777" w:rsidTr="001D7719">
        <w:tc>
          <w:tcPr>
            <w:tcW w:w="8828" w:type="dxa"/>
            <w:shd w:val="clear" w:color="auto" w:fill="auto"/>
          </w:tcPr>
          <w:p w14:paraId="254CF2DD" w14:textId="77777777" w:rsidR="008639F6" w:rsidRPr="007C2E57" w:rsidRDefault="008639F6" w:rsidP="001D7719">
            <w:pPr>
              <w:spacing w:line="276" w:lineRule="auto"/>
              <w:jc w:val="both"/>
              <w:rPr>
                <w:rFonts w:ascii="Verdana" w:eastAsia="Calibri" w:hAnsi="Verdana" w:cs="Arial"/>
                <w:lang w:val="es-MX"/>
              </w:rPr>
            </w:pPr>
            <w:r w:rsidRPr="007C2E57">
              <w:rPr>
                <w:rFonts w:ascii="Verdana" w:eastAsia="Calibri" w:hAnsi="Verdana" w:cs="Arial"/>
                <w:lang w:val="es-ES"/>
              </w:rPr>
              <w:t xml:space="preserve">El contrato de arrendamiento para bienes inmuebles, celebrado por entidades estatales regidas </w:t>
            </w:r>
            <w:r w:rsidRPr="007C2E57">
              <w:rPr>
                <w:rFonts w:ascii="Verdana" w:eastAsia="Calibri" w:hAnsi="Verdana" w:cs="Arial"/>
              </w:rPr>
              <w:t xml:space="preserve">por el Estatuto General de Contratación de la Administración Pública bien sea que obre en calidad de arrendadora o arrendataria, se deberá celebrar bajo la modalidad de selección de contratación, en virtud por lo establecido en el artículo 2º, numeral 4° literal i) de la Ley 1150 de 2007. </w:t>
            </w:r>
            <w:r w:rsidRPr="007C2E57">
              <w:rPr>
                <w:rFonts w:ascii="Verdana" w:eastAsia="Calibri" w:hAnsi="Verdana" w:cs="Arial"/>
                <w:bCs/>
              </w:rPr>
              <w:t xml:space="preserve">Adicionalmente, el artículo 2.2.1.2.1.4.11 del Decreto 1082 de 2015 dispone dos reglas para que las entidades estatales puedan alquilar o arrendar inmuebles mediante contratación directa que consisten en “1) </w:t>
            </w:r>
            <w:r w:rsidRPr="007C2E57">
              <w:rPr>
                <w:rFonts w:ascii="Verdana" w:eastAsia="Calibri" w:hAnsi="Verdana" w:cs="Arial"/>
                <w:lang w:val="es-MX"/>
              </w:rPr>
              <w:t>verificar</w:t>
            </w:r>
            <w:r w:rsidRPr="00914964">
              <w:rPr>
                <w:rFonts w:ascii="Verdana" w:eastAsia="Calibri" w:hAnsi="Verdana" w:cs="Arial"/>
                <w:lang w:val="es-MX"/>
              </w:rPr>
              <w:t xml:space="preserve"> las condiciones del mercado inmobiliario en la ciudad en la que la Entidad Estatal requiere el inmueble</w:t>
            </w:r>
            <w:r w:rsidRPr="007C2E57">
              <w:rPr>
                <w:rFonts w:ascii="Verdana" w:eastAsia="Calibri" w:hAnsi="Verdana" w:cs="Arial"/>
                <w:lang w:val="es-MX"/>
              </w:rPr>
              <w:t xml:space="preserve">, y, </w:t>
            </w:r>
            <w:r w:rsidRPr="00914964">
              <w:rPr>
                <w:rFonts w:ascii="Verdana" w:eastAsia="Calibri" w:hAnsi="Verdana" w:cs="Arial"/>
                <w:lang w:val="es-MX"/>
              </w:rPr>
              <w:t>2</w:t>
            </w:r>
            <w:r w:rsidRPr="007C2E57">
              <w:rPr>
                <w:rFonts w:ascii="Verdana" w:eastAsia="Calibri" w:hAnsi="Verdana" w:cs="Arial"/>
                <w:lang w:val="es-MX"/>
              </w:rPr>
              <w:t>) a</w:t>
            </w:r>
            <w:r w:rsidRPr="00914964">
              <w:rPr>
                <w:rFonts w:ascii="Verdana" w:eastAsia="Calibri" w:hAnsi="Verdana" w:cs="Arial"/>
                <w:lang w:val="es-MX"/>
              </w:rPr>
              <w:t>nalizar y comparar las condiciones de los bienes inmuebles que satisfacen las necesidades identificadas y las opciones de arrendamiento, análisis que deberá tener en cuenta los principios y objetivos del sistema de compra y contratación pública</w:t>
            </w:r>
            <w:r w:rsidRPr="007C2E57">
              <w:rPr>
                <w:rFonts w:ascii="Verdana" w:eastAsia="Calibri" w:hAnsi="Verdana" w:cs="Arial"/>
                <w:lang w:val="es-MX"/>
              </w:rPr>
              <w:t>”</w:t>
            </w:r>
            <w:r w:rsidRPr="00914964">
              <w:rPr>
                <w:rFonts w:ascii="Verdana" w:eastAsia="Calibri" w:hAnsi="Verdana" w:cs="Arial"/>
                <w:lang w:val="es-MX"/>
              </w:rPr>
              <w:t>.</w:t>
            </w:r>
            <w:r w:rsidRPr="007C2E57">
              <w:rPr>
                <w:rFonts w:ascii="Verdana" w:eastAsia="Calibri" w:hAnsi="Verdana" w:cs="Arial"/>
                <w:lang w:val="es-MX"/>
              </w:rPr>
              <w:t xml:space="preserve"> Por ende, en los casos en donde una de las partes del contrato de arrendamiento sea una entidad pública, este contrato adquiere el carácter de estatal y su contenido se enmarcará en las normas civiles y comerciales que lo regulan, además de las establecidas en el Estatuto General de Contratación de la Administración Pública.</w:t>
            </w:r>
          </w:p>
          <w:p w14:paraId="140DBD6A" w14:textId="77777777" w:rsidR="008639F6" w:rsidRPr="007C2E57" w:rsidRDefault="008639F6" w:rsidP="001D7719">
            <w:pPr>
              <w:spacing w:line="276" w:lineRule="auto"/>
              <w:jc w:val="both"/>
              <w:rPr>
                <w:rFonts w:ascii="Verdana" w:eastAsia="Calibri" w:hAnsi="Verdana" w:cs="Arial"/>
                <w:lang w:val="es-MX"/>
              </w:rPr>
            </w:pPr>
          </w:p>
          <w:p w14:paraId="17C60994" w14:textId="2897B428" w:rsidR="008639F6" w:rsidRPr="00700415" w:rsidRDefault="008639F6" w:rsidP="001D7719">
            <w:pPr>
              <w:spacing w:line="276" w:lineRule="auto"/>
              <w:jc w:val="both"/>
              <w:rPr>
                <w:rFonts w:ascii="Verdana" w:eastAsia="Calibri" w:hAnsi="Verdana" w:cs="Arial"/>
                <w:lang w:val="es-MX"/>
              </w:rPr>
            </w:pPr>
            <w:r w:rsidRPr="007C2E57">
              <w:rPr>
                <w:rFonts w:ascii="Verdana" w:eastAsia="Calibri" w:hAnsi="Verdana" w:cs="Arial"/>
                <w:lang w:val="es-MX"/>
              </w:rPr>
              <w:t xml:space="preserve">Finalmente, </w:t>
            </w:r>
            <w:r w:rsidRPr="007C2E57">
              <w:rPr>
                <w:rFonts w:ascii="Verdana" w:eastAsia="Calibri" w:hAnsi="Verdana" w:cs="Arial"/>
              </w:rPr>
              <w:t xml:space="preserve">independientemente del régimen aplicable, el contrato de arrendamiento debe publicarse en el SECOP como los demás contratos estatales, en virtud del </w:t>
            </w:r>
            <w:r w:rsidRPr="005F01A2">
              <w:rPr>
                <w:rFonts w:ascii="Verdana" w:eastAsia="Calibri" w:hAnsi="Verdana" w:cs="Arial"/>
              </w:rPr>
              <w:t>principio de publicidad</w:t>
            </w:r>
            <w:r w:rsidRPr="007C2E57">
              <w:rPr>
                <w:rFonts w:ascii="Verdana" w:eastAsia="Calibri" w:hAnsi="Verdana" w:cs="Arial"/>
              </w:rPr>
              <w:t xml:space="preserve"> de la función administrativa consagrado en el artículo 209 de la Constitución Política. Esto debido a que los contratos estatales involucran un interés público, por lo que deben publicarse en el mecanismo establecido para garantizar que se cumplan los principios de publicidad y transparencia en la gestión contractual</w:t>
            </w:r>
            <w:r w:rsidR="00700415">
              <w:rPr>
                <w:rFonts w:ascii="Verdana" w:eastAsia="Calibri" w:hAnsi="Verdana" w:cs="Arial"/>
              </w:rPr>
              <w:t>.</w:t>
            </w:r>
          </w:p>
        </w:tc>
      </w:tr>
    </w:tbl>
    <w:p w14:paraId="39CB6FE3" w14:textId="77777777" w:rsidR="008639F6" w:rsidRPr="00593A5F" w:rsidRDefault="008639F6" w:rsidP="008639F6">
      <w:pPr>
        <w:tabs>
          <w:tab w:val="left" w:pos="142"/>
          <w:tab w:val="left" w:pos="284"/>
        </w:tabs>
        <w:spacing w:after="0" w:line="276" w:lineRule="auto"/>
        <w:jc w:val="both"/>
        <w:rPr>
          <w:rFonts w:ascii="Verdana" w:eastAsia="Century Gothic" w:hAnsi="Verdana" w:cs="Century Gothic"/>
          <w:b/>
          <w:bCs/>
          <w:lang w:val="es-ES"/>
        </w:rPr>
      </w:pPr>
    </w:p>
    <w:p w14:paraId="4C90265D" w14:textId="77777777" w:rsidR="008639F6" w:rsidRPr="00593A5F" w:rsidRDefault="008639F6" w:rsidP="008639F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511CA1E3" w14:textId="77777777" w:rsidR="008639F6" w:rsidRPr="00593A5F" w:rsidRDefault="008639F6" w:rsidP="008639F6">
      <w:pPr>
        <w:spacing w:after="0" w:line="276" w:lineRule="auto"/>
        <w:jc w:val="both"/>
        <w:rPr>
          <w:rFonts w:ascii="Verdana" w:eastAsia="Calibri" w:hAnsi="Verdana" w:cs="Arial"/>
          <w:color w:val="7030A0"/>
          <w:lang w:val="es-ES"/>
        </w:rPr>
      </w:pPr>
    </w:p>
    <w:p w14:paraId="65476485" w14:textId="053E58E0" w:rsidR="008639F6" w:rsidRPr="00700415" w:rsidRDefault="008639F6" w:rsidP="008639F6">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7EE81D80" w14:textId="77777777" w:rsidR="008639F6" w:rsidRDefault="008639F6" w:rsidP="008639F6">
      <w:pPr>
        <w:pStyle w:val="Prrafodelista"/>
        <w:spacing w:after="0" w:line="276" w:lineRule="auto"/>
        <w:jc w:val="both"/>
        <w:rPr>
          <w:rFonts w:ascii="Verdana" w:eastAsia="Calibri" w:hAnsi="Verdana" w:cs="Arial"/>
          <w:color w:val="7030A0"/>
        </w:rPr>
      </w:pPr>
    </w:p>
    <w:p w14:paraId="29C0B9E0" w14:textId="77777777" w:rsidR="008639F6" w:rsidRPr="008F1472" w:rsidRDefault="008639F6" w:rsidP="005F01A2">
      <w:pPr>
        <w:spacing w:after="120" w:line="276" w:lineRule="auto"/>
        <w:jc w:val="both"/>
        <w:rPr>
          <w:rFonts w:ascii="Verdana" w:eastAsia="Calibri" w:hAnsi="Verdana" w:cs="Arial"/>
          <w:color w:val="000000" w:themeColor="text1"/>
        </w:rPr>
      </w:pPr>
      <w:r w:rsidRPr="008F1472">
        <w:rPr>
          <w:rFonts w:ascii="Verdana" w:eastAsia="Calibri" w:hAnsi="Verdana" w:cs="Arial"/>
          <w:color w:val="000000" w:themeColor="text1"/>
        </w:rPr>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o arrendadora– se obliga a concederle a otra –llamada arrendatario o arrendataria– el uso y goce de un bien, a cambio de una renta o canon, diferenciándose del contrato de compraventa en que no opera una transferencia del dominio del bien cuyo uso y goce se entrega.</w:t>
      </w:r>
    </w:p>
    <w:p w14:paraId="770AAC07" w14:textId="77777777" w:rsidR="008639F6" w:rsidRPr="008F1472" w:rsidRDefault="008639F6" w:rsidP="005F01A2">
      <w:pPr>
        <w:spacing w:after="120" w:line="276" w:lineRule="auto"/>
        <w:ind w:firstLine="708"/>
        <w:jc w:val="both"/>
        <w:rPr>
          <w:rFonts w:ascii="Verdana" w:eastAsia="Calibri" w:hAnsi="Verdana" w:cs="Arial"/>
          <w:color w:val="000000" w:themeColor="text1"/>
        </w:rPr>
      </w:pPr>
      <w:r w:rsidRPr="008F1472">
        <w:rPr>
          <w:rFonts w:ascii="Verdana" w:eastAsia="Calibri" w:hAnsi="Verdana" w:cs="Arial"/>
          <w:color w:val="000000" w:themeColor="text1"/>
        </w:rPr>
        <w:t>En cuanto a sus características, la doctrina ha indicado que el arrendamiento es un contrato: i) bilateral, pues ambas partes se obligan recíprocamente; ii) consensual, dado que se perfecciona con el consentimiento ;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p>
    <w:p w14:paraId="314C1A6E" w14:textId="27DD0244" w:rsidR="008639F6" w:rsidRPr="008F1472" w:rsidRDefault="00617340" w:rsidP="005F01A2">
      <w:pPr>
        <w:spacing w:after="120"/>
        <w:ind w:firstLine="360"/>
        <w:jc w:val="both"/>
        <w:rPr>
          <w:rFonts w:ascii="Verdana" w:eastAsia="Calibri" w:hAnsi="Verdana" w:cs="Arial"/>
          <w:color w:val="000000" w:themeColor="text1"/>
        </w:rPr>
      </w:pPr>
      <w:r>
        <w:rPr>
          <w:rFonts w:ascii="Verdana" w:eastAsia="Calibri" w:hAnsi="Verdana" w:cs="Arial"/>
          <w:color w:val="000000" w:themeColor="text1"/>
        </w:rPr>
        <w:tab/>
      </w:r>
      <w:r>
        <w:rPr>
          <w:rFonts w:ascii="Verdana" w:eastAsia="Calibri" w:hAnsi="Verdana" w:cs="Arial"/>
          <w:bCs/>
          <w:color w:val="000000" w:themeColor="text1"/>
        </w:rPr>
        <w:t>S</w:t>
      </w:r>
      <w:r w:rsidR="008639F6" w:rsidRPr="008F1472">
        <w:rPr>
          <w:rFonts w:ascii="Verdana" w:eastAsia="Calibri" w:hAnsi="Verdana" w:cs="Arial"/>
          <w:color w:val="000000" w:themeColor="text1"/>
        </w:rPr>
        <w:t xml:space="preserve">u regulación </w:t>
      </w:r>
      <w:r>
        <w:rPr>
          <w:rFonts w:ascii="Verdana" w:eastAsia="Calibri" w:hAnsi="Verdana" w:cs="Arial"/>
          <w:bCs/>
          <w:color w:val="000000" w:themeColor="text1"/>
        </w:rPr>
        <w:t xml:space="preserve">está </w:t>
      </w:r>
      <w:r w:rsidR="00A82E3D">
        <w:rPr>
          <w:rFonts w:ascii="Verdana" w:eastAsia="Calibri" w:hAnsi="Verdana" w:cs="Arial"/>
          <w:bCs/>
          <w:color w:val="000000" w:themeColor="text1"/>
        </w:rPr>
        <w:t xml:space="preserve">desarrollada, </w:t>
      </w:r>
      <w:r w:rsidR="008639F6" w:rsidRPr="008F1472">
        <w:rPr>
          <w:rFonts w:ascii="Verdana" w:eastAsia="Calibri" w:hAnsi="Verdana" w:cs="Arial"/>
          <w:color w:val="000000" w:themeColor="text1"/>
        </w:rPr>
        <w:t>principalmente,</w:t>
      </w:r>
      <w:r w:rsidR="008639F6" w:rsidRPr="00B72346">
        <w:rPr>
          <w:rFonts w:ascii="Verdana" w:eastAsia="Calibri" w:hAnsi="Verdana" w:cs="Arial"/>
          <w:bCs/>
          <w:color w:val="000000" w:themeColor="text1"/>
        </w:rPr>
        <w:t xml:space="preserve"> </w:t>
      </w:r>
      <w:r w:rsidR="00A82E3D">
        <w:rPr>
          <w:rFonts w:ascii="Verdana" w:eastAsia="Calibri" w:hAnsi="Verdana" w:cs="Arial"/>
          <w:bCs/>
          <w:color w:val="000000" w:themeColor="text1"/>
        </w:rPr>
        <w:t>en</w:t>
      </w:r>
      <w:r w:rsidR="008639F6" w:rsidRPr="005F01A2">
        <w:rPr>
          <w:rFonts w:ascii="Verdana" w:eastAsia="Calibri" w:hAnsi="Verdana" w:cs="Arial"/>
          <w:bCs/>
          <w:color w:val="000000" w:themeColor="text1"/>
        </w:rPr>
        <w:t xml:space="preserve"> </w:t>
      </w:r>
      <w:r w:rsidR="008639F6" w:rsidRPr="008F1472">
        <w:rPr>
          <w:rFonts w:ascii="Verdana" w:eastAsia="Calibri" w:hAnsi="Verdana" w:cs="Arial"/>
          <w:color w:val="000000" w:themeColor="text1"/>
        </w:rPr>
        <w:t>los artículos 1973 al 2078 del Código Civil.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p>
    <w:p w14:paraId="150E4711" w14:textId="77777777" w:rsidR="008639F6" w:rsidRPr="008F1472" w:rsidRDefault="008639F6" w:rsidP="005F01A2">
      <w:pPr>
        <w:spacing w:after="120" w:line="276" w:lineRule="auto"/>
        <w:ind w:firstLine="709"/>
        <w:jc w:val="both"/>
        <w:rPr>
          <w:rFonts w:ascii="Verdana" w:eastAsia="Calibri" w:hAnsi="Verdana" w:cs="Arial"/>
          <w:color w:val="000000" w:themeColor="text1"/>
        </w:rPr>
      </w:pPr>
      <w:r w:rsidRPr="008F1472">
        <w:rPr>
          <w:rFonts w:ascii="Verdana" w:eastAsia="Calibri" w:hAnsi="Verdana" w:cs="Arial"/>
          <w:color w:val="000000" w:themeColor="text1"/>
        </w:rPr>
        <w:lastRenderedPageBreak/>
        <w:t>En igual sentido, por su importancia en la contratación estatal, debe precisarse que la modalidad de selección aplicable a la celebración de los contratos de arrendamiento depende del régimen aplicable a la entidad estatal. Si se rige por el derecho privado, es decir, si está exceptuada del Estatuto General de Contratación de la Administración Pública, debe aplicar en principio las normas civiles y comerciales mencionadas, en las cuales se permite la celebración directa del contrato de arrendamiento, pero si el reglamento o manual interno de contratación de la entidad dispone que debe efectuar algún procedimiento especial, este prevalece. En contraste, si la entidad estatal se rige por el Estatuto General de Contratación de la Administración Pública, bien sea que obre en calidad de arrendadora o arrendataria, debe acudir a la modalidad de selección de contratación directa si arrendara un inmueble, pues el artículo 2º, numeral 4° literal i) de la Ley 1150 de 2007 establece que una de las causales de este procedimiento es “i) El arrendamiento o adquisición de inmuebles”. Si lo que arrendará es un bien mueble, lo deberá hacer por licitación pública, selección abreviada o mínima cuantía, dependiendo del valor de la contratación. En ambos supuestos la entidad estatal también debe aplicar las normas civiles y comerciales que regulan la sustantividad del contrato de arrendamiento, porque a estas se remiten los artículos 13, 32 y 40 de la Ley 80 de 1993.</w:t>
      </w:r>
    </w:p>
    <w:p w14:paraId="41455C56" w14:textId="77777777" w:rsidR="008639F6" w:rsidRPr="008F1472" w:rsidRDefault="008639F6" w:rsidP="005F01A2">
      <w:pPr>
        <w:ind w:firstLine="708"/>
        <w:jc w:val="both"/>
        <w:rPr>
          <w:rFonts w:ascii="Verdana" w:eastAsia="Calibri" w:hAnsi="Verdana"/>
          <w:color w:val="000000" w:themeColor="text1"/>
        </w:rPr>
      </w:pPr>
      <w:r w:rsidRPr="008F1472">
        <w:rPr>
          <w:rFonts w:ascii="Verdana" w:eastAsia="Calibri" w:hAnsi="Verdana"/>
          <w:color w:val="000000" w:themeColor="text1"/>
        </w:rPr>
        <w:t>No cabe duda, pues, de que el contrato de arrendamiento, al ser un contrato oneroso, genera para el arrendador una renta periódica y, en tal sentido, como se explicará más adelante, hace que se encuentre obligado a cotizar al Sistema de Seguridad Social Integral, si el canon es superior a un salario mínimo mensual legal vigente. En efecto, el artículo 2000 del Código Civil establece que “El arrendatario es obligado al pago del precio o renta”. Es decir que la renta es un elemento de la esencia del contrato de arrendamiento. Si el “arrendador” no la percibiera no sería un arrendamiento, sino un comodato.</w:t>
      </w:r>
    </w:p>
    <w:p w14:paraId="5E3A97E7" w14:textId="77777777" w:rsidR="008639F6" w:rsidRPr="008F1472" w:rsidRDefault="008639F6" w:rsidP="005F01A2">
      <w:pPr>
        <w:ind w:firstLine="708"/>
        <w:jc w:val="both"/>
        <w:rPr>
          <w:rFonts w:ascii="Verdana" w:eastAsia="Calibri" w:hAnsi="Verdana"/>
          <w:color w:val="000000" w:themeColor="text1"/>
        </w:rPr>
      </w:pPr>
      <w:r w:rsidRPr="008F1472">
        <w:rPr>
          <w:rFonts w:ascii="Verdana" w:eastAsia="Calibri" w:hAnsi="Verdana"/>
          <w:color w:val="000000" w:themeColor="text1"/>
        </w:rPr>
        <w:t>Por otro lado, La Ley 80 de 1993, en el texto original del artículo 41, estableció que los requisitos para perfeccionar el contrato eran: i) llegar a un acuerdo sobre el objeto y la contraprestación y ii) que conste por escrito. Por su parte, para iniciar la ejecución se requería: i) la constitución y aprobación de la garantía y ii) la existencia del registro presupuestal.</w:t>
      </w:r>
    </w:p>
    <w:p w14:paraId="6F7C17E7" w14:textId="77777777" w:rsidR="008639F6" w:rsidRPr="008F1472" w:rsidRDefault="008639F6" w:rsidP="005F01A2">
      <w:pPr>
        <w:ind w:firstLine="708"/>
        <w:jc w:val="both"/>
        <w:rPr>
          <w:rFonts w:ascii="Verdana" w:hAnsi="Verdana"/>
          <w:color w:val="000000" w:themeColor="text1"/>
          <w:lang w:eastAsia="es-ES_tradnl"/>
        </w:rPr>
      </w:pPr>
      <w:r w:rsidRPr="008F1472">
        <w:rPr>
          <w:rFonts w:ascii="Verdana" w:hAnsi="Verdana"/>
          <w:color w:val="000000" w:themeColor="text1"/>
          <w:lang w:eastAsia="es-ES_tradnl"/>
        </w:rPr>
        <w:t xml:space="preserve">Ahora bien, tratándose del arrendamiento de bienes </w:t>
      </w:r>
      <w:r w:rsidRPr="008F1472">
        <w:rPr>
          <w:rFonts w:ascii="Verdana" w:hAnsi="Verdana"/>
          <w:i/>
          <w:color w:val="000000" w:themeColor="text1"/>
          <w:lang w:eastAsia="es-ES_tradnl"/>
        </w:rPr>
        <w:t>inmuebles</w:t>
      </w:r>
      <w:r w:rsidRPr="008F1472">
        <w:rPr>
          <w:rFonts w:ascii="Verdana" w:hAnsi="Verdana"/>
          <w:color w:val="000000" w:themeColor="text1"/>
          <w:lang w:eastAsia="es-ES_tradnl"/>
        </w:rPr>
        <w:t xml:space="preserve"> el artículo 2º, numeral 4° literal i), de la Ley 1150 de 2007 dispone la modalidad de selección de contratación directa, pues, establece que una de las causales de este procedimiento es “i) El arrendamiento o adquisición de inmuebles”. Adicionalmente, el artículo 2.2.1.2.1.4.11 del Decreto 1082 de 2015 dispone que </w:t>
      </w:r>
      <w:r w:rsidRPr="008F1472">
        <w:rPr>
          <w:rFonts w:ascii="Verdana" w:hAnsi="Verdana"/>
          <w:color w:val="000000" w:themeColor="text1"/>
          <w:lang w:eastAsia="es-ES_tradnl"/>
        </w:rPr>
        <w:lastRenderedPageBreak/>
        <w:t xml:space="preserve">las entidades estatales pueden alquilar o arrendar inmuebles mediante contratación directa para lo cual deben seguir las siguientes reglas: </w:t>
      </w:r>
    </w:p>
    <w:p w14:paraId="586C4C57" w14:textId="2C6B58AF" w:rsidR="008639F6" w:rsidRPr="008F1472" w:rsidRDefault="00A82E3D" w:rsidP="005F01A2">
      <w:pPr>
        <w:spacing w:before="120" w:after="120" w:line="240" w:lineRule="auto"/>
        <w:ind w:left="709" w:right="709"/>
        <w:jc w:val="both"/>
        <w:rPr>
          <w:rFonts w:ascii="Verdana" w:eastAsia="Calibri" w:hAnsi="Verdana" w:cs="Arial"/>
          <w:sz w:val="20"/>
          <w:szCs w:val="20"/>
          <w:lang w:val="es-MX"/>
        </w:rPr>
      </w:pPr>
      <w:r w:rsidRPr="005F01A2">
        <w:rPr>
          <w:rFonts w:ascii="Verdana" w:hAnsi="Verdana"/>
          <w:bCs/>
          <w:color w:val="000000" w:themeColor="text1"/>
          <w:sz w:val="20"/>
          <w:szCs w:val="20"/>
          <w:lang w:val="es-ES_tradnl" w:eastAsia="es-ES_tradnl"/>
        </w:rPr>
        <w:t>“</w:t>
      </w:r>
      <w:r w:rsidR="008639F6" w:rsidRPr="008F1472">
        <w:rPr>
          <w:rFonts w:ascii="Verdana" w:eastAsia="Calibri" w:hAnsi="Verdana" w:cs="Arial"/>
          <w:sz w:val="20"/>
          <w:szCs w:val="20"/>
          <w:lang w:val="es-MX"/>
        </w:rPr>
        <w:t>Verificar las condiciones del mercado inmobiliario en la ciudad en la que la Entidad Estatal requiere el inmueble.</w:t>
      </w:r>
    </w:p>
    <w:p w14:paraId="4DB9806B" w14:textId="2D35F6CF" w:rsidR="008639F6" w:rsidRPr="008F1472" w:rsidRDefault="008639F6" w:rsidP="005F01A2">
      <w:pPr>
        <w:spacing w:before="120" w:after="120" w:line="240" w:lineRule="auto"/>
        <w:ind w:left="709" w:right="709"/>
        <w:jc w:val="both"/>
        <w:rPr>
          <w:rFonts w:ascii="Verdana" w:eastAsia="Calibri" w:hAnsi="Verdana" w:cs="Arial"/>
          <w:sz w:val="20"/>
          <w:szCs w:val="20"/>
          <w:lang w:val="es-MX"/>
        </w:rPr>
      </w:pPr>
      <w:r w:rsidRPr="008F1472">
        <w:rPr>
          <w:rFonts w:ascii="Verdana" w:eastAsia="Calibri" w:hAnsi="Verdana" w:cs="Arial"/>
          <w:sz w:val="20"/>
          <w:szCs w:val="20"/>
          <w:lang w:val="es-MX"/>
        </w:rPr>
        <w:t>Analizar y comparar las condiciones de los bienes inmuebles que satisfacen las necesidades identificadas y las opciones de arrendamiento, análisis que deberá tener en cuenta los principios y objetivos del sistema de compra y contratación pública</w:t>
      </w:r>
      <w:r w:rsidR="00A82E3D" w:rsidRPr="00A82E3D">
        <w:rPr>
          <w:rFonts w:ascii="Verdana" w:eastAsia="Calibri" w:hAnsi="Verdana" w:cs="Arial"/>
          <w:sz w:val="20"/>
          <w:szCs w:val="20"/>
          <w:lang w:val="es-MX"/>
        </w:rPr>
        <w:t>”</w:t>
      </w:r>
      <w:r w:rsidRPr="005F01A2">
        <w:rPr>
          <w:rFonts w:ascii="Verdana" w:eastAsia="Calibri" w:hAnsi="Verdana" w:cs="Arial"/>
          <w:sz w:val="20"/>
          <w:szCs w:val="20"/>
          <w:lang w:val="es-MX"/>
        </w:rPr>
        <w:t>.</w:t>
      </w:r>
    </w:p>
    <w:p w14:paraId="393227F6" w14:textId="77777777" w:rsidR="008639F6" w:rsidRPr="008F1472" w:rsidRDefault="008639F6" w:rsidP="005F01A2">
      <w:pPr>
        <w:spacing w:line="276" w:lineRule="auto"/>
        <w:ind w:firstLine="708"/>
        <w:jc w:val="both"/>
        <w:rPr>
          <w:rFonts w:ascii="Verdana" w:hAnsi="Verdana"/>
          <w:color w:val="000000" w:themeColor="text1"/>
          <w:lang w:eastAsia="es-ES"/>
        </w:rPr>
      </w:pPr>
      <w:r w:rsidRPr="008F1472">
        <w:rPr>
          <w:rFonts w:ascii="Verdana" w:hAnsi="Verdana"/>
          <w:color w:val="000000" w:themeColor="text1"/>
          <w:lang w:eastAsia="es-ES"/>
        </w:rPr>
        <w:t>En contraste, si se trata de arrendamiento de bienes muebles, la modalidad aplicable será la licitación pública, la selección abreviada o la mínima cuantía, según corresponda dependiendo del valor de la contratación. Lo anterior en la medida que no se encuentran dentro de las causales de contratación directa que expresamente señala el numeral 4 del artículo 2 de la Ley 1150 de 2007. Por otra parte, si el arrendamiento recae sobre bienes públicos debe tenerse en cuenta que la Sección Tercera del Consejo de Estado señaló que los bienes que pueden ser susceptibles de arrendamiento son únicamente los bienes fiscales, no los bienes de uso público.</w:t>
      </w:r>
    </w:p>
    <w:p w14:paraId="64772890" w14:textId="77777777" w:rsidR="008639F6" w:rsidRPr="008F1472" w:rsidRDefault="008639F6" w:rsidP="005F01A2">
      <w:pPr>
        <w:spacing w:line="276" w:lineRule="auto"/>
        <w:ind w:firstLine="708"/>
        <w:jc w:val="both"/>
        <w:rPr>
          <w:rFonts w:ascii="Verdana" w:hAnsi="Verdana"/>
          <w:color w:val="000000" w:themeColor="text1"/>
          <w:lang w:eastAsia="es-ES"/>
        </w:rPr>
      </w:pPr>
      <w:r w:rsidRPr="008F1472">
        <w:rPr>
          <w:rFonts w:ascii="Verdana" w:hAnsi="Verdana"/>
          <w:color w:val="000000" w:themeColor="text1"/>
          <w:lang w:eastAsia="es-ES"/>
        </w:rPr>
        <w:t xml:space="preserve">En virtud de este contrato, las partes se obligan, una a conceder el goce del inmueble, y otra a pagar un precio por el mismo. Estos contratos tienen como elementos característicos, conforme a la ley y a la jurisprudencia del Consejo de Estado, los siguientes: i) entrega de un bien que efectúa el arrendador al arrendatario para el goce o uso exclusivo de este y ii) el pago de un precio por el uso o goce del bien arrendado. </w:t>
      </w:r>
    </w:p>
    <w:p w14:paraId="48C4DC63" w14:textId="77777777" w:rsidR="008639F6" w:rsidRPr="005F01A2" w:rsidRDefault="008639F6" w:rsidP="005F01A2">
      <w:pPr>
        <w:spacing w:line="276" w:lineRule="auto"/>
        <w:ind w:firstLine="360"/>
        <w:jc w:val="both"/>
        <w:rPr>
          <w:rFonts w:ascii="Verdana" w:hAnsi="Verdana"/>
          <w:color w:val="000000" w:themeColor="text1"/>
          <w:lang w:eastAsia="es-ES"/>
        </w:rPr>
      </w:pPr>
      <w:r w:rsidRPr="005F01A2">
        <w:rPr>
          <w:rFonts w:ascii="Verdana" w:hAnsi="Verdana"/>
          <w:color w:val="000000" w:themeColor="text1"/>
          <w:lang w:eastAsia="es-ES"/>
        </w:rPr>
        <w:t>En estos eventos, la entidad debe elaborar los estudios previos y documentos previos y, además, el artículo 2.2.1.2.1.4.11. del Decreto 1082 de 2015 les impone el deber de verificar las condiciones del mercado inmobiliario en la ciudad donde la entidad estatal requiere el documento, y además analizar y comparar las condiciones de los bienes inmuebles que satisfacen sus necesidades; y señala que deberá tener en cuenta los principios y objetivos del sistema de compra y contratación pública.</w:t>
      </w:r>
    </w:p>
    <w:p w14:paraId="2C95C67E" w14:textId="77777777" w:rsidR="008639F6" w:rsidRPr="008F1472" w:rsidRDefault="008639F6" w:rsidP="005F01A2">
      <w:pPr>
        <w:spacing w:line="276" w:lineRule="auto"/>
        <w:ind w:firstLine="708"/>
        <w:jc w:val="both"/>
        <w:rPr>
          <w:rFonts w:ascii="Verdana" w:eastAsia="Calibri" w:hAnsi="Verdana" w:cs="Arial"/>
          <w:color w:val="000000" w:themeColor="text1"/>
        </w:rPr>
      </w:pPr>
      <w:r w:rsidRPr="008F1472">
        <w:rPr>
          <w:rFonts w:ascii="Verdana" w:eastAsia="Calibri" w:hAnsi="Verdana" w:cs="Arial"/>
          <w:color w:val="000000" w:themeColor="text1"/>
        </w:rPr>
        <w:t xml:space="preserve">Además, otro aspecto importante del contrato de arrendamiento consiste en la imposibilidad de pactar cláusulas de prórroga automática, puesto que el Consejo de Estado explica que  en el Estatuto General de la Contratación de la Administración Pública no existe norma alguna que autorice pactar prórrogas automáticas que favorezcan a un determinado contratista, resulta violatorio de los principios generales de libre concurrencia, de igualdad, de imparcialidad, de </w:t>
      </w:r>
      <w:r w:rsidRPr="008F1472">
        <w:rPr>
          <w:rFonts w:ascii="Verdana" w:eastAsia="Calibri" w:hAnsi="Verdana" w:cs="Arial"/>
          <w:color w:val="000000" w:themeColor="text1"/>
        </w:rPr>
        <w:lastRenderedPageBreak/>
        <w:t>prevalencia del interés general y de transparencia que rigen todas las actuaciones contractuales de las entidades estatales”.</w:t>
      </w:r>
    </w:p>
    <w:p w14:paraId="78FD4BAC" w14:textId="77777777" w:rsidR="008639F6" w:rsidRPr="008F1472" w:rsidRDefault="008639F6" w:rsidP="005F01A2">
      <w:pPr>
        <w:spacing w:line="276" w:lineRule="auto"/>
        <w:ind w:firstLine="708"/>
        <w:jc w:val="both"/>
        <w:rPr>
          <w:rFonts w:ascii="Verdana" w:eastAsia="Calibri" w:hAnsi="Verdana" w:cs="Arial"/>
          <w:color w:val="000000" w:themeColor="text1"/>
        </w:rPr>
      </w:pPr>
      <w:r w:rsidRPr="008F1472">
        <w:rPr>
          <w:rFonts w:ascii="Verdana" w:eastAsia="Calibri" w:hAnsi="Verdana" w:cs="Arial"/>
          <w:color w:val="000000" w:themeColor="text1"/>
        </w:rPr>
        <w:t>En síntesis, en los casos en donde una de las partes del contrato de arrendamiento sea una entidad pública, este contrato adquiere el carácter de estatal y su contenido se enmarcará en las normas civiles y comerciales que lo regulan, además de las establecidas en el Estatuto General de Contratación de la Administración Pública.  En este tipo de contratos no podrán pactarse cláusulas de prórroga automática y únicamente serán susceptibles de darse en arrendamiento los bienes fiscales, puesto que las entidades pueden disponer de ellos, lo que no ocurre con los bienes de uso público, pues se encuentran fuera del comercio.</w:t>
      </w:r>
    </w:p>
    <w:p w14:paraId="2B845DD8" w14:textId="6C1DE30D" w:rsidR="008639F6" w:rsidRDefault="000033E7" w:rsidP="00A82E3D">
      <w:pPr>
        <w:spacing w:line="276" w:lineRule="auto"/>
        <w:jc w:val="both"/>
        <w:rPr>
          <w:rFonts w:ascii="Verdana" w:eastAsia="Calibri" w:hAnsi="Verdana" w:cs="Arial"/>
          <w:color w:val="000000" w:themeColor="text1"/>
        </w:rPr>
      </w:pPr>
      <w:r>
        <w:rPr>
          <w:rFonts w:ascii="Verdana" w:eastAsia="Calibri" w:hAnsi="Verdana" w:cs="Arial"/>
          <w:color w:val="000000" w:themeColor="text1"/>
        </w:rPr>
        <w:tab/>
      </w:r>
      <w:r w:rsidR="008639F6" w:rsidRPr="008F1472">
        <w:rPr>
          <w:rFonts w:ascii="Verdana" w:eastAsia="Calibri" w:hAnsi="Verdana" w:cs="Arial"/>
          <w:color w:val="000000" w:themeColor="text1"/>
        </w:rPr>
        <w:t>Por último, cabe mencionar que independientemente del régimen aplicable, el contrato de arrendamiento debe publicarse en el SECOP como los demás contratos estatales, en virtud del principio de publicidad de la función administrativa consagrado en el artículo 209 de la Constitución Política. Dicho principio fue desarrollado por el legislador en el ámbito de la contratación estatal mediante el artículo 3 de la Ley 1150 de 2007, el artículo 11, literal g de la Ley 1712 de 2014 y su reglamentación, normas que obligan a que la publicidad de los contratos celebrados por las entidades estatales se realice a través del SECOP.  Esto debido a que los contratos estatales involucran un interés público, por lo que deben publicarse en el mecanismo establecido para garantizar que se cumplan los principios de publicidad y transparencia en la gestión contractual.</w:t>
      </w:r>
    </w:p>
    <w:p w14:paraId="6A458970" w14:textId="545C5219" w:rsidR="000D023F" w:rsidRPr="005F01A2" w:rsidRDefault="000D023F" w:rsidP="005F01A2">
      <w:pPr>
        <w:spacing w:line="276" w:lineRule="auto"/>
        <w:jc w:val="both"/>
        <w:rPr>
          <w:rFonts w:ascii="Verdana" w:hAnsi="Verdana" w:cs="Arial"/>
          <w:color w:val="000000" w:themeColor="text1"/>
        </w:rPr>
      </w:pPr>
      <w:r>
        <w:rPr>
          <w:rFonts w:ascii="Verdana" w:eastAsia="Calibri" w:hAnsi="Verdana" w:cs="Arial"/>
          <w:color w:val="000000" w:themeColor="text1"/>
        </w:rPr>
        <w:tab/>
        <w:t xml:space="preserve">En atención a esta normativa, el </w:t>
      </w:r>
      <w:r w:rsidR="00D91047">
        <w:rPr>
          <w:rFonts w:ascii="Verdana" w:eastAsia="Calibri" w:hAnsi="Verdana" w:cs="Arial"/>
          <w:color w:val="000000" w:themeColor="text1"/>
        </w:rPr>
        <w:t xml:space="preserve">artículo </w:t>
      </w:r>
      <w:r w:rsidRPr="000D023F">
        <w:rPr>
          <w:rFonts w:ascii="Verdana" w:eastAsia="Calibri" w:hAnsi="Verdana" w:cs="Arial"/>
          <w:color w:val="000000" w:themeColor="text1"/>
        </w:rPr>
        <w:t>2.2.1.1.1.7.1.</w:t>
      </w:r>
      <w:r w:rsidR="00D91047">
        <w:rPr>
          <w:rFonts w:ascii="Verdana" w:eastAsia="Calibri" w:hAnsi="Verdana" w:cs="Arial"/>
          <w:color w:val="000000" w:themeColor="text1"/>
        </w:rPr>
        <w:t xml:space="preserve"> del Decreto 1082 de 2015 </w:t>
      </w:r>
      <w:r w:rsidR="001D1F6B">
        <w:rPr>
          <w:rFonts w:ascii="Verdana" w:eastAsia="Calibri" w:hAnsi="Verdana" w:cs="Arial"/>
          <w:color w:val="000000" w:themeColor="text1"/>
        </w:rPr>
        <w:t xml:space="preserve">prevé </w:t>
      </w:r>
      <w:r w:rsidR="005E6F03">
        <w:rPr>
          <w:rFonts w:ascii="Verdana" w:eastAsia="Calibri" w:hAnsi="Verdana" w:cs="Arial"/>
          <w:color w:val="000000" w:themeColor="text1"/>
        </w:rPr>
        <w:t xml:space="preserve">que </w:t>
      </w:r>
      <w:r w:rsidR="005E6F03" w:rsidRPr="00D91047">
        <w:rPr>
          <w:rFonts w:ascii="Verdana" w:eastAsia="Calibri" w:hAnsi="Verdana" w:cs="Arial"/>
          <w:color w:val="000000" w:themeColor="text1"/>
        </w:rPr>
        <w:t>la</w:t>
      </w:r>
      <w:r w:rsidR="00D91047">
        <w:rPr>
          <w:rFonts w:ascii="Verdana" w:eastAsia="Calibri" w:hAnsi="Verdana" w:cs="Arial"/>
          <w:color w:val="000000" w:themeColor="text1"/>
        </w:rPr>
        <w:t xml:space="preserve"> </w:t>
      </w:r>
      <w:r w:rsidR="00D91047" w:rsidRPr="00D91047">
        <w:rPr>
          <w:rFonts w:ascii="Verdana" w:eastAsia="Calibri" w:hAnsi="Verdana" w:cs="Arial"/>
          <w:color w:val="000000" w:themeColor="text1"/>
        </w:rPr>
        <w:t>Entidad Estatal está obligada a publicar en el SECOP los Documentos del Proceso y los actos administrativos del Proceso de Contratación, dentro de los tres (3) días siguientes a su expedición</w:t>
      </w:r>
      <w:r w:rsidR="00D91047">
        <w:rPr>
          <w:rFonts w:ascii="Verdana" w:eastAsia="Calibri" w:hAnsi="Verdana" w:cs="Arial"/>
          <w:color w:val="000000" w:themeColor="text1"/>
        </w:rPr>
        <w:t>, obligación que se extiende al contrato y los demás documentos contractuales</w:t>
      </w:r>
      <w:r w:rsidR="0030590E">
        <w:rPr>
          <w:rFonts w:ascii="Verdana" w:eastAsia="Calibri" w:hAnsi="Verdana" w:cs="Arial"/>
          <w:color w:val="000000" w:themeColor="text1"/>
        </w:rPr>
        <w:t xml:space="preserve">. </w:t>
      </w:r>
      <w:r w:rsidR="001D1F6B">
        <w:rPr>
          <w:rFonts w:ascii="Verdana" w:eastAsia="Calibri" w:hAnsi="Verdana" w:cs="Arial"/>
          <w:color w:val="000000" w:themeColor="text1"/>
        </w:rPr>
        <w:t xml:space="preserve">Este deber también aparece reconocido el artículo </w:t>
      </w:r>
      <w:r w:rsidR="001D1F6B" w:rsidRPr="001D1F6B">
        <w:rPr>
          <w:rFonts w:ascii="Verdana" w:eastAsia="Calibri" w:hAnsi="Verdana" w:cs="Arial"/>
          <w:color w:val="000000" w:themeColor="text1"/>
        </w:rPr>
        <w:t>2.1.1.2.1.7</w:t>
      </w:r>
      <w:r w:rsidR="001D1F6B">
        <w:rPr>
          <w:rFonts w:ascii="Verdana" w:eastAsia="Calibri" w:hAnsi="Verdana" w:cs="Arial"/>
          <w:color w:val="000000" w:themeColor="text1"/>
        </w:rPr>
        <w:t xml:space="preserve">. del Decreto 1081 de 2015. </w:t>
      </w:r>
    </w:p>
    <w:p w14:paraId="1010F6E5" w14:textId="77777777" w:rsidR="008639F6" w:rsidRPr="00593A5F" w:rsidRDefault="008639F6" w:rsidP="008639F6">
      <w:pPr>
        <w:widowControl w:val="0"/>
        <w:autoSpaceDE w:val="0"/>
        <w:autoSpaceDN w:val="0"/>
        <w:spacing w:after="0" w:line="276" w:lineRule="auto"/>
        <w:jc w:val="both"/>
        <w:rPr>
          <w:rFonts w:ascii="Verdana" w:hAnsi="Verdana" w:cs="Arial"/>
        </w:rPr>
      </w:pPr>
    </w:p>
    <w:p w14:paraId="75DC7758" w14:textId="77777777" w:rsidR="008639F6" w:rsidRPr="00593A5F" w:rsidRDefault="008639F6" w:rsidP="008639F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25DB681A" w14:textId="77777777" w:rsidR="008639F6" w:rsidRPr="00593A5F" w:rsidRDefault="008639F6" w:rsidP="008639F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639F6" w:rsidRPr="00593A5F" w14:paraId="4AEB0937" w14:textId="77777777" w:rsidTr="001D7719">
        <w:trPr>
          <w:trHeight w:val="870"/>
        </w:trPr>
        <w:tc>
          <w:tcPr>
            <w:tcW w:w="8647" w:type="dxa"/>
          </w:tcPr>
          <w:p w14:paraId="6D356E1B" w14:textId="77777777" w:rsidR="008639F6" w:rsidRDefault="008639F6" w:rsidP="008639F6">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sidRPr="009A7AD1">
              <w:rPr>
                <w:rFonts w:ascii="Verdana" w:hAnsi="Verdana" w:cs="Arial"/>
                <w:color w:val="000000" w:themeColor="text1"/>
              </w:rPr>
              <w:t>Ley 1150 de 2007: artículo 2, numeral 4</w:t>
            </w:r>
            <w:r>
              <w:rPr>
                <w:rFonts w:ascii="Verdana" w:hAnsi="Verdana" w:cs="Arial"/>
                <w:color w:val="000000" w:themeColor="text1"/>
              </w:rPr>
              <w:t xml:space="preserve">, </w:t>
            </w:r>
            <w:r w:rsidRPr="007E00DC">
              <w:rPr>
                <w:rFonts w:ascii="Verdana" w:hAnsi="Verdana" w:cs="Arial"/>
                <w:color w:val="000000" w:themeColor="text1"/>
              </w:rPr>
              <w:t>artículo 5.</w:t>
            </w:r>
          </w:p>
          <w:p w14:paraId="35CDF8A5" w14:textId="77777777" w:rsidR="008639F6" w:rsidRDefault="008639F6" w:rsidP="008639F6">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sidRPr="007E00DC">
              <w:rPr>
                <w:rFonts w:ascii="Verdana" w:hAnsi="Verdana" w:cs="Arial"/>
                <w:color w:val="000000" w:themeColor="text1"/>
              </w:rPr>
              <w:t>Decreto 1082 d</w:t>
            </w:r>
            <w:r>
              <w:rPr>
                <w:rFonts w:ascii="Verdana" w:hAnsi="Verdana" w:cs="Arial"/>
                <w:color w:val="000000" w:themeColor="text1"/>
              </w:rPr>
              <w:t>e</w:t>
            </w:r>
            <w:r w:rsidRPr="007E00DC">
              <w:rPr>
                <w:rFonts w:ascii="Verdana" w:hAnsi="Verdana" w:cs="Arial"/>
                <w:color w:val="000000" w:themeColor="text1"/>
              </w:rPr>
              <w:t xml:space="preserve"> 2015</w:t>
            </w:r>
            <w:r>
              <w:rPr>
                <w:rFonts w:ascii="Verdana" w:hAnsi="Verdana" w:cs="Arial"/>
                <w:color w:val="000000" w:themeColor="text1"/>
              </w:rPr>
              <w:t>:</w:t>
            </w:r>
            <w:r w:rsidRPr="007E00DC">
              <w:rPr>
                <w:rFonts w:ascii="Verdana" w:hAnsi="Verdana" w:cs="Arial"/>
                <w:color w:val="000000" w:themeColor="text1"/>
              </w:rPr>
              <w:t xml:space="preserve"> </w:t>
            </w:r>
            <w:r w:rsidRPr="00D7336A">
              <w:rPr>
                <w:rFonts w:ascii="Verdana" w:hAnsi="Verdana"/>
                <w:color w:val="000000" w:themeColor="text1"/>
                <w:lang w:val="es-ES_tradnl" w:eastAsia="es-ES_tradnl"/>
              </w:rPr>
              <w:t>artículo 2.2.1.2.1.4.</w:t>
            </w:r>
            <w:r w:rsidRPr="00D7336A">
              <w:rPr>
                <w:rFonts w:ascii="Verdana" w:hAnsi="Verdana"/>
                <w:bCs/>
                <w:color w:val="000000" w:themeColor="text1"/>
                <w:lang w:val="es-ES_tradnl" w:eastAsia="es-ES_tradnl"/>
              </w:rPr>
              <w:t>11</w:t>
            </w:r>
            <w:r w:rsidRPr="00D7336A">
              <w:rPr>
                <w:rFonts w:ascii="Verdana" w:hAnsi="Verdana"/>
                <w:color w:val="000000" w:themeColor="text1"/>
                <w:lang w:val="es-ES_tradnl" w:eastAsia="es-ES_tradnl"/>
              </w:rPr>
              <w:t>.</w:t>
            </w:r>
          </w:p>
          <w:p w14:paraId="39C8AF14" w14:textId="77777777" w:rsidR="008639F6" w:rsidRPr="002F082E" w:rsidRDefault="008639F6" w:rsidP="008639F6">
            <w:pPr>
              <w:pStyle w:val="Prrafodelista"/>
              <w:widowControl w:val="0"/>
              <w:numPr>
                <w:ilvl w:val="0"/>
                <w:numId w:val="18"/>
              </w:numPr>
              <w:autoSpaceDE w:val="0"/>
              <w:autoSpaceDN w:val="0"/>
              <w:spacing w:after="120" w:line="276" w:lineRule="auto"/>
              <w:jc w:val="both"/>
              <w:rPr>
                <w:rFonts w:ascii="Verdana" w:hAnsi="Verdana" w:cs="Arial"/>
              </w:rPr>
            </w:pPr>
            <w:r w:rsidRPr="002F082E">
              <w:rPr>
                <w:rFonts w:ascii="Verdana" w:eastAsia="Calibri" w:hAnsi="Verdana"/>
              </w:rPr>
              <w:t>Ley 80 de 1993</w:t>
            </w:r>
            <w:r>
              <w:rPr>
                <w:rFonts w:ascii="Verdana" w:eastAsia="Calibri" w:hAnsi="Verdana"/>
              </w:rPr>
              <w:t>:</w:t>
            </w:r>
            <w:r w:rsidRPr="002F082E">
              <w:rPr>
                <w:rFonts w:ascii="Verdana" w:eastAsia="Calibri" w:hAnsi="Verdana"/>
              </w:rPr>
              <w:t xml:space="preserve"> artículo 41.</w:t>
            </w:r>
          </w:p>
          <w:p w14:paraId="62F163A3" w14:textId="77777777" w:rsidR="008639F6" w:rsidRPr="002F082E" w:rsidRDefault="008639F6" w:rsidP="008639F6">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2F082E">
              <w:rPr>
                <w:rFonts w:ascii="Verdana" w:hAnsi="Verdana" w:cs="Arial"/>
              </w:rPr>
              <w:t xml:space="preserve">Jurisprudencia del Consejo de Estado. Disponible en: </w:t>
            </w:r>
            <w:hyperlink r:id="rId12" w:history="1">
              <w:r w:rsidRPr="002F082E">
                <w:rPr>
                  <w:rStyle w:val="Hipervnculo"/>
                  <w:rFonts w:ascii="Verdana" w:hAnsi="Verdana" w:cs="Arial"/>
                  <w:color w:val="4472C4" w:themeColor="accent1"/>
                </w:rPr>
                <w:t>https://relatoria.colombiacompra.gov.co/providencias-consejo-de-</w:t>
              </w:r>
              <w:r w:rsidRPr="002F082E">
                <w:rPr>
                  <w:rStyle w:val="Hipervnculo"/>
                  <w:rFonts w:ascii="Verdana" w:hAnsi="Verdana" w:cs="Arial"/>
                  <w:color w:val="4472C4" w:themeColor="accent1"/>
                </w:rPr>
                <w:lastRenderedPageBreak/>
                <w:t>estado/</w:t>
              </w:r>
            </w:hyperlink>
            <w:r w:rsidRPr="002F082E">
              <w:rPr>
                <w:rFonts w:ascii="Verdana" w:hAnsi="Verdana" w:cs="Arial"/>
                <w:color w:val="4472C4" w:themeColor="accent1"/>
              </w:rPr>
              <w:t xml:space="preserve"> </w:t>
            </w:r>
          </w:p>
          <w:p w14:paraId="44429F6E" w14:textId="5D1D58F0" w:rsidR="008639F6" w:rsidRPr="00700415" w:rsidRDefault="008639F6" w:rsidP="00700415">
            <w:pPr>
              <w:pStyle w:val="Prrafodelista"/>
              <w:widowControl w:val="0"/>
              <w:numPr>
                <w:ilvl w:val="0"/>
                <w:numId w:val="18"/>
              </w:numPr>
              <w:autoSpaceDE w:val="0"/>
              <w:autoSpaceDN w:val="0"/>
              <w:spacing w:after="120" w:line="276" w:lineRule="auto"/>
              <w:contextualSpacing w:val="0"/>
              <w:jc w:val="both"/>
              <w:rPr>
                <w:rFonts w:ascii="Verdana" w:hAnsi="Verdana" w:cs="Arial"/>
                <w:color w:val="4472C4" w:themeColor="accent1"/>
              </w:rPr>
            </w:pPr>
            <w:r w:rsidRPr="002F082E">
              <w:rPr>
                <w:rFonts w:ascii="Verdana" w:hAnsi="Verdana" w:cs="Arial"/>
              </w:rPr>
              <w:t>Guías y manuales expedidos por la ANCP-CCE. Disponible en:</w:t>
            </w:r>
            <w:r w:rsidRPr="002F082E">
              <w:t xml:space="preserve"> </w:t>
            </w:r>
            <w:hyperlink r:id="rId13" w:history="1">
              <w:r w:rsidRPr="002F082E">
                <w:rPr>
                  <w:rStyle w:val="Hipervnculo"/>
                  <w:rFonts w:ascii="Verdana" w:hAnsi="Verdana" w:cs="Arial"/>
                  <w:color w:val="4472C4" w:themeColor="accent1"/>
                </w:rPr>
                <w:t>https://www.colombiacompra.gov.co/manuales-guias-y-pliegos-tipo/manuales-y-guias</w:t>
              </w:r>
            </w:hyperlink>
            <w:r w:rsidRPr="002F082E">
              <w:rPr>
                <w:rFonts w:ascii="Verdana" w:hAnsi="Verdana" w:cs="Arial"/>
                <w:color w:val="4472C4" w:themeColor="accent1"/>
              </w:rPr>
              <w:t xml:space="preserve"> </w:t>
            </w:r>
          </w:p>
        </w:tc>
      </w:tr>
    </w:tbl>
    <w:p w14:paraId="35CD5D0C" w14:textId="77777777" w:rsidR="008639F6" w:rsidRPr="00593A5F" w:rsidRDefault="008639F6" w:rsidP="008639F6">
      <w:pPr>
        <w:widowControl w:val="0"/>
        <w:autoSpaceDE w:val="0"/>
        <w:autoSpaceDN w:val="0"/>
        <w:spacing w:after="0" w:line="276" w:lineRule="auto"/>
        <w:jc w:val="both"/>
        <w:rPr>
          <w:rFonts w:ascii="Verdana" w:hAnsi="Verdana" w:cs="Arial"/>
        </w:rPr>
      </w:pPr>
    </w:p>
    <w:p w14:paraId="22775593" w14:textId="77777777" w:rsidR="008639F6" w:rsidRPr="00593A5F" w:rsidRDefault="008639F6" w:rsidP="008639F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71AB56D" w14:textId="77777777" w:rsidR="008639F6" w:rsidRPr="00593A5F" w:rsidRDefault="008639F6" w:rsidP="008639F6">
      <w:pPr>
        <w:widowControl w:val="0"/>
        <w:autoSpaceDE w:val="0"/>
        <w:autoSpaceDN w:val="0"/>
        <w:spacing w:after="0" w:line="276" w:lineRule="auto"/>
        <w:jc w:val="both"/>
        <w:rPr>
          <w:rFonts w:ascii="Verdana" w:hAnsi="Verdana" w:cs="Arial"/>
        </w:rPr>
      </w:pPr>
    </w:p>
    <w:p w14:paraId="36AF0C50" w14:textId="77777777" w:rsidR="008639F6" w:rsidRDefault="008639F6" w:rsidP="008639F6">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F81980">
        <w:rPr>
          <w:rStyle w:val="normaltextrun"/>
          <w:rFonts w:ascii="Verdana" w:hAnsi="Verdana" w:cs="Arial"/>
          <w:shd w:val="clear" w:color="auto" w:fill="FFFFFF"/>
          <w:lang w:val="es-ES"/>
        </w:rPr>
        <w:t>Sobre el tema de la adquisición de inmuebles, en el aspecto relacionado con la modalidad de contratación se pronunció esta Subdirección en los conceptos</w:t>
      </w:r>
      <w:r w:rsidRPr="00F81980">
        <w:rPr>
          <w:rStyle w:val="normaltextrun"/>
          <w:rFonts w:ascii="Verdana" w:hAnsi="Verdana" w:cs="Calibri"/>
          <w:shd w:val="clear" w:color="auto" w:fill="FFFFFF"/>
        </w:rPr>
        <w:t xml:space="preserve"> </w:t>
      </w:r>
      <w:r w:rsidRPr="00F81980">
        <w:rPr>
          <w:rStyle w:val="normaltextrun"/>
          <w:rFonts w:ascii="Verdana" w:hAnsi="Verdana" w:cs="Arial"/>
          <w:shd w:val="clear" w:color="auto" w:fill="FFFFFF"/>
          <w:lang w:val="es-ES"/>
        </w:rPr>
        <w:t xml:space="preserve">identificados con los radicados No. 4201813000009378 del 19 de noviembre de 2018 y 4201713000003535 del 10 de julio de 2017, así como en los conceptos C-126 del 26 de marzo de 2020 y C-561 del 8 de octubre de 2021. Las tesis expuestas en estos conceptos se reiteran </w:t>
      </w:r>
      <w:r w:rsidRPr="004A4C94">
        <w:rPr>
          <w:rStyle w:val="normaltextrun"/>
          <w:rFonts w:ascii="Verdana" w:hAnsi="Verdana" w:cs="Arial"/>
          <w:color w:val="000000" w:themeColor="text1"/>
          <w:shd w:val="clear" w:color="auto" w:fill="FFFFFF"/>
          <w:lang w:val="es-ES"/>
        </w:rPr>
        <w:t>a continuación y se complementan en lo pertinente</w:t>
      </w:r>
      <w:r w:rsidRPr="00115E3D">
        <w:rPr>
          <w:rStyle w:val="normaltextrun"/>
          <w:rFonts w:ascii="Verdana" w:hAnsi="Verdana" w:cs="Arial"/>
          <w:color w:val="000000" w:themeColor="text1"/>
          <w:shd w:val="clear" w:color="auto" w:fill="FFFFFF"/>
          <w:lang w:val="es-ES"/>
        </w:rPr>
        <w:t>.</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4" w:history="1">
        <w:r w:rsidRPr="008639F6">
          <w:rPr>
            <w:rStyle w:val="Hipervnculo"/>
            <w:rFonts w:ascii="Verdana" w:hAnsi="Verdana" w:cs="Arial"/>
            <w:color w:val="4472C4" w:themeColor="accent1"/>
            <w:shd w:val="clear" w:color="auto" w:fill="FFFFFF"/>
            <w:lang w:val="es-ES"/>
          </w:rPr>
          <w:t>https://relatoria.colombiacompra.gov.co/busqueda/conceptos</w:t>
        </w:r>
      </w:hyperlink>
      <w:r w:rsidRPr="008639F6">
        <w:rPr>
          <w:rStyle w:val="normaltextrun"/>
          <w:rFonts w:ascii="Verdana" w:hAnsi="Verdana" w:cs="Arial"/>
          <w:color w:val="4472C4" w:themeColor="accent1"/>
          <w:shd w:val="clear" w:color="auto" w:fill="FFFFFF"/>
          <w:lang w:val="es-ES"/>
        </w:rPr>
        <w:t xml:space="preserve">. </w:t>
      </w:r>
    </w:p>
    <w:p w14:paraId="74781A3F" w14:textId="77777777" w:rsidR="008639F6" w:rsidRDefault="008639F6" w:rsidP="008639F6">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E93E423" w14:textId="77777777" w:rsidR="008639F6" w:rsidRDefault="008639F6" w:rsidP="008639F6">
      <w:pPr>
        <w:widowControl w:val="0"/>
        <w:autoSpaceDE w:val="0"/>
        <w:autoSpaceDN w:val="0"/>
        <w:spacing w:after="0" w:line="276" w:lineRule="auto"/>
        <w:jc w:val="both"/>
        <w:rPr>
          <w:rFonts w:ascii="Verdana" w:hAnsi="Verdana" w:cs="Arial"/>
          <w:color w:val="000000" w:themeColor="text1"/>
          <w:shd w:val="clear" w:color="auto" w:fill="FFFFFF"/>
        </w:rPr>
      </w:pPr>
      <w:r w:rsidRPr="00985B04">
        <w:rPr>
          <w:rStyle w:val="normaltextrun"/>
          <w:rFonts w:ascii="Verdana" w:hAnsi="Verdana" w:cs="Arial"/>
          <w:color w:val="000000" w:themeColor="text1"/>
          <w:shd w:val="clear" w:color="auto" w:fill="FFFFFF"/>
          <w:lang w:val="es-ES"/>
        </w:rPr>
        <w:t xml:space="preserve">También </w:t>
      </w:r>
      <w:r>
        <w:rPr>
          <w:rFonts w:ascii="Verdana" w:hAnsi="Verdana" w:cs="Arial"/>
          <w:color w:val="000000" w:themeColor="text1"/>
          <w:shd w:val="clear" w:color="auto" w:fill="FFFFFF"/>
        </w:rPr>
        <w:t>l</w:t>
      </w:r>
      <w:r w:rsidRPr="007725ED">
        <w:rPr>
          <w:rFonts w:ascii="Verdana" w:hAnsi="Verdana" w:cs="Arial"/>
          <w:color w:val="000000" w:themeColor="text1"/>
          <w:shd w:val="clear" w:color="auto" w:fill="FFFFFF"/>
        </w:rPr>
        <w:t>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p>
    <w:p w14:paraId="4AA3F94B" w14:textId="77777777" w:rsidR="008639F6" w:rsidRPr="008639F6" w:rsidRDefault="008639F6" w:rsidP="008639F6">
      <w:pPr>
        <w:widowControl w:val="0"/>
        <w:autoSpaceDE w:val="0"/>
        <w:autoSpaceDN w:val="0"/>
        <w:spacing w:after="0" w:line="276" w:lineRule="auto"/>
        <w:jc w:val="both"/>
        <w:rPr>
          <w:rFonts w:ascii="Verdana" w:hAnsi="Verdana" w:cs="Arial"/>
          <w:color w:val="4472C4" w:themeColor="accent1"/>
          <w:shd w:val="clear" w:color="auto" w:fill="FFFFFF"/>
        </w:rPr>
      </w:pPr>
      <w:hyperlink r:id="rId15" w:history="1">
        <w:r w:rsidRPr="008639F6">
          <w:rPr>
            <w:rStyle w:val="Hipervnculo"/>
            <w:rFonts w:ascii="Verdana" w:hAnsi="Verdana" w:cs="Arial"/>
            <w:color w:val="4472C4" w:themeColor="accent1"/>
            <w:shd w:val="clear" w:color="auto" w:fill="FFFFFF"/>
          </w:rPr>
          <w:t>https://www.colombiacompra.gov.co/content/borrador-de-documentos-tipo-de-consultoria-de-obra-publica-de-infraestructura-de-transporte</w:t>
        </w:r>
      </w:hyperlink>
      <w:r w:rsidRPr="008639F6">
        <w:rPr>
          <w:rFonts w:ascii="Verdana" w:hAnsi="Verdana" w:cs="Arial"/>
          <w:color w:val="4472C4" w:themeColor="accent1"/>
          <w:shd w:val="clear" w:color="auto" w:fill="FFFFFF"/>
        </w:rPr>
        <w:t> y </w:t>
      </w:r>
      <w:hyperlink r:id="rId16" w:tgtFrame="_blank" w:tooltip="Dirección URL original: https://www.colombiacompra.gov.co/content/borrador-de-documentos-tipo-de-interventoria-de-obra-publica-de-infraestructura-de. Haga clic o pulse si confía en este vínculo." w:history="1">
        <w:r w:rsidRPr="008639F6">
          <w:rPr>
            <w:rStyle w:val="Hipervnculo"/>
            <w:rFonts w:ascii="Verdana" w:hAnsi="Verdana" w:cs="Arial"/>
            <w:color w:val="4472C4" w:themeColor="accent1"/>
            <w:shd w:val="clear" w:color="auto" w:fill="FFFFFF"/>
          </w:rPr>
          <w:t>https://www.colombiacompra.gov.co/content/borrador-de-documentos-tipo-de-interventoria-de-obra-publica-de-infraestructura-de</w:t>
        </w:r>
      </w:hyperlink>
      <w:r w:rsidRPr="008639F6">
        <w:rPr>
          <w:rFonts w:ascii="Verdana" w:hAnsi="Verdana" w:cs="Arial"/>
          <w:color w:val="4472C4" w:themeColor="accent1"/>
          <w:shd w:val="clear" w:color="auto" w:fill="FFFFFF"/>
        </w:rPr>
        <w:t> .</w:t>
      </w:r>
    </w:p>
    <w:p w14:paraId="0F9F7F47" w14:textId="77777777" w:rsidR="008639F6" w:rsidRDefault="008639F6" w:rsidP="008639F6">
      <w:pPr>
        <w:widowControl w:val="0"/>
        <w:autoSpaceDE w:val="0"/>
        <w:autoSpaceDN w:val="0"/>
        <w:spacing w:after="0" w:line="276" w:lineRule="auto"/>
        <w:jc w:val="both"/>
        <w:rPr>
          <w:rFonts w:ascii="Verdana" w:hAnsi="Verdana" w:cs="Arial"/>
          <w:color w:val="000000" w:themeColor="text1"/>
          <w:shd w:val="clear" w:color="auto" w:fill="FFFFFF"/>
        </w:rPr>
      </w:pPr>
      <w:r w:rsidRPr="007725ED">
        <w:rPr>
          <w:rFonts w:ascii="Verdana" w:hAnsi="Verdana" w:cs="Arial"/>
          <w:color w:val="000000" w:themeColor="text1"/>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 </w:t>
      </w:r>
    </w:p>
    <w:p w14:paraId="74E26FC7" w14:textId="77777777" w:rsidR="008639F6" w:rsidRPr="007725ED" w:rsidRDefault="008639F6" w:rsidP="008639F6">
      <w:pPr>
        <w:widowControl w:val="0"/>
        <w:autoSpaceDE w:val="0"/>
        <w:autoSpaceDN w:val="0"/>
        <w:spacing w:after="0" w:line="276" w:lineRule="auto"/>
        <w:jc w:val="both"/>
        <w:rPr>
          <w:rFonts w:ascii="Verdana" w:hAnsi="Verdana" w:cs="Arial"/>
          <w:color w:val="4472C4" w:themeColor="accent1"/>
          <w:shd w:val="clear" w:color="auto" w:fill="FFFFFF"/>
        </w:rPr>
      </w:pPr>
      <w:hyperlink r:id="rId17" w:history="1">
        <w:r w:rsidRPr="007725ED">
          <w:rPr>
            <w:rStyle w:val="Hipervnculo"/>
            <w:rFonts w:ascii="Verdana" w:hAnsi="Verdana" w:cs="Arial"/>
            <w:color w:val="4472C4" w:themeColor="accent1"/>
            <w:shd w:val="clear" w:color="auto" w:fill="FFFFFF"/>
          </w:rPr>
          <w:t>https://www.sucop.gov.co/entidades/colombiacompra/Normativa?IDNorma=18320</w:t>
        </w:r>
      </w:hyperlink>
      <w:r w:rsidRPr="007725ED">
        <w:rPr>
          <w:rFonts w:ascii="Verdana" w:hAnsi="Verdana" w:cs="Arial"/>
          <w:color w:val="4472C4" w:themeColor="accent1"/>
          <w:shd w:val="clear" w:color="auto" w:fill="FFFFFF"/>
        </w:rPr>
        <w:t>  </w:t>
      </w:r>
    </w:p>
    <w:p w14:paraId="2DE70CD8" w14:textId="77777777" w:rsidR="008639F6" w:rsidRDefault="008639F6" w:rsidP="008639F6">
      <w:pPr>
        <w:widowControl w:val="0"/>
        <w:autoSpaceDE w:val="0"/>
        <w:autoSpaceDN w:val="0"/>
        <w:spacing w:after="0" w:line="276" w:lineRule="auto"/>
        <w:jc w:val="both"/>
        <w:rPr>
          <w:rFonts w:ascii="Verdana" w:hAnsi="Verdana" w:cs="Arial"/>
          <w:color w:val="000000" w:themeColor="text1"/>
          <w:shd w:val="clear" w:color="auto" w:fill="FFFFFF"/>
        </w:rPr>
      </w:pPr>
      <w:r w:rsidRPr="007725ED">
        <w:rPr>
          <w:rFonts w:ascii="Verdana" w:hAnsi="Verdana" w:cs="Arial"/>
          <w:color w:val="000000" w:themeColor="text1"/>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los cuales se pueden descargar en la página web de la Agencia: </w:t>
      </w:r>
    </w:p>
    <w:p w14:paraId="13E49582" w14:textId="77777777" w:rsidR="008639F6" w:rsidRPr="008639F6" w:rsidRDefault="008639F6" w:rsidP="008639F6">
      <w:pPr>
        <w:widowControl w:val="0"/>
        <w:autoSpaceDE w:val="0"/>
        <w:autoSpaceDN w:val="0"/>
        <w:spacing w:after="0" w:line="276" w:lineRule="auto"/>
        <w:jc w:val="both"/>
        <w:rPr>
          <w:rFonts w:ascii="Verdana" w:hAnsi="Verdana" w:cs="Arial"/>
          <w:color w:val="4472C4" w:themeColor="accent1"/>
          <w:shd w:val="clear" w:color="auto" w:fill="FFFFFF"/>
          <w:lang w:val="es-ES"/>
        </w:rPr>
      </w:pPr>
      <w:hyperlink r:id="rId18" w:history="1">
        <w:r w:rsidRPr="007725ED">
          <w:rPr>
            <w:rStyle w:val="Hipervnculo"/>
            <w:rFonts w:ascii="Verdana" w:hAnsi="Verdana" w:cs="Arial"/>
            <w:color w:val="4472C4" w:themeColor="accent1"/>
            <w:shd w:val="clear" w:color="auto" w:fill="FFFFFF"/>
          </w:rPr>
          <w:t>https://www.colombiacompra.gov.co/sala-de-prensa/boletin-digital</w:t>
        </w:r>
      </w:hyperlink>
    </w:p>
    <w:p w14:paraId="43486A4D" w14:textId="77777777" w:rsidR="008639F6" w:rsidRPr="007725ED" w:rsidRDefault="008639F6" w:rsidP="008639F6">
      <w:pPr>
        <w:widowControl w:val="0"/>
        <w:autoSpaceDE w:val="0"/>
        <w:autoSpaceDN w:val="0"/>
        <w:spacing w:after="0" w:line="276" w:lineRule="auto"/>
        <w:jc w:val="both"/>
        <w:rPr>
          <w:rFonts w:ascii="Verdana" w:hAnsi="Verdana" w:cs="Arial"/>
          <w:color w:val="000000" w:themeColor="text1"/>
          <w:shd w:val="clear" w:color="auto" w:fill="FFFFFF"/>
        </w:rPr>
      </w:pPr>
    </w:p>
    <w:p w14:paraId="4C22F027" w14:textId="77777777" w:rsidR="008639F6" w:rsidRPr="003E2460" w:rsidRDefault="008639F6" w:rsidP="008639F6">
      <w:pPr>
        <w:widowControl w:val="0"/>
        <w:autoSpaceDE w:val="0"/>
        <w:autoSpaceDN w:val="0"/>
        <w:spacing w:after="0" w:line="276"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7363DC62" w14:textId="77777777" w:rsidR="008639F6" w:rsidRPr="003E2460" w:rsidRDefault="008639F6" w:rsidP="008639F6">
      <w:pPr>
        <w:spacing w:after="0" w:line="240" w:lineRule="auto"/>
        <w:jc w:val="both"/>
        <w:rPr>
          <w:rFonts w:ascii="Verdana" w:hAnsi="Verdana"/>
        </w:rPr>
      </w:pPr>
    </w:p>
    <w:p w14:paraId="590AA219" w14:textId="77777777" w:rsidR="008639F6" w:rsidRPr="003E2460" w:rsidRDefault="008639F6" w:rsidP="008639F6">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7F974B9" w14:textId="77777777" w:rsidR="008639F6" w:rsidRPr="003E2460" w:rsidRDefault="008639F6" w:rsidP="008639F6">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07FF964E" w14:textId="77777777" w:rsidR="008639F6" w:rsidRPr="003E2460" w:rsidRDefault="008639F6" w:rsidP="008639F6">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7335F18B" w14:textId="77777777" w:rsidR="008639F6" w:rsidRPr="00593A5F" w:rsidRDefault="008639F6" w:rsidP="008639F6">
      <w:pPr>
        <w:widowControl w:val="0"/>
        <w:autoSpaceDE w:val="0"/>
        <w:autoSpaceDN w:val="0"/>
        <w:spacing w:after="0" w:line="276" w:lineRule="auto"/>
        <w:jc w:val="both"/>
        <w:rPr>
          <w:rFonts w:ascii="Verdana" w:hAnsi="Verdana" w:cs="Arial"/>
        </w:rPr>
      </w:pPr>
    </w:p>
    <w:p w14:paraId="77805F13" w14:textId="77777777" w:rsidR="008639F6" w:rsidRPr="00593A5F" w:rsidRDefault="008639F6" w:rsidP="008639F6">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2CC463B" w14:textId="77777777" w:rsidR="008639F6" w:rsidRPr="00593A5F" w:rsidRDefault="008639F6" w:rsidP="008639F6">
      <w:pPr>
        <w:widowControl w:val="0"/>
        <w:autoSpaceDE w:val="0"/>
        <w:autoSpaceDN w:val="0"/>
        <w:spacing w:after="0" w:line="276" w:lineRule="auto"/>
        <w:jc w:val="both"/>
        <w:rPr>
          <w:rFonts w:ascii="Verdana" w:hAnsi="Verdana" w:cs="Arial"/>
        </w:rPr>
      </w:pPr>
    </w:p>
    <w:p w14:paraId="41AEEF52" w14:textId="77777777" w:rsidR="008639F6" w:rsidRPr="00593A5F" w:rsidRDefault="008639F6" w:rsidP="008639F6">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F1FE4DE" w14:textId="3334A90D" w:rsidR="008639F6" w:rsidRPr="00593A5F" w:rsidRDefault="00960D25" w:rsidP="008639F6">
      <w:pPr>
        <w:spacing w:line="276" w:lineRule="auto"/>
        <w:jc w:val="center"/>
        <w:rPr>
          <w:rFonts w:ascii="Verdana" w:hAnsi="Verdana" w:cs="Arial"/>
          <w:color w:val="000000"/>
          <w:lang w:val="es-ES_tradnl" w:eastAsia="es-CO"/>
        </w:rPr>
      </w:pPr>
      <w:r>
        <w:rPr>
          <w:noProof/>
        </w:rPr>
        <w:drawing>
          <wp:inline distT="0" distB="0" distL="0" distR="0" wp14:anchorId="78E78D97" wp14:editId="709AF363">
            <wp:extent cx="3771429" cy="1400000"/>
            <wp:effectExtent l="0" t="0" r="635" b="0"/>
            <wp:docPr id="212051769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17696" name="Imagen 1" descr="Texto&#10;&#10;Descripción generada automáticamente"/>
                    <pic:cNvPicPr/>
                  </pic:nvPicPr>
                  <pic:blipFill>
                    <a:blip r:embed="rId19"/>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639F6" w:rsidRPr="007725ED" w14:paraId="3DA67694" w14:textId="77777777" w:rsidTr="001D7719">
        <w:trPr>
          <w:trHeight w:val="315"/>
        </w:trPr>
        <w:tc>
          <w:tcPr>
            <w:tcW w:w="893" w:type="dxa"/>
            <w:vAlign w:val="center"/>
            <w:hideMark/>
          </w:tcPr>
          <w:p w14:paraId="359C0ED0" w14:textId="77777777" w:rsidR="008639F6" w:rsidRPr="007725ED" w:rsidRDefault="008639F6" w:rsidP="001D7719">
            <w:pPr>
              <w:contextualSpacing/>
              <w:rPr>
                <w:rFonts w:ascii="Verdana" w:hAnsi="Verdana" w:cs="Arial"/>
                <w:sz w:val="16"/>
                <w:szCs w:val="16"/>
                <w:lang w:val="es-ES" w:eastAsia="es-ES"/>
              </w:rPr>
            </w:pPr>
            <w:r w:rsidRPr="007725E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EF10646" w14:textId="77777777" w:rsidR="008639F6" w:rsidRPr="007725ED" w:rsidRDefault="008639F6" w:rsidP="001D7719">
            <w:pPr>
              <w:contextualSpacing/>
              <w:rPr>
                <w:rStyle w:val="normaltextrun"/>
                <w:rFonts w:ascii="Verdana" w:hAnsi="Verdana"/>
                <w:sz w:val="16"/>
                <w:szCs w:val="16"/>
              </w:rPr>
            </w:pPr>
            <w:r w:rsidRPr="007725ED">
              <w:rPr>
                <w:rStyle w:val="normaltextrun"/>
                <w:rFonts w:ascii="Verdana" w:hAnsi="Verdana"/>
                <w:sz w:val="16"/>
                <w:szCs w:val="16"/>
              </w:rPr>
              <w:t>Santiago Alberto Herrera Morillo</w:t>
            </w:r>
          </w:p>
          <w:p w14:paraId="3F8A748F" w14:textId="77777777" w:rsidR="008639F6" w:rsidRPr="007725ED" w:rsidRDefault="008639F6" w:rsidP="001D7719">
            <w:pPr>
              <w:contextualSpacing/>
              <w:rPr>
                <w:rFonts w:ascii="Verdana" w:eastAsia="Arial" w:hAnsi="Verdana" w:cs="Arial"/>
                <w:sz w:val="16"/>
                <w:szCs w:val="16"/>
              </w:rPr>
            </w:pPr>
            <w:r w:rsidRPr="007725ED">
              <w:rPr>
                <w:rStyle w:val="normaltextrun"/>
                <w:rFonts w:ascii="Verdana" w:hAnsi="Verdana"/>
                <w:sz w:val="16"/>
                <w:szCs w:val="16"/>
              </w:rPr>
              <w:t xml:space="preserve">Analista T2-02 </w:t>
            </w:r>
            <w:r w:rsidRPr="007725ED">
              <w:rPr>
                <w:rStyle w:val="normaltextrun"/>
                <w:rFonts w:ascii="Verdana" w:eastAsia="Arial" w:hAnsi="Verdana" w:cs="Arial"/>
                <w:sz w:val="16"/>
                <w:szCs w:val="16"/>
              </w:rPr>
              <w:t>de la Subdirección de Gestión Contractual</w:t>
            </w:r>
          </w:p>
        </w:tc>
      </w:tr>
      <w:tr w:rsidR="008639F6" w:rsidRPr="007725ED" w14:paraId="7349B9BF" w14:textId="77777777" w:rsidTr="001D7719">
        <w:trPr>
          <w:trHeight w:val="330"/>
        </w:trPr>
        <w:tc>
          <w:tcPr>
            <w:tcW w:w="893" w:type="dxa"/>
            <w:vAlign w:val="center"/>
            <w:hideMark/>
          </w:tcPr>
          <w:p w14:paraId="361FE36F" w14:textId="77777777" w:rsidR="008639F6" w:rsidRPr="007725ED" w:rsidRDefault="008639F6" w:rsidP="001D7719">
            <w:pPr>
              <w:contextualSpacing/>
              <w:rPr>
                <w:rFonts w:ascii="Verdana" w:hAnsi="Verdana" w:cs="Arial"/>
                <w:sz w:val="16"/>
                <w:szCs w:val="16"/>
                <w:lang w:val="es-ES" w:eastAsia="es-ES"/>
              </w:rPr>
            </w:pPr>
            <w:r w:rsidRPr="007725E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064E0BC" w14:textId="77777777" w:rsidR="008639F6" w:rsidRPr="007725ED" w:rsidRDefault="008639F6" w:rsidP="001D7719">
            <w:pPr>
              <w:pStyle w:val="paragraph"/>
              <w:spacing w:after="0"/>
              <w:contextualSpacing/>
              <w:textAlignment w:val="baseline"/>
              <w:rPr>
                <w:rStyle w:val="normaltextrun"/>
                <w:rFonts w:ascii="Verdana" w:hAnsi="Verdana" w:cs="Arial"/>
                <w:sz w:val="16"/>
                <w:szCs w:val="16"/>
                <w:lang w:val="es-ES"/>
              </w:rPr>
            </w:pPr>
            <w:r w:rsidRPr="007725ED">
              <w:rPr>
                <w:rStyle w:val="normaltextrun"/>
                <w:rFonts w:ascii="Verdana" w:hAnsi="Verdana" w:cs="Arial"/>
                <w:sz w:val="16"/>
                <w:szCs w:val="16"/>
                <w:lang w:val="es-ES"/>
              </w:rPr>
              <w:t xml:space="preserve">Alejandro Sarmiento Cantillo </w:t>
            </w:r>
          </w:p>
          <w:p w14:paraId="390E43BF" w14:textId="77777777" w:rsidR="008639F6" w:rsidRPr="007725ED" w:rsidRDefault="008639F6" w:rsidP="001D7719">
            <w:pPr>
              <w:pStyle w:val="paragraph"/>
              <w:spacing w:after="0"/>
              <w:contextualSpacing/>
              <w:textAlignment w:val="baseline"/>
              <w:rPr>
                <w:rFonts w:ascii="Verdana" w:hAnsi="Verdana" w:cs="Arial"/>
                <w:sz w:val="16"/>
                <w:szCs w:val="16"/>
                <w:lang w:val="es-ES"/>
              </w:rPr>
            </w:pPr>
            <w:r w:rsidRPr="007725ED">
              <w:rPr>
                <w:rStyle w:val="normaltextrun"/>
                <w:rFonts w:ascii="Verdana" w:hAnsi="Verdana" w:cs="Arial"/>
                <w:sz w:val="16"/>
                <w:szCs w:val="16"/>
                <w:lang w:val="es-ES"/>
              </w:rPr>
              <w:t xml:space="preserve">Gestor T1-15 de la Subdirección de Gestión Contractual </w:t>
            </w:r>
          </w:p>
        </w:tc>
      </w:tr>
      <w:tr w:rsidR="008639F6" w:rsidRPr="007725ED" w14:paraId="17EE1BF0" w14:textId="77777777" w:rsidTr="001D7719">
        <w:trPr>
          <w:trHeight w:val="300"/>
        </w:trPr>
        <w:tc>
          <w:tcPr>
            <w:tcW w:w="893" w:type="dxa"/>
            <w:vAlign w:val="center"/>
          </w:tcPr>
          <w:p w14:paraId="6E67C7EC" w14:textId="77777777" w:rsidR="008639F6" w:rsidRPr="007725ED" w:rsidRDefault="008639F6" w:rsidP="001D7719">
            <w:pPr>
              <w:contextualSpacing/>
              <w:rPr>
                <w:rFonts w:ascii="Verdana" w:hAnsi="Verdana" w:cs="Arial"/>
                <w:sz w:val="16"/>
                <w:szCs w:val="16"/>
                <w:lang w:val="es-ES" w:eastAsia="es-ES"/>
              </w:rPr>
            </w:pPr>
            <w:r w:rsidRPr="007725E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E6DAC89" w14:textId="77777777" w:rsidR="008639F6" w:rsidRPr="007725ED" w:rsidRDefault="008639F6" w:rsidP="001D7719">
            <w:pPr>
              <w:contextualSpacing/>
              <w:rPr>
                <w:rFonts w:ascii="Verdana" w:eastAsia="Calibri" w:hAnsi="Verdana" w:cs="Arial"/>
                <w:sz w:val="16"/>
                <w:szCs w:val="16"/>
                <w:lang w:val="pt-BR" w:eastAsia="es-ES"/>
              </w:rPr>
            </w:pPr>
            <w:r w:rsidRPr="007725ED">
              <w:rPr>
                <w:rFonts w:ascii="Verdana" w:eastAsia="Calibri" w:hAnsi="Verdana" w:cs="Arial"/>
                <w:sz w:val="16"/>
                <w:szCs w:val="16"/>
                <w:lang w:val="pt-BR" w:eastAsia="es-ES"/>
              </w:rPr>
              <w:t>Carolina Quintero Gacharná</w:t>
            </w:r>
          </w:p>
          <w:p w14:paraId="7080CAB9" w14:textId="77777777" w:rsidR="008639F6" w:rsidRPr="007725ED" w:rsidRDefault="008639F6" w:rsidP="001D7719">
            <w:pPr>
              <w:contextualSpacing/>
              <w:rPr>
                <w:rFonts w:ascii="Verdana" w:eastAsia="Calibri" w:hAnsi="Verdana" w:cs="Arial"/>
                <w:sz w:val="16"/>
                <w:szCs w:val="16"/>
                <w:lang w:val="pt-BR" w:eastAsia="es-ES"/>
              </w:rPr>
            </w:pPr>
            <w:r w:rsidRPr="007725ED">
              <w:rPr>
                <w:rFonts w:ascii="Verdana" w:eastAsia="Calibri" w:hAnsi="Verdana" w:cs="Arial"/>
                <w:sz w:val="16"/>
                <w:szCs w:val="16"/>
                <w:lang w:eastAsia="es-ES"/>
              </w:rPr>
              <w:t>Subdirectora</w:t>
            </w:r>
            <w:r w:rsidRPr="007725ED">
              <w:rPr>
                <w:rFonts w:ascii="Verdana" w:eastAsia="Calibri" w:hAnsi="Verdana" w:cs="Arial"/>
                <w:sz w:val="16"/>
                <w:szCs w:val="16"/>
                <w:lang w:val="pt-BR" w:eastAsia="es-ES"/>
              </w:rPr>
              <w:t xml:space="preserve"> de Gestión Contractual ANCP – CCE</w:t>
            </w:r>
          </w:p>
        </w:tc>
      </w:tr>
    </w:tbl>
    <w:p w14:paraId="0F293BF4" w14:textId="7BBFAB11" w:rsidR="00127233" w:rsidRPr="008639F6" w:rsidRDefault="00127233" w:rsidP="00700415"/>
    <w:sectPr w:rsidR="00127233" w:rsidRPr="008639F6"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A6150" w14:textId="77777777" w:rsidR="000109CC" w:rsidRDefault="000109CC" w:rsidP="004A1847">
      <w:pPr>
        <w:spacing w:after="0" w:line="240" w:lineRule="auto"/>
      </w:pPr>
      <w:r>
        <w:separator/>
      </w:r>
    </w:p>
  </w:endnote>
  <w:endnote w:type="continuationSeparator" w:id="0">
    <w:p w14:paraId="13F4B424" w14:textId="77777777" w:rsidR="000109CC" w:rsidRDefault="000109CC" w:rsidP="004A1847">
      <w:pPr>
        <w:spacing w:after="0" w:line="240" w:lineRule="auto"/>
      </w:pPr>
      <w:r>
        <w:continuationSeparator/>
      </w:r>
    </w:p>
  </w:endnote>
  <w:endnote w:type="continuationNotice" w:id="1">
    <w:p w14:paraId="40754351" w14:textId="77777777" w:rsidR="000109CC" w:rsidRDefault="00010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4A423" w14:textId="77777777" w:rsidR="000109CC" w:rsidRDefault="000109CC" w:rsidP="004A1847">
      <w:pPr>
        <w:spacing w:after="0" w:line="240" w:lineRule="auto"/>
      </w:pPr>
      <w:r>
        <w:separator/>
      </w:r>
    </w:p>
  </w:footnote>
  <w:footnote w:type="continuationSeparator" w:id="0">
    <w:p w14:paraId="2DE6C60E" w14:textId="77777777" w:rsidR="000109CC" w:rsidRDefault="000109CC" w:rsidP="004A1847">
      <w:pPr>
        <w:spacing w:after="0" w:line="240" w:lineRule="auto"/>
      </w:pPr>
      <w:r>
        <w:continuationSeparator/>
      </w:r>
    </w:p>
  </w:footnote>
  <w:footnote w:type="continuationNotice" w:id="1">
    <w:p w14:paraId="4AA4E462" w14:textId="77777777" w:rsidR="000109CC" w:rsidRDefault="000109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270EA676"/>
    <w:lvl w:ilvl="0" w:tplc="8F90057C">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CEA12D0"/>
    <w:multiLevelType w:val="hybridMultilevel"/>
    <w:tmpl w:val="CAACA8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F70AA2"/>
    <w:multiLevelType w:val="hybridMultilevel"/>
    <w:tmpl w:val="BA027A54"/>
    <w:lvl w:ilvl="0" w:tplc="D1EA9D30">
      <w:start w:val="1"/>
      <w:numFmt w:val="decimal"/>
      <w:lvlText w:val="%1."/>
      <w:lvlJc w:val="left"/>
      <w:pPr>
        <w:ind w:left="1689" w:hanging="555"/>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3"/>
  </w:num>
  <w:num w:numId="14" w16cid:durableId="895897244">
    <w:abstractNumId w:val="17"/>
  </w:num>
  <w:num w:numId="15" w16cid:durableId="390349800">
    <w:abstractNumId w:val="13"/>
  </w:num>
  <w:num w:numId="16" w16cid:durableId="341274352">
    <w:abstractNumId w:val="0"/>
  </w:num>
  <w:num w:numId="17" w16cid:durableId="1492209491">
    <w:abstractNumId w:val="5"/>
  </w:num>
  <w:num w:numId="18" w16cid:durableId="679089576">
    <w:abstractNumId w:val="10"/>
  </w:num>
  <w:num w:numId="19" w16cid:durableId="876041913">
    <w:abstractNumId w:val="11"/>
  </w:num>
  <w:num w:numId="20" w16cid:durableId="1081372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3E7"/>
    <w:rsid w:val="000109CC"/>
    <w:rsid w:val="000554C0"/>
    <w:rsid w:val="00061B2A"/>
    <w:rsid w:val="00082362"/>
    <w:rsid w:val="00091682"/>
    <w:rsid w:val="000A683E"/>
    <w:rsid w:val="000B19B9"/>
    <w:rsid w:val="000D023F"/>
    <w:rsid w:val="000D0334"/>
    <w:rsid w:val="000D7314"/>
    <w:rsid w:val="000F6486"/>
    <w:rsid w:val="00125105"/>
    <w:rsid w:val="00127233"/>
    <w:rsid w:val="00134516"/>
    <w:rsid w:val="00193926"/>
    <w:rsid w:val="001D1F6B"/>
    <w:rsid w:val="001E4177"/>
    <w:rsid w:val="001F7DC6"/>
    <w:rsid w:val="0020513C"/>
    <w:rsid w:val="002421BB"/>
    <w:rsid w:val="0025796E"/>
    <w:rsid w:val="00267EC4"/>
    <w:rsid w:val="002707A2"/>
    <w:rsid w:val="002951A0"/>
    <w:rsid w:val="002962BC"/>
    <w:rsid w:val="002A093D"/>
    <w:rsid w:val="002A0DD0"/>
    <w:rsid w:val="002A49AC"/>
    <w:rsid w:val="002A64FD"/>
    <w:rsid w:val="002B790F"/>
    <w:rsid w:val="002C7A84"/>
    <w:rsid w:val="002E4FD9"/>
    <w:rsid w:val="0030590E"/>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51A40"/>
    <w:rsid w:val="004A1847"/>
    <w:rsid w:val="004A305D"/>
    <w:rsid w:val="004B67E8"/>
    <w:rsid w:val="004C12C3"/>
    <w:rsid w:val="004F21C4"/>
    <w:rsid w:val="004F685F"/>
    <w:rsid w:val="005566E8"/>
    <w:rsid w:val="00574867"/>
    <w:rsid w:val="00591460"/>
    <w:rsid w:val="00592628"/>
    <w:rsid w:val="005C3777"/>
    <w:rsid w:val="005C5CDC"/>
    <w:rsid w:val="005D476C"/>
    <w:rsid w:val="005E6F03"/>
    <w:rsid w:val="005F01A2"/>
    <w:rsid w:val="00600C49"/>
    <w:rsid w:val="00610812"/>
    <w:rsid w:val="00617340"/>
    <w:rsid w:val="006219F8"/>
    <w:rsid w:val="006360B9"/>
    <w:rsid w:val="00650FF7"/>
    <w:rsid w:val="00665D70"/>
    <w:rsid w:val="00671DAC"/>
    <w:rsid w:val="006900D9"/>
    <w:rsid w:val="006D12F8"/>
    <w:rsid w:val="00700415"/>
    <w:rsid w:val="00706C16"/>
    <w:rsid w:val="00717C9A"/>
    <w:rsid w:val="007271E8"/>
    <w:rsid w:val="00756841"/>
    <w:rsid w:val="007649AB"/>
    <w:rsid w:val="00771D0C"/>
    <w:rsid w:val="007833AC"/>
    <w:rsid w:val="007B268C"/>
    <w:rsid w:val="007B7171"/>
    <w:rsid w:val="007C0C0F"/>
    <w:rsid w:val="007C3DC2"/>
    <w:rsid w:val="007E5497"/>
    <w:rsid w:val="00806F5F"/>
    <w:rsid w:val="00820278"/>
    <w:rsid w:val="00840CFD"/>
    <w:rsid w:val="008639F6"/>
    <w:rsid w:val="008843B6"/>
    <w:rsid w:val="00891928"/>
    <w:rsid w:val="008A446D"/>
    <w:rsid w:val="008D180B"/>
    <w:rsid w:val="008F0EA7"/>
    <w:rsid w:val="008F1472"/>
    <w:rsid w:val="00923EEF"/>
    <w:rsid w:val="009419F9"/>
    <w:rsid w:val="0095685E"/>
    <w:rsid w:val="00960D25"/>
    <w:rsid w:val="00961B09"/>
    <w:rsid w:val="00965334"/>
    <w:rsid w:val="0097093E"/>
    <w:rsid w:val="009A0DFA"/>
    <w:rsid w:val="009B2D26"/>
    <w:rsid w:val="009C71FA"/>
    <w:rsid w:val="009C72E7"/>
    <w:rsid w:val="009D3058"/>
    <w:rsid w:val="009D699F"/>
    <w:rsid w:val="009F3A13"/>
    <w:rsid w:val="00A122D3"/>
    <w:rsid w:val="00A17F13"/>
    <w:rsid w:val="00A20739"/>
    <w:rsid w:val="00A22DD9"/>
    <w:rsid w:val="00A33C78"/>
    <w:rsid w:val="00A82E3D"/>
    <w:rsid w:val="00AB0994"/>
    <w:rsid w:val="00AB0ADB"/>
    <w:rsid w:val="00AB706F"/>
    <w:rsid w:val="00B01B1A"/>
    <w:rsid w:val="00B55280"/>
    <w:rsid w:val="00B72CD3"/>
    <w:rsid w:val="00B72FFF"/>
    <w:rsid w:val="00BC3D36"/>
    <w:rsid w:val="00BD7F72"/>
    <w:rsid w:val="00C04FB3"/>
    <w:rsid w:val="00C330EB"/>
    <w:rsid w:val="00C754BE"/>
    <w:rsid w:val="00C76B1C"/>
    <w:rsid w:val="00CB6357"/>
    <w:rsid w:val="00CC1B26"/>
    <w:rsid w:val="00CF054C"/>
    <w:rsid w:val="00D423A2"/>
    <w:rsid w:val="00D42DE0"/>
    <w:rsid w:val="00D520D8"/>
    <w:rsid w:val="00D63AC2"/>
    <w:rsid w:val="00D7383B"/>
    <w:rsid w:val="00D77C80"/>
    <w:rsid w:val="00D91047"/>
    <w:rsid w:val="00DA231B"/>
    <w:rsid w:val="00DA23A0"/>
    <w:rsid w:val="00DA7640"/>
    <w:rsid w:val="00DB11C7"/>
    <w:rsid w:val="00DC39FC"/>
    <w:rsid w:val="00DF5254"/>
    <w:rsid w:val="00E16408"/>
    <w:rsid w:val="00E20894"/>
    <w:rsid w:val="00E245AB"/>
    <w:rsid w:val="00E2764C"/>
    <w:rsid w:val="00E27F2E"/>
    <w:rsid w:val="00E413EA"/>
    <w:rsid w:val="00E50AFE"/>
    <w:rsid w:val="00E51A8D"/>
    <w:rsid w:val="00E57719"/>
    <w:rsid w:val="00E75C92"/>
    <w:rsid w:val="00E771DC"/>
    <w:rsid w:val="00E77D3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39DBA4EF"/>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639F6"/>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manuales-guias-y-pliegos-tipo/manuales-y-guias" TargetMode="External"/><Relationship Id="rId18" Type="http://schemas.openxmlformats.org/officeDocument/2006/relationships/hyperlink" Target="https://www.colombiacompra.gov.co/sala-de-prensa/boletin-digit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hyperlink" Target="https://www.sucop.gov.co/entidades/colombiacompra/Normativa?IDNorma=1832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borrador-de-documentos-tipo-de-interventoria-de-obra-publica-de-infraestructura-de&amp;data=05%7C02%7Csantiago.herrera%40colombiacompra.gov.co%7C096eca3fdcca424ff1c708dcf932f947%7C7b09041e245149d08cb179d5e3d8c1be%7C0%7C0%7C638659244557612538%7CUnknown%7CTWFpbGZsb3d8eyJWIjoiMC4wLjAwMDAiLCJQIjoiV2luMzIiLCJBTiI6Ik1haWwiLCJXVCI6Mn0%3D%7C0%7C%7C%7C&amp;sdata=PptTeXlOufRJzvNgcBCbY%2BgS5ZWUh4x8RLP7Pzjbdxg%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ridica@pazdeariporo-casanare.gov.co" TargetMode="External"/><Relationship Id="rId5" Type="http://schemas.openxmlformats.org/officeDocument/2006/relationships/styles" Target="styles.xml"/><Relationship Id="rId15" Type="http://schemas.openxmlformats.org/officeDocument/2006/relationships/hyperlink" Target="https://www.colombiacompra.gov.co/content/borrador-de-documentos-tipo-de-consultoria-de-obra-publica-de-infraestructura-de-transport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013F7861-0DB4-46B0-B749-A4D4FF1C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3259</Words>
  <Characters>17925</Characters>
  <Application>Microsoft Office Word</Application>
  <DocSecurity>0</DocSecurity>
  <Lines>149</Lines>
  <Paragraphs>42</Paragraphs>
  <ScaleCrop>false</ScaleCrop>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11</cp:revision>
  <cp:lastPrinted>2023-01-10T21:18:00Z</cp:lastPrinted>
  <dcterms:created xsi:type="dcterms:W3CDTF">2024-11-19T16:52:00Z</dcterms:created>
  <dcterms:modified xsi:type="dcterms:W3CDTF">2024-11-26T21:31:00Z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