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62F0A" w14:textId="77777777" w:rsidR="00420D9C" w:rsidRPr="00BB3BE4" w:rsidRDefault="00420D9C" w:rsidP="00420D9C">
      <w:pPr>
        <w:tabs>
          <w:tab w:val="left" w:pos="709"/>
        </w:tabs>
        <w:spacing w:after="0" w:line="240" w:lineRule="auto"/>
        <w:jc w:val="both"/>
        <w:rPr>
          <w:rFonts w:ascii="Verdana" w:eastAsia="Calibri" w:hAnsi="Verdana" w:cs="Arial"/>
          <w:bCs/>
          <w:sz w:val="20"/>
          <w:szCs w:val="20"/>
          <w:lang w:val="es-ES_tradnl" w:eastAsia="es-ES_tradnl"/>
        </w:rPr>
      </w:pPr>
    </w:p>
    <w:p w14:paraId="6FC74402" w14:textId="77777777" w:rsidR="00420D9C" w:rsidRPr="00BB3BE4" w:rsidRDefault="00420D9C" w:rsidP="00420D9C">
      <w:pPr>
        <w:tabs>
          <w:tab w:val="left" w:pos="709"/>
        </w:tabs>
        <w:spacing w:after="0" w:line="240" w:lineRule="auto"/>
        <w:jc w:val="both"/>
        <w:rPr>
          <w:rFonts w:ascii="Verdana" w:eastAsia="Calibri" w:hAnsi="Verdana" w:cs="Arial"/>
          <w:b/>
          <w:lang w:val="es-ES_tradnl" w:eastAsia="es-ES_tradnl"/>
        </w:rPr>
      </w:pPr>
      <w:r w:rsidRPr="00BB3BE4">
        <w:rPr>
          <w:rFonts w:ascii="Verdana" w:eastAsia="Calibri" w:hAnsi="Verdana" w:cs="Arial"/>
          <w:b/>
          <w:lang w:val="es-ES_tradnl" w:eastAsia="es-ES_tradnl"/>
        </w:rPr>
        <w:t>PROPONENTE PLURAL ‒ Consorcio ‒ Uni</w:t>
      </w:r>
      <w:r w:rsidRPr="00BB3BE4">
        <w:rPr>
          <w:rFonts w:ascii="Verdana" w:eastAsia="Calibri" w:hAnsi="Verdana" w:cs="Century Gothic"/>
          <w:b/>
          <w:lang w:val="es-ES_tradnl" w:eastAsia="es-ES_tradnl"/>
        </w:rPr>
        <w:t>ó</w:t>
      </w:r>
      <w:r w:rsidRPr="00BB3BE4">
        <w:rPr>
          <w:rFonts w:ascii="Verdana" w:eastAsia="Calibri" w:hAnsi="Verdana" w:cs="Arial"/>
          <w:b/>
          <w:lang w:val="es-ES_tradnl" w:eastAsia="es-ES_tradnl"/>
        </w:rPr>
        <w:t xml:space="preserve">n temporal ‒ Concepto </w:t>
      </w:r>
      <w:r w:rsidRPr="00BB3BE4">
        <w:rPr>
          <w:rFonts w:ascii="Verdana" w:eastAsia="Calibri" w:hAnsi="Verdana" w:cs="Century Gothic"/>
          <w:b/>
          <w:lang w:val="es-ES_tradnl" w:eastAsia="es-ES_tradnl"/>
        </w:rPr>
        <w:t>–</w:t>
      </w:r>
      <w:r w:rsidRPr="00BB3BE4">
        <w:rPr>
          <w:rFonts w:ascii="Verdana" w:eastAsia="Calibri" w:hAnsi="Verdana" w:cs="Arial"/>
          <w:b/>
          <w:lang w:val="es-ES_tradnl" w:eastAsia="es-ES_tradnl"/>
        </w:rPr>
        <w:t xml:space="preserve"> Diferencias</w:t>
      </w:r>
    </w:p>
    <w:p w14:paraId="4A88F577" w14:textId="77777777" w:rsidR="00420D9C" w:rsidRPr="00BB3BE4" w:rsidRDefault="00420D9C" w:rsidP="00420D9C">
      <w:pPr>
        <w:tabs>
          <w:tab w:val="left" w:pos="709"/>
        </w:tabs>
        <w:spacing w:after="0" w:line="240" w:lineRule="auto"/>
        <w:jc w:val="both"/>
        <w:rPr>
          <w:rFonts w:ascii="Verdana" w:eastAsia="Calibri" w:hAnsi="Verdana" w:cs="Arial"/>
          <w:bCs/>
          <w:sz w:val="20"/>
          <w:szCs w:val="20"/>
          <w:lang w:val="es-ES_tradnl" w:eastAsia="es-ES_tradnl"/>
        </w:rPr>
      </w:pPr>
    </w:p>
    <w:p w14:paraId="033DB013" w14:textId="77777777" w:rsidR="00420D9C" w:rsidRPr="00BB3BE4" w:rsidRDefault="00420D9C" w:rsidP="00420D9C">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  </w:t>
      </w:r>
    </w:p>
    <w:p w14:paraId="70987435" w14:textId="77777777" w:rsidR="00420D9C" w:rsidRPr="00BB3BE4" w:rsidRDefault="00420D9C" w:rsidP="00420D9C">
      <w:pPr>
        <w:spacing w:after="0" w:line="240" w:lineRule="auto"/>
        <w:jc w:val="both"/>
        <w:rPr>
          <w:rFonts w:ascii="Verdana" w:hAnsi="Verdana" w:cs="Arial"/>
          <w:color w:val="000000" w:themeColor="text1"/>
          <w:sz w:val="20"/>
          <w:szCs w:val="20"/>
        </w:rPr>
      </w:pPr>
      <w:r w:rsidRPr="00BB3BE4">
        <w:rPr>
          <w:rFonts w:ascii="Verdana" w:hAnsi="Verdana" w:cs="Arial"/>
          <w:color w:val="000000" w:themeColor="text1"/>
          <w:sz w:val="20"/>
          <w:szCs w:val="20"/>
        </w:rPr>
        <w:t xml:space="preserve"> </w:t>
      </w:r>
    </w:p>
    <w:p w14:paraId="23AF1503" w14:textId="77777777" w:rsidR="00420D9C" w:rsidRPr="00BB3BE4" w:rsidRDefault="00420D9C" w:rsidP="00420D9C">
      <w:pPr>
        <w:tabs>
          <w:tab w:val="left" w:pos="709"/>
        </w:tabs>
        <w:spacing w:after="0" w:line="240" w:lineRule="auto"/>
        <w:jc w:val="both"/>
        <w:rPr>
          <w:rFonts w:ascii="Verdana" w:eastAsia="Calibri" w:hAnsi="Verdana" w:cs="Arial"/>
          <w:b/>
          <w:color w:val="000000" w:themeColor="text1"/>
        </w:rPr>
      </w:pPr>
      <w:r w:rsidRPr="00BB3BE4">
        <w:rPr>
          <w:rFonts w:ascii="Verdana" w:eastAsia="Calibri" w:hAnsi="Verdana" w:cs="Arial"/>
          <w:b/>
          <w:lang w:val="es-ES_tradnl" w:eastAsia="es-ES_tradnl"/>
        </w:rPr>
        <w:t>CONSORCIOS Y UNIONES TEMPORALES – Ausencia de personería jurídica – Capacidad jurídica restringida</w:t>
      </w:r>
    </w:p>
    <w:p w14:paraId="0EC5D2F5" w14:textId="77777777" w:rsidR="00420D9C" w:rsidRPr="00BB3BE4" w:rsidRDefault="00420D9C" w:rsidP="00420D9C">
      <w:pPr>
        <w:spacing w:after="0" w:line="240" w:lineRule="auto"/>
        <w:jc w:val="both"/>
        <w:rPr>
          <w:rFonts w:ascii="Verdana" w:eastAsia="Calibri" w:hAnsi="Verdana" w:cs="Arial"/>
          <w:bCs/>
          <w:sz w:val="20"/>
          <w:szCs w:val="20"/>
          <w:lang w:val="es-ES_tradnl" w:eastAsia="es-ES_tradnl"/>
        </w:rPr>
      </w:pPr>
    </w:p>
    <w:p w14:paraId="563AC3B0" w14:textId="77777777" w:rsidR="00420D9C" w:rsidRPr="00BB3BE4" w:rsidRDefault="00420D9C" w:rsidP="00420D9C">
      <w:pPr>
        <w:spacing w:after="0" w:line="240" w:lineRule="auto"/>
        <w:jc w:val="both"/>
        <w:rPr>
          <w:rFonts w:ascii="Verdana" w:eastAsia="Calibri" w:hAnsi="Verdana" w:cs="Arial"/>
          <w:bCs/>
          <w:color w:val="000000" w:themeColor="text1"/>
          <w:sz w:val="20"/>
          <w:szCs w:val="20"/>
          <w:lang w:val="es-ES"/>
        </w:rPr>
      </w:pPr>
      <w:r w:rsidRPr="00BB3BE4">
        <w:rPr>
          <w:rFonts w:ascii="Verdana" w:eastAsia="Calibri" w:hAnsi="Verdana" w:cs="Arial"/>
          <w:bCs/>
          <w:color w:val="000000" w:themeColor="text1"/>
          <w:sz w:val="20"/>
          <w:szCs w:val="20"/>
          <w:lang w:val="es-ES"/>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w:t>
      </w:r>
    </w:p>
    <w:p w14:paraId="27722A1B" w14:textId="77777777" w:rsidR="00420D9C" w:rsidRPr="00BB3BE4" w:rsidRDefault="00420D9C" w:rsidP="00420D9C">
      <w:pPr>
        <w:spacing w:after="0" w:line="240" w:lineRule="auto"/>
        <w:jc w:val="both"/>
        <w:rPr>
          <w:rFonts w:ascii="Verdana" w:eastAsia="Calibri" w:hAnsi="Verdana" w:cs="Arial"/>
          <w:bCs/>
          <w:color w:val="000000" w:themeColor="text1"/>
          <w:sz w:val="20"/>
          <w:szCs w:val="20"/>
          <w:lang w:val="es-ES"/>
        </w:rPr>
      </w:pPr>
    </w:p>
    <w:p w14:paraId="61C60840" w14:textId="77777777" w:rsidR="00420D9C" w:rsidRPr="00BB3BE4" w:rsidRDefault="00420D9C" w:rsidP="00420D9C">
      <w:pPr>
        <w:spacing w:after="0" w:line="240" w:lineRule="auto"/>
        <w:jc w:val="both"/>
        <w:rPr>
          <w:rFonts w:ascii="Verdana" w:hAnsi="Verdana" w:cs="Arial"/>
          <w:color w:val="000000" w:themeColor="text1"/>
          <w:sz w:val="20"/>
          <w:szCs w:val="20"/>
        </w:rPr>
      </w:pPr>
      <w:r w:rsidRPr="00BB3BE4">
        <w:rPr>
          <w:rFonts w:ascii="Verdana" w:eastAsia="Calibri" w:hAnsi="Verdana" w:cs="Arial"/>
          <w:bCs/>
          <w:color w:val="000000" w:themeColor="text1"/>
          <w:sz w:val="20"/>
          <w:szCs w:val="20"/>
          <w:lang w:val="es-ES"/>
        </w:rPr>
        <w:t>[…] el consorcio o la unión temporal se da “Cuando dos o más personas en forma conjunta presentan una misma propuesta para la adjudicación, celebración y ejecución de un contrato […]”.</w:t>
      </w:r>
      <w:r w:rsidRPr="00BB3BE4">
        <w:rPr>
          <w:rFonts w:ascii="Verdana" w:hAnsi="Verdana" w:cs="Arial"/>
          <w:color w:val="000000" w:themeColor="text1"/>
          <w:sz w:val="20"/>
          <w:szCs w:val="20"/>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0537732B" w14:textId="77777777" w:rsidR="00420D9C" w:rsidRPr="00BB3BE4" w:rsidRDefault="00420D9C" w:rsidP="00420D9C">
      <w:pPr>
        <w:spacing w:after="0" w:line="240" w:lineRule="auto"/>
        <w:jc w:val="both"/>
        <w:rPr>
          <w:rFonts w:ascii="Verdana" w:hAnsi="Verdana" w:cs="Arial"/>
          <w:color w:val="000000" w:themeColor="text1"/>
          <w:sz w:val="20"/>
          <w:szCs w:val="20"/>
        </w:rPr>
      </w:pPr>
    </w:p>
    <w:p w14:paraId="070ED412" w14:textId="72399605" w:rsidR="000307C2" w:rsidRPr="00420D9C" w:rsidRDefault="00420D9C" w:rsidP="000307C2">
      <w:pPr>
        <w:spacing w:after="0" w:line="240" w:lineRule="auto"/>
        <w:jc w:val="both"/>
        <w:rPr>
          <w:rFonts w:ascii="Verdana" w:hAnsi="Verdana" w:cs="Arial"/>
          <w:color w:val="000000" w:themeColor="text1"/>
          <w:sz w:val="20"/>
          <w:szCs w:val="20"/>
        </w:rPr>
      </w:pPr>
      <w:r>
        <w:rPr>
          <w:rFonts w:ascii="Verdana" w:hAnsi="Verdana" w:cs="Arial"/>
          <w:color w:val="000000" w:themeColor="text1"/>
          <w:sz w:val="20"/>
          <w:szCs w:val="20"/>
        </w:rPr>
        <w:t>L</w:t>
      </w:r>
      <w:r w:rsidRPr="00420D9C">
        <w:rPr>
          <w:rFonts w:ascii="Verdana" w:hAnsi="Verdana" w:cs="Arial"/>
          <w:color w:val="000000" w:themeColor="text1"/>
          <w:sz w:val="20"/>
          <w:szCs w:val="20"/>
        </w:rPr>
        <w:t xml:space="preserve">a capacidad jurídica de los proponentes plurales se limita al campo de la contratación estatal de las entidades sometidas al EGCAP, es decir, a las relaciones entre los consorcios y las uniones temporales con las entidades estatales del artículo 2 de la Ley 80 de 1993. Las personas que conforman proponentes plurales pueden presentar en forma conjunta una misma propuesta para la adjudicación, celebración y ejecución de contratos estatales con </w:t>
      </w:r>
      <w:r w:rsidRPr="00420D9C">
        <w:rPr>
          <w:rFonts w:ascii="Verdana" w:hAnsi="Verdana" w:cs="Arial"/>
          <w:i/>
          <w:iCs/>
          <w:color w:val="000000" w:themeColor="text1"/>
          <w:sz w:val="20"/>
          <w:szCs w:val="20"/>
        </w:rPr>
        <w:t>una o varias</w:t>
      </w:r>
      <w:r w:rsidRPr="00420D9C">
        <w:rPr>
          <w:rFonts w:ascii="Verdana" w:hAnsi="Verdana" w:cs="Arial"/>
          <w:color w:val="000000" w:themeColor="text1"/>
          <w:sz w:val="20"/>
          <w:szCs w:val="20"/>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w:t>
      </w:r>
    </w:p>
    <w:p w14:paraId="64F859DC" w14:textId="77777777" w:rsidR="000307C2" w:rsidRPr="00396DBB" w:rsidRDefault="000307C2" w:rsidP="00396DBB">
      <w:pPr>
        <w:spacing w:after="0" w:line="240" w:lineRule="auto"/>
        <w:jc w:val="both"/>
        <w:rPr>
          <w:rFonts w:ascii="Verdana" w:hAnsi="Verdana" w:cs="Arial"/>
          <w:color w:val="000000" w:themeColor="text1"/>
          <w:sz w:val="20"/>
          <w:szCs w:val="20"/>
          <w:lang w:val="es-ES_tradnl"/>
        </w:rPr>
      </w:pPr>
    </w:p>
    <w:p w14:paraId="05761501" w14:textId="77777777" w:rsidR="00B92624" w:rsidRDefault="00B92624" w:rsidP="00CE37A3">
      <w:pPr>
        <w:spacing w:after="0" w:line="240" w:lineRule="auto"/>
        <w:rPr>
          <w:rFonts w:ascii="Verdana" w:hAnsi="Verdana" w:cs="Arial"/>
          <w:b/>
          <w:lang w:eastAsia="es-CO"/>
        </w:rPr>
      </w:pPr>
    </w:p>
    <w:p w14:paraId="28047E8C" w14:textId="37E296D6" w:rsidR="00B30448" w:rsidRPr="00593A5F" w:rsidRDefault="00B30448" w:rsidP="00CE37A3">
      <w:pPr>
        <w:spacing w:after="0" w:line="240" w:lineRule="auto"/>
        <w:rPr>
          <w:rFonts w:ascii="Verdana" w:eastAsia="Geomanist Light" w:hAnsi="Verdana" w:cs="Arial"/>
          <w:color w:val="201F1E"/>
          <w:lang w:val="es-MX"/>
        </w:rPr>
      </w:pPr>
      <w:r w:rsidRPr="00593A5F">
        <w:rPr>
          <w:rFonts w:ascii="Verdana" w:eastAsia="Geomanist Light" w:hAnsi="Verdana" w:cs="Arial"/>
          <w:color w:val="000000" w:themeColor="text1"/>
          <w:lang w:val="es-MX"/>
        </w:rPr>
        <w:lastRenderedPageBreak/>
        <w:t>Bogotá D.C., </w:t>
      </w:r>
      <w:r w:rsidR="00D561CD" w:rsidRPr="00D561CD">
        <w:rPr>
          <w:rFonts w:ascii="Verdana" w:eastAsia="Geomanist Light" w:hAnsi="Verdana" w:cs="Arial"/>
          <w:color w:val="201F1E"/>
          <w:lang w:val="es-MX"/>
        </w:rPr>
        <w:t>28 de Octubre de 2024</w:t>
      </w:r>
    </w:p>
    <w:p w14:paraId="1715E5B1" w14:textId="0ED43AD0" w:rsidR="00B30448" w:rsidRDefault="00B30448" w:rsidP="00CE37A3">
      <w:pPr>
        <w:spacing w:after="0" w:line="240" w:lineRule="auto"/>
        <w:jc w:val="both"/>
        <w:rPr>
          <w:rFonts w:ascii="Verdana" w:eastAsia="Calibri" w:hAnsi="Verdana" w:cs="Arial"/>
          <w:color w:val="000000"/>
          <w:lang w:val="es-ES"/>
        </w:rPr>
      </w:pPr>
    </w:p>
    <w:p w14:paraId="370DE10C" w14:textId="4772CE1C" w:rsidR="00D561CD" w:rsidRDefault="00D561CD" w:rsidP="00D561CD">
      <w:pPr>
        <w:spacing w:after="0" w:line="240" w:lineRule="auto"/>
        <w:jc w:val="right"/>
        <w:rPr>
          <w:rFonts w:ascii="Verdana" w:eastAsia="Calibri" w:hAnsi="Verdana" w:cs="Arial"/>
          <w:color w:val="000000"/>
          <w:lang w:val="es-ES"/>
        </w:rPr>
      </w:pPr>
      <w:r w:rsidRPr="00D561CD">
        <w:rPr>
          <w:rFonts w:ascii="Verdana" w:eastAsia="Calibri" w:hAnsi="Verdana" w:cs="Arial"/>
          <w:noProof/>
          <w:color w:val="000000"/>
          <w:lang w:val="es-ES"/>
        </w:rPr>
        <w:drawing>
          <wp:inline distT="0" distB="0" distL="0" distR="0" wp14:anchorId="1A59D008" wp14:editId="028E7DCE">
            <wp:extent cx="3238500" cy="901700"/>
            <wp:effectExtent l="0" t="0" r="0" b="0"/>
            <wp:docPr id="18538873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87387" name=""/>
                    <pic:cNvPicPr/>
                  </pic:nvPicPr>
                  <pic:blipFill>
                    <a:blip r:embed="rId11"/>
                    <a:stretch>
                      <a:fillRect/>
                    </a:stretch>
                  </pic:blipFill>
                  <pic:spPr>
                    <a:xfrm>
                      <a:off x="0" y="0"/>
                      <a:ext cx="3238500" cy="901700"/>
                    </a:xfrm>
                    <a:prstGeom prst="rect">
                      <a:avLst/>
                    </a:prstGeom>
                  </pic:spPr>
                </pic:pic>
              </a:graphicData>
            </a:graphic>
          </wp:inline>
        </w:drawing>
      </w:r>
    </w:p>
    <w:p w14:paraId="62AA4AF4" w14:textId="77777777" w:rsidR="00BB3BE4" w:rsidRPr="00593A5F" w:rsidRDefault="00BB3BE4" w:rsidP="00CE37A3">
      <w:pPr>
        <w:spacing w:after="0" w:line="240" w:lineRule="auto"/>
        <w:jc w:val="both"/>
        <w:rPr>
          <w:rFonts w:ascii="Verdana" w:eastAsia="Calibri" w:hAnsi="Verdana" w:cs="Arial"/>
          <w:color w:val="000000"/>
          <w:lang w:val="es-ES"/>
        </w:rPr>
      </w:pPr>
    </w:p>
    <w:p w14:paraId="02CC2859" w14:textId="2D21AB06" w:rsidR="00B30448" w:rsidRPr="00B96799" w:rsidRDefault="0085423D" w:rsidP="00CE37A3">
      <w:pPr>
        <w:spacing w:after="0" w:line="240" w:lineRule="auto"/>
        <w:jc w:val="both"/>
        <w:rPr>
          <w:rFonts w:ascii="Verdana" w:eastAsia="Calibri" w:hAnsi="Verdana" w:cs="Arial"/>
          <w:lang w:val="es-ES" w:eastAsia="es-ES"/>
        </w:rPr>
      </w:pPr>
      <w:r>
        <w:rPr>
          <w:rFonts w:ascii="Verdana" w:eastAsia="Calibri" w:hAnsi="Verdana" w:cs="Arial"/>
          <w:lang w:val="es-ES" w:eastAsia="es-ES"/>
        </w:rPr>
        <w:t>Seño</w:t>
      </w:r>
      <w:r w:rsidR="00F75AAC">
        <w:rPr>
          <w:rFonts w:ascii="Verdana" w:eastAsia="Calibri" w:hAnsi="Verdana" w:cs="Arial"/>
          <w:lang w:val="es-ES" w:eastAsia="es-ES"/>
        </w:rPr>
        <w:t>ra</w:t>
      </w:r>
    </w:p>
    <w:p w14:paraId="4F51412E" w14:textId="61524652" w:rsidR="0085423D" w:rsidRPr="0085423D" w:rsidRDefault="00F75AAC" w:rsidP="0085423D">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 xml:space="preserve">Layne Liliana León Omaña </w:t>
      </w:r>
      <w:r w:rsidR="0085423D">
        <w:rPr>
          <w:rFonts w:ascii="Verdana" w:eastAsia="Calibri" w:hAnsi="Verdana" w:cs="Arial"/>
          <w:b/>
          <w:lang w:val="es-ES_tradnl" w:eastAsia="es-ES_tradnl"/>
        </w:rPr>
        <w:t xml:space="preserve"> </w:t>
      </w:r>
    </w:p>
    <w:p w14:paraId="7603B946" w14:textId="4868F327" w:rsidR="002E26E8" w:rsidRPr="00F75AAC" w:rsidRDefault="00F75AAC" w:rsidP="0085423D">
      <w:pPr>
        <w:spacing w:after="0" w:line="240" w:lineRule="auto"/>
        <w:rPr>
          <w:rFonts w:ascii="Verdana" w:eastAsia="Calibri" w:hAnsi="Verdana" w:cs="Arial"/>
          <w:lang w:val="es-ES" w:eastAsia="es-ES"/>
        </w:rPr>
      </w:pPr>
      <w:hyperlink r:id="rId12" w:history="1">
        <w:r w:rsidRPr="00F75AAC">
          <w:rPr>
            <w:rStyle w:val="Hipervnculo"/>
            <w:rFonts w:ascii="Verdana" w:hAnsi="Verdana"/>
          </w:rPr>
          <w:t>pruebas.contratacionestatal2@procuraduria.gov.co</w:t>
        </w:r>
      </w:hyperlink>
      <w:r w:rsidRPr="00F75AAC">
        <w:rPr>
          <w:rFonts w:ascii="Verdana" w:hAnsi="Verdana"/>
        </w:rPr>
        <w:t xml:space="preserve"> </w:t>
      </w:r>
      <w:r w:rsidR="00BE5FE3" w:rsidRPr="00F75AAC">
        <w:rPr>
          <w:rFonts w:ascii="Verdana" w:hAnsi="Verdana"/>
        </w:rPr>
        <w:t xml:space="preserve"> </w:t>
      </w:r>
      <w:r w:rsidR="0085423D" w:rsidRPr="00F75AAC">
        <w:rPr>
          <w:rFonts w:ascii="Verdana" w:hAnsi="Verdana"/>
        </w:rPr>
        <w:t xml:space="preserve"> </w:t>
      </w:r>
      <w:r w:rsidR="005B7798" w:rsidRPr="00F75AAC">
        <w:rPr>
          <w:rFonts w:ascii="Verdana" w:hAnsi="Verdana"/>
        </w:rPr>
        <w:t xml:space="preserve"> </w:t>
      </w:r>
      <w:r w:rsidR="005B552C" w:rsidRPr="00F75AAC">
        <w:rPr>
          <w:rFonts w:ascii="Verdana" w:hAnsi="Verdana"/>
        </w:rPr>
        <w:t xml:space="preserve"> </w:t>
      </w:r>
      <w:r w:rsidR="0090408E" w:rsidRPr="00F75AAC">
        <w:rPr>
          <w:rFonts w:ascii="Verdana" w:hAnsi="Verdana"/>
        </w:rPr>
        <w:t xml:space="preserve"> </w:t>
      </w:r>
      <w:r w:rsidR="00AB219D" w:rsidRPr="00F75AAC">
        <w:rPr>
          <w:rFonts w:ascii="Verdana" w:hAnsi="Verdana"/>
        </w:rPr>
        <w:t xml:space="preserve"> </w:t>
      </w:r>
      <w:r w:rsidR="00FA0F71" w:rsidRPr="00F75AAC">
        <w:rPr>
          <w:rFonts w:ascii="Verdana" w:eastAsia="Calibri" w:hAnsi="Verdana" w:cs="Arial"/>
          <w:lang w:val="es-ES" w:eastAsia="es-ES"/>
        </w:rPr>
        <w:t xml:space="preserve"> </w:t>
      </w:r>
      <w:r w:rsidR="00B71607" w:rsidRPr="00F75AAC">
        <w:rPr>
          <w:rFonts w:ascii="Verdana" w:eastAsia="Calibri" w:hAnsi="Verdana" w:cs="Arial"/>
          <w:lang w:val="es-ES" w:eastAsia="es-ES"/>
        </w:rPr>
        <w:t xml:space="preserve"> </w:t>
      </w:r>
      <w:r w:rsidR="00497575" w:rsidRPr="00F75AAC">
        <w:rPr>
          <w:rFonts w:ascii="Verdana" w:eastAsia="Calibri" w:hAnsi="Verdana" w:cs="Arial"/>
          <w:lang w:val="es-ES" w:eastAsia="es-ES"/>
        </w:rPr>
        <w:t xml:space="preserve"> </w:t>
      </w:r>
      <w:r w:rsidR="00772B41" w:rsidRPr="00F75AAC">
        <w:rPr>
          <w:rFonts w:ascii="Verdana" w:eastAsia="Calibri" w:hAnsi="Verdana" w:cs="Arial"/>
          <w:lang w:val="es-ES" w:eastAsia="es-ES"/>
        </w:rPr>
        <w:t xml:space="preserve"> </w:t>
      </w:r>
    </w:p>
    <w:p w14:paraId="00081778" w14:textId="67A6D230" w:rsidR="008E6AD9" w:rsidRDefault="00F75AAC" w:rsidP="00CE37A3">
      <w:pPr>
        <w:spacing w:after="0" w:line="240" w:lineRule="auto"/>
        <w:rPr>
          <w:rFonts w:ascii="Verdana" w:eastAsia="Calibri" w:hAnsi="Verdana" w:cs="Arial"/>
          <w:lang w:val="es-ES" w:eastAsia="es-ES"/>
        </w:rPr>
      </w:pPr>
      <w:r w:rsidRPr="00F75AAC">
        <w:rPr>
          <w:rFonts w:ascii="Verdana" w:eastAsia="Calibri" w:hAnsi="Verdana" w:cs="Arial"/>
          <w:lang w:val="es-ES" w:eastAsia="es-ES"/>
        </w:rPr>
        <w:t>Bogotá D.C.</w:t>
      </w:r>
    </w:p>
    <w:p w14:paraId="083F7B5B" w14:textId="77777777" w:rsidR="00497575" w:rsidRPr="00593A5F" w:rsidRDefault="00497575" w:rsidP="00CE37A3">
      <w:pPr>
        <w:spacing w:after="0" w:line="240" w:lineRule="auto"/>
        <w:rPr>
          <w:rFonts w:ascii="Verdana" w:eastAsia="Calibri" w:hAnsi="Verdana" w:cs="Arial"/>
          <w:b/>
          <w:bCs/>
          <w:color w:val="000000"/>
          <w:lang w:val="es-ES_tradnl" w:eastAsia="es-ES_tradnl"/>
        </w:rPr>
      </w:pPr>
    </w:p>
    <w:p w14:paraId="63F71607" w14:textId="77777777" w:rsidR="00B30448" w:rsidRPr="00593A5F" w:rsidRDefault="00B30448" w:rsidP="00CE37A3">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E37A3" w:rsidRPr="00593A5F" w14:paraId="32935393" w14:textId="77777777" w:rsidTr="000F1AD8">
        <w:trPr>
          <w:trHeight w:val="884"/>
        </w:trPr>
        <w:tc>
          <w:tcPr>
            <w:tcW w:w="2689" w:type="dxa"/>
          </w:tcPr>
          <w:p w14:paraId="5615C8B0" w14:textId="77777777" w:rsidR="00CE37A3" w:rsidRPr="00C00976" w:rsidRDefault="00CE37A3" w:rsidP="00CE37A3">
            <w:pPr>
              <w:jc w:val="both"/>
              <w:rPr>
                <w:rFonts w:ascii="Verdana" w:eastAsia="Calibri" w:hAnsi="Verdana" w:cs="Arial"/>
                <w:b/>
                <w:bCs/>
                <w:color w:val="7030A0"/>
                <w:lang w:val="es-ES_tradnl" w:eastAsia="es-ES_tradnl"/>
              </w:rPr>
            </w:pPr>
          </w:p>
        </w:tc>
        <w:tc>
          <w:tcPr>
            <w:tcW w:w="6100" w:type="dxa"/>
          </w:tcPr>
          <w:p w14:paraId="1CC0FC14" w14:textId="268C9D65" w:rsidR="00CE37A3" w:rsidRPr="00C00976" w:rsidRDefault="00CE37A3" w:rsidP="00CE37A3">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Concepto C</w:t>
            </w:r>
            <w:r w:rsidR="008E6AD9" w:rsidRPr="008E6AD9">
              <w:rPr>
                <w:rFonts w:ascii="Verdana" w:eastAsia="Calibri" w:hAnsi="Verdana" w:cs="Arial"/>
                <w:b/>
                <w:bCs/>
                <w:lang w:val="es-ES" w:eastAsia="es-ES"/>
              </w:rPr>
              <w:t xml:space="preserve"> –</w:t>
            </w:r>
            <w:r w:rsidRPr="008E6AD9">
              <w:rPr>
                <w:rFonts w:ascii="Verdana" w:eastAsia="Calibri" w:hAnsi="Verdana" w:cs="Arial"/>
                <w:b/>
                <w:bCs/>
                <w:lang w:val="es-ES" w:eastAsia="es-ES"/>
              </w:rPr>
              <w:t xml:space="preserve"> </w:t>
            </w:r>
            <w:r w:rsidR="00F75AAC">
              <w:rPr>
                <w:rFonts w:ascii="Verdana" w:eastAsia="Calibri" w:hAnsi="Verdana" w:cs="Arial"/>
                <w:b/>
                <w:bCs/>
                <w:lang w:val="es-ES" w:eastAsia="es-ES"/>
              </w:rPr>
              <w:t>727</w:t>
            </w:r>
            <w:r w:rsidRPr="008E6AD9">
              <w:rPr>
                <w:rFonts w:ascii="Verdana" w:eastAsia="Calibri" w:hAnsi="Verdana" w:cs="Arial"/>
                <w:b/>
                <w:bCs/>
                <w:lang w:val="es-ES" w:eastAsia="es-ES"/>
              </w:rPr>
              <w:t xml:space="preserve"> de 2024</w:t>
            </w:r>
          </w:p>
        </w:tc>
      </w:tr>
      <w:tr w:rsidR="00B30448" w:rsidRPr="00593A5F" w14:paraId="52EC412F" w14:textId="77777777" w:rsidTr="000F1AD8">
        <w:trPr>
          <w:trHeight w:val="884"/>
        </w:trPr>
        <w:tc>
          <w:tcPr>
            <w:tcW w:w="2689" w:type="dxa"/>
          </w:tcPr>
          <w:p w14:paraId="752B683B" w14:textId="77777777" w:rsidR="00B30448" w:rsidRPr="00593A5F" w:rsidRDefault="00B30448" w:rsidP="00CE37A3">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567AA9C8" w14:textId="17E029E8" w:rsidR="00A11406" w:rsidRPr="00A11406" w:rsidRDefault="00420D9C" w:rsidP="000307C2">
            <w:pPr>
              <w:spacing w:line="276" w:lineRule="auto"/>
              <w:jc w:val="both"/>
              <w:rPr>
                <w:rFonts w:ascii="Verdana" w:eastAsia="Calibri" w:hAnsi="Verdana" w:cs="Arial"/>
                <w:lang w:val="es-ES" w:eastAsia="es-ES"/>
              </w:rPr>
            </w:pPr>
            <w:r w:rsidRPr="00420D9C">
              <w:rPr>
                <w:rFonts w:ascii="Verdana" w:eastAsia="Calibri" w:hAnsi="Verdana" w:cs="Arial"/>
                <w:lang w:val="es-ES" w:eastAsia="es-ES"/>
              </w:rPr>
              <w:t>PROPONENTE PLURAL ‒ Consorcio ‒ Unión temporal ‒ Concepto – Diferencias / CONSORCIOS Y UNIONES TEMPORALES – Ausencia de personería jurídica – Capacidad jurídica restringida</w:t>
            </w:r>
            <w:r w:rsidR="000307C2" w:rsidRPr="000307C2">
              <w:rPr>
                <w:rFonts w:ascii="Verdana" w:eastAsia="Calibri" w:hAnsi="Verdana" w:cs="Arial"/>
                <w:lang w:val="es-ES" w:eastAsia="es-ES"/>
              </w:rPr>
              <w:t xml:space="preserve">  </w:t>
            </w:r>
            <w:r w:rsidR="00BE364D" w:rsidRPr="00BE364D">
              <w:rPr>
                <w:rFonts w:ascii="Verdana" w:eastAsia="Calibri" w:hAnsi="Verdana" w:cs="Arial"/>
                <w:lang w:val="es-ES" w:eastAsia="es-ES"/>
              </w:rPr>
              <w:t xml:space="preserve">  </w:t>
            </w:r>
            <w:r w:rsidR="00E23D97" w:rsidRPr="00E23D97">
              <w:rPr>
                <w:rFonts w:ascii="Verdana" w:eastAsia="Calibri" w:hAnsi="Verdana" w:cs="Arial"/>
                <w:lang w:val="es-ES" w:eastAsia="es-ES"/>
              </w:rPr>
              <w:t xml:space="preserve"> </w:t>
            </w:r>
            <w:r w:rsidR="009E03E6" w:rsidRPr="009E03E6">
              <w:rPr>
                <w:rFonts w:ascii="Verdana" w:eastAsia="Calibri" w:hAnsi="Verdana" w:cs="Arial"/>
                <w:lang w:val="es-ES" w:eastAsia="es-ES"/>
              </w:rPr>
              <w:t xml:space="preserve">  </w:t>
            </w:r>
            <w:r w:rsidR="006E6F30" w:rsidRPr="006E6F30">
              <w:rPr>
                <w:rFonts w:ascii="Verdana" w:eastAsia="Calibri" w:hAnsi="Verdana" w:cs="Arial"/>
                <w:lang w:val="es-ES" w:eastAsia="es-ES"/>
              </w:rPr>
              <w:t xml:space="preserve"> </w:t>
            </w:r>
            <w:r w:rsidR="00FA3A97" w:rsidRPr="00FA3A97">
              <w:rPr>
                <w:rFonts w:ascii="Verdana" w:eastAsia="Calibri" w:hAnsi="Verdana" w:cs="Arial"/>
                <w:lang w:val="es-ES" w:eastAsia="es-ES"/>
              </w:rPr>
              <w:t xml:space="preserve">  </w:t>
            </w:r>
          </w:p>
          <w:p w14:paraId="1D4AA017" w14:textId="592D7DF6" w:rsidR="00D1484F" w:rsidRPr="00593A5F" w:rsidRDefault="00A11406" w:rsidP="00D1484F">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00D1484F" w:rsidRPr="00D1484F">
              <w:rPr>
                <w:rFonts w:ascii="Verdana" w:eastAsia="Calibri" w:hAnsi="Verdana" w:cs="Arial"/>
                <w:lang w:val="es-ES" w:eastAsia="es-ES"/>
              </w:rPr>
              <w:t xml:space="preserve"> </w:t>
            </w:r>
          </w:p>
        </w:tc>
      </w:tr>
      <w:tr w:rsidR="008E6AD9" w:rsidRPr="008E6AD9" w14:paraId="496C9430" w14:textId="77777777" w:rsidTr="000F1AD8">
        <w:tc>
          <w:tcPr>
            <w:tcW w:w="2689" w:type="dxa"/>
          </w:tcPr>
          <w:p w14:paraId="4C8D9612" w14:textId="77777777" w:rsidR="00B30448" w:rsidRPr="008E6AD9" w:rsidRDefault="00B30448" w:rsidP="00CE37A3">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6EC2FCE3" w14:textId="0F793B9D" w:rsidR="00B30448" w:rsidRPr="008E6AD9" w:rsidRDefault="00B30448" w:rsidP="0090408E">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sidR="00B71607">
              <w:rPr>
                <w:rFonts w:ascii="Verdana" w:eastAsia="Calibri" w:hAnsi="Verdana" w:cs="Arial"/>
                <w:lang w:val="es-ES_tradnl" w:eastAsia="es-ES_tradnl"/>
              </w:rPr>
              <w:t>la</w:t>
            </w:r>
            <w:r w:rsidR="00F75AAC">
              <w:rPr>
                <w:rFonts w:ascii="Verdana" w:eastAsia="Calibri" w:hAnsi="Verdana" w:cs="Arial"/>
                <w:lang w:val="es-ES_tradnl" w:eastAsia="es-ES_tradnl"/>
              </w:rPr>
              <w:t>s</w:t>
            </w:r>
            <w:r w:rsidR="00B71607">
              <w:rPr>
                <w:rFonts w:ascii="Verdana" w:eastAsia="Calibri" w:hAnsi="Verdana" w:cs="Arial"/>
                <w:lang w:val="es-ES_tradnl" w:eastAsia="es-ES_tradnl"/>
              </w:rPr>
              <w:t xml:space="preserve"> </w:t>
            </w:r>
            <w:r w:rsidRPr="008E6AD9">
              <w:rPr>
                <w:rFonts w:ascii="Verdana" w:eastAsia="Calibri" w:hAnsi="Verdana" w:cs="Arial"/>
                <w:lang w:val="es-ES_tradnl" w:eastAsia="es-ES_tradnl"/>
              </w:rPr>
              <w:t>consulta</w:t>
            </w:r>
            <w:r w:rsidR="00F75AAC">
              <w:rPr>
                <w:rFonts w:ascii="Verdana" w:eastAsia="Calibri" w:hAnsi="Verdana" w:cs="Arial"/>
                <w:lang w:val="es-ES_tradnl" w:eastAsia="es-ES_tradnl"/>
              </w:rPr>
              <w:t>s</w:t>
            </w:r>
            <w:r w:rsidR="009A5453" w:rsidRPr="008E6AD9">
              <w:rPr>
                <w:rFonts w:ascii="Verdana" w:eastAsia="Calibri" w:hAnsi="Verdana" w:cs="Arial"/>
                <w:lang w:val="es-ES_tradnl" w:eastAsia="es-ES_tradnl"/>
              </w:rPr>
              <w:t xml:space="preserve"> con radicado</w:t>
            </w:r>
            <w:r w:rsidR="00F75AAC">
              <w:rPr>
                <w:rFonts w:ascii="Verdana" w:eastAsia="Calibri" w:hAnsi="Verdana" w:cs="Arial"/>
                <w:lang w:val="es-ES_tradnl" w:eastAsia="es-ES_tradnl"/>
              </w:rPr>
              <w:t>s</w:t>
            </w:r>
            <w:r w:rsidR="009A5453" w:rsidRPr="008E6AD9">
              <w:rPr>
                <w:rFonts w:ascii="Verdana" w:eastAsia="Calibri" w:hAnsi="Verdana" w:cs="Arial"/>
                <w:lang w:val="es-ES_tradnl" w:eastAsia="es-ES_tradnl"/>
              </w:rPr>
              <w:t xml:space="preserve"> No.</w:t>
            </w:r>
            <w:r w:rsidR="005B552C">
              <w:rPr>
                <w:rFonts w:ascii="Verdana" w:eastAsia="Calibri" w:hAnsi="Verdana" w:cs="Arial"/>
                <w:lang w:val="es-ES_tradnl" w:eastAsia="es-ES_tradnl"/>
              </w:rPr>
              <w:t xml:space="preserve"> </w:t>
            </w:r>
            <w:r w:rsidR="00F75AAC" w:rsidRPr="00F75AAC">
              <w:rPr>
                <w:rFonts w:ascii="Verdana" w:eastAsia="Calibri" w:hAnsi="Verdana" w:cs="Arial"/>
                <w:lang w:val="es-ES_tradnl" w:eastAsia="es-ES_tradnl"/>
              </w:rPr>
              <w:t>P20241011010401</w:t>
            </w:r>
            <w:r w:rsidR="00F75AAC">
              <w:rPr>
                <w:rFonts w:ascii="Verdana" w:eastAsia="Calibri" w:hAnsi="Verdana" w:cs="Arial"/>
                <w:lang w:val="es-ES_tradnl" w:eastAsia="es-ES_tradnl"/>
              </w:rPr>
              <w:t xml:space="preserve"> y </w:t>
            </w:r>
            <w:r w:rsidR="00F75AAC" w:rsidRPr="00F75AAC">
              <w:rPr>
                <w:rFonts w:ascii="Verdana" w:eastAsia="Calibri" w:hAnsi="Verdana" w:cs="Arial"/>
                <w:lang w:val="es-ES_tradnl" w:eastAsia="es-ES_tradnl"/>
              </w:rPr>
              <w:t>P20241016010508</w:t>
            </w:r>
            <w:r w:rsidR="00F75AAC">
              <w:rPr>
                <w:rFonts w:ascii="Verdana" w:eastAsia="Calibri" w:hAnsi="Verdana" w:cs="Arial"/>
                <w:lang w:val="es-ES_tradnl" w:eastAsia="es-ES_tradnl"/>
              </w:rPr>
              <w:t xml:space="preserve"> –Acumuladas–</w:t>
            </w:r>
            <w:r w:rsidR="0085423D" w:rsidRPr="0085423D">
              <w:rPr>
                <w:rFonts w:ascii="Verdana" w:eastAsia="Calibri" w:hAnsi="Verdana" w:cs="Arial"/>
                <w:lang w:val="es-ES_tradnl" w:eastAsia="es-ES_tradnl"/>
              </w:rPr>
              <w:t xml:space="preserve"> </w:t>
            </w:r>
            <w:r w:rsidR="008E6AD9" w:rsidRPr="008E6AD9">
              <w:rPr>
                <w:rFonts w:ascii="Verdana" w:eastAsia="Calibri" w:hAnsi="Verdana" w:cs="Arial"/>
                <w:lang w:val="es-ES_tradnl" w:eastAsia="es-ES_tradnl"/>
              </w:rPr>
              <w:t xml:space="preserve"> </w:t>
            </w:r>
            <w:r w:rsidR="008E6AD9">
              <w:rPr>
                <w:rFonts w:ascii="Verdana" w:eastAsia="Calibri" w:hAnsi="Verdana" w:cs="Arial"/>
                <w:lang w:val="es-ES_tradnl" w:eastAsia="es-ES_tradnl"/>
              </w:rPr>
              <w:t xml:space="preserve">                                   </w:t>
            </w:r>
          </w:p>
        </w:tc>
      </w:tr>
    </w:tbl>
    <w:p w14:paraId="657DDBD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286892BD" w14:textId="77777777" w:rsidR="00B30448" w:rsidRPr="00593A5F" w:rsidRDefault="00B30448" w:rsidP="00CE37A3">
      <w:pPr>
        <w:spacing w:after="0" w:line="240" w:lineRule="auto"/>
        <w:jc w:val="both"/>
        <w:rPr>
          <w:rFonts w:ascii="Verdana" w:eastAsia="Calibri" w:hAnsi="Verdana" w:cs="Arial"/>
          <w:color w:val="000000"/>
          <w:lang w:val="es-ES_tradnl" w:eastAsia="es-ES_tradnl"/>
        </w:rPr>
      </w:pPr>
    </w:p>
    <w:p w14:paraId="4ED23440" w14:textId="0EA7B344" w:rsidR="00B30448" w:rsidRPr="008E6AD9" w:rsidRDefault="00B30448" w:rsidP="00E84D1C">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sidR="00F75AAC">
        <w:rPr>
          <w:rFonts w:ascii="Verdana" w:eastAsia="Calibri" w:hAnsi="Verdana" w:cs="Arial"/>
          <w:lang w:val="es-ES" w:eastAsia="es-ES"/>
        </w:rPr>
        <w:t>a</w:t>
      </w:r>
      <w:r w:rsidRPr="008E6AD9">
        <w:rPr>
          <w:rFonts w:ascii="Verdana" w:eastAsia="Calibri" w:hAnsi="Verdana" w:cs="Arial"/>
          <w:lang w:val="es-ES" w:eastAsia="es-ES"/>
        </w:rPr>
        <w:t xml:space="preserve"> </w:t>
      </w:r>
      <w:r w:rsidR="009D79EE">
        <w:rPr>
          <w:rFonts w:ascii="Verdana" w:eastAsia="Calibri" w:hAnsi="Verdana" w:cs="Arial"/>
          <w:lang w:val="es-ES" w:eastAsia="es-ES"/>
        </w:rPr>
        <w:t>señor</w:t>
      </w:r>
      <w:r w:rsidR="00F75AAC">
        <w:rPr>
          <w:rFonts w:ascii="Verdana" w:eastAsia="Calibri" w:hAnsi="Verdana" w:cs="Arial"/>
          <w:lang w:val="es-ES" w:eastAsia="es-ES"/>
        </w:rPr>
        <w:t>a</w:t>
      </w:r>
      <w:r w:rsidR="005B7798">
        <w:rPr>
          <w:rFonts w:ascii="Verdana" w:eastAsia="Calibri" w:hAnsi="Verdana" w:cs="Arial"/>
          <w:lang w:val="es-ES" w:eastAsia="es-ES"/>
        </w:rPr>
        <w:t xml:space="preserve"> </w:t>
      </w:r>
      <w:r w:rsidR="00F75AAC" w:rsidRPr="00F75AAC">
        <w:rPr>
          <w:rFonts w:ascii="Verdana" w:eastAsia="Calibri" w:hAnsi="Verdana" w:cs="Arial"/>
          <w:lang w:val="es-ES" w:eastAsia="es-ES"/>
        </w:rPr>
        <w:t>León Omaña</w:t>
      </w:r>
      <w:r w:rsidRPr="008E6AD9">
        <w:rPr>
          <w:rFonts w:ascii="Verdana" w:eastAsia="Calibri" w:hAnsi="Verdana" w:cs="Arial"/>
          <w:lang w:val="es-ES" w:eastAsia="es-ES"/>
        </w:rPr>
        <w:t xml:space="preserve">: </w:t>
      </w:r>
    </w:p>
    <w:p w14:paraId="47D52CB6" w14:textId="28FC249B" w:rsidR="0013343F" w:rsidRDefault="00631D4F" w:rsidP="00631D4F">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7A40824C" w14:textId="1C4CA874" w:rsidR="009442E8" w:rsidRPr="00593A5F" w:rsidRDefault="00B30448" w:rsidP="00E84D1C">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 xml:space="preserve">En ejercicio de la competencia otorgada por </w:t>
      </w:r>
      <w:r w:rsidR="009A5453" w:rsidRPr="00593A5F">
        <w:rPr>
          <w:rFonts w:ascii="Verdana" w:eastAsia="Calibri" w:hAnsi="Verdana" w:cs="Arial"/>
          <w:color w:val="000000" w:themeColor="text1"/>
          <w:lang w:val="es-ES" w:eastAsia="es-ES"/>
        </w:rPr>
        <w:t>los artículo</w:t>
      </w:r>
      <w:r w:rsidR="00AB1984" w:rsidRPr="00593A5F">
        <w:rPr>
          <w:rFonts w:ascii="Verdana" w:eastAsia="Calibri" w:hAnsi="Verdana" w:cs="Arial"/>
          <w:color w:val="000000" w:themeColor="text1"/>
          <w:lang w:val="es-ES" w:eastAsia="es-ES"/>
        </w:rPr>
        <w:t>s</w:t>
      </w:r>
      <w:r w:rsidR="009A5453" w:rsidRPr="00593A5F">
        <w:rPr>
          <w:rFonts w:ascii="Verdana" w:eastAsia="Calibri" w:hAnsi="Verdana" w:cs="Arial"/>
          <w:color w:val="000000" w:themeColor="text1"/>
          <w:lang w:val="es-ES" w:eastAsia="es-ES"/>
        </w:rPr>
        <w:t xml:space="preserve"> 3,</w:t>
      </w:r>
      <w:r w:rsidRPr="00593A5F">
        <w:rPr>
          <w:rFonts w:ascii="Verdana" w:eastAsia="Calibri" w:hAnsi="Verdana" w:cs="Arial"/>
          <w:color w:val="000000" w:themeColor="text1"/>
          <w:lang w:val="es-ES" w:eastAsia="es-ES"/>
        </w:rPr>
        <w:t xml:space="preserve"> numeral </w:t>
      </w:r>
      <w:r w:rsidR="009A5453" w:rsidRPr="00593A5F">
        <w:rPr>
          <w:rFonts w:ascii="Verdana" w:eastAsia="Calibri" w:hAnsi="Verdana" w:cs="Arial"/>
          <w:color w:val="000000" w:themeColor="text1"/>
          <w:lang w:val="es-ES" w:eastAsia="es-ES"/>
        </w:rPr>
        <w:t>5</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w:t>
      </w:r>
      <w:r w:rsidR="009A5453" w:rsidRPr="00593A5F">
        <w:rPr>
          <w:rFonts w:ascii="Verdana" w:eastAsia="Calibri" w:hAnsi="Verdana" w:cs="Arial"/>
          <w:color w:val="000000" w:themeColor="text1"/>
          <w:lang w:val="es-ES" w:eastAsia="es-ES"/>
        </w:rPr>
        <w:t>y</w:t>
      </w:r>
      <w:r w:rsidRPr="00593A5F">
        <w:rPr>
          <w:rFonts w:ascii="Verdana" w:eastAsia="Calibri" w:hAnsi="Verdana" w:cs="Arial"/>
          <w:color w:val="000000" w:themeColor="text1"/>
          <w:lang w:val="es-ES" w:eastAsia="es-ES"/>
        </w:rPr>
        <w:t xml:space="preserve"> 11</w:t>
      </w:r>
      <w:r w:rsidR="00F64D5A" w:rsidRPr="00593A5F">
        <w:rPr>
          <w:rFonts w:ascii="Verdana" w:eastAsia="Calibri" w:hAnsi="Verdana" w:cs="Arial"/>
          <w:color w:val="000000" w:themeColor="text1"/>
          <w:lang w:val="es-ES" w:eastAsia="es-ES"/>
        </w:rPr>
        <w:t>,</w:t>
      </w:r>
      <w:r w:rsidR="00AB1984" w:rsidRPr="00593A5F">
        <w:rPr>
          <w:rFonts w:ascii="Verdana" w:eastAsia="Calibri" w:hAnsi="Verdana" w:cs="Arial"/>
          <w:color w:val="000000" w:themeColor="text1"/>
          <w:lang w:val="es-ES" w:eastAsia="es-ES"/>
        </w:rPr>
        <w:t xml:space="preserve"> </w:t>
      </w:r>
      <w:r w:rsidRPr="00593A5F">
        <w:rPr>
          <w:rFonts w:ascii="Verdana" w:eastAsia="Calibri" w:hAnsi="Verdana" w:cs="Arial"/>
          <w:color w:val="000000" w:themeColor="text1"/>
          <w:lang w:val="es-ES" w:eastAsia="es-ES"/>
        </w:rPr>
        <w:t xml:space="preserve">numeral </w:t>
      </w:r>
      <w:r w:rsidR="00AB1984" w:rsidRPr="00593A5F">
        <w:rPr>
          <w:rFonts w:ascii="Verdana" w:eastAsia="Calibri" w:hAnsi="Verdana" w:cs="Arial"/>
          <w:color w:val="000000" w:themeColor="text1"/>
          <w:lang w:val="es-ES" w:eastAsia="es-ES"/>
        </w:rPr>
        <w:t>8</w:t>
      </w:r>
      <w:r w:rsidR="00215516" w:rsidRPr="00593A5F">
        <w:rPr>
          <w:rFonts w:ascii="Verdana" w:eastAsia="Calibri" w:hAnsi="Verdana" w:cs="Arial"/>
          <w:color w:val="000000" w:themeColor="text1"/>
          <w:lang w:val="es-ES" w:eastAsia="es-ES"/>
        </w:rPr>
        <w:t>º</w:t>
      </w:r>
      <w:r w:rsidR="00F64D5A" w:rsidRPr="00593A5F">
        <w:rPr>
          <w:rFonts w:ascii="Verdana" w:eastAsia="Calibri" w:hAnsi="Verdana" w:cs="Arial"/>
          <w:color w:val="000000" w:themeColor="text1"/>
          <w:lang w:val="es-ES" w:eastAsia="es-ES"/>
        </w:rPr>
        <w:t>,</w:t>
      </w:r>
      <w:r w:rsidRPr="00593A5F">
        <w:rPr>
          <w:rFonts w:ascii="Verdana" w:eastAsia="Calibri" w:hAnsi="Verdana" w:cs="Arial"/>
          <w:color w:val="000000" w:themeColor="text1"/>
          <w:lang w:val="es-ES" w:eastAsia="es-ES"/>
        </w:rPr>
        <w:t xml:space="preserve"> del Decreto Ley 4170 de 2011,</w:t>
      </w:r>
      <w:r w:rsidRPr="00593A5F">
        <w:rPr>
          <w:rFonts w:ascii="Verdana" w:eastAsia="Arial MT" w:hAnsi="Verdana" w:cs="Arial MT"/>
          <w:lang w:val="es-ES" w:eastAsia="es-ES"/>
        </w:rPr>
        <w:t xml:space="preserve"> </w:t>
      </w:r>
      <w:r w:rsidR="002A0F8D" w:rsidRPr="00593A5F">
        <w:rPr>
          <w:rFonts w:ascii="Verdana" w:hAnsi="Verdana" w:cs="Arial"/>
        </w:rPr>
        <w:t xml:space="preserve">así como lo establecido en </w:t>
      </w:r>
      <w:r w:rsidR="00DC2C48">
        <w:rPr>
          <w:rFonts w:ascii="Verdana" w:hAnsi="Verdana" w:cs="Arial"/>
        </w:rPr>
        <w:t xml:space="preserve">el artículo 4 de </w:t>
      </w:r>
      <w:r w:rsidR="002A0F8D"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la Agencia Nacional de Contratación Pública – Colombia Compra Eficiente responde su</w:t>
      </w:r>
      <w:r w:rsidR="00F75AAC">
        <w:rPr>
          <w:rFonts w:ascii="Verdana" w:eastAsia="Calibri" w:hAnsi="Verdana" w:cs="Arial"/>
          <w:color w:val="000000" w:themeColor="text1"/>
          <w:lang w:val="es-ES" w:eastAsia="es-ES"/>
        </w:rPr>
        <w:t>s</w:t>
      </w:r>
      <w:r w:rsidRPr="00593A5F">
        <w:rPr>
          <w:rFonts w:ascii="Verdana" w:eastAsia="Calibri" w:hAnsi="Verdana" w:cs="Arial"/>
          <w:color w:val="000000" w:themeColor="text1"/>
          <w:lang w:val="es-ES" w:eastAsia="es-ES"/>
        </w:rPr>
        <w:t xml:space="preserve"> solicitud</w:t>
      </w:r>
      <w:r w:rsidR="00F75AAC">
        <w:rPr>
          <w:rFonts w:ascii="Verdana" w:eastAsia="Calibri" w:hAnsi="Verdana" w:cs="Arial"/>
          <w:color w:val="000000" w:themeColor="text1"/>
          <w:lang w:val="es-ES" w:eastAsia="es-ES"/>
        </w:rPr>
        <w:t>es</w:t>
      </w:r>
      <w:r w:rsidRPr="00593A5F">
        <w:rPr>
          <w:rFonts w:ascii="Verdana" w:eastAsia="Calibri" w:hAnsi="Verdana" w:cs="Arial"/>
          <w:color w:val="000000" w:themeColor="text1"/>
          <w:lang w:val="es-ES" w:eastAsia="es-ES"/>
        </w:rPr>
        <w:t xml:space="preserve"> de</w:t>
      </w:r>
      <w:r w:rsidR="00DC2C48">
        <w:rPr>
          <w:rFonts w:ascii="Verdana" w:eastAsia="Calibri" w:hAnsi="Verdana" w:cs="Arial"/>
          <w:color w:val="000000" w:themeColor="text1"/>
          <w:lang w:val="es-ES" w:eastAsia="es-ES"/>
        </w:rPr>
        <w:t xml:space="preserve"> consulta </w:t>
      </w:r>
      <w:r w:rsidR="0066351C">
        <w:rPr>
          <w:rFonts w:ascii="Verdana" w:eastAsia="Calibri" w:hAnsi="Verdana" w:cs="Arial"/>
          <w:color w:val="000000" w:themeColor="text1"/>
          <w:lang w:val="es-ES" w:eastAsia="es-ES"/>
        </w:rPr>
        <w:t xml:space="preserve">de </w:t>
      </w:r>
      <w:r w:rsidR="0066351C" w:rsidRPr="008E6AD9">
        <w:rPr>
          <w:rFonts w:ascii="Verdana" w:eastAsia="Calibri" w:hAnsi="Verdana" w:cs="Arial"/>
          <w:lang w:val="es-ES" w:eastAsia="es-ES"/>
        </w:rPr>
        <w:t>fecha</w:t>
      </w:r>
      <w:r w:rsidR="00772B41">
        <w:rPr>
          <w:rFonts w:ascii="Verdana" w:eastAsia="Calibri" w:hAnsi="Verdana" w:cs="Arial"/>
          <w:lang w:val="es-ES" w:eastAsia="es-ES"/>
        </w:rPr>
        <w:t xml:space="preserve"> </w:t>
      </w:r>
      <w:r w:rsidR="00F75AAC">
        <w:rPr>
          <w:rFonts w:ascii="Verdana" w:eastAsia="Calibri" w:hAnsi="Verdana" w:cs="Arial"/>
          <w:lang w:val="es-ES" w:eastAsia="es-ES"/>
        </w:rPr>
        <w:t>11 y 16</w:t>
      </w:r>
      <w:r w:rsidR="009D79EE">
        <w:rPr>
          <w:rFonts w:ascii="Verdana" w:eastAsia="Calibri" w:hAnsi="Verdana" w:cs="Arial"/>
          <w:lang w:val="es-ES" w:eastAsia="es-ES"/>
        </w:rPr>
        <w:t xml:space="preserve"> de octubre</w:t>
      </w:r>
      <w:r w:rsidRPr="008E6AD9">
        <w:rPr>
          <w:rFonts w:ascii="Verdana" w:eastAsia="Calibri" w:hAnsi="Verdana" w:cs="Arial"/>
          <w:lang w:val="es-ES" w:eastAsia="es-ES"/>
        </w:rPr>
        <w:t xml:space="preserve"> de 20</w:t>
      </w:r>
      <w:r w:rsidR="008E6AD9" w:rsidRPr="008E6AD9">
        <w:rPr>
          <w:rFonts w:ascii="Verdana" w:eastAsia="Calibri" w:hAnsi="Verdana" w:cs="Arial"/>
          <w:lang w:val="es-ES" w:eastAsia="es-ES"/>
        </w:rPr>
        <w:t>24</w:t>
      </w:r>
      <w:r w:rsidR="00057963" w:rsidRPr="008E6AD9">
        <w:rPr>
          <w:rFonts w:ascii="Verdana" w:eastAsia="Calibri" w:hAnsi="Verdana" w:cs="Arial"/>
          <w:lang w:val="es-ES" w:eastAsia="es-ES"/>
        </w:rPr>
        <w:t>,</w:t>
      </w:r>
      <w:r w:rsidR="00772B41">
        <w:rPr>
          <w:rFonts w:ascii="Verdana" w:eastAsia="Calibri" w:hAnsi="Verdana" w:cs="Arial"/>
          <w:lang w:val="es-ES" w:eastAsia="es-ES"/>
        </w:rPr>
        <w:t xml:space="preserve"> </w:t>
      </w:r>
      <w:r w:rsidR="00057963" w:rsidRPr="008E6AD9">
        <w:rPr>
          <w:rFonts w:ascii="Verdana" w:eastAsia="Calibri" w:hAnsi="Verdana" w:cs="Arial"/>
          <w:lang w:val="es-ES" w:eastAsia="es-ES"/>
        </w:rPr>
        <w:t>en la cua</w:t>
      </w:r>
      <w:r w:rsidR="008E6AD9">
        <w:rPr>
          <w:rFonts w:ascii="Verdana" w:eastAsia="Calibri" w:hAnsi="Verdana" w:cs="Arial"/>
          <w:lang w:val="es-ES" w:eastAsia="es-ES"/>
        </w:rPr>
        <w:t>l</w:t>
      </w:r>
      <w:r w:rsidR="00F75AAC">
        <w:rPr>
          <w:rFonts w:ascii="Verdana" w:eastAsia="Calibri" w:hAnsi="Verdana" w:cs="Arial"/>
          <w:lang w:val="es-ES" w:eastAsia="es-ES"/>
        </w:rPr>
        <w:t xml:space="preserve"> –</w:t>
      </w:r>
      <w:r w:rsidR="002D5DFC">
        <w:rPr>
          <w:rFonts w:ascii="Verdana" w:eastAsia="Calibri" w:hAnsi="Verdana" w:cs="Arial"/>
          <w:lang w:val="es-ES" w:eastAsia="es-ES"/>
        </w:rPr>
        <w:t>respecto a los procesos disciplinarios de los expedientes IUS-E-2024-582035 y IUC-D-2024-3824041</w:t>
      </w:r>
      <w:r w:rsidR="001F1E9D">
        <w:rPr>
          <w:rFonts w:ascii="Verdana" w:eastAsia="Calibri" w:hAnsi="Verdana" w:cs="Arial"/>
          <w:lang w:val="es-ES" w:eastAsia="es-ES"/>
        </w:rPr>
        <w:t xml:space="preserve"> </w:t>
      </w:r>
      <w:r w:rsidR="002D5DFC">
        <w:rPr>
          <w:rFonts w:ascii="Verdana" w:eastAsia="Calibri" w:hAnsi="Verdana" w:cs="Arial"/>
          <w:lang w:val="es-ES" w:eastAsia="es-ES"/>
        </w:rPr>
        <w:t xml:space="preserve">adelantados por la Procuraduría General de la Nación– </w:t>
      </w:r>
      <w:r w:rsidR="005B7798">
        <w:rPr>
          <w:rFonts w:ascii="Verdana" w:eastAsia="Calibri" w:hAnsi="Verdana" w:cs="Arial"/>
          <w:lang w:val="es-ES" w:eastAsia="es-ES"/>
        </w:rPr>
        <w:t>pregunta</w:t>
      </w:r>
      <w:r w:rsidR="0090408E">
        <w:rPr>
          <w:rFonts w:ascii="Verdana" w:eastAsia="Calibri" w:hAnsi="Verdana" w:cs="Arial"/>
          <w:lang w:val="es-ES" w:eastAsia="es-ES"/>
        </w:rPr>
        <w:t xml:space="preserve"> lo siguiente</w:t>
      </w:r>
      <w:r w:rsidR="00057963" w:rsidRPr="008E6AD9">
        <w:rPr>
          <w:rFonts w:ascii="Verdana" w:eastAsia="Calibri" w:hAnsi="Verdana" w:cs="Arial"/>
          <w:lang w:val="es-ES" w:eastAsia="es-ES"/>
        </w:rPr>
        <w:t xml:space="preserve">: </w:t>
      </w:r>
    </w:p>
    <w:p w14:paraId="51CDF855" w14:textId="77777777" w:rsidR="001C002C" w:rsidRPr="00272A7B" w:rsidRDefault="001C002C" w:rsidP="00057963">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0AC299D8" w14:textId="43F7FDDB" w:rsidR="00FC6D4E" w:rsidRPr="005B7798" w:rsidRDefault="00FC6D4E" w:rsidP="00BE5FE3">
      <w:pPr>
        <w:spacing w:after="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lastRenderedPageBreak/>
        <w:t>“</w:t>
      </w:r>
      <w:bookmarkEnd w:id="0"/>
      <w:r w:rsidR="002D5DFC">
        <w:rPr>
          <w:rFonts w:ascii="Verdana" w:eastAsia="Century Gothic" w:hAnsi="Verdana" w:cs="Century Gothic"/>
          <w:sz w:val="21"/>
          <w:szCs w:val="21"/>
          <w:lang w:val="es-ES"/>
        </w:rPr>
        <w:t>[…] es viable jurídicamente que la misma unión temporal se presente en proceso de contratación adelantados por diferentes entidades públicas</w:t>
      </w:r>
      <w:r w:rsidR="00497575" w:rsidRPr="006040CE">
        <w:rPr>
          <w:rFonts w:ascii="Verdana" w:eastAsia="Century Gothic" w:hAnsi="Verdana" w:cs="Century Gothic"/>
          <w:sz w:val="21"/>
          <w:szCs w:val="21"/>
          <w:lang w:val="es-ES"/>
        </w:rPr>
        <w:t>”</w:t>
      </w:r>
      <w:r w:rsidRPr="006040CE">
        <w:rPr>
          <w:rFonts w:ascii="Verdana" w:eastAsia="Century Gothic" w:hAnsi="Verdana" w:cs="Century Gothic"/>
          <w:sz w:val="21"/>
          <w:szCs w:val="21"/>
          <w:lang w:val="es-ES"/>
        </w:rPr>
        <w:t>.</w:t>
      </w:r>
      <w:r w:rsidR="008F3AC3">
        <w:rPr>
          <w:rFonts w:ascii="Verdana" w:eastAsia="Century Gothic" w:hAnsi="Verdana" w:cs="Century Gothic"/>
          <w:sz w:val="20"/>
          <w:szCs w:val="20"/>
          <w:lang w:val="es-ES"/>
        </w:rPr>
        <w:t xml:space="preserve"> </w:t>
      </w:r>
    </w:p>
    <w:p w14:paraId="4001D734" w14:textId="527E7727" w:rsidR="00FC6D4E" w:rsidRPr="008E6AD9" w:rsidRDefault="00FC6D4E" w:rsidP="006E7258">
      <w:pPr>
        <w:pStyle w:val="Prrafodelista"/>
        <w:tabs>
          <w:tab w:val="left" w:pos="142"/>
          <w:tab w:val="left" w:pos="284"/>
        </w:tabs>
        <w:spacing w:line="276" w:lineRule="auto"/>
        <w:ind w:left="0"/>
        <w:jc w:val="both"/>
        <w:rPr>
          <w:rFonts w:ascii="Verdana" w:eastAsia="Century Gothic" w:hAnsi="Verdana" w:cs="Century Gothic"/>
          <w:b/>
          <w:bCs/>
          <w:sz w:val="22"/>
          <w:lang w:val="es-ES"/>
        </w:rPr>
      </w:pPr>
    </w:p>
    <w:p w14:paraId="2CB0AB04" w14:textId="77777777" w:rsidR="002D5DFC" w:rsidRPr="000B43B3" w:rsidRDefault="002D5DFC" w:rsidP="00B92624">
      <w:pPr>
        <w:spacing w:after="120" w:line="276" w:lineRule="auto"/>
        <w:ind w:firstLine="708"/>
        <w:jc w:val="both"/>
        <w:rPr>
          <w:rFonts w:ascii="Verdana" w:hAnsi="Verdana" w:cs="Arial"/>
          <w:lang w:val="es-ES"/>
        </w:rPr>
      </w:pPr>
      <w:bookmarkStart w:id="1" w:name="_Hlk135067441"/>
      <w:r w:rsidRPr="000B43B3">
        <w:rPr>
          <w:rFonts w:ascii="Verdana" w:hAnsi="Verdana" w:cs="Arial"/>
          <w:bCs/>
        </w:rPr>
        <w:t xml:space="preserve">En ejercicio de las competencias de los artículos 3.5 y 11.8 del Decreto Ley 4170 de 2011, la Agencia Nacional de Contratación Pública – Colombia Compra Eficiente resuelve consultas sobre </w:t>
      </w:r>
      <w:r w:rsidRPr="000B43B3">
        <w:rPr>
          <w:rFonts w:ascii="Verdana" w:hAnsi="Verdana" w:cs="Arial"/>
          <w:lang w:val="es-ES"/>
        </w:rPr>
        <w:t>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concretos</w:t>
      </w:r>
      <w:r w:rsidRPr="000B43B3">
        <w:rPr>
          <w:rFonts w:ascii="Verdana" w:hAnsi="Verdana" w:cs="Arial"/>
          <w:bCs/>
        </w:rPr>
        <w:t xml:space="preserve"> de todos los partícipes de la contratación estatal.</w:t>
      </w:r>
    </w:p>
    <w:p w14:paraId="109D931F" w14:textId="77777777" w:rsidR="002D5DFC" w:rsidRPr="000B43B3" w:rsidRDefault="002D5DFC" w:rsidP="002D5DFC">
      <w:pPr>
        <w:spacing w:after="120" w:line="276" w:lineRule="auto"/>
        <w:ind w:firstLine="708"/>
        <w:jc w:val="both"/>
        <w:rPr>
          <w:rFonts w:ascii="Verdana" w:hAnsi="Verdana" w:cs="Arial"/>
          <w:lang w:val="es-ES"/>
        </w:rPr>
      </w:pPr>
      <w:r w:rsidRPr="000B43B3">
        <w:rPr>
          <w:rFonts w:ascii="Verdana" w:hAnsi="Verdana"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B43B3">
        <w:rPr>
          <w:rFonts w:ascii="Verdana" w:hAnsi="Verdana" w:cs="Arial"/>
          <w:vertAlign w:val="superscript"/>
          <w:lang w:val="es-ES"/>
        </w:rPr>
        <w:footnoteReference w:id="2"/>
      </w:r>
      <w:r w:rsidRPr="000B43B3">
        <w:rPr>
          <w:rFonts w:ascii="Verdana" w:hAnsi="Verdana" w:cs="Arial"/>
          <w:lang w:val="es-ES"/>
        </w:rPr>
        <w:t>. Esta competencia de interpretación de normas generales, por definición, no puede extenderse a la resolución de controversias, enjuiciar la validez de la actuación de las entidades públicas o de los particulares ni, mucho menos, calificar conductas con presunta incidencia penal, fiscal o disciplinaria, especialmente, cuando existen órganos especializados para estas materias.</w:t>
      </w:r>
    </w:p>
    <w:p w14:paraId="10320261" w14:textId="0FFA796F" w:rsidR="001918F1" w:rsidRDefault="002D5DFC" w:rsidP="00B92624">
      <w:pPr>
        <w:spacing w:after="0" w:line="276" w:lineRule="auto"/>
        <w:ind w:firstLine="708"/>
        <w:jc w:val="both"/>
        <w:rPr>
          <w:rFonts w:ascii="Verdana" w:eastAsia="Calibri" w:hAnsi="Verdana" w:cs="Arial"/>
          <w:lang w:val="es-ES" w:eastAsia="es-ES"/>
        </w:rPr>
      </w:pPr>
      <w:r w:rsidRPr="000B43B3">
        <w:rPr>
          <w:rFonts w:ascii="Verdana" w:hAnsi="Verdana" w:cs="Arial"/>
          <w:bCs/>
          <w:color w:val="1A1A1A" w:themeColor="background1" w:themeShade="1A"/>
        </w:rPr>
        <w:t xml:space="preserve">Para efectos disciplinarios, el inciso 3 del artículo 226 del Código General del Proceso, normativa a la que remite el artículo 241 de la Ley 1952 de 2019 en materia probatoria, establece expresamente que “No serán admisibles los dictámenes periciales que versen sobre puntos de derecho”. </w:t>
      </w:r>
      <w:r w:rsidRPr="000B43B3">
        <w:rPr>
          <w:rFonts w:ascii="Verdana" w:eastAsia="Calibri" w:hAnsi="Verdana" w:cs="Arial"/>
          <w:lang w:val="es-ES"/>
        </w:rPr>
        <w:t xml:space="preserve">En este contexto, </w:t>
      </w:r>
      <w:r w:rsidRPr="000B43B3">
        <w:rPr>
          <w:rFonts w:ascii="Verdana" w:hAnsi="Verdana" w:cs="Arial"/>
          <w:bCs/>
          <w:color w:val="1A1A1A" w:themeColor="background1" w:themeShade="1A"/>
        </w:rPr>
        <w:t xml:space="preserve">lo decidido en torno </w:t>
      </w:r>
      <w:r>
        <w:rPr>
          <w:rFonts w:ascii="Verdana" w:hAnsi="Verdana" w:cs="Arial"/>
          <w:bCs/>
          <w:color w:val="1A1A1A" w:themeColor="background1" w:themeShade="1A"/>
        </w:rPr>
        <w:t xml:space="preserve">a los procesos disciplinarios </w:t>
      </w:r>
      <w:r>
        <w:rPr>
          <w:rFonts w:ascii="Verdana" w:eastAsia="Calibri" w:hAnsi="Verdana" w:cs="Arial"/>
          <w:lang w:val="es-ES" w:eastAsia="es-ES"/>
        </w:rPr>
        <w:t>de los expedientes IUS-E-2024-582035 y IUC-D-2024-3824041</w:t>
      </w:r>
      <w:r w:rsidRPr="000B43B3">
        <w:rPr>
          <w:rFonts w:ascii="Verdana" w:hAnsi="Verdana" w:cs="Arial"/>
          <w:color w:val="000000" w:themeColor="text1"/>
          <w:lang w:val="es-ES_tradnl"/>
        </w:rPr>
        <w:t xml:space="preserve"> </w:t>
      </w:r>
      <w:r>
        <w:rPr>
          <w:rFonts w:ascii="Verdana" w:hAnsi="Verdana" w:cs="Arial"/>
          <w:color w:val="000000" w:themeColor="text1"/>
          <w:lang w:val="es-ES_tradnl"/>
        </w:rPr>
        <w:t>son</w:t>
      </w:r>
      <w:r w:rsidRPr="000B43B3">
        <w:rPr>
          <w:rFonts w:ascii="Verdana" w:hAnsi="Verdana" w:cs="Arial"/>
          <w:color w:val="000000" w:themeColor="text1"/>
          <w:lang w:val="es-ES_tradnl"/>
        </w:rPr>
        <w:t xml:space="preserve"> responsabilidad única y exclusiva de la </w:t>
      </w:r>
      <w:r>
        <w:rPr>
          <w:rFonts w:ascii="Verdana" w:eastAsia="Calibri" w:hAnsi="Verdana" w:cs="Arial"/>
          <w:lang w:val="es-ES" w:eastAsia="es-ES"/>
        </w:rPr>
        <w:t>Procuraduría General de la Nación</w:t>
      </w:r>
      <w:r w:rsidRPr="000B43B3">
        <w:rPr>
          <w:rFonts w:ascii="Verdana" w:eastAsia="Calibri" w:hAnsi="Verdana" w:cs="Arial"/>
          <w:bCs/>
          <w:lang w:eastAsia="es-ES_tradnl"/>
        </w:rPr>
        <w:t xml:space="preserve">. </w:t>
      </w:r>
      <w:bookmarkEnd w:id="1"/>
      <w:r w:rsidRPr="000B43B3">
        <w:rPr>
          <w:rFonts w:ascii="Verdana" w:eastAsia="Calibri" w:hAnsi="Verdana" w:cs="Arial"/>
        </w:rPr>
        <w:t xml:space="preserve">Sin perjuicio de lo anterior, </w:t>
      </w:r>
      <w:r w:rsidRPr="000B43B3">
        <w:rPr>
          <w:rFonts w:ascii="Verdana" w:eastAsia="Calibri" w:hAnsi="Verdana" w:cs="Arial"/>
          <w:lang w:val="es-ES"/>
        </w:rPr>
        <w:t xml:space="preserve">la Agencia –dentro de los límites de sus atribuciones, esto es, al margen de las conductas </w:t>
      </w:r>
      <w:r w:rsidRPr="000B43B3">
        <w:rPr>
          <w:rFonts w:ascii="Verdana" w:eastAsia="Calibri" w:hAnsi="Verdana" w:cs="Arial"/>
          <w:lang w:val="es-ES"/>
        </w:rPr>
        <w:lastRenderedPageBreak/>
        <w:t xml:space="preserve">investigadas en </w:t>
      </w:r>
      <w:r>
        <w:rPr>
          <w:rFonts w:ascii="Verdana" w:eastAsia="Calibri" w:hAnsi="Verdana" w:cs="Arial"/>
          <w:lang w:val="es-ES"/>
        </w:rPr>
        <w:t xml:space="preserve">los </w:t>
      </w:r>
      <w:r w:rsidRPr="000B43B3">
        <w:rPr>
          <w:rFonts w:ascii="Verdana" w:eastAsia="Calibri" w:hAnsi="Verdana" w:cs="Arial"/>
          <w:lang w:val="es-ES"/>
        </w:rPr>
        <w:t>expediente</w:t>
      </w:r>
      <w:r>
        <w:rPr>
          <w:rFonts w:ascii="Verdana" w:eastAsia="Calibri" w:hAnsi="Verdana" w:cs="Arial"/>
          <w:lang w:val="es-ES"/>
        </w:rPr>
        <w:t>s</w:t>
      </w:r>
      <w:r w:rsidRPr="000B43B3">
        <w:rPr>
          <w:rFonts w:ascii="Verdana" w:eastAsia="Calibri" w:hAnsi="Verdana" w:cs="Arial"/>
          <w:lang w:val="es-ES"/>
        </w:rPr>
        <w:t xml:space="preserve"> anteriormente citado</w:t>
      </w:r>
      <w:r>
        <w:rPr>
          <w:rFonts w:ascii="Verdana" w:eastAsia="Calibri" w:hAnsi="Verdana" w:cs="Arial"/>
          <w:lang w:val="es-ES"/>
        </w:rPr>
        <w:t>s</w:t>
      </w:r>
      <w:r w:rsidRPr="000B43B3">
        <w:rPr>
          <w:rFonts w:ascii="Verdana" w:eastAsia="Calibri" w:hAnsi="Verdana" w:cs="Arial"/>
          <w:lang w:val="es-ES"/>
        </w:rPr>
        <w:t>– resolverá la consulta conforme a las normas generales del sistema de compras públicas</w:t>
      </w:r>
      <w:r>
        <w:rPr>
          <w:rFonts w:ascii="Verdana" w:eastAsia="Calibri" w:hAnsi="Verdana" w:cs="Arial"/>
          <w:lang w:val="es-ES"/>
        </w:rPr>
        <w:t>.</w:t>
      </w:r>
      <w:r w:rsidRPr="000B43B3">
        <w:rPr>
          <w:rFonts w:ascii="Verdana" w:eastAsia="Calibri" w:hAnsi="Verdana" w:cs="Arial"/>
          <w:lang w:val="es-ES" w:eastAsia="es-ES"/>
        </w:rPr>
        <w:t xml:space="preserve"> </w:t>
      </w:r>
    </w:p>
    <w:p w14:paraId="1C421044" w14:textId="77777777" w:rsidR="00B92624" w:rsidRPr="00B92624" w:rsidRDefault="00B92624" w:rsidP="00B92624">
      <w:pPr>
        <w:spacing w:after="0" w:line="276" w:lineRule="auto"/>
        <w:ind w:firstLine="708"/>
        <w:jc w:val="both"/>
        <w:rPr>
          <w:rFonts w:ascii="Verdana" w:eastAsia="Calibri" w:hAnsi="Verdana" w:cs="Arial"/>
          <w:lang w:val="es-ES" w:eastAsia="es-ES"/>
        </w:rPr>
      </w:pPr>
    </w:p>
    <w:p w14:paraId="1DF0C9FE" w14:textId="2DECEADA" w:rsidR="00E84D1C" w:rsidRPr="00593A5F" w:rsidRDefault="00E84D1C" w:rsidP="00E84D1C">
      <w:pPr>
        <w:pStyle w:val="Prrafodelista"/>
        <w:numPr>
          <w:ilvl w:val="0"/>
          <w:numId w:val="1"/>
        </w:numPr>
        <w:tabs>
          <w:tab w:val="left" w:pos="142"/>
          <w:tab w:val="left" w:pos="284"/>
        </w:tabs>
        <w:spacing w:line="276" w:lineRule="auto"/>
        <w:ind w:left="0" w:firstLine="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Problema planteado:</w:t>
      </w:r>
    </w:p>
    <w:p w14:paraId="3981D497" w14:textId="77777777" w:rsidR="00E84D1C" w:rsidRPr="00593A5F" w:rsidRDefault="00E84D1C" w:rsidP="00E84D1C">
      <w:pPr>
        <w:tabs>
          <w:tab w:val="left" w:pos="426"/>
        </w:tabs>
        <w:spacing w:after="0" w:line="276" w:lineRule="auto"/>
        <w:jc w:val="both"/>
        <w:rPr>
          <w:rFonts w:ascii="Verdana" w:eastAsia="Century Gothic" w:hAnsi="Verdana" w:cs="Century Gothic"/>
          <w:lang w:val="es-ES"/>
        </w:rPr>
      </w:pPr>
    </w:p>
    <w:p w14:paraId="348E2D36" w14:textId="1EF2A37F" w:rsidR="00E84D1C" w:rsidRPr="00593A5F" w:rsidRDefault="008F27E3" w:rsidP="00E84D1C">
      <w:pPr>
        <w:spacing w:after="0" w:line="276" w:lineRule="auto"/>
        <w:jc w:val="both"/>
        <w:rPr>
          <w:rFonts w:ascii="Verdana" w:eastAsia="Century Gothic" w:hAnsi="Verdana" w:cs="Century Gothic"/>
        </w:rPr>
      </w:pPr>
      <w:r>
        <w:rPr>
          <w:rFonts w:ascii="Verdana" w:eastAsia="Century Gothic" w:hAnsi="Verdana" w:cs="Century Gothic"/>
        </w:rPr>
        <w:t>D</w:t>
      </w:r>
      <w:r w:rsidR="00343B47">
        <w:rPr>
          <w:rFonts w:ascii="Verdana" w:eastAsia="Century Gothic" w:hAnsi="Verdana" w:cs="Century Gothic"/>
        </w:rPr>
        <w:t xml:space="preserve">e acuerdo con el contenido de </w:t>
      </w:r>
      <w:r w:rsidR="00FC6D4E" w:rsidRPr="00593A5F">
        <w:rPr>
          <w:rFonts w:ascii="Verdana" w:eastAsia="Century Gothic" w:hAnsi="Verdana" w:cs="Century Gothic"/>
        </w:rPr>
        <w:t xml:space="preserve">su solicitud, esta Agencia resolverá </w:t>
      </w:r>
      <w:r w:rsidR="00F12E64">
        <w:rPr>
          <w:rFonts w:ascii="Verdana" w:eastAsia="Century Gothic" w:hAnsi="Verdana" w:cs="Century Gothic"/>
        </w:rPr>
        <w:t>el</w:t>
      </w:r>
      <w:r w:rsidR="00D86D55" w:rsidRPr="00593A5F">
        <w:rPr>
          <w:rFonts w:ascii="Verdana" w:eastAsia="Century Gothic" w:hAnsi="Verdana" w:cs="Century Gothic"/>
        </w:rPr>
        <w:t xml:space="preserve"> </w:t>
      </w:r>
      <w:r w:rsidR="00FC6D4E" w:rsidRPr="00593A5F">
        <w:rPr>
          <w:rFonts w:ascii="Verdana" w:eastAsia="Century Gothic" w:hAnsi="Verdana" w:cs="Century Gothic"/>
        </w:rPr>
        <w:t xml:space="preserve">siguiente problema jurídico: </w:t>
      </w:r>
      <w:r w:rsidR="002D5DFC">
        <w:rPr>
          <w:rFonts w:ascii="Verdana" w:eastAsia="Century Gothic" w:hAnsi="Verdana" w:cs="Century Gothic"/>
        </w:rPr>
        <w:t>¿cuál es el marco jurídico de la capacidad de los proponentes plurales en el sistema de compras públicas</w:t>
      </w:r>
      <w:r w:rsidR="00411593">
        <w:rPr>
          <w:rFonts w:ascii="Verdana" w:eastAsia="Century Gothic" w:hAnsi="Verdana" w:cs="Century Gothic"/>
        </w:rPr>
        <w:t>?</w:t>
      </w:r>
      <w:r w:rsidR="001350C8">
        <w:rPr>
          <w:rFonts w:ascii="Verdana" w:eastAsia="Century Gothic" w:hAnsi="Verdana" w:cs="Century Gothic"/>
        </w:rPr>
        <w:t xml:space="preserve">   </w:t>
      </w:r>
      <w:r w:rsidR="006E0443">
        <w:rPr>
          <w:rFonts w:ascii="Verdana" w:eastAsia="Century Gothic" w:hAnsi="Verdana" w:cs="Century Gothic"/>
        </w:rPr>
        <w:t xml:space="preserve"> </w:t>
      </w:r>
      <w:r w:rsidR="00FB5FC4">
        <w:rPr>
          <w:rFonts w:ascii="Verdana" w:eastAsia="Century Gothic" w:hAnsi="Verdana" w:cs="Century Gothic"/>
        </w:rPr>
        <w:t xml:space="preserve"> </w:t>
      </w:r>
      <w:r w:rsidR="004C4EA2">
        <w:rPr>
          <w:rFonts w:ascii="Verdana" w:eastAsia="Century Gothic" w:hAnsi="Verdana" w:cs="Century Gothic"/>
        </w:rPr>
        <w:t xml:space="preserve"> </w:t>
      </w:r>
      <w:r w:rsidR="008F3AC3">
        <w:rPr>
          <w:rFonts w:ascii="Verdana" w:eastAsia="Century Gothic" w:hAnsi="Verdana" w:cs="Century Gothic"/>
        </w:rPr>
        <w:t xml:space="preserve"> </w:t>
      </w:r>
      <w:r w:rsidR="00A83E49" w:rsidRPr="00C00976">
        <w:rPr>
          <w:rFonts w:ascii="Verdana" w:eastAsia="Century Gothic" w:hAnsi="Verdana" w:cs="Century Gothic"/>
          <w:color w:val="7030A0"/>
        </w:rPr>
        <w:t xml:space="preserve"> </w:t>
      </w:r>
    </w:p>
    <w:p w14:paraId="31CA4CF9" w14:textId="77777777" w:rsidR="00E84D1C" w:rsidRPr="004B140F" w:rsidRDefault="00E84D1C" w:rsidP="00E84D1C">
      <w:pPr>
        <w:spacing w:after="0" w:line="276" w:lineRule="auto"/>
        <w:jc w:val="both"/>
        <w:rPr>
          <w:rFonts w:ascii="Verdana" w:eastAsia="Calibri" w:hAnsi="Verdana" w:cs="Arial"/>
          <w:color w:val="7030A0"/>
        </w:rPr>
      </w:pPr>
    </w:p>
    <w:p w14:paraId="74205EE3" w14:textId="6187963D" w:rsidR="00E84D1C" w:rsidRPr="00593A5F" w:rsidRDefault="00E84D1C"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Respuesta:</w:t>
      </w:r>
    </w:p>
    <w:p w14:paraId="4FCBB89E" w14:textId="1BF4BDFA"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E84D1C" w:rsidRPr="00593A5F" w14:paraId="0E1945DC" w14:textId="77777777" w:rsidTr="006E429F">
        <w:trPr>
          <w:jc w:val="center"/>
        </w:trPr>
        <w:tc>
          <w:tcPr>
            <w:tcW w:w="8828" w:type="dxa"/>
            <w:shd w:val="clear" w:color="auto" w:fill="auto"/>
          </w:tcPr>
          <w:p w14:paraId="73A9FCB8" w14:textId="04504FDA" w:rsidR="001F1E9D" w:rsidRDefault="001F1E9D" w:rsidP="001B3B84">
            <w:pPr>
              <w:spacing w:after="120" w:line="276" w:lineRule="auto"/>
              <w:jc w:val="both"/>
              <w:rPr>
                <w:rFonts w:ascii="Verdana" w:hAnsi="Verdana" w:cs="Arial"/>
                <w:color w:val="000000" w:themeColor="text1"/>
              </w:rPr>
            </w:pPr>
            <w:bookmarkStart w:id="2" w:name="_Hlk171694685"/>
            <w:r>
              <w:rPr>
                <w:rFonts w:ascii="Verdana" w:eastAsia="Calibri" w:hAnsi="Verdana" w:cs="Arial"/>
                <w:lang w:val="es-ES"/>
              </w:rPr>
              <w:t>E</w:t>
            </w:r>
            <w:r w:rsidRPr="00065C6D">
              <w:rPr>
                <w:rFonts w:ascii="Verdana" w:eastAsia="Calibri" w:hAnsi="Verdana" w:cs="Arial"/>
                <w:lang w:val="es-ES"/>
              </w:rPr>
              <w:t xml:space="preserve">l consorcio o la unión temporal surge “Cuando dos o más personas en forma conjunta presentan una misma propuesta para la adjudicación, celebración y ejecución de un contrato […]”. Desde esta perspectiva, </w:t>
            </w:r>
            <w:r>
              <w:rPr>
                <w:rFonts w:ascii="Verdana" w:eastAsia="Calibri" w:hAnsi="Verdana" w:cs="Arial"/>
                <w:lang w:val="es-ES"/>
              </w:rPr>
              <w:t xml:space="preserve">su </w:t>
            </w:r>
            <w:r w:rsidRPr="00065C6D">
              <w:rPr>
                <w:rFonts w:ascii="Verdana" w:eastAsia="Calibri" w:hAnsi="Verdana" w:cs="Arial"/>
                <w:lang w:val="es-ES"/>
              </w:rPr>
              <w:t>capacidad jurídica se limita al campo de la contratación estatal de las entidades sometidas al EGCAP, es decir, a las relaciones en consorcios y las uniones temporales con las entidades estatales del artículo 2 de la Ley 80 de 1993.</w:t>
            </w:r>
            <w:r w:rsidR="0074173A">
              <w:rPr>
                <w:rFonts w:ascii="Verdana" w:eastAsia="Calibri" w:hAnsi="Verdana" w:cs="Arial"/>
                <w:lang w:val="es-ES"/>
              </w:rPr>
              <w:t xml:space="preserve"> </w:t>
            </w:r>
            <w:r>
              <w:rPr>
                <w:rFonts w:ascii="Verdana" w:eastAsia="Calibri" w:hAnsi="Verdana" w:cs="Arial"/>
                <w:lang w:val="es-ES" w:eastAsia="es-ES"/>
              </w:rPr>
              <w:t xml:space="preserve">Así, </w:t>
            </w:r>
            <w:r w:rsidR="0074173A">
              <w:rPr>
                <w:rFonts w:ascii="Verdana" w:eastAsia="Calibri" w:hAnsi="Verdana" w:cs="Arial"/>
                <w:lang w:val="es-ES" w:eastAsia="es-ES"/>
              </w:rPr>
              <w:t>l</w:t>
            </w:r>
            <w:r>
              <w:rPr>
                <w:rFonts w:ascii="Verdana" w:hAnsi="Verdana" w:cs="Arial"/>
                <w:color w:val="000000" w:themeColor="text1"/>
              </w:rPr>
              <w:t xml:space="preserve">as personas que conforman proponentes plurales pueden presentar </w:t>
            </w:r>
            <w:r w:rsidRPr="00B33BA7">
              <w:rPr>
                <w:rFonts w:ascii="Verdana" w:hAnsi="Verdana" w:cs="Arial"/>
                <w:color w:val="000000" w:themeColor="text1"/>
              </w:rPr>
              <w:t>en forma conjunta una misma propuesta para la adjudicación, celebración y ejecución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w:t>
            </w:r>
            <w:r w:rsidR="001B3B84">
              <w:rPr>
                <w:rFonts w:ascii="Verdana" w:hAnsi="Verdana" w:cs="Arial"/>
                <w:color w:val="000000" w:themeColor="text1"/>
              </w:rPr>
              <w:t xml:space="preserve"> El proponente plural debe estar debidamente constituido dentro de cada uno de los procesos en que desee presentarse, sin perjuicio de cumplir con las condiciones de uso del SECOP II en los procesos que se gestionan de manera transaccional.</w:t>
            </w:r>
          </w:p>
          <w:p w14:paraId="073EC507" w14:textId="79BCF88B" w:rsidR="0074173A" w:rsidRPr="0074173A" w:rsidRDefault="0074173A" w:rsidP="0074173A">
            <w:pPr>
              <w:spacing w:line="276" w:lineRule="auto"/>
              <w:ind w:firstLine="708"/>
              <w:jc w:val="both"/>
              <w:rPr>
                <w:rFonts w:ascii="Verdana" w:hAnsi="Verdana" w:cs="Arial"/>
                <w:color w:val="000000" w:themeColor="text1"/>
              </w:rPr>
            </w:pPr>
            <w:r w:rsidRPr="00C35305">
              <w:rPr>
                <w:rFonts w:ascii="Verdana" w:hAnsi="Verdana" w:cs="Arial"/>
                <w:color w:val="000000" w:themeColor="text1"/>
              </w:rPr>
              <w:t>Al margen de la explicación precedente 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w:t>
            </w:r>
            <w:r>
              <w:rPr>
                <w:rFonts w:ascii="Verdana" w:hAnsi="Verdana" w:cs="Arial"/>
                <w:color w:val="000000" w:themeColor="text1"/>
              </w:rPr>
              <w:t xml:space="preserve">. Por tanto, </w:t>
            </w:r>
            <w:r w:rsidRPr="00C35305">
              <w:rPr>
                <w:rFonts w:ascii="Verdana" w:hAnsi="Verdana" w:cs="Arial"/>
                <w:color w:val="000000" w:themeColor="text1"/>
              </w:rPr>
              <w:t>cada entidad definirá la forma de adelantar su gestión contractual, sin que sea atribución de Colombia 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tc>
      </w:tr>
    </w:tbl>
    <w:p w14:paraId="1728E2BC" w14:textId="77777777" w:rsidR="00E84D1C" w:rsidRPr="00593A5F" w:rsidRDefault="00E84D1C" w:rsidP="00E84D1C">
      <w:pPr>
        <w:tabs>
          <w:tab w:val="left" w:pos="142"/>
          <w:tab w:val="left" w:pos="284"/>
        </w:tabs>
        <w:spacing w:after="0" w:line="276" w:lineRule="auto"/>
        <w:jc w:val="both"/>
        <w:rPr>
          <w:rFonts w:ascii="Verdana" w:eastAsia="Century Gothic" w:hAnsi="Verdana" w:cs="Century Gothic"/>
          <w:b/>
          <w:bCs/>
          <w:lang w:val="es-ES"/>
        </w:rPr>
      </w:pPr>
    </w:p>
    <w:bookmarkEnd w:id="2"/>
    <w:p w14:paraId="7BD5B662" w14:textId="6C31270E" w:rsidR="00E84D1C" w:rsidRPr="00593A5F" w:rsidRDefault="00071AB8" w:rsidP="00E84D1C">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Razones de la respuesta</w:t>
      </w:r>
      <w:r w:rsidR="00E84D1C" w:rsidRPr="00593A5F">
        <w:rPr>
          <w:rFonts w:ascii="Verdana" w:eastAsia="Century Gothic" w:hAnsi="Verdana" w:cs="Century Gothic"/>
          <w:b/>
          <w:bCs/>
          <w:sz w:val="22"/>
          <w:lang w:val="es-ES"/>
        </w:rPr>
        <w:t>:</w:t>
      </w:r>
    </w:p>
    <w:p w14:paraId="267A31E4" w14:textId="77777777" w:rsidR="00FB5FC4" w:rsidRPr="00593A5F" w:rsidRDefault="00FB5FC4" w:rsidP="00E84D1C">
      <w:pPr>
        <w:spacing w:after="0" w:line="276" w:lineRule="auto"/>
        <w:jc w:val="both"/>
        <w:rPr>
          <w:rFonts w:ascii="Verdana" w:eastAsia="Calibri" w:hAnsi="Verdana" w:cs="Arial"/>
          <w:color w:val="7030A0"/>
          <w:lang w:val="es-ES"/>
        </w:rPr>
      </w:pPr>
    </w:p>
    <w:p w14:paraId="1534F15C" w14:textId="77777777" w:rsidR="0025575F" w:rsidRDefault="00C00976" w:rsidP="00E84D1C">
      <w:pPr>
        <w:spacing w:after="0" w:line="276" w:lineRule="auto"/>
        <w:jc w:val="both"/>
        <w:rPr>
          <w:rFonts w:ascii="Verdana" w:eastAsia="Calibri" w:hAnsi="Verdana" w:cs="Arial"/>
          <w:lang w:val="es-ES"/>
        </w:rPr>
      </w:pPr>
      <w:r w:rsidRPr="00B96799">
        <w:rPr>
          <w:rFonts w:ascii="Verdana" w:eastAsia="Calibri" w:hAnsi="Verdana" w:cs="Arial"/>
          <w:lang w:val="es-ES"/>
        </w:rPr>
        <w:t>L</w:t>
      </w:r>
      <w:r w:rsidR="00D5798B" w:rsidRPr="00B96799">
        <w:rPr>
          <w:rFonts w:ascii="Verdana" w:eastAsia="Calibri" w:hAnsi="Verdana" w:cs="Arial"/>
          <w:lang w:val="es-ES"/>
        </w:rPr>
        <w:t>o</w:t>
      </w:r>
      <w:r w:rsidRPr="00B96799">
        <w:rPr>
          <w:rFonts w:ascii="Verdana" w:eastAsia="Calibri" w:hAnsi="Verdana" w:cs="Arial"/>
          <w:lang w:val="es-ES"/>
        </w:rPr>
        <w:t xml:space="preserve"> anterior</w:t>
      </w:r>
      <w:r w:rsidR="00F95CCE" w:rsidRPr="00B96799">
        <w:rPr>
          <w:rFonts w:ascii="Verdana" w:eastAsia="Calibri" w:hAnsi="Verdana" w:cs="Arial"/>
          <w:lang w:val="es-ES"/>
        </w:rPr>
        <w:t xml:space="preserve"> </w:t>
      </w:r>
      <w:r w:rsidR="00E84D1C" w:rsidRPr="00B96799">
        <w:rPr>
          <w:rFonts w:ascii="Verdana" w:eastAsia="Calibri" w:hAnsi="Verdana" w:cs="Arial"/>
          <w:lang w:val="es-ES"/>
        </w:rPr>
        <w:t xml:space="preserve">se </w:t>
      </w:r>
      <w:r w:rsidRPr="00B96799">
        <w:rPr>
          <w:rFonts w:ascii="Verdana" w:eastAsia="Calibri" w:hAnsi="Verdana" w:cs="Arial"/>
          <w:lang w:val="es-ES"/>
        </w:rPr>
        <w:t xml:space="preserve">sustenta en </w:t>
      </w:r>
      <w:r w:rsidR="00E84D1C" w:rsidRPr="00B96799">
        <w:rPr>
          <w:rFonts w:ascii="Verdana" w:eastAsia="Calibri" w:hAnsi="Verdana" w:cs="Arial"/>
          <w:lang w:val="es-ES"/>
        </w:rPr>
        <w:t>las siguientes consideraciones:</w:t>
      </w:r>
    </w:p>
    <w:p w14:paraId="71802283" w14:textId="77777777" w:rsidR="0025575F" w:rsidRDefault="0025575F" w:rsidP="00E84D1C">
      <w:pPr>
        <w:spacing w:after="0" w:line="276" w:lineRule="auto"/>
        <w:jc w:val="both"/>
        <w:rPr>
          <w:rFonts w:ascii="Verdana" w:eastAsia="Calibri" w:hAnsi="Verdana" w:cs="Arial"/>
          <w:lang w:val="es-ES"/>
        </w:rPr>
      </w:pPr>
    </w:p>
    <w:p w14:paraId="19EBFFEB" w14:textId="77777777" w:rsidR="00B33BA7" w:rsidRPr="008A4AEC" w:rsidRDefault="00B33BA7" w:rsidP="00B33BA7">
      <w:pPr>
        <w:spacing w:after="120" w:line="276" w:lineRule="auto"/>
        <w:jc w:val="both"/>
        <w:rPr>
          <w:rFonts w:ascii="Verdana" w:eastAsia="Calibri" w:hAnsi="Verdana" w:cs="Arial"/>
          <w:lang w:val="es-MX"/>
        </w:rPr>
      </w:pPr>
      <w:r w:rsidRPr="008A4AEC">
        <w:rPr>
          <w:rFonts w:ascii="Verdana" w:hAnsi="Verdana" w:cs="Arial"/>
          <w:lang w:val="es-ES_tradnl"/>
        </w:rPr>
        <w:t xml:space="preserve">Si bien las personas pueden presentarse individualmente a los procesos de selección, también pueden hacerlo en forma plural a través de consorcios o uniones temporales. En efecto, </w:t>
      </w:r>
      <w:r w:rsidRPr="008A4AEC">
        <w:rPr>
          <w:rFonts w:ascii="Verdana" w:eastAsia="Calibri" w:hAnsi="Verdana" w:cs="Arial"/>
          <w:lang w:val="es-MX"/>
        </w:rPr>
        <w:t>de acuerdo con el Código Civil, la capacidad se refiere a la facultad que la ley le confiere a la persona para ejercer derechos y contraer obligaciones. Esta norma parte del supuesto de que todas las personas naturales mayores de edad son capaces, con excepción de aquellas que la ley expresamente excluye de esta presunción –artículos 1502, 1503 y 1504–, y de que la capacidad de las personas jurídicas se circunscribe a su objeto social –artículo 99 del Código de Comercio–. Al respecto, el artículo 6 de la Ley 80 de 1993 –modificado por el artículo 1 de la Ley 2160 de 2021– dispone que: “Pueden celebrar contratos con las entidades estatales las personas consideradas legalmente capaces en las disposiciones vigentes. También podrán celebrar contratos con las entidades estatales […] los consorcios y uniones temporales”.</w:t>
      </w:r>
    </w:p>
    <w:p w14:paraId="0DC5ABF9" w14:textId="77777777" w:rsidR="00B33BA7" w:rsidRPr="008A4AEC" w:rsidRDefault="00B33BA7" w:rsidP="00B33BA7">
      <w:pPr>
        <w:spacing w:after="0" w:line="276" w:lineRule="auto"/>
        <w:ind w:firstLine="720"/>
        <w:jc w:val="both"/>
        <w:rPr>
          <w:rFonts w:ascii="Verdana" w:eastAsia="Calibri" w:hAnsi="Verdana" w:cs="Arial"/>
          <w:bCs/>
          <w:color w:val="000000" w:themeColor="text1"/>
          <w:lang w:val="es-ES"/>
        </w:rPr>
      </w:pPr>
      <w:r w:rsidRPr="008A4AEC">
        <w:rPr>
          <w:rFonts w:ascii="Verdana" w:eastAsia="Calibri" w:hAnsi="Verdana" w:cs="Arial"/>
          <w:bCs/>
          <w:color w:val="000000" w:themeColor="text1"/>
          <w:lang w:val="es-ES"/>
        </w:rPr>
        <w:t>La capacidad para contratar, e incluso la de realizar actos jurídicamente vinculantes como la presentación de una oferta en un procedimiento de selección de contratistas, se consideró por mucho tiempo uno de los atributos de la personalidad reservado, en tanto tal, a las personas jurídicas y naturales. No obstante, el progreso en las formas negociales y asociativas hizo necesario reconocer nuevas estructuras plurales y otorgarles ciertos atributos que tradicionalmente habían estado reservados a las personas jurídicas. Tal es precisamente el caso de la capacidad para contratar otorgada a los consorcios y uniones temporales. En este sentido, la Corte Constitucional ha sostenido:</w:t>
      </w:r>
    </w:p>
    <w:p w14:paraId="73631B83" w14:textId="77777777" w:rsidR="00B33BA7" w:rsidRPr="008A4AEC" w:rsidRDefault="00B33BA7" w:rsidP="00B33BA7">
      <w:pPr>
        <w:spacing w:after="0" w:line="276" w:lineRule="auto"/>
        <w:jc w:val="both"/>
        <w:rPr>
          <w:rFonts w:ascii="Verdana" w:eastAsia="Calibri" w:hAnsi="Verdana" w:cs="Arial"/>
          <w:bCs/>
          <w:color w:val="000000" w:themeColor="text1"/>
          <w:lang w:val="es-ES"/>
        </w:rPr>
      </w:pPr>
    </w:p>
    <w:p w14:paraId="3C23694D"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“Respecto de la capacidad legal para contratar y la personalidad jurídica señala, que la Ley 80 de 1993 al crear las figuras de los consorcios y uniones temporales, y construirlas como sujetos de la contratación administrativa, reconoce una realidad del mundo negocial: la necesidad de los contratos de colaboración económica para la efectiva realización de proyectos de contratación pública, altamente especializados e intensivos en capital y, así mismo, indispensables para que el Estado Social de Derecho, cumpla los cometidos para los cuales fue instituido- Preámbulo, artículos 1 y 2 de la Carta Política.</w:t>
      </w:r>
    </w:p>
    <w:p w14:paraId="358B7A6D" w14:textId="77777777" w:rsidR="00B33BA7" w:rsidRPr="008A4AEC" w:rsidRDefault="00B33BA7" w:rsidP="00B33BA7">
      <w:pPr>
        <w:spacing w:after="12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t>[…]</w:t>
      </w:r>
    </w:p>
    <w:p w14:paraId="42E47E11"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szCs w:val="21"/>
        </w:rPr>
      </w:pPr>
      <w:r w:rsidRPr="008A4AEC">
        <w:rPr>
          <w:rFonts w:ascii="Verdana" w:eastAsia="Calibri" w:hAnsi="Verdana" w:cs="Arial"/>
          <w:bCs/>
          <w:color w:val="000000" w:themeColor="text1"/>
          <w:sz w:val="21"/>
          <w:szCs w:val="21"/>
        </w:rPr>
        <w:lastRenderedPageBreak/>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 contractuales”</w:t>
      </w:r>
      <w:r w:rsidRPr="008A4AEC">
        <w:rPr>
          <w:rStyle w:val="Refdenotaalpie"/>
          <w:rFonts w:ascii="Verdana" w:eastAsia="Calibri" w:hAnsi="Verdana" w:cs="Arial"/>
          <w:bCs/>
          <w:color w:val="000000" w:themeColor="text1"/>
          <w:sz w:val="21"/>
          <w:szCs w:val="21"/>
        </w:rPr>
        <w:footnoteReference w:id="3"/>
      </w:r>
      <w:r w:rsidRPr="008A4AEC">
        <w:rPr>
          <w:rFonts w:ascii="Verdana" w:eastAsia="Calibri" w:hAnsi="Verdana" w:cs="Arial"/>
          <w:bCs/>
          <w:color w:val="000000" w:themeColor="text1"/>
          <w:sz w:val="21"/>
          <w:szCs w:val="21"/>
        </w:rPr>
        <w:t>.</w:t>
      </w:r>
    </w:p>
    <w:p w14:paraId="52C51D2E" w14:textId="77777777" w:rsidR="00B33BA7" w:rsidRPr="008A4AEC" w:rsidRDefault="00B33BA7" w:rsidP="00B33BA7">
      <w:pPr>
        <w:spacing w:after="0"/>
        <w:ind w:left="720" w:right="730"/>
        <w:jc w:val="both"/>
        <w:rPr>
          <w:rFonts w:ascii="Verdana" w:eastAsia="Calibri" w:hAnsi="Verdana" w:cs="Arial"/>
          <w:bCs/>
          <w:color w:val="000000" w:themeColor="text1"/>
          <w:sz w:val="21"/>
          <w:szCs w:val="21"/>
        </w:rPr>
      </w:pPr>
    </w:p>
    <w:p w14:paraId="6EFD40BB" w14:textId="77777777" w:rsidR="00B33BA7" w:rsidRPr="008A4AEC" w:rsidRDefault="00B33BA7" w:rsidP="00B33BA7">
      <w:pPr>
        <w:spacing w:after="120" w:line="276" w:lineRule="auto"/>
        <w:ind w:firstLine="720"/>
        <w:jc w:val="both"/>
        <w:rPr>
          <w:rFonts w:ascii="Verdana" w:eastAsia="Calibri" w:hAnsi="Verdana" w:cs="Arial"/>
          <w:bCs/>
          <w:color w:val="000000" w:themeColor="text1"/>
          <w:lang w:val="es-ES"/>
        </w:rPr>
      </w:pPr>
      <w:bookmarkStart w:id="3" w:name="_Hlk135067740"/>
      <w:r w:rsidRPr="008A4AEC">
        <w:rPr>
          <w:rFonts w:ascii="Verdana" w:eastAsia="Calibri" w:hAnsi="Verdana" w:cs="Arial"/>
          <w:bCs/>
          <w:color w:val="000000" w:themeColor="text1"/>
          <w:lang w:val="es-ES"/>
        </w:rPr>
        <w:t>La Corte Constitucional destaca, de un lado, que las estructuras plurales son el reconocimiento de una realidad negocial en materia de contratación estatal, y del otro, que esta colaboración económica entre sujetos de derecho permite la materialización de los fines del estado, al facilitar la efectiva ejecución de los contratos. Adicionalmente, puntualiza que la capacidad contractual de los consorcios y uniones temporales se reconoce sin necesidad de exigirles como condición de su ejercicio que sean personas morales lo que, hasta cierto punto, podría considerarse una evolución en la teoría de la personalidad jurídica.</w:t>
      </w:r>
    </w:p>
    <w:bookmarkEnd w:id="3"/>
    <w:p w14:paraId="04A929AB" w14:textId="77777777" w:rsidR="00B33BA7" w:rsidRPr="008A4AEC" w:rsidRDefault="00B33BA7" w:rsidP="00B33BA7">
      <w:pPr>
        <w:spacing w:after="0" w:line="276" w:lineRule="auto"/>
        <w:ind w:firstLine="709"/>
        <w:jc w:val="both"/>
        <w:rPr>
          <w:rFonts w:ascii="Verdana" w:hAnsi="Verdana" w:cs="Arial"/>
        </w:rPr>
      </w:pPr>
      <w:r w:rsidRPr="008A4AEC">
        <w:rPr>
          <w:rFonts w:ascii="Verdana" w:hAnsi="Verdana" w:cs="Arial"/>
        </w:rPr>
        <w:t>Debido a que los consorcios y las uniones temporales no son personas jurídicas, su creación depende de un acuerdo en el que concurre la voluntad de sus integrantes para regular su objeto, la participación de los miembros, las obligaciones frente al proyecto, su responsabilidad, la forma en que regirán sus relaciones internas y el relacionamiento con la entidad contratante, mediante la designación de un representante, de conformidad con el parágrafo 1 del artículo 7 de la Ley 80 de 1993. En lo pertinente, la norma precitada dispone que:</w:t>
      </w:r>
    </w:p>
    <w:p w14:paraId="68B02F9A" w14:textId="77777777" w:rsidR="00B33BA7" w:rsidRPr="008A4AEC" w:rsidRDefault="00B33BA7" w:rsidP="00B33BA7">
      <w:pPr>
        <w:spacing w:after="0" w:line="276" w:lineRule="auto"/>
        <w:ind w:firstLine="709"/>
        <w:jc w:val="both"/>
        <w:rPr>
          <w:rFonts w:ascii="Verdana" w:eastAsia="Calibri" w:hAnsi="Verdana" w:cs="Arial"/>
          <w:bCs/>
          <w:color w:val="000000" w:themeColor="text1"/>
          <w:lang w:val="es-ES"/>
        </w:rPr>
      </w:pPr>
    </w:p>
    <w:p w14:paraId="4A1F26C6"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“Artículo 7º.- ENTIDADES A CONTRATAR. Artículo modificado por el artículo 3 de la Ley 2160 de 2021. Para los efectos de esta Ley se entiende por:</w:t>
      </w:r>
    </w:p>
    <w:p w14:paraId="281F4F20" w14:textId="77777777" w:rsidR="00B33BA7" w:rsidRPr="008A4AEC" w:rsidRDefault="00B33BA7" w:rsidP="00B33BA7">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542B4641" w14:textId="77777777" w:rsidR="00B33BA7" w:rsidRPr="008A4AEC" w:rsidRDefault="00B33BA7" w:rsidP="00B33BA7">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 xml:space="preserve">6. Consorcio: Cuando dos o más personas </w:t>
      </w:r>
      <w:bookmarkStart w:id="4" w:name="_Hlk180410264"/>
      <w:r w:rsidRPr="008A4AEC">
        <w:rPr>
          <w:rFonts w:ascii="Verdana" w:eastAsia="Calibri" w:hAnsi="Verdana" w:cs="Arial"/>
          <w:bCs/>
          <w:color w:val="000000" w:themeColor="text1"/>
          <w:sz w:val="21"/>
          <w:lang w:val="es-ES"/>
        </w:rPr>
        <w:t>en forma conjunta presentan una misma propuesta para la adjudicación, celebración y ejecución de un contrato</w:t>
      </w:r>
      <w:bookmarkEnd w:id="4"/>
      <w:r w:rsidRPr="008A4AEC">
        <w:rPr>
          <w:rFonts w:ascii="Verdana" w:eastAsia="Calibri" w:hAnsi="Verdana" w:cs="Arial"/>
          <w:bCs/>
          <w:color w:val="000000" w:themeColor="text1"/>
          <w:sz w:val="21"/>
          <w:lang w:val="es-ES"/>
        </w:rPr>
        <w:t xml:space="preserve">, respondiendo solidariamente de todas y cada una de las obligaciones derivadas de la propuesta y del contrato. En consecuencia, las actuaciones, hechos y omisiones que se presenten </w:t>
      </w:r>
      <w:r w:rsidRPr="008A4AEC">
        <w:rPr>
          <w:rFonts w:ascii="Verdana" w:eastAsia="Calibri" w:hAnsi="Verdana" w:cs="Arial"/>
          <w:bCs/>
          <w:color w:val="000000" w:themeColor="text1"/>
          <w:sz w:val="21"/>
          <w:lang w:val="es-ES"/>
        </w:rPr>
        <w:lastRenderedPageBreak/>
        <w:t>en desarrollo de la propuesta y del contrato, afectarán a todos los miembros que lo conforman.</w:t>
      </w:r>
    </w:p>
    <w:p w14:paraId="1B331E55"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7. Unión Temporal: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14:paraId="131F59E1" w14:textId="77777777" w:rsidR="00B33BA7" w:rsidRPr="008A4AEC" w:rsidRDefault="00B33BA7" w:rsidP="00B33BA7">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34C7CCA7" w14:textId="77777777" w:rsidR="00B33BA7" w:rsidRPr="008A4AEC" w:rsidRDefault="00B33BA7" w:rsidP="00B33BA7">
      <w:pPr>
        <w:spacing w:after="12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Parágrafo 1º.-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7002FA2E"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Los miembros del consorcio y de la unión temporal deberán designar la persona que, para todos los efectos, representará al consorcio o unión temporal y señalarán las reglas básicas que regulen las relaciones entre ellos y su responsabilidad.</w:t>
      </w:r>
    </w:p>
    <w:p w14:paraId="3D44BCE8" w14:textId="77777777" w:rsidR="00B33BA7" w:rsidRPr="008A4AEC" w:rsidRDefault="00B33BA7" w:rsidP="00B33BA7">
      <w:pPr>
        <w:spacing w:after="0" w:line="240" w:lineRule="auto"/>
        <w:ind w:left="709" w:right="709"/>
        <w:jc w:val="both"/>
        <w:rPr>
          <w:rFonts w:ascii="Verdana" w:eastAsia="Calibri" w:hAnsi="Verdana" w:cs="Arial"/>
          <w:bCs/>
          <w:color w:val="000000" w:themeColor="text1"/>
          <w:sz w:val="21"/>
          <w:lang w:val="es-ES"/>
        </w:rPr>
      </w:pPr>
      <w:r w:rsidRPr="008A4AEC">
        <w:rPr>
          <w:rFonts w:ascii="Verdana" w:eastAsia="Calibri" w:hAnsi="Verdana" w:cs="Arial"/>
          <w:bCs/>
          <w:color w:val="000000" w:themeColor="text1"/>
          <w:sz w:val="21"/>
          <w:lang w:val="es-ES"/>
        </w:rPr>
        <w:t>[…]”.</w:t>
      </w:r>
    </w:p>
    <w:p w14:paraId="110FF669" w14:textId="77777777" w:rsidR="00B33BA7" w:rsidRPr="008A4AEC" w:rsidRDefault="00B33BA7" w:rsidP="00B33BA7">
      <w:pPr>
        <w:spacing w:after="0" w:line="276" w:lineRule="auto"/>
        <w:ind w:left="720" w:right="731"/>
        <w:jc w:val="both"/>
        <w:rPr>
          <w:rFonts w:ascii="Verdana" w:eastAsia="Calibri" w:hAnsi="Verdana" w:cs="Arial"/>
          <w:bCs/>
          <w:color w:val="000000" w:themeColor="text1"/>
          <w:lang w:val="es-ES"/>
        </w:rPr>
      </w:pPr>
    </w:p>
    <w:p w14:paraId="2C6CE3BA" w14:textId="77777777" w:rsidR="00B33BA7" w:rsidRPr="008A4AEC" w:rsidRDefault="00B33BA7" w:rsidP="00B33BA7">
      <w:pPr>
        <w:spacing w:after="120" w:line="276" w:lineRule="auto"/>
        <w:jc w:val="both"/>
        <w:rPr>
          <w:rFonts w:ascii="Verdana" w:hAnsi="Verdana" w:cs="Arial"/>
          <w:color w:val="000000" w:themeColor="text1"/>
        </w:rPr>
      </w:pPr>
      <w:r w:rsidRPr="008A4AEC">
        <w:rPr>
          <w:rFonts w:ascii="Verdana" w:eastAsia="Calibri" w:hAnsi="Verdana" w:cs="Arial"/>
          <w:bCs/>
          <w:color w:val="000000" w:themeColor="text1"/>
          <w:lang w:val="es-ES"/>
        </w:rPr>
        <w:tab/>
        <w:t>Como se observa, el artículo citado señala que el consorcio o la unión temporal se da “Cuando dos o más personas en forma conjunta presentan una misma propuesta para la adjudicación, celebración y ejecución de un contrato […]”.</w:t>
      </w:r>
      <w:r w:rsidRPr="008A4AEC">
        <w:rPr>
          <w:rFonts w:ascii="Verdana" w:hAnsi="Verdana" w:cs="Arial"/>
          <w:color w:val="000000" w:themeColor="text1"/>
        </w:rPr>
        <w:t xml:space="preserve"> Desde esta perspectiva, su capacidad para participar en la adjudicación, celebración y ejecución de los contratos estatales depende de que los integrantes de la estructura plural adopten la decisión conjunta de presentar una misma propuesta al proceso de selección. Como existe una relación de medio – fin, sin la entrega de la oferta no surge la habilitación legal para todo lo demás. </w:t>
      </w:r>
    </w:p>
    <w:p w14:paraId="68691848" w14:textId="77777777" w:rsidR="00B33BA7" w:rsidRPr="008A4AEC" w:rsidRDefault="00B33BA7" w:rsidP="00B33BA7">
      <w:pPr>
        <w:spacing w:after="120" w:line="276" w:lineRule="auto"/>
        <w:jc w:val="both"/>
        <w:rPr>
          <w:rFonts w:ascii="Verdana" w:hAnsi="Verdana" w:cs="Arial"/>
          <w:color w:val="000000" w:themeColor="text1"/>
        </w:rPr>
      </w:pPr>
      <w:r w:rsidRPr="008A4AEC">
        <w:rPr>
          <w:rFonts w:ascii="Verdana" w:hAnsi="Verdana" w:cs="Arial"/>
          <w:color w:val="000000" w:themeColor="text1"/>
        </w:rPr>
        <w:tab/>
        <w:t xml:space="preserve">De esta manera, 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w:t>
      </w:r>
      <w:r w:rsidRPr="008A4AEC">
        <w:rPr>
          <w:rFonts w:ascii="Verdana" w:hAnsi="Verdana" w:cs="Arial"/>
          <w:color w:val="000000" w:themeColor="text1"/>
        </w:rPr>
        <w:lastRenderedPageBreak/>
        <w:t xml:space="preserve">mientras que en el consorcio los miembros responden solidariamente, con independencia de este aspecto.   </w:t>
      </w:r>
    </w:p>
    <w:p w14:paraId="69FBB0EE" w14:textId="7AAD62E1" w:rsidR="00B33BA7" w:rsidRDefault="00B33BA7" w:rsidP="001F1E9D">
      <w:pPr>
        <w:spacing w:after="120" w:line="276" w:lineRule="auto"/>
        <w:jc w:val="both"/>
        <w:rPr>
          <w:rFonts w:ascii="Verdana" w:hAnsi="Verdana" w:cs="Arial"/>
          <w:color w:val="000000" w:themeColor="text1"/>
        </w:rPr>
      </w:pPr>
      <w:r w:rsidRPr="008A4AEC">
        <w:rPr>
          <w:rFonts w:ascii="Verdana" w:hAnsi="Verdana" w:cs="Arial"/>
          <w:color w:val="000000" w:themeColor="text1"/>
        </w:rPr>
        <w:tab/>
      </w:r>
      <w:r>
        <w:rPr>
          <w:rFonts w:ascii="Verdana" w:hAnsi="Verdana" w:cs="Arial"/>
          <w:color w:val="000000" w:themeColor="text1"/>
        </w:rPr>
        <w:t>En conclusión, l</w:t>
      </w:r>
      <w:r w:rsidRPr="008A4AEC">
        <w:rPr>
          <w:rFonts w:ascii="Verdana" w:hAnsi="Verdana" w:cs="Arial"/>
          <w:color w:val="000000" w:themeColor="text1"/>
        </w:rPr>
        <w:t>a capacidad jurídica de lo</w:t>
      </w:r>
      <w:r>
        <w:rPr>
          <w:rFonts w:ascii="Verdana" w:hAnsi="Verdana" w:cs="Arial"/>
          <w:color w:val="000000" w:themeColor="text1"/>
        </w:rPr>
        <w:t>s</w:t>
      </w:r>
      <w:r w:rsidRPr="008A4AEC">
        <w:rPr>
          <w:rFonts w:ascii="Verdana" w:hAnsi="Verdana" w:cs="Arial"/>
          <w:color w:val="000000" w:themeColor="text1"/>
        </w:rPr>
        <w:t xml:space="preserve"> proponentes plurales se limita al campo de la contratación estatal de las entidades sometidas al EGCAP, es decir, a las relaciones en</w:t>
      </w:r>
      <w:r w:rsidR="001F1E9D">
        <w:rPr>
          <w:rFonts w:ascii="Verdana" w:hAnsi="Verdana" w:cs="Arial"/>
          <w:color w:val="000000" w:themeColor="text1"/>
        </w:rPr>
        <w:t>tre los</w:t>
      </w:r>
      <w:r w:rsidRPr="008A4AEC">
        <w:rPr>
          <w:rFonts w:ascii="Verdana" w:hAnsi="Verdana" w:cs="Arial"/>
          <w:color w:val="000000" w:themeColor="text1"/>
        </w:rPr>
        <w:t xml:space="preserve"> consorcios y las uniones temporales con las entidades estatales del artículo 2 de la Ley 80 de 1993.</w:t>
      </w:r>
      <w:r>
        <w:rPr>
          <w:rFonts w:ascii="Verdana" w:hAnsi="Verdana" w:cs="Arial"/>
          <w:color w:val="000000" w:themeColor="text1"/>
        </w:rPr>
        <w:t xml:space="preserve"> Las personas que conforman proponentes plurales pueden presentar </w:t>
      </w:r>
      <w:r w:rsidRPr="00B33BA7">
        <w:rPr>
          <w:rFonts w:ascii="Verdana" w:hAnsi="Verdana" w:cs="Arial"/>
          <w:color w:val="000000" w:themeColor="text1"/>
        </w:rPr>
        <w:t>en forma conjunta una misma propuesta para la adjudicación, celebración y ejecución d</w:t>
      </w:r>
      <w:r>
        <w:rPr>
          <w:rFonts w:ascii="Verdana" w:hAnsi="Verdana" w:cs="Arial"/>
          <w:color w:val="000000" w:themeColor="text1"/>
        </w:rPr>
        <w:t xml:space="preserve">e contratos estatales con </w:t>
      </w:r>
      <w:r w:rsidRPr="008706A7">
        <w:rPr>
          <w:rFonts w:ascii="Verdana" w:hAnsi="Verdana" w:cs="Arial"/>
          <w:i/>
          <w:iCs/>
          <w:color w:val="000000" w:themeColor="text1"/>
        </w:rPr>
        <w:t>una o varias</w:t>
      </w:r>
      <w:r>
        <w:rPr>
          <w:rFonts w:ascii="Verdana" w:hAnsi="Verdana" w:cs="Arial"/>
          <w:color w:val="000000" w:themeColor="text1"/>
        </w:rPr>
        <w:t xml:space="preserve"> de las entidades descritas en la norma precitada</w:t>
      </w:r>
      <w:r w:rsidR="008706A7">
        <w:rPr>
          <w:rFonts w:ascii="Verdana" w:hAnsi="Verdana" w:cs="Arial"/>
          <w:color w:val="000000" w:themeColor="text1"/>
        </w:rPr>
        <w:t>. Dichas ofertas serán analizadas de acuerdo con los criterios habilitantes y factores de evaluación del pliego de condiciones o documento equivalente, en el marco de las reglas previstas en el Estatuto General de Contratación, sus normas complementarias y los reglamentos respectivos.</w:t>
      </w:r>
      <w:r w:rsidR="001B3B84">
        <w:rPr>
          <w:rFonts w:ascii="Verdana" w:hAnsi="Verdana" w:cs="Arial"/>
          <w:color w:val="000000" w:themeColor="text1"/>
        </w:rPr>
        <w:t xml:space="preserve"> El proponente plural debe estar debidamente constituido dentro de cada uno de los procesos en que desee presentarse, sin perjuicio de cumplir con las condiciones de uso del SECOP II en los procesos que se gestionan de manera transaccional.</w:t>
      </w:r>
    </w:p>
    <w:p w14:paraId="742C4345" w14:textId="1E9821F0" w:rsidR="001F1E9D" w:rsidRPr="00C35305" w:rsidRDefault="001F1E9D" w:rsidP="001F1E9D">
      <w:pPr>
        <w:spacing w:line="276" w:lineRule="auto"/>
        <w:ind w:firstLine="708"/>
        <w:jc w:val="both"/>
        <w:rPr>
          <w:rFonts w:ascii="Verdana" w:hAnsi="Verdana" w:cs="Arial"/>
          <w:color w:val="000000" w:themeColor="text1"/>
        </w:rPr>
      </w:pPr>
      <w:r w:rsidRPr="00C35305">
        <w:rPr>
          <w:rFonts w:ascii="Verdana" w:hAnsi="Verdana" w:cs="Arial"/>
          <w:color w:val="000000" w:themeColor="text1"/>
        </w:rPr>
        <w:t>Al margen de la explicación precedente debe advertirse que el análisis requerido</w:t>
      </w:r>
      <w:r>
        <w:rPr>
          <w:rFonts w:ascii="Verdana" w:hAnsi="Verdana" w:cs="Arial"/>
          <w:color w:val="000000" w:themeColor="text1"/>
        </w:rPr>
        <w:t xml:space="preserve"> </w:t>
      </w:r>
      <w:r w:rsidRPr="00C35305">
        <w:rPr>
          <w:rFonts w:ascii="Verdana" w:hAnsi="Verdana" w:cs="Arial"/>
          <w:color w:val="000000" w:themeColor="text1"/>
        </w:rPr>
        <w:t>para</w:t>
      </w:r>
      <w:r>
        <w:rPr>
          <w:rFonts w:ascii="Verdana" w:hAnsi="Verdana" w:cs="Arial"/>
          <w:color w:val="000000" w:themeColor="text1"/>
        </w:rPr>
        <w:t xml:space="preserve"> calificar conductas con presunta incidencia disciplinaria </w:t>
      </w:r>
      <w:r w:rsidRPr="00C35305">
        <w:rPr>
          <w:rFonts w:ascii="Verdana" w:hAnsi="Verdana" w:cs="Arial"/>
          <w:color w:val="000000" w:themeColor="text1"/>
        </w:rPr>
        <w:t>debe ser realizado por</w:t>
      </w:r>
      <w:r>
        <w:rPr>
          <w:rFonts w:ascii="Verdana" w:hAnsi="Verdana" w:cs="Arial"/>
          <w:color w:val="000000" w:themeColor="text1"/>
        </w:rPr>
        <w:t xml:space="preserve"> </w:t>
      </w:r>
      <w:r w:rsidRPr="00C35305">
        <w:rPr>
          <w:rFonts w:ascii="Verdana" w:hAnsi="Verdana" w:cs="Arial"/>
          <w:color w:val="000000" w:themeColor="text1"/>
        </w:rPr>
        <w:t>quienes tengan interés en ello, de acuerdo con lo explicado la aclaración preliminar del presente oficio. De esta manera, las afirmaciones aquí realizadas</w:t>
      </w:r>
      <w:r>
        <w:rPr>
          <w:rFonts w:ascii="Verdana" w:hAnsi="Verdana" w:cs="Arial"/>
          <w:color w:val="000000" w:themeColor="text1"/>
        </w:rPr>
        <w:t xml:space="preserve"> </w:t>
      </w:r>
      <w:r w:rsidRPr="00C35305">
        <w:rPr>
          <w:rFonts w:ascii="Verdana" w:hAnsi="Verdana" w:cs="Arial"/>
          <w:color w:val="000000" w:themeColor="text1"/>
        </w:rPr>
        <w:t>no</w:t>
      </w:r>
      <w:r>
        <w:rPr>
          <w:rFonts w:ascii="Verdana" w:hAnsi="Verdana" w:cs="Arial"/>
          <w:color w:val="000000" w:themeColor="text1"/>
        </w:rPr>
        <w:t xml:space="preserve"> </w:t>
      </w:r>
      <w:r w:rsidRPr="00C35305">
        <w:rPr>
          <w:rFonts w:ascii="Verdana" w:hAnsi="Verdana" w:cs="Arial"/>
          <w:color w:val="000000" w:themeColor="text1"/>
        </w:rPr>
        <w:t>pueden ser interpretadas como juicios de valor sobre circunstancias</w:t>
      </w:r>
      <w:r>
        <w:rPr>
          <w:rFonts w:ascii="Verdana" w:hAnsi="Verdana" w:cs="Arial"/>
          <w:color w:val="000000" w:themeColor="text1"/>
        </w:rPr>
        <w:t xml:space="preserve"> </w:t>
      </w:r>
      <w:r w:rsidRPr="00C35305">
        <w:rPr>
          <w:rFonts w:ascii="Verdana" w:hAnsi="Verdana" w:cs="Arial"/>
          <w:color w:val="000000" w:themeColor="text1"/>
        </w:rPr>
        <w:t>concretas</w:t>
      </w:r>
      <w:r>
        <w:rPr>
          <w:rFonts w:ascii="Verdana" w:hAnsi="Verdana" w:cs="Arial"/>
          <w:color w:val="000000" w:themeColor="text1"/>
        </w:rPr>
        <w:t xml:space="preserve"> </w:t>
      </w:r>
      <w:r w:rsidRPr="00C35305">
        <w:rPr>
          <w:rFonts w:ascii="Verdana" w:hAnsi="Verdana" w:cs="Arial"/>
          <w:color w:val="000000" w:themeColor="text1"/>
        </w:rPr>
        <w:t xml:space="preserve">relacionadas con los hechos </w:t>
      </w:r>
      <w:r>
        <w:rPr>
          <w:rFonts w:ascii="Verdana" w:hAnsi="Verdana" w:cs="Arial"/>
          <w:color w:val="000000" w:themeColor="text1"/>
        </w:rPr>
        <w:t>de los expedientes disciplinarios que</w:t>
      </w:r>
      <w:r w:rsidRPr="00C35305">
        <w:rPr>
          <w:rFonts w:ascii="Verdana" w:hAnsi="Verdana" w:cs="Arial"/>
          <w:color w:val="000000" w:themeColor="text1"/>
        </w:rPr>
        <w:t xml:space="preserve"> motivan la</w:t>
      </w:r>
      <w:r>
        <w:rPr>
          <w:rFonts w:ascii="Verdana" w:hAnsi="Verdana" w:cs="Arial"/>
          <w:color w:val="000000" w:themeColor="text1"/>
        </w:rPr>
        <w:t xml:space="preserve"> </w:t>
      </w:r>
      <w:r w:rsidRPr="00C35305">
        <w:rPr>
          <w:rFonts w:ascii="Verdana" w:hAnsi="Verdana" w:cs="Arial"/>
          <w:color w:val="000000" w:themeColor="text1"/>
        </w:rPr>
        <w:t>consulta.</w:t>
      </w:r>
      <w:r>
        <w:rPr>
          <w:rFonts w:ascii="Verdana" w:hAnsi="Verdana" w:cs="Arial"/>
          <w:color w:val="000000" w:themeColor="text1"/>
        </w:rPr>
        <w:t xml:space="preserve"> </w:t>
      </w:r>
      <w:r w:rsidRPr="00C35305">
        <w:rPr>
          <w:rFonts w:ascii="Verdana" w:hAnsi="Verdana" w:cs="Arial"/>
          <w:color w:val="000000" w:themeColor="text1"/>
        </w:rPr>
        <w:t>Por lo anterior, previo concepto de sus asesores, la solución de situaciones particulares corresponde a los interesados</w:t>
      </w:r>
      <w:r>
        <w:rPr>
          <w:rFonts w:ascii="Verdana" w:hAnsi="Verdana" w:cs="Arial"/>
          <w:color w:val="000000" w:themeColor="text1"/>
        </w:rPr>
        <w:t xml:space="preserve"> </w:t>
      </w:r>
      <w:r w:rsidRPr="00C35305">
        <w:rPr>
          <w:rFonts w:ascii="Verdana" w:hAnsi="Verdana" w:cs="Arial"/>
          <w:color w:val="000000" w:themeColor="text1"/>
        </w:rPr>
        <w:t>adoptar la decisión correspondiente y, en caso de conflicto, a las autoridades judiciales.</w:t>
      </w:r>
    </w:p>
    <w:p w14:paraId="00F540DE" w14:textId="09EAB96C" w:rsidR="0075741A" w:rsidRDefault="001F1E9D" w:rsidP="001F1E9D">
      <w:pPr>
        <w:spacing w:after="0" w:line="276" w:lineRule="auto"/>
        <w:ind w:firstLine="708"/>
        <w:jc w:val="both"/>
        <w:rPr>
          <w:rFonts w:ascii="Verdana" w:hAnsi="Verdana" w:cs="Arial"/>
          <w:color w:val="000000" w:themeColor="text1"/>
        </w:rPr>
      </w:pPr>
      <w:r w:rsidRPr="00C35305">
        <w:rPr>
          <w:rFonts w:ascii="Verdana" w:hAnsi="Verdana" w:cs="Arial"/>
          <w:color w:val="000000" w:themeColor="text1"/>
        </w:rPr>
        <w:t xml:space="preserve">Dentro de este marco, </w:t>
      </w:r>
      <w:r>
        <w:rPr>
          <w:rFonts w:ascii="Verdana" w:hAnsi="Verdana" w:cs="Arial"/>
          <w:color w:val="000000" w:themeColor="text1"/>
        </w:rPr>
        <w:t>el órgano disciplinario</w:t>
      </w:r>
      <w:r w:rsidRPr="00C35305">
        <w:rPr>
          <w:rFonts w:ascii="Verdana" w:hAnsi="Verdana" w:cs="Arial"/>
          <w:color w:val="000000" w:themeColor="text1"/>
        </w:rPr>
        <w:t xml:space="preserve"> definirá en cada caso concreto lo</w:t>
      </w:r>
      <w:r>
        <w:rPr>
          <w:rFonts w:ascii="Verdana" w:hAnsi="Verdana" w:cs="Arial"/>
          <w:color w:val="000000" w:themeColor="text1"/>
        </w:rPr>
        <w:t xml:space="preserve"> </w:t>
      </w:r>
      <w:r w:rsidRPr="00C35305">
        <w:rPr>
          <w:rFonts w:ascii="Verdana" w:hAnsi="Verdana" w:cs="Arial"/>
          <w:color w:val="000000" w:themeColor="text1"/>
        </w:rPr>
        <w:t xml:space="preserve">relacionado con </w:t>
      </w:r>
      <w:r>
        <w:rPr>
          <w:rFonts w:ascii="Verdana" w:hAnsi="Verdana" w:cs="Arial"/>
          <w:color w:val="000000" w:themeColor="text1"/>
        </w:rPr>
        <w:t xml:space="preserve">la tipicidad de las conductas investigadas en </w:t>
      </w:r>
      <w:r>
        <w:rPr>
          <w:rFonts w:ascii="Verdana" w:eastAsia="Calibri" w:hAnsi="Verdana" w:cs="Arial"/>
          <w:lang w:eastAsia="es-ES"/>
        </w:rPr>
        <w:t>los</w:t>
      </w:r>
      <w:r w:rsidRPr="00216B60">
        <w:rPr>
          <w:rFonts w:ascii="Verdana" w:eastAsia="Calibri" w:hAnsi="Verdana" w:cs="Arial"/>
          <w:lang w:val="es-ES" w:eastAsia="es-ES"/>
        </w:rPr>
        <w:t xml:space="preserve"> expediente</w:t>
      </w:r>
      <w:r>
        <w:rPr>
          <w:rFonts w:ascii="Verdana" w:eastAsia="Calibri" w:hAnsi="Verdana" w:cs="Arial"/>
          <w:lang w:val="es-ES" w:eastAsia="es-ES"/>
        </w:rPr>
        <w:t>s</w:t>
      </w:r>
      <w:r w:rsidRPr="00216B60">
        <w:rPr>
          <w:rFonts w:ascii="Verdana" w:eastAsia="Calibri" w:hAnsi="Verdana" w:cs="Arial"/>
          <w:lang w:val="es-ES" w:eastAsia="es-ES"/>
        </w:rPr>
        <w:t xml:space="preserve"> </w:t>
      </w:r>
      <w:r w:rsidRPr="001F1E9D">
        <w:rPr>
          <w:rFonts w:ascii="Verdana" w:eastAsia="Calibri" w:hAnsi="Verdana" w:cs="Arial"/>
          <w:lang w:val="es-ES" w:eastAsia="es-ES"/>
        </w:rPr>
        <w:t>IUS-E-2024-582035 y IUC-D-2024-3824041</w:t>
      </w:r>
      <w:r w:rsidRPr="00C35305">
        <w:rPr>
          <w:rFonts w:ascii="Verdana" w:hAnsi="Verdana" w:cs="Arial"/>
          <w:color w:val="000000" w:themeColor="text1"/>
        </w:rPr>
        <w:t xml:space="preserve">. </w:t>
      </w:r>
      <w:r>
        <w:rPr>
          <w:rFonts w:ascii="Verdana" w:hAnsi="Verdana" w:cs="Arial"/>
          <w:color w:val="000000" w:themeColor="text1"/>
        </w:rPr>
        <w:t>Dado que sólo tiene a cargo la interpretación abstracta de las normas del sistema de compras y contratación pública, l</w:t>
      </w:r>
      <w:r w:rsidRPr="00C35305">
        <w:rPr>
          <w:rFonts w:ascii="Verdana" w:hAnsi="Verdana" w:cs="Arial"/>
          <w:color w:val="000000" w:themeColor="text1"/>
        </w:rPr>
        <w:t>a Agencia no puede definir un criterio universal y absoluto, sino que brinda elementos de carácter general para que los partícipes del sistema de compras y contratación pública adopten la decisión que corresponda, lo cual es acorde con el principio de juridicidad.</w:t>
      </w:r>
      <w:r>
        <w:rPr>
          <w:rFonts w:ascii="Verdana" w:hAnsi="Verdana" w:cs="Arial"/>
          <w:color w:val="000000" w:themeColor="text1"/>
        </w:rPr>
        <w:t xml:space="preserve"> </w:t>
      </w:r>
      <w:r w:rsidRPr="00C35305">
        <w:rPr>
          <w:rFonts w:ascii="Verdana" w:hAnsi="Verdana" w:cs="Arial"/>
          <w:color w:val="000000" w:themeColor="text1"/>
        </w:rPr>
        <w:t xml:space="preserve">Así, cada entidad definirá la forma de adelantar su gestión contractual, sin que sea atribución de Colombia </w:t>
      </w:r>
      <w:r w:rsidRPr="00C35305">
        <w:rPr>
          <w:rFonts w:ascii="Verdana" w:hAnsi="Verdana" w:cs="Arial"/>
          <w:color w:val="000000" w:themeColor="text1"/>
        </w:rPr>
        <w:lastRenderedPageBreak/>
        <w:t>Compra Eficiente validar sus actuaciones</w:t>
      </w:r>
      <w:r>
        <w:rPr>
          <w:rFonts w:ascii="Verdana" w:hAnsi="Verdana" w:cs="Arial"/>
          <w:color w:val="000000" w:themeColor="text1"/>
        </w:rPr>
        <w:t xml:space="preserve"> frente a las autoridades que cumplen funciones de control y vigilancia</w:t>
      </w:r>
      <w:r w:rsidRPr="00C35305">
        <w:rPr>
          <w:rFonts w:ascii="Verdana" w:hAnsi="Verdana" w:cs="Arial"/>
          <w:color w:val="000000" w:themeColor="text1"/>
        </w:rPr>
        <w:t>.</w:t>
      </w:r>
    </w:p>
    <w:p w14:paraId="7C38CB82" w14:textId="77777777" w:rsidR="001F1E9D" w:rsidRPr="001F1E9D" w:rsidRDefault="001F1E9D" w:rsidP="001F1E9D">
      <w:pPr>
        <w:spacing w:after="0" w:line="276" w:lineRule="auto"/>
        <w:ind w:firstLine="708"/>
        <w:jc w:val="both"/>
        <w:rPr>
          <w:rFonts w:ascii="Verdana" w:hAnsi="Verdana" w:cs="Arial"/>
          <w:color w:val="000000" w:themeColor="text1"/>
        </w:rPr>
      </w:pPr>
    </w:p>
    <w:p w14:paraId="450B1F84" w14:textId="11BACD51" w:rsidR="00CD2E70" w:rsidRPr="00593A5F" w:rsidRDefault="00CD2E70" w:rsidP="00CD2E70">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sidRPr="00593A5F">
        <w:rPr>
          <w:rFonts w:ascii="Verdana" w:eastAsia="Century Gothic" w:hAnsi="Verdana" w:cs="Century Gothic"/>
          <w:b/>
          <w:bCs/>
          <w:sz w:val="22"/>
          <w:lang w:val="es-ES"/>
        </w:rPr>
        <w:t>Referencia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 xml:space="preserve"> normativa</w:t>
      </w:r>
      <w:r w:rsidR="00CE37A3" w:rsidRPr="00593A5F">
        <w:rPr>
          <w:rFonts w:ascii="Verdana" w:eastAsia="Century Gothic" w:hAnsi="Verdana" w:cs="Century Gothic"/>
          <w:b/>
          <w:bCs/>
          <w:sz w:val="22"/>
          <w:lang w:val="es-ES"/>
        </w:rPr>
        <w:t>s</w:t>
      </w:r>
      <w:r w:rsidRPr="00593A5F">
        <w:rPr>
          <w:rFonts w:ascii="Verdana" w:eastAsia="Century Gothic" w:hAnsi="Verdana" w:cs="Century Gothic"/>
          <w:b/>
          <w:bCs/>
          <w:sz w:val="22"/>
          <w:lang w:val="es-ES"/>
        </w:rPr>
        <w:t>:</w:t>
      </w:r>
    </w:p>
    <w:p w14:paraId="61D4F996" w14:textId="1A993A87" w:rsidR="00CD2E70" w:rsidRPr="00593A5F" w:rsidRDefault="00CD2E70" w:rsidP="00E84D1C">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407CE" w:rsidRPr="002407CE" w14:paraId="28F1D869" w14:textId="77777777" w:rsidTr="006E429F">
        <w:trPr>
          <w:trHeight w:val="870"/>
          <w:jc w:val="center"/>
        </w:trPr>
        <w:tc>
          <w:tcPr>
            <w:tcW w:w="8647" w:type="dxa"/>
          </w:tcPr>
          <w:p w14:paraId="48E889E2" w14:textId="77777777" w:rsidR="008A6440" w:rsidRPr="002407CE" w:rsidRDefault="008A6440" w:rsidP="008A6440">
            <w:pPr>
              <w:pStyle w:val="Prrafodelista"/>
              <w:widowControl w:val="0"/>
              <w:numPr>
                <w:ilvl w:val="0"/>
                <w:numId w:val="3"/>
              </w:numPr>
              <w:autoSpaceDE w:val="0"/>
              <w:autoSpaceDN w:val="0"/>
              <w:spacing w:after="120" w:line="276" w:lineRule="auto"/>
              <w:jc w:val="both"/>
              <w:rPr>
                <w:rFonts w:ascii="Verdana" w:hAnsi="Verdana" w:cs="Arial"/>
                <w:sz w:val="22"/>
              </w:rPr>
            </w:pPr>
            <w:r w:rsidRPr="002407CE">
              <w:rPr>
                <w:rFonts w:ascii="Verdana" w:hAnsi="Verdana" w:cs="Arial"/>
                <w:sz w:val="22"/>
              </w:rPr>
              <w:t xml:space="preserve">Código Civil, artículos 1502, 1503 y 1504. </w:t>
            </w:r>
          </w:p>
          <w:p w14:paraId="1BFE8842" w14:textId="77777777" w:rsidR="008A6440" w:rsidRPr="002407CE" w:rsidRDefault="008A6440" w:rsidP="008A6440">
            <w:pPr>
              <w:pStyle w:val="Prrafodelista"/>
              <w:widowControl w:val="0"/>
              <w:autoSpaceDE w:val="0"/>
              <w:autoSpaceDN w:val="0"/>
              <w:spacing w:after="120" w:line="276" w:lineRule="auto"/>
              <w:jc w:val="both"/>
              <w:rPr>
                <w:rFonts w:ascii="Verdana" w:hAnsi="Verdana" w:cs="Arial"/>
                <w:sz w:val="12"/>
                <w:szCs w:val="12"/>
              </w:rPr>
            </w:pPr>
          </w:p>
          <w:p w14:paraId="0EBE07B3" w14:textId="77777777" w:rsidR="008A6440" w:rsidRPr="002407CE" w:rsidRDefault="008A6440" w:rsidP="008A6440">
            <w:pPr>
              <w:pStyle w:val="Prrafodelista"/>
              <w:widowControl w:val="0"/>
              <w:numPr>
                <w:ilvl w:val="0"/>
                <w:numId w:val="3"/>
              </w:numPr>
              <w:autoSpaceDE w:val="0"/>
              <w:autoSpaceDN w:val="0"/>
              <w:spacing w:after="120" w:line="276" w:lineRule="auto"/>
              <w:contextualSpacing w:val="0"/>
              <w:jc w:val="both"/>
              <w:rPr>
                <w:rFonts w:ascii="Verdana" w:hAnsi="Verdana" w:cs="Arial"/>
                <w:sz w:val="22"/>
              </w:rPr>
            </w:pPr>
            <w:r w:rsidRPr="002407CE">
              <w:rPr>
                <w:rFonts w:ascii="Verdana" w:hAnsi="Verdana" w:cs="Arial"/>
                <w:sz w:val="22"/>
              </w:rPr>
              <w:t>Código de Comercio, artículo 99.</w:t>
            </w:r>
          </w:p>
          <w:p w14:paraId="2B3A0897" w14:textId="77777777" w:rsidR="008A6440" w:rsidRPr="002407CE" w:rsidRDefault="008A6440" w:rsidP="008A6440">
            <w:pPr>
              <w:pStyle w:val="Prrafodelista"/>
              <w:widowControl w:val="0"/>
              <w:numPr>
                <w:ilvl w:val="0"/>
                <w:numId w:val="3"/>
              </w:numPr>
              <w:autoSpaceDE w:val="0"/>
              <w:autoSpaceDN w:val="0"/>
              <w:spacing w:after="120" w:line="276" w:lineRule="auto"/>
              <w:contextualSpacing w:val="0"/>
              <w:jc w:val="both"/>
              <w:rPr>
                <w:rFonts w:ascii="Verdana" w:hAnsi="Verdana" w:cs="Arial"/>
                <w:sz w:val="22"/>
              </w:rPr>
            </w:pPr>
            <w:r w:rsidRPr="002407CE">
              <w:rPr>
                <w:rFonts w:ascii="Verdana" w:hAnsi="Verdana" w:cs="Arial"/>
                <w:sz w:val="22"/>
              </w:rPr>
              <w:t>Ley 80 de 1993, artículos 2, 6 y 7.</w:t>
            </w:r>
          </w:p>
          <w:p w14:paraId="3E9D05BC" w14:textId="6C6842EC" w:rsidR="00A53865" w:rsidRPr="00C02F8B" w:rsidRDefault="008A6440" w:rsidP="008A6440">
            <w:pPr>
              <w:pStyle w:val="Prrafodelista"/>
              <w:widowControl w:val="0"/>
              <w:numPr>
                <w:ilvl w:val="0"/>
                <w:numId w:val="3"/>
              </w:numPr>
              <w:autoSpaceDE w:val="0"/>
              <w:autoSpaceDN w:val="0"/>
              <w:spacing w:line="276" w:lineRule="auto"/>
              <w:ind w:left="714" w:hanging="357"/>
              <w:contextualSpacing w:val="0"/>
              <w:jc w:val="both"/>
              <w:rPr>
                <w:rFonts w:ascii="Verdana" w:hAnsi="Verdana" w:cs="Arial"/>
              </w:rPr>
            </w:pPr>
            <w:r w:rsidRPr="002407CE">
              <w:rPr>
                <w:rFonts w:ascii="Verdana" w:hAnsi="Verdana" w:cs="Arial"/>
                <w:sz w:val="22"/>
              </w:rPr>
              <w:t xml:space="preserve">Jurisprudencia de la Corte Constitucional. Disponible en:  </w:t>
            </w:r>
            <w:hyperlink r:id="rId13" w:history="1">
              <w:r w:rsidRPr="00BB3BE4">
                <w:rPr>
                  <w:rStyle w:val="Hipervnculo"/>
                  <w:rFonts w:ascii="Verdana" w:hAnsi="Verdana" w:cs="Arial"/>
                  <w:color w:val="4472C4" w:themeColor="accent1"/>
                  <w:sz w:val="22"/>
                </w:rPr>
                <w:t>https://www.corteconstitucional.gov./relatoria/</w:t>
              </w:r>
            </w:hyperlink>
            <w:r w:rsidRPr="002407CE">
              <w:rPr>
                <w:rFonts w:ascii="Verdana" w:hAnsi="Verdana" w:cs="Arial"/>
                <w:sz w:val="22"/>
              </w:rPr>
              <w:t xml:space="preserve">.  </w:t>
            </w:r>
          </w:p>
        </w:tc>
      </w:tr>
    </w:tbl>
    <w:p w14:paraId="30F3A1CE" w14:textId="77777777" w:rsidR="00CD2E70" w:rsidRPr="002407CE" w:rsidRDefault="00CD2E70" w:rsidP="00E84D1C">
      <w:pPr>
        <w:widowControl w:val="0"/>
        <w:autoSpaceDE w:val="0"/>
        <w:autoSpaceDN w:val="0"/>
        <w:spacing w:after="0" w:line="276" w:lineRule="auto"/>
        <w:jc w:val="both"/>
        <w:rPr>
          <w:rFonts w:ascii="Verdana" w:hAnsi="Verdana" w:cs="Arial"/>
        </w:rPr>
      </w:pPr>
    </w:p>
    <w:p w14:paraId="763AF15E" w14:textId="5C1DC823" w:rsidR="00057963" w:rsidRPr="00593A5F" w:rsidRDefault="00E53F2E" w:rsidP="00057963">
      <w:pPr>
        <w:pStyle w:val="Prrafodelista"/>
        <w:numPr>
          <w:ilvl w:val="0"/>
          <w:numId w:val="1"/>
        </w:numPr>
        <w:tabs>
          <w:tab w:val="left" w:pos="142"/>
          <w:tab w:val="left" w:pos="284"/>
        </w:tabs>
        <w:spacing w:line="276" w:lineRule="auto"/>
        <w:ind w:left="0" w:firstLine="0"/>
        <w:contextualSpacing w:val="0"/>
        <w:jc w:val="both"/>
        <w:rPr>
          <w:rFonts w:ascii="Verdana" w:eastAsia="Century Gothic" w:hAnsi="Verdana" w:cs="Century Gothic"/>
          <w:b/>
          <w:bCs/>
          <w:sz w:val="22"/>
          <w:lang w:val="es-ES"/>
        </w:rPr>
      </w:pPr>
      <w:r>
        <w:rPr>
          <w:rFonts w:ascii="Verdana" w:eastAsia="Century Gothic" w:hAnsi="Verdana" w:cs="Century Gothic"/>
          <w:b/>
          <w:bCs/>
          <w:sz w:val="22"/>
          <w:lang w:val="es-ES"/>
        </w:rPr>
        <w:t>Doctrina de la Agencia Nacional de Contratación Pública</w:t>
      </w:r>
      <w:r w:rsidR="00057963" w:rsidRPr="00593A5F">
        <w:rPr>
          <w:rFonts w:ascii="Verdana" w:eastAsia="Century Gothic" w:hAnsi="Verdana" w:cs="Century Gothic"/>
          <w:b/>
          <w:bCs/>
          <w:sz w:val="22"/>
          <w:lang w:val="es-ES"/>
        </w:rPr>
        <w:t>:</w:t>
      </w:r>
    </w:p>
    <w:p w14:paraId="2E26A5BD" w14:textId="31F0C1BB" w:rsidR="00E84D1C" w:rsidRPr="00593A5F" w:rsidRDefault="00E84D1C" w:rsidP="00E84D1C">
      <w:pPr>
        <w:widowControl w:val="0"/>
        <w:autoSpaceDE w:val="0"/>
        <w:autoSpaceDN w:val="0"/>
        <w:spacing w:after="0" w:line="276" w:lineRule="auto"/>
        <w:jc w:val="both"/>
        <w:rPr>
          <w:rFonts w:ascii="Verdana" w:hAnsi="Verdana" w:cs="Arial"/>
        </w:rPr>
      </w:pPr>
    </w:p>
    <w:p w14:paraId="2B3B3D91" w14:textId="29462F0D" w:rsidR="002F317F" w:rsidRPr="00ED0098" w:rsidRDefault="001F1E9D" w:rsidP="00E84D1C">
      <w:pPr>
        <w:widowControl w:val="0"/>
        <w:autoSpaceDE w:val="0"/>
        <w:autoSpaceDN w:val="0"/>
        <w:spacing w:after="0" w:line="276" w:lineRule="auto"/>
        <w:jc w:val="both"/>
        <w:rPr>
          <w:rStyle w:val="normaltextrun"/>
          <w:rFonts w:ascii="Verdana" w:hAnsi="Verdana" w:cs="Arial"/>
          <w:shd w:val="clear" w:color="auto" w:fill="FFFFFF"/>
        </w:rPr>
      </w:pPr>
      <w:r>
        <w:rPr>
          <w:rStyle w:val="normaltextrun"/>
          <w:rFonts w:ascii="Verdana" w:hAnsi="Verdana" w:cs="Arial"/>
          <w:shd w:val="clear" w:color="auto" w:fill="FFFFFF"/>
          <w:lang w:val="es-ES"/>
        </w:rPr>
        <w:t>E</w:t>
      </w:r>
      <w:r w:rsidRPr="00EA761C">
        <w:rPr>
          <w:rStyle w:val="normaltextrun"/>
          <w:rFonts w:ascii="Verdana" w:hAnsi="Verdana" w:cs="Arial"/>
          <w:shd w:val="clear" w:color="auto" w:fill="FFFFFF"/>
          <w:lang w:val="es-ES"/>
        </w:rPr>
        <w:t>sta Subdirección </w:t>
      </w:r>
      <w:r>
        <w:rPr>
          <w:rStyle w:val="normaltextrun"/>
          <w:rFonts w:ascii="Verdana" w:hAnsi="Verdana" w:cs="Arial"/>
          <w:shd w:val="clear" w:color="auto" w:fill="FFFFFF"/>
          <w:lang w:val="es-ES"/>
        </w:rPr>
        <w:t>se ha pronunciado s</w:t>
      </w:r>
      <w:r w:rsidRPr="00EA761C">
        <w:rPr>
          <w:rStyle w:val="normaltextrun"/>
          <w:rFonts w:ascii="Verdana" w:hAnsi="Verdana" w:cs="Arial"/>
          <w:shd w:val="clear" w:color="auto" w:fill="FFFFFF"/>
          <w:lang w:val="es-ES"/>
        </w:rPr>
        <w:t>obre la capacidad jurídica de los consorcios y las uniones temporales en los Conceptos</w:t>
      </w:r>
      <w:r w:rsidRPr="00EA761C">
        <w:rPr>
          <w:rStyle w:val="normaltextrun"/>
          <w:rFonts w:ascii="Verdana" w:hAnsi="Verdana" w:cs="Calibri"/>
          <w:shd w:val="clear" w:color="auto" w:fill="FFFFFF"/>
        </w:rPr>
        <w:t xml:space="preserve"> </w:t>
      </w:r>
      <w:r w:rsidRPr="00EA761C">
        <w:rPr>
          <w:rStyle w:val="normaltextrun"/>
          <w:rFonts w:ascii="Verdana" w:hAnsi="Verdana" w:cs="Arial"/>
          <w:shd w:val="clear" w:color="auto" w:fill="FFFFFF"/>
          <w:lang w:val="es-ES"/>
        </w:rPr>
        <w:t>4201913000007643 del 26 de diciembre de 2019, C-343 del 17 de junio de 2020, C-518 del 9 de septiembre de 2020, C-614 del 5 de octubre de 2022, C-882 del 21 de diciembre de 2022, C-172 del 6 de junio de 2023, C-032 del 16 de abril de 2024 y C-100 del 12 de junio de 2024</w:t>
      </w:r>
      <w:r w:rsidR="00DD0AFF">
        <w:rPr>
          <w:rFonts w:ascii="Verdana" w:hAnsi="Verdana"/>
        </w:rPr>
        <w:t>.</w:t>
      </w:r>
      <w:r w:rsidR="00DD0AFF">
        <w:rPr>
          <w:rFonts w:ascii="Verdana" w:hAnsi="Verdana" w:cs="Arial"/>
          <w:shd w:val="clear" w:color="auto" w:fill="FFFFFF"/>
        </w:rPr>
        <w:t xml:space="preserve"> </w:t>
      </w:r>
      <w:r w:rsidR="00DD0AFF" w:rsidRPr="00DD0AFF">
        <w:rPr>
          <w:rFonts w:ascii="Verdana" w:hAnsi="Verdana" w:cs="Arial"/>
          <w:shd w:val="clear" w:color="auto" w:fill="FFFFFF"/>
        </w:rPr>
        <w:t>Estos y otros </w:t>
      </w:r>
      <w:r w:rsidR="008D0AB0"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4" w:history="1">
        <w:r w:rsidR="00773F1E" w:rsidRPr="00186F77">
          <w:rPr>
            <w:rStyle w:val="Hipervnculo"/>
            <w:rFonts w:ascii="Verdana" w:hAnsi="Verdana" w:cs="Arial"/>
            <w:shd w:val="clear" w:color="auto" w:fill="FFFFFF"/>
          </w:rPr>
          <w:t>https://relatoria.colombiacompra.gov.co/busqueda/conceptos</w:t>
        </w:r>
      </w:hyperlink>
      <w:r w:rsidR="00773F1E">
        <w:rPr>
          <w:rStyle w:val="normaltextrun"/>
          <w:rFonts w:ascii="Verdana" w:hAnsi="Verdana" w:cs="Arial"/>
          <w:shd w:val="clear" w:color="auto" w:fill="FFFFFF"/>
        </w:rPr>
        <w:t>.</w:t>
      </w:r>
      <w:r w:rsidR="008D0AB0" w:rsidRPr="008D0AB0">
        <w:rPr>
          <w:rStyle w:val="normaltextrun"/>
          <w:rFonts w:ascii="Verdana" w:hAnsi="Verdana" w:cs="Arial"/>
          <w:shd w:val="clear" w:color="auto" w:fill="FFFFFF"/>
        </w:rPr>
        <w:t xml:space="preserve"> </w:t>
      </w:r>
      <w:r w:rsidR="008D1079">
        <w:rPr>
          <w:rStyle w:val="normaltextrun"/>
          <w:rFonts w:ascii="Verdana" w:hAnsi="Verdana" w:cs="Arial"/>
          <w:color w:val="FF0000"/>
          <w:shd w:val="clear" w:color="auto" w:fill="FFFFFF"/>
          <w:lang w:val="es-ES"/>
        </w:rPr>
        <w:t xml:space="preserve"> </w:t>
      </w:r>
    </w:p>
    <w:p w14:paraId="4731B9C6" w14:textId="77777777" w:rsidR="002F317F" w:rsidRDefault="002F317F" w:rsidP="00E84D1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60B25B39" w14:textId="71414DB7" w:rsidR="00057963" w:rsidRPr="00A1554D" w:rsidRDefault="00B45DE2" w:rsidP="00E84D1C">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history="1">
        <w:r w:rsidRPr="00FA6246">
          <w:rPr>
            <w:rStyle w:val="Hipervnculo"/>
            <w:rFonts w:ascii="Verdana" w:hAnsi="Verdana" w:cs="Arial"/>
            <w:shd w:val="clear" w:color="auto" w:fill="FFFFFF"/>
            <w:lang w:val="es-ES"/>
          </w:rPr>
          <w:t>https://www.colombiacompra.gov.co/sala-de-prensa/boletin-digital/boletin-de-relatoria-2024-iv</w:t>
        </w:r>
      </w:hyperlink>
      <w:r>
        <w:rPr>
          <w:rStyle w:val="normaltextrun"/>
          <w:rFonts w:ascii="Verdana" w:hAnsi="Verdana" w:cs="Arial"/>
          <w:color w:val="000000" w:themeColor="text1"/>
          <w:shd w:val="clear" w:color="auto" w:fill="FFFFFF"/>
          <w:lang w:val="es-ES"/>
        </w:rPr>
        <w:t>.</w:t>
      </w:r>
      <w:r w:rsidR="00985B04">
        <w:rPr>
          <w:rStyle w:val="normaltextrun"/>
          <w:rFonts w:ascii="Verdana" w:hAnsi="Verdana" w:cs="Arial"/>
          <w:color w:val="FF0000"/>
          <w:shd w:val="clear" w:color="auto" w:fill="FFFFFF"/>
          <w:lang w:val="es-ES"/>
        </w:rPr>
        <w:t xml:space="preserve"> </w:t>
      </w:r>
      <w:r w:rsidR="00F91800">
        <w:rPr>
          <w:rStyle w:val="normaltextrun"/>
          <w:rFonts w:ascii="Verdana" w:hAnsi="Verdana" w:cs="Arial"/>
          <w:color w:val="FF0000"/>
          <w:shd w:val="clear" w:color="auto" w:fill="FFFFFF"/>
          <w:lang w:val="es-ES"/>
        </w:rPr>
        <w:t xml:space="preserve"> </w:t>
      </w:r>
      <w:r w:rsidR="00D8321A" w:rsidRPr="00A1554D">
        <w:rPr>
          <w:rStyle w:val="normaltextrun"/>
          <w:rFonts w:ascii="Verdana" w:hAnsi="Verdana" w:cs="Arial"/>
          <w:color w:val="FF0000"/>
          <w:shd w:val="clear" w:color="auto" w:fill="FFFFFF"/>
          <w:lang w:val="es-ES"/>
        </w:rPr>
        <w:t xml:space="preserve"> </w:t>
      </w:r>
      <w:r w:rsidR="00DC525E" w:rsidRPr="00A1554D">
        <w:rPr>
          <w:rStyle w:val="normaltextrun"/>
          <w:rFonts w:ascii="Verdana" w:hAnsi="Verdana" w:cs="Arial"/>
          <w:color w:val="FF0000"/>
          <w:shd w:val="clear" w:color="auto" w:fill="FFFFFF"/>
          <w:lang w:val="es-ES"/>
        </w:rPr>
        <w:t xml:space="preserve">   </w:t>
      </w:r>
    </w:p>
    <w:p w14:paraId="6FCEDC2D" w14:textId="77777777" w:rsidR="00B22870" w:rsidRPr="00593A5F" w:rsidRDefault="00B22870" w:rsidP="00E84D1C">
      <w:pPr>
        <w:widowControl w:val="0"/>
        <w:autoSpaceDE w:val="0"/>
        <w:autoSpaceDN w:val="0"/>
        <w:spacing w:after="0" w:line="276" w:lineRule="auto"/>
        <w:jc w:val="both"/>
        <w:rPr>
          <w:rFonts w:ascii="Verdana" w:hAnsi="Verdana" w:cs="Arial"/>
        </w:rPr>
      </w:pPr>
    </w:p>
    <w:p w14:paraId="61A80AFE" w14:textId="57D8F384" w:rsidR="00A91FB7" w:rsidRPr="00593A5F" w:rsidRDefault="00A91FB7" w:rsidP="00A91FB7">
      <w:pPr>
        <w:widowControl w:val="0"/>
        <w:autoSpaceDE w:val="0"/>
        <w:autoSpaceDN w:val="0"/>
        <w:spacing w:after="0" w:line="276" w:lineRule="auto"/>
        <w:jc w:val="both"/>
        <w:rPr>
          <w:rFonts w:ascii="Verdana" w:hAnsi="Verdana" w:cs="Arial"/>
          <w:lang w:val="es-ES_tradnl"/>
        </w:rPr>
      </w:pPr>
      <w:r w:rsidRPr="00593A5F">
        <w:rPr>
          <w:rFonts w:ascii="Verdana" w:hAnsi="Verdana" w:cs="Arial"/>
        </w:rPr>
        <w:t>Este concepto tiene el alcance previsto en el artículo 28 del Código de Procedimiento Administrativo y de lo Contencioso Administrativo</w:t>
      </w:r>
      <w:r w:rsidR="00172F3A" w:rsidRPr="00593A5F">
        <w:rPr>
          <w:rFonts w:ascii="Verdana" w:hAnsi="Verdana" w:cs="Arial"/>
        </w:rPr>
        <w:t xml:space="preserve"> </w:t>
      </w:r>
      <w:r w:rsidR="00172F3A" w:rsidRPr="00593A5F">
        <w:rPr>
          <w:rFonts w:ascii="Verdana" w:hAnsi="Verdana" w:cs="Arial"/>
          <w:lang w:val="es-ES_tradnl"/>
        </w:rPr>
        <w:t>y las expresiones aquí utilizadas con mayúscula inicial deben ser entendidas con el significado que les otorga el artículo 2.2.1.1.1.3.1. del Decreto 1082 de 2015.</w:t>
      </w:r>
      <w:r w:rsidR="001F1E9D">
        <w:rPr>
          <w:rFonts w:ascii="Verdana" w:hAnsi="Verdana" w:cs="Arial"/>
          <w:lang w:val="es-ES_tradnl"/>
        </w:rPr>
        <w:t xml:space="preserve"> </w:t>
      </w:r>
      <w:r w:rsidR="001F1E9D" w:rsidRPr="001F1E9D">
        <w:rPr>
          <w:rFonts w:ascii="Verdana" w:hAnsi="Verdana" w:cs="Arial"/>
          <w:lang w:val="es-ES_tradnl"/>
        </w:rPr>
        <w:lastRenderedPageBreak/>
        <w:t>De acuerdo con el inciso 3 del artículo 226 del Código General del Proceso, aplicable por remisión del artículo 241 del Código General Disciplinario, el presente oficio no tiene el valor de un dictamen pericial, pues versa sobre puntos de derecho. En consecuencia, lo decidido en torno a</w:t>
      </w:r>
      <w:r w:rsidR="001F1E9D">
        <w:rPr>
          <w:rFonts w:ascii="Verdana" w:hAnsi="Verdana" w:cs="Arial"/>
          <w:lang w:val="es-ES_tradnl"/>
        </w:rPr>
        <w:t xml:space="preserve"> </w:t>
      </w:r>
      <w:r w:rsidR="001F1E9D" w:rsidRPr="001F1E9D">
        <w:rPr>
          <w:rFonts w:ascii="Verdana" w:hAnsi="Verdana" w:cs="Arial"/>
          <w:lang w:val="es-ES_tradnl"/>
        </w:rPr>
        <w:t>l</w:t>
      </w:r>
      <w:r w:rsidR="001F1E9D">
        <w:rPr>
          <w:rFonts w:ascii="Verdana" w:hAnsi="Verdana" w:cs="Arial"/>
          <w:lang w:val="es-ES_tradnl"/>
        </w:rPr>
        <w:t>os</w:t>
      </w:r>
      <w:r w:rsidR="001F1E9D" w:rsidRPr="001F1E9D">
        <w:rPr>
          <w:rFonts w:ascii="Verdana" w:hAnsi="Verdana" w:cs="Arial"/>
          <w:lang w:val="es-ES_tradnl"/>
        </w:rPr>
        <w:t xml:space="preserve"> proceso</w:t>
      </w:r>
      <w:r w:rsidR="001F1E9D">
        <w:rPr>
          <w:rFonts w:ascii="Verdana" w:hAnsi="Verdana" w:cs="Arial"/>
          <w:lang w:val="es-ES_tradnl"/>
        </w:rPr>
        <w:t>s</w:t>
      </w:r>
      <w:r w:rsidR="001F1E9D" w:rsidRPr="001F1E9D">
        <w:rPr>
          <w:rFonts w:ascii="Verdana" w:hAnsi="Verdana" w:cs="Arial"/>
          <w:lang w:val="es-ES_tradnl"/>
        </w:rPr>
        <w:t xml:space="preserve"> de</w:t>
      </w:r>
      <w:r w:rsidR="001F1E9D">
        <w:rPr>
          <w:rFonts w:ascii="Verdana" w:hAnsi="Verdana" w:cs="Arial"/>
          <w:lang w:val="es-ES_tradnl"/>
        </w:rPr>
        <w:t xml:space="preserve"> </w:t>
      </w:r>
      <w:r w:rsidR="001F1E9D" w:rsidRPr="001F1E9D">
        <w:rPr>
          <w:rFonts w:ascii="Verdana" w:hAnsi="Verdana" w:cs="Arial"/>
          <w:lang w:val="es-ES_tradnl"/>
        </w:rPr>
        <w:t>l</w:t>
      </w:r>
      <w:r w:rsidR="001F1E9D">
        <w:rPr>
          <w:rFonts w:ascii="Verdana" w:hAnsi="Verdana" w:cs="Arial"/>
          <w:lang w:val="es-ES_tradnl"/>
        </w:rPr>
        <w:t>os</w:t>
      </w:r>
      <w:r w:rsidR="001F1E9D" w:rsidRPr="001F1E9D">
        <w:rPr>
          <w:rFonts w:ascii="Verdana" w:hAnsi="Verdana" w:cs="Arial"/>
          <w:lang w:val="es-ES_tradnl"/>
        </w:rPr>
        <w:t xml:space="preserve"> expediente</w:t>
      </w:r>
      <w:r w:rsidR="001F1E9D">
        <w:rPr>
          <w:rFonts w:ascii="Verdana" w:hAnsi="Verdana" w:cs="Arial"/>
          <w:lang w:val="es-ES_tradnl"/>
        </w:rPr>
        <w:t>s</w:t>
      </w:r>
      <w:r w:rsidR="001F1E9D" w:rsidRPr="001F1E9D">
        <w:rPr>
          <w:rFonts w:ascii="Verdana" w:hAnsi="Verdana" w:cs="Arial"/>
          <w:lang w:val="es-ES_tradnl"/>
        </w:rPr>
        <w:t xml:space="preserve"> </w:t>
      </w:r>
      <w:r w:rsidR="001F1E9D" w:rsidRPr="001F1E9D">
        <w:rPr>
          <w:rFonts w:ascii="Verdana" w:eastAsia="Calibri" w:hAnsi="Verdana" w:cs="Arial"/>
          <w:lang w:val="es-ES" w:eastAsia="es-ES"/>
        </w:rPr>
        <w:t>IUS-E-2024-582035 y IUC-D-2024-3824041</w:t>
      </w:r>
      <w:r w:rsidR="001F1E9D" w:rsidRPr="001F1E9D">
        <w:rPr>
          <w:rFonts w:ascii="Verdana" w:hAnsi="Verdana" w:cs="Arial"/>
          <w:lang w:val="es-ES_tradnl"/>
        </w:rPr>
        <w:t xml:space="preserve"> es responsabilidad única y exclusiva de la </w:t>
      </w:r>
      <w:r w:rsidR="001F1E9D">
        <w:rPr>
          <w:rFonts w:ascii="Verdana" w:eastAsia="Calibri" w:hAnsi="Verdana" w:cs="Arial"/>
          <w:lang w:val="es-ES" w:eastAsia="es-ES"/>
        </w:rPr>
        <w:t>Procuraduría General de la Nación</w:t>
      </w:r>
      <w:r w:rsidR="001F1E9D" w:rsidRPr="001F1E9D">
        <w:rPr>
          <w:rFonts w:ascii="Verdana" w:hAnsi="Verdana" w:cs="Arial"/>
          <w:lang w:val="es-ES_tradnl"/>
        </w:rPr>
        <w:t>.</w:t>
      </w:r>
    </w:p>
    <w:p w14:paraId="00BDA056" w14:textId="05BCB72C" w:rsidR="00A91FB7" w:rsidRPr="001F1E9D" w:rsidRDefault="00A91FB7" w:rsidP="00A91FB7">
      <w:pPr>
        <w:widowControl w:val="0"/>
        <w:autoSpaceDE w:val="0"/>
        <w:autoSpaceDN w:val="0"/>
        <w:spacing w:after="0" w:line="276" w:lineRule="auto"/>
        <w:jc w:val="both"/>
        <w:rPr>
          <w:rFonts w:ascii="Verdana" w:hAnsi="Verdana" w:cs="Arial"/>
          <w:lang w:val="es-ES_tradnl"/>
        </w:rPr>
      </w:pPr>
    </w:p>
    <w:p w14:paraId="3CECADB7" w14:textId="00F7F1BF" w:rsidR="00CD2E70" w:rsidRPr="00593A5F" w:rsidRDefault="00A91FB7" w:rsidP="00CD2E70">
      <w:pPr>
        <w:spacing w:after="0" w:line="240" w:lineRule="auto"/>
        <w:rPr>
          <w:rFonts w:ascii="Verdana" w:hAnsi="Verdana" w:cs="Arial"/>
          <w:lang w:eastAsia="es-CO"/>
        </w:rPr>
      </w:pPr>
      <w:r w:rsidRPr="00593A5F">
        <w:rPr>
          <w:rFonts w:ascii="Verdana" w:eastAsia="Times New Roman" w:hAnsi="Verdana" w:cs="Arial"/>
          <w:lang w:eastAsia="es-CO"/>
        </w:rPr>
        <w:t>Atentamente,</w:t>
      </w:r>
      <w:r w:rsidR="00CD2E70" w:rsidRPr="00593A5F">
        <w:rPr>
          <w:rFonts w:ascii="Verdana" w:hAnsi="Verdana" w:cs="Arial"/>
          <w:lang w:eastAsia="es-CO"/>
        </w:rPr>
        <w:t xml:space="preserve"> </w:t>
      </w:r>
    </w:p>
    <w:p w14:paraId="5ED111D5" w14:textId="42DEA547" w:rsidR="00CD2E70" w:rsidRPr="00593A5F" w:rsidRDefault="00DB2245" w:rsidP="00CD2E70">
      <w:pPr>
        <w:spacing w:line="276" w:lineRule="auto"/>
        <w:jc w:val="center"/>
        <w:rPr>
          <w:rFonts w:ascii="Verdana" w:hAnsi="Verdana" w:cs="Arial"/>
          <w:color w:val="000000"/>
          <w:lang w:val="es-ES_tradnl" w:eastAsia="es-CO"/>
        </w:rPr>
      </w:pPr>
      <w:r>
        <w:rPr>
          <w:noProof/>
        </w:rPr>
        <w:drawing>
          <wp:inline distT="0" distB="0" distL="0" distR="0" wp14:anchorId="72776B55" wp14:editId="6A5D9436">
            <wp:extent cx="3705225" cy="1590675"/>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a:picLocks noChangeAspect="1"/>
                    </pic:cNvPicPr>
                  </pic:nvPicPr>
                  <pic:blipFill>
                    <a:blip r:embed="rId16"/>
                    <a:stretch>
                      <a:fillRect/>
                    </a:stretch>
                  </pic:blipFill>
                  <pic:spPr>
                    <a:xfrm>
                      <a:off x="0" y="0"/>
                      <a:ext cx="3705225" cy="15906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2E70" w:rsidRPr="00593A5F" w14:paraId="2DBC770D" w14:textId="77777777" w:rsidTr="003751C7">
        <w:trPr>
          <w:trHeight w:val="315"/>
        </w:trPr>
        <w:tc>
          <w:tcPr>
            <w:tcW w:w="893" w:type="dxa"/>
            <w:vAlign w:val="center"/>
            <w:hideMark/>
          </w:tcPr>
          <w:p w14:paraId="15A5F5BE"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CEF9E9C" w14:textId="77777777" w:rsidR="00254A7A" w:rsidRPr="00254A7A" w:rsidRDefault="00254A7A" w:rsidP="00254A7A">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6AB49B73" w14:textId="0FA4CDFF" w:rsidR="00CD2E70" w:rsidRPr="00254A7A" w:rsidRDefault="00254A7A" w:rsidP="00254A7A">
            <w:pPr>
              <w:contextualSpacing/>
              <w:rPr>
                <w:rFonts w:ascii="Verdana" w:eastAsia="Arial" w:hAnsi="Verdana" w:cs="Arial"/>
                <w:sz w:val="16"/>
                <w:szCs w:val="16"/>
              </w:rPr>
            </w:pPr>
            <w:r w:rsidRPr="00254A7A">
              <w:rPr>
                <w:rStyle w:val="normaltextrun"/>
                <w:rFonts w:ascii="Verdana" w:hAnsi="Verdana"/>
                <w:sz w:val="16"/>
                <w:szCs w:val="16"/>
              </w:rPr>
              <w:t>Contratista de la Subdirección de Gestión Contractual</w:t>
            </w:r>
          </w:p>
        </w:tc>
      </w:tr>
      <w:tr w:rsidR="00CD2E70" w:rsidRPr="00593A5F" w14:paraId="54ECFA9D" w14:textId="77777777" w:rsidTr="003751C7">
        <w:trPr>
          <w:trHeight w:val="330"/>
        </w:trPr>
        <w:tc>
          <w:tcPr>
            <w:tcW w:w="893" w:type="dxa"/>
            <w:vAlign w:val="center"/>
            <w:hideMark/>
          </w:tcPr>
          <w:p w14:paraId="322FF342"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6C7A40D" w14:textId="77777777" w:rsidR="00E44E04" w:rsidRPr="00E44E04" w:rsidRDefault="00E44E04" w:rsidP="00E44E04">
            <w:pPr>
              <w:pStyle w:val="paragraph"/>
              <w:spacing w:after="0"/>
              <w:contextualSpacing/>
              <w:textAlignment w:val="baseline"/>
              <w:rPr>
                <w:rStyle w:val="normaltextrun"/>
                <w:rFonts w:ascii="Verdana" w:hAnsi="Verdana" w:cs="Arial"/>
                <w:sz w:val="16"/>
                <w:szCs w:val="16"/>
                <w:lang w:val="es-ES"/>
              </w:rPr>
            </w:pPr>
            <w:r w:rsidRPr="00E44E04">
              <w:rPr>
                <w:rStyle w:val="normaltextrun"/>
                <w:rFonts w:ascii="Verdana" w:hAnsi="Verdana" w:cs="Arial"/>
                <w:sz w:val="16"/>
                <w:szCs w:val="16"/>
                <w:lang w:val="es-ES"/>
              </w:rPr>
              <w:t>Alejandro Sarmiento Cantillo</w:t>
            </w:r>
          </w:p>
          <w:p w14:paraId="6B05B490" w14:textId="13ED6C1B" w:rsidR="00CD2E70" w:rsidRPr="00254A7A" w:rsidRDefault="00E44E04" w:rsidP="00E44E04">
            <w:pPr>
              <w:pStyle w:val="paragraph"/>
              <w:spacing w:before="0" w:beforeAutospacing="0" w:after="0" w:afterAutospacing="0"/>
              <w:contextualSpacing/>
              <w:textAlignment w:val="baseline"/>
              <w:rPr>
                <w:rFonts w:ascii="Verdana" w:hAnsi="Verdana" w:cs="Segoe UI"/>
                <w:sz w:val="16"/>
                <w:szCs w:val="16"/>
              </w:rPr>
            </w:pPr>
            <w:r w:rsidRPr="00E44E04">
              <w:rPr>
                <w:rStyle w:val="normaltextrun"/>
                <w:rFonts w:ascii="Verdana" w:hAnsi="Verdana" w:cs="Arial"/>
                <w:sz w:val="16"/>
                <w:szCs w:val="16"/>
                <w:lang w:val="es-ES"/>
              </w:rPr>
              <w:t>Gestor T1 ‒ 15 de la Subdirección de Gestión Contractual</w:t>
            </w:r>
          </w:p>
        </w:tc>
      </w:tr>
      <w:tr w:rsidR="00CD2E70" w:rsidRPr="00593A5F" w14:paraId="3D2C2D00" w14:textId="77777777" w:rsidTr="003751C7">
        <w:trPr>
          <w:trHeight w:val="300"/>
        </w:trPr>
        <w:tc>
          <w:tcPr>
            <w:tcW w:w="893" w:type="dxa"/>
            <w:vAlign w:val="center"/>
          </w:tcPr>
          <w:p w14:paraId="22572E15" w14:textId="77777777" w:rsidR="00CD2E70" w:rsidRPr="003751C7" w:rsidRDefault="00CD2E70" w:rsidP="0044122F">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8F9554"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706065BE" w14:textId="77777777" w:rsidR="00CD2E70" w:rsidRPr="003751C7" w:rsidRDefault="00CD2E70" w:rsidP="0044122F">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0083C991" w14:textId="62C71FF5" w:rsidR="5D8505AD" w:rsidRPr="00593A5F" w:rsidRDefault="5D8505AD" w:rsidP="00BE73FA">
      <w:pPr>
        <w:spacing w:after="0" w:line="240" w:lineRule="auto"/>
        <w:rPr>
          <w:rFonts w:ascii="Verdana" w:eastAsia="Times New Roman" w:hAnsi="Verdana" w:cs="Arial"/>
          <w:sz w:val="24"/>
          <w:szCs w:val="24"/>
          <w:lang w:eastAsia="es-ES"/>
        </w:rPr>
      </w:pPr>
    </w:p>
    <w:sectPr w:rsidR="5D8505AD" w:rsidRPr="00593A5F" w:rsidSect="00C44B4C">
      <w:headerReference w:type="default" r:id="rId17"/>
      <w:footerReference w:type="default" r:id="rId1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DD925" w14:textId="77777777" w:rsidR="008D315D" w:rsidRDefault="008D315D" w:rsidP="00B30448">
      <w:pPr>
        <w:spacing w:after="0" w:line="240" w:lineRule="auto"/>
      </w:pPr>
      <w:r>
        <w:separator/>
      </w:r>
    </w:p>
  </w:endnote>
  <w:endnote w:type="continuationSeparator" w:id="0">
    <w:p w14:paraId="28D40E1B" w14:textId="77777777" w:rsidR="008D315D" w:rsidRDefault="008D315D" w:rsidP="00B30448">
      <w:pPr>
        <w:spacing w:after="0" w:line="240" w:lineRule="auto"/>
      </w:pPr>
      <w:r>
        <w:continuationSeparator/>
      </w:r>
    </w:p>
  </w:endnote>
  <w:endnote w:type="continuationNotice" w:id="1">
    <w:p w14:paraId="7D86EA3A" w14:textId="77777777" w:rsidR="008D315D" w:rsidRDefault="008D3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C0E4" w14:textId="77777777" w:rsidR="00A81E50" w:rsidRPr="00174B77" w:rsidRDefault="00A81E50" w:rsidP="00A81E50">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FC9CAA9" w14:textId="77777777" w:rsidR="00A81E50" w:rsidRDefault="00A81E50" w:rsidP="00A81E50">
    <w:pPr>
      <w:spacing w:after="0"/>
      <w:jc w:val="both"/>
      <w:rPr>
        <w:rFonts w:ascii="Verdana" w:hAnsi="Verdana"/>
        <w:sz w:val="18"/>
        <w:szCs w:val="18"/>
      </w:rPr>
    </w:pPr>
    <w:r w:rsidRPr="00E41027">
      <w:rPr>
        <w:rFonts w:ascii="Verdana" w:hAnsi="Verdana"/>
        <w:sz w:val="18"/>
        <w:szCs w:val="18"/>
      </w:rPr>
      <w:t>Dirección: Carrera 7 # 26 – 20 - Bogotá, Colombia</w:t>
    </w:r>
  </w:p>
  <w:p w14:paraId="0B709B73" w14:textId="77777777" w:rsidR="00A81E50" w:rsidRPr="00E41027" w:rsidRDefault="00A81E50" w:rsidP="00A81E50">
    <w:pPr>
      <w:spacing w:after="0"/>
      <w:jc w:val="both"/>
      <w:rPr>
        <w:rFonts w:ascii="Verdana" w:hAnsi="Verdana"/>
        <w:sz w:val="18"/>
        <w:szCs w:val="18"/>
      </w:rPr>
    </w:pPr>
    <w:r w:rsidRPr="00E41027">
      <w:rPr>
        <w:rFonts w:ascii="Verdana" w:hAnsi="Verdana"/>
        <w:sz w:val="18"/>
        <w:szCs w:val="18"/>
      </w:rPr>
      <w:t>Mesa de servicio: (+57) 601 7456788</w:t>
    </w:r>
  </w:p>
  <w:p w14:paraId="224AB27F" w14:textId="77777777" w:rsidR="00DD7A2C" w:rsidRDefault="00A81E50" w:rsidP="00C00976">
    <w:pPr>
      <w:pBdr>
        <w:top w:val="nil"/>
        <w:left w:val="nil"/>
        <w:bottom w:val="nil"/>
        <w:right w:val="nil"/>
        <w:between w:val="nil"/>
      </w:pBdr>
      <w:tabs>
        <w:tab w:val="center" w:pos="4419"/>
        <w:tab w:val="right" w:pos="8838"/>
        <w:tab w:val="center" w:pos="5400"/>
      </w:tabs>
      <w:spacing w:after="0"/>
      <w:rPr>
        <w:rFonts w:ascii="Verdana" w:hAnsi="Verdana"/>
        <w:sz w:val="20"/>
        <w:szCs w:val="20"/>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p>
  <w:p w14:paraId="2B8DBB2A" w14:textId="26AE77D2" w:rsidR="00A81E50" w:rsidRDefault="00A81E50" w:rsidP="00DD7A2C">
    <w:pPr>
      <w:pBdr>
        <w:top w:val="nil"/>
        <w:left w:val="nil"/>
        <w:bottom w:val="nil"/>
        <w:right w:val="nil"/>
        <w:between w:val="nil"/>
      </w:pBdr>
      <w:tabs>
        <w:tab w:val="center" w:pos="4419"/>
        <w:tab w:val="right" w:pos="8838"/>
        <w:tab w:val="center" w:pos="5400"/>
      </w:tabs>
      <w:spacing w:after="0"/>
      <w:jc w:val="right"/>
    </w:pP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A348" w14:textId="77777777" w:rsidR="008D315D" w:rsidRDefault="008D315D" w:rsidP="00B30448">
      <w:pPr>
        <w:spacing w:after="0" w:line="240" w:lineRule="auto"/>
      </w:pPr>
      <w:r>
        <w:separator/>
      </w:r>
    </w:p>
  </w:footnote>
  <w:footnote w:type="continuationSeparator" w:id="0">
    <w:p w14:paraId="22198C58" w14:textId="77777777" w:rsidR="008D315D" w:rsidRDefault="008D315D" w:rsidP="00B30448">
      <w:pPr>
        <w:spacing w:after="0" w:line="240" w:lineRule="auto"/>
      </w:pPr>
      <w:r>
        <w:continuationSeparator/>
      </w:r>
    </w:p>
  </w:footnote>
  <w:footnote w:type="continuationNotice" w:id="1">
    <w:p w14:paraId="66F7ACA7" w14:textId="77777777" w:rsidR="008D315D" w:rsidRDefault="008D315D">
      <w:pPr>
        <w:spacing w:after="0" w:line="240" w:lineRule="auto"/>
      </w:pPr>
    </w:p>
  </w:footnote>
  <w:footnote w:id="2">
    <w:p w14:paraId="10895590" w14:textId="77777777" w:rsidR="002D5DFC" w:rsidRPr="00B10D41" w:rsidRDefault="002D5DFC" w:rsidP="002D5DFC">
      <w:pPr>
        <w:pStyle w:val="Textonotapie"/>
        <w:ind w:firstLine="708"/>
        <w:jc w:val="both"/>
        <w:rPr>
          <w:rFonts w:ascii="Verdana" w:hAnsi="Verdana" w:cs="Arial"/>
          <w:sz w:val="16"/>
          <w:szCs w:val="16"/>
        </w:rPr>
      </w:pPr>
      <w:r w:rsidRPr="00B10D41">
        <w:rPr>
          <w:rStyle w:val="Refdenotaalpie"/>
          <w:rFonts w:ascii="Verdana" w:hAnsi="Verdana" w:cs="Arial"/>
          <w:sz w:val="16"/>
          <w:szCs w:val="16"/>
        </w:rPr>
        <w:footnoteRef/>
      </w:r>
      <w:r w:rsidRPr="00B10D41">
        <w:rPr>
          <w:rFonts w:ascii="Verdana" w:hAnsi="Verdana" w:cs="Arial"/>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B10D41">
        <w:rPr>
          <w:rFonts w:ascii="Verdana" w:hAnsi="Verdana" w:cs="Arial"/>
          <w:i/>
          <w:iCs/>
          <w:sz w:val="16"/>
          <w:szCs w:val="16"/>
        </w:rPr>
        <w:t xml:space="preserve">ibidem </w:t>
      </w:r>
      <w:r w:rsidRPr="00B10D41">
        <w:rPr>
          <w:rFonts w:ascii="Verdana" w:hAnsi="Verdana"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FEEE385" w14:textId="77777777" w:rsidR="00B33BA7" w:rsidRPr="00003BC7" w:rsidRDefault="00B33BA7" w:rsidP="00B33BA7">
      <w:pPr>
        <w:pStyle w:val="Textonotapie"/>
        <w:ind w:firstLine="720"/>
        <w:jc w:val="both"/>
        <w:rPr>
          <w:rFonts w:ascii="Century Gothic" w:hAnsi="Century Gothic" w:cs="Arial"/>
          <w:sz w:val="16"/>
          <w:szCs w:val="16"/>
        </w:rPr>
      </w:pPr>
      <w:r w:rsidRPr="00003BC7">
        <w:rPr>
          <w:rStyle w:val="Refdenotaalpie"/>
          <w:rFonts w:ascii="Century Gothic" w:hAnsi="Century Gothic" w:cs="Arial"/>
          <w:sz w:val="16"/>
          <w:szCs w:val="16"/>
        </w:rPr>
        <w:footnoteRef/>
      </w:r>
      <w:r w:rsidRPr="00003BC7">
        <w:rPr>
          <w:rFonts w:ascii="Century Gothic" w:hAnsi="Century Gothic" w:cs="Arial"/>
          <w:sz w:val="16"/>
          <w:szCs w:val="16"/>
        </w:rPr>
        <w:t xml:space="preserve"> CORTE CONSTITUCIONAL. Sentencia C-949 del 5 de septiembre de 2001. M.P. 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9BFF" w14:textId="77777777" w:rsidR="00006F59" w:rsidRDefault="00006F59" w:rsidP="00006F59">
    <w:pPr>
      <w:pStyle w:val="Encabezado"/>
    </w:pPr>
    <w:r>
      <w:rPr>
        <w:rFonts w:ascii="Geomanist Bold" w:hAnsi="Geomanist Bold"/>
        <w:b/>
        <w:bCs/>
        <w:noProof/>
        <w:color w:val="002060"/>
        <w:sz w:val="24"/>
        <w:szCs w:val="24"/>
      </w:rPr>
      <w:drawing>
        <wp:anchor distT="0" distB="0" distL="114300" distR="114300" simplePos="0" relativeHeight="251659776" behindDoc="1" locked="0" layoutInCell="1" allowOverlap="1" wp14:anchorId="4812B632" wp14:editId="2E35C64A">
          <wp:simplePos x="0" y="0"/>
          <wp:positionH relativeFrom="margin">
            <wp:align>center</wp:align>
          </wp:positionH>
          <wp:positionV relativeFrom="paragraph">
            <wp:posOffset>-250190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4656" behindDoc="0" locked="0" layoutInCell="1" allowOverlap="1" wp14:anchorId="292DC36A" wp14:editId="6004C65E">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9914" name="Imagen 962149914" descr="Imagen en blanco y negr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34B171C2" w14:textId="77777777" w:rsidR="00006F59" w:rsidRDefault="00006F59" w:rsidP="00006F59">
    <w:pPr>
      <w:pStyle w:val="Encabezado"/>
      <w:jc w:val="center"/>
    </w:pPr>
  </w:p>
  <w:p w14:paraId="1665FD71" w14:textId="77777777" w:rsidR="00006F59" w:rsidRDefault="00006F59" w:rsidP="00006F59">
    <w:pPr>
      <w:pStyle w:val="Encabezado"/>
    </w:pPr>
  </w:p>
  <w:p w14:paraId="61B882FC" w14:textId="77777777" w:rsidR="00006F59" w:rsidRDefault="00006F59" w:rsidP="00006F59">
    <w:pPr>
      <w:spacing w:after="0"/>
      <w:rPr>
        <w:rFonts w:ascii="Verdana" w:hAnsi="Verdana"/>
        <w:b/>
        <w:bCs/>
        <w:sz w:val="24"/>
        <w:szCs w:val="24"/>
      </w:rPr>
    </w:pPr>
  </w:p>
  <w:p w14:paraId="701A9D55" w14:textId="29EB49FC" w:rsidR="00006F59" w:rsidRPr="00A211EE" w:rsidRDefault="00006F59" w:rsidP="001918F1">
    <w:pPr>
      <w:tabs>
        <w:tab w:val="left" w:pos="6217"/>
      </w:tabs>
      <w:spacing w:after="0"/>
      <w:rPr>
        <w:rFonts w:ascii="Verdana" w:hAnsi="Verdana"/>
        <w:b/>
        <w:bCs/>
        <w:sz w:val="24"/>
        <w:szCs w:val="24"/>
      </w:rPr>
    </w:pPr>
    <w:r w:rsidRPr="00A211EE">
      <w:rPr>
        <w:rFonts w:ascii="Verdana" w:hAnsi="Verdana"/>
        <w:b/>
        <w:bCs/>
        <w:sz w:val="24"/>
        <w:szCs w:val="24"/>
      </w:rPr>
      <w:t>FORMATO PQRSD</w:t>
    </w:r>
  </w:p>
  <w:p w14:paraId="68E0C024" w14:textId="62811F13" w:rsidR="00B30448" w:rsidRPr="00006F59" w:rsidRDefault="00B30448" w:rsidP="000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4511AA"/>
    <w:multiLevelType w:val="hybridMultilevel"/>
    <w:tmpl w:val="BDD876F8"/>
    <w:lvl w:ilvl="0" w:tplc="71B6B170">
      <w:numFmt w:val="bullet"/>
      <w:lvlText w:val="–"/>
      <w:lvlJc w:val="left"/>
      <w:pPr>
        <w:ind w:left="1069" w:hanging="360"/>
      </w:pPr>
      <w:rPr>
        <w:rFonts w:ascii="Verdana" w:eastAsiaTheme="minorHAnsi" w:hAnsi="Verdana"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7C190BA4"/>
    <w:multiLevelType w:val="hybridMultilevel"/>
    <w:tmpl w:val="2ED2866E"/>
    <w:lvl w:ilvl="0" w:tplc="AA806230">
      <w:start w:val="1"/>
      <w:numFmt w:val="decimal"/>
      <w:lvlText w:val="%1."/>
      <w:lvlJc w:val="left"/>
      <w:pPr>
        <w:ind w:left="1028" w:hanging="221"/>
      </w:pPr>
      <w:rPr>
        <w:rFonts w:ascii="Arial" w:eastAsia="Arial" w:hAnsi="Arial" w:cs="Arial" w:hint="default"/>
        <w:color w:val="auto"/>
        <w:spacing w:val="-2"/>
        <w:w w:val="100"/>
        <w:sz w:val="22"/>
        <w:szCs w:val="22"/>
        <w:lang w:val="es-ES" w:eastAsia="es-ES" w:bidi="es-ES"/>
      </w:rPr>
    </w:lvl>
    <w:lvl w:ilvl="1" w:tplc="053E5822">
      <w:numFmt w:val="bullet"/>
      <w:lvlText w:val="•"/>
      <w:lvlJc w:val="left"/>
      <w:pPr>
        <w:ind w:left="1846" w:hanging="221"/>
      </w:pPr>
      <w:rPr>
        <w:rFonts w:hint="default"/>
        <w:lang w:val="es-ES" w:eastAsia="es-ES" w:bidi="es-ES"/>
      </w:rPr>
    </w:lvl>
    <w:lvl w:ilvl="2" w:tplc="90242A8E">
      <w:numFmt w:val="bullet"/>
      <w:lvlText w:val="•"/>
      <w:lvlJc w:val="left"/>
      <w:pPr>
        <w:ind w:left="2672" w:hanging="221"/>
      </w:pPr>
      <w:rPr>
        <w:rFonts w:hint="default"/>
        <w:lang w:val="es-ES" w:eastAsia="es-ES" w:bidi="es-ES"/>
      </w:rPr>
    </w:lvl>
    <w:lvl w:ilvl="3" w:tplc="E160CF42">
      <w:numFmt w:val="bullet"/>
      <w:lvlText w:val="•"/>
      <w:lvlJc w:val="left"/>
      <w:pPr>
        <w:ind w:left="3498" w:hanging="221"/>
      </w:pPr>
      <w:rPr>
        <w:rFonts w:hint="default"/>
        <w:lang w:val="es-ES" w:eastAsia="es-ES" w:bidi="es-ES"/>
      </w:rPr>
    </w:lvl>
    <w:lvl w:ilvl="4" w:tplc="9B26973A">
      <w:numFmt w:val="bullet"/>
      <w:lvlText w:val="•"/>
      <w:lvlJc w:val="left"/>
      <w:pPr>
        <w:ind w:left="4324" w:hanging="221"/>
      </w:pPr>
      <w:rPr>
        <w:rFonts w:hint="default"/>
        <w:lang w:val="es-ES" w:eastAsia="es-ES" w:bidi="es-ES"/>
      </w:rPr>
    </w:lvl>
    <w:lvl w:ilvl="5" w:tplc="017409CE">
      <w:numFmt w:val="bullet"/>
      <w:lvlText w:val="•"/>
      <w:lvlJc w:val="left"/>
      <w:pPr>
        <w:ind w:left="5150" w:hanging="221"/>
      </w:pPr>
      <w:rPr>
        <w:rFonts w:hint="default"/>
        <w:lang w:val="es-ES" w:eastAsia="es-ES" w:bidi="es-ES"/>
      </w:rPr>
    </w:lvl>
    <w:lvl w:ilvl="6" w:tplc="870EC5D4">
      <w:numFmt w:val="bullet"/>
      <w:lvlText w:val="•"/>
      <w:lvlJc w:val="left"/>
      <w:pPr>
        <w:ind w:left="5976" w:hanging="221"/>
      </w:pPr>
      <w:rPr>
        <w:rFonts w:hint="default"/>
        <w:lang w:val="es-ES" w:eastAsia="es-ES" w:bidi="es-ES"/>
      </w:rPr>
    </w:lvl>
    <w:lvl w:ilvl="7" w:tplc="F4B4208E">
      <w:numFmt w:val="bullet"/>
      <w:lvlText w:val="•"/>
      <w:lvlJc w:val="left"/>
      <w:pPr>
        <w:ind w:left="6802" w:hanging="221"/>
      </w:pPr>
      <w:rPr>
        <w:rFonts w:hint="default"/>
        <w:lang w:val="es-ES" w:eastAsia="es-ES" w:bidi="es-ES"/>
      </w:rPr>
    </w:lvl>
    <w:lvl w:ilvl="8" w:tplc="55B09E2E">
      <w:numFmt w:val="bullet"/>
      <w:lvlText w:val="•"/>
      <w:lvlJc w:val="left"/>
      <w:pPr>
        <w:ind w:left="7628" w:hanging="221"/>
      </w:pPr>
      <w:rPr>
        <w:rFonts w:hint="default"/>
        <w:lang w:val="es-ES" w:eastAsia="es-ES" w:bidi="es-ES"/>
      </w:rPr>
    </w:lvl>
  </w:abstractNum>
  <w:num w:numId="1" w16cid:durableId="1330140246">
    <w:abstractNumId w:val="0"/>
  </w:num>
  <w:num w:numId="2" w16cid:durableId="1492209491">
    <w:abstractNumId w:val="2"/>
  </w:num>
  <w:num w:numId="3" w16cid:durableId="679089576">
    <w:abstractNumId w:val="3"/>
  </w:num>
  <w:num w:numId="4" w16cid:durableId="1354501995">
    <w:abstractNumId w:val="5"/>
  </w:num>
  <w:num w:numId="5" w16cid:durableId="876742304">
    <w:abstractNumId w:val="1"/>
  </w:num>
  <w:num w:numId="6" w16cid:durableId="658970328">
    <w:abstractNumId w:val="4"/>
  </w:num>
  <w:num w:numId="7" w16cid:durableId="2029864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48"/>
    <w:rsid w:val="000059AE"/>
    <w:rsid w:val="00005BB0"/>
    <w:rsid w:val="00005DE5"/>
    <w:rsid w:val="00006F59"/>
    <w:rsid w:val="0001025F"/>
    <w:rsid w:val="00010325"/>
    <w:rsid w:val="0001222D"/>
    <w:rsid w:val="00016280"/>
    <w:rsid w:val="00016F04"/>
    <w:rsid w:val="000307C2"/>
    <w:rsid w:val="00031EAF"/>
    <w:rsid w:val="00033390"/>
    <w:rsid w:val="0003586C"/>
    <w:rsid w:val="0004141B"/>
    <w:rsid w:val="00042DD7"/>
    <w:rsid w:val="000442CC"/>
    <w:rsid w:val="0005620B"/>
    <w:rsid w:val="00057963"/>
    <w:rsid w:val="00060C87"/>
    <w:rsid w:val="00065C6D"/>
    <w:rsid w:val="000716AB"/>
    <w:rsid w:val="00071AB8"/>
    <w:rsid w:val="00084609"/>
    <w:rsid w:val="00087073"/>
    <w:rsid w:val="00087C01"/>
    <w:rsid w:val="000914CC"/>
    <w:rsid w:val="000939AB"/>
    <w:rsid w:val="00094663"/>
    <w:rsid w:val="000B1FF7"/>
    <w:rsid w:val="000B4024"/>
    <w:rsid w:val="000C060A"/>
    <w:rsid w:val="000C09DF"/>
    <w:rsid w:val="000C42A9"/>
    <w:rsid w:val="000F1AD8"/>
    <w:rsid w:val="000F414C"/>
    <w:rsid w:val="000F718E"/>
    <w:rsid w:val="001010D3"/>
    <w:rsid w:val="001024B0"/>
    <w:rsid w:val="0011037E"/>
    <w:rsid w:val="00110F73"/>
    <w:rsid w:val="00113E3D"/>
    <w:rsid w:val="0011428D"/>
    <w:rsid w:val="001264C2"/>
    <w:rsid w:val="0013326A"/>
    <w:rsid w:val="0013343F"/>
    <w:rsid w:val="001344F9"/>
    <w:rsid w:val="001350C8"/>
    <w:rsid w:val="001363C7"/>
    <w:rsid w:val="00143F21"/>
    <w:rsid w:val="0014420C"/>
    <w:rsid w:val="00151AD8"/>
    <w:rsid w:val="00161E13"/>
    <w:rsid w:val="00164AE0"/>
    <w:rsid w:val="001711F6"/>
    <w:rsid w:val="0017120C"/>
    <w:rsid w:val="00172DDC"/>
    <w:rsid w:val="00172F3A"/>
    <w:rsid w:val="00173477"/>
    <w:rsid w:val="00182C89"/>
    <w:rsid w:val="001918F1"/>
    <w:rsid w:val="0019196E"/>
    <w:rsid w:val="00197205"/>
    <w:rsid w:val="001A3D89"/>
    <w:rsid w:val="001B143B"/>
    <w:rsid w:val="001B21CA"/>
    <w:rsid w:val="001B3B84"/>
    <w:rsid w:val="001B5A00"/>
    <w:rsid w:val="001C002C"/>
    <w:rsid w:val="001C3E6F"/>
    <w:rsid w:val="001C6C6F"/>
    <w:rsid w:val="001D0D32"/>
    <w:rsid w:val="001D1AB9"/>
    <w:rsid w:val="001D733B"/>
    <w:rsid w:val="001E075A"/>
    <w:rsid w:val="001E0902"/>
    <w:rsid w:val="001E3FCB"/>
    <w:rsid w:val="001F1E9D"/>
    <w:rsid w:val="002000AA"/>
    <w:rsid w:val="00204109"/>
    <w:rsid w:val="00212897"/>
    <w:rsid w:val="00213863"/>
    <w:rsid w:val="00215516"/>
    <w:rsid w:val="002204BF"/>
    <w:rsid w:val="00222802"/>
    <w:rsid w:val="002267D2"/>
    <w:rsid w:val="00235F30"/>
    <w:rsid w:val="002407CE"/>
    <w:rsid w:val="00243975"/>
    <w:rsid w:val="002450F2"/>
    <w:rsid w:val="00247BDE"/>
    <w:rsid w:val="002509E7"/>
    <w:rsid w:val="00254A7A"/>
    <w:rsid w:val="0025575F"/>
    <w:rsid w:val="00257DE3"/>
    <w:rsid w:val="00264C7C"/>
    <w:rsid w:val="00267E23"/>
    <w:rsid w:val="00270443"/>
    <w:rsid w:val="00270EE2"/>
    <w:rsid w:val="00272A7B"/>
    <w:rsid w:val="00273527"/>
    <w:rsid w:val="00274B06"/>
    <w:rsid w:val="002770C3"/>
    <w:rsid w:val="00286BFE"/>
    <w:rsid w:val="00286DBB"/>
    <w:rsid w:val="0028709F"/>
    <w:rsid w:val="00297785"/>
    <w:rsid w:val="002A0F8D"/>
    <w:rsid w:val="002A30BA"/>
    <w:rsid w:val="002B3F1C"/>
    <w:rsid w:val="002B6E44"/>
    <w:rsid w:val="002C7E5B"/>
    <w:rsid w:val="002D5DFC"/>
    <w:rsid w:val="002E26E8"/>
    <w:rsid w:val="002E5466"/>
    <w:rsid w:val="002F188D"/>
    <w:rsid w:val="002F317F"/>
    <w:rsid w:val="002F7AA9"/>
    <w:rsid w:val="00302A49"/>
    <w:rsid w:val="00312A21"/>
    <w:rsid w:val="00314FAF"/>
    <w:rsid w:val="003268BE"/>
    <w:rsid w:val="00327D10"/>
    <w:rsid w:val="00332CB9"/>
    <w:rsid w:val="0033601B"/>
    <w:rsid w:val="00340039"/>
    <w:rsid w:val="00340DFB"/>
    <w:rsid w:val="003422BB"/>
    <w:rsid w:val="00343B47"/>
    <w:rsid w:val="0034404F"/>
    <w:rsid w:val="00345F01"/>
    <w:rsid w:val="0035073D"/>
    <w:rsid w:val="00352327"/>
    <w:rsid w:val="00352975"/>
    <w:rsid w:val="0035635F"/>
    <w:rsid w:val="003617AE"/>
    <w:rsid w:val="003651AC"/>
    <w:rsid w:val="00366120"/>
    <w:rsid w:val="00367462"/>
    <w:rsid w:val="00370507"/>
    <w:rsid w:val="00372A01"/>
    <w:rsid w:val="003751C7"/>
    <w:rsid w:val="0037563C"/>
    <w:rsid w:val="0039082A"/>
    <w:rsid w:val="0039101F"/>
    <w:rsid w:val="00396DBB"/>
    <w:rsid w:val="003974BC"/>
    <w:rsid w:val="003A6E29"/>
    <w:rsid w:val="003C0F87"/>
    <w:rsid w:val="003C4C96"/>
    <w:rsid w:val="003C55E0"/>
    <w:rsid w:val="003D0079"/>
    <w:rsid w:val="003E0E25"/>
    <w:rsid w:val="003F5B9F"/>
    <w:rsid w:val="00403634"/>
    <w:rsid w:val="00404592"/>
    <w:rsid w:val="0040544F"/>
    <w:rsid w:val="00411593"/>
    <w:rsid w:val="00411B17"/>
    <w:rsid w:val="0041222D"/>
    <w:rsid w:val="00415608"/>
    <w:rsid w:val="0042057C"/>
    <w:rsid w:val="00420D9C"/>
    <w:rsid w:val="00421401"/>
    <w:rsid w:val="00421608"/>
    <w:rsid w:val="004408C4"/>
    <w:rsid w:val="00447595"/>
    <w:rsid w:val="00450744"/>
    <w:rsid w:val="00450BE7"/>
    <w:rsid w:val="00455B00"/>
    <w:rsid w:val="00477459"/>
    <w:rsid w:val="0048026E"/>
    <w:rsid w:val="004807A9"/>
    <w:rsid w:val="004813EE"/>
    <w:rsid w:val="00485702"/>
    <w:rsid w:val="00487069"/>
    <w:rsid w:val="00491241"/>
    <w:rsid w:val="00493278"/>
    <w:rsid w:val="00497345"/>
    <w:rsid w:val="00497575"/>
    <w:rsid w:val="004A56BA"/>
    <w:rsid w:val="004A5849"/>
    <w:rsid w:val="004B06C3"/>
    <w:rsid w:val="004B0B09"/>
    <w:rsid w:val="004B140F"/>
    <w:rsid w:val="004B5D6E"/>
    <w:rsid w:val="004C1619"/>
    <w:rsid w:val="004C4EA2"/>
    <w:rsid w:val="004C60E7"/>
    <w:rsid w:val="004D11AF"/>
    <w:rsid w:val="004E2F60"/>
    <w:rsid w:val="004E461B"/>
    <w:rsid w:val="004F0D0D"/>
    <w:rsid w:val="004F0D19"/>
    <w:rsid w:val="004F62E8"/>
    <w:rsid w:val="004F78F8"/>
    <w:rsid w:val="005019AA"/>
    <w:rsid w:val="00501E29"/>
    <w:rsid w:val="00502307"/>
    <w:rsid w:val="00510F54"/>
    <w:rsid w:val="005147DA"/>
    <w:rsid w:val="00515745"/>
    <w:rsid w:val="00516942"/>
    <w:rsid w:val="005233F3"/>
    <w:rsid w:val="0052365C"/>
    <w:rsid w:val="00525B59"/>
    <w:rsid w:val="00533DBF"/>
    <w:rsid w:val="00536442"/>
    <w:rsid w:val="005426DB"/>
    <w:rsid w:val="00550113"/>
    <w:rsid w:val="0055082B"/>
    <w:rsid w:val="0055211C"/>
    <w:rsid w:val="00552B57"/>
    <w:rsid w:val="00582197"/>
    <w:rsid w:val="005872DD"/>
    <w:rsid w:val="00590E93"/>
    <w:rsid w:val="00591C75"/>
    <w:rsid w:val="00592D10"/>
    <w:rsid w:val="00593A5F"/>
    <w:rsid w:val="00595E02"/>
    <w:rsid w:val="005A4DB0"/>
    <w:rsid w:val="005A6AC2"/>
    <w:rsid w:val="005A7B26"/>
    <w:rsid w:val="005A7B8E"/>
    <w:rsid w:val="005B012B"/>
    <w:rsid w:val="005B0C87"/>
    <w:rsid w:val="005B2195"/>
    <w:rsid w:val="005B552C"/>
    <w:rsid w:val="005B6557"/>
    <w:rsid w:val="005B7798"/>
    <w:rsid w:val="005C3E9E"/>
    <w:rsid w:val="005D5BDC"/>
    <w:rsid w:val="005D72FC"/>
    <w:rsid w:val="005E1218"/>
    <w:rsid w:val="005E2281"/>
    <w:rsid w:val="005E667C"/>
    <w:rsid w:val="005E6A1D"/>
    <w:rsid w:val="005E6F12"/>
    <w:rsid w:val="005F077C"/>
    <w:rsid w:val="005F2163"/>
    <w:rsid w:val="006040CE"/>
    <w:rsid w:val="0060467D"/>
    <w:rsid w:val="00607390"/>
    <w:rsid w:val="00612A8E"/>
    <w:rsid w:val="00623BC7"/>
    <w:rsid w:val="00627788"/>
    <w:rsid w:val="006300CD"/>
    <w:rsid w:val="0063017E"/>
    <w:rsid w:val="00631D4F"/>
    <w:rsid w:val="0064019C"/>
    <w:rsid w:val="006413D8"/>
    <w:rsid w:val="00656385"/>
    <w:rsid w:val="0066351C"/>
    <w:rsid w:val="00664693"/>
    <w:rsid w:val="006651CC"/>
    <w:rsid w:val="00670702"/>
    <w:rsid w:val="006759B0"/>
    <w:rsid w:val="00677012"/>
    <w:rsid w:val="006825B4"/>
    <w:rsid w:val="006829BA"/>
    <w:rsid w:val="00682AF2"/>
    <w:rsid w:val="00684AB8"/>
    <w:rsid w:val="00687628"/>
    <w:rsid w:val="006A3C8A"/>
    <w:rsid w:val="006A3E61"/>
    <w:rsid w:val="006A6737"/>
    <w:rsid w:val="006C262B"/>
    <w:rsid w:val="006C7535"/>
    <w:rsid w:val="006E0443"/>
    <w:rsid w:val="006E0DCF"/>
    <w:rsid w:val="006E429F"/>
    <w:rsid w:val="006E6F30"/>
    <w:rsid w:val="006E7258"/>
    <w:rsid w:val="006F193C"/>
    <w:rsid w:val="006F2B89"/>
    <w:rsid w:val="006F3B81"/>
    <w:rsid w:val="006F4F79"/>
    <w:rsid w:val="00702BC3"/>
    <w:rsid w:val="007036FE"/>
    <w:rsid w:val="00705B37"/>
    <w:rsid w:val="00706A29"/>
    <w:rsid w:val="00706B65"/>
    <w:rsid w:val="00707C1A"/>
    <w:rsid w:val="0071023D"/>
    <w:rsid w:val="007168A0"/>
    <w:rsid w:val="00717762"/>
    <w:rsid w:val="007222AB"/>
    <w:rsid w:val="00741175"/>
    <w:rsid w:val="0074173A"/>
    <w:rsid w:val="00742606"/>
    <w:rsid w:val="0074323F"/>
    <w:rsid w:val="007441FF"/>
    <w:rsid w:val="007467E4"/>
    <w:rsid w:val="00747569"/>
    <w:rsid w:val="0075741A"/>
    <w:rsid w:val="00760EED"/>
    <w:rsid w:val="00761F4F"/>
    <w:rsid w:val="00762B8B"/>
    <w:rsid w:val="00772B41"/>
    <w:rsid w:val="00773F1E"/>
    <w:rsid w:val="00781D35"/>
    <w:rsid w:val="00782E10"/>
    <w:rsid w:val="007946EC"/>
    <w:rsid w:val="00797131"/>
    <w:rsid w:val="00797235"/>
    <w:rsid w:val="007A5ACE"/>
    <w:rsid w:val="007A6528"/>
    <w:rsid w:val="007B0339"/>
    <w:rsid w:val="007B3F87"/>
    <w:rsid w:val="007C2E98"/>
    <w:rsid w:val="007C2F60"/>
    <w:rsid w:val="007C4BB0"/>
    <w:rsid w:val="007C6BC6"/>
    <w:rsid w:val="007C7E01"/>
    <w:rsid w:val="007E2419"/>
    <w:rsid w:val="007E6C0C"/>
    <w:rsid w:val="007F038C"/>
    <w:rsid w:val="007F222B"/>
    <w:rsid w:val="007F3092"/>
    <w:rsid w:val="007F5911"/>
    <w:rsid w:val="00801A0E"/>
    <w:rsid w:val="0080662C"/>
    <w:rsid w:val="00807D79"/>
    <w:rsid w:val="00811DAC"/>
    <w:rsid w:val="00814178"/>
    <w:rsid w:val="008143CD"/>
    <w:rsid w:val="008149D8"/>
    <w:rsid w:val="0082456D"/>
    <w:rsid w:val="00834EA4"/>
    <w:rsid w:val="00837C6A"/>
    <w:rsid w:val="0084139B"/>
    <w:rsid w:val="008427D3"/>
    <w:rsid w:val="008457D2"/>
    <w:rsid w:val="00846212"/>
    <w:rsid w:val="008468E0"/>
    <w:rsid w:val="00852ADD"/>
    <w:rsid w:val="0085309C"/>
    <w:rsid w:val="0085423D"/>
    <w:rsid w:val="008544C5"/>
    <w:rsid w:val="00861C6C"/>
    <w:rsid w:val="008636EE"/>
    <w:rsid w:val="008638A5"/>
    <w:rsid w:val="008706A7"/>
    <w:rsid w:val="008755E7"/>
    <w:rsid w:val="00877D03"/>
    <w:rsid w:val="00877E96"/>
    <w:rsid w:val="00887B37"/>
    <w:rsid w:val="00890598"/>
    <w:rsid w:val="0089065A"/>
    <w:rsid w:val="00891DFC"/>
    <w:rsid w:val="008A4AEC"/>
    <w:rsid w:val="008A6440"/>
    <w:rsid w:val="008B2B19"/>
    <w:rsid w:val="008B3627"/>
    <w:rsid w:val="008B7914"/>
    <w:rsid w:val="008C2C7F"/>
    <w:rsid w:val="008C5D2A"/>
    <w:rsid w:val="008C7AF4"/>
    <w:rsid w:val="008D0AB0"/>
    <w:rsid w:val="008D0DEF"/>
    <w:rsid w:val="008D1079"/>
    <w:rsid w:val="008D315D"/>
    <w:rsid w:val="008D3994"/>
    <w:rsid w:val="008D663C"/>
    <w:rsid w:val="008E6AD9"/>
    <w:rsid w:val="008F27E3"/>
    <w:rsid w:val="008F3AC3"/>
    <w:rsid w:val="0090408E"/>
    <w:rsid w:val="009050B7"/>
    <w:rsid w:val="009061B8"/>
    <w:rsid w:val="00911B03"/>
    <w:rsid w:val="00915CD5"/>
    <w:rsid w:val="00916093"/>
    <w:rsid w:val="0091639C"/>
    <w:rsid w:val="009255FA"/>
    <w:rsid w:val="009262E4"/>
    <w:rsid w:val="00930BB6"/>
    <w:rsid w:val="00932E7E"/>
    <w:rsid w:val="009331E8"/>
    <w:rsid w:val="009442E8"/>
    <w:rsid w:val="00947235"/>
    <w:rsid w:val="00952524"/>
    <w:rsid w:val="0095426C"/>
    <w:rsid w:val="00957CC8"/>
    <w:rsid w:val="00964166"/>
    <w:rsid w:val="00964D1A"/>
    <w:rsid w:val="0096562A"/>
    <w:rsid w:val="00965865"/>
    <w:rsid w:val="00967730"/>
    <w:rsid w:val="00971074"/>
    <w:rsid w:val="00971515"/>
    <w:rsid w:val="009747AA"/>
    <w:rsid w:val="00974BCB"/>
    <w:rsid w:val="00985B04"/>
    <w:rsid w:val="00992986"/>
    <w:rsid w:val="00994B55"/>
    <w:rsid w:val="00995D86"/>
    <w:rsid w:val="009A1F6B"/>
    <w:rsid w:val="009A25E0"/>
    <w:rsid w:val="009A2AEB"/>
    <w:rsid w:val="009A2DD8"/>
    <w:rsid w:val="009A5453"/>
    <w:rsid w:val="009A671E"/>
    <w:rsid w:val="009A7883"/>
    <w:rsid w:val="009C08D7"/>
    <w:rsid w:val="009C4E0D"/>
    <w:rsid w:val="009D3E06"/>
    <w:rsid w:val="009D638D"/>
    <w:rsid w:val="009D79EE"/>
    <w:rsid w:val="009E03E6"/>
    <w:rsid w:val="009E1E37"/>
    <w:rsid w:val="009E212A"/>
    <w:rsid w:val="009E4885"/>
    <w:rsid w:val="009F0A85"/>
    <w:rsid w:val="009F1423"/>
    <w:rsid w:val="009F2D84"/>
    <w:rsid w:val="00A07924"/>
    <w:rsid w:val="00A07A23"/>
    <w:rsid w:val="00A07DB6"/>
    <w:rsid w:val="00A11406"/>
    <w:rsid w:val="00A1554D"/>
    <w:rsid w:val="00A172E0"/>
    <w:rsid w:val="00A221A3"/>
    <w:rsid w:val="00A223D5"/>
    <w:rsid w:val="00A31E14"/>
    <w:rsid w:val="00A34B7E"/>
    <w:rsid w:val="00A3718B"/>
    <w:rsid w:val="00A37D1C"/>
    <w:rsid w:val="00A37E44"/>
    <w:rsid w:val="00A41FEF"/>
    <w:rsid w:val="00A43636"/>
    <w:rsid w:val="00A47249"/>
    <w:rsid w:val="00A513FD"/>
    <w:rsid w:val="00A53865"/>
    <w:rsid w:val="00A539AD"/>
    <w:rsid w:val="00A540B2"/>
    <w:rsid w:val="00A5530A"/>
    <w:rsid w:val="00A652FF"/>
    <w:rsid w:val="00A714A3"/>
    <w:rsid w:val="00A75EDC"/>
    <w:rsid w:val="00A81E50"/>
    <w:rsid w:val="00A83E49"/>
    <w:rsid w:val="00A84221"/>
    <w:rsid w:val="00A84B7A"/>
    <w:rsid w:val="00A9099E"/>
    <w:rsid w:val="00A91FB7"/>
    <w:rsid w:val="00A9298F"/>
    <w:rsid w:val="00A97F2A"/>
    <w:rsid w:val="00AB1984"/>
    <w:rsid w:val="00AB219D"/>
    <w:rsid w:val="00AB320B"/>
    <w:rsid w:val="00AC4CB3"/>
    <w:rsid w:val="00AC71A6"/>
    <w:rsid w:val="00AC742F"/>
    <w:rsid w:val="00AC774F"/>
    <w:rsid w:val="00AC780D"/>
    <w:rsid w:val="00AC787B"/>
    <w:rsid w:val="00AF1117"/>
    <w:rsid w:val="00AF1555"/>
    <w:rsid w:val="00AF3D62"/>
    <w:rsid w:val="00AF5877"/>
    <w:rsid w:val="00B0104B"/>
    <w:rsid w:val="00B021E0"/>
    <w:rsid w:val="00B03A35"/>
    <w:rsid w:val="00B057B6"/>
    <w:rsid w:val="00B11C80"/>
    <w:rsid w:val="00B13B58"/>
    <w:rsid w:val="00B22870"/>
    <w:rsid w:val="00B235A9"/>
    <w:rsid w:val="00B24BA7"/>
    <w:rsid w:val="00B268D0"/>
    <w:rsid w:val="00B30448"/>
    <w:rsid w:val="00B31315"/>
    <w:rsid w:val="00B33BA7"/>
    <w:rsid w:val="00B40162"/>
    <w:rsid w:val="00B430F6"/>
    <w:rsid w:val="00B45528"/>
    <w:rsid w:val="00B45DE2"/>
    <w:rsid w:val="00B478FA"/>
    <w:rsid w:val="00B50156"/>
    <w:rsid w:val="00B518AD"/>
    <w:rsid w:val="00B54BCA"/>
    <w:rsid w:val="00B60A96"/>
    <w:rsid w:val="00B60EB6"/>
    <w:rsid w:val="00B6323A"/>
    <w:rsid w:val="00B71607"/>
    <w:rsid w:val="00B7658B"/>
    <w:rsid w:val="00B76C94"/>
    <w:rsid w:val="00B772D0"/>
    <w:rsid w:val="00B83117"/>
    <w:rsid w:val="00B86B56"/>
    <w:rsid w:val="00B91B81"/>
    <w:rsid w:val="00B92624"/>
    <w:rsid w:val="00B96799"/>
    <w:rsid w:val="00BA0584"/>
    <w:rsid w:val="00BA249D"/>
    <w:rsid w:val="00BB3BE4"/>
    <w:rsid w:val="00BB57D3"/>
    <w:rsid w:val="00BC077E"/>
    <w:rsid w:val="00BC7632"/>
    <w:rsid w:val="00BD0B8C"/>
    <w:rsid w:val="00BD48A9"/>
    <w:rsid w:val="00BD6B9F"/>
    <w:rsid w:val="00BD7EC6"/>
    <w:rsid w:val="00BE0FF2"/>
    <w:rsid w:val="00BE2147"/>
    <w:rsid w:val="00BE364D"/>
    <w:rsid w:val="00BE5FE3"/>
    <w:rsid w:val="00BE73FA"/>
    <w:rsid w:val="00BF0353"/>
    <w:rsid w:val="00BF3F0A"/>
    <w:rsid w:val="00C00976"/>
    <w:rsid w:val="00C02F8B"/>
    <w:rsid w:val="00C03904"/>
    <w:rsid w:val="00C13607"/>
    <w:rsid w:val="00C21FF0"/>
    <w:rsid w:val="00C22307"/>
    <w:rsid w:val="00C22749"/>
    <w:rsid w:val="00C2515F"/>
    <w:rsid w:val="00C26AEA"/>
    <w:rsid w:val="00C32481"/>
    <w:rsid w:val="00C371DF"/>
    <w:rsid w:val="00C37FF9"/>
    <w:rsid w:val="00C41B4A"/>
    <w:rsid w:val="00C43ADB"/>
    <w:rsid w:val="00C44B4C"/>
    <w:rsid w:val="00C46734"/>
    <w:rsid w:val="00C5105D"/>
    <w:rsid w:val="00C51639"/>
    <w:rsid w:val="00C53220"/>
    <w:rsid w:val="00C53E9D"/>
    <w:rsid w:val="00C621A7"/>
    <w:rsid w:val="00C638A6"/>
    <w:rsid w:val="00C647DF"/>
    <w:rsid w:val="00C7277F"/>
    <w:rsid w:val="00C74930"/>
    <w:rsid w:val="00C84D17"/>
    <w:rsid w:val="00C87D7C"/>
    <w:rsid w:val="00C94A14"/>
    <w:rsid w:val="00CA3347"/>
    <w:rsid w:val="00CA6FDA"/>
    <w:rsid w:val="00CA77CF"/>
    <w:rsid w:val="00CB1ACD"/>
    <w:rsid w:val="00CB68C5"/>
    <w:rsid w:val="00CC299A"/>
    <w:rsid w:val="00CD1E9C"/>
    <w:rsid w:val="00CD2265"/>
    <w:rsid w:val="00CD2E70"/>
    <w:rsid w:val="00CD3D06"/>
    <w:rsid w:val="00CD4A09"/>
    <w:rsid w:val="00CD4C7B"/>
    <w:rsid w:val="00CD5E93"/>
    <w:rsid w:val="00CE37A3"/>
    <w:rsid w:val="00CE3BCB"/>
    <w:rsid w:val="00CF06CF"/>
    <w:rsid w:val="00CF2EE2"/>
    <w:rsid w:val="00CF4FDC"/>
    <w:rsid w:val="00CF5497"/>
    <w:rsid w:val="00D01F5D"/>
    <w:rsid w:val="00D03DBE"/>
    <w:rsid w:val="00D105D1"/>
    <w:rsid w:val="00D11A69"/>
    <w:rsid w:val="00D1484F"/>
    <w:rsid w:val="00D1707A"/>
    <w:rsid w:val="00D21435"/>
    <w:rsid w:val="00D2242C"/>
    <w:rsid w:val="00D258EB"/>
    <w:rsid w:val="00D327A3"/>
    <w:rsid w:val="00D34C82"/>
    <w:rsid w:val="00D379EC"/>
    <w:rsid w:val="00D4240A"/>
    <w:rsid w:val="00D4348D"/>
    <w:rsid w:val="00D44E42"/>
    <w:rsid w:val="00D50961"/>
    <w:rsid w:val="00D512A1"/>
    <w:rsid w:val="00D538D5"/>
    <w:rsid w:val="00D561CD"/>
    <w:rsid w:val="00D56420"/>
    <w:rsid w:val="00D56C0C"/>
    <w:rsid w:val="00D5798B"/>
    <w:rsid w:val="00D71733"/>
    <w:rsid w:val="00D75A81"/>
    <w:rsid w:val="00D769C5"/>
    <w:rsid w:val="00D81A20"/>
    <w:rsid w:val="00D81F55"/>
    <w:rsid w:val="00D8321A"/>
    <w:rsid w:val="00D86D55"/>
    <w:rsid w:val="00DA1806"/>
    <w:rsid w:val="00DA73C1"/>
    <w:rsid w:val="00DB2245"/>
    <w:rsid w:val="00DC2C48"/>
    <w:rsid w:val="00DC525E"/>
    <w:rsid w:val="00DC535C"/>
    <w:rsid w:val="00DD0AFF"/>
    <w:rsid w:val="00DD781E"/>
    <w:rsid w:val="00DD7A2C"/>
    <w:rsid w:val="00DE32E7"/>
    <w:rsid w:val="00DE3BB8"/>
    <w:rsid w:val="00DE5117"/>
    <w:rsid w:val="00DE5648"/>
    <w:rsid w:val="00DE595E"/>
    <w:rsid w:val="00DF310B"/>
    <w:rsid w:val="00E02EAA"/>
    <w:rsid w:val="00E13592"/>
    <w:rsid w:val="00E14818"/>
    <w:rsid w:val="00E1610C"/>
    <w:rsid w:val="00E16D73"/>
    <w:rsid w:val="00E2352B"/>
    <w:rsid w:val="00E23D97"/>
    <w:rsid w:val="00E27F0A"/>
    <w:rsid w:val="00E37DC0"/>
    <w:rsid w:val="00E40D52"/>
    <w:rsid w:val="00E4231E"/>
    <w:rsid w:val="00E44AC7"/>
    <w:rsid w:val="00E44E04"/>
    <w:rsid w:val="00E5084C"/>
    <w:rsid w:val="00E53F2E"/>
    <w:rsid w:val="00E60A16"/>
    <w:rsid w:val="00E635BF"/>
    <w:rsid w:val="00E76C9F"/>
    <w:rsid w:val="00E81611"/>
    <w:rsid w:val="00E82B6E"/>
    <w:rsid w:val="00E835C5"/>
    <w:rsid w:val="00E84D1C"/>
    <w:rsid w:val="00E942B8"/>
    <w:rsid w:val="00E945AF"/>
    <w:rsid w:val="00E95799"/>
    <w:rsid w:val="00E9683D"/>
    <w:rsid w:val="00EA2775"/>
    <w:rsid w:val="00EA612E"/>
    <w:rsid w:val="00EA761C"/>
    <w:rsid w:val="00EA79C2"/>
    <w:rsid w:val="00EA7D7F"/>
    <w:rsid w:val="00EB0B5F"/>
    <w:rsid w:val="00EB2FA2"/>
    <w:rsid w:val="00EB769A"/>
    <w:rsid w:val="00EC3A35"/>
    <w:rsid w:val="00EC3E69"/>
    <w:rsid w:val="00ED0098"/>
    <w:rsid w:val="00ED353D"/>
    <w:rsid w:val="00ED588C"/>
    <w:rsid w:val="00EE17F2"/>
    <w:rsid w:val="00EE188A"/>
    <w:rsid w:val="00EE1B01"/>
    <w:rsid w:val="00EE6755"/>
    <w:rsid w:val="00EF2AC7"/>
    <w:rsid w:val="00EF493F"/>
    <w:rsid w:val="00EF71FA"/>
    <w:rsid w:val="00F12E64"/>
    <w:rsid w:val="00F17428"/>
    <w:rsid w:val="00F314E8"/>
    <w:rsid w:val="00F323A2"/>
    <w:rsid w:val="00F33B57"/>
    <w:rsid w:val="00F33D5C"/>
    <w:rsid w:val="00F356D6"/>
    <w:rsid w:val="00F37D37"/>
    <w:rsid w:val="00F417E8"/>
    <w:rsid w:val="00F45E89"/>
    <w:rsid w:val="00F51520"/>
    <w:rsid w:val="00F535A9"/>
    <w:rsid w:val="00F6375E"/>
    <w:rsid w:val="00F64D5A"/>
    <w:rsid w:val="00F659DA"/>
    <w:rsid w:val="00F66CB1"/>
    <w:rsid w:val="00F710A9"/>
    <w:rsid w:val="00F72FB0"/>
    <w:rsid w:val="00F737A4"/>
    <w:rsid w:val="00F75AAC"/>
    <w:rsid w:val="00F76A4C"/>
    <w:rsid w:val="00F906F4"/>
    <w:rsid w:val="00F915F3"/>
    <w:rsid w:val="00F91800"/>
    <w:rsid w:val="00F9208E"/>
    <w:rsid w:val="00F95CCE"/>
    <w:rsid w:val="00F9692D"/>
    <w:rsid w:val="00FA0F71"/>
    <w:rsid w:val="00FA3A97"/>
    <w:rsid w:val="00FA4219"/>
    <w:rsid w:val="00FA48C7"/>
    <w:rsid w:val="00FA54FF"/>
    <w:rsid w:val="00FA70F5"/>
    <w:rsid w:val="00FA7D06"/>
    <w:rsid w:val="00FB1576"/>
    <w:rsid w:val="00FB4629"/>
    <w:rsid w:val="00FB5FC4"/>
    <w:rsid w:val="00FB6A07"/>
    <w:rsid w:val="00FB6FB1"/>
    <w:rsid w:val="00FC0ECB"/>
    <w:rsid w:val="00FC1E70"/>
    <w:rsid w:val="00FC28AE"/>
    <w:rsid w:val="00FC6D4E"/>
    <w:rsid w:val="00FC736F"/>
    <w:rsid w:val="00FE2121"/>
    <w:rsid w:val="00FE4B6F"/>
    <w:rsid w:val="00FF1712"/>
    <w:rsid w:val="00FF6D3D"/>
    <w:rsid w:val="024D7E2C"/>
    <w:rsid w:val="0D2EB883"/>
    <w:rsid w:val="0D8163B6"/>
    <w:rsid w:val="1BB32F19"/>
    <w:rsid w:val="1F2C3AF5"/>
    <w:rsid w:val="1FF4886A"/>
    <w:rsid w:val="22D2584A"/>
    <w:rsid w:val="28751A95"/>
    <w:rsid w:val="29FA8189"/>
    <w:rsid w:val="2C00A012"/>
    <w:rsid w:val="389994B3"/>
    <w:rsid w:val="3B30A011"/>
    <w:rsid w:val="3B93C128"/>
    <w:rsid w:val="3CFBE104"/>
    <w:rsid w:val="467F9A7B"/>
    <w:rsid w:val="510454D8"/>
    <w:rsid w:val="5395A1E2"/>
    <w:rsid w:val="5D8505AD"/>
    <w:rsid w:val="6F81B597"/>
    <w:rsid w:val="71443FBB"/>
    <w:rsid w:val="7563E76A"/>
    <w:rsid w:val="79A61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7A6B"/>
  <w15:docId w15:val="{9003D52C-EAFF-4023-919F-C462EC87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48"/>
  </w:style>
  <w:style w:type="paragraph" w:styleId="Ttulo1">
    <w:name w:val="heading 1"/>
    <w:basedOn w:val="Normal"/>
    <w:link w:val="Ttulo1Car"/>
    <w:uiPriority w:val="9"/>
    <w:qFormat/>
    <w:rsid w:val="00CD2E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B3044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B30448"/>
    <w:pPr>
      <w:spacing w:after="0" w:line="240" w:lineRule="auto"/>
    </w:pPr>
    <w:rPr>
      <w:sz w:val="20"/>
      <w:szCs w:val="20"/>
      <w:lang w:val="es-MX"/>
    </w:rPr>
  </w:style>
  <w:style w:type="character" w:customStyle="1" w:styleId="TextonotapieCar1">
    <w:name w:val="Texto nota pie Car1"/>
    <w:basedOn w:val="Fuentedeprrafopredeter"/>
    <w:uiPriority w:val="99"/>
    <w:semiHidden/>
    <w:rsid w:val="00B3044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B30448"/>
    <w:rPr>
      <w:vertAlign w:val="superscript"/>
    </w:rPr>
  </w:style>
  <w:style w:type="paragraph" w:customStyle="1" w:styleId="Appelnotedebasde">
    <w:name w:val="Appel note de bas de..."/>
    <w:basedOn w:val="Normal"/>
    <w:link w:val="Refdenotaalpie"/>
    <w:uiPriority w:val="99"/>
    <w:rsid w:val="00B30448"/>
    <w:pPr>
      <w:spacing w:line="240" w:lineRule="exact"/>
    </w:pPr>
    <w:rPr>
      <w:vertAlign w:val="superscript"/>
    </w:rPr>
  </w:style>
  <w:style w:type="paragraph" w:styleId="Encabezado">
    <w:name w:val="header"/>
    <w:basedOn w:val="Normal"/>
    <w:link w:val="EncabezadoCar"/>
    <w:uiPriority w:val="99"/>
    <w:unhideWhenUsed/>
    <w:rsid w:val="00B30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448"/>
  </w:style>
  <w:style w:type="paragraph" w:styleId="Piedepgina">
    <w:name w:val="footer"/>
    <w:basedOn w:val="Normal"/>
    <w:link w:val="PiedepginaCar"/>
    <w:uiPriority w:val="99"/>
    <w:unhideWhenUsed/>
    <w:rsid w:val="00B30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448"/>
  </w:style>
  <w:style w:type="table" w:styleId="Tablaconcuadrcula">
    <w:name w:val="Table Grid"/>
    <w:basedOn w:val="Tablanormal"/>
    <w:uiPriority w:val="39"/>
    <w:qFormat/>
    <w:rsid w:val="00B3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22307"/>
    <w:rPr>
      <w:color w:val="0563C1" w:themeColor="hyperlink"/>
      <w:u w:val="single"/>
    </w:rPr>
  </w:style>
  <w:style w:type="character" w:styleId="Mencinsinresolver">
    <w:name w:val="Unresolved Mention"/>
    <w:basedOn w:val="Fuentedeprrafopredeter"/>
    <w:uiPriority w:val="99"/>
    <w:semiHidden/>
    <w:unhideWhenUsed/>
    <w:rsid w:val="00C22307"/>
    <w:rPr>
      <w:color w:val="605E5C"/>
      <w:shd w:val="clear" w:color="auto" w:fill="E1DFDD"/>
    </w:rPr>
  </w:style>
  <w:style w:type="character" w:styleId="Hipervnculovisitado">
    <w:name w:val="FollowedHyperlink"/>
    <w:basedOn w:val="Fuentedeprrafopredeter"/>
    <w:uiPriority w:val="99"/>
    <w:semiHidden/>
    <w:unhideWhenUsed/>
    <w:rsid w:val="00C22307"/>
    <w:rPr>
      <w:color w:val="954F72" w:themeColor="followedHyperlink"/>
      <w:u w:val="single"/>
    </w:rPr>
  </w:style>
  <w:style w:type="character" w:styleId="Refdecomentario">
    <w:name w:val="annotation reference"/>
    <w:basedOn w:val="Fuentedeprrafopredeter"/>
    <w:uiPriority w:val="99"/>
    <w:semiHidden/>
    <w:unhideWhenUsed/>
    <w:rsid w:val="00A37D1C"/>
    <w:rPr>
      <w:sz w:val="16"/>
      <w:szCs w:val="16"/>
    </w:rPr>
  </w:style>
  <w:style w:type="paragraph" w:styleId="Textocomentario">
    <w:name w:val="annotation text"/>
    <w:basedOn w:val="Normal"/>
    <w:link w:val="TextocomentarioCar"/>
    <w:uiPriority w:val="99"/>
    <w:unhideWhenUsed/>
    <w:rsid w:val="00A37D1C"/>
    <w:pPr>
      <w:spacing w:line="240" w:lineRule="auto"/>
    </w:pPr>
    <w:rPr>
      <w:sz w:val="20"/>
      <w:szCs w:val="20"/>
    </w:rPr>
  </w:style>
  <w:style w:type="character" w:customStyle="1" w:styleId="TextocomentarioCar">
    <w:name w:val="Texto comentario Car"/>
    <w:basedOn w:val="Fuentedeprrafopredeter"/>
    <w:link w:val="Textocomentario"/>
    <w:uiPriority w:val="99"/>
    <w:rsid w:val="00A37D1C"/>
    <w:rPr>
      <w:sz w:val="20"/>
      <w:szCs w:val="20"/>
    </w:rPr>
  </w:style>
  <w:style w:type="paragraph" w:styleId="Asuntodelcomentario">
    <w:name w:val="annotation subject"/>
    <w:basedOn w:val="Textocomentario"/>
    <w:next w:val="Textocomentario"/>
    <w:link w:val="AsuntodelcomentarioCar"/>
    <w:uiPriority w:val="99"/>
    <w:semiHidden/>
    <w:unhideWhenUsed/>
    <w:rsid w:val="00A37D1C"/>
    <w:rPr>
      <w:b/>
      <w:bCs/>
    </w:rPr>
  </w:style>
  <w:style w:type="character" w:customStyle="1" w:styleId="AsuntodelcomentarioCar">
    <w:name w:val="Asunto del comentario Car"/>
    <w:basedOn w:val="TextocomentarioCar"/>
    <w:link w:val="Asuntodelcomentario"/>
    <w:uiPriority w:val="99"/>
    <w:semiHidden/>
    <w:rsid w:val="00A37D1C"/>
    <w:rPr>
      <w:b/>
      <w:bCs/>
      <w:sz w:val="20"/>
      <w:szCs w:val="20"/>
    </w:rPr>
  </w:style>
  <w:style w:type="paragraph" w:customStyle="1" w:styleId="Normal11pt">
    <w:name w:val="Normal + 11 pt"/>
    <w:aliases w:val="Negro,Justificado,Izquierda:  -0,95 cm,Derecha:  0,04 cm"/>
    <w:basedOn w:val="Normal"/>
    <w:uiPriority w:val="99"/>
    <w:rsid w:val="00B76C94"/>
    <w:pPr>
      <w:spacing w:after="0" w:line="240" w:lineRule="auto"/>
      <w:ind w:left="-540"/>
      <w:jc w:val="both"/>
    </w:pPr>
    <w:rPr>
      <w:rFonts w:ascii="Arial" w:eastAsia="Times New Roman" w:hAnsi="Arial" w:cs="Arial"/>
      <w:color w:val="000000"/>
      <w:lang w:val="es-ES_tradnl" w:eastAsia="es-ES"/>
    </w:rPr>
  </w:style>
  <w:style w:type="paragraph" w:styleId="Revisin">
    <w:name w:val="Revision"/>
    <w:hidden/>
    <w:uiPriority w:val="99"/>
    <w:semiHidden/>
    <w:rsid w:val="00F64D5A"/>
    <w:pPr>
      <w:spacing w:after="0" w:line="240" w:lineRule="auto"/>
    </w:pPr>
  </w:style>
  <w:style w:type="character" w:customStyle="1" w:styleId="cf01">
    <w:name w:val="cf01"/>
    <w:basedOn w:val="Fuentedeprrafopredeter"/>
    <w:rsid w:val="005019AA"/>
    <w:rPr>
      <w:rFonts w:ascii="Segoe UI" w:hAnsi="Segoe UI" w:cs="Segoe UI" w:hint="default"/>
      <w:i/>
      <w:iCs/>
      <w:sz w:val="18"/>
      <w:szCs w:val="18"/>
    </w:rPr>
  </w:style>
  <w:style w:type="character" w:customStyle="1" w:styleId="normaltextrun">
    <w:name w:val="normaltextrun"/>
    <w:basedOn w:val="Fuentedeprrafopredeter"/>
    <w:rsid w:val="5D8505AD"/>
  </w:style>
  <w:style w:type="character" w:customStyle="1" w:styleId="eop">
    <w:name w:val="eop"/>
    <w:basedOn w:val="Fuentedeprrafopredeter"/>
    <w:rsid w:val="5D8505AD"/>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84D1C"/>
    <w:pPr>
      <w:spacing w:after="0" w:line="240" w:lineRule="auto"/>
      <w:ind w:left="720"/>
      <w:contextualSpacing/>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84D1C"/>
    <w:rPr>
      <w:sz w:val="24"/>
      <w:lang w:val="es-MX"/>
    </w:rPr>
  </w:style>
  <w:style w:type="character" w:customStyle="1" w:styleId="Ttulo1Car">
    <w:name w:val="Título 1 Car"/>
    <w:basedOn w:val="Fuentedeprrafopredeter"/>
    <w:link w:val="Ttulo1"/>
    <w:uiPriority w:val="9"/>
    <w:rsid w:val="00CD2E70"/>
    <w:rPr>
      <w:rFonts w:ascii="Times New Roman" w:eastAsia="Times New Roman" w:hAnsi="Times New Roman" w:cs="Times New Roman"/>
      <w:b/>
      <w:bCs/>
      <w:kern w:val="36"/>
      <w:sz w:val="48"/>
      <w:szCs w:val="48"/>
      <w:lang w:eastAsia="es-ES_tradnl"/>
    </w:rPr>
  </w:style>
  <w:style w:type="paragraph" w:customStyle="1" w:styleId="paragraph">
    <w:name w:val="paragraph"/>
    <w:basedOn w:val="Normal"/>
    <w:rsid w:val="00CD2E7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uperscript">
    <w:name w:val="superscript"/>
    <w:basedOn w:val="Fuentedeprrafopredeter"/>
    <w:rsid w:val="003651AC"/>
  </w:style>
  <w:style w:type="paragraph" w:styleId="NormalWeb">
    <w:name w:val="Normal (Web)"/>
    <w:basedOn w:val="Normal"/>
    <w:uiPriority w:val="99"/>
    <w:unhideWhenUsed/>
    <w:rsid w:val="00FB5FC4"/>
    <w:rPr>
      <w:rFonts w:ascii="Times New Roman" w:hAnsi="Times New Roman" w:cs="Times New Roman"/>
      <w:sz w:val="24"/>
      <w:szCs w:val="24"/>
    </w:rPr>
  </w:style>
  <w:style w:type="character" w:customStyle="1" w:styleId="Hipervnculo1">
    <w:name w:val="Hipervínculo1"/>
    <w:basedOn w:val="Fuentedeprrafopredeter"/>
    <w:uiPriority w:val="99"/>
    <w:unhideWhenUsed/>
    <w:rsid w:val="00FB5FC4"/>
    <w:rPr>
      <w:color w:val="F2F2F2"/>
      <w:u w:val="single"/>
    </w:rPr>
  </w:style>
  <w:style w:type="character" w:styleId="Textoennegrita">
    <w:name w:val="Strong"/>
    <w:basedOn w:val="Fuentedeprrafopredeter"/>
    <w:uiPriority w:val="22"/>
    <w:qFormat/>
    <w:rsid w:val="00FB5FC4"/>
    <w:rPr>
      <w:b/>
      <w:bCs/>
    </w:rPr>
  </w:style>
  <w:style w:type="character" w:styleId="nfasis">
    <w:name w:val="Emphasis"/>
    <w:basedOn w:val="Fuentedeprrafopredeter"/>
    <w:uiPriority w:val="20"/>
    <w:qFormat/>
    <w:rsid w:val="00FB5FC4"/>
    <w:rPr>
      <w:i/>
      <w:iCs/>
    </w:rPr>
  </w:style>
  <w:style w:type="paragraph" w:customStyle="1" w:styleId="Textoindependiente21">
    <w:name w:val="Texto independiente 21"/>
    <w:basedOn w:val="Normal"/>
    <w:rsid w:val="007A6528"/>
    <w:pPr>
      <w:overflowPunct w:val="0"/>
      <w:autoSpaceDE w:val="0"/>
      <w:autoSpaceDN w:val="0"/>
      <w:adjustRightInd w:val="0"/>
      <w:spacing w:after="0" w:line="360" w:lineRule="auto"/>
      <w:ind w:firstLine="710"/>
      <w:jc w:val="both"/>
      <w:textAlignment w:val="baseline"/>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unhideWhenUsed/>
    <w:rsid w:val="00415608"/>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415608"/>
    <w:rPr>
      <w:rFonts w:eastAsiaTheme="minorEastAsia"/>
      <w:lang w:eastAsia="es-CO"/>
    </w:rPr>
  </w:style>
  <w:style w:type="paragraph" w:styleId="Sinespaciado">
    <w:name w:val="No Spacing"/>
    <w:aliases w:val="No Indent"/>
    <w:uiPriority w:val="3"/>
    <w:qFormat/>
    <w:rsid w:val="008544C5"/>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3431">
      <w:bodyDiv w:val="1"/>
      <w:marLeft w:val="0"/>
      <w:marRight w:val="0"/>
      <w:marTop w:val="0"/>
      <w:marBottom w:val="0"/>
      <w:divBdr>
        <w:top w:val="none" w:sz="0" w:space="0" w:color="auto"/>
        <w:left w:val="none" w:sz="0" w:space="0" w:color="auto"/>
        <w:bottom w:val="none" w:sz="0" w:space="0" w:color="auto"/>
        <w:right w:val="none" w:sz="0" w:space="0" w:color="auto"/>
      </w:divBdr>
    </w:div>
    <w:div w:id="943807497">
      <w:bodyDiv w:val="1"/>
      <w:marLeft w:val="0"/>
      <w:marRight w:val="0"/>
      <w:marTop w:val="0"/>
      <w:marBottom w:val="0"/>
      <w:divBdr>
        <w:top w:val="none" w:sz="0" w:space="0" w:color="auto"/>
        <w:left w:val="none" w:sz="0" w:space="0" w:color="auto"/>
        <w:bottom w:val="none" w:sz="0" w:space="0" w:color="auto"/>
        <w:right w:val="none" w:sz="0" w:space="0" w:color="auto"/>
      </w:divBdr>
    </w:div>
    <w:div w:id="1200049807">
      <w:bodyDiv w:val="1"/>
      <w:marLeft w:val="0"/>
      <w:marRight w:val="0"/>
      <w:marTop w:val="0"/>
      <w:marBottom w:val="0"/>
      <w:divBdr>
        <w:top w:val="none" w:sz="0" w:space="0" w:color="auto"/>
        <w:left w:val="none" w:sz="0" w:space="0" w:color="auto"/>
        <w:bottom w:val="none" w:sz="0" w:space="0" w:color="auto"/>
        <w:right w:val="none" w:sz="0" w:space="0" w:color="auto"/>
      </w:divBdr>
    </w:div>
    <w:div w:id="1269849836">
      <w:bodyDiv w:val="1"/>
      <w:marLeft w:val="0"/>
      <w:marRight w:val="0"/>
      <w:marTop w:val="0"/>
      <w:marBottom w:val="0"/>
      <w:divBdr>
        <w:top w:val="none" w:sz="0" w:space="0" w:color="auto"/>
        <w:left w:val="none" w:sz="0" w:space="0" w:color="auto"/>
        <w:bottom w:val="none" w:sz="0" w:space="0" w:color="auto"/>
        <w:right w:val="none" w:sz="0" w:space="0" w:color="auto"/>
      </w:divBdr>
    </w:div>
    <w:div w:id="1501703058">
      <w:bodyDiv w:val="1"/>
      <w:marLeft w:val="0"/>
      <w:marRight w:val="0"/>
      <w:marTop w:val="0"/>
      <w:marBottom w:val="0"/>
      <w:divBdr>
        <w:top w:val="none" w:sz="0" w:space="0" w:color="auto"/>
        <w:left w:val="none" w:sz="0" w:space="0" w:color="auto"/>
        <w:bottom w:val="none" w:sz="0" w:space="0" w:color="auto"/>
        <w:right w:val="none" w:sz="0" w:space="0" w:color="auto"/>
      </w:divBdr>
    </w:div>
    <w:div w:id="1607956335">
      <w:bodyDiv w:val="1"/>
      <w:marLeft w:val="0"/>
      <w:marRight w:val="0"/>
      <w:marTop w:val="0"/>
      <w:marBottom w:val="0"/>
      <w:divBdr>
        <w:top w:val="none" w:sz="0" w:space="0" w:color="auto"/>
        <w:left w:val="none" w:sz="0" w:space="0" w:color="auto"/>
        <w:bottom w:val="none" w:sz="0" w:space="0" w:color="auto"/>
        <w:right w:val="none" w:sz="0" w:space="0" w:color="auto"/>
      </w:divBdr>
    </w:div>
    <w:div w:id="195120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teconstitucional.gov./relator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uebas.contratacionestatal2@procuraduri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lombiacompra.gov.co/sala-de-prensa/boletin-digital/boletin-de-relatoria-2024-i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SharedWithUsers xmlns="a6cb9e4b-f1d1-4245-83ec-6cad768d538a">
      <UserInfo>
        <DisplayName>Alejandro Sarmiento</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8AE37-E1F3-4B08-98E9-52F0B3FA79CF}">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06F8AB61-4B8C-4292-AD00-5B9AA853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4EFD2-6506-4654-A0AC-DEF36450FF53}">
  <ds:schemaRefs>
    <ds:schemaRef ds:uri="http://schemas.microsoft.com/sharepoint/v3/contenttype/forms"/>
  </ds:schemaRefs>
</ds:datastoreItem>
</file>

<file path=customXml/itemProps4.xml><?xml version="1.0" encoding="utf-8"?>
<ds:datastoreItem xmlns:ds="http://schemas.openxmlformats.org/officeDocument/2006/customXml" ds:itemID="{206954CD-A18B-4BC8-BDFD-948A7B8E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10</Pages>
  <Words>3157</Words>
  <Characters>17367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20484</CharactersWithSpaces>
  <SharedDoc>false</SharedDoc>
  <HLinks>
    <vt:vector size="48" baseType="variant">
      <vt:variant>
        <vt:i4>5439494</vt:i4>
      </vt:variant>
      <vt:variant>
        <vt:i4>15</vt:i4>
      </vt:variant>
      <vt:variant>
        <vt:i4>0</vt:i4>
      </vt:variant>
      <vt:variant>
        <vt:i4>5</vt:i4>
      </vt:variant>
      <vt:variant>
        <vt:lpwstr>https://www.colombiacompra.gov.co/sala-de-prensa/boletin-digital</vt:lpwstr>
      </vt:variant>
      <vt:variant>
        <vt:lpwstr/>
      </vt:variant>
      <vt:variant>
        <vt:i4>7471218</vt:i4>
      </vt:variant>
      <vt:variant>
        <vt:i4>12</vt:i4>
      </vt:variant>
      <vt:variant>
        <vt:i4>0</vt:i4>
      </vt:variant>
      <vt:variant>
        <vt:i4>5</vt:i4>
      </vt:variant>
      <vt:variant>
        <vt:lpwstr>https://relatoria.colombiacompra.gov.co/busqueda/conceptos</vt:lpwstr>
      </vt:variant>
      <vt:variant>
        <vt:lpwstr/>
      </vt:variant>
      <vt:variant>
        <vt:i4>5111895</vt:i4>
      </vt:variant>
      <vt:variant>
        <vt:i4>9</vt:i4>
      </vt:variant>
      <vt:variant>
        <vt:i4>0</vt:i4>
      </vt:variant>
      <vt:variant>
        <vt:i4>5</vt:i4>
      </vt:variant>
      <vt:variant>
        <vt:lpwstr>https://www.colombiacompra.gov.co/manuales-guias-y-pliegos-tipo/manuales-y-guias</vt:lpwstr>
      </vt:variant>
      <vt:variant>
        <vt:lpwstr/>
      </vt:variant>
      <vt:variant>
        <vt:i4>3801145</vt:i4>
      </vt:variant>
      <vt:variant>
        <vt:i4>6</vt:i4>
      </vt:variant>
      <vt:variant>
        <vt:i4>0</vt:i4>
      </vt:variant>
      <vt:variant>
        <vt:i4>5</vt:i4>
      </vt:variant>
      <vt:variant>
        <vt:lpwstr>https://relatoria.colombiacompra.gov.co/providencias-consejo-de-estado/</vt:lpwstr>
      </vt:variant>
      <vt:variant>
        <vt:lpwstr/>
      </vt:variant>
      <vt:variant>
        <vt:i4>3145787</vt:i4>
      </vt:variant>
      <vt:variant>
        <vt:i4>3</vt:i4>
      </vt:variant>
      <vt:variant>
        <vt:i4>0</vt:i4>
      </vt:variant>
      <vt:variant>
        <vt:i4>5</vt:i4>
      </vt:variant>
      <vt:variant>
        <vt:lpwstr>https://www.colombiacompra.gov.co/content/04-documentos-tipo-de-licitacion-de-obra-publica-para-proyectos-de-infraestructura-social</vt:lpwstr>
      </vt:variant>
      <vt:variant>
        <vt:lpwstr/>
      </vt:variant>
      <vt:variant>
        <vt:i4>7208987</vt:i4>
      </vt:variant>
      <vt:variant>
        <vt:i4>0</vt:i4>
      </vt:variant>
      <vt:variant>
        <vt:i4>0</vt:i4>
      </vt:variant>
      <vt:variant>
        <vt:i4>5</vt:i4>
      </vt:variant>
      <vt:variant>
        <vt:lpwstr>https://www.colombiacompra.gov.co/sites/cce_public/files/cce_circulares/circular_externa_unica_version_3_vf49.pdf</vt:lpwstr>
      </vt:variant>
      <vt:variant>
        <vt:lpwstr/>
      </vt:variant>
      <vt:variant>
        <vt:i4>6619182</vt:i4>
      </vt:variant>
      <vt:variant>
        <vt:i4>3</vt:i4>
      </vt:variant>
      <vt:variant>
        <vt:i4>0</vt:i4>
      </vt:variant>
      <vt:variant>
        <vt:i4>5</vt:i4>
      </vt:variant>
      <vt:variant>
        <vt:lpwstr>https://www.culturarecreacionydeporte.gov.co/es/bogotanitos/bogodatos/las-plazas-de-mercado-de-bogota</vt:lpwstr>
      </vt:variant>
      <vt:variant>
        <vt:lpwstr>:~:text=Muchos%20tienen%20diferentes%20conceptos%20sobre,en%20un%20sitio%20abierto%20o</vt:lpwstr>
      </vt:variant>
      <vt:variant>
        <vt:i4>2883621</vt:i4>
      </vt:variant>
      <vt:variant>
        <vt:i4>0</vt:i4>
      </vt:variant>
      <vt:variant>
        <vt:i4>0</vt:i4>
      </vt:variant>
      <vt:variant>
        <vt:i4>5</vt:i4>
      </vt:variant>
      <vt:variant>
        <vt:lpwstr>https://www.colombiacompra.gov.co/content/03-documentos-tipo-transversales-de-licitacion-de-obra-publica-de-infraestructura-social-con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ANCP-SGC</dc:creator>
  <cp:keywords/>
  <dc:description/>
  <cp:lastModifiedBy>Keila Margarita Reyes Cassiani</cp:lastModifiedBy>
  <cp:revision>152</cp:revision>
  <dcterms:created xsi:type="dcterms:W3CDTF">2024-07-03T22:07:00Z</dcterms:created>
  <dcterms:modified xsi:type="dcterms:W3CDTF">2024-11-06T13:30:00Z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