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3C200" w14:textId="77777777" w:rsidR="004142A7" w:rsidRPr="004142A7" w:rsidRDefault="004142A7" w:rsidP="00147D2C">
      <w:pPr>
        <w:spacing w:after="0"/>
        <w:rPr>
          <w:rFonts w:ascii="Verdana" w:hAnsi="Verdana"/>
          <w:b/>
          <w:bCs/>
        </w:rPr>
      </w:pPr>
      <w:bookmarkStart w:id="0" w:name="_Hlk143780582"/>
    </w:p>
    <w:p w14:paraId="269CDE24" w14:textId="16A0D62A" w:rsidR="004142A7" w:rsidRPr="004142A7" w:rsidRDefault="004142A7" w:rsidP="004142A7">
      <w:pPr>
        <w:jc w:val="both"/>
        <w:rPr>
          <w:rFonts w:ascii="Verdana" w:eastAsia="Calibri" w:hAnsi="Verdana" w:cs="Arial"/>
          <w:b/>
          <w:bCs/>
          <w:color w:val="000000" w:themeColor="text1"/>
          <w:lang w:val="es-ES_tradnl"/>
        </w:rPr>
      </w:pPr>
      <w:r w:rsidRPr="004142A7">
        <w:rPr>
          <w:rFonts w:ascii="Verdana" w:eastAsia="Calibri" w:hAnsi="Verdana" w:cs="Arial"/>
          <w:b/>
          <w:bCs/>
          <w:color w:val="000000" w:themeColor="text1"/>
          <w:lang w:val="es-ES"/>
        </w:rPr>
        <w:t xml:space="preserve">REQUISITOS HABILITANTES </w:t>
      </w:r>
      <w:r w:rsidRPr="004142A7">
        <w:rPr>
          <w:rFonts w:ascii="Verdana" w:eastAsia="Arial" w:hAnsi="Verdana" w:cs="Arial"/>
          <w:b/>
          <w:bCs/>
          <w:color w:val="000000" w:themeColor="text1"/>
          <w:lang w:val="es-ES"/>
        </w:rPr>
        <w:t xml:space="preserve">– </w:t>
      </w:r>
      <w:r w:rsidRPr="004142A7">
        <w:rPr>
          <w:rFonts w:ascii="Verdana" w:eastAsia="Calibri" w:hAnsi="Verdana" w:cs="Arial"/>
          <w:b/>
          <w:bCs/>
          <w:color w:val="000000" w:themeColor="text1"/>
          <w:lang w:val="es-ES"/>
        </w:rPr>
        <w:t>Ley 1150 de 2007</w:t>
      </w:r>
    </w:p>
    <w:p w14:paraId="597A45FE" w14:textId="7DCAE3B6" w:rsidR="004142A7" w:rsidRDefault="004142A7" w:rsidP="004142A7">
      <w:pPr>
        <w:spacing w:after="0"/>
        <w:jc w:val="both"/>
        <w:rPr>
          <w:rFonts w:ascii="Verdana" w:hAnsi="Verdana"/>
        </w:rPr>
      </w:pPr>
      <w:r w:rsidRPr="004142A7">
        <w:rPr>
          <w:rFonts w:ascii="Verdana" w:hAnsi="Verdana"/>
        </w:rPr>
        <w:t>Los requisitos habilitantes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Adicionalmente, se tiene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los parágrafos 1° al 4° del artículo 5 de la Ley 1150 de 2007.</w:t>
      </w:r>
    </w:p>
    <w:p w14:paraId="6385FD0F" w14:textId="77777777" w:rsidR="004142A7" w:rsidRPr="004142A7" w:rsidRDefault="004142A7" w:rsidP="004142A7">
      <w:pPr>
        <w:spacing w:after="0"/>
        <w:jc w:val="both"/>
        <w:rPr>
          <w:rFonts w:ascii="Verdana" w:hAnsi="Verdana"/>
        </w:rPr>
      </w:pPr>
    </w:p>
    <w:p w14:paraId="718B243F" w14:textId="12DE8617" w:rsidR="004142A7" w:rsidRPr="004142A7" w:rsidRDefault="004142A7" w:rsidP="004142A7">
      <w:pPr>
        <w:jc w:val="both"/>
        <w:rPr>
          <w:rFonts w:ascii="Verdana" w:eastAsia="Calibri" w:hAnsi="Verdana" w:cs="Arial"/>
          <w:b/>
          <w:bCs/>
          <w:color w:val="000000" w:themeColor="text1"/>
          <w:lang w:val="es-ES_tradnl"/>
        </w:rPr>
      </w:pPr>
      <w:r w:rsidRPr="004142A7">
        <w:rPr>
          <w:rFonts w:ascii="Verdana" w:eastAsia="Arial" w:hAnsi="Verdana" w:cs="Arial"/>
          <w:b/>
          <w:bCs/>
          <w:color w:val="000000" w:themeColor="text1"/>
          <w:lang w:val="es-ES"/>
        </w:rPr>
        <w:t xml:space="preserve">EXPERIENCIA – Forma de acreditación </w:t>
      </w:r>
    </w:p>
    <w:p w14:paraId="6C7212B5" w14:textId="77777777" w:rsidR="004142A7" w:rsidRDefault="004142A7" w:rsidP="00147D2C">
      <w:pPr>
        <w:spacing w:after="0"/>
        <w:rPr>
          <w:rFonts w:ascii="Verdana" w:hAnsi="Verdana"/>
        </w:rPr>
      </w:pPr>
    </w:p>
    <w:p w14:paraId="62403CCD" w14:textId="77777777" w:rsidR="004142A7" w:rsidRDefault="004142A7" w:rsidP="004142A7">
      <w:pPr>
        <w:spacing w:line="240" w:lineRule="auto"/>
        <w:jc w:val="both"/>
        <w:rPr>
          <w:rFonts w:ascii="Verdana" w:hAnsi="Verdana"/>
        </w:rPr>
      </w:pPr>
      <w:r>
        <w:rPr>
          <w:rFonts w:ascii="Verdana" w:hAnsi="Verdana"/>
        </w:rPr>
        <w:t>L</w:t>
      </w:r>
      <w:r w:rsidRPr="002B2A4F">
        <w:rPr>
          <w:rFonts w:ascii="Verdana" w:hAnsi="Verdana"/>
        </w:rPr>
        <w:t>a experiencia en los procesos de selección deberá evaluarse conforme se haya indicado en el pliego de condiciones, respetando el principio de selección objetiva. Téngase en cuenta que, la experiencia se acredita con los contratos que el proponente ha celebrado y ejecutado con diferentes contratantes, sin importar la naturaleza de estos, y se verifica con el Registro Único de Proponentes – RUP, cuando este certificado sea exigible de acuerdo con la Ley.</w:t>
      </w:r>
    </w:p>
    <w:p w14:paraId="5569765D" w14:textId="77777777" w:rsidR="004142A7" w:rsidRPr="002B2A4F" w:rsidRDefault="004142A7" w:rsidP="004142A7">
      <w:pPr>
        <w:spacing w:line="240" w:lineRule="auto"/>
        <w:jc w:val="both"/>
        <w:rPr>
          <w:rFonts w:ascii="Verdana" w:hAnsi="Verdana"/>
        </w:rPr>
      </w:pPr>
      <w:r w:rsidRPr="002B2A4F">
        <w:rPr>
          <w:rFonts w:ascii="Verdana" w:hAnsi="Verdana"/>
        </w:rPr>
        <w:t>En los casos en los que los proponentes no requieran contar con RUP, excepciones prescritas por el artículo 6 de la Ley 1150 de 2007,</w:t>
      </w:r>
      <w:r w:rsidRPr="002B2A4F">
        <w:rPr>
          <w:rStyle w:val="Refdenotaalpie"/>
          <w:rFonts w:ascii="Verdana" w:hAnsi="Verdana"/>
        </w:rPr>
        <w:footnoteReference w:id="1"/>
      </w:r>
      <w:r w:rsidRPr="002B2A4F">
        <w:rPr>
          <w:rFonts w:ascii="Verdana" w:hAnsi="Verdana"/>
        </w:rPr>
        <w:t xml:space="preserve"> le corresponderá́ a la entidad contratante definir en su pliego de condiciones los requisitos para evaluar la habilitación del contratista y su idoneidad.</w:t>
      </w:r>
    </w:p>
    <w:p w14:paraId="4D44C4D7" w14:textId="77777777" w:rsidR="004142A7" w:rsidRDefault="004142A7" w:rsidP="00147D2C">
      <w:pPr>
        <w:spacing w:after="0"/>
        <w:rPr>
          <w:rFonts w:ascii="Verdana" w:hAnsi="Verdana"/>
        </w:rPr>
      </w:pPr>
    </w:p>
    <w:p w14:paraId="3408BE11" w14:textId="77777777" w:rsidR="004142A7" w:rsidRDefault="004142A7" w:rsidP="00147D2C">
      <w:pPr>
        <w:spacing w:after="0"/>
        <w:rPr>
          <w:rFonts w:ascii="Verdana" w:hAnsi="Verdana"/>
        </w:rPr>
      </w:pPr>
    </w:p>
    <w:p w14:paraId="4699CD68" w14:textId="77777777" w:rsidR="004142A7" w:rsidRDefault="004142A7" w:rsidP="00147D2C">
      <w:pPr>
        <w:spacing w:after="0"/>
        <w:rPr>
          <w:rFonts w:ascii="Verdana" w:hAnsi="Verdana"/>
        </w:rPr>
      </w:pPr>
    </w:p>
    <w:p w14:paraId="19D1BBA9" w14:textId="77777777" w:rsidR="004142A7" w:rsidRDefault="004142A7" w:rsidP="00147D2C">
      <w:pPr>
        <w:spacing w:after="0"/>
        <w:rPr>
          <w:rFonts w:ascii="Verdana" w:hAnsi="Verdana"/>
        </w:rPr>
      </w:pPr>
    </w:p>
    <w:p w14:paraId="433D8867" w14:textId="77777777" w:rsidR="004142A7" w:rsidRDefault="004142A7" w:rsidP="00147D2C">
      <w:pPr>
        <w:spacing w:after="0"/>
        <w:rPr>
          <w:rFonts w:ascii="Verdana" w:hAnsi="Verdana"/>
        </w:rPr>
      </w:pPr>
    </w:p>
    <w:p w14:paraId="565E547F" w14:textId="77777777" w:rsidR="004142A7" w:rsidRDefault="004142A7" w:rsidP="00147D2C">
      <w:pPr>
        <w:spacing w:after="0"/>
        <w:rPr>
          <w:rFonts w:ascii="Verdana" w:hAnsi="Verdana"/>
        </w:rPr>
      </w:pPr>
    </w:p>
    <w:p w14:paraId="14D2BDB5" w14:textId="77777777" w:rsidR="004142A7" w:rsidRDefault="004142A7" w:rsidP="00147D2C">
      <w:pPr>
        <w:spacing w:after="0"/>
        <w:rPr>
          <w:rFonts w:ascii="Verdana" w:hAnsi="Verdana"/>
        </w:rPr>
      </w:pPr>
    </w:p>
    <w:p w14:paraId="52CDA164" w14:textId="77777777" w:rsidR="004142A7" w:rsidRDefault="004142A7" w:rsidP="00147D2C">
      <w:pPr>
        <w:spacing w:after="0"/>
        <w:rPr>
          <w:rFonts w:ascii="Verdana" w:hAnsi="Verdana"/>
        </w:rPr>
      </w:pPr>
    </w:p>
    <w:p w14:paraId="159E8F87" w14:textId="77777777" w:rsidR="00147D2C" w:rsidRPr="0044528D" w:rsidRDefault="00147D2C" w:rsidP="00147D2C">
      <w:pPr>
        <w:spacing w:after="0"/>
        <w:rPr>
          <w:rFonts w:ascii="Verdana" w:hAnsi="Verdana"/>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r w:rsidRPr="0044528D">
        <w:rPr>
          <w:rFonts w:ascii="Verdana" w:hAnsi="Verdana"/>
        </w:rPr>
        <w:tab/>
      </w:r>
    </w:p>
    <w:p w14:paraId="7EF4EA82" w14:textId="77777777" w:rsidR="00147D2C" w:rsidRPr="0044528D" w:rsidRDefault="00147D2C" w:rsidP="00147D2C">
      <w:pPr>
        <w:spacing w:after="0"/>
        <w:rPr>
          <w:rFonts w:ascii="Verdana" w:hAnsi="Verdana"/>
        </w:rPr>
      </w:pPr>
    </w:p>
    <w:p w14:paraId="14D56D79" w14:textId="77777777" w:rsidR="00147D2C" w:rsidRPr="0044528D" w:rsidRDefault="00147D2C" w:rsidP="00147D2C">
      <w:pPr>
        <w:spacing w:after="0"/>
        <w:rPr>
          <w:rFonts w:ascii="Verdana" w:hAnsi="Verdana"/>
        </w:rPr>
      </w:pPr>
    </w:p>
    <w:p w14:paraId="5AD57254" w14:textId="13CDF259" w:rsidR="00147D2C" w:rsidRPr="00614500" w:rsidRDefault="0084374D" w:rsidP="00147D2C">
      <w:pPr>
        <w:spacing w:after="0" w:line="240" w:lineRule="auto"/>
        <w:jc w:val="both"/>
        <w:rPr>
          <w:rFonts w:ascii="Verdana" w:eastAsia="Calibri" w:hAnsi="Verdana" w:cs="Arial"/>
          <w:lang w:val="es-ES" w:eastAsia="es-ES"/>
        </w:rPr>
      </w:pPr>
      <w:r w:rsidRPr="0084374D">
        <w:rPr>
          <w:rFonts w:ascii="Verdana" w:eastAsia="Calibri" w:hAnsi="Verdana" w:cs="Arial"/>
          <w:noProof/>
          <w:lang w:val="es-ES" w:eastAsia="es-ES"/>
        </w:rPr>
        <w:drawing>
          <wp:anchor distT="0" distB="0" distL="114300" distR="114300" simplePos="0" relativeHeight="251658240" behindDoc="1" locked="0" layoutInCell="1" allowOverlap="1" wp14:anchorId="6FF0CFB5" wp14:editId="4893AD9B">
            <wp:simplePos x="0" y="0"/>
            <wp:positionH relativeFrom="margin">
              <wp:posOffset>3225165</wp:posOffset>
            </wp:positionH>
            <wp:positionV relativeFrom="paragraph">
              <wp:posOffset>21590</wp:posOffset>
            </wp:positionV>
            <wp:extent cx="3238647" cy="1009650"/>
            <wp:effectExtent l="0" t="0" r="0" b="0"/>
            <wp:wrapNone/>
            <wp:docPr id="324420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20542" name=""/>
                    <pic:cNvPicPr/>
                  </pic:nvPicPr>
                  <pic:blipFill>
                    <a:blip r:embed="rId10">
                      <a:extLst>
                        <a:ext uri="{28A0092B-C50C-407E-A947-70E740481C1C}">
                          <a14:useLocalDpi xmlns:a14="http://schemas.microsoft.com/office/drawing/2010/main" val="0"/>
                        </a:ext>
                      </a:extLst>
                    </a:blip>
                    <a:stretch>
                      <a:fillRect/>
                    </a:stretch>
                  </pic:blipFill>
                  <pic:spPr>
                    <a:xfrm>
                      <a:off x="0" y="0"/>
                      <a:ext cx="3245828" cy="1011889"/>
                    </a:xfrm>
                    <a:prstGeom prst="rect">
                      <a:avLst/>
                    </a:prstGeom>
                  </pic:spPr>
                </pic:pic>
              </a:graphicData>
            </a:graphic>
            <wp14:sizeRelH relativeFrom="page">
              <wp14:pctWidth>0</wp14:pctWidth>
            </wp14:sizeRelH>
            <wp14:sizeRelV relativeFrom="page">
              <wp14:pctHeight>0</wp14:pctHeight>
            </wp14:sizeRelV>
          </wp:anchor>
        </w:drawing>
      </w:r>
      <w:r w:rsidR="00147D2C" w:rsidRPr="00614500">
        <w:rPr>
          <w:rFonts w:ascii="Verdana" w:eastAsia="Calibri" w:hAnsi="Verdana" w:cs="Arial"/>
          <w:lang w:val="es-ES" w:eastAsia="es-ES"/>
        </w:rPr>
        <w:t>Señores</w:t>
      </w:r>
    </w:p>
    <w:p w14:paraId="498FE345" w14:textId="49747589" w:rsidR="00147D2C" w:rsidRDefault="003732AD" w:rsidP="00147D2C">
      <w:pPr>
        <w:spacing w:after="0" w:line="240" w:lineRule="auto"/>
        <w:rPr>
          <w:rFonts w:ascii="Verdana" w:eastAsia="Calibri" w:hAnsi="Verdana" w:cs="Arial"/>
          <w:lang w:val="es-ES" w:eastAsia="es-ES"/>
        </w:rPr>
      </w:pPr>
      <w:r w:rsidRPr="00650210">
        <w:rPr>
          <w:rFonts w:ascii="Verdana" w:eastAsia="Calibri" w:hAnsi="Verdana" w:cs="Arial"/>
          <w:lang w:val="es-ES" w:eastAsia="es-ES"/>
        </w:rPr>
        <w:t xml:space="preserve">Veeduría Nacional </w:t>
      </w:r>
    </w:p>
    <w:p w14:paraId="300EB758" w14:textId="77777777" w:rsidR="00147D2C" w:rsidRDefault="00147D2C" w:rsidP="00147D2C">
      <w:pPr>
        <w:spacing w:after="0" w:line="240" w:lineRule="auto"/>
        <w:rPr>
          <w:rFonts w:ascii="Verdana" w:hAnsi="Verdana"/>
        </w:rPr>
      </w:pPr>
      <w:r w:rsidRPr="00650210">
        <w:rPr>
          <w:rFonts w:ascii="Verdana" w:hAnsi="Verdana"/>
        </w:rPr>
        <w:t xml:space="preserve">Jader </w:t>
      </w:r>
      <w:proofErr w:type="spellStart"/>
      <w:r w:rsidRPr="00650210">
        <w:rPr>
          <w:rFonts w:ascii="Verdana" w:hAnsi="Verdana"/>
        </w:rPr>
        <w:t>Yordano</w:t>
      </w:r>
      <w:proofErr w:type="spellEnd"/>
      <w:r w:rsidRPr="00650210">
        <w:rPr>
          <w:rFonts w:ascii="Verdana" w:hAnsi="Verdana"/>
        </w:rPr>
        <w:t xml:space="preserve"> Vidal </w:t>
      </w:r>
      <w:proofErr w:type="spellStart"/>
      <w:r w:rsidRPr="00650210">
        <w:rPr>
          <w:rFonts w:ascii="Verdana" w:hAnsi="Verdana"/>
        </w:rPr>
        <w:t>Lope</w:t>
      </w:r>
      <w:r>
        <w:rPr>
          <w:rFonts w:ascii="Verdana" w:hAnsi="Verdana"/>
        </w:rPr>
        <w:t>z</w:t>
      </w:r>
      <w:proofErr w:type="spellEnd"/>
      <w:r w:rsidRPr="00650210">
        <w:rPr>
          <w:rFonts w:ascii="Verdana" w:hAnsi="Verdana"/>
        </w:rPr>
        <w:t xml:space="preserve"> </w:t>
      </w:r>
    </w:p>
    <w:p w14:paraId="3F9C6650" w14:textId="77777777" w:rsidR="00147D2C" w:rsidRPr="00614500" w:rsidRDefault="00147D2C" w:rsidP="00147D2C">
      <w:pPr>
        <w:spacing w:after="0" w:line="240" w:lineRule="auto"/>
        <w:rPr>
          <w:rFonts w:ascii="Verdana" w:hAnsi="Verdana"/>
        </w:rPr>
      </w:pPr>
      <w:r w:rsidRPr="00614500">
        <w:rPr>
          <w:rFonts w:ascii="Verdana" w:hAnsi="Verdana"/>
        </w:rPr>
        <w:t>mariammgp@gmail.com</w:t>
      </w:r>
    </w:p>
    <w:p w14:paraId="6E0DDF81" w14:textId="77777777" w:rsidR="00147D2C" w:rsidRPr="00614500" w:rsidRDefault="00147D2C" w:rsidP="00147D2C">
      <w:pPr>
        <w:spacing w:after="0" w:line="240" w:lineRule="auto"/>
        <w:rPr>
          <w:rFonts w:ascii="Verdana" w:eastAsia="Calibri" w:hAnsi="Verdana" w:cs="Arial"/>
          <w:b/>
          <w:bCs/>
          <w:lang w:val="es-ES" w:eastAsia="es-ES"/>
        </w:rPr>
      </w:pPr>
      <w:r>
        <w:rPr>
          <w:rFonts w:ascii="Verdana" w:eastAsia="Calibri" w:hAnsi="Verdana" w:cs="Arial"/>
          <w:lang w:val="es-ES" w:eastAsia="es-ES"/>
        </w:rPr>
        <w:t>Barrancabermeja,</w:t>
      </w:r>
      <w:r w:rsidRPr="00614500">
        <w:rPr>
          <w:rFonts w:ascii="Verdana" w:eastAsia="Calibri" w:hAnsi="Verdana" w:cs="Arial"/>
          <w:lang w:val="es-ES" w:eastAsia="es-ES"/>
        </w:rPr>
        <w:t xml:space="preserve"> </w:t>
      </w:r>
      <w:r>
        <w:rPr>
          <w:rFonts w:ascii="Verdana" w:eastAsia="Calibri" w:hAnsi="Verdana" w:cs="Arial"/>
          <w:lang w:val="es-ES" w:eastAsia="es-ES"/>
        </w:rPr>
        <w:t>Santander</w:t>
      </w:r>
    </w:p>
    <w:p w14:paraId="25444CE7" w14:textId="77777777" w:rsidR="00147D2C" w:rsidRPr="00614500" w:rsidRDefault="00147D2C" w:rsidP="00147D2C">
      <w:pPr>
        <w:spacing w:after="0" w:line="240" w:lineRule="auto"/>
        <w:rPr>
          <w:rFonts w:ascii="Verdana" w:eastAsia="Calibri" w:hAnsi="Verdana" w:cs="Arial"/>
          <w:b/>
          <w:bCs/>
          <w:color w:val="000000"/>
          <w:lang w:val="es-ES_tradnl" w:eastAsia="es-ES_tradnl"/>
        </w:rPr>
      </w:pPr>
    </w:p>
    <w:p w14:paraId="48470944" w14:textId="77777777" w:rsidR="00147D2C" w:rsidRPr="00614500" w:rsidRDefault="00147D2C" w:rsidP="00147D2C">
      <w:pPr>
        <w:spacing w:after="0" w:line="240" w:lineRule="auto"/>
        <w:rPr>
          <w:rFonts w:ascii="Verdana" w:eastAsia="Calibri" w:hAnsi="Verdana" w:cs="Arial"/>
          <w:b/>
          <w:bCs/>
          <w:color w:val="000000"/>
          <w:lang w:val="es-ES_tradnl" w:eastAsia="es-ES_tradnl"/>
        </w:rPr>
      </w:pPr>
    </w:p>
    <w:tbl>
      <w:tblPr>
        <w:tblStyle w:val="Tablaconcuadrcula"/>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15"/>
        <w:gridCol w:w="6085"/>
        <w:gridCol w:w="49"/>
      </w:tblGrid>
      <w:tr w:rsidR="00147D2C" w:rsidRPr="00614500" w14:paraId="5A2A5200" w14:textId="77777777" w:rsidTr="00F76A40">
        <w:trPr>
          <w:gridAfter w:val="1"/>
          <w:wAfter w:w="49" w:type="dxa"/>
          <w:trHeight w:val="884"/>
        </w:trPr>
        <w:tc>
          <w:tcPr>
            <w:tcW w:w="2689" w:type="dxa"/>
          </w:tcPr>
          <w:p w14:paraId="683B5D40" w14:textId="77777777" w:rsidR="00147D2C" w:rsidRPr="00614500" w:rsidRDefault="00147D2C" w:rsidP="00F76A40">
            <w:pPr>
              <w:jc w:val="both"/>
              <w:rPr>
                <w:rFonts w:ascii="Verdana" w:eastAsia="Calibri" w:hAnsi="Verdana" w:cs="Arial"/>
                <w:b/>
                <w:bCs/>
                <w:color w:val="7030A0"/>
                <w:lang w:val="es-ES_tradnl" w:eastAsia="es-ES_tradnl"/>
              </w:rPr>
            </w:pPr>
          </w:p>
        </w:tc>
        <w:tc>
          <w:tcPr>
            <w:tcW w:w="6100" w:type="dxa"/>
            <w:gridSpan w:val="2"/>
          </w:tcPr>
          <w:p w14:paraId="48756180" w14:textId="77777777" w:rsidR="00147D2C" w:rsidRPr="00614500" w:rsidRDefault="00147D2C" w:rsidP="00F76A40">
            <w:pPr>
              <w:jc w:val="both"/>
              <w:rPr>
                <w:rFonts w:ascii="Verdana" w:eastAsia="Calibri" w:hAnsi="Verdana" w:cs="Arial"/>
                <w:b/>
                <w:bCs/>
                <w:color w:val="7030A0"/>
                <w:lang w:val="es-ES" w:eastAsia="es-ES"/>
              </w:rPr>
            </w:pPr>
            <w:r w:rsidRPr="00614500">
              <w:rPr>
                <w:rFonts w:ascii="Verdana" w:eastAsia="Calibri" w:hAnsi="Verdana" w:cs="Arial"/>
                <w:b/>
                <w:bCs/>
                <w:color w:val="000000" w:themeColor="text1"/>
                <w:lang w:val="es-ES" w:eastAsia="es-ES"/>
              </w:rPr>
              <w:t>Concepto C-</w:t>
            </w:r>
            <w:r>
              <w:rPr>
                <w:rFonts w:ascii="Verdana" w:eastAsia="Calibri" w:hAnsi="Verdana" w:cs="Arial"/>
                <w:b/>
                <w:bCs/>
                <w:color w:val="000000" w:themeColor="text1"/>
                <w:lang w:val="es-ES" w:eastAsia="es-ES"/>
              </w:rPr>
              <w:t xml:space="preserve"> 732</w:t>
            </w:r>
            <w:r w:rsidRPr="00614500">
              <w:rPr>
                <w:rFonts w:ascii="Verdana" w:eastAsia="Calibri" w:hAnsi="Verdana" w:cs="Arial"/>
                <w:b/>
                <w:bCs/>
                <w:color w:val="000000" w:themeColor="text1"/>
                <w:lang w:val="es-ES" w:eastAsia="es-ES"/>
              </w:rPr>
              <w:t xml:space="preserve"> de 2024</w:t>
            </w:r>
          </w:p>
        </w:tc>
      </w:tr>
      <w:tr w:rsidR="00147D2C" w:rsidRPr="00614500" w14:paraId="06B47C0D" w14:textId="77777777" w:rsidTr="00F76A40">
        <w:trPr>
          <w:gridAfter w:val="1"/>
          <w:wAfter w:w="49" w:type="dxa"/>
          <w:trHeight w:val="884"/>
        </w:trPr>
        <w:tc>
          <w:tcPr>
            <w:tcW w:w="2689" w:type="dxa"/>
          </w:tcPr>
          <w:p w14:paraId="2498B66C" w14:textId="77777777" w:rsidR="00147D2C" w:rsidRDefault="00147D2C" w:rsidP="00F76A40">
            <w:pPr>
              <w:jc w:val="both"/>
              <w:rPr>
                <w:rFonts w:ascii="Verdana" w:eastAsia="Calibri" w:hAnsi="Verdana" w:cs="Arial"/>
                <w:b/>
                <w:color w:val="000000"/>
                <w:lang w:val="es-ES_tradnl" w:eastAsia="es-ES_tradnl"/>
              </w:rPr>
            </w:pPr>
            <w:r w:rsidRPr="00614500">
              <w:rPr>
                <w:rFonts w:ascii="Verdana" w:eastAsia="Calibri" w:hAnsi="Verdana" w:cs="Arial"/>
                <w:b/>
                <w:color w:val="000000"/>
                <w:lang w:val="es-ES_tradnl" w:eastAsia="es-ES_tradnl"/>
              </w:rPr>
              <w:t>Temas:</w:t>
            </w:r>
            <w:r w:rsidRPr="00614500">
              <w:rPr>
                <w:rFonts w:ascii="Verdana" w:eastAsia="Calibri" w:hAnsi="Verdana" w:cs="Arial"/>
                <w:color w:val="000000"/>
                <w:lang w:val="es-ES_tradnl" w:eastAsia="es-ES_tradnl"/>
              </w:rPr>
              <w:t xml:space="preserve">                   </w:t>
            </w:r>
          </w:p>
          <w:p w14:paraId="119B20B5" w14:textId="77777777" w:rsidR="00147D2C" w:rsidRPr="00614500" w:rsidRDefault="00147D2C" w:rsidP="00F76A40">
            <w:pPr>
              <w:rPr>
                <w:rFonts w:ascii="Verdana" w:eastAsia="Calibri" w:hAnsi="Verdana" w:cs="Arial"/>
                <w:lang w:val="es-ES_tradnl" w:eastAsia="es-ES_tradnl"/>
              </w:rPr>
            </w:pPr>
          </w:p>
          <w:p w14:paraId="07428092" w14:textId="77777777" w:rsidR="00147D2C" w:rsidRPr="00614500" w:rsidRDefault="00147D2C" w:rsidP="00F76A40">
            <w:pPr>
              <w:rPr>
                <w:rFonts w:ascii="Verdana" w:eastAsia="Calibri" w:hAnsi="Verdana" w:cs="Arial"/>
                <w:lang w:val="es-ES_tradnl" w:eastAsia="es-ES_tradnl"/>
              </w:rPr>
            </w:pPr>
          </w:p>
        </w:tc>
        <w:tc>
          <w:tcPr>
            <w:tcW w:w="6100" w:type="dxa"/>
            <w:gridSpan w:val="2"/>
          </w:tcPr>
          <w:p w14:paraId="1D4B1916" w14:textId="77777777" w:rsidR="00147D2C" w:rsidRPr="003F3E19" w:rsidRDefault="00147D2C" w:rsidP="00F76A40">
            <w:pPr>
              <w:jc w:val="both"/>
              <w:rPr>
                <w:rFonts w:ascii="Verdana" w:eastAsia="Calibri" w:hAnsi="Verdana" w:cs="Arial"/>
                <w:color w:val="000000" w:themeColor="text1"/>
                <w:lang w:val="es-ES_tradnl"/>
              </w:rPr>
            </w:pPr>
            <w:r w:rsidRPr="003F3E19">
              <w:rPr>
                <w:rFonts w:ascii="Verdana" w:eastAsia="Calibri" w:hAnsi="Verdana" w:cs="Arial"/>
                <w:color w:val="000000" w:themeColor="text1"/>
                <w:lang w:val="es-ES"/>
              </w:rPr>
              <w:t xml:space="preserve">REQUISITOS HABILITANTES </w:t>
            </w:r>
            <w:r w:rsidRPr="003F3E19">
              <w:rPr>
                <w:rFonts w:ascii="Verdana" w:eastAsia="Arial" w:hAnsi="Verdana" w:cs="Arial"/>
                <w:color w:val="000000" w:themeColor="text1"/>
                <w:lang w:val="es-ES"/>
              </w:rPr>
              <w:t xml:space="preserve">– </w:t>
            </w:r>
            <w:r w:rsidRPr="003F3E19">
              <w:rPr>
                <w:rFonts w:ascii="Verdana" w:eastAsia="Calibri" w:hAnsi="Verdana" w:cs="Arial"/>
                <w:color w:val="000000" w:themeColor="text1"/>
                <w:lang w:val="es-ES"/>
              </w:rPr>
              <w:t>Ley 1150 de 2007</w:t>
            </w:r>
            <w:r w:rsidRPr="003F3E19">
              <w:rPr>
                <w:rFonts w:ascii="Verdana" w:eastAsia="Arial" w:hAnsi="Verdana" w:cs="Arial"/>
                <w:color w:val="000000" w:themeColor="text1"/>
                <w:lang w:val="es-ES"/>
              </w:rPr>
              <w:t xml:space="preserve">/ EXPERIENCIA – Forma de acreditación </w:t>
            </w:r>
          </w:p>
          <w:p w14:paraId="650E35BC" w14:textId="77777777" w:rsidR="00147D2C" w:rsidRPr="00614500" w:rsidRDefault="00147D2C" w:rsidP="00F76A40">
            <w:pPr>
              <w:jc w:val="both"/>
              <w:rPr>
                <w:rFonts w:ascii="Verdana" w:eastAsia="Calibri" w:hAnsi="Verdana" w:cs="Arial"/>
                <w:b/>
                <w:bCs/>
                <w:color w:val="000000" w:themeColor="text1"/>
                <w:lang w:val="es-ES_tradnl"/>
              </w:rPr>
            </w:pPr>
          </w:p>
          <w:p w14:paraId="6D3057D8" w14:textId="77777777" w:rsidR="00147D2C" w:rsidRPr="00614500" w:rsidRDefault="00147D2C" w:rsidP="00F76A40">
            <w:pPr>
              <w:widowControl w:val="0"/>
              <w:autoSpaceDE w:val="0"/>
              <w:autoSpaceDN w:val="0"/>
              <w:ind w:right="108"/>
              <w:jc w:val="both"/>
              <w:rPr>
                <w:rFonts w:ascii="Verdana" w:eastAsia="Calibri" w:hAnsi="Verdana" w:cs="Arial"/>
                <w:b/>
                <w:bCs/>
                <w:color w:val="000000" w:themeColor="text1"/>
                <w:lang w:val="es-ES"/>
              </w:rPr>
            </w:pPr>
          </w:p>
          <w:p w14:paraId="72A6DE8B" w14:textId="77777777" w:rsidR="00147D2C" w:rsidRPr="00614500" w:rsidRDefault="00147D2C" w:rsidP="00F76A40">
            <w:pPr>
              <w:spacing w:line="276" w:lineRule="auto"/>
              <w:jc w:val="both"/>
              <w:rPr>
                <w:rFonts w:ascii="Verdana" w:eastAsia="Calibri" w:hAnsi="Verdana" w:cs="Arial"/>
                <w:lang w:val="es-ES" w:eastAsia="es-ES"/>
              </w:rPr>
            </w:pPr>
          </w:p>
        </w:tc>
      </w:tr>
      <w:tr w:rsidR="00147D2C" w:rsidRPr="00614500" w14:paraId="26BC86A3" w14:textId="77777777" w:rsidTr="00F76A40">
        <w:trPr>
          <w:trHeight w:val="376"/>
        </w:trPr>
        <w:tc>
          <w:tcPr>
            <w:tcW w:w="2704" w:type="dxa"/>
            <w:gridSpan w:val="2"/>
          </w:tcPr>
          <w:p w14:paraId="5507B472" w14:textId="77777777" w:rsidR="00147D2C" w:rsidRPr="00614500" w:rsidRDefault="00147D2C" w:rsidP="00F76A40">
            <w:pPr>
              <w:jc w:val="both"/>
              <w:rPr>
                <w:rFonts w:ascii="Verdana" w:eastAsia="Calibri" w:hAnsi="Verdana" w:cs="Arial"/>
                <w:b/>
                <w:color w:val="000000" w:themeColor="text1"/>
                <w:lang w:val="es-ES_tradnl" w:eastAsia="es-ES_tradnl"/>
              </w:rPr>
            </w:pPr>
            <w:r w:rsidRPr="00614500">
              <w:rPr>
                <w:rFonts w:ascii="Verdana" w:eastAsia="Calibri" w:hAnsi="Verdana" w:cs="Arial"/>
                <w:b/>
                <w:color w:val="000000" w:themeColor="text1"/>
                <w:lang w:val="es-ES_tradnl" w:eastAsia="es-ES_tradnl"/>
              </w:rPr>
              <w:t>Radicación:</w:t>
            </w:r>
            <w:r w:rsidRPr="00614500">
              <w:rPr>
                <w:rFonts w:ascii="Verdana" w:eastAsia="Calibri" w:hAnsi="Verdana" w:cs="Arial"/>
                <w:color w:val="000000" w:themeColor="text1"/>
                <w:lang w:val="es-ES_tradnl" w:eastAsia="es-ES_tradnl"/>
              </w:rPr>
              <w:t xml:space="preserve">               </w:t>
            </w:r>
          </w:p>
        </w:tc>
        <w:tc>
          <w:tcPr>
            <w:tcW w:w="6134" w:type="dxa"/>
            <w:gridSpan w:val="2"/>
          </w:tcPr>
          <w:p w14:paraId="23A25C52" w14:textId="77777777" w:rsidR="00147D2C" w:rsidRPr="00614500" w:rsidRDefault="00147D2C" w:rsidP="00F76A40">
            <w:pPr>
              <w:jc w:val="both"/>
              <w:rPr>
                <w:rFonts w:ascii="Verdana" w:eastAsia="Calibri" w:hAnsi="Verdana" w:cs="Arial"/>
                <w:color w:val="000000" w:themeColor="text1"/>
                <w:lang w:val="es-ES_tradnl" w:eastAsia="es-ES_tradnl"/>
              </w:rPr>
            </w:pPr>
            <w:r w:rsidRPr="00614500">
              <w:rPr>
                <w:rFonts w:ascii="Verdana" w:eastAsia="Calibri" w:hAnsi="Verdana" w:cs="Arial"/>
                <w:color w:val="000000" w:themeColor="text1"/>
                <w:lang w:val="es-ES_tradnl" w:eastAsia="es-ES_tradnl"/>
              </w:rPr>
              <w:t xml:space="preserve">Respuesta a consulta con radicado No. </w:t>
            </w:r>
            <w:r w:rsidRPr="00650210">
              <w:rPr>
                <w:rFonts w:ascii="Verdana" w:eastAsia="Calibri" w:hAnsi="Verdana" w:cs="Arial"/>
                <w:color w:val="000000" w:themeColor="text1"/>
                <w:lang w:val="es-ES_tradnl" w:eastAsia="es-ES_tradnl"/>
              </w:rPr>
              <w:t>P20241015010436</w:t>
            </w:r>
            <w:r>
              <w:rPr>
                <w:rFonts w:ascii="Verdana" w:eastAsia="Calibri" w:hAnsi="Verdana" w:cs="Arial"/>
                <w:color w:val="000000" w:themeColor="text1"/>
                <w:lang w:val="es-ES_tradnl" w:eastAsia="es-ES_tradnl"/>
              </w:rPr>
              <w:t>.</w:t>
            </w:r>
          </w:p>
        </w:tc>
      </w:tr>
    </w:tbl>
    <w:p w14:paraId="2985F4AE" w14:textId="77777777" w:rsidR="00147D2C" w:rsidRPr="00614500" w:rsidRDefault="00147D2C" w:rsidP="00147D2C">
      <w:pPr>
        <w:spacing w:after="0" w:line="240" w:lineRule="auto"/>
        <w:jc w:val="both"/>
        <w:rPr>
          <w:rFonts w:ascii="Verdana" w:eastAsia="Calibri" w:hAnsi="Verdana" w:cs="Arial"/>
          <w:color w:val="000000"/>
          <w:lang w:val="es-ES_tradnl" w:eastAsia="es-ES_tradnl"/>
        </w:rPr>
      </w:pPr>
    </w:p>
    <w:p w14:paraId="13088C68" w14:textId="77777777" w:rsidR="00147D2C" w:rsidRPr="00614500" w:rsidRDefault="00147D2C" w:rsidP="00147D2C">
      <w:pPr>
        <w:spacing w:after="0" w:line="240" w:lineRule="auto"/>
        <w:jc w:val="both"/>
        <w:rPr>
          <w:rFonts w:ascii="Verdana" w:eastAsia="Calibri" w:hAnsi="Verdana" w:cs="Arial"/>
          <w:color w:val="000000"/>
          <w:lang w:val="es-ES_tradnl" w:eastAsia="es-ES_tradnl"/>
        </w:rPr>
      </w:pPr>
    </w:p>
    <w:p w14:paraId="49FF396A" w14:textId="77777777" w:rsidR="00147D2C" w:rsidRPr="00614500" w:rsidRDefault="00147D2C" w:rsidP="00147D2C">
      <w:pPr>
        <w:spacing w:after="0" w:line="276" w:lineRule="auto"/>
        <w:jc w:val="both"/>
        <w:rPr>
          <w:rFonts w:ascii="Verdana" w:eastAsia="Calibri" w:hAnsi="Verdana" w:cs="Arial"/>
          <w:color w:val="000000" w:themeColor="text1"/>
          <w:lang w:val="es-ES" w:eastAsia="es-ES"/>
        </w:rPr>
      </w:pPr>
      <w:r w:rsidRPr="00614500">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o</w:t>
      </w:r>
      <w:r w:rsidRPr="00614500">
        <w:rPr>
          <w:rFonts w:ascii="Verdana" w:eastAsia="Calibri" w:hAnsi="Verdana" w:cs="Arial"/>
          <w:color w:val="000000" w:themeColor="text1"/>
          <w:lang w:val="es-ES" w:eastAsia="es-ES"/>
        </w:rPr>
        <w:t xml:space="preserve"> señor </w:t>
      </w:r>
      <w:r>
        <w:rPr>
          <w:rFonts w:ascii="Verdana" w:eastAsia="Calibri" w:hAnsi="Verdana" w:cs="Arial"/>
          <w:color w:val="000000" w:themeColor="text1"/>
          <w:lang w:val="es-ES" w:eastAsia="es-ES"/>
        </w:rPr>
        <w:t>Vidal:</w:t>
      </w:r>
      <w:r w:rsidRPr="00614500">
        <w:rPr>
          <w:rFonts w:ascii="Verdana" w:eastAsia="Calibri" w:hAnsi="Verdana" w:cs="Arial"/>
          <w:color w:val="000000" w:themeColor="text1"/>
          <w:lang w:val="es-ES" w:eastAsia="es-ES"/>
        </w:rPr>
        <w:t xml:space="preserve"> </w:t>
      </w:r>
    </w:p>
    <w:p w14:paraId="5F4A63DC" w14:textId="77777777" w:rsidR="00147D2C" w:rsidRPr="00614500" w:rsidRDefault="00147D2C" w:rsidP="00147D2C">
      <w:pPr>
        <w:tabs>
          <w:tab w:val="left" w:pos="3768"/>
        </w:tabs>
        <w:spacing w:after="0" w:line="276" w:lineRule="auto"/>
        <w:jc w:val="both"/>
        <w:rPr>
          <w:rFonts w:ascii="Verdana" w:eastAsia="Calibri" w:hAnsi="Verdana" w:cs="Arial"/>
          <w:color w:val="000000" w:themeColor="text1"/>
          <w:lang w:val="es-ES" w:eastAsia="es-ES"/>
        </w:rPr>
      </w:pPr>
      <w:r w:rsidRPr="00614500">
        <w:rPr>
          <w:rFonts w:ascii="Verdana" w:eastAsia="Calibri" w:hAnsi="Verdana" w:cs="Arial"/>
          <w:color w:val="000000" w:themeColor="text1"/>
          <w:lang w:val="es-ES" w:eastAsia="es-ES"/>
        </w:rPr>
        <w:tab/>
      </w:r>
    </w:p>
    <w:p w14:paraId="43E5CC48" w14:textId="77777777" w:rsidR="00147D2C" w:rsidRDefault="00147D2C" w:rsidP="00147D2C">
      <w:pPr>
        <w:spacing w:after="0" w:line="276" w:lineRule="auto"/>
        <w:jc w:val="both"/>
        <w:rPr>
          <w:rFonts w:ascii="Verdana" w:eastAsia="Calibri" w:hAnsi="Verdana" w:cs="Arial"/>
          <w:lang w:val="es-ES" w:eastAsia="es-ES"/>
        </w:rPr>
      </w:pPr>
      <w:r w:rsidRPr="00614500">
        <w:rPr>
          <w:rFonts w:ascii="Verdana" w:eastAsia="Calibri" w:hAnsi="Verdana" w:cs="Arial"/>
          <w:color w:val="000000" w:themeColor="text1"/>
          <w:lang w:val="es-ES" w:eastAsia="es-ES"/>
        </w:rPr>
        <w:t>En ejercicio de la competencia otorgada por los artículos 3, numeral 5º, y 11, numeral 8º, del Decreto Ley 4170 de 2011,</w:t>
      </w:r>
      <w:r w:rsidRPr="00614500">
        <w:rPr>
          <w:rFonts w:ascii="Verdana" w:eastAsia="Arial MT" w:hAnsi="Verdana" w:cs="Arial MT"/>
          <w:lang w:val="es-ES" w:eastAsia="es-ES"/>
        </w:rPr>
        <w:t xml:space="preserve"> </w:t>
      </w:r>
      <w:r w:rsidRPr="00614500">
        <w:rPr>
          <w:rFonts w:ascii="Verdana" w:hAnsi="Verdana" w:cs="Arial"/>
        </w:rPr>
        <w:t xml:space="preserve">así como lo establecido en el artículo 4 de la Resolución 1707 de 2018 expedida por esta Entidad, </w:t>
      </w:r>
      <w:r w:rsidRPr="00614500">
        <w:rPr>
          <w:rFonts w:ascii="Verdana" w:eastAsia="Calibri" w:hAnsi="Verdana" w:cs="Arial"/>
          <w:color w:val="000000" w:themeColor="text1"/>
          <w:lang w:val="es-ES" w:eastAsia="es-ES"/>
        </w:rPr>
        <w:t xml:space="preserve">la Agencia Nacional de Contratación </w:t>
      </w:r>
      <w:r w:rsidRPr="00614500">
        <w:rPr>
          <w:rFonts w:ascii="Verdana" w:eastAsia="Calibri" w:hAnsi="Verdana" w:cs="Arial"/>
          <w:lang w:val="es-ES" w:eastAsia="es-ES"/>
        </w:rPr>
        <w:t xml:space="preserve">Pública – Colombia Compra Eficiente– responde su solicitud de consulta de fecha 17 de julio de 2024, en la cual manifiesta lo siguiente: </w:t>
      </w:r>
    </w:p>
    <w:p w14:paraId="61DACC6E" w14:textId="77777777" w:rsidR="00147D2C" w:rsidRPr="009B4175" w:rsidRDefault="00147D2C" w:rsidP="00147D2C">
      <w:pPr>
        <w:spacing w:after="0" w:line="276" w:lineRule="auto"/>
        <w:jc w:val="both"/>
        <w:rPr>
          <w:rFonts w:ascii="Verdana" w:hAnsi="Verdana"/>
        </w:rPr>
      </w:pPr>
    </w:p>
    <w:p w14:paraId="21E195D8" w14:textId="77777777" w:rsidR="00147D2C" w:rsidRPr="00237BB7" w:rsidRDefault="00147D2C" w:rsidP="00147D2C">
      <w:pPr>
        <w:pStyle w:val="Prrafodelista"/>
        <w:jc w:val="both"/>
        <w:rPr>
          <w:rStyle w:val="nfasisintenso"/>
          <w:rFonts w:ascii="Verdana" w:hAnsi="Verdana"/>
          <w:color w:val="auto"/>
        </w:rPr>
      </w:pPr>
      <w:r w:rsidRPr="00237BB7">
        <w:rPr>
          <w:rStyle w:val="nfasisintenso"/>
          <w:rFonts w:ascii="Verdana" w:hAnsi="Verdana"/>
          <w:color w:val="auto"/>
        </w:rPr>
        <w:t>“Me permito dirigirme a ustedes para realizar una consulta relacionada con la validez de la experiencia privada presentada por un oferente en un proceso de contratación pública. La consulta específica está relacionada con la aceptación de la experiencia cuando la empresa contratante, en este caso una petrolera, ya no se encuentra operando en Colombia. En este escenario, un oferente presenta como soporte de su experiencia un contrato con una empresa privada (una petrolera), en el cual se evidencia la ejecución de una obra de infraestructura (construcción de una vía). El oferente acompaña este contrato con los documentos que certifican la culminación de la obra y su debida ejecución, tales como actas de entrega y demás soportes pertinentes. Sin embargo, la petrolera en cuestión ya no se encuentra en Colombia, ya que terminó sus operaciones en el país.</w:t>
      </w:r>
    </w:p>
    <w:p w14:paraId="663E38F0" w14:textId="77777777" w:rsidR="00147D2C" w:rsidRPr="00237BB7" w:rsidRDefault="00147D2C" w:rsidP="00147D2C">
      <w:pPr>
        <w:pStyle w:val="Prrafodelista"/>
        <w:jc w:val="both"/>
        <w:rPr>
          <w:rStyle w:val="nfasisintenso"/>
          <w:rFonts w:ascii="Verdana" w:hAnsi="Verdana"/>
          <w:color w:val="auto"/>
        </w:rPr>
      </w:pPr>
      <w:r w:rsidRPr="00237BB7">
        <w:rPr>
          <w:rStyle w:val="nfasisintenso"/>
          <w:rFonts w:ascii="Verdana" w:hAnsi="Verdana"/>
          <w:color w:val="auto"/>
        </w:rPr>
        <w:lastRenderedPageBreak/>
        <w:t>Debe la entidad contratante en un proceso de selección pública aceptar y considerar válida esta certificación de experiencia, a pesar de que la empresa petrolera ya no se encuentre operando en Colombia” SIC.</w:t>
      </w:r>
    </w:p>
    <w:p w14:paraId="7C1B353D" w14:textId="77777777" w:rsidR="00147D2C" w:rsidRPr="00614500" w:rsidRDefault="00147D2C" w:rsidP="00147D2C">
      <w:pPr>
        <w:spacing w:after="0" w:line="240" w:lineRule="auto"/>
        <w:ind w:left="709" w:right="709"/>
        <w:jc w:val="both"/>
        <w:rPr>
          <w:rFonts w:ascii="Verdana" w:eastAsia="Century Gothic" w:hAnsi="Verdana" w:cs="Century Gothic"/>
          <w:b/>
          <w:bCs/>
          <w:lang w:val="es-ES"/>
        </w:rPr>
      </w:pPr>
    </w:p>
    <w:p w14:paraId="3AD64E23" w14:textId="77777777" w:rsidR="00147D2C" w:rsidRPr="00614500" w:rsidRDefault="00147D2C" w:rsidP="00147D2C">
      <w:pPr>
        <w:spacing w:after="120" w:line="276" w:lineRule="auto"/>
        <w:ind w:firstLine="709"/>
        <w:jc w:val="both"/>
        <w:rPr>
          <w:rFonts w:ascii="Verdana" w:eastAsia="Calibri" w:hAnsi="Verdana" w:cs="Arial"/>
          <w:color w:val="000000"/>
          <w:szCs w:val="24"/>
          <w:lang w:val="es-ES_tradnl" w:eastAsia="es-ES_tradnl"/>
        </w:rPr>
      </w:pPr>
      <w:r w:rsidRPr="00614500">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14500">
        <w:rPr>
          <w:rFonts w:ascii="Verdana" w:eastAsia="Calibri" w:hAnsi="Verdana" w:cs="Arial"/>
          <w:color w:val="000000"/>
          <w:szCs w:val="24"/>
          <w:lang w:val="es-ES_tradnl" w:eastAsia="es-ES_tradnl"/>
        </w:rPr>
        <w:tab/>
      </w:r>
    </w:p>
    <w:p w14:paraId="4A805A9F" w14:textId="77777777" w:rsidR="00147D2C" w:rsidRPr="00614500" w:rsidRDefault="00147D2C" w:rsidP="00147D2C">
      <w:pPr>
        <w:spacing w:after="0" w:line="276" w:lineRule="auto"/>
        <w:ind w:firstLine="709"/>
        <w:jc w:val="both"/>
        <w:rPr>
          <w:rFonts w:ascii="Verdana" w:eastAsia="Calibri" w:hAnsi="Verdana" w:cs="Arial"/>
          <w:color w:val="000000"/>
          <w:lang w:val="es-ES" w:eastAsia="es-ES"/>
        </w:rPr>
      </w:pPr>
      <w:r w:rsidRPr="00614500">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614500">
        <w:rPr>
          <w:rFonts w:ascii="Verdana" w:eastAsia="Calibri" w:hAnsi="Verdana" w:cs="Arial"/>
          <w:lang w:val="es-ES" w:eastAsia="es-ES"/>
        </w:rPr>
        <w:t xml:space="preserve"> problema </w:t>
      </w:r>
      <w:r w:rsidRPr="00614500">
        <w:rPr>
          <w:rFonts w:ascii="Verdana" w:eastAsia="Calibri" w:hAnsi="Verdana" w:cs="Arial"/>
          <w:color w:val="000000"/>
          <w:lang w:val="es-ES" w:eastAsia="es-ES"/>
        </w:rPr>
        <w:t>jurídico</w:t>
      </w:r>
      <w:r w:rsidRPr="00614500">
        <w:rPr>
          <w:rFonts w:ascii="Verdana" w:eastAsia="Calibri" w:hAnsi="Verdana" w:cs="Arial"/>
          <w:color w:val="7030A0"/>
          <w:lang w:val="es-ES" w:eastAsia="es-ES"/>
        </w:rPr>
        <w:t xml:space="preserve"> </w:t>
      </w:r>
      <w:r w:rsidRPr="00614500">
        <w:rPr>
          <w:rFonts w:ascii="Verdana" w:eastAsia="Calibri" w:hAnsi="Verdana" w:cs="Arial"/>
          <w:color w:val="000000"/>
          <w:lang w:val="es-ES" w:eastAsia="es-ES"/>
        </w:rPr>
        <w:t xml:space="preserve">de su consulta. </w:t>
      </w:r>
    </w:p>
    <w:p w14:paraId="392171A9" w14:textId="77777777" w:rsidR="00147D2C" w:rsidRPr="00614500" w:rsidRDefault="00147D2C" w:rsidP="00147D2C">
      <w:pPr>
        <w:spacing w:after="0" w:line="276" w:lineRule="auto"/>
        <w:ind w:firstLine="709"/>
        <w:jc w:val="both"/>
        <w:rPr>
          <w:rFonts w:ascii="Verdana" w:eastAsia="Calibri" w:hAnsi="Verdana" w:cs="Arial"/>
          <w:color w:val="000000"/>
          <w:lang w:val="es-ES" w:eastAsia="es-ES"/>
        </w:rPr>
      </w:pPr>
    </w:p>
    <w:p w14:paraId="53122973" w14:textId="77777777" w:rsidR="00147D2C" w:rsidRPr="00614500" w:rsidRDefault="00147D2C" w:rsidP="00147D2C">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614500">
        <w:rPr>
          <w:rFonts w:ascii="Verdana" w:eastAsia="Century Gothic" w:hAnsi="Verdana" w:cs="Century Gothic"/>
          <w:b/>
          <w:bCs/>
          <w:lang w:val="es-ES"/>
        </w:rPr>
        <w:t>Problema planteado:</w:t>
      </w:r>
    </w:p>
    <w:p w14:paraId="7ACCFE6F" w14:textId="77777777" w:rsidR="00147D2C" w:rsidRPr="00614500" w:rsidRDefault="00147D2C" w:rsidP="00147D2C">
      <w:pPr>
        <w:tabs>
          <w:tab w:val="left" w:pos="426"/>
        </w:tabs>
        <w:spacing w:after="0" w:line="276" w:lineRule="auto"/>
        <w:jc w:val="both"/>
        <w:rPr>
          <w:rFonts w:ascii="Verdana" w:eastAsia="Century Gothic" w:hAnsi="Verdana" w:cs="Century Gothic"/>
          <w:lang w:val="es-ES"/>
        </w:rPr>
      </w:pPr>
    </w:p>
    <w:p w14:paraId="2549EA7A" w14:textId="77777777" w:rsidR="00147D2C" w:rsidRDefault="00147D2C" w:rsidP="00147D2C">
      <w:pPr>
        <w:spacing w:after="0" w:line="240" w:lineRule="auto"/>
        <w:ind w:left="709" w:right="709"/>
        <w:jc w:val="both"/>
        <w:rPr>
          <w:rFonts w:ascii="Verdana" w:hAnsi="Verdana"/>
        </w:rPr>
      </w:pPr>
      <w:r w:rsidRPr="00614500">
        <w:rPr>
          <w:rFonts w:ascii="Verdana" w:eastAsia="Century Gothic" w:hAnsi="Verdana" w:cs="Century Gothic"/>
        </w:rPr>
        <w:t>De acuerdo con el contenido de su solicitud, esta Agencia resolverá el siguiente problema jurídico</w:t>
      </w:r>
      <w:r w:rsidRPr="00650210">
        <w:rPr>
          <w:rFonts w:ascii="Verdana" w:eastAsia="Century Gothic" w:hAnsi="Verdana" w:cs="Century Gothic"/>
        </w:rPr>
        <w:t>:</w:t>
      </w:r>
      <w:r>
        <w:rPr>
          <w:rFonts w:ascii="Verdana" w:eastAsia="Century Gothic" w:hAnsi="Verdana" w:cs="Century Gothic"/>
          <w:color w:val="FF0000"/>
          <w:lang w:val="es-ES"/>
        </w:rPr>
        <w:t xml:space="preserve"> </w:t>
      </w:r>
      <w:r w:rsidRPr="001B547E">
        <w:rPr>
          <w:rFonts w:ascii="Verdana" w:hAnsi="Verdana"/>
        </w:rPr>
        <w:t>¿Cómo se debe evaluar la experiencia en los procesos de selección?</w:t>
      </w:r>
    </w:p>
    <w:p w14:paraId="1FB5116E" w14:textId="77777777" w:rsidR="00147D2C" w:rsidRPr="00BA130E" w:rsidRDefault="00147D2C" w:rsidP="00147D2C">
      <w:pPr>
        <w:spacing w:after="0" w:line="240" w:lineRule="auto"/>
        <w:ind w:left="709" w:right="709"/>
        <w:jc w:val="both"/>
        <w:rPr>
          <w:rFonts w:ascii="Verdana" w:eastAsia="Century Gothic" w:hAnsi="Verdana" w:cs="Century Gothic"/>
          <w:color w:val="FF0000"/>
          <w:lang w:val="es-ES"/>
        </w:rPr>
      </w:pPr>
    </w:p>
    <w:p w14:paraId="006A6AE7" w14:textId="77777777" w:rsidR="00147D2C" w:rsidRPr="00614500" w:rsidRDefault="00147D2C" w:rsidP="00147D2C">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14500">
        <w:rPr>
          <w:rFonts w:ascii="Verdana" w:eastAsia="Century Gothic" w:hAnsi="Verdana" w:cs="Century Gothic"/>
          <w:b/>
          <w:bCs/>
          <w:lang w:val="es-ES"/>
        </w:rPr>
        <w:t>Respuesta:</w:t>
      </w:r>
    </w:p>
    <w:p w14:paraId="0D93CD67" w14:textId="77777777" w:rsidR="00147D2C" w:rsidRPr="00614500" w:rsidRDefault="00147D2C" w:rsidP="00147D2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47D2C" w:rsidRPr="002B2A4F" w14:paraId="542B07A8" w14:textId="77777777" w:rsidTr="00F76A40">
        <w:tc>
          <w:tcPr>
            <w:tcW w:w="8828" w:type="dxa"/>
            <w:shd w:val="clear" w:color="auto" w:fill="auto"/>
          </w:tcPr>
          <w:p w14:paraId="7A3BA5B5" w14:textId="200EAF51" w:rsidR="00147D2C" w:rsidRDefault="00147D2C" w:rsidP="00F76A40">
            <w:pPr>
              <w:spacing w:line="276" w:lineRule="auto"/>
              <w:jc w:val="both"/>
              <w:rPr>
                <w:rFonts w:ascii="Verdana" w:hAnsi="Verdana"/>
              </w:rPr>
            </w:pPr>
            <w:r>
              <w:rPr>
                <w:rFonts w:ascii="Verdana" w:hAnsi="Verdana"/>
              </w:rPr>
              <w:t>L</w:t>
            </w:r>
            <w:r w:rsidRPr="002B2A4F">
              <w:rPr>
                <w:rFonts w:ascii="Verdana" w:hAnsi="Verdana"/>
              </w:rPr>
              <w:t xml:space="preserve">a experiencia en los procesos de selección deberá evaluarse conforme se haya indicado en el pliego de condiciones, respetando el principio de selección objetiva. Téngase en cuenta que, la experiencia se acredita con los contratos que el proponente ha celebrado y ejecutado con diferentes contratantes, sin importar la naturaleza de estos, y se verifica con el Registro </w:t>
            </w:r>
            <w:r w:rsidR="00237BB7" w:rsidRPr="002B2A4F">
              <w:rPr>
                <w:rFonts w:ascii="Verdana" w:hAnsi="Verdana"/>
              </w:rPr>
              <w:t>Único</w:t>
            </w:r>
            <w:r w:rsidRPr="002B2A4F">
              <w:rPr>
                <w:rFonts w:ascii="Verdana" w:hAnsi="Verdana"/>
              </w:rPr>
              <w:t xml:space="preserve"> de Proponentes – RUP, cuando este certificado sea exigible de acuerdo con la Ley.</w:t>
            </w:r>
          </w:p>
          <w:p w14:paraId="5D510C6C" w14:textId="77777777" w:rsidR="00147D2C" w:rsidRPr="002B2A4F" w:rsidRDefault="00147D2C" w:rsidP="00F76A40">
            <w:pPr>
              <w:spacing w:line="276" w:lineRule="auto"/>
              <w:jc w:val="both"/>
              <w:rPr>
                <w:rFonts w:ascii="Verdana" w:hAnsi="Verdana"/>
              </w:rPr>
            </w:pPr>
            <w:r w:rsidRPr="002B2A4F">
              <w:rPr>
                <w:rFonts w:ascii="Verdana" w:hAnsi="Verdana"/>
              </w:rPr>
              <w:lastRenderedPageBreak/>
              <w:t>En los casos en los que los proponentes no requieran contar con RUP, excepciones prescritas por el artículo 6 de la Ley 1150 de 2007,</w:t>
            </w:r>
            <w:r w:rsidRPr="002B2A4F">
              <w:rPr>
                <w:rStyle w:val="Refdenotaalpie"/>
                <w:rFonts w:ascii="Verdana" w:hAnsi="Verdana"/>
              </w:rPr>
              <w:footnoteReference w:id="2"/>
            </w:r>
            <w:r w:rsidRPr="002B2A4F">
              <w:rPr>
                <w:rFonts w:ascii="Verdana" w:hAnsi="Verdana"/>
              </w:rPr>
              <w:t xml:space="preserve"> le corresponderá́ a la entidad contratante definir en su pliego de condiciones los requisitos para evaluar la habilitación del contratista y su idoneidad.</w:t>
            </w:r>
          </w:p>
          <w:p w14:paraId="0956709E" w14:textId="77777777" w:rsidR="00147D2C" w:rsidRPr="002B2A4F" w:rsidRDefault="00147D2C" w:rsidP="00F76A40">
            <w:pPr>
              <w:pStyle w:val="Textonotapie"/>
              <w:jc w:val="both"/>
              <w:rPr>
                <w:rFonts w:ascii="Verdana" w:eastAsia="Calibri" w:hAnsi="Verdana" w:cs="Arial"/>
                <w:color w:val="7030A0"/>
                <w:lang w:val="es-ES"/>
              </w:rPr>
            </w:pPr>
          </w:p>
        </w:tc>
      </w:tr>
    </w:tbl>
    <w:p w14:paraId="11D1A2F5" w14:textId="77777777" w:rsidR="00147D2C" w:rsidRPr="002B2A4F" w:rsidRDefault="00147D2C" w:rsidP="00147D2C">
      <w:pPr>
        <w:tabs>
          <w:tab w:val="left" w:pos="142"/>
          <w:tab w:val="left" w:pos="284"/>
        </w:tabs>
        <w:spacing w:after="0" w:line="276" w:lineRule="auto"/>
        <w:jc w:val="both"/>
        <w:rPr>
          <w:rFonts w:ascii="Verdana" w:eastAsia="Century Gothic" w:hAnsi="Verdana" w:cs="Century Gothic"/>
          <w:b/>
          <w:bCs/>
          <w:lang w:val="es-ES"/>
        </w:rPr>
      </w:pPr>
    </w:p>
    <w:p w14:paraId="32654C33" w14:textId="77777777" w:rsidR="00147D2C" w:rsidRPr="002B2A4F" w:rsidRDefault="00147D2C" w:rsidP="00147D2C">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2B2A4F">
        <w:rPr>
          <w:rFonts w:ascii="Verdana" w:eastAsia="Century Gothic" w:hAnsi="Verdana" w:cs="Century Gothic"/>
          <w:b/>
          <w:bCs/>
          <w:lang w:val="es-ES"/>
        </w:rPr>
        <w:t>Razones de la respuesta:</w:t>
      </w:r>
    </w:p>
    <w:p w14:paraId="73290708" w14:textId="77777777" w:rsidR="00147D2C" w:rsidRPr="002B2A4F" w:rsidRDefault="00147D2C" w:rsidP="00147D2C">
      <w:pPr>
        <w:spacing w:after="0" w:line="276" w:lineRule="auto"/>
        <w:jc w:val="both"/>
        <w:rPr>
          <w:rFonts w:ascii="Verdana" w:eastAsia="Calibri" w:hAnsi="Verdana" w:cs="Arial"/>
          <w:color w:val="7030A0"/>
          <w:lang w:val="es-ES"/>
        </w:rPr>
      </w:pPr>
    </w:p>
    <w:p w14:paraId="07FFBB31" w14:textId="77777777" w:rsidR="00147D2C" w:rsidRDefault="00147D2C" w:rsidP="00147D2C">
      <w:pPr>
        <w:spacing w:after="0" w:line="276" w:lineRule="auto"/>
        <w:jc w:val="both"/>
        <w:rPr>
          <w:rFonts w:ascii="Verdana" w:eastAsia="Calibri" w:hAnsi="Verdana" w:cs="Arial"/>
          <w:lang w:val="es-ES"/>
        </w:rPr>
      </w:pPr>
      <w:r w:rsidRPr="002B2A4F">
        <w:rPr>
          <w:rFonts w:ascii="Verdana" w:eastAsia="Calibri" w:hAnsi="Verdana" w:cs="Arial"/>
          <w:lang w:val="es-ES"/>
        </w:rPr>
        <w:t xml:space="preserve">Lo anterior se sustenta en las siguientes consideraciones: </w:t>
      </w:r>
    </w:p>
    <w:p w14:paraId="78BCEEE2" w14:textId="77777777" w:rsidR="00147D2C" w:rsidRPr="002B2A4F" w:rsidRDefault="00147D2C" w:rsidP="00147D2C">
      <w:pPr>
        <w:spacing w:line="276" w:lineRule="auto"/>
        <w:jc w:val="both"/>
        <w:rPr>
          <w:rFonts w:ascii="Verdana" w:hAnsi="Verdana"/>
        </w:rPr>
      </w:pPr>
    </w:p>
    <w:p w14:paraId="03255B20" w14:textId="77777777" w:rsidR="00147D2C" w:rsidRPr="002B2A4F" w:rsidRDefault="00147D2C" w:rsidP="00147D2C">
      <w:pPr>
        <w:spacing w:after="0" w:line="276" w:lineRule="auto"/>
        <w:contextualSpacing/>
        <w:jc w:val="both"/>
        <w:rPr>
          <w:rFonts w:ascii="Verdana" w:eastAsia="Calibri" w:hAnsi="Verdana"/>
          <w:lang w:val="es-ES"/>
        </w:rPr>
      </w:pPr>
      <w:bookmarkStart w:id="1" w:name="_Hlk173924733"/>
      <w:r>
        <w:rPr>
          <w:rFonts w:ascii="Verdana" w:hAnsi="Verdana" w:cs="Arial"/>
          <w:lang w:val="es-ES"/>
        </w:rPr>
        <w:t>E</w:t>
      </w:r>
      <w:r w:rsidRPr="002B2A4F">
        <w:rPr>
          <w:rFonts w:ascii="Verdana" w:hAnsi="Verdana" w:cs="Arial"/>
          <w:lang w:val="es-ES"/>
        </w:rPr>
        <w:t xml:space="preserve">l artículo 5 de la Ley 1150 de 2007, establece que dentro de los procesos de contratación la escogencia del oferente se efectuará conforme al </w:t>
      </w:r>
      <w:r w:rsidRPr="002B2A4F">
        <w:rPr>
          <w:rFonts w:ascii="Verdana" w:hAnsi="Verdana" w:cs="Arial"/>
        </w:rPr>
        <w:t xml:space="preserve">ofrecimiento más favorable a la entidad y a los fines que ella busca, sin tener en consideración factores de afecto o de interés y, en general, cualquier clase de motivación subjetiva. De tal manera que, se establecen unos </w:t>
      </w:r>
      <w:r w:rsidRPr="002B2A4F">
        <w:rPr>
          <w:rFonts w:ascii="Verdana" w:hAnsi="Verdana" w:cs="Arial"/>
          <w:lang w:val="es-ES"/>
        </w:rPr>
        <w:t xml:space="preserve">criterios habilitantes para participar en un procedimiento contractual, dentro de los cuales se destaca la experiencia. </w:t>
      </w:r>
    </w:p>
    <w:p w14:paraId="4B259A63" w14:textId="77777777" w:rsidR="00147D2C" w:rsidRPr="002B2A4F" w:rsidRDefault="00147D2C" w:rsidP="00147D2C">
      <w:pPr>
        <w:pStyle w:val="Prrafodelista"/>
        <w:jc w:val="both"/>
        <w:rPr>
          <w:rFonts w:ascii="Verdana" w:hAnsi="Verdana" w:cs="Arial"/>
        </w:rPr>
      </w:pPr>
    </w:p>
    <w:p w14:paraId="7CA0B7E8" w14:textId="77777777" w:rsidR="00147D2C" w:rsidRPr="002B2A4F" w:rsidRDefault="00147D2C" w:rsidP="00147D2C">
      <w:pPr>
        <w:spacing w:after="0" w:line="276" w:lineRule="auto"/>
        <w:contextualSpacing/>
        <w:jc w:val="both"/>
        <w:rPr>
          <w:rFonts w:ascii="Verdana" w:eastAsia="Calibri" w:hAnsi="Verdana"/>
          <w:lang w:val="es-ES"/>
        </w:rPr>
      </w:pPr>
      <w:r w:rsidRPr="002B2A4F">
        <w:rPr>
          <w:rFonts w:ascii="Verdana" w:hAnsi="Verdana" w:cs="Arial"/>
          <w:lang w:val="es-ES"/>
        </w:rPr>
        <w:t xml:space="preserve">El propósito de tener en cuenta estos criterios, es que las entidades fijen unos requisitos mínimos que debe tener y acreditar el proponente, para que la entidad verifique su aptitud para participar en el procedimiento de contratación y, si se le adjudica, ejecutar el contrato estatal. </w:t>
      </w:r>
      <w:r w:rsidRPr="002B2A4F">
        <w:rPr>
          <w:rFonts w:ascii="Verdana" w:hAnsi="Verdana"/>
        </w:rPr>
        <w:t>Dentro de los requisitos habilitantes en los Procesos de Contratación se destaca la experiencia, la cual debe ser entendida como el conocimiento del proponente derivado de su participación previa en actividades iguales o similares a las previstas en el objeto del contrato, los cuales podrán ser suscritos con contratantes públicos, privados, nacionales o extranjeros.</w:t>
      </w:r>
    </w:p>
    <w:p w14:paraId="3CBC3E5C" w14:textId="77777777" w:rsidR="00147D2C" w:rsidRPr="002B2A4F" w:rsidRDefault="00147D2C" w:rsidP="00147D2C">
      <w:pPr>
        <w:spacing w:after="0" w:line="276" w:lineRule="auto"/>
        <w:contextualSpacing/>
        <w:jc w:val="both"/>
        <w:rPr>
          <w:rFonts w:ascii="Verdana" w:eastAsia="Calibri" w:hAnsi="Verdana"/>
          <w:lang w:val="es-ES"/>
        </w:rPr>
      </w:pPr>
    </w:p>
    <w:p w14:paraId="1CB12BA9" w14:textId="77777777" w:rsidR="00147D2C" w:rsidRDefault="00147D2C" w:rsidP="00147D2C">
      <w:pPr>
        <w:spacing w:after="0" w:line="276" w:lineRule="auto"/>
        <w:contextualSpacing/>
        <w:jc w:val="both"/>
        <w:rPr>
          <w:rFonts w:ascii="Verdana" w:hAnsi="Verdana"/>
        </w:rPr>
      </w:pPr>
      <w:r w:rsidRPr="00873AA6">
        <w:rPr>
          <w:rFonts w:ascii="Verdana" w:hAnsi="Verdana"/>
        </w:rPr>
        <w:t>Estos requisitos habilitantes</w:t>
      </w:r>
      <w:r w:rsidRPr="00873AA6">
        <w:rPr>
          <w:rFonts w:ascii="Verdana" w:hAnsi="Verdana"/>
          <w:i/>
          <w:iCs/>
        </w:rPr>
        <w:t>, s</w:t>
      </w:r>
      <w:r w:rsidRPr="00873AA6">
        <w:rPr>
          <w:rFonts w:ascii="Verdana" w:hAnsi="Verdana"/>
        </w:rPr>
        <w:t xml:space="preserve">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En consecuencia, los requisitos habilitantes, no se valoran con un puntaje que determine el orden de escogencia, sino que se analizan como criterios previos a </w:t>
      </w:r>
      <w:r w:rsidRPr="00873AA6">
        <w:rPr>
          <w:rFonts w:ascii="Verdana" w:hAnsi="Verdana"/>
        </w:rPr>
        <w:lastRenderedPageBreak/>
        <w:t>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los parágrafos 1o al 4o de artículo 5 de la Ley 1150 de 2007</w:t>
      </w:r>
      <w:r w:rsidRPr="00873AA6">
        <w:rPr>
          <w:rStyle w:val="Refdenotaalpie"/>
          <w:rFonts w:ascii="Verdana" w:hAnsi="Verdana"/>
        </w:rPr>
        <w:footnoteReference w:id="3"/>
      </w:r>
      <w:r w:rsidRPr="00873AA6">
        <w:rPr>
          <w:rFonts w:ascii="Verdana" w:hAnsi="Verdana"/>
        </w:rPr>
        <w:t xml:space="preserve">. </w:t>
      </w:r>
    </w:p>
    <w:p w14:paraId="53E4BCDF" w14:textId="77777777" w:rsidR="00147D2C" w:rsidRDefault="00147D2C" w:rsidP="00147D2C">
      <w:pPr>
        <w:spacing w:after="0" w:line="276" w:lineRule="auto"/>
        <w:contextualSpacing/>
        <w:jc w:val="both"/>
        <w:rPr>
          <w:rFonts w:ascii="Verdana" w:hAnsi="Verdana"/>
        </w:rPr>
      </w:pPr>
    </w:p>
    <w:p w14:paraId="092EA5FC" w14:textId="77777777" w:rsidR="00147D2C" w:rsidRPr="00873AA6" w:rsidRDefault="00147D2C" w:rsidP="00147D2C">
      <w:pPr>
        <w:jc w:val="both"/>
        <w:rPr>
          <w:rFonts w:ascii="Verdana" w:hAnsi="Verdana"/>
        </w:rPr>
      </w:pPr>
      <w:r w:rsidRPr="00873AA6">
        <w:rPr>
          <w:rFonts w:ascii="Verdana" w:hAnsi="Verdana"/>
        </w:rPr>
        <w:t>En ese orden de ideas, el artículo 6 de la Ley 1150 de 2007, establece que “todas las personas naturales o jurídicas, nacionales o extranjeras, domiciliadas o con sucursal en Colombia, que aspiren celebrar contratos con las entidades estatales, deberán estar inscritas en el Registro Único de Proponentes (RUP)</w:t>
      </w:r>
      <w:r w:rsidRPr="002B2A4F">
        <w:rPr>
          <w:rStyle w:val="Refdenotaalpie"/>
          <w:rFonts w:ascii="Verdana" w:eastAsia="Calibri" w:hAnsi="Verdana"/>
          <w:lang w:val="es-ES"/>
        </w:rPr>
        <w:t xml:space="preserve"> </w:t>
      </w:r>
      <w:r w:rsidRPr="002B2A4F">
        <w:rPr>
          <w:rStyle w:val="Refdenotaalpie"/>
          <w:rFonts w:ascii="Verdana" w:eastAsia="Calibri" w:hAnsi="Verdana"/>
          <w:lang w:val="es-ES"/>
        </w:rPr>
        <w:footnoteReference w:id="4"/>
      </w:r>
      <w:r w:rsidRPr="00873AA6">
        <w:rPr>
          <w:rFonts w:ascii="Verdana" w:hAnsi="Verdana"/>
        </w:rPr>
        <w:t xml:space="preserve">”. En dicho registro constará la información relacionada previamente con la experiencia, capacidad jurídica, financiera y de organización del proponente y su clasificación la cual ha tenido que ser acreditada con certificaciones y soportes ante las Cámaras de Comercio para que se surta su inscripción. Estos soportes en el caso de la experiencia igual podrán provenir de empresas nacionales o extranjeras, entidades públicas o privadas.  </w:t>
      </w:r>
    </w:p>
    <w:p w14:paraId="5DA26865" w14:textId="77777777" w:rsidR="00147D2C" w:rsidRPr="00873AA6" w:rsidRDefault="00147D2C" w:rsidP="00147D2C">
      <w:pPr>
        <w:spacing w:line="276" w:lineRule="auto"/>
        <w:jc w:val="both"/>
        <w:rPr>
          <w:rFonts w:ascii="Verdana" w:hAnsi="Verdana"/>
          <w:i/>
          <w:iCs/>
        </w:rPr>
      </w:pPr>
      <w:r w:rsidRPr="00873AA6">
        <w:rPr>
          <w:rFonts w:ascii="Verdana" w:hAnsi="Verdana"/>
        </w:rPr>
        <w:t xml:space="preserve">No obstante lo anterior,  la norma ibidem también prescribe que </w:t>
      </w:r>
      <w:r w:rsidRPr="00873AA6">
        <w:rPr>
          <w:rFonts w:ascii="Verdana" w:hAnsi="Verdana"/>
          <w:i/>
          <w:iCs/>
        </w:rPr>
        <w:t xml:space="preserve">“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3A8BDF35" w14:textId="77777777" w:rsidR="00147D2C" w:rsidRPr="002B2A4F" w:rsidRDefault="00147D2C" w:rsidP="00147D2C">
      <w:pPr>
        <w:spacing w:after="0" w:line="276" w:lineRule="auto"/>
        <w:contextualSpacing/>
        <w:jc w:val="both"/>
        <w:rPr>
          <w:rFonts w:ascii="Verdana" w:eastAsia="Calibri" w:hAnsi="Verdana"/>
        </w:rPr>
      </w:pPr>
      <w:r w:rsidRPr="002B2A4F">
        <w:rPr>
          <w:rFonts w:ascii="Verdana" w:eastAsia="Calibri" w:hAnsi="Verdana"/>
        </w:rPr>
        <w:t xml:space="preserve">Ahora bien, 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w:t>
      </w:r>
      <w:r w:rsidRPr="002B2A4F">
        <w:rPr>
          <w:rFonts w:ascii="Verdana" w:eastAsia="Calibri" w:hAnsi="Verdana"/>
        </w:rPr>
        <w:lastRenderedPageBreak/>
        <w:t xml:space="preserve">de Estado cuando enumeró las excepciones en las cuales las entidades tienen la obligación de verificar los requisitos habilitantes de los proponentes </w:t>
      </w:r>
      <w:r w:rsidRPr="002B2A4F">
        <w:rPr>
          <w:rStyle w:val="Refdenotaalpie"/>
          <w:rFonts w:ascii="Verdana" w:eastAsia="Calibri" w:hAnsi="Verdana"/>
        </w:rPr>
        <w:footnoteReference w:id="5"/>
      </w:r>
    </w:p>
    <w:p w14:paraId="752DF917" w14:textId="77777777" w:rsidR="00147D2C" w:rsidRPr="002B2A4F" w:rsidRDefault="00147D2C" w:rsidP="00147D2C">
      <w:pPr>
        <w:spacing w:after="0" w:line="276" w:lineRule="auto"/>
        <w:contextualSpacing/>
        <w:jc w:val="both"/>
        <w:rPr>
          <w:rFonts w:ascii="Verdana" w:hAnsi="Verdana" w:cs="Arial"/>
        </w:rPr>
      </w:pPr>
    </w:p>
    <w:p w14:paraId="68EE21B7" w14:textId="4F6F2436" w:rsidR="008E1D84" w:rsidRDefault="00147D2C" w:rsidP="00147D2C">
      <w:pPr>
        <w:spacing w:after="0" w:line="276" w:lineRule="auto"/>
        <w:contextualSpacing/>
        <w:jc w:val="both"/>
        <w:rPr>
          <w:rFonts w:ascii="Verdana" w:hAnsi="Verdana" w:cs="Arial"/>
          <w:lang w:val="es-ES"/>
        </w:rPr>
      </w:pPr>
      <w:r w:rsidRPr="002B2A4F">
        <w:rPr>
          <w:rFonts w:ascii="Verdana" w:hAnsi="Verdana" w:cs="Arial"/>
          <w:lang w:val="es-ES"/>
        </w:rPr>
        <w:t xml:space="preserve">En conclusión, la entidad, como responsable de la estructuración de su procedimiento de contratación, es autónoma para requerir la experiencia y las condiciones de acreditación de </w:t>
      </w:r>
      <w:r w:rsidR="008E1D84" w:rsidRPr="002B2A4F">
        <w:rPr>
          <w:rFonts w:ascii="Verdana" w:hAnsi="Verdana" w:cs="Arial"/>
          <w:lang w:val="es-ES"/>
        </w:rPr>
        <w:t>esta</w:t>
      </w:r>
      <w:r w:rsidRPr="002B2A4F">
        <w:rPr>
          <w:rFonts w:ascii="Verdana" w:hAnsi="Verdana" w:cs="Arial"/>
          <w:lang w:val="es-ES"/>
        </w:rPr>
        <w:t>, la cual será necesaria para el objeto de contrato</w:t>
      </w:r>
      <w:r w:rsidR="008E1D84">
        <w:rPr>
          <w:rFonts w:ascii="Verdana" w:hAnsi="Verdana" w:cs="Arial"/>
          <w:lang w:val="es-ES"/>
        </w:rPr>
        <w:t>.</w:t>
      </w:r>
    </w:p>
    <w:bookmarkEnd w:id="1"/>
    <w:p w14:paraId="16AAF0AB" w14:textId="77777777" w:rsidR="00147D2C" w:rsidRPr="00614500" w:rsidRDefault="00147D2C" w:rsidP="00147D2C">
      <w:pPr>
        <w:widowControl w:val="0"/>
        <w:autoSpaceDE w:val="0"/>
        <w:autoSpaceDN w:val="0"/>
        <w:spacing w:after="0" w:line="276" w:lineRule="auto"/>
        <w:contextualSpacing/>
        <w:jc w:val="both"/>
        <w:rPr>
          <w:rFonts w:ascii="Verdana" w:hAnsi="Verdana" w:cs="Arial"/>
        </w:rPr>
      </w:pPr>
    </w:p>
    <w:p w14:paraId="36DF7D01" w14:textId="77777777" w:rsidR="00147D2C" w:rsidRPr="00614500" w:rsidRDefault="00147D2C" w:rsidP="00147D2C">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14500">
        <w:rPr>
          <w:rFonts w:ascii="Verdana" w:eastAsia="Century Gothic" w:hAnsi="Verdana" w:cs="Century Gothic"/>
          <w:b/>
          <w:bCs/>
          <w:lang w:val="es-ES"/>
        </w:rPr>
        <w:t>Referencias normativas, jurisprudenciales y otras fuentes:</w:t>
      </w:r>
    </w:p>
    <w:p w14:paraId="36CB61A3" w14:textId="77777777" w:rsidR="00147D2C" w:rsidRPr="00614500" w:rsidRDefault="00147D2C" w:rsidP="00147D2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47D2C" w:rsidRPr="00614500" w14:paraId="36C425E2" w14:textId="77777777" w:rsidTr="00F76A40">
        <w:trPr>
          <w:trHeight w:val="870"/>
        </w:trPr>
        <w:tc>
          <w:tcPr>
            <w:tcW w:w="8647" w:type="dxa"/>
          </w:tcPr>
          <w:p w14:paraId="336D6EA0" w14:textId="77777777" w:rsidR="00147D2C" w:rsidRPr="00614500" w:rsidRDefault="00147D2C" w:rsidP="00147D2C">
            <w:pPr>
              <w:widowControl w:val="0"/>
              <w:numPr>
                <w:ilvl w:val="0"/>
                <w:numId w:val="17"/>
              </w:numPr>
              <w:autoSpaceDE w:val="0"/>
              <w:autoSpaceDN w:val="0"/>
              <w:spacing w:after="120" w:line="276" w:lineRule="auto"/>
              <w:jc w:val="both"/>
              <w:rPr>
                <w:rFonts w:ascii="Verdana" w:hAnsi="Verdana" w:cs="Arial"/>
              </w:rPr>
            </w:pPr>
            <w:r w:rsidRPr="00614500">
              <w:rPr>
                <w:rFonts w:ascii="Verdana" w:hAnsi="Verdana" w:cs="Arial"/>
              </w:rPr>
              <w:t>Ley 1150 de 2007</w:t>
            </w:r>
            <w:r>
              <w:rPr>
                <w:rFonts w:ascii="Verdana" w:hAnsi="Verdana" w:cs="Arial"/>
              </w:rPr>
              <w:t xml:space="preserve">. </w:t>
            </w:r>
            <w:r w:rsidRPr="00873AA6">
              <w:rPr>
                <w:rFonts w:ascii="Verdana" w:hAnsi="Verdana"/>
              </w:rPr>
              <w:t>Artículo</w:t>
            </w:r>
            <w:r>
              <w:rPr>
                <w:rFonts w:ascii="Verdana" w:hAnsi="Verdana"/>
              </w:rPr>
              <w:t>s 5 y</w:t>
            </w:r>
            <w:r w:rsidRPr="00873AA6">
              <w:rPr>
                <w:rFonts w:ascii="Verdana" w:hAnsi="Verdana"/>
              </w:rPr>
              <w:t xml:space="preserve"> 6</w:t>
            </w:r>
            <w:r>
              <w:rPr>
                <w:rFonts w:ascii="Verdana" w:hAnsi="Verdana"/>
              </w:rPr>
              <w:t xml:space="preserve">. </w:t>
            </w:r>
            <w:r w:rsidRPr="00873AA6">
              <w:rPr>
                <w:rFonts w:ascii="Verdana" w:hAnsi="Verdana"/>
              </w:rPr>
              <w:t xml:space="preserve"> </w:t>
            </w:r>
            <w:r w:rsidRPr="00614500">
              <w:rPr>
                <w:rFonts w:ascii="Verdana" w:hAnsi="Verdana" w:cs="Arial"/>
              </w:rPr>
              <w:t xml:space="preserve"> Disponible </w:t>
            </w:r>
            <w:proofErr w:type="gramStart"/>
            <w:r w:rsidRPr="00614500">
              <w:rPr>
                <w:rFonts w:ascii="Verdana" w:hAnsi="Verdana" w:cs="Arial"/>
              </w:rPr>
              <w:t>en :</w:t>
            </w:r>
            <w:proofErr w:type="gramEnd"/>
            <w:r w:rsidRPr="00614500">
              <w:rPr>
                <w:rFonts w:ascii="Verdana" w:hAnsi="Verdana" w:cs="Arial"/>
              </w:rPr>
              <w:t xml:space="preserve"> </w:t>
            </w:r>
            <w:hyperlink r:id="rId11" w:history="1">
              <w:r w:rsidRPr="00614500">
                <w:rPr>
                  <w:rFonts w:ascii="Verdana" w:hAnsi="Verdana" w:cs="Arial"/>
                  <w:color w:val="0070C0"/>
                  <w:u w:val="single"/>
                </w:rPr>
                <w:t>https://relatoria.colombiacompra.gov.co/normativa/ley-1150-de-2007/</w:t>
              </w:r>
            </w:hyperlink>
          </w:p>
          <w:p w14:paraId="0839C3C0" w14:textId="77777777" w:rsidR="00147D2C" w:rsidRPr="00614500" w:rsidRDefault="00147D2C" w:rsidP="00147D2C">
            <w:pPr>
              <w:widowControl w:val="0"/>
              <w:numPr>
                <w:ilvl w:val="0"/>
                <w:numId w:val="17"/>
              </w:numPr>
              <w:autoSpaceDE w:val="0"/>
              <w:autoSpaceDN w:val="0"/>
              <w:spacing w:after="120" w:line="276" w:lineRule="auto"/>
              <w:jc w:val="both"/>
              <w:rPr>
                <w:rFonts w:ascii="Verdana" w:hAnsi="Verdana" w:cs="Arial"/>
              </w:rPr>
            </w:pPr>
            <w:r w:rsidRPr="00614500">
              <w:rPr>
                <w:rFonts w:ascii="Verdana" w:eastAsia="Arial" w:hAnsi="Verdana" w:cs="Arial"/>
                <w:lang w:val="es-ES"/>
              </w:rPr>
              <w:t>Decreto 1082 de 2015</w:t>
            </w:r>
            <w:r>
              <w:rPr>
                <w:rFonts w:ascii="Verdana" w:eastAsia="Arial" w:hAnsi="Verdana" w:cs="Arial"/>
                <w:lang w:val="es-ES"/>
              </w:rPr>
              <w:t xml:space="preserve">. </w:t>
            </w:r>
            <w:r w:rsidRPr="002B2A4F">
              <w:rPr>
                <w:rFonts w:ascii="Verdana" w:hAnsi="Verdana" w:cs="Arial"/>
                <w:lang w:val="es-ES"/>
              </w:rPr>
              <w:t xml:space="preserve"> </w:t>
            </w:r>
            <w:r>
              <w:rPr>
                <w:rFonts w:ascii="Verdana" w:hAnsi="Verdana" w:cs="Arial"/>
                <w:lang w:val="es-ES"/>
              </w:rPr>
              <w:t>A</w:t>
            </w:r>
            <w:r w:rsidRPr="002B2A4F">
              <w:rPr>
                <w:rFonts w:ascii="Verdana" w:hAnsi="Verdana" w:cs="Arial"/>
                <w:lang w:val="es-ES"/>
              </w:rPr>
              <w:t>rtículo 2.2.1.1.1.6.2</w:t>
            </w:r>
            <w:r>
              <w:rPr>
                <w:rFonts w:ascii="Verdana" w:hAnsi="Verdana" w:cs="Arial"/>
                <w:lang w:val="es-ES"/>
              </w:rPr>
              <w:t>.</w:t>
            </w:r>
            <w:r w:rsidRPr="00614500">
              <w:rPr>
                <w:rFonts w:ascii="Verdana" w:eastAsia="Arial" w:hAnsi="Verdana" w:cs="Arial"/>
                <w:lang w:val="es-ES"/>
              </w:rPr>
              <w:t xml:space="preserve"> Disponible </w:t>
            </w:r>
            <w:proofErr w:type="gramStart"/>
            <w:r w:rsidRPr="00614500">
              <w:rPr>
                <w:rFonts w:ascii="Verdana" w:eastAsia="Arial" w:hAnsi="Verdana" w:cs="Arial"/>
                <w:lang w:val="es-ES"/>
              </w:rPr>
              <w:t>en :</w:t>
            </w:r>
            <w:proofErr w:type="gramEnd"/>
            <w:r w:rsidRPr="00614500">
              <w:rPr>
                <w:rFonts w:ascii="Verdana" w:hAnsi="Verdana"/>
              </w:rPr>
              <w:t xml:space="preserve"> </w:t>
            </w:r>
            <w:hyperlink r:id="rId12" w:history="1">
              <w:r w:rsidRPr="00614500">
                <w:rPr>
                  <w:rFonts w:ascii="Verdana" w:eastAsia="Arial" w:hAnsi="Verdana" w:cs="Arial"/>
                  <w:color w:val="0070C0"/>
                  <w:u w:val="single"/>
                  <w:lang w:val="es-ES"/>
                </w:rPr>
                <w:t>https://relatoria.colombiacompra.gov.co/normativa/decreto-1082-de-2015/</w:t>
              </w:r>
            </w:hyperlink>
          </w:p>
          <w:p w14:paraId="2B174523" w14:textId="77777777" w:rsidR="00147D2C" w:rsidRPr="00BA130E" w:rsidRDefault="00147D2C" w:rsidP="00147D2C">
            <w:pPr>
              <w:widowControl w:val="0"/>
              <w:numPr>
                <w:ilvl w:val="0"/>
                <w:numId w:val="17"/>
              </w:numPr>
              <w:autoSpaceDE w:val="0"/>
              <w:autoSpaceDN w:val="0"/>
              <w:spacing w:after="120" w:line="276" w:lineRule="auto"/>
              <w:jc w:val="both"/>
              <w:rPr>
                <w:rFonts w:ascii="Verdana" w:hAnsi="Verdana" w:cs="Arial"/>
              </w:rPr>
            </w:pPr>
            <w:r w:rsidRPr="00614500">
              <w:rPr>
                <w:rFonts w:ascii="Verdana" w:eastAsia="Calibri" w:hAnsi="Verdana" w:cs="Arial"/>
              </w:rPr>
              <w:t>Manual para determinar y verificar requisitos habilitantes en los procesos de contratación</w:t>
            </w:r>
            <w:r w:rsidRPr="00614500">
              <w:rPr>
                <w:rFonts w:ascii="Verdana" w:eastAsia="Times New Roman" w:hAnsi="Verdana" w:cs="Arial"/>
                <w:lang w:val="es-ES_tradnl" w:eastAsia="es-ES"/>
              </w:rPr>
              <w:t xml:space="preserve"> Pública–Colombia Compra Eficiente–. Disponible en: </w:t>
            </w:r>
            <w:hyperlink r:id="rId13" w:history="1">
              <w:r w:rsidRPr="00614500">
                <w:rPr>
                  <w:rFonts w:ascii="Verdana" w:hAnsi="Verdana"/>
                  <w:color w:val="0070C0"/>
                  <w:u w:val="single"/>
                </w:rPr>
                <w:t>https://colombiacompra.gov.co/sites/cce_public/files/cce_documents/cce-eicp-ma-04._manual_requisitos_habilitantes_v3_29-09-2023.pdf</w:t>
              </w:r>
            </w:hyperlink>
          </w:p>
        </w:tc>
      </w:tr>
    </w:tbl>
    <w:p w14:paraId="1DEE2499" w14:textId="77777777" w:rsidR="00147D2C" w:rsidRPr="00614500" w:rsidRDefault="00147D2C" w:rsidP="00147D2C">
      <w:pPr>
        <w:widowControl w:val="0"/>
        <w:autoSpaceDE w:val="0"/>
        <w:autoSpaceDN w:val="0"/>
        <w:spacing w:after="0" w:line="276" w:lineRule="auto"/>
        <w:jc w:val="both"/>
        <w:rPr>
          <w:rFonts w:ascii="Verdana" w:hAnsi="Verdana" w:cs="Arial"/>
        </w:rPr>
      </w:pPr>
    </w:p>
    <w:p w14:paraId="53FEBEB9" w14:textId="77777777" w:rsidR="00147D2C" w:rsidRPr="00614500" w:rsidRDefault="00147D2C" w:rsidP="00147D2C">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14500">
        <w:rPr>
          <w:rFonts w:ascii="Verdana" w:eastAsia="Century Gothic" w:hAnsi="Verdana" w:cs="Century Gothic"/>
          <w:b/>
          <w:bCs/>
          <w:lang w:val="es-ES"/>
        </w:rPr>
        <w:t>Doctrina de la Agencia Nacional de Contratación Pública:</w:t>
      </w:r>
    </w:p>
    <w:p w14:paraId="6EE7A16F" w14:textId="77777777" w:rsidR="00147D2C" w:rsidRPr="00614500" w:rsidRDefault="00147D2C" w:rsidP="00147D2C">
      <w:pPr>
        <w:spacing w:line="276" w:lineRule="auto"/>
        <w:jc w:val="both"/>
        <w:rPr>
          <w:rFonts w:ascii="Verdana" w:hAnsi="Verdana" w:cs="Arial"/>
        </w:rPr>
      </w:pPr>
    </w:p>
    <w:p w14:paraId="4729248C" w14:textId="77777777" w:rsidR="00147D2C" w:rsidRDefault="00147D2C" w:rsidP="00147D2C">
      <w:pPr>
        <w:spacing w:line="276" w:lineRule="auto"/>
        <w:jc w:val="both"/>
        <w:rPr>
          <w:rFonts w:ascii="Verdana" w:hAnsi="Verdana" w:cs="Arial"/>
          <w:color w:val="FF0000"/>
          <w:shd w:val="clear" w:color="auto" w:fill="FFFFFF"/>
          <w:lang w:val="es-ES"/>
        </w:rPr>
      </w:pPr>
      <w:r w:rsidRPr="00614500">
        <w:rPr>
          <w:rFonts w:ascii="Verdana" w:hAnsi="Verdana" w:cs="Arial"/>
          <w:lang w:val="es-ES"/>
        </w:rPr>
        <w:t>Sobre la experiencia como requisito habilitante en la contratación pública,  se pronunció  esta Subdirección en los Conceptos</w:t>
      </w:r>
      <w:r>
        <w:rPr>
          <w:rFonts w:ascii="Verdana" w:hAnsi="Verdana" w:cs="Arial"/>
          <w:lang w:val="es-ES"/>
        </w:rPr>
        <w:t xml:space="preserve"> C-204 del 29 de julio de 2024, C-223 del 29 de julio de 2024,C- 277 del 16 de julio, C-246 del 16 de julio de 2024, C-278 de 31 de julio de 2024 ,</w:t>
      </w:r>
      <w:r w:rsidRPr="000B7D33">
        <w:rPr>
          <w:rFonts w:ascii="Verdana" w:eastAsia="Aptos" w:hAnsi="Verdana" w:cs="Segoe UI"/>
          <w:kern w:val="2"/>
          <w14:ligatures w14:val="standardContextual"/>
        </w:rPr>
        <w:t>C-088</w:t>
      </w:r>
      <w:r>
        <w:rPr>
          <w:rFonts w:ascii="Verdana" w:eastAsia="Aptos" w:hAnsi="Verdana" w:cs="Segoe UI"/>
          <w:kern w:val="2"/>
          <w14:ligatures w14:val="standardContextual"/>
        </w:rPr>
        <w:t xml:space="preserve"> del 13 de julio</w:t>
      </w:r>
      <w:r w:rsidRPr="000B7D33">
        <w:rPr>
          <w:rFonts w:ascii="Verdana" w:eastAsia="Aptos" w:hAnsi="Verdana" w:cs="Segoe UI"/>
          <w:kern w:val="2"/>
          <w14:ligatures w14:val="standardContextual"/>
        </w:rPr>
        <w:t xml:space="preserve"> de 2024 </w:t>
      </w:r>
      <w:r>
        <w:rPr>
          <w:rFonts w:ascii="Verdana" w:hAnsi="Verdana" w:cs="Arial"/>
          <w:lang w:val="es-ES"/>
        </w:rPr>
        <w:t xml:space="preserve"> del 2024, C-120 de 11 del junio de 2024, C-139 de 31 mayo del  2024, C-032 de abril de 2024, C- 450 del 3 de noviembre de 2023, C-167 del 5 de junio de 2023,</w:t>
      </w:r>
      <w:r w:rsidRPr="00614500">
        <w:rPr>
          <w:rFonts w:ascii="Verdana" w:hAnsi="Verdana" w:cs="Arial"/>
          <w:lang w:val="es-ES"/>
        </w:rPr>
        <w:t xml:space="preserve"> </w:t>
      </w:r>
      <w:r>
        <w:rPr>
          <w:rFonts w:ascii="Verdana" w:hAnsi="Verdana" w:cs="Arial"/>
          <w:lang w:val="es-ES"/>
        </w:rPr>
        <w:t>C- 124 del 12 de mayo de 2023, C-779 del 16 de noviembre de 2022, C 447 del  19 de julio  de 2022</w:t>
      </w:r>
      <w:r w:rsidRPr="00FA25B8">
        <w:rPr>
          <w:rFonts w:ascii="Verdana" w:eastAsia="Aptos" w:hAnsi="Verdana" w:cs="Segoe UI"/>
          <w:kern w:val="2"/>
          <w14:ligatures w14:val="standardContextual"/>
        </w:rPr>
        <w:t>, C-415 del 10 de agosto de 2021, C 429 del 17 de agosto de 2021, C 539 del 27 de septiembre de 2021, C-034 del 2 de marzo de 2022, C-144 del 28 de marzo de 2022, C-239 del 26 de abril de 2022, C</w:t>
      </w:r>
      <w:r>
        <w:rPr>
          <w:rFonts w:ascii="Verdana" w:eastAsia="Aptos" w:hAnsi="Verdana" w:cs="Segoe UI"/>
          <w:kern w:val="2"/>
          <w14:ligatures w14:val="standardContextual"/>
        </w:rPr>
        <w:t>-</w:t>
      </w:r>
      <w:r w:rsidRPr="00FA25B8">
        <w:rPr>
          <w:rFonts w:ascii="Verdana" w:eastAsia="Aptos" w:hAnsi="Verdana" w:cs="Segoe UI"/>
          <w:kern w:val="2"/>
          <w14:ligatures w14:val="standardContextual"/>
        </w:rPr>
        <w:t xml:space="preserve">324 del 20 mayo de </w:t>
      </w:r>
      <w:r w:rsidRPr="00FA25B8">
        <w:rPr>
          <w:rFonts w:ascii="Verdana" w:eastAsia="Aptos" w:hAnsi="Verdana" w:cs="Segoe UI"/>
          <w:kern w:val="2"/>
          <w14:ligatures w14:val="standardContextual"/>
        </w:rPr>
        <w:lastRenderedPageBreak/>
        <w:t>2022, C-456 del 15 de julio de 2022</w:t>
      </w:r>
      <w:r>
        <w:rPr>
          <w:rFonts w:ascii="Verdana" w:hAnsi="Verdana" w:cs="Arial"/>
          <w:lang w:val="es-ES"/>
        </w:rPr>
        <w:t>.</w:t>
      </w:r>
      <w:r w:rsidRPr="00614500">
        <w:rPr>
          <w:rFonts w:ascii="Verdana" w:hAnsi="Verdana" w:cs="Arial"/>
          <w:shd w:val="clear" w:color="auto" w:fill="FFFFFF"/>
          <w:lang w:val="es-ES"/>
        </w:rPr>
        <w:t>Es</w:t>
      </w:r>
      <w:r w:rsidRPr="00614500">
        <w:rPr>
          <w:rFonts w:ascii="Verdana" w:hAnsi="Verdana"/>
        </w:rPr>
        <w:t>tos y otros conceptos se encuentran disponibles para consulta en el Sistema de relatoría de la Agencia, al cual se puede acceder a través del siguiente enlace:</w:t>
      </w:r>
      <w:r w:rsidRPr="00614500">
        <w:rPr>
          <w:rFonts w:ascii="Verdana" w:hAnsi="Verdana" w:cs="Arial"/>
          <w:shd w:val="clear" w:color="auto" w:fill="FFFFFF"/>
          <w:lang w:val="es-ES"/>
        </w:rPr>
        <w:t xml:space="preserve"> </w:t>
      </w:r>
      <w:hyperlink r:id="rId14" w:history="1">
        <w:r w:rsidRPr="00614500">
          <w:rPr>
            <w:rFonts w:ascii="Verdana" w:hAnsi="Verdana" w:cs="Arial"/>
            <w:color w:val="0563C1" w:themeColor="hyperlink"/>
            <w:u w:val="single"/>
            <w:shd w:val="clear" w:color="auto" w:fill="FFFFFF"/>
            <w:lang w:val="es-ES"/>
          </w:rPr>
          <w:t>https://relatoria.colombiacompra.gov.co/busqueda/conceptos</w:t>
        </w:r>
      </w:hyperlink>
      <w:r w:rsidRPr="00614500">
        <w:rPr>
          <w:rFonts w:ascii="Verdana" w:hAnsi="Verdana" w:cs="Arial"/>
          <w:color w:val="FF0000"/>
          <w:shd w:val="clear" w:color="auto" w:fill="FFFFFF"/>
          <w:lang w:val="es-ES"/>
        </w:rPr>
        <w:t xml:space="preserve">. </w:t>
      </w:r>
    </w:p>
    <w:p w14:paraId="65AD8B90" w14:textId="77777777" w:rsidR="008E1D84" w:rsidRPr="00BA130E" w:rsidRDefault="008E1D84" w:rsidP="00147D2C">
      <w:pPr>
        <w:spacing w:line="276" w:lineRule="auto"/>
        <w:jc w:val="both"/>
        <w:rPr>
          <w:rFonts w:ascii="Verdana" w:hAnsi="Verdana" w:cs="Arial"/>
          <w:lang w:val="es-ES"/>
        </w:rPr>
      </w:pPr>
    </w:p>
    <w:p w14:paraId="106BE734" w14:textId="77777777" w:rsidR="00147D2C" w:rsidRPr="00BA130E" w:rsidRDefault="00147D2C" w:rsidP="00147D2C">
      <w:pPr>
        <w:widowControl w:val="0"/>
        <w:autoSpaceDE w:val="0"/>
        <w:autoSpaceDN w:val="0"/>
        <w:spacing w:after="0" w:line="276" w:lineRule="auto"/>
        <w:jc w:val="both"/>
        <w:rPr>
          <w:rFonts w:ascii="Verdana" w:hAnsi="Verdana" w:cs="Arial"/>
          <w:color w:val="000000" w:themeColor="text1"/>
          <w:shd w:val="clear" w:color="auto" w:fill="FFFFFF"/>
        </w:rPr>
      </w:pPr>
      <w:r w:rsidRPr="00BA130E">
        <w:rPr>
          <w:rFonts w:ascii="Verdana" w:hAnsi="Verdana" w:cs="Arial"/>
          <w:color w:val="000000" w:themeColor="text1"/>
          <w:shd w:val="clear" w:color="auto" w:fill="FFFFFF"/>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5" w:tgtFrame="_blank" w:tooltip="Dirección URL original: https://www.colombiacompra.gov.co/sala-de-prensa/boletin-digital. Haga clic o pulse si confía en este vínculo." w:history="1">
        <w:r w:rsidRPr="00BA130E">
          <w:rPr>
            <w:rStyle w:val="Hipervnculo"/>
            <w:rFonts w:ascii="Verdana" w:hAnsi="Verdana" w:cs="Arial"/>
            <w:color w:val="000000" w:themeColor="text1"/>
            <w:shd w:val="clear" w:color="auto" w:fill="FFFFFF"/>
          </w:rPr>
          <w:t>https://www.colombiacompra.gov.co/sala-de-prensa/boletin-digital</w:t>
        </w:r>
      </w:hyperlink>
      <w:r w:rsidRPr="00BA130E">
        <w:rPr>
          <w:rFonts w:ascii="Verdana" w:hAnsi="Verdana" w:cs="Arial"/>
          <w:color w:val="000000" w:themeColor="text1"/>
          <w:shd w:val="clear" w:color="auto" w:fill="FFFFFF"/>
        </w:rPr>
        <w:t> "    </w:t>
      </w:r>
    </w:p>
    <w:p w14:paraId="16916F4A" w14:textId="77777777" w:rsidR="00147D2C" w:rsidRPr="00BA130E" w:rsidRDefault="00147D2C" w:rsidP="00147D2C">
      <w:pPr>
        <w:widowControl w:val="0"/>
        <w:autoSpaceDE w:val="0"/>
        <w:autoSpaceDN w:val="0"/>
        <w:spacing w:after="0" w:line="276" w:lineRule="auto"/>
        <w:jc w:val="both"/>
        <w:rPr>
          <w:rFonts w:ascii="Verdana" w:hAnsi="Verdana" w:cs="Arial"/>
          <w:color w:val="000000" w:themeColor="text1"/>
          <w:shd w:val="clear" w:color="auto" w:fill="FFFFFF"/>
          <w:lang w:val="es-ES"/>
        </w:rPr>
      </w:pPr>
    </w:p>
    <w:p w14:paraId="6467229A" w14:textId="77777777" w:rsidR="00147D2C" w:rsidRPr="00BA130E" w:rsidRDefault="00147D2C" w:rsidP="00147D2C">
      <w:pPr>
        <w:spacing w:after="0" w:line="240" w:lineRule="auto"/>
        <w:jc w:val="both"/>
        <w:rPr>
          <w:rFonts w:ascii="Verdana" w:hAnsi="Verdana"/>
          <w:color w:val="000000" w:themeColor="text1"/>
        </w:rPr>
      </w:pPr>
      <w:r w:rsidRPr="00BA130E">
        <w:rPr>
          <w:rFonts w:ascii="Verdana" w:hAnsi="Verdana"/>
          <w:color w:val="000000" w:themeColor="text1"/>
        </w:rPr>
        <w:t xml:space="preserve">Por último, lo invitamos a seguirnos en las redes sociales en las cuales se difunde información institucional: </w:t>
      </w:r>
    </w:p>
    <w:p w14:paraId="63A75B0A" w14:textId="77777777" w:rsidR="00147D2C" w:rsidRPr="00614500" w:rsidRDefault="00147D2C" w:rsidP="00147D2C">
      <w:pPr>
        <w:spacing w:after="0" w:line="240" w:lineRule="auto"/>
        <w:jc w:val="both"/>
        <w:rPr>
          <w:rFonts w:ascii="Verdana" w:hAnsi="Verdana"/>
        </w:rPr>
      </w:pPr>
    </w:p>
    <w:p w14:paraId="265C7A75" w14:textId="77777777" w:rsidR="00147D2C" w:rsidRPr="00614500" w:rsidRDefault="00147D2C" w:rsidP="00147D2C">
      <w:pPr>
        <w:spacing w:after="0" w:line="240" w:lineRule="auto"/>
        <w:jc w:val="both"/>
        <w:rPr>
          <w:rFonts w:ascii="Verdana" w:hAnsi="Verdana"/>
        </w:rPr>
      </w:pPr>
      <w:r w:rsidRPr="00614500">
        <w:rPr>
          <w:rFonts w:ascii="Verdana" w:hAnsi="Verdana"/>
        </w:rPr>
        <w:t xml:space="preserve">Twitter: </w:t>
      </w:r>
      <w:r w:rsidRPr="00614500">
        <w:rPr>
          <w:rFonts w:ascii="Verdana" w:hAnsi="Verdana"/>
          <w:color w:val="4472C4" w:themeColor="accent1"/>
          <w:u w:val="single"/>
        </w:rPr>
        <w:t>@colombiacompra</w:t>
      </w:r>
      <w:r w:rsidRPr="00614500">
        <w:rPr>
          <w:rFonts w:ascii="Verdana" w:hAnsi="Verdana"/>
          <w:color w:val="4472C4" w:themeColor="accent1"/>
        </w:rPr>
        <w:t xml:space="preserve"> </w:t>
      </w:r>
    </w:p>
    <w:p w14:paraId="44D29C97" w14:textId="77777777" w:rsidR="00147D2C" w:rsidRPr="00614500" w:rsidRDefault="00147D2C" w:rsidP="00147D2C">
      <w:pPr>
        <w:spacing w:after="0" w:line="240" w:lineRule="auto"/>
        <w:jc w:val="both"/>
        <w:rPr>
          <w:rFonts w:ascii="Verdana" w:hAnsi="Verdana"/>
        </w:rPr>
      </w:pPr>
      <w:r w:rsidRPr="00614500">
        <w:rPr>
          <w:rFonts w:ascii="Verdana" w:hAnsi="Verdana"/>
        </w:rPr>
        <w:t xml:space="preserve">Facebook: </w:t>
      </w:r>
      <w:proofErr w:type="spellStart"/>
      <w:r w:rsidRPr="00614500">
        <w:rPr>
          <w:rFonts w:ascii="Verdana" w:hAnsi="Verdana"/>
          <w:color w:val="4472C4" w:themeColor="accent1"/>
          <w:u w:val="single"/>
        </w:rPr>
        <w:t>ColombiaCompraEficiente</w:t>
      </w:r>
      <w:proofErr w:type="spellEnd"/>
    </w:p>
    <w:p w14:paraId="5ECE2EA3" w14:textId="77777777" w:rsidR="00147D2C" w:rsidRPr="00614500" w:rsidRDefault="00147D2C" w:rsidP="00147D2C">
      <w:pPr>
        <w:spacing w:after="0" w:line="240" w:lineRule="auto"/>
        <w:jc w:val="both"/>
        <w:rPr>
          <w:rFonts w:ascii="Verdana" w:hAnsi="Verdana"/>
        </w:rPr>
      </w:pPr>
      <w:r w:rsidRPr="00614500">
        <w:rPr>
          <w:rFonts w:ascii="Verdana" w:hAnsi="Verdana"/>
        </w:rPr>
        <w:t xml:space="preserve">LinkedIn: </w:t>
      </w:r>
      <w:r w:rsidRPr="00614500">
        <w:rPr>
          <w:rFonts w:ascii="Verdana" w:hAnsi="Verdana"/>
          <w:color w:val="4472C4" w:themeColor="accent1"/>
          <w:u w:val="single"/>
        </w:rPr>
        <w:t>Agencia Nacional de Contratación Pública - Colombia Compra Eficiente</w:t>
      </w:r>
      <w:r w:rsidRPr="00614500">
        <w:rPr>
          <w:rFonts w:ascii="Verdana" w:hAnsi="Verdana"/>
          <w:color w:val="4472C4" w:themeColor="accent1"/>
        </w:rPr>
        <w:t xml:space="preserve"> </w:t>
      </w:r>
      <w:r w:rsidRPr="00614500">
        <w:rPr>
          <w:rFonts w:ascii="Verdana" w:hAnsi="Verdana"/>
        </w:rPr>
        <w:t xml:space="preserve">Instagram: </w:t>
      </w:r>
      <w:r w:rsidRPr="00614500">
        <w:rPr>
          <w:rFonts w:ascii="Verdana" w:hAnsi="Verdana"/>
          <w:color w:val="4472C4" w:themeColor="accent1"/>
          <w:u w:val="single"/>
        </w:rPr>
        <w:t>@colombiacompraeficiente_cce</w:t>
      </w:r>
    </w:p>
    <w:p w14:paraId="26DFFEA1" w14:textId="77777777" w:rsidR="00147D2C" w:rsidRPr="00614500" w:rsidRDefault="00147D2C" w:rsidP="00147D2C">
      <w:pPr>
        <w:widowControl w:val="0"/>
        <w:autoSpaceDE w:val="0"/>
        <w:autoSpaceDN w:val="0"/>
        <w:spacing w:after="0" w:line="276" w:lineRule="auto"/>
        <w:jc w:val="both"/>
        <w:rPr>
          <w:rFonts w:ascii="Verdana" w:hAnsi="Verdana" w:cs="Arial"/>
        </w:rPr>
      </w:pPr>
    </w:p>
    <w:p w14:paraId="7A38310A" w14:textId="77777777" w:rsidR="00147D2C" w:rsidRPr="00614500" w:rsidRDefault="00147D2C" w:rsidP="00147D2C">
      <w:pPr>
        <w:widowControl w:val="0"/>
        <w:autoSpaceDE w:val="0"/>
        <w:autoSpaceDN w:val="0"/>
        <w:spacing w:after="0" w:line="276" w:lineRule="auto"/>
        <w:jc w:val="both"/>
        <w:rPr>
          <w:rFonts w:ascii="Verdana" w:hAnsi="Verdana" w:cs="Arial"/>
          <w:lang w:val="es-ES_tradnl"/>
        </w:rPr>
      </w:pPr>
      <w:r w:rsidRPr="00614500">
        <w:rPr>
          <w:rFonts w:ascii="Verdana" w:hAnsi="Verdana" w:cs="Arial"/>
        </w:rPr>
        <w:t xml:space="preserve">Este concepto tiene el alcance previsto en el artículo 28 del Código de Procedimiento Administrativo y de lo Contencioso Administrativo </w:t>
      </w:r>
      <w:r w:rsidRPr="00614500">
        <w:rPr>
          <w:rFonts w:ascii="Verdana" w:hAnsi="Verdana" w:cs="Arial"/>
          <w:lang w:val="es-ES_tradnl"/>
        </w:rPr>
        <w:t>y las expresiones aquí utilizadas con mayúscula inicial deben ser entendidas con el significado que les otorga el artículo 2.2.1.1.1.3.1. del Decreto 1082 de 2015.</w:t>
      </w:r>
    </w:p>
    <w:p w14:paraId="58BE4292" w14:textId="77777777" w:rsidR="00147D2C" w:rsidRPr="00614500" w:rsidRDefault="00147D2C" w:rsidP="00147D2C">
      <w:pPr>
        <w:widowControl w:val="0"/>
        <w:autoSpaceDE w:val="0"/>
        <w:autoSpaceDN w:val="0"/>
        <w:spacing w:after="0" w:line="276" w:lineRule="auto"/>
        <w:jc w:val="both"/>
        <w:rPr>
          <w:rFonts w:ascii="Verdana" w:hAnsi="Verdana" w:cs="Arial"/>
        </w:rPr>
      </w:pPr>
    </w:p>
    <w:p w14:paraId="160CB149" w14:textId="77777777" w:rsidR="00147D2C" w:rsidRDefault="00147D2C" w:rsidP="00147D2C">
      <w:pPr>
        <w:spacing w:after="0" w:line="240" w:lineRule="auto"/>
        <w:rPr>
          <w:rFonts w:ascii="Verdana" w:hAnsi="Verdana" w:cs="Arial"/>
          <w:lang w:eastAsia="es-CO"/>
        </w:rPr>
      </w:pPr>
      <w:r w:rsidRPr="00614500">
        <w:rPr>
          <w:rFonts w:ascii="Verdana" w:eastAsia="Times New Roman" w:hAnsi="Verdana" w:cs="Arial"/>
          <w:lang w:eastAsia="es-CO"/>
        </w:rPr>
        <w:t>Atentamente,</w:t>
      </w:r>
      <w:r w:rsidRPr="00614500">
        <w:rPr>
          <w:rFonts w:ascii="Verdana" w:hAnsi="Verdana" w:cs="Arial"/>
          <w:lang w:eastAsia="es-CO"/>
        </w:rPr>
        <w:t xml:space="preserve"> </w:t>
      </w:r>
    </w:p>
    <w:p w14:paraId="52477A07" w14:textId="77777777" w:rsidR="008E1D84" w:rsidRPr="00614500" w:rsidRDefault="008E1D84" w:rsidP="00147D2C">
      <w:pPr>
        <w:spacing w:after="0" w:line="240" w:lineRule="auto"/>
        <w:rPr>
          <w:rFonts w:ascii="Verdana" w:hAnsi="Verdana" w:cs="Arial"/>
          <w:lang w:eastAsia="es-CO"/>
        </w:rPr>
      </w:pPr>
    </w:p>
    <w:p w14:paraId="7FF9F39D" w14:textId="7845540F" w:rsidR="00147D2C" w:rsidRPr="00614500" w:rsidRDefault="0084374D" w:rsidP="00147D2C">
      <w:pPr>
        <w:spacing w:line="276" w:lineRule="auto"/>
        <w:jc w:val="center"/>
        <w:rPr>
          <w:rFonts w:ascii="Verdana" w:hAnsi="Verdana" w:cs="Arial"/>
          <w:color w:val="000000"/>
          <w:lang w:val="es-ES_tradnl" w:eastAsia="es-CO"/>
        </w:rPr>
      </w:pPr>
      <w:r>
        <w:rPr>
          <w:noProof/>
        </w:rPr>
        <w:drawing>
          <wp:inline distT="0" distB="0" distL="0" distR="0" wp14:anchorId="35E60530" wp14:editId="5461C127">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47D2C" w:rsidRPr="00614500" w14:paraId="08FC83B1" w14:textId="77777777" w:rsidTr="00F76A40">
        <w:trPr>
          <w:trHeight w:val="315"/>
        </w:trPr>
        <w:tc>
          <w:tcPr>
            <w:tcW w:w="893" w:type="dxa"/>
            <w:vAlign w:val="center"/>
            <w:hideMark/>
          </w:tcPr>
          <w:p w14:paraId="3303D3C9" w14:textId="77777777" w:rsidR="00147D2C" w:rsidRPr="00614500" w:rsidRDefault="00147D2C" w:rsidP="00F76A40">
            <w:pPr>
              <w:contextualSpacing/>
              <w:rPr>
                <w:rFonts w:ascii="Verdana" w:hAnsi="Verdana" w:cs="Arial"/>
                <w:sz w:val="16"/>
                <w:szCs w:val="16"/>
                <w:lang w:val="es-ES" w:eastAsia="es-ES"/>
              </w:rPr>
            </w:pPr>
            <w:r w:rsidRPr="0061450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4E08256" w14:textId="77777777" w:rsidR="00147D2C" w:rsidRPr="003F3E19" w:rsidRDefault="00147D2C" w:rsidP="00F76A40">
            <w:pPr>
              <w:contextualSpacing/>
              <w:rPr>
                <w:rFonts w:ascii="Verdana" w:eastAsia="Arial" w:hAnsi="Verdana" w:cs="Arial"/>
                <w:color w:val="000000" w:themeColor="text1"/>
                <w:sz w:val="16"/>
                <w:szCs w:val="16"/>
              </w:rPr>
            </w:pPr>
            <w:r w:rsidRPr="003F3E19">
              <w:rPr>
                <w:rFonts w:ascii="Verdana" w:hAnsi="Verdana"/>
                <w:color w:val="000000" w:themeColor="text1"/>
                <w:sz w:val="16"/>
                <w:szCs w:val="16"/>
              </w:rPr>
              <w:t>Keila Margarita Reyes Cassiani</w:t>
            </w:r>
          </w:p>
          <w:p w14:paraId="23F4FF8D" w14:textId="77777777" w:rsidR="00147D2C" w:rsidRPr="00614500" w:rsidRDefault="00147D2C" w:rsidP="00F76A40">
            <w:pPr>
              <w:contextualSpacing/>
              <w:rPr>
                <w:rFonts w:ascii="Verdana" w:eastAsia="Arial" w:hAnsi="Verdana" w:cs="Arial"/>
                <w:sz w:val="16"/>
                <w:szCs w:val="16"/>
              </w:rPr>
            </w:pPr>
            <w:r w:rsidRPr="00614500">
              <w:rPr>
                <w:rFonts w:ascii="Verdana" w:eastAsia="Arial" w:hAnsi="Verdana" w:cs="Arial"/>
                <w:color w:val="000000" w:themeColor="text1"/>
                <w:sz w:val="16"/>
                <w:szCs w:val="16"/>
              </w:rPr>
              <w:t>C</w:t>
            </w:r>
            <w:r w:rsidRPr="00614500">
              <w:rPr>
                <w:rFonts w:ascii="Verdana" w:hAnsi="Verdana"/>
                <w:color w:val="000000" w:themeColor="text1"/>
                <w:sz w:val="16"/>
                <w:szCs w:val="16"/>
              </w:rPr>
              <w:t>ontratista</w:t>
            </w:r>
            <w:r w:rsidRPr="00614500">
              <w:rPr>
                <w:rFonts w:ascii="Verdana" w:eastAsia="Arial" w:hAnsi="Verdana" w:cs="Arial"/>
                <w:color w:val="000000" w:themeColor="text1"/>
                <w:sz w:val="16"/>
                <w:szCs w:val="16"/>
              </w:rPr>
              <w:t xml:space="preserve"> de la Subdirección de Gestión Contractual</w:t>
            </w:r>
          </w:p>
        </w:tc>
      </w:tr>
      <w:tr w:rsidR="00147D2C" w:rsidRPr="00614500" w14:paraId="4701A7E0" w14:textId="77777777" w:rsidTr="00F76A40">
        <w:trPr>
          <w:trHeight w:val="330"/>
        </w:trPr>
        <w:tc>
          <w:tcPr>
            <w:tcW w:w="893" w:type="dxa"/>
            <w:vAlign w:val="center"/>
            <w:hideMark/>
          </w:tcPr>
          <w:p w14:paraId="5A54CB01" w14:textId="77777777" w:rsidR="00147D2C" w:rsidRPr="00614500" w:rsidRDefault="00147D2C" w:rsidP="00F76A40">
            <w:pPr>
              <w:contextualSpacing/>
              <w:rPr>
                <w:rFonts w:ascii="Verdana" w:hAnsi="Verdana" w:cs="Arial"/>
                <w:sz w:val="16"/>
                <w:szCs w:val="16"/>
                <w:lang w:val="es-ES" w:eastAsia="es-ES"/>
              </w:rPr>
            </w:pPr>
            <w:r w:rsidRPr="0061450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CDDED" w14:textId="77777777" w:rsidR="00147D2C" w:rsidRPr="00614500" w:rsidRDefault="00147D2C" w:rsidP="00F76A40">
            <w:pPr>
              <w:contextualSpacing/>
              <w:textAlignment w:val="baseline"/>
              <w:rPr>
                <w:rFonts w:ascii="Verdana" w:eastAsia="Times New Roman" w:hAnsi="Verdana" w:cs="Segoe UI"/>
                <w:color w:val="7030A0"/>
                <w:sz w:val="16"/>
                <w:szCs w:val="16"/>
                <w:lang w:eastAsia="es-ES_tradnl"/>
              </w:rPr>
            </w:pPr>
            <w:r w:rsidRPr="003732AD">
              <w:rPr>
                <w:rFonts w:ascii="Verdana" w:eastAsia="Times New Roman" w:hAnsi="Verdana" w:cs="Segoe UI"/>
                <w:sz w:val="16"/>
                <w:szCs w:val="16"/>
                <w:lang w:eastAsia="es-ES_tradnl"/>
              </w:rPr>
              <w:t>C</w:t>
            </w:r>
            <w:r w:rsidRPr="00614500">
              <w:rPr>
                <w:rFonts w:ascii="Verdana" w:eastAsia="Times New Roman" w:hAnsi="Verdana" w:cs="Segoe UI"/>
                <w:sz w:val="16"/>
                <w:szCs w:val="16"/>
                <w:lang w:eastAsia="es-ES_tradnl"/>
              </w:rPr>
              <w:t>ielo González Meza</w:t>
            </w:r>
          </w:p>
          <w:p w14:paraId="5CDA8A8A" w14:textId="77777777" w:rsidR="00147D2C" w:rsidRPr="00614500" w:rsidRDefault="00147D2C" w:rsidP="00F76A40">
            <w:pPr>
              <w:contextualSpacing/>
              <w:textAlignment w:val="baseline"/>
              <w:rPr>
                <w:rFonts w:ascii="Verdana" w:eastAsia="Times New Roman" w:hAnsi="Verdana" w:cs="Segoe UI"/>
                <w:sz w:val="16"/>
                <w:szCs w:val="16"/>
                <w:lang w:eastAsia="es-ES_tradnl"/>
              </w:rPr>
            </w:pPr>
            <w:r w:rsidRPr="00614500">
              <w:rPr>
                <w:rFonts w:ascii="Verdana" w:eastAsia="Times New Roman" w:hAnsi="Verdana" w:cs="Arial"/>
                <w:sz w:val="16"/>
                <w:szCs w:val="16"/>
                <w:lang w:val="es-ES" w:eastAsia="es-ES_tradnl"/>
              </w:rPr>
              <w:t>Contratista de la Subdirección de Gestión Contractual</w:t>
            </w:r>
            <w:r w:rsidRPr="00614500">
              <w:rPr>
                <w:rFonts w:ascii="Verdana" w:eastAsia="Times New Roman" w:hAnsi="Verdana" w:cs="Arial"/>
                <w:sz w:val="16"/>
                <w:szCs w:val="16"/>
                <w:lang w:eastAsia="es-ES_tradnl"/>
              </w:rPr>
              <w:t> </w:t>
            </w:r>
          </w:p>
        </w:tc>
      </w:tr>
      <w:tr w:rsidR="00147D2C" w:rsidRPr="00614500" w14:paraId="129FE1FA" w14:textId="77777777" w:rsidTr="00F76A40">
        <w:trPr>
          <w:trHeight w:val="300"/>
        </w:trPr>
        <w:tc>
          <w:tcPr>
            <w:tcW w:w="893" w:type="dxa"/>
            <w:vAlign w:val="center"/>
          </w:tcPr>
          <w:p w14:paraId="259221C1" w14:textId="77777777" w:rsidR="00147D2C" w:rsidRPr="00614500" w:rsidRDefault="00147D2C" w:rsidP="00F76A40">
            <w:pPr>
              <w:contextualSpacing/>
              <w:rPr>
                <w:rFonts w:ascii="Verdana" w:hAnsi="Verdana" w:cs="Arial"/>
                <w:sz w:val="16"/>
                <w:szCs w:val="16"/>
                <w:lang w:val="es-ES" w:eastAsia="es-ES"/>
              </w:rPr>
            </w:pPr>
            <w:r w:rsidRPr="0061450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225B9BC" w14:textId="77777777" w:rsidR="00147D2C" w:rsidRPr="00614500" w:rsidRDefault="00147D2C" w:rsidP="00F76A40">
            <w:pPr>
              <w:contextualSpacing/>
              <w:rPr>
                <w:rFonts w:ascii="Verdana" w:eastAsia="Calibri" w:hAnsi="Verdana" w:cs="Arial"/>
                <w:sz w:val="16"/>
                <w:szCs w:val="16"/>
                <w:lang w:val="pt-BR" w:eastAsia="es-ES"/>
              </w:rPr>
            </w:pPr>
            <w:r w:rsidRPr="00614500">
              <w:rPr>
                <w:rFonts w:ascii="Verdana" w:eastAsia="Calibri" w:hAnsi="Verdana" w:cs="Arial"/>
                <w:sz w:val="16"/>
                <w:szCs w:val="16"/>
                <w:lang w:val="pt-BR" w:eastAsia="es-ES"/>
              </w:rPr>
              <w:t xml:space="preserve">Carolina Quintero </w:t>
            </w:r>
            <w:proofErr w:type="spellStart"/>
            <w:r w:rsidRPr="00614500">
              <w:rPr>
                <w:rFonts w:ascii="Verdana" w:eastAsia="Calibri" w:hAnsi="Verdana" w:cs="Arial"/>
                <w:sz w:val="16"/>
                <w:szCs w:val="16"/>
                <w:lang w:val="pt-BR" w:eastAsia="es-ES"/>
              </w:rPr>
              <w:t>Gacharná</w:t>
            </w:r>
            <w:proofErr w:type="spellEnd"/>
          </w:p>
          <w:p w14:paraId="2C534C39" w14:textId="77777777" w:rsidR="00147D2C" w:rsidRPr="00614500" w:rsidRDefault="00147D2C" w:rsidP="00F76A40">
            <w:pPr>
              <w:contextualSpacing/>
              <w:rPr>
                <w:rFonts w:ascii="Verdana" w:eastAsia="Calibri" w:hAnsi="Verdana" w:cs="Arial"/>
                <w:sz w:val="16"/>
                <w:szCs w:val="16"/>
                <w:lang w:val="pt-BR" w:eastAsia="es-ES"/>
              </w:rPr>
            </w:pPr>
            <w:r w:rsidRPr="00614500">
              <w:rPr>
                <w:rFonts w:ascii="Verdana" w:eastAsia="Calibri" w:hAnsi="Verdana" w:cs="Arial"/>
                <w:sz w:val="16"/>
                <w:szCs w:val="16"/>
                <w:lang w:eastAsia="es-ES"/>
              </w:rPr>
              <w:t>Subdirectora</w:t>
            </w:r>
            <w:r w:rsidRPr="00614500">
              <w:rPr>
                <w:rFonts w:ascii="Verdana" w:eastAsia="Calibri" w:hAnsi="Verdana" w:cs="Arial"/>
                <w:sz w:val="16"/>
                <w:szCs w:val="16"/>
                <w:lang w:val="pt-BR" w:eastAsia="es-ES"/>
              </w:rPr>
              <w:t xml:space="preserve"> de Gestión </w:t>
            </w:r>
            <w:proofErr w:type="spellStart"/>
            <w:r w:rsidRPr="00614500">
              <w:rPr>
                <w:rFonts w:ascii="Verdana" w:eastAsia="Calibri" w:hAnsi="Verdana" w:cs="Arial"/>
                <w:sz w:val="16"/>
                <w:szCs w:val="16"/>
                <w:lang w:val="pt-BR" w:eastAsia="es-ES"/>
              </w:rPr>
              <w:t>Contractual</w:t>
            </w:r>
            <w:proofErr w:type="spellEnd"/>
            <w:r w:rsidRPr="00614500">
              <w:rPr>
                <w:rFonts w:ascii="Verdana" w:eastAsia="Calibri" w:hAnsi="Verdana" w:cs="Arial"/>
                <w:sz w:val="16"/>
                <w:szCs w:val="16"/>
                <w:lang w:val="pt-BR" w:eastAsia="es-ES"/>
              </w:rPr>
              <w:t xml:space="preserve"> ANCP – CCE</w:t>
            </w:r>
          </w:p>
        </w:tc>
      </w:tr>
      <w:bookmarkEnd w:id="0"/>
    </w:tbl>
    <w:p w14:paraId="1AAD014C" w14:textId="77777777" w:rsidR="00147D2C" w:rsidRPr="00E413EA" w:rsidRDefault="00147D2C" w:rsidP="00147D2C">
      <w:pPr>
        <w:spacing w:after="0"/>
        <w:rPr>
          <w:rFonts w:ascii="Verdana" w:hAnsi="Verdana"/>
          <w:lang w:val="es-MX"/>
        </w:rPr>
      </w:pPr>
    </w:p>
    <w:sectPr w:rsidR="00147D2C" w:rsidRPr="00E413EA" w:rsidSect="008E1D84">
      <w:headerReference w:type="default" r:id="rId17"/>
      <w:footerReference w:type="default" r:id="rId18"/>
      <w:pgSz w:w="12240" w:h="15840" w:code="1"/>
      <w:pgMar w:top="1417" w:right="1701" w:bottom="1417"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955BF" w14:textId="77777777" w:rsidR="00652BA4" w:rsidRDefault="00652BA4" w:rsidP="004A1847">
      <w:pPr>
        <w:spacing w:after="0" w:line="240" w:lineRule="auto"/>
      </w:pPr>
      <w:r>
        <w:separator/>
      </w:r>
    </w:p>
  </w:endnote>
  <w:endnote w:type="continuationSeparator" w:id="0">
    <w:p w14:paraId="1806DFAE" w14:textId="77777777" w:rsidR="00652BA4" w:rsidRDefault="00652BA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03EE4" w14:textId="77777777" w:rsidR="00652BA4" w:rsidRDefault="00652BA4" w:rsidP="004A1847">
      <w:pPr>
        <w:spacing w:after="0" w:line="240" w:lineRule="auto"/>
      </w:pPr>
      <w:r>
        <w:separator/>
      </w:r>
    </w:p>
  </w:footnote>
  <w:footnote w:type="continuationSeparator" w:id="0">
    <w:p w14:paraId="761E2930" w14:textId="77777777" w:rsidR="00652BA4" w:rsidRDefault="00652BA4" w:rsidP="004A1847">
      <w:pPr>
        <w:spacing w:after="0" w:line="240" w:lineRule="auto"/>
      </w:pPr>
      <w:r>
        <w:continuationSeparator/>
      </w:r>
    </w:p>
  </w:footnote>
  <w:footnote w:id="1">
    <w:p w14:paraId="49EEAB38" w14:textId="77777777" w:rsidR="004142A7" w:rsidRPr="00B32E2A" w:rsidRDefault="004142A7" w:rsidP="004142A7">
      <w:pPr>
        <w:pStyle w:val="Textonotapie"/>
        <w:jc w:val="both"/>
        <w:rPr>
          <w:rFonts w:ascii="Verdana" w:hAnsi="Verdana" w:cs="Arial"/>
          <w:sz w:val="16"/>
          <w:szCs w:val="16"/>
          <w:lang w:val="es-ES"/>
        </w:rPr>
      </w:pPr>
      <w:r>
        <w:rPr>
          <w:rStyle w:val="Refdenotaalpie"/>
        </w:rPr>
        <w:footnoteRef/>
      </w:r>
      <w:r>
        <w:t xml:space="preserve"> </w:t>
      </w:r>
      <w:proofErr w:type="spellStart"/>
      <w:r w:rsidRPr="00B32E2A">
        <w:rPr>
          <w:rFonts w:ascii="Verdana" w:hAnsi="Verdana" w:cs="Arial"/>
          <w:sz w:val="16"/>
          <w:szCs w:val="16"/>
        </w:rPr>
        <w:t>contratación</w:t>
      </w:r>
      <w:proofErr w:type="spellEnd"/>
      <w:r w:rsidRPr="00B32E2A">
        <w:rPr>
          <w:rFonts w:ascii="Verdana" w:hAnsi="Verdana" w:cs="Arial"/>
          <w:sz w:val="16"/>
          <w:szCs w:val="16"/>
        </w:rPr>
        <w:t xml:space="preserve"> directa; contratos para la </w:t>
      </w:r>
      <w:proofErr w:type="spellStart"/>
      <w:r w:rsidRPr="00B32E2A">
        <w:rPr>
          <w:rFonts w:ascii="Verdana" w:hAnsi="Verdana" w:cs="Arial"/>
          <w:sz w:val="16"/>
          <w:szCs w:val="16"/>
        </w:rPr>
        <w:t>prestación</w:t>
      </w:r>
      <w:proofErr w:type="spellEnd"/>
      <w:r w:rsidRPr="00B32E2A">
        <w:rPr>
          <w:rFonts w:ascii="Verdana" w:hAnsi="Verdana" w:cs="Arial"/>
          <w:sz w:val="16"/>
          <w:szCs w:val="16"/>
        </w:rPr>
        <w:t xml:space="preserve"> de servicios de salud; contratos de </w:t>
      </w:r>
      <w:proofErr w:type="spellStart"/>
      <w:r w:rsidRPr="00B32E2A">
        <w:rPr>
          <w:rFonts w:ascii="Verdana" w:hAnsi="Verdana" w:cs="Arial"/>
          <w:sz w:val="16"/>
          <w:szCs w:val="16"/>
        </w:rPr>
        <w:t>mínima</w:t>
      </w:r>
      <w:proofErr w:type="spellEnd"/>
      <w:r w:rsidRPr="00B32E2A">
        <w:rPr>
          <w:rFonts w:ascii="Verdana" w:hAnsi="Verdana" w:cs="Arial"/>
          <w:sz w:val="16"/>
          <w:szCs w:val="16"/>
        </w:rPr>
        <w:t xml:space="preserve"> </w:t>
      </w:r>
      <w:proofErr w:type="spellStart"/>
      <w:r w:rsidRPr="00B32E2A">
        <w:rPr>
          <w:rFonts w:ascii="Verdana" w:hAnsi="Verdana" w:cs="Arial"/>
          <w:sz w:val="16"/>
          <w:szCs w:val="16"/>
        </w:rPr>
        <w:t>cuantía</w:t>
      </w:r>
      <w:proofErr w:type="spellEnd"/>
      <w:r w:rsidRPr="00B32E2A">
        <w:rPr>
          <w:rFonts w:ascii="Verdana" w:hAnsi="Verdana" w:cs="Arial"/>
          <w:sz w:val="16"/>
          <w:szCs w:val="16"/>
        </w:rPr>
        <w:t xml:space="preserve">; </w:t>
      </w:r>
      <w:proofErr w:type="spellStart"/>
      <w:r w:rsidRPr="00B32E2A">
        <w:rPr>
          <w:rFonts w:ascii="Verdana" w:hAnsi="Verdana" w:cs="Arial"/>
          <w:sz w:val="16"/>
          <w:szCs w:val="16"/>
        </w:rPr>
        <w:t>enajenación</w:t>
      </w:r>
      <w:proofErr w:type="spellEnd"/>
      <w:r w:rsidRPr="00B32E2A">
        <w:rPr>
          <w:rFonts w:ascii="Verdana" w:hAnsi="Verdana" w:cs="Arial"/>
          <w:sz w:val="16"/>
          <w:szCs w:val="16"/>
        </w:rPr>
        <w:t xml:space="preserve"> de bienes del Estado; contratos que tengan por objeto la </w:t>
      </w:r>
      <w:proofErr w:type="spellStart"/>
      <w:r w:rsidRPr="00B32E2A">
        <w:rPr>
          <w:rFonts w:ascii="Verdana" w:hAnsi="Verdana" w:cs="Arial"/>
          <w:sz w:val="16"/>
          <w:szCs w:val="16"/>
        </w:rPr>
        <w:t>adquisición</w:t>
      </w:r>
      <w:proofErr w:type="spellEnd"/>
      <w:r w:rsidRPr="00B32E2A">
        <w:rPr>
          <w:rFonts w:ascii="Verdana" w:hAnsi="Verdana" w:cs="Arial"/>
          <w:sz w:val="16"/>
          <w:szCs w:val="16"/>
        </w:rPr>
        <w:t xml:space="preserve"> de productos de origen o </w:t>
      </w:r>
      <w:proofErr w:type="spellStart"/>
      <w:r w:rsidRPr="00B32E2A">
        <w:rPr>
          <w:rFonts w:ascii="Verdana" w:hAnsi="Verdana" w:cs="Arial"/>
          <w:sz w:val="16"/>
          <w:szCs w:val="16"/>
        </w:rPr>
        <w:t>destinación</w:t>
      </w:r>
      <w:proofErr w:type="spellEnd"/>
      <w:r w:rsidRPr="00B32E2A">
        <w:rPr>
          <w:rFonts w:ascii="Verdana" w:hAnsi="Verdana" w:cs="Arial"/>
          <w:sz w:val="16"/>
          <w:szCs w:val="16"/>
        </w:rPr>
        <w:t xml:space="preserve"> agropecuaria que se ofrezcan en bolsas de productos legalmente constituidas; los actos y contratos que tengan por objeto directo las actividades comerciales e industriales propias de las empresas industriales y comerciales del Estado y las sociedades de </w:t>
      </w:r>
      <w:proofErr w:type="spellStart"/>
      <w:r w:rsidRPr="00B32E2A">
        <w:rPr>
          <w:rFonts w:ascii="Verdana" w:hAnsi="Verdana" w:cs="Arial"/>
          <w:sz w:val="16"/>
          <w:szCs w:val="16"/>
        </w:rPr>
        <w:t>economía</w:t>
      </w:r>
      <w:proofErr w:type="spellEnd"/>
      <w:r w:rsidRPr="00B32E2A">
        <w:rPr>
          <w:rFonts w:ascii="Verdana" w:hAnsi="Verdana" w:cs="Arial"/>
          <w:sz w:val="16"/>
          <w:szCs w:val="16"/>
        </w:rPr>
        <w:t xml:space="preserve"> mixta y los contratos de </w:t>
      </w:r>
      <w:proofErr w:type="spellStart"/>
      <w:r w:rsidRPr="00B32E2A">
        <w:rPr>
          <w:rFonts w:ascii="Verdana" w:hAnsi="Verdana" w:cs="Arial"/>
          <w:sz w:val="16"/>
          <w:szCs w:val="16"/>
        </w:rPr>
        <w:t>concesión</w:t>
      </w:r>
      <w:proofErr w:type="spellEnd"/>
      <w:r w:rsidRPr="00B32E2A">
        <w:rPr>
          <w:rFonts w:ascii="Verdana" w:hAnsi="Verdana" w:cs="Arial"/>
          <w:sz w:val="16"/>
          <w:szCs w:val="16"/>
        </w:rPr>
        <w:t xml:space="preserve"> de cualquier </w:t>
      </w:r>
      <w:proofErr w:type="spellStart"/>
      <w:r w:rsidRPr="00B32E2A">
        <w:rPr>
          <w:rFonts w:ascii="Verdana" w:hAnsi="Verdana" w:cs="Arial"/>
          <w:sz w:val="16"/>
          <w:szCs w:val="16"/>
        </w:rPr>
        <w:t>índole</w:t>
      </w:r>
      <w:proofErr w:type="spellEnd"/>
    </w:p>
  </w:footnote>
  <w:footnote w:id="2">
    <w:p w14:paraId="1C55D672" w14:textId="77777777" w:rsidR="00147D2C" w:rsidRPr="00B32E2A" w:rsidRDefault="00147D2C" w:rsidP="00147D2C">
      <w:pPr>
        <w:pStyle w:val="Textonotapie"/>
        <w:jc w:val="both"/>
        <w:rPr>
          <w:rFonts w:ascii="Verdana" w:hAnsi="Verdana" w:cs="Arial"/>
          <w:sz w:val="16"/>
          <w:szCs w:val="16"/>
          <w:lang w:val="es-ES"/>
        </w:rPr>
      </w:pPr>
      <w:r>
        <w:rPr>
          <w:rStyle w:val="Refdenotaalpie"/>
        </w:rPr>
        <w:footnoteRef/>
      </w:r>
      <w:r>
        <w:t xml:space="preserve"> </w:t>
      </w:r>
      <w:proofErr w:type="spellStart"/>
      <w:r w:rsidRPr="00B32E2A">
        <w:rPr>
          <w:rFonts w:ascii="Verdana" w:hAnsi="Verdana" w:cs="Arial"/>
          <w:sz w:val="16"/>
          <w:szCs w:val="16"/>
        </w:rPr>
        <w:t>contratación</w:t>
      </w:r>
      <w:proofErr w:type="spellEnd"/>
      <w:r w:rsidRPr="00B32E2A">
        <w:rPr>
          <w:rFonts w:ascii="Verdana" w:hAnsi="Verdana" w:cs="Arial"/>
          <w:sz w:val="16"/>
          <w:szCs w:val="16"/>
        </w:rPr>
        <w:t xml:space="preserve"> directa; contratos para la </w:t>
      </w:r>
      <w:proofErr w:type="spellStart"/>
      <w:r w:rsidRPr="00B32E2A">
        <w:rPr>
          <w:rFonts w:ascii="Verdana" w:hAnsi="Verdana" w:cs="Arial"/>
          <w:sz w:val="16"/>
          <w:szCs w:val="16"/>
        </w:rPr>
        <w:t>prestación</w:t>
      </w:r>
      <w:proofErr w:type="spellEnd"/>
      <w:r w:rsidRPr="00B32E2A">
        <w:rPr>
          <w:rFonts w:ascii="Verdana" w:hAnsi="Verdana" w:cs="Arial"/>
          <w:sz w:val="16"/>
          <w:szCs w:val="16"/>
        </w:rPr>
        <w:t xml:space="preserve"> de servicios de salud; contratos de </w:t>
      </w:r>
      <w:proofErr w:type="spellStart"/>
      <w:r w:rsidRPr="00B32E2A">
        <w:rPr>
          <w:rFonts w:ascii="Verdana" w:hAnsi="Verdana" w:cs="Arial"/>
          <w:sz w:val="16"/>
          <w:szCs w:val="16"/>
        </w:rPr>
        <w:t>mínima</w:t>
      </w:r>
      <w:proofErr w:type="spellEnd"/>
      <w:r w:rsidRPr="00B32E2A">
        <w:rPr>
          <w:rFonts w:ascii="Verdana" w:hAnsi="Verdana" w:cs="Arial"/>
          <w:sz w:val="16"/>
          <w:szCs w:val="16"/>
        </w:rPr>
        <w:t xml:space="preserve"> </w:t>
      </w:r>
      <w:proofErr w:type="spellStart"/>
      <w:r w:rsidRPr="00B32E2A">
        <w:rPr>
          <w:rFonts w:ascii="Verdana" w:hAnsi="Verdana" w:cs="Arial"/>
          <w:sz w:val="16"/>
          <w:szCs w:val="16"/>
        </w:rPr>
        <w:t>cuantía</w:t>
      </w:r>
      <w:proofErr w:type="spellEnd"/>
      <w:r w:rsidRPr="00B32E2A">
        <w:rPr>
          <w:rFonts w:ascii="Verdana" w:hAnsi="Verdana" w:cs="Arial"/>
          <w:sz w:val="16"/>
          <w:szCs w:val="16"/>
        </w:rPr>
        <w:t xml:space="preserve">; </w:t>
      </w:r>
      <w:proofErr w:type="spellStart"/>
      <w:r w:rsidRPr="00B32E2A">
        <w:rPr>
          <w:rFonts w:ascii="Verdana" w:hAnsi="Verdana" w:cs="Arial"/>
          <w:sz w:val="16"/>
          <w:szCs w:val="16"/>
        </w:rPr>
        <w:t>enajenación</w:t>
      </w:r>
      <w:proofErr w:type="spellEnd"/>
      <w:r w:rsidRPr="00B32E2A">
        <w:rPr>
          <w:rFonts w:ascii="Verdana" w:hAnsi="Verdana" w:cs="Arial"/>
          <w:sz w:val="16"/>
          <w:szCs w:val="16"/>
        </w:rPr>
        <w:t xml:space="preserve"> de bienes del Estado; contratos que tengan por objeto la </w:t>
      </w:r>
      <w:proofErr w:type="spellStart"/>
      <w:r w:rsidRPr="00B32E2A">
        <w:rPr>
          <w:rFonts w:ascii="Verdana" w:hAnsi="Verdana" w:cs="Arial"/>
          <w:sz w:val="16"/>
          <w:szCs w:val="16"/>
        </w:rPr>
        <w:t>adquisición</w:t>
      </w:r>
      <w:proofErr w:type="spellEnd"/>
      <w:r w:rsidRPr="00B32E2A">
        <w:rPr>
          <w:rFonts w:ascii="Verdana" w:hAnsi="Verdana" w:cs="Arial"/>
          <w:sz w:val="16"/>
          <w:szCs w:val="16"/>
        </w:rPr>
        <w:t xml:space="preserve"> de productos de origen o </w:t>
      </w:r>
      <w:proofErr w:type="spellStart"/>
      <w:r w:rsidRPr="00B32E2A">
        <w:rPr>
          <w:rFonts w:ascii="Verdana" w:hAnsi="Verdana" w:cs="Arial"/>
          <w:sz w:val="16"/>
          <w:szCs w:val="16"/>
        </w:rPr>
        <w:t>destinación</w:t>
      </w:r>
      <w:proofErr w:type="spellEnd"/>
      <w:r w:rsidRPr="00B32E2A">
        <w:rPr>
          <w:rFonts w:ascii="Verdana" w:hAnsi="Verdana" w:cs="Arial"/>
          <w:sz w:val="16"/>
          <w:szCs w:val="16"/>
        </w:rPr>
        <w:t xml:space="preserve"> agropecuaria que se ofrezcan en bolsas de productos legalmente constituidas; los actos y contratos que tengan por objeto directo las actividades comerciales e industriales propias de las empresas industriales y comerciales del Estado y las sociedades de </w:t>
      </w:r>
      <w:proofErr w:type="spellStart"/>
      <w:r w:rsidRPr="00B32E2A">
        <w:rPr>
          <w:rFonts w:ascii="Verdana" w:hAnsi="Verdana" w:cs="Arial"/>
          <w:sz w:val="16"/>
          <w:szCs w:val="16"/>
        </w:rPr>
        <w:t>economía</w:t>
      </w:r>
      <w:proofErr w:type="spellEnd"/>
      <w:r w:rsidRPr="00B32E2A">
        <w:rPr>
          <w:rFonts w:ascii="Verdana" w:hAnsi="Verdana" w:cs="Arial"/>
          <w:sz w:val="16"/>
          <w:szCs w:val="16"/>
        </w:rPr>
        <w:t xml:space="preserve"> mixta y los contratos de </w:t>
      </w:r>
      <w:proofErr w:type="spellStart"/>
      <w:r w:rsidRPr="00B32E2A">
        <w:rPr>
          <w:rFonts w:ascii="Verdana" w:hAnsi="Verdana" w:cs="Arial"/>
          <w:sz w:val="16"/>
          <w:szCs w:val="16"/>
        </w:rPr>
        <w:t>concesión</w:t>
      </w:r>
      <w:proofErr w:type="spellEnd"/>
      <w:r w:rsidRPr="00B32E2A">
        <w:rPr>
          <w:rFonts w:ascii="Verdana" w:hAnsi="Verdana" w:cs="Arial"/>
          <w:sz w:val="16"/>
          <w:szCs w:val="16"/>
        </w:rPr>
        <w:t xml:space="preserve"> de cualquier </w:t>
      </w:r>
      <w:proofErr w:type="spellStart"/>
      <w:r w:rsidRPr="00B32E2A">
        <w:rPr>
          <w:rFonts w:ascii="Verdana" w:hAnsi="Verdana" w:cs="Arial"/>
          <w:sz w:val="16"/>
          <w:szCs w:val="16"/>
        </w:rPr>
        <w:t>índole</w:t>
      </w:r>
      <w:proofErr w:type="spellEnd"/>
    </w:p>
  </w:footnote>
  <w:footnote w:id="3">
    <w:p w14:paraId="2410A4DD" w14:textId="77777777" w:rsidR="00147D2C" w:rsidRPr="00873AA6" w:rsidRDefault="00147D2C" w:rsidP="00147D2C">
      <w:pPr>
        <w:pStyle w:val="NormalWeb"/>
        <w:jc w:val="both"/>
        <w:rPr>
          <w:rFonts w:eastAsia="Arial"/>
          <w:sz w:val="16"/>
          <w:szCs w:val="16"/>
        </w:rPr>
      </w:pPr>
      <w:r>
        <w:rPr>
          <w:rStyle w:val="Refdenotaalpie"/>
        </w:rPr>
        <w:footnoteRef/>
      </w:r>
      <w:r>
        <w:t xml:space="preserve"> </w:t>
      </w:r>
      <w:proofErr w:type="spellStart"/>
      <w:r w:rsidRPr="00873AA6">
        <w:rPr>
          <w:rFonts w:ascii="Verdana" w:hAnsi="Verdana"/>
          <w:sz w:val="16"/>
          <w:szCs w:val="16"/>
        </w:rPr>
        <w:t>Específicamente</w:t>
      </w:r>
      <w:proofErr w:type="spellEnd"/>
      <w:r w:rsidRPr="00873AA6">
        <w:rPr>
          <w:rFonts w:ascii="Verdana" w:hAnsi="Verdana"/>
          <w:sz w:val="16"/>
          <w:szCs w:val="16"/>
        </w:rPr>
        <w:t xml:space="preserve">, el numeral 1o del </w:t>
      </w:r>
      <w:proofErr w:type="spellStart"/>
      <w:r w:rsidRPr="00873AA6">
        <w:rPr>
          <w:rFonts w:ascii="Verdana" w:hAnsi="Verdana"/>
          <w:sz w:val="16"/>
          <w:szCs w:val="16"/>
        </w:rPr>
        <w:t>artículo</w:t>
      </w:r>
      <w:proofErr w:type="spellEnd"/>
      <w:r w:rsidRPr="00873AA6">
        <w:rPr>
          <w:rFonts w:ascii="Verdana" w:hAnsi="Verdana"/>
          <w:sz w:val="16"/>
          <w:szCs w:val="16"/>
        </w:rPr>
        <w:t xml:space="preserve"> referido establece que en los procesos de </w:t>
      </w:r>
      <w:proofErr w:type="spellStart"/>
      <w:r w:rsidRPr="00873AA6">
        <w:rPr>
          <w:rFonts w:ascii="Verdana" w:hAnsi="Verdana"/>
          <w:sz w:val="16"/>
          <w:szCs w:val="16"/>
        </w:rPr>
        <w:t>selección</w:t>
      </w:r>
      <w:proofErr w:type="spellEnd"/>
      <w:r w:rsidRPr="00873AA6">
        <w:rPr>
          <w:rFonts w:ascii="Verdana" w:hAnsi="Verdana"/>
          <w:sz w:val="16"/>
          <w:szCs w:val="16"/>
        </w:rPr>
        <w:t xml:space="preserve"> de contratistas </w:t>
      </w:r>
      <w:proofErr w:type="spellStart"/>
      <w:r w:rsidRPr="00873AA6">
        <w:rPr>
          <w:rFonts w:ascii="Verdana" w:hAnsi="Verdana"/>
          <w:sz w:val="16"/>
          <w:szCs w:val="16"/>
        </w:rPr>
        <w:t>serán</w:t>
      </w:r>
      <w:proofErr w:type="spellEnd"/>
      <w:r w:rsidRPr="00873AA6">
        <w:rPr>
          <w:rFonts w:ascii="Verdana" w:hAnsi="Verdana"/>
          <w:sz w:val="16"/>
          <w:szCs w:val="16"/>
        </w:rPr>
        <w:t xml:space="preserve"> objeto de </w:t>
      </w:r>
      <w:proofErr w:type="spellStart"/>
      <w:r w:rsidRPr="00873AA6">
        <w:rPr>
          <w:rFonts w:ascii="Verdana" w:hAnsi="Verdana"/>
          <w:sz w:val="16"/>
          <w:szCs w:val="16"/>
        </w:rPr>
        <w:t>verificación</w:t>
      </w:r>
      <w:proofErr w:type="spellEnd"/>
      <w:r w:rsidRPr="00873AA6">
        <w:rPr>
          <w:rFonts w:ascii="Verdana" w:hAnsi="Verdana"/>
          <w:sz w:val="16"/>
          <w:szCs w:val="16"/>
        </w:rPr>
        <w:t xml:space="preserve">, como requisitos habilitantes, entre otros, los siguientes: i) la capacidad </w:t>
      </w:r>
      <w:proofErr w:type="spellStart"/>
      <w:r w:rsidRPr="00873AA6">
        <w:rPr>
          <w:rFonts w:ascii="Verdana" w:hAnsi="Verdana"/>
          <w:sz w:val="16"/>
          <w:szCs w:val="16"/>
        </w:rPr>
        <w:t>jurídica</w:t>
      </w:r>
      <w:proofErr w:type="spellEnd"/>
      <w:r w:rsidRPr="00873AA6">
        <w:rPr>
          <w:rFonts w:ascii="Verdana" w:hAnsi="Verdana"/>
          <w:sz w:val="16"/>
          <w:szCs w:val="16"/>
        </w:rPr>
        <w:t xml:space="preserve">; </w:t>
      </w:r>
      <w:proofErr w:type="spellStart"/>
      <w:r w:rsidRPr="00873AA6">
        <w:rPr>
          <w:rFonts w:ascii="Verdana" w:hAnsi="Verdana"/>
          <w:b/>
          <w:bCs/>
          <w:sz w:val="16"/>
          <w:szCs w:val="16"/>
        </w:rPr>
        <w:t>ii</w:t>
      </w:r>
      <w:proofErr w:type="spellEnd"/>
      <w:r w:rsidRPr="00873AA6">
        <w:rPr>
          <w:rFonts w:ascii="Verdana" w:hAnsi="Verdana"/>
          <w:b/>
          <w:bCs/>
          <w:sz w:val="16"/>
          <w:szCs w:val="16"/>
        </w:rPr>
        <w:t>) la experiencia</w:t>
      </w:r>
      <w:r w:rsidRPr="00873AA6">
        <w:rPr>
          <w:rFonts w:ascii="Verdana" w:hAnsi="Verdana"/>
          <w:sz w:val="16"/>
          <w:szCs w:val="16"/>
        </w:rPr>
        <w:t xml:space="preserve">; </w:t>
      </w:r>
      <w:proofErr w:type="spellStart"/>
      <w:r w:rsidRPr="00873AA6">
        <w:rPr>
          <w:rFonts w:ascii="Verdana" w:hAnsi="Verdana"/>
          <w:sz w:val="16"/>
          <w:szCs w:val="16"/>
        </w:rPr>
        <w:t>iii</w:t>
      </w:r>
      <w:proofErr w:type="spellEnd"/>
      <w:r w:rsidRPr="00873AA6">
        <w:rPr>
          <w:rFonts w:ascii="Verdana" w:hAnsi="Verdana"/>
          <w:sz w:val="16"/>
          <w:szCs w:val="16"/>
        </w:rPr>
        <w:t>) la capacidad financiera</w:t>
      </w:r>
      <w:r w:rsidRPr="00873AA6">
        <w:rPr>
          <w:rFonts w:ascii="Verdana" w:hAnsi="Verdana"/>
          <w:b/>
          <w:bCs/>
          <w:sz w:val="16"/>
          <w:szCs w:val="16"/>
        </w:rPr>
        <w:t xml:space="preserve"> </w:t>
      </w:r>
      <w:r w:rsidRPr="00873AA6">
        <w:rPr>
          <w:rFonts w:ascii="Verdana" w:hAnsi="Verdana"/>
          <w:sz w:val="16"/>
          <w:szCs w:val="16"/>
        </w:rPr>
        <w:t xml:space="preserve">y </w:t>
      </w:r>
      <w:proofErr w:type="spellStart"/>
      <w:r w:rsidRPr="00873AA6">
        <w:rPr>
          <w:rFonts w:ascii="Verdana" w:hAnsi="Verdana"/>
          <w:sz w:val="16"/>
          <w:szCs w:val="16"/>
        </w:rPr>
        <w:t>iv</w:t>
      </w:r>
      <w:proofErr w:type="spellEnd"/>
      <w:r w:rsidRPr="00873AA6">
        <w:rPr>
          <w:rFonts w:ascii="Verdana" w:hAnsi="Verdana"/>
          <w:sz w:val="16"/>
          <w:szCs w:val="16"/>
        </w:rPr>
        <w:t xml:space="preserve">) la capacidad de </w:t>
      </w:r>
      <w:proofErr w:type="spellStart"/>
      <w:r w:rsidRPr="00873AA6">
        <w:rPr>
          <w:rFonts w:ascii="Verdana" w:hAnsi="Verdana"/>
          <w:sz w:val="16"/>
          <w:szCs w:val="16"/>
        </w:rPr>
        <w:t>organización</w:t>
      </w:r>
      <w:proofErr w:type="spellEnd"/>
      <w:r w:rsidRPr="00873AA6">
        <w:rPr>
          <w:rFonts w:ascii="Verdana" w:hAnsi="Verdana"/>
          <w:sz w:val="16"/>
          <w:szCs w:val="16"/>
        </w:rPr>
        <w:t xml:space="preserve">. </w:t>
      </w:r>
    </w:p>
    <w:p w14:paraId="2D9176C5" w14:textId="77777777" w:rsidR="00147D2C" w:rsidRPr="00873AA6" w:rsidRDefault="00147D2C" w:rsidP="00147D2C">
      <w:pPr>
        <w:pStyle w:val="Textonotapie"/>
        <w:rPr>
          <w:sz w:val="16"/>
          <w:szCs w:val="16"/>
          <w:lang w:val="es-ES"/>
        </w:rPr>
      </w:pPr>
    </w:p>
  </w:footnote>
  <w:footnote w:id="4">
    <w:p w14:paraId="40863E28" w14:textId="77777777" w:rsidR="00147D2C" w:rsidRPr="005F7236" w:rsidRDefault="00147D2C" w:rsidP="00147D2C">
      <w:pPr>
        <w:pStyle w:val="Textonotapie"/>
        <w:rPr>
          <w:rFonts w:ascii="Verdana" w:hAnsi="Verdana"/>
          <w:sz w:val="16"/>
          <w:szCs w:val="16"/>
          <w:lang w:val="es-ES"/>
        </w:rPr>
      </w:pPr>
      <w:r w:rsidRPr="005F7236">
        <w:rPr>
          <w:rStyle w:val="Refdenotaalpie"/>
          <w:rFonts w:ascii="Verdana" w:hAnsi="Verdana"/>
          <w:sz w:val="16"/>
          <w:szCs w:val="16"/>
        </w:rPr>
        <w:footnoteRef/>
      </w:r>
      <w:r w:rsidRPr="005F7236">
        <w:rPr>
          <w:rFonts w:ascii="Verdana" w:hAnsi="Verdana"/>
          <w:sz w:val="16"/>
          <w:szCs w:val="16"/>
        </w:rPr>
        <w:t xml:space="preserve"> artículo 6 de la Ley 1150 de 2007</w:t>
      </w:r>
    </w:p>
  </w:footnote>
  <w:footnote w:id="5">
    <w:p w14:paraId="790B4F28" w14:textId="77777777" w:rsidR="00147D2C" w:rsidRPr="00FE2C72" w:rsidRDefault="00147D2C" w:rsidP="00147D2C">
      <w:pPr>
        <w:pStyle w:val="Textonotapie"/>
        <w:rPr>
          <w:lang w:val="es-CO"/>
        </w:rPr>
      </w:pPr>
      <w:r>
        <w:rPr>
          <w:rStyle w:val="Refdenotaalpie"/>
        </w:rPr>
        <w:footnoteRef/>
      </w:r>
      <w:r>
        <w:t xml:space="preserve"> </w:t>
      </w:r>
      <w:r w:rsidRPr="00FE2C72">
        <w:rPr>
          <w:lang w:val="es-CO"/>
        </w:rPr>
        <w:t xml:space="preserve">Consejo de Estado. Sala de Consulta y Servicio Civil. Consulta del 20 de mayo de 2010. Exp.1992. C. P. Enrique </w:t>
      </w:r>
      <w:proofErr w:type="spellStart"/>
      <w:r w:rsidRPr="00FE2C72">
        <w:rPr>
          <w:lang w:val="es-CO"/>
        </w:rPr>
        <w:t>Jose</w:t>
      </w:r>
      <w:proofErr w:type="spellEnd"/>
      <w:r w:rsidRPr="00FE2C72">
        <w:rPr>
          <w:lang w:val="es-CO"/>
        </w:rPr>
        <w:t xml:space="preserve">́ Arboleda Perdomo. </w:t>
      </w:r>
    </w:p>
    <w:p w14:paraId="41E8AE70" w14:textId="77777777" w:rsidR="00147D2C" w:rsidRPr="005E26BF" w:rsidRDefault="00147D2C" w:rsidP="00147D2C">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717122447">
    <w:abstractNumId w:val="0"/>
  </w:num>
  <w:num w:numId="17" w16cid:durableId="17583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D283F"/>
    <w:rsid w:val="000F6486"/>
    <w:rsid w:val="00125105"/>
    <w:rsid w:val="00127233"/>
    <w:rsid w:val="00147D2C"/>
    <w:rsid w:val="001E4177"/>
    <w:rsid w:val="001E644E"/>
    <w:rsid w:val="001F7DC6"/>
    <w:rsid w:val="00237BB7"/>
    <w:rsid w:val="002421BB"/>
    <w:rsid w:val="00253368"/>
    <w:rsid w:val="0025796E"/>
    <w:rsid w:val="002707A2"/>
    <w:rsid w:val="002833DF"/>
    <w:rsid w:val="002951A0"/>
    <w:rsid w:val="002962BC"/>
    <w:rsid w:val="002A093D"/>
    <w:rsid w:val="002A0DD0"/>
    <w:rsid w:val="002A49AC"/>
    <w:rsid w:val="002A64FD"/>
    <w:rsid w:val="002C7A84"/>
    <w:rsid w:val="002E4FD9"/>
    <w:rsid w:val="00322A85"/>
    <w:rsid w:val="00324168"/>
    <w:rsid w:val="003448F4"/>
    <w:rsid w:val="003732AD"/>
    <w:rsid w:val="00374F5E"/>
    <w:rsid w:val="00377E3E"/>
    <w:rsid w:val="003A26D1"/>
    <w:rsid w:val="003A779E"/>
    <w:rsid w:val="003D0F4D"/>
    <w:rsid w:val="003D5B0D"/>
    <w:rsid w:val="003E0499"/>
    <w:rsid w:val="003F3941"/>
    <w:rsid w:val="004012B4"/>
    <w:rsid w:val="00406575"/>
    <w:rsid w:val="004142A7"/>
    <w:rsid w:val="0042722E"/>
    <w:rsid w:val="0044528D"/>
    <w:rsid w:val="004A1847"/>
    <w:rsid w:val="004A305D"/>
    <w:rsid w:val="004F0911"/>
    <w:rsid w:val="004F21C4"/>
    <w:rsid w:val="004F685F"/>
    <w:rsid w:val="005566E8"/>
    <w:rsid w:val="00574867"/>
    <w:rsid w:val="00591460"/>
    <w:rsid w:val="00592628"/>
    <w:rsid w:val="005C3777"/>
    <w:rsid w:val="005C5CDC"/>
    <w:rsid w:val="005D476C"/>
    <w:rsid w:val="00610812"/>
    <w:rsid w:val="006219F8"/>
    <w:rsid w:val="00650FF7"/>
    <w:rsid w:val="00652BA4"/>
    <w:rsid w:val="00665D70"/>
    <w:rsid w:val="00671DAC"/>
    <w:rsid w:val="006900D9"/>
    <w:rsid w:val="006D12F8"/>
    <w:rsid w:val="00706C16"/>
    <w:rsid w:val="00756841"/>
    <w:rsid w:val="007649AB"/>
    <w:rsid w:val="00771D0C"/>
    <w:rsid w:val="007833AC"/>
    <w:rsid w:val="007B268C"/>
    <w:rsid w:val="007B7171"/>
    <w:rsid w:val="007C0C0F"/>
    <w:rsid w:val="007C3DC2"/>
    <w:rsid w:val="007E5497"/>
    <w:rsid w:val="00806F5F"/>
    <w:rsid w:val="00820278"/>
    <w:rsid w:val="0084374D"/>
    <w:rsid w:val="008754C5"/>
    <w:rsid w:val="008843B6"/>
    <w:rsid w:val="008902FA"/>
    <w:rsid w:val="00891928"/>
    <w:rsid w:val="008A446D"/>
    <w:rsid w:val="008D180B"/>
    <w:rsid w:val="008E1D84"/>
    <w:rsid w:val="008F0EA7"/>
    <w:rsid w:val="00923EEF"/>
    <w:rsid w:val="009419F9"/>
    <w:rsid w:val="0095685E"/>
    <w:rsid w:val="00961B09"/>
    <w:rsid w:val="00965334"/>
    <w:rsid w:val="0097093E"/>
    <w:rsid w:val="00971DD1"/>
    <w:rsid w:val="009A0DFA"/>
    <w:rsid w:val="009B2D26"/>
    <w:rsid w:val="009C71FA"/>
    <w:rsid w:val="009C72E7"/>
    <w:rsid w:val="009D3058"/>
    <w:rsid w:val="009F3A13"/>
    <w:rsid w:val="00A122D3"/>
    <w:rsid w:val="00A17F13"/>
    <w:rsid w:val="00A20739"/>
    <w:rsid w:val="00A33C78"/>
    <w:rsid w:val="00A453FF"/>
    <w:rsid w:val="00AB0ADB"/>
    <w:rsid w:val="00B01B1A"/>
    <w:rsid w:val="00B72CD3"/>
    <w:rsid w:val="00B72FFF"/>
    <w:rsid w:val="00B96547"/>
    <w:rsid w:val="00BA50FF"/>
    <w:rsid w:val="00BC3D36"/>
    <w:rsid w:val="00BD7F72"/>
    <w:rsid w:val="00C04FB3"/>
    <w:rsid w:val="00C330EB"/>
    <w:rsid w:val="00C754BE"/>
    <w:rsid w:val="00C76B1C"/>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4F28"/>
    <w:rsid w:val="00F462B3"/>
    <w:rsid w:val="00F5664F"/>
    <w:rsid w:val="00F666C4"/>
    <w:rsid w:val="00F76AFC"/>
    <w:rsid w:val="00F929AA"/>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47D2C"/>
    <w:pPr>
      <w:spacing w:line="240" w:lineRule="exact"/>
    </w:pPr>
    <w:rPr>
      <w:vertAlign w:val="superscript"/>
    </w:rPr>
  </w:style>
  <w:style w:type="character" w:styleId="nfasisintenso">
    <w:name w:val="Intense Emphasis"/>
    <w:basedOn w:val="Fuentedeprrafopredeter"/>
    <w:uiPriority w:val="21"/>
    <w:qFormat/>
    <w:rsid w:val="00147D2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8969">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4157479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ombiacompra.gov.co/sites/cce_public/files/cce_documents/cce-eicp-ma-04._manual_requisitos_habilitantes_v3_29-09-2023.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normativa/decreto-1082-de-201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normativa/ley-1150-de-2007/"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keila.reyes%40colombiacompra.gov.co%7C096eca3fdcca424ff1c708dcf932f947%7C7b09041e245149d08cb179d5e3d8c1be%7C0%7C0%7C638659244557215595%7CUnknown%7CTWFpbGZsb3d8eyJWIjoiMC4wLjAwMDAiLCJQIjoiV2luMzIiLCJBTiI6Ik1haWwiLCJXVCI6Mn0%3D%7C0%7C%7C%7C&amp;sdata=jai0rtMWJAYPTBh%2BiRYRSNa2ILOymXGoP26IHbMlBIc%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C2CD70E7-AA46-434D-8FB3-12BA4D707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2233</Words>
  <Characters>12286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5</cp:revision>
  <cp:lastPrinted>2023-01-10T21:18:00Z</cp:lastPrinted>
  <dcterms:created xsi:type="dcterms:W3CDTF">2024-11-12T20:11:00Z</dcterms:created>
  <dcterms:modified xsi:type="dcterms:W3CDTF">2024-11-18T14:32:00Z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