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7697" w14:textId="77777777" w:rsidR="00320AB1" w:rsidRPr="00320AB1" w:rsidRDefault="00320AB1" w:rsidP="00320AB1">
      <w:pPr>
        <w:spacing w:line="276" w:lineRule="auto"/>
        <w:rPr>
          <w:rFonts w:ascii="Verdana" w:hAnsi="Verdana"/>
          <w:b/>
          <w:lang w:val="es-ES_tradnl"/>
        </w:rPr>
      </w:pPr>
      <w:bookmarkStart w:id="0" w:name="_Hlk143780582"/>
      <w:r w:rsidRPr="00320AB1">
        <w:rPr>
          <w:rFonts w:ascii="Verdana" w:hAnsi="Verdana"/>
          <w:b/>
          <w:lang w:val="es-ES_tradnl"/>
        </w:rPr>
        <w:t xml:space="preserve">LIQUIDACIÓN DE CONTRATOS- Concepto </w:t>
      </w:r>
    </w:p>
    <w:p w14:paraId="5BE7F400" w14:textId="33E4EEA9" w:rsidR="00320AB1" w:rsidRDefault="00320AB1" w:rsidP="00320AB1">
      <w:pPr>
        <w:spacing w:line="276" w:lineRule="auto"/>
        <w:jc w:val="both"/>
        <w:rPr>
          <w:rFonts w:ascii="Verdana" w:eastAsia="Calibri" w:hAnsi="Verdana" w:cs="Times New Roman"/>
          <w:sz w:val="20"/>
          <w:szCs w:val="20"/>
          <w:lang w:val="es-MX"/>
        </w:rPr>
      </w:pPr>
      <w:r w:rsidRPr="00320AB1">
        <w:rPr>
          <w:rFonts w:ascii="Verdana" w:eastAsia="Calibri" w:hAnsi="Verdana" w:cs="Times New Roman"/>
          <w:sz w:val="20"/>
          <w:szCs w:val="20"/>
        </w:rPr>
        <w:t xml:space="preserve">Ahora bien, de manera particular se debe precisar que el documento de liquidación, en caso de hacerse de común acuerdo entre las partes, es decir de manera </w:t>
      </w:r>
      <w:r w:rsidRPr="00320AB1">
        <w:rPr>
          <w:rFonts w:ascii="Verdana" w:eastAsia="Calibri" w:hAnsi="Verdana" w:cs="Times New Roman"/>
          <w:i/>
          <w:iCs/>
          <w:sz w:val="20"/>
          <w:szCs w:val="20"/>
        </w:rPr>
        <w:t>bilateral</w:t>
      </w:r>
      <w:r w:rsidRPr="00320AB1">
        <w:rPr>
          <w:rFonts w:ascii="Verdana" w:eastAsia="Calibri" w:hAnsi="Verdana" w:cs="Times New Roman"/>
          <w:sz w:val="20"/>
          <w:szCs w:val="20"/>
        </w:rPr>
        <w:t xml:space="preserve">, ha </w:t>
      </w:r>
      <w:r w:rsidRPr="00320AB1">
        <w:rPr>
          <w:rFonts w:ascii="Verdana" w:eastAsia="Calibri" w:hAnsi="Verdana" w:cs="Times New Roman"/>
          <w:sz w:val="20"/>
          <w:szCs w:val="20"/>
          <w:lang w:val="es-MX"/>
        </w:rPr>
        <w:t>sido entendida por parte del Consejo de Estado, como una actuación posterior a la terminación normal o anormal, que supone un acuerdo de voluntades que finiquita la relación negocial, en virtud del cual las partes determinan si existen prestaciones, obligaciones o derechos a su cargo, realizan un balance de las cuentas y, si es del caso, efectúan las reclamaciones, ajustes y reconocimientos a que haya lugar, y en donde se puede establecer las consideraciones atinentes a las declaratorias de incumplimiento que se hubiesen realizado a lo largo de la relación contractua</w:t>
      </w:r>
      <w:r>
        <w:rPr>
          <w:rFonts w:ascii="Verdana" w:eastAsia="Calibri" w:hAnsi="Verdana" w:cs="Times New Roman"/>
          <w:sz w:val="20"/>
          <w:szCs w:val="20"/>
          <w:lang w:val="es-MX"/>
        </w:rPr>
        <w:t>l.</w:t>
      </w:r>
    </w:p>
    <w:p w14:paraId="19370B02" w14:textId="77777777" w:rsidR="00320AB1" w:rsidRDefault="00320AB1" w:rsidP="00320AB1">
      <w:pPr>
        <w:spacing w:line="276" w:lineRule="auto"/>
        <w:jc w:val="both"/>
        <w:rPr>
          <w:rFonts w:ascii="Verdana" w:hAnsi="Verdana"/>
          <w:bCs/>
          <w:lang w:val="es-ES_tradnl"/>
        </w:rPr>
      </w:pPr>
    </w:p>
    <w:p w14:paraId="1F82D955" w14:textId="77777777" w:rsidR="00320AB1" w:rsidRDefault="00320AB1" w:rsidP="00320AB1">
      <w:pPr>
        <w:spacing w:line="276" w:lineRule="auto"/>
        <w:rPr>
          <w:rFonts w:ascii="Verdana" w:hAnsi="Verdana"/>
          <w:b/>
          <w:lang w:val="es-ES_tradnl"/>
        </w:rPr>
      </w:pPr>
      <w:r w:rsidRPr="00320AB1">
        <w:rPr>
          <w:rFonts w:ascii="Verdana" w:hAnsi="Verdana"/>
          <w:b/>
          <w:lang w:val="es-ES_tradnl"/>
        </w:rPr>
        <w:t>MULTAS-Reporte</w:t>
      </w:r>
    </w:p>
    <w:p w14:paraId="0446B3B3" w14:textId="77777777" w:rsidR="00320AB1" w:rsidRPr="00320AB1" w:rsidRDefault="00320AB1" w:rsidP="00320AB1">
      <w:pPr>
        <w:spacing w:after="120" w:line="276" w:lineRule="auto"/>
        <w:jc w:val="both"/>
        <w:rPr>
          <w:rFonts w:ascii="Verdana" w:eastAsia="Calibri" w:hAnsi="Verdana" w:cs="Arial"/>
          <w:iCs/>
          <w:sz w:val="20"/>
          <w:szCs w:val="20"/>
          <w:lang w:val="es-MX"/>
        </w:rPr>
      </w:pPr>
      <w:r w:rsidRPr="00320AB1">
        <w:rPr>
          <w:rFonts w:ascii="Verdana" w:eastAsia="Calibri" w:hAnsi="Verdana" w:cs="Arial"/>
          <w:iCs/>
          <w:sz w:val="20"/>
          <w:szCs w:val="20"/>
          <w:lang w:val="es-MX"/>
        </w:rPr>
        <w:t xml:space="preserve">En relación con el </w:t>
      </w:r>
      <w:r w:rsidRPr="00320AB1">
        <w:rPr>
          <w:rFonts w:ascii="Verdana" w:eastAsia="Calibri" w:hAnsi="Verdana" w:cs="Arial"/>
          <w:i/>
          <w:sz w:val="20"/>
          <w:szCs w:val="20"/>
          <w:lang w:val="es-MX"/>
        </w:rPr>
        <w:t>reporte</w:t>
      </w:r>
      <w:r w:rsidRPr="00320AB1">
        <w:rPr>
          <w:rFonts w:ascii="Verdana" w:eastAsia="Calibri" w:hAnsi="Verdana" w:cs="Arial"/>
          <w:iCs/>
          <w:sz w:val="20"/>
          <w:szCs w:val="20"/>
          <w:lang w:val="es-MX"/>
        </w:rPr>
        <w:t xml:space="preserve">,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Respecto al </w:t>
      </w:r>
      <w:r w:rsidRPr="00320AB1">
        <w:rPr>
          <w:rFonts w:ascii="Verdana" w:eastAsia="Calibri" w:hAnsi="Verdana" w:cs="Arial"/>
          <w:i/>
          <w:sz w:val="20"/>
          <w:szCs w:val="20"/>
          <w:lang w:val="es-MX"/>
        </w:rPr>
        <w:t>registro</w:t>
      </w:r>
      <w:r w:rsidRPr="00320AB1">
        <w:rPr>
          <w:rFonts w:ascii="Verdana" w:eastAsia="Calibri" w:hAnsi="Verdana" w:cs="Arial"/>
          <w:iCs/>
          <w:sz w:val="20"/>
          <w:szCs w:val="20"/>
          <w:lang w:val="es-MX"/>
        </w:rPr>
        <w:t xml:space="preserve">¸ la disposición estableció la obligación a las cámaras de comercio de consignar las sanciones e inhabilidades remitidas por las entidades estatales en el RUP, con el propósito de concretar aspectos de publicidad y transparencia en la actividad contractual. </w:t>
      </w:r>
    </w:p>
    <w:p w14:paraId="5DD018D5" w14:textId="1220E991" w:rsidR="00320AB1" w:rsidRPr="00320AB1" w:rsidRDefault="00320AB1" w:rsidP="00320AB1">
      <w:pPr>
        <w:spacing w:line="276" w:lineRule="auto"/>
        <w:rPr>
          <w:rFonts w:ascii="Verdana" w:hAnsi="Verdana"/>
          <w:b/>
        </w:rPr>
      </w:pPr>
      <w:r w:rsidRPr="00320AB1">
        <w:rPr>
          <w:rFonts w:ascii="Verdana" w:hAnsi="Verdana"/>
          <w:b/>
          <w:lang w:val="es-ES_tradnl"/>
        </w:rPr>
        <w:t>MULTAS-Cobro</w:t>
      </w:r>
    </w:p>
    <w:p w14:paraId="3E2C813A" w14:textId="53479C7D" w:rsidR="00320AB1" w:rsidRPr="00320AB1" w:rsidRDefault="00320AB1" w:rsidP="00320AB1">
      <w:pPr>
        <w:spacing w:before="120" w:line="276" w:lineRule="auto"/>
        <w:jc w:val="both"/>
        <w:rPr>
          <w:rFonts w:ascii="Verdana" w:hAnsi="Verdana" w:cs="Arial"/>
          <w:bCs/>
          <w:color w:val="000000" w:themeColor="text1"/>
          <w:sz w:val="20"/>
          <w:szCs w:val="20"/>
        </w:rPr>
      </w:pPr>
      <w:r w:rsidRPr="00320AB1">
        <w:rPr>
          <w:rFonts w:ascii="Verdana" w:eastAsia="Calibri" w:hAnsi="Verdana" w:cs="Times New Roman"/>
          <w:sz w:val="20"/>
          <w:szCs w:val="20"/>
          <w:lang w:val="es-MX"/>
        </w:rPr>
        <w:t>Aunado a lo anterior, se debe tener presente lo señalado en el parágrafo del artículo 17 de la Ley 1150 de 2007, el cual dispone lo siguiente: “</w:t>
      </w:r>
      <w:r w:rsidRPr="00320AB1">
        <w:rPr>
          <w:rFonts w:ascii="Verdana" w:eastAsia="Calibri" w:hAnsi="Verdana" w:cs="Times New Roman"/>
          <w:sz w:val="20"/>
          <w:szCs w:val="20"/>
        </w:rPr>
        <w:t>Parágrafo</w:t>
      </w:r>
      <w:r w:rsidRPr="00320AB1">
        <w:rPr>
          <w:rFonts w:ascii="Verdana" w:eastAsia="Calibri" w:hAnsi="Verdana" w:cs="Times New Roman"/>
          <w:b/>
          <w:bCs/>
          <w:sz w:val="20"/>
          <w:szCs w:val="20"/>
        </w:rPr>
        <w:t>.</w:t>
      </w:r>
      <w:r w:rsidRPr="00320AB1">
        <w:rPr>
          <w:rFonts w:ascii="Verdana" w:eastAsia="Calibri" w:hAnsi="Verdana" w:cs="Times New Roman"/>
          <w:sz w:val="20"/>
          <w:szCs w:val="20"/>
        </w:rPr>
        <w:t xml:space="preserve"> La cláusula penal y las multas así impuestas, se harán efectivas directamente por las entidades estatales, pudiendo acudir para el efecto entre otros a los </w:t>
      </w:r>
      <w:r w:rsidRPr="00320AB1">
        <w:rPr>
          <w:rFonts w:ascii="Verdana" w:eastAsia="Calibri" w:hAnsi="Verdana" w:cs="Times New Roman"/>
          <w:sz w:val="20"/>
          <w:szCs w:val="20"/>
          <w:u w:val="single"/>
        </w:rPr>
        <w:t>mecanismos de compensación de las sumas adeudadas</w:t>
      </w:r>
      <w:r w:rsidRPr="00320AB1">
        <w:rPr>
          <w:rFonts w:ascii="Verdana" w:eastAsia="Calibri" w:hAnsi="Verdana" w:cs="Times New Roman"/>
          <w:sz w:val="20"/>
          <w:szCs w:val="20"/>
        </w:rPr>
        <w:t xml:space="preserve"> al contratista, </w:t>
      </w:r>
      <w:r w:rsidRPr="00320AB1">
        <w:rPr>
          <w:rFonts w:ascii="Verdana" w:eastAsia="Calibri" w:hAnsi="Verdana" w:cs="Times New Roman"/>
          <w:sz w:val="20"/>
          <w:szCs w:val="20"/>
          <w:u w:val="single"/>
        </w:rPr>
        <w:t>cobro de la garantía</w:t>
      </w:r>
      <w:r w:rsidRPr="00320AB1">
        <w:rPr>
          <w:rFonts w:ascii="Verdana" w:eastAsia="Calibri" w:hAnsi="Verdana" w:cs="Times New Roman"/>
          <w:sz w:val="20"/>
          <w:szCs w:val="20"/>
        </w:rPr>
        <w:t xml:space="preserve">, o a </w:t>
      </w:r>
      <w:r w:rsidRPr="00320AB1">
        <w:rPr>
          <w:rFonts w:ascii="Verdana" w:eastAsia="Calibri" w:hAnsi="Verdana" w:cs="Times New Roman"/>
          <w:sz w:val="20"/>
          <w:szCs w:val="20"/>
          <w:u w:val="single"/>
        </w:rPr>
        <w:t>cualquier otro medio para obtener el pago, incluyendo el de la jurisdicción coactiva</w:t>
      </w:r>
      <w:r w:rsidRPr="00320AB1">
        <w:rPr>
          <w:rFonts w:ascii="Verdana" w:eastAsia="Calibri" w:hAnsi="Verdana" w:cs="Times New Roman"/>
          <w:sz w:val="20"/>
          <w:szCs w:val="20"/>
        </w:rPr>
        <w:t>.” (Subrayado fuera de texto)</w:t>
      </w:r>
    </w:p>
    <w:p w14:paraId="4C6671CD" w14:textId="77777777" w:rsidR="00320AB1" w:rsidRPr="00487E98" w:rsidRDefault="00320AB1" w:rsidP="00320AB1">
      <w:pPr>
        <w:spacing w:after="0" w:line="256" w:lineRule="auto"/>
        <w:jc w:val="both"/>
        <w:rPr>
          <w:rFonts w:ascii="Verdana" w:eastAsia="Calibri" w:hAnsi="Verdana" w:cs="Times New Roman"/>
          <w:lang w:val="es-MX"/>
        </w:rPr>
      </w:pPr>
    </w:p>
    <w:p w14:paraId="68D6D4C3" w14:textId="77777777" w:rsidR="00320AB1" w:rsidRDefault="00320AB1">
      <w:pPr>
        <w:rPr>
          <w:rFonts w:ascii="Verdana" w:eastAsia="Calibri" w:hAnsi="Verdana" w:cs="Times New Roman"/>
        </w:rPr>
      </w:pPr>
      <w:r>
        <w:rPr>
          <w:rFonts w:ascii="Verdana" w:eastAsia="Calibri" w:hAnsi="Verdana" w:cs="Times New Roman"/>
        </w:rPr>
        <w:br w:type="page"/>
      </w:r>
    </w:p>
    <w:p w14:paraId="67EB163F" w14:textId="01670927" w:rsidR="00B333CB" w:rsidRPr="00487E98" w:rsidRDefault="00B333CB" w:rsidP="00B333CB">
      <w:pPr>
        <w:spacing w:line="256" w:lineRule="auto"/>
        <w:jc w:val="both"/>
        <w:rPr>
          <w:rFonts w:ascii="Verdana" w:eastAsia="Calibri" w:hAnsi="Verdana" w:cs="Times New Roman"/>
        </w:rPr>
      </w:pPr>
      <w:r w:rsidRPr="00487E98">
        <w:rPr>
          <w:rFonts w:ascii="Verdana" w:eastAsia="Calibri" w:hAnsi="Verdana" w:cs="Times New Roman"/>
        </w:rPr>
        <w:lastRenderedPageBreak/>
        <w:t xml:space="preserve">Bogotá D.C., </w:t>
      </w:r>
      <w:r w:rsidR="005711A1">
        <w:rPr>
          <w:rFonts w:ascii="Verdana" w:eastAsia="Calibri" w:hAnsi="Verdana" w:cs="Times New Roman"/>
        </w:rPr>
        <w:t>18 de Octubre de 2024</w:t>
      </w:r>
    </w:p>
    <w:p w14:paraId="40C15F6E" w14:textId="47A2EBD8" w:rsidR="00B333CB" w:rsidRPr="00487E98" w:rsidRDefault="005711A1" w:rsidP="005711A1">
      <w:pPr>
        <w:spacing w:after="0" w:line="256" w:lineRule="auto"/>
        <w:jc w:val="right"/>
        <w:rPr>
          <w:rFonts w:ascii="Verdana" w:eastAsia="Calibri" w:hAnsi="Verdana" w:cs="Times New Roman"/>
        </w:rPr>
      </w:pPr>
      <w:r w:rsidRPr="005711A1">
        <w:rPr>
          <w:rFonts w:ascii="Verdana" w:eastAsia="Calibri" w:hAnsi="Verdana" w:cs="Times New Roman"/>
        </w:rPr>
        <w:drawing>
          <wp:inline distT="0" distB="0" distL="0" distR="0" wp14:anchorId="503E8733" wp14:editId="09D57F2E">
            <wp:extent cx="3781953" cy="1076475"/>
            <wp:effectExtent l="0" t="0" r="9525" b="9525"/>
            <wp:docPr id="124446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6207" name=""/>
                    <pic:cNvPicPr/>
                  </pic:nvPicPr>
                  <pic:blipFill>
                    <a:blip r:embed="rId10"/>
                    <a:stretch>
                      <a:fillRect/>
                    </a:stretch>
                  </pic:blipFill>
                  <pic:spPr>
                    <a:xfrm>
                      <a:off x="0" y="0"/>
                      <a:ext cx="3781953" cy="1076475"/>
                    </a:xfrm>
                    <a:prstGeom prst="rect">
                      <a:avLst/>
                    </a:prstGeom>
                  </pic:spPr>
                </pic:pic>
              </a:graphicData>
            </a:graphic>
          </wp:inline>
        </w:drawing>
      </w:r>
    </w:p>
    <w:p w14:paraId="5576D20E" w14:textId="77777777" w:rsidR="00B333CB" w:rsidRPr="00487E98" w:rsidRDefault="00B333CB" w:rsidP="00B333CB">
      <w:pPr>
        <w:spacing w:after="0" w:line="256" w:lineRule="auto"/>
        <w:rPr>
          <w:rFonts w:ascii="Verdana" w:eastAsia="Calibri" w:hAnsi="Verdana" w:cs="Times New Roman"/>
          <w:lang w:val="es-MX"/>
        </w:rPr>
      </w:pPr>
      <w:r w:rsidRPr="00487E98">
        <w:rPr>
          <w:rFonts w:ascii="Verdana" w:eastAsia="Calibri" w:hAnsi="Verdana" w:cs="Times New Roman"/>
          <w:lang w:val="es-MX"/>
        </w:rPr>
        <w:t>Señora</w:t>
      </w:r>
    </w:p>
    <w:p w14:paraId="4A654DC9" w14:textId="77777777" w:rsidR="00B333CB" w:rsidRPr="00487E98" w:rsidRDefault="00B333CB" w:rsidP="00B333CB">
      <w:pPr>
        <w:spacing w:after="0" w:line="256" w:lineRule="auto"/>
        <w:rPr>
          <w:rFonts w:ascii="Verdana" w:eastAsia="Calibri" w:hAnsi="Verdana" w:cs="Times New Roman"/>
        </w:rPr>
      </w:pPr>
      <w:r w:rsidRPr="00487E98">
        <w:rPr>
          <w:rFonts w:ascii="Verdana" w:eastAsia="Calibri" w:hAnsi="Verdana" w:cs="Times New Roman"/>
          <w:b/>
        </w:rPr>
        <w:t>Martha Oliva Muñoz Yunda</w:t>
      </w:r>
      <w:r w:rsidRPr="00487E98">
        <w:rPr>
          <w:rFonts w:ascii="Verdana" w:eastAsia="Calibri" w:hAnsi="Verdana" w:cs="Times New Roman"/>
          <w:b/>
        </w:rPr>
        <w:tab/>
      </w:r>
      <w:r w:rsidRPr="00487E98">
        <w:rPr>
          <w:rFonts w:ascii="Verdana" w:eastAsia="Calibri" w:hAnsi="Verdana" w:cs="Times New Roman"/>
          <w:bCs/>
        </w:rPr>
        <w:br/>
      </w:r>
      <w:r w:rsidRPr="00487E98">
        <w:rPr>
          <w:rFonts w:ascii="Verdana" w:eastAsia="Calibri" w:hAnsi="Verdana" w:cs="Times New Roman"/>
        </w:rPr>
        <w:t>marthaolivacali@hotmail.com</w:t>
      </w:r>
    </w:p>
    <w:p w14:paraId="2B65E4AC" w14:textId="77777777" w:rsidR="00B333CB" w:rsidRPr="00487E98" w:rsidRDefault="00B333CB" w:rsidP="00B333CB">
      <w:pPr>
        <w:spacing w:after="0" w:line="256" w:lineRule="auto"/>
        <w:rPr>
          <w:rFonts w:ascii="Verdana" w:eastAsia="Calibri" w:hAnsi="Verdana" w:cs="Times New Roman"/>
        </w:rPr>
      </w:pPr>
      <w:r w:rsidRPr="00487E98">
        <w:rPr>
          <w:rFonts w:ascii="Verdana" w:eastAsia="Calibri" w:hAnsi="Verdana" w:cs="Times New Roman"/>
        </w:rPr>
        <w:t>Cali, Valle del Cauca</w:t>
      </w:r>
    </w:p>
    <w:p w14:paraId="7F026D5A" w14:textId="77777777" w:rsidR="00B333CB" w:rsidRPr="00487E98" w:rsidRDefault="00B333CB" w:rsidP="00B333CB">
      <w:pPr>
        <w:spacing w:after="0" w:line="256" w:lineRule="auto"/>
        <w:rPr>
          <w:rFonts w:ascii="Verdana" w:eastAsia="Calibri" w:hAnsi="Verdana" w:cs="Times New Roman"/>
        </w:rPr>
      </w:pPr>
    </w:p>
    <w:p w14:paraId="1B2A11DB" w14:textId="0A2165D2" w:rsidR="00B333CB" w:rsidRPr="00487E98" w:rsidRDefault="00B333CB" w:rsidP="00B333CB">
      <w:pPr>
        <w:spacing w:after="0" w:line="256" w:lineRule="auto"/>
        <w:ind w:left="2124" w:firstLine="708"/>
        <w:rPr>
          <w:rFonts w:ascii="Verdana" w:eastAsia="Calibri" w:hAnsi="Verdana" w:cs="Times New Roman"/>
          <w:b/>
          <w:bCs/>
          <w:lang w:val="es-ES"/>
        </w:rPr>
      </w:pPr>
      <w:r w:rsidRPr="00487E98">
        <w:rPr>
          <w:rFonts w:ascii="Verdana" w:eastAsia="Calibri" w:hAnsi="Verdana" w:cs="Times New Roman"/>
          <w:b/>
          <w:bCs/>
          <w:lang w:val="es-ES"/>
        </w:rPr>
        <w:t>Conce</w:t>
      </w:r>
      <w:r w:rsidRPr="00803C7C">
        <w:rPr>
          <w:rFonts w:ascii="Verdana" w:eastAsia="Calibri" w:hAnsi="Verdana" w:cs="Times New Roman"/>
          <w:b/>
          <w:bCs/>
          <w:lang w:val="es-ES"/>
        </w:rPr>
        <w:t>pto C–</w:t>
      </w:r>
      <w:r w:rsidR="00803C7C" w:rsidRPr="00803C7C">
        <w:rPr>
          <w:rFonts w:ascii="Verdana" w:eastAsia="Calibri" w:hAnsi="Verdana" w:cs="Times New Roman"/>
          <w:b/>
          <w:bCs/>
          <w:lang w:val="es-ES"/>
        </w:rPr>
        <w:t>736</w:t>
      </w:r>
      <w:r w:rsidRPr="00803C7C">
        <w:rPr>
          <w:rFonts w:ascii="Verdana" w:eastAsia="Calibri" w:hAnsi="Verdana" w:cs="Times New Roman"/>
          <w:b/>
          <w:bCs/>
          <w:lang w:val="es-ES"/>
        </w:rPr>
        <w:t xml:space="preserve"> de 2024</w:t>
      </w:r>
    </w:p>
    <w:p w14:paraId="37FBB149" w14:textId="77777777" w:rsidR="00B333CB" w:rsidRPr="00487E98" w:rsidRDefault="00B333CB" w:rsidP="00B333CB">
      <w:pPr>
        <w:spacing w:after="0" w:line="256"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B333CB" w:rsidRPr="00487E98" w14:paraId="74C9DD5A" w14:textId="77777777" w:rsidTr="00B333CB">
        <w:trPr>
          <w:trHeight w:val="884"/>
        </w:trPr>
        <w:tc>
          <w:tcPr>
            <w:tcW w:w="2685" w:type="dxa"/>
            <w:hideMark/>
          </w:tcPr>
          <w:p w14:paraId="4DCD163C" w14:textId="77777777" w:rsidR="00B333CB" w:rsidRPr="00487E98" w:rsidRDefault="00B333CB" w:rsidP="00B333CB">
            <w:pPr>
              <w:spacing w:line="256" w:lineRule="auto"/>
              <w:rPr>
                <w:rFonts w:ascii="Verdana" w:hAnsi="Verdana"/>
                <w:lang w:val="es-ES_tradnl"/>
              </w:rPr>
            </w:pPr>
            <w:r w:rsidRPr="00487E98">
              <w:rPr>
                <w:rFonts w:ascii="Verdana" w:hAnsi="Verdana"/>
                <w:lang w:val="es-ES_tradnl"/>
              </w:rPr>
              <w:t xml:space="preserve">Temas:                   </w:t>
            </w:r>
          </w:p>
        </w:tc>
        <w:tc>
          <w:tcPr>
            <w:tcW w:w="6241" w:type="dxa"/>
            <w:hideMark/>
          </w:tcPr>
          <w:p w14:paraId="4FDAD808" w14:textId="27EBE67F" w:rsidR="00B333CB" w:rsidRPr="005166DA" w:rsidRDefault="00B333CB" w:rsidP="00B333CB">
            <w:pPr>
              <w:spacing w:line="276" w:lineRule="auto"/>
              <w:jc w:val="both"/>
              <w:rPr>
                <w:rFonts w:ascii="Verdana" w:hAnsi="Verdana"/>
              </w:rPr>
            </w:pPr>
            <w:r w:rsidRPr="005166DA">
              <w:rPr>
                <w:rFonts w:ascii="Verdana" w:hAnsi="Verdana"/>
                <w:bCs/>
                <w:lang w:val="es-ES_tradnl"/>
              </w:rPr>
              <w:t>LIQUIDACIÓN DE CONTRATOS- Concepto /</w:t>
            </w:r>
            <w:r w:rsidR="005166DA">
              <w:rPr>
                <w:rFonts w:ascii="Verdana" w:hAnsi="Verdana"/>
                <w:bCs/>
                <w:lang w:val="es-ES_tradnl"/>
              </w:rPr>
              <w:t>MULTAS-Reporte</w:t>
            </w:r>
            <w:r w:rsidR="00DF65B1">
              <w:rPr>
                <w:rFonts w:ascii="Verdana" w:hAnsi="Verdana"/>
                <w:bCs/>
                <w:lang w:val="es-ES_tradnl"/>
              </w:rPr>
              <w:t>/MULTAS-</w:t>
            </w:r>
            <w:r w:rsidR="005B2DA4">
              <w:rPr>
                <w:rFonts w:ascii="Verdana" w:hAnsi="Verdana"/>
                <w:bCs/>
                <w:lang w:val="es-ES_tradnl"/>
              </w:rPr>
              <w:t>Cobro</w:t>
            </w:r>
          </w:p>
        </w:tc>
        <w:tc>
          <w:tcPr>
            <w:tcW w:w="6237" w:type="dxa"/>
          </w:tcPr>
          <w:p w14:paraId="199E9BC0" w14:textId="77777777" w:rsidR="00B333CB" w:rsidRPr="005166DA" w:rsidRDefault="00B333CB" w:rsidP="00B333CB">
            <w:pPr>
              <w:spacing w:line="256" w:lineRule="auto"/>
              <w:rPr>
                <w:rFonts w:ascii="Verdana" w:hAnsi="Verdana"/>
                <w:lang w:val="es-ES"/>
              </w:rPr>
            </w:pPr>
          </w:p>
        </w:tc>
      </w:tr>
      <w:tr w:rsidR="00B333CB" w:rsidRPr="00487E98" w14:paraId="4AC71B8F" w14:textId="77777777" w:rsidTr="00B333CB">
        <w:tc>
          <w:tcPr>
            <w:tcW w:w="2685" w:type="dxa"/>
          </w:tcPr>
          <w:p w14:paraId="7F3DC645" w14:textId="77777777" w:rsidR="00B333CB" w:rsidRPr="00487E98" w:rsidRDefault="00B333CB" w:rsidP="00B333CB">
            <w:pPr>
              <w:spacing w:line="256" w:lineRule="auto"/>
              <w:rPr>
                <w:rFonts w:ascii="Verdana" w:hAnsi="Verdana"/>
                <w:lang w:val="es-ES_tradnl"/>
              </w:rPr>
            </w:pPr>
          </w:p>
          <w:p w14:paraId="7FEC3994" w14:textId="77777777" w:rsidR="00B333CB" w:rsidRPr="00487E98" w:rsidRDefault="00B333CB" w:rsidP="00B333CB">
            <w:pPr>
              <w:spacing w:line="256" w:lineRule="auto"/>
              <w:rPr>
                <w:rFonts w:ascii="Verdana" w:hAnsi="Verdana"/>
                <w:lang w:val="es-ES_tradnl"/>
              </w:rPr>
            </w:pPr>
            <w:r w:rsidRPr="00487E98">
              <w:rPr>
                <w:rFonts w:ascii="Verdana" w:hAnsi="Verdana"/>
                <w:lang w:val="es-ES_tradnl"/>
              </w:rPr>
              <w:t xml:space="preserve">Radicación:               </w:t>
            </w:r>
          </w:p>
        </w:tc>
        <w:tc>
          <w:tcPr>
            <w:tcW w:w="6241" w:type="dxa"/>
          </w:tcPr>
          <w:p w14:paraId="2469CDFD" w14:textId="77777777" w:rsidR="00B333CB" w:rsidRPr="00487E98" w:rsidRDefault="00B333CB" w:rsidP="00B333CB">
            <w:pPr>
              <w:spacing w:line="256" w:lineRule="auto"/>
              <w:rPr>
                <w:rFonts w:ascii="Verdana" w:hAnsi="Verdana"/>
                <w:lang w:val="es-ES_tradnl"/>
              </w:rPr>
            </w:pPr>
          </w:p>
          <w:p w14:paraId="0A103A0E" w14:textId="74C30927" w:rsidR="00B333CB" w:rsidRPr="00487E98" w:rsidRDefault="00B333CB" w:rsidP="00B333CB">
            <w:pPr>
              <w:spacing w:line="256" w:lineRule="auto"/>
              <w:rPr>
                <w:rFonts w:ascii="Verdana" w:hAnsi="Verdana"/>
                <w:lang w:val="es-ES_tradnl"/>
              </w:rPr>
            </w:pPr>
            <w:r w:rsidRPr="00487E98">
              <w:rPr>
                <w:rFonts w:ascii="Verdana" w:hAnsi="Verdana"/>
                <w:lang w:val="es-ES_tradnl"/>
              </w:rPr>
              <w:t xml:space="preserve">Respuesta a consulta con radicado No. </w:t>
            </w:r>
            <w:r w:rsidR="0045645D" w:rsidRPr="00487E98">
              <w:rPr>
                <w:rFonts w:ascii="Verdana" w:hAnsi="Verdana"/>
                <w:lang w:val="es-ES_tradnl"/>
              </w:rPr>
              <w:t>P20240906009112</w:t>
            </w:r>
          </w:p>
        </w:tc>
        <w:tc>
          <w:tcPr>
            <w:tcW w:w="6237" w:type="dxa"/>
          </w:tcPr>
          <w:p w14:paraId="2B8FE814" w14:textId="77777777" w:rsidR="00B333CB" w:rsidRPr="00487E98" w:rsidRDefault="00B333CB" w:rsidP="00B333CB">
            <w:pPr>
              <w:spacing w:line="256" w:lineRule="auto"/>
              <w:rPr>
                <w:rFonts w:ascii="Verdana" w:hAnsi="Verdana"/>
                <w:lang w:val="es-ES_tradnl"/>
              </w:rPr>
            </w:pPr>
          </w:p>
        </w:tc>
      </w:tr>
    </w:tbl>
    <w:p w14:paraId="5379240D" w14:textId="77777777" w:rsidR="00B333CB" w:rsidRPr="00487E98" w:rsidRDefault="00B333CB" w:rsidP="00B333CB">
      <w:pPr>
        <w:spacing w:after="0" w:line="256" w:lineRule="auto"/>
        <w:rPr>
          <w:rFonts w:ascii="Verdana" w:eastAsia="Calibri" w:hAnsi="Verdana" w:cs="Times New Roman"/>
          <w:lang w:val="es-ES_tradnl"/>
        </w:rPr>
      </w:pPr>
    </w:p>
    <w:p w14:paraId="6968DE29" w14:textId="77777777" w:rsidR="00B333CB" w:rsidRPr="00487E98" w:rsidRDefault="00B333CB" w:rsidP="00B333CB">
      <w:pPr>
        <w:spacing w:after="0" w:line="256" w:lineRule="auto"/>
        <w:rPr>
          <w:rFonts w:ascii="Verdana" w:eastAsia="Calibri" w:hAnsi="Verdana" w:cs="Times New Roman"/>
          <w:lang w:val="es-ES"/>
        </w:rPr>
      </w:pPr>
      <w:r w:rsidRPr="00487E98">
        <w:rPr>
          <w:rFonts w:ascii="Verdana" w:eastAsia="Calibri" w:hAnsi="Verdana" w:cs="Times New Roman"/>
          <w:lang w:val="es-ES"/>
        </w:rPr>
        <w:t xml:space="preserve">Estimada señora Martha Oliva: </w:t>
      </w:r>
    </w:p>
    <w:p w14:paraId="771FCA1F" w14:textId="77777777" w:rsidR="00B333CB" w:rsidRPr="00487E98" w:rsidRDefault="00B333CB" w:rsidP="00B333CB">
      <w:pPr>
        <w:spacing w:after="0" w:line="256" w:lineRule="auto"/>
        <w:rPr>
          <w:rFonts w:ascii="Verdana" w:eastAsia="Calibri" w:hAnsi="Verdana" w:cs="Times New Roman"/>
          <w:lang w:val="es-ES"/>
        </w:rPr>
      </w:pPr>
    </w:p>
    <w:p w14:paraId="1999F170" w14:textId="0C869DE9" w:rsidR="00B333CB" w:rsidRPr="00487E98" w:rsidRDefault="00B333CB" w:rsidP="00B333CB">
      <w:pPr>
        <w:spacing w:after="120" w:line="256" w:lineRule="auto"/>
        <w:jc w:val="both"/>
        <w:rPr>
          <w:rFonts w:ascii="Verdana" w:eastAsia="Calibri" w:hAnsi="Verdana" w:cs="Times New Roman"/>
          <w:i/>
        </w:rPr>
      </w:pPr>
      <w:r w:rsidRPr="00487E98">
        <w:rPr>
          <w:rFonts w:ascii="Verdana" w:eastAsia="Calibri" w:hAnsi="Verdana" w:cs="Times New Roman"/>
          <w:lang w:val="es-ES"/>
        </w:rPr>
        <w:t>En ejercicio de la competencia otorgada por los artículos 3, numeral 5º, y 11, numeral 8º, del Decreto Ley 4170 de 2011, la Agencia Nacional de Contratación Pública – Colombia Compra Eficiente– responde la solicitud de consulta del 27 de agosto de 2024, traslada por parte de la Procuraduría General de la Nación, mediante oficio S-2024-</w:t>
      </w:r>
      <w:r w:rsidR="003B675A" w:rsidRPr="00487E98">
        <w:rPr>
          <w:rFonts w:ascii="Verdana" w:eastAsia="Calibri" w:hAnsi="Verdana" w:cs="Times New Roman"/>
        </w:rPr>
        <w:t xml:space="preserve">040350 </w:t>
      </w:r>
      <w:r w:rsidRPr="00487E98">
        <w:rPr>
          <w:rFonts w:ascii="Verdana" w:eastAsia="Calibri" w:hAnsi="Verdana" w:cs="Times New Roman"/>
          <w:lang w:val="es-ES"/>
        </w:rPr>
        <w:t xml:space="preserve">del 6 de septiembre de 2024. En dicha petición usted solicita: </w:t>
      </w:r>
      <w:r w:rsidRPr="00487E98">
        <w:rPr>
          <w:rFonts w:ascii="Verdana" w:eastAsia="Calibri" w:hAnsi="Verdana" w:cs="Times New Roman"/>
          <w:i/>
          <w:iCs/>
          <w:lang w:val="es-ES"/>
        </w:rPr>
        <w:t>“(…)</w:t>
      </w:r>
      <w:r w:rsidRPr="00487E98">
        <w:rPr>
          <w:rFonts w:ascii="Verdana" w:eastAsia="Calibri" w:hAnsi="Verdana" w:cs="Times New Roman"/>
          <w:i/>
          <w:iCs/>
        </w:rPr>
        <w:t xml:space="preserve"> </w:t>
      </w:r>
      <w:r w:rsidR="0045645D" w:rsidRPr="00487E98">
        <w:rPr>
          <w:rFonts w:ascii="Verdana" w:eastAsia="Calibri" w:hAnsi="Verdana" w:cs="Times New Roman"/>
          <w:i/>
          <w:iCs/>
        </w:rPr>
        <w:t xml:space="preserve">1. En caso de que en un contrato se aplique la sanción administrativa de multa por incumplimiento parcial del contrato, ¿cual sería el paso a seguir? reportes y demás de acuerdo a la Ley 80 y Ley 1474 2. ¿Se puede liquidar el contrato? ¿que se debe hacer? 3. ¿Cual sería el procedimiento legal después de la imposición de multa por incumplimiento parcial del contrato? </w:t>
      </w:r>
      <w:r w:rsidRPr="00487E98">
        <w:rPr>
          <w:rFonts w:ascii="Verdana" w:eastAsia="Calibri" w:hAnsi="Verdana" w:cs="Times New Roman"/>
          <w:i/>
          <w:iCs/>
        </w:rPr>
        <w:t>(…)”.</w:t>
      </w:r>
    </w:p>
    <w:p w14:paraId="41D01800" w14:textId="77777777" w:rsidR="00B333CB" w:rsidRPr="00487E98" w:rsidRDefault="00B333CB" w:rsidP="00B333CB">
      <w:pPr>
        <w:spacing w:after="120" w:line="256" w:lineRule="auto"/>
        <w:ind w:firstLine="709"/>
        <w:jc w:val="both"/>
        <w:rPr>
          <w:rFonts w:ascii="Verdana" w:eastAsia="Calibri" w:hAnsi="Verdana" w:cs="Times New Roman"/>
          <w:lang w:val="es-ES"/>
        </w:rPr>
      </w:pPr>
      <w:r w:rsidRPr="00487E98">
        <w:rPr>
          <w:rFonts w:ascii="Verdana" w:eastAsia="Calibri" w:hAnsi="Verdana" w:cs="Times New Roman"/>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w:t>
      </w:r>
      <w:r w:rsidRPr="00487E98">
        <w:rPr>
          <w:rFonts w:ascii="Verdana" w:eastAsia="Calibri" w:hAnsi="Verdana" w:cs="Times New Roman"/>
          <w:lang w:val="es-ES"/>
        </w:rPr>
        <w:lastRenderedPageBreak/>
        <w:t>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67358852" w14:textId="77777777" w:rsidR="00B333CB" w:rsidRPr="00487E98" w:rsidRDefault="00B333CB" w:rsidP="00B333CB">
      <w:pPr>
        <w:spacing w:after="0" w:line="256" w:lineRule="auto"/>
        <w:ind w:firstLine="708"/>
        <w:jc w:val="both"/>
        <w:rPr>
          <w:rFonts w:ascii="Verdana" w:eastAsia="Calibri" w:hAnsi="Verdana" w:cs="Times New Roman"/>
          <w:lang w:val="es-ES"/>
        </w:rPr>
      </w:pPr>
      <w:r w:rsidRPr="00487E98">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BBBA735" w14:textId="77777777" w:rsidR="00B333CB" w:rsidRPr="00487E98" w:rsidRDefault="00B333CB" w:rsidP="00B333CB">
      <w:pPr>
        <w:spacing w:after="0" w:line="256" w:lineRule="auto"/>
        <w:rPr>
          <w:rFonts w:ascii="Verdana" w:eastAsia="Calibri" w:hAnsi="Verdana" w:cs="Times New Roman"/>
          <w:lang w:val="es-ES"/>
        </w:rPr>
      </w:pPr>
    </w:p>
    <w:p w14:paraId="390A4192" w14:textId="77777777" w:rsidR="00B333CB" w:rsidRPr="00487E98" w:rsidRDefault="00B333CB" w:rsidP="00B333CB">
      <w:pPr>
        <w:numPr>
          <w:ilvl w:val="0"/>
          <w:numId w:val="16"/>
        </w:numPr>
        <w:spacing w:after="0" w:line="256" w:lineRule="auto"/>
        <w:ind w:left="0" w:firstLine="0"/>
        <w:rPr>
          <w:rFonts w:ascii="Verdana" w:eastAsia="Calibri" w:hAnsi="Verdana" w:cs="Times New Roman"/>
          <w:b/>
          <w:bCs/>
          <w:lang w:val="es-ES"/>
        </w:rPr>
      </w:pPr>
      <w:r w:rsidRPr="00487E98">
        <w:rPr>
          <w:rFonts w:ascii="Verdana" w:eastAsia="Calibri" w:hAnsi="Verdana" w:cs="Times New Roman"/>
          <w:b/>
          <w:bCs/>
          <w:lang w:val="es-ES"/>
        </w:rPr>
        <w:t>Problema planteado:</w:t>
      </w:r>
    </w:p>
    <w:p w14:paraId="5982430C" w14:textId="77777777" w:rsidR="00B333CB" w:rsidRPr="00487E98" w:rsidRDefault="00B333CB" w:rsidP="00B333CB">
      <w:pPr>
        <w:spacing w:after="0" w:line="256" w:lineRule="auto"/>
        <w:rPr>
          <w:rFonts w:ascii="Verdana" w:eastAsia="Calibri" w:hAnsi="Verdana" w:cs="Times New Roman"/>
        </w:rPr>
      </w:pPr>
    </w:p>
    <w:p w14:paraId="7553085C" w14:textId="1947500A" w:rsidR="00B333CB" w:rsidRPr="00487E98" w:rsidRDefault="00B333CB" w:rsidP="00B333CB">
      <w:pPr>
        <w:spacing w:after="0" w:line="256" w:lineRule="auto"/>
        <w:jc w:val="both"/>
        <w:rPr>
          <w:rFonts w:ascii="Verdana" w:eastAsia="Calibri" w:hAnsi="Verdana" w:cs="Times New Roman"/>
        </w:rPr>
      </w:pPr>
      <w:r w:rsidRPr="00487E98">
        <w:rPr>
          <w:rFonts w:ascii="Verdana" w:eastAsia="Calibri" w:hAnsi="Verdana" w:cs="Times New Roman"/>
        </w:rPr>
        <w:t xml:space="preserve">De acuerdo con el contenido de su solicitud, esta Agencia resolverá los siguientes problemas jurídicos: i) ¿es posible liquidar un contrato en el que se ha declarado </w:t>
      </w:r>
      <w:r w:rsidRPr="00F13622">
        <w:rPr>
          <w:rFonts w:ascii="Verdana" w:eastAsia="Calibri" w:hAnsi="Verdana" w:cs="Times New Roman"/>
        </w:rPr>
        <w:t xml:space="preserve">incumplimiento?, y ii) </w:t>
      </w:r>
      <w:r w:rsidR="00F13622" w:rsidRPr="00F13622">
        <w:rPr>
          <w:rFonts w:ascii="Verdana" w:eastAsia="Calibri" w:hAnsi="Verdana" w:cs="Times New Roman"/>
        </w:rPr>
        <w:t>¿qué actividades debe realizar la entidad estatal, luego de haber impuesto una multa?</w:t>
      </w:r>
      <w:r w:rsidR="00F13622">
        <w:rPr>
          <w:rFonts w:ascii="Verdana" w:eastAsia="Calibri" w:hAnsi="Verdana" w:cs="Times New Roman"/>
        </w:rPr>
        <w:t xml:space="preserve"> </w:t>
      </w:r>
    </w:p>
    <w:p w14:paraId="0D74ABEF" w14:textId="77777777" w:rsidR="00B333CB" w:rsidRPr="00487E98" w:rsidRDefault="00B333CB" w:rsidP="00B333CB">
      <w:pPr>
        <w:spacing w:after="0" w:line="256" w:lineRule="auto"/>
        <w:rPr>
          <w:rFonts w:ascii="Verdana" w:eastAsia="Calibri" w:hAnsi="Verdana" w:cs="Times New Roman"/>
        </w:rPr>
      </w:pPr>
    </w:p>
    <w:p w14:paraId="4FF4A2B3" w14:textId="77777777" w:rsidR="00B333CB" w:rsidRPr="00487E98" w:rsidRDefault="00B333CB" w:rsidP="00B333CB">
      <w:pPr>
        <w:numPr>
          <w:ilvl w:val="0"/>
          <w:numId w:val="16"/>
        </w:numPr>
        <w:spacing w:after="0" w:line="256" w:lineRule="auto"/>
        <w:ind w:left="0" w:firstLine="0"/>
        <w:rPr>
          <w:rFonts w:ascii="Verdana" w:eastAsia="Calibri" w:hAnsi="Verdana" w:cs="Times New Roman"/>
          <w:b/>
          <w:bCs/>
          <w:lang w:val="es-ES"/>
        </w:rPr>
      </w:pPr>
      <w:r w:rsidRPr="00487E98">
        <w:rPr>
          <w:rFonts w:ascii="Verdana" w:eastAsia="Calibri" w:hAnsi="Verdana" w:cs="Times New Roman"/>
          <w:b/>
          <w:bCs/>
          <w:lang w:val="es-ES"/>
        </w:rPr>
        <w:t>Respuesta:</w:t>
      </w:r>
    </w:p>
    <w:p w14:paraId="771293AD" w14:textId="77777777" w:rsidR="00B333CB" w:rsidRPr="00487E98" w:rsidRDefault="00B333CB" w:rsidP="00B333CB">
      <w:pPr>
        <w:spacing w:after="0" w:line="256" w:lineRule="auto"/>
        <w:rPr>
          <w:rFonts w:ascii="Verdana" w:eastAsia="Calibri" w:hAnsi="Verdana" w:cs="Times New Roman"/>
          <w:b/>
          <w:bCs/>
          <w:lang w:val="es-ES"/>
        </w:rPr>
      </w:pPr>
    </w:p>
    <w:p w14:paraId="1EB84E35" w14:textId="77777777" w:rsidR="00B333CB" w:rsidRDefault="00B333CB" w:rsidP="00B333CB">
      <w:pPr>
        <w:tabs>
          <w:tab w:val="left" w:pos="567"/>
        </w:tabs>
        <w:spacing w:after="120" w:line="256" w:lineRule="auto"/>
        <w:jc w:val="both"/>
        <w:rPr>
          <w:rFonts w:ascii="Verdana" w:eastAsia="Calibri" w:hAnsi="Verdana" w:cs="Times New Roman"/>
          <w:lang w:val="es-MX"/>
        </w:rPr>
      </w:pPr>
      <w:r w:rsidRPr="00487E98">
        <w:rPr>
          <w:rFonts w:ascii="Verdana" w:eastAsia="Calibri" w:hAnsi="Verdana" w:cs="Times New Roman"/>
          <w:i/>
          <w:iCs/>
          <w:lang w:val="es-ES"/>
        </w:rPr>
        <w:t>En primer lugar,</w:t>
      </w:r>
      <w:r w:rsidRPr="00487E98">
        <w:rPr>
          <w:rFonts w:ascii="Verdana" w:eastAsia="Calibri" w:hAnsi="Verdana" w:cs="Times New Roman"/>
          <w:lang w:val="es-ES"/>
        </w:rPr>
        <w:t xml:space="preserve"> se debe precisar que no existe impedimento para realizar la liquidación de un contrato, en el cual se ha interpuesto incumplimientos o impuesto multas al contratista, de lo cual, se ha de precisar que en la liquidación, las </w:t>
      </w:r>
      <w:r w:rsidRPr="00487E98">
        <w:rPr>
          <w:rFonts w:ascii="Verdana" w:eastAsia="Calibri" w:hAnsi="Verdana" w:cs="Times New Roman"/>
          <w:lang w:val="es-MX"/>
        </w:rPr>
        <w:t>partes podrán determinar si existen prestaciones, obligaciones o derechos a su cargo, realizan un balance de las cuentas y, si es del caso, efectuar las reclamaciones, ajustes y reconocimientos a que haya lugar, y en donde se puede establecer las consideraciones atinentes a las declaratorias de incumplimiento que se hubiesen realizado a lo largo de la relación contractual.</w:t>
      </w:r>
    </w:p>
    <w:p w14:paraId="1F4EF63A" w14:textId="22E0DB7F" w:rsidR="00C21C9F" w:rsidRDefault="00C21C9F" w:rsidP="00B333CB">
      <w:pPr>
        <w:tabs>
          <w:tab w:val="left" w:pos="567"/>
        </w:tabs>
        <w:spacing w:after="120" w:line="256" w:lineRule="auto"/>
        <w:jc w:val="both"/>
        <w:rPr>
          <w:rFonts w:ascii="Verdana" w:eastAsia="Calibri" w:hAnsi="Verdana" w:cs="Times New Roman"/>
          <w:lang w:val="es-MX"/>
        </w:rPr>
      </w:pPr>
      <w:r>
        <w:rPr>
          <w:rFonts w:ascii="Verdana" w:eastAsia="Calibri" w:hAnsi="Verdana" w:cs="Times New Roman"/>
          <w:lang w:val="es-MX"/>
        </w:rPr>
        <w:tab/>
        <w:t xml:space="preserve">En segundo lugar, se debe indicar </w:t>
      </w:r>
      <w:r w:rsidR="00472785">
        <w:rPr>
          <w:rFonts w:ascii="Verdana" w:eastAsia="Calibri" w:hAnsi="Verdana" w:cs="Times New Roman"/>
          <w:lang w:val="es-MX"/>
        </w:rPr>
        <w:t xml:space="preserve">que </w:t>
      </w:r>
      <w:r>
        <w:rPr>
          <w:rFonts w:ascii="Verdana" w:eastAsia="Calibri" w:hAnsi="Verdana" w:cs="Times New Roman"/>
          <w:lang w:val="es-MX"/>
        </w:rPr>
        <w:t xml:space="preserve">dentro del Estatuto general de contratación de la administración </w:t>
      </w:r>
      <w:r w:rsidR="00DB45D2">
        <w:rPr>
          <w:rFonts w:ascii="Verdana" w:eastAsia="Calibri" w:hAnsi="Verdana" w:cs="Times New Roman"/>
          <w:lang w:val="es-MX"/>
        </w:rPr>
        <w:t>pública</w:t>
      </w:r>
      <w:r w:rsidR="00472785">
        <w:rPr>
          <w:rFonts w:ascii="Verdana" w:eastAsia="Calibri" w:hAnsi="Verdana" w:cs="Times New Roman"/>
          <w:lang w:val="es-MX"/>
        </w:rPr>
        <w:t xml:space="preserve"> se establecen </w:t>
      </w:r>
      <w:r w:rsidR="00A71D93">
        <w:rPr>
          <w:rFonts w:ascii="Verdana" w:eastAsia="Calibri" w:hAnsi="Verdana" w:cs="Times New Roman"/>
          <w:lang w:val="es-MX"/>
        </w:rPr>
        <w:t xml:space="preserve">una serie de actividades a cargo de la entidad estatal luego de la imposición de la multa, como la de </w:t>
      </w:r>
      <w:r w:rsidR="001119C3">
        <w:rPr>
          <w:rFonts w:ascii="Verdana" w:eastAsia="Calibri" w:hAnsi="Verdana" w:cs="Times New Roman"/>
          <w:lang w:val="es-MX"/>
        </w:rPr>
        <w:t xml:space="preserve">reportar la multa a la </w:t>
      </w:r>
      <w:r w:rsidR="00DB45D2">
        <w:rPr>
          <w:rFonts w:ascii="Verdana" w:eastAsia="Calibri" w:hAnsi="Verdana" w:cs="Times New Roman"/>
          <w:lang w:val="es-MX"/>
        </w:rPr>
        <w:t>Cámara</w:t>
      </w:r>
      <w:r w:rsidR="001119C3">
        <w:rPr>
          <w:rFonts w:ascii="Verdana" w:eastAsia="Calibri" w:hAnsi="Verdana" w:cs="Times New Roman"/>
          <w:lang w:val="es-MX"/>
        </w:rPr>
        <w:t xml:space="preserve"> de Comercio para </w:t>
      </w:r>
      <w:r w:rsidR="00862D2B">
        <w:rPr>
          <w:rFonts w:ascii="Verdana" w:eastAsia="Calibri" w:hAnsi="Verdana" w:cs="Times New Roman"/>
          <w:lang w:val="es-MX"/>
        </w:rPr>
        <w:t>el respectivo registro en el RUP</w:t>
      </w:r>
      <w:r w:rsidR="00950AF8">
        <w:rPr>
          <w:rFonts w:ascii="Verdana" w:eastAsia="Calibri" w:hAnsi="Verdana" w:cs="Times New Roman"/>
          <w:lang w:val="es-MX"/>
        </w:rPr>
        <w:t xml:space="preserve"> y </w:t>
      </w:r>
      <w:r w:rsidR="00DB45D2">
        <w:rPr>
          <w:rFonts w:ascii="Verdana" w:eastAsia="Calibri" w:hAnsi="Verdana" w:cs="Times New Roman"/>
          <w:lang w:val="es-MX"/>
        </w:rPr>
        <w:t>la</w:t>
      </w:r>
      <w:r w:rsidR="00381031">
        <w:rPr>
          <w:rFonts w:ascii="Verdana" w:eastAsia="Calibri" w:hAnsi="Verdana" w:cs="Times New Roman"/>
          <w:lang w:val="es-MX"/>
        </w:rPr>
        <w:t xml:space="preserve"> respectiva</w:t>
      </w:r>
      <w:r w:rsidR="00DB45D2">
        <w:rPr>
          <w:rFonts w:ascii="Verdana" w:eastAsia="Calibri" w:hAnsi="Verdana" w:cs="Times New Roman"/>
          <w:lang w:val="es-MX"/>
        </w:rPr>
        <w:t xml:space="preserve"> comunicación a la Procuraduría General de la Nació</w:t>
      </w:r>
      <w:r w:rsidR="00381031">
        <w:rPr>
          <w:rFonts w:ascii="Verdana" w:eastAsia="Calibri" w:hAnsi="Verdana" w:cs="Times New Roman"/>
          <w:lang w:val="es-MX"/>
        </w:rPr>
        <w:t xml:space="preserve">n. </w:t>
      </w:r>
    </w:p>
    <w:p w14:paraId="03BEE594" w14:textId="6C929D9D" w:rsidR="00C21C9F" w:rsidRPr="00487E98" w:rsidRDefault="00BB1930" w:rsidP="00B333CB">
      <w:pPr>
        <w:tabs>
          <w:tab w:val="left" w:pos="567"/>
        </w:tabs>
        <w:spacing w:after="120" w:line="256" w:lineRule="auto"/>
        <w:jc w:val="both"/>
        <w:rPr>
          <w:rFonts w:ascii="Verdana" w:eastAsia="Calibri" w:hAnsi="Verdana" w:cs="Times New Roman"/>
          <w:lang w:val="es-MX"/>
        </w:rPr>
      </w:pPr>
      <w:r>
        <w:rPr>
          <w:rFonts w:ascii="Verdana" w:eastAsia="Calibri" w:hAnsi="Verdana" w:cs="Times New Roman"/>
          <w:lang w:val="es-MX"/>
        </w:rPr>
        <w:t xml:space="preserve">A su vez, el parágrafo del artículo 17 de la Ley 1150 de 2007, establece </w:t>
      </w:r>
      <w:r w:rsidR="009B4D35">
        <w:rPr>
          <w:rFonts w:ascii="Verdana" w:eastAsia="Calibri" w:hAnsi="Verdana" w:cs="Times New Roman"/>
          <w:lang w:val="es-MX"/>
        </w:rPr>
        <w:t>los mecanismos que tiene la entidad estatal, para hacer</w:t>
      </w:r>
      <w:r w:rsidR="00E72289" w:rsidRPr="00E72289">
        <w:rPr>
          <w:rFonts w:ascii="Verdana" w:eastAsia="Calibri" w:hAnsi="Verdana" w:cs="Times New Roman"/>
          <w:lang w:val="es-MX"/>
        </w:rPr>
        <w:t xml:space="preserve"> efectivas</w:t>
      </w:r>
      <w:r w:rsidR="002A148B">
        <w:rPr>
          <w:rFonts w:ascii="Verdana" w:eastAsia="Calibri" w:hAnsi="Verdana" w:cs="Times New Roman"/>
          <w:lang w:val="es-MX"/>
        </w:rPr>
        <w:t xml:space="preserve"> las multas,</w:t>
      </w:r>
      <w:r w:rsidR="00E72289" w:rsidRPr="00E72289">
        <w:rPr>
          <w:rFonts w:ascii="Verdana" w:eastAsia="Calibri" w:hAnsi="Verdana" w:cs="Times New Roman"/>
          <w:lang w:val="es-MX"/>
        </w:rPr>
        <w:t xml:space="preserve"> pudiendo acudir para el efecto entre otros a los mecanismos de compensación de las sumas adeudadas al contratista, cobro de la garantía, o a cualquier otro medio para obtener el pago, incluyendo el de la jurisdicción coactiva</w:t>
      </w:r>
      <w:r w:rsidR="00BF6260">
        <w:rPr>
          <w:rFonts w:ascii="Verdana" w:eastAsia="Calibri" w:hAnsi="Verdana" w:cs="Times New Roman"/>
          <w:lang w:val="es-MX"/>
        </w:rPr>
        <w:t xml:space="preserve"> a fin de </w:t>
      </w:r>
      <w:r w:rsidR="00BF6260">
        <w:rPr>
          <w:rFonts w:ascii="Verdana" w:eastAsia="Calibri" w:hAnsi="Verdana" w:cs="Times New Roman"/>
          <w:lang w:val="es-MX"/>
        </w:rPr>
        <w:lastRenderedPageBreak/>
        <w:t xml:space="preserve">materializar la sanción establecida en el acto administrativo que </w:t>
      </w:r>
      <w:r w:rsidR="00553A9B">
        <w:rPr>
          <w:rFonts w:ascii="Verdana" w:eastAsia="Calibri" w:hAnsi="Verdana" w:cs="Times New Roman"/>
          <w:lang w:val="es-MX"/>
        </w:rPr>
        <w:t>culmine el procedimiento adelantado por parte de la entidad a la luz de lo establecido en el artículo 86 de la Ley 1474 de 2011.</w:t>
      </w:r>
    </w:p>
    <w:p w14:paraId="67DDC07A" w14:textId="0870ECC2" w:rsidR="00B333CB" w:rsidRPr="00487E98" w:rsidRDefault="00B333CB" w:rsidP="00B333CB">
      <w:pPr>
        <w:tabs>
          <w:tab w:val="left" w:pos="567"/>
        </w:tabs>
        <w:spacing w:after="0" w:line="256" w:lineRule="auto"/>
        <w:jc w:val="both"/>
        <w:rPr>
          <w:rFonts w:ascii="Verdana" w:eastAsia="Calibri" w:hAnsi="Verdana" w:cs="Times New Roman"/>
          <w:lang w:val="es-ES"/>
        </w:rPr>
      </w:pPr>
      <w:r w:rsidRPr="00487E98">
        <w:rPr>
          <w:rFonts w:ascii="Verdana" w:eastAsia="Calibri" w:hAnsi="Verdana" w:cs="Times New Roman"/>
          <w:lang w:val="es-MX"/>
        </w:rPr>
        <w:tab/>
      </w:r>
    </w:p>
    <w:p w14:paraId="412E01EE" w14:textId="6F37743D" w:rsidR="00B333CB" w:rsidRPr="00487E98" w:rsidRDefault="00B333CB" w:rsidP="00B333CB">
      <w:pPr>
        <w:tabs>
          <w:tab w:val="left" w:pos="567"/>
        </w:tabs>
        <w:spacing w:after="0" w:line="256" w:lineRule="auto"/>
        <w:jc w:val="both"/>
        <w:rPr>
          <w:rFonts w:ascii="Verdana" w:eastAsia="Calibri" w:hAnsi="Verdana" w:cs="Times New Roman"/>
          <w:b/>
          <w:bCs/>
          <w:lang w:val="es-ES"/>
        </w:rPr>
      </w:pPr>
      <w:r w:rsidRPr="00487E98">
        <w:rPr>
          <w:rFonts w:ascii="Verdana" w:eastAsia="Calibri" w:hAnsi="Verdana" w:cs="Times New Roman"/>
          <w:b/>
          <w:bCs/>
          <w:lang w:val="es-ES"/>
        </w:rPr>
        <w:t>Razones de la respuesta:</w:t>
      </w:r>
    </w:p>
    <w:p w14:paraId="1D0CD9BC" w14:textId="77777777" w:rsidR="00B333CB" w:rsidRPr="00487E98" w:rsidRDefault="00B333CB" w:rsidP="00B333CB">
      <w:pPr>
        <w:spacing w:after="0" w:line="256" w:lineRule="auto"/>
        <w:rPr>
          <w:rFonts w:ascii="Verdana" w:eastAsia="Calibri" w:hAnsi="Verdana" w:cs="Times New Roman"/>
          <w:b/>
          <w:bCs/>
          <w:lang w:val="es-ES"/>
        </w:rPr>
      </w:pPr>
    </w:p>
    <w:p w14:paraId="1109C5B6" w14:textId="77777777" w:rsidR="00B333CB" w:rsidRPr="00487E98" w:rsidRDefault="00B333CB" w:rsidP="00B333CB">
      <w:pPr>
        <w:spacing w:after="0" w:line="256" w:lineRule="auto"/>
        <w:rPr>
          <w:rFonts w:ascii="Verdana" w:eastAsia="Calibri" w:hAnsi="Verdana" w:cs="Times New Roman"/>
          <w:lang w:val="es-ES"/>
        </w:rPr>
      </w:pPr>
      <w:r w:rsidRPr="00487E98">
        <w:rPr>
          <w:rFonts w:ascii="Verdana" w:eastAsia="Calibri" w:hAnsi="Verdana" w:cs="Times New Roman"/>
          <w:lang w:val="es-ES"/>
        </w:rPr>
        <w:t>Lo anterior se sustenta en las siguientes consideraciones:</w:t>
      </w:r>
    </w:p>
    <w:p w14:paraId="3EF28460" w14:textId="77777777" w:rsidR="00B333CB" w:rsidRPr="00487E98" w:rsidRDefault="00B333CB" w:rsidP="00B333CB">
      <w:pPr>
        <w:spacing w:after="0" w:line="256" w:lineRule="auto"/>
        <w:rPr>
          <w:rFonts w:ascii="Verdana" w:eastAsia="Calibri" w:hAnsi="Verdana" w:cs="Times New Roman"/>
          <w:lang w:val="es-ES"/>
        </w:rPr>
      </w:pPr>
    </w:p>
    <w:p w14:paraId="78CD259F" w14:textId="77777777" w:rsidR="00B333CB" w:rsidRPr="00487E98" w:rsidRDefault="00B333CB" w:rsidP="00B333CB">
      <w:pPr>
        <w:spacing w:after="0" w:line="256" w:lineRule="auto"/>
        <w:jc w:val="both"/>
        <w:rPr>
          <w:rFonts w:ascii="Verdana" w:eastAsia="Calibri" w:hAnsi="Verdana" w:cs="Times New Roman"/>
          <w:lang w:val="es-ES_tradnl"/>
        </w:rPr>
      </w:pPr>
      <w:r w:rsidRPr="00487E98">
        <w:rPr>
          <w:rFonts w:ascii="Verdana" w:eastAsia="Calibri" w:hAnsi="Verdana" w:cs="Times New Roman"/>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7129414A" w14:textId="77777777" w:rsidR="00B333CB" w:rsidRPr="00487E98" w:rsidRDefault="00B333CB" w:rsidP="00B333CB">
      <w:pPr>
        <w:spacing w:after="0" w:line="256" w:lineRule="auto"/>
        <w:jc w:val="both"/>
        <w:rPr>
          <w:rFonts w:ascii="Verdana" w:eastAsia="Calibri" w:hAnsi="Verdana" w:cs="Times New Roman"/>
        </w:rPr>
      </w:pPr>
    </w:p>
    <w:p w14:paraId="56BAAFE3" w14:textId="5495DBE1" w:rsidR="00B333CB" w:rsidRPr="00487E98" w:rsidRDefault="00B333CB" w:rsidP="00B333CB">
      <w:pPr>
        <w:spacing w:after="0" w:line="240" w:lineRule="auto"/>
        <w:ind w:left="567" w:right="900"/>
        <w:jc w:val="both"/>
        <w:rPr>
          <w:rFonts w:ascii="Verdana" w:eastAsia="Calibri" w:hAnsi="Verdana" w:cs="Times New Roman"/>
          <w:sz w:val="20"/>
          <w:szCs w:val="20"/>
        </w:rPr>
      </w:pPr>
      <w:r w:rsidRPr="00487E98">
        <w:rPr>
          <w:rFonts w:ascii="Verdana" w:eastAsia="Calibri" w:hAnsi="Verdana" w:cs="Times New Roman"/>
          <w:sz w:val="20"/>
          <w:szCs w:val="20"/>
        </w:rPr>
        <w:t xml:space="preserve">“La ley 80 de 1993 </w:t>
      </w:r>
      <w:r w:rsidR="00F33291">
        <w:rPr>
          <w:rFonts w:ascii="Verdana" w:eastAsia="Calibri" w:hAnsi="Verdana" w:cs="Times New Roman"/>
          <w:sz w:val="20"/>
          <w:szCs w:val="20"/>
        </w:rPr>
        <w:t>(</w:t>
      </w:r>
      <w:r w:rsidRPr="00487E98">
        <w:rPr>
          <w:rFonts w:ascii="Verdana" w:eastAsia="Calibri" w:hAnsi="Verdana" w:cs="Times New Roman"/>
          <w:sz w:val="20"/>
          <w:szCs w:val="20"/>
        </w:rPr>
        <w:t>…</w:t>
      </w:r>
      <w:r w:rsidR="00F33291">
        <w:rPr>
          <w:rFonts w:ascii="Verdana" w:eastAsia="Calibri" w:hAnsi="Verdana" w:cs="Times New Roman"/>
          <w:sz w:val="20"/>
          <w:szCs w:val="20"/>
        </w:rPr>
        <w:t>)</w:t>
      </w:r>
      <w:r w:rsidRPr="00487E98">
        <w:rPr>
          <w:rFonts w:ascii="Verdana" w:eastAsia="Calibri" w:hAnsi="Verdana" w:cs="Times New Roman"/>
          <w:sz w:val="20"/>
          <w:szCs w:val="20"/>
        </w:rPr>
        <w:t xml:space="preserve">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487E98">
        <w:rPr>
          <w:rFonts w:ascii="Verdana" w:eastAsia="Calibri" w:hAnsi="Verdana" w:cs="Times New Roman"/>
          <w:sz w:val="20"/>
          <w:szCs w:val="20"/>
          <w:vertAlign w:val="superscript"/>
        </w:rPr>
        <w:footnoteReference w:id="1"/>
      </w:r>
      <w:r w:rsidRPr="00487E98">
        <w:rPr>
          <w:rFonts w:ascii="Verdana" w:eastAsia="Calibri" w:hAnsi="Verdana" w:cs="Times New Roman"/>
          <w:sz w:val="20"/>
          <w:szCs w:val="20"/>
        </w:rPr>
        <w:t>.”</w:t>
      </w:r>
    </w:p>
    <w:p w14:paraId="52FA88FB" w14:textId="77777777" w:rsidR="00B333CB" w:rsidRPr="00487E98" w:rsidRDefault="00B333CB" w:rsidP="00B333CB">
      <w:pPr>
        <w:spacing w:after="0" w:line="256" w:lineRule="auto"/>
        <w:jc w:val="both"/>
        <w:rPr>
          <w:rFonts w:ascii="Verdana" w:eastAsia="Calibri" w:hAnsi="Verdana" w:cs="Times New Roman"/>
        </w:rPr>
      </w:pPr>
    </w:p>
    <w:p w14:paraId="7065E623" w14:textId="77777777" w:rsidR="00B333CB" w:rsidRPr="00487E98" w:rsidRDefault="00B333CB" w:rsidP="00B333CB">
      <w:pPr>
        <w:spacing w:after="120" w:line="256" w:lineRule="auto"/>
        <w:ind w:firstLine="567"/>
        <w:jc w:val="both"/>
        <w:rPr>
          <w:rFonts w:ascii="Verdana" w:eastAsia="Calibri" w:hAnsi="Verdana" w:cs="Times New Roman"/>
        </w:rPr>
      </w:pPr>
      <w:r w:rsidRPr="00487E98">
        <w:rPr>
          <w:rFonts w:ascii="Verdana" w:eastAsia="Calibri" w:hAnsi="Verdana" w:cs="Times New Roman"/>
        </w:rPr>
        <w:t>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487E98">
        <w:rPr>
          <w:rFonts w:ascii="Verdana" w:eastAsia="Calibri" w:hAnsi="Verdana" w:cs="Times New Roman"/>
          <w:vertAlign w:val="superscript"/>
        </w:rPr>
        <w:footnoteReference w:id="2"/>
      </w:r>
      <w:r w:rsidRPr="00487E98">
        <w:rPr>
          <w:rFonts w:ascii="Verdana" w:eastAsia="Calibri" w:hAnsi="Verdana" w:cs="Times New Roman"/>
        </w:rPr>
        <w:t xml:space="preserve">, así como la probabilidad de que puedan surgir diferencias durante la ejecución del contrato; sin perjuicio de que, como se indicó, todos los contratos estatales de tracto sucesivo o aquellos cuya ejecución se prolongue en el tiempo siempre </w:t>
      </w:r>
      <w:r w:rsidRPr="00487E98">
        <w:rPr>
          <w:rFonts w:ascii="Verdana" w:eastAsia="Calibri" w:hAnsi="Verdana" w:cs="Times New Roman"/>
        </w:rPr>
        <w:lastRenderedPageBreak/>
        <w:t>deban liquidarse, convirtiéndose en estos contratos en una cláusula de la naturaleza, conforme a la clasificación prevista en el Código Civil.</w:t>
      </w:r>
    </w:p>
    <w:p w14:paraId="103ACE92" w14:textId="77777777" w:rsidR="00B333CB" w:rsidRPr="00487E98" w:rsidRDefault="00B333CB" w:rsidP="00B333CB">
      <w:pPr>
        <w:spacing w:after="120" w:line="256" w:lineRule="auto"/>
        <w:ind w:firstLine="567"/>
        <w:jc w:val="both"/>
        <w:rPr>
          <w:rFonts w:ascii="Verdana" w:eastAsia="Calibri" w:hAnsi="Verdana" w:cs="Times New Roman"/>
        </w:rPr>
      </w:pPr>
      <w:r w:rsidRPr="00487E98">
        <w:rPr>
          <w:rFonts w:ascii="Verdana" w:eastAsia="Calibri" w:hAnsi="Verdana" w:cs="Times New Roman"/>
        </w:rPr>
        <w:t>El artículo 11 de la Ley 1150 de 2007</w:t>
      </w:r>
      <w:r w:rsidRPr="00487E98">
        <w:rPr>
          <w:rFonts w:ascii="Verdana" w:eastAsia="Calibri" w:hAnsi="Verdana" w:cs="Times New Roman"/>
          <w:vertAlign w:val="superscript"/>
        </w:rPr>
        <w:footnoteReference w:id="3"/>
      </w:r>
      <w:r w:rsidRPr="00487E98">
        <w:rPr>
          <w:rFonts w:ascii="Verdana" w:eastAsia="Calibri" w:hAnsi="Verdana" w:cs="Times New Roman"/>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 </w:t>
      </w:r>
    </w:p>
    <w:p w14:paraId="3B136246" w14:textId="77777777" w:rsidR="00B333CB" w:rsidRPr="00487E98" w:rsidRDefault="00B333CB" w:rsidP="00B333CB">
      <w:pPr>
        <w:spacing w:after="0" w:line="256" w:lineRule="auto"/>
        <w:ind w:firstLine="567"/>
        <w:jc w:val="both"/>
        <w:rPr>
          <w:rFonts w:ascii="Verdana" w:eastAsia="Calibri" w:hAnsi="Verdana" w:cs="Times New Roman"/>
          <w:lang w:val="es-MX"/>
        </w:rPr>
      </w:pPr>
      <w:r w:rsidRPr="00487E98">
        <w:rPr>
          <w:rFonts w:ascii="Verdana" w:eastAsia="Calibri" w:hAnsi="Verdana" w:cs="Times New Roman"/>
        </w:rPr>
        <w:t>El mismo artículo 11 de la Ley 1150 de 2007 señala que la liquidación de mutuo acuerdo deberá realizar dentro del plazo previsto en “los pliegos de condiciones o sus equivalentes</w:t>
      </w:r>
      <w:r w:rsidRPr="00487E98">
        <w:rPr>
          <w:rFonts w:ascii="Verdana" w:eastAsia="Calibri" w:hAnsi="Verdana" w:cs="Times New Roman"/>
          <w:lang w:val="es-MX"/>
        </w:rPr>
        <w:t xml:space="preserve">, o dentro del que acuerden las partes para el efecto”. </w:t>
      </w:r>
    </w:p>
    <w:p w14:paraId="71ADE9D9" w14:textId="77777777" w:rsidR="00B333CB" w:rsidRPr="00487E98" w:rsidRDefault="00B333CB" w:rsidP="00B333CB">
      <w:pPr>
        <w:spacing w:after="0" w:line="256" w:lineRule="auto"/>
        <w:ind w:firstLine="567"/>
        <w:jc w:val="both"/>
        <w:rPr>
          <w:rFonts w:ascii="Verdana" w:eastAsia="Calibri" w:hAnsi="Verdana" w:cs="Times New Roman"/>
          <w:lang w:val="es-MX"/>
        </w:rPr>
      </w:pPr>
      <w:r w:rsidRPr="00487E98">
        <w:rPr>
          <w:rFonts w:ascii="Verdana" w:eastAsia="Calibri" w:hAnsi="Verdana" w:cs="Times New Roman"/>
        </w:rPr>
        <w:t>Como lo ha precisado, la jurisprudencia de la Sección Tercera del Consejo de Estado, en torno a la liquidación bilateral por fuera del plazo para la interposición del medio de control de controversias contractuales, lo siguiente:</w:t>
      </w:r>
    </w:p>
    <w:p w14:paraId="37F1228B" w14:textId="77777777" w:rsidR="00B333CB" w:rsidRPr="00487E98" w:rsidRDefault="00B333CB" w:rsidP="00B333CB">
      <w:pPr>
        <w:spacing w:after="0" w:line="256" w:lineRule="auto"/>
        <w:jc w:val="both"/>
        <w:rPr>
          <w:rFonts w:ascii="Verdana" w:eastAsia="Calibri" w:hAnsi="Verdana" w:cs="Times New Roman"/>
          <w:lang w:val="es-ES"/>
        </w:rPr>
      </w:pPr>
    </w:p>
    <w:p w14:paraId="38C6F9F3" w14:textId="77777777" w:rsidR="00B333CB" w:rsidRPr="00487E98" w:rsidRDefault="00B333CB" w:rsidP="00B333CB">
      <w:pPr>
        <w:spacing w:after="0" w:line="240" w:lineRule="auto"/>
        <w:ind w:left="851" w:right="1183"/>
        <w:jc w:val="both"/>
        <w:rPr>
          <w:rFonts w:ascii="Verdana" w:eastAsia="Calibri" w:hAnsi="Verdana" w:cs="Times New Roman"/>
          <w:sz w:val="20"/>
          <w:szCs w:val="20"/>
          <w:lang w:val="es-ES"/>
        </w:rPr>
      </w:pPr>
      <w:r w:rsidRPr="00487E98">
        <w:rPr>
          <w:rFonts w:ascii="Verdana" w:eastAsia="Calibri" w:hAnsi="Verdana" w:cs="Times New Roman"/>
          <w:sz w:val="20"/>
          <w:szCs w:val="20"/>
          <w:lang w:val="es-ES"/>
        </w:rPr>
        <w:t xml:space="preserve">"Si las partes suscriben la liquidación bilateral del contrato cuando expiró el término de caducidad del medio de control de controversias contractuales, el negocio jurídico queda viciado de nulidad absoluta, por falta de competencia de la entidad, pues este elemento del acto jurídico no es requisito exclusivo de los actos administrativos, sino que se exige para cualquier actuación de las autoridades públicas, de conformidad con los artículos 6 y 121 de la Constitución Política. En tal supuesto, la liquidación bilateral extemporánea también se encuentra viciada de nulidad, por objeto ilícito del negocio, por contrariar la competencia temporal prevista en el artículo 11 de la Ley 1150 de 2007 y por desconocimiento de las normas de orden público que establecen el término de caducidad del medio de control de controversias contractuales (art. 164, Ley 1437 de 2011), pues </w:t>
      </w:r>
      <w:r w:rsidRPr="00487E98">
        <w:rPr>
          <w:rFonts w:ascii="Verdana" w:eastAsia="Calibri" w:hAnsi="Verdana" w:cs="Times New Roman"/>
          <w:sz w:val="20"/>
          <w:szCs w:val="20"/>
          <w:lang w:val="es-ES"/>
        </w:rPr>
        <w:lastRenderedPageBreak/>
        <w:t>la liquidación por fuera de estos plazos implicaría revivir el cómputo de la caducidad."</w:t>
      </w:r>
    </w:p>
    <w:p w14:paraId="446FB5BF" w14:textId="77777777" w:rsidR="00B333CB" w:rsidRPr="00487E98" w:rsidRDefault="00B333CB" w:rsidP="00B333CB">
      <w:pPr>
        <w:spacing w:after="0" w:line="256" w:lineRule="auto"/>
        <w:ind w:firstLine="708"/>
        <w:jc w:val="both"/>
        <w:rPr>
          <w:rFonts w:ascii="Verdana" w:eastAsia="Calibri" w:hAnsi="Verdana" w:cs="Times New Roman"/>
        </w:rPr>
      </w:pPr>
    </w:p>
    <w:p w14:paraId="0C9C2B65" w14:textId="77777777" w:rsidR="00B333CB" w:rsidRPr="00487E98" w:rsidRDefault="00B333CB" w:rsidP="00B333CB">
      <w:pPr>
        <w:spacing w:after="0" w:line="256" w:lineRule="auto"/>
        <w:ind w:firstLine="708"/>
        <w:jc w:val="both"/>
        <w:rPr>
          <w:rFonts w:ascii="Verdana" w:eastAsia="Calibri" w:hAnsi="Verdana" w:cs="Times New Roman"/>
          <w:lang w:val="es-MX"/>
        </w:rPr>
      </w:pPr>
      <w:r w:rsidRPr="00487E98">
        <w:rPr>
          <w:rFonts w:ascii="Verdana" w:eastAsia="Calibri" w:hAnsi="Verdana" w:cs="Times New Roman"/>
        </w:rPr>
        <w:t xml:space="preserve">Ahora bien, de manera particular se debe precisar que el documento de liquidación, en caso de hacerse de común acuerdo entre las partes, es decir de manera </w:t>
      </w:r>
      <w:r w:rsidRPr="00487E98">
        <w:rPr>
          <w:rFonts w:ascii="Verdana" w:eastAsia="Calibri" w:hAnsi="Verdana" w:cs="Times New Roman"/>
          <w:i/>
          <w:iCs/>
        </w:rPr>
        <w:t>bilateral</w:t>
      </w:r>
      <w:r w:rsidRPr="00487E98">
        <w:rPr>
          <w:rFonts w:ascii="Verdana" w:eastAsia="Calibri" w:hAnsi="Verdana" w:cs="Times New Roman"/>
        </w:rPr>
        <w:t xml:space="preserve">, ha </w:t>
      </w:r>
      <w:r w:rsidRPr="00487E98">
        <w:rPr>
          <w:rFonts w:ascii="Verdana" w:eastAsia="Calibri" w:hAnsi="Verdana" w:cs="Times New Roman"/>
          <w:lang w:val="es-MX"/>
        </w:rPr>
        <w:t>sido entendida por parte del Consejo de Estado, como una actuación posterior a la terminación normal o anormal, que supone un acuerdo de voluntades que finiquita la relación negocial</w:t>
      </w:r>
      <w:r w:rsidRPr="00487E98">
        <w:rPr>
          <w:rFonts w:ascii="Verdana" w:eastAsia="Calibri" w:hAnsi="Verdana" w:cs="Times New Roman"/>
          <w:vertAlign w:val="superscript"/>
          <w:lang w:val="es-MX"/>
        </w:rPr>
        <w:footnoteReference w:id="4"/>
      </w:r>
      <w:r w:rsidRPr="00487E98">
        <w:rPr>
          <w:rFonts w:ascii="Verdana" w:eastAsia="Calibri" w:hAnsi="Verdana" w:cs="Times New Roman"/>
          <w:lang w:val="es-MX"/>
        </w:rPr>
        <w:t xml:space="preserve">, en virtud del cual las partes determinan si existen prestaciones, obligaciones o derechos a su cargo, realizan un balance de las cuentas y, si es del caso, efectúan las reclamaciones, ajustes y reconocimientos a que haya lugar, y en donde se puede establecer las consideraciones atinentes a las declaratorias de incumplimiento que se hubiesen realizado a lo largo de la relación contractual.  </w:t>
      </w:r>
    </w:p>
    <w:p w14:paraId="5E396E59" w14:textId="77777777" w:rsidR="00B333CB" w:rsidRPr="00487E98" w:rsidRDefault="00B333CB" w:rsidP="00B333CB">
      <w:pPr>
        <w:spacing w:after="0" w:line="256" w:lineRule="auto"/>
        <w:ind w:firstLine="708"/>
        <w:jc w:val="both"/>
        <w:rPr>
          <w:rFonts w:ascii="Verdana" w:eastAsia="Calibri" w:hAnsi="Verdana" w:cs="Times New Roman"/>
          <w:lang w:val="es-MX"/>
        </w:rPr>
      </w:pPr>
    </w:p>
    <w:p w14:paraId="5C4B300F" w14:textId="77777777" w:rsidR="00B333CB" w:rsidRPr="00487E98" w:rsidRDefault="00B333CB" w:rsidP="00B333CB">
      <w:pPr>
        <w:spacing w:after="0" w:line="256" w:lineRule="auto"/>
        <w:ind w:firstLine="708"/>
        <w:jc w:val="both"/>
        <w:rPr>
          <w:rFonts w:ascii="Verdana" w:eastAsia="Calibri" w:hAnsi="Verdana" w:cs="Times New Roman"/>
          <w:lang w:val="es-MX"/>
        </w:rPr>
      </w:pPr>
      <w:r w:rsidRPr="00487E98">
        <w:rPr>
          <w:rFonts w:ascii="Verdana" w:eastAsia="Calibri" w:hAnsi="Verdana" w:cs="Times New Roman"/>
          <w:lang w:val="es-MX"/>
        </w:rPr>
        <w:t>Pues bien, la liquidación que surge del acuerdo entre las partes adquiere la característica de un negocio jurídico y, como tal, resulta vinculante para las partes, de tal suerte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r w:rsidRPr="00487E98">
        <w:rPr>
          <w:rFonts w:ascii="Verdana" w:eastAsia="Calibri" w:hAnsi="Verdana" w:cs="Times New Roman"/>
          <w:vertAlign w:val="superscript"/>
          <w:lang w:val="es-MX"/>
        </w:rPr>
        <w:footnoteReference w:id="5"/>
      </w:r>
    </w:p>
    <w:p w14:paraId="4B7FA696" w14:textId="77777777" w:rsidR="00B333CB" w:rsidRPr="00487E98" w:rsidRDefault="00B333CB" w:rsidP="00B333CB">
      <w:pPr>
        <w:spacing w:after="0" w:line="256" w:lineRule="auto"/>
        <w:jc w:val="both"/>
        <w:rPr>
          <w:rFonts w:ascii="Verdana" w:eastAsia="Calibri" w:hAnsi="Verdana" w:cs="Times New Roman"/>
          <w:lang w:val="es-MX"/>
        </w:rPr>
      </w:pPr>
    </w:p>
    <w:p w14:paraId="3F07B095" w14:textId="31CED1D1" w:rsidR="002E515E" w:rsidRPr="00487E98" w:rsidRDefault="00013C51" w:rsidP="002E515E">
      <w:pPr>
        <w:spacing w:after="120" w:line="276" w:lineRule="auto"/>
        <w:jc w:val="both"/>
        <w:rPr>
          <w:rFonts w:ascii="Verdana" w:eastAsia="Calibri" w:hAnsi="Verdana" w:cs="Arial"/>
          <w:lang w:val="es-MX"/>
        </w:rPr>
      </w:pPr>
      <w:r w:rsidRPr="00487E98">
        <w:rPr>
          <w:rFonts w:ascii="Verdana" w:eastAsia="Calibri" w:hAnsi="Verdana" w:cs="Times New Roman"/>
          <w:lang w:val="es-MX"/>
        </w:rPr>
        <w:tab/>
      </w:r>
      <w:r w:rsidR="002E515E" w:rsidRPr="00487E98">
        <w:rPr>
          <w:rFonts w:ascii="Verdana" w:eastAsia="Calibri" w:hAnsi="Verdana" w:cs="Times New Roman"/>
          <w:lang w:val="es-MX"/>
        </w:rPr>
        <w:t xml:space="preserve">Respecto a las actividades a cargo de la entidad </w:t>
      </w:r>
      <w:r w:rsidR="00380B16" w:rsidRPr="00487E98">
        <w:rPr>
          <w:rFonts w:ascii="Verdana" w:eastAsia="Calibri" w:hAnsi="Verdana" w:cs="Times New Roman"/>
          <w:lang w:val="es-MX"/>
        </w:rPr>
        <w:t xml:space="preserve">después de la imposición de una multa o cualquier otro tipo de sanción dentro de un contrato, </w:t>
      </w:r>
      <w:r w:rsidR="00C6682D" w:rsidRPr="00487E98">
        <w:rPr>
          <w:rFonts w:ascii="Verdana" w:eastAsia="Calibri" w:hAnsi="Verdana" w:cs="Times New Roman"/>
          <w:lang w:val="es-MX"/>
        </w:rPr>
        <w:t xml:space="preserve">es preciso advertir la obligación consagrada en el </w:t>
      </w:r>
      <w:r w:rsidR="00A168D5" w:rsidRPr="00487E98">
        <w:rPr>
          <w:rFonts w:ascii="Verdana" w:eastAsia="Calibri" w:hAnsi="Verdana" w:cs="Arial"/>
          <w:lang w:val="es-MX"/>
        </w:rPr>
        <w:t>numeral</w:t>
      </w:r>
      <w:r w:rsidR="002E515E" w:rsidRPr="00487E98">
        <w:rPr>
          <w:rFonts w:ascii="Verdana" w:eastAsia="Calibri" w:hAnsi="Verdana" w:cs="Arial"/>
          <w:lang w:val="es-MX"/>
        </w:rPr>
        <w:t xml:space="preserve"> 6.2 </w:t>
      </w:r>
      <w:r w:rsidR="002162D9" w:rsidRPr="00487E98">
        <w:rPr>
          <w:rFonts w:ascii="Verdana" w:eastAsia="Calibri" w:hAnsi="Verdana" w:cs="Arial"/>
          <w:lang w:val="es-MX"/>
        </w:rPr>
        <w:t xml:space="preserve">del artículo 6 </w:t>
      </w:r>
      <w:r w:rsidR="002E515E" w:rsidRPr="00487E98">
        <w:rPr>
          <w:rFonts w:ascii="Verdana" w:eastAsia="Calibri" w:hAnsi="Verdana" w:cs="Arial"/>
          <w:lang w:val="es-MX"/>
        </w:rPr>
        <w:t>de la Ley 1150 de 2007</w:t>
      </w:r>
      <w:r w:rsidR="002162D9" w:rsidRPr="00487E98">
        <w:rPr>
          <w:rFonts w:ascii="Verdana" w:eastAsia="Calibri" w:hAnsi="Verdana" w:cs="Arial"/>
          <w:lang w:val="es-MX"/>
        </w:rPr>
        <w:t>, de</w:t>
      </w:r>
      <w:r w:rsidR="002E515E" w:rsidRPr="00487E98">
        <w:rPr>
          <w:rFonts w:ascii="Verdana" w:eastAsia="Calibri" w:hAnsi="Verdana" w:cs="Arial"/>
          <w:lang w:val="es-MX"/>
        </w:rPr>
        <w:t xml:space="preserve"> reportar a la Cámara de Comercio la información sobre contratos, multas y sanciones</w:t>
      </w:r>
      <w:r w:rsidR="002E515E" w:rsidRPr="00487E98">
        <w:rPr>
          <w:rFonts w:ascii="Verdana" w:eastAsia="Calibri" w:hAnsi="Verdana" w:cs="Arial"/>
          <w:vertAlign w:val="superscript"/>
          <w:lang w:val="es-MX"/>
        </w:rPr>
        <w:footnoteReference w:id="6"/>
      </w:r>
      <w:r w:rsidR="002E515E" w:rsidRPr="00487E98">
        <w:rPr>
          <w:rFonts w:ascii="Verdana" w:eastAsia="Calibri" w:hAnsi="Verdana" w:cs="Arial"/>
          <w:lang w:val="es-MX"/>
        </w:rPr>
        <w:t xml:space="preserve">.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w:t>
      </w:r>
      <w:r w:rsidR="002E515E" w:rsidRPr="00487E98">
        <w:rPr>
          <w:rFonts w:ascii="Verdana" w:eastAsia="Calibri" w:hAnsi="Verdana" w:cs="Arial"/>
          <w:lang w:val="es-MX"/>
        </w:rPr>
        <w:lastRenderedPageBreak/>
        <w:t>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sidR="002E515E" w:rsidRPr="00487E98">
        <w:rPr>
          <w:rFonts w:ascii="Verdana" w:eastAsia="Calibri" w:hAnsi="Verdana" w:cs="Arial"/>
          <w:vertAlign w:val="superscript"/>
          <w:lang w:val="es-MX"/>
        </w:rPr>
        <w:footnoteReference w:id="7"/>
      </w:r>
      <w:r w:rsidR="002E515E" w:rsidRPr="00487E98">
        <w:rPr>
          <w:rFonts w:ascii="Verdana" w:eastAsia="Calibri" w:hAnsi="Verdana" w:cs="Arial"/>
          <w:lang w:val="es-MX"/>
        </w:rPr>
        <w:t xml:space="preserve">. </w:t>
      </w:r>
    </w:p>
    <w:p w14:paraId="250E2C35" w14:textId="3EF07455" w:rsidR="002E515E" w:rsidRPr="00487E98" w:rsidRDefault="002E515E" w:rsidP="002E515E">
      <w:pPr>
        <w:spacing w:after="120" w:line="276" w:lineRule="auto"/>
        <w:ind w:firstLine="708"/>
        <w:jc w:val="both"/>
        <w:rPr>
          <w:rFonts w:ascii="Verdana" w:eastAsia="Calibri" w:hAnsi="Verdana" w:cs="Arial"/>
          <w:lang w:val="es-MX"/>
        </w:rPr>
      </w:pPr>
      <w:r w:rsidRPr="00487E98">
        <w:rPr>
          <w:rFonts w:ascii="Verdana" w:eastAsia="Calibri" w:hAnsi="Verdana" w:cs="Arial"/>
          <w:lang w:val="es-MX"/>
        </w:rPr>
        <w:t xml:space="preserve">En la Ley 80 de 1993 se observa la voluntad del legislador de divulgar el comportamiento contractual de los participantes en el sistema de compras públicas. En este contexto, </w:t>
      </w:r>
      <w:r w:rsidR="0056456E" w:rsidRPr="00487E98">
        <w:rPr>
          <w:rFonts w:ascii="Verdana" w:eastAsia="Calibri" w:hAnsi="Verdana" w:cs="Arial"/>
          <w:lang w:val="es-MX"/>
        </w:rPr>
        <w:t xml:space="preserve">lo consagrado en el numeral 6.2 del </w:t>
      </w:r>
      <w:r w:rsidRPr="00487E98">
        <w:rPr>
          <w:rFonts w:ascii="Verdana" w:eastAsia="Calibri" w:hAnsi="Verdana" w:cs="Arial"/>
          <w:lang w:val="es-MX"/>
        </w:rPr>
        <w:t>artículo 6 de la Ley 1150 de 2007 constituye un desarrollo material de los principios aplicables a las actuaciones contractuales en los términos del artículo 23 d</w:t>
      </w:r>
      <w:r w:rsidR="0056456E" w:rsidRPr="00487E98">
        <w:rPr>
          <w:rFonts w:ascii="Verdana" w:eastAsia="Calibri" w:hAnsi="Verdana" w:cs="Arial"/>
          <w:lang w:val="es-MX"/>
        </w:rPr>
        <w:t>e la Ley 80 de 1993</w:t>
      </w:r>
      <w:r w:rsidRPr="00487E98">
        <w:rPr>
          <w:rFonts w:ascii="Verdana" w:eastAsia="Calibri" w:hAnsi="Verdana" w:cs="Arial"/>
          <w:vertAlign w:val="superscript"/>
          <w:lang w:val="es-MX"/>
        </w:rPr>
        <w:footnoteReference w:id="8"/>
      </w:r>
      <w:r w:rsidRPr="00487E98">
        <w:rPr>
          <w:rFonts w:ascii="Verdana" w:eastAsia="Calibri" w:hAnsi="Verdana" w:cs="Arial"/>
          <w:lang w:val="es-MX"/>
        </w:rPr>
        <w:t xml:space="preserve">. </w:t>
      </w:r>
    </w:p>
    <w:p w14:paraId="6654C3D1" w14:textId="15607741" w:rsidR="002E515E" w:rsidRPr="00487E98" w:rsidRDefault="00594992" w:rsidP="002E515E">
      <w:pPr>
        <w:spacing w:after="0" w:line="276" w:lineRule="auto"/>
        <w:ind w:firstLine="708"/>
        <w:jc w:val="both"/>
        <w:rPr>
          <w:rFonts w:ascii="Verdana" w:eastAsia="Calibri" w:hAnsi="Verdana" w:cs="Arial"/>
          <w:iCs/>
          <w:lang w:val="es-MX"/>
        </w:rPr>
      </w:pPr>
      <w:r w:rsidRPr="00487E98">
        <w:rPr>
          <w:rFonts w:ascii="Verdana" w:eastAsia="Calibri" w:hAnsi="Verdana" w:cs="Arial"/>
          <w:iCs/>
          <w:lang w:val="es-MX"/>
        </w:rPr>
        <w:t>Aunado a lo anterior, el numeral 6.2 en comento</w:t>
      </w:r>
      <w:r w:rsidR="002E515E" w:rsidRPr="00487E98">
        <w:rPr>
          <w:rFonts w:ascii="Verdana" w:eastAsia="Calibri" w:hAnsi="Verdana" w:cs="Arial"/>
          <w:iCs/>
          <w:lang w:val="es-MX"/>
        </w:rPr>
        <w:t>, consagró una atribución reglamentaria sobre el tema</w:t>
      </w:r>
      <w:r w:rsidRPr="00487E98">
        <w:rPr>
          <w:rFonts w:ascii="Verdana" w:eastAsia="Calibri" w:hAnsi="Verdana" w:cs="Arial"/>
          <w:iCs/>
          <w:lang w:val="es-MX"/>
        </w:rPr>
        <w:t>, p</w:t>
      </w:r>
      <w:r w:rsidR="002E515E" w:rsidRPr="00487E98">
        <w:rPr>
          <w:rFonts w:ascii="Verdana" w:eastAsia="Calibri" w:hAnsi="Verdana" w:cs="Arial"/>
          <w:iCs/>
          <w:lang w:val="es-MX"/>
        </w:rPr>
        <w:t>ara estos efectos dispuso que “Las condiciones de remisión de la información y los plazos de permanencia de la misma en el registro serán señalados por el Gobierno Nacional”</w:t>
      </w:r>
      <w:r w:rsidRPr="00487E98">
        <w:rPr>
          <w:rFonts w:ascii="Verdana" w:eastAsia="Calibri" w:hAnsi="Verdana" w:cs="Arial"/>
          <w:iCs/>
          <w:lang w:val="es-MX"/>
        </w:rPr>
        <w:t>,</w:t>
      </w:r>
      <w:r w:rsidR="00776965" w:rsidRPr="00487E98">
        <w:rPr>
          <w:rFonts w:ascii="Verdana" w:eastAsia="Calibri" w:hAnsi="Verdana" w:cs="Arial"/>
          <w:iCs/>
          <w:lang w:val="es-MX"/>
        </w:rPr>
        <w:t xml:space="preserve"> enunciado normativo que </w:t>
      </w:r>
      <w:r w:rsidR="002E515E" w:rsidRPr="00487E98">
        <w:rPr>
          <w:rFonts w:ascii="Verdana" w:eastAsia="Calibri" w:hAnsi="Verdana" w:cs="Arial"/>
          <w:iCs/>
          <w:lang w:val="es-MX"/>
        </w:rPr>
        <w:t xml:space="preserve">se desarrolla en el artículo 14 del Decreto 1510 de 17 de julio de 2013, compilado posteriormente en el artículo 2.2.1.1.1.5.7 del Decreto 1082 de 2015, que dispone lo siguiente: </w:t>
      </w:r>
    </w:p>
    <w:p w14:paraId="5CE917F8" w14:textId="77777777" w:rsidR="002E515E" w:rsidRPr="00487E98" w:rsidRDefault="002E515E" w:rsidP="002E515E">
      <w:pPr>
        <w:spacing w:after="0" w:line="276" w:lineRule="auto"/>
        <w:ind w:firstLine="708"/>
        <w:jc w:val="both"/>
        <w:rPr>
          <w:rFonts w:ascii="Verdana" w:eastAsia="Calibri" w:hAnsi="Verdana" w:cs="Arial"/>
          <w:iCs/>
          <w:lang w:val="es-MX"/>
        </w:rPr>
      </w:pPr>
    </w:p>
    <w:p w14:paraId="75496646" w14:textId="77777777" w:rsidR="002E515E" w:rsidRPr="00487E98" w:rsidRDefault="002E515E" w:rsidP="002E515E">
      <w:pPr>
        <w:spacing w:after="120" w:line="240" w:lineRule="auto"/>
        <w:ind w:left="709" w:right="709"/>
        <w:contextualSpacing/>
        <w:jc w:val="both"/>
        <w:rPr>
          <w:rFonts w:ascii="Verdana" w:eastAsia="Calibri" w:hAnsi="Verdana" w:cs="Arial"/>
          <w:sz w:val="20"/>
          <w:szCs w:val="20"/>
          <w:lang w:val="es-MX"/>
        </w:rPr>
      </w:pPr>
      <w:r w:rsidRPr="00487E98">
        <w:rPr>
          <w:rFonts w:ascii="Verdana" w:eastAsia="Calibri" w:hAnsi="Verdana" w:cs="Arial"/>
          <w:sz w:val="21"/>
          <w:szCs w:val="21"/>
          <w:lang w:val="es-MX"/>
        </w:rPr>
        <w:t>“</w:t>
      </w:r>
      <w:r w:rsidRPr="00487E98">
        <w:rPr>
          <w:rFonts w:ascii="Verdana" w:eastAsia="Calibri" w:hAnsi="Verdana" w:cs="Arial"/>
          <w:sz w:val="20"/>
          <w:szCs w:val="20"/>
          <w:lang w:val="es-MX"/>
        </w:rPr>
        <w:t>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la misma.</w:t>
      </w:r>
    </w:p>
    <w:p w14:paraId="1BE57BD3" w14:textId="77777777" w:rsidR="002E515E" w:rsidRPr="00487E98" w:rsidRDefault="002E515E" w:rsidP="002E515E">
      <w:pPr>
        <w:spacing w:after="120" w:line="240" w:lineRule="auto"/>
        <w:ind w:left="709" w:right="709"/>
        <w:contextualSpacing/>
        <w:jc w:val="both"/>
        <w:rPr>
          <w:rFonts w:ascii="Verdana" w:eastAsia="Calibri" w:hAnsi="Verdana" w:cs="Arial"/>
          <w:sz w:val="10"/>
          <w:szCs w:val="10"/>
          <w:lang w:val="es-MX"/>
        </w:rPr>
      </w:pPr>
    </w:p>
    <w:p w14:paraId="4DCC12D0" w14:textId="77777777" w:rsidR="002E515E" w:rsidRPr="00487E98" w:rsidRDefault="002E515E" w:rsidP="002E515E">
      <w:pPr>
        <w:spacing w:after="0" w:line="240" w:lineRule="auto"/>
        <w:ind w:left="709" w:right="709"/>
        <w:contextualSpacing/>
        <w:jc w:val="both"/>
        <w:rPr>
          <w:rFonts w:ascii="Verdana" w:eastAsia="Calibri" w:hAnsi="Verdana" w:cs="Arial"/>
          <w:sz w:val="21"/>
          <w:szCs w:val="21"/>
          <w:lang w:val="es-MX"/>
        </w:rPr>
      </w:pPr>
      <w:r w:rsidRPr="00487E98">
        <w:rPr>
          <w:rFonts w:ascii="Verdana" w:eastAsia="Calibri" w:hAnsi="Verdana" w:cs="Arial"/>
          <w:sz w:val="20"/>
          <w:szCs w:val="20"/>
          <w:lang w:val="es-MX"/>
        </w:rPr>
        <w:lastRenderedPageBreak/>
        <w:t>Las cámaras de comercio deben tener un mecanismo de interoperabilidad con el SECOP para el registro de la información de que trata el presente artículo</w:t>
      </w:r>
      <w:r w:rsidRPr="00487E98">
        <w:rPr>
          <w:rFonts w:ascii="Verdana" w:eastAsia="Calibri" w:hAnsi="Verdana" w:cs="Arial"/>
          <w:sz w:val="21"/>
          <w:szCs w:val="21"/>
          <w:lang w:val="es-MX"/>
        </w:rPr>
        <w:t>”.</w:t>
      </w:r>
    </w:p>
    <w:p w14:paraId="28FA8224" w14:textId="77777777" w:rsidR="002E515E" w:rsidRPr="00487E98" w:rsidRDefault="002E515E" w:rsidP="002E515E">
      <w:pPr>
        <w:spacing w:after="0" w:line="276" w:lineRule="auto"/>
        <w:ind w:firstLine="708"/>
        <w:jc w:val="both"/>
        <w:rPr>
          <w:rFonts w:ascii="Verdana" w:eastAsia="Calibri" w:hAnsi="Verdana" w:cs="Arial"/>
          <w:iCs/>
          <w:lang w:val="es-MX"/>
        </w:rPr>
      </w:pPr>
    </w:p>
    <w:p w14:paraId="13F71AA8" w14:textId="77777777" w:rsidR="00F51D12" w:rsidRDefault="002E515E" w:rsidP="002E515E">
      <w:pPr>
        <w:spacing w:after="120" w:line="276" w:lineRule="auto"/>
        <w:ind w:firstLine="708"/>
        <w:jc w:val="both"/>
        <w:rPr>
          <w:rFonts w:ascii="Verdana" w:eastAsia="Calibri" w:hAnsi="Verdana" w:cs="Arial"/>
          <w:iCs/>
          <w:lang w:val="es-MX"/>
        </w:rPr>
      </w:pPr>
      <w:r w:rsidRPr="00487E98">
        <w:rPr>
          <w:rFonts w:ascii="Verdana" w:eastAsia="Calibri" w:hAnsi="Verdana" w:cs="Arial"/>
          <w:iCs/>
          <w:lang w:val="es-MX"/>
        </w:rPr>
        <w:t xml:space="preserve">La norma precisa los elementos para cumplir con el </w:t>
      </w:r>
      <w:r w:rsidR="00254F2B" w:rsidRPr="00487E98">
        <w:rPr>
          <w:rFonts w:ascii="Verdana" w:eastAsia="Calibri" w:hAnsi="Verdana" w:cs="Arial"/>
          <w:iCs/>
          <w:lang w:val="es-MX"/>
        </w:rPr>
        <w:t>numeral 6.2 del artículo 6</w:t>
      </w:r>
      <w:r w:rsidRPr="00487E98">
        <w:rPr>
          <w:rFonts w:ascii="Verdana" w:eastAsia="Calibri" w:hAnsi="Verdana" w:cs="Arial"/>
          <w:iCs/>
          <w:lang w:val="es-MX"/>
        </w:rPr>
        <w:t xml:space="preserve"> de la Ley 1150 de 2007, los cuales se concretan en los siguientes tres (3) puntos: i) </w:t>
      </w:r>
      <w:r w:rsidRPr="00487E98">
        <w:rPr>
          <w:rFonts w:ascii="Verdana" w:eastAsia="Calibri" w:hAnsi="Verdana" w:cs="Arial"/>
          <w:i/>
          <w:lang w:val="es-MX"/>
        </w:rPr>
        <w:t>reporte</w:t>
      </w:r>
      <w:r w:rsidRPr="00487E98">
        <w:rPr>
          <w:rFonts w:ascii="Verdana" w:eastAsia="Calibri" w:hAnsi="Verdana" w:cs="Arial"/>
          <w:iCs/>
          <w:lang w:val="es-MX"/>
        </w:rPr>
        <w:t xml:space="preserve"> de las multas y sanciones por parte de las entidades estatales, ii) </w:t>
      </w:r>
      <w:r w:rsidRPr="00487E98">
        <w:rPr>
          <w:rFonts w:ascii="Verdana" w:eastAsia="Calibri" w:hAnsi="Verdana" w:cs="Arial"/>
          <w:i/>
          <w:lang w:val="es-MX"/>
        </w:rPr>
        <w:t>registro</w:t>
      </w:r>
      <w:r w:rsidRPr="00487E98">
        <w:rPr>
          <w:rFonts w:ascii="Verdana" w:eastAsia="Calibri" w:hAnsi="Verdana" w:cs="Arial"/>
          <w:iCs/>
          <w:lang w:val="es-MX"/>
        </w:rPr>
        <w:t xml:space="preserve"> de las multas y sanciones en el RUP por parte de las Cámaras de Comercio y iii) </w:t>
      </w:r>
      <w:r w:rsidRPr="00487E98">
        <w:rPr>
          <w:rFonts w:ascii="Verdana" w:eastAsia="Calibri" w:hAnsi="Verdana" w:cs="Arial"/>
          <w:i/>
          <w:lang w:val="es-MX"/>
        </w:rPr>
        <w:t xml:space="preserve">término de permanencia </w:t>
      </w:r>
      <w:r w:rsidRPr="00487E98">
        <w:rPr>
          <w:rFonts w:ascii="Verdana" w:eastAsia="Calibri" w:hAnsi="Verdana" w:cs="Arial"/>
          <w:iCs/>
          <w:lang w:val="es-MX"/>
        </w:rPr>
        <w:t xml:space="preserve">de las anotaciones en el registro. </w:t>
      </w:r>
    </w:p>
    <w:p w14:paraId="1BD32ECF" w14:textId="77777777" w:rsidR="00F51D12" w:rsidRDefault="002E515E" w:rsidP="002E515E">
      <w:pPr>
        <w:spacing w:after="120" w:line="276" w:lineRule="auto"/>
        <w:ind w:firstLine="708"/>
        <w:jc w:val="both"/>
        <w:rPr>
          <w:rFonts w:ascii="Verdana" w:eastAsia="Calibri" w:hAnsi="Verdana" w:cs="Arial"/>
          <w:iCs/>
          <w:lang w:val="es-MX"/>
        </w:rPr>
      </w:pPr>
      <w:r w:rsidRPr="00487E98">
        <w:rPr>
          <w:rFonts w:ascii="Verdana" w:eastAsia="Calibri" w:hAnsi="Verdana" w:cs="Arial"/>
          <w:iCs/>
          <w:lang w:val="es-MX"/>
        </w:rPr>
        <w:t xml:space="preserve">En relación con el </w:t>
      </w:r>
      <w:r w:rsidRPr="00487E98">
        <w:rPr>
          <w:rFonts w:ascii="Verdana" w:eastAsia="Calibri" w:hAnsi="Verdana" w:cs="Arial"/>
          <w:i/>
          <w:lang w:val="es-MX"/>
        </w:rPr>
        <w:t>reporte</w:t>
      </w:r>
      <w:r w:rsidRPr="00487E98">
        <w:rPr>
          <w:rFonts w:ascii="Verdana" w:eastAsia="Calibri" w:hAnsi="Verdana" w:cs="Arial"/>
          <w:iCs/>
          <w:lang w:val="es-MX"/>
        </w:rPr>
        <w:t xml:space="preserve">,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Respecto al </w:t>
      </w:r>
      <w:r w:rsidRPr="00487E98">
        <w:rPr>
          <w:rFonts w:ascii="Verdana" w:eastAsia="Calibri" w:hAnsi="Verdana" w:cs="Arial"/>
          <w:i/>
          <w:lang w:val="es-MX"/>
        </w:rPr>
        <w:t>registro</w:t>
      </w:r>
      <w:r w:rsidRPr="00487E98">
        <w:rPr>
          <w:rFonts w:ascii="Verdana" w:eastAsia="Calibri" w:hAnsi="Verdana" w:cs="Arial"/>
          <w:iCs/>
          <w:lang w:val="es-MX"/>
        </w:rPr>
        <w:t xml:space="preserve">¸ la disposición estableció la obligación a las cámaras de comercio de consignar las sanciones e inhabilidades remitidas por las entidades estatales en el RUP, con el propósito de concretar aspectos de publicidad y transparencia en la actividad contractual. </w:t>
      </w:r>
    </w:p>
    <w:p w14:paraId="2D5F6AFB" w14:textId="09C669BD" w:rsidR="002E515E" w:rsidRPr="00487E98" w:rsidRDefault="002E515E" w:rsidP="002E515E">
      <w:pPr>
        <w:spacing w:after="120" w:line="276" w:lineRule="auto"/>
        <w:ind w:firstLine="708"/>
        <w:jc w:val="both"/>
        <w:rPr>
          <w:rFonts w:ascii="Verdana" w:eastAsia="Calibri" w:hAnsi="Verdana" w:cs="Arial"/>
          <w:iCs/>
          <w:lang w:val="es-MX"/>
        </w:rPr>
      </w:pPr>
      <w:r w:rsidRPr="00487E98">
        <w:rPr>
          <w:rFonts w:ascii="Verdana" w:eastAsia="Calibri" w:hAnsi="Verdana" w:cs="Arial"/>
          <w:iCs/>
          <w:lang w:val="es-MX"/>
        </w:rPr>
        <w:t xml:space="preserve">Finalmente, en relación con el </w:t>
      </w:r>
      <w:r w:rsidRPr="00487E98">
        <w:rPr>
          <w:rFonts w:ascii="Verdana" w:eastAsia="Calibri" w:hAnsi="Verdana" w:cs="Arial"/>
          <w:i/>
          <w:lang w:val="es-MX"/>
        </w:rPr>
        <w:t xml:space="preserve">término, </w:t>
      </w:r>
      <w:r w:rsidRPr="00487E98">
        <w:rPr>
          <w:rFonts w:ascii="Verdana" w:eastAsia="Calibri" w:hAnsi="Verdana" w:cs="Arial"/>
          <w:iCs/>
          <w:lang w:val="es-MX"/>
        </w:rPr>
        <w:t>es decir, el periodo en que debe constar la anotación correspondiente, la norma estableció que las sanciones e inhabilidades permanecerán en el registro por el término de la sanción o inhabilidad, según el caso. Igualmente, estableció que, en el caso de las multas, deberán permanecer por el término de un año, contado a partir de la publicación de la misma.</w:t>
      </w:r>
    </w:p>
    <w:p w14:paraId="0F118700" w14:textId="77777777" w:rsidR="00F51D12" w:rsidRDefault="002E515E" w:rsidP="002E515E">
      <w:pPr>
        <w:tabs>
          <w:tab w:val="left" w:pos="8789"/>
        </w:tabs>
        <w:spacing w:after="120" w:line="276" w:lineRule="auto"/>
        <w:ind w:firstLine="709"/>
        <w:jc w:val="both"/>
        <w:rPr>
          <w:rFonts w:ascii="Verdana" w:hAnsi="Verdana" w:cs="Arial"/>
        </w:rPr>
      </w:pPr>
      <w:r w:rsidRPr="00487E98">
        <w:rPr>
          <w:rFonts w:ascii="Verdana" w:hAnsi="Verdana" w:cs="Arial"/>
        </w:rPr>
        <w:t xml:space="preserve">Es preciso advertir que en </w:t>
      </w:r>
      <w:r w:rsidR="00870FA5" w:rsidRPr="00487E98">
        <w:rPr>
          <w:rFonts w:ascii="Verdana" w:hAnsi="Verdana" w:cs="Arial"/>
        </w:rPr>
        <w:t>el numeral 6.2 del artículo 6</w:t>
      </w:r>
      <w:r w:rsidRPr="00487E98">
        <w:rPr>
          <w:rFonts w:ascii="Verdana" w:hAnsi="Verdana" w:cs="Arial"/>
        </w:rPr>
        <w:t xml:space="preserve"> de la Ley 1150 y </w:t>
      </w:r>
      <w:r w:rsidR="00B7393A" w:rsidRPr="00487E98">
        <w:rPr>
          <w:rFonts w:ascii="Verdana" w:hAnsi="Verdana" w:cs="Arial"/>
        </w:rPr>
        <w:t xml:space="preserve">el artículo </w:t>
      </w:r>
      <w:r w:rsidRPr="00487E98">
        <w:rPr>
          <w:rFonts w:ascii="Verdana" w:eastAsia="Calibri" w:hAnsi="Verdana" w:cs="Arial"/>
          <w:iCs/>
        </w:rPr>
        <w:t>2.2.1.1.1.5.7 del Decreto 1082 de 2015</w:t>
      </w:r>
      <w:r w:rsidRPr="00487E98">
        <w:rPr>
          <w:rFonts w:ascii="Verdana" w:hAnsi="Verdana" w:cs="Arial"/>
        </w:rPr>
        <w:t xml:space="preserve"> no se hace alusión expresa al reporte de la información relativa a proponentes que no están obligados a estar en el RUP para participar en Procesos de Contratación o suscribir contratos, como sucede en el caso de las </w:t>
      </w:r>
      <w:r w:rsidRPr="00487E98">
        <w:rPr>
          <w:rFonts w:ascii="Verdana" w:eastAsia="Calibri" w:hAnsi="Verdana" w:cs="Arial"/>
        </w:rPr>
        <w:t>personas naturales extranjeras sin domicilio en el país o de las personas jurídicas extranjeras que no tengan sucursal en Colombia, y que por tanto carecen de inscripción y calificación</w:t>
      </w:r>
      <w:r w:rsidRPr="00487E98">
        <w:rPr>
          <w:rFonts w:ascii="Verdana" w:hAnsi="Verdana" w:cs="Arial"/>
        </w:rPr>
        <w:t xml:space="preserve">. </w:t>
      </w:r>
    </w:p>
    <w:p w14:paraId="4097F919" w14:textId="0FB7890E" w:rsidR="002E515E" w:rsidRPr="00487E98" w:rsidRDefault="002E515E" w:rsidP="002E515E">
      <w:pPr>
        <w:tabs>
          <w:tab w:val="left" w:pos="8789"/>
        </w:tabs>
        <w:spacing w:after="120" w:line="276" w:lineRule="auto"/>
        <w:ind w:firstLine="709"/>
        <w:jc w:val="both"/>
        <w:rPr>
          <w:rFonts w:ascii="Verdana" w:hAnsi="Verdana" w:cs="Arial"/>
        </w:rPr>
      </w:pPr>
      <w:r w:rsidRPr="00487E98">
        <w:rPr>
          <w:rFonts w:ascii="Verdana" w:hAnsi="Verdana" w:cs="Arial"/>
        </w:rPr>
        <w:t xml:space="preserve">No obstante,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w:t>
      </w:r>
      <w:r w:rsidRPr="00487E98">
        <w:rPr>
          <w:rFonts w:ascii="Verdana" w:hAnsi="Verdana" w:cs="Arial"/>
        </w:rPr>
        <w:lastRenderedPageBreak/>
        <w:t xml:space="preserve">también de publicar la información en el SECOP. De hecho, el artículo </w:t>
      </w:r>
      <w:r w:rsidRPr="00487E98">
        <w:rPr>
          <w:rFonts w:ascii="Verdana" w:hAnsi="Verdana" w:cs="Arial"/>
          <w:bCs/>
          <w:color w:val="000000" w:themeColor="text1"/>
        </w:rPr>
        <w:t xml:space="preserve">2.2.1.1.1.5.7 hace referencia al mecanismo de interoperabilidad para el registro de información entre RUP y SECOP. </w:t>
      </w:r>
    </w:p>
    <w:p w14:paraId="213C0CB9" w14:textId="571422F6" w:rsidR="002E515E" w:rsidRPr="00487E98" w:rsidRDefault="002E515E" w:rsidP="002E515E">
      <w:pPr>
        <w:spacing w:before="120" w:line="276" w:lineRule="auto"/>
        <w:ind w:firstLine="708"/>
        <w:jc w:val="both"/>
        <w:rPr>
          <w:rFonts w:ascii="Verdana" w:hAnsi="Verdana" w:cs="Arial"/>
          <w:bCs/>
          <w:color w:val="000000" w:themeColor="text1"/>
        </w:rPr>
      </w:pPr>
      <w:r w:rsidRPr="00487E98">
        <w:rPr>
          <w:rFonts w:ascii="Verdana" w:hAnsi="Verdana" w:cs="Arial"/>
          <w:bCs/>
          <w:color w:val="000000" w:themeColor="text1"/>
        </w:rPr>
        <w:t xml:space="preserve">Conforme a lo anterior, el RUP no es el único mecanismo establecido en el </w:t>
      </w:r>
      <w:r w:rsidR="009234AA" w:rsidRPr="00487E98">
        <w:rPr>
          <w:rFonts w:ascii="Verdana" w:hAnsi="Verdana" w:cs="Arial"/>
          <w:bCs/>
          <w:color w:val="000000" w:themeColor="text1"/>
        </w:rPr>
        <w:t>EGCAP</w:t>
      </w:r>
      <w:r w:rsidRPr="00487E98">
        <w:rPr>
          <w:rFonts w:ascii="Verdana" w:hAnsi="Verdana" w:cs="Arial"/>
          <w:bCs/>
          <w:color w:val="000000" w:themeColor="text1"/>
        </w:rPr>
        <w:t xml:space="preserve"> para dar publicidad a los incumplimientos, ni el único ante el que se debe reportar tal información por parte de las entidades estatales. </w:t>
      </w:r>
      <w:r w:rsidRPr="00487E98">
        <w:rPr>
          <w:rFonts w:ascii="Verdana" w:hAnsi="Verdana" w:cs="Arial"/>
        </w:rPr>
        <w:t xml:space="preserve">Esto dado que el SECOP también es un mecanismo que permite dar publicidad a los incumplimientos que se presenten en los Procesos de Contratación. De acuerdo con esto, el SECOP brinda a las entidades las entidades estatales la posibilidad de publicar los actos administrativos que declaren la caducidad, impongan multas, sanciones o declaren el incumplimiento, una vez ejecutoriados. </w:t>
      </w:r>
    </w:p>
    <w:p w14:paraId="18969E49" w14:textId="52277F79" w:rsidR="00BD2A6C" w:rsidRPr="00487E98" w:rsidRDefault="0058006B" w:rsidP="00B333CB">
      <w:pPr>
        <w:spacing w:after="0" w:line="256" w:lineRule="auto"/>
        <w:jc w:val="both"/>
        <w:rPr>
          <w:rFonts w:ascii="Verdana" w:eastAsia="Calibri" w:hAnsi="Verdana" w:cs="Times New Roman"/>
          <w:lang w:val="es-MX"/>
        </w:rPr>
      </w:pPr>
      <w:r w:rsidRPr="00487E98">
        <w:rPr>
          <w:rFonts w:ascii="Verdana" w:eastAsia="Calibri" w:hAnsi="Verdana" w:cs="Times New Roman"/>
          <w:lang w:val="es-MX"/>
        </w:rPr>
        <w:tab/>
        <w:t xml:space="preserve">Aunado a lo anterior, </w:t>
      </w:r>
      <w:r w:rsidR="00A340BA" w:rsidRPr="00487E98">
        <w:rPr>
          <w:rFonts w:ascii="Verdana" w:eastAsia="Calibri" w:hAnsi="Verdana" w:cs="Times New Roman"/>
          <w:lang w:val="es-MX"/>
        </w:rPr>
        <w:t xml:space="preserve">se debe tener presente lo señalado en el </w:t>
      </w:r>
      <w:r w:rsidR="00782BC3" w:rsidRPr="00487E98">
        <w:rPr>
          <w:rFonts w:ascii="Verdana" w:eastAsia="Calibri" w:hAnsi="Verdana" w:cs="Times New Roman"/>
          <w:lang w:val="es-MX"/>
        </w:rPr>
        <w:t xml:space="preserve">parágrafo del artículo 17 de la Ley 1150 de 2007, el </w:t>
      </w:r>
      <w:r w:rsidR="000F43E3" w:rsidRPr="00487E98">
        <w:rPr>
          <w:rFonts w:ascii="Verdana" w:eastAsia="Calibri" w:hAnsi="Verdana" w:cs="Times New Roman"/>
          <w:lang w:val="es-MX"/>
        </w:rPr>
        <w:t xml:space="preserve">cual dispone lo siguiente: </w:t>
      </w:r>
    </w:p>
    <w:p w14:paraId="5D4011E0" w14:textId="77777777" w:rsidR="000F43E3" w:rsidRPr="00487E98" w:rsidRDefault="000F43E3" w:rsidP="000F43E3">
      <w:pPr>
        <w:spacing w:after="0" w:line="240" w:lineRule="auto"/>
        <w:jc w:val="both"/>
        <w:rPr>
          <w:rFonts w:ascii="Verdana" w:eastAsia="Calibri" w:hAnsi="Verdana" w:cs="Times New Roman"/>
          <w:sz w:val="20"/>
          <w:szCs w:val="20"/>
          <w:lang w:val="es-MX"/>
        </w:rPr>
      </w:pPr>
    </w:p>
    <w:p w14:paraId="6338810F" w14:textId="48448DCF" w:rsidR="0058006B" w:rsidRPr="00487E98" w:rsidRDefault="000F43E3" w:rsidP="000F43E3">
      <w:pPr>
        <w:spacing w:after="0" w:line="240" w:lineRule="auto"/>
        <w:ind w:left="567" w:right="616"/>
        <w:jc w:val="both"/>
        <w:rPr>
          <w:rFonts w:ascii="Verdana" w:eastAsia="Calibri" w:hAnsi="Verdana" w:cs="Times New Roman"/>
          <w:sz w:val="20"/>
          <w:szCs w:val="20"/>
        </w:rPr>
      </w:pPr>
      <w:r w:rsidRPr="00487E98">
        <w:rPr>
          <w:rFonts w:ascii="Verdana" w:eastAsia="Calibri" w:hAnsi="Verdana" w:cs="Times New Roman"/>
          <w:sz w:val="20"/>
          <w:szCs w:val="20"/>
          <w:lang w:val="es-MX"/>
        </w:rPr>
        <w:t>“</w:t>
      </w:r>
      <w:r w:rsidRPr="004A3C42">
        <w:rPr>
          <w:rFonts w:ascii="Verdana" w:eastAsia="Calibri" w:hAnsi="Verdana" w:cs="Times New Roman"/>
          <w:sz w:val="20"/>
          <w:szCs w:val="20"/>
        </w:rPr>
        <w:t>Parágrafo</w:t>
      </w:r>
      <w:r w:rsidRPr="00487E98">
        <w:rPr>
          <w:rFonts w:ascii="Verdana" w:eastAsia="Calibri" w:hAnsi="Verdana" w:cs="Times New Roman"/>
          <w:b/>
          <w:bCs/>
          <w:sz w:val="20"/>
          <w:szCs w:val="20"/>
        </w:rPr>
        <w:t>.</w:t>
      </w:r>
      <w:r w:rsidRPr="00487E98">
        <w:rPr>
          <w:rFonts w:ascii="Verdana" w:eastAsia="Calibri" w:hAnsi="Verdana" w:cs="Times New Roman"/>
          <w:sz w:val="20"/>
          <w:szCs w:val="20"/>
        </w:rPr>
        <w:t xml:space="preserve"> La cláusula penal y las multas así impuestas, se harán efectivas directamente por las entidades estatales, pudiendo acudir para el efecto entre otros a los </w:t>
      </w:r>
      <w:r w:rsidRPr="00BE165A">
        <w:rPr>
          <w:rFonts w:ascii="Verdana" w:eastAsia="Calibri" w:hAnsi="Verdana" w:cs="Times New Roman"/>
          <w:sz w:val="20"/>
          <w:szCs w:val="20"/>
          <w:u w:val="single"/>
        </w:rPr>
        <w:t>mecanismos de compensación de las sumas adeudadas</w:t>
      </w:r>
      <w:r w:rsidRPr="00487E98">
        <w:rPr>
          <w:rFonts w:ascii="Verdana" w:eastAsia="Calibri" w:hAnsi="Verdana" w:cs="Times New Roman"/>
          <w:sz w:val="20"/>
          <w:szCs w:val="20"/>
        </w:rPr>
        <w:t xml:space="preserve"> al contratista, </w:t>
      </w:r>
      <w:r w:rsidRPr="00BE165A">
        <w:rPr>
          <w:rFonts w:ascii="Verdana" w:eastAsia="Calibri" w:hAnsi="Verdana" w:cs="Times New Roman"/>
          <w:sz w:val="20"/>
          <w:szCs w:val="20"/>
          <w:u w:val="single"/>
        </w:rPr>
        <w:t>cobro de la garantía</w:t>
      </w:r>
      <w:r w:rsidRPr="00487E98">
        <w:rPr>
          <w:rFonts w:ascii="Verdana" w:eastAsia="Calibri" w:hAnsi="Verdana" w:cs="Times New Roman"/>
          <w:sz w:val="20"/>
          <w:szCs w:val="20"/>
        </w:rPr>
        <w:t xml:space="preserve">, o a </w:t>
      </w:r>
      <w:r w:rsidRPr="00BE165A">
        <w:rPr>
          <w:rFonts w:ascii="Verdana" w:eastAsia="Calibri" w:hAnsi="Verdana" w:cs="Times New Roman"/>
          <w:sz w:val="20"/>
          <w:szCs w:val="20"/>
          <w:u w:val="single"/>
        </w:rPr>
        <w:t>cualquier otro medio para obtener el pago, incluyendo el de la jurisdicción coactiva</w:t>
      </w:r>
      <w:r w:rsidRPr="00487E98">
        <w:rPr>
          <w:rFonts w:ascii="Verdana" w:eastAsia="Calibri" w:hAnsi="Verdana" w:cs="Times New Roman"/>
          <w:sz w:val="20"/>
          <w:szCs w:val="20"/>
        </w:rPr>
        <w:t>.”</w:t>
      </w:r>
      <w:r w:rsidR="00BE165A">
        <w:rPr>
          <w:rFonts w:ascii="Verdana" w:eastAsia="Calibri" w:hAnsi="Verdana" w:cs="Times New Roman"/>
          <w:sz w:val="20"/>
          <w:szCs w:val="20"/>
        </w:rPr>
        <w:t xml:space="preserve"> (Subrayado fuera de texto)</w:t>
      </w:r>
    </w:p>
    <w:p w14:paraId="5CCF6C42" w14:textId="77777777" w:rsidR="000F43E3" w:rsidRPr="00487E98" w:rsidRDefault="000F43E3" w:rsidP="00B333CB">
      <w:pPr>
        <w:spacing w:after="0" w:line="256" w:lineRule="auto"/>
        <w:jc w:val="both"/>
        <w:rPr>
          <w:rFonts w:ascii="Verdana" w:eastAsia="Calibri" w:hAnsi="Verdana" w:cs="Times New Roman"/>
          <w:lang w:val="es-MX"/>
        </w:rPr>
      </w:pPr>
    </w:p>
    <w:p w14:paraId="79E3F835" w14:textId="03C23B6D" w:rsidR="00145F4D" w:rsidRPr="00487E98" w:rsidRDefault="00F47E0C" w:rsidP="00B333CB">
      <w:pPr>
        <w:spacing w:after="0" w:line="256" w:lineRule="auto"/>
        <w:jc w:val="both"/>
        <w:rPr>
          <w:rFonts w:ascii="Verdana" w:eastAsia="Calibri" w:hAnsi="Verdana" w:cs="Times New Roman"/>
          <w:lang w:val="es-MX"/>
        </w:rPr>
      </w:pPr>
      <w:r w:rsidRPr="00487E98">
        <w:rPr>
          <w:rFonts w:ascii="Verdana" w:eastAsia="Calibri" w:hAnsi="Verdana" w:cs="Times New Roman"/>
          <w:lang w:val="es-MX"/>
        </w:rPr>
        <w:tab/>
        <w:t xml:space="preserve">El anterior enunciado normativo </w:t>
      </w:r>
      <w:r w:rsidR="005271BE" w:rsidRPr="00487E98">
        <w:rPr>
          <w:rFonts w:ascii="Verdana" w:eastAsia="Calibri" w:hAnsi="Verdana" w:cs="Times New Roman"/>
          <w:lang w:val="es-MX"/>
        </w:rPr>
        <w:t xml:space="preserve">señala </w:t>
      </w:r>
      <w:r w:rsidR="005677F8" w:rsidRPr="00487E98">
        <w:rPr>
          <w:rFonts w:ascii="Verdana" w:eastAsia="Calibri" w:hAnsi="Verdana" w:cs="Times New Roman"/>
          <w:lang w:val="es-MX"/>
        </w:rPr>
        <w:t>los medios a disposición de la entidad estatal contratante para hacer efectivo el pago de las multas impuestas en desarrollo del contrat</w:t>
      </w:r>
      <w:r w:rsidR="00BA72CC" w:rsidRPr="00487E98">
        <w:rPr>
          <w:rFonts w:ascii="Verdana" w:eastAsia="Calibri" w:hAnsi="Verdana" w:cs="Times New Roman"/>
          <w:lang w:val="es-MX"/>
        </w:rPr>
        <w:t xml:space="preserve">o, </w:t>
      </w:r>
      <w:r w:rsidR="00145F4D" w:rsidRPr="00487E98">
        <w:rPr>
          <w:rFonts w:ascii="Verdana" w:eastAsia="Calibri" w:hAnsi="Verdana" w:cs="Times New Roman"/>
          <w:lang w:val="es-MX"/>
        </w:rPr>
        <w:t xml:space="preserve">facultades </w:t>
      </w:r>
      <w:r w:rsidR="00BA72CC" w:rsidRPr="00487E98">
        <w:rPr>
          <w:rFonts w:ascii="Verdana" w:eastAsia="Calibri" w:hAnsi="Verdana" w:cs="Times New Roman"/>
          <w:lang w:val="es-MX"/>
        </w:rPr>
        <w:t>que</w:t>
      </w:r>
      <w:r w:rsidR="00145F4D" w:rsidRPr="00487E98">
        <w:rPr>
          <w:rFonts w:ascii="Verdana" w:eastAsia="Calibri" w:hAnsi="Verdana" w:cs="Times New Roman"/>
          <w:lang w:val="es-MX"/>
        </w:rPr>
        <w:t xml:space="preserve"> son plenamente concordantes con el deber de cobro de las sanciones contenido</w:t>
      </w:r>
      <w:r w:rsidR="006A3A88">
        <w:rPr>
          <w:rFonts w:ascii="Verdana" w:eastAsia="Calibri" w:hAnsi="Verdana" w:cs="Times New Roman"/>
          <w:lang w:val="es-MX"/>
        </w:rPr>
        <w:t>,</w:t>
      </w:r>
      <w:r w:rsidR="00145F4D" w:rsidRPr="00487E98">
        <w:rPr>
          <w:rFonts w:ascii="Verdana" w:eastAsia="Calibri" w:hAnsi="Verdana" w:cs="Times New Roman"/>
          <w:lang w:val="es-MX"/>
        </w:rPr>
        <w:t xml:space="preserve"> en el</w:t>
      </w:r>
      <w:r w:rsidR="00997BF8" w:rsidRPr="00487E98">
        <w:rPr>
          <w:rFonts w:ascii="Verdana" w:eastAsia="Calibri" w:hAnsi="Verdana" w:cs="Times New Roman"/>
          <w:lang w:val="es-MX"/>
        </w:rPr>
        <w:t xml:space="preserve"> numeral 2</w:t>
      </w:r>
      <w:r w:rsidR="00145F4D" w:rsidRPr="00487E98">
        <w:rPr>
          <w:rFonts w:ascii="Verdana" w:eastAsia="Calibri" w:hAnsi="Verdana" w:cs="Times New Roman"/>
          <w:lang w:val="es-MX"/>
        </w:rPr>
        <w:t xml:space="preserve"> </w:t>
      </w:r>
      <w:r w:rsidR="00997BF8" w:rsidRPr="00487E98">
        <w:rPr>
          <w:rFonts w:ascii="Verdana" w:eastAsia="Calibri" w:hAnsi="Verdana" w:cs="Times New Roman"/>
          <w:lang w:val="es-MX"/>
        </w:rPr>
        <w:t xml:space="preserve">del </w:t>
      </w:r>
      <w:r w:rsidR="00145F4D" w:rsidRPr="00487E98">
        <w:rPr>
          <w:rFonts w:ascii="Verdana" w:eastAsia="Calibri" w:hAnsi="Verdana" w:cs="Times New Roman"/>
          <w:lang w:val="es-MX"/>
        </w:rPr>
        <w:t xml:space="preserve">artículo </w:t>
      </w:r>
      <w:r w:rsidR="00997BF8" w:rsidRPr="00487E98">
        <w:rPr>
          <w:rFonts w:ascii="Verdana" w:eastAsia="Calibri" w:hAnsi="Verdana" w:cs="Times New Roman"/>
          <w:lang w:val="es-MX"/>
        </w:rPr>
        <w:t xml:space="preserve">4 </w:t>
      </w:r>
      <w:r w:rsidR="00145F4D" w:rsidRPr="00487E98">
        <w:rPr>
          <w:rFonts w:ascii="Verdana" w:eastAsia="Calibri" w:hAnsi="Verdana" w:cs="Times New Roman"/>
          <w:lang w:val="es-MX"/>
        </w:rPr>
        <w:t xml:space="preserve">de la Ley 80 de 1993 y se inscriben en la misma lógica sobre deberes y responsabilidades de los contratistas </w:t>
      </w:r>
      <w:r w:rsidR="00B47ABC" w:rsidRPr="00487E98">
        <w:rPr>
          <w:rFonts w:ascii="Verdana" w:eastAsia="Calibri" w:hAnsi="Verdana" w:cs="Times New Roman"/>
          <w:lang w:val="es-MX"/>
        </w:rPr>
        <w:t xml:space="preserve">consagradas en el artículo 5 del EGCAP, </w:t>
      </w:r>
      <w:r w:rsidR="00145F4D" w:rsidRPr="00487E98">
        <w:rPr>
          <w:rFonts w:ascii="Verdana" w:eastAsia="Calibri" w:hAnsi="Verdana" w:cs="Times New Roman"/>
          <w:lang w:val="es-MX"/>
        </w:rPr>
        <w:t>que las entidades estatales deben hacer cumplir para garantizar los fines de la contratación</w:t>
      </w:r>
      <w:r w:rsidR="006A3A88">
        <w:rPr>
          <w:rFonts w:ascii="Verdana" w:eastAsia="Calibri" w:hAnsi="Verdana" w:cs="Times New Roman"/>
          <w:lang w:val="es-MX"/>
        </w:rPr>
        <w:t>; con lo cual se circuns</w:t>
      </w:r>
      <w:r w:rsidR="0001046D">
        <w:rPr>
          <w:rFonts w:ascii="Verdana" w:eastAsia="Calibri" w:hAnsi="Verdana" w:cs="Times New Roman"/>
          <w:lang w:val="es-MX"/>
        </w:rPr>
        <w:t>criben una serie de actividades que quedan a cargo de la entidad estatal posterior a la imposición de la multa</w:t>
      </w:r>
      <w:r w:rsidR="000736B7">
        <w:rPr>
          <w:rFonts w:ascii="Verdana" w:eastAsia="Calibri" w:hAnsi="Verdana" w:cs="Times New Roman"/>
          <w:lang w:val="es-MX"/>
        </w:rPr>
        <w:t xml:space="preserve"> dentro de un proceso sancionatorio a la luz del artículo 86 de la Ley 1474 de 2011 y soportado en el artículo 17 de la Ley 1150 de 2007.</w:t>
      </w:r>
    </w:p>
    <w:p w14:paraId="0C76B474" w14:textId="77777777" w:rsidR="0058006B" w:rsidRPr="00487E98" w:rsidRDefault="0058006B" w:rsidP="00B333CB">
      <w:pPr>
        <w:spacing w:after="0" w:line="256" w:lineRule="auto"/>
        <w:jc w:val="both"/>
        <w:rPr>
          <w:rFonts w:ascii="Verdana" w:eastAsia="Calibri" w:hAnsi="Verdana" w:cs="Times New Roman"/>
          <w:lang w:val="es-MX"/>
        </w:rPr>
      </w:pPr>
    </w:p>
    <w:p w14:paraId="1A7AB0A3" w14:textId="77777777" w:rsidR="00B333CB" w:rsidRPr="00487E98" w:rsidRDefault="00B333CB" w:rsidP="00B333CB">
      <w:pPr>
        <w:numPr>
          <w:ilvl w:val="0"/>
          <w:numId w:val="16"/>
        </w:numPr>
        <w:spacing w:after="0" w:line="256" w:lineRule="auto"/>
        <w:ind w:left="0" w:firstLine="0"/>
        <w:rPr>
          <w:rFonts w:ascii="Verdana" w:eastAsia="Calibri" w:hAnsi="Verdana" w:cs="Times New Roman"/>
          <w:b/>
          <w:bCs/>
          <w:lang w:val="es-ES"/>
        </w:rPr>
      </w:pPr>
      <w:r w:rsidRPr="00487E98">
        <w:rPr>
          <w:rFonts w:ascii="Verdana" w:eastAsia="Calibri" w:hAnsi="Verdana" w:cs="Times New Roman"/>
          <w:b/>
          <w:bCs/>
          <w:lang w:val="es-ES"/>
        </w:rPr>
        <w:t>Referencias normativas, jurisprudenciales y otras fuentes:</w:t>
      </w:r>
    </w:p>
    <w:p w14:paraId="6FD71735" w14:textId="77777777" w:rsidR="00B333CB" w:rsidRPr="00487E98" w:rsidRDefault="00B333CB" w:rsidP="00B333CB">
      <w:pPr>
        <w:spacing w:after="0" w:line="256" w:lineRule="auto"/>
        <w:rPr>
          <w:rFonts w:ascii="Verdana" w:eastAsia="Calibri" w:hAnsi="Verdana" w:cs="Times New Roman"/>
          <w:bCs/>
          <w:lang w:val="es-ES_tradnl"/>
        </w:rPr>
      </w:pPr>
    </w:p>
    <w:p w14:paraId="29A23CB9" w14:textId="3CE57837" w:rsidR="00B333CB" w:rsidRPr="00487E98" w:rsidRDefault="00B333CB" w:rsidP="00B333CB">
      <w:pPr>
        <w:numPr>
          <w:ilvl w:val="0"/>
          <w:numId w:val="18"/>
        </w:numPr>
        <w:spacing w:after="0" w:line="256" w:lineRule="auto"/>
        <w:rPr>
          <w:rFonts w:ascii="Verdana" w:eastAsia="Calibri" w:hAnsi="Verdana" w:cs="Times New Roman"/>
          <w:lang w:val="es-ES_tradnl"/>
        </w:rPr>
      </w:pPr>
      <w:r w:rsidRPr="00487E98">
        <w:rPr>
          <w:rFonts w:ascii="Verdana" w:eastAsia="Calibri" w:hAnsi="Verdana" w:cs="Times New Roman"/>
          <w:lang w:val="es-ES_tradnl"/>
        </w:rPr>
        <w:t xml:space="preserve">Ley 80 de 1993, </w:t>
      </w:r>
      <w:r w:rsidR="00F577F3">
        <w:rPr>
          <w:rFonts w:ascii="Verdana" w:eastAsia="Calibri" w:hAnsi="Verdana" w:cs="Times New Roman"/>
          <w:lang w:val="es-ES_tradnl"/>
        </w:rPr>
        <w:t xml:space="preserve">artículo 4, artículo 5, </w:t>
      </w:r>
      <w:r w:rsidR="00BC1D9A">
        <w:rPr>
          <w:rFonts w:ascii="Verdana" w:eastAsia="Calibri" w:hAnsi="Verdana" w:cs="Times New Roman"/>
          <w:lang w:val="es-ES_tradnl"/>
        </w:rPr>
        <w:t xml:space="preserve">artículo 23, artículo 31, </w:t>
      </w:r>
      <w:r w:rsidRPr="00487E98">
        <w:rPr>
          <w:rFonts w:ascii="Verdana" w:eastAsia="Calibri" w:hAnsi="Verdana" w:cs="Times New Roman"/>
          <w:lang w:val="es-ES_tradnl"/>
        </w:rPr>
        <w:t xml:space="preserve">articulo 60. Disponible en: </w:t>
      </w:r>
    </w:p>
    <w:p w14:paraId="50005169" w14:textId="77777777" w:rsidR="00B333CB" w:rsidRPr="00487E98" w:rsidRDefault="00B333CB" w:rsidP="00B333CB">
      <w:pPr>
        <w:spacing w:after="0" w:line="256" w:lineRule="auto"/>
        <w:rPr>
          <w:rFonts w:ascii="Verdana" w:eastAsia="Calibri" w:hAnsi="Verdana" w:cs="Times New Roman"/>
          <w:lang w:val="es-ES_tradnl"/>
        </w:rPr>
      </w:pPr>
      <w:hyperlink r:id="rId11" w:history="1">
        <w:r w:rsidRPr="00487E98">
          <w:rPr>
            <w:rFonts w:ascii="Verdana" w:eastAsia="Calibri" w:hAnsi="Verdana" w:cs="Times New Roman"/>
            <w:color w:val="0000FF"/>
            <w:u w:val="single"/>
            <w:lang w:val="es-ES_tradnl"/>
          </w:rPr>
          <w:t>https://relatoria.colombiacompra.gov.co/normativa/ley-80-de-1993/</w:t>
        </w:r>
      </w:hyperlink>
    </w:p>
    <w:p w14:paraId="373FF892" w14:textId="77777777" w:rsidR="00B333CB" w:rsidRPr="00487E98" w:rsidRDefault="00B333CB" w:rsidP="00B333CB">
      <w:pPr>
        <w:spacing w:after="0" w:line="256" w:lineRule="auto"/>
        <w:rPr>
          <w:rFonts w:ascii="Verdana" w:eastAsia="Calibri" w:hAnsi="Verdana" w:cs="Times New Roman"/>
          <w:lang w:val="es-ES_tradnl"/>
        </w:rPr>
      </w:pPr>
    </w:p>
    <w:p w14:paraId="2C2FC132" w14:textId="1A565B69" w:rsidR="00B333CB" w:rsidRPr="00487E98" w:rsidRDefault="00B333CB" w:rsidP="00B333CB">
      <w:pPr>
        <w:numPr>
          <w:ilvl w:val="0"/>
          <w:numId w:val="18"/>
        </w:numPr>
        <w:spacing w:after="0" w:line="256" w:lineRule="auto"/>
        <w:rPr>
          <w:rFonts w:ascii="Verdana" w:eastAsia="Calibri" w:hAnsi="Verdana" w:cs="Times New Roman"/>
          <w:lang w:val="es-ES_tradnl"/>
        </w:rPr>
      </w:pPr>
      <w:r w:rsidRPr="00487E98">
        <w:rPr>
          <w:rFonts w:ascii="Verdana" w:eastAsia="Calibri" w:hAnsi="Verdana" w:cs="Times New Roman"/>
          <w:lang w:val="es-ES_tradnl"/>
        </w:rPr>
        <w:t xml:space="preserve">Ley 1150 de 2007, </w:t>
      </w:r>
      <w:r w:rsidR="00D167FD">
        <w:rPr>
          <w:rFonts w:ascii="Verdana" w:eastAsia="Calibri" w:hAnsi="Verdana" w:cs="Times New Roman"/>
          <w:lang w:val="es-ES_tradnl"/>
        </w:rPr>
        <w:t>a</w:t>
      </w:r>
      <w:r w:rsidR="000C1243">
        <w:rPr>
          <w:rFonts w:ascii="Verdana" w:eastAsia="Calibri" w:hAnsi="Verdana" w:cs="Times New Roman"/>
          <w:lang w:val="es-ES_tradnl"/>
        </w:rPr>
        <w:t>rtículo 6</w:t>
      </w:r>
      <w:r w:rsidR="00D167FD">
        <w:rPr>
          <w:rFonts w:ascii="Verdana" w:eastAsia="Calibri" w:hAnsi="Verdana" w:cs="Times New Roman"/>
          <w:lang w:val="es-ES_tradnl"/>
        </w:rPr>
        <w:t>, a</w:t>
      </w:r>
      <w:r w:rsidRPr="00487E98">
        <w:rPr>
          <w:rFonts w:ascii="Verdana" w:eastAsia="Calibri" w:hAnsi="Verdana" w:cs="Times New Roman"/>
          <w:lang w:val="es-ES_tradnl"/>
        </w:rPr>
        <w:t>rtículo 11</w:t>
      </w:r>
      <w:r w:rsidR="000C1243">
        <w:rPr>
          <w:rFonts w:ascii="Verdana" w:eastAsia="Calibri" w:hAnsi="Verdana" w:cs="Times New Roman"/>
          <w:lang w:val="es-ES_tradnl"/>
        </w:rPr>
        <w:t xml:space="preserve">, </w:t>
      </w:r>
      <w:r w:rsidR="00D167FD">
        <w:rPr>
          <w:rFonts w:ascii="Verdana" w:eastAsia="Calibri" w:hAnsi="Verdana" w:cs="Times New Roman"/>
          <w:lang w:val="es-ES_tradnl"/>
        </w:rPr>
        <w:t>artículo 17</w:t>
      </w:r>
      <w:r w:rsidRPr="00487E98">
        <w:rPr>
          <w:rFonts w:ascii="Verdana" w:eastAsia="Calibri" w:hAnsi="Verdana" w:cs="Times New Roman"/>
          <w:lang w:val="es-ES_tradnl"/>
        </w:rPr>
        <w:t xml:space="preserve">. Disponible en: </w:t>
      </w:r>
      <w:hyperlink r:id="rId12" w:history="1">
        <w:r w:rsidRPr="00487E98">
          <w:rPr>
            <w:rFonts w:ascii="Verdana" w:eastAsia="Calibri" w:hAnsi="Verdana" w:cs="Times New Roman"/>
            <w:color w:val="0000FF"/>
            <w:u w:val="single"/>
            <w:lang w:val="es-ES_tradnl"/>
          </w:rPr>
          <w:t>https://relatoria.colombiacompra.gov.co/normativa/ley-1150-de-2007/</w:t>
        </w:r>
      </w:hyperlink>
    </w:p>
    <w:p w14:paraId="3F1371EE" w14:textId="77777777" w:rsidR="00B333CB" w:rsidRPr="00487E98" w:rsidRDefault="00B333CB" w:rsidP="00B333CB">
      <w:pPr>
        <w:spacing w:after="0" w:line="256" w:lineRule="auto"/>
        <w:ind w:left="720"/>
        <w:rPr>
          <w:rFonts w:ascii="Verdana" w:eastAsia="Calibri" w:hAnsi="Verdana" w:cs="Times New Roman"/>
          <w:lang w:val="es-ES_tradnl"/>
        </w:rPr>
      </w:pPr>
    </w:p>
    <w:p w14:paraId="68069E56" w14:textId="6BE07D78" w:rsidR="00B333CB" w:rsidRPr="00487E98" w:rsidRDefault="00B333CB" w:rsidP="00B333CB">
      <w:pPr>
        <w:numPr>
          <w:ilvl w:val="0"/>
          <w:numId w:val="18"/>
        </w:numPr>
        <w:spacing w:after="0" w:line="256" w:lineRule="auto"/>
        <w:rPr>
          <w:rFonts w:ascii="Verdana" w:eastAsia="Calibri" w:hAnsi="Verdana" w:cs="Times New Roman"/>
          <w:lang w:val="es-ES_tradnl"/>
        </w:rPr>
      </w:pPr>
      <w:r w:rsidRPr="00487E98">
        <w:rPr>
          <w:rFonts w:ascii="Verdana" w:eastAsia="Calibri" w:hAnsi="Verdana" w:cs="Times New Roman"/>
          <w:lang w:val="es-ES_tradnl"/>
        </w:rPr>
        <w:t xml:space="preserve">Ley 1474 de 2011, </w:t>
      </w:r>
      <w:r w:rsidR="00D167FD">
        <w:rPr>
          <w:rFonts w:ascii="Verdana" w:eastAsia="Calibri" w:hAnsi="Verdana" w:cs="Times New Roman"/>
          <w:lang w:val="es-ES_tradnl"/>
        </w:rPr>
        <w:t xml:space="preserve">artículo 86, </w:t>
      </w:r>
      <w:r w:rsidRPr="00487E98">
        <w:rPr>
          <w:rFonts w:ascii="Verdana" w:eastAsia="Calibri" w:hAnsi="Verdana" w:cs="Times New Roman"/>
          <w:lang w:val="es-ES_tradnl"/>
        </w:rPr>
        <w:t xml:space="preserve">artículo 90. Disponible en: </w:t>
      </w:r>
      <w:hyperlink r:id="rId13" w:history="1">
        <w:r w:rsidRPr="00487E98">
          <w:rPr>
            <w:rFonts w:ascii="Verdana" w:eastAsia="Calibri" w:hAnsi="Verdana" w:cs="Times New Roman"/>
            <w:color w:val="0000FF"/>
            <w:u w:val="single"/>
            <w:lang w:val="es-ES_tradnl"/>
          </w:rPr>
          <w:t>https://relatoria.colombiacompra.gov.co/normativa/ley-1474-de-2011/</w:t>
        </w:r>
      </w:hyperlink>
    </w:p>
    <w:p w14:paraId="60F53224" w14:textId="77777777" w:rsidR="00B333CB" w:rsidRPr="00487E98" w:rsidRDefault="00B333CB" w:rsidP="00B333CB">
      <w:pPr>
        <w:spacing w:after="0" w:line="256" w:lineRule="auto"/>
        <w:rPr>
          <w:rFonts w:ascii="Verdana" w:eastAsia="Calibri" w:hAnsi="Verdana" w:cs="Times New Roman"/>
          <w:lang w:val="es-ES_tradnl"/>
        </w:rPr>
      </w:pPr>
    </w:p>
    <w:p w14:paraId="3991744F" w14:textId="3913D64D" w:rsidR="00B333CB" w:rsidRPr="00487E98" w:rsidRDefault="00B333CB" w:rsidP="00B333CB">
      <w:pPr>
        <w:numPr>
          <w:ilvl w:val="0"/>
          <w:numId w:val="18"/>
        </w:numPr>
        <w:spacing w:after="0" w:line="256" w:lineRule="auto"/>
        <w:rPr>
          <w:rFonts w:ascii="Verdana" w:eastAsia="Calibri" w:hAnsi="Verdana" w:cs="Times New Roman"/>
          <w:lang w:val="es-ES_tradnl"/>
        </w:rPr>
      </w:pPr>
      <w:r w:rsidRPr="00487E98">
        <w:rPr>
          <w:rFonts w:ascii="Verdana" w:eastAsia="Calibri" w:hAnsi="Verdana" w:cs="Times New Roman"/>
          <w:lang w:val="es-ES"/>
        </w:rPr>
        <w:t>Decreto 1082 de 2015, artículo 2.2.1.2.3.1.7.</w:t>
      </w:r>
      <w:r w:rsidR="00BC1D9A">
        <w:rPr>
          <w:rFonts w:ascii="Verdana" w:eastAsia="Calibri" w:hAnsi="Verdana" w:cs="Times New Roman"/>
          <w:lang w:val="es-ES"/>
        </w:rPr>
        <w:t xml:space="preserve"> artículo </w:t>
      </w:r>
      <w:r w:rsidR="00BC1D9A" w:rsidRPr="00487E98">
        <w:rPr>
          <w:rFonts w:ascii="Verdana" w:eastAsia="Calibri" w:hAnsi="Verdana" w:cs="Arial"/>
          <w:iCs/>
          <w:lang w:val="es-MX"/>
        </w:rPr>
        <w:t>2.2.1.1.1.5.7</w:t>
      </w:r>
      <w:r w:rsidR="00584AD6">
        <w:rPr>
          <w:rFonts w:ascii="Verdana" w:eastAsia="Calibri" w:hAnsi="Verdana" w:cs="Arial"/>
          <w:iCs/>
          <w:lang w:val="es-MX"/>
        </w:rPr>
        <w:t>.</w:t>
      </w:r>
      <w:r w:rsidRPr="00487E98">
        <w:rPr>
          <w:rFonts w:ascii="Verdana" w:eastAsia="Calibri" w:hAnsi="Verdana" w:cs="Times New Roman"/>
          <w:lang w:val="es-ES"/>
        </w:rPr>
        <w:t xml:space="preserve"> Disponible en: </w:t>
      </w:r>
      <w:hyperlink r:id="rId14" w:history="1">
        <w:r w:rsidRPr="00487E98">
          <w:rPr>
            <w:rFonts w:ascii="Verdana" w:eastAsia="Calibri" w:hAnsi="Verdana" w:cs="Times New Roman"/>
            <w:color w:val="0000FF"/>
            <w:u w:val="single"/>
            <w:lang w:val="es-ES"/>
          </w:rPr>
          <w:t>https://relatoria.colombiacompra.gov.co/normativa/decreto-1082-de-2015/</w:t>
        </w:r>
      </w:hyperlink>
    </w:p>
    <w:p w14:paraId="1C27BD63" w14:textId="77777777" w:rsidR="00B333CB" w:rsidRPr="00487E98" w:rsidRDefault="00B333CB" w:rsidP="00B333CB">
      <w:pPr>
        <w:spacing w:line="256" w:lineRule="auto"/>
        <w:ind w:left="720"/>
        <w:contextualSpacing/>
        <w:rPr>
          <w:rFonts w:ascii="Verdana" w:hAnsi="Verdana"/>
          <w:lang w:val="es-ES_tradnl"/>
        </w:rPr>
      </w:pPr>
    </w:p>
    <w:p w14:paraId="3B994BC4" w14:textId="4D365387" w:rsidR="00B333CB" w:rsidRPr="00487E98" w:rsidRDefault="00B333CB" w:rsidP="00B333CB">
      <w:pPr>
        <w:numPr>
          <w:ilvl w:val="0"/>
          <w:numId w:val="18"/>
        </w:numPr>
        <w:spacing w:after="0" w:line="256" w:lineRule="auto"/>
        <w:contextualSpacing/>
        <w:rPr>
          <w:rFonts w:ascii="Verdana" w:hAnsi="Verdana"/>
        </w:rPr>
      </w:pPr>
      <w:r w:rsidRPr="00487E98">
        <w:rPr>
          <w:rFonts w:ascii="Verdana" w:hAnsi="Verdana"/>
        </w:rPr>
        <w:t>Decreto 019 de 2012</w:t>
      </w:r>
      <w:r w:rsidRPr="00487E98">
        <w:rPr>
          <w:rFonts w:ascii="Verdana" w:hAnsi="Verdana"/>
          <w:lang w:val="es-ES"/>
        </w:rPr>
        <w:t>, artículo 217</w:t>
      </w:r>
      <w:r w:rsidR="00BC1D9A">
        <w:rPr>
          <w:rFonts w:ascii="Verdana" w:hAnsi="Verdana"/>
          <w:lang w:val="es-ES"/>
        </w:rPr>
        <w:t>, artículo 218</w:t>
      </w:r>
      <w:r w:rsidRPr="00487E98">
        <w:rPr>
          <w:rFonts w:ascii="Verdana" w:hAnsi="Verdana"/>
          <w:lang w:val="es-ES"/>
        </w:rPr>
        <w:t>. Disponible en:</w:t>
      </w:r>
    </w:p>
    <w:p w14:paraId="02FC7F04" w14:textId="77777777" w:rsidR="00B333CB" w:rsidRPr="00487E98" w:rsidRDefault="00B333CB" w:rsidP="00B333CB">
      <w:pPr>
        <w:spacing w:after="0" w:line="256" w:lineRule="auto"/>
        <w:ind w:left="720"/>
        <w:rPr>
          <w:rFonts w:ascii="Verdana" w:eastAsia="Calibri" w:hAnsi="Verdana" w:cs="Times New Roman"/>
          <w:lang w:val="es-ES_tradnl"/>
        </w:rPr>
      </w:pPr>
      <w:hyperlink r:id="rId15" w:history="1">
        <w:r w:rsidRPr="00487E98">
          <w:rPr>
            <w:rFonts w:ascii="Verdana" w:eastAsia="Calibri" w:hAnsi="Verdana" w:cs="Times New Roman"/>
            <w:color w:val="0000FF"/>
            <w:u w:val="single"/>
          </w:rPr>
          <w:t>https://relatoria.colombiacompra.gov.co/normativa/decreto-019-de-2012/</w:t>
        </w:r>
      </w:hyperlink>
    </w:p>
    <w:p w14:paraId="2BA163A4" w14:textId="77777777" w:rsidR="00B333CB" w:rsidRPr="00487E98" w:rsidRDefault="00B333CB" w:rsidP="00B333CB">
      <w:pPr>
        <w:spacing w:line="256" w:lineRule="auto"/>
        <w:ind w:left="720"/>
        <w:contextualSpacing/>
        <w:rPr>
          <w:rFonts w:ascii="Verdana" w:hAnsi="Verdana"/>
          <w:lang w:val="es-ES_tradnl"/>
        </w:rPr>
      </w:pPr>
    </w:p>
    <w:p w14:paraId="3D669B92" w14:textId="77777777" w:rsidR="00B333CB" w:rsidRPr="00487E98" w:rsidRDefault="00B333CB" w:rsidP="00B333CB">
      <w:pPr>
        <w:spacing w:after="0" w:line="256" w:lineRule="auto"/>
        <w:ind w:left="720"/>
        <w:rPr>
          <w:rFonts w:ascii="Verdana" w:eastAsia="Calibri" w:hAnsi="Verdana" w:cs="Times New Roman"/>
        </w:rPr>
      </w:pPr>
    </w:p>
    <w:p w14:paraId="305C7305" w14:textId="77777777" w:rsidR="00B333CB" w:rsidRPr="00487E98" w:rsidRDefault="00B333CB" w:rsidP="00B333CB">
      <w:pPr>
        <w:numPr>
          <w:ilvl w:val="0"/>
          <w:numId w:val="16"/>
        </w:numPr>
        <w:spacing w:after="0" w:line="256" w:lineRule="auto"/>
        <w:ind w:left="0" w:firstLine="0"/>
        <w:rPr>
          <w:rFonts w:ascii="Verdana" w:eastAsia="Calibri" w:hAnsi="Verdana" w:cs="Times New Roman"/>
          <w:b/>
          <w:bCs/>
          <w:lang w:val="es-ES"/>
        </w:rPr>
      </w:pPr>
      <w:r w:rsidRPr="00487E98">
        <w:rPr>
          <w:rFonts w:ascii="Verdana" w:eastAsia="Calibri" w:hAnsi="Verdana" w:cs="Times New Roman"/>
          <w:b/>
          <w:bCs/>
          <w:lang w:val="es-ES"/>
        </w:rPr>
        <w:t>Doctrina de la Agencia Nacional de Contratación Pública:</w:t>
      </w:r>
    </w:p>
    <w:p w14:paraId="65B56526" w14:textId="77777777" w:rsidR="00B333CB" w:rsidRPr="00487E98" w:rsidRDefault="00B333CB" w:rsidP="00B333CB">
      <w:pPr>
        <w:spacing w:after="0" w:line="256" w:lineRule="auto"/>
        <w:rPr>
          <w:rFonts w:ascii="Verdana" w:eastAsia="Calibri" w:hAnsi="Verdana" w:cs="Times New Roman"/>
          <w:lang w:val="es-ES"/>
        </w:rPr>
      </w:pPr>
    </w:p>
    <w:p w14:paraId="7AF656F1" w14:textId="6BE59762" w:rsidR="00B333CB" w:rsidRPr="00487E98" w:rsidRDefault="00B333CB" w:rsidP="00B333CB">
      <w:pPr>
        <w:spacing w:after="0" w:line="256" w:lineRule="auto"/>
        <w:jc w:val="both"/>
        <w:rPr>
          <w:rFonts w:ascii="Verdana" w:eastAsia="Calibri" w:hAnsi="Verdana" w:cs="Times New Roman"/>
          <w:bCs/>
          <w:lang w:val="es-ES_tradnl"/>
        </w:rPr>
      </w:pPr>
      <w:r w:rsidRPr="00487E98">
        <w:rPr>
          <w:rFonts w:ascii="Verdana" w:eastAsia="Calibri" w:hAnsi="Verdana" w:cs="Times New Roman"/>
          <w:lang w:val="es-ES_tradnl"/>
        </w:rPr>
        <w:t xml:space="preserve">La Agencia Nacional de Contratación Pública – Colombia Compra Eficiente se pronunció sobre el régimen de inhabilidades e incompatibilidades se pronunció esta Subdirección en los conceptos C-815 del 18 de febrero de 2021, C-210 del 12 de mayo de 2021, C-275 del 11 de junio de 2021, C-321 del 2 de julio de 2021, C-410 del 7 de julio del 2021, C-491 del 14 de septiembre de 2021, </w:t>
      </w:r>
      <w:r w:rsidRPr="00487E98">
        <w:rPr>
          <w:rFonts w:ascii="Verdana" w:eastAsia="Calibri" w:hAnsi="Verdana" w:cs="Times New Roman"/>
          <w:lang w:val="es-ES"/>
        </w:rPr>
        <w:t>C-028 del 28 de febrero de 2022, C-318 del 18 de mayo de 2022, C-252 del 30 de mayo de 2022, C-175 del 4 de mayo de 2023, C-300 de 2023</w:t>
      </w:r>
      <w:r w:rsidRPr="00487E98">
        <w:rPr>
          <w:rFonts w:ascii="Verdana" w:eastAsia="Calibri" w:hAnsi="Verdana" w:cs="Times New Roman"/>
        </w:rPr>
        <w:t>, C−010 del 31 de enero de 2024, C-039 del 23 de abril de 2024, C-381 del 5 de septiembre de 2024</w:t>
      </w:r>
      <w:r w:rsidR="00323952">
        <w:rPr>
          <w:rFonts w:ascii="Verdana" w:eastAsia="Calibri" w:hAnsi="Verdana" w:cs="Times New Roman"/>
          <w:bCs/>
          <w:lang w:val="es-ES_tradnl"/>
        </w:rPr>
        <w:t xml:space="preserve">, </w:t>
      </w:r>
      <w:r w:rsidRPr="00487E98">
        <w:rPr>
          <w:rFonts w:ascii="Verdana" w:eastAsia="Calibri" w:hAnsi="Verdana" w:cs="Times New Roman"/>
          <w:bCs/>
          <w:lang w:val="es-ES_tradnl"/>
        </w:rPr>
        <w:t>C-529 del 9 de octubre de 2024</w:t>
      </w:r>
      <w:r w:rsidR="00323952">
        <w:rPr>
          <w:rFonts w:ascii="Verdana" w:eastAsia="Calibri" w:hAnsi="Verdana" w:cs="Times New Roman"/>
          <w:bCs/>
          <w:lang w:val="es-ES_tradnl"/>
        </w:rPr>
        <w:t xml:space="preserve"> y </w:t>
      </w:r>
      <w:r w:rsidR="001F20D3">
        <w:rPr>
          <w:rFonts w:ascii="Verdana" w:eastAsia="Calibri" w:hAnsi="Verdana" w:cs="Times New Roman"/>
          <w:bCs/>
          <w:lang w:val="es-ES_tradnl"/>
        </w:rPr>
        <w:t>C-562 del 17 de octubre de 2024.</w:t>
      </w:r>
    </w:p>
    <w:p w14:paraId="57724A38" w14:textId="77777777" w:rsidR="00B333CB" w:rsidRDefault="00B333CB" w:rsidP="00B333CB">
      <w:pPr>
        <w:spacing w:after="0" w:line="256" w:lineRule="auto"/>
        <w:jc w:val="both"/>
        <w:rPr>
          <w:rFonts w:ascii="Verdana" w:eastAsia="Calibri" w:hAnsi="Verdana" w:cs="Times New Roman"/>
          <w:bCs/>
          <w:lang w:val="es-ES_tradnl"/>
        </w:rPr>
      </w:pPr>
    </w:p>
    <w:p w14:paraId="1855C1D7" w14:textId="52679C57" w:rsidR="00794299" w:rsidRPr="00794299" w:rsidRDefault="00794299" w:rsidP="00B333CB">
      <w:pPr>
        <w:spacing w:after="0" w:line="256" w:lineRule="auto"/>
        <w:jc w:val="both"/>
        <w:rPr>
          <w:rFonts w:ascii="Verdana" w:eastAsia="Calibri" w:hAnsi="Verdana" w:cs="Times New Roman"/>
        </w:rPr>
      </w:pPr>
      <w:r w:rsidRPr="00794299">
        <w:rPr>
          <w:rFonts w:ascii="Verdana" w:eastAsia="Calibri" w:hAnsi="Verdana" w:cs="Times New Roman"/>
        </w:rPr>
        <w:t>De igual forma, en los Conceptos C-136 del 29 de marzo de 2022</w:t>
      </w:r>
      <w:r w:rsidR="001F20D3">
        <w:rPr>
          <w:rFonts w:ascii="Verdana" w:eastAsia="Calibri" w:hAnsi="Verdana" w:cs="Times New Roman"/>
        </w:rPr>
        <w:t xml:space="preserve">, </w:t>
      </w:r>
      <w:r w:rsidRPr="00794299">
        <w:rPr>
          <w:rFonts w:ascii="Verdana" w:eastAsia="Calibri" w:hAnsi="Verdana" w:cs="Times New Roman"/>
        </w:rPr>
        <w:t>C-324 del 20 de mayo de 2022</w:t>
      </w:r>
      <w:r w:rsidR="001F20D3">
        <w:rPr>
          <w:rFonts w:ascii="Verdana" w:eastAsia="Calibri" w:hAnsi="Verdana" w:cs="Times New Roman"/>
        </w:rPr>
        <w:t xml:space="preserve"> y C-</w:t>
      </w:r>
      <w:r w:rsidR="00AF5579">
        <w:rPr>
          <w:rFonts w:ascii="Verdana" w:eastAsia="Calibri" w:hAnsi="Verdana" w:cs="Times New Roman"/>
        </w:rPr>
        <w:t>0</w:t>
      </w:r>
      <w:r w:rsidR="00111D4A">
        <w:rPr>
          <w:rFonts w:ascii="Verdana" w:eastAsia="Calibri" w:hAnsi="Verdana" w:cs="Times New Roman"/>
        </w:rPr>
        <w:t xml:space="preserve">78 del </w:t>
      </w:r>
      <w:r w:rsidR="00423344">
        <w:rPr>
          <w:rFonts w:ascii="Verdana" w:eastAsia="Calibri" w:hAnsi="Verdana" w:cs="Times New Roman"/>
        </w:rPr>
        <w:t>04 de junio de 2024</w:t>
      </w:r>
      <w:r w:rsidRPr="00794299">
        <w:rPr>
          <w:rFonts w:ascii="Verdana" w:eastAsia="Calibri" w:hAnsi="Verdana" w:cs="Times New Roman"/>
        </w:rPr>
        <w:t xml:space="preserve"> esta Agencia se pronunció sobre el </w:t>
      </w:r>
      <w:bookmarkStart w:id="2" w:name="_Hlk131602368"/>
      <w:r w:rsidRPr="00794299">
        <w:rPr>
          <w:rFonts w:ascii="Verdana" w:eastAsia="Calibri" w:hAnsi="Verdana" w:cs="Times New Roman"/>
        </w:rPr>
        <w:t>reporte, registro y publicación de multas, sanciones e inhabilidades en el RUP</w:t>
      </w:r>
      <w:bookmarkEnd w:id="2"/>
      <w:r w:rsidR="00423344">
        <w:rPr>
          <w:rFonts w:ascii="Verdana" w:eastAsia="Calibri" w:hAnsi="Verdana" w:cs="Times New Roman"/>
        </w:rPr>
        <w:t>.</w:t>
      </w:r>
    </w:p>
    <w:p w14:paraId="4B49E7A0" w14:textId="77777777" w:rsidR="00794299" w:rsidRPr="00487E98" w:rsidRDefault="00794299" w:rsidP="00B333CB">
      <w:pPr>
        <w:spacing w:after="0" w:line="256" w:lineRule="auto"/>
        <w:jc w:val="both"/>
        <w:rPr>
          <w:rFonts w:ascii="Verdana" w:eastAsia="Calibri" w:hAnsi="Verdana" w:cs="Times New Roman"/>
          <w:bCs/>
          <w:lang w:val="es-ES_tradnl"/>
        </w:rPr>
      </w:pPr>
    </w:p>
    <w:p w14:paraId="56962B1F" w14:textId="77777777" w:rsidR="00B333CB" w:rsidRPr="00487E98" w:rsidRDefault="00B333CB" w:rsidP="00B333CB">
      <w:pPr>
        <w:spacing w:after="0" w:line="256" w:lineRule="auto"/>
        <w:jc w:val="both"/>
        <w:rPr>
          <w:rFonts w:ascii="Verdana" w:eastAsia="Calibri" w:hAnsi="Verdana" w:cs="Times New Roman"/>
        </w:rPr>
      </w:pPr>
      <w:r w:rsidRPr="00487E98">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5A0129DD" w14:textId="77777777" w:rsidR="00B333CB" w:rsidRPr="00487E98" w:rsidRDefault="00B333CB" w:rsidP="00B333CB">
      <w:pPr>
        <w:spacing w:after="0" w:line="256" w:lineRule="auto"/>
        <w:rPr>
          <w:rFonts w:ascii="Verdana" w:eastAsia="Calibri" w:hAnsi="Verdana" w:cs="Times New Roman"/>
        </w:rPr>
      </w:pPr>
    </w:p>
    <w:p w14:paraId="79AFE8CF" w14:textId="77777777" w:rsidR="00B333CB" w:rsidRPr="00487E98" w:rsidRDefault="00B333CB" w:rsidP="00B333CB">
      <w:pPr>
        <w:spacing w:after="0" w:line="256" w:lineRule="auto"/>
        <w:rPr>
          <w:rFonts w:ascii="Verdana" w:eastAsia="Calibri" w:hAnsi="Verdana" w:cs="Times New Roman"/>
        </w:rPr>
      </w:pPr>
      <w:hyperlink r:id="rId16" w:history="1">
        <w:r w:rsidRPr="00487E98">
          <w:rPr>
            <w:rFonts w:ascii="Verdana" w:eastAsia="Calibri" w:hAnsi="Verdana" w:cs="Times New Roman"/>
            <w:color w:val="0000FF"/>
            <w:u w:val="single"/>
            <w:lang w:val="es-ES"/>
          </w:rPr>
          <w:t>https://relatoria.colombiacompra.gov.co/busqueda/conceptos</w:t>
        </w:r>
      </w:hyperlink>
      <w:r w:rsidRPr="00487E98">
        <w:rPr>
          <w:rFonts w:ascii="Verdana" w:eastAsia="Calibri" w:hAnsi="Verdana" w:cs="Times New Roman"/>
        </w:rPr>
        <w:t xml:space="preserve">. </w:t>
      </w:r>
    </w:p>
    <w:p w14:paraId="6C83521F" w14:textId="77777777" w:rsidR="00B333CB" w:rsidRPr="00487E98" w:rsidRDefault="00B333CB" w:rsidP="00B333CB">
      <w:pPr>
        <w:spacing w:after="0" w:line="256" w:lineRule="auto"/>
        <w:rPr>
          <w:rFonts w:ascii="Verdana" w:eastAsia="Calibri" w:hAnsi="Verdana" w:cs="Times New Roman"/>
        </w:rPr>
      </w:pPr>
    </w:p>
    <w:p w14:paraId="04F25219" w14:textId="77777777" w:rsidR="00B333CB" w:rsidRPr="00487E98" w:rsidRDefault="00B333CB" w:rsidP="00B333CB">
      <w:pPr>
        <w:spacing w:after="0" w:line="256" w:lineRule="auto"/>
        <w:jc w:val="both"/>
        <w:rPr>
          <w:rFonts w:ascii="Verdana" w:eastAsia="Calibri" w:hAnsi="Verdana" w:cs="Times New Roman"/>
          <w:u w:val="single"/>
        </w:rPr>
      </w:pPr>
      <w:r w:rsidRPr="00487E98">
        <w:rPr>
          <w:rFonts w:ascii="Verdana" w:eastAsia="Calibri" w:hAnsi="Verdana" w:cs="Times New Roman"/>
        </w:rPr>
        <w:t xml:space="preserve">Te invitamos a revisar la cuarta edición del Boletín de Relatoría de 2024, en el cual se explicaron los cambios más relevantes que fueron incorporados en los </w:t>
      </w:r>
      <w:r w:rsidRPr="00487E98">
        <w:rPr>
          <w:rFonts w:ascii="Verdana" w:eastAsia="Calibri" w:hAnsi="Verdana" w:cs="Times New Roman"/>
        </w:rPr>
        <w:lastRenderedPageBreak/>
        <w:t>Documentos Tipo para el sector de Infraestructura de Transporte, en las modalidades de selección de Licitación de Obra Pública, Selección Abreviada de Menor Cuantía y Mínima Cuantía. Puede consultarlo en el siguiente enlace: </w:t>
      </w:r>
      <w:hyperlink r:id="rId17" w:tgtFrame="_blank" w:tooltip="Dirección URL original: https://www.colombiacompra.gov.co/sala-de-prensa/boletin-digital/boletin-de-relatoria-2024-iv. Haga clic o pulse si confía en este vínculo." w:history="1">
        <w:r w:rsidRPr="00487E98">
          <w:rPr>
            <w:rFonts w:ascii="Verdana" w:eastAsia="Calibri" w:hAnsi="Verdana" w:cs="Times New Roman"/>
            <w:color w:val="0000FF"/>
            <w:u w:val="single"/>
          </w:rPr>
          <w:t>BOLETÍN DE RELATORÍA 2024 – IV | Colombia Compra Eficiente | Agencia Nacional de Contratación Pública</w:t>
        </w:r>
      </w:hyperlink>
    </w:p>
    <w:p w14:paraId="5F442CAC" w14:textId="77777777" w:rsidR="00B333CB" w:rsidRPr="00487E98" w:rsidRDefault="00B333CB" w:rsidP="00B333CB">
      <w:pPr>
        <w:spacing w:after="0" w:line="256" w:lineRule="auto"/>
        <w:jc w:val="both"/>
        <w:rPr>
          <w:rFonts w:ascii="Verdana" w:eastAsia="Calibri" w:hAnsi="Verdana" w:cs="Times New Roman"/>
          <w:lang w:val="es-ES"/>
        </w:rPr>
      </w:pPr>
    </w:p>
    <w:p w14:paraId="5572A70A" w14:textId="77777777" w:rsidR="00B333CB" w:rsidRPr="00487E98" w:rsidRDefault="00B333CB" w:rsidP="00B333CB">
      <w:pPr>
        <w:spacing w:after="0" w:line="256" w:lineRule="auto"/>
        <w:rPr>
          <w:rFonts w:ascii="Verdana" w:eastAsia="Calibri" w:hAnsi="Verdana" w:cs="Times New Roman"/>
        </w:rPr>
      </w:pPr>
      <w:r w:rsidRPr="00487E98">
        <w:rPr>
          <w:rFonts w:ascii="Verdana" w:eastAsia="Calibri" w:hAnsi="Verdana" w:cs="Times New Roman"/>
        </w:rPr>
        <w:t xml:space="preserve">Por último, lo invitamos a seguirnos en las redes sociales en las cuales se difunde información institucional: </w:t>
      </w:r>
    </w:p>
    <w:p w14:paraId="2A7EFB55" w14:textId="77777777" w:rsidR="00B333CB" w:rsidRPr="00487E98" w:rsidRDefault="00B333CB" w:rsidP="00B333CB">
      <w:pPr>
        <w:spacing w:after="0" w:line="256" w:lineRule="auto"/>
        <w:rPr>
          <w:rFonts w:ascii="Verdana" w:eastAsia="Calibri" w:hAnsi="Verdana" w:cs="Times New Roman"/>
        </w:rPr>
      </w:pPr>
    </w:p>
    <w:p w14:paraId="647CB768" w14:textId="77777777" w:rsidR="00B333CB" w:rsidRPr="00487E98" w:rsidRDefault="00B333CB" w:rsidP="00B333CB">
      <w:pPr>
        <w:spacing w:after="0" w:line="256" w:lineRule="auto"/>
        <w:rPr>
          <w:rFonts w:ascii="Verdana" w:eastAsia="Calibri" w:hAnsi="Verdana" w:cs="Times New Roman"/>
        </w:rPr>
      </w:pPr>
      <w:r w:rsidRPr="00487E98">
        <w:rPr>
          <w:rFonts w:ascii="Verdana" w:eastAsia="Calibri" w:hAnsi="Verdana" w:cs="Times New Roman"/>
        </w:rPr>
        <w:t xml:space="preserve">Twitter: </w:t>
      </w:r>
      <w:r w:rsidRPr="00487E98">
        <w:rPr>
          <w:rFonts w:ascii="Verdana" w:eastAsia="Calibri" w:hAnsi="Verdana" w:cs="Times New Roman"/>
          <w:u w:val="single"/>
        </w:rPr>
        <w:t>@colombiacompra</w:t>
      </w:r>
      <w:r w:rsidRPr="00487E98">
        <w:rPr>
          <w:rFonts w:ascii="Verdana" w:eastAsia="Calibri" w:hAnsi="Verdana" w:cs="Times New Roman"/>
        </w:rPr>
        <w:t xml:space="preserve"> </w:t>
      </w:r>
    </w:p>
    <w:p w14:paraId="1F94EE38" w14:textId="77777777" w:rsidR="00B333CB" w:rsidRPr="00487E98" w:rsidRDefault="00B333CB" w:rsidP="00B333CB">
      <w:pPr>
        <w:spacing w:after="0" w:line="256" w:lineRule="auto"/>
        <w:rPr>
          <w:rFonts w:ascii="Verdana" w:eastAsia="Calibri" w:hAnsi="Verdana" w:cs="Times New Roman"/>
        </w:rPr>
      </w:pPr>
      <w:r w:rsidRPr="00487E98">
        <w:rPr>
          <w:rFonts w:ascii="Verdana" w:eastAsia="Calibri" w:hAnsi="Verdana" w:cs="Times New Roman"/>
        </w:rPr>
        <w:t xml:space="preserve">Facebook: </w:t>
      </w:r>
      <w:r w:rsidRPr="00487E98">
        <w:rPr>
          <w:rFonts w:ascii="Verdana" w:eastAsia="Calibri" w:hAnsi="Verdana" w:cs="Times New Roman"/>
          <w:u w:val="single"/>
        </w:rPr>
        <w:t>ColombiaCompraEficiente</w:t>
      </w:r>
    </w:p>
    <w:p w14:paraId="2F83A13A" w14:textId="77777777" w:rsidR="00B333CB" w:rsidRPr="00487E98" w:rsidRDefault="00B333CB" w:rsidP="00B333CB">
      <w:pPr>
        <w:spacing w:after="0" w:line="256" w:lineRule="auto"/>
        <w:rPr>
          <w:rFonts w:ascii="Verdana" w:eastAsia="Calibri" w:hAnsi="Verdana" w:cs="Times New Roman"/>
          <w:u w:val="single"/>
        </w:rPr>
      </w:pPr>
      <w:r w:rsidRPr="00487E98">
        <w:rPr>
          <w:rFonts w:ascii="Verdana" w:eastAsia="Calibri" w:hAnsi="Verdana" w:cs="Times New Roman"/>
        </w:rPr>
        <w:t xml:space="preserve">LinkedIn: </w:t>
      </w:r>
      <w:r w:rsidRPr="00487E98">
        <w:rPr>
          <w:rFonts w:ascii="Verdana" w:eastAsia="Calibri" w:hAnsi="Verdana" w:cs="Times New Roman"/>
          <w:u w:val="single"/>
        </w:rPr>
        <w:t>Agencia Nacional de Contratación Pública - Colombia Compra Eficiente</w:t>
      </w:r>
      <w:r w:rsidRPr="00487E98">
        <w:rPr>
          <w:rFonts w:ascii="Verdana" w:eastAsia="Calibri" w:hAnsi="Verdana" w:cs="Times New Roman"/>
        </w:rPr>
        <w:t xml:space="preserve"> Instagram: </w:t>
      </w:r>
      <w:r w:rsidRPr="00487E98">
        <w:rPr>
          <w:rFonts w:ascii="Verdana" w:eastAsia="Calibri" w:hAnsi="Verdana" w:cs="Times New Roman"/>
          <w:u w:val="single"/>
        </w:rPr>
        <w:t>@colombiacompraeficiente_cce</w:t>
      </w:r>
    </w:p>
    <w:p w14:paraId="67CD0177" w14:textId="77777777" w:rsidR="00B333CB" w:rsidRPr="00487E98" w:rsidRDefault="00B333CB" w:rsidP="00B333CB">
      <w:pPr>
        <w:spacing w:after="0" w:line="256" w:lineRule="auto"/>
        <w:rPr>
          <w:rFonts w:ascii="Verdana" w:eastAsia="Calibri" w:hAnsi="Verdana" w:cs="Times New Roman"/>
          <w:u w:val="single"/>
        </w:rPr>
      </w:pPr>
    </w:p>
    <w:p w14:paraId="3EBE1270" w14:textId="77777777" w:rsidR="00B333CB" w:rsidRPr="00487E98" w:rsidRDefault="00B333CB" w:rsidP="00B333CB">
      <w:pPr>
        <w:spacing w:after="0" w:line="256" w:lineRule="auto"/>
        <w:rPr>
          <w:rFonts w:ascii="Verdana" w:eastAsia="Calibri" w:hAnsi="Verdana" w:cs="Times New Roman"/>
          <w:b/>
          <w:bCs/>
        </w:rPr>
      </w:pPr>
    </w:p>
    <w:p w14:paraId="1CD63538" w14:textId="77777777" w:rsidR="00B333CB" w:rsidRPr="00487E98" w:rsidRDefault="00B333CB" w:rsidP="00B333CB">
      <w:pPr>
        <w:spacing w:after="0" w:line="256" w:lineRule="auto"/>
        <w:jc w:val="both"/>
        <w:rPr>
          <w:rFonts w:ascii="Verdana" w:eastAsia="Calibri" w:hAnsi="Verdana" w:cs="Times New Roman"/>
          <w:bCs/>
          <w:lang w:val="es-ES_tradnl"/>
        </w:rPr>
      </w:pPr>
      <w:r w:rsidRPr="00487E98">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0C479B6" w14:textId="77777777" w:rsidR="00B333CB" w:rsidRPr="00487E98" w:rsidRDefault="00B333CB" w:rsidP="00B333CB">
      <w:pPr>
        <w:spacing w:after="0" w:line="256" w:lineRule="auto"/>
        <w:jc w:val="both"/>
        <w:rPr>
          <w:rFonts w:ascii="Verdana" w:eastAsia="Calibri" w:hAnsi="Verdana" w:cs="Times New Roman"/>
        </w:rPr>
      </w:pPr>
    </w:p>
    <w:p w14:paraId="6C7E292F" w14:textId="77777777" w:rsidR="00B333CB" w:rsidRPr="00487E98" w:rsidRDefault="00B333CB" w:rsidP="00B333CB">
      <w:pPr>
        <w:spacing w:after="0" w:line="256" w:lineRule="auto"/>
        <w:jc w:val="both"/>
        <w:rPr>
          <w:rFonts w:ascii="Verdana" w:eastAsia="Calibri" w:hAnsi="Verdana" w:cs="Times New Roman"/>
        </w:rPr>
      </w:pPr>
      <w:r w:rsidRPr="00487E98">
        <w:rPr>
          <w:rFonts w:ascii="Verdana" w:eastAsia="Calibri" w:hAnsi="Verdana" w:cs="Times New Roman"/>
        </w:rPr>
        <w:t>Atentamente,</w:t>
      </w:r>
    </w:p>
    <w:p w14:paraId="3EFEE9C2" w14:textId="77777777" w:rsidR="00B333CB" w:rsidRPr="00487E98" w:rsidRDefault="00B333CB" w:rsidP="00B333CB">
      <w:pPr>
        <w:spacing w:after="0" w:line="256" w:lineRule="auto"/>
        <w:rPr>
          <w:rFonts w:ascii="Verdana" w:eastAsia="Calibri" w:hAnsi="Verdana" w:cs="Times New Roman"/>
          <w:lang w:val="es-ES"/>
        </w:rPr>
      </w:pPr>
    </w:p>
    <w:p w14:paraId="545A90B7" w14:textId="6CF76BC6" w:rsidR="00B333CB" w:rsidRPr="00487E98" w:rsidRDefault="00431A0C" w:rsidP="00B333CB">
      <w:pPr>
        <w:spacing w:after="0" w:line="256" w:lineRule="auto"/>
        <w:jc w:val="center"/>
        <w:rPr>
          <w:rFonts w:ascii="Verdana" w:eastAsia="Calibri" w:hAnsi="Verdana" w:cs="Times New Roman"/>
          <w:lang w:val="es-ES"/>
        </w:rPr>
      </w:pPr>
      <w:r w:rsidRPr="002C3AD6">
        <w:rPr>
          <w:rFonts w:ascii="Century Gothic" w:hAnsi="Century Gothic"/>
          <w:noProof/>
        </w:rPr>
        <w:drawing>
          <wp:inline distT="0" distB="0" distL="0" distR="0" wp14:anchorId="6AEE6DC2" wp14:editId="57F59BC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316EA322" w14:textId="77777777" w:rsidR="00B333CB" w:rsidRPr="00487E98" w:rsidRDefault="00B333CB" w:rsidP="00B333CB">
      <w:pPr>
        <w:spacing w:after="0" w:line="256" w:lineRule="auto"/>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B333CB" w:rsidRPr="00487E98" w14:paraId="0AC7E1BF" w14:textId="77777777" w:rsidTr="00B333CB">
        <w:trPr>
          <w:trHeight w:val="409"/>
        </w:trPr>
        <w:tc>
          <w:tcPr>
            <w:tcW w:w="817" w:type="dxa"/>
            <w:tcBorders>
              <w:top w:val="nil"/>
              <w:left w:val="nil"/>
              <w:bottom w:val="nil"/>
              <w:right w:val="nil"/>
            </w:tcBorders>
            <w:vAlign w:val="center"/>
            <w:hideMark/>
          </w:tcPr>
          <w:p w14:paraId="7C752358"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34D9D890"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Gustavo Hinestroza Martínez</w:t>
            </w:r>
          </w:p>
          <w:p w14:paraId="2455CDE0"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Contratista de la Subdirección de Gestión Contractual</w:t>
            </w:r>
          </w:p>
        </w:tc>
      </w:tr>
      <w:tr w:rsidR="00B333CB" w:rsidRPr="00487E98" w14:paraId="49FBFD6D" w14:textId="77777777" w:rsidTr="00B333CB">
        <w:trPr>
          <w:trHeight w:val="409"/>
        </w:trPr>
        <w:tc>
          <w:tcPr>
            <w:tcW w:w="817" w:type="dxa"/>
            <w:tcBorders>
              <w:top w:val="nil"/>
              <w:left w:val="nil"/>
              <w:bottom w:val="nil"/>
              <w:right w:val="nil"/>
            </w:tcBorders>
            <w:vAlign w:val="center"/>
            <w:hideMark/>
          </w:tcPr>
          <w:p w14:paraId="312C07EC"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138B0AB"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Alejandro Sarmiento Cantillo</w:t>
            </w:r>
          </w:p>
          <w:p w14:paraId="76DE51FB"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Gestor T1-15 de la Subdirección de Gestión Contractual </w:t>
            </w:r>
          </w:p>
        </w:tc>
      </w:tr>
      <w:tr w:rsidR="00B333CB" w:rsidRPr="00487E98" w14:paraId="365D52EA" w14:textId="77777777" w:rsidTr="00B333CB">
        <w:trPr>
          <w:trHeight w:val="389"/>
        </w:trPr>
        <w:tc>
          <w:tcPr>
            <w:tcW w:w="817" w:type="dxa"/>
            <w:tcBorders>
              <w:top w:val="nil"/>
              <w:left w:val="nil"/>
              <w:bottom w:val="nil"/>
              <w:right w:val="nil"/>
            </w:tcBorders>
            <w:vAlign w:val="center"/>
            <w:hideMark/>
          </w:tcPr>
          <w:p w14:paraId="63360B8C"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B65E89B"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Carolina Quintero Gacharná</w:t>
            </w:r>
          </w:p>
          <w:p w14:paraId="7F99479D" w14:textId="77777777" w:rsidR="00B333CB" w:rsidRPr="00487E98" w:rsidRDefault="00B333CB" w:rsidP="00B333CB">
            <w:pPr>
              <w:spacing w:after="0" w:line="256" w:lineRule="auto"/>
              <w:rPr>
                <w:rFonts w:ascii="Verdana" w:eastAsia="Calibri" w:hAnsi="Verdana" w:cs="Times New Roman"/>
                <w:sz w:val="14"/>
                <w:szCs w:val="14"/>
              </w:rPr>
            </w:pPr>
            <w:r w:rsidRPr="00487E98">
              <w:rPr>
                <w:rFonts w:ascii="Verdana" w:eastAsia="Calibri" w:hAnsi="Verdana" w:cs="Times New Roman"/>
                <w:sz w:val="14"/>
                <w:szCs w:val="14"/>
              </w:rPr>
              <w:t>Subdirectora de Gestión Contractual ANCP – CCE</w:t>
            </w:r>
          </w:p>
        </w:tc>
      </w:tr>
    </w:tbl>
    <w:p w14:paraId="35429EAB" w14:textId="77777777" w:rsidR="00B333CB" w:rsidRPr="00487E98" w:rsidRDefault="00B333CB" w:rsidP="00B333CB">
      <w:pPr>
        <w:spacing w:after="0" w:line="256" w:lineRule="auto"/>
        <w:rPr>
          <w:rFonts w:ascii="Verdana" w:eastAsia="Calibri" w:hAnsi="Verdana" w:cs="Times New Roman"/>
        </w:rPr>
      </w:pPr>
    </w:p>
    <w:bookmarkEnd w:id="0"/>
    <w:p w14:paraId="57CDE0C8" w14:textId="77777777" w:rsidR="00B333CB" w:rsidRPr="00487E98" w:rsidRDefault="00B333CB" w:rsidP="00B333CB">
      <w:pPr>
        <w:spacing w:after="0" w:line="240" w:lineRule="auto"/>
        <w:textAlignment w:val="baseline"/>
        <w:rPr>
          <w:rFonts w:ascii="Verdana" w:eastAsia="Calibri" w:hAnsi="Verdana" w:cs="Times New Roman"/>
        </w:rPr>
      </w:pPr>
      <w:r w:rsidRPr="00487E98">
        <w:rPr>
          <w:rFonts w:ascii="Verdana" w:eastAsia="Times New Roman" w:hAnsi="Verdana" w:cs="Segoe UI"/>
          <w:color w:val="404040"/>
          <w:lang w:eastAsia="es-CO"/>
        </w:rPr>
        <w:t> </w:t>
      </w:r>
    </w:p>
    <w:p w14:paraId="0F293BF4" w14:textId="7BBFAB11" w:rsidR="00127233" w:rsidRPr="00487E98" w:rsidRDefault="00127233" w:rsidP="00B333CB">
      <w:pPr>
        <w:rPr>
          <w:rFonts w:ascii="Verdana" w:hAnsi="Verdana"/>
        </w:rPr>
      </w:pPr>
    </w:p>
    <w:sectPr w:rsidR="00127233" w:rsidRPr="00487E98"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28A3" w14:textId="77777777" w:rsidR="007A1A91" w:rsidRDefault="007A1A91" w:rsidP="004A1847">
      <w:pPr>
        <w:spacing w:after="0" w:line="240" w:lineRule="auto"/>
      </w:pPr>
      <w:r>
        <w:separator/>
      </w:r>
    </w:p>
  </w:endnote>
  <w:endnote w:type="continuationSeparator" w:id="0">
    <w:p w14:paraId="799F9C69" w14:textId="77777777" w:rsidR="007A1A91" w:rsidRDefault="007A1A9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9669" w14:textId="77777777" w:rsidR="007A1A91" w:rsidRDefault="007A1A91" w:rsidP="004A1847">
      <w:pPr>
        <w:spacing w:after="0" w:line="240" w:lineRule="auto"/>
      </w:pPr>
      <w:r>
        <w:separator/>
      </w:r>
    </w:p>
  </w:footnote>
  <w:footnote w:type="continuationSeparator" w:id="0">
    <w:p w14:paraId="532D2860" w14:textId="77777777" w:rsidR="007A1A91" w:rsidRDefault="007A1A91" w:rsidP="004A1847">
      <w:pPr>
        <w:spacing w:after="0" w:line="240" w:lineRule="auto"/>
      </w:pPr>
      <w:r>
        <w:continuationSeparator/>
      </w:r>
    </w:p>
  </w:footnote>
  <w:footnote w:id="1">
    <w:p w14:paraId="28343DA3" w14:textId="77777777" w:rsidR="00B333CB" w:rsidRDefault="00B333CB" w:rsidP="00B333CB">
      <w:pPr>
        <w:pStyle w:val="Textonotapie"/>
        <w:ind w:firstLine="708"/>
        <w:rPr>
          <w:rFonts w:ascii="Verdana" w:hAnsi="Verdana" w:cs="Arial"/>
          <w:color w:val="000000" w:themeColor="text1"/>
          <w:sz w:val="14"/>
          <w:szCs w:val="14"/>
        </w:rPr>
      </w:pPr>
      <w:r>
        <w:rPr>
          <w:rStyle w:val="Refdenotaalpie"/>
        </w:rPr>
        <w:footnoteRef/>
      </w:r>
      <w:r>
        <w:t xml:space="preserve"> </w:t>
      </w:r>
      <w:r>
        <w:rPr>
          <w:rFonts w:ascii="Verdana" w:hAnsi="Verdana" w:cs="Arial"/>
          <w:color w:val="000000" w:themeColor="text1"/>
          <w:sz w:val="14"/>
          <w:szCs w:val="14"/>
        </w:rPr>
        <w:t>EXPÓSITO VÉLEZ. Juan Carlos. Forma y contenido del contrato estatal, p. 90.</w:t>
      </w:r>
    </w:p>
    <w:p w14:paraId="772D6197" w14:textId="77777777" w:rsidR="00B333CB" w:rsidRDefault="00B333CB" w:rsidP="00B333CB">
      <w:pPr>
        <w:pStyle w:val="Textonotapie"/>
        <w:ind w:firstLine="708"/>
        <w:rPr>
          <w:rFonts w:ascii="Calibri" w:hAnsi="Calibri" w:cs="Times New Roman"/>
        </w:rPr>
      </w:pPr>
    </w:p>
  </w:footnote>
  <w:footnote w:id="2">
    <w:p w14:paraId="2305D3B8" w14:textId="77777777" w:rsidR="00B333CB" w:rsidRDefault="00B333CB" w:rsidP="00B333CB">
      <w:pPr>
        <w:pStyle w:val="Textonotapie"/>
        <w:ind w:firstLine="708"/>
        <w:rPr>
          <w:rFonts w:ascii="Verdana" w:hAnsi="Verdana" w:cs="Arial"/>
          <w:color w:val="000000" w:themeColor="text1"/>
          <w:sz w:val="12"/>
          <w:szCs w:val="12"/>
        </w:rPr>
      </w:pPr>
      <w:r>
        <w:rPr>
          <w:rStyle w:val="Refdenotaalpie"/>
        </w:rPr>
        <w:footnoteRef/>
      </w:r>
      <w:r>
        <w:t xml:space="preserve"> </w:t>
      </w:r>
      <w:r>
        <w:rPr>
          <w:rFonts w:ascii="Verdana" w:hAnsi="Verdana" w:cs="Arial"/>
          <w:color w:val="000000" w:themeColor="text1"/>
          <w:sz w:val="12"/>
          <w:szCs w:val="12"/>
        </w:rPr>
        <w:t>CONSEJO DE ESTADO, Sala de Consulta y Servicio Civil. Radicado No. 1453. Concepto de 6 de agosto de 2003. MP. Augusto Trejos.</w:t>
      </w:r>
    </w:p>
    <w:p w14:paraId="3198090B" w14:textId="77777777" w:rsidR="00B333CB" w:rsidRDefault="00B333CB" w:rsidP="00B333CB">
      <w:pPr>
        <w:pStyle w:val="Textonotapie"/>
        <w:ind w:firstLine="708"/>
        <w:rPr>
          <w:rFonts w:ascii="Calibri" w:hAnsi="Calibri" w:cs="Times New Roman"/>
        </w:rPr>
      </w:pPr>
    </w:p>
  </w:footnote>
  <w:footnote w:id="3">
    <w:p w14:paraId="309FC49D" w14:textId="77777777" w:rsidR="00B333CB" w:rsidRDefault="00B333CB" w:rsidP="00B333CB">
      <w:pPr>
        <w:pStyle w:val="Textonotapie"/>
        <w:ind w:firstLine="708"/>
        <w:jc w:val="both"/>
        <w:rPr>
          <w:rFonts w:ascii="Verdana" w:hAnsi="Verdana" w:cs="Arial"/>
          <w:color w:val="000000" w:themeColor="text1"/>
          <w:sz w:val="12"/>
          <w:szCs w:val="12"/>
          <w:lang w:val="es-ES"/>
        </w:rPr>
      </w:pPr>
      <w:r>
        <w:rPr>
          <w:rStyle w:val="Refdenotaalpie"/>
        </w:rPr>
        <w:footnoteRef/>
      </w:r>
      <w:r>
        <w:t xml:space="preserve"> </w:t>
      </w:r>
      <w:r>
        <w:rPr>
          <w:rFonts w:ascii="Verdana" w:hAnsi="Verdana" w:cs="Arial"/>
          <w:color w:val="000000" w:themeColor="text1"/>
          <w:sz w:val="12"/>
          <w:szCs w:val="12"/>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7C4677CC" w14:textId="77777777" w:rsidR="00B333CB" w:rsidRDefault="00B333CB" w:rsidP="00B333CB">
      <w:pPr>
        <w:pStyle w:val="Textonotapie"/>
        <w:ind w:firstLine="708"/>
        <w:jc w:val="both"/>
        <w:rPr>
          <w:rFonts w:ascii="Verdana" w:hAnsi="Verdana" w:cs="Arial"/>
          <w:color w:val="000000" w:themeColor="text1"/>
          <w:sz w:val="12"/>
          <w:szCs w:val="12"/>
          <w:lang w:val="es-ES"/>
        </w:rPr>
      </w:pPr>
      <w:r>
        <w:rPr>
          <w:rFonts w:ascii="Verdana" w:hAnsi="Verdana" w:cs="Arial"/>
          <w:color w:val="000000" w:themeColor="text1"/>
          <w:sz w:val="12"/>
          <w:szCs w:val="12"/>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366ED93A" w14:textId="77777777" w:rsidR="00B333CB" w:rsidRDefault="00B333CB" w:rsidP="00B333CB">
      <w:pPr>
        <w:pStyle w:val="Textonotapie"/>
        <w:ind w:firstLine="708"/>
        <w:jc w:val="both"/>
        <w:rPr>
          <w:rFonts w:ascii="Verdana" w:hAnsi="Verdana" w:cs="Arial"/>
          <w:color w:val="000000" w:themeColor="text1"/>
          <w:sz w:val="12"/>
          <w:szCs w:val="12"/>
          <w:lang w:val="es-ES"/>
        </w:rPr>
      </w:pPr>
      <w:r>
        <w:rPr>
          <w:rFonts w:ascii="Verdana" w:hAnsi="Verdana" w:cs="Arial"/>
          <w:color w:val="000000" w:themeColor="text1"/>
          <w:sz w:val="12"/>
          <w:szCs w:val="12"/>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55905352" w14:textId="77777777" w:rsidR="00B333CB" w:rsidRDefault="00B333CB" w:rsidP="00B333CB">
      <w:pPr>
        <w:pStyle w:val="Textonotapie"/>
        <w:ind w:firstLine="708"/>
        <w:jc w:val="both"/>
        <w:rPr>
          <w:rFonts w:ascii="Verdana" w:hAnsi="Verdana" w:cs="Arial"/>
          <w:color w:val="000000" w:themeColor="text1"/>
          <w:sz w:val="12"/>
          <w:szCs w:val="12"/>
          <w:lang w:val="es-ES"/>
        </w:rPr>
      </w:pPr>
      <w:r>
        <w:rPr>
          <w:rFonts w:ascii="Verdana" w:hAnsi="Verdana" w:cs="Arial"/>
          <w:color w:val="000000" w:themeColor="text1"/>
          <w:sz w:val="12"/>
          <w:szCs w:val="12"/>
          <w:lang w:val="es-ES"/>
        </w:rPr>
        <w:t>“Los contratistas tendrán derecho a efectuar salvedades a la liquidación por mutuo acuerdo, y en este evento la liquidación unilateral solo procederá en relación con los aspectos que no hayan sido objeto de acuerdo¨.</w:t>
      </w:r>
    </w:p>
    <w:p w14:paraId="1CD9550C" w14:textId="77777777" w:rsidR="00B333CB" w:rsidRDefault="00B333CB" w:rsidP="00B333CB">
      <w:pPr>
        <w:pStyle w:val="Textonotapie"/>
        <w:ind w:firstLine="708"/>
        <w:rPr>
          <w:rFonts w:ascii="Calibri" w:hAnsi="Calibri" w:cs="Times New Roman"/>
        </w:rPr>
      </w:pPr>
    </w:p>
  </w:footnote>
  <w:footnote w:id="4">
    <w:p w14:paraId="58A0622F" w14:textId="77777777" w:rsidR="00B333CB" w:rsidRDefault="00B333CB" w:rsidP="00B333CB">
      <w:pPr>
        <w:pStyle w:val="Textonotapie"/>
        <w:ind w:firstLine="708"/>
      </w:pPr>
      <w:r>
        <w:rPr>
          <w:rStyle w:val="Refdenotaalpie"/>
        </w:rPr>
        <w:footnoteRef/>
      </w:r>
      <w:r>
        <w:t xml:space="preserve">  Cfr. Consejo de Estado, Sección Tercera. Sentencia del 20 de octubre de 2014. Rad.: 27777.</w:t>
      </w:r>
    </w:p>
    <w:p w14:paraId="1BE38117" w14:textId="77777777" w:rsidR="00B333CB" w:rsidRDefault="00B333CB" w:rsidP="00B333CB">
      <w:pPr>
        <w:pStyle w:val="Textonotapie"/>
        <w:ind w:firstLine="708"/>
      </w:pPr>
    </w:p>
  </w:footnote>
  <w:footnote w:id="5">
    <w:p w14:paraId="01DC04EF" w14:textId="77777777" w:rsidR="00B333CB" w:rsidRDefault="00B333CB" w:rsidP="00B333CB">
      <w:pPr>
        <w:pStyle w:val="Textonotapie"/>
        <w:ind w:firstLine="708"/>
      </w:pPr>
      <w:r>
        <w:rPr>
          <w:rStyle w:val="Refdenotaalpie"/>
        </w:rPr>
        <w:footnoteRef/>
      </w:r>
      <w:r>
        <w:t xml:space="preserve"> Cfr. Consejo de Estado, Sección Tercera. Subsección C Sentencia del 13 de marzo de 2024. Rad.: 67782.</w:t>
      </w:r>
    </w:p>
  </w:footnote>
  <w:footnote w:id="6">
    <w:p w14:paraId="3BF8DDF7" w14:textId="77777777" w:rsidR="002E515E" w:rsidRPr="00CB7EC9" w:rsidRDefault="002E515E" w:rsidP="002E515E">
      <w:pPr>
        <w:pStyle w:val="Textonotapie"/>
        <w:ind w:firstLine="708"/>
        <w:contextualSpacing/>
        <w:jc w:val="both"/>
        <w:rPr>
          <w:rFonts w:ascii="Century Gothic" w:hAnsi="Century Gothic" w:cs="Arial"/>
          <w:sz w:val="16"/>
          <w:szCs w:val="16"/>
          <w:lang w:val="es-CO"/>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En lo pertinente, la norma dispone que </w:t>
      </w:r>
      <w:bookmarkStart w:id="1" w:name="_Hlk98942284"/>
      <w:r w:rsidRPr="00CB7EC9">
        <w:rPr>
          <w:rFonts w:ascii="Century Gothic" w:hAnsi="Century Gothic" w:cs="Arial"/>
          <w:sz w:val="16"/>
          <w:szCs w:val="16"/>
        </w:rPr>
        <w:t>“</w:t>
      </w:r>
      <w:r w:rsidRPr="00CB7EC9">
        <w:rPr>
          <w:rFonts w:ascii="Century Gothic" w:hAnsi="Century Gothic" w:cs="Arial"/>
          <w:sz w:val="16"/>
          <w:szCs w:val="16"/>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1"/>
      <w:r w:rsidRPr="00CB7EC9">
        <w:rPr>
          <w:rFonts w:ascii="Century Gothic" w:hAnsi="Century Gothic" w:cs="Arial"/>
          <w:sz w:val="16"/>
          <w:szCs w:val="16"/>
          <w:lang w:val="es-CO"/>
        </w:rPr>
        <w:t>.</w:t>
      </w:r>
    </w:p>
    <w:p w14:paraId="55682A77" w14:textId="77777777" w:rsidR="002E515E" w:rsidRPr="00CB7EC9" w:rsidRDefault="002E515E" w:rsidP="002E515E">
      <w:pPr>
        <w:pStyle w:val="Textonotapie"/>
        <w:ind w:firstLine="708"/>
        <w:contextualSpacing/>
        <w:jc w:val="both"/>
        <w:rPr>
          <w:rFonts w:ascii="Century Gothic" w:hAnsi="Century Gothic" w:cs="Arial"/>
          <w:sz w:val="16"/>
          <w:szCs w:val="16"/>
          <w:lang w:val="es-CO"/>
        </w:rPr>
      </w:pPr>
      <w:r w:rsidRPr="00CB7EC9">
        <w:rPr>
          <w:rFonts w:ascii="Century Gothic" w:hAnsi="Century Gothic" w:cs="Arial"/>
          <w:sz w:val="16"/>
          <w:szCs w:val="16"/>
          <w:lang w:val="es-CO"/>
        </w:rPr>
        <w:t>Las condiciones de remisión de la información y los plazos de permanencia de la misma en el registro serán señalados por el Gobierno Nacional.</w:t>
      </w:r>
    </w:p>
    <w:p w14:paraId="1831F9FD" w14:textId="77777777" w:rsidR="002E515E" w:rsidRDefault="002E515E" w:rsidP="002E515E">
      <w:pPr>
        <w:pStyle w:val="Textonotapie"/>
        <w:ind w:firstLine="708"/>
        <w:contextualSpacing/>
        <w:jc w:val="both"/>
        <w:rPr>
          <w:rFonts w:ascii="Century Gothic" w:hAnsi="Century Gothic" w:cs="Arial"/>
          <w:sz w:val="16"/>
          <w:szCs w:val="16"/>
          <w:lang w:val="es-CO"/>
        </w:rPr>
      </w:pPr>
      <w:r w:rsidRPr="00CB7EC9">
        <w:rPr>
          <w:rFonts w:ascii="Century Gothic" w:hAnsi="Century Gothic" w:cs="Arial"/>
          <w:sz w:val="16"/>
          <w:szCs w:val="16"/>
          <w:lang w:val="es-CO"/>
        </w:rPr>
        <w:t>El servidor público encargado de remitir la información, que incumpla esta obligación incurrirá en causal de mala conducta”.</w:t>
      </w:r>
    </w:p>
    <w:p w14:paraId="3330EB90" w14:textId="77777777" w:rsidR="009422A8" w:rsidRPr="00CB7EC9" w:rsidRDefault="009422A8" w:rsidP="002E515E">
      <w:pPr>
        <w:pStyle w:val="Textonotapie"/>
        <w:ind w:firstLine="708"/>
        <w:contextualSpacing/>
        <w:jc w:val="both"/>
        <w:rPr>
          <w:rFonts w:ascii="Century Gothic" w:hAnsi="Century Gothic" w:cs="Arial"/>
          <w:sz w:val="16"/>
          <w:szCs w:val="16"/>
          <w:lang w:val="es-CO"/>
        </w:rPr>
      </w:pPr>
    </w:p>
  </w:footnote>
  <w:footnote w:id="7">
    <w:p w14:paraId="505021D2" w14:textId="77777777" w:rsidR="002E515E" w:rsidRPr="00CB7EC9" w:rsidRDefault="002E515E" w:rsidP="002E515E">
      <w:pPr>
        <w:pStyle w:val="Textonotapie"/>
        <w:ind w:firstLine="708"/>
        <w:contextualSpacing/>
        <w:jc w:val="both"/>
        <w:rPr>
          <w:rFonts w:ascii="Century Gothic" w:hAnsi="Century Gothic" w:cs="Arial"/>
          <w:sz w:val="16"/>
          <w:szCs w:val="16"/>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80 de 1993: “Artículo 31. De la publicación de los actos y sentencias sancionatorias. &lt;Artículo modificado por el artículo </w:t>
      </w:r>
      <w:hyperlink r:id="rId1" w:anchor="218" w:history="1">
        <w:r w:rsidRPr="00CB7EC9">
          <w:rPr>
            <w:rFonts w:ascii="Century Gothic" w:hAnsi="Century Gothic" w:cs="Arial"/>
            <w:sz w:val="16"/>
            <w:szCs w:val="16"/>
          </w:rPr>
          <w:t>218</w:t>
        </w:r>
      </w:hyperlink>
      <w:r w:rsidRPr="00CB7EC9">
        <w:rPr>
          <w:rFonts w:ascii="Century Gothic" w:hAnsi="Century Gothic" w:cs="Arial"/>
          <w:sz w:val="16"/>
          <w:szCs w:val="16"/>
        </w:rPr>
        <w:t> del Decreto 19 de 2012. El nuevo texto es el siguiente:&gt; La parte resolutiva de los actos que declaren Ia caducidad, impongan multas, sanciones o declaren el incumplimiento, una vez ejecutoriados, se publicarán en el SECOP y se comunicarán a Ia cámara de comercio en que se encuentre inscrito el contratista respectivo. También se comunicarán a Ia Procuraduría General de Ia Nación”.</w:t>
      </w:r>
    </w:p>
  </w:footnote>
  <w:footnote w:id="8">
    <w:p w14:paraId="2D2E56FF" w14:textId="77777777" w:rsidR="002E515E" w:rsidRPr="00CB7EC9" w:rsidRDefault="002E515E" w:rsidP="002E515E">
      <w:pPr>
        <w:pStyle w:val="Textonotapie"/>
        <w:ind w:firstLine="709"/>
        <w:contextualSpacing/>
        <w:jc w:val="both"/>
        <w:rPr>
          <w:rFonts w:ascii="Century Gothic" w:hAnsi="Century Gothic" w:cs="Arial"/>
          <w:sz w:val="16"/>
          <w:szCs w:val="16"/>
          <w:lang w:val="es-CO"/>
        </w:rPr>
      </w:pPr>
      <w:r w:rsidRPr="00CB7EC9">
        <w:rPr>
          <w:rStyle w:val="Refdenotaalpie"/>
          <w:rFonts w:ascii="Century Gothic" w:hAnsi="Century Gothic" w:cs="Arial"/>
          <w:sz w:val="16"/>
          <w:szCs w:val="16"/>
        </w:rPr>
        <w:footnoteRef/>
      </w:r>
      <w:r w:rsidRPr="00CB7EC9">
        <w:rPr>
          <w:rFonts w:ascii="Century Gothic" w:hAnsi="Century Gothic" w:cs="Arial"/>
          <w:sz w:val="16"/>
          <w:szCs w:val="16"/>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3pt;height:11.3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0"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125734">
    <w:abstractNumId w:val="6"/>
  </w:num>
  <w:num w:numId="2" w16cid:durableId="84812530">
    <w:abstractNumId w:val="2"/>
  </w:num>
  <w:num w:numId="3" w16cid:durableId="319773474">
    <w:abstractNumId w:val="4"/>
  </w:num>
  <w:num w:numId="4" w16cid:durableId="2122218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162595">
    <w:abstractNumId w:val="2"/>
  </w:num>
  <w:num w:numId="6" w16cid:durableId="524830786">
    <w:abstractNumId w:val="14"/>
  </w:num>
  <w:num w:numId="7" w16cid:durableId="872425373">
    <w:abstractNumId w:val="5"/>
  </w:num>
  <w:num w:numId="8" w16cid:durableId="379984073">
    <w:abstractNumId w:val="13"/>
  </w:num>
  <w:num w:numId="9" w16cid:durableId="1226188541">
    <w:abstractNumId w:val="7"/>
  </w:num>
  <w:num w:numId="10" w16cid:durableId="1631322515">
    <w:abstractNumId w:val="12"/>
  </w:num>
  <w:num w:numId="11" w16cid:durableId="2035961869">
    <w:abstractNumId w:val="8"/>
  </w:num>
  <w:num w:numId="12" w16cid:durableId="1243760622">
    <w:abstractNumId w:val="1"/>
  </w:num>
  <w:num w:numId="13" w16cid:durableId="1560705842">
    <w:abstractNumId w:val="3"/>
  </w:num>
  <w:num w:numId="14" w16cid:durableId="1807315678">
    <w:abstractNumId w:val="15"/>
  </w:num>
  <w:num w:numId="15" w16cid:durableId="154879122">
    <w:abstractNumId w:val="11"/>
  </w:num>
  <w:num w:numId="16" w16cid:durableId="133511156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002161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929432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046D"/>
    <w:rsid w:val="00013C51"/>
    <w:rsid w:val="00061B2A"/>
    <w:rsid w:val="00067BA8"/>
    <w:rsid w:val="000736B7"/>
    <w:rsid w:val="00082362"/>
    <w:rsid w:val="000A683E"/>
    <w:rsid w:val="000B19B9"/>
    <w:rsid w:val="000C1243"/>
    <w:rsid w:val="000D0334"/>
    <w:rsid w:val="000E4401"/>
    <w:rsid w:val="000F43E3"/>
    <w:rsid w:val="000F6486"/>
    <w:rsid w:val="001119C3"/>
    <w:rsid w:val="00111D4A"/>
    <w:rsid w:val="00117512"/>
    <w:rsid w:val="00125105"/>
    <w:rsid w:val="00127233"/>
    <w:rsid w:val="00145F4D"/>
    <w:rsid w:val="00157E07"/>
    <w:rsid w:val="001A67E5"/>
    <w:rsid w:val="001E4177"/>
    <w:rsid w:val="001F20D3"/>
    <w:rsid w:val="001F7DC6"/>
    <w:rsid w:val="002162D9"/>
    <w:rsid w:val="002421BB"/>
    <w:rsid w:val="00254F2B"/>
    <w:rsid w:val="0025796E"/>
    <w:rsid w:val="002707A2"/>
    <w:rsid w:val="002951A0"/>
    <w:rsid w:val="002962BC"/>
    <w:rsid w:val="002A093D"/>
    <w:rsid w:val="002A0DD0"/>
    <w:rsid w:val="002A148B"/>
    <w:rsid w:val="002A49AC"/>
    <w:rsid w:val="002A64FD"/>
    <w:rsid w:val="002C7A84"/>
    <w:rsid w:val="002E4FD9"/>
    <w:rsid w:val="002E515E"/>
    <w:rsid w:val="00320AB1"/>
    <w:rsid w:val="00322A85"/>
    <w:rsid w:val="00323952"/>
    <w:rsid w:val="00324168"/>
    <w:rsid w:val="003448F4"/>
    <w:rsid w:val="00372CA0"/>
    <w:rsid w:val="00374F5E"/>
    <w:rsid w:val="00377E3E"/>
    <w:rsid w:val="00380B16"/>
    <w:rsid w:val="00381031"/>
    <w:rsid w:val="003A26D1"/>
    <w:rsid w:val="003A7652"/>
    <w:rsid w:val="003A779E"/>
    <w:rsid w:val="003B675A"/>
    <w:rsid w:val="003D0F4D"/>
    <w:rsid w:val="003D5B0D"/>
    <w:rsid w:val="003E0499"/>
    <w:rsid w:val="003F3941"/>
    <w:rsid w:val="00406575"/>
    <w:rsid w:val="00423344"/>
    <w:rsid w:val="0042722E"/>
    <w:rsid w:val="00431A0C"/>
    <w:rsid w:val="0044528D"/>
    <w:rsid w:val="0045432D"/>
    <w:rsid w:val="0045645D"/>
    <w:rsid w:val="00472785"/>
    <w:rsid w:val="00487E98"/>
    <w:rsid w:val="004A09DF"/>
    <w:rsid w:val="004A1847"/>
    <w:rsid w:val="004A305D"/>
    <w:rsid w:val="004A3C42"/>
    <w:rsid w:val="004F21C4"/>
    <w:rsid w:val="004F685F"/>
    <w:rsid w:val="005166DA"/>
    <w:rsid w:val="005271BE"/>
    <w:rsid w:val="00553A9B"/>
    <w:rsid w:val="005566E8"/>
    <w:rsid w:val="0056456E"/>
    <w:rsid w:val="005677F8"/>
    <w:rsid w:val="005711A1"/>
    <w:rsid w:val="00574867"/>
    <w:rsid w:val="0058006B"/>
    <w:rsid w:val="00580EE6"/>
    <w:rsid w:val="00584AD6"/>
    <w:rsid w:val="00591460"/>
    <w:rsid w:val="00592628"/>
    <w:rsid w:val="00594992"/>
    <w:rsid w:val="005B2DA4"/>
    <w:rsid w:val="005B6465"/>
    <w:rsid w:val="005C3777"/>
    <w:rsid w:val="005C5CDC"/>
    <w:rsid w:val="005D476C"/>
    <w:rsid w:val="00610812"/>
    <w:rsid w:val="006219F8"/>
    <w:rsid w:val="00641826"/>
    <w:rsid w:val="0064584D"/>
    <w:rsid w:val="00650FF7"/>
    <w:rsid w:val="00665D70"/>
    <w:rsid w:val="00671DAC"/>
    <w:rsid w:val="006900D9"/>
    <w:rsid w:val="006A3A88"/>
    <w:rsid w:val="006D12F8"/>
    <w:rsid w:val="00706C16"/>
    <w:rsid w:val="00746696"/>
    <w:rsid w:val="00756841"/>
    <w:rsid w:val="00756D1E"/>
    <w:rsid w:val="007649AB"/>
    <w:rsid w:val="00771D0C"/>
    <w:rsid w:val="00776965"/>
    <w:rsid w:val="00782BC3"/>
    <w:rsid w:val="007833AC"/>
    <w:rsid w:val="00794299"/>
    <w:rsid w:val="007A1A91"/>
    <w:rsid w:val="007B268C"/>
    <w:rsid w:val="007B3D29"/>
    <w:rsid w:val="007B7171"/>
    <w:rsid w:val="007C0C0F"/>
    <w:rsid w:val="007C3DC2"/>
    <w:rsid w:val="007E5497"/>
    <w:rsid w:val="00803C7C"/>
    <w:rsid w:val="00806F5F"/>
    <w:rsid w:val="00820278"/>
    <w:rsid w:val="00862D2B"/>
    <w:rsid w:val="00870FA5"/>
    <w:rsid w:val="008843B6"/>
    <w:rsid w:val="00891928"/>
    <w:rsid w:val="008A446D"/>
    <w:rsid w:val="008D180B"/>
    <w:rsid w:val="008F0EA7"/>
    <w:rsid w:val="00914E62"/>
    <w:rsid w:val="009234AA"/>
    <w:rsid w:val="00923EEF"/>
    <w:rsid w:val="009419F9"/>
    <w:rsid w:val="009422A8"/>
    <w:rsid w:val="00950AF8"/>
    <w:rsid w:val="009530CF"/>
    <w:rsid w:val="0095685E"/>
    <w:rsid w:val="00956924"/>
    <w:rsid w:val="00961B09"/>
    <w:rsid w:val="00965334"/>
    <w:rsid w:val="0097093E"/>
    <w:rsid w:val="00997BF8"/>
    <w:rsid w:val="009A0DFA"/>
    <w:rsid w:val="009B2D26"/>
    <w:rsid w:val="009B4D35"/>
    <w:rsid w:val="009C71FA"/>
    <w:rsid w:val="009C72E7"/>
    <w:rsid w:val="009D3058"/>
    <w:rsid w:val="009F3A13"/>
    <w:rsid w:val="00A01D77"/>
    <w:rsid w:val="00A05F71"/>
    <w:rsid w:val="00A122D3"/>
    <w:rsid w:val="00A168D5"/>
    <w:rsid w:val="00A17F13"/>
    <w:rsid w:val="00A20739"/>
    <w:rsid w:val="00A33C78"/>
    <w:rsid w:val="00A340BA"/>
    <w:rsid w:val="00A71D93"/>
    <w:rsid w:val="00AB0ADB"/>
    <w:rsid w:val="00AF5579"/>
    <w:rsid w:val="00B01B1A"/>
    <w:rsid w:val="00B333CB"/>
    <w:rsid w:val="00B47ABC"/>
    <w:rsid w:val="00B72CD3"/>
    <w:rsid w:val="00B72FFF"/>
    <w:rsid w:val="00B7393A"/>
    <w:rsid w:val="00B93748"/>
    <w:rsid w:val="00BA72CC"/>
    <w:rsid w:val="00BA76E9"/>
    <w:rsid w:val="00BB1930"/>
    <w:rsid w:val="00BC1D9A"/>
    <w:rsid w:val="00BC3D36"/>
    <w:rsid w:val="00BD2A6C"/>
    <w:rsid w:val="00BD7F72"/>
    <w:rsid w:val="00BE165A"/>
    <w:rsid w:val="00BF6260"/>
    <w:rsid w:val="00C04FB3"/>
    <w:rsid w:val="00C21C9F"/>
    <w:rsid w:val="00C330EB"/>
    <w:rsid w:val="00C6682D"/>
    <w:rsid w:val="00C754BE"/>
    <w:rsid w:val="00C76B1C"/>
    <w:rsid w:val="00CB6357"/>
    <w:rsid w:val="00CC1B26"/>
    <w:rsid w:val="00D167FD"/>
    <w:rsid w:val="00D423A2"/>
    <w:rsid w:val="00D520D8"/>
    <w:rsid w:val="00D63AC2"/>
    <w:rsid w:val="00D7383B"/>
    <w:rsid w:val="00DA231B"/>
    <w:rsid w:val="00DA23A0"/>
    <w:rsid w:val="00DB45D2"/>
    <w:rsid w:val="00DC39FC"/>
    <w:rsid w:val="00DF5254"/>
    <w:rsid w:val="00DF65B1"/>
    <w:rsid w:val="00E13030"/>
    <w:rsid w:val="00E16408"/>
    <w:rsid w:val="00E20894"/>
    <w:rsid w:val="00E245AB"/>
    <w:rsid w:val="00E2764C"/>
    <w:rsid w:val="00E27F2E"/>
    <w:rsid w:val="00E413EA"/>
    <w:rsid w:val="00E50AFE"/>
    <w:rsid w:val="00E72289"/>
    <w:rsid w:val="00E75C92"/>
    <w:rsid w:val="00E771DC"/>
    <w:rsid w:val="00E8772A"/>
    <w:rsid w:val="00E90F6B"/>
    <w:rsid w:val="00E92C27"/>
    <w:rsid w:val="00EA0E3D"/>
    <w:rsid w:val="00EC38A7"/>
    <w:rsid w:val="00EE1AA8"/>
    <w:rsid w:val="00F13622"/>
    <w:rsid w:val="00F31EDC"/>
    <w:rsid w:val="00F33291"/>
    <w:rsid w:val="00F462B3"/>
    <w:rsid w:val="00F47E0C"/>
    <w:rsid w:val="00F51D12"/>
    <w:rsid w:val="00F5664F"/>
    <w:rsid w:val="00F577F3"/>
    <w:rsid w:val="00F666C4"/>
    <w:rsid w:val="00F76AFC"/>
    <w:rsid w:val="00F9194A"/>
    <w:rsid w:val="00FA47C0"/>
    <w:rsid w:val="00FB54AC"/>
    <w:rsid w:val="00FB5DD1"/>
    <w:rsid w:val="00FC2B5D"/>
    <w:rsid w:val="00FF1449"/>
    <w:rsid w:val="58172710"/>
    <w:rsid w:val="5CEADB7B"/>
    <w:rsid w:val="64E327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333CB"/>
    <w:pPr>
      <w:spacing w:after="0" w:line="240" w:lineRule="exact"/>
    </w:pPr>
    <w:rPr>
      <w:vertAlign w:val="superscript"/>
    </w:rPr>
  </w:style>
  <w:style w:type="table" w:customStyle="1" w:styleId="Tablaconcuadrcula1">
    <w:name w:val="Tabla con cuadrícula1"/>
    <w:basedOn w:val="Tablanormal"/>
    <w:next w:val="Tablaconcuadrcula"/>
    <w:uiPriority w:val="39"/>
    <w:qFormat/>
    <w:rsid w:val="00B333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80203009">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20076006">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88933674">
      <w:bodyDiv w:val="1"/>
      <w:marLeft w:val="0"/>
      <w:marRight w:val="0"/>
      <w:marTop w:val="0"/>
      <w:marBottom w:val="0"/>
      <w:divBdr>
        <w:top w:val="none" w:sz="0" w:space="0" w:color="auto"/>
        <w:left w:val="none" w:sz="0" w:space="0" w:color="auto"/>
        <w:bottom w:val="none" w:sz="0" w:space="0" w:color="auto"/>
        <w:right w:val="none" w:sz="0" w:space="0" w:color="auto"/>
      </w:divBdr>
    </w:div>
    <w:div w:id="1797874151">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2815787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474-de-2011/"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latoria.colombiacompra.gov.co/normativa/ley-1150-de-2007/" TargetMode="External"/><Relationship Id="rId17"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ley-80-de-1993/" TargetMode="External"/><Relationship Id="rId5" Type="http://schemas.openxmlformats.org/officeDocument/2006/relationships/styles" Target="styles.xml"/><Relationship Id="rId15" Type="http://schemas.openxmlformats.org/officeDocument/2006/relationships/hyperlink" Target="https://relatoria.colombiacompra.gov.co/normativa/decreto-019-de-2012/"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decreto-1082-de-201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decreto_0019_2012_pr00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2FFE34B7-4046-4933-A037-48081D040623}"/>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3697</Words>
  <Characters>20335</Characters>
  <Application>Microsoft Office Word</Application>
  <DocSecurity>0</DocSecurity>
  <Lines>169</Lines>
  <Paragraphs>47</Paragraphs>
  <ScaleCrop>false</ScaleCrop>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2024-10-21T14:30:00Z</dcterms:created>
  <dcterms:modified xsi:type="dcterms:W3CDTF">2024-10-21T14:34:00Z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