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83AC9" w14:textId="77777777" w:rsidR="00B57C11" w:rsidRPr="00B57C11" w:rsidRDefault="00B57C11" w:rsidP="00B57C11">
      <w:pPr>
        <w:spacing w:after="0" w:line="240" w:lineRule="auto"/>
        <w:jc w:val="both"/>
        <w:rPr>
          <w:rFonts w:ascii="Verdana" w:eastAsia="Aptos" w:hAnsi="Verdana" w:cs="Times New Roman"/>
          <w:b/>
          <w:bCs/>
          <w:kern w:val="2"/>
          <w14:ligatures w14:val="standardContextual"/>
        </w:rPr>
      </w:pPr>
      <w:r w:rsidRPr="00B57C11">
        <w:rPr>
          <w:rFonts w:ascii="Verdana" w:eastAsia="Aptos" w:hAnsi="Verdana" w:cs="Times New Roman"/>
          <w:b/>
          <w:bCs/>
          <w:kern w:val="2"/>
          <w14:ligatures w14:val="standardContextual"/>
        </w:rPr>
        <w:t>VIGILANCIA DE LOS CONTRATOS ESTATALES – Marco jurídico – Obligación de la entidad – Objetivo</w:t>
      </w:r>
    </w:p>
    <w:p w14:paraId="51C3F222" w14:textId="77777777" w:rsidR="00B57C11" w:rsidRPr="00B57C11" w:rsidRDefault="00B57C11" w:rsidP="00B57C11">
      <w:pPr>
        <w:spacing w:after="0" w:line="240" w:lineRule="auto"/>
        <w:jc w:val="both"/>
        <w:rPr>
          <w:rFonts w:ascii="Verdana" w:eastAsia="Aptos" w:hAnsi="Verdana" w:cs="Times New Roman"/>
          <w:b/>
          <w:bCs/>
          <w:kern w:val="2"/>
          <w14:ligatures w14:val="standardContextual"/>
        </w:rPr>
      </w:pPr>
    </w:p>
    <w:p w14:paraId="652CD645" w14:textId="77777777" w:rsidR="00B57C11" w:rsidRPr="00B57C11" w:rsidRDefault="00B57C11" w:rsidP="00B57C11">
      <w:pPr>
        <w:spacing w:after="0" w:line="240" w:lineRule="auto"/>
        <w:jc w:val="both"/>
        <w:rPr>
          <w:rFonts w:ascii="Verdana" w:eastAsia="Aptos" w:hAnsi="Verdana" w:cs="Times New Roman"/>
          <w:kern w:val="2"/>
          <w:sz w:val="20"/>
          <w:szCs w:val="20"/>
          <w14:ligatures w14:val="standardContextual"/>
        </w:rPr>
      </w:pPr>
      <w:r w:rsidRPr="00B57C11">
        <w:rPr>
          <w:rFonts w:ascii="Verdana" w:eastAsia="Aptos" w:hAnsi="Verdana" w:cs="Times New Roman"/>
          <w:kern w:val="2"/>
          <w:sz w:val="20"/>
          <w:szCs w:val="20"/>
          <w14:ligatures w14:val="standardContextual"/>
        </w:rPr>
        <w:t>La Ley 80 de 1993 establece en sus artículos 4, 5, 12, 14 y 26, entre otros aspectos, la obligación de las Entidades Estatales de velar por el correcto y oportuno cumplimiento de las prestaciones del contrato, las especificaciones de los bienes, obras y servicios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su adecuado cumplimiento.</w:t>
      </w:r>
    </w:p>
    <w:p w14:paraId="0424FFB1" w14:textId="77777777" w:rsidR="00B57C11" w:rsidRPr="00B57C11" w:rsidRDefault="00B57C11" w:rsidP="00B57C11">
      <w:pPr>
        <w:spacing w:after="0" w:line="240" w:lineRule="auto"/>
        <w:jc w:val="both"/>
        <w:rPr>
          <w:rFonts w:ascii="Verdana" w:eastAsia="Aptos" w:hAnsi="Verdana" w:cs="Times New Roman"/>
          <w:kern w:val="2"/>
          <w:sz w:val="20"/>
          <w:szCs w:val="20"/>
          <w14:ligatures w14:val="standardContextual"/>
        </w:rPr>
      </w:pPr>
    </w:p>
    <w:p w14:paraId="1A71EEFD" w14:textId="77777777" w:rsidR="00B57C11" w:rsidRPr="00B57C11" w:rsidRDefault="00B57C11" w:rsidP="00B57C11">
      <w:pPr>
        <w:spacing w:after="0" w:line="240" w:lineRule="auto"/>
        <w:jc w:val="both"/>
        <w:rPr>
          <w:rFonts w:ascii="Verdana" w:eastAsia="Aptos" w:hAnsi="Verdana" w:cs="Times New Roman"/>
          <w:kern w:val="2"/>
          <w:sz w:val="20"/>
          <w:szCs w:val="20"/>
          <w14:ligatures w14:val="standardContextual"/>
        </w:rPr>
      </w:pPr>
      <w:r w:rsidRPr="00B57C11">
        <w:rPr>
          <w:rFonts w:ascii="Verdana" w:eastAsia="Aptos" w:hAnsi="Verdana" w:cs="Times New Roman"/>
          <w:kern w:val="2"/>
          <w:sz w:val="20"/>
          <w:szCs w:val="20"/>
          <w14:ligatures w14:val="standardContextual"/>
        </w:rPr>
        <w:t>[…], las Leyes 1150 de 2007 y 1474 de 2011, complementan el régimen jurídico de la obligación de vigilar la correcta ejecución de los contratos estatales. […]se establecen los límites de la responsabilidad del representante legal ante la delegación de sus funciones en materia contractual y se regula la supervisión y la interventoría de los contratos estatales.</w:t>
      </w:r>
    </w:p>
    <w:p w14:paraId="1FEA108A" w14:textId="77777777" w:rsidR="00B57C11" w:rsidRPr="00B57C11" w:rsidRDefault="00B57C11" w:rsidP="00B57C11">
      <w:pPr>
        <w:spacing w:after="0" w:line="240" w:lineRule="auto"/>
        <w:jc w:val="both"/>
        <w:rPr>
          <w:rFonts w:ascii="Verdana" w:eastAsia="Aptos" w:hAnsi="Verdana" w:cs="Times New Roman"/>
          <w:b/>
          <w:bCs/>
          <w:kern w:val="2"/>
          <w14:ligatures w14:val="standardContextual"/>
        </w:rPr>
      </w:pPr>
    </w:p>
    <w:p w14:paraId="7189538C" w14:textId="77777777" w:rsidR="00B57C11" w:rsidRPr="00B57C11" w:rsidRDefault="00B57C11" w:rsidP="00B57C11">
      <w:pPr>
        <w:spacing w:after="0" w:line="240" w:lineRule="auto"/>
        <w:jc w:val="both"/>
        <w:rPr>
          <w:rFonts w:ascii="Verdana" w:eastAsia="Aptos" w:hAnsi="Verdana" w:cs="Times New Roman"/>
          <w:b/>
          <w:bCs/>
          <w:kern w:val="2"/>
          <w14:ligatures w14:val="standardContextual"/>
        </w:rPr>
      </w:pPr>
      <w:r w:rsidRPr="00B57C11">
        <w:rPr>
          <w:rFonts w:ascii="Verdana" w:eastAsia="Aptos" w:hAnsi="Verdana" w:cs="Times New Roman"/>
          <w:b/>
          <w:bCs/>
          <w:kern w:val="2"/>
          <w14:ligatures w14:val="standardContextual"/>
        </w:rPr>
        <w:t xml:space="preserve">SUPERVISIÓN E INTERVENTORÍA – Marco jurídico – Finalidad </w:t>
      </w:r>
    </w:p>
    <w:p w14:paraId="3C5724C2" w14:textId="77777777" w:rsidR="00B57C11" w:rsidRPr="00B57C11" w:rsidRDefault="00B57C11" w:rsidP="00B57C11">
      <w:pPr>
        <w:spacing w:after="0" w:line="278" w:lineRule="auto"/>
        <w:jc w:val="both"/>
        <w:rPr>
          <w:rFonts w:ascii="Verdana" w:eastAsia="Aptos" w:hAnsi="Verdana" w:cs="Times New Roman"/>
          <w:b/>
          <w:bCs/>
          <w:kern w:val="2"/>
          <w:sz w:val="20"/>
          <w:szCs w:val="20"/>
          <w14:ligatures w14:val="standardContextual"/>
        </w:rPr>
      </w:pPr>
    </w:p>
    <w:p w14:paraId="762A0CE7" w14:textId="77777777" w:rsidR="00B57C11" w:rsidRPr="00B57C11" w:rsidRDefault="00B57C11" w:rsidP="00B57C11">
      <w:pPr>
        <w:spacing w:after="0"/>
        <w:jc w:val="both"/>
        <w:rPr>
          <w:rFonts w:ascii="Verdana" w:eastAsia="Aptos" w:hAnsi="Verdana" w:cs="Times New Roman"/>
          <w:kern w:val="2"/>
          <w:sz w:val="20"/>
          <w:szCs w:val="20"/>
          <w14:ligatures w14:val="standardContextual"/>
        </w:rPr>
      </w:pPr>
      <w:r w:rsidRPr="00B57C11">
        <w:rPr>
          <w:rFonts w:ascii="Verdana" w:eastAsia="Aptos" w:hAnsi="Verdana" w:cs="Times New Roman"/>
          <w:kern w:val="2"/>
          <w:sz w:val="20"/>
          <w:szCs w:val="20"/>
          <w14:ligatures w14:val="standardContextual"/>
        </w:rPr>
        <w:t>[…] la Ley 1474 de 2011 enmarcó el seguimiento, control y vigilancia de la ejecución del contrato estatal dentro del principio de moralidad administrativa. El artículo 83 de la referida ley, establece que “con el fin de proteger la moralidad administrativa, de prevenir la ocurrencia de actos de corrupción y tutelar la transparencia de la actividad contractual, las entidades públicas están obligadas a vigilar permanentemente la correcta ejecución del objeto contratado a través de un supervisor o un interventor, según corresponda”.</w:t>
      </w:r>
    </w:p>
    <w:p w14:paraId="463DDF5F" w14:textId="77777777" w:rsidR="00B57C11" w:rsidRPr="00B57C11" w:rsidRDefault="00B57C11" w:rsidP="00B57C11">
      <w:pPr>
        <w:spacing w:after="0" w:line="240" w:lineRule="auto"/>
        <w:jc w:val="both"/>
        <w:rPr>
          <w:rFonts w:ascii="Verdana" w:eastAsia="Aptos" w:hAnsi="Verdana" w:cs="Times New Roman"/>
          <w:b/>
          <w:bCs/>
          <w:kern w:val="2"/>
          <w14:ligatures w14:val="standardContextual"/>
        </w:rPr>
      </w:pPr>
    </w:p>
    <w:p w14:paraId="4EAF1741" w14:textId="77777777" w:rsidR="00B57C11" w:rsidRPr="00B57C11" w:rsidRDefault="00B57C11" w:rsidP="00B57C11">
      <w:pPr>
        <w:spacing w:after="0" w:line="240" w:lineRule="auto"/>
        <w:jc w:val="both"/>
        <w:rPr>
          <w:rFonts w:ascii="Verdana" w:eastAsia="Aptos" w:hAnsi="Verdana" w:cs="Times New Roman"/>
          <w:b/>
          <w:bCs/>
          <w:kern w:val="2"/>
          <w14:ligatures w14:val="standardContextual"/>
        </w:rPr>
      </w:pPr>
      <w:r w:rsidRPr="00B57C11">
        <w:rPr>
          <w:rFonts w:ascii="Verdana" w:eastAsia="Aptos" w:hAnsi="Verdana" w:cs="Times New Roman"/>
          <w:b/>
          <w:bCs/>
          <w:kern w:val="2"/>
          <w14:ligatures w14:val="standardContextual"/>
        </w:rPr>
        <w:t>SUPERVISIÓN DEL CONTRATO – Características</w:t>
      </w:r>
    </w:p>
    <w:p w14:paraId="2E1BE6FD" w14:textId="77777777" w:rsidR="00B57C11" w:rsidRPr="00B57C11" w:rsidRDefault="00B57C11" w:rsidP="00B57C11">
      <w:pPr>
        <w:spacing w:after="0" w:line="278" w:lineRule="auto"/>
        <w:jc w:val="both"/>
        <w:rPr>
          <w:rFonts w:ascii="Verdana" w:eastAsia="Aptos" w:hAnsi="Verdana" w:cs="Times New Roman"/>
          <w:b/>
          <w:bCs/>
          <w:kern w:val="2"/>
          <w:sz w:val="20"/>
          <w:szCs w:val="20"/>
          <w14:ligatures w14:val="standardContextual"/>
        </w:rPr>
      </w:pPr>
    </w:p>
    <w:p w14:paraId="7F795199" w14:textId="77777777" w:rsidR="00B57C11" w:rsidRPr="00B57C11" w:rsidRDefault="00B57C11" w:rsidP="00B57C11">
      <w:pPr>
        <w:jc w:val="both"/>
        <w:rPr>
          <w:rFonts w:ascii="Aptos" w:eastAsia="Aptos" w:hAnsi="Aptos" w:cs="Times New Roman"/>
        </w:rPr>
      </w:pPr>
      <w:r w:rsidRPr="00B57C11">
        <w:rPr>
          <w:rFonts w:ascii="Verdana" w:eastAsia="Aptos" w:hAnsi="Verdana" w:cs="Times New Roman"/>
          <w:kern w:val="2"/>
          <w:sz w:val="20"/>
          <w:szCs w:val="20"/>
          <w14:ligatures w14:val="standardContextual"/>
        </w:rPr>
        <w:t xml:space="preserve">[…] de las disposiciones contenidas en los artículos 83 y 84 de la Ley 1474 de 2011, se infieren las siguientes características de la supervisión: i) la labor de supervisión siempre existirá en relación con cualquier contrato estatal, incluidos los contratos de prestación de servicios –a diferencia de la interventoría que depende del análisis de su necesidad y extensión –; </w:t>
      </w:r>
      <w:proofErr w:type="spellStart"/>
      <w:r w:rsidRPr="00B57C11">
        <w:rPr>
          <w:rFonts w:ascii="Verdana" w:eastAsia="Aptos" w:hAnsi="Verdana" w:cs="Times New Roman"/>
          <w:kern w:val="2"/>
          <w:sz w:val="20"/>
          <w:szCs w:val="20"/>
          <w14:ligatures w14:val="standardContextual"/>
        </w:rPr>
        <w:t>ii</w:t>
      </w:r>
      <w:proofErr w:type="spellEnd"/>
      <w:r w:rsidRPr="00B57C11">
        <w:rPr>
          <w:rFonts w:ascii="Verdana" w:eastAsia="Aptos" w:hAnsi="Verdana" w:cs="Times New Roman"/>
          <w:kern w:val="2"/>
          <w:sz w:val="20"/>
          <w:szCs w:val="20"/>
          <w14:ligatures w14:val="standardContextual"/>
        </w:rPr>
        <w:t xml:space="preserve">) no requiere conocimientos tan especializados como la interventoría; </w:t>
      </w:r>
      <w:proofErr w:type="spellStart"/>
      <w:r w:rsidRPr="00B57C11">
        <w:rPr>
          <w:rFonts w:ascii="Verdana" w:eastAsia="Aptos" w:hAnsi="Verdana" w:cs="Times New Roman"/>
          <w:kern w:val="2"/>
          <w:sz w:val="20"/>
          <w:szCs w:val="20"/>
          <w14:ligatures w14:val="standardContextual"/>
        </w:rPr>
        <w:t>iii</w:t>
      </w:r>
      <w:proofErr w:type="spellEnd"/>
      <w:r w:rsidRPr="00B57C11">
        <w:rPr>
          <w:rFonts w:ascii="Verdana" w:eastAsia="Aptos" w:hAnsi="Verdana" w:cs="Times New Roman"/>
          <w:kern w:val="2"/>
          <w:sz w:val="20"/>
          <w:szCs w:val="20"/>
          <w14:ligatures w14:val="standardContextual"/>
        </w:rPr>
        <w:t xml:space="preserve">) se ejerce por la Entidad Estatal por conducto de la designación de servidores públicos idóneos para cumplir la función; </w:t>
      </w:r>
      <w:proofErr w:type="spellStart"/>
      <w:r w:rsidRPr="00B57C11">
        <w:rPr>
          <w:rFonts w:ascii="Verdana" w:eastAsia="Aptos" w:hAnsi="Verdana" w:cs="Times New Roman"/>
          <w:kern w:val="2"/>
          <w:sz w:val="20"/>
          <w:szCs w:val="20"/>
          <w14:ligatures w14:val="standardContextual"/>
        </w:rPr>
        <w:t>iv</w:t>
      </w:r>
      <w:proofErr w:type="spellEnd"/>
      <w:r w:rsidRPr="00B57C11">
        <w:rPr>
          <w:rFonts w:ascii="Verdana" w:eastAsia="Aptos" w:hAnsi="Verdana" w:cs="Times New Roman"/>
          <w:kern w:val="2"/>
          <w:sz w:val="20"/>
          <w:szCs w:val="20"/>
          <w14:ligatures w14:val="standardContextual"/>
        </w:rPr>
        <w:t>) puede recibir apoyo de personal contratado para tal fin mediante contratos de prestación de servicios; y v) le es inseparable el seguimiento técnico, administrativo, financiero, contable y jurídico del contrato vigilado.</w:t>
      </w:r>
    </w:p>
    <w:p w14:paraId="5B8459DE" w14:textId="77777777" w:rsidR="00B57C11" w:rsidRDefault="00B57C11" w:rsidP="001827D1">
      <w:pPr>
        <w:spacing w:after="0" w:line="240" w:lineRule="auto"/>
        <w:rPr>
          <w:rFonts w:ascii="Verdana" w:eastAsia="Geomanist Light" w:hAnsi="Verdana" w:cs="Arial"/>
          <w:color w:val="000000"/>
          <w:lang w:val="es-MX"/>
        </w:rPr>
      </w:pPr>
    </w:p>
    <w:p w14:paraId="4AD3B581" w14:textId="77777777" w:rsidR="00B57C11" w:rsidRDefault="00B57C11" w:rsidP="001827D1">
      <w:pPr>
        <w:spacing w:after="0" w:line="240" w:lineRule="auto"/>
        <w:rPr>
          <w:rFonts w:ascii="Verdana" w:eastAsia="Geomanist Light" w:hAnsi="Verdana" w:cs="Arial"/>
          <w:color w:val="000000"/>
          <w:lang w:val="es-MX"/>
        </w:rPr>
      </w:pPr>
    </w:p>
    <w:p w14:paraId="558392AE" w14:textId="77777777" w:rsidR="00B57C11" w:rsidRDefault="00B57C11" w:rsidP="001827D1">
      <w:pPr>
        <w:spacing w:after="0" w:line="240" w:lineRule="auto"/>
        <w:rPr>
          <w:rFonts w:ascii="Verdana" w:eastAsia="Geomanist Light" w:hAnsi="Verdana" w:cs="Arial"/>
          <w:color w:val="000000"/>
          <w:lang w:val="es-MX"/>
        </w:rPr>
      </w:pPr>
    </w:p>
    <w:p w14:paraId="778C1BF5" w14:textId="77777777" w:rsidR="00B57C11" w:rsidRDefault="00B57C11" w:rsidP="001827D1">
      <w:pPr>
        <w:spacing w:after="0" w:line="240" w:lineRule="auto"/>
        <w:rPr>
          <w:rFonts w:ascii="Verdana" w:eastAsia="Geomanist Light" w:hAnsi="Verdana" w:cs="Arial"/>
          <w:color w:val="000000"/>
          <w:lang w:val="es-MX"/>
        </w:rPr>
      </w:pPr>
    </w:p>
    <w:p w14:paraId="7BDB20DC" w14:textId="77777777" w:rsidR="00B57C11" w:rsidRDefault="00B57C11" w:rsidP="001827D1">
      <w:pPr>
        <w:spacing w:after="0" w:line="240" w:lineRule="auto"/>
        <w:rPr>
          <w:rFonts w:ascii="Verdana" w:eastAsia="Geomanist Light" w:hAnsi="Verdana" w:cs="Arial"/>
          <w:color w:val="000000"/>
          <w:lang w:val="es-MX"/>
        </w:rPr>
      </w:pPr>
    </w:p>
    <w:p w14:paraId="40C57E6F" w14:textId="026E5649" w:rsidR="001827D1" w:rsidRPr="001827D1" w:rsidRDefault="001827D1" w:rsidP="001827D1">
      <w:pPr>
        <w:spacing w:after="0" w:line="240" w:lineRule="auto"/>
        <w:rPr>
          <w:rFonts w:ascii="Verdana" w:eastAsia="Geomanist Light" w:hAnsi="Verdana" w:cs="Arial"/>
          <w:color w:val="000000"/>
          <w:lang w:val="es-MX"/>
        </w:rPr>
      </w:pPr>
      <w:r w:rsidRPr="001827D1">
        <w:rPr>
          <w:rFonts w:ascii="Verdana" w:eastAsia="Geomanist Light" w:hAnsi="Verdana" w:cs="Arial"/>
          <w:color w:val="000000"/>
          <w:lang w:val="es-MX"/>
        </w:rPr>
        <w:lastRenderedPageBreak/>
        <w:t>Bogotá D.C., [Día] de [</w:t>
      </w:r>
      <w:proofErr w:type="spellStart"/>
      <w:r w:rsidRPr="001827D1">
        <w:rPr>
          <w:rFonts w:ascii="Verdana" w:eastAsia="Geomanist Light" w:hAnsi="Verdana" w:cs="Arial"/>
          <w:color w:val="000000"/>
          <w:lang w:val="es-MX"/>
        </w:rPr>
        <w:t>Mes.NombreCapitalizado</w:t>
      </w:r>
      <w:proofErr w:type="spellEnd"/>
      <w:r w:rsidRPr="001827D1">
        <w:rPr>
          <w:rFonts w:ascii="Verdana" w:eastAsia="Geomanist Light" w:hAnsi="Verdana" w:cs="Arial"/>
          <w:color w:val="000000"/>
          <w:lang w:val="es-MX"/>
        </w:rPr>
        <w:t>] de [Año]</w:t>
      </w:r>
    </w:p>
    <w:p w14:paraId="73903DE4" w14:textId="0C276F51" w:rsidR="001827D1" w:rsidRDefault="001827D1" w:rsidP="001827D1">
      <w:pPr>
        <w:spacing w:after="0" w:line="240" w:lineRule="auto"/>
        <w:jc w:val="both"/>
        <w:rPr>
          <w:rFonts w:ascii="Verdana" w:eastAsia="Calibri" w:hAnsi="Verdana" w:cs="Arial"/>
          <w:color w:val="000000"/>
          <w:lang w:val="es-ES"/>
        </w:rPr>
      </w:pPr>
    </w:p>
    <w:p w14:paraId="09BA9D82" w14:textId="5FE62EFF" w:rsidR="00B57C11" w:rsidRDefault="00B57C11" w:rsidP="001827D1">
      <w:pPr>
        <w:spacing w:after="0" w:line="240" w:lineRule="auto"/>
        <w:jc w:val="both"/>
        <w:rPr>
          <w:rFonts w:ascii="Verdana" w:eastAsia="Calibri" w:hAnsi="Verdana" w:cs="Arial"/>
          <w:color w:val="000000"/>
          <w:lang w:val="es-ES"/>
        </w:rPr>
      </w:pPr>
      <w:r w:rsidRPr="00B57C11">
        <w:rPr>
          <w:rFonts w:ascii="Verdana" w:eastAsia="Calibri" w:hAnsi="Verdana" w:cs="Arial"/>
          <w:color w:val="000000"/>
          <w:lang w:val="es-ES"/>
        </w:rPr>
        <w:drawing>
          <wp:anchor distT="0" distB="0" distL="114300" distR="114300" simplePos="0" relativeHeight="251658240" behindDoc="1" locked="0" layoutInCell="1" allowOverlap="1" wp14:anchorId="628B5745" wp14:editId="21AC483B">
            <wp:simplePos x="0" y="0"/>
            <wp:positionH relativeFrom="column">
              <wp:posOffset>2760345</wp:posOffset>
            </wp:positionH>
            <wp:positionV relativeFrom="paragraph">
              <wp:posOffset>8890</wp:posOffset>
            </wp:positionV>
            <wp:extent cx="3801005" cy="1143160"/>
            <wp:effectExtent l="0" t="0" r="0" b="0"/>
            <wp:wrapTight wrapText="bothSides">
              <wp:wrapPolygon edited="0">
                <wp:start x="0" y="0"/>
                <wp:lineTo x="0" y="21240"/>
                <wp:lineTo x="21438" y="21240"/>
                <wp:lineTo x="21438" y="0"/>
                <wp:lineTo x="0" y="0"/>
              </wp:wrapPolygon>
            </wp:wrapTight>
            <wp:docPr id="15709794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79422"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801005" cy="1143160"/>
                    </a:xfrm>
                    <a:prstGeom prst="rect">
                      <a:avLst/>
                    </a:prstGeom>
                  </pic:spPr>
                </pic:pic>
              </a:graphicData>
            </a:graphic>
          </wp:anchor>
        </w:drawing>
      </w:r>
    </w:p>
    <w:p w14:paraId="4ADB31E3" w14:textId="77777777" w:rsidR="00B57C11" w:rsidRDefault="00B57C11" w:rsidP="001827D1">
      <w:pPr>
        <w:spacing w:after="0" w:line="240" w:lineRule="auto"/>
        <w:jc w:val="both"/>
        <w:rPr>
          <w:rFonts w:ascii="Verdana" w:eastAsia="Calibri" w:hAnsi="Verdana" w:cs="Arial"/>
          <w:color w:val="000000"/>
          <w:lang w:val="es-ES"/>
        </w:rPr>
      </w:pPr>
    </w:p>
    <w:p w14:paraId="19ACD1C0" w14:textId="77777777" w:rsidR="00B57C11" w:rsidRDefault="00B57C11" w:rsidP="001827D1">
      <w:pPr>
        <w:spacing w:after="0" w:line="240" w:lineRule="auto"/>
        <w:jc w:val="both"/>
        <w:rPr>
          <w:rFonts w:ascii="Verdana" w:eastAsia="Calibri" w:hAnsi="Verdana" w:cs="Arial"/>
          <w:color w:val="000000"/>
          <w:lang w:val="es-ES"/>
        </w:rPr>
      </w:pPr>
    </w:p>
    <w:p w14:paraId="50E57C0D" w14:textId="77777777" w:rsidR="00B57C11" w:rsidRDefault="00B57C11" w:rsidP="001827D1">
      <w:pPr>
        <w:spacing w:after="0" w:line="240" w:lineRule="auto"/>
        <w:jc w:val="both"/>
        <w:rPr>
          <w:rFonts w:ascii="Verdana" w:eastAsia="Calibri" w:hAnsi="Verdana" w:cs="Arial"/>
          <w:color w:val="000000"/>
          <w:lang w:val="es-ES"/>
        </w:rPr>
      </w:pPr>
    </w:p>
    <w:p w14:paraId="155FAB2E" w14:textId="77777777" w:rsidR="00B57C11" w:rsidRDefault="00B57C11" w:rsidP="001827D1">
      <w:pPr>
        <w:spacing w:after="0" w:line="240" w:lineRule="auto"/>
        <w:jc w:val="both"/>
        <w:rPr>
          <w:rFonts w:ascii="Verdana" w:eastAsia="Calibri" w:hAnsi="Verdana" w:cs="Arial"/>
          <w:color w:val="000000"/>
          <w:lang w:val="es-ES"/>
        </w:rPr>
      </w:pPr>
    </w:p>
    <w:p w14:paraId="42728EB7" w14:textId="77777777" w:rsidR="001827D1" w:rsidRPr="001827D1" w:rsidRDefault="001827D1" w:rsidP="001827D1">
      <w:pPr>
        <w:spacing w:after="0" w:line="240" w:lineRule="auto"/>
        <w:jc w:val="both"/>
        <w:rPr>
          <w:rFonts w:ascii="Verdana" w:eastAsia="Calibri" w:hAnsi="Verdana" w:cs="Arial"/>
          <w:color w:val="000000"/>
          <w:lang w:val="es-ES" w:eastAsia="es-ES"/>
        </w:rPr>
      </w:pPr>
      <w:r w:rsidRPr="001827D1">
        <w:rPr>
          <w:rFonts w:ascii="Verdana" w:eastAsia="Calibri" w:hAnsi="Verdana" w:cs="Arial"/>
          <w:color w:val="000000"/>
          <w:lang w:val="es-ES" w:eastAsia="es-ES"/>
        </w:rPr>
        <w:t>Señora</w:t>
      </w:r>
    </w:p>
    <w:p w14:paraId="3FD9E250" w14:textId="77777777" w:rsidR="001827D1" w:rsidRPr="001827D1" w:rsidRDefault="001827D1" w:rsidP="001827D1">
      <w:pPr>
        <w:spacing w:after="0" w:line="240" w:lineRule="auto"/>
        <w:jc w:val="both"/>
        <w:rPr>
          <w:rFonts w:ascii="Verdana" w:eastAsia="Calibri" w:hAnsi="Verdana" w:cs="Arial"/>
          <w:b/>
          <w:bCs/>
          <w:color w:val="000000"/>
          <w:lang w:val="es-ES" w:eastAsia="es-ES"/>
        </w:rPr>
      </w:pPr>
      <w:r w:rsidRPr="001827D1">
        <w:rPr>
          <w:rFonts w:ascii="Verdana" w:eastAsia="Calibri" w:hAnsi="Verdana" w:cs="Arial"/>
          <w:b/>
          <w:bCs/>
          <w:color w:val="000000"/>
          <w:lang w:val="es-ES" w:eastAsia="es-ES"/>
        </w:rPr>
        <w:t>Laura Duarte</w:t>
      </w:r>
    </w:p>
    <w:p w14:paraId="24CBFD1E" w14:textId="77777777" w:rsidR="001827D1" w:rsidRPr="001827D1" w:rsidRDefault="001827D1" w:rsidP="001827D1">
      <w:pPr>
        <w:spacing w:after="0" w:line="240" w:lineRule="auto"/>
        <w:rPr>
          <w:rFonts w:ascii="Verdana" w:eastAsia="Calibri" w:hAnsi="Verdana" w:cs="Arial"/>
          <w:color w:val="0000FF"/>
          <w:u w:val="single"/>
          <w:lang w:eastAsia="es-ES"/>
        </w:rPr>
      </w:pPr>
      <w:hyperlink r:id="rId11" w:history="1">
        <w:r w:rsidRPr="001827D1">
          <w:rPr>
            <w:rFonts w:ascii="Verdana" w:eastAsia="Calibri" w:hAnsi="Verdana" w:cs="Arial"/>
            <w:color w:val="0000FF"/>
            <w:u w:val="single"/>
            <w:lang w:eastAsia="es-ES"/>
          </w:rPr>
          <w:t>lauralec00@hotmail.com</w:t>
        </w:r>
      </w:hyperlink>
    </w:p>
    <w:p w14:paraId="40BA2A83" w14:textId="77777777" w:rsidR="001827D1" w:rsidRPr="001827D1" w:rsidRDefault="001827D1" w:rsidP="001827D1">
      <w:pPr>
        <w:spacing w:after="0" w:line="240" w:lineRule="auto"/>
        <w:rPr>
          <w:rFonts w:ascii="Verdana" w:eastAsia="Calibri" w:hAnsi="Verdana" w:cs="Arial"/>
          <w:b/>
          <w:bCs/>
          <w:color w:val="000000"/>
          <w:lang w:val="en-US" w:eastAsia="es-ES"/>
        </w:rPr>
      </w:pPr>
      <w:r w:rsidRPr="001827D1">
        <w:rPr>
          <w:rFonts w:ascii="Verdana" w:eastAsia="Calibri" w:hAnsi="Verdana" w:cs="Arial"/>
          <w:color w:val="000000"/>
          <w:lang w:val="en-US" w:eastAsia="es-ES"/>
        </w:rPr>
        <w:t>Bucaramanga, Santander</w:t>
      </w:r>
    </w:p>
    <w:p w14:paraId="40FDA96C" w14:textId="77777777" w:rsidR="001827D1" w:rsidRPr="001827D1" w:rsidRDefault="001827D1" w:rsidP="001827D1">
      <w:pPr>
        <w:spacing w:after="0" w:line="240" w:lineRule="auto"/>
        <w:rPr>
          <w:rFonts w:ascii="Verdana" w:eastAsia="Calibri" w:hAnsi="Verdana" w:cs="Arial"/>
          <w:b/>
          <w:bCs/>
          <w:color w:val="000000"/>
          <w:lang w:val="en-US" w:eastAsia="es-ES_tradnl"/>
        </w:rPr>
      </w:pPr>
    </w:p>
    <w:p w14:paraId="5E597929" w14:textId="77777777" w:rsidR="001827D1" w:rsidRPr="001827D1" w:rsidRDefault="001827D1" w:rsidP="001827D1">
      <w:pPr>
        <w:spacing w:after="0" w:line="240" w:lineRule="auto"/>
        <w:rPr>
          <w:rFonts w:ascii="Verdana" w:eastAsia="Calibri" w:hAnsi="Verdana" w:cs="Arial"/>
          <w:b/>
          <w:bCs/>
          <w:color w:val="000000"/>
          <w:lang w:val="en-US"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827D1" w:rsidRPr="001827D1" w14:paraId="11B297FC" w14:textId="77777777" w:rsidTr="00B31142">
        <w:trPr>
          <w:trHeight w:val="884"/>
        </w:trPr>
        <w:tc>
          <w:tcPr>
            <w:tcW w:w="2689" w:type="dxa"/>
          </w:tcPr>
          <w:p w14:paraId="298A0D70" w14:textId="77777777" w:rsidR="001827D1" w:rsidRPr="001827D1" w:rsidRDefault="001827D1" w:rsidP="001827D1">
            <w:pPr>
              <w:jc w:val="both"/>
              <w:rPr>
                <w:rFonts w:ascii="Verdana" w:eastAsia="Calibri" w:hAnsi="Verdana" w:cs="Arial"/>
                <w:b/>
                <w:bCs/>
                <w:color w:val="000000"/>
                <w:lang w:val="en-US" w:eastAsia="es-ES_tradnl"/>
              </w:rPr>
            </w:pPr>
          </w:p>
        </w:tc>
        <w:tc>
          <w:tcPr>
            <w:tcW w:w="6100" w:type="dxa"/>
          </w:tcPr>
          <w:p w14:paraId="3032389C" w14:textId="77777777" w:rsidR="001827D1" w:rsidRPr="001827D1" w:rsidRDefault="001827D1" w:rsidP="001827D1">
            <w:pPr>
              <w:jc w:val="both"/>
              <w:rPr>
                <w:rFonts w:ascii="Verdana" w:eastAsia="Calibri" w:hAnsi="Verdana" w:cs="Arial"/>
                <w:b/>
                <w:bCs/>
                <w:color w:val="000000"/>
                <w:lang w:val="es-ES" w:eastAsia="es-ES"/>
              </w:rPr>
            </w:pPr>
            <w:r w:rsidRPr="001827D1">
              <w:rPr>
                <w:rFonts w:ascii="Verdana" w:eastAsia="Calibri" w:hAnsi="Verdana" w:cs="Arial"/>
                <w:b/>
                <w:bCs/>
                <w:color w:val="000000"/>
                <w:lang w:val="es-ES" w:eastAsia="es-ES"/>
              </w:rPr>
              <w:t>Concepto C- 737 de 2024</w:t>
            </w:r>
          </w:p>
        </w:tc>
      </w:tr>
      <w:tr w:rsidR="001827D1" w:rsidRPr="001827D1" w14:paraId="29CE0A96" w14:textId="77777777" w:rsidTr="00B31142">
        <w:trPr>
          <w:trHeight w:val="884"/>
        </w:trPr>
        <w:tc>
          <w:tcPr>
            <w:tcW w:w="2689" w:type="dxa"/>
          </w:tcPr>
          <w:p w14:paraId="0B7D53D3" w14:textId="77777777" w:rsidR="001827D1" w:rsidRPr="001827D1" w:rsidRDefault="001827D1" w:rsidP="001827D1">
            <w:pPr>
              <w:jc w:val="both"/>
              <w:rPr>
                <w:rFonts w:ascii="Verdana" w:eastAsia="Calibri" w:hAnsi="Verdana" w:cs="Arial"/>
                <w:color w:val="000000"/>
                <w:lang w:val="es-ES_tradnl" w:eastAsia="es-ES_tradnl"/>
              </w:rPr>
            </w:pPr>
            <w:r w:rsidRPr="001827D1">
              <w:rPr>
                <w:rFonts w:ascii="Verdana" w:eastAsia="Calibri" w:hAnsi="Verdana" w:cs="Arial"/>
                <w:b/>
                <w:color w:val="000000"/>
                <w:lang w:val="es-ES_tradnl" w:eastAsia="es-ES_tradnl"/>
              </w:rPr>
              <w:t>Temas:</w:t>
            </w:r>
            <w:r w:rsidRPr="001827D1">
              <w:rPr>
                <w:rFonts w:ascii="Verdana" w:eastAsia="Calibri" w:hAnsi="Verdana" w:cs="Arial"/>
                <w:color w:val="000000"/>
                <w:lang w:val="es-ES_tradnl" w:eastAsia="es-ES_tradnl"/>
              </w:rPr>
              <w:t xml:space="preserve">                   </w:t>
            </w:r>
          </w:p>
        </w:tc>
        <w:tc>
          <w:tcPr>
            <w:tcW w:w="6100" w:type="dxa"/>
          </w:tcPr>
          <w:p w14:paraId="62057EBF" w14:textId="44DCA9ED" w:rsidR="001827D1" w:rsidRPr="001827D1" w:rsidRDefault="001827D1" w:rsidP="001827D1">
            <w:pPr>
              <w:spacing w:line="276" w:lineRule="auto"/>
              <w:jc w:val="both"/>
              <w:rPr>
                <w:rFonts w:ascii="Verdana" w:eastAsia="Calibri" w:hAnsi="Verdana" w:cs="Arial"/>
                <w:color w:val="000000"/>
                <w:lang w:val="es-ES" w:eastAsia="es-ES"/>
              </w:rPr>
            </w:pPr>
            <w:r w:rsidRPr="001827D1">
              <w:rPr>
                <w:rFonts w:ascii="Verdana" w:eastAsia="Calibri" w:hAnsi="Verdana" w:cs="Arial"/>
                <w:color w:val="000000"/>
                <w:lang w:val="es-ES" w:eastAsia="es-ES"/>
              </w:rPr>
              <w:t xml:space="preserve">VIGILANCIA DE LOS CONTRATOS ESTATALES – Marco jurídico – Obligación de la entidad – Objetivo / SUPERVISIÓN E INTERVENTORÍA – </w:t>
            </w:r>
            <w:r w:rsidR="008811B3">
              <w:rPr>
                <w:rFonts w:ascii="Verdana" w:eastAsia="Calibri" w:hAnsi="Verdana" w:cs="Arial"/>
                <w:color w:val="000000"/>
                <w:lang w:val="es-ES" w:eastAsia="es-ES"/>
              </w:rPr>
              <w:t>Concepto</w:t>
            </w:r>
            <w:r w:rsidRPr="001827D1">
              <w:rPr>
                <w:rFonts w:ascii="Verdana" w:eastAsia="Calibri" w:hAnsi="Verdana" w:cs="Arial"/>
                <w:color w:val="000000"/>
                <w:lang w:val="es-ES" w:eastAsia="es-ES"/>
              </w:rPr>
              <w:t xml:space="preserve"> – Finalidad / SUPERVISIÓN DEL CONTRATO – Características</w:t>
            </w:r>
          </w:p>
          <w:p w14:paraId="07DC4EF7" w14:textId="77777777" w:rsidR="001827D1" w:rsidRPr="001827D1" w:rsidRDefault="001827D1" w:rsidP="001827D1">
            <w:pPr>
              <w:spacing w:line="276" w:lineRule="auto"/>
              <w:jc w:val="both"/>
              <w:rPr>
                <w:rFonts w:ascii="Verdana" w:eastAsia="Calibri" w:hAnsi="Verdana" w:cs="Arial"/>
                <w:color w:val="000000"/>
                <w:lang w:val="es-ES" w:eastAsia="es-ES"/>
              </w:rPr>
            </w:pPr>
          </w:p>
        </w:tc>
      </w:tr>
      <w:tr w:rsidR="001827D1" w:rsidRPr="001827D1" w14:paraId="0CC4EE8B" w14:textId="77777777" w:rsidTr="00B31142">
        <w:tc>
          <w:tcPr>
            <w:tcW w:w="2689" w:type="dxa"/>
          </w:tcPr>
          <w:p w14:paraId="6078E073" w14:textId="77777777" w:rsidR="001827D1" w:rsidRPr="001827D1" w:rsidRDefault="001827D1" w:rsidP="001827D1">
            <w:pPr>
              <w:jc w:val="both"/>
              <w:rPr>
                <w:rFonts w:ascii="Verdana" w:eastAsia="Calibri" w:hAnsi="Verdana" w:cs="Arial"/>
                <w:b/>
                <w:color w:val="000000"/>
                <w:lang w:val="es-ES_tradnl" w:eastAsia="es-ES_tradnl"/>
              </w:rPr>
            </w:pPr>
            <w:r w:rsidRPr="001827D1">
              <w:rPr>
                <w:rFonts w:ascii="Verdana" w:eastAsia="Calibri" w:hAnsi="Verdana" w:cs="Arial"/>
                <w:b/>
                <w:color w:val="000000"/>
                <w:lang w:val="es-ES_tradnl" w:eastAsia="es-ES_tradnl"/>
              </w:rPr>
              <w:t>Radicación:</w:t>
            </w:r>
            <w:r w:rsidRPr="001827D1">
              <w:rPr>
                <w:rFonts w:ascii="Verdana" w:eastAsia="Calibri" w:hAnsi="Verdana" w:cs="Arial"/>
                <w:color w:val="000000"/>
                <w:lang w:val="es-ES_tradnl" w:eastAsia="es-ES_tradnl"/>
              </w:rPr>
              <w:t xml:space="preserve">               </w:t>
            </w:r>
          </w:p>
        </w:tc>
        <w:tc>
          <w:tcPr>
            <w:tcW w:w="6100" w:type="dxa"/>
          </w:tcPr>
          <w:p w14:paraId="18479251" w14:textId="77777777" w:rsidR="001827D1" w:rsidRPr="001827D1" w:rsidRDefault="001827D1" w:rsidP="001827D1">
            <w:pPr>
              <w:jc w:val="both"/>
              <w:rPr>
                <w:rFonts w:ascii="Verdana" w:eastAsia="Calibri" w:hAnsi="Verdana" w:cs="Arial"/>
                <w:color w:val="000000"/>
                <w:lang w:val="es-ES_tradnl" w:eastAsia="es-ES_tradnl"/>
              </w:rPr>
            </w:pPr>
            <w:r w:rsidRPr="001827D1">
              <w:rPr>
                <w:rFonts w:ascii="Verdana" w:eastAsia="Calibri" w:hAnsi="Verdana" w:cs="Arial"/>
                <w:color w:val="000000"/>
                <w:lang w:val="es-ES_tradnl" w:eastAsia="es-ES_tradnl"/>
              </w:rPr>
              <w:t xml:space="preserve">Respuesta a consulta con radicado No. </w:t>
            </w:r>
            <w:bookmarkStart w:id="0" w:name="_Hlk182495745"/>
            <w:r w:rsidRPr="001827D1">
              <w:rPr>
                <w:rFonts w:ascii="Verdana" w:eastAsia="Calibri" w:hAnsi="Verdana" w:cs="Arial"/>
                <w:color w:val="000000"/>
                <w:lang w:eastAsia="es-ES_tradnl"/>
              </w:rPr>
              <w:t>P20241010010332</w:t>
            </w:r>
            <w:bookmarkEnd w:id="0"/>
          </w:p>
        </w:tc>
      </w:tr>
    </w:tbl>
    <w:p w14:paraId="79FFF80D" w14:textId="77777777" w:rsidR="001827D1" w:rsidRPr="001827D1" w:rsidRDefault="001827D1" w:rsidP="001827D1">
      <w:pPr>
        <w:spacing w:after="0" w:line="240" w:lineRule="auto"/>
        <w:jc w:val="both"/>
        <w:rPr>
          <w:rFonts w:ascii="Verdana" w:eastAsia="Calibri" w:hAnsi="Verdana" w:cs="Arial"/>
          <w:color w:val="000000"/>
          <w:lang w:val="es-ES_tradnl" w:eastAsia="es-ES_tradnl"/>
        </w:rPr>
      </w:pPr>
    </w:p>
    <w:p w14:paraId="6BDBF558" w14:textId="77777777" w:rsidR="001827D1" w:rsidRPr="001827D1" w:rsidRDefault="001827D1" w:rsidP="001827D1">
      <w:pPr>
        <w:spacing w:after="0" w:line="240" w:lineRule="auto"/>
        <w:jc w:val="both"/>
        <w:rPr>
          <w:rFonts w:ascii="Verdana" w:eastAsia="Calibri" w:hAnsi="Verdana" w:cs="Arial"/>
          <w:color w:val="000000"/>
          <w:lang w:val="es-ES_tradnl" w:eastAsia="es-ES_tradnl"/>
        </w:rPr>
      </w:pPr>
    </w:p>
    <w:p w14:paraId="70601D16" w14:textId="77777777" w:rsidR="001827D1" w:rsidRPr="001827D1" w:rsidRDefault="001827D1" w:rsidP="001827D1">
      <w:pPr>
        <w:spacing w:after="0" w:line="276" w:lineRule="auto"/>
        <w:jc w:val="both"/>
        <w:rPr>
          <w:rFonts w:ascii="Verdana" w:eastAsia="Calibri" w:hAnsi="Verdana" w:cs="Arial"/>
          <w:color w:val="000000"/>
          <w:lang w:val="es-ES" w:eastAsia="es-ES"/>
        </w:rPr>
      </w:pPr>
      <w:r w:rsidRPr="001827D1">
        <w:rPr>
          <w:rFonts w:ascii="Verdana" w:eastAsia="Calibri" w:hAnsi="Verdana" w:cs="Arial"/>
          <w:color w:val="000000"/>
          <w:lang w:val="es-ES" w:eastAsia="es-ES"/>
        </w:rPr>
        <w:t xml:space="preserve">Estimada señora Duarte: </w:t>
      </w:r>
    </w:p>
    <w:p w14:paraId="3248D964" w14:textId="77777777" w:rsidR="001827D1" w:rsidRPr="001827D1" w:rsidRDefault="001827D1" w:rsidP="001827D1">
      <w:pPr>
        <w:tabs>
          <w:tab w:val="left" w:pos="3768"/>
        </w:tabs>
        <w:spacing w:after="0" w:line="276" w:lineRule="auto"/>
        <w:jc w:val="both"/>
        <w:rPr>
          <w:rFonts w:ascii="Verdana" w:eastAsia="Calibri" w:hAnsi="Verdana" w:cs="Arial"/>
          <w:color w:val="000000"/>
          <w:lang w:val="es-ES" w:eastAsia="es-ES"/>
        </w:rPr>
      </w:pPr>
      <w:r w:rsidRPr="001827D1">
        <w:rPr>
          <w:rFonts w:ascii="Verdana" w:eastAsia="Calibri" w:hAnsi="Verdana" w:cs="Arial"/>
          <w:color w:val="000000"/>
          <w:lang w:val="es-ES" w:eastAsia="es-ES"/>
        </w:rPr>
        <w:tab/>
      </w:r>
    </w:p>
    <w:p w14:paraId="2FC8A9AB" w14:textId="77777777" w:rsidR="001827D1" w:rsidRPr="001827D1" w:rsidRDefault="001827D1" w:rsidP="001827D1">
      <w:pPr>
        <w:spacing w:after="0" w:line="276" w:lineRule="auto"/>
        <w:jc w:val="both"/>
        <w:rPr>
          <w:rFonts w:ascii="Verdana" w:eastAsia="Calibri" w:hAnsi="Verdana" w:cs="Arial"/>
          <w:color w:val="000000"/>
          <w:lang w:val="es-ES" w:eastAsia="es-ES"/>
        </w:rPr>
      </w:pPr>
      <w:r w:rsidRPr="001827D1">
        <w:rPr>
          <w:rFonts w:ascii="Verdana" w:eastAsia="Calibri" w:hAnsi="Verdana" w:cs="Arial"/>
          <w:color w:val="000000"/>
          <w:lang w:val="es-ES" w:eastAsia="es-ES"/>
        </w:rPr>
        <w:t>En ejercicio de la competencia otorgada por los artículos 3, numeral 5º, y 11, numeral 8º, del Decreto Ley 4170 de 2011,</w:t>
      </w:r>
      <w:r w:rsidRPr="001827D1">
        <w:rPr>
          <w:rFonts w:ascii="Verdana" w:eastAsia="Arial MT" w:hAnsi="Verdana" w:cs="Arial MT"/>
          <w:color w:val="000000"/>
          <w:lang w:val="es-ES" w:eastAsia="es-ES"/>
        </w:rPr>
        <w:t xml:space="preserve"> </w:t>
      </w:r>
      <w:r w:rsidRPr="001827D1">
        <w:rPr>
          <w:rFonts w:ascii="Verdana" w:eastAsia="Times New Roman" w:hAnsi="Verdana" w:cs="Arial"/>
          <w:color w:val="000000"/>
        </w:rPr>
        <w:t xml:space="preserve">así como lo establecido en el artículo 4 de la Resolución 1707 de 2018 expedida por esta Entidad, </w:t>
      </w:r>
      <w:r w:rsidRPr="001827D1">
        <w:rPr>
          <w:rFonts w:ascii="Verdana" w:eastAsia="Calibri" w:hAnsi="Verdana" w:cs="Arial"/>
          <w:color w:val="000000"/>
          <w:lang w:val="es-ES" w:eastAsia="es-ES"/>
        </w:rPr>
        <w:t xml:space="preserve">la Agencia Nacional de Contratación Pública – Colombia Compra Eficiente– responde su solicitud de consulta de fecha 10 de octubre de 2024, en la cual manifiesta lo siguiente: </w:t>
      </w:r>
    </w:p>
    <w:p w14:paraId="4021E4E1" w14:textId="77777777" w:rsidR="001827D1" w:rsidRPr="001827D1" w:rsidRDefault="001827D1" w:rsidP="001827D1">
      <w:pPr>
        <w:tabs>
          <w:tab w:val="left" w:pos="142"/>
          <w:tab w:val="left" w:pos="284"/>
        </w:tabs>
        <w:spacing w:line="276" w:lineRule="auto"/>
        <w:contextualSpacing/>
        <w:jc w:val="both"/>
        <w:rPr>
          <w:rFonts w:ascii="Verdana" w:eastAsia="Century Gothic" w:hAnsi="Verdana" w:cs="Century Gothic"/>
          <w:b/>
          <w:bCs/>
          <w:color w:val="000000"/>
          <w:lang w:val="es-ES"/>
        </w:rPr>
      </w:pPr>
    </w:p>
    <w:p w14:paraId="6F566AD2" w14:textId="77777777" w:rsidR="001827D1" w:rsidRPr="001827D1" w:rsidRDefault="001827D1" w:rsidP="001827D1">
      <w:pPr>
        <w:spacing w:after="0" w:line="240" w:lineRule="auto"/>
        <w:ind w:left="709" w:right="709"/>
        <w:jc w:val="both"/>
        <w:rPr>
          <w:rFonts w:ascii="Verdana" w:eastAsia="Century Gothic" w:hAnsi="Verdana" w:cs="Century Gothic"/>
          <w:i/>
          <w:iCs/>
          <w:color w:val="000000"/>
          <w:sz w:val="20"/>
          <w:szCs w:val="20"/>
        </w:rPr>
      </w:pPr>
      <w:bookmarkStart w:id="1" w:name="_Hlk95313578"/>
      <w:r w:rsidRPr="001827D1">
        <w:rPr>
          <w:rFonts w:ascii="Verdana" w:eastAsia="Century Gothic" w:hAnsi="Verdana" w:cs="Century Gothic"/>
          <w:i/>
          <w:iCs/>
          <w:color w:val="000000"/>
          <w:sz w:val="20"/>
          <w:szCs w:val="20"/>
          <w:lang w:val="es-ES"/>
        </w:rPr>
        <w:t>“</w:t>
      </w:r>
      <w:bookmarkStart w:id="2" w:name="_Hlk182495781"/>
      <w:bookmarkEnd w:id="1"/>
      <w:r w:rsidRPr="001827D1">
        <w:rPr>
          <w:rFonts w:ascii="Verdana" w:eastAsia="Century Gothic" w:hAnsi="Verdana" w:cs="Century Gothic"/>
          <w:i/>
          <w:iCs/>
          <w:color w:val="000000"/>
          <w:sz w:val="20"/>
          <w:szCs w:val="20"/>
        </w:rPr>
        <w:t xml:space="preserve">1- es posible que este contrato se ejecute sin la designación de un supervisor? </w:t>
      </w:r>
    </w:p>
    <w:p w14:paraId="614CE762" w14:textId="77777777" w:rsidR="001827D1" w:rsidRPr="001827D1" w:rsidRDefault="001827D1" w:rsidP="001827D1">
      <w:pPr>
        <w:spacing w:after="0" w:line="240" w:lineRule="auto"/>
        <w:ind w:left="709" w:right="709"/>
        <w:jc w:val="both"/>
        <w:rPr>
          <w:rFonts w:ascii="Verdana" w:eastAsia="Century Gothic" w:hAnsi="Verdana" w:cs="Century Gothic"/>
          <w:i/>
          <w:iCs/>
          <w:color w:val="000000"/>
          <w:sz w:val="20"/>
          <w:szCs w:val="20"/>
        </w:rPr>
      </w:pPr>
    </w:p>
    <w:p w14:paraId="5E55866C" w14:textId="77777777" w:rsidR="001827D1" w:rsidRPr="001827D1" w:rsidRDefault="001827D1" w:rsidP="001827D1">
      <w:pPr>
        <w:spacing w:after="0" w:line="240" w:lineRule="auto"/>
        <w:ind w:left="709" w:right="709"/>
        <w:jc w:val="both"/>
        <w:rPr>
          <w:rFonts w:ascii="Verdana" w:eastAsia="Century Gothic" w:hAnsi="Verdana" w:cs="Century Gothic"/>
          <w:i/>
          <w:iCs/>
          <w:color w:val="000000"/>
          <w:sz w:val="20"/>
          <w:szCs w:val="20"/>
          <w:lang w:val="es-ES"/>
        </w:rPr>
      </w:pPr>
      <w:r w:rsidRPr="001827D1">
        <w:rPr>
          <w:rFonts w:ascii="Verdana" w:eastAsia="Century Gothic" w:hAnsi="Verdana" w:cs="Century Gothic"/>
          <w:i/>
          <w:iCs/>
          <w:color w:val="000000"/>
          <w:sz w:val="20"/>
          <w:szCs w:val="20"/>
        </w:rPr>
        <w:t xml:space="preserve">2- es posible que el interventor actúe como supervisor, es decir que la función única del ejercicio de interventor, le permita al ordenador del gasto omitir la supervisión dado el rol de apoyo técnico del </w:t>
      </w:r>
      <w:proofErr w:type="gramStart"/>
      <w:r w:rsidRPr="001827D1">
        <w:rPr>
          <w:rFonts w:ascii="Verdana" w:eastAsia="Century Gothic" w:hAnsi="Verdana" w:cs="Century Gothic"/>
          <w:i/>
          <w:iCs/>
          <w:color w:val="000000"/>
          <w:sz w:val="20"/>
          <w:szCs w:val="20"/>
        </w:rPr>
        <w:t>interventor</w:t>
      </w:r>
      <w:bookmarkEnd w:id="2"/>
      <w:r w:rsidRPr="001827D1">
        <w:rPr>
          <w:rFonts w:ascii="Verdana" w:eastAsia="Century Gothic" w:hAnsi="Verdana" w:cs="Century Gothic"/>
          <w:i/>
          <w:iCs/>
          <w:color w:val="000000"/>
          <w:sz w:val="20"/>
          <w:szCs w:val="20"/>
        </w:rPr>
        <w:t>?.</w:t>
      </w:r>
      <w:proofErr w:type="gramEnd"/>
      <w:r w:rsidRPr="001827D1">
        <w:rPr>
          <w:rFonts w:ascii="Verdana" w:eastAsia="Century Gothic" w:hAnsi="Verdana" w:cs="Century Gothic"/>
          <w:i/>
          <w:iCs/>
          <w:color w:val="000000"/>
          <w:sz w:val="20"/>
          <w:szCs w:val="20"/>
        </w:rPr>
        <w:t>”</w:t>
      </w:r>
    </w:p>
    <w:p w14:paraId="1212C5B0" w14:textId="77777777" w:rsidR="001827D1" w:rsidRPr="001827D1" w:rsidRDefault="001827D1" w:rsidP="001827D1">
      <w:pPr>
        <w:tabs>
          <w:tab w:val="left" w:pos="142"/>
          <w:tab w:val="left" w:pos="284"/>
        </w:tabs>
        <w:spacing w:line="276" w:lineRule="auto"/>
        <w:contextualSpacing/>
        <w:jc w:val="both"/>
        <w:rPr>
          <w:rFonts w:ascii="Verdana" w:eastAsia="Century Gothic" w:hAnsi="Verdana" w:cs="Century Gothic"/>
          <w:b/>
          <w:bCs/>
          <w:color w:val="000000"/>
          <w:lang w:val="es-ES"/>
        </w:rPr>
      </w:pPr>
    </w:p>
    <w:p w14:paraId="7536AC5A" w14:textId="77777777" w:rsidR="001827D1" w:rsidRPr="001827D1" w:rsidRDefault="001827D1" w:rsidP="001827D1">
      <w:pPr>
        <w:spacing w:after="120" w:line="276" w:lineRule="auto"/>
        <w:ind w:firstLine="709"/>
        <w:jc w:val="both"/>
        <w:rPr>
          <w:rFonts w:ascii="Verdana" w:eastAsia="Calibri" w:hAnsi="Verdana" w:cs="Arial"/>
          <w:color w:val="000000"/>
          <w:szCs w:val="24"/>
          <w:lang w:val="es-ES_tradnl" w:eastAsia="es-ES_tradnl"/>
        </w:rPr>
      </w:pPr>
      <w:r w:rsidRPr="001827D1">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827D1">
        <w:rPr>
          <w:rFonts w:ascii="Verdana" w:eastAsia="Calibri" w:hAnsi="Verdana" w:cs="Arial"/>
          <w:color w:val="000000"/>
          <w:szCs w:val="24"/>
          <w:lang w:val="es-ES_tradnl" w:eastAsia="es-ES_tradnl"/>
        </w:rPr>
        <w:tab/>
      </w:r>
    </w:p>
    <w:p w14:paraId="4D7EFA78" w14:textId="77777777" w:rsidR="001827D1" w:rsidRPr="001827D1" w:rsidRDefault="001827D1" w:rsidP="001827D1">
      <w:pPr>
        <w:spacing w:after="0" w:line="276" w:lineRule="auto"/>
        <w:ind w:firstLine="709"/>
        <w:jc w:val="both"/>
        <w:rPr>
          <w:rFonts w:ascii="Verdana" w:eastAsia="Calibri" w:hAnsi="Verdana" w:cs="Arial"/>
          <w:color w:val="000000"/>
          <w:lang w:val="es-ES" w:eastAsia="es-ES"/>
        </w:rPr>
      </w:pPr>
      <w:r w:rsidRPr="001827D1">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1B5BBE83" w14:textId="77777777" w:rsidR="001827D1" w:rsidRPr="001827D1" w:rsidRDefault="001827D1" w:rsidP="001827D1">
      <w:pPr>
        <w:spacing w:after="0" w:line="276" w:lineRule="auto"/>
        <w:ind w:firstLine="709"/>
        <w:jc w:val="both"/>
        <w:rPr>
          <w:rFonts w:ascii="Verdana" w:eastAsia="Calibri" w:hAnsi="Verdana" w:cs="Arial"/>
          <w:color w:val="000000"/>
          <w:lang w:val="es-ES" w:eastAsia="es-ES"/>
        </w:rPr>
      </w:pPr>
    </w:p>
    <w:p w14:paraId="29A8772A" w14:textId="77777777" w:rsidR="001827D1" w:rsidRPr="001827D1" w:rsidRDefault="001827D1" w:rsidP="001827D1">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color w:val="000000"/>
          <w:lang w:val="es-ES"/>
        </w:rPr>
      </w:pPr>
      <w:r w:rsidRPr="001827D1">
        <w:rPr>
          <w:rFonts w:ascii="Verdana" w:eastAsia="Century Gothic" w:hAnsi="Verdana" w:cs="Century Gothic"/>
          <w:b/>
          <w:bCs/>
          <w:color w:val="000000"/>
          <w:lang w:val="es-ES"/>
        </w:rPr>
        <w:t>Problema planteado:</w:t>
      </w:r>
    </w:p>
    <w:p w14:paraId="3EF05C5A" w14:textId="77777777" w:rsidR="001827D1" w:rsidRPr="001827D1" w:rsidRDefault="001827D1" w:rsidP="001827D1">
      <w:pPr>
        <w:tabs>
          <w:tab w:val="left" w:pos="426"/>
        </w:tabs>
        <w:spacing w:after="0" w:line="276" w:lineRule="auto"/>
        <w:jc w:val="both"/>
        <w:rPr>
          <w:rFonts w:ascii="Verdana" w:eastAsia="Century Gothic" w:hAnsi="Verdana" w:cs="Century Gothic"/>
          <w:color w:val="000000"/>
          <w:lang w:val="es-ES"/>
        </w:rPr>
      </w:pPr>
    </w:p>
    <w:p w14:paraId="2613B739" w14:textId="68CC86FB" w:rsidR="001827D1" w:rsidRPr="001827D1" w:rsidRDefault="001827D1" w:rsidP="001827D1">
      <w:pPr>
        <w:spacing w:after="0" w:line="276" w:lineRule="auto"/>
        <w:jc w:val="both"/>
        <w:rPr>
          <w:rFonts w:ascii="Verdana" w:eastAsia="Century Gothic" w:hAnsi="Verdana" w:cs="Century Gothic"/>
          <w:color w:val="000000"/>
        </w:rPr>
      </w:pPr>
      <w:r w:rsidRPr="001827D1">
        <w:rPr>
          <w:rFonts w:ascii="Verdana" w:eastAsia="Century Gothic" w:hAnsi="Verdana" w:cs="Century Gothic"/>
          <w:color w:val="000000"/>
        </w:rPr>
        <w:t xml:space="preserve">De acuerdo con el contenido de su solicitud, esta Agencia resolverá </w:t>
      </w:r>
      <w:r w:rsidR="00326647">
        <w:rPr>
          <w:rFonts w:ascii="Verdana" w:eastAsia="Century Gothic" w:hAnsi="Verdana" w:cs="Century Gothic"/>
          <w:color w:val="000000"/>
        </w:rPr>
        <w:t xml:space="preserve">el </w:t>
      </w:r>
      <w:r w:rsidRPr="001827D1">
        <w:rPr>
          <w:rFonts w:ascii="Verdana" w:eastAsia="Century Gothic" w:hAnsi="Verdana" w:cs="Century Gothic"/>
          <w:color w:val="000000"/>
        </w:rPr>
        <w:t>siguiente problema jurídico:</w:t>
      </w:r>
    </w:p>
    <w:p w14:paraId="5D68C6F8" w14:textId="77777777" w:rsidR="001827D1" w:rsidRPr="001827D1" w:rsidRDefault="001827D1" w:rsidP="001827D1">
      <w:pPr>
        <w:spacing w:after="0" w:line="276" w:lineRule="auto"/>
        <w:jc w:val="both"/>
        <w:rPr>
          <w:rFonts w:ascii="Verdana" w:eastAsia="Century Gothic" w:hAnsi="Verdana" w:cs="Century Gothic"/>
          <w:color w:val="000000"/>
        </w:rPr>
      </w:pPr>
    </w:p>
    <w:p w14:paraId="17A5F9F4" w14:textId="77777777" w:rsidR="001827D1" w:rsidRPr="001827D1" w:rsidRDefault="001827D1" w:rsidP="001827D1">
      <w:pPr>
        <w:numPr>
          <w:ilvl w:val="0"/>
          <w:numId w:val="19"/>
        </w:numPr>
        <w:spacing w:after="0" w:line="276" w:lineRule="auto"/>
        <w:contextualSpacing/>
        <w:jc w:val="both"/>
        <w:rPr>
          <w:rFonts w:ascii="Verdana" w:eastAsia="Century Gothic" w:hAnsi="Verdana" w:cs="Century Gothic"/>
          <w:color w:val="000000"/>
        </w:rPr>
      </w:pPr>
      <w:r w:rsidRPr="001827D1">
        <w:rPr>
          <w:rFonts w:ascii="Verdana" w:eastAsia="Calibri" w:hAnsi="Verdana" w:cs="Arial"/>
          <w:color w:val="000000"/>
        </w:rPr>
        <w:t>¿Es legalmente viable que una entidad pública ejecute un contrato sin la designación de un supervisor, o que el interventor asuma las funciones de supervisión?</w:t>
      </w:r>
      <w:r w:rsidRPr="001827D1">
        <w:rPr>
          <w:rFonts w:ascii="Verdana" w:eastAsia="Times New Roman" w:hAnsi="Verdana" w:cs="Arial"/>
          <w:lang w:eastAsia="es-MX"/>
        </w:rPr>
        <w:t xml:space="preserve"> </w:t>
      </w:r>
    </w:p>
    <w:p w14:paraId="5572C1A8" w14:textId="77777777" w:rsidR="001827D1" w:rsidRPr="001827D1" w:rsidRDefault="001827D1" w:rsidP="001827D1">
      <w:pPr>
        <w:spacing w:after="0" w:line="276" w:lineRule="auto"/>
        <w:jc w:val="both"/>
        <w:rPr>
          <w:rFonts w:ascii="Verdana" w:eastAsia="Calibri" w:hAnsi="Verdana" w:cs="Arial"/>
          <w:color w:val="000000"/>
          <w:lang w:val="es-ES"/>
        </w:rPr>
      </w:pPr>
    </w:p>
    <w:p w14:paraId="2E7C36D4" w14:textId="77777777" w:rsidR="001827D1" w:rsidRPr="001827D1" w:rsidRDefault="001827D1" w:rsidP="001827D1">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lang w:val="es-ES"/>
        </w:rPr>
      </w:pPr>
      <w:r w:rsidRPr="001827D1">
        <w:rPr>
          <w:rFonts w:ascii="Verdana" w:eastAsia="Century Gothic" w:hAnsi="Verdana" w:cs="Century Gothic"/>
          <w:b/>
          <w:bCs/>
          <w:color w:val="000000"/>
          <w:lang w:val="es-ES"/>
        </w:rPr>
        <w:t>Respuesta:</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827D1" w:rsidRPr="001827D1" w14:paraId="140D5783" w14:textId="77777777" w:rsidTr="00B31142">
        <w:tc>
          <w:tcPr>
            <w:tcW w:w="8828" w:type="dxa"/>
            <w:shd w:val="clear" w:color="auto" w:fill="auto"/>
          </w:tcPr>
          <w:p w14:paraId="6E5032F6" w14:textId="5498E27E" w:rsidR="001827D1" w:rsidRPr="001827D1" w:rsidRDefault="00AD7B6D" w:rsidP="00E5663C">
            <w:pPr>
              <w:spacing w:line="276" w:lineRule="auto"/>
              <w:jc w:val="both"/>
              <w:rPr>
                <w:rFonts w:ascii="Verdana" w:eastAsia="Calibri" w:hAnsi="Verdana" w:cs="Arial"/>
                <w:color w:val="000000"/>
              </w:rPr>
            </w:pPr>
            <w:r>
              <w:rPr>
                <w:rFonts w:ascii="Verdana" w:eastAsia="Calibri" w:hAnsi="Verdana" w:cs="Arial"/>
                <w:color w:val="000000"/>
              </w:rPr>
              <w:t xml:space="preserve">No. </w:t>
            </w:r>
            <w:r w:rsidR="001827D1" w:rsidRPr="001827D1">
              <w:rPr>
                <w:rFonts w:ascii="Verdana" w:eastAsia="Calibri" w:hAnsi="Verdana" w:cs="Arial"/>
                <w:color w:val="000000"/>
              </w:rPr>
              <w:t xml:space="preserve">Conforme al marco normativo vigente y las orientaciones establecidas en la "Guía para el ejercicio de las funciones de supervisión e interventoría de los contratos del Estado" de Colombia Compra Eficiente, no es jurídicamente permitido que una entidad pública ejecute un contrato sin designar un supervisor. La supervisión es una responsabilidad inherente e intransferible de la entidad contratante y debe ser llevada a cabo exclusivamente por un funcionario público designado para tal fin. Esta función tiene como propósito asegurar que el objeto contractual se cumpla en los términos pactados, </w:t>
            </w:r>
            <w:r w:rsidR="001827D1" w:rsidRPr="001827D1">
              <w:rPr>
                <w:rFonts w:ascii="Verdana" w:eastAsia="Calibri" w:hAnsi="Verdana" w:cs="Arial"/>
                <w:color w:val="000000"/>
              </w:rPr>
              <w:lastRenderedPageBreak/>
              <w:t>verificando aspectos como calidad, cantidad, plazos y condiciones, además de garantizar la adecuada utilización de los recursos públicos involucrados.</w:t>
            </w:r>
          </w:p>
          <w:p w14:paraId="15C0004E" w14:textId="77777777" w:rsidR="001827D1" w:rsidRPr="001827D1" w:rsidRDefault="001827D1" w:rsidP="00E5663C">
            <w:pPr>
              <w:spacing w:line="276" w:lineRule="auto"/>
              <w:jc w:val="both"/>
              <w:rPr>
                <w:rFonts w:ascii="Verdana" w:eastAsia="Calibri" w:hAnsi="Verdana" w:cs="Arial"/>
                <w:color w:val="000000"/>
              </w:rPr>
            </w:pPr>
          </w:p>
          <w:p w14:paraId="01D86A69" w14:textId="77777777" w:rsidR="001827D1" w:rsidRPr="001827D1" w:rsidRDefault="001827D1" w:rsidP="00E5663C">
            <w:pPr>
              <w:spacing w:line="276" w:lineRule="auto"/>
              <w:ind w:firstLine="708"/>
              <w:jc w:val="both"/>
              <w:rPr>
                <w:rFonts w:ascii="Verdana" w:eastAsia="Calibri" w:hAnsi="Verdana" w:cs="Arial"/>
                <w:color w:val="000000"/>
              </w:rPr>
            </w:pPr>
            <w:r w:rsidRPr="001827D1">
              <w:rPr>
                <w:rFonts w:ascii="Verdana" w:eastAsia="Calibri" w:hAnsi="Verdana" w:cs="Arial"/>
                <w:color w:val="000000"/>
              </w:rPr>
              <w:t xml:space="preserve">La ausencia de un supervisor formal constituiría un incumplimiento de las normas aplicables y comprometería la transparencia, el control y la adecuada administración de los recursos públicos durante la ejecución contractual. La designación oportuna de un supervisor es fundamental para garantizar el cumplimiento de los principios de eficiencia, eficacia y responsabilidad en la contratación estatal. Si bien las entidades pueden contratar servicios de apoyo técnico especializado para facilitar el seguimiento del contrato, este apoyo no habilita a los contratistas para asumir las funciones de supervisión, que son competencia exclusiva del supervisor formalmente designado. </w:t>
            </w:r>
          </w:p>
          <w:p w14:paraId="6676E8DA" w14:textId="77777777" w:rsidR="001827D1" w:rsidRPr="001827D1" w:rsidRDefault="001827D1" w:rsidP="00E5663C">
            <w:pPr>
              <w:spacing w:line="276" w:lineRule="auto"/>
              <w:ind w:firstLine="708"/>
              <w:jc w:val="both"/>
              <w:rPr>
                <w:rFonts w:ascii="Verdana" w:eastAsia="Calibri" w:hAnsi="Verdana" w:cs="Arial"/>
                <w:color w:val="000000"/>
              </w:rPr>
            </w:pPr>
          </w:p>
          <w:p w14:paraId="7ACFE190" w14:textId="77777777" w:rsidR="001827D1" w:rsidRPr="001827D1" w:rsidRDefault="001827D1" w:rsidP="00E5663C">
            <w:pPr>
              <w:spacing w:line="276" w:lineRule="auto"/>
              <w:ind w:firstLine="708"/>
              <w:jc w:val="both"/>
              <w:rPr>
                <w:rFonts w:ascii="Verdana" w:eastAsia="Calibri" w:hAnsi="Verdana" w:cs="Arial"/>
                <w:color w:val="000000"/>
              </w:rPr>
            </w:pPr>
            <w:r w:rsidRPr="001827D1">
              <w:rPr>
                <w:rFonts w:ascii="Verdana" w:eastAsia="Calibri" w:hAnsi="Verdana" w:cs="Arial"/>
                <w:color w:val="000000"/>
              </w:rPr>
              <w:t>Respecto al interventor, su papel es netamente técnico y operativo, limitado a revisar aspectos técnicos específicos en contratos complejos o especializados. Sin embargo, el interventor no puede reemplazar al supervisor, ya que son figuras diferentes y de acuerdo con la guía mencionada, “la diferencia es que la interventoría es un seguimiento especializado y la supervisión no tiene el nivel de especialización propio de la interventoría”. Pero es posible que estas figuras concurran caso en el cual la entidad debe fijar con claridad el alcance y las responsabilidades del supervisor y del interventor para evitar dificultades.</w:t>
            </w:r>
          </w:p>
        </w:tc>
      </w:tr>
    </w:tbl>
    <w:p w14:paraId="5EE2FC5A" w14:textId="77777777" w:rsidR="001827D1" w:rsidRPr="001827D1" w:rsidRDefault="001827D1" w:rsidP="001827D1">
      <w:pPr>
        <w:tabs>
          <w:tab w:val="left" w:pos="142"/>
          <w:tab w:val="left" w:pos="284"/>
        </w:tabs>
        <w:spacing w:after="0" w:line="276" w:lineRule="auto"/>
        <w:jc w:val="both"/>
        <w:rPr>
          <w:rFonts w:ascii="Verdana" w:eastAsia="Century Gothic" w:hAnsi="Verdana" w:cs="Century Gothic"/>
          <w:b/>
          <w:bCs/>
          <w:color w:val="000000"/>
          <w:lang w:val="es-ES"/>
        </w:rPr>
      </w:pPr>
    </w:p>
    <w:p w14:paraId="44F7F8A3" w14:textId="77777777" w:rsidR="001827D1" w:rsidRPr="001827D1" w:rsidRDefault="001827D1" w:rsidP="001827D1">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lang w:val="es-ES"/>
        </w:rPr>
      </w:pPr>
      <w:r w:rsidRPr="001827D1">
        <w:rPr>
          <w:rFonts w:ascii="Verdana" w:eastAsia="Century Gothic" w:hAnsi="Verdana" w:cs="Century Gothic"/>
          <w:b/>
          <w:bCs/>
          <w:color w:val="000000"/>
          <w:lang w:val="es-ES"/>
        </w:rPr>
        <w:t>Razones de la respuesta:</w:t>
      </w:r>
    </w:p>
    <w:p w14:paraId="780A6D4A" w14:textId="77777777" w:rsidR="001827D1" w:rsidRPr="001827D1" w:rsidRDefault="001827D1" w:rsidP="001827D1">
      <w:pPr>
        <w:spacing w:after="0" w:line="276" w:lineRule="auto"/>
        <w:jc w:val="both"/>
        <w:rPr>
          <w:rFonts w:ascii="Verdana" w:eastAsia="Calibri" w:hAnsi="Verdana" w:cs="Arial"/>
          <w:color w:val="000000"/>
          <w:lang w:val="es-ES"/>
        </w:rPr>
      </w:pPr>
    </w:p>
    <w:p w14:paraId="430F9530" w14:textId="77777777" w:rsidR="001827D1" w:rsidRPr="001827D1" w:rsidRDefault="001827D1" w:rsidP="001827D1">
      <w:pPr>
        <w:spacing w:after="0" w:line="276" w:lineRule="auto"/>
        <w:jc w:val="both"/>
        <w:rPr>
          <w:rFonts w:ascii="Verdana" w:eastAsia="Calibri" w:hAnsi="Verdana" w:cs="Arial"/>
          <w:color w:val="000000"/>
          <w:lang w:val="es-ES"/>
        </w:rPr>
      </w:pPr>
      <w:r w:rsidRPr="001827D1">
        <w:rPr>
          <w:rFonts w:ascii="Verdana" w:eastAsia="Calibri" w:hAnsi="Verdana" w:cs="Arial"/>
          <w:color w:val="000000"/>
          <w:lang w:val="es-ES"/>
        </w:rPr>
        <w:t xml:space="preserve">Lo anterior se sustenta en las siguientes consideraciones: </w:t>
      </w:r>
    </w:p>
    <w:p w14:paraId="47DB1C18" w14:textId="77777777" w:rsidR="001827D1" w:rsidRPr="001827D1" w:rsidRDefault="001827D1" w:rsidP="001827D1">
      <w:pPr>
        <w:spacing w:after="0" w:line="276" w:lineRule="auto"/>
        <w:jc w:val="both"/>
        <w:rPr>
          <w:rFonts w:ascii="Verdana" w:eastAsia="Calibri" w:hAnsi="Verdana" w:cs="Arial"/>
          <w:color w:val="000000"/>
          <w:lang w:val="es-ES"/>
        </w:rPr>
      </w:pPr>
    </w:p>
    <w:p w14:paraId="3BD18D66" w14:textId="77777777" w:rsidR="001827D1" w:rsidRPr="001827D1" w:rsidRDefault="001827D1" w:rsidP="001827D1">
      <w:pPr>
        <w:spacing w:after="0" w:line="276" w:lineRule="auto"/>
        <w:jc w:val="both"/>
        <w:rPr>
          <w:rFonts w:ascii="Verdana" w:eastAsia="Calibri" w:hAnsi="Verdana" w:cs="Arial"/>
          <w:color w:val="000000"/>
          <w:lang w:val="es-ES"/>
        </w:rPr>
      </w:pPr>
    </w:p>
    <w:p w14:paraId="712A633C" w14:textId="77777777" w:rsidR="001827D1" w:rsidRPr="001827D1" w:rsidRDefault="001827D1" w:rsidP="001827D1">
      <w:pPr>
        <w:numPr>
          <w:ilvl w:val="0"/>
          <w:numId w:val="18"/>
        </w:numPr>
        <w:spacing w:line="276" w:lineRule="auto"/>
        <w:contextualSpacing/>
        <w:jc w:val="both"/>
        <w:rPr>
          <w:rFonts w:ascii="Verdana" w:eastAsia="Times New Roman" w:hAnsi="Verdana" w:cs="Arial"/>
          <w:lang w:val="es-ES_tradnl" w:eastAsia="es-MX"/>
        </w:rPr>
      </w:pPr>
      <w:bookmarkStart w:id="3" w:name="_Hlk173311098"/>
      <w:bookmarkStart w:id="4" w:name="_Hlk182495957"/>
      <w:r w:rsidRPr="001827D1">
        <w:rPr>
          <w:rFonts w:ascii="Verdana" w:eastAsia="Times New Roman" w:hAnsi="Verdana" w:cs="Arial"/>
          <w:shd w:val="clear" w:color="auto" w:fill="FFFFFF"/>
          <w:lang w:val="es-ES"/>
        </w:rPr>
        <w:t xml:space="preserve">La Ley 80 de 1993 establece en sus artículos 4, 5, 12, 14 y 26, entre otros aspectos, la obligación de las Entidades Estatales de velar por el correcto y oportuno cumplimiento de las prestaciones del contrato, las especificaciones de los bienes, obras y servicios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w:t>
      </w:r>
      <w:r w:rsidRPr="001827D1">
        <w:rPr>
          <w:rFonts w:ascii="Verdana" w:eastAsia="Times New Roman" w:hAnsi="Verdana" w:cs="Arial"/>
          <w:shd w:val="clear" w:color="auto" w:fill="FFFFFF"/>
          <w:lang w:val="es-ES"/>
        </w:rPr>
        <w:lastRenderedPageBreak/>
        <w:t>Estatales deben ejercer el control de la ejecución del contrato y, de ser el caso, tomar medidas para exigir su adecuado cumplimiento.</w:t>
      </w:r>
    </w:p>
    <w:p w14:paraId="022DE532" w14:textId="77777777" w:rsidR="001827D1" w:rsidRPr="001827D1" w:rsidRDefault="001827D1" w:rsidP="001827D1">
      <w:pPr>
        <w:spacing w:line="276" w:lineRule="auto"/>
        <w:ind w:left="720"/>
        <w:contextualSpacing/>
        <w:jc w:val="both"/>
        <w:rPr>
          <w:rFonts w:ascii="Verdana" w:eastAsia="Times New Roman" w:hAnsi="Verdana" w:cs="Arial"/>
          <w:lang w:val="es-ES_tradnl" w:eastAsia="es-MX"/>
        </w:rPr>
      </w:pPr>
    </w:p>
    <w:p w14:paraId="35BE4DF6" w14:textId="6377935A" w:rsidR="001827D1" w:rsidRPr="001827D1" w:rsidRDefault="00CF0CA3" w:rsidP="001827D1">
      <w:pPr>
        <w:numPr>
          <w:ilvl w:val="0"/>
          <w:numId w:val="18"/>
        </w:numPr>
        <w:spacing w:line="276" w:lineRule="auto"/>
        <w:contextualSpacing/>
        <w:jc w:val="both"/>
        <w:textAlignment w:val="baseline"/>
        <w:rPr>
          <w:rFonts w:ascii="Verdana" w:eastAsia="Times New Roman" w:hAnsi="Verdana" w:cs="Arial"/>
          <w:lang w:val="es-ES_tradnl" w:eastAsia="es-MX"/>
        </w:rPr>
      </w:pPr>
      <w:r>
        <w:rPr>
          <w:rFonts w:ascii="Verdana" w:eastAsia="Times New Roman" w:hAnsi="Verdana" w:cs="Arial"/>
          <w:lang w:val="es-ES_tradnl" w:eastAsia="es-MX"/>
        </w:rPr>
        <w:t>L</w:t>
      </w:r>
      <w:r w:rsidR="001827D1" w:rsidRPr="001827D1">
        <w:rPr>
          <w:rFonts w:ascii="Verdana" w:eastAsia="Times New Roman" w:hAnsi="Verdana" w:cs="Arial"/>
          <w:lang w:val="es-ES_tradnl" w:eastAsia="es-MX"/>
        </w:rPr>
        <w:t>as Leyes 1150 de 2007 y 1474 de 2011, complementan el régimen jurídico de la obligación de vigilar la correcta ejecución de los contratos estatales. En dichas normas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001827D1" w:rsidRPr="001827D1">
        <w:rPr>
          <w:rFonts w:ascii="Verdana" w:eastAsia="Times New Roman" w:hAnsi="Verdana" w:cs="Arial"/>
          <w:vertAlign w:val="superscript"/>
          <w:lang w:val="es-ES_tradnl" w:eastAsia="es-MX"/>
        </w:rPr>
        <w:footnoteReference w:id="2"/>
      </w:r>
      <w:r w:rsidR="001827D1" w:rsidRPr="001827D1">
        <w:rPr>
          <w:rFonts w:ascii="Verdana" w:eastAsia="Times New Roman" w:hAnsi="Verdana" w:cs="Arial"/>
          <w:lang w:val="es-ES_tradnl" w:eastAsia="es-MX"/>
        </w:rPr>
        <w:t>. También se establecen los límites de la responsabilidad del representante legal ante la delegación de sus funciones en materia contractual</w:t>
      </w:r>
      <w:r w:rsidR="001827D1" w:rsidRPr="001827D1">
        <w:rPr>
          <w:rFonts w:ascii="Verdana" w:eastAsia="Times New Roman" w:hAnsi="Verdana" w:cs="Arial"/>
          <w:vertAlign w:val="superscript"/>
          <w:lang w:val="es-ES_tradnl" w:eastAsia="es-MX"/>
        </w:rPr>
        <w:footnoteReference w:id="3"/>
      </w:r>
      <w:r w:rsidR="001827D1" w:rsidRPr="001827D1">
        <w:rPr>
          <w:rFonts w:ascii="Verdana" w:eastAsia="Times New Roman" w:hAnsi="Verdana" w:cs="Arial"/>
          <w:lang w:val="es-ES_tradnl" w:eastAsia="es-MX"/>
        </w:rPr>
        <w:t xml:space="preserve"> y se regula la supervisión y la interventoría de los contratos estatales</w:t>
      </w:r>
      <w:r w:rsidR="001827D1" w:rsidRPr="001827D1">
        <w:rPr>
          <w:rFonts w:ascii="Verdana" w:eastAsia="Times New Roman" w:hAnsi="Verdana" w:cs="Arial"/>
          <w:vertAlign w:val="superscript"/>
          <w:lang w:val="es-ES_tradnl" w:eastAsia="es-MX"/>
        </w:rPr>
        <w:footnoteReference w:id="4"/>
      </w:r>
      <w:r w:rsidR="001827D1" w:rsidRPr="001827D1">
        <w:rPr>
          <w:rFonts w:ascii="Verdana" w:eastAsia="Times New Roman" w:hAnsi="Verdana" w:cs="Arial"/>
          <w:lang w:val="es-ES_tradnl" w:eastAsia="es-MX"/>
        </w:rPr>
        <w:t>.</w:t>
      </w:r>
    </w:p>
    <w:p w14:paraId="60C1A2F2" w14:textId="77777777" w:rsidR="001827D1" w:rsidRPr="001827D1" w:rsidRDefault="001827D1" w:rsidP="001827D1">
      <w:pPr>
        <w:ind w:left="720"/>
        <w:contextualSpacing/>
        <w:rPr>
          <w:rFonts w:ascii="Verdana" w:eastAsia="Times New Roman" w:hAnsi="Verdana" w:cs="Arial"/>
          <w:lang w:val="es-ES_tradnl" w:eastAsia="es-MX"/>
        </w:rPr>
      </w:pPr>
    </w:p>
    <w:p w14:paraId="7F9500D1" w14:textId="77777777" w:rsidR="001827D1" w:rsidRPr="001827D1" w:rsidRDefault="001827D1" w:rsidP="001827D1">
      <w:pPr>
        <w:numPr>
          <w:ilvl w:val="0"/>
          <w:numId w:val="18"/>
        </w:numPr>
        <w:spacing w:before="120" w:after="120" w:line="276" w:lineRule="auto"/>
        <w:contextualSpacing/>
        <w:jc w:val="both"/>
        <w:textAlignment w:val="baseline"/>
        <w:rPr>
          <w:rFonts w:ascii="Verdana" w:eastAsia="Times New Roman" w:hAnsi="Verdana" w:cs="Arial"/>
          <w:lang w:val="es-ES_tradnl" w:eastAsia="es-MX"/>
        </w:rPr>
      </w:pPr>
      <w:r w:rsidRPr="001827D1">
        <w:rPr>
          <w:rFonts w:ascii="Verdana" w:eastAsia="Times New Roman" w:hAnsi="Verdana" w:cs="Arial"/>
          <w:lang w:val="es-ES_tradnl" w:eastAsia="es-MX"/>
        </w:rPr>
        <w:t xml:space="preserve">En consecuencia, se tiene que, la jurisprudencia contencioso-administrativa, por su parte, ha considerado que la obligación de vigilar la correcta ejecución del objeto contractual es una función de la entidad contratante, en los siguientes términos: </w:t>
      </w:r>
    </w:p>
    <w:p w14:paraId="124D4924" w14:textId="77777777" w:rsidR="001827D1" w:rsidRPr="001827D1" w:rsidRDefault="001827D1" w:rsidP="001827D1">
      <w:pPr>
        <w:spacing w:after="0"/>
        <w:ind w:left="709"/>
        <w:contextualSpacing/>
        <w:jc w:val="both"/>
        <w:rPr>
          <w:rFonts w:ascii="Verdana" w:eastAsia="Times New Roman" w:hAnsi="Verdana" w:cs="Arial"/>
          <w:lang w:val="es-ES_tradnl" w:eastAsia="es-MX"/>
        </w:rPr>
      </w:pPr>
    </w:p>
    <w:p w14:paraId="39FB9D41" w14:textId="77777777" w:rsidR="001827D1" w:rsidRPr="001827D1" w:rsidRDefault="001827D1" w:rsidP="001827D1">
      <w:pPr>
        <w:spacing w:after="0" w:line="240" w:lineRule="auto"/>
        <w:ind w:left="1416" w:right="709"/>
        <w:contextualSpacing/>
        <w:jc w:val="both"/>
        <w:rPr>
          <w:rFonts w:ascii="Verdana" w:eastAsia="Times New Roman" w:hAnsi="Verdana" w:cs="Arial"/>
          <w:sz w:val="20"/>
          <w:szCs w:val="20"/>
          <w:lang w:val="es-ES_tradnl" w:eastAsia="es-MX"/>
        </w:rPr>
      </w:pPr>
      <w:bookmarkStart w:id="5" w:name="_Hlk178671999"/>
      <w:r w:rsidRPr="001827D1">
        <w:rPr>
          <w:rFonts w:ascii="Verdana" w:eastAsia="Times New Roman" w:hAnsi="Verdana" w:cs="Arial"/>
          <w:sz w:val="20"/>
          <w:szCs w:val="20"/>
          <w:lang w:val="es-ES_tradnl" w:eastAsia="es-MX"/>
        </w:rPr>
        <w:t>“La función de vigilancia y control del contrato estatal supone el cuidado y la supervisión, de forma tal que en ejercicio de esa función</w:t>
      </w:r>
      <w:bookmarkEnd w:id="5"/>
      <w:r w:rsidRPr="001827D1">
        <w:rPr>
          <w:rFonts w:ascii="Verdana" w:eastAsia="Times New Roman" w:hAnsi="Verdana" w:cs="Arial"/>
          <w:sz w:val="20"/>
          <w:szCs w:val="20"/>
          <w:lang w:val="es-ES_tradnl" w:eastAsia="es-MX"/>
        </w:rPr>
        <w:t>, quien administra la adecuada y oportuna ejecución del contrato no sólo debe velar por que las partes den cumplimiento a las obligaciones contractuales, sino que el contrato se ejecute en el tiempo y la forma convenidos, para esta forma garantizar la satisfacción de las necesidades que la administración buscaba alcanzar con la celebración del respectivo contrato”</w:t>
      </w:r>
      <w:r w:rsidRPr="001827D1">
        <w:rPr>
          <w:rFonts w:ascii="Verdana" w:eastAsia="Times New Roman" w:hAnsi="Verdana" w:cs="Arial"/>
          <w:sz w:val="20"/>
          <w:szCs w:val="20"/>
          <w:vertAlign w:val="superscript"/>
          <w:lang w:val="es-ES_tradnl" w:eastAsia="es-MX"/>
        </w:rPr>
        <w:footnoteReference w:id="5"/>
      </w:r>
      <w:r w:rsidRPr="001827D1">
        <w:rPr>
          <w:rFonts w:ascii="Verdana" w:eastAsia="Times New Roman" w:hAnsi="Verdana" w:cs="Arial"/>
          <w:sz w:val="20"/>
          <w:szCs w:val="20"/>
          <w:lang w:val="es-ES_tradnl" w:eastAsia="es-MX"/>
        </w:rPr>
        <w:t>.</w:t>
      </w:r>
    </w:p>
    <w:p w14:paraId="04CCA2C7" w14:textId="77777777" w:rsidR="001827D1" w:rsidRPr="001827D1" w:rsidRDefault="001827D1" w:rsidP="001827D1">
      <w:pPr>
        <w:ind w:left="720"/>
        <w:contextualSpacing/>
        <w:rPr>
          <w:rFonts w:ascii="Verdana" w:eastAsia="Times New Roman" w:hAnsi="Verdana" w:cs="Arial"/>
          <w:lang w:val="es-ES_tradnl" w:eastAsia="es-MX"/>
        </w:rPr>
      </w:pPr>
    </w:p>
    <w:p w14:paraId="398D6FCE" w14:textId="77777777" w:rsidR="001827D1" w:rsidRPr="001827D1" w:rsidRDefault="001827D1" w:rsidP="001827D1">
      <w:pPr>
        <w:numPr>
          <w:ilvl w:val="0"/>
          <w:numId w:val="18"/>
        </w:numPr>
        <w:spacing w:after="0" w:line="276" w:lineRule="auto"/>
        <w:contextualSpacing/>
        <w:jc w:val="both"/>
        <w:textAlignment w:val="baseline"/>
        <w:rPr>
          <w:rFonts w:ascii="Verdana" w:eastAsia="Times New Roman" w:hAnsi="Verdana" w:cs="Arial"/>
          <w:lang w:val="es-ES" w:eastAsia="es-MX"/>
        </w:rPr>
      </w:pPr>
      <w:r w:rsidRPr="001827D1">
        <w:rPr>
          <w:rFonts w:ascii="Verdana" w:eastAsia="Times New Roman" w:hAnsi="Verdana" w:cs="Arial"/>
          <w:lang w:val="es-ES" w:eastAsia="es-MX"/>
        </w:rPr>
        <w:t xml:space="preserve">De esta forma, la Ley 1474 de 2011 enmarcó el seguimiento, control y vigilancia de la ejecución del contrato estatal dentro del principio de moralidad administrativa. El artículo 83 de la referida ley, establece que “con el fin de proteger la moralidad administrativa, de prevenir la ocurrencia de actos de corrupción y tutelar la transparencia de la actividad contractual, las entidades públicas están obligadas a vigilar permanentemente la correcta ejecución del objeto contratado a través de </w:t>
      </w:r>
      <w:r w:rsidRPr="001827D1">
        <w:rPr>
          <w:rFonts w:ascii="Verdana" w:eastAsia="Times New Roman" w:hAnsi="Verdana" w:cs="Arial"/>
          <w:lang w:val="es-ES" w:eastAsia="es-MX"/>
        </w:rPr>
        <w:lastRenderedPageBreak/>
        <w:t xml:space="preserve">un supervisor o un interventor, según corresponda”. El legislador además definió las nociones de supervisión e interventoría, como mecanismos que pueden usar las Entidades Estatales para vigilar el contrato, en estos términos: </w:t>
      </w:r>
    </w:p>
    <w:p w14:paraId="0206FE91" w14:textId="77777777" w:rsidR="001827D1" w:rsidRPr="001827D1" w:rsidRDefault="001827D1" w:rsidP="001827D1">
      <w:pPr>
        <w:spacing w:after="0" w:line="276" w:lineRule="auto"/>
        <w:ind w:left="720"/>
        <w:contextualSpacing/>
        <w:jc w:val="both"/>
        <w:textAlignment w:val="baseline"/>
        <w:rPr>
          <w:rFonts w:ascii="Verdana" w:eastAsia="Times New Roman" w:hAnsi="Verdana" w:cs="Arial"/>
          <w:lang w:val="es-ES_tradnl" w:eastAsia="es-MX"/>
        </w:rPr>
      </w:pPr>
    </w:p>
    <w:p w14:paraId="6160B426" w14:textId="77777777" w:rsidR="001827D1" w:rsidRPr="001827D1" w:rsidRDefault="001827D1" w:rsidP="001827D1">
      <w:pPr>
        <w:spacing w:after="0" w:line="240" w:lineRule="auto"/>
        <w:ind w:left="1417" w:right="709"/>
        <w:jc w:val="both"/>
        <w:textAlignment w:val="baseline"/>
        <w:rPr>
          <w:rFonts w:ascii="Verdana" w:eastAsia="Times New Roman" w:hAnsi="Verdana" w:cs="Arial"/>
          <w:sz w:val="20"/>
          <w:szCs w:val="20"/>
          <w:lang w:val="es-ES" w:eastAsia="es-MX"/>
        </w:rPr>
      </w:pPr>
      <w:r w:rsidRPr="001827D1">
        <w:rPr>
          <w:rFonts w:ascii="Verdana" w:eastAsia="Times New Roman" w:hAnsi="Verdana" w:cs="Arial"/>
          <w:sz w:val="20"/>
          <w:szCs w:val="20"/>
          <w:lang w:val="es-ES" w:eastAsia="es-MX"/>
        </w:rPr>
        <w:t xml:space="preserve">“La supervisión consistirá en el seguimiento técnico, administrativo, financiero, contable, y jurídico </w:t>
      </w:r>
      <w:proofErr w:type="gramStart"/>
      <w:r w:rsidRPr="001827D1">
        <w:rPr>
          <w:rFonts w:ascii="Verdana" w:eastAsia="Times New Roman" w:hAnsi="Verdana" w:cs="Arial"/>
          <w:sz w:val="20"/>
          <w:szCs w:val="20"/>
          <w:lang w:val="es-ES" w:eastAsia="es-MX"/>
        </w:rPr>
        <w:t>que</w:t>
      </w:r>
      <w:proofErr w:type="gramEnd"/>
      <w:r w:rsidRPr="001827D1">
        <w:rPr>
          <w:rFonts w:ascii="Verdana" w:eastAsia="Times New Roman" w:hAnsi="Verdana" w:cs="Arial"/>
          <w:sz w:val="20"/>
          <w:szCs w:val="20"/>
          <w:lang w:val="es-ES" w:eastAsia="es-MX"/>
        </w:rPr>
        <w:t xml:space="preserve"> sobre el cumplimiento del objeto del contrato, es ejercida por la misma entidad estatal cuando no requieran conocimientos especializadas. Para la supervisión, la entidad estatal podrá contratar personal de apoyo, a través de los contratos de prestación de servicio que sean requeridos.</w:t>
      </w:r>
    </w:p>
    <w:p w14:paraId="55EC0DD7" w14:textId="77777777" w:rsidR="001827D1" w:rsidRPr="001827D1" w:rsidRDefault="001827D1" w:rsidP="001827D1">
      <w:pPr>
        <w:spacing w:after="0" w:line="240" w:lineRule="auto"/>
        <w:ind w:left="1418" w:right="709"/>
        <w:jc w:val="both"/>
        <w:textAlignment w:val="baseline"/>
        <w:rPr>
          <w:rFonts w:ascii="Verdana" w:eastAsia="Times New Roman" w:hAnsi="Verdana" w:cs="Arial"/>
          <w:sz w:val="20"/>
          <w:szCs w:val="20"/>
          <w:lang w:val="es-ES" w:eastAsia="es-MX"/>
        </w:rPr>
      </w:pPr>
      <w:r w:rsidRPr="001827D1">
        <w:rPr>
          <w:rFonts w:ascii="Verdana" w:eastAsia="Times New Roman" w:hAnsi="Verdana" w:cs="Arial"/>
          <w:sz w:val="20"/>
          <w:szCs w:val="20"/>
          <w:lang w:val="es-ES" w:eastAsia="es-MX"/>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1827D1">
        <w:rPr>
          <w:rFonts w:ascii="Verdana" w:eastAsia="Times New Roman" w:hAnsi="Verdana" w:cs="Arial"/>
          <w:sz w:val="20"/>
          <w:szCs w:val="20"/>
          <w:lang w:val="es-ES" w:eastAsia="es-MX"/>
        </w:rPr>
        <w:t>del mismo</w:t>
      </w:r>
      <w:proofErr w:type="gramEnd"/>
      <w:r w:rsidRPr="001827D1">
        <w:rPr>
          <w:rFonts w:ascii="Verdana" w:eastAsia="Times New Roman" w:hAnsi="Verdana" w:cs="Arial"/>
          <w:sz w:val="20"/>
          <w:szCs w:val="20"/>
          <w:lang w:val="es-ES" w:eastAsia="es-MX"/>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w:t>
      </w:r>
      <w:r w:rsidRPr="001827D1">
        <w:rPr>
          <w:rFonts w:ascii="Verdana" w:eastAsia="Times New Roman" w:hAnsi="Verdana" w:cs="Arial"/>
          <w:sz w:val="20"/>
          <w:szCs w:val="20"/>
          <w:vertAlign w:val="superscript"/>
          <w:lang w:val="es-ES" w:eastAsia="es-MX"/>
        </w:rPr>
        <w:footnoteReference w:id="6"/>
      </w:r>
      <w:r w:rsidRPr="001827D1">
        <w:rPr>
          <w:rFonts w:ascii="Verdana" w:eastAsia="Times New Roman" w:hAnsi="Verdana" w:cs="Arial"/>
          <w:sz w:val="20"/>
          <w:szCs w:val="20"/>
          <w:lang w:val="es-ES" w:eastAsia="es-MX"/>
        </w:rPr>
        <w:t>.</w:t>
      </w:r>
    </w:p>
    <w:p w14:paraId="5BDBE17F" w14:textId="77777777" w:rsidR="001827D1" w:rsidRPr="001827D1" w:rsidRDefault="001827D1" w:rsidP="001827D1">
      <w:pPr>
        <w:spacing w:after="0" w:line="276" w:lineRule="auto"/>
        <w:ind w:left="720"/>
        <w:contextualSpacing/>
        <w:jc w:val="both"/>
        <w:textAlignment w:val="baseline"/>
        <w:rPr>
          <w:rFonts w:ascii="Verdana" w:eastAsia="Times New Roman" w:hAnsi="Verdana" w:cs="Arial"/>
          <w:lang w:val="es-ES" w:eastAsia="es-MX"/>
        </w:rPr>
      </w:pPr>
    </w:p>
    <w:p w14:paraId="1D66B0A9" w14:textId="77777777" w:rsidR="001827D1" w:rsidRPr="001827D1" w:rsidRDefault="001827D1" w:rsidP="001827D1">
      <w:pPr>
        <w:numPr>
          <w:ilvl w:val="0"/>
          <w:numId w:val="18"/>
        </w:numPr>
        <w:tabs>
          <w:tab w:val="left" w:pos="709"/>
        </w:tabs>
        <w:spacing w:before="120" w:after="120" w:line="276" w:lineRule="auto"/>
        <w:contextualSpacing/>
        <w:jc w:val="both"/>
        <w:rPr>
          <w:rFonts w:ascii="Verdana" w:eastAsia="Times New Roman" w:hAnsi="Verdana" w:cs="Arial"/>
          <w:shd w:val="clear" w:color="auto" w:fill="FFFFFF"/>
          <w:lang w:val="es-ES"/>
        </w:rPr>
      </w:pPr>
      <w:r w:rsidRPr="001827D1">
        <w:rPr>
          <w:rFonts w:ascii="Verdana" w:eastAsia="Times New Roman" w:hAnsi="Verdana" w:cs="Arial"/>
          <w:bCs/>
          <w:lang w:val="es-ES"/>
        </w:rPr>
        <w:t>Sin perjuicio de lo anterior, según lo expresado por esta Agencia en el concepto No. 4201913000008240 del 20 de diciembre de 2019, de las disposiciones contenidas en los artículos 83 y 84 de la Ley 1474 de 2011, se infieren las siguientes características de la supervisión: i) la labor de supervisión siempre existirá en relación con cualquier contrato estatal, incluidos los contratos de prestación de servicios –a diferencia de la interventoría que depende del análisis de su necesidad y extensión</w:t>
      </w:r>
      <w:r w:rsidRPr="001827D1">
        <w:rPr>
          <w:rFonts w:ascii="Verdana" w:eastAsia="Times New Roman" w:hAnsi="Verdana" w:cs="Arial"/>
          <w:bCs/>
          <w:vertAlign w:val="superscript"/>
          <w:lang w:val="es-ES"/>
        </w:rPr>
        <w:footnoteReference w:id="7"/>
      </w:r>
      <w:r w:rsidRPr="001827D1">
        <w:rPr>
          <w:rFonts w:ascii="Verdana" w:eastAsia="Times New Roman" w:hAnsi="Verdana" w:cs="Arial"/>
          <w:bCs/>
          <w:lang w:val="es-ES"/>
        </w:rPr>
        <w:t xml:space="preserve">–; </w:t>
      </w:r>
      <w:proofErr w:type="spellStart"/>
      <w:r w:rsidRPr="001827D1">
        <w:rPr>
          <w:rFonts w:ascii="Verdana" w:eastAsia="Times New Roman" w:hAnsi="Verdana" w:cs="Arial"/>
          <w:bCs/>
          <w:lang w:val="es-ES"/>
        </w:rPr>
        <w:t>ii</w:t>
      </w:r>
      <w:proofErr w:type="spellEnd"/>
      <w:r w:rsidRPr="001827D1">
        <w:rPr>
          <w:rFonts w:ascii="Verdana" w:eastAsia="Times New Roman" w:hAnsi="Verdana" w:cs="Arial"/>
          <w:bCs/>
          <w:lang w:val="es-ES"/>
        </w:rPr>
        <w:t xml:space="preserve">) no requiere conocimientos tan especializados como la interventoría; </w:t>
      </w:r>
      <w:proofErr w:type="spellStart"/>
      <w:r w:rsidRPr="001827D1">
        <w:rPr>
          <w:rFonts w:ascii="Verdana" w:eastAsia="Times New Roman" w:hAnsi="Verdana" w:cs="Arial"/>
          <w:bCs/>
          <w:lang w:val="es-ES"/>
        </w:rPr>
        <w:t>iii</w:t>
      </w:r>
      <w:proofErr w:type="spellEnd"/>
      <w:r w:rsidRPr="001827D1">
        <w:rPr>
          <w:rFonts w:ascii="Verdana" w:eastAsia="Times New Roman" w:hAnsi="Verdana" w:cs="Arial"/>
          <w:bCs/>
          <w:lang w:val="es-ES"/>
        </w:rPr>
        <w:t xml:space="preserve">) se ejerce por la Entidad Estatal por conducto de la designación de servidores públicos idóneos para cumplir la función; </w:t>
      </w:r>
      <w:proofErr w:type="spellStart"/>
      <w:r w:rsidRPr="001827D1">
        <w:rPr>
          <w:rFonts w:ascii="Verdana" w:eastAsia="Times New Roman" w:hAnsi="Verdana" w:cs="Arial"/>
          <w:bCs/>
          <w:lang w:val="es-ES"/>
        </w:rPr>
        <w:t>iv</w:t>
      </w:r>
      <w:proofErr w:type="spellEnd"/>
      <w:r w:rsidRPr="001827D1">
        <w:rPr>
          <w:rFonts w:ascii="Verdana" w:eastAsia="Times New Roman" w:hAnsi="Verdana" w:cs="Arial"/>
          <w:bCs/>
          <w:lang w:val="es-ES"/>
        </w:rPr>
        <w:t>) puede recibir apoyo de personal contratado para tal fin mediante contratos de prestación de servicios; y v) le es inseparable el seguimiento técnico, administrativo, financiero, contable y jurídico del contrato vigilado.</w:t>
      </w:r>
    </w:p>
    <w:p w14:paraId="07940FFA" w14:textId="77777777" w:rsidR="001827D1" w:rsidRPr="001827D1" w:rsidRDefault="001827D1" w:rsidP="001827D1">
      <w:pPr>
        <w:tabs>
          <w:tab w:val="left" w:pos="709"/>
        </w:tabs>
        <w:spacing w:before="120" w:after="120" w:line="276" w:lineRule="auto"/>
        <w:contextualSpacing/>
        <w:jc w:val="both"/>
        <w:rPr>
          <w:rFonts w:ascii="Verdana" w:eastAsia="Times New Roman" w:hAnsi="Verdana" w:cs="Arial"/>
          <w:shd w:val="clear" w:color="auto" w:fill="FFFFFF"/>
          <w:lang w:val="es-ES"/>
        </w:rPr>
      </w:pPr>
      <w:r w:rsidRPr="001827D1">
        <w:rPr>
          <w:rFonts w:ascii="Verdana" w:eastAsia="Times New Roman" w:hAnsi="Verdana" w:cs="Arial"/>
          <w:bCs/>
          <w:lang w:val="es-ES"/>
        </w:rPr>
        <w:t xml:space="preserve"> </w:t>
      </w:r>
    </w:p>
    <w:p w14:paraId="56358F5C" w14:textId="77777777" w:rsidR="001827D1" w:rsidRPr="001827D1" w:rsidRDefault="001827D1" w:rsidP="001827D1">
      <w:pPr>
        <w:numPr>
          <w:ilvl w:val="0"/>
          <w:numId w:val="18"/>
        </w:numPr>
        <w:tabs>
          <w:tab w:val="left" w:pos="709"/>
        </w:tabs>
        <w:spacing w:before="120" w:after="120" w:line="276" w:lineRule="auto"/>
        <w:contextualSpacing/>
        <w:jc w:val="both"/>
        <w:rPr>
          <w:rFonts w:ascii="Verdana" w:eastAsia="Times New Roman" w:hAnsi="Verdana" w:cs="Arial"/>
          <w:bCs/>
          <w:lang w:val="es-ES"/>
        </w:rPr>
      </w:pPr>
      <w:r w:rsidRPr="001827D1">
        <w:rPr>
          <w:rFonts w:ascii="Verdana" w:eastAsia="Times New Roman" w:hAnsi="Verdana" w:cs="Arial"/>
          <w:bCs/>
          <w:lang w:val="es-ES"/>
        </w:rPr>
        <w:t xml:space="preserve">Por otro lado, es pertinente señalar que esta Agencia ha considerado que del texto del artículo 83 de la Ley 1474 es posible inferir que la ley dispuso que la supervisión debe ser ejercida por la misma Entidad Estatal en </w:t>
      </w:r>
      <w:r w:rsidRPr="001827D1">
        <w:rPr>
          <w:rFonts w:ascii="Verdana" w:eastAsia="Times New Roman" w:hAnsi="Verdana" w:cs="Arial"/>
          <w:bCs/>
          <w:lang w:val="es-ES"/>
        </w:rPr>
        <w:lastRenderedPageBreak/>
        <w:t xml:space="preserve">cumplimiento de su deber de vigilancia de la ejecución idónea y oportuna del objeto contratado y puede llevarse a cabo con el apoyo de contratistas, pero no prevé que dicha actividad sea realizada directamente por el contratista, y que sea este último el único responsable del seguimiento contractual. </w:t>
      </w:r>
    </w:p>
    <w:p w14:paraId="5FC99656" w14:textId="77777777" w:rsidR="001827D1" w:rsidRPr="001827D1" w:rsidRDefault="001827D1" w:rsidP="001827D1">
      <w:pPr>
        <w:tabs>
          <w:tab w:val="left" w:pos="709"/>
        </w:tabs>
        <w:spacing w:before="120" w:after="120" w:line="276" w:lineRule="auto"/>
        <w:contextualSpacing/>
        <w:jc w:val="both"/>
        <w:rPr>
          <w:rFonts w:ascii="Verdana" w:eastAsia="Times New Roman" w:hAnsi="Verdana" w:cs="Arial"/>
          <w:bCs/>
          <w:lang w:val="es-ES"/>
        </w:rPr>
      </w:pPr>
    </w:p>
    <w:p w14:paraId="539939E2" w14:textId="77777777" w:rsidR="001827D1" w:rsidRPr="001827D1" w:rsidRDefault="001827D1" w:rsidP="001827D1">
      <w:pPr>
        <w:numPr>
          <w:ilvl w:val="0"/>
          <w:numId w:val="18"/>
        </w:numPr>
        <w:tabs>
          <w:tab w:val="left" w:pos="709"/>
        </w:tabs>
        <w:spacing w:before="120" w:after="120" w:line="276" w:lineRule="auto"/>
        <w:contextualSpacing/>
        <w:jc w:val="both"/>
        <w:rPr>
          <w:rFonts w:ascii="Verdana" w:eastAsia="Times New Roman" w:hAnsi="Verdana" w:cs="Arial"/>
          <w:bCs/>
          <w:lang w:val="es-ES"/>
        </w:rPr>
      </w:pPr>
      <w:r w:rsidRPr="001827D1">
        <w:rPr>
          <w:rFonts w:ascii="Verdana" w:eastAsia="Times New Roman" w:hAnsi="Verdana" w:cs="Arial"/>
          <w:bCs/>
          <w:lang w:val="es-ES"/>
        </w:rPr>
        <w:t>Lo anterior postura se soporta del trámite del proyecto de ley que se convirtió en la Ley 1474 de 2011, inicialmente, establecía que “la supervisión de los contratos seria ejercida por un funcionario de la misma entidad estatal, o por un contratista de prestación de servicios profesionales […]”</w:t>
      </w:r>
      <w:r w:rsidRPr="004A7DA4">
        <w:rPr>
          <w:rFonts w:ascii="Verdana" w:eastAsia="Times New Roman" w:hAnsi="Verdana" w:cs="Arial"/>
          <w:vertAlign w:val="superscript"/>
          <w:lang w:val="es-ES"/>
        </w:rPr>
        <w:footnoteReference w:id="8"/>
      </w:r>
      <w:r w:rsidRPr="001827D1">
        <w:rPr>
          <w:rFonts w:ascii="Verdana" w:eastAsia="Times New Roman" w:hAnsi="Verdana" w:cs="Arial"/>
          <w:bCs/>
          <w:lang w:val="es-ES"/>
        </w:rPr>
        <w:t>. Sin embargo, también lo es que esa postura fue modificada para el segundo debate legislativo</w:t>
      </w:r>
      <w:r w:rsidRPr="00A01D20">
        <w:rPr>
          <w:rFonts w:ascii="Verdana" w:eastAsia="Times New Roman" w:hAnsi="Verdana" w:cs="Arial"/>
          <w:vertAlign w:val="superscript"/>
          <w:lang w:val="es-ES"/>
        </w:rPr>
        <w:footnoteReference w:id="9"/>
      </w:r>
      <w:r w:rsidRPr="001827D1">
        <w:rPr>
          <w:rFonts w:ascii="Verdana" w:eastAsia="Times New Roman" w:hAnsi="Verdana" w:cs="Arial"/>
          <w:bCs/>
          <w:lang w:val="es-ES"/>
        </w:rPr>
        <w:t xml:space="preserve"> y en la ponencia registrada para tercer debate</w:t>
      </w:r>
      <w:r w:rsidRPr="00A01D20">
        <w:rPr>
          <w:rFonts w:ascii="Verdana" w:eastAsia="Times New Roman" w:hAnsi="Verdana" w:cs="Arial"/>
          <w:vertAlign w:val="superscript"/>
          <w:lang w:val="es-ES"/>
        </w:rPr>
        <w:footnoteReference w:id="10"/>
      </w:r>
      <w:r w:rsidRPr="001827D1">
        <w:rPr>
          <w:rFonts w:ascii="Verdana" w:eastAsia="Times New Roman" w:hAnsi="Verdana" w:cs="Arial"/>
          <w:bCs/>
          <w:lang w:val="es-ES"/>
        </w:rPr>
        <w:t>, en donde se estableció que “la supervisión de los contratos ser[</w:t>
      </w:r>
      <w:proofErr w:type="spellStart"/>
      <w:r w:rsidRPr="001827D1">
        <w:rPr>
          <w:rFonts w:ascii="Verdana" w:eastAsia="Times New Roman" w:hAnsi="Verdana" w:cs="Arial"/>
          <w:bCs/>
          <w:lang w:val="es-ES"/>
        </w:rPr>
        <w:t>ía</w:t>
      </w:r>
      <w:proofErr w:type="spellEnd"/>
      <w:r w:rsidRPr="001827D1">
        <w:rPr>
          <w:rFonts w:ascii="Verdana" w:eastAsia="Times New Roman" w:hAnsi="Verdana" w:cs="Arial"/>
          <w:bCs/>
          <w:lang w:val="es-ES"/>
        </w:rPr>
        <w:t>] ejercida por un funcionario de la misma entidad estatal”. Incluso, la versión que finalmente se aprobó en cuarto debate</w:t>
      </w:r>
      <w:r w:rsidRPr="00A01D20">
        <w:rPr>
          <w:rFonts w:ascii="Verdana" w:eastAsia="Times New Roman" w:hAnsi="Verdana" w:cs="Arial"/>
          <w:vertAlign w:val="superscript"/>
          <w:lang w:val="es-ES"/>
        </w:rPr>
        <w:footnoteReference w:id="11"/>
      </w:r>
      <w:r w:rsidRPr="001827D1">
        <w:rPr>
          <w:rFonts w:ascii="Verdana" w:eastAsia="Times New Roman" w:hAnsi="Verdana" w:cs="Arial"/>
          <w:bCs/>
          <w:lang w:val="es-ES"/>
        </w:rPr>
        <w:t>, que fue acogida por ambas cámaras legislativas</w:t>
      </w:r>
      <w:r w:rsidRPr="00A01D20">
        <w:rPr>
          <w:rFonts w:ascii="Verdana" w:eastAsia="Times New Roman" w:hAnsi="Verdana" w:cs="Arial"/>
          <w:vertAlign w:val="superscript"/>
          <w:lang w:val="es-ES"/>
        </w:rPr>
        <w:footnoteReference w:id="12"/>
      </w:r>
      <w:r w:rsidRPr="001827D1">
        <w:rPr>
          <w:rFonts w:ascii="Verdana" w:eastAsia="Times New Roman" w:hAnsi="Verdana" w:cs="Arial"/>
          <w:bCs/>
          <w:lang w:val="es-ES"/>
        </w:rPr>
        <w:t xml:space="preserve"> luego del correspondiente trámite de conciliación</w:t>
      </w:r>
      <w:r w:rsidRPr="00A01D20">
        <w:rPr>
          <w:rFonts w:ascii="Verdana" w:eastAsia="Times New Roman" w:hAnsi="Verdana" w:cs="Arial"/>
          <w:vertAlign w:val="superscript"/>
          <w:lang w:val="es-ES"/>
        </w:rPr>
        <w:footnoteReference w:id="13"/>
      </w:r>
      <w:r w:rsidRPr="001827D1">
        <w:rPr>
          <w:rFonts w:ascii="Verdana" w:eastAsia="Times New Roman" w:hAnsi="Verdana" w:cs="Arial"/>
          <w:bCs/>
          <w:lang w:val="es-ES"/>
        </w:rPr>
        <w:t>, era del siguiente tenor: “la supervisión consistirá en el seguimiento administrativo, técnico, financiero, contable, y jurídico que sobre el cumplimiento del objeto del contrato es ejercida por la misma entidad estatal […]”. Nótese que el legislador acogió, finalmente, la noción “entidad estatal”, sin hacer referencia a los funcionarios de la entidad o a los contratistas.</w:t>
      </w:r>
    </w:p>
    <w:p w14:paraId="384E685F" w14:textId="77777777" w:rsidR="001827D1" w:rsidRPr="001827D1" w:rsidRDefault="001827D1" w:rsidP="001827D1">
      <w:pPr>
        <w:tabs>
          <w:tab w:val="left" w:pos="709"/>
        </w:tabs>
        <w:spacing w:before="120" w:after="120" w:line="276" w:lineRule="auto"/>
        <w:ind w:left="720"/>
        <w:contextualSpacing/>
        <w:jc w:val="both"/>
        <w:rPr>
          <w:rFonts w:ascii="Verdana" w:eastAsia="Times New Roman" w:hAnsi="Verdana" w:cs="Arial"/>
          <w:bCs/>
          <w:lang w:val="es-ES"/>
        </w:rPr>
      </w:pPr>
    </w:p>
    <w:p w14:paraId="3306D31D" w14:textId="77777777" w:rsidR="001827D1" w:rsidRPr="001827D1" w:rsidRDefault="001827D1" w:rsidP="001827D1">
      <w:pPr>
        <w:numPr>
          <w:ilvl w:val="0"/>
          <w:numId w:val="18"/>
        </w:numPr>
        <w:tabs>
          <w:tab w:val="left" w:pos="709"/>
        </w:tabs>
        <w:spacing w:before="120" w:after="120" w:line="276" w:lineRule="auto"/>
        <w:contextualSpacing/>
        <w:jc w:val="both"/>
        <w:rPr>
          <w:rFonts w:ascii="Verdana" w:eastAsia="Times New Roman" w:hAnsi="Verdana" w:cs="Arial"/>
          <w:bCs/>
          <w:lang w:val="es-ES"/>
        </w:rPr>
      </w:pPr>
      <w:r w:rsidRPr="001827D1">
        <w:rPr>
          <w:rFonts w:ascii="Verdana" w:eastAsia="Times New Roman" w:hAnsi="Verdana" w:cs="Arial"/>
          <w:bCs/>
          <w:lang w:val="es-ES"/>
        </w:rPr>
        <w:t>La expresión “entidad estatal” podría dar a entender que la supervisión puede ser ejercida por funcionarios y contratistas, como inicialmente se presentó en la iniciativa legislativa, en el entendido de que las entidades, por regla general, se apoyan en los unos y los otros para el cumplimiento de sus funciones. Sin embargo, la Sección Tercera del Consejo de Estado</w:t>
      </w:r>
      <w:r w:rsidRPr="001827D1">
        <w:rPr>
          <w:rFonts w:ascii="Verdana" w:eastAsia="Times New Roman" w:hAnsi="Verdana" w:cs="Arial"/>
          <w:bCs/>
          <w:lang w:val="es-ES"/>
        </w:rPr>
        <w:footnoteReference w:id="14"/>
      </w:r>
      <w:r w:rsidRPr="001827D1">
        <w:rPr>
          <w:rFonts w:ascii="Verdana" w:eastAsia="Times New Roman" w:hAnsi="Verdana" w:cs="Arial"/>
          <w:bCs/>
          <w:lang w:val="es-ES"/>
        </w:rPr>
        <w:t xml:space="preserve">, en providencia del 12 de diciembre de 2014, consideró que la </w:t>
      </w:r>
      <w:r w:rsidRPr="001827D1">
        <w:rPr>
          <w:rFonts w:ascii="Verdana" w:eastAsia="Times New Roman" w:hAnsi="Verdana" w:cs="Arial"/>
          <w:bCs/>
          <w:lang w:val="es-ES"/>
        </w:rPr>
        <w:lastRenderedPageBreak/>
        <w:t>calidad de supervisor la tienen los funcionarios de la entidad y no los contratistas. Esto, en los siguientes términos:</w:t>
      </w:r>
    </w:p>
    <w:p w14:paraId="27DDC7C5" w14:textId="77777777" w:rsidR="001827D1" w:rsidRPr="001827D1" w:rsidRDefault="001827D1" w:rsidP="001827D1">
      <w:pPr>
        <w:tabs>
          <w:tab w:val="left" w:pos="709"/>
        </w:tabs>
        <w:spacing w:before="120" w:after="120" w:line="276" w:lineRule="auto"/>
        <w:contextualSpacing/>
        <w:jc w:val="both"/>
        <w:rPr>
          <w:rFonts w:ascii="Verdana" w:eastAsia="Times New Roman" w:hAnsi="Verdana" w:cs="Arial"/>
          <w:bCs/>
          <w:lang w:val="es-ES"/>
        </w:rPr>
      </w:pPr>
    </w:p>
    <w:p w14:paraId="024587F1"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r w:rsidRPr="001827D1">
        <w:rPr>
          <w:rFonts w:ascii="Verdana" w:eastAsia="Times New Roman" w:hAnsi="Verdana" w:cs="Arial"/>
          <w:color w:val="000000"/>
          <w:sz w:val="20"/>
          <w:szCs w:val="20"/>
          <w:lang w:val="es-MX"/>
        </w:rPr>
        <w:t xml:space="preserve">“De entrada,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 </w:t>
      </w:r>
    </w:p>
    <w:p w14:paraId="407CE4F1"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r w:rsidRPr="001827D1">
        <w:rPr>
          <w:rFonts w:ascii="Verdana" w:eastAsia="Times New Roman" w:hAnsi="Verdana" w:cs="Arial"/>
          <w:color w:val="000000"/>
          <w:sz w:val="20"/>
          <w:szCs w:val="20"/>
          <w:lang w:val="es-MX"/>
        </w:rPr>
        <w:t>[…]</w:t>
      </w:r>
    </w:p>
    <w:p w14:paraId="1267DAD5"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r w:rsidRPr="001827D1">
        <w:rPr>
          <w:rFonts w:ascii="Verdana" w:eastAsia="Times New Roman" w:hAnsi="Verdana" w:cs="Arial"/>
          <w:color w:val="000000"/>
          <w:sz w:val="20"/>
          <w:szCs w:val="20"/>
          <w:lang w:val="es-MX"/>
        </w:rPr>
        <w:t xml:space="preserve">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198312, al definir las 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 Actualmente, la cuestión se mantiene en similares condiciones, sólo </w:t>
      </w:r>
      <w:r w:rsidRPr="001827D1">
        <w:rPr>
          <w:rFonts w:ascii="Verdana" w:eastAsia="Times New Roman" w:hAnsi="Verdana" w:cs="Arial"/>
          <w:i/>
          <w:iCs/>
          <w:color w:val="000000"/>
          <w:sz w:val="20"/>
          <w:szCs w:val="20"/>
          <w:lang w:val="es-MX"/>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1827D1">
        <w:rPr>
          <w:rFonts w:ascii="Verdana" w:eastAsia="Times New Roman" w:hAnsi="Verdana" w:cs="Arial"/>
          <w:color w:val="000000"/>
          <w:sz w:val="20"/>
          <w:szCs w:val="20"/>
          <w:lang w:val="es-MX"/>
        </w:rPr>
        <w:t>, so pena de variar de una consultoría a otra tipología diferente y, por consiguiente, de eludir procesos de selección. Por su parte, se hablará de interventor cuando se trate de una vigilancia externa o contratada</w:t>
      </w:r>
      <w:r w:rsidRPr="001827D1">
        <w:rPr>
          <w:rFonts w:ascii="Verdana" w:eastAsia="Times New Roman" w:hAnsi="Verdana" w:cs="Arial"/>
          <w:color w:val="000000"/>
          <w:sz w:val="20"/>
          <w:szCs w:val="20"/>
          <w:vertAlign w:val="superscript"/>
          <w:lang w:val="es-MX"/>
        </w:rPr>
        <w:footnoteReference w:id="15"/>
      </w:r>
      <w:r w:rsidRPr="001827D1">
        <w:rPr>
          <w:rFonts w:ascii="Verdana" w:eastAsia="Times New Roman" w:hAnsi="Verdana" w:cs="Arial"/>
          <w:color w:val="000000"/>
          <w:sz w:val="20"/>
          <w:szCs w:val="20"/>
          <w:lang w:val="es-MX"/>
        </w:rPr>
        <w:t>.”</w:t>
      </w:r>
    </w:p>
    <w:p w14:paraId="3542C95D" w14:textId="77777777" w:rsidR="001827D1" w:rsidRPr="001827D1" w:rsidRDefault="001827D1" w:rsidP="001827D1">
      <w:pPr>
        <w:numPr>
          <w:ilvl w:val="0"/>
          <w:numId w:val="18"/>
        </w:numPr>
        <w:spacing w:before="120" w:line="276" w:lineRule="auto"/>
        <w:contextualSpacing/>
        <w:jc w:val="both"/>
        <w:rPr>
          <w:rFonts w:ascii="Verdana" w:eastAsia="Times New Roman" w:hAnsi="Verdana" w:cs="Arial"/>
          <w:shd w:val="clear" w:color="auto" w:fill="FFFFFF"/>
          <w:lang w:val="es-ES"/>
        </w:rPr>
      </w:pPr>
      <w:r w:rsidRPr="001827D1">
        <w:rPr>
          <w:rFonts w:ascii="Verdana" w:eastAsia="Times New Roman" w:hAnsi="Verdana" w:cs="Arial"/>
          <w:shd w:val="clear" w:color="auto" w:fill="FFFFFF"/>
          <w:lang w:val="es-ES"/>
        </w:rPr>
        <w:lastRenderedPageBreak/>
        <w:t>En ese mismo sentido, como se expuso previamente, la “Guía para el ejercicio de las funciones de supervisión e interventoría de los contratos suscritos por las Entidades Estatales” consagró que la supervisión del contrato estatal corresponde al funcionario público de la entidad. Sin embargo, dicha guía reiteró que las Entidades Estatales puedan celebrar contratos de prestación de servicios para apoyar las actividades de supervisión, consignando en ellos las actividades propias del apoyo a la supervisión. 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 y el respectivo ordenador del gasto de la entidad.</w:t>
      </w:r>
    </w:p>
    <w:p w14:paraId="5E33C029" w14:textId="77777777" w:rsidR="001827D1" w:rsidRPr="001827D1" w:rsidRDefault="001827D1" w:rsidP="001827D1">
      <w:pPr>
        <w:spacing w:before="120" w:line="276" w:lineRule="auto"/>
        <w:ind w:left="720"/>
        <w:contextualSpacing/>
        <w:jc w:val="both"/>
        <w:rPr>
          <w:rFonts w:ascii="Verdana" w:eastAsia="Times New Roman" w:hAnsi="Verdana" w:cs="Arial"/>
          <w:shd w:val="clear" w:color="auto" w:fill="FFFFFF"/>
          <w:lang w:val="es-ES"/>
        </w:rPr>
      </w:pPr>
    </w:p>
    <w:p w14:paraId="025FDAC3" w14:textId="3B575691" w:rsidR="001827D1" w:rsidRPr="001827D1" w:rsidRDefault="00593F64" w:rsidP="001827D1">
      <w:pPr>
        <w:numPr>
          <w:ilvl w:val="0"/>
          <w:numId w:val="18"/>
        </w:numPr>
        <w:spacing w:before="120" w:line="276" w:lineRule="auto"/>
        <w:contextualSpacing/>
        <w:jc w:val="both"/>
        <w:rPr>
          <w:rFonts w:ascii="Verdana" w:eastAsia="Times New Roman" w:hAnsi="Verdana" w:cs="Arial"/>
          <w:shd w:val="clear" w:color="auto" w:fill="FFFFFF"/>
          <w:lang w:val="es-ES"/>
        </w:rPr>
      </w:pPr>
      <w:proofErr w:type="gramStart"/>
      <w:r>
        <w:rPr>
          <w:rFonts w:ascii="Verdana" w:eastAsia="Times New Roman" w:hAnsi="Verdana" w:cs="Arial"/>
          <w:shd w:val="clear" w:color="auto" w:fill="FFFFFF"/>
          <w:lang w:val="es-ES"/>
        </w:rPr>
        <w:t>Además</w:t>
      </w:r>
      <w:proofErr w:type="gramEnd"/>
      <w:r w:rsidR="001827D1" w:rsidRPr="001827D1">
        <w:rPr>
          <w:rFonts w:ascii="Verdana" w:eastAsia="Times New Roman" w:hAnsi="Verdana" w:cs="Arial"/>
          <w:shd w:val="clear" w:color="auto" w:fill="FFFFFF"/>
          <w:lang w:val="es-ES"/>
        </w:rPr>
        <w:t xml:space="preserve"> la mencionada guía señala que tanto supervisores e interventores tienen la función general de ejercer el control y vigilancia sobre la ejecución contractual de los contratos respecto de los cuales ejercen sus correspondientes obligaciones. Dicha labor debe ir dirigida a verificar el cumplimiento de las condiciones pactadas, por lo que están facultados para solicitar informes, aclaraciones y explicaciones sobre el desarrollo de la ejecución contractual, impartir instrucciones al contratista y hacer recomendaciones encaminadas a lograr la correcta ejecución del objeto contratado. De hecho, conforme a lo manifestado por esta Agencia en la mencionada Guía, los supervisores e intervenciones tienen funciones generales como: </w:t>
      </w:r>
    </w:p>
    <w:p w14:paraId="3258139A" w14:textId="77777777" w:rsidR="001827D1" w:rsidRPr="001827D1" w:rsidRDefault="001827D1" w:rsidP="001827D1">
      <w:pPr>
        <w:spacing w:line="276" w:lineRule="auto"/>
        <w:ind w:firstLine="709"/>
        <w:jc w:val="both"/>
        <w:rPr>
          <w:rFonts w:ascii="Century Gothic" w:eastAsia="Times New Roman" w:hAnsi="Century Gothic" w:cs="Arial"/>
          <w:lang w:val="es-ES"/>
        </w:rPr>
      </w:pPr>
    </w:p>
    <w:p w14:paraId="77F4CD97"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r w:rsidRPr="001827D1">
        <w:rPr>
          <w:rFonts w:ascii="Verdana" w:eastAsia="Times New Roman" w:hAnsi="Verdana" w:cs="Arial"/>
          <w:color w:val="000000"/>
          <w:sz w:val="20"/>
          <w:szCs w:val="20"/>
          <w:lang w:val="es-MX"/>
        </w:rPr>
        <w:t>Apoyar el logro de los objetivos contractuales.</w:t>
      </w:r>
    </w:p>
    <w:p w14:paraId="0580181D"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r w:rsidRPr="001827D1">
        <w:rPr>
          <w:rFonts w:ascii="Verdana" w:eastAsia="Times New Roman" w:hAnsi="Verdana" w:cs="Arial"/>
          <w:color w:val="000000"/>
          <w:sz w:val="20"/>
          <w:szCs w:val="20"/>
          <w:lang w:val="es-MX"/>
        </w:rPr>
        <w:lastRenderedPageBreak/>
        <w:t>Velar por el cumplimiento del contrato en términos de plazos, calidades, cantidades y adecuada ejecución de los recursos del contrato.</w:t>
      </w:r>
    </w:p>
    <w:p w14:paraId="1E29C690"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r w:rsidRPr="001827D1">
        <w:rPr>
          <w:rFonts w:ascii="Verdana" w:eastAsia="Times New Roman" w:hAnsi="Verdana" w:cs="Arial"/>
          <w:color w:val="000000"/>
          <w:sz w:val="20"/>
          <w:szCs w:val="20"/>
          <w:lang w:val="es-MX"/>
        </w:rPr>
        <w:t>Mantener en contacto a las partes del contrato.</w:t>
      </w:r>
    </w:p>
    <w:p w14:paraId="43B3345D"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r w:rsidRPr="001827D1">
        <w:rPr>
          <w:rFonts w:ascii="Verdana" w:eastAsia="Times New Roman" w:hAnsi="Verdana" w:cs="Arial"/>
          <w:color w:val="000000"/>
          <w:sz w:val="20"/>
          <w:szCs w:val="20"/>
          <w:lang w:val="es-MX"/>
        </w:rPr>
        <w:t xml:space="preserve">Evitar la generación de controversias y propender por su rápida solución. </w:t>
      </w:r>
    </w:p>
    <w:p w14:paraId="4CECBA83"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r w:rsidRPr="001827D1">
        <w:rPr>
          <w:rFonts w:ascii="Verdana" w:eastAsia="Times New Roman" w:hAnsi="Verdana" w:cs="Arial"/>
          <w:color w:val="000000"/>
          <w:sz w:val="20"/>
          <w:szCs w:val="20"/>
          <w:lang w:val="es-MX"/>
        </w:rPr>
        <w:t>Solicitar informes, llevar a cabo reuniones, integrar comités y desarrollar otras herramientas encaminadas a verificar la adecuada ejecución del contrato.</w:t>
      </w:r>
    </w:p>
    <w:p w14:paraId="30BC0E8E"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r w:rsidRPr="001827D1">
        <w:rPr>
          <w:rFonts w:ascii="Verdana" w:eastAsia="Times New Roman" w:hAnsi="Verdana" w:cs="Arial"/>
          <w:color w:val="000000"/>
          <w:sz w:val="20"/>
          <w:szCs w:val="20"/>
          <w:lang w:val="es-MX"/>
        </w:rPr>
        <w:t xml:space="preserve">Llevar a cabo las labores de monitoreo y control de riesgos que se le asignen, en coordinación con el área responsable de cada riesgo incluido en el mapa correspondiente, así como la identificación y tratamiento de los riesgos que puedan surgir durante las diversas etapas del contrato. </w:t>
      </w:r>
    </w:p>
    <w:p w14:paraId="398724B2"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r w:rsidRPr="001827D1">
        <w:rPr>
          <w:rFonts w:ascii="Verdana" w:eastAsia="Times New Roman" w:hAnsi="Verdana" w:cs="Arial"/>
          <w:color w:val="000000"/>
          <w:sz w:val="20"/>
          <w:szCs w:val="20"/>
          <w:lang w:val="es-MX"/>
        </w:rPr>
        <w:t>Aprobar o rechazar por escrito, de forma oportuna y motivada la entrega de los bienes o servicios, cuando éstos no se ajustan a lo requerido en el contrato, especificaciones técnicas, condiciones y/o calidades acordadas.</w:t>
      </w:r>
    </w:p>
    <w:p w14:paraId="1097829B"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r w:rsidRPr="001827D1">
        <w:rPr>
          <w:rFonts w:ascii="Verdana" w:eastAsia="Times New Roman" w:hAnsi="Verdana" w:cs="Arial"/>
          <w:color w:val="000000"/>
          <w:sz w:val="20"/>
          <w:szCs w:val="20"/>
          <w:lang w:val="es-MX"/>
        </w:rPr>
        <w:t>Suscribir las actas que se generen durante la ejecución del contrato para dejar documentadas diversas situaciones y entre las que se encuentran: actas de actas parciales de avance, actas parciales de recibo y actas de recibo final.</w:t>
      </w:r>
    </w:p>
    <w:p w14:paraId="1F7A21CB"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r w:rsidRPr="001827D1">
        <w:rPr>
          <w:rFonts w:ascii="Verdana" w:eastAsia="Times New Roman" w:hAnsi="Verdana" w:cs="Arial"/>
          <w:color w:val="000000"/>
          <w:sz w:val="20"/>
          <w:szCs w:val="20"/>
          <w:lang w:val="es-MX"/>
        </w:rPr>
        <w:t xml:space="preserve">Informar a la Entidad Estatal de hechos o circunstancias que puedan constituir actos de corrupción tipificados como conductas punibles, o que pongan en riesgo el cumplimiento del contrato; así como entregar los soportes necesarios para que la Entidad Estatal desarrolle las actividades correspondientes. </w:t>
      </w:r>
    </w:p>
    <w:p w14:paraId="2B6F260A"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r w:rsidRPr="001827D1">
        <w:rPr>
          <w:rFonts w:ascii="Verdana" w:eastAsia="Times New Roman" w:hAnsi="Verdana" w:cs="Arial"/>
          <w:color w:val="000000"/>
          <w:sz w:val="20"/>
          <w:szCs w:val="20"/>
          <w:lang w:val="es-MX"/>
        </w:rPr>
        <w:t xml:space="preserve">Informar a la Entidad Estatal cuando se presente incumplimiento contractual; así como entregar los soportes necesarios para que la Entidad Estatal desarrolle las actividades correspondientes. (Énfasis fuera de texto). </w:t>
      </w:r>
    </w:p>
    <w:p w14:paraId="6213176F" w14:textId="77777777" w:rsidR="001827D1" w:rsidRPr="001827D1" w:rsidRDefault="001827D1" w:rsidP="001827D1">
      <w:pPr>
        <w:spacing w:line="276" w:lineRule="auto"/>
        <w:ind w:left="709" w:right="709"/>
        <w:jc w:val="both"/>
        <w:rPr>
          <w:rFonts w:ascii="Verdana" w:eastAsia="Times New Roman" w:hAnsi="Verdana" w:cs="Arial"/>
          <w:color w:val="000000"/>
          <w:sz w:val="20"/>
          <w:szCs w:val="20"/>
          <w:lang w:val="es-MX"/>
        </w:rPr>
      </w:pPr>
    </w:p>
    <w:p w14:paraId="1176FA4F" w14:textId="77777777" w:rsidR="001827D1" w:rsidRPr="001827D1" w:rsidRDefault="001827D1" w:rsidP="001827D1">
      <w:pPr>
        <w:numPr>
          <w:ilvl w:val="0"/>
          <w:numId w:val="18"/>
        </w:numPr>
        <w:spacing w:before="120" w:line="276" w:lineRule="auto"/>
        <w:contextualSpacing/>
        <w:jc w:val="both"/>
        <w:rPr>
          <w:rFonts w:ascii="Verdana" w:eastAsia="Times New Roman" w:hAnsi="Verdana" w:cs="Arial"/>
          <w:shd w:val="clear" w:color="auto" w:fill="FFFFFF"/>
          <w:lang w:val="es-ES"/>
        </w:rPr>
      </w:pPr>
      <w:r w:rsidRPr="001827D1">
        <w:rPr>
          <w:rFonts w:ascii="Verdana" w:eastAsia="Times New Roman" w:hAnsi="Verdana" w:cs="Arial"/>
          <w:shd w:val="clear" w:color="auto" w:fill="FFFFFF"/>
          <w:lang w:val="es-ES"/>
        </w:rPr>
        <w:t xml:space="preserve">Según se desprende del apartado en cita, el ejercicio de la vigilancia de la ejecución del contrato estatal conlleva la tarea de velar por el cumplimiento de los plazos, calidades, cantidades y adecuada ejecución de los recursos del contrato. Debido a esto, es a los supervisores y/o interventores a quienes corresponde, en primera medida, verificar las entregas de bienes, obras o servicios realizadas por el contratista, determinando si las mismas se ajustan a las condiciones pactadas. Tales </w:t>
      </w:r>
      <w:r w:rsidRPr="001827D1">
        <w:rPr>
          <w:rFonts w:ascii="Verdana" w:eastAsia="Times New Roman" w:hAnsi="Verdana" w:cs="Arial"/>
          <w:shd w:val="clear" w:color="auto" w:fill="FFFFFF"/>
          <w:lang w:val="es-ES"/>
        </w:rPr>
        <w:lastRenderedPageBreak/>
        <w:t>actividades propias de la custodia a la debida ejecución de los contratos estatales también implican el deber de supervisores e interventores de concurrir a la suscripción de documentos como actas parciales de avance, actas parciales de recibo y actas de recibo final.</w:t>
      </w:r>
    </w:p>
    <w:p w14:paraId="1C6D5B47" w14:textId="77777777" w:rsidR="001827D1" w:rsidRPr="001827D1" w:rsidRDefault="001827D1" w:rsidP="001827D1">
      <w:pPr>
        <w:ind w:left="720"/>
        <w:contextualSpacing/>
        <w:rPr>
          <w:rFonts w:ascii="Verdana" w:eastAsia="Times New Roman" w:hAnsi="Verdana" w:cs="Arial"/>
          <w:shd w:val="clear" w:color="auto" w:fill="FFFFFF"/>
          <w:lang w:val="es-ES"/>
        </w:rPr>
      </w:pPr>
    </w:p>
    <w:p w14:paraId="2A537D93" w14:textId="77777777" w:rsidR="001827D1" w:rsidRPr="001827D1" w:rsidRDefault="001827D1" w:rsidP="001827D1">
      <w:pPr>
        <w:numPr>
          <w:ilvl w:val="0"/>
          <w:numId w:val="18"/>
        </w:numPr>
        <w:spacing w:before="120" w:line="276" w:lineRule="auto"/>
        <w:contextualSpacing/>
        <w:jc w:val="both"/>
        <w:rPr>
          <w:rFonts w:ascii="Verdana" w:eastAsia="Times New Roman" w:hAnsi="Verdana" w:cs="Arial"/>
          <w:color w:val="000000"/>
          <w:lang w:val="es-ES_tradnl"/>
        </w:rPr>
      </w:pPr>
      <w:r w:rsidRPr="001827D1">
        <w:rPr>
          <w:rFonts w:ascii="Verdana" w:eastAsia="Times New Roman" w:hAnsi="Verdana" w:cs="Arial"/>
          <w:shd w:val="clear" w:color="auto" w:fill="FFFFFF"/>
          <w:lang w:val="es-ES"/>
        </w:rPr>
        <w:t>En ese sentido, puede colegirse que la supervisión es uno de los medios para que las entidades ejerzan la dirección, control y vigilancia de sus contratos, con el fin de lograr el objeto contractual. Por consiguiente, el supervisor, de acuerdo con lo señalado en la Ley 80 de 1993, tiene la obligación de desarrollar las actividades que impliquen la vigilancia y seguimiento del cumplimiento de los contratos, función que puede ser asignada a un empleado público siempre que se ajusten a las fijadas para el cargo.</w:t>
      </w:r>
    </w:p>
    <w:p w14:paraId="60052E84" w14:textId="77777777" w:rsidR="001827D1" w:rsidRPr="001827D1" w:rsidRDefault="001827D1" w:rsidP="001827D1">
      <w:pPr>
        <w:spacing w:before="120" w:line="276" w:lineRule="auto"/>
        <w:contextualSpacing/>
        <w:jc w:val="both"/>
        <w:rPr>
          <w:rFonts w:ascii="Verdana" w:eastAsia="Times New Roman" w:hAnsi="Verdana" w:cs="Arial"/>
          <w:color w:val="000000"/>
          <w:lang w:val="es-ES_tradnl"/>
        </w:rPr>
      </w:pPr>
    </w:p>
    <w:p w14:paraId="41D66E0C" w14:textId="77777777" w:rsidR="001827D1" w:rsidRPr="001827D1" w:rsidRDefault="001827D1" w:rsidP="001827D1">
      <w:pPr>
        <w:numPr>
          <w:ilvl w:val="0"/>
          <w:numId w:val="18"/>
        </w:numPr>
        <w:spacing w:before="120" w:line="276" w:lineRule="auto"/>
        <w:contextualSpacing/>
        <w:jc w:val="both"/>
        <w:rPr>
          <w:rFonts w:ascii="Verdana" w:eastAsia="Times New Roman" w:hAnsi="Verdana" w:cs="Arial"/>
          <w:color w:val="000000"/>
          <w:lang w:val="es-ES_tradnl"/>
        </w:rPr>
      </w:pPr>
      <w:r w:rsidRPr="001827D1">
        <w:rPr>
          <w:rFonts w:ascii="Verdana" w:eastAsia="Times New Roman" w:hAnsi="Verdana" w:cs="Arial"/>
          <w:color w:val="000000"/>
          <w:szCs w:val="24"/>
          <w:lang w:val="es-ES_tradnl" w:eastAsia="es-ES_tradnl"/>
        </w:rPr>
        <w:t>Adicionalmente, debe precisarse que esta Agencia en el ejercicio de sus funciones, expidió la “Guía para el ejercicio de las funciones de Supervisión e Interventoría de los contratos del Estado”, la cual constituye una herramienta pedagógica en la que se imparten lineamientos de buenas prácticas para el ejercicio de la supervisión e interventoría de los contratos estatales, que se encuentra disponible para su consulta en el siguiente enlace:</w:t>
      </w:r>
    </w:p>
    <w:p w14:paraId="5A489202" w14:textId="77777777" w:rsidR="001827D1" w:rsidRPr="001827D1" w:rsidRDefault="001827D1" w:rsidP="001827D1">
      <w:pPr>
        <w:spacing w:before="120" w:line="276" w:lineRule="auto"/>
        <w:ind w:left="720"/>
        <w:contextualSpacing/>
        <w:jc w:val="both"/>
        <w:rPr>
          <w:rFonts w:ascii="Verdana" w:eastAsia="Times New Roman" w:hAnsi="Verdana" w:cs="Arial"/>
          <w:color w:val="000000"/>
          <w:lang w:val="es-ES_tradnl"/>
        </w:rPr>
      </w:pPr>
      <w:hyperlink r:id="rId12" w:history="1">
        <w:r w:rsidRPr="001827D1">
          <w:rPr>
            <w:rFonts w:ascii="Verdana" w:eastAsia="Times New Roman" w:hAnsi="Verdana" w:cs="Arial"/>
            <w:color w:val="0000FF"/>
            <w:szCs w:val="24"/>
            <w:u w:val="single"/>
            <w:lang w:val="es-ES_tradnl" w:eastAsia="es-ES_tradnl"/>
          </w:rPr>
          <w:t>https://www.colombiacompra.gov.co/sites/cce_public/files/cce_documents/cce_guia_para_el_ejercicio_de_las_funciones_de_supervision_e_interventoria_de_los_contratos_del_estado.pdf</w:t>
        </w:r>
      </w:hyperlink>
      <w:r w:rsidRPr="001827D1">
        <w:rPr>
          <w:rFonts w:ascii="Verdana" w:eastAsia="Times New Roman" w:hAnsi="Verdana" w:cs="Arial"/>
          <w:color w:val="000000"/>
          <w:szCs w:val="24"/>
          <w:lang w:val="es-ES_tradnl" w:eastAsia="es-ES_tradnl"/>
        </w:rPr>
        <w:t xml:space="preserve"> </w:t>
      </w:r>
    </w:p>
    <w:bookmarkEnd w:id="3"/>
    <w:bookmarkEnd w:id="4"/>
    <w:p w14:paraId="2D1633CA" w14:textId="77777777" w:rsidR="001827D1" w:rsidRPr="001827D1" w:rsidRDefault="001827D1" w:rsidP="001827D1">
      <w:pPr>
        <w:spacing w:before="120" w:line="276" w:lineRule="auto"/>
        <w:contextualSpacing/>
        <w:jc w:val="both"/>
        <w:rPr>
          <w:rFonts w:ascii="Verdana" w:eastAsia="Times New Roman" w:hAnsi="Verdana" w:cs="Arial"/>
          <w:color w:val="000000"/>
          <w:lang w:val="es-ES_tradnl"/>
        </w:rPr>
      </w:pPr>
    </w:p>
    <w:p w14:paraId="47CD96C9" w14:textId="77777777" w:rsidR="001827D1" w:rsidRPr="001827D1" w:rsidRDefault="001827D1" w:rsidP="001827D1">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lang w:val="es-ES"/>
        </w:rPr>
      </w:pPr>
      <w:r w:rsidRPr="001827D1">
        <w:rPr>
          <w:rFonts w:ascii="Verdana" w:eastAsia="Century Gothic" w:hAnsi="Verdana" w:cs="Century Gothic"/>
          <w:b/>
          <w:bCs/>
          <w:color w:val="000000"/>
          <w:lang w:val="es-ES"/>
        </w:rPr>
        <w:t>Referencias normativas, jurisprudenciales y otras fuentes:</w:t>
      </w:r>
    </w:p>
    <w:p w14:paraId="351E8505"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827D1" w:rsidRPr="001827D1" w14:paraId="413E7ADC" w14:textId="77777777" w:rsidTr="00B31142">
        <w:trPr>
          <w:trHeight w:val="870"/>
        </w:trPr>
        <w:tc>
          <w:tcPr>
            <w:tcW w:w="8647" w:type="dxa"/>
          </w:tcPr>
          <w:p w14:paraId="6EE1EF26" w14:textId="77777777" w:rsidR="001827D1" w:rsidRPr="001827D1" w:rsidRDefault="001827D1" w:rsidP="001827D1">
            <w:pPr>
              <w:numPr>
                <w:ilvl w:val="0"/>
                <w:numId w:val="17"/>
              </w:numPr>
              <w:rPr>
                <w:rFonts w:ascii="Verdana" w:eastAsia="Times New Roman" w:hAnsi="Verdana" w:cs="Arial"/>
                <w:color w:val="000000"/>
                <w:lang w:val="es-ES"/>
              </w:rPr>
            </w:pPr>
            <w:r w:rsidRPr="001827D1">
              <w:rPr>
                <w:rFonts w:ascii="Verdana" w:eastAsia="Times New Roman" w:hAnsi="Verdana" w:cs="Arial"/>
                <w:color w:val="000000"/>
                <w:lang w:val="es-ES"/>
              </w:rPr>
              <w:t>Ley 80 de 1993. Artículos 4, 5, 12, 14 y 26</w:t>
            </w:r>
          </w:p>
          <w:p w14:paraId="6CA078F1" w14:textId="77777777" w:rsidR="001827D1" w:rsidRPr="001827D1" w:rsidRDefault="001827D1" w:rsidP="001827D1">
            <w:pPr>
              <w:numPr>
                <w:ilvl w:val="0"/>
                <w:numId w:val="17"/>
              </w:numPr>
              <w:rPr>
                <w:rFonts w:ascii="Verdana" w:eastAsia="Times New Roman" w:hAnsi="Verdana" w:cs="Arial"/>
                <w:color w:val="000000"/>
                <w:lang w:val="es-ES"/>
              </w:rPr>
            </w:pPr>
            <w:r w:rsidRPr="001827D1">
              <w:rPr>
                <w:rFonts w:ascii="Verdana" w:eastAsia="Times New Roman" w:hAnsi="Verdana" w:cs="Arial"/>
                <w:color w:val="000000"/>
                <w:lang w:val="es-ES"/>
              </w:rPr>
              <w:t>Ley 1150 de 2007. Artículos 17 y 21</w:t>
            </w:r>
          </w:p>
          <w:p w14:paraId="634CA45E" w14:textId="77777777" w:rsidR="001827D1" w:rsidRPr="001827D1" w:rsidRDefault="001827D1" w:rsidP="001827D1">
            <w:pPr>
              <w:numPr>
                <w:ilvl w:val="0"/>
                <w:numId w:val="17"/>
              </w:numPr>
              <w:rPr>
                <w:rFonts w:ascii="Verdana" w:eastAsia="Times New Roman" w:hAnsi="Verdana" w:cs="Arial"/>
                <w:color w:val="000000"/>
                <w:lang w:val="es-ES"/>
              </w:rPr>
            </w:pPr>
            <w:r w:rsidRPr="001827D1">
              <w:rPr>
                <w:rFonts w:ascii="Verdana" w:eastAsia="Times New Roman" w:hAnsi="Verdana" w:cs="Arial"/>
                <w:color w:val="000000"/>
                <w:lang w:val="es-ES"/>
              </w:rPr>
              <w:t>Ley 1474 de 2011. Artículos 83, 84, 85 y 86</w:t>
            </w:r>
          </w:p>
          <w:p w14:paraId="5F70A7A5" w14:textId="77777777" w:rsidR="001827D1" w:rsidRPr="001827D1" w:rsidRDefault="001827D1" w:rsidP="001827D1">
            <w:pPr>
              <w:numPr>
                <w:ilvl w:val="0"/>
                <w:numId w:val="17"/>
              </w:numPr>
              <w:spacing w:after="120"/>
              <w:rPr>
                <w:rFonts w:ascii="Verdana" w:eastAsia="Times New Roman" w:hAnsi="Verdana" w:cs="Arial"/>
                <w:color w:val="000000"/>
              </w:rPr>
            </w:pPr>
            <w:r w:rsidRPr="001827D1">
              <w:rPr>
                <w:rFonts w:ascii="Verdana" w:eastAsia="Times New Roman" w:hAnsi="Verdana" w:cs="Arial"/>
                <w:color w:val="000000"/>
                <w:lang w:val="es-ES"/>
              </w:rPr>
              <w:t xml:space="preserve">Colombia Compra Eficiente, Guía para el ejercicio de las funciones de Supervisión e Interventoría de los contratos del Estado, disponible </w:t>
            </w:r>
            <w:hyperlink r:id="rId13" w:history="1">
              <w:r w:rsidRPr="001827D1">
                <w:rPr>
                  <w:rFonts w:ascii="Verdana" w:eastAsia="Times New Roman" w:hAnsi="Verdana" w:cs="Arial"/>
                  <w:color w:val="467886"/>
                  <w:u w:val="single"/>
                  <w:lang w:val="es-ES"/>
                </w:rPr>
                <w:t>aquí</w:t>
              </w:r>
            </w:hyperlink>
          </w:p>
          <w:p w14:paraId="7FDC4B37" w14:textId="77777777" w:rsidR="001827D1" w:rsidRPr="001827D1" w:rsidRDefault="001827D1" w:rsidP="001827D1">
            <w:pPr>
              <w:widowControl w:val="0"/>
              <w:numPr>
                <w:ilvl w:val="0"/>
                <w:numId w:val="17"/>
              </w:numPr>
              <w:autoSpaceDE w:val="0"/>
              <w:autoSpaceDN w:val="0"/>
              <w:spacing w:after="120" w:line="276" w:lineRule="auto"/>
              <w:jc w:val="both"/>
              <w:rPr>
                <w:rFonts w:ascii="Verdana" w:eastAsia="Times New Roman" w:hAnsi="Verdana" w:cs="Arial"/>
                <w:color w:val="000000"/>
              </w:rPr>
            </w:pPr>
            <w:r w:rsidRPr="001827D1">
              <w:rPr>
                <w:rFonts w:ascii="Verdana" w:eastAsia="Times New Roman" w:hAnsi="Verdana" w:cs="Arial"/>
                <w:color w:val="000000"/>
                <w:lang w:val="es-ES"/>
              </w:rPr>
              <w:t xml:space="preserve">Consejo de Estado. Sección 3ª. Sentencia del 27 de noviembre de 2017. M.P. Jaime Orlando Santofimio. </w:t>
            </w:r>
            <w:proofErr w:type="spellStart"/>
            <w:r w:rsidRPr="001827D1">
              <w:rPr>
                <w:rFonts w:ascii="Verdana" w:eastAsia="Times New Roman" w:hAnsi="Verdana" w:cs="Arial"/>
                <w:color w:val="000000"/>
                <w:lang w:val="es-ES"/>
              </w:rPr>
              <w:t>Exp</w:t>
            </w:r>
            <w:proofErr w:type="spellEnd"/>
            <w:r w:rsidRPr="001827D1">
              <w:rPr>
                <w:rFonts w:ascii="Verdana" w:eastAsia="Times New Roman" w:hAnsi="Verdana" w:cs="Arial"/>
                <w:color w:val="000000"/>
                <w:lang w:val="es-ES"/>
              </w:rPr>
              <w:t>. 51.802</w:t>
            </w:r>
          </w:p>
        </w:tc>
      </w:tr>
    </w:tbl>
    <w:p w14:paraId="14FC29C2"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rPr>
      </w:pPr>
    </w:p>
    <w:p w14:paraId="28DAB72B" w14:textId="77777777" w:rsidR="001827D1" w:rsidRPr="001827D1" w:rsidRDefault="001827D1" w:rsidP="001827D1">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lang w:val="es-ES"/>
        </w:rPr>
      </w:pPr>
      <w:r w:rsidRPr="001827D1">
        <w:rPr>
          <w:rFonts w:ascii="Verdana" w:eastAsia="Century Gothic" w:hAnsi="Verdana" w:cs="Century Gothic"/>
          <w:b/>
          <w:bCs/>
          <w:color w:val="000000"/>
          <w:lang w:val="es-ES"/>
        </w:rPr>
        <w:t>Doctrina de la Agencia Nacional de Contratación Pública:</w:t>
      </w:r>
    </w:p>
    <w:p w14:paraId="69B1AF3B"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rPr>
      </w:pPr>
    </w:p>
    <w:p w14:paraId="609C56A1"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lang w:val="es-ES"/>
        </w:rPr>
      </w:pPr>
      <w:r w:rsidRPr="001827D1">
        <w:rPr>
          <w:rFonts w:ascii="Verdana" w:eastAsia="Times New Roman" w:hAnsi="Verdana" w:cs="Arial"/>
          <w:color w:val="000000"/>
          <w:lang w:val="es-ES"/>
        </w:rPr>
        <w:lastRenderedPageBreak/>
        <w:t xml:space="preserve">Sobre la obligación de controlar y vigilar la ejecución de los contratos estatales, esta Subdirección se ha referido en los Conceptos </w:t>
      </w:r>
      <w:r w:rsidRPr="001827D1">
        <w:rPr>
          <w:rFonts w:ascii="Verdana" w:eastAsia="Times New Roman" w:hAnsi="Verdana" w:cs="Arial"/>
          <w:color w:val="000000"/>
          <w:lang w:val="es-ES_tradnl"/>
        </w:rPr>
        <w:t>radicado 4201913000004799 del 30 de agosto de 2019, 4201913000008240 del 20 de diciembre de 2019, C-064 del 28 de febrero de 2020, C-071 del 4 de marzo de 2020, C–077 del 18 de marzo de 2020, C–150 del 18 de marzo de 2020, C–134 del 30 de marzo de 2020, C–180 del 13 de abril de 2020, C-344 del 26 de mayo de 2020, C-414 del 30 de junio de 2021, C-506 de 3 de agosto de 2022, C-579 del 9 de septiembre de 2022, C-577 del 15 de septiembre de 2022, C-620 del 27 de septiembre de 2022, C-650 del 27 de septiembre de 2022, C-679 de 24 de octubre de 2022, C-818 del 28 de noviembre de 2022, C-830 de 28 de noviembre de 2022, C-800 de 29 de noviembre de 2022, C-930 de 30 de diciembre de 2022, C-932 de 30 de diciembre de 2022, C-975 de 8 de marzo de 2032, C-191 de 27 de abril de 2023, C-089 de 2024 de 17 de julio de 2024, C-255 de 14 de agosto de 2024</w:t>
      </w:r>
      <w:r w:rsidRPr="001827D1">
        <w:rPr>
          <w:rFonts w:ascii="Verdana" w:eastAsia="Times New Roman" w:hAnsi="Verdana" w:cs="Arial"/>
          <w:color w:val="000000"/>
          <w:lang w:val="es-ES"/>
        </w:rPr>
        <w:t xml:space="preserve">,C-600 del 7 de octubre de 2024,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history="1">
        <w:r w:rsidRPr="001827D1">
          <w:rPr>
            <w:rFonts w:ascii="Verdana" w:eastAsia="Times New Roman" w:hAnsi="Verdana" w:cs="Arial"/>
            <w:color w:val="101BF8"/>
            <w:u w:val="single"/>
            <w:lang w:val="es-ES"/>
          </w:rPr>
          <w:t>https://relatoria.colombiacompra.gov.co/</w:t>
        </w:r>
      </w:hyperlink>
      <w:r w:rsidRPr="001827D1">
        <w:rPr>
          <w:rFonts w:ascii="Verdana" w:eastAsia="Times New Roman" w:hAnsi="Verdana" w:cs="Arial"/>
          <w:color w:val="000000"/>
          <w:lang w:val="es-ES"/>
        </w:rPr>
        <w:t xml:space="preserve">. </w:t>
      </w:r>
    </w:p>
    <w:p w14:paraId="68B4436A"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lang w:val="es-ES"/>
        </w:rPr>
      </w:pPr>
    </w:p>
    <w:p w14:paraId="1DC87900"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rPr>
      </w:pPr>
      <w:r w:rsidRPr="001827D1">
        <w:rPr>
          <w:rFonts w:ascii="Verdana" w:eastAsia="Times New Roman" w:hAnsi="Verdana" w:cs="Arial"/>
          <w:color w:val="000000"/>
        </w:rPr>
        <w:t xml:space="preserve">También le invitamos a consultar las versiones V y VI de 2024 del Boletín de Relatoría de la Subdirección de Gestión Contractual relacionados con las guías de Plan Anual de Adquisiciones y la </w:t>
      </w:r>
      <w:proofErr w:type="spellStart"/>
      <w:r w:rsidRPr="001827D1">
        <w:rPr>
          <w:rFonts w:ascii="Verdana" w:eastAsia="Times New Roman" w:hAnsi="Verdana" w:cs="Arial"/>
          <w:color w:val="000000"/>
        </w:rPr>
        <w:t>odalidad</w:t>
      </w:r>
      <w:proofErr w:type="spellEnd"/>
      <w:r w:rsidRPr="001827D1">
        <w:rPr>
          <w:rFonts w:ascii="Verdana" w:eastAsia="Times New Roman" w:hAnsi="Verdana" w:cs="Arial"/>
          <w:color w:val="000000"/>
        </w:rPr>
        <w:t xml:space="preserve"> de selección de mínima cuantía , los cuales se pueden descargar en la página web de la Agencia: </w:t>
      </w:r>
      <w:hyperlink r:id="rId15" w:tgtFrame="_blank" w:tooltip="Dirección URL original: https://www.colombiacompra.gov.co/sala-de-prensa/boletin-digital. Haga clic o pulse si confía en este vínculo." w:history="1">
        <w:r w:rsidRPr="001827D1">
          <w:rPr>
            <w:rFonts w:ascii="Verdana" w:eastAsia="Times New Roman" w:hAnsi="Verdana" w:cs="Arial"/>
            <w:color w:val="0000FF"/>
            <w:u w:val="single"/>
          </w:rPr>
          <w:t>https://www.colombiacompra.gov.co/sala-de-prensa/boletin-digital</w:t>
        </w:r>
      </w:hyperlink>
      <w:r w:rsidRPr="001827D1">
        <w:rPr>
          <w:rFonts w:ascii="Verdana" w:eastAsia="Times New Roman" w:hAnsi="Verdana" w:cs="Arial"/>
          <w:color w:val="0000FF"/>
        </w:rPr>
        <w:t> "    </w:t>
      </w:r>
    </w:p>
    <w:p w14:paraId="2ED6BF2E"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rPr>
      </w:pPr>
    </w:p>
    <w:p w14:paraId="7F711ACE"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rPr>
      </w:pPr>
      <w:r w:rsidRPr="001827D1">
        <w:rPr>
          <w:rFonts w:ascii="Verdana" w:eastAsia="Times New Roman" w:hAnsi="Verdana" w:cs="Arial"/>
          <w:color w:val="000000"/>
        </w:rPr>
        <w:t xml:space="preserve">Por último, lo invitamos a seguirnos en las redes sociales en las cuales se difunde información institucional: </w:t>
      </w:r>
    </w:p>
    <w:p w14:paraId="311E3B89"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rPr>
      </w:pPr>
    </w:p>
    <w:p w14:paraId="6FDEC36B"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rPr>
      </w:pPr>
      <w:r w:rsidRPr="001827D1">
        <w:rPr>
          <w:rFonts w:ascii="Verdana" w:eastAsia="Times New Roman" w:hAnsi="Verdana" w:cs="Arial"/>
          <w:color w:val="000000"/>
        </w:rPr>
        <w:t xml:space="preserve">Twitter: </w:t>
      </w:r>
      <w:r w:rsidRPr="001827D1">
        <w:rPr>
          <w:rFonts w:ascii="Verdana" w:eastAsia="Times New Roman" w:hAnsi="Verdana" w:cs="Arial"/>
          <w:color w:val="000000"/>
          <w:u w:val="single"/>
        </w:rPr>
        <w:t>@colombiacompra</w:t>
      </w:r>
      <w:r w:rsidRPr="001827D1">
        <w:rPr>
          <w:rFonts w:ascii="Verdana" w:eastAsia="Times New Roman" w:hAnsi="Verdana" w:cs="Arial"/>
          <w:color w:val="000000"/>
        </w:rPr>
        <w:t xml:space="preserve"> </w:t>
      </w:r>
    </w:p>
    <w:p w14:paraId="4FFBD91B"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rPr>
      </w:pPr>
      <w:r w:rsidRPr="001827D1">
        <w:rPr>
          <w:rFonts w:ascii="Verdana" w:eastAsia="Times New Roman" w:hAnsi="Verdana" w:cs="Arial"/>
          <w:color w:val="000000"/>
        </w:rPr>
        <w:t xml:space="preserve">Facebook: </w:t>
      </w:r>
      <w:proofErr w:type="spellStart"/>
      <w:r w:rsidRPr="001827D1">
        <w:rPr>
          <w:rFonts w:ascii="Verdana" w:eastAsia="Times New Roman" w:hAnsi="Verdana" w:cs="Arial"/>
          <w:color w:val="000000"/>
          <w:u w:val="single"/>
        </w:rPr>
        <w:t>ColombiaCompraEficiente</w:t>
      </w:r>
      <w:proofErr w:type="spellEnd"/>
    </w:p>
    <w:p w14:paraId="0BC4B6C1"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rPr>
      </w:pPr>
      <w:r w:rsidRPr="001827D1">
        <w:rPr>
          <w:rFonts w:ascii="Verdana" w:eastAsia="Times New Roman" w:hAnsi="Verdana" w:cs="Arial"/>
          <w:color w:val="000000"/>
        </w:rPr>
        <w:t xml:space="preserve">LinkedIn: </w:t>
      </w:r>
      <w:r w:rsidRPr="001827D1">
        <w:rPr>
          <w:rFonts w:ascii="Verdana" w:eastAsia="Times New Roman" w:hAnsi="Verdana" w:cs="Arial"/>
          <w:color w:val="000000"/>
          <w:u w:val="single"/>
        </w:rPr>
        <w:t>Agencia Nacional de Contratación Pública - Colombia Compra Eficiente</w:t>
      </w:r>
      <w:r w:rsidRPr="001827D1">
        <w:rPr>
          <w:rFonts w:ascii="Verdana" w:eastAsia="Times New Roman" w:hAnsi="Verdana" w:cs="Arial"/>
          <w:color w:val="000000"/>
        </w:rPr>
        <w:t xml:space="preserve"> Instagram: </w:t>
      </w:r>
      <w:r w:rsidRPr="001827D1">
        <w:rPr>
          <w:rFonts w:ascii="Verdana" w:eastAsia="Times New Roman" w:hAnsi="Verdana" w:cs="Arial"/>
          <w:color w:val="000000"/>
          <w:u w:val="single"/>
        </w:rPr>
        <w:t>@colombiacompraeficiente_cce</w:t>
      </w:r>
    </w:p>
    <w:p w14:paraId="14A3CAB4"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rPr>
      </w:pPr>
    </w:p>
    <w:p w14:paraId="6AA424E5"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lang w:val="es-ES_tradnl"/>
        </w:rPr>
      </w:pPr>
      <w:r w:rsidRPr="001827D1">
        <w:rPr>
          <w:rFonts w:ascii="Verdana" w:eastAsia="Times New Roman" w:hAnsi="Verdana" w:cs="Arial"/>
          <w:color w:val="000000"/>
        </w:rPr>
        <w:t xml:space="preserve">Este concepto tiene el alcance previsto en el artículo 28 del Código de Procedimiento Administrativo y de lo Contencioso Administrativo </w:t>
      </w:r>
      <w:r w:rsidRPr="001827D1">
        <w:rPr>
          <w:rFonts w:ascii="Verdana" w:eastAsia="Times New Roman" w:hAnsi="Verdana" w:cs="Arial"/>
          <w:color w:val="000000"/>
          <w:lang w:val="es-ES_tradnl"/>
        </w:rPr>
        <w:t xml:space="preserve">y las expresiones aquí utilizadas con mayúscula inicial deben ser entendidas con el </w:t>
      </w:r>
      <w:r w:rsidRPr="001827D1">
        <w:rPr>
          <w:rFonts w:ascii="Verdana" w:eastAsia="Times New Roman" w:hAnsi="Verdana" w:cs="Arial"/>
          <w:color w:val="000000"/>
          <w:lang w:val="es-ES_tradnl"/>
        </w:rPr>
        <w:lastRenderedPageBreak/>
        <w:t>significado que les otorga el artículo 2.2.1.1.1.3.1. del Decreto 1082 de 2015.</w:t>
      </w:r>
    </w:p>
    <w:p w14:paraId="3628464D" w14:textId="77777777" w:rsidR="001827D1" w:rsidRPr="001827D1" w:rsidRDefault="001827D1" w:rsidP="001827D1">
      <w:pPr>
        <w:widowControl w:val="0"/>
        <w:autoSpaceDE w:val="0"/>
        <w:autoSpaceDN w:val="0"/>
        <w:spacing w:after="0" w:line="276" w:lineRule="auto"/>
        <w:jc w:val="both"/>
        <w:rPr>
          <w:rFonts w:ascii="Verdana" w:eastAsia="Times New Roman" w:hAnsi="Verdana" w:cs="Arial"/>
          <w:color w:val="000000"/>
        </w:rPr>
      </w:pPr>
    </w:p>
    <w:p w14:paraId="421DBB09" w14:textId="77777777" w:rsidR="001827D1" w:rsidRPr="001827D1" w:rsidRDefault="001827D1" w:rsidP="001827D1">
      <w:pPr>
        <w:spacing w:after="0" w:line="240" w:lineRule="auto"/>
        <w:rPr>
          <w:rFonts w:ascii="Verdana" w:eastAsia="Times New Roman" w:hAnsi="Verdana" w:cs="Arial"/>
          <w:color w:val="000000"/>
          <w:lang w:eastAsia="es-CO"/>
        </w:rPr>
      </w:pPr>
      <w:r w:rsidRPr="001827D1">
        <w:rPr>
          <w:rFonts w:ascii="Verdana" w:eastAsia="Times New Roman" w:hAnsi="Verdana" w:cs="Arial"/>
          <w:color w:val="000000"/>
          <w:lang w:eastAsia="es-CO"/>
        </w:rPr>
        <w:t xml:space="preserve">Atentamente, </w:t>
      </w:r>
    </w:p>
    <w:p w14:paraId="099D118E" w14:textId="3564AE01" w:rsidR="001827D1" w:rsidRPr="001827D1" w:rsidRDefault="00B57C11" w:rsidP="001827D1">
      <w:pPr>
        <w:spacing w:line="276" w:lineRule="auto"/>
        <w:jc w:val="center"/>
        <w:rPr>
          <w:rFonts w:ascii="Verdana" w:eastAsia="Times New Roman" w:hAnsi="Verdana" w:cs="Arial"/>
          <w:color w:val="000000"/>
          <w:lang w:val="es-ES_tradnl" w:eastAsia="es-CO"/>
        </w:rPr>
      </w:pPr>
      <w:r w:rsidRPr="00B57C11">
        <w:rPr>
          <w:rFonts w:ascii="Century Gothic" w:eastAsia="Aptos" w:hAnsi="Century Gothic" w:cs="Times New Roman"/>
          <w:noProof/>
          <w:kern w:val="2"/>
          <w14:ligatures w14:val="standardContextual"/>
        </w:rPr>
        <w:drawing>
          <wp:inline distT="0" distB="0" distL="0" distR="0" wp14:anchorId="25E63FFE" wp14:editId="0D31A75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827D1" w:rsidRPr="001827D1" w14:paraId="6AFC7F02" w14:textId="77777777" w:rsidTr="001827D1">
        <w:trPr>
          <w:trHeight w:val="315"/>
        </w:trPr>
        <w:tc>
          <w:tcPr>
            <w:tcW w:w="893" w:type="dxa"/>
            <w:vAlign w:val="center"/>
            <w:hideMark/>
          </w:tcPr>
          <w:p w14:paraId="69B71A6C" w14:textId="77777777" w:rsidR="001827D1" w:rsidRPr="001827D1" w:rsidRDefault="001827D1" w:rsidP="001827D1">
            <w:pPr>
              <w:contextualSpacing/>
              <w:rPr>
                <w:rFonts w:ascii="Verdana" w:eastAsia="Times New Roman" w:hAnsi="Verdana" w:cs="Arial"/>
                <w:color w:val="000000"/>
                <w:sz w:val="16"/>
                <w:szCs w:val="16"/>
                <w:lang w:val="es-ES" w:eastAsia="es-ES"/>
              </w:rPr>
            </w:pPr>
            <w:r w:rsidRPr="001827D1">
              <w:rPr>
                <w:rFonts w:ascii="Verdana" w:eastAsia="Times New Roman" w:hAnsi="Verdana" w:cs="Arial"/>
                <w:color w:val="000000"/>
                <w:sz w:val="16"/>
                <w:szCs w:val="16"/>
                <w:lang w:val="es-ES" w:eastAsia="es-ES"/>
              </w:rPr>
              <w:t>Elaboró:</w:t>
            </w:r>
          </w:p>
        </w:tc>
        <w:tc>
          <w:tcPr>
            <w:tcW w:w="5628" w:type="dxa"/>
            <w:tcBorders>
              <w:top w:val="nil"/>
              <w:left w:val="nil"/>
              <w:bottom w:val="dotted" w:sz="4" w:space="0" w:color="7F7F7F"/>
              <w:right w:val="nil"/>
            </w:tcBorders>
            <w:vAlign w:val="center"/>
            <w:hideMark/>
          </w:tcPr>
          <w:p w14:paraId="307D9706" w14:textId="77777777" w:rsidR="001827D1" w:rsidRPr="001827D1" w:rsidRDefault="001827D1" w:rsidP="001827D1">
            <w:pPr>
              <w:contextualSpacing/>
              <w:rPr>
                <w:rFonts w:ascii="Verdana" w:eastAsia="Arial" w:hAnsi="Verdana" w:cs="Arial"/>
                <w:color w:val="000000"/>
                <w:sz w:val="16"/>
                <w:szCs w:val="16"/>
              </w:rPr>
            </w:pPr>
            <w:r w:rsidRPr="001827D1">
              <w:rPr>
                <w:rFonts w:ascii="Verdana" w:eastAsia="Times New Roman" w:hAnsi="Verdana" w:cs="Arial"/>
                <w:color w:val="000000"/>
                <w:sz w:val="16"/>
                <w:szCs w:val="16"/>
              </w:rPr>
              <w:t>J</w:t>
            </w:r>
            <w:r w:rsidRPr="001827D1">
              <w:rPr>
                <w:rFonts w:ascii="Verdana" w:eastAsia="Times New Roman" w:hAnsi="Verdana" w:cs="Arial"/>
                <w:sz w:val="16"/>
                <w:szCs w:val="16"/>
              </w:rPr>
              <w:t xml:space="preserve">uan Manuel Avendaño López </w:t>
            </w:r>
          </w:p>
          <w:p w14:paraId="5D178956" w14:textId="77777777" w:rsidR="001827D1" w:rsidRPr="001827D1" w:rsidRDefault="001827D1" w:rsidP="001827D1">
            <w:pPr>
              <w:contextualSpacing/>
              <w:rPr>
                <w:rFonts w:ascii="Verdana" w:eastAsia="Arial" w:hAnsi="Verdana" w:cs="Arial"/>
                <w:color w:val="000000"/>
                <w:sz w:val="16"/>
                <w:szCs w:val="16"/>
              </w:rPr>
            </w:pPr>
            <w:r w:rsidRPr="001827D1">
              <w:rPr>
                <w:rFonts w:ascii="Verdana" w:eastAsia="Arial" w:hAnsi="Verdana" w:cs="Arial"/>
                <w:color w:val="000000"/>
                <w:sz w:val="16"/>
                <w:szCs w:val="16"/>
              </w:rPr>
              <w:t>Contratista de la Subdirección de Gestión Contractual</w:t>
            </w:r>
          </w:p>
        </w:tc>
      </w:tr>
      <w:tr w:rsidR="001827D1" w:rsidRPr="001827D1" w14:paraId="3477C07A" w14:textId="77777777" w:rsidTr="001827D1">
        <w:trPr>
          <w:trHeight w:val="330"/>
        </w:trPr>
        <w:tc>
          <w:tcPr>
            <w:tcW w:w="893" w:type="dxa"/>
            <w:vAlign w:val="center"/>
            <w:hideMark/>
          </w:tcPr>
          <w:p w14:paraId="73A1569A" w14:textId="77777777" w:rsidR="001827D1" w:rsidRPr="001827D1" w:rsidRDefault="001827D1" w:rsidP="001827D1">
            <w:pPr>
              <w:contextualSpacing/>
              <w:rPr>
                <w:rFonts w:ascii="Verdana" w:eastAsia="Times New Roman" w:hAnsi="Verdana" w:cs="Arial"/>
                <w:color w:val="000000"/>
                <w:sz w:val="16"/>
                <w:szCs w:val="16"/>
                <w:lang w:val="es-ES" w:eastAsia="es-ES"/>
              </w:rPr>
            </w:pPr>
            <w:r w:rsidRPr="001827D1">
              <w:rPr>
                <w:rFonts w:ascii="Verdana" w:eastAsia="Times New Roman" w:hAnsi="Verdana" w:cs="Arial"/>
                <w:color w:val="000000"/>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0F843AEC" w14:textId="77777777" w:rsidR="001827D1" w:rsidRPr="001827D1" w:rsidRDefault="001827D1" w:rsidP="001827D1">
            <w:pPr>
              <w:contextualSpacing/>
              <w:textAlignment w:val="baseline"/>
              <w:rPr>
                <w:rFonts w:ascii="Verdana" w:eastAsia="Times New Roman" w:hAnsi="Verdana" w:cs="Segoe UI"/>
                <w:color w:val="000000"/>
                <w:sz w:val="16"/>
                <w:szCs w:val="16"/>
                <w:lang w:eastAsia="es-ES_tradnl"/>
              </w:rPr>
            </w:pPr>
            <w:r w:rsidRPr="001827D1">
              <w:rPr>
                <w:rFonts w:ascii="Verdana" w:eastAsia="Times New Roman" w:hAnsi="Verdana" w:cs="Segoe UI"/>
                <w:color w:val="000000"/>
                <w:sz w:val="16"/>
                <w:szCs w:val="16"/>
                <w:lang w:eastAsia="es-ES_tradnl"/>
              </w:rPr>
              <w:t>X</w:t>
            </w:r>
            <w:r w:rsidRPr="001827D1">
              <w:rPr>
                <w:rFonts w:ascii="Verdana" w:eastAsia="Times New Roman" w:hAnsi="Verdana" w:cs="Segoe UI"/>
                <w:sz w:val="16"/>
                <w:szCs w:val="16"/>
                <w:lang w:eastAsia="es-ES_tradnl"/>
              </w:rPr>
              <w:t xml:space="preserve">imena Ríos López </w:t>
            </w:r>
          </w:p>
          <w:p w14:paraId="5ED535A4" w14:textId="77777777" w:rsidR="001827D1" w:rsidRPr="001827D1" w:rsidRDefault="001827D1" w:rsidP="001827D1">
            <w:pPr>
              <w:contextualSpacing/>
              <w:textAlignment w:val="baseline"/>
              <w:rPr>
                <w:rFonts w:ascii="Verdana" w:eastAsia="Times New Roman" w:hAnsi="Verdana" w:cs="Segoe UI"/>
                <w:color w:val="000000"/>
                <w:sz w:val="16"/>
                <w:szCs w:val="16"/>
                <w:lang w:eastAsia="es-ES_tradnl"/>
              </w:rPr>
            </w:pPr>
            <w:r w:rsidRPr="001827D1">
              <w:rPr>
                <w:rFonts w:ascii="Verdana" w:eastAsia="Times New Roman" w:hAnsi="Verdana" w:cs="Arial"/>
                <w:color w:val="000000"/>
                <w:sz w:val="16"/>
                <w:szCs w:val="16"/>
                <w:lang w:val="es-ES" w:eastAsia="es-ES_tradnl"/>
              </w:rPr>
              <w:t>Gestor T1-11 de la Subdirección de Gestión Contractual</w:t>
            </w:r>
            <w:r w:rsidRPr="001827D1">
              <w:rPr>
                <w:rFonts w:ascii="Verdana" w:eastAsia="Times New Roman" w:hAnsi="Verdana" w:cs="Arial"/>
                <w:color w:val="000000"/>
                <w:sz w:val="16"/>
                <w:szCs w:val="16"/>
                <w:lang w:eastAsia="es-ES_tradnl"/>
              </w:rPr>
              <w:t> </w:t>
            </w:r>
          </w:p>
        </w:tc>
      </w:tr>
      <w:tr w:rsidR="001827D1" w:rsidRPr="001827D1" w14:paraId="658740CC" w14:textId="77777777" w:rsidTr="001827D1">
        <w:trPr>
          <w:trHeight w:val="300"/>
        </w:trPr>
        <w:tc>
          <w:tcPr>
            <w:tcW w:w="893" w:type="dxa"/>
            <w:vAlign w:val="center"/>
          </w:tcPr>
          <w:p w14:paraId="711FD15F" w14:textId="77777777" w:rsidR="001827D1" w:rsidRPr="001827D1" w:rsidRDefault="001827D1" w:rsidP="001827D1">
            <w:pPr>
              <w:contextualSpacing/>
              <w:rPr>
                <w:rFonts w:ascii="Verdana" w:eastAsia="Times New Roman" w:hAnsi="Verdana" w:cs="Arial"/>
                <w:color w:val="000000"/>
                <w:sz w:val="16"/>
                <w:szCs w:val="16"/>
                <w:lang w:val="es-ES" w:eastAsia="es-ES"/>
              </w:rPr>
            </w:pPr>
            <w:r w:rsidRPr="001827D1">
              <w:rPr>
                <w:rFonts w:ascii="Verdana" w:eastAsia="Times New Roman" w:hAnsi="Verdana" w:cs="Arial"/>
                <w:color w:val="000000"/>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6CB02D88" w14:textId="77777777" w:rsidR="001827D1" w:rsidRPr="001827D1" w:rsidRDefault="001827D1" w:rsidP="001827D1">
            <w:pPr>
              <w:contextualSpacing/>
              <w:rPr>
                <w:rFonts w:ascii="Verdana" w:eastAsia="Calibri" w:hAnsi="Verdana" w:cs="Arial"/>
                <w:color w:val="000000"/>
                <w:sz w:val="16"/>
                <w:szCs w:val="16"/>
                <w:lang w:val="pt-BR" w:eastAsia="es-ES"/>
              </w:rPr>
            </w:pPr>
            <w:r w:rsidRPr="001827D1">
              <w:rPr>
                <w:rFonts w:ascii="Verdana" w:eastAsia="Calibri" w:hAnsi="Verdana" w:cs="Arial"/>
                <w:color w:val="000000"/>
                <w:sz w:val="16"/>
                <w:szCs w:val="16"/>
                <w:lang w:val="pt-BR" w:eastAsia="es-ES"/>
              </w:rPr>
              <w:t>Carolina Quintero Gacharná</w:t>
            </w:r>
          </w:p>
          <w:p w14:paraId="3DCFBCB5" w14:textId="77777777" w:rsidR="001827D1" w:rsidRPr="001827D1" w:rsidRDefault="001827D1" w:rsidP="001827D1">
            <w:pPr>
              <w:contextualSpacing/>
              <w:rPr>
                <w:rFonts w:ascii="Verdana" w:eastAsia="Calibri" w:hAnsi="Verdana" w:cs="Arial"/>
                <w:color w:val="000000"/>
                <w:sz w:val="16"/>
                <w:szCs w:val="16"/>
                <w:lang w:val="pt-BR" w:eastAsia="es-ES"/>
              </w:rPr>
            </w:pPr>
            <w:r w:rsidRPr="001827D1">
              <w:rPr>
                <w:rFonts w:ascii="Verdana" w:eastAsia="Calibri" w:hAnsi="Verdana" w:cs="Arial"/>
                <w:color w:val="000000"/>
                <w:sz w:val="16"/>
                <w:szCs w:val="16"/>
                <w:lang w:eastAsia="es-ES"/>
              </w:rPr>
              <w:t>Subdirectora</w:t>
            </w:r>
            <w:r w:rsidRPr="001827D1">
              <w:rPr>
                <w:rFonts w:ascii="Verdana" w:eastAsia="Calibri" w:hAnsi="Verdana" w:cs="Arial"/>
                <w:color w:val="000000"/>
                <w:sz w:val="16"/>
                <w:szCs w:val="16"/>
                <w:lang w:val="pt-BR" w:eastAsia="es-ES"/>
              </w:rPr>
              <w:t xml:space="preserve"> de Gestión Contractual ANCP – CCE</w:t>
            </w:r>
          </w:p>
        </w:tc>
      </w:tr>
    </w:tbl>
    <w:p w14:paraId="10CDB22C" w14:textId="77777777" w:rsidR="001827D1" w:rsidRPr="001827D1" w:rsidRDefault="001827D1" w:rsidP="001827D1">
      <w:pPr>
        <w:spacing w:after="0" w:line="240" w:lineRule="auto"/>
        <w:rPr>
          <w:rFonts w:ascii="Verdana" w:eastAsia="Times New Roman" w:hAnsi="Verdana" w:cs="Arial"/>
          <w:color w:val="000000"/>
          <w:sz w:val="24"/>
          <w:szCs w:val="24"/>
          <w:lang w:eastAsia="es-ES"/>
        </w:rPr>
      </w:pPr>
    </w:p>
    <w:p w14:paraId="3E38F037" w14:textId="77777777" w:rsidR="001827D1" w:rsidRPr="001827D1" w:rsidRDefault="001827D1" w:rsidP="001827D1">
      <w:pPr>
        <w:rPr>
          <w:rFonts w:ascii="Aptos" w:eastAsia="Times New Roman" w:hAnsi="Aptos" w:cs="Times New Roman"/>
          <w:color w:val="000000"/>
        </w:rPr>
      </w:pPr>
    </w:p>
    <w:p w14:paraId="29644A98" w14:textId="77777777" w:rsidR="001827D1" w:rsidRPr="001827D1" w:rsidRDefault="001827D1" w:rsidP="001827D1">
      <w:pPr>
        <w:rPr>
          <w:rFonts w:ascii="Aptos" w:eastAsia="Times New Roman" w:hAnsi="Aptos" w:cs="Times New Roman"/>
        </w:rPr>
      </w:pPr>
    </w:p>
    <w:p w14:paraId="0F293BF4" w14:textId="7BBFAB11" w:rsidR="00127233" w:rsidRPr="001827D1" w:rsidRDefault="00127233" w:rsidP="001827D1"/>
    <w:sectPr w:rsidR="00127233" w:rsidRPr="001827D1"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866B8" w14:textId="77777777" w:rsidR="002962FA" w:rsidRDefault="002962FA" w:rsidP="004A1847">
      <w:pPr>
        <w:spacing w:after="0" w:line="240" w:lineRule="auto"/>
      </w:pPr>
      <w:r>
        <w:separator/>
      </w:r>
    </w:p>
  </w:endnote>
  <w:endnote w:type="continuationSeparator" w:id="0">
    <w:p w14:paraId="746AB011" w14:textId="77777777" w:rsidR="002962FA" w:rsidRDefault="002962FA" w:rsidP="004A1847">
      <w:pPr>
        <w:spacing w:after="0" w:line="240" w:lineRule="auto"/>
      </w:pPr>
      <w:r>
        <w:continuationSeparator/>
      </w:r>
    </w:p>
  </w:endnote>
  <w:endnote w:type="continuationNotice" w:id="1">
    <w:p w14:paraId="3B6B3955" w14:textId="77777777" w:rsidR="002962FA" w:rsidRDefault="00296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1827D1">
      <w:rPr>
        <w:rFonts w:ascii="Verdana" w:eastAsia="Times New Roman" w:hAnsi="Verdana" w:cs="Times New Roman"/>
        <w:b/>
        <w:bCs/>
        <w:sz w:val="16"/>
        <w:szCs w:val="16"/>
        <w:lang w:val="es-ES"/>
      </w:rPr>
      <w:t xml:space="preserve">pág. </w:t>
    </w:r>
    <w:r w:rsidRPr="001827D1">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1827D1">
      <w:rPr>
        <w:rFonts w:ascii="Verdana" w:eastAsia="Times New Roman" w:hAnsi="Verdana"/>
        <w:b/>
        <w:bCs/>
        <w:sz w:val="16"/>
        <w:szCs w:val="16"/>
      </w:rPr>
      <w:fldChar w:fldCharType="separate"/>
    </w:r>
    <w:r w:rsidRPr="001827D1">
      <w:rPr>
        <w:rFonts w:ascii="Verdana" w:eastAsia="Times New Roman" w:hAnsi="Verdana"/>
        <w:b/>
        <w:bCs/>
        <w:sz w:val="16"/>
        <w:szCs w:val="16"/>
      </w:rPr>
      <w:t>1</w:t>
    </w:r>
    <w:r w:rsidRPr="001827D1">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C113B" w14:textId="77777777" w:rsidR="002962FA" w:rsidRDefault="002962FA" w:rsidP="004A1847">
      <w:pPr>
        <w:spacing w:after="0" w:line="240" w:lineRule="auto"/>
      </w:pPr>
      <w:r>
        <w:separator/>
      </w:r>
    </w:p>
  </w:footnote>
  <w:footnote w:type="continuationSeparator" w:id="0">
    <w:p w14:paraId="4047D4F9" w14:textId="77777777" w:rsidR="002962FA" w:rsidRDefault="002962FA" w:rsidP="004A1847">
      <w:pPr>
        <w:spacing w:after="0" w:line="240" w:lineRule="auto"/>
      </w:pPr>
      <w:r>
        <w:continuationSeparator/>
      </w:r>
    </w:p>
  </w:footnote>
  <w:footnote w:type="continuationNotice" w:id="1">
    <w:p w14:paraId="19C7932C" w14:textId="77777777" w:rsidR="002962FA" w:rsidRDefault="002962FA">
      <w:pPr>
        <w:spacing w:after="0" w:line="240" w:lineRule="auto"/>
      </w:pPr>
    </w:p>
  </w:footnote>
  <w:footnote w:id="2">
    <w:p w14:paraId="015C4A35" w14:textId="77777777" w:rsidR="001827D1" w:rsidRPr="00A57AFB" w:rsidRDefault="001827D1" w:rsidP="001827D1">
      <w:pPr>
        <w:pStyle w:val="Textonotapie"/>
        <w:ind w:firstLine="708"/>
        <w:jc w:val="both"/>
        <w:rPr>
          <w:rFonts w:ascii="Verdana" w:hAnsi="Verdana"/>
          <w:sz w:val="12"/>
          <w:szCs w:val="12"/>
        </w:rPr>
      </w:pPr>
      <w:r w:rsidRPr="00A57AFB">
        <w:rPr>
          <w:rFonts w:ascii="Verdana" w:hAnsi="Verdana"/>
          <w:sz w:val="12"/>
          <w:szCs w:val="12"/>
          <w:vertAlign w:val="superscript"/>
        </w:rPr>
        <w:footnoteRef/>
      </w:r>
      <w:r w:rsidRPr="00A57AFB">
        <w:rPr>
          <w:rFonts w:ascii="Verdana" w:hAnsi="Verdana"/>
          <w:sz w:val="12"/>
          <w:szCs w:val="12"/>
        </w:rPr>
        <w:t xml:space="preserve"> Artículo 17 de la Ley 1150 de 2007</w:t>
      </w:r>
    </w:p>
    <w:p w14:paraId="4C978FDF" w14:textId="77777777" w:rsidR="001827D1" w:rsidRPr="00A57AFB" w:rsidRDefault="001827D1" w:rsidP="001827D1">
      <w:pPr>
        <w:pStyle w:val="Textonotapie"/>
        <w:ind w:firstLine="708"/>
        <w:jc w:val="both"/>
        <w:rPr>
          <w:sz w:val="12"/>
          <w:szCs w:val="12"/>
        </w:rPr>
      </w:pPr>
    </w:p>
  </w:footnote>
  <w:footnote w:id="3">
    <w:p w14:paraId="6D7735D4" w14:textId="77777777" w:rsidR="001827D1" w:rsidRPr="00A57AFB" w:rsidRDefault="001827D1" w:rsidP="001827D1">
      <w:pPr>
        <w:pStyle w:val="Textonotapie"/>
        <w:ind w:firstLine="708"/>
        <w:jc w:val="both"/>
        <w:rPr>
          <w:rFonts w:ascii="Verdana" w:hAnsi="Verdana"/>
          <w:sz w:val="12"/>
          <w:szCs w:val="12"/>
        </w:rPr>
      </w:pPr>
      <w:r w:rsidRPr="00A57AFB">
        <w:rPr>
          <w:rFonts w:ascii="Verdana" w:hAnsi="Verdana"/>
          <w:sz w:val="12"/>
          <w:szCs w:val="12"/>
          <w:vertAlign w:val="superscript"/>
        </w:rPr>
        <w:footnoteRef/>
      </w:r>
      <w:r w:rsidRPr="00A57AFB">
        <w:rPr>
          <w:rFonts w:ascii="Verdana" w:hAnsi="Verdana"/>
          <w:sz w:val="12"/>
          <w:szCs w:val="12"/>
        </w:rPr>
        <w:t xml:space="preserve"> Artículo 21 de la Ley 1150 de 2007</w:t>
      </w:r>
    </w:p>
    <w:p w14:paraId="1158E6D3" w14:textId="77777777" w:rsidR="001827D1" w:rsidRPr="00A57AFB" w:rsidRDefault="001827D1" w:rsidP="001827D1">
      <w:pPr>
        <w:pStyle w:val="Textonotapie"/>
        <w:ind w:firstLine="708"/>
        <w:jc w:val="both"/>
        <w:rPr>
          <w:sz w:val="12"/>
          <w:szCs w:val="12"/>
        </w:rPr>
      </w:pPr>
    </w:p>
  </w:footnote>
  <w:footnote w:id="4">
    <w:p w14:paraId="1A9BFA35" w14:textId="77777777" w:rsidR="001827D1" w:rsidRPr="00A57AFB" w:rsidRDefault="001827D1" w:rsidP="001827D1">
      <w:pPr>
        <w:pStyle w:val="Textonotapie"/>
        <w:ind w:firstLine="708"/>
        <w:jc w:val="both"/>
        <w:rPr>
          <w:rFonts w:ascii="Verdana" w:hAnsi="Verdana"/>
          <w:sz w:val="12"/>
          <w:szCs w:val="12"/>
        </w:rPr>
      </w:pPr>
      <w:r w:rsidRPr="00A57AFB">
        <w:rPr>
          <w:rFonts w:ascii="Verdana" w:hAnsi="Verdana"/>
          <w:sz w:val="12"/>
          <w:szCs w:val="12"/>
          <w:vertAlign w:val="superscript"/>
        </w:rPr>
        <w:footnoteRef/>
      </w:r>
      <w:r w:rsidRPr="00A57AFB">
        <w:rPr>
          <w:rFonts w:ascii="Verdana" w:hAnsi="Verdana"/>
          <w:sz w:val="12"/>
          <w:szCs w:val="12"/>
        </w:rPr>
        <w:t xml:space="preserve"> Artículos 83 a 86 de la Ley 1474 de 2011</w:t>
      </w:r>
    </w:p>
    <w:p w14:paraId="6CDA76A7" w14:textId="77777777" w:rsidR="001827D1" w:rsidRPr="00A57AFB" w:rsidRDefault="001827D1" w:rsidP="001827D1">
      <w:pPr>
        <w:pStyle w:val="Textonotapie"/>
        <w:ind w:firstLine="708"/>
        <w:jc w:val="both"/>
        <w:rPr>
          <w:sz w:val="12"/>
          <w:szCs w:val="12"/>
        </w:rPr>
      </w:pPr>
    </w:p>
  </w:footnote>
  <w:footnote w:id="5">
    <w:p w14:paraId="1406D5BD" w14:textId="77777777" w:rsidR="001827D1" w:rsidRPr="00A57AFB" w:rsidRDefault="001827D1" w:rsidP="001827D1">
      <w:pPr>
        <w:pStyle w:val="Textonotapie"/>
        <w:ind w:firstLine="708"/>
        <w:jc w:val="both"/>
        <w:rPr>
          <w:rFonts w:ascii="Verdana" w:hAnsi="Verdana"/>
          <w:sz w:val="12"/>
          <w:szCs w:val="12"/>
        </w:rPr>
      </w:pPr>
      <w:r w:rsidRPr="00A57AFB">
        <w:rPr>
          <w:rFonts w:ascii="Verdana" w:hAnsi="Verdana"/>
          <w:sz w:val="12"/>
          <w:szCs w:val="12"/>
          <w:vertAlign w:val="superscript"/>
        </w:rPr>
        <w:footnoteRef/>
      </w:r>
      <w:r w:rsidRPr="00A57AFB">
        <w:rPr>
          <w:rFonts w:ascii="Verdana" w:hAnsi="Verdana"/>
          <w:sz w:val="12"/>
          <w:szCs w:val="12"/>
        </w:rPr>
        <w:t xml:space="preserve"> Consejo de Estado. Sección 3ª. Sentencia del 27 de noviembre de 2017. M.P. Jaime Orlando</w:t>
      </w:r>
      <w:r>
        <w:rPr>
          <w:rFonts w:ascii="Verdana" w:hAnsi="Verdana"/>
          <w:sz w:val="12"/>
          <w:szCs w:val="12"/>
        </w:rPr>
        <w:t xml:space="preserve"> </w:t>
      </w:r>
      <w:r w:rsidRPr="00A57AFB">
        <w:rPr>
          <w:rFonts w:ascii="Verdana" w:hAnsi="Verdana"/>
          <w:sz w:val="12"/>
          <w:szCs w:val="12"/>
        </w:rPr>
        <w:t>Santofimio. Exp. 51.802</w:t>
      </w:r>
    </w:p>
    <w:p w14:paraId="65426AE1" w14:textId="77777777" w:rsidR="001827D1" w:rsidRPr="00A57AFB" w:rsidRDefault="001827D1" w:rsidP="001827D1">
      <w:pPr>
        <w:pStyle w:val="Textonotapie"/>
        <w:jc w:val="both"/>
        <w:rPr>
          <w:sz w:val="12"/>
          <w:szCs w:val="12"/>
        </w:rPr>
      </w:pPr>
    </w:p>
  </w:footnote>
  <w:footnote w:id="6">
    <w:p w14:paraId="400B34EC" w14:textId="77777777" w:rsidR="001827D1" w:rsidRPr="00A57AFB" w:rsidRDefault="001827D1" w:rsidP="001827D1">
      <w:pPr>
        <w:pStyle w:val="Textonotapie"/>
        <w:ind w:firstLine="708"/>
        <w:jc w:val="both"/>
        <w:rPr>
          <w:rFonts w:ascii="Verdana" w:hAnsi="Verdana"/>
          <w:sz w:val="12"/>
          <w:szCs w:val="12"/>
        </w:rPr>
      </w:pPr>
      <w:r w:rsidRPr="00A57AFB">
        <w:rPr>
          <w:rFonts w:ascii="Verdana" w:hAnsi="Verdana"/>
          <w:sz w:val="12"/>
          <w:szCs w:val="12"/>
          <w:vertAlign w:val="superscript"/>
        </w:rPr>
        <w:footnoteRef/>
      </w:r>
      <w:r w:rsidRPr="00A57AFB">
        <w:rPr>
          <w:rFonts w:ascii="Verdana" w:hAnsi="Verdana"/>
          <w:sz w:val="12"/>
          <w:szCs w:val="12"/>
        </w:rPr>
        <w:t xml:space="preserve"> Artículo 83 de la Ley 1474 de 2011</w:t>
      </w:r>
    </w:p>
    <w:p w14:paraId="08FA0CE4" w14:textId="77777777" w:rsidR="001827D1" w:rsidRPr="00A57AFB" w:rsidRDefault="001827D1" w:rsidP="001827D1">
      <w:pPr>
        <w:pStyle w:val="Textonotapie"/>
        <w:ind w:firstLine="708"/>
        <w:jc w:val="both"/>
        <w:rPr>
          <w:sz w:val="12"/>
          <w:szCs w:val="12"/>
        </w:rPr>
      </w:pPr>
    </w:p>
  </w:footnote>
  <w:footnote w:id="7">
    <w:p w14:paraId="0C53A7BA" w14:textId="6EB0D647" w:rsidR="001827D1" w:rsidRPr="00A57AFB" w:rsidRDefault="001827D1" w:rsidP="001827D1">
      <w:pPr>
        <w:pStyle w:val="Textonotapie"/>
        <w:ind w:firstLine="708"/>
        <w:jc w:val="both"/>
        <w:rPr>
          <w:sz w:val="12"/>
          <w:szCs w:val="12"/>
        </w:rPr>
      </w:pPr>
      <w:r w:rsidRPr="00A57AFB">
        <w:rPr>
          <w:rFonts w:ascii="Verdana" w:hAnsi="Verdana"/>
          <w:sz w:val="12"/>
          <w:szCs w:val="12"/>
          <w:vertAlign w:val="superscript"/>
        </w:rPr>
        <w:footnoteRef/>
      </w:r>
      <w:r w:rsidRPr="00A57AFB">
        <w:rPr>
          <w:rFonts w:ascii="Verdana" w:hAnsi="Verdana"/>
          <w:sz w:val="12"/>
          <w:szCs w:val="12"/>
        </w:rPr>
        <w:t xml:space="preserve"> A excepción de la interventoría del contrato de obra adjudicado por licitación pública que es</w:t>
      </w:r>
      <w:r w:rsidR="000C7D8A">
        <w:rPr>
          <w:rFonts w:ascii="Verdana" w:hAnsi="Verdana"/>
          <w:sz w:val="12"/>
          <w:szCs w:val="12"/>
        </w:rPr>
        <w:t xml:space="preserve"> </w:t>
      </w:r>
      <w:r w:rsidRPr="00A57AFB">
        <w:rPr>
          <w:rFonts w:ascii="Verdana" w:hAnsi="Verdana"/>
          <w:sz w:val="12"/>
          <w:szCs w:val="12"/>
        </w:rPr>
        <w:t>obligatoria según el numeral 1° del artículo 32 de la Ley 80 de 1993.</w:t>
      </w:r>
    </w:p>
  </w:footnote>
  <w:footnote w:id="8">
    <w:p w14:paraId="005635CF" w14:textId="77777777" w:rsidR="001827D1" w:rsidRPr="00A57AFB" w:rsidRDefault="001827D1" w:rsidP="001827D1">
      <w:pPr>
        <w:pStyle w:val="Textonotapie"/>
        <w:ind w:firstLine="708"/>
        <w:jc w:val="both"/>
        <w:rPr>
          <w:rFonts w:ascii="Verdana" w:hAnsi="Verdana" w:cs="Arial"/>
          <w:color w:val="000000"/>
          <w:sz w:val="12"/>
          <w:szCs w:val="12"/>
        </w:rPr>
      </w:pPr>
      <w:r w:rsidRPr="00A57AFB">
        <w:rPr>
          <w:rFonts w:ascii="Verdana" w:hAnsi="Verdana" w:cs="Arial"/>
          <w:color w:val="000000"/>
          <w:sz w:val="12"/>
          <w:szCs w:val="12"/>
          <w:vertAlign w:val="superscript"/>
        </w:rPr>
        <w:footnoteRef/>
      </w:r>
      <w:r w:rsidRPr="00A57AFB">
        <w:rPr>
          <w:rFonts w:ascii="Verdana" w:hAnsi="Verdana" w:cs="Arial"/>
          <w:color w:val="000000"/>
          <w:sz w:val="12"/>
          <w:szCs w:val="12"/>
        </w:rPr>
        <w:t xml:space="preserve"> En las Gacetas Nos. 607 y 784 de 2010, en las páginas 12 y 24, respectivamente, se da cuenta de esto.</w:t>
      </w:r>
    </w:p>
    <w:p w14:paraId="065AF243" w14:textId="77777777" w:rsidR="001827D1" w:rsidRPr="00A57AFB" w:rsidRDefault="001827D1" w:rsidP="001827D1">
      <w:pPr>
        <w:pStyle w:val="Textonotapie"/>
        <w:ind w:firstLine="708"/>
        <w:jc w:val="both"/>
        <w:rPr>
          <w:rFonts w:ascii="Verdana" w:hAnsi="Verdana"/>
          <w:sz w:val="12"/>
          <w:szCs w:val="12"/>
        </w:rPr>
      </w:pPr>
    </w:p>
  </w:footnote>
  <w:footnote w:id="9">
    <w:p w14:paraId="6A0CA052" w14:textId="77777777" w:rsidR="001827D1" w:rsidRPr="00A57AFB" w:rsidRDefault="001827D1" w:rsidP="001827D1">
      <w:pPr>
        <w:pStyle w:val="Textonotapie"/>
        <w:ind w:firstLine="708"/>
        <w:jc w:val="both"/>
        <w:rPr>
          <w:rFonts w:ascii="Verdana" w:hAnsi="Verdana" w:cs="Arial"/>
          <w:color w:val="000000"/>
          <w:sz w:val="12"/>
          <w:szCs w:val="12"/>
        </w:rPr>
      </w:pPr>
      <w:r w:rsidRPr="00A57AFB">
        <w:rPr>
          <w:rFonts w:ascii="Verdana" w:hAnsi="Verdana" w:cs="Arial"/>
          <w:color w:val="000000"/>
          <w:sz w:val="12"/>
          <w:szCs w:val="12"/>
          <w:vertAlign w:val="superscript"/>
        </w:rPr>
        <w:footnoteRef/>
      </w:r>
      <w:r w:rsidRPr="00A57AFB">
        <w:rPr>
          <w:rFonts w:ascii="Verdana" w:hAnsi="Verdana" w:cs="Arial"/>
          <w:color w:val="000000"/>
          <w:sz w:val="12"/>
          <w:szCs w:val="12"/>
        </w:rPr>
        <w:t xml:space="preserve"> Ver las Gacetas Nos. 1002 y 1117 de 2010, en las páginas 44 y 13, respectivamente.</w:t>
      </w:r>
    </w:p>
    <w:p w14:paraId="016F69E8" w14:textId="77777777" w:rsidR="001827D1" w:rsidRPr="00A57AFB" w:rsidRDefault="001827D1" w:rsidP="001827D1">
      <w:pPr>
        <w:pStyle w:val="Textonotapie"/>
        <w:ind w:firstLine="708"/>
        <w:jc w:val="both"/>
        <w:rPr>
          <w:rFonts w:ascii="Verdana" w:hAnsi="Verdana"/>
          <w:sz w:val="12"/>
          <w:szCs w:val="12"/>
        </w:rPr>
      </w:pPr>
    </w:p>
  </w:footnote>
  <w:footnote w:id="10">
    <w:p w14:paraId="2A3E9D22" w14:textId="77777777" w:rsidR="001827D1" w:rsidRPr="00A57AFB" w:rsidRDefault="001827D1" w:rsidP="001827D1">
      <w:pPr>
        <w:pStyle w:val="Textonotapie"/>
        <w:ind w:firstLine="708"/>
        <w:jc w:val="both"/>
        <w:rPr>
          <w:rFonts w:ascii="Verdana" w:hAnsi="Verdana" w:cs="Arial"/>
          <w:color w:val="000000"/>
          <w:sz w:val="12"/>
          <w:szCs w:val="12"/>
        </w:rPr>
      </w:pPr>
      <w:r w:rsidRPr="00A57AFB">
        <w:rPr>
          <w:rFonts w:ascii="Verdana" w:hAnsi="Verdana" w:cs="Arial"/>
          <w:color w:val="000000"/>
          <w:sz w:val="12"/>
          <w:szCs w:val="12"/>
          <w:vertAlign w:val="superscript"/>
        </w:rPr>
        <w:footnoteRef/>
      </w:r>
      <w:r w:rsidRPr="00A57AFB">
        <w:rPr>
          <w:rFonts w:ascii="Verdana" w:hAnsi="Verdana" w:cs="Arial"/>
          <w:color w:val="000000"/>
          <w:sz w:val="12"/>
          <w:szCs w:val="12"/>
        </w:rPr>
        <w:t xml:space="preserve"> Ver la Gaceta No. 019 de 2011, en la página 17.</w:t>
      </w:r>
    </w:p>
    <w:p w14:paraId="3F1EEF81" w14:textId="77777777" w:rsidR="001827D1" w:rsidRPr="00A57AFB" w:rsidRDefault="001827D1" w:rsidP="001827D1">
      <w:pPr>
        <w:pStyle w:val="Textonotapie"/>
        <w:ind w:firstLine="708"/>
        <w:jc w:val="both"/>
        <w:rPr>
          <w:rFonts w:ascii="Verdana" w:hAnsi="Verdana"/>
          <w:sz w:val="12"/>
          <w:szCs w:val="12"/>
        </w:rPr>
      </w:pPr>
    </w:p>
  </w:footnote>
  <w:footnote w:id="11">
    <w:p w14:paraId="20D6F827" w14:textId="77777777" w:rsidR="001827D1" w:rsidRPr="00A57AFB" w:rsidRDefault="001827D1" w:rsidP="001827D1">
      <w:pPr>
        <w:pStyle w:val="Textonotapie"/>
        <w:ind w:firstLine="708"/>
        <w:jc w:val="both"/>
        <w:rPr>
          <w:rFonts w:ascii="Verdana" w:hAnsi="Verdana" w:cs="Arial"/>
          <w:color w:val="000000"/>
          <w:sz w:val="12"/>
          <w:szCs w:val="12"/>
        </w:rPr>
      </w:pPr>
      <w:r w:rsidRPr="00A57AFB">
        <w:rPr>
          <w:rFonts w:ascii="Verdana" w:hAnsi="Verdana" w:cs="Arial"/>
          <w:color w:val="000000"/>
          <w:sz w:val="12"/>
          <w:szCs w:val="12"/>
          <w:vertAlign w:val="superscript"/>
        </w:rPr>
        <w:footnoteRef/>
      </w:r>
      <w:r w:rsidRPr="00A57AFB">
        <w:rPr>
          <w:rFonts w:ascii="Verdana" w:hAnsi="Verdana" w:cs="Arial"/>
          <w:color w:val="000000"/>
          <w:sz w:val="12"/>
          <w:szCs w:val="12"/>
        </w:rPr>
        <w:t xml:space="preserve"> Ver la Gaceta No. 128 de 2011, en la página 20.</w:t>
      </w:r>
    </w:p>
    <w:p w14:paraId="71FAA883" w14:textId="77777777" w:rsidR="001827D1" w:rsidRPr="00A57AFB" w:rsidRDefault="001827D1" w:rsidP="001827D1">
      <w:pPr>
        <w:pStyle w:val="Textonotapie"/>
        <w:ind w:firstLine="708"/>
        <w:jc w:val="both"/>
        <w:rPr>
          <w:rFonts w:ascii="Verdana" w:hAnsi="Verdana"/>
          <w:sz w:val="12"/>
          <w:szCs w:val="12"/>
        </w:rPr>
      </w:pPr>
    </w:p>
  </w:footnote>
  <w:footnote w:id="12">
    <w:p w14:paraId="381F9A35" w14:textId="77777777" w:rsidR="001827D1" w:rsidRPr="00A57AFB" w:rsidRDefault="001827D1" w:rsidP="001827D1">
      <w:pPr>
        <w:pStyle w:val="Textonotapie"/>
        <w:ind w:firstLine="708"/>
        <w:jc w:val="both"/>
        <w:rPr>
          <w:rFonts w:ascii="Verdana" w:hAnsi="Verdana" w:cs="Arial"/>
          <w:color w:val="000000"/>
          <w:sz w:val="12"/>
          <w:szCs w:val="12"/>
        </w:rPr>
      </w:pPr>
      <w:r w:rsidRPr="00A57AFB">
        <w:rPr>
          <w:rFonts w:ascii="Verdana" w:hAnsi="Verdana" w:cs="Arial"/>
          <w:color w:val="000000"/>
          <w:sz w:val="12"/>
          <w:szCs w:val="12"/>
          <w:vertAlign w:val="superscript"/>
        </w:rPr>
        <w:footnoteRef/>
      </w:r>
      <w:r w:rsidRPr="00A57AFB">
        <w:rPr>
          <w:rFonts w:ascii="Verdana" w:hAnsi="Verdana" w:cs="Arial"/>
          <w:color w:val="000000"/>
          <w:sz w:val="12"/>
          <w:szCs w:val="12"/>
        </w:rPr>
        <w:t xml:space="preserve"> Ver la Gaceta No. 258 de 2011, en la página 16.</w:t>
      </w:r>
    </w:p>
    <w:p w14:paraId="2F6BBD65" w14:textId="77777777" w:rsidR="001827D1" w:rsidRPr="00A57AFB" w:rsidRDefault="001827D1" w:rsidP="001827D1">
      <w:pPr>
        <w:pStyle w:val="Textonotapie"/>
        <w:ind w:firstLine="708"/>
        <w:jc w:val="both"/>
        <w:rPr>
          <w:rFonts w:ascii="Verdana" w:hAnsi="Verdana"/>
          <w:sz w:val="12"/>
          <w:szCs w:val="12"/>
        </w:rPr>
      </w:pPr>
    </w:p>
  </w:footnote>
  <w:footnote w:id="13">
    <w:p w14:paraId="534D92DF" w14:textId="77777777" w:rsidR="001827D1" w:rsidRPr="00A57AFB" w:rsidRDefault="001827D1" w:rsidP="001827D1">
      <w:pPr>
        <w:pStyle w:val="Textonotapie"/>
        <w:ind w:firstLine="708"/>
        <w:jc w:val="both"/>
        <w:rPr>
          <w:rFonts w:ascii="Verdana" w:hAnsi="Verdana" w:cs="Arial"/>
          <w:color w:val="000000"/>
          <w:sz w:val="12"/>
          <w:szCs w:val="12"/>
        </w:rPr>
      </w:pPr>
      <w:r w:rsidRPr="00A57AFB">
        <w:rPr>
          <w:rFonts w:ascii="Verdana" w:hAnsi="Verdana" w:cs="Arial"/>
          <w:color w:val="000000"/>
          <w:sz w:val="12"/>
          <w:szCs w:val="12"/>
          <w:vertAlign w:val="superscript"/>
        </w:rPr>
        <w:footnoteRef/>
      </w:r>
      <w:r w:rsidRPr="00A57AFB">
        <w:rPr>
          <w:rFonts w:ascii="Verdana" w:hAnsi="Verdana" w:cs="Arial"/>
          <w:color w:val="000000"/>
          <w:sz w:val="12"/>
          <w:szCs w:val="12"/>
        </w:rPr>
        <w:t xml:space="preserve"> Ver las Gacetas Nos. 1002 y 1117 de 2010.</w:t>
      </w:r>
    </w:p>
    <w:p w14:paraId="62086447" w14:textId="77777777" w:rsidR="001827D1" w:rsidRPr="00A57AFB" w:rsidRDefault="001827D1" w:rsidP="001827D1">
      <w:pPr>
        <w:pStyle w:val="Textonotapie"/>
        <w:ind w:firstLine="708"/>
        <w:jc w:val="both"/>
        <w:rPr>
          <w:sz w:val="12"/>
          <w:szCs w:val="12"/>
        </w:rPr>
      </w:pPr>
    </w:p>
  </w:footnote>
  <w:footnote w:id="14">
    <w:p w14:paraId="76FBEDE0" w14:textId="77777777" w:rsidR="001827D1" w:rsidRPr="00A57AFB" w:rsidRDefault="001827D1" w:rsidP="001827D1">
      <w:pPr>
        <w:pStyle w:val="Textonotapie"/>
        <w:ind w:firstLine="708"/>
        <w:jc w:val="both"/>
        <w:rPr>
          <w:rFonts w:ascii="Verdana" w:hAnsi="Verdana" w:cs="Arial"/>
          <w:color w:val="000000"/>
          <w:sz w:val="12"/>
          <w:szCs w:val="12"/>
        </w:rPr>
      </w:pPr>
      <w:r w:rsidRPr="00A57AFB">
        <w:rPr>
          <w:rFonts w:ascii="Verdana" w:hAnsi="Verdana" w:cs="Arial"/>
          <w:color w:val="000000"/>
          <w:sz w:val="12"/>
          <w:szCs w:val="12"/>
          <w:vertAlign w:val="superscript"/>
        </w:rPr>
        <w:footnoteRef/>
      </w:r>
      <w:r w:rsidRPr="00A57AFB">
        <w:rPr>
          <w:rFonts w:ascii="Verdana" w:hAnsi="Verdana" w:cs="Arial"/>
          <w:color w:val="000000"/>
          <w:sz w:val="12"/>
          <w:szCs w:val="12"/>
        </w:rPr>
        <w:t xml:space="preserve"> Consejo de Estado, Sección Tercera, Subsección A. Radicado No. 27426. C.P. Ramiro Pazos Guerrero.</w:t>
      </w:r>
    </w:p>
    <w:p w14:paraId="39E1B4C5" w14:textId="77777777" w:rsidR="001827D1" w:rsidRPr="00A57AFB" w:rsidRDefault="001827D1" w:rsidP="001827D1">
      <w:pPr>
        <w:pStyle w:val="Textonotapie"/>
        <w:ind w:firstLine="708"/>
        <w:jc w:val="both"/>
        <w:rPr>
          <w:sz w:val="12"/>
          <w:szCs w:val="12"/>
        </w:rPr>
      </w:pPr>
    </w:p>
  </w:footnote>
  <w:footnote w:id="15">
    <w:p w14:paraId="22E0AFED" w14:textId="77777777" w:rsidR="001827D1" w:rsidRPr="00A57AFB" w:rsidRDefault="001827D1" w:rsidP="008A6BFE">
      <w:pPr>
        <w:pStyle w:val="Textonotapie"/>
        <w:ind w:firstLine="708"/>
        <w:jc w:val="both"/>
        <w:rPr>
          <w:rFonts w:ascii="Verdana" w:hAnsi="Verdana" w:cs="Arial"/>
          <w:color w:val="000000"/>
          <w:sz w:val="12"/>
          <w:szCs w:val="12"/>
        </w:rPr>
      </w:pPr>
      <w:r w:rsidRPr="00A57AFB">
        <w:rPr>
          <w:rFonts w:ascii="Verdana" w:hAnsi="Verdana" w:cs="Arial"/>
          <w:color w:val="000000"/>
          <w:sz w:val="12"/>
          <w:szCs w:val="12"/>
          <w:vertAlign w:val="superscript"/>
        </w:rPr>
        <w:footnoteRef/>
      </w:r>
      <w:r w:rsidRPr="00A57AFB">
        <w:rPr>
          <w:rFonts w:ascii="Verdana" w:hAnsi="Verdana" w:cs="Arial"/>
          <w:color w:val="000000"/>
          <w:sz w:val="12"/>
          <w:szCs w:val="12"/>
        </w:rPr>
        <w:t xml:space="preserve"> Cita tomada del texto original: “Efectivamente, el artículo 83 de la Ley 1474 de 2011 prescribió: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 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 // Por regla general, no serán concurrentes en relación con un mismo contrato, las funciones de supervisión e interventoría. Sin embargo, la entidad puede dividir la vigilancia del contrato principal, caso en el cual en el contrato respectivo de interventoría, se deberán indicar las actividades técnicas a cargo del interventor y las demás quedarán a cargo de la Entidad a través del supervisor. // El contrato de Interventoría será supervisado directamente por la entidad estatal”.</w:t>
      </w:r>
    </w:p>
    <w:p w14:paraId="20C9E014" w14:textId="77777777" w:rsidR="001827D1" w:rsidRPr="00A57AFB" w:rsidRDefault="001827D1" w:rsidP="001827D1">
      <w:pPr>
        <w:pStyle w:val="Textonotapie"/>
        <w:jc w:val="both"/>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4pt;height:11.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16A6CEF"/>
    <w:multiLevelType w:val="hybridMultilevel"/>
    <w:tmpl w:val="2098C6DE"/>
    <w:lvl w:ilvl="0" w:tplc="17EC12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D33FF"/>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9"/>
  </w:num>
  <w:num w:numId="18" w16cid:durableId="1326008653">
    <w:abstractNumId w:val="16"/>
  </w:num>
  <w:num w:numId="19" w16cid:durableId="1954290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B329E"/>
    <w:rsid w:val="000C7D8A"/>
    <w:rsid w:val="000D0334"/>
    <w:rsid w:val="000F6486"/>
    <w:rsid w:val="00125105"/>
    <w:rsid w:val="00127233"/>
    <w:rsid w:val="001827D1"/>
    <w:rsid w:val="00191F03"/>
    <w:rsid w:val="001E4177"/>
    <w:rsid w:val="001F7DC6"/>
    <w:rsid w:val="002421BB"/>
    <w:rsid w:val="0025796E"/>
    <w:rsid w:val="002707A2"/>
    <w:rsid w:val="002951A0"/>
    <w:rsid w:val="002962BC"/>
    <w:rsid w:val="002962FA"/>
    <w:rsid w:val="002A093D"/>
    <w:rsid w:val="002A0DD0"/>
    <w:rsid w:val="002A49AC"/>
    <w:rsid w:val="002A64FD"/>
    <w:rsid w:val="002C7A84"/>
    <w:rsid w:val="002E4FD9"/>
    <w:rsid w:val="00322A85"/>
    <w:rsid w:val="00324168"/>
    <w:rsid w:val="00326647"/>
    <w:rsid w:val="003448F4"/>
    <w:rsid w:val="00345021"/>
    <w:rsid w:val="00374F5E"/>
    <w:rsid w:val="00377E3E"/>
    <w:rsid w:val="003A26D1"/>
    <w:rsid w:val="003A779E"/>
    <w:rsid w:val="003D0F4D"/>
    <w:rsid w:val="003D5B0D"/>
    <w:rsid w:val="003E0499"/>
    <w:rsid w:val="003F3941"/>
    <w:rsid w:val="00406575"/>
    <w:rsid w:val="0042722E"/>
    <w:rsid w:val="0044528D"/>
    <w:rsid w:val="004A1847"/>
    <w:rsid w:val="004A305D"/>
    <w:rsid w:val="004A7DA4"/>
    <w:rsid w:val="004F21C4"/>
    <w:rsid w:val="004F685F"/>
    <w:rsid w:val="005566E8"/>
    <w:rsid w:val="00574867"/>
    <w:rsid w:val="00591460"/>
    <w:rsid w:val="00592628"/>
    <w:rsid w:val="00593F64"/>
    <w:rsid w:val="005C3777"/>
    <w:rsid w:val="005C5CDC"/>
    <w:rsid w:val="005D476C"/>
    <w:rsid w:val="00610812"/>
    <w:rsid w:val="006219F8"/>
    <w:rsid w:val="00650FF7"/>
    <w:rsid w:val="00665D70"/>
    <w:rsid w:val="00671DAC"/>
    <w:rsid w:val="006900D9"/>
    <w:rsid w:val="006A319E"/>
    <w:rsid w:val="006D12F8"/>
    <w:rsid w:val="00706C16"/>
    <w:rsid w:val="007324E4"/>
    <w:rsid w:val="00756841"/>
    <w:rsid w:val="007649AB"/>
    <w:rsid w:val="00771D0C"/>
    <w:rsid w:val="007833AC"/>
    <w:rsid w:val="007B268C"/>
    <w:rsid w:val="007B7171"/>
    <w:rsid w:val="007C0C0F"/>
    <w:rsid w:val="007C0F8B"/>
    <w:rsid w:val="007C3DC2"/>
    <w:rsid w:val="007D3B17"/>
    <w:rsid w:val="007E5497"/>
    <w:rsid w:val="00805AFB"/>
    <w:rsid w:val="00806F5F"/>
    <w:rsid w:val="00820278"/>
    <w:rsid w:val="008811B3"/>
    <w:rsid w:val="008843B6"/>
    <w:rsid w:val="00891928"/>
    <w:rsid w:val="008A446D"/>
    <w:rsid w:val="008A6BFE"/>
    <w:rsid w:val="008A781F"/>
    <w:rsid w:val="008D180B"/>
    <w:rsid w:val="008F0EA7"/>
    <w:rsid w:val="00923EEF"/>
    <w:rsid w:val="009419F9"/>
    <w:rsid w:val="0095685E"/>
    <w:rsid w:val="00961B09"/>
    <w:rsid w:val="00965334"/>
    <w:rsid w:val="0097093E"/>
    <w:rsid w:val="009A0DFA"/>
    <w:rsid w:val="009B2D26"/>
    <w:rsid w:val="009C71FA"/>
    <w:rsid w:val="009C72E7"/>
    <w:rsid w:val="009D3058"/>
    <w:rsid w:val="009E48F2"/>
    <w:rsid w:val="009F3A13"/>
    <w:rsid w:val="00A01D20"/>
    <w:rsid w:val="00A122D3"/>
    <w:rsid w:val="00A17F13"/>
    <w:rsid w:val="00A20739"/>
    <w:rsid w:val="00A33C78"/>
    <w:rsid w:val="00AB0ADB"/>
    <w:rsid w:val="00AD7B6D"/>
    <w:rsid w:val="00B01B1A"/>
    <w:rsid w:val="00B57C11"/>
    <w:rsid w:val="00B72CD3"/>
    <w:rsid w:val="00B72FFF"/>
    <w:rsid w:val="00BC3D36"/>
    <w:rsid w:val="00BD7F72"/>
    <w:rsid w:val="00BE680E"/>
    <w:rsid w:val="00C04FB3"/>
    <w:rsid w:val="00C330EB"/>
    <w:rsid w:val="00C754BE"/>
    <w:rsid w:val="00C76B1C"/>
    <w:rsid w:val="00CB6357"/>
    <w:rsid w:val="00CC1B26"/>
    <w:rsid w:val="00CF0CA3"/>
    <w:rsid w:val="00D423A2"/>
    <w:rsid w:val="00D520D8"/>
    <w:rsid w:val="00D638B8"/>
    <w:rsid w:val="00D63AC2"/>
    <w:rsid w:val="00D7383B"/>
    <w:rsid w:val="00DA231B"/>
    <w:rsid w:val="00DA23A0"/>
    <w:rsid w:val="00DC39FC"/>
    <w:rsid w:val="00DF5254"/>
    <w:rsid w:val="00E16408"/>
    <w:rsid w:val="00E20894"/>
    <w:rsid w:val="00E245AB"/>
    <w:rsid w:val="00E2764C"/>
    <w:rsid w:val="00E27F2E"/>
    <w:rsid w:val="00E413EA"/>
    <w:rsid w:val="00E50AFE"/>
    <w:rsid w:val="00E5663C"/>
    <w:rsid w:val="00E75C92"/>
    <w:rsid w:val="00E771DC"/>
    <w:rsid w:val="00E82E91"/>
    <w:rsid w:val="00E8772A"/>
    <w:rsid w:val="00E90F6B"/>
    <w:rsid w:val="00E92C27"/>
    <w:rsid w:val="00EA0E3D"/>
    <w:rsid w:val="00EC38A7"/>
    <w:rsid w:val="00EE1AA8"/>
    <w:rsid w:val="00F31EDC"/>
    <w:rsid w:val="00F462B3"/>
    <w:rsid w:val="00F5664F"/>
    <w:rsid w:val="00F666C4"/>
    <w:rsid w:val="00F76AFC"/>
    <w:rsid w:val="00F97DC4"/>
    <w:rsid w:val="00FA47C0"/>
    <w:rsid w:val="00FB5DD1"/>
    <w:rsid w:val="00FC2B5D"/>
    <w:rsid w:val="00FE74F1"/>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alec00@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amp;data=05%7C02%7Candreina.cerpa%40colombiacompra.gov.co%7C096eca3fdcca424ff1c708dcf932f947%7C7b09041e245149d08cb179d5e3d8c1be%7C0%7C0%7C638659244553129750%7CUnknown%7CTWFpbGZsb3d8eyJWIjoiMC4wLjAwMDAiLCJQIjoiV2luMzIiLCJBTiI6Ik1haWwiLCJXVCI6Mn0%3D%7C0%7C%7C%7C&amp;sdata=TPSikXYdiaZ7j6%2BW39%2BMNPMouatq7ONRQMFwgX4AQak%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656E8-E03C-4578-A85C-9A42F5807A8B}"/>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4078</Words>
  <Characters>22429</Characters>
  <Application>Microsoft Office Word</Application>
  <DocSecurity>0</DocSecurity>
  <Lines>186</Lines>
  <Paragraphs>52</Paragraphs>
  <ScaleCrop>false</ScaleCrop>
  <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Juan Manuel Avendaño Robles</cp:lastModifiedBy>
  <cp:revision>2</cp:revision>
  <cp:lastPrinted>2023-01-10T21:18:00Z</cp:lastPrinted>
  <dcterms:created xsi:type="dcterms:W3CDTF">2024-11-21T17:41:00Z</dcterms:created>
  <dcterms:modified xsi:type="dcterms:W3CDTF">2024-11-21T17:41:00Z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