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2184B" w14:textId="62ACFF7F" w:rsidR="00E245AB" w:rsidRPr="0044528D" w:rsidRDefault="00891928" w:rsidP="00E245AB">
      <w:pPr>
        <w:spacing w:after="0"/>
        <w:rPr>
          <w:rFonts w:ascii="Verdana" w:hAnsi="Verdana"/>
        </w:rPr>
      </w:pPr>
      <w:bookmarkStart w:id="0" w:name="_Hlk143780582"/>
      <w:bookmarkStart w:id="1" w:name="_GoBack"/>
      <w:bookmarkEnd w:id="1"/>
      <w:r w:rsidRPr="0044528D">
        <w:rPr>
          <w:rFonts w:ascii="Verdana" w:hAnsi="Verdana"/>
        </w:rPr>
        <w:tab/>
      </w:r>
    </w:p>
    <w:p w14:paraId="7F773626" w14:textId="77777777" w:rsidR="000A2C08" w:rsidRDefault="000A2C08" w:rsidP="000A2C08">
      <w:pPr>
        <w:spacing w:after="0"/>
        <w:rPr>
          <w:rFonts w:ascii="Arial" w:hAnsi="Arial" w:cs="Arial"/>
          <w:b/>
          <w:bCs/>
          <w:color w:val="000000" w:themeColor="text1"/>
          <w:sz w:val="21"/>
          <w:szCs w:val="21"/>
          <w:lang w:val="es-ES_tradnl"/>
        </w:rPr>
      </w:pPr>
      <w:bookmarkStart w:id="2" w:name="_Hlk172124853"/>
      <w:r w:rsidRPr="00985BF7">
        <w:rPr>
          <w:rFonts w:ascii="Arial" w:hAnsi="Arial" w:cs="Arial"/>
          <w:b/>
          <w:bCs/>
          <w:color w:val="000000" w:themeColor="text1"/>
          <w:sz w:val="21"/>
          <w:szCs w:val="21"/>
          <w:lang w:val="es-ES_tradnl"/>
        </w:rPr>
        <w:t>CONVOCATORIAS LIMITADAS A MIPYME -</w:t>
      </w:r>
      <w:r>
        <w:rPr>
          <w:rFonts w:ascii="Arial" w:hAnsi="Arial" w:cs="Arial"/>
          <w:b/>
          <w:bCs/>
          <w:color w:val="000000" w:themeColor="text1"/>
          <w:sz w:val="21"/>
          <w:szCs w:val="21"/>
          <w:lang w:val="es-ES_tradnl"/>
        </w:rPr>
        <w:t xml:space="preserve"> Requisitos </w:t>
      </w:r>
    </w:p>
    <w:p w14:paraId="1B6550DF" w14:textId="77777777" w:rsidR="000A2C08" w:rsidRDefault="000A2C08" w:rsidP="000A2C08">
      <w:pPr>
        <w:spacing w:after="0"/>
        <w:rPr>
          <w:rFonts w:ascii="Arial" w:hAnsi="Arial" w:cs="Arial"/>
          <w:b/>
          <w:bCs/>
          <w:color w:val="000000" w:themeColor="text1"/>
          <w:sz w:val="21"/>
          <w:szCs w:val="21"/>
          <w:lang w:val="es-ES_tradnl"/>
        </w:rPr>
      </w:pPr>
    </w:p>
    <w:p w14:paraId="18DC3D07" w14:textId="77777777" w:rsidR="000A2C08" w:rsidRPr="00451CF5" w:rsidRDefault="000A2C08" w:rsidP="000A2C08">
      <w:pPr>
        <w:spacing w:after="0"/>
        <w:jc w:val="both"/>
        <w:rPr>
          <w:rFonts w:ascii="Verdana" w:eastAsia="Calibri" w:hAnsi="Verdana" w:cs="Arial"/>
          <w:sz w:val="21"/>
          <w:szCs w:val="21"/>
          <w:lang w:val="es-ES"/>
        </w:rPr>
      </w:pPr>
      <w:r w:rsidRPr="00451CF5">
        <w:rPr>
          <w:rFonts w:ascii="Verdana" w:eastAsia="Calibri" w:hAnsi="Verdana" w:cs="Arial"/>
          <w:sz w:val="21"/>
          <w:szCs w:val="21"/>
          <w:lang w:val="es-ES"/>
        </w:rPr>
        <w:t xml:space="preserve">El artículo 2.2.1.2.4.2.2. del Decreto 1082 de 2015 –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w:t>
      </w:r>
    </w:p>
    <w:p w14:paraId="541DE9FE" w14:textId="77777777" w:rsidR="000A2C08" w:rsidRPr="00451CF5" w:rsidRDefault="000A2C08" w:rsidP="000A2C08">
      <w:pPr>
        <w:spacing w:after="0"/>
        <w:jc w:val="both"/>
        <w:rPr>
          <w:rFonts w:ascii="Verdana" w:eastAsia="Calibri" w:hAnsi="Verdana" w:cs="Arial"/>
          <w:sz w:val="21"/>
          <w:szCs w:val="21"/>
          <w:lang w:val="es-ES"/>
        </w:rPr>
      </w:pPr>
      <w:r w:rsidRPr="00451CF5">
        <w:rPr>
          <w:rFonts w:ascii="Verdana" w:eastAsia="Calibri" w:hAnsi="Verdana" w:cs="Arial"/>
          <w:sz w:val="21"/>
          <w:szCs w:val="21"/>
          <w:lang w:val="es-ES"/>
        </w:rPr>
        <w:t>(…)</w:t>
      </w:r>
    </w:p>
    <w:p w14:paraId="1AA694CF" w14:textId="77777777" w:rsidR="000A2C08" w:rsidRDefault="000A2C08" w:rsidP="000A2C08">
      <w:pPr>
        <w:spacing w:after="0"/>
        <w:jc w:val="both"/>
        <w:rPr>
          <w:rFonts w:ascii="Verdana" w:eastAsia="Calibri" w:hAnsi="Verdana" w:cs="Arial"/>
          <w:sz w:val="21"/>
          <w:szCs w:val="21"/>
          <w:lang w:val="es-ES"/>
        </w:rPr>
      </w:pPr>
      <w:r w:rsidRPr="00451CF5">
        <w:rPr>
          <w:rFonts w:ascii="Verdana" w:eastAsia="Calibri" w:hAnsi="Verdana" w:cs="Arial"/>
          <w:sz w:val="21"/>
          <w:szCs w:val="21"/>
          <w:lang w:val="es-ES"/>
        </w:rPr>
        <w:t xml:space="preserve">Deben concurrir los siguientes requisitos: </w:t>
      </w:r>
    </w:p>
    <w:p w14:paraId="03A79362" w14:textId="77777777" w:rsidR="000A2C08" w:rsidRPr="00451CF5" w:rsidRDefault="000A2C08" w:rsidP="000A2C08">
      <w:pPr>
        <w:spacing w:after="0"/>
        <w:jc w:val="both"/>
        <w:rPr>
          <w:rFonts w:ascii="Verdana" w:eastAsia="Calibri" w:hAnsi="Verdana" w:cs="Arial"/>
          <w:sz w:val="21"/>
          <w:szCs w:val="21"/>
          <w:lang w:val="es-ES"/>
        </w:rPr>
      </w:pPr>
    </w:p>
    <w:p w14:paraId="4ECDC355" w14:textId="77777777" w:rsidR="000A2C08" w:rsidRPr="00CC0EB4" w:rsidRDefault="000A2C08" w:rsidP="000A2C08">
      <w:pPr>
        <w:spacing w:after="0"/>
        <w:jc w:val="both"/>
        <w:rPr>
          <w:rFonts w:ascii="Verdana" w:eastAsia="Calibri" w:hAnsi="Verdana" w:cs="Arial"/>
          <w:sz w:val="21"/>
          <w:szCs w:val="21"/>
          <w:lang w:val="es-ES_tradnl"/>
        </w:rPr>
      </w:pPr>
      <w:r w:rsidRPr="00451CF5">
        <w:rPr>
          <w:rFonts w:ascii="Verdana" w:eastAsia="Calibri" w:hAnsi="Verdana" w:cs="Arial"/>
          <w:sz w:val="21"/>
          <w:szCs w:val="21"/>
          <w:lang w:val="es-ES"/>
        </w:rPr>
        <w:t xml:space="preserve">1. El valor del Proceso de Contratación sea menor a ciento veinticinco mil dólares de los Estados Unidos de América (US$125.000), liquidados con la tasa de cambio que para el efecto </w:t>
      </w:r>
      <w:proofErr w:type="spellStart"/>
      <w:r w:rsidRPr="00451CF5">
        <w:rPr>
          <w:rFonts w:ascii="Verdana" w:eastAsia="Calibri" w:hAnsi="Verdana" w:cs="Arial"/>
          <w:sz w:val="21"/>
          <w:szCs w:val="21"/>
          <w:lang w:val="es-ES"/>
        </w:rPr>
        <w:t>dete</w:t>
      </w:r>
      <w:r w:rsidRPr="00CC0EB4">
        <w:rPr>
          <w:rFonts w:ascii="Verdana" w:eastAsia="Calibri" w:hAnsi="Verdana" w:cs="Arial"/>
          <w:sz w:val="21"/>
          <w:szCs w:val="21"/>
          <w:lang w:val="es-ES_tradnl"/>
        </w:rPr>
        <w:t>rmina</w:t>
      </w:r>
      <w:proofErr w:type="spellEnd"/>
      <w:r w:rsidRPr="00CC0EB4">
        <w:rPr>
          <w:rFonts w:ascii="Verdana" w:eastAsia="Calibri" w:hAnsi="Verdana" w:cs="Arial"/>
          <w:sz w:val="21"/>
          <w:szCs w:val="21"/>
          <w:lang w:val="es-ES_tradnl"/>
        </w:rPr>
        <w:t xml:space="preserve"> cada dos años el Ministerio de Comercio, Industria y Turismo.</w:t>
      </w:r>
    </w:p>
    <w:p w14:paraId="46CB7E94" w14:textId="77777777" w:rsidR="000A2C08" w:rsidRDefault="000A2C08" w:rsidP="000A2C08">
      <w:pPr>
        <w:spacing w:after="0"/>
        <w:jc w:val="both"/>
        <w:rPr>
          <w:rFonts w:ascii="Arial" w:hAnsi="Arial" w:cs="Arial"/>
          <w:b/>
          <w:color w:val="000000" w:themeColor="text1"/>
          <w:sz w:val="21"/>
          <w:szCs w:val="21"/>
          <w:lang w:val="es-ES"/>
        </w:rPr>
      </w:pPr>
      <w:r w:rsidRPr="5860ED9E">
        <w:rPr>
          <w:rFonts w:ascii="Verdana" w:eastAsia="Calibri" w:hAnsi="Verdana" w:cs="Arial"/>
          <w:sz w:val="21"/>
          <w:szCs w:val="21"/>
          <w:lang w:val="es-ES"/>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07C3C06C" w14:textId="77777777" w:rsidR="000A2C08" w:rsidRPr="001D30BE" w:rsidRDefault="000A2C08" w:rsidP="000A2C08">
      <w:pPr>
        <w:spacing w:after="0"/>
        <w:rPr>
          <w:rFonts w:ascii="Verdana" w:hAnsi="Verdana"/>
        </w:rPr>
      </w:pPr>
    </w:p>
    <w:p w14:paraId="7BB99BBD" w14:textId="77777777" w:rsidR="000A2C08" w:rsidRPr="00985BF7" w:rsidRDefault="000A2C08" w:rsidP="000A2C08">
      <w:pPr>
        <w:spacing w:after="0" w:line="276" w:lineRule="auto"/>
        <w:jc w:val="both"/>
        <w:rPr>
          <w:rFonts w:ascii="Verdana" w:eastAsia="Calibri" w:hAnsi="Verdana" w:cs="Arial"/>
          <w:sz w:val="21"/>
          <w:szCs w:val="21"/>
          <w:lang w:val="es-ES_tradnl" w:eastAsia="es-ES"/>
        </w:rPr>
      </w:pPr>
    </w:p>
    <w:p w14:paraId="1A989DD2" w14:textId="77777777" w:rsidR="000A2C08" w:rsidRPr="00985BF7" w:rsidRDefault="000A2C08" w:rsidP="000A2C08">
      <w:pPr>
        <w:spacing w:after="0" w:line="276" w:lineRule="auto"/>
        <w:jc w:val="both"/>
        <w:rPr>
          <w:rFonts w:ascii="Verdana" w:eastAsia="Calibri" w:hAnsi="Verdana" w:cs="Arial"/>
          <w:sz w:val="21"/>
          <w:szCs w:val="21"/>
          <w:lang w:val="es-ES_tradnl" w:eastAsia="es-ES"/>
        </w:rPr>
      </w:pPr>
    </w:p>
    <w:p w14:paraId="6BEB3403" w14:textId="77777777" w:rsidR="000A2C08" w:rsidRPr="00985BF7" w:rsidRDefault="000A2C08" w:rsidP="000A2C08">
      <w:pPr>
        <w:spacing w:after="0" w:line="276" w:lineRule="auto"/>
        <w:jc w:val="both"/>
        <w:rPr>
          <w:rFonts w:ascii="Verdana" w:eastAsia="Calibri" w:hAnsi="Verdana" w:cs="Arial"/>
          <w:sz w:val="21"/>
          <w:szCs w:val="21"/>
          <w:lang w:val="es-ES_tradnl" w:eastAsia="es-ES"/>
        </w:rPr>
      </w:pPr>
    </w:p>
    <w:p w14:paraId="3937562B" w14:textId="77777777" w:rsidR="000A2C08" w:rsidRDefault="000A2C08" w:rsidP="000A2C08">
      <w:pPr>
        <w:spacing w:after="0" w:line="276" w:lineRule="auto"/>
        <w:rPr>
          <w:rFonts w:ascii="Verdana" w:eastAsia="Calibri" w:hAnsi="Verdana" w:cs="Arial"/>
          <w:sz w:val="21"/>
          <w:szCs w:val="21"/>
          <w:lang w:val="es-ES_tradnl" w:eastAsia="es-ES"/>
        </w:rPr>
      </w:pPr>
    </w:p>
    <w:p w14:paraId="1AF18BDC" w14:textId="77777777" w:rsidR="000A2C08" w:rsidRDefault="000A2C08" w:rsidP="000A2C08">
      <w:pPr>
        <w:spacing w:after="0" w:line="276" w:lineRule="auto"/>
        <w:rPr>
          <w:rFonts w:ascii="Verdana" w:hAnsi="Verdana"/>
        </w:rPr>
      </w:pPr>
    </w:p>
    <w:p w14:paraId="3F8F4167" w14:textId="77777777" w:rsidR="000A2C08" w:rsidRDefault="000A2C08" w:rsidP="000A2C08">
      <w:pPr>
        <w:spacing w:after="0" w:line="276" w:lineRule="auto"/>
        <w:rPr>
          <w:rFonts w:ascii="Verdana" w:hAnsi="Verdana"/>
        </w:rPr>
      </w:pPr>
    </w:p>
    <w:p w14:paraId="75CCD505" w14:textId="77777777" w:rsidR="000A2C08" w:rsidRDefault="000A2C08" w:rsidP="000A2C08">
      <w:pPr>
        <w:spacing w:after="0" w:line="240" w:lineRule="auto"/>
        <w:rPr>
          <w:rFonts w:ascii="Verdana" w:hAnsi="Verdana"/>
        </w:rPr>
      </w:pPr>
    </w:p>
    <w:p w14:paraId="429D331A" w14:textId="77777777" w:rsidR="000A2C08" w:rsidRDefault="000A2C08" w:rsidP="000A2C08">
      <w:pPr>
        <w:spacing w:after="0" w:line="240" w:lineRule="auto"/>
        <w:rPr>
          <w:rFonts w:ascii="Verdana" w:hAnsi="Verdana"/>
        </w:rPr>
      </w:pPr>
    </w:p>
    <w:p w14:paraId="434678BD" w14:textId="77777777" w:rsidR="000A2C08" w:rsidRDefault="000A2C08" w:rsidP="000A2C08">
      <w:pPr>
        <w:spacing w:after="0" w:line="240" w:lineRule="auto"/>
        <w:rPr>
          <w:rFonts w:ascii="Verdana" w:hAnsi="Verdana"/>
        </w:rPr>
      </w:pPr>
    </w:p>
    <w:p w14:paraId="77246D2F" w14:textId="77777777" w:rsidR="000A2C08" w:rsidRDefault="000A2C08" w:rsidP="000A2C08">
      <w:pPr>
        <w:spacing w:after="0" w:line="240" w:lineRule="auto"/>
        <w:rPr>
          <w:rFonts w:ascii="Verdana" w:hAnsi="Verdana"/>
        </w:rPr>
      </w:pPr>
    </w:p>
    <w:p w14:paraId="2F2808AA" w14:textId="77777777" w:rsidR="000A2C08" w:rsidRDefault="000A2C08" w:rsidP="000A2C08">
      <w:pPr>
        <w:spacing w:after="0" w:line="240" w:lineRule="auto"/>
        <w:rPr>
          <w:rFonts w:ascii="Verdana" w:hAnsi="Verdana"/>
        </w:rPr>
      </w:pPr>
    </w:p>
    <w:p w14:paraId="33BE1982" w14:textId="77777777" w:rsidR="000A2C08" w:rsidRDefault="000A2C08" w:rsidP="000A2C08">
      <w:pPr>
        <w:spacing w:after="0" w:line="240" w:lineRule="auto"/>
        <w:rPr>
          <w:rFonts w:ascii="Verdana" w:hAnsi="Verdana"/>
        </w:rPr>
      </w:pPr>
    </w:p>
    <w:p w14:paraId="5E4EABF2" w14:textId="77777777" w:rsidR="000A2C08" w:rsidRDefault="000A2C08" w:rsidP="000A2C08">
      <w:pPr>
        <w:spacing w:after="0" w:line="240" w:lineRule="auto"/>
        <w:rPr>
          <w:rFonts w:ascii="Verdana" w:hAnsi="Verdana"/>
        </w:rPr>
      </w:pPr>
    </w:p>
    <w:p w14:paraId="4E152165" w14:textId="77777777" w:rsidR="000A2C08" w:rsidRPr="005F0665" w:rsidRDefault="000A2C08" w:rsidP="000A2C08">
      <w:pPr>
        <w:spacing w:after="0" w:line="240" w:lineRule="auto"/>
        <w:rPr>
          <w:rFonts w:ascii="Verdana" w:eastAsia="Times New Roman" w:hAnsi="Verdana" w:cs="Calibri"/>
          <w:color w:val="000000"/>
          <w:sz w:val="20"/>
          <w:szCs w:val="20"/>
          <w:lang w:eastAsia="es-CO"/>
        </w:rPr>
      </w:pPr>
    </w:p>
    <w:p w14:paraId="1BAEEDD8" w14:textId="2B6D00D9" w:rsidR="000A2C08" w:rsidRDefault="000A2C08" w:rsidP="000A2C08">
      <w:pPr>
        <w:spacing w:after="0" w:line="276" w:lineRule="auto"/>
        <w:jc w:val="both"/>
        <w:rPr>
          <w:rFonts w:ascii="Verdana" w:hAnsi="Verdana"/>
        </w:rPr>
      </w:pPr>
      <w:r w:rsidRPr="0044528D">
        <w:rPr>
          <w:rFonts w:ascii="Verdana" w:hAnsi="Verdana"/>
        </w:rPr>
        <w:lastRenderedPageBreak/>
        <w:t xml:space="preserve">Bogotá D.C., </w:t>
      </w:r>
      <w:r w:rsidR="006128E4">
        <w:rPr>
          <w:rFonts w:ascii="Verdana" w:hAnsi="Verdana"/>
        </w:rPr>
        <w:t xml:space="preserve">28 de noviembre de 2024 </w:t>
      </w:r>
    </w:p>
    <w:p w14:paraId="0090F76E" w14:textId="77777777" w:rsidR="00036AE4" w:rsidRDefault="00036AE4" w:rsidP="000A2C08">
      <w:pPr>
        <w:spacing w:after="0" w:line="276" w:lineRule="auto"/>
        <w:jc w:val="both"/>
        <w:rPr>
          <w:rFonts w:ascii="Verdana" w:hAnsi="Verdana"/>
        </w:rPr>
      </w:pPr>
    </w:p>
    <w:p w14:paraId="09B0C9F2" w14:textId="71194BB8" w:rsidR="00036AE4" w:rsidRDefault="00036AE4" w:rsidP="006128E4">
      <w:pPr>
        <w:spacing w:after="0" w:line="276" w:lineRule="auto"/>
        <w:jc w:val="right"/>
        <w:rPr>
          <w:rFonts w:ascii="Verdana" w:hAnsi="Verdana"/>
        </w:rPr>
      </w:pPr>
      <w:r w:rsidRPr="00036AE4">
        <w:rPr>
          <w:rFonts w:ascii="Verdana" w:hAnsi="Verdana"/>
          <w:noProof/>
        </w:rPr>
        <w:drawing>
          <wp:inline distT="0" distB="0" distL="0" distR="0" wp14:anchorId="727AC8AD" wp14:editId="20F55F9D">
            <wp:extent cx="3715268" cy="981212"/>
            <wp:effectExtent l="0" t="0" r="0" b="9525"/>
            <wp:docPr id="18150868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86823" name="Imagen 1" descr="Texto&#10;&#10;Descripción generada automáticamente"/>
                    <pic:cNvPicPr/>
                  </pic:nvPicPr>
                  <pic:blipFill>
                    <a:blip r:embed="rId10"/>
                    <a:stretch>
                      <a:fillRect/>
                    </a:stretch>
                  </pic:blipFill>
                  <pic:spPr>
                    <a:xfrm>
                      <a:off x="0" y="0"/>
                      <a:ext cx="3715268" cy="981212"/>
                    </a:xfrm>
                    <a:prstGeom prst="rect">
                      <a:avLst/>
                    </a:prstGeom>
                  </pic:spPr>
                </pic:pic>
              </a:graphicData>
            </a:graphic>
          </wp:inline>
        </w:drawing>
      </w:r>
    </w:p>
    <w:p w14:paraId="35ADDCC0" w14:textId="77777777" w:rsidR="000A2C08" w:rsidRDefault="000A2C08" w:rsidP="000A2C08">
      <w:pPr>
        <w:spacing w:after="0" w:line="276" w:lineRule="auto"/>
        <w:jc w:val="both"/>
        <w:rPr>
          <w:rFonts w:ascii="Verdana" w:eastAsia="Calibri" w:hAnsi="Verdana" w:cs="Arial"/>
          <w:lang w:val="es-ES" w:eastAsia="es-ES"/>
        </w:rPr>
      </w:pPr>
    </w:p>
    <w:p w14:paraId="20E73C41" w14:textId="77777777" w:rsidR="000A2C08" w:rsidRDefault="000A2C08" w:rsidP="000A2C08">
      <w:pPr>
        <w:spacing w:after="0" w:line="276" w:lineRule="auto"/>
        <w:jc w:val="both"/>
        <w:rPr>
          <w:rFonts w:ascii="Verdana" w:eastAsia="Calibri" w:hAnsi="Verdana" w:cs="Arial"/>
          <w:lang w:val="es-ES" w:eastAsia="es-ES"/>
        </w:rPr>
      </w:pPr>
      <w:r>
        <w:rPr>
          <w:rFonts w:ascii="Verdana" w:eastAsia="Calibri" w:hAnsi="Verdana" w:cs="Arial"/>
          <w:lang w:val="es-ES" w:eastAsia="es-ES"/>
        </w:rPr>
        <w:t xml:space="preserve">Señor </w:t>
      </w:r>
    </w:p>
    <w:p w14:paraId="61FF59B6" w14:textId="77777777" w:rsidR="000A2C08" w:rsidRPr="001869E8" w:rsidRDefault="000A2C08" w:rsidP="000A2C08">
      <w:pPr>
        <w:spacing w:after="0" w:line="276" w:lineRule="auto"/>
        <w:jc w:val="both"/>
        <w:rPr>
          <w:rFonts w:ascii="Verdana" w:eastAsia="Calibri" w:hAnsi="Verdana" w:cs="Arial"/>
          <w:b/>
          <w:bCs/>
          <w:lang w:val="es-ES" w:eastAsia="es-ES"/>
        </w:rPr>
      </w:pPr>
      <w:r>
        <w:rPr>
          <w:rFonts w:ascii="Verdana" w:eastAsia="Calibri" w:hAnsi="Verdana" w:cs="Arial"/>
          <w:b/>
          <w:bCs/>
          <w:lang w:val="es-ES" w:eastAsia="es-ES"/>
        </w:rPr>
        <w:t xml:space="preserve">Cesar Augusto España Palomares </w:t>
      </w:r>
    </w:p>
    <w:p w14:paraId="1C217BA1" w14:textId="77777777" w:rsidR="000A2C08" w:rsidRDefault="004F23FE" w:rsidP="000A2C08">
      <w:pPr>
        <w:spacing w:after="0" w:line="276" w:lineRule="auto"/>
        <w:rPr>
          <w:rFonts w:ascii="Verdana" w:eastAsia="Calibri" w:hAnsi="Verdana" w:cs="Arial"/>
          <w:b/>
          <w:bCs/>
          <w:color w:val="0563C1" w:themeColor="hyperlink"/>
          <w:u w:val="single"/>
          <w:lang w:eastAsia="es-ES_tradnl"/>
        </w:rPr>
      </w:pPr>
      <w:hyperlink r:id="rId11" w:history="1">
        <w:r w:rsidR="000A2C08" w:rsidRPr="0055681B">
          <w:rPr>
            <w:rStyle w:val="Hipervnculo"/>
            <w:rFonts w:ascii="Verdana" w:eastAsia="Calibri" w:hAnsi="Verdana" w:cs="Arial"/>
            <w:b/>
            <w:bCs/>
            <w:lang w:eastAsia="es-ES_tradnl"/>
          </w:rPr>
          <w:t>consultorempresarialcae@gmail.com</w:t>
        </w:r>
      </w:hyperlink>
    </w:p>
    <w:p w14:paraId="4B90812A" w14:textId="46F963AE" w:rsidR="000A2C08" w:rsidRPr="00741D8E" w:rsidRDefault="000A2C08" w:rsidP="000A2C08">
      <w:pPr>
        <w:spacing w:after="0" w:line="276" w:lineRule="auto"/>
        <w:rPr>
          <w:rStyle w:val="Hipervnculo"/>
          <w:rFonts w:ascii="Verdana" w:eastAsia="Calibri" w:hAnsi="Verdana" w:cs="Arial"/>
          <w:color w:val="auto"/>
          <w:u w:val="none"/>
          <w:lang w:eastAsia="es-ES_tradnl"/>
        </w:rPr>
      </w:pPr>
      <w:r w:rsidRPr="00741D8E">
        <w:rPr>
          <w:rFonts w:ascii="Verdana" w:eastAsia="Calibri" w:hAnsi="Verdana" w:cs="Arial"/>
          <w:lang w:eastAsia="es-ES_tradnl"/>
        </w:rPr>
        <w:t xml:space="preserve">Florencia </w:t>
      </w:r>
      <w:r>
        <w:rPr>
          <w:rFonts w:ascii="Verdana" w:eastAsia="Calibri" w:hAnsi="Verdana" w:cs="Arial"/>
          <w:lang w:eastAsia="es-ES_tradnl"/>
        </w:rPr>
        <w:t>-</w:t>
      </w:r>
      <w:r w:rsidRPr="00741D8E">
        <w:rPr>
          <w:rFonts w:ascii="Verdana" w:eastAsia="Calibri" w:hAnsi="Verdana" w:cs="Arial"/>
          <w:lang w:eastAsia="es-ES_tradnl"/>
        </w:rPr>
        <w:t xml:space="preserve">Caquetá </w:t>
      </w:r>
    </w:p>
    <w:p w14:paraId="01B81283" w14:textId="77777777" w:rsidR="000A2C08" w:rsidRDefault="000A2C08" w:rsidP="000A2C08">
      <w:pPr>
        <w:spacing w:after="0" w:line="276" w:lineRule="auto"/>
        <w:jc w:val="right"/>
        <w:rPr>
          <w:rFonts w:ascii="Verdana" w:eastAsia="Calibri" w:hAnsi="Verdana" w:cs="Arial"/>
          <w:b/>
          <w:bCs/>
          <w:lang w:eastAsia="es-ES_tradnl"/>
        </w:rPr>
      </w:pPr>
    </w:p>
    <w:p w14:paraId="0DAACE6F" w14:textId="77777777" w:rsidR="000A2C08" w:rsidRDefault="000A2C08" w:rsidP="000A2C08">
      <w:pPr>
        <w:spacing w:after="0" w:line="276" w:lineRule="auto"/>
        <w:jc w:val="right"/>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A2C08" w:rsidRPr="005B3F16" w14:paraId="774DF08A" w14:textId="77777777" w:rsidTr="00EF0037">
        <w:trPr>
          <w:trHeight w:val="884"/>
        </w:trPr>
        <w:tc>
          <w:tcPr>
            <w:tcW w:w="2689" w:type="dxa"/>
          </w:tcPr>
          <w:p w14:paraId="6710CA5D" w14:textId="77777777" w:rsidR="000A2C08" w:rsidRPr="000807E2" w:rsidRDefault="000A2C08" w:rsidP="00EF0037">
            <w:pPr>
              <w:spacing w:line="276" w:lineRule="auto"/>
              <w:jc w:val="both"/>
              <w:rPr>
                <w:rFonts w:ascii="Verdana" w:eastAsia="Calibri" w:hAnsi="Verdana" w:cs="Arial"/>
                <w:b/>
                <w:bCs/>
                <w:lang w:eastAsia="es-ES_tradnl"/>
              </w:rPr>
            </w:pPr>
          </w:p>
        </w:tc>
        <w:tc>
          <w:tcPr>
            <w:tcW w:w="6100" w:type="dxa"/>
          </w:tcPr>
          <w:p w14:paraId="0A303AD7" w14:textId="2348570F" w:rsidR="000A2C08" w:rsidRPr="005B3F16" w:rsidRDefault="000A2C08" w:rsidP="00EF0037">
            <w:pPr>
              <w:spacing w:line="276" w:lineRule="auto"/>
              <w:jc w:val="both"/>
              <w:rPr>
                <w:rFonts w:ascii="Verdana" w:eastAsia="Calibri" w:hAnsi="Verdana" w:cs="Arial"/>
                <w:b/>
                <w:bCs/>
                <w:lang w:val="es-ES" w:eastAsia="es-ES"/>
              </w:rPr>
            </w:pPr>
            <w:r w:rsidRPr="005B3F16">
              <w:rPr>
                <w:rFonts w:ascii="Verdana" w:eastAsia="Calibri" w:hAnsi="Verdana" w:cs="Arial"/>
                <w:b/>
                <w:bCs/>
                <w:lang w:val="es-ES" w:eastAsia="es-ES"/>
              </w:rPr>
              <w:t xml:space="preserve">Concepto C- </w:t>
            </w:r>
            <w:r w:rsidR="00F94CC0">
              <w:rPr>
                <w:rFonts w:ascii="Verdana" w:eastAsia="Calibri" w:hAnsi="Verdana" w:cs="Arial"/>
                <w:b/>
                <w:bCs/>
                <w:lang w:val="es-ES" w:eastAsia="es-ES"/>
              </w:rPr>
              <w:t>752</w:t>
            </w:r>
            <w:r w:rsidRPr="005B3F16">
              <w:rPr>
                <w:rFonts w:ascii="Verdana" w:eastAsia="Calibri" w:hAnsi="Verdana" w:cs="Arial"/>
                <w:b/>
                <w:bCs/>
                <w:lang w:val="es-ES" w:eastAsia="es-ES"/>
              </w:rPr>
              <w:t xml:space="preserve"> de 2024</w:t>
            </w:r>
          </w:p>
        </w:tc>
      </w:tr>
      <w:tr w:rsidR="000A2C08" w:rsidRPr="005B3F16" w14:paraId="58C0143A" w14:textId="77777777" w:rsidTr="00EF0037">
        <w:trPr>
          <w:trHeight w:val="884"/>
        </w:trPr>
        <w:tc>
          <w:tcPr>
            <w:tcW w:w="2689" w:type="dxa"/>
          </w:tcPr>
          <w:p w14:paraId="0411E54F" w14:textId="77777777" w:rsidR="000A2C08" w:rsidRPr="005B3F16" w:rsidRDefault="000A2C08" w:rsidP="00EF0037">
            <w:pPr>
              <w:spacing w:line="276" w:lineRule="auto"/>
              <w:jc w:val="both"/>
              <w:rPr>
                <w:rFonts w:ascii="Verdana" w:eastAsia="Calibri" w:hAnsi="Verdana" w:cs="Arial"/>
                <w:lang w:val="es-ES_tradnl" w:eastAsia="es-ES_tradnl"/>
              </w:rPr>
            </w:pPr>
            <w:r w:rsidRPr="005B3F16">
              <w:rPr>
                <w:rFonts w:ascii="Verdana" w:eastAsia="Calibri" w:hAnsi="Verdana" w:cs="Arial"/>
                <w:b/>
                <w:lang w:val="es-ES_tradnl" w:eastAsia="es-ES_tradnl"/>
              </w:rPr>
              <w:t>Temas:</w:t>
            </w:r>
            <w:r w:rsidRPr="005B3F16">
              <w:rPr>
                <w:rFonts w:ascii="Verdana" w:eastAsia="Calibri" w:hAnsi="Verdana" w:cs="Arial"/>
                <w:lang w:val="es-ES_tradnl" w:eastAsia="es-ES_tradnl"/>
              </w:rPr>
              <w:t xml:space="preserve">                   </w:t>
            </w:r>
          </w:p>
        </w:tc>
        <w:tc>
          <w:tcPr>
            <w:tcW w:w="6100" w:type="dxa"/>
          </w:tcPr>
          <w:p w14:paraId="3D96AEE3" w14:textId="77777777" w:rsidR="000A2C08" w:rsidRPr="004D70E1" w:rsidRDefault="000A2C08" w:rsidP="00EF0037">
            <w:pPr>
              <w:pStyle w:val="paragraph"/>
              <w:shd w:val="clear" w:color="auto" w:fill="FFFFFF" w:themeFill="background1"/>
              <w:spacing w:after="120" w:line="276" w:lineRule="auto"/>
              <w:textAlignment w:val="baseline"/>
              <w:rPr>
                <w:rFonts w:ascii="Arial" w:eastAsiaTheme="minorHAnsi" w:hAnsi="Arial" w:cs="Arial"/>
                <w:b/>
                <w:bCs/>
                <w:color w:val="000000" w:themeColor="text1"/>
                <w:sz w:val="22"/>
                <w:szCs w:val="22"/>
                <w:lang w:val="es-ES_tradnl" w:eastAsia="en-US"/>
              </w:rPr>
            </w:pPr>
            <w:r w:rsidRPr="00AE7E93">
              <w:rPr>
                <w:rFonts w:ascii="Arial" w:eastAsiaTheme="minorHAnsi" w:hAnsi="Arial" w:cs="Arial"/>
                <w:b/>
                <w:bCs/>
                <w:color w:val="000000" w:themeColor="text1"/>
                <w:sz w:val="22"/>
                <w:szCs w:val="22"/>
                <w:lang w:val="es-ES_tradnl" w:eastAsia="en-US"/>
              </w:rPr>
              <w:t xml:space="preserve">CONVOCATORIAS LIMITADAS A MIPYME </w:t>
            </w:r>
            <w:r>
              <w:rPr>
                <w:rFonts w:ascii="Arial" w:eastAsiaTheme="minorHAnsi" w:hAnsi="Arial" w:cs="Arial"/>
                <w:b/>
                <w:bCs/>
                <w:color w:val="000000" w:themeColor="text1"/>
                <w:sz w:val="22"/>
                <w:szCs w:val="22"/>
                <w:lang w:val="es-ES_tradnl" w:eastAsia="en-US"/>
              </w:rPr>
              <w:t xml:space="preserve">-Requisitos  </w:t>
            </w:r>
          </w:p>
        </w:tc>
      </w:tr>
      <w:tr w:rsidR="000A2C08" w:rsidRPr="005B3F16" w14:paraId="02C840ED" w14:textId="77777777" w:rsidTr="00EF0037">
        <w:tc>
          <w:tcPr>
            <w:tcW w:w="2689" w:type="dxa"/>
          </w:tcPr>
          <w:p w14:paraId="5BD4E623" w14:textId="77777777" w:rsidR="000A2C08" w:rsidRPr="005B3F16" w:rsidRDefault="000A2C08" w:rsidP="00EF0037">
            <w:pPr>
              <w:spacing w:line="276" w:lineRule="auto"/>
              <w:jc w:val="both"/>
              <w:rPr>
                <w:rFonts w:ascii="Verdana" w:eastAsia="Calibri" w:hAnsi="Verdana" w:cs="Arial"/>
                <w:b/>
                <w:lang w:val="es-ES_tradnl" w:eastAsia="es-ES_tradnl"/>
              </w:rPr>
            </w:pPr>
            <w:r w:rsidRPr="005B3F16">
              <w:rPr>
                <w:rFonts w:ascii="Verdana" w:eastAsia="Calibri" w:hAnsi="Verdana" w:cs="Arial"/>
                <w:b/>
                <w:lang w:val="es-ES_tradnl" w:eastAsia="es-ES_tradnl"/>
              </w:rPr>
              <w:t>Radicación:</w:t>
            </w:r>
            <w:r w:rsidRPr="005B3F16">
              <w:rPr>
                <w:rFonts w:ascii="Verdana" w:eastAsia="Calibri" w:hAnsi="Verdana" w:cs="Arial"/>
                <w:lang w:val="es-ES_tradnl" w:eastAsia="es-ES_tradnl"/>
              </w:rPr>
              <w:t xml:space="preserve">               </w:t>
            </w:r>
          </w:p>
        </w:tc>
        <w:tc>
          <w:tcPr>
            <w:tcW w:w="6100" w:type="dxa"/>
          </w:tcPr>
          <w:p w14:paraId="118DAA3A" w14:textId="77777777" w:rsidR="000A2C08" w:rsidRPr="005B3F16" w:rsidRDefault="000A2C08" w:rsidP="00EF0037">
            <w:pPr>
              <w:spacing w:line="276" w:lineRule="auto"/>
              <w:jc w:val="both"/>
              <w:rPr>
                <w:rFonts w:ascii="Verdana" w:hAnsi="Verdana" w:cs="Arial"/>
              </w:rPr>
            </w:pPr>
            <w:r w:rsidRPr="005B3F16">
              <w:rPr>
                <w:rFonts w:ascii="Verdana" w:hAnsi="Verdana" w:cs="Arial"/>
              </w:rPr>
              <w:t xml:space="preserve">Respuesta a consulta con radicado No. </w:t>
            </w:r>
            <w:r w:rsidRPr="00FA0AEC">
              <w:rPr>
                <w:rFonts w:ascii="Verdana" w:hAnsi="Verdana" w:cs="Arial"/>
              </w:rPr>
              <w:t>P20241021010627</w:t>
            </w:r>
          </w:p>
        </w:tc>
      </w:tr>
    </w:tbl>
    <w:p w14:paraId="576F6D02" w14:textId="77777777" w:rsidR="000A2C08" w:rsidRPr="005B3F16" w:rsidRDefault="000A2C08" w:rsidP="000A2C08">
      <w:pPr>
        <w:spacing w:after="0" w:line="276" w:lineRule="auto"/>
        <w:jc w:val="both"/>
        <w:rPr>
          <w:rFonts w:ascii="Verdana" w:eastAsia="Calibri" w:hAnsi="Verdana" w:cs="Arial"/>
          <w:lang w:val="es-ES_tradnl" w:eastAsia="es-ES_tradnl"/>
        </w:rPr>
      </w:pPr>
    </w:p>
    <w:p w14:paraId="68B5C64F" w14:textId="77777777" w:rsidR="000A2C08" w:rsidRPr="005B3F16" w:rsidRDefault="000A2C08" w:rsidP="000A2C08">
      <w:pPr>
        <w:spacing w:after="0" w:line="276" w:lineRule="auto"/>
        <w:jc w:val="both"/>
        <w:rPr>
          <w:rFonts w:ascii="Verdana" w:eastAsia="Calibri" w:hAnsi="Verdana" w:cs="Arial"/>
          <w:lang w:val="es-ES_tradnl" w:eastAsia="es-ES_tradnl"/>
        </w:rPr>
      </w:pPr>
    </w:p>
    <w:p w14:paraId="2085BAB7" w14:textId="6CA2503D" w:rsidR="000A2C08" w:rsidRPr="005B3F16" w:rsidRDefault="000A2C08" w:rsidP="000A2C08">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Estimad</w:t>
      </w:r>
      <w:r>
        <w:rPr>
          <w:rFonts w:ascii="Verdana" w:eastAsia="Calibri" w:hAnsi="Verdana" w:cs="Arial"/>
          <w:lang w:val="es-ES" w:eastAsia="es-ES"/>
        </w:rPr>
        <w:t xml:space="preserve">o </w:t>
      </w:r>
      <w:r w:rsidR="00827825">
        <w:rPr>
          <w:rFonts w:ascii="Verdana" w:eastAsia="Calibri" w:hAnsi="Verdana" w:cs="Arial"/>
          <w:lang w:val="es-ES" w:eastAsia="es-ES"/>
        </w:rPr>
        <w:t>Señor España</w:t>
      </w:r>
      <w:r w:rsidRPr="005B3F16">
        <w:rPr>
          <w:rFonts w:ascii="Verdana" w:eastAsia="Calibri" w:hAnsi="Verdana" w:cs="Arial"/>
          <w:lang w:val="es-ES" w:eastAsia="es-ES"/>
        </w:rPr>
        <w:t xml:space="preserve">: </w:t>
      </w:r>
    </w:p>
    <w:p w14:paraId="4558B52E" w14:textId="77777777" w:rsidR="000A2C08" w:rsidRPr="005B3F16" w:rsidRDefault="000A2C08" w:rsidP="000A2C08">
      <w:pPr>
        <w:tabs>
          <w:tab w:val="left" w:pos="3768"/>
        </w:tabs>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ab/>
      </w:r>
    </w:p>
    <w:p w14:paraId="772B701D" w14:textId="77777777" w:rsidR="000A2C08" w:rsidRDefault="000A2C08" w:rsidP="000A2C08">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En ejercicio de la competencia otorgada por los artículos 3, numeral 5º, y 11, numeral 8º, del Decreto Ley 4170 de 2011,</w:t>
      </w:r>
      <w:r w:rsidRPr="005B3F16">
        <w:rPr>
          <w:rFonts w:ascii="Verdana" w:eastAsia="Arial MT" w:hAnsi="Verdana" w:cs="Arial MT"/>
          <w:lang w:val="es-ES" w:eastAsia="es-ES"/>
        </w:rPr>
        <w:t xml:space="preserve"> </w:t>
      </w:r>
      <w:r w:rsidRPr="005B3F16">
        <w:rPr>
          <w:rFonts w:ascii="Verdana" w:hAnsi="Verdana" w:cs="Arial"/>
        </w:rPr>
        <w:t xml:space="preserve">así como lo establecido en el artículo 4 de la Resolución 1707 de 2018 expedida por esta Entidad, </w:t>
      </w:r>
      <w:r w:rsidRPr="005B3F16">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21 </w:t>
      </w:r>
      <w:r w:rsidRPr="005B3F16">
        <w:rPr>
          <w:rFonts w:ascii="Verdana" w:eastAsia="Calibri" w:hAnsi="Verdana" w:cs="Arial"/>
          <w:lang w:val="es-ES" w:eastAsia="es-ES"/>
        </w:rPr>
        <w:t xml:space="preserve">de </w:t>
      </w:r>
      <w:r>
        <w:rPr>
          <w:rFonts w:ascii="Verdana" w:eastAsia="Calibri" w:hAnsi="Verdana" w:cs="Arial"/>
          <w:lang w:val="es-ES" w:eastAsia="es-ES"/>
        </w:rPr>
        <w:t>octubre</w:t>
      </w:r>
      <w:r w:rsidRPr="005B3F16">
        <w:rPr>
          <w:rFonts w:ascii="Verdana" w:eastAsia="Calibri" w:hAnsi="Verdana" w:cs="Arial"/>
          <w:lang w:val="es-ES" w:eastAsia="es-ES"/>
        </w:rPr>
        <w:t xml:space="preserve"> de 2024, en la cual manifiesta lo siguiente: </w:t>
      </w:r>
    </w:p>
    <w:p w14:paraId="5878F089" w14:textId="77777777" w:rsidR="000A2C08" w:rsidRPr="002E726E" w:rsidRDefault="000A2C08" w:rsidP="000A2C08">
      <w:pPr>
        <w:spacing w:after="0" w:line="276" w:lineRule="auto"/>
        <w:jc w:val="both"/>
        <w:rPr>
          <w:rFonts w:ascii="Verdana" w:eastAsia="Calibri" w:hAnsi="Verdana" w:cs="Arial"/>
          <w:lang w:val="es-ES" w:eastAsia="es-ES"/>
        </w:rPr>
      </w:pPr>
    </w:p>
    <w:p w14:paraId="32B0961B" w14:textId="0AD692C8" w:rsidR="000A2C08" w:rsidRPr="005B3F16" w:rsidRDefault="000A2C08" w:rsidP="000A2C08">
      <w:pPr>
        <w:autoSpaceDE w:val="0"/>
        <w:autoSpaceDN w:val="0"/>
        <w:adjustRightInd w:val="0"/>
        <w:spacing w:after="0" w:line="276" w:lineRule="auto"/>
        <w:ind w:left="709" w:right="709"/>
        <w:jc w:val="both"/>
        <w:rPr>
          <w:rFonts w:ascii="Verdana" w:hAnsi="Verdana" w:cs="Arial"/>
          <w:sz w:val="21"/>
          <w:szCs w:val="21"/>
        </w:rPr>
      </w:pPr>
      <w:bookmarkStart w:id="3" w:name="_Hlk95313578"/>
      <w:r w:rsidRPr="005B3F16">
        <w:rPr>
          <w:rFonts w:ascii="Verdana" w:hAnsi="Verdana" w:cs="Arial"/>
          <w:sz w:val="21"/>
          <w:szCs w:val="21"/>
        </w:rPr>
        <w:t>“</w:t>
      </w:r>
      <w:bookmarkEnd w:id="3"/>
      <w:r w:rsidRPr="00945DB0">
        <w:rPr>
          <w:rFonts w:ascii="Verdana" w:hAnsi="Verdana" w:cs="Arial"/>
          <w:sz w:val="21"/>
          <w:szCs w:val="21"/>
        </w:rPr>
        <w:t>EN UN PROCESO DE CONTRATACION QUE SE LIMITO A MIPYMES LUEGO DESER LIMITA POR LA ENTIDAD DEL ESTADO EN LA ENTREGA DE LAS</w:t>
      </w:r>
      <w:r>
        <w:rPr>
          <w:rFonts w:ascii="Verdana" w:hAnsi="Verdana" w:cs="Arial"/>
          <w:sz w:val="21"/>
          <w:szCs w:val="21"/>
        </w:rPr>
        <w:t xml:space="preserve"> </w:t>
      </w:r>
      <w:r w:rsidRPr="00945DB0">
        <w:rPr>
          <w:rFonts w:ascii="Verdana" w:hAnsi="Verdana" w:cs="Arial"/>
          <w:sz w:val="21"/>
          <w:szCs w:val="21"/>
        </w:rPr>
        <w:t>OFERTAS SE PRESENTO UNA EMPRESA QUE TENIA DE CONSTITUCION 4</w:t>
      </w:r>
      <w:r>
        <w:rPr>
          <w:rFonts w:ascii="Verdana" w:hAnsi="Verdana" w:cs="Arial"/>
          <w:sz w:val="21"/>
          <w:szCs w:val="21"/>
        </w:rPr>
        <w:t xml:space="preserve"> </w:t>
      </w:r>
      <w:r w:rsidRPr="00945DB0">
        <w:rPr>
          <w:rFonts w:ascii="Verdana" w:hAnsi="Verdana" w:cs="Arial"/>
          <w:sz w:val="21"/>
          <w:szCs w:val="21"/>
        </w:rPr>
        <w:t xml:space="preserve">MESES. LA PREGUNTA ES LA SIGUIENTE: </w:t>
      </w:r>
      <w:r w:rsidR="00827825" w:rsidRPr="00945DB0">
        <w:rPr>
          <w:rFonts w:ascii="Verdana" w:hAnsi="Verdana" w:cs="Arial"/>
          <w:sz w:val="21"/>
          <w:szCs w:val="21"/>
        </w:rPr>
        <w:t>¿PUEDE</w:t>
      </w:r>
      <w:r w:rsidRPr="00945DB0">
        <w:rPr>
          <w:rFonts w:ascii="Verdana" w:hAnsi="Verdana" w:cs="Arial"/>
          <w:sz w:val="21"/>
          <w:szCs w:val="21"/>
        </w:rPr>
        <w:t xml:space="preserve"> UNA EMPRESA DE</w:t>
      </w:r>
      <w:r>
        <w:rPr>
          <w:rFonts w:ascii="Verdana" w:hAnsi="Verdana" w:cs="Arial"/>
          <w:sz w:val="21"/>
          <w:szCs w:val="21"/>
        </w:rPr>
        <w:t xml:space="preserve"> </w:t>
      </w:r>
      <w:r w:rsidRPr="00945DB0">
        <w:rPr>
          <w:rFonts w:ascii="Verdana" w:hAnsi="Verdana" w:cs="Arial"/>
          <w:sz w:val="21"/>
          <w:szCs w:val="21"/>
        </w:rPr>
        <w:t>MENOS DE UN AÑO PRESENTAR SU OFERTA EN UN PROCESO DE</w:t>
      </w:r>
      <w:r>
        <w:rPr>
          <w:rFonts w:ascii="Verdana" w:hAnsi="Verdana" w:cs="Arial"/>
          <w:sz w:val="21"/>
          <w:szCs w:val="21"/>
        </w:rPr>
        <w:t xml:space="preserve"> </w:t>
      </w:r>
      <w:r w:rsidRPr="00945DB0">
        <w:rPr>
          <w:rFonts w:ascii="Verdana" w:hAnsi="Verdana" w:cs="Arial"/>
          <w:sz w:val="21"/>
          <w:szCs w:val="21"/>
        </w:rPr>
        <w:t xml:space="preserve">LIMITACION A MIPYMES YA QUE CUANDO SE LIMITA SE </w:t>
      </w:r>
      <w:r w:rsidRPr="00945DB0">
        <w:rPr>
          <w:rFonts w:ascii="Verdana" w:hAnsi="Verdana" w:cs="Arial"/>
          <w:sz w:val="21"/>
          <w:szCs w:val="21"/>
        </w:rPr>
        <w:lastRenderedPageBreak/>
        <w:t>APLICA LOS</w:t>
      </w:r>
      <w:r>
        <w:rPr>
          <w:rFonts w:ascii="Verdana" w:hAnsi="Verdana" w:cs="Arial"/>
          <w:sz w:val="21"/>
          <w:szCs w:val="21"/>
        </w:rPr>
        <w:t xml:space="preserve"> </w:t>
      </w:r>
      <w:r w:rsidRPr="00945DB0">
        <w:rPr>
          <w:rFonts w:ascii="Verdana" w:hAnsi="Verdana" w:cs="Arial"/>
          <w:sz w:val="21"/>
          <w:szCs w:val="21"/>
        </w:rPr>
        <w:t>DECRETOS 1082 DE 2015 MODIFICADO POR EL DECRETO 1870 DE 2021 Y DE</w:t>
      </w:r>
      <w:r>
        <w:rPr>
          <w:rFonts w:ascii="Verdana" w:hAnsi="Verdana" w:cs="Arial"/>
          <w:sz w:val="21"/>
          <w:szCs w:val="21"/>
        </w:rPr>
        <w:t xml:space="preserve"> </w:t>
      </w:r>
      <w:r w:rsidRPr="00945DB0">
        <w:rPr>
          <w:rFonts w:ascii="Verdana" w:hAnsi="Verdana" w:cs="Arial"/>
          <w:sz w:val="21"/>
          <w:szCs w:val="21"/>
        </w:rPr>
        <w:t>CONFORMIDAD EN EL ARTICULO 12 DE LA LEY 1250 DE 2007?</w:t>
      </w:r>
      <w:r>
        <w:rPr>
          <w:rFonts w:ascii="Verdana" w:hAnsi="Verdana" w:cs="Arial"/>
          <w:sz w:val="21"/>
          <w:szCs w:val="21"/>
        </w:rPr>
        <w:t>” (sic)</w:t>
      </w:r>
    </w:p>
    <w:p w14:paraId="3B7B5796" w14:textId="77777777" w:rsidR="000A2C08" w:rsidRPr="002E726E" w:rsidRDefault="000A2C08" w:rsidP="000A2C08">
      <w:pPr>
        <w:autoSpaceDE w:val="0"/>
        <w:autoSpaceDN w:val="0"/>
        <w:adjustRightInd w:val="0"/>
        <w:spacing w:after="0" w:line="276" w:lineRule="auto"/>
        <w:ind w:left="709" w:right="709"/>
        <w:jc w:val="both"/>
        <w:rPr>
          <w:rFonts w:ascii="Verdana" w:hAnsi="Verdana" w:cs="Arial"/>
          <w:sz w:val="21"/>
          <w:szCs w:val="21"/>
        </w:rPr>
      </w:pPr>
      <w:r w:rsidRPr="005B3F16">
        <w:rPr>
          <w:rFonts w:ascii="Verdana" w:eastAsia="Calibri" w:hAnsi="Verdana" w:cs="Arial"/>
          <w:sz w:val="21"/>
          <w:szCs w:val="21"/>
          <w:lang w:val="es-ES" w:eastAsia="es-ES"/>
        </w:rPr>
        <w:t xml:space="preserve"> </w:t>
      </w:r>
    </w:p>
    <w:p w14:paraId="05DBDDCD" w14:textId="77777777" w:rsidR="000A2C08" w:rsidRPr="005B3F16" w:rsidRDefault="000A2C08" w:rsidP="000A2C08">
      <w:pPr>
        <w:spacing w:after="120" w:line="276" w:lineRule="auto"/>
        <w:ind w:firstLine="709"/>
        <w:jc w:val="both"/>
        <w:rPr>
          <w:rFonts w:ascii="Verdana" w:eastAsia="Calibri" w:hAnsi="Verdana" w:cs="Arial"/>
          <w:szCs w:val="24"/>
          <w:lang w:val="es-ES_tradnl" w:eastAsia="es-ES_tradnl"/>
        </w:rPr>
      </w:pPr>
      <w:r w:rsidRPr="005B3F1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B3F16">
        <w:rPr>
          <w:rFonts w:ascii="Verdana" w:eastAsia="Calibri" w:hAnsi="Verdana" w:cs="Arial"/>
          <w:szCs w:val="24"/>
          <w:lang w:val="es-ES_tradnl" w:eastAsia="es-ES_tradnl"/>
        </w:rPr>
        <w:tab/>
      </w:r>
    </w:p>
    <w:p w14:paraId="5ED8BFD0" w14:textId="77777777" w:rsidR="000A2C08" w:rsidRPr="005B3F16" w:rsidRDefault="000A2C08" w:rsidP="000A2C08">
      <w:pPr>
        <w:spacing w:after="0" w:line="276" w:lineRule="auto"/>
        <w:ind w:firstLine="709"/>
        <w:jc w:val="both"/>
        <w:rPr>
          <w:rFonts w:ascii="Verdana" w:eastAsia="Calibri" w:hAnsi="Verdana" w:cs="Arial"/>
          <w:lang w:val="es-ES" w:eastAsia="es-ES"/>
        </w:rPr>
      </w:pPr>
      <w:r w:rsidRPr="005B3F1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C436D33" w14:textId="77777777" w:rsidR="000A2C08" w:rsidRPr="005B3F16" w:rsidRDefault="000A2C08" w:rsidP="000A2C08">
      <w:pPr>
        <w:spacing w:after="0" w:line="276" w:lineRule="auto"/>
        <w:ind w:firstLine="709"/>
        <w:jc w:val="both"/>
        <w:rPr>
          <w:rFonts w:ascii="Verdana" w:eastAsia="Calibri" w:hAnsi="Verdana" w:cs="Arial"/>
          <w:lang w:val="es-ES" w:eastAsia="es-ES"/>
        </w:rPr>
      </w:pPr>
    </w:p>
    <w:p w14:paraId="01C100D1" w14:textId="77777777" w:rsidR="000A2C08" w:rsidRPr="005B3F16" w:rsidRDefault="000A2C08" w:rsidP="000A2C0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B3F16">
        <w:rPr>
          <w:rFonts w:ascii="Verdana" w:eastAsia="Century Gothic" w:hAnsi="Verdana" w:cs="Century Gothic"/>
          <w:b/>
          <w:bCs/>
        </w:rPr>
        <w:t>Problema planteado:</w:t>
      </w:r>
    </w:p>
    <w:p w14:paraId="644909BF" w14:textId="77777777" w:rsidR="000A2C08" w:rsidRPr="005B3F16" w:rsidRDefault="000A2C08" w:rsidP="000A2C08">
      <w:pPr>
        <w:tabs>
          <w:tab w:val="left" w:pos="426"/>
        </w:tabs>
        <w:spacing w:after="0" w:line="276" w:lineRule="auto"/>
        <w:jc w:val="both"/>
        <w:rPr>
          <w:rFonts w:ascii="Verdana" w:eastAsia="Century Gothic" w:hAnsi="Verdana" w:cs="Century Gothic"/>
          <w:lang w:val="es-ES"/>
        </w:rPr>
      </w:pPr>
    </w:p>
    <w:p w14:paraId="6107CA97" w14:textId="77777777" w:rsidR="000A2C08" w:rsidRPr="005B3F16" w:rsidRDefault="000A2C08" w:rsidP="000A2C08">
      <w:pPr>
        <w:spacing w:after="0" w:line="276" w:lineRule="auto"/>
        <w:jc w:val="both"/>
        <w:rPr>
          <w:rFonts w:ascii="Verdana" w:eastAsia="Century Gothic" w:hAnsi="Verdana" w:cs="Century Gothic"/>
        </w:rPr>
      </w:pPr>
      <w:r w:rsidRPr="005B3F16">
        <w:rPr>
          <w:rFonts w:ascii="Verdana" w:eastAsia="Century Gothic" w:hAnsi="Verdana" w:cs="Century Gothic"/>
        </w:rPr>
        <w:t xml:space="preserve">De acuerdo con el contenido de su solicitud, esta Agencia resolverá el siguiente problema jurídico: </w:t>
      </w:r>
      <w:r w:rsidRPr="008D40C5">
        <w:rPr>
          <w:rFonts w:ascii="Verdana" w:eastAsia="Century Gothic" w:hAnsi="Verdana" w:cs="Century Gothic"/>
        </w:rPr>
        <w:t>¿</w:t>
      </w:r>
      <w:r w:rsidRPr="005307B9">
        <w:rPr>
          <w:rFonts w:ascii="Verdana" w:hAnsi="Verdana" w:cs="Arial"/>
          <w:sz w:val="21"/>
          <w:szCs w:val="21"/>
        </w:rPr>
        <w:t>Cuáles</w:t>
      </w:r>
      <w:r>
        <w:rPr>
          <w:rFonts w:ascii="Verdana" w:hAnsi="Verdana" w:cs="Arial"/>
          <w:sz w:val="21"/>
          <w:szCs w:val="21"/>
        </w:rPr>
        <w:t xml:space="preserve"> son los </w:t>
      </w:r>
      <w:r w:rsidRPr="00221EA7">
        <w:rPr>
          <w:rFonts w:ascii="Verdana" w:hAnsi="Verdana" w:cs="Arial"/>
          <w:sz w:val="21"/>
          <w:szCs w:val="21"/>
        </w:rPr>
        <w:t>criterios que debe seguir la entidad</w:t>
      </w:r>
      <w:r>
        <w:rPr>
          <w:rFonts w:ascii="Verdana" w:hAnsi="Verdana" w:cs="Arial"/>
          <w:sz w:val="21"/>
          <w:szCs w:val="21"/>
        </w:rPr>
        <w:t xml:space="preserve"> </w:t>
      </w:r>
      <w:r w:rsidRPr="00221EA7">
        <w:rPr>
          <w:rFonts w:ascii="Verdana" w:hAnsi="Verdana" w:cs="Arial"/>
          <w:sz w:val="21"/>
          <w:szCs w:val="21"/>
        </w:rPr>
        <w:t>contratante para</w:t>
      </w:r>
      <w:r>
        <w:rPr>
          <w:rFonts w:ascii="Verdana" w:hAnsi="Verdana" w:cs="Arial"/>
          <w:sz w:val="21"/>
          <w:szCs w:val="21"/>
        </w:rPr>
        <w:t xml:space="preserve"> limitar un</w:t>
      </w:r>
      <w:r w:rsidRPr="00221EA7">
        <w:rPr>
          <w:rFonts w:ascii="Verdana" w:hAnsi="Verdana" w:cs="Arial"/>
          <w:sz w:val="21"/>
          <w:szCs w:val="21"/>
        </w:rPr>
        <w:t xml:space="preserve"> proceso a Mipymes</w:t>
      </w:r>
      <w:r w:rsidRPr="008D40C5">
        <w:rPr>
          <w:rFonts w:ascii="Verdana" w:eastAsia="Century Gothic" w:hAnsi="Verdana" w:cs="Century Gothic"/>
        </w:rPr>
        <w:t>?</w:t>
      </w:r>
    </w:p>
    <w:p w14:paraId="02F3EA69" w14:textId="77777777" w:rsidR="000A2C08" w:rsidRPr="005B3F16" w:rsidRDefault="000A2C08" w:rsidP="000A2C08">
      <w:pPr>
        <w:spacing w:after="0" w:line="276" w:lineRule="auto"/>
        <w:jc w:val="both"/>
        <w:rPr>
          <w:rFonts w:ascii="Verdana" w:eastAsia="Calibri" w:hAnsi="Verdana" w:cs="Arial"/>
          <w:lang w:val="es-ES"/>
        </w:rPr>
      </w:pPr>
    </w:p>
    <w:p w14:paraId="627472AB" w14:textId="77777777" w:rsidR="000A2C08" w:rsidRPr="005B3F16" w:rsidRDefault="000A2C08" w:rsidP="000A2C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Respuesta:</w:t>
      </w:r>
    </w:p>
    <w:p w14:paraId="285FF0A1" w14:textId="77777777" w:rsidR="000A2C08" w:rsidRPr="005B3F16" w:rsidRDefault="000A2C08" w:rsidP="000A2C0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A2C08" w:rsidRPr="005B3F16" w14:paraId="06E386D8" w14:textId="77777777" w:rsidTr="00EF0037">
        <w:tc>
          <w:tcPr>
            <w:tcW w:w="8828" w:type="dxa"/>
            <w:shd w:val="clear" w:color="auto" w:fill="auto"/>
          </w:tcPr>
          <w:p w14:paraId="039F0731" w14:textId="77777777" w:rsidR="000A2C08" w:rsidRPr="009D1CA9" w:rsidRDefault="000A2C08" w:rsidP="00EF0037">
            <w:pPr>
              <w:spacing w:after="120" w:line="276" w:lineRule="auto"/>
              <w:jc w:val="both"/>
              <w:rPr>
                <w:rFonts w:ascii="Verdana" w:eastAsia="Century Gothic" w:hAnsi="Verdana" w:cs="Century Gothic"/>
              </w:rPr>
            </w:pPr>
            <w:r w:rsidRPr="0077109D">
              <w:rPr>
                <w:rFonts w:ascii="Verdana" w:eastAsia="Century Gothic" w:hAnsi="Verdana" w:cs="Century Gothic"/>
              </w:rPr>
              <w:t xml:space="preserve">El Decreto 1860 del 24 de diciembre de 2021 </w:t>
            </w:r>
            <w:r>
              <w:rPr>
                <w:rFonts w:ascii="Verdana" w:eastAsia="Century Gothic" w:hAnsi="Verdana" w:cs="Century Gothic"/>
              </w:rPr>
              <w:t>“</w:t>
            </w:r>
            <w:r w:rsidRPr="0077109D">
              <w:rPr>
                <w:rFonts w:ascii="Verdana" w:eastAsia="Century Gothic" w:hAnsi="Verdana" w:cs="Century Gothic"/>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Pr>
                <w:rFonts w:ascii="Verdana" w:eastAsia="Century Gothic" w:hAnsi="Verdana" w:cs="Century Gothic"/>
              </w:rPr>
              <w:t xml:space="preserve"> “</w:t>
            </w:r>
            <w:r w:rsidRPr="009C0942">
              <w:rPr>
                <w:rFonts w:ascii="Verdana" w:eastAsia="Century Gothic" w:hAnsi="Verdana" w:cs="Century Gothic"/>
                <w:lang w:val="es-ES_tradnl"/>
              </w:rPr>
              <w:t xml:space="preserve">señala que  todos los procesos de contratación, independientemente de la modalidad de selección, las entidades estatales, cualquiera que sea su régimen de contratación, los patrimonios autónomos constituidos por entidades estatales y los particulares que ejecuten recursos </w:t>
            </w:r>
            <w:r w:rsidRPr="009C0942">
              <w:rPr>
                <w:rFonts w:ascii="Verdana" w:eastAsia="Century Gothic" w:hAnsi="Verdana" w:cs="Century Gothic"/>
                <w:lang w:val="es-ES_tradnl"/>
              </w:rPr>
              <w:lastRenderedPageBreak/>
              <w:t xml:space="preserve">públicos, deberán limitar las convocatorias con pluralidad de oferentes a Mipymes colombianas, una vez concurran </w:t>
            </w:r>
            <w:r w:rsidRPr="00B36D4B">
              <w:rPr>
                <w:rFonts w:ascii="Verdana" w:eastAsia="Century Gothic" w:hAnsi="Verdana" w:cs="Century Gothic"/>
                <w:u w:val="single"/>
                <w:lang w:val="es-ES_tradnl"/>
              </w:rPr>
              <w:t>todos</w:t>
            </w:r>
            <w:r w:rsidRPr="009C0942">
              <w:rPr>
                <w:rFonts w:ascii="Verdana" w:eastAsia="Century Gothic" w:hAnsi="Verdana" w:cs="Century Gothic"/>
                <w:lang w:val="es-ES_tradnl"/>
              </w:rPr>
              <w:t xml:space="preserve"> los requisitos</w:t>
            </w:r>
            <w:r>
              <w:rPr>
                <w:rFonts w:ascii="Verdana" w:eastAsia="Century Gothic" w:hAnsi="Verdana" w:cs="Century Gothic"/>
                <w:lang w:val="es-ES_tradnl"/>
              </w:rPr>
              <w:t xml:space="preserve"> indicados en la norma </w:t>
            </w:r>
            <w:r w:rsidRPr="009C0942">
              <w:rPr>
                <w:rFonts w:ascii="Verdana" w:eastAsia="Century Gothic" w:hAnsi="Verdana" w:cs="Century Gothic"/>
                <w:lang w:val="es-ES_tradnl"/>
              </w:rPr>
              <w:t>y siempre que cuenten con mínimo un (1) año de existencia.</w:t>
            </w:r>
          </w:p>
        </w:tc>
      </w:tr>
    </w:tbl>
    <w:p w14:paraId="61B8CE1B" w14:textId="77777777" w:rsidR="000A2C08" w:rsidRPr="005B3F16" w:rsidRDefault="000A2C08" w:rsidP="000A2C08">
      <w:pPr>
        <w:tabs>
          <w:tab w:val="left" w:pos="142"/>
          <w:tab w:val="left" w:pos="284"/>
        </w:tabs>
        <w:spacing w:after="0" w:line="276" w:lineRule="auto"/>
        <w:jc w:val="both"/>
        <w:rPr>
          <w:rFonts w:ascii="Verdana" w:eastAsia="Century Gothic" w:hAnsi="Verdana" w:cs="Century Gothic"/>
          <w:b/>
          <w:bCs/>
          <w:lang w:val="es-ES"/>
        </w:rPr>
      </w:pPr>
    </w:p>
    <w:p w14:paraId="09C7C026" w14:textId="77777777" w:rsidR="000A2C08" w:rsidRPr="005B3F16" w:rsidRDefault="000A2C08" w:rsidP="000A2C08">
      <w:pPr>
        <w:spacing w:after="120" w:line="276" w:lineRule="auto"/>
        <w:ind w:firstLine="708"/>
        <w:jc w:val="both"/>
        <w:rPr>
          <w:rFonts w:ascii="Verdana" w:hAnsi="Verdana" w:cs="Arial"/>
          <w:color w:val="000000" w:themeColor="text1"/>
        </w:rPr>
      </w:pPr>
      <w:r w:rsidRPr="005B3F16">
        <w:rPr>
          <w:rFonts w:ascii="Verdana" w:eastAsia="Century Gothic" w:hAnsi="Verdana" w:cs="Century Gothic"/>
          <w:b/>
          <w:bCs/>
        </w:rPr>
        <w:t>Razones de la respuesta:</w:t>
      </w:r>
      <w:r w:rsidRPr="005B3F16">
        <w:rPr>
          <w:rFonts w:ascii="Verdana" w:hAnsi="Verdana" w:cs="Arial"/>
          <w:color w:val="000000" w:themeColor="text1"/>
        </w:rPr>
        <w:t xml:space="preserve"> </w:t>
      </w:r>
    </w:p>
    <w:p w14:paraId="4F231937" w14:textId="77777777" w:rsidR="000A2C08" w:rsidRDefault="000A2C08" w:rsidP="000A2C08">
      <w:pPr>
        <w:spacing w:after="120" w:line="276" w:lineRule="auto"/>
        <w:ind w:firstLine="708"/>
        <w:jc w:val="both"/>
        <w:rPr>
          <w:rFonts w:ascii="Verdana" w:eastAsia="Calibri" w:hAnsi="Verdana" w:cs="Arial"/>
          <w:lang w:val="es-ES"/>
        </w:rPr>
      </w:pPr>
      <w:r w:rsidRPr="005B3F16">
        <w:rPr>
          <w:rFonts w:ascii="Verdana" w:eastAsia="Calibri" w:hAnsi="Verdana" w:cs="Arial"/>
          <w:lang w:val="es-ES"/>
        </w:rPr>
        <w:t>Lo anterior se sustenta en las siguientes consideraciones:</w:t>
      </w:r>
    </w:p>
    <w:p w14:paraId="108B41A7" w14:textId="77777777" w:rsidR="000A2C08" w:rsidRDefault="000A2C08" w:rsidP="000A2C08">
      <w:pPr>
        <w:spacing w:after="120" w:line="276" w:lineRule="auto"/>
        <w:ind w:firstLine="708"/>
        <w:jc w:val="both"/>
        <w:rPr>
          <w:rFonts w:ascii="Verdana" w:eastAsia="Calibri" w:hAnsi="Verdana" w:cs="Arial"/>
          <w:lang w:val="es-ES"/>
        </w:rPr>
      </w:pPr>
    </w:p>
    <w:p w14:paraId="49626202"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t>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reglamento entre otras cosas las convocatorias limitadas a Mipyme. De esta manera, el artículo 5 modifico los artículos 2.2.1.2.4.2.2., 2.2.1.2.4.2.3. y 2.2.1.2.4.2.4. de la Subsección 2 de la Sección 4 del Capítulo 2 del Título 1 de la Parte 2 del Libro 2 del Decreto 1082 de 2015, por lo que reglamenta este asunto con fundamento en lo establecido en el artículo 34 de la Ley 2069 de 2020.</w:t>
      </w:r>
    </w:p>
    <w:p w14:paraId="5E56C55C"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t xml:space="preserve">Teniendo en cuenta lo anterior, la nueva Subsección 2 a que se hizo referencia contiene los siguientes artículos: i) 2.2.1.2.4.2.2. que consagra los requisitos para limitar la convocatoria de los procesos de contratación con pluralidad de oferentes a las Mipyme colombianas con mínimo un (1) año de existencia, ii) 2.2.1.2.4.2.3. que desarrolla las convocatorias limitadas a Mipyme colombianas que tengan domicilio en los departamentos o municipios en donde se va a ejecutar el contrato, y </w:t>
      </w:r>
      <w:proofErr w:type="spellStart"/>
      <w:r w:rsidRPr="5860ED9E">
        <w:rPr>
          <w:rFonts w:ascii="Verdana" w:eastAsia="Calibri" w:hAnsi="Verdana" w:cs="Arial"/>
        </w:rPr>
        <w:t>iii</w:t>
      </w:r>
      <w:proofErr w:type="spellEnd"/>
      <w:r w:rsidRPr="5860ED9E">
        <w:rPr>
          <w:rFonts w:ascii="Verdana" w:eastAsia="Calibri" w:hAnsi="Verdana" w:cs="Arial"/>
        </w:rPr>
        <w:t>) 2.2.1.2.4.2.4. que regula la acreditación de requisitos para participar en convocatorias limitadas.</w:t>
      </w:r>
    </w:p>
    <w:p w14:paraId="41DE4412"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t>El artículo 5 del Decreto 1860 de 2021, que modifica los artículos del Decreto 1082 de 2015 expuestos en el párrafo anterior, constituye la reglamentación del artículo 34 de la Ley 2069 de 2020, al desarrollar las reglas aplicables a las convocatorias limitadas a Mipyme. En este sentido, las disposiciones anteriores constituyen la nueva regulación de las convocatorias limitadas a Mipyme.</w:t>
      </w:r>
    </w:p>
    <w:p w14:paraId="06E644BA"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lastRenderedPageBreak/>
        <w:t>Por su parte, el artículo 8 del Decreto 1860 del 24 de diciembre de 2021 sometió a un plazo la entrada en vigencia de sus disposiciones, al señalar que “aplicarán a los procedimientos de selección cuya invitación, aviso de convocatoria o documento equivalente se publique a los tres (3) meses contados a partir de su expedición”. En consecuencia, actualmente las entidades estatales, los patrimonios autónomos constituidos por estas y los particulares que ejecuten recursos públicos, pueden adoptar convocatorias limitadas a Mipymes, puesto que el artículo 5 del Decreto 1860 de 2021 que modifica los artículos 2.2.1.2.4.2.2., 2.2.1.2.4.2.3. y 2.2.1.2.4.2.4. del Decreto 1082 de 2015 entró en vigencia a partir del 24 de marzo de 2022 y, como se explicó, las disposiciones originales del Decreto 1082 de 2015 que regulaban este asunto perdieron vigencia con ocasión de la expedición de la Ley 2069 de 2020.</w:t>
      </w:r>
    </w:p>
    <w:p w14:paraId="4AE75369"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t>Precisado lo anterior, conviene realizar el análisis de los requisitos para limitar la convocatoria de los procesos de contratación a las Mipyme colombianas, así como la acreditación de los requisitos para participar en dichas convocatorias tratándose de persona natural y persona jurídica conforme a las modificaciones del Decreto 1860 de 2021.</w:t>
      </w:r>
    </w:p>
    <w:p w14:paraId="2777B3B2"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t xml:space="preserve">El artículo 2.2.1.2.4.2.2. del Decreto 1082 de 2015 –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indica lo siguiente: 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w:t>
      </w:r>
      <w:r w:rsidRPr="5860ED9E">
        <w:rPr>
          <w:rFonts w:ascii="Verdana" w:eastAsia="Calibri" w:hAnsi="Verdana" w:cs="Arial"/>
        </w:rPr>
        <w:lastRenderedPageBreak/>
        <w:t xml:space="preserve">con mínimo un (1) año de existencia, cuando concurran los siguientes requisitos: </w:t>
      </w:r>
    </w:p>
    <w:p w14:paraId="36357142" w14:textId="77777777" w:rsidR="000A2C08" w:rsidRDefault="000A2C08" w:rsidP="000A2C08">
      <w:pPr>
        <w:pStyle w:val="Prrafodelista"/>
        <w:spacing w:after="120" w:line="276" w:lineRule="auto"/>
        <w:ind w:left="1428"/>
        <w:jc w:val="both"/>
        <w:rPr>
          <w:rFonts w:ascii="Verdana" w:eastAsia="Calibri" w:hAnsi="Verdana" w:cs="Arial"/>
          <w:lang w:val="es-ES_tradnl"/>
        </w:rPr>
      </w:pPr>
    </w:p>
    <w:p w14:paraId="3B46B04B" w14:textId="77777777" w:rsidR="000A2C08" w:rsidRPr="00997480" w:rsidRDefault="000A2C08" w:rsidP="000A2C08">
      <w:pPr>
        <w:pStyle w:val="Prrafodelista"/>
        <w:spacing w:after="120" w:line="276" w:lineRule="auto"/>
        <w:ind w:left="1428"/>
        <w:jc w:val="both"/>
        <w:rPr>
          <w:rFonts w:ascii="Verdana" w:eastAsia="Calibri" w:hAnsi="Verdana" w:cs="Arial"/>
          <w:sz w:val="21"/>
          <w:szCs w:val="21"/>
          <w:lang w:val="es-ES_tradnl"/>
        </w:rPr>
      </w:pPr>
      <w:r w:rsidRPr="00997480">
        <w:rPr>
          <w:rFonts w:ascii="Verdana" w:eastAsia="Calibri" w:hAnsi="Verdana"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21E5F362" w14:textId="77777777" w:rsidR="000A2C08" w:rsidRPr="00997480" w:rsidRDefault="000A2C08" w:rsidP="000A2C08">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0DB6AAAE" w14:textId="77777777" w:rsidR="000A2C08" w:rsidRDefault="000A2C08" w:rsidP="000A2C08">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Parágrafo. Las cooperativas y demás entidades de economía solidaria, siempre que tengan la calidad de Mipyme, podrán solicitar y participar en las convocatorias limitadas en las mismas condiciones dispuestas en el presente artículo”.</w:t>
      </w:r>
    </w:p>
    <w:p w14:paraId="33BE91E7" w14:textId="77777777" w:rsidR="000A2C08" w:rsidRPr="00997480" w:rsidRDefault="000A2C08" w:rsidP="000A2C08">
      <w:pPr>
        <w:pStyle w:val="Prrafodelista"/>
        <w:numPr>
          <w:ilvl w:val="0"/>
          <w:numId w:val="18"/>
        </w:numPr>
        <w:spacing w:after="120" w:line="276" w:lineRule="auto"/>
        <w:jc w:val="both"/>
        <w:rPr>
          <w:rFonts w:ascii="Verdana" w:eastAsia="Calibri" w:hAnsi="Verdana" w:cs="Arial"/>
          <w:sz w:val="21"/>
          <w:szCs w:val="21"/>
        </w:rPr>
      </w:pPr>
      <w:r w:rsidRPr="5860ED9E">
        <w:rPr>
          <w:rFonts w:ascii="Verdana" w:eastAsia="Calibri" w:hAnsi="Verdana" w:cs="Arial"/>
        </w:rPr>
        <w:t xml:space="preserve">Según se evidencia, el numeral primero limita cuantitativamente los procesos contractuales que son susceptibles de limitarse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w:t>
      </w:r>
      <w:proofErr w:type="gramStart"/>
      <w:r w:rsidRPr="5860ED9E">
        <w:rPr>
          <w:rFonts w:ascii="Verdana" w:eastAsia="Calibri" w:hAnsi="Verdana" w:cs="Arial"/>
        </w:rPr>
        <w:t>Turismo .</w:t>
      </w:r>
      <w:proofErr w:type="gramEnd"/>
      <w:r w:rsidRPr="5860ED9E">
        <w:rPr>
          <w:rFonts w:ascii="Verdana" w:eastAsia="Calibri" w:hAnsi="Verdana" w:cs="Arial"/>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del proceso de contratación. Además, la norma señala que, tratándose de personas jurídicas, las solicitudes solo las podrán realizar Mipyme, cuyo objeto social les permita ejecutar el contrato relacionado con el proceso contractual. Así mismo, este artículo incluye a las cooperativas y demás entidades de economía solidaria dentro de </w:t>
      </w:r>
      <w:r w:rsidRPr="5860ED9E">
        <w:rPr>
          <w:rFonts w:ascii="Verdana" w:eastAsia="Calibri" w:hAnsi="Verdana" w:cs="Arial"/>
        </w:rPr>
        <w:lastRenderedPageBreak/>
        <w:t xml:space="preserve">los sujetos que pueden solicitar y participar en las convocatorias limitadas a Mipyme, siempre que estas cumplan con las condiciones señaladas en el artículo. </w:t>
      </w:r>
    </w:p>
    <w:p w14:paraId="30F029B4" w14:textId="77777777" w:rsidR="000A2C08" w:rsidRPr="002C13E7" w:rsidRDefault="000A2C08" w:rsidP="000A2C08">
      <w:pPr>
        <w:pStyle w:val="Prrafodelista"/>
        <w:numPr>
          <w:ilvl w:val="0"/>
          <w:numId w:val="18"/>
        </w:numPr>
        <w:spacing w:after="120" w:line="276" w:lineRule="auto"/>
        <w:jc w:val="both"/>
        <w:rPr>
          <w:rFonts w:ascii="Verdana" w:eastAsia="Calibri" w:hAnsi="Verdana" w:cs="Arial"/>
          <w:sz w:val="21"/>
          <w:szCs w:val="21"/>
        </w:rPr>
      </w:pPr>
      <w:r w:rsidRPr="5860ED9E">
        <w:rPr>
          <w:rFonts w:ascii="Verdana" w:eastAsia="Calibri" w:hAnsi="Verdana" w:cs="Arial"/>
        </w:rPr>
        <w:t xml:space="preserve">De otro lado, en relación con la acreditación de requisitos para participar en convocatorias limitadas, el artículo 2.2.1.2.4.2.4. del Decreto 1082 de 2015 –modificado por el Decreto 1860 de 2021–, establece lo siguiente: Artículo 2.2.1.2.4.2.4. Acreditación de requisitos para participar en convocatorias limitadas. La Mipyme colombianas deben acreditar que tiene el tamaño empresarial establecido por la ley de la siguiente manera: </w:t>
      </w:r>
    </w:p>
    <w:p w14:paraId="087CAF9E" w14:textId="77777777" w:rsidR="000A2C08" w:rsidRDefault="000A2C08" w:rsidP="000A2C08">
      <w:pPr>
        <w:pStyle w:val="Prrafodelista"/>
        <w:spacing w:after="120" w:line="276" w:lineRule="auto"/>
        <w:ind w:left="1428"/>
        <w:jc w:val="both"/>
        <w:rPr>
          <w:rFonts w:ascii="Verdana" w:eastAsia="Calibri" w:hAnsi="Verdana" w:cs="Arial"/>
          <w:lang w:val="es-ES_tradnl"/>
        </w:rPr>
      </w:pPr>
    </w:p>
    <w:p w14:paraId="3269EFFB" w14:textId="77777777" w:rsidR="000A2C08" w:rsidRDefault="000A2C08" w:rsidP="000A2C08">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t xml:space="preserve">“1. Las personas naturales mediante certificación expedida por ellos y un contador público, adjuntando copia del registro mercantil. </w:t>
      </w:r>
    </w:p>
    <w:p w14:paraId="252830C6" w14:textId="77777777" w:rsidR="000A2C08" w:rsidRDefault="000A2C08" w:rsidP="000A2C08">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11E3E570" w14:textId="77777777" w:rsidR="000A2C08" w:rsidRDefault="000A2C08" w:rsidP="000A2C08">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Parágrafo 1. En todo caso, las Mipyme también podrán acreditar esta condición con la copia del certificado del Registro Único de Proponentes, el cual deberá encontrarse vigente y en firme al momento de su presentación.</w:t>
      </w:r>
    </w:p>
    <w:p w14:paraId="6EE5B46E" w14:textId="77777777" w:rsidR="000A2C08" w:rsidRDefault="000A2C08" w:rsidP="000A2C08">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7D47C962" w14:textId="77777777" w:rsidR="000A2C08" w:rsidRDefault="000A2C08" w:rsidP="000A2C08">
      <w:pPr>
        <w:pStyle w:val="Prrafodelista"/>
        <w:spacing w:after="120" w:line="276" w:lineRule="auto"/>
        <w:ind w:left="1428"/>
        <w:jc w:val="both"/>
        <w:rPr>
          <w:rFonts w:ascii="Verdana" w:eastAsia="Calibri" w:hAnsi="Verdana" w:cs="Arial"/>
          <w:sz w:val="21"/>
          <w:szCs w:val="21"/>
        </w:rPr>
      </w:pPr>
      <w:r w:rsidRPr="5860ED9E">
        <w:rPr>
          <w:rFonts w:ascii="Verdana" w:eastAsia="Calibri" w:hAnsi="Verdana" w:cs="Arial"/>
          <w:sz w:val="21"/>
          <w:szCs w:val="21"/>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14:paraId="4605A452" w14:textId="77777777" w:rsidR="000A2C08" w:rsidRPr="002C13E7" w:rsidRDefault="000A2C08" w:rsidP="000A2C08">
      <w:pPr>
        <w:pStyle w:val="Prrafodelista"/>
        <w:spacing w:after="120" w:line="276" w:lineRule="auto"/>
        <w:ind w:left="1428"/>
        <w:jc w:val="both"/>
        <w:rPr>
          <w:rFonts w:ascii="Verdana" w:eastAsia="Calibri" w:hAnsi="Verdana" w:cs="Arial"/>
          <w:sz w:val="21"/>
          <w:szCs w:val="21"/>
          <w:lang w:val="es-ES_tradnl"/>
        </w:rPr>
      </w:pPr>
      <w:r w:rsidRPr="002C13E7">
        <w:rPr>
          <w:rFonts w:ascii="Verdana" w:eastAsia="Calibri" w:hAnsi="Verdana" w:cs="Arial"/>
          <w:sz w:val="21"/>
          <w:szCs w:val="21"/>
          <w:lang w:val="es-ES_tradnl"/>
        </w:rPr>
        <w:t xml:space="preserve">Parágrafo 4. Los incentivos previstos en los artículos 2.2.1.2.4.2.2 y 2.2.1.2.4.2.3 de este Decreto no excluyen la aplicación de los criterios </w:t>
      </w:r>
      <w:r w:rsidRPr="002C13E7">
        <w:rPr>
          <w:rFonts w:ascii="Verdana" w:eastAsia="Calibri" w:hAnsi="Verdana" w:cs="Arial"/>
          <w:sz w:val="21"/>
          <w:szCs w:val="21"/>
          <w:lang w:val="es-ES_tradnl"/>
        </w:rPr>
        <w:lastRenderedPageBreak/>
        <w:t>diferenciales para los emprendimientos y empresas de mujeres en el sistema de compras públicas. (Cursiva fuera del original)”.</w:t>
      </w:r>
    </w:p>
    <w:p w14:paraId="617DB108" w14:textId="77777777" w:rsidR="000A2C08" w:rsidRPr="000F26BC" w:rsidRDefault="000A2C08" w:rsidP="000A2C08">
      <w:pPr>
        <w:spacing w:after="120" w:line="276" w:lineRule="auto"/>
        <w:ind w:firstLine="708"/>
        <w:jc w:val="both"/>
        <w:rPr>
          <w:rFonts w:ascii="Verdana" w:eastAsia="Calibri" w:hAnsi="Verdana" w:cs="Arial"/>
          <w:lang w:val="es-ES_tradnl"/>
        </w:rPr>
      </w:pPr>
    </w:p>
    <w:p w14:paraId="2DFD788B"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t>Para analizar el alcance de esta norma, resulta de especial relevancia determinar la definición y clasificación de las Mipyme conforme al marco jurídico que lo regula. Así, de conformidad con el artículo 2 de La Ley 905 de 2004, modificado por el artículo 43 de la Ley 1450 de 2011, se entiende por empresa «toda unidad de explotación económica, realizada por persona natural o jurídica en actividades agropecuarias, industriales, comerciales o de servicios, en el área rural o urbana». Para la clasificación por tamaño empresarial, como micro, pequeña, mediana y gran empresa, la norma dispone que se podrá utilizar uno de los siguientes criterios: «1. Número de trabajadores totales. 2. Valor de ventas brutas anuales. 3. Valor activos totales». Asimismo, estableció que el gobierno nacional reglamentará los rangos que aplicará para los tres criterios e incluirá especificidades sectoriales en los casos que lo considere necesario.</w:t>
      </w:r>
    </w:p>
    <w:p w14:paraId="700630E7"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t>Para tales efectos, el Decreto 957 de 2019, que adicionó al Decreto 1074 de 2015, reglamentó la clasificación de las micro, pequeñas, medianas y grandes empresas, teniendo en cuenta para ello como criterio exclusivo el de ventas brutas, asimilado al de ingresos por actividades ordinarias anuales. En tal sentido, el artículo 2.2.1.13.2.2 de este decreto definió rangos para determinar el valor de los ingresos por actividades ordinarias anuales de acuerdo con el sector económico que se trate. Para la aplicación de los incentivos en el sistema de compras públicas, el parágrafo del artículo 2.2.1.13.2.4. ibidem dispuso que la acreditación del tamaño empresarial se efectuará de acuerdo con lo previsto en el artículo 2.2.1.2.4.2.4 del Decreto 1082 de 2015 y demás normas que lo aclaren, modifiquen o adicionen.</w:t>
      </w:r>
    </w:p>
    <w:p w14:paraId="388F07E7" w14:textId="77777777" w:rsidR="000A2C08"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t xml:space="preserve">De esta manera, las empresas, sea persona natural o persona jurídica, deberán acreditar el tamaño empresarial como micro, pequeña y mediana empresa, de acuerdo con el valor de los ingresos por actividades ordinarias, teniendo en cuenta el sector económico que se trate y de acuerdo con los rangos definidos en el Decreto 1074 de 2015. </w:t>
      </w:r>
    </w:p>
    <w:p w14:paraId="622EF7AA" w14:textId="77777777" w:rsidR="000A2C08" w:rsidRPr="00AB1685" w:rsidRDefault="000A2C08" w:rsidP="000A2C08">
      <w:pPr>
        <w:pStyle w:val="Prrafodelista"/>
        <w:numPr>
          <w:ilvl w:val="0"/>
          <w:numId w:val="18"/>
        </w:numPr>
        <w:spacing w:after="120" w:line="276" w:lineRule="auto"/>
        <w:jc w:val="both"/>
        <w:rPr>
          <w:rFonts w:ascii="Verdana" w:eastAsia="Calibri" w:hAnsi="Verdana" w:cs="Arial"/>
        </w:rPr>
      </w:pPr>
      <w:r w:rsidRPr="5860ED9E">
        <w:rPr>
          <w:rFonts w:ascii="Verdana" w:eastAsia="Calibri" w:hAnsi="Verdana" w:cs="Arial"/>
        </w:rPr>
        <w:lastRenderedPageBreak/>
        <w:t>Ahora bien, como se indicó en líneas anteriores, para efectos de las convocatorias limitadas a Mipyme colombianas del sistema de compras públicas, el artículo 2.2.1.2.4.2.4 del Decreto 1082 de 2015 –modificado por el Decreto 1860 de 2021– determina la forma en la que se debe acreditar el tamaño empresarial, tratándose de persona natural y persona jurídica. Esta acreditación se debe realizar tanto para solicitar la limitación de la convocatoria como para participar en el proceso de selección una vez esta se haya limitado a Mipyme.</w:t>
      </w:r>
    </w:p>
    <w:p w14:paraId="3EE0314A" w14:textId="77777777" w:rsidR="000A2C08" w:rsidRPr="005B3F16" w:rsidRDefault="000A2C08" w:rsidP="000A2C08">
      <w:pPr>
        <w:spacing w:after="0" w:line="276" w:lineRule="auto"/>
        <w:jc w:val="both"/>
        <w:rPr>
          <w:rFonts w:ascii="Verdana" w:eastAsia="Calibri" w:hAnsi="Verdana" w:cs="Arial"/>
          <w:lang w:val="es-ES"/>
        </w:rPr>
      </w:pPr>
    </w:p>
    <w:p w14:paraId="39CFB960" w14:textId="77777777" w:rsidR="000A2C08" w:rsidRPr="005B3F16" w:rsidRDefault="000A2C08" w:rsidP="000A2C08">
      <w:pPr>
        <w:widowControl w:val="0"/>
        <w:autoSpaceDE w:val="0"/>
        <w:autoSpaceDN w:val="0"/>
        <w:spacing w:after="0" w:line="276" w:lineRule="auto"/>
        <w:jc w:val="both"/>
        <w:rPr>
          <w:rFonts w:ascii="Verdana" w:hAnsi="Verdana" w:cs="Arial"/>
        </w:rPr>
      </w:pPr>
    </w:p>
    <w:p w14:paraId="71077B61" w14:textId="77777777" w:rsidR="000A2C08" w:rsidRDefault="000A2C08" w:rsidP="000A2C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Referencias normativas, jurisprudenciales y otras fuentes:</w:t>
      </w:r>
    </w:p>
    <w:p w14:paraId="47151A78" w14:textId="77777777" w:rsidR="000A2C08" w:rsidRPr="005B3F16" w:rsidRDefault="000A2C08" w:rsidP="000A2C0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0FA54C88" w14:textId="77777777" w:rsidR="000A2C08" w:rsidRPr="005B3F16" w:rsidRDefault="000A2C08" w:rsidP="000A2C0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A2C08" w:rsidRPr="005B3F16" w14:paraId="56C798EE" w14:textId="77777777" w:rsidTr="00EF0037">
        <w:trPr>
          <w:trHeight w:val="870"/>
        </w:trPr>
        <w:tc>
          <w:tcPr>
            <w:tcW w:w="8647" w:type="dxa"/>
          </w:tcPr>
          <w:p w14:paraId="5375B633" w14:textId="77777777" w:rsidR="000A2C08" w:rsidRPr="00954FFD" w:rsidRDefault="000A2C08" w:rsidP="000A2C08">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color w:val="000000" w:themeColor="text1"/>
                <w:lang w:val="es-ES_tradnl"/>
              </w:rPr>
              <w:t>Decreto 1860 de 2021</w:t>
            </w:r>
            <w:r>
              <w:rPr>
                <w:rFonts w:ascii="Verdana" w:hAnsi="Verdana" w:cs="Arial"/>
                <w:color w:val="000000" w:themeColor="text1"/>
                <w:lang w:val="es-ES_tradnl"/>
              </w:rPr>
              <w:t xml:space="preserve"> artículo 5 </w:t>
            </w:r>
          </w:p>
          <w:p w14:paraId="65DBB697" w14:textId="77777777" w:rsidR="000A2C08" w:rsidRPr="002E53D2" w:rsidRDefault="000A2C08" w:rsidP="000A2C08">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color w:val="000000" w:themeColor="text1"/>
                <w:lang w:val="es-ES_tradnl"/>
              </w:rPr>
              <w:t>Ley 1150 de 2007</w:t>
            </w:r>
            <w:r>
              <w:rPr>
                <w:rFonts w:ascii="Verdana" w:hAnsi="Verdana" w:cs="Arial"/>
                <w:color w:val="000000" w:themeColor="text1"/>
                <w:lang w:val="es-ES_tradnl"/>
              </w:rPr>
              <w:t xml:space="preserve"> artículo 12.</w:t>
            </w:r>
            <w:r w:rsidRPr="00AB1685">
              <w:rPr>
                <w:rFonts w:ascii="Verdana" w:eastAsia="Calibri" w:hAnsi="Verdana" w:cs="Arial"/>
                <w:lang w:val="es-ES_tradnl"/>
              </w:rPr>
              <w:t xml:space="preserve"> </w:t>
            </w:r>
          </w:p>
          <w:p w14:paraId="38F8A68F" w14:textId="77777777" w:rsidR="000A2C08" w:rsidRPr="002E53D2" w:rsidRDefault="000A2C08" w:rsidP="000A2C08">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AB1685">
              <w:rPr>
                <w:rFonts w:ascii="Verdana" w:eastAsia="Calibri" w:hAnsi="Verdana" w:cs="Arial"/>
                <w:lang w:val="es-ES_tradnl"/>
              </w:rPr>
              <w:t>Decreto 1082 de 2015 artículo</w:t>
            </w:r>
            <w:r>
              <w:rPr>
                <w:rFonts w:ascii="Verdana" w:eastAsia="Calibri" w:hAnsi="Verdana" w:cs="Arial"/>
                <w:lang w:val="es-ES_tradnl"/>
              </w:rPr>
              <w:t xml:space="preserve">s, </w:t>
            </w:r>
            <w:r w:rsidRPr="00B92534">
              <w:rPr>
                <w:rFonts w:ascii="Verdana" w:eastAsia="Calibri" w:hAnsi="Verdana" w:cs="Arial"/>
                <w:lang w:val="es-ES_tradnl"/>
              </w:rPr>
              <w:t>2.2.1.2.4.2.2., 2.2.1.2.4.2.3</w:t>
            </w:r>
            <w:r w:rsidRPr="00AB1685">
              <w:rPr>
                <w:rFonts w:ascii="Verdana" w:eastAsia="Calibri" w:hAnsi="Verdana" w:cs="Arial"/>
                <w:lang w:val="es-ES_tradnl"/>
              </w:rPr>
              <w:t xml:space="preserve"> 2.2.1.2.4.2.4</w:t>
            </w:r>
            <w:r>
              <w:rPr>
                <w:rFonts w:ascii="Verdana" w:eastAsia="Calibri" w:hAnsi="Verdana" w:cs="Arial"/>
                <w:lang w:val="es-ES_tradnl"/>
              </w:rPr>
              <w:t>.</w:t>
            </w:r>
            <w:r w:rsidRPr="002C13E7">
              <w:rPr>
                <w:rFonts w:ascii="Verdana" w:eastAsia="Calibri" w:hAnsi="Verdana" w:cs="Arial"/>
                <w:lang w:val="es-ES_tradnl"/>
              </w:rPr>
              <w:t xml:space="preserve"> </w:t>
            </w:r>
          </w:p>
          <w:p w14:paraId="361A7E69" w14:textId="77777777" w:rsidR="000A2C08" w:rsidRPr="005B3F16" w:rsidRDefault="000A2C08" w:rsidP="000A2C08">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2C13E7">
              <w:rPr>
                <w:rFonts w:ascii="Verdana" w:eastAsia="Calibri" w:hAnsi="Verdana" w:cs="Arial"/>
                <w:lang w:val="es-ES_tradnl"/>
              </w:rPr>
              <w:t>Ley 1450 de 2011</w:t>
            </w:r>
            <w:r>
              <w:rPr>
                <w:rFonts w:ascii="Verdana" w:eastAsia="Calibri" w:hAnsi="Verdana" w:cs="Arial"/>
                <w:lang w:val="es-ES_tradnl"/>
              </w:rPr>
              <w:t xml:space="preserve"> artículo 43. </w:t>
            </w:r>
          </w:p>
          <w:p w14:paraId="31706068" w14:textId="77777777" w:rsidR="000A2C08" w:rsidRPr="005B3F16" w:rsidRDefault="000A2C08" w:rsidP="000A2C08">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rPr>
              <w:t xml:space="preserve">Circular Externa Única del 27 de diciembre de 2023. Disponible en: </w:t>
            </w:r>
            <w:hyperlink r:id="rId12" w:history="1">
              <w:r w:rsidRPr="005B3F16">
                <w:rPr>
                  <w:rStyle w:val="Hipervnculo"/>
                  <w:rFonts w:ascii="Verdana" w:hAnsi="Verdana" w:cs="Arial"/>
                </w:rPr>
                <w:t>https://www.colombiacompra.gov.co/sites/cce_public/files/cce_circulares/circular_externa_unica_version_3_vf49.pdf</w:t>
              </w:r>
            </w:hyperlink>
            <w:r w:rsidRPr="005B3F16">
              <w:rPr>
                <w:rFonts w:ascii="Verdana" w:hAnsi="Verdana" w:cs="Arial"/>
              </w:rPr>
              <w:t xml:space="preserve"> </w:t>
            </w:r>
          </w:p>
          <w:p w14:paraId="3F2F3C97" w14:textId="77777777" w:rsidR="000A2C08" w:rsidRPr="005B3F16" w:rsidRDefault="000A2C08" w:rsidP="000A2C08">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Resolución </w:t>
            </w:r>
            <w:r w:rsidRPr="005B3F16">
              <w:rPr>
                <w:rFonts w:ascii="Verdana" w:eastAsia="Times New Roman" w:hAnsi="Verdana" w:cs="Arial"/>
                <w:lang w:val="es-ES_tradnl" w:eastAsia="es-ES"/>
              </w:rPr>
              <w:t xml:space="preserve">219 de 2021 de la Agencia Nacional de Contratación Pública–Colombia Compra Eficiente–. Disponible en: </w:t>
            </w:r>
            <w:hyperlink r:id="rId13" w:history="1">
              <w:r w:rsidRPr="005B3F16">
                <w:rPr>
                  <w:rStyle w:val="Hipervnculo"/>
                  <w:rFonts w:ascii="Verdana" w:eastAsia="Times New Roman" w:hAnsi="Verdana" w:cs="Arial"/>
                  <w:lang w:val="es-ES_tradnl" w:eastAsia="es-ES"/>
                </w:rPr>
                <w:t>https://www.colombiacompra.gov.co/content/04-documentos-tipo-de-licitacion-de-obra-publica-para-proyectos-de-infraestructura-social</w:t>
              </w:r>
            </w:hyperlink>
            <w:r w:rsidRPr="005B3F16">
              <w:rPr>
                <w:rFonts w:ascii="Verdana" w:eastAsia="Times New Roman" w:hAnsi="Verdana" w:cs="Arial"/>
                <w:lang w:val="es-ES_tradnl" w:eastAsia="es-ES"/>
              </w:rPr>
              <w:t xml:space="preserve"> </w:t>
            </w:r>
          </w:p>
          <w:p w14:paraId="12343949" w14:textId="77777777" w:rsidR="000A2C08" w:rsidRPr="005B3F16" w:rsidRDefault="000A2C08" w:rsidP="000A2C08">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Jurisprudencia del Consejo de Estado. Disponible en: </w:t>
            </w:r>
            <w:hyperlink r:id="rId14" w:history="1">
              <w:r w:rsidRPr="005B3F16">
                <w:rPr>
                  <w:rStyle w:val="Hipervnculo"/>
                  <w:rFonts w:ascii="Verdana" w:hAnsi="Verdana" w:cs="Arial"/>
                </w:rPr>
                <w:t>https://relatoria.colombiacompra.gov.co/providencias-consejo-de-estado/</w:t>
              </w:r>
            </w:hyperlink>
            <w:r w:rsidRPr="005B3F16">
              <w:rPr>
                <w:rFonts w:ascii="Verdana" w:hAnsi="Verdana" w:cs="Arial"/>
              </w:rPr>
              <w:t xml:space="preserve"> </w:t>
            </w:r>
          </w:p>
          <w:p w14:paraId="7886637B" w14:textId="77777777" w:rsidR="000A2C08" w:rsidRPr="005B3F16" w:rsidRDefault="000A2C08" w:rsidP="000A2C08">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5B3F16">
              <w:rPr>
                <w:rFonts w:ascii="Verdana" w:hAnsi="Verdana" w:cs="Arial"/>
              </w:rPr>
              <w:t>Guías y manuales expedidos por la ANCP-CCE. Disponible en:</w:t>
            </w:r>
            <w:r w:rsidRPr="005B3F16">
              <w:rPr>
                <w:rFonts w:ascii="Verdana" w:hAnsi="Verdana"/>
              </w:rPr>
              <w:t xml:space="preserve"> </w:t>
            </w:r>
            <w:hyperlink r:id="rId15" w:history="1">
              <w:r w:rsidRPr="005B3F16">
                <w:rPr>
                  <w:rStyle w:val="Hipervnculo"/>
                  <w:rFonts w:ascii="Verdana" w:hAnsi="Verdana" w:cs="Arial"/>
                </w:rPr>
                <w:t>https://www.colombiacompra.gov.co/manuales-guias-y-pliegos-tipo/manuales-y-guias</w:t>
              </w:r>
            </w:hyperlink>
            <w:r w:rsidRPr="005B3F16">
              <w:rPr>
                <w:rFonts w:ascii="Verdana" w:hAnsi="Verdana" w:cs="Arial"/>
              </w:rPr>
              <w:t xml:space="preserve"> </w:t>
            </w:r>
          </w:p>
          <w:p w14:paraId="56A36E34" w14:textId="77777777" w:rsidR="000A2C08" w:rsidRPr="005B3F16" w:rsidRDefault="000A2C08" w:rsidP="00EF0037">
            <w:pPr>
              <w:widowControl w:val="0"/>
              <w:autoSpaceDE w:val="0"/>
              <w:autoSpaceDN w:val="0"/>
              <w:spacing w:after="120" w:line="276" w:lineRule="auto"/>
              <w:ind w:left="360"/>
              <w:jc w:val="both"/>
              <w:rPr>
                <w:rFonts w:ascii="Verdana" w:hAnsi="Verdana" w:cs="Arial"/>
              </w:rPr>
            </w:pPr>
          </w:p>
        </w:tc>
      </w:tr>
    </w:tbl>
    <w:p w14:paraId="4242CCB6" w14:textId="77777777" w:rsidR="000A2C08" w:rsidRPr="005B3F16" w:rsidRDefault="000A2C08" w:rsidP="000A2C08">
      <w:pPr>
        <w:widowControl w:val="0"/>
        <w:autoSpaceDE w:val="0"/>
        <w:autoSpaceDN w:val="0"/>
        <w:spacing w:after="0" w:line="276" w:lineRule="auto"/>
        <w:jc w:val="both"/>
        <w:rPr>
          <w:rFonts w:ascii="Verdana" w:hAnsi="Verdana" w:cs="Arial"/>
        </w:rPr>
      </w:pPr>
    </w:p>
    <w:p w14:paraId="17B42B53" w14:textId="77777777" w:rsidR="000A2C08" w:rsidRPr="005B3F16" w:rsidRDefault="000A2C08" w:rsidP="000A2C08">
      <w:pPr>
        <w:widowControl w:val="0"/>
        <w:autoSpaceDE w:val="0"/>
        <w:autoSpaceDN w:val="0"/>
        <w:spacing w:after="0" w:line="276" w:lineRule="auto"/>
        <w:jc w:val="both"/>
        <w:rPr>
          <w:rFonts w:ascii="Verdana" w:hAnsi="Verdana" w:cs="Arial"/>
        </w:rPr>
      </w:pPr>
    </w:p>
    <w:p w14:paraId="75EED462" w14:textId="77777777" w:rsidR="000A2C08" w:rsidRPr="005B3F16" w:rsidRDefault="000A2C08" w:rsidP="000A2C08">
      <w:pPr>
        <w:widowControl w:val="0"/>
        <w:autoSpaceDE w:val="0"/>
        <w:autoSpaceDN w:val="0"/>
        <w:spacing w:after="0" w:line="276" w:lineRule="auto"/>
        <w:jc w:val="both"/>
        <w:rPr>
          <w:rFonts w:ascii="Verdana" w:hAnsi="Verdana" w:cs="Arial"/>
        </w:rPr>
      </w:pPr>
    </w:p>
    <w:p w14:paraId="6656AD82" w14:textId="77777777" w:rsidR="000A2C08" w:rsidRPr="005B3F16" w:rsidRDefault="000A2C08" w:rsidP="000A2C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Doctrina de la Agencia Nacional de Contratación Pública:</w:t>
      </w:r>
    </w:p>
    <w:p w14:paraId="264B4273" w14:textId="77777777" w:rsidR="000A2C08" w:rsidRPr="005B3F16" w:rsidRDefault="000A2C08" w:rsidP="000A2C08">
      <w:pPr>
        <w:widowControl w:val="0"/>
        <w:autoSpaceDE w:val="0"/>
        <w:autoSpaceDN w:val="0"/>
        <w:spacing w:after="0" w:line="276" w:lineRule="auto"/>
        <w:jc w:val="both"/>
        <w:rPr>
          <w:rFonts w:ascii="Verdana" w:hAnsi="Verdana" w:cs="Arial"/>
        </w:rPr>
      </w:pPr>
    </w:p>
    <w:p w14:paraId="3040F0AC" w14:textId="77777777" w:rsidR="000A2C08" w:rsidRDefault="000A2C08" w:rsidP="000A2C08">
      <w:pPr>
        <w:widowControl w:val="0"/>
        <w:autoSpaceDE w:val="0"/>
        <w:autoSpaceDN w:val="0"/>
        <w:spacing w:after="0" w:line="276" w:lineRule="auto"/>
        <w:jc w:val="both"/>
        <w:rPr>
          <w:rFonts w:ascii="Verdana" w:eastAsia="Calibri" w:hAnsi="Verdana"/>
          <w:lang w:val="es-ES_tradnl"/>
        </w:rPr>
      </w:pPr>
      <w:r w:rsidRPr="005B3F16">
        <w:rPr>
          <w:rFonts w:ascii="Verdana" w:hAnsi="Verdana" w:cs="Arial"/>
        </w:rPr>
        <w:t>La Agencia Nacional de Contratación Pública – Colombia Compra Eficiente, se ha pronunciado sobre  las limitaciones territoriales de convocatorias a Mipyme en los concepto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w:t>
      </w:r>
      <w:r>
        <w:rPr>
          <w:rFonts w:ascii="Verdana" w:hAnsi="Verdana" w:cs="Arial"/>
        </w:rPr>
        <w:t xml:space="preserve">, C -094 del 19 de junio de 2024 </w:t>
      </w:r>
      <w:r w:rsidRPr="005B3F16">
        <w:rPr>
          <w:rFonts w:ascii="Verdana" w:eastAsia="Calibri" w:hAnsi="Verdana"/>
          <w:lang w:val="es-ES_tradnl"/>
        </w:rPr>
        <w:t xml:space="preserve">. </w:t>
      </w:r>
    </w:p>
    <w:p w14:paraId="465DC77B" w14:textId="77777777" w:rsidR="000A2C08" w:rsidRDefault="000A2C08" w:rsidP="000A2C08">
      <w:pPr>
        <w:widowControl w:val="0"/>
        <w:autoSpaceDE w:val="0"/>
        <w:autoSpaceDN w:val="0"/>
        <w:spacing w:after="0" w:line="276" w:lineRule="auto"/>
        <w:jc w:val="both"/>
        <w:rPr>
          <w:rFonts w:ascii="Verdana" w:eastAsia="Calibri" w:hAnsi="Verdana"/>
          <w:lang w:val="es-ES_tradnl"/>
        </w:rPr>
      </w:pPr>
    </w:p>
    <w:p w14:paraId="16BAA116" w14:textId="77777777" w:rsidR="000A2C08" w:rsidRDefault="000A2C08" w:rsidP="000A2C08">
      <w:pPr>
        <w:widowControl w:val="0"/>
        <w:autoSpaceDE w:val="0"/>
        <w:autoSpaceDN w:val="0"/>
        <w:spacing w:after="0" w:line="276" w:lineRule="auto"/>
        <w:jc w:val="both"/>
        <w:rPr>
          <w:rStyle w:val="normaltextrun"/>
          <w:rFonts w:ascii="Verdana" w:hAnsi="Verdana" w:cs="Arial"/>
          <w:shd w:val="clear" w:color="auto" w:fill="FFFFFF"/>
          <w:lang w:val="es-ES"/>
        </w:rPr>
      </w:pP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6"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shd w:val="clear" w:color="auto" w:fill="FFFFFF"/>
          <w:lang w:val="es-ES"/>
        </w:rPr>
        <w:t>.</w:t>
      </w:r>
    </w:p>
    <w:p w14:paraId="10C295F2" w14:textId="77777777" w:rsidR="000A2C08" w:rsidRDefault="000A2C08" w:rsidP="000A2C08">
      <w:pPr>
        <w:widowControl w:val="0"/>
        <w:autoSpaceDE w:val="0"/>
        <w:autoSpaceDN w:val="0"/>
        <w:spacing w:after="0" w:line="276" w:lineRule="auto"/>
        <w:jc w:val="both"/>
        <w:rPr>
          <w:rStyle w:val="normaltextrun"/>
          <w:rFonts w:ascii="Verdana" w:hAnsi="Verdana" w:cs="Arial"/>
          <w:shd w:val="clear" w:color="auto" w:fill="FFFFFF"/>
          <w:lang w:val="es-ES"/>
        </w:rPr>
      </w:pPr>
    </w:p>
    <w:p w14:paraId="13FF2D4C" w14:textId="77777777" w:rsidR="000A2C08" w:rsidRDefault="000A2C08" w:rsidP="000A2C08">
      <w:pPr>
        <w:widowControl w:val="0"/>
        <w:autoSpaceDE w:val="0"/>
        <w:autoSpaceDN w:val="0"/>
        <w:spacing w:after="0" w:line="276" w:lineRule="auto"/>
        <w:jc w:val="both"/>
        <w:rPr>
          <w:rFonts w:ascii="Verdana" w:eastAsia="Calibri" w:hAnsi="Verdana"/>
        </w:rPr>
      </w:pPr>
      <w:r w:rsidRPr="00EB2AE4">
        <w:rPr>
          <w:rFonts w:ascii="Verdana" w:eastAsia="Calibri" w:hAnsi="Verdana"/>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w:t>
      </w:r>
      <w:r w:rsidRPr="00530AEE">
        <w:rPr>
          <w:rFonts w:ascii="Verdana" w:eastAsia="Calibri" w:hAnsi="Verdana"/>
        </w:rPr>
        <w:b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7" w:tooltip="Dirección URL original: https://www.colombiacompra.gov.co/content/borrador-de-documentos-tipo-de-consultoria-de-obra-publica-de-infraestructura-de-transporte. Haga clic o pulse si confía en este vínculo." w:history="1">
        <w:r w:rsidRPr="00530AEE">
          <w:rPr>
            <w:rStyle w:val="Hipervnculo"/>
            <w:rFonts w:ascii="Verdana" w:eastAsia="Calibri" w:hAnsi="Verdana"/>
          </w:rPr>
          <w:t>https://www.colombiacompra.gov.co/content/borrador-de-documentos-tipo-de-consultoria-de-obra-publica-de-infraestructura-de-transporte</w:t>
        </w:r>
      </w:hyperlink>
      <w:r w:rsidRPr="00530AEE">
        <w:rPr>
          <w:rFonts w:ascii="Verdana" w:eastAsia="Calibri" w:hAnsi="Verdana"/>
        </w:rPr>
        <w:t> y </w:t>
      </w:r>
      <w:hyperlink r:id="rId18" w:tooltip="Dirección URL original: https://www.colombiacompra.gov.co/content/borrador-de-documentos-tipo-de-interventoria-de-obra-publica-de-infraestructura-de. Haga clic o pulse si confía en este vínculo." w:history="1">
        <w:r w:rsidRPr="00530AEE">
          <w:rPr>
            <w:rStyle w:val="Hipervnculo"/>
            <w:rFonts w:ascii="Verdana" w:eastAsia="Calibri" w:hAnsi="Verdana"/>
          </w:rPr>
          <w:t>https://www.colombiacompra.gov.co/content/borrador-de-documentos-tipo-de-interventoria-de-obra-publica-de-infraestructura-de</w:t>
        </w:r>
      </w:hyperlink>
      <w:r w:rsidRPr="00530AEE">
        <w:rPr>
          <w:rFonts w:ascii="Verdana" w:eastAsia="Calibri" w:hAnsi="Verdana"/>
        </w:rPr>
        <w:t> .</w:t>
      </w:r>
    </w:p>
    <w:p w14:paraId="3F7981EB" w14:textId="77777777" w:rsidR="000A2C08" w:rsidRPr="00530AEE" w:rsidRDefault="000A2C08" w:rsidP="000A2C08">
      <w:pPr>
        <w:widowControl w:val="0"/>
        <w:autoSpaceDE w:val="0"/>
        <w:autoSpaceDN w:val="0"/>
        <w:spacing w:after="0" w:line="276" w:lineRule="auto"/>
        <w:jc w:val="both"/>
        <w:rPr>
          <w:rFonts w:ascii="Verdana" w:eastAsia="Calibri" w:hAnsi="Verdana"/>
        </w:rPr>
      </w:pPr>
    </w:p>
    <w:p w14:paraId="3379EEE3" w14:textId="77777777" w:rsidR="000A2C08" w:rsidRDefault="000A2C08" w:rsidP="000A2C08">
      <w:pPr>
        <w:widowControl w:val="0"/>
        <w:autoSpaceDE w:val="0"/>
        <w:autoSpaceDN w:val="0"/>
        <w:spacing w:after="0" w:line="276" w:lineRule="auto"/>
        <w:jc w:val="both"/>
        <w:rPr>
          <w:rFonts w:ascii="Verdana" w:eastAsia="Calibri" w:hAnsi="Verdana"/>
        </w:rPr>
      </w:pPr>
      <w:r w:rsidRPr="00530AEE">
        <w:rPr>
          <w:rFonts w:ascii="Verdana" w:eastAsia="Calibri" w:hAnsi="Verdana"/>
        </w:rPr>
        <w:t xml:space="preserve">De otra parte, te contamos que ya publicamos el borrador de la nueva Guía de Contratación Pública Sostenible y Socialmente Responsable. Conoce el documento y realiza tus comentarios hasta el 14 de noviembre de 2024 a través del siguiente </w:t>
      </w:r>
      <w:r w:rsidRPr="00530AEE">
        <w:rPr>
          <w:rFonts w:ascii="Verdana" w:eastAsia="Calibri" w:hAnsi="Verdana"/>
        </w:rPr>
        <w:lastRenderedPageBreak/>
        <w:t>enlace: </w:t>
      </w:r>
      <w:hyperlink r:id="rId19" w:tooltip="Dirección URL original: https://www.sucop.gov.co/entidades/colombiacompra/Normativa?IDNorma=18320. Haga clic o pulse si confía en este vínculo." w:history="1">
        <w:r w:rsidRPr="00530AEE">
          <w:rPr>
            <w:rStyle w:val="Hipervnculo"/>
            <w:rFonts w:ascii="Verdana" w:eastAsia="Calibri" w:hAnsi="Verdana"/>
          </w:rPr>
          <w:t>https://www.sucop.gov.co/entidades/colombiacompra/Normativa?IDNorma=18320</w:t>
        </w:r>
      </w:hyperlink>
      <w:r w:rsidRPr="00530AEE">
        <w:rPr>
          <w:rFonts w:ascii="Verdana" w:eastAsia="Calibri" w:hAnsi="Verdana"/>
        </w:rPr>
        <w:t>  </w:t>
      </w:r>
    </w:p>
    <w:p w14:paraId="67CE3E1F" w14:textId="77777777" w:rsidR="000A2C08" w:rsidRPr="00530AEE" w:rsidRDefault="000A2C08" w:rsidP="000A2C08">
      <w:pPr>
        <w:widowControl w:val="0"/>
        <w:autoSpaceDE w:val="0"/>
        <w:autoSpaceDN w:val="0"/>
        <w:spacing w:after="0" w:line="276" w:lineRule="auto"/>
        <w:jc w:val="both"/>
        <w:rPr>
          <w:rFonts w:ascii="Verdana" w:eastAsia="Calibri" w:hAnsi="Verdana"/>
        </w:rPr>
      </w:pPr>
    </w:p>
    <w:p w14:paraId="6E322C49" w14:textId="77777777" w:rsidR="000A2C08" w:rsidRPr="00530AEE" w:rsidRDefault="000A2C08" w:rsidP="000A2C08">
      <w:pPr>
        <w:widowControl w:val="0"/>
        <w:autoSpaceDE w:val="0"/>
        <w:autoSpaceDN w:val="0"/>
        <w:spacing w:after="0" w:line="276" w:lineRule="auto"/>
        <w:jc w:val="both"/>
        <w:rPr>
          <w:rFonts w:ascii="Verdana" w:eastAsia="Calibri" w:hAnsi="Verdana"/>
        </w:rPr>
      </w:pPr>
      <w:r w:rsidRPr="00530AEE">
        <w:rPr>
          <w:rFonts w:ascii="Verdana" w:eastAsia="Calibri" w:hAnsi="Verdana"/>
        </w:rPr>
        <w:t xml:space="preserve">También le invitamos a consultar las versiones V y VI de 2024 del Boletín de Relatoría de la Subdirección de Gestión Contractual relacionados con las guías de Plan Anual de Adquisiciones y la </w:t>
      </w:r>
      <w:r>
        <w:rPr>
          <w:rFonts w:ascii="Verdana" w:eastAsia="Calibri" w:hAnsi="Verdana"/>
        </w:rPr>
        <w:t>m</w:t>
      </w:r>
      <w:r w:rsidRPr="00530AEE">
        <w:rPr>
          <w:rFonts w:ascii="Verdana" w:eastAsia="Calibri" w:hAnsi="Verdana"/>
        </w:rPr>
        <w:t>odalidad de selección de mínima cuantía, los cuales se pueden descargar en la página web de la Agencia: </w:t>
      </w:r>
      <w:hyperlink r:id="rId20" w:tooltip="Dirección URL original: https://www.colombiacompra.gov.co/sala-de-prensa/boletin-digital. Haga clic o pulse si confía en este vínculo." w:history="1">
        <w:r w:rsidRPr="00530AEE">
          <w:rPr>
            <w:rStyle w:val="Hipervnculo"/>
            <w:rFonts w:ascii="Verdana" w:eastAsia="Calibri" w:hAnsi="Verdana"/>
          </w:rPr>
          <w:t>https://www.colombiacompra.gov.co/sala-de-prensa/boletin-digital</w:t>
        </w:r>
      </w:hyperlink>
      <w:r w:rsidRPr="00530AEE">
        <w:rPr>
          <w:rFonts w:ascii="Verdana" w:eastAsia="Calibri" w:hAnsi="Verdana"/>
        </w:rPr>
        <w:t> "</w:t>
      </w:r>
    </w:p>
    <w:p w14:paraId="15D9E47C" w14:textId="77777777" w:rsidR="000A2C08" w:rsidRPr="00883937" w:rsidRDefault="000A2C08" w:rsidP="000A2C08">
      <w:pPr>
        <w:widowControl w:val="0"/>
        <w:autoSpaceDE w:val="0"/>
        <w:autoSpaceDN w:val="0"/>
        <w:spacing w:after="0" w:line="276" w:lineRule="auto"/>
        <w:jc w:val="both"/>
        <w:rPr>
          <w:rFonts w:ascii="Verdana" w:eastAsia="Calibri" w:hAnsi="Verdana" w:cs="Arial"/>
        </w:rPr>
      </w:pPr>
    </w:p>
    <w:p w14:paraId="631F152E" w14:textId="77777777" w:rsidR="000A2C08" w:rsidRPr="005B3F16" w:rsidRDefault="000A2C08" w:rsidP="000A2C08">
      <w:pPr>
        <w:spacing w:after="0" w:line="276" w:lineRule="auto"/>
        <w:jc w:val="both"/>
        <w:rPr>
          <w:rFonts w:ascii="Verdana" w:eastAsia="Calibri" w:hAnsi="Verdana" w:cs="Arial"/>
          <w:lang w:val="es-ES_tradnl"/>
        </w:rPr>
      </w:pPr>
      <w:r w:rsidRPr="005B3F16">
        <w:rPr>
          <w:rFonts w:ascii="Verdana" w:eastAsia="Calibri" w:hAnsi="Verdana" w:cs="Arial"/>
          <w:lang w:val="es-ES_tradnl"/>
        </w:rPr>
        <w:t xml:space="preserve">Por último, lo invitamos a seguirnos en las redes sociales en las cuales se difunde información institucional: </w:t>
      </w:r>
    </w:p>
    <w:p w14:paraId="3A7C5F07" w14:textId="77777777" w:rsidR="000A2C08" w:rsidRPr="005B3F16" w:rsidRDefault="000A2C08" w:rsidP="000A2C08">
      <w:pPr>
        <w:spacing w:after="0" w:line="276" w:lineRule="auto"/>
        <w:jc w:val="both"/>
        <w:rPr>
          <w:rFonts w:ascii="Verdana" w:eastAsia="Calibri" w:hAnsi="Verdana" w:cs="Arial"/>
          <w:lang w:val="es-ES_tradnl"/>
        </w:rPr>
      </w:pPr>
    </w:p>
    <w:p w14:paraId="505656CD" w14:textId="77777777" w:rsidR="000A2C08" w:rsidRPr="005B3F16" w:rsidRDefault="000A2C08" w:rsidP="000A2C08">
      <w:pPr>
        <w:spacing w:after="0" w:line="276" w:lineRule="auto"/>
        <w:jc w:val="both"/>
        <w:rPr>
          <w:rFonts w:ascii="Verdana" w:eastAsia="Calibri" w:hAnsi="Verdana" w:cs="Arial"/>
          <w:lang w:val="es-ES_tradnl"/>
        </w:rPr>
      </w:pPr>
      <w:r w:rsidRPr="005B3F16">
        <w:rPr>
          <w:rFonts w:ascii="Verdana" w:eastAsia="Calibri" w:hAnsi="Verdana" w:cs="Arial"/>
          <w:lang w:val="es-ES_tradnl"/>
        </w:rPr>
        <w:t xml:space="preserve">Twitter: @colombiacompra </w:t>
      </w:r>
    </w:p>
    <w:p w14:paraId="1B4CC659" w14:textId="77777777" w:rsidR="000A2C08" w:rsidRPr="005B3F16" w:rsidRDefault="000A2C08" w:rsidP="000A2C08">
      <w:pPr>
        <w:spacing w:after="0" w:line="276" w:lineRule="auto"/>
        <w:jc w:val="both"/>
        <w:rPr>
          <w:rFonts w:ascii="Verdana" w:eastAsia="Calibri" w:hAnsi="Verdana" w:cs="Arial"/>
          <w:lang w:val="es-ES"/>
        </w:rPr>
      </w:pPr>
      <w:r w:rsidRPr="2F5E6258">
        <w:rPr>
          <w:rFonts w:ascii="Verdana" w:eastAsia="Calibri" w:hAnsi="Verdana" w:cs="Arial"/>
          <w:lang w:val="es-ES"/>
        </w:rPr>
        <w:t xml:space="preserve">Facebook: </w:t>
      </w:r>
      <w:proofErr w:type="spellStart"/>
      <w:r w:rsidRPr="2F5E6258">
        <w:rPr>
          <w:rFonts w:ascii="Verdana" w:eastAsia="Calibri" w:hAnsi="Verdana" w:cs="Arial"/>
          <w:lang w:val="es-ES"/>
        </w:rPr>
        <w:t>ColombiaCompraEficiente</w:t>
      </w:r>
      <w:proofErr w:type="spellEnd"/>
    </w:p>
    <w:p w14:paraId="6B620FEF" w14:textId="77777777" w:rsidR="000A2C08" w:rsidRPr="005B3F16" w:rsidRDefault="000A2C08" w:rsidP="000A2C08">
      <w:pPr>
        <w:spacing w:after="0" w:line="276" w:lineRule="auto"/>
        <w:jc w:val="both"/>
        <w:rPr>
          <w:rFonts w:ascii="Verdana" w:eastAsia="Calibri" w:hAnsi="Verdana" w:cs="Arial"/>
          <w:lang w:val="es-ES_tradnl"/>
        </w:rPr>
      </w:pPr>
      <w:r w:rsidRPr="005B3F16">
        <w:rPr>
          <w:rFonts w:ascii="Verdana" w:eastAsia="Calibri" w:hAnsi="Verdana" w:cs="Arial"/>
          <w:lang w:val="es-ES_tradnl"/>
        </w:rPr>
        <w:t>LinkedIn: Agencia Nacional de Contratación Pública - Colombia Compra Eficiente Instagram: @colombiacompraeficiente_cce</w:t>
      </w:r>
    </w:p>
    <w:p w14:paraId="2C0A283B" w14:textId="77777777" w:rsidR="000A2C08" w:rsidRDefault="000A2C08" w:rsidP="000A2C08">
      <w:pPr>
        <w:widowControl w:val="0"/>
        <w:autoSpaceDE w:val="0"/>
        <w:autoSpaceDN w:val="0"/>
        <w:spacing w:after="0" w:line="276" w:lineRule="auto"/>
        <w:jc w:val="both"/>
        <w:rPr>
          <w:rFonts w:ascii="Verdana" w:eastAsia="Calibri" w:hAnsi="Verdana" w:cs="Arial"/>
          <w:lang w:val="es-ES_tradnl"/>
        </w:rPr>
      </w:pPr>
    </w:p>
    <w:p w14:paraId="1CB62232" w14:textId="77777777" w:rsidR="000A2C08" w:rsidRPr="005B3F16" w:rsidRDefault="000A2C08" w:rsidP="000A2C08">
      <w:pPr>
        <w:widowControl w:val="0"/>
        <w:autoSpaceDE w:val="0"/>
        <w:autoSpaceDN w:val="0"/>
        <w:spacing w:after="0" w:line="276" w:lineRule="auto"/>
        <w:jc w:val="both"/>
        <w:rPr>
          <w:rFonts w:ascii="Verdana" w:hAnsi="Verdana" w:cs="Arial"/>
          <w:lang w:val="es-ES_tradnl"/>
        </w:rPr>
      </w:pPr>
      <w:r w:rsidRPr="005B3F16">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5B3F16">
        <w:rPr>
          <w:rFonts w:ascii="Verdana" w:hAnsi="Verdana" w:cs="Arial"/>
          <w:lang w:val="es-ES_tradnl"/>
        </w:rPr>
        <w:t>2 de 2015.</w:t>
      </w:r>
    </w:p>
    <w:p w14:paraId="124AABF0" w14:textId="77777777" w:rsidR="000A2C08" w:rsidRPr="005B3F16" w:rsidRDefault="000A2C08" w:rsidP="000A2C08">
      <w:pPr>
        <w:widowControl w:val="0"/>
        <w:autoSpaceDE w:val="0"/>
        <w:autoSpaceDN w:val="0"/>
        <w:spacing w:after="0" w:line="276" w:lineRule="auto"/>
        <w:jc w:val="both"/>
        <w:rPr>
          <w:rFonts w:ascii="Verdana" w:hAnsi="Verdana" w:cs="Arial"/>
        </w:rPr>
      </w:pPr>
    </w:p>
    <w:p w14:paraId="55B2CC82" w14:textId="77777777" w:rsidR="000A2C08" w:rsidRPr="005B3F16" w:rsidRDefault="000A2C08" w:rsidP="000A2C08">
      <w:pPr>
        <w:spacing w:after="0" w:line="276" w:lineRule="auto"/>
        <w:rPr>
          <w:rFonts w:ascii="Verdana" w:hAnsi="Verdana" w:cs="Arial"/>
          <w:lang w:eastAsia="es-CO"/>
        </w:rPr>
      </w:pPr>
      <w:r w:rsidRPr="005B3F16">
        <w:rPr>
          <w:rFonts w:ascii="Verdana" w:eastAsia="Times New Roman" w:hAnsi="Verdana" w:cs="Arial"/>
          <w:lang w:eastAsia="es-CO"/>
        </w:rPr>
        <w:t>Atentamente,</w:t>
      </w:r>
      <w:r w:rsidRPr="005B3F16">
        <w:rPr>
          <w:rFonts w:ascii="Verdana" w:hAnsi="Verdana" w:cs="Arial"/>
          <w:lang w:eastAsia="es-CO"/>
        </w:rPr>
        <w:t xml:space="preserve"> </w:t>
      </w:r>
    </w:p>
    <w:p w14:paraId="475C8B84" w14:textId="77777777" w:rsidR="000A2C08" w:rsidRDefault="000A2C08" w:rsidP="000A2C08">
      <w:pPr>
        <w:spacing w:line="276" w:lineRule="auto"/>
        <w:rPr>
          <w:rFonts w:ascii="Century Gothic" w:hAnsi="Century Gothic"/>
          <w:noProof/>
        </w:rPr>
      </w:pPr>
    </w:p>
    <w:p w14:paraId="44611D32" w14:textId="7005CB7F" w:rsidR="000A2C08" w:rsidRPr="00113CC5" w:rsidRDefault="00421AFF" w:rsidP="000A2C08">
      <w:pPr>
        <w:spacing w:line="276" w:lineRule="auto"/>
        <w:jc w:val="center"/>
      </w:pPr>
      <w:r w:rsidRPr="0065791A">
        <w:rPr>
          <w:rFonts w:ascii="Century Gothic" w:hAnsi="Century Gothic"/>
          <w:noProof/>
        </w:rPr>
        <w:drawing>
          <wp:inline distT="0" distB="0" distL="0" distR="0" wp14:anchorId="295CB5E2" wp14:editId="64BA648F">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21"/>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A2C08" w:rsidRPr="005B3F16" w14:paraId="50895FB7" w14:textId="77777777" w:rsidTr="75675569">
        <w:trPr>
          <w:trHeight w:val="315"/>
        </w:trPr>
        <w:tc>
          <w:tcPr>
            <w:tcW w:w="893" w:type="dxa"/>
            <w:vAlign w:val="center"/>
            <w:hideMark/>
          </w:tcPr>
          <w:p w14:paraId="5CA9E3A0" w14:textId="77777777" w:rsidR="000A2C08" w:rsidRPr="005B3F16" w:rsidRDefault="000A2C08" w:rsidP="00EF0037">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7C8E5081" w14:textId="77777777" w:rsidR="000A2C08" w:rsidRPr="005B3F16" w:rsidRDefault="000A2C08" w:rsidP="00EF0037">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 xml:space="preserve">María Valeska Medellín Mora </w:t>
            </w:r>
          </w:p>
          <w:p w14:paraId="7AB36DD4" w14:textId="77777777" w:rsidR="000A2C08" w:rsidRPr="005B3F16" w:rsidRDefault="000A2C08" w:rsidP="00EF0037">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Gestor T1-15</w:t>
            </w:r>
            <w:r w:rsidRPr="005B3F16">
              <w:rPr>
                <w:rFonts w:ascii="Verdana" w:eastAsia="Calibri" w:hAnsi="Verdana"/>
                <w:sz w:val="16"/>
                <w:szCs w:val="16"/>
                <w:lang w:val="es-ES_tradnl"/>
              </w:rPr>
              <w:t xml:space="preserve"> de la Subdirección de Gestión Contractual</w:t>
            </w:r>
          </w:p>
        </w:tc>
      </w:tr>
      <w:tr w:rsidR="000A2C08" w:rsidRPr="005B3F16" w14:paraId="503FE613" w14:textId="77777777" w:rsidTr="75675569">
        <w:trPr>
          <w:trHeight w:val="330"/>
        </w:trPr>
        <w:tc>
          <w:tcPr>
            <w:tcW w:w="893" w:type="dxa"/>
            <w:vAlign w:val="center"/>
            <w:hideMark/>
          </w:tcPr>
          <w:p w14:paraId="4129D981" w14:textId="77777777" w:rsidR="000A2C08" w:rsidRPr="005B3F16" w:rsidRDefault="000A2C08" w:rsidP="00EF0037">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D8A0486" w14:textId="77777777" w:rsidR="000A2C08" w:rsidRPr="005B3F16" w:rsidRDefault="000A2C08" w:rsidP="75675569">
            <w:pPr>
              <w:pStyle w:val="paragraph"/>
              <w:spacing w:before="0" w:beforeAutospacing="0" w:after="0" w:afterAutospacing="0" w:line="276" w:lineRule="auto"/>
              <w:contextualSpacing/>
              <w:textAlignment w:val="baseline"/>
              <w:rPr>
                <w:rFonts w:ascii="Verdana" w:eastAsia="Calibri" w:hAnsi="Verdana" w:cs="Arial"/>
                <w:sz w:val="16"/>
                <w:szCs w:val="16"/>
                <w:lang w:val="es-ES" w:eastAsia="en-US"/>
              </w:rPr>
            </w:pPr>
            <w:r w:rsidRPr="75675569">
              <w:rPr>
                <w:rFonts w:ascii="Verdana" w:eastAsia="Calibri" w:hAnsi="Verdana" w:cs="Arial"/>
                <w:sz w:val="16"/>
                <w:szCs w:val="16"/>
                <w:lang w:val="es-ES" w:eastAsia="en-US"/>
              </w:rPr>
              <w:t>Adriana Katerine Lopez Rodriguez</w:t>
            </w:r>
          </w:p>
          <w:p w14:paraId="32DC80A4" w14:textId="77777777" w:rsidR="000A2C08" w:rsidRPr="005B3F16" w:rsidRDefault="000A2C08" w:rsidP="00EF0037">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sidRPr="005B3F16">
              <w:rPr>
                <w:rFonts w:ascii="Verdana" w:eastAsia="Calibri" w:hAnsi="Verdana"/>
                <w:sz w:val="16"/>
                <w:szCs w:val="16"/>
                <w:lang w:val="es-ES_tradnl" w:eastAsia="en-US"/>
              </w:rPr>
              <w:t>Contratista de la Subdirección de Gestión Contractual </w:t>
            </w:r>
          </w:p>
        </w:tc>
      </w:tr>
      <w:tr w:rsidR="000A2C08" w:rsidRPr="005B3F16" w14:paraId="3E58BDE4" w14:textId="77777777" w:rsidTr="75675569">
        <w:trPr>
          <w:trHeight w:val="300"/>
        </w:trPr>
        <w:tc>
          <w:tcPr>
            <w:tcW w:w="893" w:type="dxa"/>
            <w:vAlign w:val="center"/>
          </w:tcPr>
          <w:p w14:paraId="3E6A4038" w14:textId="77777777" w:rsidR="000A2C08" w:rsidRPr="005B3F16" w:rsidRDefault="000A2C08" w:rsidP="00EF0037">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lastRenderedPageBreak/>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D2E6B9B" w14:textId="77777777" w:rsidR="000A2C08" w:rsidRPr="005B3F16" w:rsidRDefault="000A2C08" w:rsidP="00EF0037">
            <w:pPr>
              <w:spacing w:line="276" w:lineRule="auto"/>
              <w:contextualSpacing/>
              <w:rPr>
                <w:rFonts w:ascii="Verdana" w:eastAsia="Calibri" w:hAnsi="Verdana" w:cs="Arial"/>
                <w:sz w:val="16"/>
                <w:szCs w:val="16"/>
                <w:lang w:val="es-ES"/>
              </w:rPr>
            </w:pPr>
            <w:r w:rsidRPr="460F3C83">
              <w:rPr>
                <w:rFonts w:ascii="Verdana" w:eastAsia="Calibri" w:hAnsi="Verdana" w:cs="Arial"/>
                <w:sz w:val="16"/>
                <w:szCs w:val="16"/>
                <w:lang w:val="es-ES"/>
              </w:rPr>
              <w:t>Carolina Quintero Gacharná</w:t>
            </w:r>
          </w:p>
          <w:p w14:paraId="48E2C2D2" w14:textId="77777777" w:rsidR="000A2C08" w:rsidRPr="005B3F16" w:rsidRDefault="000A2C08" w:rsidP="00EF0037">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Subdirectora de Gestión Contractual ANCP – CCE</w:t>
            </w:r>
          </w:p>
        </w:tc>
      </w:tr>
    </w:tbl>
    <w:p w14:paraId="6D79B83B" w14:textId="77777777" w:rsidR="000A2C08" w:rsidRPr="005B3F16" w:rsidRDefault="000A2C08" w:rsidP="000A2C08">
      <w:pPr>
        <w:spacing w:after="0" w:line="276" w:lineRule="auto"/>
        <w:rPr>
          <w:rFonts w:ascii="Verdana" w:eastAsia="Times New Roman" w:hAnsi="Verdana" w:cs="Arial"/>
          <w:sz w:val="24"/>
          <w:szCs w:val="24"/>
          <w:lang w:eastAsia="es-ES"/>
        </w:rPr>
      </w:pPr>
    </w:p>
    <w:p w14:paraId="719D988E" w14:textId="77777777" w:rsidR="000A2C08" w:rsidRPr="005B3F16" w:rsidRDefault="000A2C08" w:rsidP="000A2C08">
      <w:pPr>
        <w:spacing w:line="276" w:lineRule="auto"/>
        <w:rPr>
          <w:rFonts w:ascii="Verdana" w:hAnsi="Verdana"/>
        </w:rPr>
      </w:pPr>
    </w:p>
    <w:p w14:paraId="45F279CB" w14:textId="77777777" w:rsidR="000A2C08" w:rsidRPr="005B3F16" w:rsidRDefault="000A2C08" w:rsidP="000A2C08">
      <w:pPr>
        <w:spacing w:after="0" w:line="276" w:lineRule="auto"/>
        <w:jc w:val="both"/>
        <w:rPr>
          <w:rFonts w:ascii="Verdana" w:hAnsi="Verdana"/>
        </w:rPr>
      </w:pPr>
    </w:p>
    <w:bookmarkEnd w:id="2"/>
    <w:p w14:paraId="0237447B" w14:textId="77777777" w:rsidR="000A2C08" w:rsidRPr="005B3F16" w:rsidRDefault="000A2C08" w:rsidP="000A2C08">
      <w:pPr>
        <w:spacing w:line="276" w:lineRule="auto"/>
        <w:rPr>
          <w:rFonts w:ascii="Verdana" w:hAnsi="Verdana"/>
        </w:rPr>
      </w:pPr>
    </w:p>
    <w:p w14:paraId="1D4ACD18" w14:textId="77777777" w:rsidR="000A2C08" w:rsidRPr="0044528D" w:rsidRDefault="000A2C08" w:rsidP="000A2C08">
      <w:pPr>
        <w:spacing w:after="0"/>
        <w:rPr>
          <w:rFonts w:ascii="Verdana" w:hAnsi="Verdana"/>
        </w:rPr>
      </w:pPr>
    </w:p>
    <w:p w14:paraId="59AAE437" w14:textId="77777777" w:rsidR="000A2C08" w:rsidRPr="00A815BF" w:rsidRDefault="000A2C08" w:rsidP="000A2C08"/>
    <w:p w14:paraId="0C02024D" w14:textId="77777777" w:rsidR="000A2C08" w:rsidRPr="0044528D" w:rsidRDefault="000A2C08" w:rsidP="000A2C08">
      <w:pPr>
        <w:spacing w:after="0"/>
        <w:rPr>
          <w:rFonts w:ascii="Verdana" w:hAnsi="Verdana"/>
        </w:rPr>
      </w:pPr>
    </w:p>
    <w:p w14:paraId="441F022A" w14:textId="77777777" w:rsidR="000A2C08" w:rsidRPr="00290D28" w:rsidRDefault="000A2C08" w:rsidP="000A2C08"/>
    <w:p w14:paraId="74A2D5F4" w14:textId="77777777" w:rsidR="000A2C08" w:rsidRPr="0044528D" w:rsidRDefault="000A2C08" w:rsidP="000A2C08">
      <w:pPr>
        <w:spacing w:after="0"/>
        <w:rPr>
          <w:rFonts w:ascii="Verdana" w:hAnsi="Verdana"/>
        </w:rPr>
      </w:pPr>
    </w:p>
    <w:p w14:paraId="25F6E389" w14:textId="77777777" w:rsidR="000A2C08" w:rsidRPr="0063680E" w:rsidRDefault="000A2C08" w:rsidP="000A2C08"/>
    <w:p w14:paraId="0465BA6D" w14:textId="77777777" w:rsidR="00E245AB" w:rsidRPr="0044528D" w:rsidRDefault="00E245AB" w:rsidP="00E245AB">
      <w:pPr>
        <w:spacing w:after="0"/>
        <w:rPr>
          <w:rFonts w:ascii="Verdana" w:hAnsi="Verdana"/>
        </w:rPr>
      </w:pPr>
    </w:p>
    <w:bookmarkEnd w:id="0"/>
    <w:sectPr w:rsidR="00E245AB" w:rsidRPr="0044528D"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8E42B" w14:textId="77777777" w:rsidR="003A26D1" w:rsidRDefault="003A26D1" w:rsidP="004A1847">
      <w:pPr>
        <w:spacing w:after="0" w:line="240" w:lineRule="auto"/>
      </w:pPr>
      <w:r>
        <w:separator/>
      </w:r>
    </w:p>
  </w:endnote>
  <w:endnote w:type="continuationSeparator" w:id="0">
    <w:p w14:paraId="430A73B4" w14:textId="77777777" w:rsidR="003A26D1" w:rsidRDefault="003A26D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1F77B" w14:textId="77777777" w:rsidR="003A26D1" w:rsidRDefault="003A26D1" w:rsidP="004A1847">
      <w:pPr>
        <w:spacing w:after="0" w:line="240" w:lineRule="auto"/>
      </w:pPr>
      <w:r>
        <w:separator/>
      </w:r>
    </w:p>
  </w:footnote>
  <w:footnote w:type="continuationSeparator" w:id="0">
    <w:p w14:paraId="665EFA4D" w14:textId="77777777" w:rsidR="003A26D1" w:rsidRDefault="003A26D1" w:rsidP="004A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5354C3E"/>
    <w:multiLevelType w:val="hybridMultilevel"/>
    <w:tmpl w:val="65FAB46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5"/>
  </w:num>
  <w:num w:numId="8">
    <w:abstractNumId w:val="13"/>
  </w:num>
  <w:num w:numId="9">
    <w:abstractNumId w:val="7"/>
  </w:num>
  <w:num w:numId="10">
    <w:abstractNumId w:val="12"/>
  </w:num>
  <w:num w:numId="11">
    <w:abstractNumId w:val="8"/>
  </w:num>
  <w:num w:numId="12">
    <w:abstractNumId w:val="1"/>
  </w:num>
  <w:num w:numId="13">
    <w:abstractNumId w:val="3"/>
  </w:num>
  <w:num w:numId="14">
    <w:abstractNumId w:val="15"/>
  </w:num>
  <w:num w:numId="15">
    <w:abstractNumId w:val="11"/>
  </w:num>
  <w:num w:numId="16">
    <w:abstractNumId w:val="0"/>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6AE4"/>
    <w:rsid w:val="00061B2A"/>
    <w:rsid w:val="00082362"/>
    <w:rsid w:val="000A2C08"/>
    <w:rsid w:val="000A683E"/>
    <w:rsid w:val="000B19B9"/>
    <w:rsid w:val="000D0334"/>
    <w:rsid w:val="000F6486"/>
    <w:rsid w:val="00125105"/>
    <w:rsid w:val="00127233"/>
    <w:rsid w:val="001E4177"/>
    <w:rsid w:val="001F7DC6"/>
    <w:rsid w:val="002421BB"/>
    <w:rsid w:val="0025796E"/>
    <w:rsid w:val="002707A2"/>
    <w:rsid w:val="00294AD9"/>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D1F"/>
    <w:rsid w:val="003D0F4D"/>
    <w:rsid w:val="003D5B0D"/>
    <w:rsid w:val="003E0499"/>
    <w:rsid w:val="003F3941"/>
    <w:rsid w:val="00406575"/>
    <w:rsid w:val="00421AFF"/>
    <w:rsid w:val="0042722E"/>
    <w:rsid w:val="0044528D"/>
    <w:rsid w:val="004A1847"/>
    <w:rsid w:val="004A305D"/>
    <w:rsid w:val="004F21C4"/>
    <w:rsid w:val="004F23FE"/>
    <w:rsid w:val="004F685F"/>
    <w:rsid w:val="005566E8"/>
    <w:rsid w:val="00574867"/>
    <w:rsid w:val="00591460"/>
    <w:rsid w:val="00592628"/>
    <w:rsid w:val="005C3777"/>
    <w:rsid w:val="005C5CDC"/>
    <w:rsid w:val="005D476C"/>
    <w:rsid w:val="00610812"/>
    <w:rsid w:val="006128E4"/>
    <w:rsid w:val="006219F8"/>
    <w:rsid w:val="00650FF7"/>
    <w:rsid w:val="00665D70"/>
    <w:rsid w:val="00671DAC"/>
    <w:rsid w:val="006900D9"/>
    <w:rsid w:val="006D12F8"/>
    <w:rsid w:val="00706C16"/>
    <w:rsid w:val="00756841"/>
    <w:rsid w:val="007649AB"/>
    <w:rsid w:val="00771D0C"/>
    <w:rsid w:val="007833AC"/>
    <w:rsid w:val="007A4787"/>
    <w:rsid w:val="007B268C"/>
    <w:rsid w:val="007B7171"/>
    <w:rsid w:val="007C0C0F"/>
    <w:rsid w:val="007C3DC2"/>
    <w:rsid w:val="007E5497"/>
    <w:rsid w:val="00806F5F"/>
    <w:rsid w:val="00820278"/>
    <w:rsid w:val="00827825"/>
    <w:rsid w:val="00836C24"/>
    <w:rsid w:val="008843B6"/>
    <w:rsid w:val="00891928"/>
    <w:rsid w:val="008A446D"/>
    <w:rsid w:val="008D180B"/>
    <w:rsid w:val="008E301E"/>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1B1A"/>
    <w:rsid w:val="00B708CF"/>
    <w:rsid w:val="00B72CD3"/>
    <w:rsid w:val="00B72FFF"/>
    <w:rsid w:val="00BC3D36"/>
    <w:rsid w:val="00BD7F72"/>
    <w:rsid w:val="00C04FB3"/>
    <w:rsid w:val="00C330EB"/>
    <w:rsid w:val="00C754BE"/>
    <w:rsid w:val="00C76B1C"/>
    <w:rsid w:val="00CB6357"/>
    <w:rsid w:val="00CC1B26"/>
    <w:rsid w:val="00D423A2"/>
    <w:rsid w:val="00D520D8"/>
    <w:rsid w:val="00D63AC2"/>
    <w:rsid w:val="00D7383B"/>
    <w:rsid w:val="00DA231B"/>
    <w:rsid w:val="00DA23A0"/>
    <w:rsid w:val="00DC39FC"/>
    <w:rsid w:val="00DE3087"/>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94CC0"/>
    <w:rsid w:val="00FA47C0"/>
    <w:rsid w:val="00FB5DD1"/>
    <w:rsid w:val="00FC2B5D"/>
    <w:rsid w:val="00FF1449"/>
    <w:rsid w:val="5CEADB7B"/>
    <w:rsid w:val="756755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A2C08"/>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04-documentos-tipo-de-licitacion-de-obra-publica-para-proyectos-de-infraestructura-social" TargetMode="External"/><Relationship Id="rId18" Type="http://schemas.openxmlformats.org/officeDocument/2006/relationships/hyperlink" Target="https://nam02.safelinks.protection.outlook.com/?url=https%3A%2F%2Fwww.colombiacompra.gov.co%2Fcontent%2Fborrador-de-documentos-tipo-de-interventoria-de-obra-publica-de-infraestructura-de&amp;data=05%7C02%7Cmaria.medellin%40colombiacompra.gov.co%7C096eca3fdcca424ff1c708dcf932f947%7C7b09041e245149d08cb179d5e3d8c1be%7C0%7C0%7C638659244552748556%7CUnknown%7CTWFpbGZsb3d8eyJWIjoiMC4wLjAwMDAiLCJQIjoiV2luMzIiLCJBTiI6Ik1haWwiLCJXVCI6Mn0%3D%7C0%7C%7C%7C&amp;sdata=XOJMw79eh5ukQrCpd%2B%2FPZ7mCUfjbp4pu%2F197WTcfFdY%3D&amp;reserved=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hyperlink" Target="https://nam02.safelinks.protection.outlook.com/?url=https%3A%2F%2Fwww.colombiacompra.gov.co%2Fcontent%2Fborrador-de-documentos-tipo-de-consultoria-de-obra-publica-de-infraestructura-de-transporte&amp;data=05%7C02%7Cmaria.medellin%40colombiacompra.gov.co%7C096eca3fdcca424ff1c708dcf932f947%7C7b09041e245149d08cb179d5e3d8c1be%7C0%7C0%7C638659244552724890%7CUnknown%7CTWFpbGZsb3d8eyJWIjoiMC4wLjAwMDAiLCJQIjoiV2luMzIiLCJBTiI6Ik1haWwiLCJXVCI6Mn0%3D%7C0%7C%7C%7C&amp;sdata=WFMNuljpvP1XX0eqTmHT2xBDDiWyq5%2B5IWefYtDmFTY%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hyperlink" Target="https://nam02.safelinks.protection.outlook.com/?url=https%3A%2F%2Fwww.colombiacompra.gov.co%2Fsala-de-prensa%2Fboletin-digital&amp;data=05%7C02%7Cmaria.medellin%40colombiacompra.gov.co%7C096eca3fdcca424ff1c708dcf932f947%7C7b09041e245149d08cb179d5e3d8c1be%7C0%7C0%7C638659244552786384%7CUnknown%7CTWFpbGZsb3d8eyJWIjoiMC4wLjAwMDAiLCJQIjoiV2luMzIiLCJBTiI6Ik1haWwiLCJXVCI6Mn0%3D%7C0%7C%7C%7C&amp;sdata=nNL0OYgmcHTlNzysKPaHGMx6bK%2F2cPSxZEeJJRNlTpE%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ultorempresarialcae@gmail.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olombiacompra.gov.co/manuales-guias-y-pliegos-tipo/manuales-y-guias"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nam02.safelinks.protection.outlook.com/?url=https%3A%2F%2Fwww.sucop.gov.co%2Fentidades%2Fcolombiacompra%2FNormativa%3FIDNorma%3D18320&amp;data=05%7C02%7Cmaria.medellin%40colombiacompra.gov.co%7C096eca3fdcca424ff1c708dcf932f947%7C7b09041e245149d08cb179d5e3d8c1be%7C0%7C0%7C638659244552767547%7CUnknown%7CTWFpbGZsb3d8eyJWIjoiMC4wLjAwMDAiLCJQIjoiV2luMzIiLCJBTiI6Ik1haWwiLCJXVCI6Mn0%3D%7C0%7C%7C%7C&amp;sdata=JdR6YWns76bULJaJAsp8Xlcx3NDByPJX849winKcp2U%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providencias-consejo-de-estad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9d85dbaf-23eb-4e57-a637-93dcacc8b1a1"/>
    <ds:schemaRef ds:uri="http://schemas.openxmlformats.org/package/2006/metadata/core-properties"/>
    <ds:schemaRef ds:uri="http://purl.org/dc/terms/"/>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A7E37AEF-001E-46DA-995D-B467B340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3781</Words>
  <Characters>20800</Characters>
  <Application>Microsoft Office Word</Application>
  <DocSecurity>0</DocSecurity>
  <Lines>173</Lines>
  <Paragraphs>49</Paragraphs>
  <ScaleCrop>false</ScaleCrop>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2</cp:revision>
  <cp:lastPrinted>2023-01-10T21:18:00Z</cp:lastPrinted>
  <dcterms:created xsi:type="dcterms:W3CDTF">2024-11-29T13:58:00Z</dcterms:created>
  <dcterms:modified xsi:type="dcterms:W3CDTF">2024-11-29T13:58:00Z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