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53BA7" w14:textId="77777777" w:rsidR="0021798E" w:rsidRPr="008B2F40" w:rsidRDefault="0021798E" w:rsidP="0021798E">
      <w:pPr>
        <w:spacing w:after="0" w:line="240" w:lineRule="auto"/>
        <w:jc w:val="both"/>
        <w:rPr>
          <w:rFonts w:ascii="Verdana" w:eastAsia="Calibri" w:hAnsi="Verdana" w:cs="Arial"/>
          <w:b/>
          <w:bCs/>
          <w:color w:val="000000" w:themeColor="text1"/>
        </w:rPr>
      </w:pPr>
      <w:bookmarkStart w:id="0" w:name="_GoBack"/>
      <w:bookmarkEnd w:id="0"/>
      <w:r w:rsidRPr="008B2F40">
        <w:rPr>
          <w:rFonts w:ascii="Verdana" w:eastAsia="Calibri" w:hAnsi="Verdana" w:cs="Arial"/>
          <w:b/>
          <w:bCs/>
          <w:color w:val="000000" w:themeColor="text1"/>
        </w:rPr>
        <w:t>OBSERVACIONES EXTEMPORÁNEAS – Rechazo – Principio de economía –Términos preclusivos y perentorios</w:t>
      </w:r>
    </w:p>
    <w:p w14:paraId="26B71B99" w14:textId="77777777" w:rsidR="007B7B52" w:rsidRPr="007B7B52" w:rsidRDefault="007B7B52" w:rsidP="007B7B52">
      <w:pPr>
        <w:shd w:val="clear" w:color="auto" w:fill="FFFFFF"/>
        <w:spacing w:before="240" w:beforeAutospacing="1" w:after="240" w:afterAutospacing="1" w:line="240" w:lineRule="auto"/>
        <w:jc w:val="both"/>
        <w:rPr>
          <w:rFonts w:ascii="Verdana" w:eastAsia="Times New Roman" w:hAnsi="Verdana" w:cs="Arial"/>
          <w:color w:val="000000"/>
          <w:sz w:val="20"/>
          <w:szCs w:val="20"/>
          <w:bdr w:val="none" w:sz="0" w:space="0" w:color="auto" w:frame="1"/>
          <w:lang w:eastAsia="es-CO"/>
        </w:rPr>
      </w:pPr>
      <w:r w:rsidRPr="007B7B52">
        <w:rPr>
          <w:rFonts w:ascii="Verdana" w:eastAsia="Times New Roman" w:hAnsi="Verdana" w:cs="Arial"/>
          <w:color w:val="000000"/>
          <w:sz w:val="20"/>
          <w:szCs w:val="20"/>
          <w:bdr w:val="none" w:sz="0" w:space="0" w:color="auto" w:frame="1"/>
          <w:lang w:eastAsia="es-CO"/>
        </w:rPr>
        <w:t xml:space="preserve">De acuerdo con el numeral 1 del artículo 25 de la Ley 80 de 1993, “En las normas de selección y en los pliegos de condiciones para la escogencia de contratistas, se cumplirán y establecerán los procedimientos y etapas estrictamente necesarios para asegurar la selección objetiva de la propuesta más favorable. Para este propósito, </w:t>
      </w:r>
      <w:r w:rsidRPr="007B7B52">
        <w:rPr>
          <w:rFonts w:ascii="Verdana" w:eastAsia="Times New Roman" w:hAnsi="Verdana" w:cs="Arial"/>
          <w:i/>
          <w:iCs/>
          <w:color w:val="000000"/>
          <w:sz w:val="20"/>
          <w:szCs w:val="20"/>
          <w:bdr w:val="none" w:sz="0" w:space="0" w:color="auto" w:frame="1"/>
          <w:lang w:eastAsia="es-CO"/>
        </w:rPr>
        <w:t>se señalarán términos preclusivos y perentorios</w:t>
      </w:r>
      <w:r w:rsidRPr="007B7B52">
        <w:rPr>
          <w:rFonts w:ascii="Verdana" w:eastAsia="Times New Roman" w:hAnsi="Verdana" w:cs="Arial"/>
          <w:color w:val="000000"/>
          <w:sz w:val="20"/>
          <w:szCs w:val="20"/>
          <w:bdr w:val="none" w:sz="0" w:space="0" w:color="auto" w:frame="1"/>
          <w:lang w:eastAsia="es-CO"/>
        </w:rPr>
        <w:t xml:space="preserve"> para las diferentes etapas de la selección y las autoridades darán impulso oficioso a las actuaciones” (Énfasis fuera de texto). </w:t>
      </w:r>
    </w:p>
    <w:p w14:paraId="59AA948C" w14:textId="6EDFA7AD" w:rsidR="007B7B52" w:rsidRDefault="007B7B52" w:rsidP="007B7B52">
      <w:pPr>
        <w:shd w:val="clear" w:color="auto" w:fill="FFFFFF"/>
        <w:spacing w:before="240" w:beforeAutospacing="1" w:after="240" w:afterAutospacing="1" w:line="240" w:lineRule="auto"/>
        <w:jc w:val="both"/>
        <w:rPr>
          <w:rFonts w:ascii="Verdana" w:eastAsia="Times New Roman" w:hAnsi="Verdana" w:cs="Arial"/>
          <w:color w:val="000000"/>
          <w:sz w:val="20"/>
          <w:szCs w:val="20"/>
          <w:bdr w:val="none" w:sz="0" w:space="0" w:color="auto" w:frame="1"/>
          <w:lang w:eastAsia="es-CO"/>
        </w:rPr>
      </w:pPr>
      <w:r w:rsidRPr="007B7B52">
        <w:rPr>
          <w:rFonts w:ascii="Verdana" w:eastAsia="Times New Roman" w:hAnsi="Verdana" w:cs="Arial"/>
          <w:color w:val="000000"/>
          <w:sz w:val="20"/>
          <w:szCs w:val="20"/>
          <w:bdr w:val="none" w:sz="0" w:space="0" w:color="auto" w:frame="1"/>
          <w:lang w:eastAsia="es-CO"/>
        </w:rPr>
        <w:t xml:space="preserve">Por ello, si bien tanto a los interesados como a la ciudadanía en general les asiste el derecho a realizar observaciones, este derecho debe ejercerse dentro de los plazos establecidos por el ordenamiento jurídico y por el cronograma del proceso de contratación, so pena de perder tal facultad por la </w:t>
      </w:r>
      <w:proofErr w:type="spellStart"/>
      <w:r w:rsidRPr="007B7B52">
        <w:rPr>
          <w:rFonts w:ascii="Verdana" w:eastAsia="Times New Roman" w:hAnsi="Verdana" w:cs="Arial"/>
          <w:color w:val="000000"/>
          <w:sz w:val="20"/>
          <w:szCs w:val="20"/>
          <w:bdr w:val="none" w:sz="0" w:space="0" w:color="auto" w:frame="1"/>
          <w:lang w:eastAsia="es-CO"/>
        </w:rPr>
        <w:t>preclusividad</w:t>
      </w:r>
      <w:proofErr w:type="spellEnd"/>
      <w:r w:rsidRPr="007B7B52">
        <w:rPr>
          <w:rFonts w:ascii="Verdana" w:eastAsia="Times New Roman" w:hAnsi="Verdana" w:cs="Arial"/>
          <w:color w:val="000000"/>
          <w:sz w:val="20"/>
          <w:szCs w:val="20"/>
          <w:bdr w:val="none" w:sz="0" w:space="0" w:color="auto" w:frame="1"/>
          <w:lang w:eastAsia="es-CO"/>
        </w:rPr>
        <w:t xml:space="preserve"> y perentoriedad de los términos que rigen el proceso de contratación. Lo anterior teniendo en cuenta que, una vez agotada cada fase de este, la entidad estatal –en principio– no puede volver sobre aquella. </w:t>
      </w:r>
      <w:r w:rsidR="00605B9D" w:rsidRPr="000D5A0F">
        <w:rPr>
          <w:rFonts w:ascii="Verdana" w:eastAsia="Times New Roman" w:hAnsi="Verdana" w:cs="Arial"/>
          <w:color w:val="000000"/>
          <w:sz w:val="20"/>
          <w:szCs w:val="20"/>
          <w:bdr w:val="none" w:sz="0" w:space="0" w:color="auto" w:frame="1"/>
          <w:lang w:eastAsia="es-CO"/>
        </w:rPr>
        <w:t>[…]</w:t>
      </w:r>
    </w:p>
    <w:p w14:paraId="6E3F83B1" w14:textId="0AA28A82" w:rsidR="00605B9D" w:rsidRPr="007B7B52" w:rsidRDefault="00605B9D" w:rsidP="007B7B52">
      <w:pPr>
        <w:shd w:val="clear" w:color="auto" w:fill="FFFFFF"/>
        <w:spacing w:before="240" w:beforeAutospacing="1" w:after="240" w:afterAutospacing="1" w:line="240" w:lineRule="auto"/>
        <w:jc w:val="both"/>
        <w:rPr>
          <w:rFonts w:ascii="Verdana" w:eastAsia="Times New Roman" w:hAnsi="Verdana" w:cs="Arial"/>
          <w:color w:val="000000"/>
          <w:sz w:val="20"/>
          <w:szCs w:val="20"/>
          <w:bdr w:val="none" w:sz="0" w:space="0" w:color="auto" w:frame="1"/>
          <w:lang w:eastAsia="es-CO"/>
        </w:rPr>
      </w:pPr>
      <w:r w:rsidRPr="00605B9D">
        <w:rPr>
          <w:rFonts w:ascii="Verdana" w:eastAsia="Times New Roman" w:hAnsi="Verdana" w:cs="Arial"/>
          <w:bCs/>
          <w:color w:val="000000"/>
          <w:sz w:val="20"/>
          <w:szCs w:val="20"/>
          <w:bdr w:val="none" w:sz="0" w:space="0" w:color="auto" w:frame="1"/>
          <w:lang w:eastAsia="es-CO"/>
        </w:rPr>
        <w:t>Lo anterior no obsta para que la entidad revise la observación presentada y tome las medidas correspondientes, especialmente en aquellos eventos en que se relacione con una presunta infracción a normas de orden penal o que puedan generar vicios en la adjudicación y en el futuro contrato. Esto significa que no por el hecho de ser extemporánea la entidad descartará automáticamente su análisis, sino que resulta oportuno examinar su contenido y alcance para determinar si frente a ella procede alguna actuación</w:t>
      </w:r>
    </w:p>
    <w:p w14:paraId="699141D0" w14:textId="6900461F" w:rsidR="000D5A0F" w:rsidRPr="000D5A0F" w:rsidRDefault="008B2F40" w:rsidP="000D5A0F">
      <w:pPr>
        <w:shd w:val="clear" w:color="auto" w:fill="FFFFFF"/>
        <w:spacing w:before="120" w:beforeAutospacing="1" w:after="120" w:afterAutospacing="1" w:line="276" w:lineRule="auto"/>
        <w:jc w:val="both"/>
        <w:rPr>
          <w:rFonts w:ascii="Verdana" w:eastAsia="Times New Roman" w:hAnsi="Verdana" w:cs="Arial"/>
          <w:b/>
          <w:bCs/>
          <w:color w:val="000000"/>
          <w:shd w:val="clear" w:color="auto" w:fill="FFFFFF"/>
          <w:lang w:eastAsia="es-CO"/>
        </w:rPr>
      </w:pPr>
      <w:r>
        <w:rPr>
          <w:rFonts w:ascii="Verdana" w:eastAsia="Times New Roman" w:hAnsi="Verdana" w:cs="Arial"/>
          <w:b/>
          <w:bCs/>
          <w:color w:val="000000"/>
          <w:shd w:val="clear" w:color="auto" w:fill="FFFFFF"/>
          <w:lang w:eastAsia="es-CO"/>
        </w:rPr>
        <w:t xml:space="preserve">DOCUMENTOS TIPO </w:t>
      </w:r>
      <w:r w:rsidR="000D5A0F" w:rsidRPr="000D5A0F">
        <w:rPr>
          <w:rFonts w:ascii="Verdana" w:eastAsia="Times New Roman" w:hAnsi="Verdana" w:cs="Arial"/>
          <w:b/>
          <w:bCs/>
          <w:color w:val="000000"/>
          <w:shd w:val="clear" w:color="auto" w:fill="FFFFFF"/>
          <w:lang w:eastAsia="es-CO"/>
        </w:rPr>
        <w:t xml:space="preserve">– </w:t>
      </w:r>
      <w:r>
        <w:rPr>
          <w:rFonts w:ascii="Verdana" w:eastAsia="Times New Roman" w:hAnsi="Verdana" w:cs="Arial"/>
          <w:b/>
          <w:bCs/>
          <w:color w:val="000000"/>
          <w:shd w:val="clear" w:color="auto" w:fill="FFFFFF"/>
          <w:lang w:eastAsia="es-CO"/>
        </w:rPr>
        <w:t>Información inexacta</w:t>
      </w:r>
      <w:r w:rsidR="000D5A0F" w:rsidRPr="000D5A0F">
        <w:rPr>
          <w:rFonts w:ascii="Verdana" w:eastAsia="Times New Roman" w:hAnsi="Verdana" w:cs="Arial"/>
          <w:b/>
          <w:bCs/>
          <w:color w:val="000000"/>
          <w:shd w:val="clear" w:color="auto" w:fill="FFFFFF"/>
          <w:lang w:eastAsia="es-CO"/>
        </w:rPr>
        <w:t xml:space="preserve"> – </w:t>
      </w:r>
      <w:r>
        <w:rPr>
          <w:rFonts w:ascii="Verdana" w:eastAsia="Times New Roman" w:hAnsi="Verdana" w:cs="Arial"/>
          <w:b/>
          <w:bCs/>
          <w:color w:val="000000"/>
          <w:shd w:val="clear" w:color="auto" w:fill="FFFFFF"/>
          <w:lang w:eastAsia="es-CO"/>
        </w:rPr>
        <w:t xml:space="preserve">deber de verificación </w:t>
      </w:r>
    </w:p>
    <w:p w14:paraId="7485265B" w14:textId="77777777" w:rsidR="00605B9D" w:rsidRDefault="00605B9D" w:rsidP="00605B9D">
      <w:pPr>
        <w:shd w:val="clear" w:color="auto" w:fill="FFFFFF"/>
        <w:spacing w:before="240" w:beforeAutospacing="1" w:after="240" w:afterAutospacing="1" w:line="240" w:lineRule="auto"/>
        <w:jc w:val="both"/>
        <w:rPr>
          <w:rFonts w:ascii="Verdana" w:eastAsia="Times New Roman" w:hAnsi="Verdana" w:cs="Arial"/>
          <w:color w:val="000000"/>
          <w:sz w:val="20"/>
          <w:szCs w:val="20"/>
          <w:bdr w:val="none" w:sz="0" w:space="0" w:color="auto" w:frame="1"/>
          <w:lang w:eastAsia="es-CO"/>
        </w:rPr>
      </w:pPr>
      <w:r w:rsidRPr="000D5A0F">
        <w:rPr>
          <w:rFonts w:ascii="Verdana" w:eastAsia="Times New Roman" w:hAnsi="Verdana" w:cs="Arial"/>
          <w:color w:val="000000"/>
          <w:sz w:val="20"/>
          <w:szCs w:val="20"/>
          <w:bdr w:val="none" w:sz="0" w:space="0" w:color="auto" w:frame="1"/>
          <w:lang w:eastAsia="es-CO"/>
        </w:rPr>
        <w:t>[…]</w:t>
      </w:r>
      <w:r>
        <w:rPr>
          <w:rFonts w:ascii="Verdana" w:eastAsia="Times New Roman" w:hAnsi="Verdana" w:cs="Arial"/>
          <w:color w:val="000000"/>
          <w:sz w:val="20"/>
          <w:szCs w:val="20"/>
          <w:bdr w:val="none" w:sz="0" w:space="0" w:color="auto" w:frame="1"/>
          <w:lang w:eastAsia="es-CO"/>
        </w:rPr>
        <w:t xml:space="preserve"> </w:t>
      </w:r>
      <w:r w:rsidRPr="00605B9D">
        <w:rPr>
          <w:rFonts w:ascii="Verdana" w:eastAsia="Times New Roman" w:hAnsi="Verdana" w:cs="Arial"/>
          <w:color w:val="000000"/>
          <w:sz w:val="20"/>
          <w:szCs w:val="20"/>
          <w:bdr w:val="none" w:sz="0" w:space="0" w:color="auto" w:frame="1"/>
          <w:lang w:eastAsia="es-CO"/>
        </w:rPr>
        <w:t>en relación con la información inexacta que se encuentra establecida en el numeral 1.11 de los documentos tipo</w:t>
      </w:r>
      <w:r w:rsidRPr="00605B9D">
        <w:rPr>
          <w:rFonts w:ascii="Verdana" w:eastAsia="Times New Roman" w:hAnsi="Verdana" w:cs="Arial"/>
          <w:color w:val="000000"/>
          <w:sz w:val="20"/>
          <w:szCs w:val="20"/>
          <w:bdr w:val="none" w:sz="0" w:space="0" w:color="auto" w:frame="1"/>
          <w:lang w:val="es-MX" w:eastAsia="es-CO"/>
        </w:rPr>
        <w:t xml:space="preserve">, es pertinente señalar que en esta se establece una regla de verificación de información </w:t>
      </w:r>
      <w:r w:rsidRPr="00605B9D">
        <w:rPr>
          <w:rFonts w:ascii="Verdana" w:eastAsia="Times New Roman" w:hAnsi="Verdana" w:cs="Arial"/>
          <w:color w:val="000000"/>
          <w:sz w:val="20"/>
          <w:szCs w:val="20"/>
          <w:bdr w:val="none" w:sz="0" w:space="0" w:color="auto" w:frame="1"/>
          <w:lang w:eastAsia="es-CO"/>
        </w:rPr>
        <w:t xml:space="preserve">frente a la totalidad de la información y documentación aportada </w:t>
      </w:r>
      <w:r w:rsidRPr="00605B9D">
        <w:rPr>
          <w:rFonts w:ascii="Verdana" w:eastAsia="Times New Roman" w:hAnsi="Verdana" w:cs="Arial"/>
          <w:color w:val="000000"/>
          <w:sz w:val="20"/>
          <w:szCs w:val="20"/>
          <w:bdr w:val="none" w:sz="0" w:space="0" w:color="auto" w:frame="1"/>
          <w:lang w:val="es-MX" w:eastAsia="es-CO"/>
        </w:rPr>
        <w:t xml:space="preserve">y dos supuestos con consecuencias diferentes: </w:t>
      </w:r>
      <w:r w:rsidRPr="00605B9D">
        <w:rPr>
          <w:rFonts w:ascii="Verdana" w:eastAsia="Times New Roman" w:hAnsi="Verdana" w:cs="Arial"/>
          <w:color w:val="000000"/>
          <w:sz w:val="20"/>
          <w:szCs w:val="20"/>
          <w:bdr w:val="none" w:sz="0" w:space="0" w:color="auto" w:frame="1"/>
          <w:lang w:eastAsia="es-CO"/>
        </w:rPr>
        <w:t>el primero, señala que una vez verificada la información y evidenciada la inconsistencia, la entidad estatal la tendrá por no acreditada</w:t>
      </w:r>
      <w:r>
        <w:rPr>
          <w:rFonts w:ascii="Verdana" w:eastAsia="Times New Roman" w:hAnsi="Verdana" w:cs="Arial"/>
          <w:color w:val="000000"/>
          <w:sz w:val="20"/>
          <w:szCs w:val="20"/>
          <w:bdr w:val="none" w:sz="0" w:space="0" w:color="auto" w:frame="1"/>
          <w:lang w:eastAsia="es-CO"/>
        </w:rPr>
        <w:t xml:space="preserve">. </w:t>
      </w:r>
      <w:r w:rsidR="000D5A0F" w:rsidRPr="000D5A0F">
        <w:rPr>
          <w:rFonts w:ascii="Verdana" w:eastAsia="Times New Roman" w:hAnsi="Verdana" w:cs="Arial"/>
          <w:color w:val="000000"/>
          <w:sz w:val="20"/>
          <w:szCs w:val="20"/>
          <w:bdr w:val="none" w:sz="0" w:space="0" w:color="auto" w:frame="1"/>
          <w:lang w:eastAsia="es-CO"/>
        </w:rPr>
        <w:t xml:space="preserve">[…] </w:t>
      </w:r>
      <w:r w:rsidRPr="00605B9D">
        <w:rPr>
          <w:rFonts w:ascii="Verdana" w:eastAsia="Times New Roman" w:hAnsi="Verdana" w:cs="Arial"/>
          <w:color w:val="000000"/>
          <w:sz w:val="20"/>
          <w:szCs w:val="20"/>
          <w:bdr w:val="none" w:sz="0" w:space="0" w:color="auto" w:frame="1"/>
          <w:lang w:eastAsia="es-CO"/>
        </w:rPr>
        <w:t>El segundo evento se configura cuando de la verificación se corrobora que las inconsistencias obedecerían a una presunta falsedad no desvirtuada por el proponente, caso en el cual se rechaza la oferta y se informa a las autoridades correspondientes</w:t>
      </w:r>
      <w:r>
        <w:rPr>
          <w:rFonts w:ascii="Verdana" w:eastAsia="Times New Roman" w:hAnsi="Verdana" w:cs="Arial"/>
          <w:color w:val="000000"/>
          <w:sz w:val="20"/>
          <w:szCs w:val="20"/>
          <w:bdr w:val="none" w:sz="0" w:space="0" w:color="auto" w:frame="1"/>
          <w:lang w:eastAsia="es-CO"/>
        </w:rPr>
        <w:t xml:space="preserve">. </w:t>
      </w:r>
    </w:p>
    <w:p w14:paraId="3F414881" w14:textId="5A150C49" w:rsidR="000D5A0F" w:rsidRDefault="00605B9D" w:rsidP="00605B9D">
      <w:pPr>
        <w:shd w:val="clear" w:color="auto" w:fill="FFFFFF"/>
        <w:spacing w:before="240" w:beforeAutospacing="1" w:after="240" w:afterAutospacing="1" w:line="240" w:lineRule="auto"/>
        <w:jc w:val="both"/>
        <w:rPr>
          <w:rFonts w:ascii="Verdana" w:eastAsia="Times New Roman" w:hAnsi="Verdana" w:cs="Arial"/>
          <w:color w:val="000000"/>
          <w:sz w:val="20"/>
          <w:szCs w:val="20"/>
          <w:bdr w:val="none" w:sz="0" w:space="0" w:color="auto" w:frame="1"/>
          <w:lang w:eastAsia="es-CO"/>
        </w:rPr>
      </w:pPr>
      <w:r w:rsidRPr="000D5A0F">
        <w:rPr>
          <w:rFonts w:ascii="Verdana" w:eastAsia="Times New Roman" w:hAnsi="Verdana" w:cs="Arial"/>
          <w:color w:val="000000"/>
          <w:sz w:val="20"/>
          <w:szCs w:val="20"/>
          <w:bdr w:val="none" w:sz="0" w:space="0" w:color="auto" w:frame="1"/>
          <w:lang w:eastAsia="es-CO"/>
        </w:rPr>
        <w:t>[…]</w:t>
      </w:r>
    </w:p>
    <w:p w14:paraId="226CEA0B" w14:textId="7ADA6663" w:rsidR="000D5A0F" w:rsidRPr="00605B9D" w:rsidRDefault="00605B9D" w:rsidP="00605B9D">
      <w:pPr>
        <w:shd w:val="clear" w:color="auto" w:fill="FFFFFF"/>
        <w:spacing w:before="240" w:beforeAutospacing="1" w:after="240" w:afterAutospacing="1" w:line="240" w:lineRule="auto"/>
        <w:jc w:val="both"/>
        <w:rPr>
          <w:rFonts w:ascii="Verdana" w:hAnsi="Verdana" w:cs="Arial"/>
          <w:color w:val="000000"/>
          <w:sz w:val="20"/>
          <w:szCs w:val="20"/>
          <w:bdr w:val="none" w:sz="0" w:space="0" w:color="auto" w:frame="1"/>
        </w:rPr>
      </w:pPr>
      <w:r w:rsidRPr="00605B9D">
        <w:rPr>
          <w:rFonts w:ascii="Verdana" w:hAnsi="Verdana" w:cs="Arial"/>
          <w:color w:val="000000"/>
          <w:sz w:val="20"/>
          <w:szCs w:val="20"/>
          <w:bdr w:val="none" w:sz="0" w:space="0" w:color="auto" w:frame="1"/>
        </w:rPr>
        <w:t>Con todo, los supuestos señalados parten de la base del deber que le asiste a la Entidad Estatal de verificar la veracidad de la información suministrada por el proponente para evitar vicios en la adjudicación y en el contrato</w:t>
      </w:r>
      <w:r>
        <w:rPr>
          <w:rFonts w:ascii="Verdana" w:hAnsi="Verdana" w:cs="Arial"/>
          <w:color w:val="000000"/>
          <w:sz w:val="20"/>
          <w:szCs w:val="20"/>
          <w:bdr w:val="none" w:sz="0" w:space="0" w:color="auto" w:frame="1"/>
        </w:rPr>
        <w:t>.</w:t>
      </w:r>
    </w:p>
    <w:p w14:paraId="2E27D744" w14:textId="77777777" w:rsidR="00607390" w:rsidRDefault="00607390" w:rsidP="00CE37A3">
      <w:pPr>
        <w:spacing w:after="0" w:line="240" w:lineRule="auto"/>
        <w:rPr>
          <w:rFonts w:ascii="Verdana" w:eastAsia="Geomanist Light" w:hAnsi="Verdana" w:cs="Arial"/>
          <w:color w:val="000000" w:themeColor="text1"/>
          <w:lang w:val="es-MX"/>
        </w:rPr>
      </w:pPr>
    </w:p>
    <w:p w14:paraId="28047E8C" w14:textId="347964E6" w:rsidR="00B30448" w:rsidRPr="00593A5F" w:rsidRDefault="00B30448" w:rsidP="00CE37A3">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t>Bogotá D.C., </w:t>
      </w:r>
      <w:r w:rsidR="009E514A">
        <w:rPr>
          <w:rFonts w:ascii="Verdana" w:eastAsia="Geomanist Light" w:hAnsi="Verdana" w:cs="Arial"/>
          <w:color w:val="201F1E"/>
          <w:lang w:val="es-MX"/>
        </w:rPr>
        <w:t>18 de noviembre de 2024</w:t>
      </w:r>
    </w:p>
    <w:p w14:paraId="1715E5B1" w14:textId="0ED43AD0" w:rsidR="00B30448" w:rsidRDefault="00B30448" w:rsidP="00CE37A3">
      <w:pPr>
        <w:spacing w:after="0" w:line="240" w:lineRule="auto"/>
        <w:jc w:val="both"/>
        <w:rPr>
          <w:rFonts w:ascii="Verdana" w:eastAsia="Calibri" w:hAnsi="Verdana" w:cs="Arial"/>
          <w:color w:val="000000"/>
          <w:lang w:val="es-ES"/>
        </w:rPr>
      </w:pPr>
    </w:p>
    <w:p w14:paraId="00113A36" w14:textId="7F88C0D6" w:rsidR="009E514A" w:rsidRDefault="009E514A" w:rsidP="004F013F">
      <w:pPr>
        <w:spacing w:after="0" w:line="240" w:lineRule="auto"/>
        <w:jc w:val="right"/>
        <w:rPr>
          <w:rFonts w:ascii="Verdana" w:eastAsia="Calibri" w:hAnsi="Verdana" w:cs="Arial"/>
          <w:color w:val="000000"/>
          <w:lang w:val="es-ES"/>
        </w:rPr>
      </w:pPr>
      <w:r w:rsidRPr="009E514A">
        <w:rPr>
          <w:rFonts w:ascii="Verdana" w:eastAsia="Calibri" w:hAnsi="Verdana" w:cs="Arial"/>
          <w:noProof/>
          <w:color w:val="000000"/>
          <w:lang w:val="es-ES"/>
        </w:rPr>
        <w:drawing>
          <wp:inline distT="0" distB="0" distL="0" distR="0" wp14:anchorId="4F788525" wp14:editId="7B9FA566">
            <wp:extent cx="2735580" cy="883920"/>
            <wp:effectExtent l="0" t="0" r="7620" b="0"/>
            <wp:docPr id="17330941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5580" cy="883920"/>
                    </a:xfrm>
                    <a:prstGeom prst="rect">
                      <a:avLst/>
                    </a:prstGeom>
                    <a:noFill/>
                    <a:ln>
                      <a:noFill/>
                    </a:ln>
                  </pic:spPr>
                </pic:pic>
              </a:graphicData>
            </a:graphic>
          </wp:inline>
        </w:drawing>
      </w:r>
    </w:p>
    <w:p w14:paraId="62AA4AF4" w14:textId="77777777" w:rsidR="00BB3BE4" w:rsidRPr="00593A5F" w:rsidRDefault="00BB3BE4" w:rsidP="00CE37A3">
      <w:pPr>
        <w:spacing w:after="0" w:line="240" w:lineRule="auto"/>
        <w:jc w:val="both"/>
        <w:rPr>
          <w:rFonts w:ascii="Verdana" w:eastAsia="Calibri" w:hAnsi="Verdana" w:cs="Arial"/>
          <w:color w:val="000000"/>
          <w:lang w:val="es-ES"/>
        </w:rPr>
      </w:pPr>
    </w:p>
    <w:p w14:paraId="02CC2859" w14:textId="118384AC" w:rsidR="00B30448" w:rsidRPr="00B96799" w:rsidRDefault="00B30448" w:rsidP="00CE37A3">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1F7917CC" w14:textId="3EF4D604" w:rsidR="006D7C99" w:rsidRDefault="00B627FC" w:rsidP="00E80D00">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 xml:space="preserve">Miguel </w:t>
      </w:r>
      <w:r w:rsidR="00ED5BF4">
        <w:rPr>
          <w:rFonts w:ascii="Verdana" w:eastAsia="Calibri" w:hAnsi="Verdana" w:cs="Arial"/>
          <w:b/>
          <w:lang w:val="es-ES_tradnl" w:eastAsia="es-ES_tradnl"/>
        </w:rPr>
        <w:t xml:space="preserve">Alejandro </w:t>
      </w:r>
      <w:r>
        <w:rPr>
          <w:rFonts w:ascii="Verdana" w:eastAsia="Calibri" w:hAnsi="Verdana" w:cs="Arial"/>
          <w:b/>
          <w:lang w:val="es-ES_tradnl" w:eastAsia="es-ES_tradnl"/>
        </w:rPr>
        <w:t xml:space="preserve">Sarmiento </w:t>
      </w:r>
      <w:r w:rsidR="00ED5BF4">
        <w:rPr>
          <w:rFonts w:ascii="Verdana" w:eastAsia="Calibri" w:hAnsi="Verdana" w:cs="Arial"/>
          <w:b/>
          <w:lang w:val="es-ES_tradnl" w:eastAsia="es-ES_tradnl"/>
        </w:rPr>
        <w:t>Mojica</w:t>
      </w:r>
    </w:p>
    <w:p w14:paraId="09801C29" w14:textId="02AC1A49" w:rsidR="001F15F6" w:rsidRPr="001F15F6" w:rsidRDefault="00E80D00" w:rsidP="00E80D00">
      <w:pPr>
        <w:spacing w:after="0" w:line="240" w:lineRule="auto"/>
        <w:rPr>
          <w:rFonts w:ascii="Verdana" w:eastAsia="Calibri" w:hAnsi="Verdana" w:cs="Arial"/>
          <w:lang w:val="es-ES" w:eastAsia="es-ES"/>
        </w:rPr>
      </w:pPr>
      <w:r w:rsidRPr="00E80D00">
        <w:rPr>
          <w:rFonts w:ascii="Verdana" w:eastAsia="Calibri" w:hAnsi="Verdana" w:cs="Arial"/>
          <w:lang w:val="es-ES" w:eastAsia="es-ES"/>
        </w:rPr>
        <w:t xml:space="preserve">sarmiento.miguel@javeriana.edu.co </w:t>
      </w:r>
    </w:p>
    <w:p w14:paraId="00081778" w14:textId="03E65C8E" w:rsidR="008E6AD9" w:rsidRDefault="00E80D00" w:rsidP="00CE37A3">
      <w:pPr>
        <w:spacing w:after="0" w:line="240" w:lineRule="auto"/>
        <w:rPr>
          <w:rFonts w:ascii="Verdana" w:eastAsia="Calibri" w:hAnsi="Verdana" w:cs="Arial"/>
          <w:lang w:val="es-ES" w:eastAsia="es-ES"/>
        </w:rPr>
      </w:pPr>
      <w:r>
        <w:rPr>
          <w:rFonts w:ascii="Verdana" w:eastAsia="Calibri" w:hAnsi="Verdana" w:cs="Arial"/>
          <w:lang w:val="es-ES" w:eastAsia="es-ES"/>
        </w:rPr>
        <w:t>Tame</w:t>
      </w:r>
      <w:r w:rsidR="00764AF9">
        <w:rPr>
          <w:rFonts w:ascii="Verdana" w:eastAsia="Calibri" w:hAnsi="Verdana" w:cs="Arial"/>
          <w:lang w:val="es-ES" w:eastAsia="es-ES"/>
        </w:rPr>
        <w:t xml:space="preserve">, </w:t>
      </w:r>
      <w:r w:rsidR="00590346">
        <w:rPr>
          <w:rFonts w:ascii="Verdana" w:eastAsia="Calibri" w:hAnsi="Verdana" w:cs="Arial"/>
          <w:lang w:val="es-ES" w:eastAsia="es-ES"/>
        </w:rPr>
        <w:t>Arauca</w:t>
      </w:r>
      <w:r w:rsidR="00FA0F71">
        <w:rPr>
          <w:rFonts w:ascii="Verdana" w:eastAsia="Calibri" w:hAnsi="Verdana" w:cs="Arial"/>
          <w:lang w:val="es-ES" w:eastAsia="es-ES"/>
        </w:rPr>
        <w:t xml:space="preserve"> </w:t>
      </w:r>
    </w:p>
    <w:p w14:paraId="083F7B5B" w14:textId="77777777" w:rsidR="00497575" w:rsidRPr="00593A5F" w:rsidRDefault="00497575" w:rsidP="00CE37A3">
      <w:pPr>
        <w:spacing w:after="0" w:line="240" w:lineRule="auto"/>
        <w:rPr>
          <w:rFonts w:ascii="Verdana" w:eastAsia="Calibri" w:hAnsi="Verdana" w:cs="Arial"/>
          <w:b/>
          <w:bCs/>
          <w:color w:val="000000"/>
          <w:lang w:val="es-ES_tradnl" w:eastAsia="es-ES_tradnl"/>
        </w:rPr>
      </w:pPr>
    </w:p>
    <w:p w14:paraId="63F71607" w14:textId="77777777" w:rsidR="00B30448" w:rsidRPr="00593A5F" w:rsidRDefault="00B30448" w:rsidP="00CE37A3">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E37A3" w:rsidRPr="007B7B52" w14:paraId="32935393" w14:textId="77777777" w:rsidTr="000F1AD8">
        <w:trPr>
          <w:trHeight w:val="884"/>
        </w:trPr>
        <w:tc>
          <w:tcPr>
            <w:tcW w:w="2689" w:type="dxa"/>
          </w:tcPr>
          <w:p w14:paraId="5615C8B0" w14:textId="77777777" w:rsidR="00CE37A3" w:rsidRPr="00D74219" w:rsidRDefault="00CE37A3" w:rsidP="00CE37A3">
            <w:pPr>
              <w:jc w:val="both"/>
              <w:rPr>
                <w:rFonts w:ascii="Verdana" w:eastAsia="Calibri" w:hAnsi="Verdana" w:cs="Arial"/>
                <w:b/>
                <w:bCs/>
                <w:color w:val="7030A0"/>
                <w:lang w:val="es-ES_tradnl" w:eastAsia="es-ES_tradnl"/>
              </w:rPr>
            </w:pPr>
          </w:p>
        </w:tc>
        <w:tc>
          <w:tcPr>
            <w:tcW w:w="6100" w:type="dxa"/>
          </w:tcPr>
          <w:p w14:paraId="1CC0FC14" w14:textId="7100C18E" w:rsidR="00CE37A3" w:rsidRPr="00D74219" w:rsidRDefault="00CE37A3" w:rsidP="00CE37A3">
            <w:pPr>
              <w:jc w:val="both"/>
              <w:rPr>
                <w:rFonts w:ascii="Verdana" w:eastAsia="Calibri" w:hAnsi="Verdana" w:cs="Arial"/>
                <w:b/>
                <w:bCs/>
                <w:lang w:val="es-ES" w:eastAsia="es-ES"/>
              </w:rPr>
            </w:pPr>
            <w:r w:rsidRPr="00D74219">
              <w:rPr>
                <w:rFonts w:ascii="Verdana" w:eastAsia="Calibri" w:hAnsi="Verdana" w:cs="Arial"/>
                <w:b/>
                <w:bCs/>
                <w:lang w:val="es-ES" w:eastAsia="es-ES"/>
              </w:rPr>
              <w:t>Concepto C</w:t>
            </w:r>
            <w:r w:rsidR="008E6AD9" w:rsidRPr="00D74219">
              <w:rPr>
                <w:rFonts w:ascii="Verdana" w:eastAsia="Calibri" w:hAnsi="Verdana" w:cs="Arial"/>
                <w:b/>
                <w:bCs/>
                <w:lang w:val="es-ES" w:eastAsia="es-ES"/>
              </w:rPr>
              <w:t xml:space="preserve"> –</w:t>
            </w:r>
            <w:r w:rsidRPr="00D74219">
              <w:rPr>
                <w:rFonts w:ascii="Verdana" w:eastAsia="Calibri" w:hAnsi="Verdana" w:cs="Arial"/>
                <w:b/>
                <w:bCs/>
                <w:lang w:val="es-ES" w:eastAsia="es-ES"/>
              </w:rPr>
              <w:t xml:space="preserve"> </w:t>
            </w:r>
            <w:r w:rsidR="00B627FC" w:rsidRPr="00D74219">
              <w:rPr>
                <w:rFonts w:ascii="Verdana" w:eastAsia="Calibri" w:hAnsi="Verdana" w:cs="Arial"/>
                <w:b/>
                <w:bCs/>
                <w:lang w:val="es-ES" w:eastAsia="es-ES"/>
              </w:rPr>
              <w:t>793</w:t>
            </w:r>
            <w:r w:rsidRPr="00D74219">
              <w:rPr>
                <w:rFonts w:ascii="Verdana" w:eastAsia="Calibri" w:hAnsi="Verdana" w:cs="Arial"/>
                <w:b/>
                <w:bCs/>
                <w:lang w:val="es-ES" w:eastAsia="es-ES"/>
              </w:rPr>
              <w:t xml:space="preserve"> de 2024</w:t>
            </w:r>
          </w:p>
        </w:tc>
      </w:tr>
      <w:tr w:rsidR="00B30448" w:rsidRPr="007B7B52" w14:paraId="52EC412F" w14:textId="77777777" w:rsidTr="000F1AD8">
        <w:trPr>
          <w:trHeight w:val="884"/>
        </w:trPr>
        <w:tc>
          <w:tcPr>
            <w:tcW w:w="2689" w:type="dxa"/>
          </w:tcPr>
          <w:p w14:paraId="752B683B" w14:textId="77777777" w:rsidR="00B30448" w:rsidRPr="00593A5F" w:rsidRDefault="00B30448" w:rsidP="00CE37A3">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513F84AD" w14:textId="39A7CC9D" w:rsidR="007B7B52" w:rsidRPr="00593A5F" w:rsidRDefault="0021798E" w:rsidP="007B7B52">
            <w:pPr>
              <w:jc w:val="both"/>
              <w:rPr>
                <w:rFonts w:ascii="Verdana" w:eastAsia="Calibri" w:hAnsi="Verdana" w:cs="Arial"/>
                <w:lang w:val="es-ES" w:eastAsia="es-ES"/>
              </w:rPr>
            </w:pPr>
            <w:r w:rsidRPr="007B7B52">
              <w:rPr>
                <w:rFonts w:ascii="Verdana" w:eastAsia="Calibri" w:hAnsi="Verdana" w:cs="Arial"/>
                <w:lang w:val="es-ES" w:eastAsia="es-ES"/>
              </w:rPr>
              <w:t>OBSERVACIONES EXTEMPORÁNEAS – Rechazo – Principio de economía –</w:t>
            </w:r>
            <w:r w:rsidR="00AC7956">
              <w:rPr>
                <w:rFonts w:ascii="Verdana" w:eastAsia="Calibri" w:hAnsi="Verdana" w:cs="Arial"/>
                <w:lang w:val="es-ES" w:eastAsia="es-ES"/>
              </w:rPr>
              <w:t xml:space="preserve"> </w:t>
            </w:r>
            <w:r w:rsidRPr="007B7B52">
              <w:rPr>
                <w:rFonts w:ascii="Verdana" w:eastAsia="Calibri" w:hAnsi="Verdana" w:cs="Arial"/>
                <w:lang w:val="es-ES" w:eastAsia="es-ES"/>
              </w:rPr>
              <w:t xml:space="preserve">Términos preclusivos y perentorios </w:t>
            </w:r>
            <w:r w:rsidR="000F0807">
              <w:rPr>
                <w:rFonts w:ascii="Verdana" w:eastAsia="Calibri" w:hAnsi="Verdana" w:cs="Arial"/>
                <w:lang w:val="es-ES" w:eastAsia="es-ES"/>
              </w:rPr>
              <w:t xml:space="preserve">/ </w:t>
            </w:r>
            <w:r w:rsidR="00410AA1">
              <w:rPr>
                <w:rFonts w:ascii="Verdana" w:eastAsia="Calibri" w:hAnsi="Verdana" w:cs="Arial"/>
                <w:lang w:val="es-ES" w:eastAsia="es-ES"/>
              </w:rPr>
              <w:t xml:space="preserve">DOCUMENTOS TIPO </w:t>
            </w:r>
            <w:r w:rsidR="000F0807" w:rsidRPr="007B7B52">
              <w:rPr>
                <w:rFonts w:ascii="Verdana" w:eastAsia="Calibri" w:hAnsi="Verdana" w:cs="Arial"/>
                <w:lang w:val="es-ES" w:eastAsia="es-ES"/>
              </w:rPr>
              <w:t>–</w:t>
            </w:r>
            <w:r w:rsidR="000F0807">
              <w:rPr>
                <w:rFonts w:ascii="Verdana" w:eastAsia="Calibri" w:hAnsi="Verdana" w:cs="Arial"/>
                <w:lang w:val="es-ES" w:eastAsia="es-ES"/>
              </w:rPr>
              <w:t xml:space="preserve"> </w:t>
            </w:r>
            <w:r w:rsidR="00AC7956">
              <w:rPr>
                <w:rFonts w:ascii="Verdana" w:eastAsia="Calibri" w:hAnsi="Verdana" w:cs="Arial"/>
                <w:lang w:val="es-ES" w:eastAsia="es-ES"/>
              </w:rPr>
              <w:t xml:space="preserve">Información inexacta </w:t>
            </w:r>
            <w:r w:rsidR="00AC7956" w:rsidRPr="007B7B52">
              <w:rPr>
                <w:rFonts w:ascii="Verdana" w:eastAsia="Calibri" w:hAnsi="Verdana" w:cs="Arial"/>
                <w:lang w:val="es-ES" w:eastAsia="es-ES"/>
              </w:rPr>
              <w:t>–</w:t>
            </w:r>
            <w:r w:rsidR="00AC7956">
              <w:rPr>
                <w:rFonts w:ascii="Verdana" w:eastAsia="Calibri" w:hAnsi="Verdana" w:cs="Arial"/>
                <w:lang w:val="es-ES" w:eastAsia="es-ES"/>
              </w:rPr>
              <w:t xml:space="preserve"> Deber de </w:t>
            </w:r>
            <w:r w:rsidR="00605B9D">
              <w:rPr>
                <w:rFonts w:ascii="Verdana" w:eastAsia="Calibri" w:hAnsi="Verdana" w:cs="Arial"/>
                <w:lang w:val="es-ES" w:eastAsia="es-ES"/>
              </w:rPr>
              <w:t>verificación</w:t>
            </w:r>
            <w:r w:rsidR="00AC7956">
              <w:rPr>
                <w:rFonts w:ascii="Verdana" w:eastAsia="Calibri" w:hAnsi="Verdana" w:cs="Arial"/>
                <w:lang w:val="es-ES" w:eastAsia="es-ES"/>
              </w:rPr>
              <w:t xml:space="preserve"> </w:t>
            </w:r>
          </w:p>
          <w:p w14:paraId="1D4AA017" w14:textId="40062F78" w:rsidR="00D1484F" w:rsidRPr="00593A5F" w:rsidRDefault="00D1484F" w:rsidP="00D1484F">
            <w:pPr>
              <w:spacing w:line="276" w:lineRule="auto"/>
              <w:jc w:val="both"/>
              <w:rPr>
                <w:rFonts w:ascii="Verdana" w:eastAsia="Calibri" w:hAnsi="Verdana" w:cs="Arial"/>
                <w:lang w:val="es-ES" w:eastAsia="es-ES"/>
              </w:rPr>
            </w:pPr>
          </w:p>
        </w:tc>
      </w:tr>
      <w:tr w:rsidR="008E6AD9" w:rsidRPr="008E6AD9" w14:paraId="496C9430" w14:textId="77777777" w:rsidTr="000F1AD8">
        <w:tc>
          <w:tcPr>
            <w:tcW w:w="2689" w:type="dxa"/>
          </w:tcPr>
          <w:p w14:paraId="4C8D9612" w14:textId="77777777" w:rsidR="00B30448" w:rsidRPr="008E6AD9" w:rsidRDefault="00B30448" w:rsidP="00CE37A3">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6EC2FCE3" w14:textId="713695B2" w:rsidR="00B30448" w:rsidRPr="008E6AD9" w:rsidRDefault="00B30448" w:rsidP="00CE37A3">
            <w:pPr>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sidR="00B71607">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consulta</w:t>
            </w:r>
            <w:r w:rsidR="009A5453" w:rsidRPr="008E6AD9">
              <w:rPr>
                <w:rFonts w:ascii="Verdana" w:eastAsia="Calibri" w:hAnsi="Verdana" w:cs="Arial"/>
                <w:lang w:val="es-ES_tradnl" w:eastAsia="es-ES_tradnl"/>
              </w:rPr>
              <w:t xml:space="preserve"> con radicado No.</w:t>
            </w:r>
            <w:r w:rsidRPr="008E6AD9">
              <w:rPr>
                <w:rFonts w:ascii="Verdana" w:eastAsia="Calibri" w:hAnsi="Verdana" w:cs="Arial"/>
                <w:lang w:val="es-ES_tradnl" w:eastAsia="es-ES_tradnl"/>
              </w:rPr>
              <w:t xml:space="preserve"> </w:t>
            </w:r>
            <w:r w:rsidR="004612A4" w:rsidRPr="004612A4">
              <w:rPr>
                <w:rFonts w:ascii="Verdana" w:eastAsia="Calibri" w:hAnsi="Verdana" w:cs="Arial"/>
                <w:lang w:val="es-ES_tradnl" w:eastAsia="es-ES_tradnl"/>
              </w:rPr>
              <w:t>P20241029010965</w:t>
            </w:r>
            <w:r w:rsidR="008E6AD9" w:rsidRPr="008E6AD9">
              <w:rPr>
                <w:rFonts w:ascii="Verdana" w:eastAsia="Calibri" w:hAnsi="Verdana" w:cs="Arial"/>
                <w:lang w:val="es-ES_tradnl" w:eastAsia="es-ES_tradnl"/>
              </w:rPr>
              <w:t xml:space="preserve"> </w:t>
            </w:r>
            <w:r w:rsidR="008E6AD9">
              <w:rPr>
                <w:rFonts w:ascii="Verdana" w:eastAsia="Calibri" w:hAnsi="Verdana" w:cs="Arial"/>
                <w:lang w:val="es-ES_tradnl" w:eastAsia="es-ES_tradnl"/>
              </w:rPr>
              <w:t xml:space="preserve">                                  </w:t>
            </w:r>
          </w:p>
        </w:tc>
      </w:tr>
    </w:tbl>
    <w:p w14:paraId="657DDBDD" w14:textId="77777777" w:rsidR="00B30448" w:rsidRPr="00593A5F" w:rsidRDefault="00B30448" w:rsidP="00CE37A3">
      <w:pPr>
        <w:spacing w:after="0" w:line="240" w:lineRule="auto"/>
        <w:jc w:val="both"/>
        <w:rPr>
          <w:rFonts w:ascii="Verdana" w:eastAsia="Calibri" w:hAnsi="Verdana" w:cs="Arial"/>
          <w:color w:val="000000"/>
          <w:lang w:val="es-ES_tradnl" w:eastAsia="es-ES_tradnl"/>
        </w:rPr>
      </w:pPr>
    </w:p>
    <w:p w14:paraId="286892BD" w14:textId="77777777" w:rsidR="00B30448" w:rsidRPr="00593A5F" w:rsidRDefault="00B30448" w:rsidP="00CE37A3">
      <w:pPr>
        <w:spacing w:after="0" w:line="240" w:lineRule="auto"/>
        <w:jc w:val="both"/>
        <w:rPr>
          <w:rFonts w:ascii="Verdana" w:eastAsia="Calibri" w:hAnsi="Verdana" w:cs="Arial"/>
          <w:color w:val="000000"/>
          <w:lang w:val="es-ES_tradnl" w:eastAsia="es-ES_tradnl"/>
        </w:rPr>
      </w:pPr>
    </w:p>
    <w:p w14:paraId="4ED23440" w14:textId="32D5D35E" w:rsidR="00B30448" w:rsidRPr="008E6AD9" w:rsidRDefault="00B30448" w:rsidP="00E84D1C">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sidR="00FA0F71">
        <w:rPr>
          <w:rFonts w:ascii="Verdana" w:eastAsia="Calibri" w:hAnsi="Verdana" w:cs="Arial"/>
          <w:lang w:val="es-ES" w:eastAsia="es-ES"/>
        </w:rPr>
        <w:t>o</w:t>
      </w:r>
      <w:r w:rsidRPr="008E6AD9">
        <w:rPr>
          <w:rFonts w:ascii="Verdana" w:eastAsia="Calibri" w:hAnsi="Verdana" w:cs="Arial"/>
          <w:lang w:val="es-ES" w:eastAsia="es-ES"/>
        </w:rPr>
        <w:t xml:space="preserve"> señor</w:t>
      </w:r>
      <w:r w:rsidR="00270443" w:rsidRPr="008E6AD9">
        <w:rPr>
          <w:rFonts w:ascii="Verdana" w:eastAsia="Calibri" w:hAnsi="Verdana" w:cs="Arial"/>
          <w:lang w:val="es-ES" w:eastAsia="es-ES"/>
        </w:rPr>
        <w:t xml:space="preserve"> </w:t>
      </w:r>
      <w:r w:rsidR="00111E35">
        <w:rPr>
          <w:rFonts w:ascii="Verdana" w:eastAsia="Calibri" w:hAnsi="Verdana" w:cs="Arial"/>
          <w:lang w:val="es-ES" w:eastAsia="es-ES"/>
        </w:rPr>
        <w:t>S</w:t>
      </w:r>
      <w:r w:rsidR="004612A4">
        <w:rPr>
          <w:rFonts w:ascii="Verdana" w:eastAsia="Calibri" w:hAnsi="Verdana" w:cs="Arial"/>
          <w:lang w:val="es-ES" w:eastAsia="es-ES"/>
        </w:rPr>
        <w:t>armiento Mojica</w:t>
      </w:r>
      <w:r w:rsidRPr="008E6AD9">
        <w:rPr>
          <w:rFonts w:ascii="Verdana" w:eastAsia="Calibri" w:hAnsi="Verdana" w:cs="Arial"/>
          <w:lang w:val="es-ES" w:eastAsia="es-ES"/>
        </w:rPr>
        <w:t xml:space="preserve">: </w:t>
      </w:r>
    </w:p>
    <w:p w14:paraId="47D52CB6" w14:textId="28FC249B" w:rsidR="0013343F" w:rsidRDefault="00631D4F" w:rsidP="00631D4F">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7A40824C" w14:textId="4B23FFB9" w:rsidR="009442E8" w:rsidRPr="00593A5F" w:rsidRDefault="00B30448" w:rsidP="00E84D1C">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 xml:space="preserve">En ejercicio de la competencia otorgada por </w:t>
      </w:r>
      <w:r w:rsidR="009A5453" w:rsidRPr="00593A5F">
        <w:rPr>
          <w:rFonts w:ascii="Verdana" w:eastAsia="Calibri" w:hAnsi="Verdana" w:cs="Arial"/>
          <w:color w:val="000000" w:themeColor="text1"/>
          <w:lang w:val="es-ES" w:eastAsia="es-ES"/>
        </w:rPr>
        <w:t>los artículo</w:t>
      </w:r>
      <w:r w:rsidR="00AB1984" w:rsidRPr="00593A5F">
        <w:rPr>
          <w:rFonts w:ascii="Verdana" w:eastAsia="Calibri" w:hAnsi="Verdana" w:cs="Arial"/>
          <w:color w:val="000000" w:themeColor="text1"/>
          <w:lang w:val="es-ES" w:eastAsia="es-ES"/>
        </w:rPr>
        <w:t>s</w:t>
      </w:r>
      <w:r w:rsidR="009A5453" w:rsidRPr="00593A5F">
        <w:rPr>
          <w:rFonts w:ascii="Verdana" w:eastAsia="Calibri" w:hAnsi="Verdana" w:cs="Arial"/>
          <w:color w:val="000000" w:themeColor="text1"/>
          <w:lang w:val="es-ES" w:eastAsia="es-ES"/>
        </w:rPr>
        <w:t xml:space="preserve"> 3,</w:t>
      </w:r>
      <w:r w:rsidRPr="00593A5F">
        <w:rPr>
          <w:rFonts w:ascii="Verdana" w:eastAsia="Calibri" w:hAnsi="Verdana" w:cs="Arial"/>
          <w:color w:val="000000" w:themeColor="text1"/>
          <w:lang w:val="es-ES" w:eastAsia="es-ES"/>
        </w:rPr>
        <w:t xml:space="preserve"> numeral </w:t>
      </w:r>
      <w:r w:rsidR="009A5453" w:rsidRPr="00593A5F">
        <w:rPr>
          <w:rFonts w:ascii="Verdana" w:eastAsia="Calibri" w:hAnsi="Verdana" w:cs="Arial"/>
          <w:color w:val="000000" w:themeColor="text1"/>
          <w:lang w:val="es-ES" w:eastAsia="es-ES"/>
        </w:rPr>
        <w:t>5</w:t>
      </w:r>
      <w:r w:rsidR="00215516" w:rsidRPr="00593A5F">
        <w:rPr>
          <w:rFonts w:ascii="Verdana" w:eastAsia="Calibri" w:hAnsi="Verdana" w:cs="Arial"/>
          <w:color w:val="000000" w:themeColor="text1"/>
          <w:lang w:val="es-ES" w:eastAsia="es-ES"/>
        </w:rPr>
        <w:t>º</w:t>
      </w:r>
      <w:r w:rsidR="00F64D5A" w:rsidRPr="00593A5F">
        <w:rPr>
          <w:rFonts w:ascii="Verdana" w:eastAsia="Calibri" w:hAnsi="Verdana" w:cs="Arial"/>
          <w:color w:val="000000" w:themeColor="text1"/>
          <w:lang w:val="es-ES" w:eastAsia="es-ES"/>
        </w:rPr>
        <w:t>,</w:t>
      </w:r>
      <w:r w:rsidRPr="00593A5F">
        <w:rPr>
          <w:rFonts w:ascii="Verdana" w:eastAsia="Calibri" w:hAnsi="Verdana" w:cs="Arial"/>
          <w:color w:val="000000" w:themeColor="text1"/>
          <w:lang w:val="es-ES" w:eastAsia="es-ES"/>
        </w:rPr>
        <w:t xml:space="preserve"> </w:t>
      </w:r>
      <w:r w:rsidR="009A5453" w:rsidRPr="00593A5F">
        <w:rPr>
          <w:rFonts w:ascii="Verdana" w:eastAsia="Calibri" w:hAnsi="Verdana" w:cs="Arial"/>
          <w:color w:val="000000" w:themeColor="text1"/>
          <w:lang w:val="es-ES" w:eastAsia="es-ES"/>
        </w:rPr>
        <w:t>y</w:t>
      </w:r>
      <w:r w:rsidRPr="00593A5F">
        <w:rPr>
          <w:rFonts w:ascii="Verdana" w:eastAsia="Calibri" w:hAnsi="Verdana" w:cs="Arial"/>
          <w:color w:val="000000" w:themeColor="text1"/>
          <w:lang w:val="es-ES" w:eastAsia="es-ES"/>
        </w:rPr>
        <w:t xml:space="preserve"> 11</w:t>
      </w:r>
      <w:r w:rsidR="00F64D5A" w:rsidRPr="00593A5F">
        <w:rPr>
          <w:rFonts w:ascii="Verdana" w:eastAsia="Calibri" w:hAnsi="Verdana" w:cs="Arial"/>
          <w:color w:val="000000" w:themeColor="text1"/>
          <w:lang w:val="es-ES" w:eastAsia="es-ES"/>
        </w:rPr>
        <w:t>,</w:t>
      </w:r>
      <w:r w:rsidR="00AB1984" w:rsidRPr="00593A5F">
        <w:rPr>
          <w:rFonts w:ascii="Verdana" w:eastAsia="Calibri" w:hAnsi="Verdana" w:cs="Arial"/>
          <w:color w:val="000000" w:themeColor="text1"/>
          <w:lang w:val="es-ES" w:eastAsia="es-ES"/>
        </w:rPr>
        <w:t xml:space="preserve"> </w:t>
      </w:r>
      <w:r w:rsidRPr="00593A5F">
        <w:rPr>
          <w:rFonts w:ascii="Verdana" w:eastAsia="Calibri" w:hAnsi="Verdana" w:cs="Arial"/>
          <w:color w:val="000000" w:themeColor="text1"/>
          <w:lang w:val="es-ES" w:eastAsia="es-ES"/>
        </w:rPr>
        <w:t xml:space="preserve">numeral </w:t>
      </w:r>
      <w:r w:rsidR="00AB1984" w:rsidRPr="00593A5F">
        <w:rPr>
          <w:rFonts w:ascii="Verdana" w:eastAsia="Calibri" w:hAnsi="Verdana" w:cs="Arial"/>
          <w:color w:val="000000" w:themeColor="text1"/>
          <w:lang w:val="es-ES" w:eastAsia="es-ES"/>
        </w:rPr>
        <w:t>8</w:t>
      </w:r>
      <w:r w:rsidR="00215516" w:rsidRPr="00593A5F">
        <w:rPr>
          <w:rFonts w:ascii="Verdana" w:eastAsia="Calibri" w:hAnsi="Verdana" w:cs="Arial"/>
          <w:color w:val="000000" w:themeColor="text1"/>
          <w:lang w:val="es-ES" w:eastAsia="es-ES"/>
        </w:rPr>
        <w:t>º</w:t>
      </w:r>
      <w:r w:rsidR="00F64D5A" w:rsidRPr="00593A5F">
        <w:rPr>
          <w:rFonts w:ascii="Verdana" w:eastAsia="Calibri" w:hAnsi="Verdana" w:cs="Arial"/>
          <w:color w:val="000000" w:themeColor="text1"/>
          <w:lang w:val="es-ES" w:eastAsia="es-ES"/>
        </w:rPr>
        <w:t>,</w:t>
      </w:r>
      <w:r w:rsidRPr="00593A5F">
        <w:rPr>
          <w:rFonts w:ascii="Verdana" w:eastAsia="Calibri" w:hAnsi="Verdana" w:cs="Arial"/>
          <w:color w:val="000000" w:themeColor="text1"/>
          <w:lang w:val="es-ES" w:eastAsia="es-ES"/>
        </w:rPr>
        <w:t xml:space="preserve"> del Decreto Ley 4170 de 2011,</w:t>
      </w:r>
      <w:r w:rsidRPr="00593A5F">
        <w:rPr>
          <w:rFonts w:ascii="Verdana" w:eastAsia="Arial MT" w:hAnsi="Verdana" w:cs="Arial MT"/>
          <w:lang w:val="es-ES" w:eastAsia="es-ES"/>
        </w:rPr>
        <w:t xml:space="preserve"> </w:t>
      </w:r>
      <w:r w:rsidR="002A0F8D" w:rsidRPr="00593A5F">
        <w:rPr>
          <w:rFonts w:ascii="Verdana" w:hAnsi="Verdana" w:cs="Arial"/>
        </w:rPr>
        <w:t xml:space="preserve">así como lo establecido en </w:t>
      </w:r>
      <w:r w:rsidR="00DC2C48">
        <w:rPr>
          <w:rFonts w:ascii="Verdana" w:hAnsi="Verdana" w:cs="Arial"/>
        </w:rPr>
        <w:t xml:space="preserve">el artículo 4 de </w:t>
      </w:r>
      <w:r w:rsidR="002A0F8D"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sidR="004612A4">
        <w:rPr>
          <w:rFonts w:ascii="Verdana" w:eastAsia="Calibri" w:hAnsi="Verdana" w:cs="Arial"/>
          <w:color w:val="000000" w:themeColor="text1"/>
          <w:lang w:val="es-ES" w:eastAsia="es-ES"/>
        </w:rPr>
        <w:t>l</w:t>
      </w:r>
      <w:r w:rsidR="00DC2C48">
        <w:rPr>
          <w:rFonts w:ascii="Verdana" w:eastAsia="Calibri" w:hAnsi="Verdana" w:cs="Arial"/>
          <w:color w:val="000000" w:themeColor="text1"/>
          <w:lang w:val="es-ES" w:eastAsia="es-ES"/>
        </w:rPr>
        <w:t xml:space="preserve"> </w:t>
      </w:r>
      <w:r w:rsidR="00FA0F71">
        <w:rPr>
          <w:rFonts w:ascii="Verdana" w:eastAsia="Calibri" w:hAnsi="Verdana" w:cs="Arial"/>
          <w:lang w:val="es-ES" w:eastAsia="es-ES"/>
        </w:rPr>
        <w:t>2</w:t>
      </w:r>
      <w:r w:rsidR="005C6167">
        <w:rPr>
          <w:rFonts w:ascii="Verdana" w:eastAsia="Calibri" w:hAnsi="Verdana" w:cs="Arial"/>
          <w:lang w:val="es-ES" w:eastAsia="es-ES"/>
        </w:rPr>
        <w:t>9</w:t>
      </w:r>
      <w:r w:rsidR="00772B41">
        <w:rPr>
          <w:rFonts w:ascii="Verdana" w:eastAsia="Calibri" w:hAnsi="Verdana" w:cs="Arial"/>
          <w:lang w:val="es-ES" w:eastAsia="es-ES"/>
        </w:rPr>
        <w:t xml:space="preserve"> de </w:t>
      </w:r>
      <w:r w:rsidR="004410D3">
        <w:rPr>
          <w:rFonts w:ascii="Verdana" w:eastAsia="Calibri" w:hAnsi="Verdana" w:cs="Arial"/>
          <w:lang w:val="es-ES" w:eastAsia="es-ES"/>
        </w:rPr>
        <w:t>octubre</w:t>
      </w:r>
      <w:r w:rsidRPr="008E6AD9">
        <w:rPr>
          <w:rFonts w:ascii="Verdana" w:eastAsia="Calibri" w:hAnsi="Verdana" w:cs="Arial"/>
          <w:lang w:val="es-ES" w:eastAsia="es-ES"/>
        </w:rPr>
        <w:t xml:space="preserve"> de 20</w:t>
      </w:r>
      <w:r w:rsidR="008E6AD9" w:rsidRPr="008E6AD9">
        <w:rPr>
          <w:rFonts w:ascii="Verdana" w:eastAsia="Calibri" w:hAnsi="Verdana" w:cs="Arial"/>
          <w:lang w:val="es-ES" w:eastAsia="es-ES"/>
        </w:rPr>
        <w:t>24</w:t>
      </w:r>
      <w:r w:rsidR="00057963" w:rsidRPr="008E6AD9">
        <w:rPr>
          <w:rFonts w:ascii="Verdana" w:eastAsia="Calibri" w:hAnsi="Verdana" w:cs="Arial"/>
          <w:lang w:val="es-ES" w:eastAsia="es-ES"/>
        </w:rPr>
        <w:t>,</w:t>
      </w:r>
      <w:r w:rsidR="00772B41">
        <w:rPr>
          <w:rFonts w:ascii="Verdana" w:eastAsia="Calibri" w:hAnsi="Verdana" w:cs="Arial"/>
          <w:lang w:val="es-ES" w:eastAsia="es-ES"/>
        </w:rPr>
        <w:t xml:space="preserve"> </w:t>
      </w:r>
      <w:r w:rsidR="00057963" w:rsidRPr="008E6AD9">
        <w:rPr>
          <w:rFonts w:ascii="Verdana" w:eastAsia="Calibri" w:hAnsi="Verdana" w:cs="Arial"/>
          <w:lang w:val="es-ES" w:eastAsia="es-ES"/>
        </w:rPr>
        <w:t>en la cua</w:t>
      </w:r>
      <w:r w:rsidR="008E6AD9">
        <w:rPr>
          <w:rFonts w:ascii="Verdana" w:eastAsia="Calibri" w:hAnsi="Verdana" w:cs="Arial"/>
          <w:lang w:val="es-ES" w:eastAsia="es-ES"/>
        </w:rPr>
        <w:t xml:space="preserve">l </w:t>
      </w:r>
      <w:r w:rsidR="00F535A9">
        <w:rPr>
          <w:rFonts w:ascii="Verdana" w:eastAsia="Calibri" w:hAnsi="Verdana" w:cs="Arial"/>
          <w:lang w:val="es-ES" w:eastAsia="es-ES"/>
        </w:rPr>
        <w:t>pregunta sobre</w:t>
      </w:r>
      <w:r w:rsidR="006021B1">
        <w:rPr>
          <w:rFonts w:ascii="Verdana" w:eastAsia="Calibri" w:hAnsi="Verdana" w:cs="Arial"/>
          <w:lang w:val="es-ES" w:eastAsia="es-ES"/>
        </w:rPr>
        <w:t xml:space="preserve"> lo siguiente</w:t>
      </w:r>
      <w:r w:rsidR="00057963" w:rsidRPr="008E6AD9">
        <w:rPr>
          <w:rFonts w:ascii="Verdana" w:eastAsia="Calibri" w:hAnsi="Verdana" w:cs="Arial"/>
          <w:lang w:val="es-ES" w:eastAsia="es-ES"/>
        </w:rPr>
        <w:t xml:space="preserve">: </w:t>
      </w:r>
    </w:p>
    <w:p w14:paraId="38A0ECFE" w14:textId="24979823" w:rsidR="00057963" w:rsidRPr="00272A7B" w:rsidRDefault="00057963" w:rsidP="00057963">
      <w:pPr>
        <w:pStyle w:val="Prrafodelista"/>
        <w:tabs>
          <w:tab w:val="left" w:pos="142"/>
          <w:tab w:val="left" w:pos="284"/>
        </w:tabs>
        <w:spacing w:line="276" w:lineRule="auto"/>
        <w:ind w:left="0"/>
        <w:jc w:val="both"/>
        <w:rPr>
          <w:rFonts w:ascii="Verdana" w:eastAsia="Century Gothic" w:hAnsi="Verdana" w:cs="Century Gothic"/>
          <w:b/>
          <w:bCs/>
          <w:sz w:val="22"/>
          <w:lang w:val="es-ES"/>
        </w:rPr>
      </w:pPr>
    </w:p>
    <w:p w14:paraId="2CBE250E" w14:textId="77777777" w:rsidR="005C6167" w:rsidRDefault="00FC6D4E" w:rsidP="005C6167">
      <w:pPr>
        <w:spacing w:after="0" w:line="240" w:lineRule="auto"/>
        <w:ind w:left="709" w:right="709"/>
        <w:jc w:val="both"/>
        <w:rPr>
          <w:rFonts w:ascii="Verdana" w:eastAsia="Century Gothic" w:hAnsi="Verdana" w:cs="Century Gothic"/>
          <w:i/>
          <w:iCs/>
          <w:sz w:val="21"/>
          <w:szCs w:val="21"/>
        </w:rPr>
      </w:pPr>
      <w:bookmarkStart w:id="1" w:name="_Hlk95313578"/>
      <w:r w:rsidRPr="00216EFA">
        <w:rPr>
          <w:rFonts w:ascii="Verdana" w:eastAsia="Century Gothic" w:hAnsi="Verdana" w:cs="Century Gothic"/>
          <w:i/>
          <w:iCs/>
          <w:sz w:val="21"/>
          <w:szCs w:val="21"/>
          <w:lang w:val="es-ES"/>
        </w:rPr>
        <w:t>“</w:t>
      </w:r>
      <w:bookmarkEnd w:id="1"/>
      <w:r w:rsidR="005C6167" w:rsidRPr="005C6167">
        <w:rPr>
          <w:rFonts w:ascii="Verdana" w:eastAsia="Century Gothic" w:hAnsi="Verdana" w:cs="Century Gothic"/>
          <w:i/>
          <w:iCs/>
          <w:sz w:val="21"/>
          <w:szCs w:val="21"/>
        </w:rPr>
        <w:t xml:space="preserve">1. En el caso una vez se adjudique un contrato y se observe que alguno de los </w:t>
      </w:r>
      <w:proofErr w:type="spellStart"/>
      <w:r w:rsidR="005C6167" w:rsidRPr="005C6167">
        <w:rPr>
          <w:rFonts w:ascii="Verdana" w:eastAsia="Century Gothic" w:hAnsi="Verdana" w:cs="Century Gothic"/>
          <w:i/>
          <w:iCs/>
          <w:sz w:val="21"/>
          <w:szCs w:val="21"/>
        </w:rPr>
        <w:t>proponenetes</w:t>
      </w:r>
      <w:proofErr w:type="spellEnd"/>
      <w:r w:rsidR="005C6167" w:rsidRPr="005C6167">
        <w:rPr>
          <w:rFonts w:ascii="Verdana" w:eastAsia="Century Gothic" w:hAnsi="Verdana" w:cs="Century Gothic"/>
          <w:i/>
          <w:iCs/>
          <w:sz w:val="21"/>
          <w:szCs w:val="21"/>
        </w:rPr>
        <w:t xml:space="preserve"> presento información inexacta y esta sea reportada las entidades estatales siguiendo el debido proceso, </w:t>
      </w:r>
      <w:proofErr w:type="spellStart"/>
      <w:r w:rsidR="005C6167" w:rsidRPr="005C6167">
        <w:rPr>
          <w:rFonts w:ascii="Verdana" w:eastAsia="Century Gothic" w:hAnsi="Verdana" w:cs="Century Gothic"/>
          <w:i/>
          <w:iCs/>
          <w:sz w:val="21"/>
          <w:szCs w:val="21"/>
        </w:rPr>
        <w:t>priincipiio</w:t>
      </w:r>
      <w:proofErr w:type="spellEnd"/>
      <w:r w:rsidR="005C6167" w:rsidRPr="005C6167">
        <w:rPr>
          <w:rFonts w:ascii="Verdana" w:eastAsia="Century Gothic" w:hAnsi="Verdana" w:cs="Century Gothic"/>
          <w:i/>
          <w:iCs/>
          <w:sz w:val="21"/>
          <w:szCs w:val="21"/>
        </w:rPr>
        <w:t xml:space="preserve"> de transparencia y selección objetiva ¿deben atender la </w:t>
      </w:r>
      <w:r w:rsidR="005C6167" w:rsidRPr="005C6167">
        <w:rPr>
          <w:rFonts w:ascii="Verdana" w:eastAsia="Century Gothic" w:hAnsi="Verdana" w:cs="Century Gothic"/>
          <w:i/>
          <w:iCs/>
          <w:sz w:val="21"/>
          <w:szCs w:val="21"/>
        </w:rPr>
        <w:lastRenderedPageBreak/>
        <w:t xml:space="preserve">observación antes de la firma formal del contrato ?, o por el </w:t>
      </w:r>
      <w:proofErr w:type="spellStart"/>
      <w:r w:rsidR="005C6167" w:rsidRPr="005C6167">
        <w:rPr>
          <w:rFonts w:ascii="Verdana" w:eastAsia="Century Gothic" w:hAnsi="Verdana" w:cs="Century Gothic"/>
          <w:i/>
          <w:iCs/>
          <w:sz w:val="21"/>
          <w:szCs w:val="21"/>
        </w:rPr>
        <w:t>contratio</w:t>
      </w:r>
      <w:proofErr w:type="spellEnd"/>
      <w:r w:rsidR="005C6167" w:rsidRPr="005C6167">
        <w:rPr>
          <w:rFonts w:ascii="Verdana" w:eastAsia="Century Gothic" w:hAnsi="Verdana" w:cs="Century Gothic"/>
          <w:i/>
          <w:iCs/>
          <w:sz w:val="21"/>
          <w:szCs w:val="21"/>
        </w:rPr>
        <w:t xml:space="preserve"> se considera una observación </w:t>
      </w:r>
      <w:proofErr w:type="spellStart"/>
      <w:r w:rsidR="005C6167" w:rsidRPr="005C6167">
        <w:rPr>
          <w:rFonts w:ascii="Verdana" w:eastAsia="Century Gothic" w:hAnsi="Verdana" w:cs="Century Gothic"/>
          <w:i/>
          <w:iCs/>
          <w:sz w:val="21"/>
          <w:szCs w:val="21"/>
        </w:rPr>
        <w:t>extemporanea</w:t>
      </w:r>
      <w:proofErr w:type="spellEnd"/>
      <w:r w:rsidR="005C6167" w:rsidRPr="005C6167">
        <w:rPr>
          <w:rFonts w:ascii="Verdana" w:eastAsia="Century Gothic" w:hAnsi="Verdana" w:cs="Century Gothic"/>
          <w:i/>
          <w:iCs/>
          <w:sz w:val="21"/>
          <w:szCs w:val="21"/>
        </w:rPr>
        <w:t xml:space="preserve">. </w:t>
      </w:r>
    </w:p>
    <w:p w14:paraId="4337E304" w14:textId="77777777" w:rsidR="005C6167" w:rsidRDefault="005C6167" w:rsidP="005C6167">
      <w:pPr>
        <w:spacing w:after="0" w:line="240" w:lineRule="auto"/>
        <w:ind w:left="709" w:right="709"/>
        <w:jc w:val="both"/>
        <w:rPr>
          <w:rFonts w:ascii="Verdana" w:eastAsia="Century Gothic" w:hAnsi="Verdana" w:cs="Century Gothic"/>
          <w:i/>
          <w:iCs/>
          <w:sz w:val="21"/>
          <w:szCs w:val="21"/>
        </w:rPr>
      </w:pPr>
    </w:p>
    <w:p w14:paraId="0AC299D8" w14:textId="15A0570A" w:rsidR="00FC6D4E" w:rsidRPr="005C6167" w:rsidRDefault="005C6167" w:rsidP="005C6167">
      <w:pPr>
        <w:spacing w:after="0" w:line="240" w:lineRule="auto"/>
        <w:ind w:left="709" w:right="709"/>
        <w:jc w:val="both"/>
        <w:rPr>
          <w:rFonts w:ascii="Verdana" w:eastAsia="Century Gothic" w:hAnsi="Verdana" w:cs="Century Gothic"/>
          <w:i/>
          <w:iCs/>
          <w:sz w:val="21"/>
          <w:szCs w:val="21"/>
        </w:rPr>
      </w:pPr>
      <w:r w:rsidRPr="005C6167">
        <w:rPr>
          <w:rFonts w:ascii="Verdana" w:eastAsia="Century Gothic" w:hAnsi="Verdana" w:cs="Century Gothic"/>
          <w:i/>
          <w:iCs/>
          <w:sz w:val="21"/>
          <w:szCs w:val="21"/>
        </w:rPr>
        <w:t xml:space="preserve">2. Siguiendo lo indicado en el apartado información inexacta de los pliegos de condiciones, cuando se encuentren indicios de falsedad de documentos, la entidad debe hacer la consulta formar antes las entidades para consultar si verdaderamente se </w:t>
      </w:r>
      <w:proofErr w:type="spellStart"/>
      <w:r w:rsidRPr="005C6167">
        <w:rPr>
          <w:rFonts w:ascii="Verdana" w:eastAsia="Century Gothic" w:hAnsi="Verdana" w:cs="Century Gothic"/>
          <w:i/>
          <w:iCs/>
          <w:sz w:val="21"/>
          <w:szCs w:val="21"/>
        </w:rPr>
        <w:t>esta</w:t>
      </w:r>
      <w:proofErr w:type="spellEnd"/>
      <w:r w:rsidRPr="005C6167">
        <w:rPr>
          <w:rFonts w:ascii="Verdana" w:eastAsia="Century Gothic" w:hAnsi="Verdana" w:cs="Century Gothic"/>
          <w:i/>
          <w:iCs/>
          <w:sz w:val="21"/>
          <w:szCs w:val="21"/>
        </w:rPr>
        <w:t xml:space="preserve"> presentando información inexacta? y hacer llamado a los entes de control como procuraduría, o cuando las observaciones de información de inexacta fueron con posterior de la fecha de adjudicación se consideran </w:t>
      </w:r>
      <w:proofErr w:type="spellStart"/>
      <w:r w:rsidRPr="005C6167">
        <w:rPr>
          <w:rFonts w:ascii="Verdana" w:eastAsia="Century Gothic" w:hAnsi="Verdana" w:cs="Century Gothic"/>
          <w:i/>
          <w:iCs/>
          <w:sz w:val="21"/>
          <w:szCs w:val="21"/>
        </w:rPr>
        <w:t>extemporaneas</w:t>
      </w:r>
      <w:proofErr w:type="spellEnd"/>
      <w:r w:rsidRPr="005C6167">
        <w:rPr>
          <w:rFonts w:ascii="Verdana" w:eastAsia="Century Gothic" w:hAnsi="Verdana" w:cs="Century Gothic"/>
          <w:i/>
          <w:iCs/>
          <w:sz w:val="21"/>
          <w:szCs w:val="21"/>
        </w:rPr>
        <w:t xml:space="preserve"> (fuera de tiempo)</w:t>
      </w:r>
      <w:r w:rsidR="00497575" w:rsidRPr="00216EFA">
        <w:rPr>
          <w:rFonts w:ascii="Verdana" w:eastAsia="Century Gothic" w:hAnsi="Verdana" w:cs="Century Gothic"/>
          <w:i/>
          <w:iCs/>
          <w:sz w:val="21"/>
          <w:szCs w:val="21"/>
          <w:lang w:val="es-ES"/>
        </w:rPr>
        <w:t>”</w:t>
      </w:r>
      <w:r w:rsidR="00FC6D4E" w:rsidRPr="00216EFA">
        <w:rPr>
          <w:rFonts w:ascii="Verdana" w:eastAsia="Century Gothic" w:hAnsi="Verdana" w:cs="Century Gothic"/>
          <w:i/>
          <w:iCs/>
          <w:sz w:val="21"/>
          <w:szCs w:val="21"/>
          <w:lang w:val="es-ES"/>
        </w:rPr>
        <w:t>.</w:t>
      </w:r>
      <w:r w:rsidR="008F3AC3" w:rsidRPr="00216EFA">
        <w:rPr>
          <w:rFonts w:ascii="Verdana" w:eastAsia="Century Gothic" w:hAnsi="Verdana" w:cs="Century Gothic"/>
          <w:i/>
          <w:iCs/>
          <w:sz w:val="20"/>
          <w:szCs w:val="20"/>
          <w:lang w:val="es-ES"/>
        </w:rPr>
        <w:t xml:space="preserve"> </w:t>
      </w:r>
    </w:p>
    <w:p w14:paraId="4001D734" w14:textId="527E7727" w:rsidR="00FC6D4E" w:rsidRPr="008E6AD9" w:rsidRDefault="00FC6D4E" w:rsidP="00057963">
      <w:pPr>
        <w:pStyle w:val="Prrafodelista"/>
        <w:tabs>
          <w:tab w:val="left" w:pos="142"/>
          <w:tab w:val="left" w:pos="284"/>
        </w:tabs>
        <w:spacing w:line="276" w:lineRule="auto"/>
        <w:ind w:left="0"/>
        <w:jc w:val="both"/>
        <w:rPr>
          <w:rFonts w:ascii="Verdana" w:eastAsia="Century Gothic" w:hAnsi="Verdana" w:cs="Century Gothic"/>
          <w:b/>
          <w:bCs/>
          <w:sz w:val="22"/>
          <w:lang w:val="es-ES"/>
        </w:rPr>
      </w:pPr>
    </w:p>
    <w:p w14:paraId="4ACC697B" w14:textId="03ADFEDB" w:rsidR="00992986" w:rsidRPr="00A652FF" w:rsidRDefault="008F27E3" w:rsidP="00A652FF">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00FC6D4E" w:rsidRPr="00593A5F">
        <w:rPr>
          <w:rFonts w:ascii="Verdana" w:eastAsia="Calibri" w:hAnsi="Verdana"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00FC6D4E" w:rsidRPr="00593A5F">
        <w:rPr>
          <w:rFonts w:ascii="Verdana" w:eastAsia="Calibri" w:hAnsi="Verdana" w:cs="Arial"/>
          <w:color w:val="000000"/>
          <w:szCs w:val="24"/>
          <w:lang w:val="es-ES_tradnl" w:eastAsia="es-ES_tradnl"/>
        </w:rPr>
        <w:tab/>
      </w:r>
    </w:p>
    <w:p w14:paraId="07856852" w14:textId="3C3CEEED" w:rsidR="00FC6D4E" w:rsidRDefault="00FC6D4E" w:rsidP="001918F1">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sidR="00992986">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sidR="00992986">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sidR="00992986">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sidR="00992986">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w:t>
      </w:r>
      <w:r w:rsidR="00C638A6">
        <w:rPr>
          <w:rFonts w:ascii="Verdana" w:eastAsia="Calibri" w:hAnsi="Verdana" w:cs="Arial"/>
          <w:color w:val="000000"/>
          <w:lang w:val="es-ES" w:eastAsia="es-ES"/>
        </w:rPr>
        <w:t>la</w:t>
      </w:r>
      <w:r w:rsidR="00D76E76">
        <w:rPr>
          <w:rFonts w:ascii="Verdana" w:eastAsia="Calibri" w:hAnsi="Verdana" w:cs="Arial"/>
          <w:color w:val="000000"/>
          <w:lang w:val="es-ES" w:eastAsia="es-ES"/>
        </w:rPr>
        <w:t xml:space="preserve">s </w:t>
      </w:r>
      <w:r w:rsidR="00C638A6">
        <w:rPr>
          <w:rFonts w:ascii="Verdana" w:eastAsia="Calibri" w:hAnsi="Verdana" w:cs="Arial"/>
          <w:color w:val="000000"/>
          <w:lang w:val="es-ES" w:eastAsia="es-ES"/>
        </w:rPr>
        <w:t>pregunta</w:t>
      </w:r>
      <w:r w:rsidR="00D76E76">
        <w:rPr>
          <w:rFonts w:ascii="Verdana" w:eastAsia="Calibri" w:hAnsi="Verdana" w:cs="Arial"/>
          <w:color w:val="000000"/>
          <w:lang w:val="es-ES" w:eastAsia="es-ES"/>
        </w:rPr>
        <w:t>s</w:t>
      </w:r>
      <w:r w:rsidR="00C638A6">
        <w:rPr>
          <w:rFonts w:ascii="Verdana" w:eastAsia="Calibri" w:hAnsi="Verdana" w:cs="Arial"/>
          <w:color w:val="000000"/>
          <w:lang w:val="es-ES" w:eastAsia="es-ES"/>
        </w:rPr>
        <w:t xml:space="preserve"> de la</w:t>
      </w:r>
      <w:r w:rsidRPr="00593A5F">
        <w:rPr>
          <w:rFonts w:ascii="Verdana" w:eastAsia="Calibri" w:hAnsi="Verdana" w:cs="Arial"/>
          <w:color w:val="000000"/>
          <w:lang w:val="es-ES" w:eastAsia="es-ES"/>
        </w:rPr>
        <w:t xml:space="preserve"> petición, pero haciendo unas consideraciones sobre las normas generales relacionadas con </w:t>
      </w:r>
      <w:r w:rsidR="00A513FD">
        <w:rPr>
          <w:rFonts w:ascii="Verdana" w:eastAsia="Calibri" w:hAnsi="Verdana" w:cs="Arial"/>
          <w:color w:val="000000"/>
          <w:lang w:val="es-ES" w:eastAsia="es-ES"/>
        </w:rPr>
        <w:t>el</w:t>
      </w:r>
      <w:r w:rsidR="00A513FD" w:rsidRPr="00247BDE">
        <w:rPr>
          <w:rFonts w:ascii="Verdana" w:eastAsia="Calibri" w:hAnsi="Verdana" w:cs="Arial"/>
          <w:color w:val="7030A0"/>
          <w:lang w:val="es-ES" w:eastAsia="es-ES"/>
        </w:rPr>
        <w:t xml:space="preserve"> </w:t>
      </w:r>
      <w:r w:rsidR="00A513FD">
        <w:rPr>
          <w:rFonts w:ascii="Verdana" w:eastAsia="Calibri" w:hAnsi="Verdana" w:cs="Arial"/>
          <w:color w:val="000000"/>
          <w:lang w:val="es-ES" w:eastAsia="es-ES"/>
        </w:rPr>
        <w:t>problema</w:t>
      </w:r>
      <w:r w:rsidR="00A513FD" w:rsidRPr="00247BDE">
        <w:rPr>
          <w:rFonts w:ascii="Verdana" w:eastAsia="Calibri" w:hAnsi="Verdana" w:cs="Arial"/>
          <w:color w:val="7030A0"/>
          <w:lang w:val="es-ES" w:eastAsia="es-ES"/>
        </w:rPr>
        <w:t xml:space="preserve"> </w:t>
      </w:r>
      <w:r w:rsidR="00A513FD">
        <w:rPr>
          <w:rFonts w:ascii="Verdana" w:eastAsia="Calibri" w:hAnsi="Verdana" w:cs="Arial"/>
          <w:color w:val="000000"/>
          <w:lang w:val="es-ES" w:eastAsia="es-ES"/>
        </w:rPr>
        <w:t>jurídico</w:t>
      </w:r>
      <w:r w:rsidR="00A513FD" w:rsidRPr="00247BDE">
        <w:rPr>
          <w:rFonts w:ascii="Verdana" w:eastAsia="Calibri" w:hAnsi="Verdana" w:cs="Arial"/>
          <w:color w:val="7030A0"/>
          <w:lang w:val="es-ES" w:eastAsia="es-ES"/>
        </w:rPr>
        <w:t xml:space="preserve"> </w:t>
      </w:r>
      <w:r w:rsidR="00343B47">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10320261" w14:textId="77777777" w:rsidR="001918F1" w:rsidRPr="00593A5F" w:rsidRDefault="001918F1" w:rsidP="001918F1">
      <w:pPr>
        <w:spacing w:after="0" w:line="276" w:lineRule="auto"/>
        <w:ind w:firstLine="709"/>
        <w:jc w:val="both"/>
        <w:rPr>
          <w:rFonts w:ascii="Verdana" w:eastAsia="Calibri" w:hAnsi="Verdana" w:cs="Arial"/>
          <w:color w:val="000000"/>
          <w:lang w:val="es-ES" w:eastAsia="es-ES"/>
        </w:rPr>
      </w:pPr>
    </w:p>
    <w:p w14:paraId="1DF0C9FE" w14:textId="2A6D862D" w:rsidR="00E84D1C" w:rsidRPr="00593A5F" w:rsidRDefault="00E84D1C" w:rsidP="00E84D1C">
      <w:pPr>
        <w:pStyle w:val="Prrafodelista"/>
        <w:numPr>
          <w:ilvl w:val="0"/>
          <w:numId w:val="1"/>
        </w:numPr>
        <w:tabs>
          <w:tab w:val="left" w:pos="142"/>
          <w:tab w:val="left" w:pos="284"/>
        </w:tabs>
        <w:spacing w:line="276" w:lineRule="auto"/>
        <w:ind w:left="0" w:firstLine="0"/>
        <w:jc w:val="both"/>
        <w:rPr>
          <w:rFonts w:ascii="Verdana" w:eastAsia="Century Gothic" w:hAnsi="Verdana" w:cs="Century Gothic"/>
          <w:b/>
          <w:bCs/>
          <w:sz w:val="22"/>
          <w:lang w:val="es-ES"/>
        </w:rPr>
      </w:pPr>
      <w:r w:rsidRPr="00593A5F">
        <w:rPr>
          <w:rFonts w:ascii="Verdana" w:eastAsia="Century Gothic" w:hAnsi="Verdana" w:cs="Century Gothic"/>
          <w:b/>
          <w:bCs/>
          <w:sz w:val="22"/>
          <w:lang w:val="es-ES"/>
        </w:rPr>
        <w:t>Problema</w:t>
      </w:r>
      <w:r w:rsidR="000C42A9">
        <w:rPr>
          <w:rFonts w:ascii="Verdana" w:eastAsia="Century Gothic" w:hAnsi="Verdana" w:cs="Century Gothic"/>
          <w:b/>
          <w:bCs/>
          <w:sz w:val="22"/>
          <w:lang w:val="es-ES"/>
        </w:rPr>
        <w:t>s</w:t>
      </w:r>
      <w:r w:rsidRPr="00593A5F">
        <w:rPr>
          <w:rFonts w:ascii="Verdana" w:eastAsia="Century Gothic" w:hAnsi="Verdana" w:cs="Century Gothic"/>
          <w:b/>
          <w:bCs/>
          <w:sz w:val="22"/>
          <w:lang w:val="es-ES"/>
        </w:rPr>
        <w:t xml:space="preserve"> planteado</w:t>
      </w:r>
      <w:r w:rsidR="000C42A9">
        <w:rPr>
          <w:rFonts w:ascii="Verdana" w:eastAsia="Century Gothic" w:hAnsi="Verdana" w:cs="Century Gothic"/>
          <w:b/>
          <w:bCs/>
          <w:sz w:val="22"/>
          <w:lang w:val="es-ES"/>
        </w:rPr>
        <w:t>s</w:t>
      </w:r>
      <w:r w:rsidRPr="00593A5F">
        <w:rPr>
          <w:rFonts w:ascii="Verdana" w:eastAsia="Century Gothic" w:hAnsi="Verdana" w:cs="Century Gothic"/>
          <w:b/>
          <w:bCs/>
          <w:sz w:val="22"/>
          <w:lang w:val="es-ES"/>
        </w:rPr>
        <w:t>:</w:t>
      </w:r>
    </w:p>
    <w:p w14:paraId="3981D497" w14:textId="77777777" w:rsidR="00E84D1C" w:rsidRPr="00593A5F" w:rsidRDefault="00E84D1C" w:rsidP="00E84D1C">
      <w:pPr>
        <w:tabs>
          <w:tab w:val="left" w:pos="426"/>
        </w:tabs>
        <w:spacing w:after="0" w:line="276" w:lineRule="auto"/>
        <w:jc w:val="both"/>
        <w:rPr>
          <w:rFonts w:ascii="Verdana" w:eastAsia="Century Gothic" w:hAnsi="Verdana" w:cs="Century Gothic"/>
          <w:lang w:val="es-ES"/>
        </w:rPr>
      </w:pPr>
    </w:p>
    <w:p w14:paraId="348E2D36" w14:textId="67C4C839" w:rsidR="00E84D1C" w:rsidRPr="00593A5F" w:rsidRDefault="008F27E3" w:rsidP="00E84D1C">
      <w:pPr>
        <w:spacing w:after="0" w:line="276" w:lineRule="auto"/>
        <w:jc w:val="both"/>
        <w:rPr>
          <w:rFonts w:ascii="Verdana" w:eastAsia="Century Gothic" w:hAnsi="Verdana" w:cs="Century Gothic"/>
        </w:rPr>
      </w:pPr>
      <w:r>
        <w:rPr>
          <w:rFonts w:ascii="Verdana" w:eastAsia="Century Gothic" w:hAnsi="Verdana" w:cs="Century Gothic"/>
        </w:rPr>
        <w:t>D</w:t>
      </w:r>
      <w:r w:rsidR="00343B47">
        <w:rPr>
          <w:rFonts w:ascii="Verdana" w:eastAsia="Century Gothic" w:hAnsi="Verdana" w:cs="Century Gothic"/>
        </w:rPr>
        <w:t xml:space="preserve">e acuerdo con el contenido de </w:t>
      </w:r>
      <w:r w:rsidR="00FC6D4E" w:rsidRPr="00593A5F">
        <w:rPr>
          <w:rFonts w:ascii="Verdana" w:eastAsia="Century Gothic" w:hAnsi="Verdana" w:cs="Century Gothic"/>
        </w:rPr>
        <w:t xml:space="preserve">su solicitud, esta Agencia resolverá </w:t>
      </w:r>
      <w:r w:rsidR="005A7A65">
        <w:rPr>
          <w:rFonts w:ascii="Verdana" w:eastAsia="Century Gothic" w:hAnsi="Verdana" w:cs="Century Gothic"/>
        </w:rPr>
        <w:t>los</w:t>
      </w:r>
      <w:r w:rsidR="00D86D55" w:rsidRPr="00593A5F">
        <w:rPr>
          <w:rFonts w:ascii="Verdana" w:eastAsia="Century Gothic" w:hAnsi="Verdana" w:cs="Century Gothic"/>
        </w:rPr>
        <w:t xml:space="preserve"> </w:t>
      </w:r>
      <w:r w:rsidR="00FC6D4E" w:rsidRPr="00593A5F">
        <w:rPr>
          <w:rFonts w:ascii="Verdana" w:eastAsia="Century Gothic" w:hAnsi="Verdana" w:cs="Century Gothic"/>
        </w:rPr>
        <w:t>siguiente</w:t>
      </w:r>
      <w:r w:rsidR="005A7A65">
        <w:rPr>
          <w:rFonts w:ascii="Verdana" w:eastAsia="Century Gothic" w:hAnsi="Verdana" w:cs="Century Gothic"/>
        </w:rPr>
        <w:t>s</w:t>
      </w:r>
      <w:r w:rsidR="00FC6D4E" w:rsidRPr="00593A5F">
        <w:rPr>
          <w:rFonts w:ascii="Verdana" w:eastAsia="Century Gothic" w:hAnsi="Verdana" w:cs="Century Gothic"/>
        </w:rPr>
        <w:t xml:space="preserve"> problema</w:t>
      </w:r>
      <w:r w:rsidR="005A7A65">
        <w:rPr>
          <w:rFonts w:ascii="Verdana" w:eastAsia="Century Gothic" w:hAnsi="Verdana" w:cs="Century Gothic"/>
        </w:rPr>
        <w:t>s</w:t>
      </w:r>
      <w:r w:rsidR="00FC6D4E" w:rsidRPr="00593A5F">
        <w:rPr>
          <w:rFonts w:ascii="Verdana" w:eastAsia="Century Gothic" w:hAnsi="Verdana" w:cs="Century Gothic"/>
        </w:rPr>
        <w:t xml:space="preserve"> jurídico: </w:t>
      </w:r>
      <w:r>
        <w:rPr>
          <w:rFonts w:ascii="Verdana" w:eastAsia="Century Gothic" w:hAnsi="Verdana" w:cs="Century Gothic"/>
        </w:rPr>
        <w:t xml:space="preserve">i) </w:t>
      </w:r>
      <w:r w:rsidR="00BA0166">
        <w:rPr>
          <w:rFonts w:ascii="Verdana" w:eastAsia="Century Gothic" w:hAnsi="Verdana" w:cs="Century Gothic"/>
        </w:rPr>
        <w:t>¿</w:t>
      </w:r>
      <w:r w:rsidR="008F3485">
        <w:rPr>
          <w:rFonts w:ascii="Verdana" w:eastAsia="Century Gothic" w:hAnsi="Verdana" w:cs="Century Gothic"/>
        </w:rPr>
        <w:t>S</w:t>
      </w:r>
      <w:r w:rsidR="004E477D">
        <w:rPr>
          <w:rFonts w:ascii="Verdana" w:eastAsia="Century Gothic" w:hAnsi="Verdana" w:cs="Century Gothic"/>
        </w:rPr>
        <w:t xml:space="preserve">e </w:t>
      </w:r>
      <w:r w:rsidR="00A902AD">
        <w:rPr>
          <w:rFonts w:ascii="Verdana" w:eastAsia="Century Gothic" w:hAnsi="Verdana" w:cs="Century Gothic"/>
        </w:rPr>
        <w:t xml:space="preserve">consideran extemporáneas las </w:t>
      </w:r>
      <w:r w:rsidR="004E477D">
        <w:rPr>
          <w:rFonts w:ascii="Verdana" w:eastAsia="Century Gothic" w:hAnsi="Verdana" w:cs="Century Gothic"/>
        </w:rPr>
        <w:t xml:space="preserve">observaciones </w:t>
      </w:r>
      <w:r w:rsidR="00725735">
        <w:rPr>
          <w:rFonts w:ascii="Verdana" w:eastAsia="Century Gothic" w:hAnsi="Verdana" w:cs="Century Gothic"/>
        </w:rPr>
        <w:t xml:space="preserve">relacionadas con un proponente </w:t>
      </w:r>
      <w:r w:rsidR="004E477D">
        <w:rPr>
          <w:rFonts w:ascii="Verdana" w:eastAsia="Century Gothic" w:hAnsi="Verdana" w:cs="Century Gothic"/>
        </w:rPr>
        <w:t>que se presenten después de la adjudicación del contrato</w:t>
      </w:r>
      <w:r w:rsidR="00F567A4">
        <w:rPr>
          <w:rFonts w:ascii="Verdana" w:eastAsia="Century Gothic" w:hAnsi="Verdana" w:cs="Century Gothic"/>
        </w:rPr>
        <w:t>?</w:t>
      </w:r>
      <w:r w:rsidR="00037A8B">
        <w:rPr>
          <w:rFonts w:ascii="Verdana" w:eastAsia="Century Gothic" w:hAnsi="Verdana" w:cs="Century Gothic"/>
        </w:rPr>
        <w:t xml:space="preserve"> y </w:t>
      </w:r>
      <w:proofErr w:type="spellStart"/>
      <w:r w:rsidR="00037A8B">
        <w:rPr>
          <w:rFonts w:ascii="Verdana" w:eastAsia="Century Gothic" w:hAnsi="Verdana" w:cs="Century Gothic"/>
        </w:rPr>
        <w:t>ii</w:t>
      </w:r>
      <w:proofErr w:type="spellEnd"/>
      <w:r w:rsidR="00037A8B">
        <w:rPr>
          <w:rFonts w:ascii="Verdana" w:eastAsia="Century Gothic" w:hAnsi="Verdana" w:cs="Century Gothic"/>
        </w:rPr>
        <w:t xml:space="preserve">) </w:t>
      </w:r>
      <w:r w:rsidR="00157DEB">
        <w:rPr>
          <w:rFonts w:ascii="Verdana" w:eastAsia="Century Gothic" w:hAnsi="Verdana" w:cs="Century Gothic"/>
        </w:rPr>
        <w:t>De acuerdo con lo señalado en los documentos tipo ¿</w:t>
      </w:r>
      <w:r w:rsidR="005001A5">
        <w:rPr>
          <w:rFonts w:ascii="Verdana" w:eastAsia="Century Gothic" w:hAnsi="Verdana" w:cs="Century Gothic"/>
        </w:rPr>
        <w:t xml:space="preserve">deben </w:t>
      </w:r>
      <w:r w:rsidR="005001A5">
        <w:rPr>
          <w:rFonts w:ascii="Verdana" w:eastAsia="Century Gothic" w:hAnsi="Verdana" w:cs="Century Gothic"/>
        </w:rPr>
        <w:lastRenderedPageBreak/>
        <w:t xml:space="preserve">las entidades </w:t>
      </w:r>
      <w:r w:rsidR="005108EC">
        <w:rPr>
          <w:rFonts w:ascii="Verdana" w:eastAsia="Century Gothic" w:hAnsi="Verdana" w:cs="Century Gothic"/>
        </w:rPr>
        <w:t>verificar</w:t>
      </w:r>
      <w:r w:rsidR="000D0372">
        <w:rPr>
          <w:rFonts w:ascii="Verdana" w:eastAsia="Century Gothic" w:hAnsi="Verdana" w:cs="Century Gothic"/>
        </w:rPr>
        <w:t xml:space="preserve"> con otras entidades y órganos de control</w:t>
      </w:r>
      <w:r w:rsidR="005108EC">
        <w:rPr>
          <w:rFonts w:ascii="Verdana" w:eastAsia="Century Gothic" w:hAnsi="Verdana" w:cs="Century Gothic"/>
        </w:rPr>
        <w:t xml:space="preserve"> </w:t>
      </w:r>
      <w:r w:rsidR="00B509AE">
        <w:rPr>
          <w:rFonts w:ascii="Verdana" w:eastAsia="Century Gothic" w:hAnsi="Verdana" w:cs="Century Gothic"/>
        </w:rPr>
        <w:t>la información inexacta de un proponente</w:t>
      </w:r>
      <w:r w:rsidR="00B509AE" w:rsidRPr="003630F7">
        <w:rPr>
          <w:rFonts w:ascii="Verdana" w:hAnsi="Verdana" w:cs="Arial"/>
          <w:sz w:val="21"/>
          <w:szCs w:val="21"/>
        </w:rPr>
        <w:t xml:space="preserve"> </w:t>
      </w:r>
      <w:r w:rsidR="00B509AE" w:rsidRPr="00A75089">
        <w:rPr>
          <w:rFonts w:ascii="Verdana" w:hAnsi="Verdana" w:cs="Arial"/>
          <w:sz w:val="21"/>
          <w:szCs w:val="21"/>
        </w:rPr>
        <w:t>sobre las cuales pueda existir una presunta</w:t>
      </w:r>
      <w:r w:rsidR="000D0372">
        <w:rPr>
          <w:rFonts w:ascii="Verdana" w:hAnsi="Verdana" w:cs="Arial"/>
          <w:sz w:val="21"/>
          <w:szCs w:val="21"/>
        </w:rPr>
        <w:t xml:space="preserve"> </w:t>
      </w:r>
      <w:r w:rsidR="00672A8A">
        <w:rPr>
          <w:rFonts w:ascii="Verdana" w:hAnsi="Verdana" w:cs="Arial"/>
          <w:sz w:val="21"/>
          <w:szCs w:val="21"/>
        </w:rPr>
        <w:t>falsedad</w:t>
      </w:r>
      <w:r w:rsidR="003A3927">
        <w:rPr>
          <w:rFonts w:ascii="Verdana" w:eastAsia="Century Gothic" w:hAnsi="Verdana" w:cs="Century Gothic"/>
        </w:rPr>
        <w:t>?</w:t>
      </w:r>
    </w:p>
    <w:p w14:paraId="31CA4CF9" w14:textId="77777777" w:rsidR="00E84D1C" w:rsidRPr="004B140F" w:rsidRDefault="00E84D1C" w:rsidP="00E84D1C">
      <w:pPr>
        <w:spacing w:after="0" w:line="276" w:lineRule="auto"/>
        <w:jc w:val="both"/>
        <w:rPr>
          <w:rFonts w:ascii="Verdana" w:eastAsia="Calibri" w:hAnsi="Verdana" w:cs="Arial"/>
          <w:color w:val="7030A0"/>
        </w:rPr>
      </w:pPr>
    </w:p>
    <w:p w14:paraId="74205EE3" w14:textId="46C13E2B" w:rsidR="00E84D1C" w:rsidRPr="00593A5F" w:rsidRDefault="00E84D1C"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93A5F">
        <w:rPr>
          <w:rFonts w:ascii="Verdana" w:eastAsia="Century Gothic" w:hAnsi="Verdana" w:cs="Century Gothic"/>
          <w:b/>
          <w:bCs/>
          <w:sz w:val="22"/>
          <w:lang w:val="es-ES"/>
        </w:rPr>
        <w:t>Respuesta</w:t>
      </w:r>
      <w:r w:rsidR="000C42A9">
        <w:rPr>
          <w:rFonts w:ascii="Verdana" w:eastAsia="Century Gothic" w:hAnsi="Verdana" w:cs="Century Gothic"/>
          <w:b/>
          <w:bCs/>
          <w:sz w:val="22"/>
          <w:lang w:val="es-ES"/>
        </w:rPr>
        <w:t>s</w:t>
      </w:r>
      <w:r w:rsidRPr="00593A5F">
        <w:rPr>
          <w:rFonts w:ascii="Verdana" w:eastAsia="Century Gothic" w:hAnsi="Verdana" w:cs="Century Gothic"/>
          <w:b/>
          <w:bCs/>
          <w:sz w:val="22"/>
          <w:lang w:val="es-ES"/>
        </w:rPr>
        <w:t>:</w:t>
      </w:r>
    </w:p>
    <w:p w14:paraId="4FCBB89E" w14:textId="1BF4BDFA" w:rsidR="00E84D1C" w:rsidRPr="00593A5F" w:rsidRDefault="00E84D1C" w:rsidP="00E84D1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84D1C" w:rsidRPr="00593A5F" w14:paraId="0E1945DC" w14:textId="77777777" w:rsidTr="006E429F">
        <w:trPr>
          <w:jc w:val="center"/>
        </w:trPr>
        <w:tc>
          <w:tcPr>
            <w:tcW w:w="8828" w:type="dxa"/>
            <w:shd w:val="clear" w:color="auto" w:fill="auto"/>
          </w:tcPr>
          <w:p w14:paraId="3DA2CF06" w14:textId="732E79A3" w:rsidR="003A6E29" w:rsidRDefault="00D818EC" w:rsidP="00D818EC">
            <w:pPr>
              <w:spacing w:line="276" w:lineRule="auto"/>
              <w:ind w:right="79"/>
              <w:jc w:val="both"/>
              <w:rPr>
                <w:rFonts w:ascii="Verdana" w:eastAsia="Arial" w:hAnsi="Verdana" w:cs="Arial"/>
                <w:bCs/>
              </w:rPr>
            </w:pPr>
            <w:bookmarkStart w:id="2" w:name="_Hlk171694685"/>
            <w:r>
              <w:rPr>
                <w:rFonts w:ascii="Verdana" w:eastAsia="Arial" w:hAnsi="Verdana" w:cs="Arial"/>
                <w:bCs/>
              </w:rPr>
              <w:t>De conformidad con el principio de economía</w:t>
            </w:r>
            <w:r w:rsidR="00432F78">
              <w:rPr>
                <w:rFonts w:ascii="Verdana" w:eastAsia="Arial" w:hAnsi="Verdana" w:cs="Arial"/>
                <w:bCs/>
              </w:rPr>
              <w:t>,</w:t>
            </w:r>
            <w:r>
              <w:rPr>
                <w:rFonts w:ascii="Verdana" w:eastAsia="Arial" w:hAnsi="Verdana" w:cs="Arial"/>
                <w:bCs/>
              </w:rPr>
              <w:t xml:space="preserve"> </w:t>
            </w:r>
            <w:r w:rsidR="00823654">
              <w:rPr>
                <w:rFonts w:ascii="Verdana" w:eastAsia="Arial" w:hAnsi="Verdana" w:cs="Arial"/>
                <w:bCs/>
              </w:rPr>
              <w:t>c</w:t>
            </w:r>
            <w:r w:rsidR="008E1267">
              <w:rPr>
                <w:rFonts w:ascii="Verdana" w:eastAsia="Arial" w:hAnsi="Verdana" w:cs="Arial"/>
                <w:bCs/>
              </w:rPr>
              <w:t>ualquier</w:t>
            </w:r>
            <w:r w:rsidR="00096637">
              <w:rPr>
                <w:rFonts w:ascii="Verdana" w:eastAsia="Arial" w:hAnsi="Verdana" w:cs="Arial"/>
                <w:bCs/>
              </w:rPr>
              <w:t xml:space="preserve"> observación que se presente por fuera de los plazos establecidos en el </w:t>
            </w:r>
            <w:r w:rsidR="00F843D4">
              <w:rPr>
                <w:rFonts w:ascii="Verdana" w:eastAsia="Arial" w:hAnsi="Verdana" w:cs="Arial"/>
                <w:bCs/>
              </w:rPr>
              <w:t>pliego</w:t>
            </w:r>
            <w:r w:rsidR="00096637">
              <w:rPr>
                <w:rFonts w:ascii="Verdana" w:eastAsia="Arial" w:hAnsi="Verdana" w:cs="Arial"/>
                <w:bCs/>
              </w:rPr>
              <w:t xml:space="preserve"> de condiciones se considera extemporánea, </w:t>
            </w:r>
            <w:r w:rsidR="00823654">
              <w:rPr>
                <w:rFonts w:ascii="Verdana" w:eastAsia="Arial" w:hAnsi="Verdana" w:cs="Arial"/>
                <w:bCs/>
              </w:rPr>
              <w:t xml:space="preserve">pues </w:t>
            </w:r>
            <w:r w:rsidR="00823654" w:rsidRPr="005815A8">
              <w:rPr>
                <w:rFonts w:ascii="Verdana" w:eastAsia="Arial" w:hAnsi="Verdana" w:cs="Arial"/>
                <w:bCs/>
              </w:rPr>
              <w:t>si bien tanto a los interesados como a la ciudadanía en general les asiste el derecho a realizar observaciones, este derecho debe ejercerse dentro de los</w:t>
            </w:r>
            <w:r w:rsidR="007F0F24">
              <w:rPr>
                <w:rFonts w:ascii="Verdana" w:eastAsia="Arial" w:hAnsi="Verdana" w:cs="Arial"/>
                <w:bCs/>
              </w:rPr>
              <w:t xml:space="preserve"> tiempos</w:t>
            </w:r>
            <w:r w:rsidR="00823654" w:rsidRPr="005815A8">
              <w:rPr>
                <w:rFonts w:ascii="Verdana" w:eastAsia="Arial" w:hAnsi="Verdana" w:cs="Arial"/>
                <w:bCs/>
              </w:rPr>
              <w:t xml:space="preserve"> establecidos por el ordenamiento jurídico y por el cronograma del proceso de contratación, so pena de perder tal facultad por la </w:t>
            </w:r>
            <w:proofErr w:type="spellStart"/>
            <w:r w:rsidR="00823654" w:rsidRPr="005815A8">
              <w:rPr>
                <w:rFonts w:ascii="Verdana" w:eastAsia="Arial" w:hAnsi="Verdana" w:cs="Arial"/>
                <w:bCs/>
              </w:rPr>
              <w:t>preclusividad</w:t>
            </w:r>
            <w:proofErr w:type="spellEnd"/>
            <w:r w:rsidR="00823654" w:rsidRPr="005815A8">
              <w:rPr>
                <w:rFonts w:ascii="Verdana" w:eastAsia="Arial" w:hAnsi="Verdana" w:cs="Arial"/>
                <w:bCs/>
              </w:rPr>
              <w:t xml:space="preserve"> y perentoriedad de los términos que rigen el proceso de contratación</w:t>
            </w:r>
            <w:r w:rsidR="007F0F24">
              <w:rPr>
                <w:rFonts w:ascii="Verdana" w:eastAsia="Arial" w:hAnsi="Verdana" w:cs="Arial"/>
                <w:bCs/>
              </w:rPr>
              <w:t xml:space="preserve">. </w:t>
            </w:r>
          </w:p>
          <w:p w14:paraId="2C15FB8D" w14:textId="77777777" w:rsidR="00F625F7" w:rsidRDefault="00F625F7" w:rsidP="00D818EC">
            <w:pPr>
              <w:spacing w:line="276" w:lineRule="auto"/>
              <w:ind w:right="79"/>
              <w:jc w:val="both"/>
              <w:rPr>
                <w:rFonts w:ascii="Verdana" w:eastAsia="Arial" w:hAnsi="Verdana" w:cs="Arial"/>
                <w:bCs/>
              </w:rPr>
            </w:pPr>
          </w:p>
          <w:p w14:paraId="1E0F5B6D" w14:textId="76D20EDF" w:rsidR="00F625F7" w:rsidRDefault="00575C75" w:rsidP="00D818EC">
            <w:pPr>
              <w:spacing w:line="276" w:lineRule="auto"/>
              <w:ind w:right="79"/>
              <w:jc w:val="both"/>
              <w:rPr>
                <w:rFonts w:ascii="Verdana" w:eastAsia="Arial" w:hAnsi="Verdana" w:cs="Arial"/>
                <w:bCs/>
              </w:rPr>
            </w:pPr>
            <w:r>
              <w:rPr>
                <w:rFonts w:ascii="Verdana" w:eastAsia="Arial" w:hAnsi="Verdana" w:cs="Arial"/>
                <w:bCs/>
              </w:rPr>
              <w:t>En este sentido,</w:t>
            </w:r>
            <w:r w:rsidR="00021C3A">
              <w:rPr>
                <w:rFonts w:ascii="Verdana" w:eastAsia="Arial" w:hAnsi="Verdana" w:cs="Arial"/>
                <w:bCs/>
              </w:rPr>
              <w:t xml:space="preserve"> </w:t>
            </w:r>
            <w:r w:rsidR="00873736">
              <w:rPr>
                <w:rFonts w:ascii="Verdana" w:eastAsia="Calibri" w:hAnsi="Verdana" w:cs="Arial"/>
                <w:color w:val="000000" w:themeColor="text1"/>
              </w:rPr>
              <w:t xml:space="preserve">independientemente del contenido de la observación, si esta se refiere, por ejemplo, a la habilitación de los proponentes, al puntaje que se la otorgado en la evaluación o a la información que aportó un oferente, será extemporánea si se presenta por fuera de los plazos establecidos en el pliego de condiciones. </w:t>
            </w:r>
            <w:r w:rsidR="00E17833">
              <w:rPr>
                <w:rFonts w:ascii="Verdana" w:eastAsia="Calibri" w:hAnsi="Verdana" w:cs="Arial"/>
                <w:color w:val="000000" w:themeColor="text1"/>
              </w:rPr>
              <w:t>De este modo, se considera extemporánea una observación sobre la evaluación de los proponentes que se presente después del acto de adjudicación</w:t>
            </w:r>
            <w:r w:rsidR="000B2529">
              <w:rPr>
                <w:rFonts w:ascii="Verdana" w:eastAsia="Calibri" w:hAnsi="Verdana" w:cs="Arial"/>
                <w:color w:val="000000" w:themeColor="text1"/>
              </w:rPr>
              <w:t xml:space="preserve">. </w:t>
            </w:r>
          </w:p>
          <w:p w14:paraId="1762CBEB" w14:textId="77777777" w:rsidR="00100207" w:rsidRDefault="00100207" w:rsidP="00D818EC">
            <w:pPr>
              <w:spacing w:line="276" w:lineRule="auto"/>
              <w:ind w:right="79"/>
              <w:jc w:val="both"/>
              <w:rPr>
                <w:rFonts w:ascii="Verdana" w:eastAsia="Arial" w:hAnsi="Verdana" w:cs="Arial"/>
                <w:bCs/>
              </w:rPr>
            </w:pPr>
          </w:p>
          <w:p w14:paraId="0FAD6983" w14:textId="1E886B58" w:rsidR="00873736" w:rsidRDefault="00873736" w:rsidP="00D818EC">
            <w:pPr>
              <w:spacing w:line="276" w:lineRule="auto"/>
              <w:ind w:right="79"/>
              <w:jc w:val="both"/>
              <w:rPr>
                <w:rFonts w:ascii="Verdana" w:eastAsia="Arial" w:hAnsi="Verdana" w:cs="Arial"/>
                <w:bCs/>
              </w:rPr>
            </w:pPr>
            <w:r>
              <w:rPr>
                <w:rFonts w:ascii="Verdana" w:eastAsia="Arial" w:hAnsi="Verdana" w:cs="Arial"/>
                <w:bCs/>
              </w:rPr>
              <w:t xml:space="preserve">Lo anterior no obsta para que la entidad revise la observación presentada y tome las medidas correspondientes, especialmente en aquellos eventos en que se relacione con una presunta infracción a normas de orden penal o que puedan generar vicios en la adjudicación y en el futuro contrato. </w:t>
            </w:r>
            <w:r w:rsidR="00F73423">
              <w:rPr>
                <w:rFonts w:ascii="Verdana" w:eastAsia="Arial" w:hAnsi="Verdana" w:cs="Arial"/>
                <w:bCs/>
              </w:rPr>
              <w:t>Esto significa que no por el hecho de ser extemporánea la entidad descartará automáticamente su análisis, sino que resulta oportuno examinar su contenido y alcance para determinar si frente a ella procede alguna actuación</w:t>
            </w:r>
            <w:r w:rsidR="002E5A01">
              <w:rPr>
                <w:rFonts w:ascii="Verdana" w:eastAsia="Arial" w:hAnsi="Verdana" w:cs="Arial"/>
                <w:bCs/>
              </w:rPr>
              <w:t>.</w:t>
            </w:r>
          </w:p>
          <w:p w14:paraId="525D898C" w14:textId="77777777" w:rsidR="007D4DD2" w:rsidRDefault="007D4DD2" w:rsidP="00D818EC">
            <w:pPr>
              <w:spacing w:line="276" w:lineRule="auto"/>
              <w:ind w:right="79"/>
              <w:jc w:val="both"/>
              <w:rPr>
                <w:rFonts w:ascii="Verdana" w:eastAsia="Arial" w:hAnsi="Verdana" w:cs="Arial"/>
                <w:bCs/>
              </w:rPr>
            </w:pPr>
          </w:p>
          <w:p w14:paraId="073EC507" w14:textId="262AD113" w:rsidR="007F0F24" w:rsidRPr="00A80404" w:rsidRDefault="007D4DD2" w:rsidP="00A80404">
            <w:pPr>
              <w:spacing w:before="120" w:line="276" w:lineRule="auto"/>
              <w:jc w:val="both"/>
              <w:rPr>
                <w:rFonts w:ascii="Verdana" w:eastAsia="Calibri" w:hAnsi="Verdana" w:cs="Arial"/>
              </w:rPr>
            </w:pPr>
            <w:r>
              <w:rPr>
                <w:rFonts w:ascii="Verdana" w:eastAsia="Arial" w:hAnsi="Verdana" w:cs="Arial"/>
                <w:bCs/>
              </w:rPr>
              <w:t xml:space="preserve">En </w:t>
            </w:r>
            <w:r w:rsidRPr="003E1409">
              <w:rPr>
                <w:rFonts w:ascii="Verdana" w:eastAsia="Arial" w:hAnsi="Verdana" w:cs="Arial"/>
                <w:bCs/>
              </w:rPr>
              <w:t>relación con la información</w:t>
            </w:r>
            <w:r w:rsidR="000361EA" w:rsidRPr="003E1409">
              <w:rPr>
                <w:rFonts w:ascii="Verdana" w:eastAsia="Arial" w:hAnsi="Verdana" w:cs="Arial"/>
                <w:bCs/>
              </w:rPr>
              <w:t xml:space="preserve"> </w:t>
            </w:r>
            <w:r w:rsidR="001034DD">
              <w:rPr>
                <w:rFonts w:ascii="Verdana" w:eastAsia="Arial" w:hAnsi="Verdana" w:cs="Arial"/>
                <w:bCs/>
              </w:rPr>
              <w:t xml:space="preserve">inexacta </w:t>
            </w:r>
            <w:r w:rsidR="000361EA" w:rsidRPr="003E1409">
              <w:rPr>
                <w:rFonts w:ascii="Verdana" w:eastAsia="Arial" w:hAnsi="Verdana" w:cs="Arial"/>
                <w:bCs/>
              </w:rPr>
              <w:t xml:space="preserve">sobre las cuales pueda existir una presunta falsedad, </w:t>
            </w:r>
            <w:r w:rsidR="002C30F0" w:rsidRPr="003E1409">
              <w:rPr>
                <w:rFonts w:ascii="Verdana" w:eastAsia="Arial" w:hAnsi="Verdana" w:cs="Arial"/>
                <w:bCs/>
              </w:rPr>
              <w:t>es pertinente indicar que</w:t>
            </w:r>
            <w:r w:rsidR="00853883">
              <w:rPr>
                <w:rFonts w:ascii="Verdana" w:eastAsia="Arial" w:hAnsi="Verdana" w:cs="Arial"/>
                <w:bCs/>
              </w:rPr>
              <w:t>,</w:t>
            </w:r>
            <w:r w:rsidR="002C30F0" w:rsidRPr="003E1409">
              <w:rPr>
                <w:rFonts w:ascii="Verdana" w:eastAsia="Arial" w:hAnsi="Verdana" w:cs="Arial"/>
                <w:bCs/>
              </w:rPr>
              <w:t xml:space="preserve"> </w:t>
            </w:r>
            <w:r w:rsidR="003E1409" w:rsidRPr="003E1409">
              <w:rPr>
                <w:rFonts w:ascii="Verdana" w:eastAsia="Arial" w:hAnsi="Verdana" w:cs="Arial"/>
                <w:bCs/>
              </w:rPr>
              <w:t xml:space="preserve">de acuerdo con lo señalado en los documentos tipo, </w:t>
            </w:r>
            <w:r w:rsidR="003E1409" w:rsidRPr="003E1409">
              <w:rPr>
                <w:rFonts w:ascii="Verdana" w:eastAsia="Calibri" w:hAnsi="Verdana" w:cs="Arial"/>
              </w:rPr>
              <w:t>durante el plazo de evaluación de las ofertas las entidades contratantes tienen el deber de verificar la veracidad de la información que se allegue con las propuestas, bien sea mediante solicitud de aclaraciones al mismo oferente, o mediante la</w:t>
            </w:r>
            <w:r w:rsidR="003E1409" w:rsidRPr="00116616">
              <w:rPr>
                <w:rFonts w:ascii="Verdana" w:eastAsia="Calibri" w:hAnsi="Verdana" w:cs="Arial"/>
              </w:rPr>
              <w:t xml:space="preserve"> constatación con fuentes </w:t>
            </w:r>
            <w:r w:rsidR="003E1409" w:rsidRPr="00116616">
              <w:rPr>
                <w:rFonts w:ascii="Verdana" w:eastAsia="Calibri" w:hAnsi="Verdana" w:cs="Arial"/>
              </w:rPr>
              <w:lastRenderedPageBreak/>
              <w:t>externas, pues de ello depende no solamente la correcta escogencia del contratista y la forma más idónea de ejecución de la compra planeada, sino la validez misma de la decisión de adjudicación y, por ende del contrato celebrado.</w:t>
            </w:r>
          </w:p>
        </w:tc>
      </w:tr>
    </w:tbl>
    <w:p w14:paraId="1728E2BC" w14:textId="77777777" w:rsidR="00E84D1C" w:rsidRPr="00593A5F" w:rsidRDefault="00E84D1C" w:rsidP="00E84D1C">
      <w:pPr>
        <w:tabs>
          <w:tab w:val="left" w:pos="142"/>
          <w:tab w:val="left" w:pos="284"/>
        </w:tabs>
        <w:spacing w:after="0" w:line="276" w:lineRule="auto"/>
        <w:jc w:val="both"/>
        <w:rPr>
          <w:rFonts w:ascii="Verdana" w:eastAsia="Century Gothic" w:hAnsi="Verdana" w:cs="Century Gothic"/>
          <w:b/>
          <w:bCs/>
          <w:lang w:val="es-ES"/>
        </w:rPr>
      </w:pPr>
    </w:p>
    <w:bookmarkEnd w:id="2"/>
    <w:p w14:paraId="7BD5B662" w14:textId="4AC7D643" w:rsidR="00E84D1C" w:rsidRPr="00593A5F" w:rsidRDefault="00071AB8"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93A5F">
        <w:rPr>
          <w:rFonts w:ascii="Verdana" w:eastAsia="Century Gothic" w:hAnsi="Verdana" w:cs="Century Gothic"/>
          <w:b/>
          <w:bCs/>
          <w:sz w:val="22"/>
          <w:lang w:val="es-ES"/>
        </w:rPr>
        <w:t>Razones de la</w:t>
      </w:r>
      <w:r w:rsidR="000C42A9">
        <w:rPr>
          <w:rFonts w:ascii="Verdana" w:eastAsia="Century Gothic" w:hAnsi="Verdana" w:cs="Century Gothic"/>
          <w:b/>
          <w:bCs/>
          <w:sz w:val="22"/>
          <w:lang w:val="es-ES"/>
        </w:rPr>
        <w:t>s</w:t>
      </w:r>
      <w:r w:rsidRPr="00593A5F">
        <w:rPr>
          <w:rFonts w:ascii="Verdana" w:eastAsia="Century Gothic" w:hAnsi="Verdana" w:cs="Century Gothic"/>
          <w:b/>
          <w:bCs/>
          <w:sz w:val="22"/>
          <w:lang w:val="es-ES"/>
        </w:rPr>
        <w:t xml:space="preserve"> respuesta</w:t>
      </w:r>
      <w:r w:rsidR="000C42A9">
        <w:rPr>
          <w:rFonts w:ascii="Verdana" w:eastAsia="Century Gothic" w:hAnsi="Verdana" w:cs="Century Gothic"/>
          <w:b/>
          <w:bCs/>
          <w:sz w:val="22"/>
          <w:lang w:val="es-ES"/>
        </w:rPr>
        <w:t>s</w:t>
      </w:r>
      <w:r w:rsidR="00E84D1C" w:rsidRPr="00593A5F">
        <w:rPr>
          <w:rFonts w:ascii="Verdana" w:eastAsia="Century Gothic" w:hAnsi="Verdana" w:cs="Century Gothic"/>
          <w:b/>
          <w:bCs/>
          <w:sz w:val="22"/>
          <w:lang w:val="es-ES"/>
        </w:rPr>
        <w:t>:</w:t>
      </w:r>
    </w:p>
    <w:p w14:paraId="267A31E4" w14:textId="77777777" w:rsidR="00FB5FC4" w:rsidRPr="00593A5F" w:rsidRDefault="00FB5FC4" w:rsidP="00E84D1C">
      <w:pPr>
        <w:spacing w:after="0" w:line="276" w:lineRule="auto"/>
        <w:jc w:val="both"/>
        <w:rPr>
          <w:rFonts w:ascii="Verdana" w:eastAsia="Calibri" w:hAnsi="Verdana" w:cs="Arial"/>
          <w:color w:val="7030A0"/>
          <w:lang w:val="es-ES"/>
        </w:rPr>
      </w:pPr>
    </w:p>
    <w:p w14:paraId="1534F15C" w14:textId="654169A5" w:rsidR="0025575F" w:rsidRDefault="00C00976" w:rsidP="00E84D1C">
      <w:pPr>
        <w:spacing w:after="0" w:line="276" w:lineRule="auto"/>
        <w:jc w:val="both"/>
        <w:rPr>
          <w:rFonts w:ascii="Verdana" w:eastAsia="Calibri" w:hAnsi="Verdana" w:cs="Arial"/>
          <w:lang w:val="es-ES"/>
        </w:rPr>
      </w:pPr>
      <w:r w:rsidRPr="00B96799">
        <w:rPr>
          <w:rFonts w:ascii="Verdana" w:eastAsia="Calibri" w:hAnsi="Verdana" w:cs="Arial"/>
          <w:lang w:val="es-ES"/>
        </w:rPr>
        <w:t>L</w:t>
      </w:r>
      <w:r w:rsidR="00D5798B" w:rsidRPr="00B96799">
        <w:rPr>
          <w:rFonts w:ascii="Verdana" w:eastAsia="Calibri" w:hAnsi="Verdana" w:cs="Arial"/>
          <w:lang w:val="es-ES"/>
        </w:rPr>
        <w:t>o</w:t>
      </w:r>
      <w:r w:rsidRPr="00B96799">
        <w:rPr>
          <w:rFonts w:ascii="Verdana" w:eastAsia="Calibri" w:hAnsi="Verdana" w:cs="Arial"/>
          <w:lang w:val="es-ES"/>
        </w:rPr>
        <w:t xml:space="preserve"> anterior</w:t>
      </w:r>
      <w:r w:rsidR="00F95CCE" w:rsidRPr="00B96799">
        <w:rPr>
          <w:rFonts w:ascii="Verdana" w:eastAsia="Calibri" w:hAnsi="Verdana" w:cs="Arial"/>
          <w:lang w:val="es-ES"/>
        </w:rPr>
        <w:t xml:space="preserve"> </w:t>
      </w:r>
      <w:r w:rsidR="00E84D1C" w:rsidRPr="00B96799">
        <w:rPr>
          <w:rFonts w:ascii="Verdana" w:eastAsia="Calibri" w:hAnsi="Verdana" w:cs="Arial"/>
          <w:lang w:val="es-ES"/>
        </w:rPr>
        <w:t xml:space="preserve">se </w:t>
      </w:r>
      <w:r w:rsidRPr="00B96799">
        <w:rPr>
          <w:rFonts w:ascii="Verdana" w:eastAsia="Calibri" w:hAnsi="Verdana" w:cs="Arial"/>
          <w:lang w:val="es-ES"/>
        </w:rPr>
        <w:t xml:space="preserve">sustenta en </w:t>
      </w:r>
      <w:r w:rsidR="00E84D1C" w:rsidRPr="00B96799">
        <w:rPr>
          <w:rFonts w:ascii="Verdana" w:eastAsia="Calibri" w:hAnsi="Verdana" w:cs="Arial"/>
          <w:lang w:val="es-ES"/>
        </w:rPr>
        <w:t>las siguientes consideraciones:</w:t>
      </w:r>
    </w:p>
    <w:p w14:paraId="71802283" w14:textId="77777777" w:rsidR="0025575F" w:rsidRPr="006C49BF" w:rsidRDefault="0025575F" w:rsidP="00E84D1C">
      <w:pPr>
        <w:spacing w:after="0" w:line="276" w:lineRule="auto"/>
        <w:jc w:val="both"/>
        <w:rPr>
          <w:rFonts w:ascii="Verdana" w:eastAsia="Calibri" w:hAnsi="Verdana" w:cs="Arial"/>
          <w:color w:val="000000" w:themeColor="text1"/>
        </w:rPr>
      </w:pPr>
    </w:p>
    <w:p w14:paraId="23151A3D" w14:textId="4C16B178" w:rsidR="00E66BA2" w:rsidRPr="00E66BA2" w:rsidRDefault="00E66BA2" w:rsidP="00E66BA2">
      <w:pPr>
        <w:widowControl w:val="0"/>
        <w:autoSpaceDE w:val="0"/>
        <w:autoSpaceDN w:val="0"/>
        <w:spacing w:line="276" w:lineRule="auto"/>
        <w:jc w:val="both"/>
        <w:rPr>
          <w:rFonts w:ascii="Verdana" w:eastAsia="Calibri" w:hAnsi="Verdana" w:cs="Arial"/>
          <w:color w:val="000000" w:themeColor="text1"/>
        </w:rPr>
      </w:pPr>
      <w:r w:rsidRPr="00E66BA2">
        <w:rPr>
          <w:rFonts w:ascii="Verdana" w:eastAsia="Calibri" w:hAnsi="Verdana" w:cs="Arial"/>
          <w:color w:val="000000" w:themeColor="text1"/>
        </w:rPr>
        <w:t xml:space="preserve">La contratación estatal tiene como propósito el cumplimiento de los fines estatales, la continua y eficiente prestación de los servicios públicos y la efectividad de los derechos e intereses de los administrados que colaboran con las entidades estatales en la consecución de dichos propósitos. En cumplimiento de ese objetivo, el legislador determinó que las actuaciones adelantadas por las entidades estatales se llevan a cabo, entre otros, en cumplimiento de los principios que gobiernan los procesos de contratación pública. </w:t>
      </w:r>
    </w:p>
    <w:p w14:paraId="7B9C679B" w14:textId="6B2B5BBD" w:rsidR="00E66BA2" w:rsidRPr="00E66BA2" w:rsidRDefault="00E66BA2" w:rsidP="00E66BA2">
      <w:pPr>
        <w:widowControl w:val="0"/>
        <w:autoSpaceDE w:val="0"/>
        <w:autoSpaceDN w:val="0"/>
        <w:spacing w:line="276" w:lineRule="auto"/>
        <w:ind w:firstLine="567"/>
        <w:jc w:val="both"/>
        <w:rPr>
          <w:rFonts w:ascii="Verdana" w:eastAsia="Calibri" w:hAnsi="Verdana" w:cs="Arial"/>
          <w:color w:val="000000" w:themeColor="text1"/>
        </w:rPr>
      </w:pPr>
      <w:r w:rsidRPr="00E66BA2">
        <w:rPr>
          <w:rFonts w:ascii="Verdana" w:eastAsia="Calibri" w:hAnsi="Verdana" w:cs="Arial"/>
          <w:color w:val="000000" w:themeColor="text1"/>
        </w:rPr>
        <w:t xml:space="preserve">El artículo 23 de la Ley 80 de 1993 regula los principios aplicables a las actuaciones contractuales adelantadas por las entidades estatales. Entre otros, allí se estableció el principio de transparencia de la actividad contractual, objeto de regulación expresa en el artículo 24 ibidem. </w:t>
      </w:r>
    </w:p>
    <w:p w14:paraId="3A3F9028" w14:textId="5DDF72DB" w:rsidR="00E66BA2" w:rsidRPr="00E66BA2" w:rsidRDefault="00E66BA2" w:rsidP="00E66BA2">
      <w:pPr>
        <w:widowControl w:val="0"/>
        <w:autoSpaceDE w:val="0"/>
        <w:autoSpaceDN w:val="0"/>
        <w:spacing w:line="276" w:lineRule="auto"/>
        <w:ind w:firstLine="567"/>
        <w:jc w:val="both"/>
        <w:rPr>
          <w:rFonts w:ascii="Verdana" w:eastAsia="Calibri" w:hAnsi="Verdana" w:cs="Arial"/>
          <w:color w:val="000000" w:themeColor="text1"/>
        </w:rPr>
      </w:pPr>
      <w:r w:rsidRPr="00E66BA2">
        <w:rPr>
          <w:rFonts w:ascii="Verdana" w:eastAsia="Calibri" w:hAnsi="Verdana" w:cs="Arial"/>
          <w:color w:val="000000" w:themeColor="text1"/>
        </w:rPr>
        <w:t xml:space="preserve">Conforme a lo anterior, el conocimiento y la motivación de las decisiones tomadas por la administración son un presupuesto necesario para controvertirlas. Así las cosas, de acuerdo con lo dispuesto en el numeral 2º previamente citado, la doctrina considera que </w:t>
      </w:r>
      <w:r w:rsidRPr="00E55F1F">
        <w:rPr>
          <w:rFonts w:ascii="Verdana" w:eastAsia="Calibri" w:hAnsi="Verdana" w:cs="Arial"/>
          <w:i/>
          <w:iCs/>
          <w:color w:val="000000" w:themeColor="text1"/>
        </w:rPr>
        <w:t>“[…] en los procesos de selección en los cuales el ordenamiento jurídico no indique de manera expresa una etapa tal para esos fines, los pliegos de condiciones deben introducir y reglar una instancia en donde los oferentes puedan expresar sus opiniones y observaciones […]”</w:t>
      </w:r>
      <w:r w:rsidRPr="00E66BA2">
        <w:rPr>
          <w:rFonts w:ascii="Verdana" w:eastAsia="Calibri" w:hAnsi="Verdana" w:cs="Arial"/>
          <w:color w:val="000000" w:themeColor="text1"/>
        </w:rPr>
        <w:t xml:space="preserve">. </w:t>
      </w:r>
    </w:p>
    <w:p w14:paraId="338A2945" w14:textId="74153C0E" w:rsidR="00E66BA2" w:rsidRPr="00E66BA2" w:rsidRDefault="00E66BA2" w:rsidP="00E66BA2">
      <w:pPr>
        <w:widowControl w:val="0"/>
        <w:autoSpaceDE w:val="0"/>
        <w:autoSpaceDN w:val="0"/>
        <w:spacing w:line="276" w:lineRule="auto"/>
        <w:ind w:firstLine="567"/>
        <w:jc w:val="both"/>
        <w:rPr>
          <w:rFonts w:ascii="Verdana" w:eastAsia="Calibri" w:hAnsi="Verdana" w:cs="Arial"/>
          <w:color w:val="000000" w:themeColor="text1"/>
        </w:rPr>
      </w:pPr>
      <w:r w:rsidRPr="00E66BA2">
        <w:rPr>
          <w:rFonts w:ascii="Verdana" w:eastAsia="Calibri" w:hAnsi="Verdana" w:cs="Arial"/>
          <w:color w:val="000000" w:themeColor="text1"/>
        </w:rPr>
        <w:t xml:space="preserve">Este principio está desarrollado el Decreto 1082 de 2015, el cual establece los plazos dentro de los cuales los interesados podrán realizar observaciones en las actuaciones adelantadas a instancia de las entidades estatales en sus procesos de contratación. Dichos plazos podrán ampliarse, más no restringirse por las entidades, dependiendo del procedimiento de selección. </w:t>
      </w:r>
    </w:p>
    <w:p w14:paraId="565E14A1" w14:textId="16A08BAC" w:rsidR="00E66BA2" w:rsidRPr="00E66BA2" w:rsidRDefault="00E66BA2" w:rsidP="00E66BA2">
      <w:pPr>
        <w:widowControl w:val="0"/>
        <w:autoSpaceDE w:val="0"/>
        <w:autoSpaceDN w:val="0"/>
        <w:spacing w:line="276" w:lineRule="auto"/>
        <w:ind w:firstLine="567"/>
        <w:jc w:val="both"/>
        <w:rPr>
          <w:rFonts w:ascii="Verdana" w:eastAsia="Calibri" w:hAnsi="Verdana" w:cs="Arial"/>
          <w:color w:val="000000" w:themeColor="text1"/>
        </w:rPr>
      </w:pPr>
      <w:r w:rsidRPr="00E66BA2">
        <w:rPr>
          <w:rFonts w:ascii="Verdana" w:eastAsia="Calibri" w:hAnsi="Verdana" w:cs="Arial"/>
          <w:color w:val="000000" w:themeColor="text1"/>
        </w:rPr>
        <w:t xml:space="preserve">En conclusión, el principio de transparencia garantiza la participación tanto </w:t>
      </w:r>
      <w:r w:rsidRPr="00E66BA2">
        <w:rPr>
          <w:rFonts w:ascii="Verdana" w:eastAsia="Calibri" w:hAnsi="Verdana" w:cs="Arial"/>
          <w:color w:val="000000" w:themeColor="text1"/>
        </w:rPr>
        <w:lastRenderedPageBreak/>
        <w:t>de los interesados como de la ciudadanía en general en las actuaciones contractuales adelantadas por las entidades estatales. Esta participación se materializa en la oportunidad concedida para presentar observaciones en las distintas etapas o fases del proceso que culmina con la celebración del contrato estatal, lo cual busca salvaguardar también el ejercicio del derecho de contradicción en las actuaciones administrativas. Por ello, es necesario distinguir las etapas o fases del proceso contractual, a efectos de establecer el término o plazo para presentar observaciones por parte de los interesados y el plazo para responderlas por parte de las entidades estatales:</w:t>
      </w:r>
    </w:p>
    <w:p w14:paraId="724A5926" w14:textId="281AFB0F" w:rsidR="00E66BA2" w:rsidRPr="00E66BA2" w:rsidRDefault="00E66BA2" w:rsidP="00E66BA2">
      <w:pPr>
        <w:widowControl w:val="0"/>
        <w:autoSpaceDE w:val="0"/>
        <w:autoSpaceDN w:val="0"/>
        <w:spacing w:line="276" w:lineRule="auto"/>
        <w:ind w:firstLine="567"/>
        <w:jc w:val="both"/>
        <w:rPr>
          <w:rFonts w:ascii="Verdana" w:eastAsia="Calibri" w:hAnsi="Verdana" w:cs="Arial"/>
          <w:color w:val="000000" w:themeColor="text1"/>
        </w:rPr>
      </w:pPr>
      <w:r w:rsidRPr="00E66BA2">
        <w:rPr>
          <w:rFonts w:ascii="Verdana" w:eastAsia="Calibri" w:hAnsi="Verdana" w:cs="Arial"/>
          <w:color w:val="000000" w:themeColor="text1"/>
        </w:rPr>
        <w:t>i) Publicación del proyecto de pliego de condiciones. La Ley 1150 de 2007 estableció en el artículo 8 la obligación de las entidades estatales de publicar el proyecto de pliego de condiciones o su documento equivalente, con el propósito de que el público en general pueda presentar las observaciones que estime pertinentes. Esa misma disposición consagra la obligación de las entidades estatales de pronunciarse sobre las observaciones presentadas, las cuales deberán motivarse ya sea para acogerlas o para rechazarlas.</w:t>
      </w:r>
    </w:p>
    <w:p w14:paraId="294AFFE4" w14:textId="77777777" w:rsidR="00E66BA2" w:rsidRPr="00E66BA2" w:rsidRDefault="00E66BA2" w:rsidP="00E66BA2">
      <w:pPr>
        <w:widowControl w:val="0"/>
        <w:autoSpaceDE w:val="0"/>
        <w:autoSpaceDN w:val="0"/>
        <w:spacing w:line="276" w:lineRule="auto"/>
        <w:ind w:firstLine="567"/>
        <w:jc w:val="both"/>
        <w:rPr>
          <w:rFonts w:ascii="Verdana" w:eastAsia="Calibri" w:hAnsi="Verdana" w:cs="Arial"/>
          <w:color w:val="000000" w:themeColor="text1"/>
        </w:rPr>
      </w:pPr>
      <w:proofErr w:type="spellStart"/>
      <w:r w:rsidRPr="00E66BA2">
        <w:rPr>
          <w:rFonts w:ascii="Verdana" w:eastAsia="Calibri" w:hAnsi="Verdana" w:cs="Arial"/>
          <w:color w:val="000000" w:themeColor="text1"/>
        </w:rPr>
        <w:t>ii</w:t>
      </w:r>
      <w:proofErr w:type="spellEnd"/>
      <w:r w:rsidRPr="00E66BA2">
        <w:rPr>
          <w:rFonts w:ascii="Verdana" w:eastAsia="Calibri" w:hAnsi="Verdana" w:cs="Arial"/>
          <w:color w:val="000000" w:themeColor="text1"/>
        </w:rPr>
        <w:t>) Apertura del proceso de selección. Esta fase o etapa inicia con la expedición del acto administrativo de apertura del proceso de selección, momento en el cual se publica el pliego de condiciones de definitivo, documento respecto al cual también pueden presentarse observaciones y/o solicitudes de aclaraciones.</w:t>
      </w:r>
    </w:p>
    <w:p w14:paraId="3D4795AF" w14:textId="2E1E436B" w:rsidR="00E66BA2" w:rsidRPr="00E66BA2" w:rsidRDefault="00E66BA2" w:rsidP="00E66BA2">
      <w:pPr>
        <w:widowControl w:val="0"/>
        <w:autoSpaceDE w:val="0"/>
        <w:autoSpaceDN w:val="0"/>
        <w:spacing w:line="276" w:lineRule="auto"/>
        <w:ind w:firstLine="567"/>
        <w:jc w:val="both"/>
        <w:rPr>
          <w:rFonts w:ascii="Verdana" w:eastAsia="Calibri" w:hAnsi="Verdana" w:cs="Arial"/>
          <w:color w:val="000000" w:themeColor="text1"/>
        </w:rPr>
      </w:pPr>
      <w:r w:rsidRPr="00E66BA2">
        <w:rPr>
          <w:rFonts w:ascii="Verdana" w:eastAsia="Calibri" w:hAnsi="Verdana" w:cs="Arial"/>
          <w:color w:val="000000" w:themeColor="text1"/>
        </w:rPr>
        <w:t xml:space="preserve">El ordenamiento jurídico no estableció un término para la presentación de las observaciones al pliego de condiciones definitivo, salvo en la licitación pública, proceso en el cual a petición o solicitud de parte o de al menos uno de los interesados, dentro de los tres (3) días hábiles siguientes al inicio del término para la presentación de propuestas se realizará una audiencia con el propósito de precisar el contenido y alcance de los pliegos de condiciones. Este asunto, de conformidad el artículo 2.2.1.2.1.1.2 del Decreto 1082 de 2015, se abordará y resolverá en la audiencia de asignación de riesgos de que trata el artículo 4 de la Ley 1150 de 2007. Por tanto, las observaciones presentadas o solicitudes de aclaraciones realizadas al pliego de condiciones en la audiencia de asignación de riesgos deberán ser resueltas por la entidad estatal en esa misma diligencia.  </w:t>
      </w:r>
    </w:p>
    <w:p w14:paraId="7E463BD4" w14:textId="484F0E15" w:rsidR="00E66BA2" w:rsidRPr="00E66BA2" w:rsidRDefault="00E66BA2" w:rsidP="00E66BA2">
      <w:pPr>
        <w:widowControl w:val="0"/>
        <w:autoSpaceDE w:val="0"/>
        <w:autoSpaceDN w:val="0"/>
        <w:spacing w:line="276" w:lineRule="auto"/>
        <w:ind w:firstLine="567"/>
        <w:jc w:val="both"/>
        <w:rPr>
          <w:rFonts w:ascii="Verdana" w:eastAsia="Calibri" w:hAnsi="Verdana" w:cs="Arial"/>
          <w:color w:val="000000" w:themeColor="text1"/>
        </w:rPr>
      </w:pPr>
      <w:proofErr w:type="spellStart"/>
      <w:r w:rsidRPr="00E66BA2">
        <w:rPr>
          <w:rFonts w:ascii="Verdana" w:eastAsia="Calibri" w:hAnsi="Verdana" w:cs="Arial"/>
          <w:color w:val="000000" w:themeColor="text1"/>
        </w:rPr>
        <w:t>iii</w:t>
      </w:r>
      <w:proofErr w:type="spellEnd"/>
      <w:r w:rsidRPr="00E66BA2">
        <w:rPr>
          <w:rFonts w:ascii="Verdana" w:eastAsia="Calibri" w:hAnsi="Verdana" w:cs="Arial"/>
          <w:color w:val="000000" w:themeColor="text1"/>
        </w:rPr>
        <w:t xml:space="preserve">) Informes de evaluación. El informe de evaluación de las propuestas en los procesos de licitación pública debe permanecer en la Secretaría General de </w:t>
      </w:r>
      <w:r w:rsidRPr="00E66BA2">
        <w:rPr>
          <w:rFonts w:ascii="Verdana" w:eastAsia="Calibri" w:hAnsi="Verdana" w:cs="Arial"/>
          <w:color w:val="000000" w:themeColor="text1"/>
        </w:rPr>
        <w:lastRenderedPageBreak/>
        <w:t>la entidad estatal contratante por el un término de cinco (5) días hábiles. En los procesos de selección de concurso de méritos y de selección abreviada de menor cuantía, las entidades estatales están en la obligación de publicar el informe de evaluación por un término de tres (3) días hábiles, mientras que en los procesos de selección de mínima cuantía ese informe de evaluación deberá publicarse al menos por el término de un (1) día hábil.</w:t>
      </w:r>
    </w:p>
    <w:p w14:paraId="67722B60" w14:textId="77777777" w:rsidR="00E66BA2" w:rsidRPr="00E66BA2" w:rsidRDefault="00E66BA2" w:rsidP="00E66BA2">
      <w:pPr>
        <w:widowControl w:val="0"/>
        <w:autoSpaceDE w:val="0"/>
        <w:autoSpaceDN w:val="0"/>
        <w:spacing w:line="276" w:lineRule="auto"/>
        <w:ind w:firstLine="567"/>
        <w:jc w:val="both"/>
        <w:rPr>
          <w:rFonts w:ascii="Verdana" w:eastAsia="Calibri" w:hAnsi="Verdana" w:cs="Arial"/>
          <w:color w:val="000000" w:themeColor="text1"/>
        </w:rPr>
      </w:pPr>
      <w:r w:rsidRPr="00E66BA2">
        <w:rPr>
          <w:rFonts w:ascii="Verdana" w:eastAsia="Calibri" w:hAnsi="Verdana" w:cs="Arial"/>
          <w:color w:val="000000" w:themeColor="text1"/>
        </w:rPr>
        <w:t xml:space="preserve">El propósito de la publicidad del informe de evaluación de las propuestas en cada uno de los procesos de selección citados es que los oferentes puedan realizar las observaciones que a su juicio consideren pertinentes. No obstante, el ordenamiento jurídico no contempló de manera expresa un término para que las entidades estatales se pronuncien sobre las observaciones presentadas al informe de evaluación. Sin embargo, existe un momento límite para responder esas observaciones, el cual está determinado por el acto de adjudicación del respectivo contrato. Es decir, la entidad estatal contratante está en la obligación de responder las observaciones presentadas al informe de evaluación de las propuestas como condición previa para la expedición del acto de adjudicación. </w:t>
      </w:r>
    </w:p>
    <w:p w14:paraId="21F6E95A" w14:textId="1BDC17DE" w:rsidR="00E66BA2" w:rsidRPr="00E66BA2" w:rsidRDefault="00E66BA2" w:rsidP="00E66BA2">
      <w:pPr>
        <w:widowControl w:val="0"/>
        <w:autoSpaceDE w:val="0"/>
        <w:autoSpaceDN w:val="0"/>
        <w:spacing w:line="276" w:lineRule="auto"/>
        <w:ind w:firstLine="567"/>
        <w:jc w:val="both"/>
        <w:rPr>
          <w:rFonts w:ascii="Verdana" w:eastAsia="Calibri" w:hAnsi="Verdana" w:cs="Arial"/>
          <w:color w:val="000000" w:themeColor="text1"/>
        </w:rPr>
      </w:pPr>
      <w:r w:rsidRPr="00E66BA2">
        <w:rPr>
          <w:rFonts w:ascii="Verdana" w:eastAsia="Calibri" w:hAnsi="Verdana" w:cs="Arial"/>
          <w:color w:val="000000" w:themeColor="text1"/>
        </w:rPr>
        <w:t>Es de resaltar que, en los procesos de licitación, la respuesta a las observaciones presentadas al informe de evaluación deberá efectuarse antes de la realización de la audiencia de adjudicación, puesto que en esta “[…] los oferentes pueden pronunciarse sobre las respuestas dadas por la Entidad Estatal a las observaciones presentadas respecto del informe de evaluación”.</w:t>
      </w:r>
    </w:p>
    <w:p w14:paraId="1862F59E" w14:textId="77777777" w:rsidR="00E66BA2" w:rsidRPr="00E66BA2" w:rsidRDefault="00E66BA2" w:rsidP="00E66BA2">
      <w:pPr>
        <w:widowControl w:val="0"/>
        <w:autoSpaceDE w:val="0"/>
        <w:autoSpaceDN w:val="0"/>
        <w:spacing w:line="276" w:lineRule="auto"/>
        <w:ind w:firstLine="567"/>
        <w:jc w:val="both"/>
        <w:rPr>
          <w:rFonts w:ascii="Verdana" w:eastAsia="Calibri" w:hAnsi="Verdana" w:cs="Arial"/>
          <w:color w:val="000000" w:themeColor="text1"/>
        </w:rPr>
      </w:pPr>
      <w:r w:rsidRPr="00E66BA2">
        <w:rPr>
          <w:rFonts w:ascii="Verdana" w:eastAsia="Calibri" w:hAnsi="Verdana" w:cs="Arial"/>
          <w:color w:val="000000" w:themeColor="text1"/>
        </w:rPr>
        <w:t>Así, en relación con los términos con que cuentan las entidades estatales para responder las observaciones y/o solicitudes de aclaraciones en las distintas etapas o fases del proceso de contratación, se precisa que el ordenamiento jurídico no contempló de manera expresa dichos plazos. Estos se encuentran establecidos de forma tácita, en tanto que, no es posible avanzar en las fases o etapas del proceso de contratación, si la entidad estatal, previamente, no ha resuelto las observaciones presentadas y/o solicitudes de aclaraciones realizadas en cada una de las etapas analizadas.</w:t>
      </w:r>
    </w:p>
    <w:p w14:paraId="277572A9" w14:textId="77777777" w:rsidR="00E66BA2" w:rsidRPr="00E66BA2" w:rsidRDefault="00E66BA2" w:rsidP="00E66BA2">
      <w:pPr>
        <w:widowControl w:val="0"/>
        <w:autoSpaceDE w:val="0"/>
        <w:autoSpaceDN w:val="0"/>
        <w:spacing w:line="276" w:lineRule="auto"/>
        <w:ind w:firstLine="567"/>
        <w:jc w:val="both"/>
        <w:rPr>
          <w:rFonts w:ascii="Verdana" w:eastAsia="Calibri" w:hAnsi="Verdana" w:cs="Arial"/>
          <w:color w:val="000000" w:themeColor="text1"/>
        </w:rPr>
      </w:pPr>
      <w:r w:rsidRPr="00E66BA2">
        <w:rPr>
          <w:rFonts w:ascii="Verdana" w:eastAsia="Calibri" w:hAnsi="Verdana" w:cs="Arial"/>
          <w:color w:val="000000" w:themeColor="text1"/>
        </w:rPr>
        <w:t xml:space="preserve">Respecto a la formulación de observaciones por parte de los interesados, estas se sujetan al principio de economía. De acuerdo con el numeral 1 del artículo 25 de la Ley 80 de 1993, “En las normas de selección y en los pliegos de condiciones para la escogencia de contratistas, se cumplirán y establecerán los procedimientos y etapas estrictamente necesarios para asegurar la selección </w:t>
      </w:r>
      <w:r w:rsidRPr="00E66BA2">
        <w:rPr>
          <w:rFonts w:ascii="Verdana" w:eastAsia="Calibri" w:hAnsi="Verdana" w:cs="Arial"/>
          <w:color w:val="000000" w:themeColor="text1"/>
        </w:rPr>
        <w:lastRenderedPageBreak/>
        <w:t xml:space="preserve">objetiva de la propuesta más favorable. Para este propósito, </w:t>
      </w:r>
      <w:r w:rsidRPr="00D36550">
        <w:rPr>
          <w:rFonts w:ascii="Verdana" w:eastAsia="Calibri" w:hAnsi="Verdana" w:cs="Arial"/>
          <w:i/>
          <w:iCs/>
          <w:color w:val="000000" w:themeColor="text1"/>
        </w:rPr>
        <w:t>se señalarán términos preclusivos y perentorios</w:t>
      </w:r>
      <w:r w:rsidRPr="00E66BA2">
        <w:rPr>
          <w:rFonts w:ascii="Verdana" w:eastAsia="Calibri" w:hAnsi="Verdana" w:cs="Arial"/>
          <w:color w:val="000000" w:themeColor="text1"/>
        </w:rPr>
        <w:t xml:space="preserve"> para las diferentes etapas de la selección y las autoridades darán impulso oficioso a las actuaciones” (Énfasis fuera de texto). </w:t>
      </w:r>
    </w:p>
    <w:p w14:paraId="5FBC8314" w14:textId="77777777" w:rsidR="00E66BA2" w:rsidRPr="00E66BA2" w:rsidRDefault="00E66BA2" w:rsidP="00E66BA2">
      <w:pPr>
        <w:widowControl w:val="0"/>
        <w:autoSpaceDE w:val="0"/>
        <w:autoSpaceDN w:val="0"/>
        <w:spacing w:line="276" w:lineRule="auto"/>
        <w:ind w:firstLine="567"/>
        <w:jc w:val="both"/>
        <w:rPr>
          <w:rFonts w:ascii="Verdana" w:eastAsia="Calibri" w:hAnsi="Verdana" w:cs="Arial"/>
          <w:color w:val="000000" w:themeColor="text1"/>
        </w:rPr>
      </w:pPr>
      <w:r w:rsidRPr="00E66BA2">
        <w:rPr>
          <w:rFonts w:ascii="Verdana" w:eastAsia="Calibri" w:hAnsi="Verdana" w:cs="Arial"/>
          <w:color w:val="000000" w:themeColor="text1"/>
        </w:rPr>
        <w:t xml:space="preserve">Por ello, si bien tanto a los interesados como a la ciudadanía en general les asiste el derecho a realizar observaciones, este derecho debe ejercerse dentro de los plazos establecidos por el ordenamiento jurídico y por el cronograma del proceso de contratación, so pena de perder tal facultad por la </w:t>
      </w:r>
      <w:proofErr w:type="spellStart"/>
      <w:r w:rsidRPr="00E66BA2">
        <w:rPr>
          <w:rFonts w:ascii="Verdana" w:eastAsia="Calibri" w:hAnsi="Verdana" w:cs="Arial"/>
          <w:color w:val="000000" w:themeColor="text1"/>
        </w:rPr>
        <w:t>preclusividad</w:t>
      </w:r>
      <w:proofErr w:type="spellEnd"/>
      <w:r w:rsidRPr="00E66BA2">
        <w:rPr>
          <w:rFonts w:ascii="Verdana" w:eastAsia="Calibri" w:hAnsi="Verdana" w:cs="Arial"/>
          <w:color w:val="000000" w:themeColor="text1"/>
        </w:rPr>
        <w:t xml:space="preserve"> y perentoriedad de los términos que rigen el proceso de contratación. Lo anterior teniendo en cuenta que, una vez agotada cada fase de este, la entidad estatal –en principio– no puede volver sobre aquella. </w:t>
      </w:r>
    </w:p>
    <w:p w14:paraId="5DFD6D42" w14:textId="77777777" w:rsidR="00E66BA2" w:rsidRPr="00E66BA2" w:rsidRDefault="00E66BA2" w:rsidP="00E66BA2">
      <w:pPr>
        <w:widowControl w:val="0"/>
        <w:autoSpaceDE w:val="0"/>
        <w:autoSpaceDN w:val="0"/>
        <w:spacing w:line="276" w:lineRule="auto"/>
        <w:ind w:firstLine="567"/>
        <w:jc w:val="both"/>
        <w:rPr>
          <w:rFonts w:ascii="Verdana" w:eastAsia="Calibri" w:hAnsi="Verdana" w:cs="Arial"/>
          <w:color w:val="000000" w:themeColor="text1"/>
        </w:rPr>
      </w:pPr>
      <w:r w:rsidRPr="00E66BA2">
        <w:rPr>
          <w:rFonts w:ascii="Verdana" w:eastAsia="Calibri" w:hAnsi="Verdana" w:cs="Arial"/>
          <w:color w:val="000000" w:themeColor="text1"/>
        </w:rPr>
        <w:t>A modo de ejemplo, carece de sentido realizar observaciones sobre los factores de evaluación durante el término de traslado de los informes de evaluación, especialmente, cuando han vencido los plazos para observar tanto el proyecto de pliego de condiciones como el pliego de condiciones definitivo. Si bien la entidad estatal que adelanta un proceso de contratación está en la obligación de responder las observaciones extemporáneas, no lo es menos que esa respuesta debe limitarse al rechazo de la solicitud, precisamente, por realizarse fuera del plazo previsto en los documentos del proceso.</w:t>
      </w:r>
    </w:p>
    <w:p w14:paraId="5E555265" w14:textId="77777777" w:rsidR="00E66BA2" w:rsidRPr="00E66BA2" w:rsidRDefault="00E66BA2" w:rsidP="00E66BA2">
      <w:pPr>
        <w:widowControl w:val="0"/>
        <w:autoSpaceDE w:val="0"/>
        <w:autoSpaceDN w:val="0"/>
        <w:spacing w:line="276" w:lineRule="auto"/>
        <w:ind w:firstLine="567"/>
        <w:jc w:val="both"/>
        <w:rPr>
          <w:rFonts w:ascii="Verdana" w:eastAsia="Calibri" w:hAnsi="Verdana" w:cs="Arial"/>
          <w:color w:val="000000" w:themeColor="text1"/>
        </w:rPr>
      </w:pPr>
      <w:r w:rsidRPr="00E66BA2">
        <w:rPr>
          <w:rFonts w:ascii="Verdana" w:eastAsia="Calibri" w:hAnsi="Verdana" w:cs="Arial"/>
          <w:color w:val="000000" w:themeColor="text1"/>
        </w:rPr>
        <w:t xml:space="preserve">Sin embargo, esto no significa que la entidad esté obligada a aceptar las observaciones formuladas oportunamente. Para estos efectos, conforme al inciso segundo del artículo 13 de la Ley 1437 de 2011, “Toda actuación que inicie cualquier persona ante las autoridades implica el ejercicio del derecho de petición […] sin que sea necesario invocarlo. 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  </w:t>
      </w:r>
    </w:p>
    <w:p w14:paraId="27799453" w14:textId="77777777" w:rsidR="00E66BA2" w:rsidRDefault="00E66BA2" w:rsidP="00E66BA2">
      <w:pPr>
        <w:widowControl w:val="0"/>
        <w:autoSpaceDE w:val="0"/>
        <w:autoSpaceDN w:val="0"/>
        <w:spacing w:line="276" w:lineRule="auto"/>
        <w:ind w:firstLine="567"/>
        <w:jc w:val="both"/>
        <w:rPr>
          <w:rFonts w:ascii="Verdana" w:eastAsia="Calibri" w:hAnsi="Verdana" w:cs="Arial"/>
          <w:color w:val="000000" w:themeColor="text1"/>
        </w:rPr>
      </w:pPr>
      <w:r w:rsidRPr="00E66BA2">
        <w:rPr>
          <w:rFonts w:ascii="Verdana" w:eastAsia="Calibri" w:hAnsi="Verdana" w:cs="Arial"/>
          <w:color w:val="000000" w:themeColor="text1"/>
        </w:rPr>
        <w:t xml:space="preserve">Dado que las observaciones son una manifestación de la garantía prevista en el artículo 23 superior en el ámbito contractual, es necesario distinguir entre el “derecho a pedir” y el “derecho a lo pedido”. Como explica la Corte Constitucional, “[…] es claro que el solicitante no tiene, en modo alguno, derecho a esperar que la autoridad resuelva su pedido de manera favorable, concediendo </w:t>
      </w:r>
      <w:r w:rsidRPr="00E66BA2">
        <w:rPr>
          <w:rFonts w:ascii="Verdana" w:eastAsia="Calibri" w:hAnsi="Verdana" w:cs="Arial"/>
          <w:color w:val="000000" w:themeColor="text1"/>
        </w:rPr>
        <w:lastRenderedPageBreak/>
        <w:t xml:space="preserve">lo que él busca, al punto de poder afirmar que se vulnera el derecho de petición si quien lo resuelve no accede, sin objeción, a […] lo pedido. La garantía de este derecho consiste en que la autoridad deberá necesariamente estudiar la solicitud que ha recibido, pronunciarse de fondo sobre ella en un tiempo prudencial, y asegurarse de poner la respuesta en conocimiento del peticionario, de tal modo que éste no tenga que esperar de manera indefinida […]”  (Énfasis fuera de texto).  </w:t>
      </w:r>
    </w:p>
    <w:p w14:paraId="25B41A52" w14:textId="67333302" w:rsidR="0021386A" w:rsidRDefault="009B308D" w:rsidP="0058659E">
      <w:pPr>
        <w:widowControl w:val="0"/>
        <w:autoSpaceDE w:val="0"/>
        <w:autoSpaceDN w:val="0"/>
        <w:spacing w:line="276" w:lineRule="auto"/>
        <w:ind w:firstLine="567"/>
        <w:jc w:val="both"/>
        <w:rPr>
          <w:rFonts w:ascii="Verdana" w:eastAsia="Calibri" w:hAnsi="Verdana" w:cs="Arial"/>
          <w:color w:val="000000" w:themeColor="text1"/>
        </w:rPr>
      </w:pPr>
      <w:r>
        <w:rPr>
          <w:rFonts w:ascii="Verdana" w:eastAsia="Calibri" w:hAnsi="Verdana" w:cs="Arial"/>
          <w:color w:val="000000" w:themeColor="text1"/>
        </w:rPr>
        <w:t>En este contexto, c</w:t>
      </w:r>
      <w:r w:rsidR="00F47B6C" w:rsidRPr="00F47B6C">
        <w:rPr>
          <w:rFonts w:ascii="Verdana" w:eastAsia="Calibri" w:hAnsi="Verdana" w:cs="Arial"/>
          <w:color w:val="000000" w:themeColor="text1"/>
        </w:rPr>
        <w:t>uando los interesados en un proceso de contratación presenten observaciones y/o solicitudes al informe de evaluación de las ofertas, fuera de los plazos establecidos por el ordenamiento jurídico, se está en presencia de una observación extemporánea que</w:t>
      </w:r>
      <w:r w:rsidR="0058659E">
        <w:rPr>
          <w:rFonts w:ascii="Verdana" w:eastAsia="Calibri" w:hAnsi="Verdana" w:cs="Arial"/>
          <w:color w:val="000000" w:themeColor="text1"/>
        </w:rPr>
        <w:t>,</w:t>
      </w:r>
      <w:r w:rsidR="00F47B6C" w:rsidRPr="00F47B6C">
        <w:rPr>
          <w:rFonts w:ascii="Verdana" w:eastAsia="Calibri" w:hAnsi="Verdana" w:cs="Arial"/>
          <w:color w:val="000000" w:themeColor="text1"/>
        </w:rPr>
        <w:t xml:space="preserve"> a criterio de esta Agencia</w:t>
      </w:r>
      <w:r w:rsidR="006C63D7">
        <w:rPr>
          <w:rFonts w:ascii="Verdana" w:eastAsia="Calibri" w:hAnsi="Verdana" w:cs="Arial"/>
          <w:color w:val="000000" w:themeColor="text1"/>
        </w:rPr>
        <w:t xml:space="preserve">, </w:t>
      </w:r>
      <w:r w:rsidR="00F47B6C" w:rsidRPr="00F47B6C">
        <w:rPr>
          <w:rFonts w:ascii="Verdana" w:eastAsia="Calibri" w:hAnsi="Verdana" w:cs="Arial"/>
          <w:color w:val="000000" w:themeColor="text1"/>
        </w:rPr>
        <w:t xml:space="preserve">si bien la Entidad Estatal está en la obligación de responder no lo es menos que esa respuesta debe consistir o limitarse al rechazo de la observación, precisamente, por ser extemporánea. Respuesta por demás, que debe proferirse antes de que inicie la siguiente etapa o fase del proceso contractual. </w:t>
      </w:r>
    </w:p>
    <w:p w14:paraId="649833D6" w14:textId="1F060FD3" w:rsidR="004D03D1" w:rsidRDefault="0044046D" w:rsidP="004D03D1">
      <w:pPr>
        <w:widowControl w:val="0"/>
        <w:autoSpaceDE w:val="0"/>
        <w:autoSpaceDN w:val="0"/>
        <w:spacing w:line="276" w:lineRule="auto"/>
        <w:ind w:firstLine="567"/>
        <w:jc w:val="both"/>
        <w:rPr>
          <w:rFonts w:ascii="Verdana" w:eastAsia="Calibri" w:hAnsi="Verdana" w:cs="Arial"/>
          <w:color w:val="000000" w:themeColor="text1"/>
        </w:rPr>
      </w:pPr>
      <w:r>
        <w:rPr>
          <w:rFonts w:ascii="Verdana" w:eastAsia="Calibri" w:hAnsi="Verdana" w:cs="Arial"/>
          <w:color w:val="000000" w:themeColor="text1"/>
        </w:rPr>
        <w:t>De esta manera</w:t>
      </w:r>
      <w:r w:rsidR="00607E6D">
        <w:rPr>
          <w:rFonts w:ascii="Verdana" w:eastAsia="Calibri" w:hAnsi="Verdana" w:cs="Arial"/>
          <w:color w:val="000000" w:themeColor="text1"/>
        </w:rPr>
        <w:t>, independientemente del contenido de la observación</w:t>
      </w:r>
      <w:r w:rsidR="000B2B7C">
        <w:rPr>
          <w:rFonts w:ascii="Verdana" w:eastAsia="Calibri" w:hAnsi="Verdana" w:cs="Arial"/>
          <w:color w:val="000000" w:themeColor="text1"/>
        </w:rPr>
        <w:t xml:space="preserve">, si esta se </w:t>
      </w:r>
      <w:r w:rsidR="008A6FA0">
        <w:rPr>
          <w:rFonts w:ascii="Verdana" w:eastAsia="Calibri" w:hAnsi="Verdana" w:cs="Arial"/>
          <w:color w:val="000000" w:themeColor="text1"/>
        </w:rPr>
        <w:t>refiere,</w:t>
      </w:r>
      <w:r w:rsidR="000B2B7C">
        <w:rPr>
          <w:rFonts w:ascii="Verdana" w:eastAsia="Calibri" w:hAnsi="Verdana" w:cs="Arial"/>
          <w:color w:val="000000" w:themeColor="text1"/>
        </w:rPr>
        <w:t xml:space="preserve"> </w:t>
      </w:r>
      <w:r w:rsidR="003E7912">
        <w:rPr>
          <w:rFonts w:ascii="Verdana" w:eastAsia="Calibri" w:hAnsi="Verdana" w:cs="Arial"/>
          <w:color w:val="000000" w:themeColor="text1"/>
        </w:rPr>
        <w:t xml:space="preserve">por ejemplo, </w:t>
      </w:r>
      <w:r w:rsidR="000B2B7C">
        <w:rPr>
          <w:rFonts w:ascii="Verdana" w:eastAsia="Calibri" w:hAnsi="Verdana" w:cs="Arial"/>
          <w:color w:val="000000" w:themeColor="text1"/>
        </w:rPr>
        <w:t>a la habilitación de</w:t>
      </w:r>
      <w:r w:rsidR="002C12C7">
        <w:rPr>
          <w:rFonts w:ascii="Verdana" w:eastAsia="Calibri" w:hAnsi="Verdana" w:cs="Arial"/>
          <w:color w:val="000000" w:themeColor="text1"/>
        </w:rPr>
        <w:t xml:space="preserve"> los </w:t>
      </w:r>
      <w:r w:rsidR="000B2B7C">
        <w:rPr>
          <w:rFonts w:ascii="Verdana" w:eastAsia="Calibri" w:hAnsi="Verdana" w:cs="Arial"/>
          <w:color w:val="000000" w:themeColor="text1"/>
        </w:rPr>
        <w:t>proponente</w:t>
      </w:r>
      <w:r w:rsidR="002C12C7">
        <w:rPr>
          <w:rFonts w:ascii="Verdana" w:eastAsia="Calibri" w:hAnsi="Verdana" w:cs="Arial"/>
          <w:color w:val="000000" w:themeColor="text1"/>
        </w:rPr>
        <w:t>s</w:t>
      </w:r>
      <w:r w:rsidR="000B2B7C">
        <w:rPr>
          <w:rFonts w:ascii="Verdana" w:eastAsia="Calibri" w:hAnsi="Verdana" w:cs="Arial"/>
          <w:color w:val="000000" w:themeColor="text1"/>
        </w:rPr>
        <w:t>, al puntaje que se la otorgado</w:t>
      </w:r>
      <w:r w:rsidR="002C12C7">
        <w:rPr>
          <w:rFonts w:ascii="Verdana" w:eastAsia="Calibri" w:hAnsi="Verdana" w:cs="Arial"/>
          <w:color w:val="000000" w:themeColor="text1"/>
        </w:rPr>
        <w:t xml:space="preserve"> en la evaluación</w:t>
      </w:r>
      <w:r w:rsidR="000B2B7C">
        <w:rPr>
          <w:rFonts w:ascii="Verdana" w:eastAsia="Calibri" w:hAnsi="Verdana" w:cs="Arial"/>
          <w:color w:val="000000" w:themeColor="text1"/>
        </w:rPr>
        <w:t xml:space="preserve"> o </w:t>
      </w:r>
      <w:r w:rsidR="00AF228C">
        <w:rPr>
          <w:rFonts w:ascii="Verdana" w:eastAsia="Calibri" w:hAnsi="Verdana" w:cs="Arial"/>
          <w:color w:val="000000" w:themeColor="text1"/>
        </w:rPr>
        <w:t xml:space="preserve">a la información que </w:t>
      </w:r>
      <w:r w:rsidR="00660DBE">
        <w:rPr>
          <w:rFonts w:ascii="Verdana" w:eastAsia="Calibri" w:hAnsi="Verdana" w:cs="Arial"/>
          <w:color w:val="000000" w:themeColor="text1"/>
        </w:rPr>
        <w:t xml:space="preserve">aportó </w:t>
      </w:r>
      <w:r w:rsidR="002C12C7">
        <w:rPr>
          <w:rFonts w:ascii="Verdana" w:eastAsia="Calibri" w:hAnsi="Verdana" w:cs="Arial"/>
          <w:color w:val="000000" w:themeColor="text1"/>
        </w:rPr>
        <w:t>un oferente</w:t>
      </w:r>
      <w:r w:rsidR="006B758B">
        <w:rPr>
          <w:rFonts w:ascii="Verdana" w:eastAsia="Calibri" w:hAnsi="Verdana" w:cs="Arial"/>
          <w:color w:val="000000" w:themeColor="text1"/>
        </w:rPr>
        <w:t xml:space="preserve">, será </w:t>
      </w:r>
      <w:r w:rsidR="0075023C">
        <w:rPr>
          <w:rFonts w:ascii="Verdana" w:eastAsia="Calibri" w:hAnsi="Verdana" w:cs="Arial"/>
          <w:color w:val="000000" w:themeColor="text1"/>
        </w:rPr>
        <w:t>extemporánea si se presenta por fuera de los plazo</w:t>
      </w:r>
      <w:r w:rsidR="006C3A2D">
        <w:rPr>
          <w:rFonts w:ascii="Verdana" w:eastAsia="Calibri" w:hAnsi="Verdana" w:cs="Arial"/>
          <w:color w:val="000000" w:themeColor="text1"/>
        </w:rPr>
        <w:t>s establecidos en el pliego de condiciones</w:t>
      </w:r>
      <w:r w:rsidR="00482CDC">
        <w:rPr>
          <w:rFonts w:ascii="Verdana" w:eastAsia="Calibri" w:hAnsi="Verdana" w:cs="Arial"/>
          <w:color w:val="000000" w:themeColor="text1"/>
        </w:rPr>
        <w:t xml:space="preserve"> y en tal sentido, la entidad podría rechazarla</w:t>
      </w:r>
      <w:r w:rsidR="00CF56AF">
        <w:rPr>
          <w:rFonts w:ascii="Verdana" w:eastAsia="Calibri" w:hAnsi="Verdana" w:cs="Arial"/>
          <w:color w:val="000000" w:themeColor="text1"/>
        </w:rPr>
        <w:t xml:space="preserve"> por la preclusión del término</w:t>
      </w:r>
      <w:r w:rsidR="005652D5">
        <w:rPr>
          <w:rFonts w:ascii="Verdana" w:eastAsia="Calibri" w:hAnsi="Verdana" w:cs="Arial"/>
          <w:color w:val="000000" w:themeColor="text1"/>
        </w:rPr>
        <w:t xml:space="preserve">. </w:t>
      </w:r>
      <w:r w:rsidR="000E0622">
        <w:rPr>
          <w:rFonts w:ascii="Verdana" w:eastAsia="Calibri" w:hAnsi="Verdana" w:cs="Arial"/>
          <w:color w:val="000000" w:themeColor="text1"/>
        </w:rPr>
        <w:t xml:space="preserve">De este modo, se considera </w:t>
      </w:r>
      <w:r w:rsidR="00A03F74">
        <w:rPr>
          <w:rFonts w:ascii="Verdana" w:eastAsia="Calibri" w:hAnsi="Verdana" w:cs="Arial"/>
          <w:color w:val="000000" w:themeColor="text1"/>
        </w:rPr>
        <w:t>extemporánea una observación sobre la evaluación de los proponentes que se presente después del acto de adjudicación</w:t>
      </w:r>
      <w:r w:rsidR="004D03D1">
        <w:rPr>
          <w:rFonts w:ascii="Verdana" w:eastAsia="Calibri" w:hAnsi="Verdana" w:cs="Arial"/>
          <w:color w:val="000000" w:themeColor="text1"/>
        </w:rPr>
        <w:t xml:space="preserve">, debido a que </w:t>
      </w:r>
      <w:r w:rsidR="00DF1981">
        <w:rPr>
          <w:rFonts w:ascii="Verdana" w:eastAsia="Calibri" w:hAnsi="Verdana" w:cs="Arial"/>
          <w:color w:val="000000" w:themeColor="text1"/>
        </w:rPr>
        <w:t>para est</w:t>
      </w:r>
      <w:r w:rsidR="003C141E">
        <w:rPr>
          <w:rFonts w:ascii="Verdana" w:eastAsia="Calibri" w:hAnsi="Verdana" w:cs="Arial"/>
          <w:color w:val="000000" w:themeColor="text1"/>
        </w:rPr>
        <w:t xml:space="preserve">a etapa ya ha </w:t>
      </w:r>
      <w:r w:rsidR="00186D14">
        <w:rPr>
          <w:rFonts w:ascii="Verdana" w:eastAsia="Calibri" w:hAnsi="Verdana" w:cs="Arial"/>
          <w:color w:val="000000" w:themeColor="text1"/>
        </w:rPr>
        <w:t>culminado</w:t>
      </w:r>
      <w:r w:rsidR="003C141E">
        <w:rPr>
          <w:rFonts w:ascii="Verdana" w:eastAsia="Calibri" w:hAnsi="Verdana" w:cs="Arial"/>
          <w:color w:val="000000" w:themeColor="text1"/>
        </w:rPr>
        <w:t xml:space="preserve"> </w:t>
      </w:r>
      <w:r w:rsidR="00C060B0">
        <w:rPr>
          <w:rFonts w:ascii="Verdana" w:eastAsia="Calibri" w:hAnsi="Verdana" w:cs="Arial"/>
          <w:color w:val="000000" w:themeColor="text1"/>
        </w:rPr>
        <w:t>el periodo de ob</w:t>
      </w:r>
      <w:r w:rsidR="00DC0445">
        <w:rPr>
          <w:rFonts w:ascii="Verdana" w:eastAsia="Calibri" w:hAnsi="Verdana" w:cs="Arial"/>
          <w:color w:val="000000" w:themeColor="text1"/>
        </w:rPr>
        <w:t xml:space="preserve">servaciones. </w:t>
      </w:r>
    </w:p>
    <w:p w14:paraId="3B366FD1" w14:textId="5069CFD0" w:rsidR="00E607E5" w:rsidRPr="003661FF" w:rsidRDefault="00E607E5" w:rsidP="001E1801">
      <w:pPr>
        <w:widowControl w:val="0"/>
        <w:autoSpaceDE w:val="0"/>
        <w:autoSpaceDN w:val="0"/>
        <w:spacing w:line="276" w:lineRule="auto"/>
        <w:ind w:firstLine="567"/>
        <w:jc w:val="both"/>
        <w:rPr>
          <w:rFonts w:ascii="Verdana" w:eastAsia="Arial" w:hAnsi="Verdana" w:cs="Arial"/>
          <w:bCs/>
        </w:rPr>
      </w:pPr>
      <w:r>
        <w:rPr>
          <w:rFonts w:ascii="Verdana" w:eastAsia="Arial" w:hAnsi="Verdana" w:cs="Arial"/>
          <w:bCs/>
        </w:rPr>
        <w:t>Lo anterior no obsta para que la entidad revise la observación presentada y tome las medidas</w:t>
      </w:r>
      <w:r w:rsidR="008803CE">
        <w:rPr>
          <w:rFonts w:ascii="Verdana" w:eastAsia="Arial" w:hAnsi="Verdana" w:cs="Arial"/>
          <w:bCs/>
        </w:rPr>
        <w:t xml:space="preserve"> correspondientes</w:t>
      </w:r>
      <w:r>
        <w:rPr>
          <w:rFonts w:ascii="Verdana" w:eastAsia="Arial" w:hAnsi="Verdana" w:cs="Arial"/>
          <w:bCs/>
        </w:rPr>
        <w:t xml:space="preserve">, </w:t>
      </w:r>
      <w:r w:rsidR="000E1D6F">
        <w:rPr>
          <w:rFonts w:ascii="Verdana" w:eastAsia="Arial" w:hAnsi="Verdana" w:cs="Arial"/>
          <w:bCs/>
        </w:rPr>
        <w:t>especialmente</w:t>
      </w:r>
      <w:r w:rsidR="00834BE2">
        <w:rPr>
          <w:rFonts w:ascii="Verdana" w:eastAsia="Arial" w:hAnsi="Verdana" w:cs="Arial"/>
          <w:bCs/>
        </w:rPr>
        <w:t xml:space="preserve"> </w:t>
      </w:r>
      <w:r w:rsidR="000E0622">
        <w:rPr>
          <w:rFonts w:ascii="Verdana" w:eastAsia="Arial" w:hAnsi="Verdana" w:cs="Arial"/>
          <w:bCs/>
        </w:rPr>
        <w:t xml:space="preserve">en aquellos eventos en que </w:t>
      </w:r>
      <w:r w:rsidR="006F030F">
        <w:rPr>
          <w:rFonts w:ascii="Verdana" w:eastAsia="Arial" w:hAnsi="Verdana" w:cs="Arial"/>
          <w:bCs/>
        </w:rPr>
        <w:t>se</w:t>
      </w:r>
      <w:r w:rsidR="00162B8D">
        <w:rPr>
          <w:rFonts w:ascii="Verdana" w:eastAsia="Arial" w:hAnsi="Verdana" w:cs="Arial"/>
          <w:bCs/>
        </w:rPr>
        <w:t xml:space="preserve"> re</w:t>
      </w:r>
      <w:r w:rsidR="00326011">
        <w:rPr>
          <w:rFonts w:ascii="Verdana" w:eastAsia="Arial" w:hAnsi="Verdana" w:cs="Arial"/>
          <w:bCs/>
        </w:rPr>
        <w:t>lacione con una</w:t>
      </w:r>
      <w:r>
        <w:rPr>
          <w:rFonts w:ascii="Verdana" w:eastAsia="Arial" w:hAnsi="Verdana" w:cs="Arial"/>
          <w:bCs/>
        </w:rPr>
        <w:t xml:space="preserve"> presunta infracción a normas de orden penal</w:t>
      </w:r>
      <w:r w:rsidR="007B35F6">
        <w:rPr>
          <w:rFonts w:ascii="Verdana" w:eastAsia="Arial" w:hAnsi="Verdana" w:cs="Arial"/>
          <w:bCs/>
        </w:rPr>
        <w:t xml:space="preserve"> o</w:t>
      </w:r>
      <w:r>
        <w:rPr>
          <w:rFonts w:ascii="Verdana" w:eastAsia="Arial" w:hAnsi="Verdana" w:cs="Arial"/>
          <w:bCs/>
        </w:rPr>
        <w:t xml:space="preserve"> que puedan generar vicios </w:t>
      </w:r>
      <w:r w:rsidR="00CA0AA4">
        <w:rPr>
          <w:rFonts w:ascii="Verdana" w:eastAsia="Arial" w:hAnsi="Verdana" w:cs="Arial"/>
          <w:bCs/>
        </w:rPr>
        <w:t xml:space="preserve">en la adjudicación </w:t>
      </w:r>
      <w:r w:rsidR="00553E34">
        <w:rPr>
          <w:rFonts w:ascii="Verdana" w:eastAsia="Arial" w:hAnsi="Verdana" w:cs="Arial"/>
          <w:bCs/>
        </w:rPr>
        <w:t xml:space="preserve">y </w:t>
      </w:r>
      <w:r>
        <w:rPr>
          <w:rFonts w:ascii="Verdana" w:eastAsia="Arial" w:hAnsi="Verdana" w:cs="Arial"/>
          <w:bCs/>
        </w:rPr>
        <w:t xml:space="preserve">en el futuro contrato. </w:t>
      </w:r>
      <w:r w:rsidR="000D2914">
        <w:rPr>
          <w:rFonts w:ascii="Verdana" w:eastAsia="Arial" w:hAnsi="Verdana" w:cs="Arial"/>
          <w:bCs/>
        </w:rPr>
        <w:t xml:space="preserve">Esto significa que no por el hecho de ser extemporánea la entidad </w:t>
      </w:r>
      <w:r w:rsidR="00BD23A5">
        <w:rPr>
          <w:rFonts w:ascii="Verdana" w:eastAsia="Arial" w:hAnsi="Verdana" w:cs="Arial"/>
          <w:bCs/>
        </w:rPr>
        <w:t xml:space="preserve">descartará automáticamente su </w:t>
      </w:r>
      <w:r w:rsidR="00A56819">
        <w:rPr>
          <w:rFonts w:ascii="Verdana" w:eastAsia="Arial" w:hAnsi="Verdana" w:cs="Arial"/>
          <w:bCs/>
        </w:rPr>
        <w:t>análisis,</w:t>
      </w:r>
      <w:r w:rsidR="00B92FFF">
        <w:rPr>
          <w:rFonts w:ascii="Verdana" w:eastAsia="Arial" w:hAnsi="Verdana" w:cs="Arial"/>
          <w:bCs/>
        </w:rPr>
        <w:t xml:space="preserve"> sino que </w:t>
      </w:r>
      <w:r w:rsidR="007F4A6F">
        <w:rPr>
          <w:rFonts w:ascii="Verdana" w:eastAsia="Arial" w:hAnsi="Verdana" w:cs="Arial"/>
          <w:bCs/>
        </w:rPr>
        <w:t>resulta</w:t>
      </w:r>
      <w:r w:rsidR="00B92FFF">
        <w:rPr>
          <w:rFonts w:ascii="Verdana" w:eastAsia="Arial" w:hAnsi="Verdana" w:cs="Arial"/>
          <w:bCs/>
        </w:rPr>
        <w:t xml:space="preserve"> </w:t>
      </w:r>
      <w:r w:rsidR="00441DAF">
        <w:rPr>
          <w:rFonts w:ascii="Verdana" w:eastAsia="Arial" w:hAnsi="Verdana" w:cs="Arial"/>
          <w:bCs/>
        </w:rPr>
        <w:t>oportuno</w:t>
      </w:r>
      <w:r w:rsidR="00BA4D00">
        <w:rPr>
          <w:rFonts w:ascii="Verdana" w:eastAsia="Arial" w:hAnsi="Verdana" w:cs="Arial"/>
          <w:bCs/>
        </w:rPr>
        <w:t xml:space="preserve"> examinar su contenido y alcance</w:t>
      </w:r>
      <w:r w:rsidR="00050CAD">
        <w:rPr>
          <w:rFonts w:ascii="Verdana" w:eastAsia="Arial" w:hAnsi="Verdana" w:cs="Arial"/>
          <w:bCs/>
        </w:rPr>
        <w:t xml:space="preserve"> para determinar si frente a ella </w:t>
      </w:r>
      <w:r w:rsidR="00441DAF">
        <w:rPr>
          <w:rFonts w:ascii="Verdana" w:eastAsia="Arial" w:hAnsi="Verdana" w:cs="Arial"/>
          <w:bCs/>
        </w:rPr>
        <w:t xml:space="preserve">procede </w:t>
      </w:r>
      <w:r w:rsidR="00A56819">
        <w:rPr>
          <w:rFonts w:ascii="Verdana" w:eastAsia="Arial" w:hAnsi="Verdana" w:cs="Arial"/>
          <w:bCs/>
        </w:rPr>
        <w:t xml:space="preserve">alguna </w:t>
      </w:r>
      <w:r w:rsidR="00050CAD">
        <w:rPr>
          <w:rFonts w:ascii="Verdana" w:eastAsia="Arial" w:hAnsi="Verdana" w:cs="Arial"/>
          <w:bCs/>
        </w:rPr>
        <w:t>actuaci</w:t>
      </w:r>
      <w:r w:rsidR="00A56819">
        <w:rPr>
          <w:rFonts w:ascii="Verdana" w:eastAsia="Arial" w:hAnsi="Verdana" w:cs="Arial"/>
          <w:bCs/>
        </w:rPr>
        <w:t>ón</w:t>
      </w:r>
      <w:r w:rsidR="001E1801">
        <w:rPr>
          <w:rFonts w:ascii="Verdana" w:eastAsia="Arial" w:hAnsi="Verdana" w:cs="Arial"/>
          <w:bCs/>
        </w:rPr>
        <w:t xml:space="preserve">. </w:t>
      </w:r>
      <w:r w:rsidR="00E81800">
        <w:rPr>
          <w:rFonts w:ascii="Verdana" w:eastAsia="Arial" w:hAnsi="Verdana" w:cs="Arial"/>
          <w:bCs/>
        </w:rPr>
        <w:t xml:space="preserve">Por </w:t>
      </w:r>
      <w:r w:rsidR="00A56819">
        <w:rPr>
          <w:rFonts w:ascii="Verdana" w:eastAsia="Arial" w:hAnsi="Verdana" w:cs="Arial"/>
          <w:bCs/>
        </w:rPr>
        <w:t>ejemplo,</w:t>
      </w:r>
      <w:r w:rsidR="00E81800">
        <w:rPr>
          <w:rFonts w:ascii="Verdana" w:eastAsia="Arial" w:hAnsi="Verdana" w:cs="Arial"/>
          <w:bCs/>
        </w:rPr>
        <w:t xml:space="preserve"> si</w:t>
      </w:r>
      <w:r>
        <w:rPr>
          <w:rFonts w:ascii="Verdana" w:eastAsia="Arial" w:hAnsi="Verdana" w:cs="Arial"/>
          <w:bCs/>
        </w:rPr>
        <w:t xml:space="preserve"> se </w:t>
      </w:r>
      <w:r w:rsidRPr="008616A2">
        <w:rPr>
          <w:rFonts w:ascii="Verdana" w:eastAsia="Arial" w:hAnsi="Verdana" w:cs="Arial"/>
          <w:bCs/>
        </w:rPr>
        <w:t>avizoran inconsistencias en la información presentada por un proponente sobre la cual pueda existir una presunta falsedad,</w:t>
      </w:r>
      <w:r w:rsidR="00460CE3">
        <w:rPr>
          <w:rFonts w:ascii="Verdana" w:eastAsia="Arial" w:hAnsi="Verdana" w:cs="Arial"/>
          <w:bCs/>
        </w:rPr>
        <w:t xml:space="preserve"> le corresponde a</w:t>
      </w:r>
      <w:r w:rsidRPr="008616A2">
        <w:rPr>
          <w:rFonts w:ascii="Verdana" w:eastAsia="Arial" w:hAnsi="Verdana" w:cs="Arial"/>
          <w:bCs/>
        </w:rPr>
        <w:t xml:space="preserve"> la entidad compulsa</w:t>
      </w:r>
      <w:r w:rsidR="00460CE3">
        <w:rPr>
          <w:rFonts w:ascii="Verdana" w:eastAsia="Arial" w:hAnsi="Verdana" w:cs="Arial"/>
          <w:bCs/>
        </w:rPr>
        <w:t>r</w:t>
      </w:r>
      <w:r w:rsidRPr="008616A2">
        <w:rPr>
          <w:rFonts w:ascii="Verdana" w:eastAsia="Arial" w:hAnsi="Verdana" w:cs="Arial"/>
          <w:bCs/>
        </w:rPr>
        <w:t xml:space="preserve"> copias a las autoridades competentes. Además, </w:t>
      </w:r>
      <w:r w:rsidR="00101C11">
        <w:rPr>
          <w:rFonts w:ascii="Verdana" w:eastAsia="Arial" w:hAnsi="Verdana" w:cs="Arial"/>
          <w:bCs/>
        </w:rPr>
        <w:t xml:space="preserve">es pertinente que se realice </w:t>
      </w:r>
      <w:r w:rsidRPr="008616A2">
        <w:rPr>
          <w:rFonts w:ascii="Verdana" w:eastAsia="Arial" w:hAnsi="Verdana" w:cs="Arial"/>
          <w:bCs/>
        </w:rPr>
        <w:t>la revisión de</w:t>
      </w:r>
      <w:r w:rsidR="00327AFB">
        <w:rPr>
          <w:rFonts w:ascii="Verdana" w:eastAsia="Arial" w:hAnsi="Verdana" w:cs="Arial"/>
          <w:bCs/>
        </w:rPr>
        <w:t xml:space="preserve"> la información inexacta</w:t>
      </w:r>
      <w:r w:rsidRPr="008616A2">
        <w:rPr>
          <w:rFonts w:ascii="Verdana" w:eastAsia="Arial" w:hAnsi="Verdana" w:cs="Arial"/>
          <w:bCs/>
        </w:rPr>
        <w:t xml:space="preserve"> de cara al impacto que se pueda presentar con el</w:t>
      </w:r>
      <w:r w:rsidR="00327AFB">
        <w:rPr>
          <w:rFonts w:ascii="Verdana" w:eastAsia="Arial" w:hAnsi="Verdana" w:cs="Arial"/>
          <w:bCs/>
        </w:rPr>
        <w:t xml:space="preserve"> acto de </w:t>
      </w:r>
      <w:r w:rsidR="008A31C7">
        <w:rPr>
          <w:rFonts w:ascii="Verdana" w:eastAsia="Arial" w:hAnsi="Verdana" w:cs="Arial"/>
          <w:bCs/>
        </w:rPr>
        <w:t>adjudicación o el</w:t>
      </w:r>
      <w:r w:rsidRPr="008616A2">
        <w:rPr>
          <w:rFonts w:ascii="Verdana" w:eastAsia="Arial" w:hAnsi="Verdana" w:cs="Arial"/>
          <w:bCs/>
        </w:rPr>
        <w:t xml:space="preserve"> contrato</w:t>
      </w:r>
      <w:r w:rsidR="00A52BC1">
        <w:rPr>
          <w:rFonts w:ascii="Verdana" w:eastAsia="Arial" w:hAnsi="Verdana" w:cs="Arial"/>
          <w:bCs/>
        </w:rPr>
        <w:t xml:space="preserve">, lo cual deberá evaluar </w:t>
      </w:r>
      <w:r w:rsidR="00117BBD">
        <w:rPr>
          <w:rFonts w:ascii="Verdana" w:eastAsia="Arial" w:hAnsi="Verdana" w:cs="Arial"/>
          <w:bCs/>
        </w:rPr>
        <w:t xml:space="preserve">la </w:t>
      </w:r>
      <w:r w:rsidR="00A52BC1">
        <w:rPr>
          <w:rFonts w:ascii="Verdana" w:eastAsia="Arial" w:hAnsi="Verdana" w:cs="Arial"/>
          <w:bCs/>
        </w:rPr>
        <w:t xml:space="preserve">entidad de </w:t>
      </w:r>
      <w:r w:rsidR="00A52BC1">
        <w:rPr>
          <w:rFonts w:ascii="Verdana" w:eastAsia="Arial" w:hAnsi="Verdana" w:cs="Arial"/>
          <w:bCs/>
        </w:rPr>
        <w:lastRenderedPageBreak/>
        <w:t xml:space="preserve">acuerdo con las circunstancias particulares </w:t>
      </w:r>
      <w:r w:rsidR="00117BBD">
        <w:rPr>
          <w:rFonts w:ascii="Verdana" w:eastAsia="Arial" w:hAnsi="Verdana" w:cs="Arial"/>
          <w:bCs/>
        </w:rPr>
        <w:t xml:space="preserve">de cada </w:t>
      </w:r>
      <w:r w:rsidR="00A52BC1">
        <w:rPr>
          <w:rFonts w:ascii="Verdana" w:eastAsia="Arial" w:hAnsi="Verdana" w:cs="Arial"/>
          <w:bCs/>
        </w:rPr>
        <w:t xml:space="preserve">caso. </w:t>
      </w:r>
    </w:p>
    <w:p w14:paraId="1AB612EC" w14:textId="55B9F49A" w:rsidR="0093442D" w:rsidRPr="00892B98" w:rsidRDefault="007E4219" w:rsidP="00892B98">
      <w:pPr>
        <w:widowControl w:val="0"/>
        <w:autoSpaceDE w:val="0"/>
        <w:autoSpaceDN w:val="0"/>
        <w:spacing w:after="0" w:line="276" w:lineRule="auto"/>
        <w:ind w:firstLine="567"/>
        <w:jc w:val="both"/>
        <w:rPr>
          <w:rFonts w:ascii="Verdana" w:eastAsia="Calibri" w:hAnsi="Verdana" w:cs="Arial"/>
          <w:szCs w:val="20"/>
          <w:lang w:val="es-MX"/>
        </w:rPr>
      </w:pPr>
      <w:r>
        <w:rPr>
          <w:rFonts w:ascii="Verdana" w:eastAsia="Calibri" w:hAnsi="Verdana" w:cs="Arial"/>
          <w:color w:val="000000" w:themeColor="text1"/>
        </w:rPr>
        <w:t>Ahora bien, e</w:t>
      </w:r>
      <w:r w:rsidR="008C127A">
        <w:rPr>
          <w:rFonts w:ascii="Verdana" w:eastAsia="Calibri" w:hAnsi="Verdana" w:cs="Arial"/>
          <w:color w:val="000000" w:themeColor="text1"/>
        </w:rPr>
        <w:t xml:space="preserve">n </w:t>
      </w:r>
      <w:r w:rsidR="001446C3">
        <w:rPr>
          <w:rFonts w:ascii="Verdana" w:eastAsia="Calibri" w:hAnsi="Verdana" w:cs="Arial"/>
          <w:color w:val="000000" w:themeColor="text1"/>
        </w:rPr>
        <w:t>relación con la información inexacta</w:t>
      </w:r>
      <w:r w:rsidR="005B45AB">
        <w:rPr>
          <w:rFonts w:ascii="Verdana" w:eastAsia="Calibri" w:hAnsi="Verdana" w:cs="Arial"/>
          <w:color w:val="000000" w:themeColor="text1"/>
        </w:rPr>
        <w:t xml:space="preserve"> que se encuentra </w:t>
      </w:r>
      <w:r w:rsidR="00483B03">
        <w:rPr>
          <w:rFonts w:ascii="Verdana" w:eastAsia="Calibri" w:hAnsi="Verdana" w:cs="Arial"/>
          <w:color w:val="000000" w:themeColor="text1"/>
        </w:rPr>
        <w:t>establecida en el numeral 1.11 de los documentos tipo</w:t>
      </w:r>
      <w:r w:rsidR="00F20046">
        <w:rPr>
          <w:rStyle w:val="Refdenotaalpie"/>
          <w:rFonts w:ascii="Verdana" w:eastAsia="Calibri" w:hAnsi="Verdana" w:cs="Arial"/>
          <w:color w:val="000000" w:themeColor="text1"/>
        </w:rPr>
        <w:footnoteReference w:id="2"/>
      </w:r>
      <w:r w:rsidR="0067147C">
        <w:rPr>
          <w:rFonts w:ascii="Verdana" w:eastAsia="Calibri" w:hAnsi="Verdana" w:cs="Arial"/>
          <w:szCs w:val="20"/>
          <w:lang w:val="es-MX"/>
        </w:rPr>
        <w:t>,</w:t>
      </w:r>
      <w:r w:rsidR="00EC5554" w:rsidRPr="00076C2B">
        <w:rPr>
          <w:rFonts w:ascii="Verdana" w:eastAsia="Calibri" w:hAnsi="Verdana" w:cs="Arial"/>
          <w:szCs w:val="20"/>
          <w:lang w:val="es-MX"/>
        </w:rPr>
        <w:t xml:space="preserve"> </w:t>
      </w:r>
      <w:r w:rsidR="00C82BE2" w:rsidRPr="00076C2B">
        <w:rPr>
          <w:rFonts w:ascii="Verdana" w:eastAsia="Calibri" w:hAnsi="Verdana" w:cs="Arial"/>
          <w:szCs w:val="20"/>
          <w:lang w:val="es-MX"/>
        </w:rPr>
        <w:t xml:space="preserve">es pertinente </w:t>
      </w:r>
      <w:r w:rsidR="005B45AB">
        <w:rPr>
          <w:rFonts w:ascii="Verdana" w:eastAsia="Calibri" w:hAnsi="Verdana" w:cs="Arial"/>
          <w:szCs w:val="20"/>
          <w:lang w:val="es-MX"/>
        </w:rPr>
        <w:t xml:space="preserve">señalar </w:t>
      </w:r>
      <w:r w:rsidR="00744EE8">
        <w:rPr>
          <w:rFonts w:ascii="Verdana" w:eastAsia="Calibri" w:hAnsi="Verdana" w:cs="Arial"/>
          <w:szCs w:val="20"/>
          <w:lang w:val="es-MX"/>
        </w:rPr>
        <w:t xml:space="preserve">que </w:t>
      </w:r>
      <w:r w:rsidR="00E206D8">
        <w:rPr>
          <w:rFonts w:ascii="Verdana" w:eastAsia="Calibri" w:hAnsi="Verdana" w:cs="Arial"/>
          <w:szCs w:val="20"/>
          <w:lang w:val="es-MX"/>
        </w:rPr>
        <w:t xml:space="preserve">en esta </w:t>
      </w:r>
      <w:r w:rsidR="00835DCB">
        <w:rPr>
          <w:rFonts w:ascii="Verdana" w:eastAsia="Calibri" w:hAnsi="Verdana" w:cs="Arial"/>
          <w:szCs w:val="20"/>
          <w:lang w:val="es-MX"/>
        </w:rPr>
        <w:t xml:space="preserve">se </w:t>
      </w:r>
      <w:r w:rsidR="002C401A">
        <w:rPr>
          <w:rFonts w:ascii="Verdana" w:eastAsia="Calibri" w:hAnsi="Verdana" w:cs="Arial"/>
          <w:szCs w:val="20"/>
          <w:lang w:val="es-MX"/>
        </w:rPr>
        <w:t xml:space="preserve">establece una regla de verificación de información </w:t>
      </w:r>
      <w:r w:rsidR="00892B98" w:rsidRPr="0093442D">
        <w:rPr>
          <w:rFonts w:ascii="Verdana" w:eastAsia="Calibri" w:hAnsi="Verdana" w:cs="Arial"/>
        </w:rPr>
        <w:t xml:space="preserve">frente a la </w:t>
      </w:r>
      <w:r w:rsidR="00892B98" w:rsidRPr="00A75089">
        <w:rPr>
          <w:rFonts w:ascii="Verdana" w:eastAsia="Calibri" w:hAnsi="Verdana" w:cs="Arial"/>
        </w:rPr>
        <w:t xml:space="preserve">totalidad de la información y documentación aportada </w:t>
      </w:r>
      <w:r w:rsidR="002C401A">
        <w:rPr>
          <w:rFonts w:ascii="Verdana" w:eastAsia="Calibri" w:hAnsi="Verdana" w:cs="Arial"/>
          <w:szCs w:val="20"/>
          <w:lang w:val="es-MX"/>
        </w:rPr>
        <w:t xml:space="preserve">y dos supuestos con consecuencias </w:t>
      </w:r>
      <w:r w:rsidR="00835DCB">
        <w:rPr>
          <w:rFonts w:ascii="Verdana" w:eastAsia="Calibri" w:hAnsi="Verdana" w:cs="Arial"/>
          <w:szCs w:val="20"/>
          <w:lang w:val="es-MX"/>
        </w:rPr>
        <w:t>diferentes</w:t>
      </w:r>
      <w:r w:rsidR="00892B98">
        <w:rPr>
          <w:rFonts w:ascii="Verdana" w:eastAsia="Calibri" w:hAnsi="Verdana" w:cs="Arial"/>
          <w:szCs w:val="20"/>
          <w:lang w:val="es-MX"/>
        </w:rPr>
        <w:t xml:space="preserve">: </w:t>
      </w:r>
      <w:r w:rsidR="0093442D" w:rsidRPr="0093442D">
        <w:rPr>
          <w:rFonts w:ascii="Verdana" w:eastAsia="Calibri" w:hAnsi="Verdana" w:cs="Arial"/>
        </w:rPr>
        <w:t>el primero, señala que una vez verificada la información y evidenciada la inconsistencia, la entidad estatal la tendrá por no acreditada. Por ejemplo, cuando se presente documentación para acreditar un requisito habilitante y ante las observaciones recibidas en el traslado del informe de evaluación no se lo</w:t>
      </w:r>
      <w:r w:rsidR="00066646">
        <w:rPr>
          <w:rFonts w:ascii="Verdana" w:eastAsia="Calibri" w:hAnsi="Verdana" w:cs="Arial"/>
        </w:rPr>
        <w:t>gr</w:t>
      </w:r>
      <w:r w:rsidR="0093442D" w:rsidRPr="0093442D">
        <w:rPr>
          <w:rFonts w:ascii="Verdana" w:eastAsia="Calibri" w:hAnsi="Verdana" w:cs="Arial"/>
        </w:rPr>
        <w:t xml:space="preserve">e constatar con exactitud lo acreditado o la veracidad del mismo y ante esa duda, no tendrá en cuenta la documentación aportada, sin perjuicio de que el proponente cumpla con el requisito habilitante con los demás documentos que aporte. En este evento, se trata de inconsistencias que, aunque no se superan por la ausencia de otro medio probatorio, no tienen la connotación de falsedad. </w:t>
      </w:r>
    </w:p>
    <w:p w14:paraId="151F6231" w14:textId="77777777" w:rsidR="00C91106" w:rsidRDefault="0093442D" w:rsidP="00C91106">
      <w:pPr>
        <w:spacing w:before="120" w:line="276" w:lineRule="auto"/>
        <w:ind w:firstLine="709"/>
        <w:jc w:val="both"/>
        <w:rPr>
          <w:rFonts w:ascii="Verdana" w:eastAsia="Calibri" w:hAnsi="Verdana" w:cs="Arial"/>
        </w:rPr>
      </w:pPr>
      <w:r w:rsidRPr="0093442D">
        <w:rPr>
          <w:rFonts w:ascii="Verdana" w:eastAsia="Calibri" w:hAnsi="Verdana" w:cs="Arial"/>
        </w:rPr>
        <w:t xml:space="preserve">El segundo evento se configura cuando de la verificación se corrobora que las inconsistencias obedecerían a una presunta falsedad no desvirtuada por el proponente, caso en el cual se rechaza la oferta y se informa a las autoridades correspondientes. Por ejemplo, cuando ante una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w:t>
      </w:r>
      <w:r w:rsidRPr="0093442D">
        <w:rPr>
          <w:rFonts w:ascii="Verdana" w:eastAsia="Calibri" w:hAnsi="Verdana" w:cs="Arial"/>
        </w:rPr>
        <w:lastRenderedPageBreak/>
        <w:t xml:space="preserve">rechazar la oferta y compulsar copias a las autoridades competentes, quienes adelantarán las respectivas investigaciones. </w:t>
      </w:r>
    </w:p>
    <w:p w14:paraId="5AAF000F" w14:textId="5C15C3D6" w:rsidR="00524C98" w:rsidRDefault="00232178" w:rsidP="002225AB">
      <w:pPr>
        <w:spacing w:before="120" w:line="276" w:lineRule="auto"/>
        <w:ind w:firstLine="709"/>
        <w:jc w:val="both"/>
        <w:rPr>
          <w:rFonts w:ascii="Verdana" w:eastAsia="Calibri" w:hAnsi="Verdana" w:cs="Arial"/>
        </w:rPr>
      </w:pPr>
      <w:r>
        <w:rPr>
          <w:rFonts w:ascii="Verdana" w:eastAsia="Calibri" w:hAnsi="Verdana" w:cs="Arial"/>
        </w:rPr>
        <w:t xml:space="preserve">Con todo, los supuestos señalados parten de la base del </w:t>
      </w:r>
      <w:r w:rsidRPr="003B24EA">
        <w:rPr>
          <w:rFonts w:ascii="Verdana" w:eastAsia="Calibri" w:hAnsi="Verdana" w:cs="Arial"/>
        </w:rPr>
        <w:t>deber que le asiste a la Entidad Estatal de verificar la veracidad de la información suministrada por el proponente para evitar vicios en la adjudicación y en el contrato</w:t>
      </w:r>
      <w:r w:rsidR="00473C0A">
        <w:rPr>
          <w:rFonts w:ascii="Verdana" w:eastAsia="Calibri" w:hAnsi="Verdana" w:cs="Arial"/>
        </w:rPr>
        <w:t>.</w:t>
      </w:r>
      <w:r w:rsidR="002225AB">
        <w:rPr>
          <w:rFonts w:ascii="Verdana" w:eastAsia="Calibri" w:hAnsi="Verdana" w:cs="Arial"/>
        </w:rPr>
        <w:t xml:space="preserve"> </w:t>
      </w:r>
      <w:r w:rsidR="00116616">
        <w:rPr>
          <w:rFonts w:ascii="Verdana" w:eastAsia="Calibri" w:hAnsi="Verdana" w:cs="Arial"/>
        </w:rPr>
        <w:t>Así,</w:t>
      </w:r>
      <w:r w:rsidR="002225AB">
        <w:rPr>
          <w:rFonts w:ascii="Verdana" w:eastAsia="Calibri" w:hAnsi="Verdana" w:cs="Arial"/>
        </w:rPr>
        <w:t xml:space="preserve"> </w:t>
      </w:r>
      <w:r w:rsidR="00CB6413">
        <w:rPr>
          <w:rFonts w:ascii="Verdana" w:eastAsia="Calibri" w:hAnsi="Verdana" w:cs="Arial"/>
        </w:rPr>
        <w:t xml:space="preserve">durante el </w:t>
      </w:r>
      <w:r w:rsidR="002225AB">
        <w:rPr>
          <w:rFonts w:ascii="Verdana" w:eastAsia="Calibri" w:hAnsi="Verdana" w:cs="Arial"/>
        </w:rPr>
        <w:t>plazo de evaluación de las ofertas</w:t>
      </w:r>
      <w:r w:rsidR="00116616">
        <w:rPr>
          <w:rFonts w:ascii="Verdana" w:eastAsia="Calibri" w:hAnsi="Verdana" w:cs="Arial"/>
        </w:rPr>
        <w:t xml:space="preserve"> </w:t>
      </w:r>
      <w:r w:rsidR="00116616" w:rsidRPr="00116616">
        <w:rPr>
          <w:rFonts w:ascii="Verdana" w:eastAsia="Calibri" w:hAnsi="Verdana" w:cs="Arial"/>
        </w:rPr>
        <w:t>las entidades contratantes tienen el deber de verificar la veracidad de la información que se allegue con las propuestas, bien sea mediante solicitud de aclaraciones al mismo oferente, o mediante la constatación con fuentes externas, pues de ello depende no solamente la correcta escogencia del contratista y la forma más idónea de ejecución de la compra planeada, sino la validez misma de la decisión de adjudicación y, por ende del contrato celebrado.</w:t>
      </w:r>
    </w:p>
    <w:p w14:paraId="4110E9CE" w14:textId="50939FF0" w:rsidR="00C20754" w:rsidRDefault="005F68C3" w:rsidP="002225AB">
      <w:pPr>
        <w:spacing w:before="120" w:line="276" w:lineRule="auto"/>
        <w:ind w:firstLine="709"/>
        <w:jc w:val="both"/>
        <w:rPr>
          <w:rFonts w:ascii="Verdana" w:eastAsia="Calibri" w:hAnsi="Verdana" w:cs="Arial"/>
        </w:rPr>
      </w:pPr>
      <w:r>
        <w:rPr>
          <w:rFonts w:ascii="Verdana" w:eastAsia="Calibri" w:hAnsi="Verdana" w:cs="Arial"/>
        </w:rPr>
        <w:t xml:space="preserve">De esta manera, la verificación que realice la entidad durante esta etapa resulta </w:t>
      </w:r>
      <w:r w:rsidR="00417083">
        <w:rPr>
          <w:rFonts w:ascii="Verdana" w:eastAsia="Calibri" w:hAnsi="Verdana" w:cs="Arial"/>
        </w:rPr>
        <w:t>decisiva</w:t>
      </w:r>
      <w:r>
        <w:rPr>
          <w:rFonts w:ascii="Verdana" w:eastAsia="Calibri" w:hAnsi="Verdana" w:cs="Arial"/>
        </w:rPr>
        <w:t xml:space="preserve"> para la correcta evaluación de las ofertas, de manera que</w:t>
      </w:r>
      <w:r w:rsidR="009160E3">
        <w:rPr>
          <w:rFonts w:ascii="Verdana" w:eastAsia="Calibri" w:hAnsi="Verdana" w:cs="Arial"/>
        </w:rPr>
        <w:t xml:space="preserve"> en caso de encontrar inconsistencias y después de </w:t>
      </w:r>
      <w:r w:rsidR="00A25547">
        <w:rPr>
          <w:rFonts w:ascii="Verdana" w:eastAsia="Calibri" w:hAnsi="Verdana" w:cs="Arial"/>
        </w:rPr>
        <w:t>revisar</w:t>
      </w:r>
      <w:r w:rsidR="009160E3">
        <w:rPr>
          <w:rFonts w:ascii="Verdana" w:eastAsia="Calibri" w:hAnsi="Verdana" w:cs="Arial"/>
        </w:rPr>
        <w:t xml:space="preserve"> </w:t>
      </w:r>
      <w:r w:rsidR="00A25547">
        <w:rPr>
          <w:rFonts w:ascii="Verdana" w:eastAsia="Calibri" w:hAnsi="Verdana" w:cs="Arial"/>
        </w:rPr>
        <w:t xml:space="preserve">dicha información con las entidades que corresponda, si es del caso, </w:t>
      </w:r>
      <w:r w:rsidR="00DF3E47">
        <w:rPr>
          <w:rFonts w:ascii="Verdana" w:eastAsia="Calibri" w:hAnsi="Verdana" w:cs="Arial"/>
        </w:rPr>
        <w:t>la entidad tomará las medidas que se indican en el pliego de condiciones</w:t>
      </w:r>
      <w:r w:rsidR="00E637A3">
        <w:rPr>
          <w:rFonts w:ascii="Verdana" w:eastAsia="Calibri" w:hAnsi="Verdana" w:cs="Arial"/>
        </w:rPr>
        <w:t xml:space="preserve"> respecto de los supuestos señalados. Si se presenta observaciones </w:t>
      </w:r>
      <w:r w:rsidR="00587D3A">
        <w:rPr>
          <w:rFonts w:ascii="Verdana" w:eastAsia="Calibri" w:hAnsi="Verdana" w:cs="Arial"/>
        </w:rPr>
        <w:t>sobre</w:t>
      </w:r>
      <w:r w:rsidR="005E55BB">
        <w:rPr>
          <w:rFonts w:ascii="Verdana" w:eastAsia="Calibri" w:hAnsi="Verdana" w:cs="Arial"/>
        </w:rPr>
        <w:t xml:space="preserve"> dicha </w:t>
      </w:r>
      <w:r w:rsidR="00D75E82">
        <w:rPr>
          <w:rFonts w:ascii="Verdana" w:eastAsia="Calibri" w:hAnsi="Verdana" w:cs="Arial"/>
        </w:rPr>
        <w:t xml:space="preserve">información </w:t>
      </w:r>
      <w:r w:rsidR="00E637A3">
        <w:rPr>
          <w:rFonts w:ascii="Verdana" w:eastAsia="Calibri" w:hAnsi="Verdana" w:cs="Arial"/>
        </w:rPr>
        <w:t xml:space="preserve">por fuera de esta etapa </w:t>
      </w:r>
      <w:r w:rsidR="00417083">
        <w:rPr>
          <w:rFonts w:ascii="Verdana" w:eastAsia="Calibri" w:hAnsi="Verdana" w:cs="Arial"/>
        </w:rPr>
        <w:t>y una vez adjudicado el contrato</w:t>
      </w:r>
      <w:r w:rsidR="00D75E82">
        <w:rPr>
          <w:rFonts w:ascii="Verdana" w:eastAsia="Calibri" w:hAnsi="Verdana" w:cs="Arial"/>
        </w:rPr>
        <w:t xml:space="preserve">, es importante que la entidad revise su contenido y alcance para </w:t>
      </w:r>
      <w:r w:rsidR="00155EF1">
        <w:rPr>
          <w:rFonts w:ascii="Verdana" w:eastAsia="Calibri" w:hAnsi="Verdana" w:cs="Arial"/>
        </w:rPr>
        <w:t>tomar</w:t>
      </w:r>
      <w:r w:rsidR="00D8789C">
        <w:rPr>
          <w:rFonts w:ascii="Verdana" w:eastAsia="Calibri" w:hAnsi="Verdana" w:cs="Arial"/>
        </w:rPr>
        <w:t xml:space="preserve"> las medidas que correspondan</w:t>
      </w:r>
      <w:r w:rsidR="006915E5">
        <w:rPr>
          <w:rFonts w:ascii="Verdana" w:eastAsia="Calibri" w:hAnsi="Verdana" w:cs="Arial"/>
        </w:rPr>
        <w:t>,</w:t>
      </w:r>
      <w:r w:rsidR="00D8789C">
        <w:rPr>
          <w:rFonts w:ascii="Verdana" w:eastAsia="Calibri" w:hAnsi="Verdana" w:cs="Arial"/>
        </w:rPr>
        <w:t xml:space="preserve"> </w:t>
      </w:r>
      <w:r w:rsidR="006915E5">
        <w:rPr>
          <w:rFonts w:ascii="Verdana" w:eastAsia="Calibri" w:hAnsi="Verdana" w:cs="Arial"/>
        </w:rPr>
        <w:t>como se señaló en párrafos precedentes</w:t>
      </w:r>
      <w:r w:rsidR="00155EF1">
        <w:rPr>
          <w:rFonts w:ascii="Verdana" w:eastAsia="Calibri" w:hAnsi="Verdana" w:cs="Arial"/>
        </w:rPr>
        <w:t xml:space="preserve">. </w:t>
      </w:r>
    </w:p>
    <w:p w14:paraId="0A4D4FC3" w14:textId="77777777" w:rsidR="0093442D" w:rsidRPr="0093442D" w:rsidRDefault="0093442D" w:rsidP="0093442D">
      <w:pPr>
        <w:spacing w:before="120" w:after="120" w:line="276" w:lineRule="auto"/>
        <w:ind w:firstLine="709"/>
        <w:jc w:val="both"/>
        <w:rPr>
          <w:rFonts w:ascii="Arial" w:eastAsia="Calibri" w:hAnsi="Arial" w:cs="Arial"/>
          <w:highlight w:val="green"/>
        </w:rPr>
      </w:pPr>
    </w:p>
    <w:p w14:paraId="450B1F84" w14:textId="11BACD51" w:rsidR="00CD2E70" w:rsidRPr="00593A5F" w:rsidRDefault="00CD2E70" w:rsidP="00CD2E70">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93A5F">
        <w:rPr>
          <w:rFonts w:ascii="Verdana" w:eastAsia="Century Gothic" w:hAnsi="Verdana" w:cs="Century Gothic"/>
          <w:b/>
          <w:bCs/>
          <w:sz w:val="22"/>
          <w:lang w:val="es-ES"/>
        </w:rPr>
        <w:t>Referencia</w:t>
      </w:r>
      <w:r w:rsidR="00CE37A3" w:rsidRPr="00593A5F">
        <w:rPr>
          <w:rFonts w:ascii="Verdana" w:eastAsia="Century Gothic" w:hAnsi="Verdana" w:cs="Century Gothic"/>
          <w:b/>
          <w:bCs/>
          <w:sz w:val="22"/>
          <w:lang w:val="es-ES"/>
        </w:rPr>
        <w:t>s</w:t>
      </w:r>
      <w:r w:rsidRPr="00593A5F">
        <w:rPr>
          <w:rFonts w:ascii="Verdana" w:eastAsia="Century Gothic" w:hAnsi="Verdana" w:cs="Century Gothic"/>
          <w:b/>
          <w:bCs/>
          <w:sz w:val="22"/>
          <w:lang w:val="es-ES"/>
        </w:rPr>
        <w:t xml:space="preserve"> normativa</w:t>
      </w:r>
      <w:r w:rsidR="00CE37A3" w:rsidRPr="00593A5F">
        <w:rPr>
          <w:rFonts w:ascii="Verdana" w:eastAsia="Century Gothic" w:hAnsi="Verdana" w:cs="Century Gothic"/>
          <w:b/>
          <w:bCs/>
          <w:sz w:val="22"/>
          <w:lang w:val="es-ES"/>
        </w:rPr>
        <w:t>s</w:t>
      </w:r>
      <w:r w:rsidRPr="00593A5F">
        <w:rPr>
          <w:rFonts w:ascii="Verdana" w:eastAsia="Century Gothic" w:hAnsi="Verdana" w:cs="Century Gothic"/>
          <w:b/>
          <w:bCs/>
          <w:sz w:val="22"/>
          <w:lang w:val="es-ES"/>
        </w:rPr>
        <w:t>:</w:t>
      </w:r>
    </w:p>
    <w:p w14:paraId="61D4F996" w14:textId="1A993A87" w:rsidR="00CD2E70" w:rsidRPr="00593A5F" w:rsidRDefault="00CD2E70" w:rsidP="00E84D1C">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407CE" w:rsidRPr="002407CE" w14:paraId="28F1D869" w14:textId="77777777" w:rsidTr="006E429F">
        <w:trPr>
          <w:trHeight w:val="870"/>
          <w:jc w:val="center"/>
        </w:trPr>
        <w:tc>
          <w:tcPr>
            <w:tcW w:w="8647" w:type="dxa"/>
          </w:tcPr>
          <w:p w14:paraId="08B050E1" w14:textId="46C0CBF6" w:rsidR="005B6551" w:rsidRDefault="005B6551" w:rsidP="005B6551">
            <w:pPr>
              <w:pStyle w:val="Prrafodelista"/>
              <w:widowControl w:val="0"/>
              <w:numPr>
                <w:ilvl w:val="0"/>
                <w:numId w:val="3"/>
              </w:numPr>
              <w:autoSpaceDE w:val="0"/>
              <w:autoSpaceDN w:val="0"/>
              <w:spacing w:line="276" w:lineRule="auto"/>
              <w:jc w:val="both"/>
              <w:rPr>
                <w:rFonts w:ascii="Verdana" w:hAnsi="Verdana" w:cs="Arial"/>
                <w:sz w:val="22"/>
              </w:rPr>
            </w:pPr>
            <w:r w:rsidRPr="005B6551">
              <w:rPr>
                <w:rFonts w:ascii="Verdana" w:hAnsi="Verdana" w:cs="Arial"/>
                <w:sz w:val="22"/>
              </w:rPr>
              <w:t>Ley 80 de 1993: artículo</w:t>
            </w:r>
            <w:r w:rsidR="000D5B1E">
              <w:rPr>
                <w:rFonts w:ascii="Verdana" w:hAnsi="Verdana" w:cs="Arial"/>
                <w:sz w:val="22"/>
              </w:rPr>
              <w:t>s</w:t>
            </w:r>
            <w:r w:rsidRPr="005B6551">
              <w:rPr>
                <w:rFonts w:ascii="Verdana" w:hAnsi="Verdana" w:cs="Arial"/>
                <w:sz w:val="22"/>
              </w:rPr>
              <w:t xml:space="preserve"> </w:t>
            </w:r>
            <w:r w:rsidR="000D5B1E">
              <w:rPr>
                <w:rFonts w:ascii="Verdana" w:hAnsi="Verdana" w:cs="Arial"/>
                <w:sz w:val="22"/>
              </w:rPr>
              <w:t>23 y 25</w:t>
            </w:r>
          </w:p>
          <w:p w14:paraId="51B07FDA" w14:textId="19DE2C14" w:rsidR="00C647DF" w:rsidRDefault="005B6551" w:rsidP="005B6551">
            <w:pPr>
              <w:pStyle w:val="Prrafodelista"/>
              <w:widowControl w:val="0"/>
              <w:numPr>
                <w:ilvl w:val="0"/>
                <w:numId w:val="3"/>
              </w:numPr>
              <w:autoSpaceDE w:val="0"/>
              <w:autoSpaceDN w:val="0"/>
              <w:spacing w:line="276" w:lineRule="auto"/>
              <w:jc w:val="both"/>
              <w:rPr>
                <w:rFonts w:ascii="Verdana" w:hAnsi="Verdana" w:cs="Arial"/>
                <w:sz w:val="22"/>
              </w:rPr>
            </w:pPr>
            <w:r w:rsidRPr="005B6551">
              <w:rPr>
                <w:rFonts w:ascii="Verdana" w:hAnsi="Verdana" w:cs="Arial"/>
                <w:sz w:val="22"/>
              </w:rPr>
              <w:t xml:space="preserve">Ley 1150 de 2007: artículo </w:t>
            </w:r>
            <w:r w:rsidR="000D5B1E">
              <w:rPr>
                <w:rFonts w:ascii="Verdana" w:hAnsi="Verdana" w:cs="Arial"/>
                <w:sz w:val="22"/>
              </w:rPr>
              <w:t>8.</w:t>
            </w:r>
          </w:p>
          <w:p w14:paraId="0DA1F7C4" w14:textId="75567016" w:rsidR="00821D81" w:rsidRPr="000D5B1E" w:rsidRDefault="000D5B1E" w:rsidP="000D5B1E">
            <w:pPr>
              <w:pStyle w:val="Prrafodelista"/>
              <w:widowControl w:val="0"/>
              <w:numPr>
                <w:ilvl w:val="0"/>
                <w:numId w:val="3"/>
              </w:numPr>
              <w:autoSpaceDE w:val="0"/>
              <w:autoSpaceDN w:val="0"/>
              <w:spacing w:line="276" w:lineRule="auto"/>
              <w:jc w:val="both"/>
              <w:rPr>
                <w:rFonts w:ascii="Verdana" w:hAnsi="Verdana" w:cs="Arial"/>
                <w:sz w:val="22"/>
              </w:rPr>
            </w:pPr>
            <w:r>
              <w:rPr>
                <w:rFonts w:ascii="Verdana" w:hAnsi="Verdana" w:cs="Arial"/>
                <w:sz w:val="22"/>
              </w:rPr>
              <w:t>Ley 1437 de 2011. Artículo 13</w:t>
            </w:r>
          </w:p>
          <w:p w14:paraId="3E9D05BC" w14:textId="1911F848" w:rsidR="003819F5" w:rsidRPr="005B6551" w:rsidRDefault="003819F5" w:rsidP="005B6551">
            <w:pPr>
              <w:pStyle w:val="Prrafodelista"/>
              <w:widowControl w:val="0"/>
              <w:numPr>
                <w:ilvl w:val="0"/>
                <w:numId w:val="3"/>
              </w:numPr>
              <w:autoSpaceDE w:val="0"/>
              <w:autoSpaceDN w:val="0"/>
              <w:spacing w:line="276" w:lineRule="auto"/>
              <w:jc w:val="both"/>
              <w:rPr>
                <w:rFonts w:ascii="Verdana" w:hAnsi="Verdana" w:cs="Arial"/>
                <w:sz w:val="22"/>
              </w:rPr>
            </w:pPr>
            <w:r w:rsidRPr="003819F5">
              <w:rPr>
                <w:rFonts w:ascii="Verdana" w:hAnsi="Verdana" w:cs="Arial"/>
                <w:sz w:val="22"/>
              </w:rPr>
              <w:t>Decreto</w:t>
            </w:r>
            <w:r w:rsidR="000D5B1E">
              <w:rPr>
                <w:rFonts w:ascii="Verdana" w:hAnsi="Verdana" w:cs="Arial"/>
                <w:sz w:val="22"/>
              </w:rPr>
              <w:t xml:space="preserve"> 1082 de 2015</w:t>
            </w:r>
            <w:r>
              <w:rPr>
                <w:rFonts w:ascii="Verdana" w:hAnsi="Verdana" w:cs="Arial"/>
                <w:sz w:val="22"/>
              </w:rPr>
              <w:t xml:space="preserve">: artículo </w:t>
            </w:r>
            <w:r w:rsidR="000D5B1E" w:rsidRPr="000D5B1E">
              <w:rPr>
                <w:rFonts w:ascii="Verdana" w:hAnsi="Verdana" w:cs="Arial"/>
                <w:sz w:val="22"/>
              </w:rPr>
              <w:t>2.2.1.2.1.1.2</w:t>
            </w:r>
          </w:p>
        </w:tc>
      </w:tr>
    </w:tbl>
    <w:p w14:paraId="30F3A1CE" w14:textId="77777777" w:rsidR="00CD2E70" w:rsidRPr="002407CE" w:rsidRDefault="00CD2E70" w:rsidP="00E84D1C">
      <w:pPr>
        <w:widowControl w:val="0"/>
        <w:autoSpaceDE w:val="0"/>
        <w:autoSpaceDN w:val="0"/>
        <w:spacing w:after="0" w:line="276" w:lineRule="auto"/>
        <w:jc w:val="both"/>
        <w:rPr>
          <w:rFonts w:ascii="Verdana" w:hAnsi="Verdana" w:cs="Arial"/>
        </w:rPr>
      </w:pPr>
    </w:p>
    <w:p w14:paraId="763AF15E" w14:textId="5C1DC823" w:rsidR="00057963" w:rsidRPr="00593A5F" w:rsidRDefault="00E53F2E" w:rsidP="00057963">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Pr>
          <w:rFonts w:ascii="Verdana" w:eastAsia="Century Gothic" w:hAnsi="Verdana" w:cs="Century Gothic"/>
          <w:b/>
          <w:bCs/>
          <w:sz w:val="22"/>
          <w:lang w:val="es-ES"/>
        </w:rPr>
        <w:t>Doctrina de la Agencia Nacional de Contratación Pública</w:t>
      </w:r>
      <w:r w:rsidR="00057963" w:rsidRPr="00593A5F">
        <w:rPr>
          <w:rFonts w:ascii="Verdana" w:eastAsia="Century Gothic" w:hAnsi="Verdana" w:cs="Century Gothic"/>
          <w:b/>
          <w:bCs/>
          <w:sz w:val="22"/>
          <w:lang w:val="es-ES"/>
        </w:rPr>
        <w:t>:</w:t>
      </w:r>
    </w:p>
    <w:p w14:paraId="2E26A5BD" w14:textId="31F0C1BB" w:rsidR="00E84D1C" w:rsidRPr="00593A5F" w:rsidRDefault="00E84D1C" w:rsidP="00E84D1C">
      <w:pPr>
        <w:widowControl w:val="0"/>
        <w:autoSpaceDE w:val="0"/>
        <w:autoSpaceDN w:val="0"/>
        <w:spacing w:after="0" w:line="276" w:lineRule="auto"/>
        <w:jc w:val="both"/>
        <w:rPr>
          <w:rFonts w:ascii="Verdana" w:hAnsi="Verdana" w:cs="Arial"/>
        </w:rPr>
      </w:pPr>
    </w:p>
    <w:p w14:paraId="48C16DE6" w14:textId="0192664D" w:rsidR="00BD658C" w:rsidRPr="00847BE7" w:rsidRDefault="00127D5B" w:rsidP="00BD658C">
      <w:pPr>
        <w:widowControl w:val="0"/>
        <w:autoSpaceDE w:val="0"/>
        <w:autoSpaceDN w:val="0"/>
        <w:spacing w:after="0" w:line="276" w:lineRule="auto"/>
        <w:jc w:val="both"/>
        <w:rPr>
          <w:rFonts w:ascii="Verdana" w:eastAsia="Calibri" w:hAnsi="Verdana" w:cs="Arial"/>
          <w:color w:val="000000" w:themeColor="text1"/>
        </w:rPr>
      </w:pPr>
      <w:r>
        <w:rPr>
          <w:rFonts w:ascii="Verdana" w:eastAsia="Calibri" w:hAnsi="Verdana" w:cs="Arial"/>
          <w:lang w:val="es-ES" w:eastAsia="es-ES"/>
        </w:rPr>
        <w:t xml:space="preserve">Sobre </w:t>
      </w:r>
      <w:r>
        <w:rPr>
          <w:rFonts w:ascii="Verdana" w:hAnsi="Verdana" w:cs="Arial"/>
          <w:color w:val="000000" w:themeColor="text1"/>
        </w:rPr>
        <w:t xml:space="preserve">el principio de transparencia en la contratación estatal y </w:t>
      </w:r>
      <w:r>
        <w:rPr>
          <w:rFonts w:ascii="Verdana" w:eastAsia="Calibri" w:hAnsi="Verdana" w:cs="Arial"/>
          <w:lang w:val="es-ES" w:eastAsia="es-ES"/>
        </w:rPr>
        <w:t xml:space="preserve">los </w:t>
      </w:r>
      <w:r>
        <w:rPr>
          <w:rFonts w:ascii="Verdana" w:hAnsi="Verdana" w:cs="Arial"/>
          <w:color w:val="000000" w:themeColor="text1"/>
        </w:rPr>
        <w:t>plazo para presentar y resolver las observaciones</w:t>
      </w:r>
      <w:r>
        <w:rPr>
          <w:rFonts w:ascii="Verdana" w:eastAsia="Calibri" w:hAnsi="Verdana" w:cs="Arial"/>
          <w:color w:val="000000"/>
          <w:lang w:val="es-ES_tradnl"/>
        </w:rPr>
        <w:t xml:space="preserve">, </w:t>
      </w:r>
      <w:r>
        <w:rPr>
          <w:rStyle w:val="normaltextrun"/>
          <w:rFonts w:ascii="Verdana" w:hAnsi="Verdana" w:cs="Arial"/>
          <w:shd w:val="clear" w:color="auto" w:fill="FFFFFF"/>
          <w:lang w:val="es-ES"/>
        </w:rPr>
        <w:t xml:space="preserve">se pronunció esta Subdirección </w:t>
      </w:r>
      <w:r>
        <w:rPr>
          <w:rFonts w:ascii="Verdana" w:eastAsia="Calibri" w:hAnsi="Verdana" w:cs="Arial"/>
          <w:lang w:val="es-ES"/>
        </w:rPr>
        <w:t xml:space="preserve">en los conceptos </w:t>
      </w:r>
      <w:r>
        <w:rPr>
          <w:rFonts w:ascii="Verdana" w:eastAsia="Calibri" w:hAnsi="Verdana" w:cs="Arial"/>
          <w:color w:val="000000" w:themeColor="text1"/>
        </w:rPr>
        <w:t xml:space="preserve">Nos. 4201614000005342 del 8 de noviembre de 2016, </w:t>
      </w:r>
      <w:r>
        <w:rPr>
          <w:rFonts w:ascii="Verdana" w:eastAsia="Calibri" w:hAnsi="Verdana" w:cs="Arial"/>
          <w:color w:val="000000" w:themeColor="text1"/>
        </w:rPr>
        <w:lastRenderedPageBreak/>
        <w:t>4201714000002354 del 5 de junio de 2017, 4201714000006628 del 17 de enero de 2018, 4201713000007273 del 5 de febrero de 2018, 4201814000001007 del 20 de marzo de 2018, 4201814000006367 del 27 de agosto de 2018, 4201912000002664 del 5 de junio de 2019, C-201 del 13 de abril de 2020, C-323 del 4 de junio de 2020, C-418 del 12 de agosto de 2021</w:t>
      </w:r>
      <w:r w:rsidR="00443D38">
        <w:rPr>
          <w:rFonts w:ascii="Verdana" w:eastAsia="Calibri" w:hAnsi="Verdana" w:cs="Arial"/>
          <w:color w:val="000000" w:themeColor="text1"/>
        </w:rPr>
        <w:t xml:space="preserve">, </w:t>
      </w:r>
      <w:r>
        <w:rPr>
          <w:rFonts w:ascii="Verdana" w:eastAsia="Calibri" w:hAnsi="Verdana" w:cs="Arial"/>
          <w:color w:val="000000" w:themeColor="text1"/>
        </w:rPr>
        <w:t xml:space="preserve"> C- 513 del 23 de septiembre de 2021</w:t>
      </w:r>
      <w:r w:rsidR="00443D38">
        <w:rPr>
          <w:rFonts w:ascii="Verdana" w:eastAsia="Calibri" w:hAnsi="Verdana" w:cs="Arial"/>
          <w:color w:val="000000" w:themeColor="text1"/>
        </w:rPr>
        <w:t>, C-</w:t>
      </w:r>
      <w:r w:rsidR="0096475C">
        <w:rPr>
          <w:rFonts w:ascii="Verdana" w:eastAsia="Calibri" w:hAnsi="Verdana" w:cs="Arial"/>
          <w:color w:val="000000" w:themeColor="text1"/>
        </w:rPr>
        <w:t>366 del 8 de septiembre del 2023</w:t>
      </w:r>
      <w:r w:rsidR="004E0461">
        <w:rPr>
          <w:rFonts w:ascii="Verdana" w:eastAsia="Calibri" w:hAnsi="Verdana" w:cs="Arial"/>
          <w:color w:val="000000" w:themeColor="text1"/>
        </w:rPr>
        <w:t xml:space="preserve">, C-359 del </w:t>
      </w:r>
      <w:r w:rsidR="005D2506">
        <w:rPr>
          <w:rFonts w:ascii="Verdana" w:eastAsia="Calibri" w:hAnsi="Verdana" w:cs="Arial"/>
          <w:color w:val="000000" w:themeColor="text1"/>
        </w:rPr>
        <w:t>9 de septiembre de 2024</w:t>
      </w:r>
      <w:r>
        <w:rPr>
          <w:rFonts w:ascii="Verdana" w:eastAsia="Calibri" w:hAnsi="Verdana" w:cs="Arial"/>
          <w:color w:val="000000" w:themeColor="text1"/>
        </w:rPr>
        <w:t xml:space="preserve">. </w:t>
      </w:r>
      <w:r w:rsidR="00A82DA0" w:rsidRPr="00945DBF">
        <w:rPr>
          <w:rStyle w:val="normaltextrun"/>
          <w:rFonts w:ascii="Verdana" w:hAnsi="Verdana" w:cs="Arial"/>
          <w:shd w:val="clear" w:color="auto" w:fill="FFFFFF"/>
          <w:lang w:val="es-ES"/>
        </w:rPr>
        <w:t>Es</w:t>
      </w:r>
      <w:r w:rsidR="00A82DA0" w:rsidRPr="00945DBF">
        <w:rPr>
          <w:rFonts w:ascii="Verdana" w:hAnsi="Verdana"/>
        </w:rPr>
        <w:t>tos y otros conceptos se encuentran disponibles para consulta en el Sistema de relatoría de la Agencia, al cual se puede acceder a través del siguiente enlace</w:t>
      </w:r>
      <w:r w:rsidR="00D8321A" w:rsidRPr="00A1554D">
        <w:rPr>
          <w:rFonts w:ascii="Verdana" w:hAnsi="Verdana"/>
        </w:rPr>
        <w:t>:</w:t>
      </w:r>
      <w:r w:rsidR="00DC525E" w:rsidRPr="00A1554D">
        <w:rPr>
          <w:rStyle w:val="normaltextrun"/>
          <w:rFonts w:ascii="Verdana" w:hAnsi="Verdana" w:cs="Arial"/>
          <w:shd w:val="clear" w:color="auto" w:fill="FFFFFF"/>
          <w:lang w:val="es-ES"/>
        </w:rPr>
        <w:t xml:space="preserve"> </w:t>
      </w:r>
      <w:hyperlink r:id="rId12" w:history="1">
        <w:r w:rsidR="00D8321A" w:rsidRPr="00A1554D">
          <w:rPr>
            <w:rStyle w:val="Hipervnculo"/>
            <w:rFonts w:ascii="Verdana" w:hAnsi="Verdana" w:cs="Arial"/>
            <w:shd w:val="clear" w:color="auto" w:fill="FFFFFF"/>
            <w:lang w:val="es-ES"/>
          </w:rPr>
          <w:t>https://relatoria.colombiacompra.gov.co/busqueda/conceptos</w:t>
        </w:r>
      </w:hyperlink>
      <w:r w:rsidR="008D1079" w:rsidRPr="00CD3D06">
        <w:rPr>
          <w:rStyle w:val="normaltextrun"/>
          <w:rFonts w:ascii="Verdana" w:hAnsi="Verdana" w:cs="Arial"/>
          <w:shd w:val="clear" w:color="auto" w:fill="FFFFFF"/>
          <w:lang w:val="es-ES"/>
        </w:rPr>
        <w:t>.</w:t>
      </w:r>
      <w:r w:rsidR="008D1079">
        <w:rPr>
          <w:rStyle w:val="normaltextrun"/>
          <w:rFonts w:ascii="Verdana" w:hAnsi="Verdana" w:cs="Arial"/>
          <w:color w:val="FF0000"/>
          <w:shd w:val="clear" w:color="auto" w:fill="FFFFFF"/>
          <w:lang w:val="es-ES"/>
        </w:rPr>
        <w:t xml:space="preserve"> </w:t>
      </w:r>
    </w:p>
    <w:p w14:paraId="4469446C" w14:textId="77777777" w:rsidR="00BD658C" w:rsidRDefault="00BD658C" w:rsidP="00BD658C">
      <w:pPr>
        <w:widowControl w:val="0"/>
        <w:autoSpaceDE w:val="0"/>
        <w:autoSpaceDN w:val="0"/>
        <w:spacing w:after="0" w:line="276" w:lineRule="auto"/>
        <w:jc w:val="both"/>
        <w:rPr>
          <w:rFonts w:ascii="Verdana" w:hAnsi="Verdana" w:cs="Arial"/>
          <w:color w:val="000000" w:themeColor="text1"/>
          <w:shd w:val="clear" w:color="auto" w:fill="FFFFFF"/>
        </w:rPr>
      </w:pPr>
    </w:p>
    <w:p w14:paraId="3FA1F51C" w14:textId="1486ED73" w:rsidR="00BD658C" w:rsidRDefault="00BD658C" w:rsidP="00BD658C">
      <w:pPr>
        <w:widowControl w:val="0"/>
        <w:autoSpaceDE w:val="0"/>
        <w:autoSpaceDN w:val="0"/>
        <w:spacing w:after="0" w:line="276" w:lineRule="auto"/>
        <w:jc w:val="both"/>
        <w:rPr>
          <w:rFonts w:ascii="Verdana" w:hAnsi="Verdana" w:cs="Arial"/>
          <w:color w:val="000000" w:themeColor="text1"/>
          <w:shd w:val="clear" w:color="auto" w:fill="FFFFFF"/>
        </w:rPr>
      </w:pPr>
      <w:r w:rsidRPr="00BD658C">
        <w:rPr>
          <w:rFonts w:ascii="Verdana" w:hAnsi="Verdana" w:cs="Arial"/>
          <w:color w:val="000000" w:themeColor="text1"/>
          <w:shd w:val="clear" w:color="auto" w:fill="FFFFFF"/>
        </w:rPr>
        <w:t>De otra parte, te contamos que ya publicamos el borrador de la nueva Guía de Contratación Pública Sostenible y Socialmente Responsable. Conoce el documento y realiza tus comentarios hasta el 14 de noviembre de 2024 a través del</w:t>
      </w:r>
      <w:r w:rsidR="003819F5">
        <w:rPr>
          <w:rFonts w:ascii="Verdana" w:hAnsi="Verdana" w:cs="Arial"/>
          <w:color w:val="000000" w:themeColor="text1"/>
          <w:shd w:val="clear" w:color="auto" w:fill="FFFFFF"/>
        </w:rPr>
        <w:t xml:space="preserve"> siguiente enlace: </w:t>
      </w:r>
      <w:hyperlink r:id="rId13" w:history="1">
        <w:r w:rsidR="003819F5" w:rsidRPr="002B61A8">
          <w:rPr>
            <w:rStyle w:val="Hipervnculo"/>
            <w:rFonts w:ascii="Verdana" w:hAnsi="Verdana" w:cs="Arial"/>
            <w:shd w:val="clear" w:color="auto" w:fill="FFFFFF"/>
          </w:rPr>
          <w:t>https://www.sucop.gov.co/entidades/colombiacompra/Normativa?IDNorma=18320</w:t>
        </w:r>
      </w:hyperlink>
      <w:r w:rsidRPr="00BD658C">
        <w:rPr>
          <w:rFonts w:ascii="Verdana" w:hAnsi="Verdana" w:cs="Arial"/>
          <w:color w:val="000000" w:themeColor="text1"/>
          <w:shd w:val="clear" w:color="auto" w:fill="FFFFFF"/>
        </w:rPr>
        <w:t>  </w:t>
      </w:r>
    </w:p>
    <w:p w14:paraId="464CE4F5" w14:textId="77777777" w:rsidR="00BD658C" w:rsidRPr="00BD658C" w:rsidRDefault="00BD658C" w:rsidP="00BD658C">
      <w:pPr>
        <w:widowControl w:val="0"/>
        <w:autoSpaceDE w:val="0"/>
        <w:autoSpaceDN w:val="0"/>
        <w:spacing w:after="0" w:line="276" w:lineRule="auto"/>
        <w:jc w:val="both"/>
        <w:rPr>
          <w:rFonts w:ascii="Verdana" w:hAnsi="Verdana" w:cs="Arial"/>
          <w:color w:val="000000" w:themeColor="text1"/>
          <w:shd w:val="clear" w:color="auto" w:fill="FFFFFF"/>
        </w:rPr>
      </w:pPr>
    </w:p>
    <w:p w14:paraId="60B25B39" w14:textId="733731AE" w:rsidR="00057963" w:rsidRPr="00BD658C" w:rsidRDefault="00BD658C" w:rsidP="00E84D1C">
      <w:pPr>
        <w:widowControl w:val="0"/>
        <w:autoSpaceDE w:val="0"/>
        <w:autoSpaceDN w:val="0"/>
        <w:spacing w:after="0" w:line="276" w:lineRule="auto"/>
        <w:jc w:val="both"/>
        <w:rPr>
          <w:rStyle w:val="normaltextrun"/>
          <w:rFonts w:ascii="Verdana" w:hAnsi="Verdana" w:cs="Arial"/>
          <w:color w:val="000000" w:themeColor="text1"/>
          <w:shd w:val="clear" w:color="auto" w:fill="FFFFFF"/>
        </w:rPr>
      </w:pPr>
      <w:r w:rsidRPr="00BD658C">
        <w:rPr>
          <w:rFonts w:ascii="Verdana" w:hAnsi="Verdana" w:cs="Arial"/>
          <w:color w:val="000000" w:themeColor="text1"/>
          <w:shd w:val="clear" w:color="auto" w:fill="FFFFFF"/>
        </w:rPr>
        <w:t xml:space="preserve">También le invitamos a consultar las versiones V y VI de 2024 del Boletín de Relatoría de la Subdirección de Gestión Contractual relacionados con las guías de Plan Anual de Adquisiciones y la </w:t>
      </w:r>
      <w:r w:rsidR="00481318">
        <w:rPr>
          <w:rFonts w:ascii="Verdana" w:hAnsi="Verdana" w:cs="Arial"/>
          <w:color w:val="000000" w:themeColor="text1"/>
          <w:shd w:val="clear" w:color="auto" w:fill="FFFFFF"/>
        </w:rPr>
        <w:t>m</w:t>
      </w:r>
      <w:r w:rsidRPr="00BD658C">
        <w:rPr>
          <w:rFonts w:ascii="Verdana" w:hAnsi="Verdana" w:cs="Arial"/>
          <w:color w:val="000000" w:themeColor="text1"/>
          <w:shd w:val="clear" w:color="auto" w:fill="FFFFFF"/>
        </w:rPr>
        <w:t>odalidad de selección de mínima cuantía , los cuales se pueden descargar en la página web de la Agencia: </w:t>
      </w:r>
      <w:hyperlink r:id="rId14" w:tgtFrame="_blank" w:tooltip="Dirección URL original: https://www.colombiacompra.gov.co/sala-de-prensa/boletin-digital. Haga clic o pulse si confía en este vínculo." w:history="1">
        <w:r w:rsidRPr="00BD658C">
          <w:rPr>
            <w:rStyle w:val="Hipervnculo"/>
            <w:rFonts w:ascii="Verdana" w:hAnsi="Verdana" w:cs="Arial"/>
            <w:shd w:val="clear" w:color="auto" w:fill="FFFFFF"/>
          </w:rPr>
          <w:t>https://www.colombiacompra.gov.co/sala-de-prensa/boletin-digital</w:t>
        </w:r>
      </w:hyperlink>
      <w:r w:rsidR="00985B04">
        <w:rPr>
          <w:rStyle w:val="normaltextrun"/>
          <w:rFonts w:ascii="Verdana" w:hAnsi="Verdana" w:cs="Arial"/>
          <w:color w:val="FF0000"/>
          <w:shd w:val="clear" w:color="auto" w:fill="FFFFFF"/>
          <w:lang w:val="es-ES"/>
        </w:rPr>
        <w:t xml:space="preserve"> </w:t>
      </w:r>
      <w:r w:rsidR="00F91800">
        <w:rPr>
          <w:rStyle w:val="normaltextrun"/>
          <w:rFonts w:ascii="Verdana" w:hAnsi="Verdana" w:cs="Arial"/>
          <w:color w:val="FF0000"/>
          <w:shd w:val="clear" w:color="auto" w:fill="FFFFFF"/>
          <w:lang w:val="es-ES"/>
        </w:rPr>
        <w:t xml:space="preserve"> </w:t>
      </w:r>
      <w:r w:rsidR="00D8321A" w:rsidRPr="00A1554D">
        <w:rPr>
          <w:rStyle w:val="normaltextrun"/>
          <w:rFonts w:ascii="Verdana" w:hAnsi="Verdana" w:cs="Arial"/>
          <w:color w:val="FF0000"/>
          <w:shd w:val="clear" w:color="auto" w:fill="FFFFFF"/>
          <w:lang w:val="es-ES"/>
        </w:rPr>
        <w:t xml:space="preserve"> </w:t>
      </w:r>
      <w:r w:rsidR="00DC525E" w:rsidRPr="00A1554D">
        <w:rPr>
          <w:rStyle w:val="normaltextrun"/>
          <w:rFonts w:ascii="Verdana" w:hAnsi="Verdana" w:cs="Arial"/>
          <w:color w:val="FF0000"/>
          <w:shd w:val="clear" w:color="auto" w:fill="FFFFFF"/>
          <w:lang w:val="es-ES"/>
        </w:rPr>
        <w:t xml:space="preserve">   </w:t>
      </w:r>
    </w:p>
    <w:p w14:paraId="6FCEDC2D" w14:textId="77777777" w:rsidR="00B22870" w:rsidRPr="00593A5F" w:rsidRDefault="00B22870" w:rsidP="00E84D1C">
      <w:pPr>
        <w:widowControl w:val="0"/>
        <w:autoSpaceDE w:val="0"/>
        <w:autoSpaceDN w:val="0"/>
        <w:spacing w:after="0" w:line="276" w:lineRule="auto"/>
        <w:jc w:val="both"/>
        <w:rPr>
          <w:rFonts w:ascii="Verdana" w:hAnsi="Verdana" w:cs="Arial"/>
        </w:rPr>
      </w:pPr>
    </w:p>
    <w:p w14:paraId="61A80AFE" w14:textId="51B759DF" w:rsidR="00A91FB7" w:rsidRPr="00593A5F" w:rsidRDefault="00A91FB7" w:rsidP="00A91FB7">
      <w:pPr>
        <w:widowControl w:val="0"/>
        <w:autoSpaceDE w:val="0"/>
        <w:autoSpaceDN w:val="0"/>
        <w:spacing w:after="0" w:line="276" w:lineRule="auto"/>
        <w:jc w:val="both"/>
        <w:rPr>
          <w:rFonts w:ascii="Verdana" w:hAnsi="Verdana" w:cs="Arial"/>
          <w:lang w:val="es-ES_tradnl"/>
        </w:rPr>
      </w:pPr>
      <w:r w:rsidRPr="00593A5F">
        <w:rPr>
          <w:rFonts w:ascii="Verdana" w:hAnsi="Verdana" w:cs="Arial"/>
        </w:rPr>
        <w:t>Este concepto tiene el alcance previsto en el artículo 28 del Código de Procedimiento Administrativo y de lo Contencioso Administrativo</w:t>
      </w:r>
      <w:r w:rsidR="00172F3A" w:rsidRPr="00593A5F">
        <w:rPr>
          <w:rFonts w:ascii="Verdana" w:hAnsi="Verdana" w:cs="Arial"/>
        </w:rPr>
        <w:t xml:space="preserve"> </w:t>
      </w:r>
      <w:r w:rsidR="00172F3A" w:rsidRPr="00593A5F">
        <w:rPr>
          <w:rFonts w:ascii="Verdana" w:hAnsi="Verdana" w:cs="Arial"/>
          <w:lang w:val="es-ES_tradnl"/>
        </w:rPr>
        <w:t>y las expresiones aquí utilizadas con mayúscula inicial deben ser entendidas con el significado que les otorga el artículo 2.2.1.1.1.3.1. del Decreto 1082 de 2015.</w:t>
      </w:r>
    </w:p>
    <w:p w14:paraId="00BDA056" w14:textId="05BCB72C" w:rsidR="00A91FB7" w:rsidRPr="00593A5F" w:rsidRDefault="00A91FB7" w:rsidP="00A91FB7">
      <w:pPr>
        <w:widowControl w:val="0"/>
        <w:autoSpaceDE w:val="0"/>
        <w:autoSpaceDN w:val="0"/>
        <w:spacing w:after="0" w:line="276" w:lineRule="auto"/>
        <w:jc w:val="both"/>
        <w:rPr>
          <w:rFonts w:ascii="Verdana" w:hAnsi="Verdana" w:cs="Arial"/>
        </w:rPr>
      </w:pPr>
    </w:p>
    <w:p w14:paraId="3CECADB7" w14:textId="00F7F1BF" w:rsidR="00CD2E70" w:rsidRPr="00593A5F" w:rsidRDefault="00A91FB7" w:rsidP="00CD2E70">
      <w:pPr>
        <w:spacing w:after="0" w:line="240" w:lineRule="auto"/>
        <w:rPr>
          <w:rFonts w:ascii="Verdana" w:hAnsi="Verdana" w:cs="Arial"/>
          <w:lang w:eastAsia="es-CO"/>
        </w:rPr>
      </w:pPr>
      <w:r w:rsidRPr="00593A5F">
        <w:rPr>
          <w:rFonts w:ascii="Verdana" w:eastAsia="Times New Roman" w:hAnsi="Verdana" w:cs="Arial"/>
          <w:lang w:eastAsia="es-CO"/>
        </w:rPr>
        <w:t>Atentamente,</w:t>
      </w:r>
      <w:r w:rsidR="00CD2E70" w:rsidRPr="00593A5F">
        <w:rPr>
          <w:rFonts w:ascii="Verdana" w:hAnsi="Verdana" w:cs="Arial"/>
          <w:lang w:eastAsia="es-CO"/>
        </w:rPr>
        <w:t xml:space="preserve"> </w:t>
      </w:r>
    </w:p>
    <w:p w14:paraId="5ED111D5" w14:textId="56CA4302" w:rsidR="00CD2E70" w:rsidRPr="00593A5F" w:rsidRDefault="004F013F" w:rsidP="00CD2E70">
      <w:pPr>
        <w:spacing w:line="276" w:lineRule="auto"/>
        <w:jc w:val="center"/>
        <w:rPr>
          <w:rFonts w:ascii="Verdana" w:hAnsi="Verdana" w:cs="Arial"/>
          <w:color w:val="000000"/>
          <w:lang w:val="es-ES_tradnl" w:eastAsia="es-CO"/>
        </w:rPr>
      </w:pPr>
      <w:r>
        <w:rPr>
          <w:noProof/>
        </w:rPr>
        <w:lastRenderedPageBreak/>
        <w:drawing>
          <wp:inline distT="0" distB="0" distL="0" distR="0" wp14:anchorId="28799672" wp14:editId="5B8D4A69">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5"/>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D2E70" w:rsidRPr="00593A5F" w14:paraId="2DBC770D" w14:textId="77777777" w:rsidTr="003751C7">
        <w:trPr>
          <w:trHeight w:val="315"/>
        </w:trPr>
        <w:tc>
          <w:tcPr>
            <w:tcW w:w="893" w:type="dxa"/>
            <w:vAlign w:val="center"/>
            <w:hideMark/>
          </w:tcPr>
          <w:p w14:paraId="15A5F5BE" w14:textId="77777777" w:rsidR="00CD2E70" w:rsidRPr="003751C7" w:rsidRDefault="00CD2E70" w:rsidP="0044122F">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CEF9E9C" w14:textId="64EDEF3A" w:rsidR="00254A7A" w:rsidRPr="00254A7A" w:rsidRDefault="00490FD5" w:rsidP="00254A7A">
            <w:pPr>
              <w:contextualSpacing/>
              <w:rPr>
                <w:rStyle w:val="normaltextrun"/>
                <w:rFonts w:ascii="Verdana" w:hAnsi="Verdana"/>
                <w:sz w:val="16"/>
                <w:szCs w:val="16"/>
              </w:rPr>
            </w:pPr>
            <w:r>
              <w:rPr>
                <w:rStyle w:val="normaltextrun"/>
                <w:rFonts w:ascii="Verdana" w:hAnsi="Verdana"/>
                <w:sz w:val="16"/>
                <w:szCs w:val="16"/>
              </w:rPr>
              <w:t>Tatiana Baquero Iguarán</w:t>
            </w:r>
          </w:p>
          <w:p w14:paraId="6AB49B73" w14:textId="0FA4CDFF" w:rsidR="00CD2E70" w:rsidRPr="00254A7A" w:rsidRDefault="00254A7A" w:rsidP="00254A7A">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CD2E70" w:rsidRPr="00593A5F" w14:paraId="54ECFA9D" w14:textId="77777777" w:rsidTr="003751C7">
        <w:trPr>
          <w:trHeight w:val="330"/>
        </w:trPr>
        <w:tc>
          <w:tcPr>
            <w:tcW w:w="893" w:type="dxa"/>
            <w:vAlign w:val="center"/>
            <w:hideMark/>
          </w:tcPr>
          <w:p w14:paraId="322FF342" w14:textId="77777777" w:rsidR="00CD2E70" w:rsidRPr="003751C7" w:rsidRDefault="00CD2E70" w:rsidP="0044122F">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1F942CE" w14:textId="77777777" w:rsidR="00254A7A" w:rsidRPr="00254A7A" w:rsidRDefault="00254A7A" w:rsidP="00254A7A">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6B05B490" w14:textId="5284924E" w:rsidR="00CD2E70" w:rsidRPr="00254A7A" w:rsidRDefault="00254A7A" w:rsidP="00254A7A">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00CD2E70" w:rsidRPr="00254A7A">
              <w:rPr>
                <w:rStyle w:val="eop"/>
                <w:rFonts w:ascii="Verdana" w:hAnsi="Verdana" w:cs="Arial"/>
                <w:sz w:val="16"/>
                <w:szCs w:val="16"/>
              </w:rPr>
              <w:t> </w:t>
            </w:r>
          </w:p>
        </w:tc>
      </w:tr>
      <w:tr w:rsidR="00CD2E70" w:rsidRPr="00593A5F" w14:paraId="3D2C2D00" w14:textId="77777777" w:rsidTr="003751C7">
        <w:trPr>
          <w:trHeight w:val="300"/>
        </w:trPr>
        <w:tc>
          <w:tcPr>
            <w:tcW w:w="893" w:type="dxa"/>
            <w:vAlign w:val="center"/>
          </w:tcPr>
          <w:p w14:paraId="22572E15" w14:textId="77777777" w:rsidR="00CD2E70" w:rsidRPr="003751C7" w:rsidRDefault="00CD2E70" w:rsidP="0044122F">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58F9554" w14:textId="77777777" w:rsidR="00CD2E70" w:rsidRPr="003751C7" w:rsidRDefault="00CD2E70" w:rsidP="0044122F">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706065BE" w14:textId="77777777" w:rsidR="00CD2E70" w:rsidRPr="003751C7" w:rsidRDefault="00CD2E70" w:rsidP="0044122F">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w:t>
            </w:r>
            <w:proofErr w:type="spellStart"/>
            <w:r w:rsidRPr="003751C7">
              <w:rPr>
                <w:rFonts w:ascii="Verdana" w:eastAsia="Calibri" w:hAnsi="Verdana" w:cs="Arial"/>
                <w:sz w:val="16"/>
                <w:szCs w:val="16"/>
                <w:lang w:val="pt-BR" w:eastAsia="es-ES"/>
              </w:rPr>
              <w:t>Gestión</w:t>
            </w:r>
            <w:proofErr w:type="spellEnd"/>
            <w:r w:rsidRPr="003751C7">
              <w:rPr>
                <w:rFonts w:ascii="Verdana" w:eastAsia="Calibri" w:hAnsi="Verdana" w:cs="Arial"/>
                <w:sz w:val="16"/>
                <w:szCs w:val="16"/>
                <w:lang w:val="pt-BR" w:eastAsia="es-ES"/>
              </w:rPr>
              <w:t xml:space="preserve">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0083C991" w14:textId="62C71FF5" w:rsidR="5D8505AD" w:rsidRPr="00593A5F" w:rsidRDefault="5D8505AD" w:rsidP="00BE73FA">
      <w:pPr>
        <w:spacing w:after="0" w:line="240" w:lineRule="auto"/>
        <w:rPr>
          <w:rFonts w:ascii="Verdana" w:eastAsia="Times New Roman" w:hAnsi="Verdana" w:cs="Arial"/>
          <w:sz w:val="24"/>
          <w:szCs w:val="24"/>
          <w:lang w:eastAsia="es-ES"/>
        </w:rPr>
      </w:pPr>
    </w:p>
    <w:sectPr w:rsidR="5D8505AD" w:rsidRPr="00593A5F" w:rsidSect="00C44B4C">
      <w:headerReference w:type="default" r:id="rId16"/>
      <w:footerReference w:type="default" r:id="rId1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75F59" w14:textId="77777777" w:rsidR="00417536" w:rsidRDefault="00417536" w:rsidP="00B30448">
      <w:pPr>
        <w:spacing w:after="0" w:line="240" w:lineRule="auto"/>
      </w:pPr>
      <w:r>
        <w:separator/>
      </w:r>
    </w:p>
  </w:endnote>
  <w:endnote w:type="continuationSeparator" w:id="0">
    <w:p w14:paraId="751DA682" w14:textId="77777777" w:rsidR="00417536" w:rsidRDefault="00417536" w:rsidP="00B30448">
      <w:pPr>
        <w:spacing w:after="0" w:line="240" w:lineRule="auto"/>
      </w:pPr>
      <w:r>
        <w:continuationSeparator/>
      </w:r>
    </w:p>
  </w:endnote>
  <w:endnote w:type="continuationNotice" w:id="1">
    <w:p w14:paraId="7AD32930" w14:textId="77777777" w:rsidR="00417536" w:rsidRDefault="00417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9C0E4" w14:textId="77777777" w:rsidR="00A81E50" w:rsidRPr="00174B77" w:rsidRDefault="00A81E50" w:rsidP="00A81E50">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FC9CAA9" w14:textId="77777777" w:rsidR="00A81E50" w:rsidRDefault="00A81E50" w:rsidP="00A81E50">
    <w:pPr>
      <w:spacing w:after="0"/>
      <w:jc w:val="both"/>
      <w:rPr>
        <w:rFonts w:ascii="Verdana" w:hAnsi="Verdana"/>
        <w:sz w:val="18"/>
        <w:szCs w:val="18"/>
      </w:rPr>
    </w:pPr>
    <w:r w:rsidRPr="00E41027">
      <w:rPr>
        <w:rFonts w:ascii="Verdana" w:hAnsi="Verdana"/>
        <w:sz w:val="18"/>
        <w:szCs w:val="18"/>
      </w:rPr>
      <w:t>Dirección: Carrera 7 # 26 – 20 - Bogotá, Colombia</w:t>
    </w:r>
  </w:p>
  <w:p w14:paraId="0B709B73" w14:textId="77777777" w:rsidR="00A81E50" w:rsidRPr="00E41027" w:rsidRDefault="00A81E50" w:rsidP="00A81E50">
    <w:pPr>
      <w:spacing w:after="0"/>
      <w:jc w:val="both"/>
      <w:rPr>
        <w:rFonts w:ascii="Verdana" w:hAnsi="Verdana"/>
        <w:sz w:val="18"/>
        <w:szCs w:val="18"/>
      </w:rPr>
    </w:pPr>
    <w:r w:rsidRPr="00E41027">
      <w:rPr>
        <w:rFonts w:ascii="Verdana" w:hAnsi="Verdana"/>
        <w:sz w:val="18"/>
        <w:szCs w:val="18"/>
      </w:rPr>
      <w:t>Mesa de servicio: (+57) 601 7456788</w:t>
    </w:r>
  </w:p>
  <w:p w14:paraId="224AB27F" w14:textId="77777777" w:rsidR="00DD7A2C" w:rsidRDefault="00A81E50" w:rsidP="00C00976">
    <w:pPr>
      <w:pBdr>
        <w:top w:val="nil"/>
        <w:left w:val="nil"/>
        <w:bottom w:val="nil"/>
        <w:right w:val="nil"/>
        <w:between w:val="nil"/>
      </w:pBdr>
      <w:tabs>
        <w:tab w:val="center" w:pos="4419"/>
        <w:tab w:val="right" w:pos="8838"/>
        <w:tab w:val="center" w:pos="5400"/>
      </w:tabs>
      <w:spacing w:after="0"/>
      <w:rPr>
        <w:rFonts w:ascii="Verdana" w:hAnsi="Verdana"/>
        <w:sz w:val="20"/>
        <w:szCs w:val="20"/>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p>
  <w:p w14:paraId="2B8DBB2A" w14:textId="26AE77D2" w:rsidR="00A81E50" w:rsidRDefault="00A81E50" w:rsidP="00DD7A2C">
    <w:pPr>
      <w:pBdr>
        <w:top w:val="nil"/>
        <w:left w:val="nil"/>
        <w:bottom w:val="nil"/>
        <w:right w:val="nil"/>
        <w:between w:val="nil"/>
      </w:pBdr>
      <w:tabs>
        <w:tab w:val="center" w:pos="4419"/>
        <w:tab w:val="right" w:pos="8838"/>
        <w:tab w:val="center" w:pos="5400"/>
      </w:tabs>
      <w:spacing w:after="0"/>
      <w:jc w:val="right"/>
    </w:pP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FC1D5" w14:textId="77777777" w:rsidR="00417536" w:rsidRDefault="00417536" w:rsidP="00B30448">
      <w:pPr>
        <w:spacing w:after="0" w:line="240" w:lineRule="auto"/>
      </w:pPr>
      <w:r>
        <w:separator/>
      </w:r>
    </w:p>
  </w:footnote>
  <w:footnote w:type="continuationSeparator" w:id="0">
    <w:p w14:paraId="32F6AF6D" w14:textId="77777777" w:rsidR="00417536" w:rsidRDefault="00417536" w:rsidP="00B30448">
      <w:pPr>
        <w:spacing w:after="0" w:line="240" w:lineRule="auto"/>
      </w:pPr>
      <w:r>
        <w:continuationSeparator/>
      </w:r>
    </w:p>
  </w:footnote>
  <w:footnote w:type="continuationNotice" w:id="1">
    <w:p w14:paraId="7D1B59CA" w14:textId="77777777" w:rsidR="00417536" w:rsidRDefault="00417536">
      <w:pPr>
        <w:spacing w:after="0" w:line="240" w:lineRule="auto"/>
      </w:pPr>
    </w:p>
  </w:footnote>
  <w:footnote w:id="2">
    <w:p w14:paraId="0BB0B122" w14:textId="318302D0" w:rsidR="00F20046" w:rsidRPr="00F20046" w:rsidRDefault="00F20046" w:rsidP="00F20046">
      <w:pPr>
        <w:spacing w:after="0" w:line="240" w:lineRule="auto"/>
        <w:ind w:left="142" w:right="49" w:firstLine="425"/>
        <w:jc w:val="both"/>
        <w:rPr>
          <w:rFonts w:ascii="Verdana" w:hAnsi="Verdana" w:cs="Arial"/>
          <w:b/>
          <w:bCs/>
          <w:sz w:val="18"/>
          <w:szCs w:val="18"/>
        </w:rPr>
      </w:pPr>
      <w:r w:rsidRPr="00F20046">
        <w:rPr>
          <w:rStyle w:val="Refdenotaalpie"/>
          <w:sz w:val="18"/>
          <w:szCs w:val="18"/>
        </w:rPr>
        <w:footnoteRef/>
      </w:r>
      <w:r w:rsidRPr="00F20046">
        <w:rPr>
          <w:sz w:val="18"/>
          <w:szCs w:val="18"/>
        </w:rPr>
        <w:t xml:space="preserve"> </w:t>
      </w:r>
      <w:r w:rsidRPr="00F20046">
        <w:rPr>
          <w:rFonts w:ascii="Verdana" w:hAnsi="Verdana" w:cs="Arial"/>
          <w:b/>
          <w:bCs/>
          <w:sz w:val="18"/>
          <w:szCs w:val="18"/>
        </w:rPr>
        <w:t xml:space="preserve">1.11 INFORMACIÓN INEXACTA </w:t>
      </w:r>
    </w:p>
    <w:p w14:paraId="437836D6" w14:textId="3F6ADFF0" w:rsidR="00F20046" w:rsidRPr="00F20046" w:rsidRDefault="00F20046" w:rsidP="00F20046">
      <w:pPr>
        <w:spacing w:after="0" w:line="240" w:lineRule="auto"/>
        <w:ind w:left="142" w:right="49" w:firstLine="425"/>
        <w:jc w:val="both"/>
        <w:rPr>
          <w:rFonts w:ascii="Verdana" w:hAnsi="Verdana" w:cs="Arial"/>
          <w:sz w:val="18"/>
          <w:szCs w:val="18"/>
        </w:rPr>
      </w:pPr>
      <w:r w:rsidRPr="00F20046">
        <w:rPr>
          <w:rFonts w:ascii="Verdana" w:hAnsi="Verdana" w:cs="Arial"/>
          <w:sz w:val="18"/>
          <w:szCs w:val="18"/>
        </w:rPr>
        <w:t xml:space="preserve">La Entidad se reserva el derecho de verificar integralmente la información aportada por el Proponente. Para esto, puede acudir a las autoridades, personas, empresas o entidades respectivas. </w:t>
      </w:r>
    </w:p>
    <w:p w14:paraId="272F9AF8" w14:textId="54D90E4E" w:rsidR="00F20046" w:rsidRPr="00F20046" w:rsidRDefault="00F20046" w:rsidP="00F20046">
      <w:pPr>
        <w:spacing w:after="0" w:line="240" w:lineRule="auto"/>
        <w:ind w:left="142" w:right="49" w:firstLine="425"/>
        <w:jc w:val="both"/>
        <w:rPr>
          <w:rFonts w:ascii="Verdana" w:hAnsi="Verdana" w:cs="Arial"/>
          <w:sz w:val="18"/>
          <w:szCs w:val="18"/>
        </w:rPr>
      </w:pPr>
      <w:r w:rsidRPr="00F20046">
        <w:rPr>
          <w:rFonts w:ascii="Verdana" w:hAnsi="Verdana" w:cs="Arial"/>
          <w:sz w:val="18"/>
          <w:szCs w:val="18"/>
        </w:rPr>
        <w:t xml:space="preserve">Cuando exista inconsistencia entre la información suministrada por el Proponente y la efectivamente verificada por la Entidad, la información que pretende demostrar el Proponente se tendrá por no acreditada. </w:t>
      </w:r>
    </w:p>
    <w:p w14:paraId="6858DF9A" w14:textId="77777777" w:rsidR="00F20046" w:rsidRPr="00F20046" w:rsidRDefault="00F20046" w:rsidP="00F20046">
      <w:pPr>
        <w:spacing w:after="0" w:line="240" w:lineRule="auto"/>
        <w:ind w:left="142" w:right="49" w:firstLine="425"/>
        <w:jc w:val="both"/>
        <w:rPr>
          <w:rFonts w:ascii="Verdana" w:hAnsi="Verdana" w:cs="Arial"/>
          <w:sz w:val="18"/>
          <w:szCs w:val="18"/>
        </w:rPr>
      </w:pPr>
      <w:r w:rsidRPr="00F20046">
        <w:rPr>
          <w:rFonts w:ascii="Verdana" w:hAnsi="Verdana" w:cs="Arial"/>
          <w:sz w:val="18"/>
          <w:szCs w:val="18"/>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71B095FF" w14:textId="34870A09" w:rsidR="00F20046" w:rsidRPr="00F20046" w:rsidRDefault="00F20046">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49BFF" w14:textId="77777777" w:rsidR="00006F59" w:rsidRDefault="00006F59" w:rsidP="00006F59">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4812B632" wp14:editId="2E35C64A">
          <wp:simplePos x="0" y="0"/>
          <wp:positionH relativeFrom="margin">
            <wp:align>center</wp:align>
          </wp:positionH>
          <wp:positionV relativeFrom="paragraph">
            <wp:posOffset>-250190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292DC36A" wp14:editId="6004C65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4B171C2" w14:textId="77777777" w:rsidR="00006F59" w:rsidRDefault="00006F59" w:rsidP="00006F59">
    <w:pPr>
      <w:pStyle w:val="Encabezado"/>
      <w:jc w:val="center"/>
    </w:pPr>
  </w:p>
  <w:p w14:paraId="1665FD71" w14:textId="77777777" w:rsidR="00006F59" w:rsidRDefault="00006F59" w:rsidP="00006F59">
    <w:pPr>
      <w:pStyle w:val="Encabezado"/>
    </w:pPr>
  </w:p>
  <w:p w14:paraId="61B882FC" w14:textId="77777777" w:rsidR="00006F59" w:rsidRDefault="00006F59" w:rsidP="00006F59">
    <w:pPr>
      <w:spacing w:after="0"/>
      <w:rPr>
        <w:rFonts w:ascii="Verdana" w:hAnsi="Verdana"/>
        <w:b/>
        <w:bCs/>
        <w:sz w:val="24"/>
        <w:szCs w:val="24"/>
      </w:rPr>
    </w:pPr>
  </w:p>
  <w:p w14:paraId="701A9D55" w14:textId="29EB49FC" w:rsidR="00006F59" w:rsidRPr="00A211EE" w:rsidRDefault="00006F59" w:rsidP="001918F1">
    <w:pPr>
      <w:tabs>
        <w:tab w:val="left" w:pos="6217"/>
      </w:tabs>
      <w:spacing w:after="0"/>
      <w:rPr>
        <w:rFonts w:ascii="Verdana" w:hAnsi="Verdana"/>
        <w:b/>
        <w:bCs/>
        <w:sz w:val="24"/>
        <w:szCs w:val="24"/>
      </w:rPr>
    </w:pPr>
    <w:r w:rsidRPr="00A211EE">
      <w:rPr>
        <w:rFonts w:ascii="Verdana" w:hAnsi="Verdana"/>
        <w:b/>
        <w:bCs/>
        <w:sz w:val="24"/>
        <w:szCs w:val="24"/>
      </w:rPr>
      <w:t>FORMATO PQRSD</w:t>
    </w:r>
  </w:p>
  <w:p w14:paraId="68E0C024" w14:textId="62811F13" w:rsidR="00B30448" w:rsidRPr="00006F59" w:rsidRDefault="00B30448" w:rsidP="00006F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2D55"/>
    <w:rsid w:val="000059AE"/>
    <w:rsid w:val="00005BB0"/>
    <w:rsid w:val="00006F59"/>
    <w:rsid w:val="0001025F"/>
    <w:rsid w:val="0001222D"/>
    <w:rsid w:val="00016280"/>
    <w:rsid w:val="00016F04"/>
    <w:rsid w:val="000219D1"/>
    <w:rsid w:val="00021C3A"/>
    <w:rsid w:val="000267DD"/>
    <w:rsid w:val="00031EAF"/>
    <w:rsid w:val="00033390"/>
    <w:rsid w:val="000361EA"/>
    <w:rsid w:val="000369C0"/>
    <w:rsid w:val="00037A8B"/>
    <w:rsid w:val="000408AD"/>
    <w:rsid w:val="00042DD7"/>
    <w:rsid w:val="000442CC"/>
    <w:rsid w:val="00044B24"/>
    <w:rsid w:val="00050C95"/>
    <w:rsid w:val="00050CAD"/>
    <w:rsid w:val="000526A8"/>
    <w:rsid w:val="0005620B"/>
    <w:rsid w:val="000577D3"/>
    <w:rsid w:val="00057963"/>
    <w:rsid w:val="000622B9"/>
    <w:rsid w:val="00065C6D"/>
    <w:rsid w:val="00066646"/>
    <w:rsid w:val="000716AB"/>
    <w:rsid w:val="00071AB8"/>
    <w:rsid w:val="0007243A"/>
    <w:rsid w:val="000762C0"/>
    <w:rsid w:val="00076C2B"/>
    <w:rsid w:val="00076F81"/>
    <w:rsid w:val="00087073"/>
    <w:rsid w:val="00087C01"/>
    <w:rsid w:val="00093544"/>
    <w:rsid w:val="00094663"/>
    <w:rsid w:val="00095410"/>
    <w:rsid w:val="00096637"/>
    <w:rsid w:val="000A413A"/>
    <w:rsid w:val="000B1FF7"/>
    <w:rsid w:val="000B2529"/>
    <w:rsid w:val="000B2B7C"/>
    <w:rsid w:val="000B4024"/>
    <w:rsid w:val="000B4D25"/>
    <w:rsid w:val="000C060A"/>
    <w:rsid w:val="000C09DF"/>
    <w:rsid w:val="000C42A9"/>
    <w:rsid w:val="000C557B"/>
    <w:rsid w:val="000D0372"/>
    <w:rsid w:val="000D2914"/>
    <w:rsid w:val="000D5A0F"/>
    <w:rsid w:val="000D5B1E"/>
    <w:rsid w:val="000D6532"/>
    <w:rsid w:val="000E0622"/>
    <w:rsid w:val="000E1D6F"/>
    <w:rsid w:val="000E3744"/>
    <w:rsid w:val="000F0144"/>
    <w:rsid w:val="000F0807"/>
    <w:rsid w:val="000F1AD8"/>
    <w:rsid w:val="000F38D9"/>
    <w:rsid w:val="000F414C"/>
    <w:rsid w:val="000F64FC"/>
    <w:rsid w:val="000F718E"/>
    <w:rsid w:val="00100207"/>
    <w:rsid w:val="001010D3"/>
    <w:rsid w:val="00101C11"/>
    <w:rsid w:val="001034DD"/>
    <w:rsid w:val="00107575"/>
    <w:rsid w:val="0011037E"/>
    <w:rsid w:val="00110F73"/>
    <w:rsid w:val="00111E35"/>
    <w:rsid w:val="001128B4"/>
    <w:rsid w:val="00112EBD"/>
    <w:rsid w:val="001132C2"/>
    <w:rsid w:val="00116616"/>
    <w:rsid w:val="00116FC5"/>
    <w:rsid w:val="00117BBD"/>
    <w:rsid w:val="00125D81"/>
    <w:rsid w:val="0012661F"/>
    <w:rsid w:val="00127D5B"/>
    <w:rsid w:val="00131A66"/>
    <w:rsid w:val="0013343F"/>
    <w:rsid w:val="001344F9"/>
    <w:rsid w:val="001363C7"/>
    <w:rsid w:val="00136E87"/>
    <w:rsid w:val="00140793"/>
    <w:rsid w:val="001422BD"/>
    <w:rsid w:val="0014286D"/>
    <w:rsid w:val="00143B8E"/>
    <w:rsid w:val="00143F21"/>
    <w:rsid w:val="0014420C"/>
    <w:rsid w:val="001446C3"/>
    <w:rsid w:val="00151465"/>
    <w:rsid w:val="00151AD8"/>
    <w:rsid w:val="00153287"/>
    <w:rsid w:val="00153C33"/>
    <w:rsid w:val="00155EF1"/>
    <w:rsid w:val="00156192"/>
    <w:rsid w:val="00157DEB"/>
    <w:rsid w:val="00161E13"/>
    <w:rsid w:val="00162B8D"/>
    <w:rsid w:val="00164803"/>
    <w:rsid w:val="00164AE0"/>
    <w:rsid w:val="0016646A"/>
    <w:rsid w:val="00167C43"/>
    <w:rsid w:val="0017120C"/>
    <w:rsid w:val="00172C96"/>
    <w:rsid w:val="00172DDC"/>
    <w:rsid w:val="00172F3A"/>
    <w:rsid w:val="00173477"/>
    <w:rsid w:val="0017414F"/>
    <w:rsid w:val="00174636"/>
    <w:rsid w:val="0017667E"/>
    <w:rsid w:val="001811FC"/>
    <w:rsid w:val="00186D14"/>
    <w:rsid w:val="001918F1"/>
    <w:rsid w:val="0019196E"/>
    <w:rsid w:val="00192CCE"/>
    <w:rsid w:val="00193F1C"/>
    <w:rsid w:val="00197205"/>
    <w:rsid w:val="001A3D89"/>
    <w:rsid w:val="001A6861"/>
    <w:rsid w:val="001B143B"/>
    <w:rsid w:val="001B19C5"/>
    <w:rsid w:val="001B1C93"/>
    <w:rsid w:val="001B21CA"/>
    <w:rsid w:val="001B5A00"/>
    <w:rsid w:val="001D0D32"/>
    <w:rsid w:val="001D1AB9"/>
    <w:rsid w:val="001D733B"/>
    <w:rsid w:val="001E0902"/>
    <w:rsid w:val="001E1801"/>
    <w:rsid w:val="001E3A17"/>
    <w:rsid w:val="001E3FCB"/>
    <w:rsid w:val="001E6BCB"/>
    <w:rsid w:val="001E7FBC"/>
    <w:rsid w:val="001F15F6"/>
    <w:rsid w:val="001F179C"/>
    <w:rsid w:val="001F2649"/>
    <w:rsid w:val="001F3496"/>
    <w:rsid w:val="001F41CA"/>
    <w:rsid w:val="001F4355"/>
    <w:rsid w:val="002000AA"/>
    <w:rsid w:val="0020302A"/>
    <w:rsid w:val="00204109"/>
    <w:rsid w:val="00212897"/>
    <w:rsid w:val="0021386A"/>
    <w:rsid w:val="00215516"/>
    <w:rsid w:val="00216EFA"/>
    <w:rsid w:val="0021798E"/>
    <w:rsid w:val="002225AB"/>
    <w:rsid w:val="002267D2"/>
    <w:rsid w:val="00230839"/>
    <w:rsid w:val="00232178"/>
    <w:rsid w:val="00232D12"/>
    <w:rsid w:val="00235F30"/>
    <w:rsid w:val="00236287"/>
    <w:rsid w:val="002407CE"/>
    <w:rsid w:val="00243A38"/>
    <w:rsid w:val="002450F2"/>
    <w:rsid w:val="00245B7F"/>
    <w:rsid w:val="00247BDE"/>
    <w:rsid w:val="00252ED7"/>
    <w:rsid w:val="00254A7A"/>
    <w:rsid w:val="00254EA4"/>
    <w:rsid w:val="0025575F"/>
    <w:rsid w:val="00264C7C"/>
    <w:rsid w:val="00270443"/>
    <w:rsid w:val="00270EE2"/>
    <w:rsid w:val="00272A7B"/>
    <w:rsid w:val="00273527"/>
    <w:rsid w:val="002747EF"/>
    <w:rsid w:val="00274B06"/>
    <w:rsid w:val="002769AE"/>
    <w:rsid w:val="00286BFE"/>
    <w:rsid w:val="00286C81"/>
    <w:rsid w:val="0028709F"/>
    <w:rsid w:val="002971F2"/>
    <w:rsid w:val="00297785"/>
    <w:rsid w:val="002A0F8D"/>
    <w:rsid w:val="002A5311"/>
    <w:rsid w:val="002B3A46"/>
    <w:rsid w:val="002B3F1C"/>
    <w:rsid w:val="002B6E44"/>
    <w:rsid w:val="002C12C7"/>
    <w:rsid w:val="002C30F0"/>
    <w:rsid w:val="002C401A"/>
    <w:rsid w:val="002C6D15"/>
    <w:rsid w:val="002C7E5B"/>
    <w:rsid w:val="002D0E9E"/>
    <w:rsid w:val="002D38D9"/>
    <w:rsid w:val="002E26E8"/>
    <w:rsid w:val="002E5A01"/>
    <w:rsid w:val="002E7A61"/>
    <w:rsid w:val="002F188D"/>
    <w:rsid w:val="002F18A5"/>
    <w:rsid w:val="002F317F"/>
    <w:rsid w:val="002F7AA9"/>
    <w:rsid w:val="00301C0D"/>
    <w:rsid w:val="00311B66"/>
    <w:rsid w:val="00314FAF"/>
    <w:rsid w:val="003162A5"/>
    <w:rsid w:val="00320C6D"/>
    <w:rsid w:val="00323F8A"/>
    <w:rsid w:val="00326011"/>
    <w:rsid w:val="00327069"/>
    <w:rsid w:val="00327AFB"/>
    <w:rsid w:val="00327D10"/>
    <w:rsid w:val="0033595E"/>
    <w:rsid w:val="0033601B"/>
    <w:rsid w:val="00340039"/>
    <w:rsid w:val="00340DFB"/>
    <w:rsid w:val="00343B47"/>
    <w:rsid w:val="0034404F"/>
    <w:rsid w:val="00345F01"/>
    <w:rsid w:val="00351E21"/>
    <w:rsid w:val="00352327"/>
    <w:rsid w:val="0035635F"/>
    <w:rsid w:val="003607EE"/>
    <w:rsid w:val="003617AE"/>
    <w:rsid w:val="003630F7"/>
    <w:rsid w:val="003651AC"/>
    <w:rsid w:val="00366120"/>
    <w:rsid w:val="003661FF"/>
    <w:rsid w:val="00366A0C"/>
    <w:rsid w:val="00367462"/>
    <w:rsid w:val="00370507"/>
    <w:rsid w:val="00372A01"/>
    <w:rsid w:val="003751C7"/>
    <w:rsid w:val="00375C84"/>
    <w:rsid w:val="003819F5"/>
    <w:rsid w:val="0039082A"/>
    <w:rsid w:val="0039101F"/>
    <w:rsid w:val="00395D99"/>
    <w:rsid w:val="003968DF"/>
    <w:rsid w:val="003A3927"/>
    <w:rsid w:val="003A6E29"/>
    <w:rsid w:val="003B1844"/>
    <w:rsid w:val="003B24EA"/>
    <w:rsid w:val="003C0F87"/>
    <w:rsid w:val="003C141E"/>
    <w:rsid w:val="003C1B83"/>
    <w:rsid w:val="003C21B3"/>
    <w:rsid w:val="003C3503"/>
    <w:rsid w:val="003C4851"/>
    <w:rsid w:val="003C4C96"/>
    <w:rsid w:val="003C55E0"/>
    <w:rsid w:val="003D0079"/>
    <w:rsid w:val="003E0E25"/>
    <w:rsid w:val="003E1409"/>
    <w:rsid w:val="003E7912"/>
    <w:rsid w:val="003F5B9F"/>
    <w:rsid w:val="00402E56"/>
    <w:rsid w:val="00403634"/>
    <w:rsid w:val="00404592"/>
    <w:rsid w:val="00404B58"/>
    <w:rsid w:val="0040544F"/>
    <w:rsid w:val="00410AA1"/>
    <w:rsid w:val="00411B17"/>
    <w:rsid w:val="0041222D"/>
    <w:rsid w:val="00417083"/>
    <w:rsid w:val="00417536"/>
    <w:rsid w:val="0042057C"/>
    <w:rsid w:val="00421608"/>
    <w:rsid w:val="00422749"/>
    <w:rsid w:val="00432F78"/>
    <w:rsid w:val="004334A2"/>
    <w:rsid w:val="00437D17"/>
    <w:rsid w:val="0044046D"/>
    <w:rsid w:val="004410D3"/>
    <w:rsid w:val="00441DAF"/>
    <w:rsid w:val="00443D38"/>
    <w:rsid w:val="00444F43"/>
    <w:rsid w:val="00450744"/>
    <w:rsid w:val="00450BE7"/>
    <w:rsid w:val="0045230E"/>
    <w:rsid w:val="00452D67"/>
    <w:rsid w:val="00455B00"/>
    <w:rsid w:val="00455B97"/>
    <w:rsid w:val="00456BFD"/>
    <w:rsid w:val="00460CE3"/>
    <w:rsid w:val="004612A4"/>
    <w:rsid w:val="004676E4"/>
    <w:rsid w:val="00470C48"/>
    <w:rsid w:val="00471429"/>
    <w:rsid w:val="00473C0A"/>
    <w:rsid w:val="00477459"/>
    <w:rsid w:val="0048026E"/>
    <w:rsid w:val="004807A9"/>
    <w:rsid w:val="00481318"/>
    <w:rsid w:val="004813EE"/>
    <w:rsid w:val="00482CDC"/>
    <w:rsid w:val="00483B03"/>
    <w:rsid w:val="00485702"/>
    <w:rsid w:val="00487662"/>
    <w:rsid w:val="004876C6"/>
    <w:rsid w:val="00490F7A"/>
    <w:rsid w:val="00490FD5"/>
    <w:rsid w:val="00491241"/>
    <w:rsid w:val="00493278"/>
    <w:rsid w:val="00497575"/>
    <w:rsid w:val="004A12C0"/>
    <w:rsid w:val="004A191A"/>
    <w:rsid w:val="004A1A70"/>
    <w:rsid w:val="004A419E"/>
    <w:rsid w:val="004A6B58"/>
    <w:rsid w:val="004B06C3"/>
    <w:rsid w:val="004B0B09"/>
    <w:rsid w:val="004B140F"/>
    <w:rsid w:val="004B5D6E"/>
    <w:rsid w:val="004B60BA"/>
    <w:rsid w:val="004C1619"/>
    <w:rsid w:val="004C1B59"/>
    <w:rsid w:val="004C4EA2"/>
    <w:rsid w:val="004C60E7"/>
    <w:rsid w:val="004D03D1"/>
    <w:rsid w:val="004D11AF"/>
    <w:rsid w:val="004D60A3"/>
    <w:rsid w:val="004E016A"/>
    <w:rsid w:val="004E0461"/>
    <w:rsid w:val="004E29B1"/>
    <w:rsid w:val="004E461B"/>
    <w:rsid w:val="004E477D"/>
    <w:rsid w:val="004F013F"/>
    <w:rsid w:val="004F0D19"/>
    <w:rsid w:val="004F2811"/>
    <w:rsid w:val="004F62E8"/>
    <w:rsid w:val="004F78F8"/>
    <w:rsid w:val="005001A5"/>
    <w:rsid w:val="005019AA"/>
    <w:rsid w:val="00503CE7"/>
    <w:rsid w:val="005042DB"/>
    <w:rsid w:val="00510452"/>
    <w:rsid w:val="005108EC"/>
    <w:rsid w:val="005147DA"/>
    <w:rsid w:val="00515745"/>
    <w:rsid w:val="00515862"/>
    <w:rsid w:val="00516942"/>
    <w:rsid w:val="00516DC0"/>
    <w:rsid w:val="005233F3"/>
    <w:rsid w:val="0052365C"/>
    <w:rsid w:val="005245D2"/>
    <w:rsid w:val="00524C98"/>
    <w:rsid w:val="00525B59"/>
    <w:rsid w:val="005269C4"/>
    <w:rsid w:val="00533DBF"/>
    <w:rsid w:val="00536442"/>
    <w:rsid w:val="005415DD"/>
    <w:rsid w:val="005426DB"/>
    <w:rsid w:val="00550113"/>
    <w:rsid w:val="0055082B"/>
    <w:rsid w:val="00550F00"/>
    <w:rsid w:val="0055211C"/>
    <w:rsid w:val="0055263A"/>
    <w:rsid w:val="00552B57"/>
    <w:rsid w:val="00553E34"/>
    <w:rsid w:val="005652D5"/>
    <w:rsid w:val="00574614"/>
    <w:rsid w:val="00574A70"/>
    <w:rsid w:val="00575C75"/>
    <w:rsid w:val="005815A8"/>
    <w:rsid w:val="00583431"/>
    <w:rsid w:val="0058659E"/>
    <w:rsid w:val="005872DD"/>
    <w:rsid w:val="00587D3A"/>
    <w:rsid w:val="00590346"/>
    <w:rsid w:val="00590E93"/>
    <w:rsid w:val="005915E1"/>
    <w:rsid w:val="00591C75"/>
    <w:rsid w:val="00592D10"/>
    <w:rsid w:val="00593A5F"/>
    <w:rsid w:val="0059404E"/>
    <w:rsid w:val="00594269"/>
    <w:rsid w:val="005A3E82"/>
    <w:rsid w:val="005A4DB0"/>
    <w:rsid w:val="005A5597"/>
    <w:rsid w:val="005A6AC2"/>
    <w:rsid w:val="005A7A65"/>
    <w:rsid w:val="005A7B26"/>
    <w:rsid w:val="005A7B8E"/>
    <w:rsid w:val="005B012B"/>
    <w:rsid w:val="005B0C87"/>
    <w:rsid w:val="005B2195"/>
    <w:rsid w:val="005B3877"/>
    <w:rsid w:val="005B45AB"/>
    <w:rsid w:val="005B6551"/>
    <w:rsid w:val="005B71A8"/>
    <w:rsid w:val="005C3E9E"/>
    <w:rsid w:val="005C4BF2"/>
    <w:rsid w:val="005C5BED"/>
    <w:rsid w:val="005C5D86"/>
    <w:rsid w:val="005C6167"/>
    <w:rsid w:val="005D2506"/>
    <w:rsid w:val="005D5B5E"/>
    <w:rsid w:val="005D72FC"/>
    <w:rsid w:val="005E1218"/>
    <w:rsid w:val="005E1B6B"/>
    <w:rsid w:val="005E2281"/>
    <w:rsid w:val="005E38A8"/>
    <w:rsid w:val="005E55BB"/>
    <w:rsid w:val="005E667C"/>
    <w:rsid w:val="005E6A1D"/>
    <w:rsid w:val="005E6F12"/>
    <w:rsid w:val="005F077C"/>
    <w:rsid w:val="005F3CE8"/>
    <w:rsid w:val="005F4F41"/>
    <w:rsid w:val="005F68C3"/>
    <w:rsid w:val="00601E94"/>
    <w:rsid w:val="006021B1"/>
    <w:rsid w:val="006040CE"/>
    <w:rsid w:val="0060467D"/>
    <w:rsid w:val="00605B9D"/>
    <w:rsid w:val="00606B57"/>
    <w:rsid w:val="00607390"/>
    <w:rsid w:val="006076D8"/>
    <w:rsid w:val="00607E6D"/>
    <w:rsid w:val="00612871"/>
    <w:rsid w:val="00612A8E"/>
    <w:rsid w:val="006135DA"/>
    <w:rsid w:val="006155E2"/>
    <w:rsid w:val="00615F26"/>
    <w:rsid w:val="00620579"/>
    <w:rsid w:val="00623BC7"/>
    <w:rsid w:val="006241D0"/>
    <w:rsid w:val="00625434"/>
    <w:rsid w:val="00626032"/>
    <w:rsid w:val="00627788"/>
    <w:rsid w:val="006300CD"/>
    <w:rsid w:val="0063017E"/>
    <w:rsid w:val="00631D4F"/>
    <w:rsid w:val="00635FD8"/>
    <w:rsid w:val="00636F7B"/>
    <w:rsid w:val="0064019C"/>
    <w:rsid w:val="00640288"/>
    <w:rsid w:val="006405AC"/>
    <w:rsid w:val="006413D8"/>
    <w:rsid w:val="00641C55"/>
    <w:rsid w:val="00642645"/>
    <w:rsid w:val="00652092"/>
    <w:rsid w:val="00656385"/>
    <w:rsid w:val="00660DBE"/>
    <w:rsid w:val="0066127D"/>
    <w:rsid w:val="0066351C"/>
    <w:rsid w:val="00664693"/>
    <w:rsid w:val="00664DC0"/>
    <w:rsid w:val="006651CC"/>
    <w:rsid w:val="00665CA1"/>
    <w:rsid w:val="00667A31"/>
    <w:rsid w:val="00670702"/>
    <w:rsid w:val="0067147C"/>
    <w:rsid w:val="00672A8A"/>
    <w:rsid w:val="006759B0"/>
    <w:rsid w:val="00677012"/>
    <w:rsid w:val="006825B4"/>
    <w:rsid w:val="006829BA"/>
    <w:rsid w:val="00682AF2"/>
    <w:rsid w:val="006837DE"/>
    <w:rsid w:val="00687628"/>
    <w:rsid w:val="00687CFE"/>
    <w:rsid w:val="00690EB8"/>
    <w:rsid w:val="006915E5"/>
    <w:rsid w:val="006A0B6C"/>
    <w:rsid w:val="006A16E1"/>
    <w:rsid w:val="006A3C8A"/>
    <w:rsid w:val="006A3E61"/>
    <w:rsid w:val="006A6737"/>
    <w:rsid w:val="006B26B1"/>
    <w:rsid w:val="006B5D32"/>
    <w:rsid w:val="006B758B"/>
    <w:rsid w:val="006B7BF8"/>
    <w:rsid w:val="006C262B"/>
    <w:rsid w:val="006C3A2D"/>
    <w:rsid w:val="006C49BF"/>
    <w:rsid w:val="006C63D7"/>
    <w:rsid w:val="006C7535"/>
    <w:rsid w:val="006D7C99"/>
    <w:rsid w:val="006E0443"/>
    <w:rsid w:val="006E0DCF"/>
    <w:rsid w:val="006E429F"/>
    <w:rsid w:val="006E6F30"/>
    <w:rsid w:val="006F030F"/>
    <w:rsid w:val="006F193C"/>
    <w:rsid w:val="006F2B89"/>
    <w:rsid w:val="006F3B81"/>
    <w:rsid w:val="006F4F79"/>
    <w:rsid w:val="006F62CC"/>
    <w:rsid w:val="006F681D"/>
    <w:rsid w:val="0070235F"/>
    <w:rsid w:val="00702BC3"/>
    <w:rsid w:val="007036FE"/>
    <w:rsid w:val="00705B37"/>
    <w:rsid w:val="00706B65"/>
    <w:rsid w:val="00707C1A"/>
    <w:rsid w:val="0071023D"/>
    <w:rsid w:val="00712912"/>
    <w:rsid w:val="007168A0"/>
    <w:rsid w:val="00716C95"/>
    <w:rsid w:val="00717762"/>
    <w:rsid w:val="00721FF9"/>
    <w:rsid w:val="00725735"/>
    <w:rsid w:val="00741175"/>
    <w:rsid w:val="007419FB"/>
    <w:rsid w:val="00742606"/>
    <w:rsid w:val="007441FF"/>
    <w:rsid w:val="00744EE8"/>
    <w:rsid w:val="007467E4"/>
    <w:rsid w:val="00747569"/>
    <w:rsid w:val="0075023C"/>
    <w:rsid w:val="00760EED"/>
    <w:rsid w:val="007619CE"/>
    <w:rsid w:val="00761F4F"/>
    <w:rsid w:val="007620DC"/>
    <w:rsid w:val="007625F6"/>
    <w:rsid w:val="00762B8B"/>
    <w:rsid w:val="00764AF9"/>
    <w:rsid w:val="00770C54"/>
    <w:rsid w:val="00772B41"/>
    <w:rsid w:val="00782E10"/>
    <w:rsid w:val="00786448"/>
    <w:rsid w:val="0079134E"/>
    <w:rsid w:val="0079278E"/>
    <w:rsid w:val="007930C1"/>
    <w:rsid w:val="00796F7C"/>
    <w:rsid w:val="00797131"/>
    <w:rsid w:val="007A5ACE"/>
    <w:rsid w:val="007A6528"/>
    <w:rsid w:val="007A7B48"/>
    <w:rsid w:val="007B20C2"/>
    <w:rsid w:val="007B27E4"/>
    <w:rsid w:val="007B35F6"/>
    <w:rsid w:val="007B3F87"/>
    <w:rsid w:val="007B7B52"/>
    <w:rsid w:val="007C2F60"/>
    <w:rsid w:val="007C5613"/>
    <w:rsid w:val="007C6BC6"/>
    <w:rsid w:val="007D0435"/>
    <w:rsid w:val="007D400A"/>
    <w:rsid w:val="007D4B0E"/>
    <w:rsid w:val="007D4DD2"/>
    <w:rsid w:val="007E2419"/>
    <w:rsid w:val="007E3FF5"/>
    <w:rsid w:val="007E4219"/>
    <w:rsid w:val="007E6C0C"/>
    <w:rsid w:val="007F038C"/>
    <w:rsid w:val="007F0F24"/>
    <w:rsid w:val="007F222B"/>
    <w:rsid w:val="007F3092"/>
    <w:rsid w:val="007F4A6F"/>
    <w:rsid w:val="00801A0E"/>
    <w:rsid w:val="00804E4C"/>
    <w:rsid w:val="0080662C"/>
    <w:rsid w:val="00807D79"/>
    <w:rsid w:val="008149D8"/>
    <w:rsid w:val="00821D81"/>
    <w:rsid w:val="00823654"/>
    <w:rsid w:val="00823A90"/>
    <w:rsid w:val="0082757E"/>
    <w:rsid w:val="00827D77"/>
    <w:rsid w:val="00830561"/>
    <w:rsid w:val="008342A5"/>
    <w:rsid w:val="00834BE2"/>
    <w:rsid w:val="00834EA4"/>
    <w:rsid w:val="00835DCB"/>
    <w:rsid w:val="0084139B"/>
    <w:rsid w:val="0084143B"/>
    <w:rsid w:val="008427D3"/>
    <w:rsid w:val="008457D2"/>
    <w:rsid w:val="00846212"/>
    <w:rsid w:val="008468E0"/>
    <w:rsid w:val="00847BE7"/>
    <w:rsid w:val="00850EAB"/>
    <w:rsid w:val="008529B3"/>
    <w:rsid w:val="00852ADD"/>
    <w:rsid w:val="00853883"/>
    <w:rsid w:val="008616A2"/>
    <w:rsid w:val="00861C6C"/>
    <w:rsid w:val="00873736"/>
    <w:rsid w:val="008755E7"/>
    <w:rsid w:val="00877D03"/>
    <w:rsid w:val="00877E96"/>
    <w:rsid w:val="008803CE"/>
    <w:rsid w:val="00887B37"/>
    <w:rsid w:val="00890598"/>
    <w:rsid w:val="0089065A"/>
    <w:rsid w:val="00891D7A"/>
    <w:rsid w:val="00891DFC"/>
    <w:rsid w:val="00892B98"/>
    <w:rsid w:val="008A31C7"/>
    <w:rsid w:val="008A4AEC"/>
    <w:rsid w:val="008A5609"/>
    <w:rsid w:val="008A6FA0"/>
    <w:rsid w:val="008B2B19"/>
    <w:rsid w:val="008B2F40"/>
    <w:rsid w:val="008B3627"/>
    <w:rsid w:val="008B5E61"/>
    <w:rsid w:val="008B7914"/>
    <w:rsid w:val="008C127A"/>
    <w:rsid w:val="008C2C7F"/>
    <w:rsid w:val="008C5D2A"/>
    <w:rsid w:val="008C74FB"/>
    <w:rsid w:val="008C7AF4"/>
    <w:rsid w:val="008C7DA4"/>
    <w:rsid w:val="008D0210"/>
    <w:rsid w:val="008D0DEF"/>
    <w:rsid w:val="008D1074"/>
    <w:rsid w:val="008D1079"/>
    <w:rsid w:val="008D280F"/>
    <w:rsid w:val="008D3994"/>
    <w:rsid w:val="008D478E"/>
    <w:rsid w:val="008D534E"/>
    <w:rsid w:val="008D6E81"/>
    <w:rsid w:val="008D7739"/>
    <w:rsid w:val="008E1267"/>
    <w:rsid w:val="008E22F8"/>
    <w:rsid w:val="008E606F"/>
    <w:rsid w:val="008E6AD9"/>
    <w:rsid w:val="008F27E3"/>
    <w:rsid w:val="008F3485"/>
    <w:rsid w:val="008F3AC3"/>
    <w:rsid w:val="009026CB"/>
    <w:rsid w:val="00904038"/>
    <w:rsid w:val="009041AF"/>
    <w:rsid w:val="009049AB"/>
    <w:rsid w:val="009050B7"/>
    <w:rsid w:val="009061B8"/>
    <w:rsid w:val="00914683"/>
    <w:rsid w:val="00915CD5"/>
    <w:rsid w:val="00916093"/>
    <w:rsid w:val="009160E3"/>
    <w:rsid w:val="0091639C"/>
    <w:rsid w:val="00917D19"/>
    <w:rsid w:val="009255FA"/>
    <w:rsid w:val="009262E4"/>
    <w:rsid w:val="00927D4E"/>
    <w:rsid w:val="00930D2A"/>
    <w:rsid w:val="00931B84"/>
    <w:rsid w:val="00932E7E"/>
    <w:rsid w:val="0093442D"/>
    <w:rsid w:val="00934CD2"/>
    <w:rsid w:val="009375E5"/>
    <w:rsid w:val="009437F2"/>
    <w:rsid w:val="009442E8"/>
    <w:rsid w:val="00951666"/>
    <w:rsid w:val="00952524"/>
    <w:rsid w:val="0095426C"/>
    <w:rsid w:val="00956BF5"/>
    <w:rsid w:val="00957CC8"/>
    <w:rsid w:val="00961453"/>
    <w:rsid w:val="00964166"/>
    <w:rsid w:val="0096475C"/>
    <w:rsid w:val="0096546E"/>
    <w:rsid w:val="0096562A"/>
    <w:rsid w:val="00965865"/>
    <w:rsid w:val="00967730"/>
    <w:rsid w:val="00970E50"/>
    <w:rsid w:val="00971074"/>
    <w:rsid w:val="009747AA"/>
    <w:rsid w:val="00974BCB"/>
    <w:rsid w:val="00983599"/>
    <w:rsid w:val="00985B04"/>
    <w:rsid w:val="00992986"/>
    <w:rsid w:val="00994B55"/>
    <w:rsid w:val="00995D86"/>
    <w:rsid w:val="009A1F6B"/>
    <w:rsid w:val="009A2DD8"/>
    <w:rsid w:val="009A30DE"/>
    <w:rsid w:val="009A5453"/>
    <w:rsid w:val="009A7883"/>
    <w:rsid w:val="009B308D"/>
    <w:rsid w:val="009B4FFB"/>
    <w:rsid w:val="009B7489"/>
    <w:rsid w:val="009C07C9"/>
    <w:rsid w:val="009C08D7"/>
    <w:rsid w:val="009C4E0D"/>
    <w:rsid w:val="009C503B"/>
    <w:rsid w:val="009D3E06"/>
    <w:rsid w:val="009D638D"/>
    <w:rsid w:val="009E1CC8"/>
    <w:rsid w:val="009E4885"/>
    <w:rsid w:val="009E508B"/>
    <w:rsid w:val="009E514A"/>
    <w:rsid w:val="009F0A85"/>
    <w:rsid w:val="009F1B71"/>
    <w:rsid w:val="00A02FA8"/>
    <w:rsid w:val="00A03F74"/>
    <w:rsid w:val="00A07DB6"/>
    <w:rsid w:val="00A11406"/>
    <w:rsid w:val="00A1554D"/>
    <w:rsid w:val="00A172E0"/>
    <w:rsid w:val="00A221A3"/>
    <w:rsid w:val="00A223D5"/>
    <w:rsid w:val="00A23F41"/>
    <w:rsid w:val="00A25547"/>
    <w:rsid w:val="00A31E14"/>
    <w:rsid w:val="00A37B0C"/>
    <w:rsid w:val="00A37D1C"/>
    <w:rsid w:val="00A37FFE"/>
    <w:rsid w:val="00A41FEF"/>
    <w:rsid w:val="00A42476"/>
    <w:rsid w:val="00A46921"/>
    <w:rsid w:val="00A47249"/>
    <w:rsid w:val="00A513FD"/>
    <w:rsid w:val="00A52BC1"/>
    <w:rsid w:val="00A534A0"/>
    <w:rsid w:val="00A539AD"/>
    <w:rsid w:val="00A540B2"/>
    <w:rsid w:val="00A56819"/>
    <w:rsid w:val="00A6444F"/>
    <w:rsid w:val="00A652FF"/>
    <w:rsid w:val="00A714A3"/>
    <w:rsid w:val="00A75089"/>
    <w:rsid w:val="00A75EDC"/>
    <w:rsid w:val="00A80404"/>
    <w:rsid w:val="00A817A8"/>
    <w:rsid w:val="00A81E50"/>
    <w:rsid w:val="00A82DA0"/>
    <w:rsid w:val="00A83E49"/>
    <w:rsid w:val="00A841A6"/>
    <w:rsid w:val="00A84221"/>
    <w:rsid w:val="00A84B7A"/>
    <w:rsid w:val="00A902AD"/>
    <w:rsid w:val="00A9099E"/>
    <w:rsid w:val="00A91FB7"/>
    <w:rsid w:val="00A9298F"/>
    <w:rsid w:val="00A9301E"/>
    <w:rsid w:val="00AA180B"/>
    <w:rsid w:val="00AA3360"/>
    <w:rsid w:val="00AA6B93"/>
    <w:rsid w:val="00AB1984"/>
    <w:rsid w:val="00AB1CBB"/>
    <w:rsid w:val="00AB333E"/>
    <w:rsid w:val="00AB716D"/>
    <w:rsid w:val="00AC1AA3"/>
    <w:rsid w:val="00AC1F8E"/>
    <w:rsid w:val="00AC4CB3"/>
    <w:rsid w:val="00AC4D7C"/>
    <w:rsid w:val="00AC6EF2"/>
    <w:rsid w:val="00AC71A6"/>
    <w:rsid w:val="00AC742F"/>
    <w:rsid w:val="00AC774F"/>
    <w:rsid w:val="00AC780D"/>
    <w:rsid w:val="00AC787B"/>
    <w:rsid w:val="00AC7956"/>
    <w:rsid w:val="00AD1B79"/>
    <w:rsid w:val="00AD50F8"/>
    <w:rsid w:val="00AE78ED"/>
    <w:rsid w:val="00AF1117"/>
    <w:rsid w:val="00AF1555"/>
    <w:rsid w:val="00AF18BA"/>
    <w:rsid w:val="00AF228C"/>
    <w:rsid w:val="00AF2DB9"/>
    <w:rsid w:val="00AF3B55"/>
    <w:rsid w:val="00AF3D62"/>
    <w:rsid w:val="00AF7F7B"/>
    <w:rsid w:val="00B0104B"/>
    <w:rsid w:val="00B021E0"/>
    <w:rsid w:val="00B03A35"/>
    <w:rsid w:val="00B057B6"/>
    <w:rsid w:val="00B07F41"/>
    <w:rsid w:val="00B11C80"/>
    <w:rsid w:val="00B12DCA"/>
    <w:rsid w:val="00B13ECB"/>
    <w:rsid w:val="00B22870"/>
    <w:rsid w:val="00B24BA7"/>
    <w:rsid w:val="00B268D0"/>
    <w:rsid w:val="00B30448"/>
    <w:rsid w:val="00B31315"/>
    <w:rsid w:val="00B34D6A"/>
    <w:rsid w:val="00B40162"/>
    <w:rsid w:val="00B430F6"/>
    <w:rsid w:val="00B45528"/>
    <w:rsid w:val="00B478FA"/>
    <w:rsid w:val="00B50156"/>
    <w:rsid w:val="00B509AE"/>
    <w:rsid w:val="00B518AD"/>
    <w:rsid w:val="00B52D81"/>
    <w:rsid w:val="00B604BB"/>
    <w:rsid w:val="00B60A96"/>
    <w:rsid w:val="00B60DD7"/>
    <w:rsid w:val="00B60EB6"/>
    <w:rsid w:val="00B627FC"/>
    <w:rsid w:val="00B71607"/>
    <w:rsid w:val="00B76327"/>
    <w:rsid w:val="00B76C94"/>
    <w:rsid w:val="00B76D4E"/>
    <w:rsid w:val="00B771AA"/>
    <w:rsid w:val="00B772D0"/>
    <w:rsid w:val="00B83117"/>
    <w:rsid w:val="00B906F2"/>
    <w:rsid w:val="00B91B81"/>
    <w:rsid w:val="00B91FF0"/>
    <w:rsid w:val="00B92FFF"/>
    <w:rsid w:val="00B96799"/>
    <w:rsid w:val="00BA0166"/>
    <w:rsid w:val="00BA0584"/>
    <w:rsid w:val="00BA249D"/>
    <w:rsid w:val="00BA4D00"/>
    <w:rsid w:val="00BB33E9"/>
    <w:rsid w:val="00BB3BE4"/>
    <w:rsid w:val="00BB57D3"/>
    <w:rsid w:val="00BC077E"/>
    <w:rsid w:val="00BC7632"/>
    <w:rsid w:val="00BD23A5"/>
    <w:rsid w:val="00BD2AFC"/>
    <w:rsid w:val="00BD48A9"/>
    <w:rsid w:val="00BD658C"/>
    <w:rsid w:val="00BD7EC6"/>
    <w:rsid w:val="00BE0FF2"/>
    <w:rsid w:val="00BE2147"/>
    <w:rsid w:val="00BE3C67"/>
    <w:rsid w:val="00BE73FA"/>
    <w:rsid w:val="00BF0353"/>
    <w:rsid w:val="00BF2575"/>
    <w:rsid w:val="00BF3F0A"/>
    <w:rsid w:val="00BF4E35"/>
    <w:rsid w:val="00C00976"/>
    <w:rsid w:val="00C04E51"/>
    <w:rsid w:val="00C060B0"/>
    <w:rsid w:val="00C072F0"/>
    <w:rsid w:val="00C07344"/>
    <w:rsid w:val="00C11A79"/>
    <w:rsid w:val="00C13607"/>
    <w:rsid w:val="00C20754"/>
    <w:rsid w:val="00C22307"/>
    <w:rsid w:val="00C24908"/>
    <w:rsid w:val="00C2515F"/>
    <w:rsid w:val="00C26AEA"/>
    <w:rsid w:val="00C276EC"/>
    <w:rsid w:val="00C31AD4"/>
    <w:rsid w:val="00C31C63"/>
    <w:rsid w:val="00C32481"/>
    <w:rsid w:val="00C3394C"/>
    <w:rsid w:val="00C3516D"/>
    <w:rsid w:val="00C361A6"/>
    <w:rsid w:val="00C36E1A"/>
    <w:rsid w:val="00C371DF"/>
    <w:rsid w:val="00C37818"/>
    <w:rsid w:val="00C37EFC"/>
    <w:rsid w:val="00C37FF9"/>
    <w:rsid w:val="00C41B4A"/>
    <w:rsid w:val="00C42C11"/>
    <w:rsid w:val="00C43ADB"/>
    <w:rsid w:val="00C44B4C"/>
    <w:rsid w:val="00C45CCD"/>
    <w:rsid w:val="00C46734"/>
    <w:rsid w:val="00C5105D"/>
    <w:rsid w:val="00C511F0"/>
    <w:rsid w:val="00C51639"/>
    <w:rsid w:val="00C53220"/>
    <w:rsid w:val="00C53E9D"/>
    <w:rsid w:val="00C621A7"/>
    <w:rsid w:val="00C62D1B"/>
    <w:rsid w:val="00C638A6"/>
    <w:rsid w:val="00C647DF"/>
    <w:rsid w:val="00C71252"/>
    <w:rsid w:val="00C7277F"/>
    <w:rsid w:val="00C74930"/>
    <w:rsid w:val="00C754BD"/>
    <w:rsid w:val="00C769A9"/>
    <w:rsid w:val="00C82933"/>
    <w:rsid w:val="00C82BE2"/>
    <w:rsid w:val="00C91106"/>
    <w:rsid w:val="00C94A14"/>
    <w:rsid w:val="00CA007B"/>
    <w:rsid w:val="00CA0AA4"/>
    <w:rsid w:val="00CA1D4C"/>
    <w:rsid w:val="00CA3347"/>
    <w:rsid w:val="00CA6FDA"/>
    <w:rsid w:val="00CA77CF"/>
    <w:rsid w:val="00CA7B58"/>
    <w:rsid w:val="00CB3920"/>
    <w:rsid w:val="00CB6413"/>
    <w:rsid w:val="00CB696F"/>
    <w:rsid w:val="00CC299A"/>
    <w:rsid w:val="00CD1E9C"/>
    <w:rsid w:val="00CD2E70"/>
    <w:rsid w:val="00CD3D06"/>
    <w:rsid w:val="00CD4A09"/>
    <w:rsid w:val="00CD4C7B"/>
    <w:rsid w:val="00CD5397"/>
    <w:rsid w:val="00CD5E93"/>
    <w:rsid w:val="00CE37A3"/>
    <w:rsid w:val="00CE6B6F"/>
    <w:rsid w:val="00CE7033"/>
    <w:rsid w:val="00CE770A"/>
    <w:rsid w:val="00CF02A6"/>
    <w:rsid w:val="00CF06CF"/>
    <w:rsid w:val="00CF2DC1"/>
    <w:rsid w:val="00CF2EE2"/>
    <w:rsid w:val="00CF3ACF"/>
    <w:rsid w:val="00CF441D"/>
    <w:rsid w:val="00CF4FCF"/>
    <w:rsid w:val="00CF4FDC"/>
    <w:rsid w:val="00CF56AF"/>
    <w:rsid w:val="00CF61CB"/>
    <w:rsid w:val="00D01F5D"/>
    <w:rsid w:val="00D03DBE"/>
    <w:rsid w:val="00D11A69"/>
    <w:rsid w:val="00D1484F"/>
    <w:rsid w:val="00D1707A"/>
    <w:rsid w:val="00D21435"/>
    <w:rsid w:val="00D2242C"/>
    <w:rsid w:val="00D258EB"/>
    <w:rsid w:val="00D271CD"/>
    <w:rsid w:val="00D327A3"/>
    <w:rsid w:val="00D34C82"/>
    <w:rsid w:val="00D36550"/>
    <w:rsid w:val="00D379EC"/>
    <w:rsid w:val="00D41F6B"/>
    <w:rsid w:val="00D4348D"/>
    <w:rsid w:val="00D44E42"/>
    <w:rsid w:val="00D44FC3"/>
    <w:rsid w:val="00D50961"/>
    <w:rsid w:val="00D50A02"/>
    <w:rsid w:val="00D512A1"/>
    <w:rsid w:val="00D538D5"/>
    <w:rsid w:val="00D559B5"/>
    <w:rsid w:val="00D56420"/>
    <w:rsid w:val="00D56C0C"/>
    <w:rsid w:val="00D5798B"/>
    <w:rsid w:val="00D63632"/>
    <w:rsid w:val="00D658EC"/>
    <w:rsid w:val="00D71733"/>
    <w:rsid w:val="00D718AC"/>
    <w:rsid w:val="00D74219"/>
    <w:rsid w:val="00D75E82"/>
    <w:rsid w:val="00D769C5"/>
    <w:rsid w:val="00D76E76"/>
    <w:rsid w:val="00D818EC"/>
    <w:rsid w:val="00D81A20"/>
    <w:rsid w:val="00D81F55"/>
    <w:rsid w:val="00D8321A"/>
    <w:rsid w:val="00D86D55"/>
    <w:rsid w:val="00D8789C"/>
    <w:rsid w:val="00D90558"/>
    <w:rsid w:val="00D914EB"/>
    <w:rsid w:val="00D94085"/>
    <w:rsid w:val="00DA1806"/>
    <w:rsid w:val="00DA73C1"/>
    <w:rsid w:val="00DC0445"/>
    <w:rsid w:val="00DC2C48"/>
    <w:rsid w:val="00DC46B5"/>
    <w:rsid w:val="00DC525E"/>
    <w:rsid w:val="00DC535C"/>
    <w:rsid w:val="00DC5DCB"/>
    <w:rsid w:val="00DD34F2"/>
    <w:rsid w:val="00DD3C6B"/>
    <w:rsid w:val="00DD7631"/>
    <w:rsid w:val="00DD781E"/>
    <w:rsid w:val="00DD7A2C"/>
    <w:rsid w:val="00DE1238"/>
    <w:rsid w:val="00DE32E7"/>
    <w:rsid w:val="00DE3BB8"/>
    <w:rsid w:val="00DE5117"/>
    <w:rsid w:val="00DE5648"/>
    <w:rsid w:val="00DE595E"/>
    <w:rsid w:val="00DE70B5"/>
    <w:rsid w:val="00DE7113"/>
    <w:rsid w:val="00DF1981"/>
    <w:rsid w:val="00DF2EA5"/>
    <w:rsid w:val="00DF310B"/>
    <w:rsid w:val="00DF3E47"/>
    <w:rsid w:val="00DF764C"/>
    <w:rsid w:val="00E04ECF"/>
    <w:rsid w:val="00E067C4"/>
    <w:rsid w:val="00E126B2"/>
    <w:rsid w:val="00E127E3"/>
    <w:rsid w:val="00E14818"/>
    <w:rsid w:val="00E1610C"/>
    <w:rsid w:val="00E16660"/>
    <w:rsid w:val="00E16C78"/>
    <w:rsid w:val="00E16D73"/>
    <w:rsid w:val="00E17833"/>
    <w:rsid w:val="00E17CD2"/>
    <w:rsid w:val="00E206D8"/>
    <w:rsid w:val="00E2352B"/>
    <w:rsid w:val="00E26649"/>
    <w:rsid w:val="00E27F0A"/>
    <w:rsid w:val="00E352C3"/>
    <w:rsid w:val="00E37DC0"/>
    <w:rsid w:val="00E37EC6"/>
    <w:rsid w:val="00E40432"/>
    <w:rsid w:val="00E40D52"/>
    <w:rsid w:val="00E4231E"/>
    <w:rsid w:val="00E44AC7"/>
    <w:rsid w:val="00E5084C"/>
    <w:rsid w:val="00E53F2E"/>
    <w:rsid w:val="00E54BB9"/>
    <w:rsid w:val="00E55F1F"/>
    <w:rsid w:val="00E60423"/>
    <w:rsid w:val="00E607E5"/>
    <w:rsid w:val="00E60A16"/>
    <w:rsid w:val="00E637A3"/>
    <w:rsid w:val="00E66BA2"/>
    <w:rsid w:val="00E677DB"/>
    <w:rsid w:val="00E72BB6"/>
    <w:rsid w:val="00E778DC"/>
    <w:rsid w:val="00E80D00"/>
    <w:rsid w:val="00E815CE"/>
    <w:rsid w:val="00E81611"/>
    <w:rsid w:val="00E81800"/>
    <w:rsid w:val="00E81863"/>
    <w:rsid w:val="00E81C5C"/>
    <w:rsid w:val="00E82B6E"/>
    <w:rsid w:val="00E835C5"/>
    <w:rsid w:val="00E84D1C"/>
    <w:rsid w:val="00E8628F"/>
    <w:rsid w:val="00E942B8"/>
    <w:rsid w:val="00E945AF"/>
    <w:rsid w:val="00E94A0B"/>
    <w:rsid w:val="00E94A2C"/>
    <w:rsid w:val="00E95799"/>
    <w:rsid w:val="00E9683D"/>
    <w:rsid w:val="00EA010D"/>
    <w:rsid w:val="00EA25EB"/>
    <w:rsid w:val="00EA2775"/>
    <w:rsid w:val="00EA612E"/>
    <w:rsid w:val="00EA761C"/>
    <w:rsid w:val="00EA7D7F"/>
    <w:rsid w:val="00EB0B5F"/>
    <w:rsid w:val="00EB2FA2"/>
    <w:rsid w:val="00EB769A"/>
    <w:rsid w:val="00EC11E4"/>
    <w:rsid w:val="00EC14E1"/>
    <w:rsid w:val="00EC3A35"/>
    <w:rsid w:val="00EC3E69"/>
    <w:rsid w:val="00EC5554"/>
    <w:rsid w:val="00ED353D"/>
    <w:rsid w:val="00ED588C"/>
    <w:rsid w:val="00ED5BF4"/>
    <w:rsid w:val="00EE1062"/>
    <w:rsid w:val="00EE17F2"/>
    <w:rsid w:val="00EE188A"/>
    <w:rsid w:val="00EE1B01"/>
    <w:rsid w:val="00EE2746"/>
    <w:rsid w:val="00EE6755"/>
    <w:rsid w:val="00EF2AC7"/>
    <w:rsid w:val="00EF493F"/>
    <w:rsid w:val="00F02C54"/>
    <w:rsid w:val="00F0448C"/>
    <w:rsid w:val="00F1601A"/>
    <w:rsid w:val="00F1675C"/>
    <w:rsid w:val="00F17428"/>
    <w:rsid w:val="00F20046"/>
    <w:rsid w:val="00F20D22"/>
    <w:rsid w:val="00F27F06"/>
    <w:rsid w:val="00F314E8"/>
    <w:rsid w:val="00F316A2"/>
    <w:rsid w:val="00F323A2"/>
    <w:rsid w:val="00F33B57"/>
    <w:rsid w:val="00F33D5C"/>
    <w:rsid w:val="00F356D6"/>
    <w:rsid w:val="00F37D37"/>
    <w:rsid w:val="00F400E3"/>
    <w:rsid w:val="00F454A2"/>
    <w:rsid w:val="00F45E89"/>
    <w:rsid w:val="00F47845"/>
    <w:rsid w:val="00F47B6C"/>
    <w:rsid w:val="00F50675"/>
    <w:rsid w:val="00F50BD6"/>
    <w:rsid w:val="00F50E16"/>
    <w:rsid w:val="00F51520"/>
    <w:rsid w:val="00F53151"/>
    <w:rsid w:val="00F535A9"/>
    <w:rsid w:val="00F567A4"/>
    <w:rsid w:val="00F625F7"/>
    <w:rsid w:val="00F64D5A"/>
    <w:rsid w:val="00F65EC9"/>
    <w:rsid w:val="00F66CB1"/>
    <w:rsid w:val="00F710A9"/>
    <w:rsid w:val="00F72FB0"/>
    <w:rsid w:val="00F73423"/>
    <w:rsid w:val="00F737A4"/>
    <w:rsid w:val="00F75481"/>
    <w:rsid w:val="00F76A4C"/>
    <w:rsid w:val="00F82E2E"/>
    <w:rsid w:val="00F8389A"/>
    <w:rsid w:val="00F843D4"/>
    <w:rsid w:val="00F8516E"/>
    <w:rsid w:val="00F85B7C"/>
    <w:rsid w:val="00F90613"/>
    <w:rsid w:val="00F906F4"/>
    <w:rsid w:val="00F915F3"/>
    <w:rsid w:val="00F91800"/>
    <w:rsid w:val="00F91853"/>
    <w:rsid w:val="00F9208E"/>
    <w:rsid w:val="00F95CCE"/>
    <w:rsid w:val="00F9692D"/>
    <w:rsid w:val="00F97D7B"/>
    <w:rsid w:val="00FA0F71"/>
    <w:rsid w:val="00FA3A97"/>
    <w:rsid w:val="00FA3AEA"/>
    <w:rsid w:val="00FA4219"/>
    <w:rsid w:val="00FA48C7"/>
    <w:rsid w:val="00FA54FF"/>
    <w:rsid w:val="00FA70F5"/>
    <w:rsid w:val="00FB005D"/>
    <w:rsid w:val="00FB4629"/>
    <w:rsid w:val="00FB5FC4"/>
    <w:rsid w:val="00FB6A07"/>
    <w:rsid w:val="00FB6FB1"/>
    <w:rsid w:val="00FC6D4E"/>
    <w:rsid w:val="00FC736F"/>
    <w:rsid w:val="00FD39CF"/>
    <w:rsid w:val="00FE2121"/>
    <w:rsid w:val="00FE4B6F"/>
    <w:rsid w:val="00FF0D6F"/>
    <w:rsid w:val="00FF1646"/>
    <w:rsid w:val="00FF1712"/>
    <w:rsid w:val="00FF69C8"/>
    <w:rsid w:val="00FF6D3D"/>
    <w:rsid w:val="024D7E2C"/>
    <w:rsid w:val="0D2EB883"/>
    <w:rsid w:val="0D8163B6"/>
    <w:rsid w:val="1BB32F19"/>
    <w:rsid w:val="1F2C3AF5"/>
    <w:rsid w:val="1FF4886A"/>
    <w:rsid w:val="22D2584A"/>
    <w:rsid w:val="28751A95"/>
    <w:rsid w:val="29FA8189"/>
    <w:rsid w:val="2C00A012"/>
    <w:rsid w:val="389994B3"/>
    <w:rsid w:val="3B30A011"/>
    <w:rsid w:val="3B93C128"/>
    <w:rsid w:val="3CFBE104"/>
    <w:rsid w:val="467F9A7B"/>
    <w:rsid w:val="510454D8"/>
    <w:rsid w:val="5395A1E2"/>
    <w:rsid w:val="5D8505AD"/>
    <w:rsid w:val="6F81B597"/>
    <w:rsid w:val="71443FBB"/>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7E5"/>
  </w:style>
  <w:style w:type="paragraph" w:styleId="Ttulo1">
    <w:name w:val="heading 1"/>
    <w:basedOn w:val="Normal"/>
    <w:link w:val="Ttulo1Car"/>
    <w:uiPriority w:val="9"/>
    <w:qFormat/>
    <w:rsid w:val="00CD2E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84D1C"/>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84D1C"/>
    <w:rPr>
      <w:sz w:val="24"/>
      <w:lang w:val="es-MX"/>
    </w:rPr>
  </w:style>
  <w:style w:type="character" w:customStyle="1" w:styleId="Ttulo1Car">
    <w:name w:val="Título 1 Car"/>
    <w:basedOn w:val="Fuentedeprrafopredeter"/>
    <w:link w:val="Ttulo1"/>
    <w:uiPriority w:val="9"/>
    <w:rsid w:val="00CD2E70"/>
    <w:rPr>
      <w:rFonts w:ascii="Times New Roman" w:eastAsia="Times New Roman" w:hAnsi="Times New Roman" w:cs="Times New Roman"/>
      <w:b/>
      <w:bCs/>
      <w:kern w:val="36"/>
      <w:sz w:val="48"/>
      <w:szCs w:val="48"/>
      <w:lang w:eastAsia="es-ES_tradnl"/>
    </w:rPr>
  </w:style>
  <w:style w:type="paragraph" w:customStyle="1" w:styleId="paragraph">
    <w:name w:val="paragraph"/>
    <w:basedOn w:val="Normal"/>
    <w:rsid w:val="00CD2E7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3651AC"/>
  </w:style>
  <w:style w:type="paragraph" w:styleId="NormalWeb">
    <w:name w:val="Normal (Web)"/>
    <w:basedOn w:val="Normal"/>
    <w:uiPriority w:val="99"/>
    <w:unhideWhenUsed/>
    <w:rsid w:val="00FB5FC4"/>
    <w:rPr>
      <w:rFonts w:ascii="Times New Roman" w:hAnsi="Times New Roman" w:cs="Times New Roman"/>
      <w:sz w:val="24"/>
      <w:szCs w:val="24"/>
    </w:rPr>
  </w:style>
  <w:style w:type="character" w:customStyle="1" w:styleId="Hipervnculo1">
    <w:name w:val="Hipervínculo1"/>
    <w:basedOn w:val="Fuentedeprrafopredeter"/>
    <w:uiPriority w:val="99"/>
    <w:unhideWhenUsed/>
    <w:rsid w:val="00FB5FC4"/>
    <w:rPr>
      <w:color w:val="F2F2F2"/>
      <w:u w:val="single"/>
    </w:rPr>
  </w:style>
  <w:style w:type="character" w:styleId="Textoennegrita">
    <w:name w:val="Strong"/>
    <w:basedOn w:val="Fuentedeprrafopredeter"/>
    <w:uiPriority w:val="22"/>
    <w:qFormat/>
    <w:rsid w:val="00FB5FC4"/>
    <w:rPr>
      <w:b/>
      <w:bCs/>
    </w:rPr>
  </w:style>
  <w:style w:type="character" w:styleId="nfasis">
    <w:name w:val="Emphasis"/>
    <w:basedOn w:val="Fuentedeprrafopredeter"/>
    <w:uiPriority w:val="20"/>
    <w:qFormat/>
    <w:rsid w:val="00FB5FC4"/>
    <w:rPr>
      <w:i/>
      <w:iCs/>
    </w:rPr>
  </w:style>
  <w:style w:type="paragraph" w:customStyle="1" w:styleId="Textoindependiente21">
    <w:name w:val="Texto independiente 21"/>
    <w:basedOn w:val="Normal"/>
    <w:rsid w:val="007A6528"/>
    <w:pPr>
      <w:overflowPunct w:val="0"/>
      <w:autoSpaceDE w:val="0"/>
      <w:autoSpaceDN w:val="0"/>
      <w:adjustRightInd w:val="0"/>
      <w:spacing w:after="0" w:line="360" w:lineRule="auto"/>
      <w:ind w:firstLine="710"/>
      <w:jc w:val="both"/>
      <w:textAlignment w:val="baseline"/>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002D5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002D55"/>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83863">
      <w:bodyDiv w:val="1"/>
      <w:marLeft w:val="0"/>
      <w:marRight w:val="0"/>
      <w:marTop w:val="0"/>
      <w:marBottom w:val="0"/>
      <w:divBdr>
        <w:top w:val="none" w:sz="0" w:space="0" w:color="auto"/>
        <w:left w:val="none" w:sz="0" w:space="0" w:color="auto"/>
        <w:bottom w:val="none" w:sz="0" w:space="0" w:color="auto"/>
        <w:right w:val="none" w:sz="0" w:space="0" w:color="auto"/>
      </w:divBdr>
    </w:div>
    <w:div w:id="337804836">
      <w:bodyDiv w:val="1"/>
      <w:marLeft w:val="0"/>
      <w:marRight w:val="0"/>
      <w:marTop w:val="0"/>
      <w:marBottom w:val="0"/>
      <w:divBdr>
        <w:top w:val="none" w:sz="0" w:space="0" w:color="auto"/>
        <w:left w:val="none" w:sz="0" w:space="0" w:color="auto"/>
        <w:bottom w:val="none" w:sz="0" w:space="0" w:color="auto"/>
        <w:right w:val="none" w:sz="0" w:space="0" w:color="auto"/>
      </w:divBdr>
    </w:div>
    <w:div w:id="905454849">
      <w:bodyDiv w:val="1"/>
      <w:marLeft w:val="0"/>
      <w:marRight w:val="0"/>
      <w:marTop w:val="0"/>
      <w:marBottom w:val="0"/>
      <w:divBdr>
        <w:top w:val="none" w:sz="0" w:space="0" w:color="auto"/>
        <w:left w:val="none" w:sz="0" w:space="0" w:color="auto"/>
        <w:bottom w:val="none" w:sz="0" w:space="0" w:color="auto"/>
        <w:right w:val="none" w:sz="0" w:space="0" w:color="auto"/>
      </w:divBdr>
      <w:divsChild>
        <w:div w:id="591283175">
          <w:marLeft w:val="0"/>
          <w:marRight w:val="0"/>
          <w:marTop w:val="0"/>
          <w:marBottom w:val="160"/>
          <w:divBdr>
            <w:top w:val="none" w:sz="0" w:space="0" w:color="auto"/>
            <w:left w:val="none" w:sz="0" w:space="0" w:color="auto"/>
            <w:bottom w:val="none" w:sz="0" w:space="0" w:color="auto"/>
            <w:right w:val="none" w:sz="0" w:space="0" w:color="auto"/>
          </w:divBdr>
        </w:div>
        <w:div w:id="2145074026">
          <w:marLeft w:val="0"/>
          <w:marRight w:val="0"/>
          <w:marTop w:val="0"/>
          <w:marBottom w:val="160"/>
          <w:divBdr>
            <w:top w:val="none" w:sz="0" w:space="0" w:color="auto"/>
            <w:left w:val="none" w:sz="0" w:space="0" w:color="auto"/>
            <w:bottom w:val="none" w:sz="0" w:space="0" w:color="auto"/>
            <w:right w:val="none" w:sz="0" w:space="0" w:color="auto"/>
          </w:divBdr>
        </w:div>
        <w:div w:id="1578511561">
          <w:marLeft w:val="0"/>
          <w:marRight w:val="0"/>
          <w:marTop w:val="0"/>
          <w:marBottom w:val="160"/>
          <w:divBdr>
            <w:top w:val="none" w:sz="0" w:space="0" w:color="auto"/>
            <w:left w:val="none" w:sz="0" w:space="0" w:color="auto"/>
            <w:bottom w:val="none" w:sz="0" w:space="0" w:color="auto"/>
            <w:right w:val="none" w:sz="0" w:space="0" w:color="auto"/>
          </w:divBdr>
        </w:div>
      </w:divsChild>
    </w:div>
    <w:div w:id="1153371148">
      <w:bodyDiv w:val="1"/>
      <w:marLeft w:val="0"/>
      <w:marRight w:val="0"/>
      <w:marTop w:val="0"/>
      <w:marBottom w:val="0"/>
      <w:divBdr>
        <w:top w:val="none" w:sz="0" w:space="0" w:color="auto"/>
        <w:left w:val="none" w:sz="0" w:space="0" w:color="auto"/>
        <w:bottom w:val="none" w:sz="0" w:space="0" w:color="auto"/>
        <w:right w:val="none" w:sz="0" w:space="0" w:color="auto"/>
      </w:divBdr>
      <w:divsChild>
        <w:div w:id="578834935">
          <w:marLeft w:val="0"/>
          <w:marRight w:val="0"/>
          <w:marTop w:val="0"/>
          <w:marBottom w:val="160"/>
          <w:divBdr>
            <w:top w:val="none" w:sz="0" w:space="0" w:color="auto"/>
            <w:left w:val="none" w:sz="0" w:space="0" w:color="auto"/>
            <w:bottom w:val="none" w:sz="0" w:space="0" w:color="auto"/>
            <w:right w:val="none" w:sz="0" w:space="0" w:color="auto"/>
          </w:divBdr>
        </w:div>
        <w:div w:id="86193346">
          <w:marLeft w:val="0"/>
          <w:marRight w:val="0"/>
          <w:marTop w:val="0"/>
          <w:marBottom w:val="160"/>
          <w:divBdr>
            <w:top w:val="none" w:sz="0" w:space="0" w:color="auto"/>
            <w:left w:val="none" w:sz="0" w:space="0" w:color="auto"/>
            <w:bottom w:val="none" w:sz="0" w:space="0" w:color="auto"/>
            <w:right w:val="none" w:sz="0" w:space="0" w:color="auto"/>
          </w:divBdr>
        </w:div>
        <w:div w:id="185557124">
          <w:marLeft w:val="0"/>
          <w:marRight w:val="0"/>
          <w:marTop w:val="0"/>
          <w:marBottom w:val="160"/>
          <w:divBdr>
            <w:top w:val="none" w:sz="0" w:space="0" w:color="auto"/>
            <w:left w:val="none" w:sz="0" w:space="0" w:color="auto"/>
            <w:bottom w:val="none" w:sz="0" w:space="0" w:color="auto"/>
            <w:right w:val="none" w:sz="0" w:space="0" w:color="auto"/>
          </w:divBdr>
        </w:div>
      </w:divsChild>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498619727">
      <w:bodyDiv w:val="1"/>
      <w:marLeft w:val="0"/>
      <w:marRight w:val="0"/>
      <w:marTop w:val="0"/>
      <w:marBottom w:val="0"/>
      <w:divBdr>
        <w:top w:val="none" w:sz="0" w:space="0" w:color="auto"/>
        <w:left w:val="none" w:sz="0" w:space="0" w:color="auto"/>
        <w:bottom w:val="none" w:sz="0" w:space="0" w:color="auto"/>
        <w:right w:val="none" w:sz="0" w:space="0" w:color="auto"/>
      </w:divBdr>
      <w:divsChild>
        <w:div w:id="797839195">
          <w:marLeft w:val="0"/>
          <w:marRight w:val="0"/>
          <w:marTop w:val="0"/>
          <w:marBottom w:val="160"/>
          <w:divBdr>
            <w:top w:val="none" w:sz="0" w:space="0" w:color="auto"/>
            <w:left w:val="none" w:sz="0" w:space="0" w:color="auto"/>
            <w:bottom w:val="none" w:sz="0" w:space="0" w:color="auto"/>
            <w:right w:val="none" w:sz="0" w:space="0" w:color="auto"/>
          </w:divBdr>
        </w:div>
        <w:div w:id="560681091">
          <w:marLeft w:val="0"/>
          <w:marRight w:val="0"/>
          <w:marTop w:val="0"/>
          <w:marBottom w:val="160"/>
          <w:divBdr>
            <w:top w:val="none" w:sz="0" w:space="0" w:color="auto"/>
            <w:left w:val="none" w:sz="0" w:space="0" w:color="auto"/>
            <w:bottom w:val="none" w:sz="0" w:space="0" w:color="auto"/>
            <w:right w:val="none" w:sz="0" w:space="0" w:color="auto"/>
          </w:divBdr>
        </w:div>
        <w:div w:id="1153833297">
          <w:marLeft w:val="0"/>
          <w:marRight w:val="0"/>
          <w:marTop w:val="0"/>
          <w:marBottom w:val="160"/>
          <w:divBdr>
            <w:top w:val="none" w:sz="0" w:space="0" w:color="auto"/>
            <w:left w:val="none" w:sz="0" w:space="0" w:color="auto"/>
            <w:bottom w:val="none" w:sz="0" w:space="0" w:color="auto"/>
            <w:right w:val="none" w:sz="0" w:space="0" w:color="auto"/>
          </w:divBdr>
        </w:div>
      </w:divsChild>
    </w:div>
    <w:div w:id="1568610026">
      <w:bodyDiv w:val="1"/>
      <w:marLeft w:val="0"/>
      <w:marRight w:val="0"/>
      <w:marTop w:val="0"/>
      <w:marBottom w:val="0"/>
      <w:divBdr>
        <w:top w:val="none" w:sz="0" w:space="0" w:color="auto"/>
        <w:left w:val="none" w:sz="0" w:space="0" w:color="auto"/>
        <w:bottom w:val="none" w:sz="0" w:space="0" w:color="auto"/>
        <w:right w:val="none" w:sz="0" w:space="0" w:color="auto"/>
      </w:divBdr>
    </w:div>
    <w:div w:id="1606376211">
      <w:bodyDiv w:val="1"/>
      <w:marLeft w:val="0"/>
      <w:marRight w:val="0"/>
      <w:marTop w:val="0"/>
      <w:marBottom w:val="0"/>
      <w:divBdr>
        <w:top w:val="none" w:sz="0" w:space="0" w:color="auto"/>
        <w:left w:val="none" w:sz="0" w:space="0" w:color="auto"/>
        <w:bottom w:val="none" w:sz="0" w:space="0" w:color="auto"/>
        <w:right w:val="none" w:sz="0" w:space="0" w:color="auto"/>
      </w:divBdr>
      <w:divsChild>
        <w:div w:id="729840230">
          <w:marLeft w:val="0"/>
          <w:marRight w:val="0"/>
          <w:marTop w:val="0"/>
          <w:marBottom w:val="160"/>
          <w:divBdr>
            <w:top w:val="none" w:sz="0" w:space="0" w:color="auto"/>
            <w:left w:val="none" w:sz="0" w:space="0" w:color="auto"/>
            <w:bottom w:val="none" w:sz="0" w:space="0" w:color="auto"/>
            <w:right w:val="none" w:sz="0" w:space="0" w:color="auto"/>
          </w:divBdr>
        </w:div>
        <w:div w:id="1459761652">
          <w:marLeft w:val="0"/>
          <w:marRight w:val="0"/>
          <w:marTop w:val="0"/>
          <w:marBottom w:val="160"/>
          <w:divBdr>
            <w:top w:val="none" w:sz="0" w:space="0" w:color="auto"/>
            <w:left w:val="none" w:sz="0" w:space="0" w:color="auto"/>
            <w:bottom w:val="none" w:sz="0" w:space="0" w:color="auto"/>
            <w:right w:val="none" w:sz="0" w:space="0" w:color="auto"/>
          </w:divBdr>
        </w:div>
        <w:div w:id="2021463511">
          <w:marLeft w:val="0"/>
          <w:marRight w:val="0"/>
          <w:marTop w:val="0"/>
          <w:marBottom w:val="160"/>
          <w:divBdr>
            <w:top w:val="none" w:sz="0" w:space="0" w:color="auto"/>
            <w:left w:val="none" w:sz="0" w:space="0" w:color="auto"/>
            <w:bottom w:val="none" w:sz="0" w:space="0" w:color="auto"/>
            <w:right w:val="none" w:sz="0" w:space="0" w:color="auto"/>
          </w:divBdr>
        </w:div>
      </w:divsChild>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669096844">
      <w:bodyDiv w:val="1"/>
      <w:marLeft w:val="0"/>
      <w:marRight w:val="0"/>
      <w:marTop w:val="0"/>
      <w:marBottom w:val="0"/>
      <w:divBdr>
        <w:top w:val="none" w:sz="0" w:space="0" w:color="auto"/>
        <w:left w:val="none" w:sz="0" w:space="0" w:color="auto"/>
        <w:bottom w:val="none" w:sz="0" w:space="0" w:color="auto"/>
        <w:right w:val="none" w:sz="0" w:space="0" w:color="auto"/>
      </w:divBdr>
      <w:divsChild>
        <w:div w:id="518936356">
          <w:marLeft w:val="0"/>
          <w:marRight w:val="0"/>
          <w:marTop w:val="0"/>
          <w:marBottom w:val="160"/>
          <w:divBdr>
            <w:top w:val="none" w:sz="0" w:space="0" w:color="auto"/>
            <w:left w:val="none" w:sz="0" w:space="0" w:color="auto"/>
            <w:bottom w:val="none" w:sz="0" w:space="0" w:color="auto"/>
            <w:right w:val="none" w:sz="0" w:space="0" w:color="auto"/>
          </w:divBdr>
        </w:div>
        <w:div w:id="528104072">
          <w:marLeft w:val="0"/>
          <w:marRight w:val="0"/>
          <w:marTop w:val="0"/>
          <w:marBottom w:val="160"/>
          <w:divBdr>
            <w:top w:val="none" w:sz="0" w:space="0" w:color="auto"/>
            <w:left w:val="none" w:sz="0" w:space="0" w:color="auto"/>
            <w:bottom w:val="none" w:sz="0" w:space="0" w:color="auto"/>
            <w:right w:val="none" w:sz="0" w:space="0" w:color="auto"/>
          </w:divBdr>
        </w:div>
        <w:div w:id="273513336">
          <w:marLeft w:val="0"/>
          <w:marRight w:val="0"/>
          <w:marTop w:val="0"/>
          <w:marBottom w:val="160"/>
          <w:divBdr>
            <w:top w:val="none" w:sz="0" w:space="0" w:color="auto"/>
            <w:left w:val="none" w:sz="0" w:space="0" w:color="auto"/>
            <w:bottom w:val="none" w:sz="0" w:space="0" w:color="auto"/>
            <w:right w:val="none" w:sz="0" w:space="0" w:color="auto"/>
          </w:divBdr>
        </w:div>
      </w:divsChild>
    </w:div>
    <w:div w:id="1695689083">
      <w:bodyDiv w:val="1"/>
      <w:marLeft w:val="0"/>
      <w:marRight w:val="0"/>
      <w:marTop w:val="0"/>
      <w:marBottom w:val="0"/>
      <w:divBdr>
        <w:top w:val="none" w:sz="0" w:space="0" w:color="auto"/>
        <w:left w:val="none" w:sz="0" w:space="0" w:color="auto"/>
        <w:bottom w:val="none" w:sz="0" w:space="0" w:color="auto"/>
        <w:right w:val="none" w:sz="0" w:space="0" w:color="auto"/>
      </w:divBdr>
    </w:div>
    <w:div w:id="1761637096">
      <w:bodyDiv w:val="1"/>
      <w:marLeft w:val="0"/>
      <w:marRight w:val="0"/>
      <w:marTop w:val="0"/>
      <w:marBottom w:val="0"/>
      <w:divBdr>
        <w:top w:val="none" w:sz="0" w:space="0" w:color="auto"/>
        <w:left w:val="none" w:sz="0" w:space="0" w:color="auto"/>
        <w:bottom w:val="none" w:sz="0" w:space="0" w:color="auto"/>
        <w:right w:val="none" w:sz="0" w:space="0" w:color="auto"/>
      </w:divBdr>
      <w:divsChild>
        <w:div w:id="423385161">
          <w:marLeft w:val="0"/>
          <w:marRight w:val="0"/>
          <w:marTop w:val="0"/>
          <w:marBottom w:val="160"/>
          <w:divBdr>
            <w:top w:val="none" w:sz="0" w:space="0" w:color="auto"/>
            <w:left w:val="none" w:sz="0" w:space="0" w:color="auto"/>
            <w:bottom w:val="none" w:sz="0" w:space="0" w:color="auto"/>
            <w:right w:val="none" w:sz="0" w:space="0" w:color="auto"/>
          </w:divBdr>
        </w:div>
        <w:div w:id="2126801678">
          <w:marLeft w:val="0"/>
          <w:marRight w:val="0"/>
          <w:marTop w:val="0"/>
          <w:marBottom w:val="160"/>
          <w:divBdr>
            <w:top w:val="none" w:sz="0" w:space="0" w:color="auto"/>
            <w:left w:val="none" w:sz="0" w:space="0" w:color="auto"/>
            <w:bottom w:val="none" w:sz="0" w:space="0" w:color="auto"/>
            <w:right w:val="none" w:sz="0" w:space="0" w:color="auto"/>
          </w:divBdr>
        </w:div>
        <w:div w:id="827133892">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cop.gov.co/entidades/colombiacompra/Normativa?IDNorma=183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atoria.colombiacompra.gov.co/busqueda/concepto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ala-de-prensa%2Fboletin-digital&amp;data=05%7C02%7Ctatiana.baquero%40colombiacompra.gov.co%7C096eca3fdcca424ff1c708dcf932f947%7C7b09041e245149d08cb179d5e3d8c1be%7C0%7C0%7C638659244553532947%7CUnknown%7CTWFpbGZsb3d8eyJWIjoiMC4wLjAwMDAiLCJQIjoiV2luMzIiLCJBTiI6Ik1haWwiLCJXVCI6Mn0%3D%7C0%7C%7C%7C&amp;sdata=VfCfdu%2FNTKizYJ%2BTcSRg1Tea2hVJZb3yqJJaoilRkDk%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SharedWithUsers xmlns="a6cb9e4b-f1d1-4245-83ec-6cad768d538a">
      <UserInfo>
        <DisplayName>Alejandro Sarmiento</DisplayName>
        <AccountId>129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8AB61-4B8C-4292-AD00-5B9AA853C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8AE37-E1F3-4B08-98E9-52F0B3FA79CF}">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purl.org/dc/terms/"/>
    <ds:schemaRef ds:uri="a6cb9e4b-f1d1-4245-83ec-6cad768d538a"/>
    <ds:schemaRef ds:uri="9d85dbaf-23eb-4e57-a637-93dcacc8b1a1"/>
    <ds:schemaRef ds:uri="http://www.w3.org/XML/1998/namespace"/>
  </ds:schemaRefs>
</ds:datastoreItem>
</file>

<file path=customXml/itemProps3.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4.xml><?xml version="1.0" encoding="utf-8"?>
<ds:datastoreItem xmlns:ds="http://schemas.openxmlformats.org/officeDocument/2006/customXml" ds:itemID="{62C4759E-052B-4CF8-AA61-6E1FF6AF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4167</Words>
  <Characters>22924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27037</CharactersWithSpaces>
  <SharedDoc>false</SharedDoc>
  <HLinks>
    <vt:vector size="48" baseType="variant">
      <vt:variant>
        <vt:i4>5439494</vt:i4>
      </vt:variant>
      <vt:variant>
        <vt:i4>15</vt:i4>
      </vt:variant>
      <vt:variant>
        <vt:i4>0</vt:i4>
      </vt:variant>
      <vt:variant>
        <vt:i4>5</vt:i4>
      </vt:variant>
      <vt:variant>
        <vt:lpwstr>https://www.colombiacompra.gov.co/sala-de-prensa/boletin-digital</vt:lpwstr>
      </vt:variant>
      <vt:variant>
        <vt:lpwstr/>
      </vt:variant>
      <vt:variant>
        <vt:i4>7471218</vt:i4>
      </vt:variant>
      <vt:variant>
        <vt:i4>12</vt:i4>
      </vt:variant>
      <vt:variant>
        <vt:i4>0</vt:i4>
      </vt:variant>
      <vt:variant>
        <vt:i4>5</vt:i4>
      </vt:variant>
      <vt:variant>
        <vt:lpwstr>https://relatoria.colombiacompra.gov.co/busqueda/conceptos</vt:lpwstr>
      </vt:variant>
      <vt:variant>
        <vt:lpwstr/>
      </vt:variant>
      <vt:variant>
        <vt:i4>5111895</vt:i4>
      </vt:variant>
      <vt:variant>
        <vt:i4>9</vt:i4>
      </vt:variant>
      <vt:variant>
        <vt:i4>0</vt:i4>
      </vt:variant>
      <vt:variant>
        <vt:i4>5</vt:i4>
      </vt:variant>
      <vt:variant>
        <vt:lpwstr>https://www.colombiacompra.gov.co/manuales-guias-y-pliegos-tipo/manuales-y-guias</vt:lpwstr>
      </vt:variant>
      <vt:variant>
        <vt:lpwstr/>
      </vt:variant>
      <vt:variant>
        <vt:i4>3801145</vt:i4>
      </vt:variant>
      <vt:variant>
        <vt:i4>6</vt:i4>
      </vt:variant>
      <vt:variant>
        <vt:i4>0</vt:i4>
      </vt:variant>
      <vt:variant>
        <vt:i4>5</vt:i4>
      </vt:variant>
      <vt:variant>
        <vt:lpwstr>https://relatoria.colombiacompra.gov.co/providencias-consejo-de-estado/</vt:lpwstr>
      </vt:variant>
      <vt:variant>
        <vt:lpwstr/>
      </vt:variant>
      <vt:variant>
        <vt:i4>3145787</vt:i4>
      </vt:variant>
      <vt:variant>
        <vt:i4>3</vt:i4>
      </vt:variant>
      <vt:variant>
        <vt:i4>0</vt:i4>
      </vt:variant>
      <vt:variant>
        <vt:i4>5</vt:i4>
      </vt:variant>
      <vt:variant>
        <vt:lpwstr>https://www.colombiacompra.gov.co/content/04-documentos-tipo-de-licitacion-de-obra-publica-para-proyectos-de-infraestructura-social</vt:lpwstr>
      </vt:variant>
      <vt:variant>
        <vt:lpwstr/>
      </vt:variant>
      <vt:variant>
        <vt:i4>7208987</vt:i4>
      </vt:variant>
      <vt:variant>
        <vt:i4>0</vt:i4>
      </vt:variant>
      <vt:variant>
        <vt:i4>0</vt:i4>
      </vt:variant>
      <vt:variant>
        <vt:i4>5</vt:i4>
      </vt:variant>
      <vt:variant>
        <vt:lpwstr>https://www.colombiacompra.gov.co/sites/cce_public/files/cce_circulares/circular_externa_unica_version_3_vf49.pdf</vt:lpwstr>
      </vt:variant>
      <vt:variant>
        <vt:lpwstr/>
      </vt:variant>
      <vt:variant>
        <vt:i4>6619182</vt:i4>
      </vt:variant>
      <vt:variant>
        <vt:i4>3</vt:i4>
      </vt:variant>
      <vt:variant>
        <vt:i4>0</vt:i4>
      </vt:variant>
      <vt:variant>
        <vt:i4>5</vt:i4>
      </vt:variant>
      <vt:variant>
        <vt:lpwstr>https://www.culturarecreacionydeporte.gov.co/es/bogotanitos/bogodatos/las-plazas-de-mercado-de-bogota</vt:lpwstr>
      </vt:variant>
      <vt:variant>
        <vt:lpwstr>:~:text=Muchos%20tienen%20diferentes%20conceptos%20sobre,en%20un%20sitio%20abierto%20o</vt:lpwstr>
      </vt:variant>
      <vt:variant>
        <vt:i4>2883621</vt:i4>
      </vt:variant>
      <vt:variant>
        <vt:i4>0</vt:i4>
      </vt:variant>
      <vt:variant>
        <vt:i4>0</vt:i4>
      </vt:variant>
      <vt:variant>
        <vt:i4>5</vt:i4>
      </vt:variant>
      <vt:variant>
        <vt:lpwstr>https://www.colombiacompra.gov.co/content/03-documentos-tipo-transversales-de-licitacion-de-obra-publica-de-infraestructura-social-con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Sergio Andrés Rivera Cano</cp:lastModifiedBy>
  <cp:revision>2</cp:revision>
  <dcterms:created xsi:type="dcterms:W3CDTF">2024-11-21T15:37:00Z</dcterms:created>
  <dcterms:modified xsi:type="dcterms:W3CDTF">2024-11-21T15:37:00Z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