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9A67B" w14:textId="77777777" w:rsidR="00E35D69" w:rsidRPr="00E35D69" w:rsidRDefault="00E35D69" w:rsidP="00E35D69">
      <w:pPr>
        <w:spacing w:before="120" w:after="120" w:line="240" w:lineRule="auto"/>
        <w:jc w:val="both"/>
        <w:rPr>
          <w:rFonts w:ascii="Verdana" w:eastAsia="Times New Roman" w:hAnsi="Verdana" w:cs="Arial"/>
          <w:b/>
          <w:bCs/>
          <w:lang w:val="es-ES"/>
        </w:rPr>
      </w:pPr>
      <w:r w:rsidRPr="00E35D69">
        <w:rPr>
          <w:rFonts w:ascii="Verdana" w:eastAsia="Times New Roman" w:hAnsi="Verdana" w:cs="Arial"/>
          <w:b/>
          <w:bCs/>
          <w:lang w:val="es-ES"/>
        </w:rPr>
        <w:t xml:space="preserve">INHABILIDADES E INCOMPATIBILIDADES – Límites a la capacidad – Régimen </w:t>
      </w:r>
    </w:p>
    <w:p w14:paraId="7E649BEA" w14:textId="77777777" w:rsidR="00E35D69" w:rsidRPr="00E35D69" w:rsidRDefault="00E35D69" w:rsidP="00E35D69">
      <w:pPr>
        <w:spacing w:after="0" w:line="240" w:lineRule="auto"/>
        <w:jc w:val="both"/>
        <w:rPr>
          <w:rFonts w:ascii="Verdana" w:eastAsia="Times New Roman" w:hAnsi="Verdana" w:cs="Arial"/>
          <w:sz w:val="20"/>
          <w:szCs w:val="20"/>
          <w:lang w:val="es-ES"/>
        </w:rPr>
      </w:pPr>
    </w:p>
    <w:p w14:paraId="74BE5B0A" w14:textId="77777777" w:rsidR="00E35D69" w:rsidRPr="00E35D69" w:rsidRDefault="00E35D69" w:rsidP="00E35D69">
      <w:pPr>
        <w:spacing w:after="0" w:line="240" w:lineRule="auto"/>
        <w:jc w:val="both"/>
        <w:rPr>
          <w:rFonts w:ascii="Verdana" w:eastAsia="Times New Roman" w:hAnsi="Verdana" w:cs="Arial"/>
          <w:sz w:val="20"/>
          <w:szCs w:val="20"/>
        </w:rPr>
      </w:pPr>
      <w:r w:rsidRPr="00E35D69">
        <w:rPr>
          <w:rFonts w:ascii="Verdana" w:eastAsia="Times New Roman" w:hAnsi="Verdana" w:cs="Arial"/>
          <w:sz w:val="20"/>
          <w:szCs w:val="20"/>
          <w:lang w:val="es-ES"/>
        </w:rPr>
        <w:t xml:space="preserve">[…] </w:t>
      </w:r>
      <w:r w:rsidRPr="00E35D69">
        <w:rPr>
          <w:rFonts w:ascii="Verdana" w:eastAsia="Times New Roman" w:hAnsi="Verdana" w:cs="Arial"/>
          <w:sz w:val="20"/>
          <w:szCs w:val="20"/>
          <w:lang w:val="es-ES_tradnl" w:eastAsia="es-ES_tradnl"/>
        </w:rPr>
        <w:t>e</w:t>
      </w:r>
      <w:r w:rsidRPr="00E35D69">
        <w:rPr>
          <w:rFonts w:ascii="Verdana" w:eastAsia="Times New Roman" w:hAnsi="Verdana" w:cs="Arial"/>
          <w:sz w:val="20"/>
          <w:szCs w:val="20"/>
          <w:lang w:val="es-MX"/>
        </w:rPr>
        <w:t xml:space="preserv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w:t>
      </w:r>
      <w:r w:rsidRPr="00E35D69">
        <w:rPr>
          <w:rFonts w:ascii="Verdana" w:eastAsia="Times New Roman" w:hAnsi="Verdana" w:cs="Arial"/>
          <w:sz w:val="20"/>
          <w:szCs w:val="20"/>
        </w:rPr>
        <w:t>consagradas</w:t>
      </w:r>
      <w:r w:rsidRPr="00E35D69">
        <w:rPr>
          <w:rFonts w:ascii="Verdana" w:eastAsia="Times New Roman" w:hAnsi="Verdana" w:cs="Arial"/>
          <w:sz w:val="20"/>
          <w:szCs w:val="20"/>
          <w:lang w:val="es-MX"/>
        </w:rPr>
        <w:t xml:space="preserve"> por el ordenamiento jurídico</w:t>
      </w:r>
      <w:r w:rsidRPr="00E35D69">
        <w:rPr>
          <w:rFonts w:ascii="Verdana" w:eastAsia="Times New Roman" w:hAnsi="Verdana" w:cs="Arial"/>
          <w:sz w:val="20"/>
          <w:szCs w:val="20"/>
        </w:rPr>
        <w:t xml:space="preserve">. </w:t>
      </w:r>
    </w:p>
    <w:p w14:paraId="45B7725D" w14:textId="77777777" w:rsidR="00E35D69" w:rsidRPr="00E35D69" w:rsidRDefault="00E35D69" w:rsidP="00E35D69">
      <w:pPr>
        <w:spacing w:after="0" w:line="240" w:lineRule="auto"/>
        <w:jc w:val="both"/>
        <w:rPr>
          <w:rFonts w:ascii="Verdana" w:eastAsia="Times New Roman" w:hAnsi="Verdana" w:cs="Arial"/>
          <w:sz w:val="20"/>
          <w:szCs w:val="20"/>
        </w:rPr>
      </w:pPr>
    </w:p>
    <w:p w14:paraId="29AB2AA2" w14:textId="77777777" w:rsidR="00E35D69" w:rsidRPr="00E35D69" w:rsidRDefault="00E35D69" w:rsidP="00E35D69">
      <w:pPr>
        <w:spacing w:before="120" w:after="120" w:line="240" w:lineRule="auto"/>
        <w:jc w:val="both"/>
        <w:rPr>
          <w:rFonts w:ascii="Verdana" w:eastAsia="Times New Roman" w:hAnsi="Verdana" w:cs="Arial"/>
          <w:b/>
          <w:bCs/>
          <w:lang w:val="es-ES"/>
        </w:rPr>
      </w:pPr>
      <w:r w:rsidRPr="00E35D69">
        <w:rPr>
          <w:rFonts w:ascii="Verdana" w:eastAsia="Times New Roman" w:hAnsi="Verdana" w:cs="Arial"/>
          <w:b/>
          <w:bCs/>
          <w:lang w:val="es-ES"/>
        </w:rPr>
        <w:t xml:space="preserve">INHABILIDADES E INCOMPATIBILIDADES – Concepto </w:t>
      </w:r>
    </w:p>
    <w:p w14:paraId="268F6251" w14:textId="77777777" w:rsidR="00E35D69" w:rsidRPr="00E35D69" w:rsidRDefault="00E35D69" w:rsidP="00E35D69">
      <w:pPr>
        <w:spacing w:after="0" w:line="240" w:lineRule="auto"/>
        <w:jc w:val="both"/>
        <w:rPr>
          <w:rFonts w:ascii="Verdana" w:eastAsia="Times New Roman" w:hAnsi="Verdana" w:cs="Arial"/>
          <w:b/>
          <w:bCs/>
          <w:sz w:val="20"/>
          <w:szCs w:val="20"/>
          <w:lang w:val="es-ES"/>
        </w:rPr>
      </w:pPr>
    </w:p>
    <w:p w14:paraId="65BB929E" w14:textId="77777777" w:rsidR="00E35D69" w:rsidRPr="00E35D69" w:rsidRDefault="00E35D69" w:rsidP="00E35D69">
      <w:pPr>
        <w:spacing w:after="0" w:line="240" w:lineRule="auto"/>
        <w:jc w:val="both"/>
        <w:rPr>
          <w:rFonts w:ascii="Verdana" w:eastAsia="Times New Roman" w:hAnsi="Verdana" w:cs="Arial"/>
          <w:sz w:val="20"/>
          <w:szCs w:val="20"/>
          <w:lang w:val="es-MX"/>
        </w:rPr>
      </w:pPr>
      <w:r w:rsidRPr="00E35D69">
        <w:rPr>
          <w:rFonts w:ascii="Verdana" w:eastAsia="Times New Roman" w:hAnsi="Verdana" w:cs="Arial"/>
          <w:sz w:val="20"/>
          <w:szCs w:val="20"/>
        </w:rPr>
        <w:t>La</w:t>
      </w:r>
      <w:r w:rsidRPr="00E35D69">
        <w:rPr>
          <w:rFonts w:ascii="Verdana" w:eastAsia="Times New Roman" w:hAnsi="Verdana" w:cs="Arial"/>
          <w:sz w:val="20"/>
          <w:szCs w:val="20"/>
          <w:lang w:val="es-MX"/>
        </w:rPr>
        <w:t xml:space="preserve">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E35D69">
        <w:rPr>
          <w:rFonts w:ascii="Verdana" w:eastAsia="Times New Roman" w:hAnsi="Verdana" w:cs="Times New Roman"/>
          <w:sz w:val="20"/>
          <w:szCs w:val="20"/>
          <w:vertAlign w:val="superscript"/>
          <w:lang w:val="es-MX"/>
        </w:rPr>
        <w:t>.</w:t>
      </w:r>
    </w:p>
    <w:p w14:paraId="67F4A564" w14:textId="77777777" w:rsidR="00E35D69" w:rsidRPr="00E35D69" w:rsidRDefault="00E35D69" w:rsidP="00E35D69">
      <w:pPr>
        <w:spacing w:after="0" w:line="240" w:lineRule="auto"/>
        <w:ind w:left="360"/>
        <w:jc w:val="both"/>
        <w:rPr>
          <w:rFonts w:ascii="Verdana" w:eastAsia="Times New Roman" w:hAnsi="Verdana" w:cs="Arial"/>
          <w:sz w:val="20"/>
          <w:szCs w:val="20"/>
          <w:lang w:val="es-MX"/>
        </w:rPr>
      </w:pPr>
    </w:p>
    <w:p w14:paraId="2F79E00B" w14:textId="77777777" w:rsidR="00E35D69" w:rsidRPr="00E35D69" w:rsidRDefault="00E35D69" w:rsidP="00E35D69">
      <w:pPr>
        <w:spacing w:after="0" w:line="240" w:lineRule="auto"/>
        <w:jc w:val="both"/>
        <w:rPr>
          <w:rFonts w:ascii="Verdana" w:eastAsia="Times New Roman" w:hAnsi="Verdana" w:cs="Arial"/>
          <w:sz w:val="20"/>
          <w:szCs w:val="20"/>
          <w:lang w:val="es-MX"/>
        </w:rPr>
      </w:pPr>
      <w:r w:rsidRPr="00E35D69">
        <w:rPr>
          <w:rFonts w:ascii="Verdana" w:eastAsia="Times New Roman" w:hAnsi="Verdana" w:cs="Arial"/>
          <w:sz w:val="20"/>
          <w:szCs w:val="20"/>
          <w:lang w:val="es-MX"/>
        </w:rPr>
        <w:t>La consagración de limitaciones que afectan la capacidad jurídica para contratar desarrolla los principios de la función administrativa consagrados en el artículo 209 de la Constitución Política, con especial énfasis el de moralidad.</w:t>
      </w:r>
    </w:p>
    <w:p w14:paraId="7194E35B" w14:textId="77777777" w:rsidR="00E35D69" w:rsidRPr="00E35D69" w:rsidRDefault="00E35D69" w:rsidP="00E35D69">
      <w:pPr>
        <w:spacing w:after="0" w:line="240" w:lineRule="auto"/>
        <w:jc w:val="both"/>
        <w:rPr>
          <w:rFonts w:ascii="Verdana" w:eastAsia="Times New Roman" w:hAnsi="Verdana" w:cs="Arial"/>
          <w:sz w:val="20"/>
          <w:szCs w:val="20"/>
          <w:lang w:val="es-ES"/>
        </w:rPr>
      </w:pPr>
    </w:p>
    <w:p w14:paraId="77E30055" w14:textId="14E91E61" w:rsidR="00E35D69" w:rsidRPr="00E35D69" w:rsidRDefault="00E35D69" w:rsidP="00E35D69">
      <w:pPr>
        <w:spacing w:before="120" w:after="120" w:line="240" w:lineRule="auto"/>
        <w:jc w:val="both"/>
        <w:rPr>
          <w:rFonts w:ascii="Verdana" w:eastAsia="Times New Roman" w:hAnsi="Verdana" w:cs="Arial"/>
          <w:b/>
          <w:bCs/>
          <w:lang w:val="es-ES"/>
        </w:rPr>
      </w:pPr>
      <w:r w:rsidRPr="00E35D69">
        <w:rPr>
          <w:rFonts w:ascii="Verdana" w:eastAsia="Times New Roman" w:hAnsi="Verdana" w:cs="Arial"/>
          <w:b/>
          <w:bCs/>
          <w:lang w:val="es-ES"/>
        </w:rPr>
        <w:t xml:space="preserve">INHABILIDADES E INCOMPATIBILIDADES – Interpretación restrictiva – Principio pro </w:t>
      </w:r>
      <w:r w:rsidRPr="00E35D69">
        <w:rPr>
          <w:rFonts w:ascii="Verdana" w:eastAsia="Times New Roman" w:hAnsi="Verdana" w:cs="Arial"/>
          <w:b/>
          <w:bCs/>
          <w:lang w:val="es-ES"/>
        </w:rPr>
        <w:t>libértate</w:t>
      </w:r>
      <w:r w:rsidRPr="00E35D69">
        <w:rPr>
          <w:rFonts w:ascii="Verdana" w:eastAsia="Times New Roman" w:hAnsi="Verdana" w:cs="Arial"/>
          <w:b/>
          <w:bCs/>
          <w:lang w:val="es-ES"/>
        </w:rPr>
        <w:t xml:space="preserve"> </w:t>
      </w:r>
    </w:p>
    <w:p w14:paraId="5A90BAD5" w14:textId="77777777" w:rsidR="00E35D69" w:rsidRPr="00E35D69" w:rsidRDefault="00E35D69" w:rsidP="00E35D69">
      <w:pPr>
        <w:spacing w:after="0" w:line="240" w:lineRule="auto"/>
        <w:jc w:val="both"/>
        <w:rPr>
          <w:rFonts w:ascii="Verdana" w:eastAsia="Times New Roman" w:hAnsi="Verdana" w:cs="Times New Roman"/>
          <w:b/>
          <w:bCs/>
          <w:sz w:val="20"/>
          <w:szCs w:val="20"/>
          <w:shd w:val="clear" w:color="auto" w:fill="FFFFFF"/>
          <w:lang w:val="es-ES"/>
        </w:rPr>
      </w:pPr>
    </w:p>
    <w:p w14:paraId="7D5C6441" w14:textId="66D31BC5" w:rsidR="00E35D69" w:rsidRPr="00E35D69" w:rsidRDefault="00E35D69" w:rsidP="00E35D69">
      <w:pPr>
        <w:spacing w:after="0" w:line="240" w:lineRule="auto"/>
        <w:jc w:val="both"/>
        <w:rPr>
          <w:rFonts w:ascii="Verdana" w:eastAsia="Times New Roman" w:hAnsi="Verdana" w:cs="Arial"/>
          <w:color w:val="000000"/>
          <w:kern w:val="2"/>
          <w:sz w:val="20"/>
          <w:szCs w:val="20"/>
          <w:lang w:eastAsia="es-ES"/>
        </w:rPr>
      </w:pPr>
      <w:r w:rsidRPr="00E35D69">
        <w:rPr>
          <w:rFonts w:ascii="Verdana" w:eastAsia="Times New Roman" w:hAnsi="Verdana" w:cs="Times New Roman"/>
          <w:sz w:val="20"/>
          <w:szCs w:val="20"/>
          <w:shd w:val="clear" w:color="auto" w:fill="FFFFFF"/>
          <w:lang w:val="es-ES"/>
        </w:rPr>
        <w:t xml:space="preserve">[…] </w:t>
      </w:r>
      <w:r w:rsidRPr="00E35D69">
        <w:rPr>
          <w:rFonts w:ascii="Verdana" w:eastAsia="Times New Roman" w:hAnsi="Verdana" w:cs="Arial"/>
          <w:color w:val="000000"/>
          <w:kern w:val="2"/>
          <w:sz w:val="20"/>
          <w:szCs w:val="20"/>
          <w:lang w:eastAsia="es-ES"/>
        </w:rPr>
        <w:t xml:space="preserve">el principio pro </w:t>
      </w:r>
      <w:r w:rsidRPr="00E35D69">
        <w:rPr>
          <w:rFonts w:ascii="Verdana" w:eastAsia="Times New Roman" w:hAnsi="Verdana" w:cs="Arial"/>
          <w:color w:val="000000"/>
          <w:kern w:val="2"/>
          <w:sz w:val="20"/>
          <w:szCs w:val="20"/>
          <w:lang w:eastAsia="es-ES"/>
        </w:rPr>
        <w:t>libértate</w:t>
      </w:r>
      <w:r w:rsidRPr="00E35D69">
        <w:rPr>
          <w:rFonts w:ascii="Verdana" w:eastAsia="Times New Roman" w:hAnsi="Verdana" w:cs="Arial"/>
          <w:color w:val="000000"/>
          <w:kern w:val="2"/>
          <w:sz w:val="20"/>
          <w:szCs w:val="20"/>
          <w:lang w:eastAsia="es-ES"/>
        </w:rPr>
        <w:t xml:space="preserve"> es el que debe dirigir la interpretación de las disposiciones normativas que consagran restricciones de derechos, como sucede con las causales de inhabilidad e incompatibilidad en la contratación estatal. 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p>
    <w:p w14:paraId="5C7EFA83" w14:textId="77777777" w:rsidR="00E35D69" w:rsidRPr="00E35D69" w:rsidRDefault="00E35D69" w:rsidP="00E35D69">
      <w:pPr>
        <w:spacing w:after="0" w:line="240" w:lineRule="auto"/>
        <w:rPr>
          <w:rFonts w:ascii="Verdana" w:eastAsia="Times New Roman" w:hAnsi="Verdana" w:cs="Arial"/>
          <w:color w:val="000000"/>
          <w:lang w:val="es-MX"/>
        </w:rPr>
      </w:pPr>
    </w:p>
    <w:p w14:paraId="0E5D58D2" w14:textId="77777777" w:rsidR="00E35D69" w:rsidRPr="00E35D69" w:rsidRDefault="00E35D69" w:rsidP="00E35D69">
      <w:pPr>
        <w:spacing w:before="120" w:after="120" w:line="240" w:lineRule="auto"/>
        <w:jc w:val="both"/>
        <w:rPr>
          <w:rFonts w:ascii="Verdana" w:eastAsia="Times New Roman" w:hAnsi="Verdana" w:cs="Arial"/>
          <w:b/>
          <w:bCs/>
          <w:lang w:val="es-ES"/>
        </w:rPr>
      </w:pPr>
      <w:r w:rsidRPr="00E35D69">
        <w:rPr>
          <w:rFonts w:ascii="Verdana" w:eastAsia="Times New Roman" w:hAnsi="Verdana" w:cs="Arial"/>
          <w:b/>
          <w:bCs/>
          <w:lang w:val="es-ES"/>
        </w:rPr>
        <w:t>CONFLICTO DE INTERESES – Concepto – Consagración Legal</w:t>
      </w:r>
    </w:p>
    <w:p w14:paraId="2E2532FA" w14:textId="77777777" w:rsidR="00E35D69" w:rsidRPr="00E35D69" w:rsidRDefault="00E35D69" w:rsidP="00E35D69">
      <w:pPr>
        <w:spacing w:after="0" w:line="240" w:lineRule="auto"/>
        <w:rPr>
          <w:rFonts w:ascii="Verdana" w:eastAsia="Times New Roman" w:hAnsi="Verdana" w:cs="Arial"/>
          <w:color w:val="000000"/>
          <w:lang w:val="es-MX"/>
        </w:rPr>
      </w:pPr>
    </w:p>
    <w:p w14:paraId="64216D9F" w14:textId="77777777" w:rsidR="00E35D69" w:rsidRPr="00E35D69" w:rsidRDefault="00E35D69" w:rsidP="00E35D69">
      <w:pPr>
        <w:spacing w:after="0" w:line="240" w:lineRule="auto"/>
        <w:jc w:val="both"/>
        <w:rPr>
          <w:rFonts w:ascii="Verdana" w:eastAsia="Times New Roman" w:hAnsi="Verdana" w:cs="Times New Roman"/>
          <w:sz w:val="20"/>
          <w:szCs w:val="20"/>
          <w:shd w:val="clear" w:color="auto" w:fill="FFFFFF"/>
          <w:lang w:val="es-ES"/>
        </w:rPr>
      </w:pPr>
      <w:r w:rsidRPr="00E35D69">
        <w:rPr>
          <w:rFonts w:ascii="Verdana" w:eastAsia="Times New Roman" w:hAnsi="Verdana" w:cs="Times New Roman"/>
          <w:sz w:val="20"/>
          <w:szCs w:val="20"/>
          <w:shd w:val="clear" w:color="auto" w:fill="FFFFFF"/>
          <w:lang w:val="es-ES"/>
        </w:rPr>
        <w:t xml:space="preserve">[…] el EGCAP no establece una noción o causales particulares de conflictos de interés aplicables a los proponentes o contratistas del Estado. En efecto, además de las disposiciones brevemente enunciadas en el párrafo precedente, la Ley 1437 de 2011 establece un régimen de “conflictos de interés  y causales de impedimento y recusación” –artículos 11 y 12–, que si bien aplican en los procedimientos administrativos, en general, incluyendo los de selección de contratistas del Estado, están dirigidos a los servidores públicos que adelantan estas actuaciones en desarrollo de la actividad contractual de la Entidad Estatal de la cual hacen parte. Por lo anterior, sus destinatarios </w:t>
      </w:r>
      <w:r w:rsidRPr="00E35D69">
        <w:rPr>
          <w:rFonts w:ascii="Verdana" w:eastAsia="Times New Roman" w:hAnsi="Verdana" w:cs="Times New Roman"/>
          <w:sz w:val="20"/>
          <w:szCs w:val="20"/>
          <w:shd w:val="clear" w:color="auto" w:fill="FFFFFF"/>
          <w:lang w:val="es-ES"/>
        </w:rPr>
        <w:lastRenderedPageBreak/>
        <w:t>no son los proponentes o contratistas particulares que participan en el procedimiento de selección o celebran el contrato con la Entidad Estatal, sino los servidores mencionados. En este sentido, en caso de presentarse alguna de las causales establecidas en el artículo 11 del Código de Procedimiento Administrativo o de lo Contencioso Administrativo –en adelante CPACA–, corresponde aplicar el trámite establecido en el artículo 12 de la misma ley.</w:t>
      </w:r>
    </w:p>
    <w:p w14:paraId="10AB32FF" w14:textId="77777777" w:rsidR="00E35D69" w:rsidRPr="00E35D69" w:rsidRDefault="00E35D69" w:rsidP="00580396">
      <w:pPr>
        <w:spacing w:after="0" w:line="240" w:lineRule="auto"/>
        <w:rPr>
          <w:rFonts w:ascii="Verdana" w:eastAsia="Geomanist Light" w:hAnsi="Verdana" w:cs="Arial"/>
          <w:color w:val="000000" w:themeColor="text1"/>
          <w:lang w:val="es-ES"/>
        </w:rPr>
      </w:pPr>
    </w:p>
    <w:p w14:paraId="748A89AA" w14:textId="5C65149A" w:rsidR="00853900" w:rsidRPr="00853900" w:rsidRDefault="00853900" w:rsidP="00853900">
      <w:pPr>
        <w:spacing w:after="0" w:line="240" w:lineRule="auto"/>
        <w:jc w:val="both"/>
        <w:rPr>
          <w:rFonts w:ascii="Verdana" w:eastAsia="Geomanist Light" w:hAnsi="Verdana" w:cs="Arial"/>
          <w:b/>
          <w:bCs/>
          <w:color w:val="000000" w:themeColor="text1"/>
          <w:lang w:val="es-ES"/>
        </w:rPr>
      </w:pPr>
      <w:r w:rsidRPr="00853900">
        <w:rPr>
          <w:rFonts w:ascii="Verdana" w:eastAsia="Geomanist Light" w:hAnsi="Verdana" w:cs="Arial"/>
          <w:b/>
          <w:bCs/>
          <w:color w:val="000000" w:themeColor="text1"/>
          <w:lang w:val="es-ES"/>
        </w:rPr>
        <w:t xml:space="preserve">CONFLICTO DE INTERESES – Concepto </w:t>
      </w:r>
    </w:p>
    <w:p w14:paraId="01D02CE8" w14:textId="77777777" w:rsidR="00853900" w:rsidRPr="00853900" w:rsidRDefault="00853900" w:rsidP="00853900">
      <w:pPr>
        <w:spacing w:after="0" w:line="240" w:lineRule="auto"/>
        <w:rPr>
          <w:rFonts w:ascii="Verdana" w:eastAsia="Geomanist Light" w:hAnsi="Verdana" w:cs="Arial"/>
          <w:color w:val="000000" w:themeColor="text1"/>
          <w:lang w:val="es-MX"/>
        </w:rPr>
      </w:pPr>
    </w:p>
    <w:p w14:paraId="2A57745C" w14:textId="77777777" w:rsidR="00853900" w:rsidRPr="00853900" w:rsidRDefault="00853900" w:rsidP="00853900">
      <w:pPr>
        <w:spacing w:after="0" w:line="240" w:lineRule="auto"/>
        <w:jc w:val="both"/>
        <w:rPr>
          <w:rFonts w:ascii="Verdana" w:eastAsia="Geomanist Light" w:hAnsi="Verdana" w:cs="Arial"/>
          <w:color w:val="000000" w:themeColor="text1"/>
          <w:sz w:val="20"/>
          <w:szCs w:val="20"/>
          <w:lang w:val="es-ES"/>
        </w:rPr>
      </w:pPr>
      <w:r w:rsidRPr="00853900">
        <w:rPr>
          <w:rFonts w:ascii="Verdana" w:eastAsia="Geomanist Light" w:hAnsi="Verdana" w:cs="Arial"/>
          <w:color w:val="000000" w:themeColor="text1"/>
          <w:sz w:val="20"/>
          <w:szCs w:val="20"/>
          <w:lang w:val="es-ES"/>
        </w:rPr>
        <w:t>[…] el EGCAP no establece una noción o causales particulares de conflictos de interés aplicables a los proponentes o contratistas del Estado. En efecto, además de las disposiciones brevemente enunciadas en el párrafo precedente, la Ley 1437 de 2011 establece un régimen de “conflictos de interés  y causales de impedimento y recusación” –artículos 11 y 12–, que si bien aplican en los procedimientos administrativos, en general, incluyendo los de selección de contratistas del Estado, están dirigidos a los servidores públicos que adelantan estas actuaciones en desarrollo de la actividad contractual de la Entidad Estatal de la cual hacen parte. Por lo anterior, sus destinatarios no son los proponentes o contratistas particulares que participan en el procedimiento de selección o celebran el contrato con la Entidad Estatal, sino los servidores mencionados. En este sentido, en caso de presentarse alguna de las causales establecidas en el artículo 11 del Código de Procedimiento Administrativo o de lo Contencioso Administrativo –en adelante CPACA–, corresponde aplicar el trámite establecido en el artículo 12 de la misma ley.</w:t>
      </w:r>
    </w:p>
    <w:p w14:paraId="548943BB" w14:textId="77777777" w:rsidR="00E35D69" w:rsidRPr="00853900" w:rsidRDefault="00E35D69" w:rsidP="00853900">
      <w:pPr>
        <w:spacing w:after="0" w:line="240" w:lineRule="auto"/>
        <w:jc w:val="both"/>
        <w:rPr>
          <w:rFonts w:ascii="Verdana" w:eastAsia="Geomanist Light" w:hAnsi="Verdana" w:cs="Arial"/>
          <w:color w:val="000000" w:themeColor="text1"/>
          <w:lang w:val="es-ES"/>
        </w:rPr>
      </w:pPr>
    </w:p>
    <w:p w14:paraId="3F00A897" w14:textId="77777777" w:rsidR="00E35D69" w:rsidRDefault="00E35D69" w:rsidP="00580396">
      <w:pPr>
        <w:spacing w:after="0" w:line="240" w:lineRule="auto"/>
        <w:rPr>
          <w:rFonts w:ascii="Verdana" w:eastAsia="Geomanist Light" w:hAnsi="Verdana" w:cs="Arial"/>
          <w:color w:val="000000" w:themeColor="text1"/>
          <w:lang w:val="es-MX"/>
        </w:rPr>
      </w:pPr>
    </w:p>
    <w:p w14:paraId="07D50B47" w14:textId="77777777" w:rsidR="00E35D69" w:rsidRDefault="00E35D69" w:rsidP="00580396">
      <w:pPr>
        <w:spacing w:after="0" w:line="240" w:lineRule="auto"/>
        <w:rPr>
          <w:rFonts w:ascii="Verdana" w:eastAsia="Geomanist Light" w:hAnsi="Verdana" w:cs="Arial"/>
          <w:color w:val="000000" w:themeColor="text1"/>
          <w:lang w:val="es-MX"/>
        </w:rPr>
      </w:pPr>
    </w:p>
    <w:p w14:paraId="0EAC7D8F" w14:textId="77777777" w:rsidR="00E35D69" w:rsidRDefault="00E35D69" w:rsidP="00580396">
      <w:pPr>
        <w:spacing w:after="0" w:line="240" w:lineRule="auto"/>
        <w:rPr>
          <w:rFonts w:ascii="Verdana" w:eastAsia="Geomanist Light" w:hAnsi="Verdana" w:cs="Arial"/>
          <w:color w:val="000000" w:themeColor="text1"/>
          <w:lang w:val="es-MX"/>
        </w:rPr>
      </w:pPr>
    </w:p>
    <w:p w14:paraId="2A341159" w14:textId="77777777" w:rsidR="00E35D69" w:rsidRDefault="00E35D69" w:rsidP="00580396">
      <w:pPr>
        <w:spacing w:after="0" w:line="240" w:lineRule="auto"/>
        <w:rPr>
          <w:rFonts w:ascii="Verdana" w:eastAsia="Geomanist Light" w:hAnsi="Verdana" w:cs="Arial"/>
          <w:color w:val="000000" w:themeColor="text1"/>
          <w:lang w:val="es-MX"/>
        </w:rPr>
      </w:pPr>
    </w:p>
    <w:p w14:paraId="140F0D3E" w14:textId="77777777" w:rsidR="00E35D69" w:rsidRDefault="00E35D69" w:rsidP="00580396">
      <w:pPr>
        <w:spacing w:after="0" w:line="240" w:lineRule="auto"/>
        <w:rPr>
          <w:rFonts w:ascii="Verdana" w:eastAsia="Geomanist Light" w:hAnsi="Verdana" w:cs="Arial"/>
          <w:color w:val="000000" w:themeColor="text1"/>
          <w:lang w:val="es-MX"/>
        </w:rPr>
      </w:pPr>
    </w:p>
    <w:p w14:paraId="48E5819B" w14:textId="77777777" w:rsidR="00E35D69" w:rsidRDefault="00E35D69" w:rsidP="00580396">
      <w:pPr>
        <w:spacing w:after="0" w:line="240" w:lineRule="auto"/>
        <w:rPr>
          <w:rFonts w:ascii="Verdana" w:eastAsia="Geomanist Light" w:hAnsi="Verdana" w:cs="Arial"/>
          <w:color w:val="000000" w:themeColor="text1"/>
          <w:lang w:val="es-MX"/>
        </w:rPr>
      </w:pPr>
    </w:p>
    <w:p w14:paraId="3ED4221F" w14:textId="77777777" w:rsidR="00E35D69" w:rsidRDefault="00E35D69" w:rsidP="00580396">
      <w:pPr>
        <w:spacing w:after="0" w:line="240" w:lineRule="auto"/>
        <w:rPr>
          <w:rFonts w:ascii="Verdana" w:eastAsia="Geomanist Light" w:hAnsi="Verdana" w:cs="Arial"/>
          <w:color w:val="000000" w:themeColor="text1"/>
          <w:lang w:val="es-MX"/>
        </w:rPr>
      </w:pPr>
    </w:p>
    <w:p w14:paraId="594D67D9" w14:textId="77777777" w:rsidR="00E35D69" w:rsidRDefault="00E35D69" w:rsidP="00580396">
      <w:pPr>
        <w:spacing w:after="0" w:line="240" w:lineRule="auto"/>
        <w:rPr>
          <w:rFonts w:ascii="Verdana" w:eastAsia="Geomanist Light" w:hAnsi="Verdana" w:cs="Arial"/>
          <w:color w:val="000000" w:themeColor="text1"/>
          <w:lang w:val="es-MX"/>
        </w:rPr>
      </w:pPr>
    </w:p>
    <w:p w14:paraId="54F5FFAB" w14:textId="77777777" w:rsidR="00E35D69" w:rsidRDefault="00E35D69" w:rsidP="00580396">
      <w:pPr>
        <w:spacing w:after="0" w:line="240" w:lineRule="auto"/>
        <w:rPr>
          <w:rFonts w:ascii="Verdana" w:eastAsia="Geomanist Light" w:hAnsi="Verdana" w:cs="Arial"/>
          <w:color w:val="000000" w:themeColor="text1"/>
          <w:lang w:val="es-MX"/>
        </w:rPr>
      </w:pPr>
    </w:p>
    <w:p w14:paraId="4463FA31" w14:textId="77777777" w:rsidR="00E35D69" w:rsidRDefault="00E35D69" w:rsidP="00580396">
      <w:pPr>
        <w:spacing w:after="0" w:line="240" w:lineRule="auto"/>
        <w:rPr>
          <w:rFonts w:ascii="Verdana" w:eastAsia="Geomanist Light" w:hAnsi="Verdana" w:cs="Arial"/>
          <w:color w:val="000000" w:themeColor="text1"/>
          <w:lang w:val="es-MX"/>
        </w:rPr>
      </w:pPr>
    </w:p>
    <w:p w14:paraId="771D8FE8" w14:textId="77777777" w:rsidR="00E35D69" w:rsidRDefault="00E35D69" w:rsidP="00580396">
      <w:pPr>
        <w:spacing w:after="0" w:line="240" w:lineRule="auto"/>
        <w:rPr>
          <w:rFonts w:ascii="Verdana" w:eastAsia="Geomanist Light" w:hAnsi="Verdana" w:cs="Arial"/>
          <w:color w:val="000000" w:themeColor="text1"/>
          <w:lang w:val="es-MX"/>
        </w:rPr>
      </w:pPr>
    </w:p>
    <w:p w14:paraId="186BCF0F" w14:textId="77777777" w:rsidR="00E35D69" w:rsidRDefault="00E35D69" w:rsidP="00580396">
      <w:pPr>
        <w:spacing w:after="0" w:line="240" w:lineRule="auto"/>
        <w:rPr>
          <w:rFonts w:ascii="Verdana" w:eastAsia="Geomanist Light" w:hAnsi="Verdana" w:cs="Arial"/>
          <w:color w:val="000000" w:themeColor="text1"/>
          <w:lang w:val="es-MX"/>
        </w:rPr>
      </w:pPr>
    </w:p>
    <w:p w14:paraId="616C73F1" w14:textId="77777777" w:rsidR="00E35D69" w:rsidRDefault="00E35D69" w:rsidP="00580396">
      <w:pPr>
        <w:spacing w:after="0" w:line="240" w:lineRule="auto"/>
        <w:rPr>
          <w:rFonts w:ascii="Verdana" w:eastAsia="Geomanist Light" w:hAnsi="Verdana" w:cs="Arial"/>
          <w:color w:val="000000" w:themeColor="text1"/>
          <w:lang w:val="es-MX"/>
        </w:rPr>
      </w:pPr>
    </w:p>
    <w:p w14:paraId="210F20CA" w14:textId="77777777" w:rsidR="00E35D69" w:rsidRDefault="00E35D69" w:rsidP="00580396">
      <w:pPr>
        <w:spacing w:after="0" w:line="240" w:lineRule="auto"/>
        <w:rPr>
          <w:rFonts w:ascii="Verdana" w:eastAsia="Geomanist Light" w:hAnsi="Verdana" w:cs="Arial"/>
          <w:color w:val="000000" w:themeColor="text1"/>
          <w:lang w:val="es-MX"/>
        </w:rPr>
      </w:pPr>
    </w:p>
    <w:p w14:paraId="5CAF23D9" w14:textId="77777777" w:rsidR="00E35D69" w:rsidRDefault="00E35D69" w:rsidP="00580396">
      <w:pPr>
        <w:spacing w:after="0" w:line="240" w:lineRule="auto"/>
        <w:rPr>
          <w:rFonts w:ascii="Verdana" w:eastAsia="Geomanist Light" w:hAnsi="Verdana" w:cs="Arial"/>
          <w:color w:val="000000" w:themeColor="text1"/>
          <w:lang w:val="es-MX"/>
        </w:rPr>
      </w:pPr>
    </w:p>
    <w:p w14:paraId="678D2688" w14:textId="77777777" w:rsidR="00E35D69" w:rsidRDefault="00E35D69" w:rsidP="00580396">
      <w:pPr>
        <w:spacing w:after="0" w:line="240" w:lineRule="auto"/>
        <w:rPr>
          <w:rFonts w:ascii="Verdana" w:eastAsia="Geomanist Light" w:hAnsi="Verdana" w:cs="Arial"/>
          <w:color w:val="000000" w:themeColor="text1"/>
          <w:lang w:val="es-MX"/>
        </w:rPr>
      </w:pPr>
    </w:p>
    <w:p w14:paraId="44C82528" w14:textId="77777777" w:rsidR="00E35D69" w:rsidRDefault="00E35D69" w:rsidP="00580396">
      <w:pPr>
        <w:spacing w:after="0" w:line="240" w:lineRule="auto"/>
        <w:rPr>
          <w:rFonts w:ascii="Verdana" w:eastAsia="Geomanist Light" w:hAnsi="Verdana" w:cs="Arial"/>
          <w:color w:val="000000" w:themeColor="text1"/>
          <w:lang w:val="es-MX"/>
        </w:rPr>
      </w:pPr>
    </w:p>
    <w:p w14:paraId="1EDAF7C5" w14:textId="77777777" w:rsidR="00E35D69" w:rsidRDefault="00E35D69" w:rsidP="00580396">
      <w:pPr>
        <w:spacing w:after="0" w:line="240" w:lineRule="auto"/>
        <w:rPr>
          <w:rFonts w:ascii="Verdana" w:eastAsia="Geomanist Light" w:hAnsi="Verdana" w:cs="Arial"/>
          <w:color w:val="000000" w:themeColor="text1"/>
          <w:lang w:val="es-MX"/>
        </w:rPr>
      </w:pPr>
    </w:p>
    <w:p w14:paraId="2BDF6BA1" w14:textId="77777777" w:rsidR="00853900" w:rsidRDefault="00853900" w:rsidP="00580396">
      <w:pPr>
        <w:spacing w:after="0" w:line="240" w:lineRule="auto"/>
        <w:rPr>
          <w:rFonts w:ascii="Verdana" w:eastAsia="Geomanist Light" w:hAnsi="Verdana" w:cs="Arial"/>
          <w:color w:val="000000" w:themeColor="text1"/>
          <w:lang w:val="es-MX"/>
        </w:rPr>
      </w:pPr>
    </w:p>
    <w:p w14:paraId="674FDDD1" w14:textId="0512ED8E" w:rsidR="00661953" w:rsidRDefault="002410DF" w:rsidP="00580396">
      <w:pPr>
        <w:spacing w:after="0" w:line="240" w:lineRule="auto"/>
        <w:rPr>
          <w:rFonts w:ascii="Verdana" w:eastAsia="Geomanist Light" w:hAnsi="Verdana" w:cs="Arial"/>
          <w:color w:val="000000" w:themeColor="text1"/>
          <w:lang w:val="es-MX"/>
        </w:rPr>
      </w:pPr>
      <w:r w:rsidRPr="002410DF">
        <w:rPr>
          <w:rFonts w:ascii="Verdana" w:eastAsia="Geomanist Light" w:hAnsi="Verdana" w:cs="Arial"/>
          <w:color w:val="000000" w:themeColor="text1"/>
        </w:rPr>
        <w:lastRenderedPageBreak/>
        <w:t>Bogotá D.C., 13 de Noviembre de 2024</w:t>
      </w:r>
    </w:p>
    <w:p w14:paraId="0E3B2F2F" w14:textId="31DA1E3D" w:rsidR="00580396" w:rsidRDefault="007A49AF" w:rsidP="00580396">
      <w:pPr>
        <w:spacing w:after="0" w:line="240" w:lineRule="auto"/>
        <w:rPr>
          <w:rFonts w:ascii="Verdana" w:eastAsia="Geomanist Light" w:hAnsi="Verdana" w:cs="Arial"/>
          <w:color w:val="000000" w:themeColor="text1"/>
          <w:lang w:val="es-MX"/>
        </w:rPr>
      </w:pPr>
      <w:r w:rsidRPr="007A49AF">
        <w:rPr>
          <w:rFonts w:ascii="Verdana" w:eastAsia="Geomanist Light" w:hAnsi="Verdana" w:cs="Arial"/>
          <w:color w:val="000000" w:themeColor="text1"/>
          <w:lang w:val="es-MX"/>
        </w:rPr>
        <w:drawing>
          <wp:anchor distT="0" distB="0" distL="114300" distR="114300" simplePos="0" relativeHeight="251658240" behindDoc="1" locked="0" layoutInCell="1" allowOverlap="1" wp14:anchorId="3FAA9755" wp14:editId="156EB31E">
            <wp:simplePos x="0" y="0"/>
            <wp:positionH relativeFrom="column">
              <wp:posOffset>2413000</wp:posOffset>
            </wp:positionH>
            <wp:positionV relativeFrom="paragraph">
              <wp:posOffset>104775</wp:posOffset>
            </wp:positionV>
            <wp:extent cx="3503295" cy="1089025"/>
            <wp:effectExtent l="0" t="0" r="1905" b="0"/>
            <wp:wrapTight wrapText="bothSides">
              <wp:wrapPolygon edited="0">
                <wp:start x="0" y="0"/>
                <wp:lineTo x="0" y="21159"/>
                <wp:lineTo x="21494" y="21159"/>
                <wp:lineTo x="21494" y="0"/>
                <wp:lineTo x="0" y="0"/>
              </wp:wrapPolygon>
            </wp:wrapTight>
            <wp:docPr id="91420529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205296"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503295" cy="1089025"/>
                    </a:xfrm>
                    <a:prstGeom prst="rect">
                      <a:avLst/>
                    </a:prstGeom>
                  </pic:spPr>
                </pic:pic>
              </a:graphicData>
            </a:graphic>
            <wp14:sizeRelH relativeFrom="margin">
              <wp14:pctWidth>0</wp14:pctWidth>
            </wp14:sizeRelH>
            <wp14:sizeRelV relativeFrom="margin">
              <wp14:pctHeight>0</wp14:pctHeight>
            </wp14:sizeRelV>
          </wp:anchor>
        </w:drawing>
      </w:r>
    </w:p>
    <w:p w14:paraId="51648099" w14:textId="54DF65F6" w:rsidR="00580396" w:rsidRDefault="00580396" w:rsidP="00580396">
      <w:pPr>
        <w:spacing w:after="0" w:line="240" w:lineRule="auto"/>
        <w:rPr>
          <w:rFonts w:ascii="Verdana" w:eastAsia="Geomanist Light" w:hAnsi="Verdana" w:cs="Arial"/>
          <w:color w:val="000000" w:themeColor="text1"/>
          <w:lang w:val="es-MX"/>
        </w:rPr>
      </w:pPr>
    </w:p>
    <w:p w14:paraId="53D4EACE" w14:textId="0C4AEFB1" w:rsidR="006F5018" w:rsidRDefault="006F5018" w:rsidP="00580396">
      <w:pPr>
        <w:spacing w:after="0" w:line="240" w:lineRule="auto"/>
        <w:rPr>
          <w:rFonts w:ascii="Verdana" w:eastAsia="Geomanist Light" w:hAnsi="Verdana" w:cs="Arial"/>
          <w:color w:val="000000" w:themeColor="text1"/>
          <w:lang w:val="es-MX"/>
        </w:rPr>
      </w:pPr>
    </w:p>
    <w:p w14:paraId="13D2A7A8" w14:textId="77777777" w:rsidR="006F5018" w:rsidRPr="00580396" w:rsidRDefault="006F5018" w:rsidP="00580396">
      <w:pPr>
        <w:spacing w:after="0" w:line="240" w:lineRule="auto"/>
        <w:rPr>
          <w:rFonts w:ascii="Verdana" w:eastAsia="Geomanist Light" w:hAnsi="Verdana" w:cs="Arial"/>
          <w:color w:val="000000" w:themeColor="text1"/>
          <w:lang w:val="es-MX"/>
        </w:rPr>
      </w:pPr>
    </w:p>
    <w:p w14:paraId="4278FCF8" w14:textId="77777777" w:rsidR="007A49AF" w:rsidRDefault="007A49AF" w:rsidP="00661953">
      <w:pPr>
        <w:spacing w:after="0" w:line="240" w:lineRule="auto"/>
        <w:jc w:val="both"/>
        <w:rPr>
          <w:rFonts w:ascii="Verdana" w:eastAsia="Calibri" w:hAnsi="Verdana" w:cs="Arial"/>
          <w:color w:val="000000" w:themeColor="text1"/>
          <w:lang w:val="es-ES" w:eastAsia="es-ES"/>
        </w:rPr>
      </w:pPr>
    </w:p>
    <w:p w14:paraId="6D2444A2" w14:textId="77777777" w:rsidR="007A49AF" w:rsidRDefault="007A49AF" w:rsidP="00661953">
      <w:pPr>
        <w:spacing w:after="0" w:line="240" w:lineRule="auto"/>
        <w:jc w:val="both"/>
        <w:rPr>
          <w:rFonts w:ascii="Verdana" w:eastAsia="Calibri" w:hAnsi="Verdana" w:cs="Arial"/>
          <w:color w:val="000000" w:themeColor="text1"/>
          <w:lang w:val="es-ES" w:eastAsia="es-ES"/>
        </w:rPr>
      </w:pPr>
    </w:p>
    <w:p w14:paraId="33529F86" w14:textId="77777777" w:rsidR="007A49AF" w:rsidRDefault="007A49AF" w:rsidP="00661953">
      <w:pPr>
        <w:spacing w:after="0" w:line="240" w:lineRule="auto"/>
        <w:jc w:val="both"/>
        <w:rPr>
          <w:rFonts w:ascii="Verdana" w:eastAsia="Calibri" w:hAnsi="Verdana" w:cs="Arial"/>
          <w:color w:val="000000" w:themeColor="text1"/>
          <w:lang w:val="es-ES" w:eastAsia="es-ES"/>
        </w:rPr>
      </w:pPr>
    </w:p>
    <w:p w14:paraId="7DFD968E" w14:textId="2369F7C2" w:rsidR="00661953" w:rsidRPr="00115E3D" w:rsidRDefault="00661953" w:rsidP="00661953">
      <w:pPr>
        <w:spacing w:after="0" w:line="240"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Señor</w:t>
      </w:r>
    </w:p>
    <w:p w14:paraId="0485BA8E" w14:textId="5778FC68" w:rsidR="00661953" w:rsidRPr="00115E3D" w:rsidRDefault="00661953" w:rsidP="00661953">
      <w:pPr>
        <w:spacing w:after="0" w:line="240" w:lineRule="auto"/>
        <w:rPr>
          <w:rFonts w:ascii="Verdana" w:eastAsia="Calibri" w:hAnsi="Verdana" w:cs="Arial"/>
          <w:b/>
          <w:color w:val="000000" w:themeColor="text1"/>
          <w:lang w:val="es-ES_tradnl" w:eastAsia="es-ES_tradnl"/>
        </w:rPr>
      </w:pPr>
      <w:r w:rsidRPr="00115E3D">
        <w:rPr>
          <w:rFonts w:ascii="Verdana" w:eastAsia="Calibri" w:hAnsi="Verdana" w:cs="Arial"/>
          <w:b/>
          <w:color w:val="000000" w:themeColor="text1"/>
          <w:lang w:val="es-ES_tradnl" w:eastAsia="es-ES_tradnl"/>
        </w:rPr>
        <w:t>J</w:t>
      </w:r>
      <w:r>
        <w:rPr>
          <w:rFonts w:ascii="Verdana" w:eastAsia="Calibri" w:hAnsi="Verdana" w:cs="Arial"/>
          <w:b/>
          <w:color w:val="000000" w:themeColor="text1"/>
          <w:lang w:val="es-ES_tradnl" w:eastAsia="es-ES_tradnl"/>
        </w:rPr>
        <w:t>oel Pompeyo</w:t>
      </w:r>
    </w:p>
    <w:p w14:paraId="19527B88" w14:textId="137E5D27" w:rsidR="00661953" w:rsidRDefault="00DB0612" w:rsidP="00661953">
      <w:pPr>
        <w:spacing w:after="0" w:line="240" w:lineRule="auto"/>
        <w:rPr>
          <w:rFonts w:ascii="Verdana" w:eastAsia="Calibri" w:hAnsi="Verdana" w:cs="Arial"/>
          <w:color w:val="000000" w:themeColor="text1"/>
          <w:u w:val="single"/>
          <w:lang w:val="es-ES" w:eastAsia="es-ES"/>
        </w:rPr>
      </w:pPr>
      <w:hyperlink r:id="rId8" w:history="1">
        <w:r w:rsidRPr="00B222F5">
          <w:rPr>
            <w:rStyle w:val="Hipervnculo"/>
            <w:rFonts w:ascii="Verdana" w:eastAsia="Calibri" w:hAnsi="Verdana" w:cs="Arial"/>
            <w:lang w:val="es-ES" w:eastAsia="es-ES"/>
          </w:rPr>
          <w:t>impulido14@gmail.com</w:t>
        </w:r>
      </w:hyperlink>
    </w:p>
    <w:p w14:paraId="0C59CEC0" w14:textId="607D6EE1" w:rsidR="00661953" w:rsidRPr="00115E3D" w:rsidRDefault="00661953" w:rsidP="00661953">
      <w:pPr>
        <w:spacing w:after="0" w:line="240" w:lineRule="auto"/>
        <w:rPr>
          <w:rFonts w:ascii="Verdana" w:eastAsia="Calibri" w:hAnsi="Verdana" w:cs="Arial"/>
          <w:b/>
          <w:bCs/>
          <w:color w:val="000000" w:themeColor="text1"/>
          <w:lang w:val="es-ES" w:eastAsia="es-ES"/>
        </w:rPr>
      </w:pPr>
      <w:r>
        <w:rPr>
          <w:rFonts w:ascii="Verdana" w:eastAsia="Calibri" w:hAnsi="Verdana" w:cs="Arial"/>
          <w:color w:val="000000" w:themeColor="text1"/>
          <w:lang w:val="es-ES" w:eastAsia="es-ES"/>
        </w:rPr>
        <w:t>Villahermosa</w:t>
      </w:r>
      <w:r w:rsidRPr="00115E3D">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Tolima</w:t>
      </w:r>
    </w:p>
    <w:p w14:paraId="6C5D5405" w14:textId="77777777" w:rsidR="00661953" w:rsidRPr="00115E3D" w:rsidRDefault="00661953" w:rsidP="00661953">
      <w:pPr>
        <w:spacing w:after="0" w:line="240" w:lineRule="auto"/>
        <w:rPr>
          <w:rFonts w:ascii="Verdana" w:eastAsia="Calibri" w:hAnsi="Verdana" w:cs="Arial"/>
          <w:b/>
          <w:bCs/>
          <w:color w:val="000000" w:themeColor="text1"/>
          <w:lang w:val="es-ES_tradnl" w:eastAsia="es-ES_tradnl"/>
        </w:rPr>
      </w:pPr>
    </w:p>
    <w:p w14:paraId="536D2D77" w14:textId="77777777" w:rsidR="00661953" w:rsidRPr="00115E3D" w:rsidRDefault="00661953" w:rsidP="00661953">
      <w:pPr>
        <w:spacing w:after="0" w:line="240" w:lineRule="auto"/>
        <w:rPr>
          <w:rFonts w:ascii="Verdana" w:eastAsia="Calibri" w:hAnsi="Verdana" w:cs="Arial"/>
          <w:b/>
          <w:bCs/>
          <w:color w:val="000000" w:themeColor="text1"/>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61953" w:rsidRPr="00115E3D" w14:paraId="1C64FE73" w14:textId="77777777" w:rsidTr="003028CD">
        <w:trPr>
          <w:trHeight w:val="884"/>
        </w:trPr>
        <w:tc>
          <w:tcPr>
            <w:tcW w:w="2689" w:type="dxa"/>
          </w:tcPr>
          <w:p w14:paraId="1E760C91" w14:textId="77777777" w:rsidR="00661953" w:rsidRPr="00115E3D" w:rsidRDefault="00661953" w:rsidP="003028CD">
            <w:pPr>
              <w:jc w:val="both"/>
              <w:rPr>
                <w:rFonts w:ascii="Verdana" w:eastAsia="Calibri" w:hAnsi="Verdana" w:cs="Arial"/>
                <w:b/>
                <w:bCs/>
                <w:color w:val="000000" w:themeColor="text1"/>
                <w:lang w:val="es-ES_tradnl" w:eastAsia="es-ES_tradnl"/>
              </w:rPr>
            </w:pPr>
          </w:p>
        </w:tc>
        <w:tc>
          <w:tcPr>
            <w:tcW w:w="6100" w:type="dxa"/>
          </w:tcPr>
          <w:p w14:paraId="31CCE474" w14:textId="266B4F69" w:rsidR="00661953" w:rsidRPr="00115E3D" w:rsidRDefault="00661953" w:rsidP="003028CD">
            <w:pPr>
              <w:jc w:val="both"/>
              <w:rPr>
                <w:rFonts w:ascii="Verdana" w:eastAsia="Calibri" w:hAnsi="Verdana" w:cs="Arial"/>
                <w:b/>
                <w:bCs/>
                <w:color w:val="000000" w:themeColor="text1"/>
                <w:lang w:val="es-ES" w:eastAsia="es-ES"/>
              </w:rPr>
            </w:pPr>
            <w:r w:rsidRPr="00115E3D">
              <w:rPr>
                <w:rFonts w:ascii="Verdana" w:eastAsia="Calibri" w:hAnsi="Verdana" w:cs="Arial"/>
                <w:b/>
                <w:bCs/>
                <w:color w:val="000000" w:themeColor="text1"/>
                <w:lang w:val="es-ES" w:eastAsia="es-ES"/>
              </w:rPr>
              <w:t xml:space="preserve">Concepto C- </w:t>
            </w:r>
            <w:r w:rsidR="00511022">
              <w:rPr>
                <w:rFonts w:ascii="Verdana" w:eastAsia="Calibri" w:hAnsi="Verdana" w:cs="Arial"/>
                <w:b/>
                <w:bCs/>
                <w:color w:val="000000" w:themeColor="text1"/>
                <w:lang w:val="es-ES" w:eastAsia="es-ES"/>
              </w:rPr>
              <w:t>795</w:t>
            </w:r>
            <w:r w:rsidRPr="00115E3D">
              <w:rPr>
                <w:rFonts w:ascii="Verdana" w:eastAsia="Calibri" w:hAnsi="Verdana" w:cs="Arial"/>
                <w:b/>
                <w:bCs/>
                <w:color w:val="000000" w:themeColor="text1"/>
                <w:lang w:val="es-ES" w:eastAsia="es-ES"/>
              </w:rPr>
              <w:t xml:space="preserve"> de 2024</w:t>
            </w:r>
          </w:p>
        </w:tc>
      </w:tr>
      <w:tr w:rsidR="00661953" w:rsidRPr="00115E3D" w14:paraId="6E1F7B45" w14:textId="77777777" w:rsidTr="003028CD">
        <w:trPr>
          <w:trHeight w:val="884"/>
        </w:trPr>
        <w:tc>
          <w:tcPr>
            <w:tcW w:w="2689" w:type="dxa"/>
          </w:tcPr>
          <w:p w14:paraId="6982401E" w14:textId="77777777" w:rsidR="00661953" w:rsidRPr="000B7ECC" w:rsidRDefault="00661953" w:rsidP="003028CD">
            <w:pPr>
              <w:jc w:val="both"/>
              <w:rPr>
                <w:rFonts w:ascii="Verdana" w:eastAsia="Calibri" w:hAnsi="Verdana" w:cs="Arial"/>
                <w:color w:val="000000" w:themeColor="text1"/>
                <w:lang w:val="es-ES_tradnl" w:eastAsia="es-ES_tradnl"/>
              </w:rPr>
            </w:pPr>
            <w:r w:rsidRPr="000B7ECC">
              <w:rPr>
                <w:rFonts w:ascii="Verdana" w:eastAsia="Calibri" w:hAnsi="Verdana" w:cs="Arial"/>
                <w:b/>
                <w:color w:val="000000" w:themeColor="text1"/>
                <w:lang w:val="es-ES_tradnl" w:eastAsia="es-ES_tradnl"/>
              </w:rPr>
              <w:t>Temas:</w:t>
            </w:r>
            <w:r w:rsidRPr="000B7ECC">
              <w:rPr>
                <w:rFonts w:ascii="Verdana" w:eastAsia="Calibri" w:hAnsi="Verdana" w:cs="Arial"/>
                <w:color w:val="000000" w:themeColor="text1"/>
                <w:lang w:val="es-ES_tradnl" w:eastAsia="es-ES_tradnl"/>
              </w:rPr>
              <w:t xml:space="preserve">                   </w:t>
            </w:r>
          </w:p>
        </w:tc>
        <w:tc>
          <w:tcPr>
            <w:tcW w:w="6100" w:type="dxa"/>
          </w:tcPr>
          <w:p w14:paraId="5D5C3399" w14:textId="455CFB22" w:rsidR="00165D13" w:rsidRDefault="001C50D9" w:rsidP="001C50D9">
            <w:pPr>
              <w:spacing w:line="276" w:lineRule="auto"/>
              <w:jc w:val="both"/>
              <w:rPr>
                <w:rFonts w:ascii="Verdana" w:eastAsia="Calibri" w:hAnsi="Verdana" w:cs="Arial"/>
                <w:color w:val="000000" w:themeColor="text1"/>
                <w:lang w:eastAsia="es-ES"/>
              </w:rPr>
            </w:pPr>
            <w:r w:rsidRPr="001C50D9">
              <w:rPr>
                <w:rFonts w:ascii="Verdana" w:eastAsia="Calibri" w:hAnsi="Verdana" w:cs="Arial"/>
                <w:color w:val="000000" w:themeColor="text1"/>
                <w:lang w:eastAsia="es-ES"/>
              </w:rPr>
              <w:t xml:space="preserve">INHABILIDADES E INCOMPATIBILIDADES ― Límites a la capacidad ― Régimen / INHABILIDADES E INCOMPATIBILIDADES ― Concepto ― Diferencias / INHABILIDADES E INCOMPATIBILIDADES ― Interpretación restrictiva ― Principio pro libértate / INHABILIDAD ― Contratista ― Entidad contratante ― Otros procesos ― </w:t>
            </w:r>
            <w:r w:rsidR="00E35D69" w:rsidRPr="001C50D9">
              <w:rPr>
                <w:rFonts w:ascii="Verdana" w:eastAsia="Calibri" w:hAnsi="Verdana" w:cs="Arial"/>
                <w:color w:val="000000" w:themeColor="text1"/>
                <w:lang w:eastAsia="es-ES"/>
              </w:rPr>
              <w:t>CONFLICTO DE INTERÉS</w:t>
            </w:r>
            <w:r w:rsidR="00E35D69">
              <w:rPr>
                <w:rFonts w:ascii="Verdana" w:eastAsia="Calibri" w:hAnsi="Verdana" w:cs="Arial"/>
                <w:color w:val="000000" w:themeColor="text1"/>
                <w:lang w:eastAsia="es-ES"/>
              </w:rPr>
              <w:t xml:space="preserve"> </w:t>
            </w:r>
            <w:r w:rsidR="00C55B3B" w:rsidRPr="001C50D9">
              <w:rPr>
                <w:rFonts w:ascii="Verdana" w:eastAsia="Calibri" w:hAnsi="Verdana" w:cs="Arial"/>
                <w:color w:val="000000" w:themeColor="text1"/>
                <w:lang w:eastAsia="es-ES"/>
              </w:rPr>
              <w:t xml:space="preserve">― </w:t>
            </w:r>
            <w:r w:rsidR="00C55B3B">
              <w:rPr>
                <w:rFonts w:ascii="Verdana" w:eastAsia="Calibri" w:hAnsi="Verdana" w:cs="Arial"/>
                <w:color w:val="000000" w:themeColor="text1"/>
                <w:lang w:eastAsia="es-ES"/>
              </w:rPr>
              <w:t xml:space="preserve"> Concepto</w:t>
            </w:r>
          </w:p>
          <w:p w14:paraId="44C2540E" w14:textId="6817D78E" w:rsidR="001C50D9" w:rsidRPr="000B7ECC" w:rsidRDefault="001C50D9" w:rsidP="001C50D9">
            <w:pPr>
              <w:spacing w:line="276" w:lineRule="auto"/>
              <w:jc w:val="both"/>
              <w:rPr>
                <w:rFonts w:ascii="Verdana" w:eastAsia="Calibri" w:hAnsi="Verdana" w:cs="Arial"/>
                <w:color w:val="000000" w:themeColor="text1"/>
                <w:lang w:val="es-ES" w:eastAsia="es-ES"/>
              </w:rPr>
            </w:pPr>
          </w:p>
        </w:tc>
      </w:tr>
      <w:tr w:rsidR="00661953" w:rsidRPr="00115E3D" w14:paraId="7254E1FD" w14:textId="77777777" w:rsidTr="003028CD">
        <w:tc>
          <w:tcPr>
            <w:tcW w:w="2689" w:type="dxa"/>
          </w:tcPr>
          <w:p w14:paraId="48C8EC45" w14:textId="77777777" w:rsidR="00661953" w:rsidRPr="00661953" w:rsidRDefault="00661953" w:rsidP="003028CD">
            <w:pPr>
              <w:jc w:val="both"/>
              <w:rPr>
                <w:rFonts w:ascii="Verdana" w:eastAsia="Calibri" w:hAnsi="Verdana" w:cs="Arial"/>
                <w:b/>
                <w:color w:val="000000" w:themeColor="text1"/>
                <w:lang w:val="es-ES_tradnl" w:eastAsia="es-ES_tradnl"/>
              </w:rPr>
            </w:pPr>
            <w:r w:rsidRPr="00661953">
              <w:rPr>
                <w:rFonts w:ascii="Verdana" w:eastAsia="Calibri" w:hAnsi="Verdana" w:cs="Arial"/>
                <w:b/>
                <w:color w:val="000000" w:themeColor="text1"/>
                <w:lang w:val="es-ES_tradnl" w:eastAsia="es-ES_tradnl"/>
              </w:rPr>
              <w:t>Radicación:</w:t>
            </w:r>
            <w:r w:rsidRPr="00661953">
              <w:rPr>
                <w:rFonts w:ascii="Verdana" w:eastAsia="Calibri" w:hAnsi="Verdana" w:cs="Arial"/>
                <w:color w:val="000000" w:themeColor="text1"/>
                <w:lang w:val="es-ES_tradnl" w:eastAsia="es-ES_tradnl"/>
              </w:rPr>
              <w:t xml:space="preserve">               </w:t>
            </w:r>
          </w:p>
        </w:tc>
        <w:tc>
          <w:tcPr>
            <w:tcW w:w="6100" w:type="dxa"/>
          </w:tcPr>
          <w:p w14:paraId="0088658C" w14:textId="77777777" w:rsidR="00661953" w:rsidRPr="00661953" w:rsidRDefault="00661953" w:rsidP="003028CD">
            <w:pPr>
              <w:jc w:val="both"/>
              <w:rPr>
                <w:rFonts w:ascii="Verdana" w:eastAsia="Calibri" w:hAnsi="Verdana" w:cs="Arial"/>
                <w:color w:val="000000" w:themeColor="text1"/>
                <w:lang w:val="es-ES_tradnl" w:eastAsia="es-ES_tradnl"/>
              </w:rPr>
            </w:pPr>
            <w:r w:rsidRPr="00661953">
              <w:rPr>
                <w:rFonts w:ascii="Verdana" w:eastAsia="Calibri" w:hAnsi="Verdana" w:cs="Arial"/>
                <w:color w:val="000000" w:themeColor="text1"/>
                <w:lang w:val="es-ES_tradnl" w:eastAsia="es-ES_tradnl"/>
              </w:rPr>
              <w:t xml:space="preserve">Respuesta a consulta con radicado No. </w:t>
            </w:r>
          </w:p>
          <w:p w14:paraId="5F1CE39D" w14:textId="4EDB1DC9" w:rsidR="00661953" w:rsidRPr="00661953" w:rsidRDefault="00661953" w:rsidP="003028CD">
            <w:pPr>
              <w:jc w:val="both"/>
              <w:rPr>
                <w:rFonts w:ascii="Verdana" w:hAnsi="Verdana" w:cs="Arial"/>
                <w:color w:val="000000"/>
              </w:rPr>
            </w:pPr>
            <w:r w:rsidRPr="00661953">
              <w:rPr>
                <w:rFonts w:ascii="Verdana" w:hAnsi="Verdana" w:cs="Arial"/>
                <w:color w:val="000000"/>
              </w:rPr>
              <w:t>P20241029010979</w:t>
            </w:r>
          </w:p>
        </w:tc>
      </w:tr>
    </w:tbl>
    <w:p w14:paraId="3D6E8C97" w14:textId="77777777" w:rsidR="00661953" w:rsidRPr="00115E3D" w:rsidRDefault="00661953" w:rsidP="00661953">
      <w:pPr>
        <w:spacing w:after="0" w:line="240" w:lineRule="auto"/>
        <w:jc w:val="both"/>
        <w:rPr>
          <w:rFonts w:ascii="Verdana" w:eastAsia="Calibri" w:hAnsi="Verdana" w:cs="Arial"/>
          <w:color w:val="000000" w:themeColor="text1"/>
          <w:lang w:val="es-ES_tradnl" w:eastAsia="es-ES_tradnl"/>
        </w:rPr>
      </w:pPr>
    </w:p>
    <w:p w14:paraId="55144310" w14:textId="77777777" w:rsidR="00661953" w:rsidRPr="00115E3D" w:rsidRDefault="00661953" w:rsidP="00661953">
      <w:pPr>
        <w:spacing w:after="0" w:line="240" w:lineRule="auto"/>
        <w:jc w:val="both"/>
        <w:rPr>
          <w:rFonts w:ascii="Verdana" w:eastAsia="Calibri" w:hAnsi="Verdana" w:cs="Arial"/>
          <w:color w:val="000000" w:themeColor="text1"/>
          <w:lang w:val="es-ES_tradnl" w:eastAsia="es-ES_tradnl"/>
        </w:rPr>
      </w:pPr>
    </w:p>
    <w:p w14:paraId="055D9E39" w14:textId="6F900DA5" w:rsidR="00661953" w:rsidRPr="00115E3D" w:rsidRDefault="00661953" w:rsidP="00661953">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Estimado seño</w:t>
      </w:r>
      <w:r>
        <w:rPr>
          <w:rFonts w:ascii="Verdana" w:eastAsia="Calibri" w:hAnsi="Verdana" w:cs="Arial"/>
          <w:color w:val="000000" w:themeColor="text1"/>
          <w:lang w:val="es-ES" w:eastAsia="es-ES"/>
        </w:rPr>
        <w:t>r Pompeyo:</w:t>
      </w:r>
      <w:r w:rsidRPr="00115E3D">
        <w:rPr>
          <w:rFonts w:ascii="Verdana" w:eastAsia="Calibri" w:hAnsi="Verdana" w:cs="Arial"/>
          <w:color w:val="000000" w:themeColor="text1"/>
          <w:lang w:val="es-ES" w:eastAsia="es-ES"/>
        </w:rPr>
        <w:t xml:space="preserve"> </w:t>
      </w:r>
    </w:p>
    <w:p w14:paraId="738BA946" w14:textId="77777777" w:rsidR="00661953" w:rsidRPr="00115E3D" w:rsidRDefault="00661953" w:rsidP="00661953">
      <w:pPr>
        <w:tabs>
          <w:tab w:val="left" w:pos="3768"/>
        </w:tabs>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ab/>
      </w:r>
    </w:p>
    <w:p w14:paraId="4FE9E7F4" w14:textId="3AD9D526" w:rsidR="00661953" w:rsidRPr="00115E3D" w:rsidRDefault="00661953" w:rsidP="00661953">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En ejercicio de la competencia otorgada por los artículos 3, numeral 5º, y 11, numeral 8º, del Decreto Ley 4170 de 2011,</w:t>
      </w:r>
      <w:r w:rsidRPr="00115E3D">
        <w:rPr>
          <w:rFonts w:ascii="Verdana" w:eastAsia="Arial MT" w:hAnsi="Verdana"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29</w:t>
      </w:r>
      <w:r w:rsidRPr="00115E3D">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octubre</w:t>
      </w:r>
      <w:r w:rsidRPr="00115E3D">
        <w:rPr>
          <w:rFonts w:ascii="Verdana" w:eastAsia="Calibri" w:hAnsi="Verdana" w:cs="Arial"/>
          <w:color w:val="000000" w:themeColor="text1"/>
          <w:lang w:val="es-ES" w:eastAsia="es-ES"/>
        </w:rPr>
        <w:t xml:space="preserve"> de 20</w:t>
      </w:r>
      <w:r>
        <w:rPr>
          <w:rFonts w:ascii="Verdana" w:eastAsia="Calibri" w:hAnsi="Verdana" w:cs="Arial"/>
          <w:color w:val="000000" w:themeColor="text1"/>
          <w:lang w:val="es-ES" w:eastAsia="es-ES"/>
        </w:rPr>
        <w:t>24</w:t>
      </w:r>
      <w:r w:rsidRPr="00115E3D">
        <w:rPr>
          <w:rFonts w:ascii="Verdana" w:eastAsia="Calibri" w:hAnsi="Verdana" w:cs="Arial"/>
          <w:color w:val="000000" w:themeColor="text1"/>
          <w:lang w:val="es-ES" w:eastAsia="es-ES"/>
        </w:rPr>
        <w:t xml:space="preserve">, en la cual manifiesta lo siguiente: </w:t>
      </w:r>
    </w:p>
    <w:p w14:paraId="5B74497D" w14:textId="77777777" w:rsidR="00661953" w:rsidRPr="00115E3D" w:rsidRDefault="00661953" w:rsidP="00661953">
      <w:pPr>
        <w:pStyle w:val="Prrafodelista"/>
        <w:tabs>
          <w:tab w:val="left" w:pos="142"/>
          <w:tab w:val="left" w:pos="284"/>
        </w:tabs>
        <w:spacing w:line="276" w:lineRule="auto"/>
        <w:ind w:left="0"/>
        <w:jc w:val="both"/>
        <w:rPr>
          <w:rFonts w:ascii="Verdana" w:eastAsia="Century Gothic" w:hAnsi="Verdana" w:cs="Century Gothic"/>
          <w:b/>
          <w:bCs/>
          <w:color w:val="000000" w:themeColor="text1"/>
          <w:lang w:val="es-ES"/>
        </w:rPr>
      </w:pPr>
    </w:p>
    <w:p w14:paraId="1734360D" w14:textId="5D437C2B" w:rsidR="00661953" w:rsidRPr="00115E3D" w:rsidRDefault="00661953" w:rsidP="00661953">
      <w:pPr>
        <w:spacing w:after="0" w:line="240" w:lineRule="auto"/>
        <w:ind w:left="709" w:right="709"/>
        <w:jc w:val="both"/>
        <w:rPr>
          <w:rFonts w:ascii="Verdana" w:eastAsia="Century Gothic" w:hAnsi="Verdana" w:cs="Century Gothic"/>
          <w:color w:val="000000" w:themeColor="text1"/>
          <w:sz w:val="20"/>
          <w:szCs w:val="20"/>
          <w:lang w:val="es-ES"/>
        </w:rPr>
      </w:pPr>
      <w:bookmarkStart w:id="0" w:name="_Hlk95313578"/>
      <w:r w:rsidRPr="00115E3D">
        <w:rPr>
          <w:rFonts w:ascii="Verdana" w:eastAsia="Century Gothic" w:hAnsi="Verdana" w:cs="Century Gothic"/>
          <w:color w:val="000000" w:themeColor="text1"/>
          <w:sz w:val="20"/>
          <w:szCs w:val="20"/>
          <w:lang w:val="es-ES"/>
        </w:rPr>
        <w:lastRenderedPageBreak/>
        <w:t>“</w:t>
      </w:r>
      <w:bookmarkEnd w:id="0"/>
      <w:r w:rsidRPr="00661953">
        <w:rPr>
          <w:rFonts w:ascii="Verdana" w:eastAsia="Century Gothic" w:hAnsi="Verdana" w:cs="Century Gothic"/>
          <w:color w:val="000000" w:themeColor="text1"/>
          <w:sz w:val="20"/>
          <w:szCs w:val="20"/>
          <w:lang w:val="es-ES"/>
        </w:rPr>
        <w:t>Actualmente soy contratista por modalidad Ops de la alcaldía Municipal en la oficina del Sisbén, cuanto</w:t>
      </w:r>
      <w:r>
        <w:rPr>
          <w:rFonts w:ascii="Verdana" w:eastAsia="Century Gothic" w:hAnsi="Verdana" w:cs="Century Gothic"/>
          <w:color w:val="000000" w:themeColor="text1"/>
          <w:sz w:val="20"/>
          <w:szCs w:val="20"/>
          <w:lang w:val="es-ES"/>
        </w:rPr>
        <w:t xml:space="preserve"> </w:t>
      </w:r>
      <w:r w:rsidRPr="00661953">
        <w:rPr>
          <w:rFonts w:ascii="Verdana" w:eastAsia="Century Gothic" w:hAnsi="Verdana" w:cs="Century Gothic"/>
          <w:color w:val="000000" w:themeColor="text1"/>
          <w:sz w:val="20"/>
          <w:szCs w:val="20"/>
          <w:lang w:val="es-ES"/>
        </w:rPr>
        <w:t>con una empresa conformada para procesos de logística y prestación de servicios de mantenimiento de</w:t>
      </w:r>
      <w:r>
        <w:rPr>
          <w:rFonts w:ascii="Verdana" w:eastAsia="Century Gothic" w:hAnsi="Verdana" w:cs="Century Gothic"/>
          <w:color w:val="000000" w:themeColor="text1"/>
          <w:sz w:val="20"/>
          <w:szCs w:val="20"/>
          <w:lang w:val="es-ES"/>
        </w:rPr>
        <w:t xml:space="preserve"> </w:t>
      </w:r>
      <w:r w:rsidRPr="00661953">
        <w:rPr>
          <w:rFonts w:ascii="Verdana" w:eastAsia="Century Gothic" w:hAnsi="Verdana" w:cs="Century Gothic"/>
          <w:color w:val="000000" w:themeColor="text1"/>
          <w:sz w:val="20"/>
          <w:szCs w:val="20"/>
          <w:lang w:val="es-ES"/>
        </w:rPr>
        <w:t>vehículos y otras actividades formalmente constituida en Cámara y comercio, solicito concepto si me</w:t>
      </w:r>
      <w:r>
        <w:rPr>
          <w:rFonts w:ascii="Verdana" w:eastAsia="Century Gothic" w:hAnsi="Verdana" w:cs="Century Gothic"/>
          <w:color w:val="000000" w:themeColor="text1"/>
          <w:sz w:val="20"/>
          <w:szCs w:val="20"/>
          <w:lang w:val="es-ES"/>
        </w:rPr>
        <w:t xml:space="preserve"> </w:t>
      </w:r>
      <w:r w:rsidRPr="00661953">
        <w:rPr>
          <w:rFonts w:ascii="Verdana" w:eastAsia="Century Gothic" w:hAnsi="Verdana" w:cs="Century Gothic"/>
          <w:color w:val="000000" w:themeColor="text1"/>
          <w:sz w:val="20"/>
          <w:szCs w:val="20"/>
          <w:lang w:val="es-ES"/>
        </w:rPr>
        <w:t>encuentro incurso en alguna inhabilidad, incompatibilidad y/o conflicto de intereses para participar de</w:t>
      </w:r>
      <w:r>
        <w:rPr>
          <w:rFonts w:ascii="Verdana" w:eastAsia="Century Gothic" w:hAnsi="Verdana" w:cs="Century Gothic"/>
          <w:color w:val="000000" w:themeColor="text1"/>
          <w:sz w:val="20"/>
          <w:szCs w:val="20"/>
          <w:lang w:val="es-ES"/>
        </w:rPr>
        <w:t xml:space="preserve"> </w:t>
      </w:r>
      <w:r w:rsidRPr="00661953">
        <w:rPr>
          <w:rFonts w:ascii="Verdana" w:eastAsia="Century Gothic" w:hAnsi="Verdana" w:cs="Century Gothic"/>
          <w:color w:val="000000" w:themeColor="text1"/>
          <w:sz w:val="20"/>
          <w:szCs w:val="20"/>
          <w:lang w:val="es-ES"/>
        </w:rPr>
        <w:t>procesos de convocatoria tales como procesos de mínima, menor cuantía y licitación en esta misma</w:t>
      </w:r>
      <w:r>
        <w:rPr>
          <w:rFonts w:ascii="Verdana" w:eastAsia="Century Gothic" w:hAnsi="Verdana" w:cs="Century Gothic"/>
          <w:color w:val="000000" w:themeColor="text1"/>
          <w:sz w:val="20"/>
          <w:szCs w:val="20"/>
          <w:lang w:val="es-ES"/>
        </w:rPr>
        <w:t xml:space="preserve"> </w:t>
      </w:r>
      <w:r w:rsidRPr="00661953">
        <w:rPr>
          <w:rFonts w:ascii="Verdana" w:eastAsia="Century Gothic" w:hAnsi="Verdana" w:cs="Century Gothic"/>
          <w:color w:val="000000" w:themeColor="text1"/>
          <w:sz w:val="20"/>
          <w:szCs w:val="20"/>
          <w:lang w:val="es-ES"/>
        </w:rPr>
        <w:t>entidad, aclarando que no tengo cargo de manejo y que dichos procesos no tienen relación alguna con</w:t>
      </w:r>
      <w:r>
        <w:rPr>
          <w:rFonts w:ascii="Verdana" w:eastAsia="Century Gothic" w:hAnsi="Verdana" w:cs="Century Gothic"/>
          <w:color w:val="000000" w:themeColor="text1"/>
          <w:sz w:val="20"/>
          <w:szCs w:val="20"/>
          <w:lang w:val="es-ES"/>
        </w:rPr>
        <w:t xml:space="preserve"> </w:t>
      </w:r>
      <w:r w:rsidRPr="00661953">
        <w:rPr>
          <w:rFonts w:ascii="Verdana" w:eastAsia="Century Gothic" w:hAnsi="Verdana" w:cs="Century Gothic"/>
          <w:color w:val="000000" w:themeColor="text1"/>
          <w:sz w:val="20"/>
          <w:szCs w:val="20"/>
          <w:lang w:val="es-ES"/>
        </w:rPr>
        <w:t>las obligaciones propias de mi contrato</w:t>
      </w:r>
      <w:r>
        <w:rPr>
          <w:rFonts w:ascii="Verdana" w:eastAsia="Century Gothic" w:hAnsi="Verdana" w:cs="Century Gothic"/>
          <w:color w:val="000000" w:themeColor="text1"/>
          <w:sz w:val="20"/>
          <w:szCs w:val="20"/>
          <w:lang w:val="es-ES"/>
        </w:rPr>
        <w:t>”.</w:t>
      </w:r>
    </w:p>
    <w:p w14:paraId="490A4AF1" w14:textId="77777777" w:rsidR="00661953" w:rsidRPr="00115E3D" w:rsidRDefault="00661953" w:rsidP="00661953">
      <w:pPr>
        <w:pStyle w:val="Prrafodelista"/>
        <w:tabs>
          <w:tab w:val="left" w:pos="142"/>
          <w:tab w:val="left" w:pos="284"/>
        </w:tabs>
        <w:spacing w:line="276" w:lineRule="auto"/>
        <w:ind w:left="0"/>
        <w:jc w:val="both"/>
        <w:rPr>
          <w:rFonts w:ascii="Verdana" w:eastAsia="Century Gothic" w:hAnsi="Verdana" w:cs="Century Gothic"/>
          <w:b/>
          <w:bCs/>
          <w:color w:val="000000" w:themeColor="text1"/>
          <w:lang w:val="es-ES"/>
        </w:rPr>
      </w:pPr>
    </w:p>
    <w:p w14:paraId="2AE9DE90" w14:textId="77777777" w:rsidR="00661953" w:rsidRPr="00115E3D" w:rsidRDefault="00661953" w:rsidP="00661953">
      <w:pPr>
        <w:spacing w:after="120" w:line="276" w:lineRule="auto"/>
        <w:ind w:firstLine="709"/>
        <w:jc w:val="both"/>
        <w:rPr>
          <w:rFonts w:ascii="Verdana" w:eastAsia="Calibri" w:hAnsi="Verdana" w:cs="Arial"/>
          <w:color w:val="000000" w:themeColor="text1"/>
          <w:szCs w:val="24"/>
          <w:lang w:val="es-ES_tradnl" w:eastAsia="es-ES_tradnl"/>
        </w:rPr>
      </w:pPr>
      <w:r w:rsidRPr="00115E3D">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5E3D">
        <w:rPr>
          <w:rFonts w:ascii="Verdana" w:eastAsia="Calibri" w:hAnsi="Verdana" w:cs="Arial"/>
          <w:color w:val="000000" w:themeColor="text1"/>
          <w:szCs w:val="24"/>
          <w:lang w:val="es-ES_tradnl" w:eastAsia="es-ES_tradnl"/>
        </w:rPr>
        <w:tab/>
      </w:r>
    </w:p>
    <w:p w14:paraId="690BFA13" w14:textId="77777777" w:rsidR="00661953" w:rsidRPr="00115E3D" w:rsidRDefault="00661953" w:rsidP="00661953">
      <w:pPr>
        <w:spacing w:after="0" w:line="276" w:lineRule="auto"/>
        <w:ind w:firstLine="709"/>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0B859AD9" w14:textId="77777777" w:rsidR="00661953" w:rsidRPr="00115E3D" w:rsidRDefault="00661953" w:rsidP="00661953">
      <w:pPr>
        <w:spacing w:after="0" w:line="276" w:lineRule="auto"/>
        <w:ind w:firstLine="709"/>
        <w:jc w:val="both"/>
        <w:rPr>
          <w:rFonts w:ascii="Verdana" w:eastAsia="Calibri" w:hAnsi="Verdana" w:cs="Arial"/>
          <w:color w:val="000000" w:themeColor="text1"/>
          <w:lang w:val="es-ES" w:eastAsia="es-ES"/>
        </w:rPr>
      </w:pPr>
    </w:p>
    <w:p w14:paraId="1F92388C" w14:textId="77777777" w:rsidR="00661953" w:rsidRPr="00115E3D" w:rsidRDefault="00661953" w:rsidP="00661953">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Problema planteado:</w:t>
      </w:r>
    </w:p>
    <w:p w14:paraId="479011CD" w14:textId="77777777" w:rsidR="00661953" w:rsidRPr="00115E3D" w:rsidRDefault="00661953" w:rsidP="00661953">
      <w:pPr>
        <w:tabs>
          <w:tab w:val="left" w:pos="426"/>
        </w:tabs>
        <w:spacing w:after="0" w:line="276" w:lineRule="auto"/>
        <w:jc w:val="both"/>
        <w:rPr>
          <w:rFonts w:ascii="Verdana" w:eastAsia="Century Gothic" w:hAnsi="Verdana" w:cs="Century Gothic"/>
          <w:color w:val="000000" w:themeColor="text1"/>
          <w:lang w:val="es-ES"/>
        </w:rPr>
      </w:pPr>
    </w:p>
    <w:p w14:paraId="7D07AF20" w14:textId="1B136720" w:rsidR="00661953" w:rsidRDefault="00661953" w:rsidP="00661953">
      <w:pPr>
        <w:spacing w:after="0" w:line="276" w:lineRule="auto"/>
        <w:jc w:val="both"/>
        <w:rPr>
          <w:rFonts w:ascii="Verdana" w:eastAsia="Century Gothic" w:hAnsi="Verdana" w:cs="Century Gothic"/>
          <w:color w:val="000000" w:themeColor="text1"/>
        </w:rPr>
      </w:pPr>
      <w:r w:rsidRPr="00115E3D">
        <w:rPr>
          <w:rFonts w:ascii="Verdana" w:eastAsia="Century Gothic" w:hAnsi="Verdana" w:cs="Century Gothic"/>
          <w:color w:val="000000" w:themeColor="text1"/>
        </w:rPr>
        <w:t xml:space="preserve">De acuerdo con el contenido de su solicitud, esta Agencia resolverá </w:t>
      </w:r>
      <w:r w:rsidR="00AB3348" w:rsidRPr="00115E3D">
        <w:rPr>
          <w:rFonts w:ascii="Verdana" w:eastAsia="Century Gothic" w:hAnsi="Verdana" w:cs="Century Gothic"/>
          <w:color w:val="000000" w:themeColor="text1"/>
        </w:rPr>
        <w:t>el siguiente problema</w:t>
      </w:r>
      <w:r w:rsidR="00456BB7" w:rsidRPr="00115E3D">
        <w:rPr>
          <w:rFonts w:ascii="Verdana" w:eastAsia="Century Gothic" w:hAnsi="Verdana" w:cs="Century Gothic"/>
          <w:color w:val="000000" w:themeColor="text1"/>
        </w:rPr>
        <w:t xml:space="preserve"> jurídico</w:t>
      </w:r>
      <w:r w:rsidRPr="00115E3D">
        <w:rPr>
          <w:rFonts w:ascii="Verdana" w:eastAsia="Century Gothic" w:hAnsi="Verdana" w:cs="Century Gothic"/>
          <w:color w:val="000000" w:themeColor="text1"/>
        </w:rPr>
        <w:t xml:space="preserve">: </w:t>
      </w:r>
    </w:p>
    <w:p w14:paraId="77AF3790" w14:textId="77777777" w:rsidR="00AB3348" w:rsidRDefault="00AB3348" w:rsidP="00661953">
      <w:pPr>
        <w:spacing w:after="0" w:line="276" w:lineRule="auto"/>
        <w:jc w:val="both"/>
        <w:rPr>
          <w:rFonts w:ascii="Verdana" w:eastAsia="Century Gothic" w:hAnsi="Verdana" w:cs="Century Gothic"/>
          <w:color w:val="000000" w:themeColor="text1"/>
        </w:rPr>
      </w:pPr>
    </w:p>
    <w:p w14:paraId="616A32A4" w14:textId="4AB4C2D6" w:rsidR="005B4C2B" w:rsidRPr="00DB0612" w:rsidRDefault="003E6924" w:rsidP="005B4C2B">
      <w:pPr>
        <w:pStyle w:val="Prrafodelista"/>
        <w:numPr>
          <w:ilvl w:val="0"/>
          <w:numId w:val="4"/>
        </w:numPr>
        <w:spacing w:after="0" w:line="276" w:lineRule="auto"/>
        <w:jc w:val="both"/>
        <w:rPr>
          <w:rFonts w:ascii="Verdana" w:eastAsia="Century Gothic" w:hAnsi="Verdana" w:cs="Century Gothic"/>
          <w:i/>
          <w:iCs/>
          <w:color w:val="000000" w:themeColor="text1"/>
        </w:rPr>
      </w:pPr>
      <w:r w:rsidRPr="003E6924">
        <w:rPr>
          <w:rFonts w:ascii="Verdana" w:eastAsia="Century Gothic" w:hAnsi="Verdana" w:cs="Century Gothic"/>
          <w:i/>
          <w:iCs/>
          <w:color w:val="000000" w:themeColor="text1"/>
        </w:rPr>
        <w:t xml:space="preserve">¿Existen inhabilidades, incompatibilidades o conflictos de intereses que impidan la participación de una persona que tiene un contrato de </w:t>
      </w:r>
      <w:r w:rsidRPr="003E6924">
        <w:rPr>
          <w:rFonts w:ascii="Verdana" w:eastAsia="Century Gothic" w:hAnsi="Verdana" w:cs="Century Gothic"/>
          <w:i/>
          <w:iCs/>
          <w:color w:val="000000" w:themeColor="text1"/>
        </w:rPr>
        <w:lastRenderedPageBreak/>
        <w:t>prestación de servicios, en procesos de mínima, menor cuantía y licitación de la misma entidad en la que es contratista?</w:t>
      </w:r>
    </w:p>
    <w:p w14:paraId="2AD64DAC" w14:textId="77777777" w:rsidR="00661953" w:rsidRPr="005B4C2B" w:rsidRDefault="00661953" w:rsidP="00661953">
      <w:pPr>
        <w:spacing w:after="0" w:line="276" w:lineRule="auto"/>
        <w:jc w:val="both"/>
        <w:rPr>
          <w:rFonts w:ascii="Verdana" w:eastAsia="Calibri" w:hAnsi="Verdana" w:cs="Arial"/>
          <w:color w:val="000000" w:themeColor="text1"/>
        </w:rPr>
      </w:pPr>
    </w:p>
    <w:p w14:paraId="7A6E7A73" w14:textId="77777777" w:rsidR="00661953" w:rsidRPr="00115E3D" w:rsidRDefault="00661953" w:rsidP="0066195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Respuesta:</w:t>
      </w:r>
    </w:p>
    <w:p w14:paraId="7B5C8C1A" w14:textId="77777777" w:rsidR="00661953" w:rsidRPr="00115E3D" w:rsidRDefault="00661953" w:rsidP="00661953">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61953" w:rsidRPr="00115E3D" w14:paraId="16BCBE80" w14:textId="77777777" w:rsidTr="003028CD">
        <w:tc>
          <w:tcPr>
            <w:tcW w:w="8828" w:type="dxa"/>
            <w:shd w:val="clear" w:color="auto" w:fill="auto"/>
          </w:tcPr>
          <w:p w14:paraId="10DC79B7" w14:textId="77777777" w:rsidR="003E6924" w:rsidRPr="003E6924" w:rsidRDefault="003E6924" w:rsidP="003E6924">
            <w:pPr>
              <w:spacing w:line="276" w:lineRule="auto"/>
              <w:jc w:val="both"/>
              <w:rPr>
                <w:rFonts w:ascii="Verdana" w:eastAsia="Calibri" w:hAnsi="Verdana" w:cs="Arial"/>
                <w:color w:val="000000" w:themeColor="text1"/>
              </w:rPr>
            </w:pPr>
            <w:r w:rsidRPr="003E6924">
              <w:rPr>
                <w:rFonts w:ascii="Verdana" w:eastAsia="Calibri" w:hAnsi="Verdana" w:cs="Arial"/>
                <w:color w:val="000000" w:themeColor="text1"/>
              </w:rPr>
              <w:t>En principio, no existen inhabilidades o incompatibilidades explícitas en la ley que impidan a una persona contratada mediante un contrato de prestación de servicios participar en procesos de mínima cuantía, menor cuantía o licitación dentro de la misma entidad en la que presta sus servicios. Sin embargo, deben considerarse los principios de transparencia y moralidad establecidos en el artículo 209 de la Constitución Política y las disposiciones de la Ley 1474 de 2011 (Estatuto Anticorrupción) que buscan evitar conflictos de interés. La entidad pública puede incluir en los pliegos de condiciones causales de exclusión para asegurar la imparcialidad en la contratación, especialmente si existen relaciones de parentesco o intereses que puedan influir en el proceso de selección. Esto garantiza que los principios de objetividad y transparencia no se vean comprometidos en la contratación pública.</w:t>
            </w:r>
          </w:p>
          <w:p w14:paraId="75362D15" w14:textId="77777777" w:rsidR="003E6924" w:rsidRPr="003E6924" w:rsidRDefault="003E6924" w:rsidP="003E6924">
            <w:pPr>
              <w:spacing w:line="276" w:lineRule="auto"/>
              <w:jc w:val="both"/>
              <w:rPr>
                <w:rFonts w:ascii="Verdana" w:eastAsia="Calibri" w:hAnsi="Verdana" w:cs="Arial"/>
                <w:color w:val="000000" w:themeColor="text1"/>
              </w:rPr>
            </w:pPr>
          </w:p>
          <w:p w14:paraId="3A6C7167" w14:textId="77777777" w:rsidR="003E6924" w:rsidRPr="003E6924" w:rsidRDefault="003E6924" w:rsidP="003E6924">
            <w:pPr>
              <w:spacing w:line="276" w:lineRule="auto"/>
              <w:jc w:val="both"/>
              <w:rPr>
                <w:rFonts w:ascii="Verdana" w:eastAsia="Calibri" w:hAnsi="Verdana" w:cs="Arial"/>
                <w:color w:val="000000" w:themeColor="text1"/>
                <w:lang w:val="es-MX"/>
              </w:rPr>
            </w:pPr>
            <w:r w:rsidRPr="003E6924">
              <w:rPr>
                <w:rFonts w:ascii="Verdana" w:eastAsia="Calibri" w:hAnsi="Verdana" w:cs="Arial"/>
                <w:color w:val="000000" w:themeColor="text1"/>
                <w:lang w:val="es-MX"/>
              </w:rPr>
              <w:t>Finalmente, con base en lo anterior, es posible responder a su consulta afirmando que corresponde a cada Entidad Pública, en ejercicio de su competencia y previa valoración de los elementos fácticos y jurídicos, determinar si se está incurso en alguna causal de inhabilidad o incompatibilidad, o, según lo establecido en la ley, y previamente en el pliego de condiciones o invitación –según corresponda–, en virtud de la facultad que tienen estas para establecer causales de rechazo relacionadas con los conflictos de interés, si se configura alguno.</w:t>
            </w:r>
          </w:p>
          <w:p w14:paraId="2877CB3D" w14:textId="54169336" w:rsidR="00661953" w:rsidRPr="003E6924" w:rsidRDefault="00661953" w:rsidP="003028CD">
            <w:pPr>
              <w:spacing w:line="276" w:lineRule="auto"/>
              <w:jc w:val="both"/>
              <w:rPr>
                <w:rFonts w:ascii="Verdana" w:eastAsia="Calibri" w:hAnsi="Verdana" w:cs="Arial"/>
                <w:color w:val="000000" w:themeColor="text1"/>
                <w:lang w:val="es-MX"/>
              </w:rPr>
            </w:pPr>
          </w:p>
        </w:tc>
      </w:tr>
    </w:tbl>
    <w:p w14:paraId="61E4F815" w14:textId="77777777" w:rsidR="00661953" w:rsidRPr="00115E3D" w:rsidRDefault="00661953" w:rsidP="00661953">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280E37B0" w14:textId="77777777" w:rsidR="00661953" w:rsidRPr="00115E3D" w:rsidRDefault="00661953" w:rsidP="0066195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Razones de la respuesta:</w:t>
      </w:r>
    </w:p>
    <w:p w14:paraId="447B30A8" w14:textId="77777777" w:rsidR="00661953" w:rsidRPr="00115E3D" w:rsidRDefault="00661953" w:rsidP="00661953">
      <w:pPr>
        <w:spacing w:after="0" w:line="276" w:lineRule="auto"/>
        <w:jc w:val="both"/>
        <w:rPr>
          <w:rFonts w:ascii="Verdana" w:eastAsia="Calibri" w:hAnsi="Verdana" w:cs="Arial"/>
          <w:color w:val="000000" w:themeColor="text1"/>
          <w:lang w:val="es-ES"/>
        </w:rPr>
      </w:pPr>
    </w:p>
    <w:p w14:paraId="45066F14" w14:textId="77777777" w:rsidR="00661953" w:rsidRPr="00115E3D" w:rsidRDefault="00661953" w:rsidP="00661953">
      <w:pPr>
        <w:spacing w:after="0" w:line="276" w:lineRule="auto"/>
        <w:jc w:val="both"/>
        <w:rPr>
          <w:rFonts w:ascii="Verdana" w:eastAsia="Calibri" w:hAnsi="Verdana" w:cs="Arial"/>
          <w:color w:val="000000" w:themeColor="text1"/>
          <w:lang w:val="es-ES"/>
        </w:rPr>
      </w:pPr>
      <w:r w:rsidRPr="00115E3D">
        <w:rPr>
          <w:rFonts w:ascii="Verdana" w:eastAsia="Calibri" w:hAnsi="Verdana" w:cs="Arial"/>
          <w:color w:val="000000" w:themeColor="text1"/>
          <w:lang w:val="es-ES"/>
        </w:rPr>
        <w:t xml:space="preserve">Lo anterior se sustenta en las siguientes consideraciones: </w:t>
      </w:r>
    </w:p>
    <w:p w14:paraId="22E02823" w14:textId="77777777" w:rsidR="00661953" w:rsidRPr="00115E3D" w:rsidRDefault="00661953" w:rsidP="00661953">
      <w:pPr>
        <w:spacing w:after="0" w:line="276" w:lineRule="auto"/>
        <w:jc w:val="both"/>
        <w:rPr>
          <w:rFonts w:ascii="Verdana" w:eastAsia="Calibri" w:hAnsi="Verdana" w:cs="Arial"/>
          <w:color w:val="000000" w:themeColor="text1"/>
          <w:lang w:val="es-ES"/>
        </w:rPr>
      </w:pPr>
    </w:p>
    <w:p w14:paraId="03EFB5FE"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MX"/>
        </w:rPr>
      </w:pPr>
      <w:r w:rsidRPr="002A4195">
        <w:rPr>
          <w:rFonts w:ascii="Verdana" w:hAnsi="Verdana" w:cs="Arial"/>
          <w:color w:val="000000" w:themeColor="text1"/>
          <w:lang w:val="es-ES"/>
        </w:rPr>
        <w:t>Respecto del objeto de su consulta, en primer lugar, debe advertirse que,</w:t>
      </w:r>
      <w:r w:rsidRPr="002A4195">
        <w:rPr>
          <w:rFonts w:ascii="Verdana" w:hAnsi="Verdana" w:cs="Arial"/>
          <w:color w:val="000000" w:themeColor="text1"/>
          <w:lang w:val="es-ES_tradnl"/>
        </w:rPr>
        <w:t xml:space="preserve"> l</w:t>
      </w:r>
      <w:r w:rsidRPr="002A4195">
        <w:rPr>
          <w:rFonts w:ascii="Verdana" w:hAnsi="Verdana" w:cs="Arial"/>
          <w:color w:val="000000" w:themeColor="text1"/>
          <w:lang w:val="es-MX"/>
        </w:rPr>
        <w:t xml:space="preserve">as inhabilidades son circunstancias establecidas por la Constitución o en la ley que impiden que personas naturales o jurídicas sean elegidas o designadas en un cargo público o celebren contratos con el Estado, con el </w:t>
      </w:r>
      <w:r w:rsidRPr="002A4195">
        <w:rPr>
          <w:rFonts w:ascii="Verdana" w:hAnsi="Verdana" w:cs="Arial"/>
          <w:color w:val="000000" w:themeColor="text1"/>
          <w:lang w:val="es-MX"/>
        </w:rPr>
        <w:lastRenderedPageBreak/>
        <w:t xml:space="preserve">objetivo de garantizar la idoneidad, imparcialidad, probidad, transparencia y moralidad de la función pública, garantizando el interés general.  </w:t>
      </w:r>
    </w:p>
    <w:p w14:paraId="1E258D98"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MX"/>
        </w:rPr>
      </w:pPr>
    </w:p>
    <w:p w14:paraId="21B5BC2A"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MX"/>
        </w:rPr>
      </w:pPr>
      <w:r w:rsidRPr="002A4195">
        <w:rPr>
          <w:rFonts w:ascii="Verdana" w:hAnsi="Verdana" w:cs="Arial"/>
          <w:color w:val="000000" w:themeColor="text1"/>
          <w:lang w:val="es-MX"/>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Al respecto,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2A4195">
        <w:rPr>
          <w:rFonts w:ascii="Verdana" w:hAnsi="Verdana" w:cs="Arial"/>
          <w:color w:val="000000" w:themeColor="text1"/>
          <w:vertAlign w:val="superscript"/>
          <w:lang w:val="es-MX"/>
        </w:rPr>
        <w:footnoteReference w:id="1"/>
      </w:r>
      <w:r w:rsidRPr="002A4195">
        <w:rPr>
          <w:rFonts w:ascii="Verdana" w:hAnsi="Verdana" w:cs="Arial"/>
          <w:color w:val="000000" w:themeColor="text1"/>
          <w:lang w:val="es-MX"/>
        </w:rPr>
        <w:t xml:space="preserve">. </w:t>
      </w:r>
    </w:p>
    <w:p w14:paraId="540056B9"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MX"/>
        </w:rPr>
      </w:pPr>
    </w:p>
    <w:p w14:paraId="2C0BCB47"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MX"/>
        </w:rPr>
      </w:pPr>
      <w:r w:rsidRPr="002A4195">
        <w:rPr>
          <w:rFonts w:ascii="Verdana" w:hAnsi="Verdana" w:cs="Arial"/>
          <w:color w:val="000000" w:themeColor="text1"/>
          <w:lang w:val="es-MX"/>
        </w:rPr>
        <w:t xml:space="preserve">La consagración de limitaciones que afectan la capacidad jurídica para contratar desarrolla los principios de la función administrativa consagrados en el artículo 209 de la Constitución Política, con especial énfasis el de moralidad. Así lo entiende el Consejo de Estado: </w:t>
      </w:r>
    </w:p>
    <w:p w14:paraId="5B8234FD"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MX"/>
        </w:rPr>
      </w:pPr>
    </w:p>
    <w:p w14:paraId="2D37B1B7" w14:textId="77777777" w:rsidR="002A4195" w:rsidRPr="00C5324D" w:rsidRDefault="002A4195" w:rsidP="00520FF1">
      <w:pPr>
        <w:widowControl w:val="0"/>
        <w:autoSpaceDE w:val="0"/>
        <w:autoSpaceDN w:val="0"/>
        <w:spacing w:after="120" w:line="240" w:lineRule="auto"/>
        <w:ind w:left="1134" w:right="357"/>
        <w:jc w:val="both"/>
        <w:rPr>
          <w:rFonts w:ascii="Verdana" w:hAnsi="Verdana" w:cs="Arial"/>
          <w:i/>
          <w:iCs/>
          <w:color w:val="000000" w:themeColor="text1"/>
          <w:sz w:val="20"/>
          <w:szCs w:val="20"/>
          <w:lang w:val="es-ES"/>
        </w:rPr>
      </w:pPr>
      <w:r w:rsidRPr="002A4195">
        <w:rPr>
          <w:rFonts w:ascii="Verdana" w:hAnsi="Verdana" w:cs="Arial"/>
          <w:i/>
          <w:iCs/>
          <w:color w:val="000000" w:themeColor="text1"/>
          <w:sz w:val="20"/>
          <w:szCs w:val="20"/>
          <w:lang w:val="es-ES"/>
        </w:rPr>
        <w:t>“</w:t>
      </w:r>
      <w:r w:rsidRPr="00C5324D">
        <w:rPr>
          <w:rFonts w:ascii="Verdana" w:hAnsi="Verdana" w:cs="Arial"/>
          <w:i/>
          <w:iCs/>
          <w:color w:val="000000" w:themeColor="text1"/>
          <w:sz w:val="20"/>
          <w:szCs w:val="20"/>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4CA99139" w14:textId="77777777" w:rsidR="002A4195" w:rsidRPr="00C5324D" w:rsidRDefault="002A4195" w:rsidP="00520FF1">
      <w:pPr>
        <w:widowControl w:val="0"/>
        <w:autoSpaceDE w:val="0"/>
        <w:autoSpaceDN w:val="0"/>
        <w:spacing w:after="120" w:line="240" w:lineRule="auto"/>
        <w:ind w:left="1134" w:right="357"/>
        <w:jc w:val="both"/>
        <w:rPr>
          <w:rFonts w:ascii="Verdana" w:hAnsi="Verdana" w:cs="Arial"/>
          <w:i/>
          <w:iCs/>
          <w:color w:val="000000" w:themeColor="text1"/>
          <w:sz w:val="20"/>
          <w:szCs w:val="20"/>
          <w:lang w:val="es-ES"/>
        </w:rPr>
      </w:pPr>
    </w:p>
    <w:p w14:paraId="20350616" w14:textId="77777777" w:rsidR="002A4195" w:rsidRPr="00C5324D" w:rsidRDefault="002A4195" w:rsidP="00520FF1">
      <w:pPr>
        <w:widowControl w:val="0"/>
        <w:autoSpaceDE w:val="0"/>
        <w:autoSpaceDN w:val="0"/>
        <w:spacing w:after="120" w:line="240" w:lineRule="auto"/>
        <w:ind w:left="1134" w:right="357"/>
        <w:jc w:val="both"/>
        <w:rPr>
          <w:rFonts w:ascii="Verdana" w:hAnsi="Verdana" w:cs="Arial"/>
          <w:i/>
          <w:iCs/>
          <w:color w:val="000000" w:themeColor="text1"/>
          <w:sz w:val="20"/>
          <w:szCs w:val="20"/>
          <w:lang w:val="es-ES"/>
        </w:rPr>
      </w:pPr>
      <w:r w:rsidRPr="00C5324D">
        <w:rPr>
          <w:rFonts w:ascii="Verdana" w:hAnsi="Verdana" w:cs="Arial"/>
          <w:i/>
          <w:iCs/>
          <w:color w:val="000000" w:themeColor="text1"/>
          <w:sz w:val="20"/>
          <w:szCs w:val="20"/>
          <w:lang w:val="es-ES"/>
        </w:rPr>
        <w:t xml:space="preserve">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w:t>
      </w:r>
      <w:r w:rsidRPr="00C5324D">
        <w:rPr>
          <w:rFonts w:ascii="Verdana" w:hAnsi="Verdana" w:cs="Arial"/>
          <w:i/>
          <w:iCs/>
          <w:color w:val="000000" w:themeColor="text1"/>
          <w:sz w:val="20"/>
          <w:szCs w:val="20"/>
          <w:lang w:val="es-ES"/>
        </w:rPr>
        <w:lastRenderedPageBreak/>
        <w:t>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C5324D">
        <w:rPr>
          <w:rFonts w:ascii="Verdana" w:hAnsi="Verdana" w:cs="Arial"/>
          <w:i/>
          <w:iCs/>
          <w:color w:val="000000" w:themeColor="text1"/>
          <w:sz w:val="20"/>
          <w:szCs w:val="20"/>
          <w:vertAlign w:val="superscript"/>
          <w:lang w:val="es-ES"/>
        </w:rPr>
        <w:footnoteReference w:id="2"/>
      </w:r>
      <w:r w:rsidRPr="00C5324D">
        <w:rPr>
          <w:rFonts w:ascii="Verdana" w:hAnsi="Verdana" w:cs="Arial"/>
          <w:i/>
          <w:iCs/>
          <w:color w:val="000000" w:themeColor="text1"/>
          <w:sz w:val="20"/>
          <w:szCs w:val="20"/>
          <w:lang w:val="es-ES"/>
        </w:rPr>
        <w:t xml:space="preserve"> </w:t>
      </w:r>
    </w:p>
    <w:p w14:paraId="2D372D52"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MX"/>
        </w:rPr>
      </w:pPr>
    </w:p>
    <w:p w14:paraId="38D26686"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MX"/>
        </w:rPr>
      </w:pPr>
      <w:r w:rsidRPr="002A4195">
        <w:rPr>
          <w:rFonts w:ascii="Verdana" w:hAnsi="Verdana" w:cs="Arial"/>
          <w:color w:val="000000" w:themeColor="text1"/>
          <w:lang w:val="es-MX"/>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7AB4044F"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
        </w:rPr>
      </w:pPr>
    </w:p>
    <w:p w14:paraId="67163E89" w14:textId="77777777" w:rsidR="002A4195" w:rsidRPr="002A4195" w:rsidRDefault="002A4195" w:rsidP="00520FF1">
      <w:pPr>
        <w:widowControl w:val="0"/>
        <w:autoSpaceDE w:val="0"/>
        <w:autoSpaceDN w:val="0"/>
        <w:spacing w:after="120" w:line="240" w:lineRule="auto"/>
        <w:ind w:left="1134" w:right="357"/>
        <w:jc w:val="both"/>
        <w:rPr>
          <w:rFonts w:ascii="Verdana" w:hAnsi="Verdana" w:cs="Arial"/>
          <w:i/>
          <w:iCs/>
          <w:color w:val="000000" w:themeColor="text1"/>
          <w:sz w:val="20"/>
          <w:szCs w:val="20"/>
          <w:lang w:val="es-ES"/>
        </w:rPr>
      </w:pPr>
      <w:r w:rsidRPr="002A4195">
        <w:rPr>
          <w:rFonts w:ascii="Verdana" w:hAnsi="Verdana" w:cs="Arial"/>
          <w:color w:val="000000" w:themeColor="text1"/>
          <w:sz w:val="20"/>
          <w:szCs w:val="20"/>
          <w:lang w:val="es-ES"/>
        </w:rPr>
        <w:t>“</w:t>
      </w:r>
      <w:r w:rsidRPr="002A4195">
        <w:rPr>
          <w:rFonts w:ascii="Verdana" w:hAnsi="Verdana" w:cs="Arial"/>
          <w:i/>
          <w:iCs/>
          <w:color w:val="000000" w:themeColor="text1"/>
          <w:sz w:val="20"/>
          <w:szCs w:val="20"/>
          <w:lang w:val="es-ES"/>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5B6A0714" w14:textId="77777777" w:rsidR="002A4195" w:rsidRPr="002A4195" w:rsidRDefault="002A4195" w:rsidP="00520FF1">
      <w:pPr>
        <w:widowControl w:val="0"/>
        <w:autoSpaceDE w:val="0"/>
        <w:autoSpaceDN w:val="0"/>
        <w:spacing w:after="120" w:line="240" w:lineRule="auto"/>
        <w:ind w:left="1134" w:right="357"/>
        <w:jc w:val="both"/>
        <w:rPr>
          <w:rFonts w:ascii="Verdana" w:hAnsi="Verdana" w:cs="Arial"/>
          <w:i/>
          <w:iCs/>
          <w:color w:val="000000" w:themeColor="text1"/>
          <w:sz w:val="20"/>
          <w:szCs w:val="20"/>
          <w:lang w:val="es-ES"/>
        </w:rPr>
      </w:pPr>
    </w:p>
    <w:p w14:paraId="0D9E6708" w14:textId="77777777" w:rsidR="002A4195" w:rsidRPr="002A4195" w:rsidRDefault="002A4195" w:rsidP="00520FF1">
      <w:pPr>
        <w:widowControl w:val="0"/>
        <w:autoSpaceDE w:val="0"/>
        <w:autoSpaceDN w:val="0"/>
        <w:spacing w:after="120" w:line="240" w:lineRule="auto"/>
        <w:ind w:left="1134" w:right="357"/>
        <w:jc w:val="both"/>
        <w:rPr>
          <w:rFonts w:ascii="Verdana" w:hAnsi="Verdana" w:cs="Arial"/>
          <w:i/>
          <w:iCs/>
          <w:color w:val="000000" w:themeColor="text1"/>
          <w:sz w:val="20"/>
          <w:szCs w:val="20"/>
          <w:lang w:val="es-ES"/>
        </w:rPr>
      </w:pPr>
      <w:r w:rsidRPr="002A4195">
        <w:rPr>
          <w:rFonts w:ascii="Verdana" w:hAnsi="Verdana" w:cs="Arial"/>
          <w:i/>
          <w:iCs/>
          <w:color w:val="000000" w:themeColor="text1"/>
          <w:sz w:val="20"/>
          <w:szCs w:val="20"/>
          <w:lang w:val="es-ES"/>
        </w:rPr>
        <w:t xml:space="preserve">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w:t>
      </w:r>
      <w:r w:rsidRPr="002A4195">
        <w:rPr>
          <w:rFonts w:ascii="Verdana" w:hAnsi="Verdana" w:cs="Arial"/>
          <w:i/>
          <w:iCs/>
          <w:color w:val="000000" w:themeColor="text1"/>
          <w:sz w:val="20"/>
          <w:szCs w:val="20"/>
          <w:lang w:val="es-ES"/>
        </w:rPr>
        <w:lastRenderedPageBreak/>
        <w:t>jurídica de las personas que resultan rechazadas del ámbito contractual del Estado”</w:t>
      </w:r>
      <w:r w:rsidRPr="00850396">
        <w:rPr>
          <w:rFonts w:ascii="Verdana" w:hAnsi="Verdana" w:cs="Arial"/>
          <w:i/>
          <w:iCs/>
          <w:color w:val="000000" w:themeColor="text1"/>
          <w:sz w:val="20"/>
          <w:szCs w:val="20"/>
          <w:vertAlign w:val="superscript"/>
          <w:lang w:val="es-ES"/>
        </w:rPr>
        <w:footnoteReference w:id="3"/>
      </w:r>
      <w:r w:rsidRPr="002A4195">
        <w:rPr>
          <w:rFonts w:ascii="Verdana" w:hAnsi="Verdana" w:cs="Arial"/>
          <w:i/>
          <w:iCs/>
          <w:color w:val="000000" w:themeColor="text1"/>
          <w:sz w:val="20"/>
          <w:szCs w:val="20"/>
          <w:lang w:val="es-ES"/>
        </w:rPr>
        <w:t>.</w:t>
      </w:r>
    </w:p>
    <w:p w14:paraId="10E34C71"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
        </w:rPr>
      </w:pPr>
    </w:p>
    <w:p w14:paraId="7AF836CE"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ES"/>
        </w:rPr>
      </w:pPr>
      <w:r w:rsidRPr="002A4195">
        <w:rPr>
          <w:rFonts w:ascii="Verdana" w:hAnsi="Verdana" w:cs="Arial"/>
          <w:color w:val="000000" w:themeColor="text1"/>
          <w:lang w:val="es-ES"/>
        </w:rPr>
        <w:t>Además, la Corte Constitucional explica que el legislador tiene la competencia para determinar qué hechos o situaciones generan inhabilidad para contratar, pues este régimen es un aspecto propio del Estatuto General de Contratación de la Administración Pública – en adelante EGCAP –, cuya expedición compete al Congreso de la República a la luz del artículo 150 de la Constitución Política, y que en esta materia rige el principio de legalidad:</w:t>
      </w:r>
    </w:p>
    <w:p w14:paraId="1F5B800A"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MX"/>
        </w:rPr>
      </w:pPr>
    </w:p>
    <w:p w14:paraId="144BB536" w14:textId="77777777" w:rsidR="002A4195" w:rsidRPr="00520FF1" w:rsidRDefault="002A4195" w:rsidP="00520FF1">
      <w:pPr>
        <w:widowControl w:val="0"/>
        <w:autoSpaceDE w:val="0"/>
        <w:autoSpaceDN w:val="0"/>
        <w:spacing w:after="120" w:line="240" w:lineRule="auto"/>
        <w:ind w:left="1134" w:right="357"/>
        <w:jc w:val="both"/>
        <w:rPr>
          <w:rFonts w:ascii="Verdana" w:hAnsi="Verdana" w:cs="Arial"/>
          <w:i/>
          <w:iCs/>
          <w:color w:val="000000" w:themeColor="text1"/>
          <w:sz w:val="20"/>
          <w:szCs w:val="20"/>
          <w:lang w:val="es-ES"/>
        </w:rPr>
      </w:pPr>
      <w:r w:rsidRPr="002A4195">
        <w:rPr>
          <w:rFonts w:ascii="Verdana" w:hAnsi="Verdana" w:cs="Arial"/>
          <w:color w:val="000000" w:themeColor="text1"/>
          <w:sz w:val="20"/>
          <w:szCs w:val="20"/>
          <w:lang w:val="es-MX"/>
        </w:rPr>
        <w:t>“</w:t>
      </w:r>
      <w:r w:rsidRPr="00520FF1">
        <w:rPr>
          <w:rFonts w:ascii="Verdana" w:hAnsi="Verdana" w:cs="Arial"/>
          <w:i/>
          <w:iCs/>
          <w:color w:val="000000" w:themeColor="text1"/>
          <w:sz w:val="20"/>
          <w:szCs w:val="20"/>
          <w:lang w:val="es-ES"/>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libértate, sino el de legalidad, el que ordena que la función pública debe someterse estrictamente a lo que disponga la Constitución y la ley (CP art. 6). </w:t>
      </w:r>
    </w:p>
    <w:p w14:paraId="37738739" w14:textId="77777777" w:rsidR="002A4195" w:rsidRPr="00520FF1" w:rsidRDefault="002A4195" w:rsidP="00520FF1">
      <w:pPr>
        <w:widowControl w:val="0"/>
        <w:autoSpaceDE w:val="0"/>
        <w:autoSpaceDN w:val="0"/>
        <w:spacing w:after="120" w:line="240" w:lineRule="auto"/>
        <w:ind w:left="1134" w:right="357"/>
        <w:jc w:val="both"/>
        <w:rPr>
          <w:rFonts w:ascii="Verdana" w:hAnsi="Verdana" w:cs="Arial"/>
          <w:i/>
          <w:iCs/>
          <w:color w:val="000000" w:themeColor="text1"/>
          <w:sz w:val="20"/>
          <w:szCs w:val="20"/>
          <w:lang w:val="es-ES"/>
        </w:rPr>
      </w:pPr>
    </w:p>
    <w:p w14:paraId="66176ECB" w14:textId="77777777" w:rsidR="002A4195" w:rsidRPr="00520FF1" w:rsidRDefault="002A4195" w:rsidP="00520FF1">
      <w:pPr>
        <w:widowControl w:val="0"/>
        <w:autoSpaceDE w:val="0"/>
        <w:autoSpaceDN w:val="0"/>
        <w:spacing w:after="120" w:line="240" w:lineRule="auto"/>
        <w:ind w:left="1134" w:right="357"/>
        <w:jc w:val="both"/>
        <w:rPr>
          <w:rFonts w:ascii="Verdana" w:hAnsi="Verdana" w:cs="Arial"/>
          <w:i/>
          <w:iCs/>
          <w:color w:val="000000" w:themeColor="text1"/>
          <w:sz w:val="20"/>
          <w:szCs w:val="20"/>
          <w:lang w:val="es-ES"/>
        </w:rPr>
      </w:pPr>
      <w:r w:rsidRPr="00520FF1">
        <w:rPr>
          <w:rFonts w:ascii="Verdana" w:hAnsi="Verdana" w:cs="Arial"/>
          <w:i/>
          <w:iCs/>
          <w:color w:val="000000" w:themeColor="text1"/>
          <w:sz w:val="20"/>
          <w:szCs w:val="20"/>
          <w:lang w:val="es-ES"/>
        </w:rPr>
        <w:t xml:space="preserve">[…] </w:t>
      </w:r>
    </w:p>
    <w:p w14:paraId="2C0260D3" w14:textId="77777777" w:rsidR="002A4195" w:rsidRPr="00520FF1" w:rsidRDefault="002A4195" w:rsidP="00520FF1">
      <w:pPr>
        <w:widowControl w:val="0"/>
        <w:autoSpaceDE w:val="0"/>
        <w:autoSpaceDN w:val="0"/>
        <w:spacing w:after="120" w:line="240" w:lineRule="auto"/>
        <w:ind w:left="1134" w:right="357"/>
        <w:jc w:val="both"/>
        <w:rPr>
          <w:rFonts w:ascii="Verdana" w:hAnsi="Verdana" w:cs="Arial"/>
          <w:i/>
          <w:iCs/>
          <w:color w:val="000000" w:themeColor="text1"/>
          <w:sz w:val="20"/>
          <w:szCs w:val="20"/>
          <w:lang w:val="es-ES"/>
        </w:rPr>
      </w:pPr>
    </w:p>
    <w:p w14:paraId="72495AE3" w14:textId="77777777" w:rsidR="002A4195" w:rsidRPr="00520FF1" w:rsidRDefault="002A4195" w:rsidP="00520FF1">
      <w:pPr>
        <w:widowControl w:val="0"/>
        <w:autoSpaceDE w:val="0"/>
        <w:autoSpaceDN w:val="0"/>
        <w:spacing w:after="120" w:line="240" w:lineRule="auto"/>
        <w:ind w:left="1134" w:right="357"/>
        <w:jc w:val="both"/>
        <w:rPr>
          <w:rFonts w:ascii="Verdana" w:hAnsi="Verdana" w:cs="Arial"/>
          <w:i/>
          <w:iCs/>
          <w:color w:val="000000" w:themeColor="text1"/>
          <w:sz w:val="20"/>
          <w:szCs w:val="20"/>
          <w:lang w:val="es-ES"/>
        </w:rPr>
      </w:pPr>
      <w:r w:rsidRPr="00520FF1">
        <w:rPr>
          <w:rFonts w:ascii="Verdana" w:hAnsi="Verdana" w:cs="Arial"/>
          <w:i/>
          <w:iCs/>
          <w:color w:val="000000" w:themeColor="text1"/>
          <w:sz w:val="20"/>
          <w:szCs w:val="20"/>
          <w:lang w:val="es-ES"/>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850396">
        <w:rPr>
          <w:rFonts w:ascii="Verdana" w:hAnsi="Verdana" w:cs="Arial"/>
          <w:i/>
          <w:iCs/>
          <w:color w:val="000000" w:themeColor="text1"/>
          <w:sz w:val="20"/>
          <w:szCs w:val="20"/>
          <w:vertAlign w:val="superscript"/>
          <w:lang w:val="es-ES"/>
        </w:rPr>
        <w:footnoteReference w:id="4"/>
      </w:r>
    </w:p>
    <w:p w14:paraId="0330A750" w14:textId="77777777" w:rsidR="002A4195" w:rsidRPr="00520FF1" w:rsidRDefault="002A4195" w:rsidP="00520FF1">
      <w:pPr>
        <w:widowControl w:val="0"/>
        <w:autoSpaceDE w:val="0"/>
        <w:autoSpaceDN w:val="0"/>
        <w:spacing w:after="120" w:line="240" w:lineRule="auto"/>
        <w:ind w:left="1134" w:right="357"/>
        <w:jc w:val="both"/>
        <w:rPr>
          <w:rFonts w:ascii="Verdana" w:hAnsi="Verdana" w:cs="Arial"/>
          <w:i/>
          <w:iCs/>
          <w:color w:val="000000" w:themeColor="text1"/>
          <w:sz w:val="20"/>
          <w:szCs w:val="20"/>
          <w:lang w:val="es-ES"/>
        </w:rPr>
      </w:pPr>
    </w:p>
    <w:p w14:paraId="7C8F4A74"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ES"/>
        </w:rPr>
      </w:pPr>
      <w:r w:rsidRPr="002A4195">
        <w:rPr>
          <w:rFonts w:ascii="Verdana" w:hAnsi="Verdana" w:cs="Arial"/>
          <w:color w:val="000000" w:themeColor="text1"/>
          <w:lang w:val="es-ES"/>
        </w:rPr>
        <w:t xml:space="preserve">Conviene también distinguir las fuentes de las inhabilidades, las cuales han sido clasificadas en dos (2) grupos: i) inhabilidades-sanción y ii) inhabilidades-requisito. En el </w:t>
      </w:r>
      <w:r w:rsidRPr="002A4195">
        <w:rPr>
          <w:rFonts w:ascii="Verdana" w:hAnsi="Verdana" w:cs="Arial"/>
          <w:i/>
          <w:iCs/>
          <w:color w:val="000000" w:themeColor="text1"/>
          <w:lang w:val="es-ES"/>
        </w:rPr>
        <w:t>primer</w:t>
      </w:r>
      <w:r w:rsidRPr="002A4195">
        <w:rPr>
          <w:rFonts w:ascii="Verdana" w:hAnsi="Verdana" w:cs="Arial"/>
          <w:color w:val="000000" w:themeColor="text1"/>
          <w:lang w:val="es-ES"/>
        </w:rPr>
        <w:t xml:space="preserve"> grupo se encuentran las </w:t>
      </w:r>
      <w:r w:rsidRPr="002A4195">
        <w:rPr>
          <w:rFonts w:ascii="Verdana" w:hAnsi="Verdana" w:cs="Arial"/>
          <w:color w:val="000000" w:themeColor="text1"/>
          <w:lang w:val="es-ES"/>
        </w:rPr>
        <w:lastRenderedPageBreak/>
        <w:t xml:space="preserve">inhabilidades que surgen como consecuencia de un proceso sancionatorio, en los ámbitos penal, disciplinario, contravencional o de pérdida de investidura. En el </w:t>
      </w:r>
      <w:r w:rsidRPr="002A4195">
        <w:rPr>
          <w:rFonts w:ascii="Verdana" w:hAnsi="Verdana" w:cs="Arial"/>
          <w:i/>
          <w:iCs/>
          <w:color w:val="000000" w:themeColor="text1"/>
          <w:lang w:val="es-ES"/>
        </w:rPr>
        <w:t>segundo</w:t>
      </w:r>
      <w:r w:rsidRPr="002A4195">
        <w:rPr>
          <w:rFonts w:ascii="Verdana" w:hAnsi="Verdana" w:cs="Arial"/>
          <w:color w:val="000000" w:themeColor="text1"/>
          <w:lang w:val="es-ES"/>
        </w:rPr>
        <w:t xml:space="preserve"> grupo están aquellas que no devienen de un proceso sancionatorio, sino de condiciones propias de la persona y garantizan la moralidad, la imparcialidad, la eficacia y la transparencia</w:t>
      </w:r>
      <w:r w:rsidRPr="002A4195">
        <w:rPr>
          <w:rFonts w:ascii="Verdana" w:hAnsi="Verdana" w:cs="Arial"/>
          <w:color w:val="000000" w:themeColor="text1"/>
          <w:vertAlign w:val="superscript"/>
          <w:lang w:val="es-ES"/>
        </w:rPr>
        <w:footnoteReference w:id="5"/>
      </w:r>
      <w:r w:rsidRPr="002A4195">
        <w:rPr>
          <w:rFonts w:ascii="Verdana" w:hAnsi="Verdana" w:cs="Arial"/>
          <w:color w:val="000000" w:themeColor="text1"/>
          <w:lang w:val="es-ES"/>
        </w:rPr>
        <w:t xml:space="preserve">. </w:t>
      </w:r>
    </w:p>
    <w:p w14:paraId="20282C4C"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
        </w:rPr>
      </w:pPr>
    </w:p>
    <w:p w14:paraId="4038163B"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ES"/>
        </w:rPr>
      </w:pPr>
      <w:r w:rsidRPr="002A4195">
        <w:rPr>
          <w:rFonts w:ascii="Verdana" w:hAnsi="Verdana" w:cs="Arial"/>
          <w:color w:val="000000" w:themeColor="text1"/>
          <w:lang w:val="es-ES"/>
        </w:rPr>
        <w:t xml:space="preserve">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numeral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42B9BF3C"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
        </w:rPr>
      </w:pPr>
    </w:p>
    <w:p w14:paraId="6AEA268E"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ES"/>
        </w:rPr>
      </w:pPr>
      <w:r w:rsidRPr="002A4195">
        <w:rPr>
          <w:rFonts w:ascii="Verdana" w:hAnsi="Verdana" w:cs="Arial"/>
          <w:color w:val="000000" w:themeColor="text1"/>
          <w:lang w:val="es-ES"/>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p>
    <w:p w14:paraId="33D5F38C"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
        </w:rPr>
      </w:pPr>
    </w:p>
    <w:p w14:paraId="31ED134F"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ES_tradnl"/>
        </w:rPr>
      </w:pPr>
      <w:r w:rsidRPr="002A4195">
        <w:rPr>
          <w:rFonts w:ascii="Verdana" w:hAnsi="Verdana" w:cs="Arial"/>
          <w:color w:val="000000" w:themeColor="text1"/>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2A4195">
        <w:rPr>
          <w:rFonts w:ascii="Verdana" w:hAnsi="Verdana" w:cs="Arial"/>
          <w:i/>
          <w:iCs/>
          <w:color w:val="000000" w:themeColor="text1"/>
          <w:lang w:val="es-ES_tradnl"/>
        </w:rPr>
        <w:t>restrictiva</w:t>
      </w:r>
      <w:r w:rsidRPr="002A4195">
        <w:rPr>
          <w:rFonts w:ascii="Verdana" w:hAnsi="Verdana" w:cs="Arial"/>
          <w:color w:val="000000" w:themeColor="text1"/>
          <w:vertAlign w:val="superscript"/>
          <w:lang w:val="es-ES"/>
        </w:rPr>
        <w:footnoteReference w:id="6"/>
      </w:r>
      <w:r w:rsidRPr="002A4195">
        <w:rPr>
          <w:rFonts w:ascii="Verdana" w:hAnsi="Verdana" w:cs="Arial"/>
          <w:color w:val="000000" w:themeColor="text1"/>
          <w:lang w:val="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w:t>
      </w:r>
      <w:r w:rsidRPr="002A4195">
        <w:rPr>
          <w:rFonts w:ascii="Verdana" w:hAnsi="Verdana" w:cs="Arial"/>
          <w:color w:val="000000" w:themeColor="text1"/>
          <w:lang w:val="es-ES_tradnl"/>
        </w:rPr>
        <w:lastRenderedPageBreak/>
        <w:t xml:space="preserve">igualdad, el debido proceso, la libre concurrencia y el ejercicio de la profesión u oficio. Tal ha sido la postura al interior de la jurisprudencia, tanto de la Corte Constitucional como de la Sección Tercera del Consejo de Estado. </w:t>
      </w:r>
    </w:p>
    <w:p w14:paraId="6F0A822E"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_tradnl"/>
        </w:rPr>
      </w:pPr>
    </w:p>
    <w:p w14:paraId="01311FAB"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ES_tradnl"/>
        </w:rPr>
      </w:pPr>
      <w:r w:rsidRPr="002A4195">
        <w:rPr>
          <w:rFonts w:ascii="Verdana" w:hAnsi="Verdana" w:cs="Arial"/>
          <w:color w:val="000000" w:themeColor="text1"/>
          <w:lang w:val="es-ES_tradnl"/>
        </w:rPr>
        <w:t>En efecto, el máximo tribunal constitucional ha indicado que, al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2A4195">
        <w:rPr>
          <w:rFonts w:ascii="Verdana" w:hAnsi="Verdana" w:cs="Arial"/>
          <w:color w:val="000000" w:themeColor="text1"/>
          <w:vertAlign w:val="superscript"/>
          <w:lang w:val="es-ES"/>
        </w:rPr>
        <w:footnoteReference w:id="7"/>
      </w:r>
      <w:r w:rsidRPr="002A4195">
        <w:rPr>
          <w:rFonts w:ascii="Verdana" w:hAnsi="Verdana" w:cs="Arial"/>
          <w:color w:val="000000" w:themeColor="text1"/>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2A4195">
        <w:rPr>
          <w:rFonts w:ascii="Verdana" w:hAnsi="Verdana" w:cs="Arial"/>
          <w:color w:val="000000" w:themeColor="text1"/>
          <w:vertAlign w:val="superscript"/>
          <w:lang w:val="es-ES"/>
        </w:rPr>
        <w:footnoteReference w:id="8"/>
      </w:r>
      <w:r w:rsidRPr="002A4195">
        <w:rPr>
          <w:rFonts w:ascii="Verdana" w:hAnsi="Verdana" w:cs="Arial"/>
          <w:color w:val="000000" w:themeColor="text1"/>
          <w:lang w:val="es-ES_tradnl"/>
        </w:rPr>
        <w:t>. En tal sentido, la Sección Tercera ha señalado que:</w:t>
      </w:r>
    </w:p>
    <w:p w14:paraId="54988776"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_tradnl"/>
        </w:rPr>
      </w:pPr>
    </w:p>
    <w:p w14:paraId="7A919760" w14:textId="77777777" w:rsidR="002A4195" w:rsidRPr="00E32ED8" w:rsidRDefault="002A4195" w:rsidP="00850396">
      <w:pPr>
        <w:widowControl w:val="0"/>
        <w:autoSpaceDE w:val="0"/>
        <w:autoSpaceDN w:val="0"/>
        <w:spacing w:after="120" w:line="240" w:lineRule="auto"/>
        <w:ind w:left="1134" w:right="357"/>
        <w:jc w:val="both"/>
        <w:rPr>
          <w:rFonts w:ascii="Verdana" w:hAnsi="Verdana" w:cs="Arial"/>
          <w:i/>
          <w:iCs/>
          <w:color w:val="000000" w:themeColor="text1"/>
          <w:sz w:val="20"/>
          <w:szCs w:val="20"/>
          <w:lang w:val="es-MX"/>
        </w:rPr>
      </w:pPr>
      <w:r w:rsidRPr="00E32ED8">
        <w:rPr>
          <w:rFonts w:ascii="Verdana" w:hAnsi="Verdana" w:cs="Arial"/>
          <w:i/>
          <w:iCs/>
          <w:color w:val="000000" w:themeColor="text1"/>
          <w:sz w:val="20"/>
          <w:szCs w:val="20"/>
          <w:lang w:val="es-MX"/>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E32ED8">
        <w:rPr>
          <w:rFonts w:ascii="Verdana" w:hAnsi="Verdana" w:cs="Arial"/>
          <w:i/>
          <w:iCs/>
          <w:color w:val="000000" w:themeColor="text1"/>
          <w:sz w:val="20"/>
          <w:szCs w:val="20"/>
          <w:vertAlign w:val="superscript"/>
          <w:lang w:val="es-MX"/>
        </w:rPr>
        <w:footnoteReference w:id="9"/>
      </w:r>
      <w:r w:rsidRPr="00E32ED8">
        <w:rPr>
          <w:rFonts w:ascii="Verdana" w:hAnsi="Verdana" w:cs="Arial"/>
          <w:i/>
          <w:iCs/>
          <w:color w:val="000000" w:themeColor="text1"/>
          <w:sz w:val="20"/>
          <w:szCs w:val="20"/>
          <w:vertAlign w:val="superscript"/>
          <w:lang w:val="es-MX"/>
        </w:rPr>
        <w:t>.</w:t>
      </w:r>
    </w:p>
    <w:p w14:paraId="3E693D8E" w14:textId="77777777" w:rsidR="002A4195" w:rsidRPr="002A4195" w:rsidRDefault="002A4195" w:rsidP="004248A8">
      <w:pPr>
        <w:widowControl w:val="0"/>
        <w:autoSpaceDE w:val="0"/>
        <w:autoSpaceDN w:val="0"/>
        <w:spacing w:after="120" w:line="276" w:lineRule="auto"/>
        <w:ind w:left="709" w:right="709"/>
        <w:jc w:val="both"/>
        <w:rPr>
          <w:rFonts w:ascii="Verdana" w:hAnsi="Verdana" w:cs="Arial"/>
          <w:bCs/>
          <w:color w:val="000000" w:themeColor="text1"/>
          <w:sz w:val="20"/>
          <w:szCs w:val="20"/>
          <w:lang w:val="es-ES_tradnl"/>
        </w:rPr>
      </w:pPr>
    </w:p>
    <w:p w14:paraId="666B37D7" w14:textId="77777777" w:rsidR="002A4195" w:rsidRPr="006B331D" w:rsidRDefault="002A4195" w:rsidP="006B331D">
      <w:pPr>
        <w:widowControl w:val="0"/>
        <w:autoSpaceDE w:val="0"/>
        <w:autoSpaceDN w:val="0"/>
        <w:spacing w:after="120" w:line="240" w:lineRule="auto"/>
        <w:ind w:left="1134" w:right="357"/>
        <w:jc w:val="both"/>
        <w:rPr>
          <w:rFonts w:ascii="Verdana" w:hAnsi="Verdana" w:cs="Arial"/>
          <w:i/>
          <w:iCs/>
          <w:color w:val="000000" w:themeColor="text1"/>
          <w:sz w:val="20"/>
          <w:szCs w:val="20"/>
          <w:lang w:val="es-MX"/>
        </w:rPr>
      </w:pPr>
      <w:r w:rsidRPr="006B331D">
        <w:rPr>
          <w:rFonts w:ascii="Verdana" w:hAnsi="Verdana" w:cs="Arial"/>
          <w:i/>
          <w:iCs/>
          <w:color w:val="000000" w:themeColor="text1"/>
          <w:sz w:val="20"/>
          <w:szCs w:val="20"/>
          <w:lang w:val="es-MX"/>
        </w:rPr>
        <w:t>También ha dicho que:</w:t>
      </w:r>
    </w:p>
    <w:p w14:paraId="3A4A2958" w14:textId="77777777" w:rsidR="002A4195" w:rsidRPr="006B331D" w:rsidRDefault="002A4195" w:rsidP="006B331D">
      <w:pPr>
        <w:widowControl w:val="0"/>
        <w:autoSpaceDE w:val="0"/>
        <w:autoSpaceDN w:val="0"/>
        <w:spacing w:after="120" w:line="240" w:lineRule="auto"/>
        <w:ind w:left="1134" w:right="357"/>
        <w:jc w:val="both"/>
        <w:rPr>
          <w:rFonts w:ascii="Verdana" w:hAnsi="Verdana" w:cs="Arial"/>
          <w:i/>
          <w:iCs/>
          <w:color w:val="000000" w:themeColor="text1"/>
          <w:sz w:val="20"/>
          <w:szCs w:val="20"/>
          <w:lang w:val="es-MX"/>
        </w:rPr>
      </w:pPr>
    </w:p>
    <w:p w14:paraId="4A20E092" w14:textId="77777777" w:rsidR="002A4195" w:rsidRPr="006B331D" w:rsidRDefault="002A4195" w:rsidP="006B331D">
      <w:pPr>
        <w:widowControl w:val="0"/>
        <w:autoSpaceDE w:val="0"/>
        <w:autoSpaceDN w:val="0"/>
        <w:spacing w:after="120" w:line="240" w:lineRule="auto"/>
        <w:ind w:left="1134" w:right="357"/>
        <w:jc w:val="both"/>
        <w:rPr>
          <w:rFonts w:ascii="Verdana" w:hAnsi="Verdana" w:cs="Arial"/>
          <w:i/>
          <w:iCs/>
          <w:color w:val="000000" w:themeColor="text1"/>
          <w:sz w:val="20"/>
          <w:szCs w:val="20"/>
          <w:lang w:val="es-MX"/>
        </w:rPr>
      </w:pPr>
      <w:r w:rsidRPr="006B331D">
        <w:rPr>
          <w:rFonts w:ascii="Verdana" w:hAnsi="Verdana" w:cs="Arial"/>
          <w:i/>
          <w:iCs/>
          <w:color w:val="000000" w:themeColor="text1"/>
          <w:sz w:val="20"/>
          <w:szCs w:val="20"/>
          <w:lang w:val="es-MX"/>
        </w:rPr>
        <w:t>[…] la aplicación de estos preceptos exige una interpretación restrictiva, dado que según el principio hermenéutico pro libertate,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6B331D">
        <w:rPr>
          <w:rFonts w:ascii="Verdana" w:hAnsi="Verdana" w:cs="Arial"/>
          <w:i/>
          <w:iCs/>
          <w:color w:val="000000" w:themeColor="text1"/>
          <w:sz w:val="20"/>
          <w:szCs w:val="20"/>
          <w:vertAlign w:val="superscript"/>
          <w:lang w:val="es-MX"/>
        </w:rPr>
        <w:footnoteReference w:id="10"/>
      </w:r>
      <w:r w:rsidRPr="006B331D">
        <w:rPr>
          <w:rFonts w:ascii="Verdana" w:hAnsi="Verdana" w:cs="Arial"/>
          <w:i/>
          <w:iCs/>
          <w:color w:val="000000" w:themeColor="text1"/>
          <w:sz w:val="20"/>
          <w:szCs w:val="20"/>
          <w:lang w:val="es-MX"/>
        </w:rPr>
        <w:t>.</w:t>
      </w:r>
    </w:p>
    <w:p w14:paraId="6A542571"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_tradnl"/>
        </w:rPr>
      </w:pPr>
    </w:p>
    <w:p w14:paraId="392D492D"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MX"/>
        </w:rPr>
      </w:pPr>
      <w:r w:rsidRPr="002A4195">
        <w:rPr>
          <w:rFonts w:ascii="Verdana" w:hAnsi="Verdana" w:cs="Arial"/>
          <w:color w:val="000000" w:themeColor="text1"/>
          <w:lang w:val="es-ES_tradnl"/>
        </w:rPr>
        <w:t xml:space="preserve">Como se aprecia, el principio </w:t>
      </w:r>
      <w:r w:rsidRPr="002A4195">
        <w:rPr>
          <w:rFonts w:ascii="Verdana" w:hAnsi="Verdana" w:cs="Arial"/>
          <w:i/>
          <w:iCs/>
          <w:color w:val="000000" w:themeColor="text1"/>
          <w:lang w:val="es-ES_tradnl"/>
        </w:rPr>
        <w:t>pro libertate</w:t>
      </w:r>
      <w:r w:rsidRPr="002A4195">
        <w:rPr>
          <w:rFonts w:ascii="Verdana" w:hAnsi="Verdana" w:cs="Arial"/>
          <w:color w:val="000000" w:themeColor="text1"/>
          <w:lang w:val="es-ES_tradnl"/>
        </w:rPr>
        <w:t xml:space="preserve"> es el que debe dirigir la interpretación de las disposiciones normativas que consagran restricciones de derechos, como sucede con las causales de inhabilidad e incompatibilidad en la contratación estatal. </w:t>
      </w:r>
      <w:r w:rsidRPr="002A4195">
        <w:rPr>
          <w:rFonts w:ascii="Verdana" w:hAnsi="Verdana" w:cs="Arial"/>
          <w:color w:val="000000" w:themeColor="text1"/>
          <w:lang w:val="es-ES"/>
        </w:rPr>
        <w:t xml:space="preserve">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 </w:t>
      </w:r>
    </w:p>
    <w:p w14:paraId="195D171F"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
        </w:rPr>
      </w:pPr>
    </w:p>
    <w:p w14:paraId="234CB696"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ES"/>
        </w:rPr>
      </w:pPr>
      <w:r w:rsidRPr="002A4195">
        <w:rPr>
          <w:rFonts w:ascii="Verdana" w:hAnsi="Verdana" w:cs="Arial"/>
          <w:color w:val="000000" w:themeColor="text1"/>
          <w:lang w:val="es-ES"/>
        </w:rPr>
        <w:t>Teniendo en cuenta el objeto de su solicitud, es menester resaltar que, por el carácter de interpretación restrictiva del régimen de inhabilidades e incompatibilidades antes explicado, la aplicación de una causal de inhabilidad para celebrar un contrato estatal debe ser según lo descrito en la ley, de forma taxativa, por lo que la situación expresada, en principio, no se podría encuadrar en ninguna de las causales descritas en el artículo 8 de la Ley 80 de 1993. No obstante, esta norma no es la única fuente de inhabilidades e incompatibilidades, al respecto, y con relación a su pregunta, la Ley 1474 de 2011 consagra:</w:t>
      </w:r>
    </w:p>
    <w:p w14:paraId="5105666B"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
        </w:rPr>
      </w:pPr>
    </w:p>
    <w:p w14:paraId="5736ED1D" w14:textId="77777777" w:rsidR="002A4195" w:rsidRPr="000B3A0C" w:rsidRDefault="002A4195" w:rsidP="000B3A0C">
      <w:pPr>
        <w:widowControl w:val="0"/>
        <w:autoSpaceDE w:val="0"/>
        <w:autoSpaceDN w:val="0"/>
        <w:spacing w:after="120" w:line="240" w:lineRule="auto"/>
        <w:ind w:left="1134" w:right="357"/>
        <w:jc w:val="both"/>
        <w:rPr>
          <w:rFonts w:ascii="Verdana" w:hAnsi="Verdana" w:cs="Arial"/>
          <w:i/>
          <w:iCs/>
          <w:color w:val="000000" w:themeColor="text1"/>
          <w:sz w:val="20"/>
          <w:szCs w:val="20"/>
          <w:lang w:val="es-MX"/>
        </w:rPr>
      </w:pPr>
      <w:r w:rsidRPr="000B3A0C">
        <w:rPr>
          <w:rFonts w:ascii="Verdana" w:hAnsi="Verdana" w:cs="Arial"/>
          <w:i/>
          <w:iCs/>
          <w:color w:val="000000" w:themeColor="text1"/>
          <w:sz w:val="20"/>
          <w:szCs w:val="20"/>
          <w:lang w:val="es-MX"/>
        </w:rPr>
        <w:t xml:space="preserve">“ARTÍCULO 5. Quien haya celebrado un contrato estatal de obra pública, </w:t>
      </w:r>
      <w:r w:rsidRPr="000B3A0C">
        <w:rPr>
          <w:rFonts w:ascii="Verdana" w:hAnsi="Verdana" w:cs="Arial"/>
          <w:i/>
          <w:iCs/>
          <w:color w:val="000000" w:themeColor="text1"/>
          <w:sz w:val="20"/>
          <w:szCs w:val="20"/>
          <w:lang w:val="es-MX"/>
        </w:rPr>
        <w:lastRenderedPageBreak/>
        <w:t>de concesión, suministro de medicamentos y de alimentos o su cónyuge, compañero o compañera permanente, pariente hasta el segundo grado de consanguinidad, segundo de afinidad y/o primero civil o sus socios en sociedades distintas de las anónimas abiertas, con las entidades a que se refiere el artículo 2 de la Ley 80 de 1993, durante el plazo de ejecución y hasta la liquidación del mismo, no podrán celebrar contratos de interventoría con la misma entidad”.</w:t>
      </w:r>
    </w:p>
    <w:p w14:paraId="71334DFE"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
        </w:rPr>
      </w:pPr>
    </w:p>
    <w:p w14:paraId="58440F05"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ES_tradnl"/>
        </w:rPr>
      </w:pPr>
      <w:r w:rsidRPr="002A4195">
        <w:rPr>
          <w:rFonts w:ascii="Verdana" w:hAnsi="Verdana" w:cs="Arial"/>
          <w:color w:val="000000" w:themeColor="text1"/>
          <w:lang w:val="es-ES_tradnl"/>
        </w:rPr>
        <w:t xml:space="preserve">Por tanto, es la entidad contratante la que debe determinar la aplicación de la anterior causal del régimen de inhabilidades e incompatibilidades, al supuesto de hecho descrito. </w:t>
      </w:r>
    </w:p>
    <w:p w14:paraId="4601157F"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_tradnl"/>
        </w:rPr>
      </w:pPr>
    </w:p>
    <w:p w14:paraId="32A28B72"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ES_tradnl"/>
        </w:rPr>
      </w:pPr>
      <w:r w:rsidRPr="002A4195">
        <w:rPr>
          <w:rFonts w:ascii="Verdana" w:hAnsi="Verdana" w:cs="Arial"/>
          <w:color w:val="000000" w:themeColor="text1"/>
          <w:lang w:val="es-ES"/>
        </w:rPr>
        <w:t>En segundo lugar</w:t>
      </w:r>
      <w:r w:rsidRPr="002A4195">
        <w:rPr>
          <w:rFonts w:ascii="Verdana" w:hAnsi="Verdana" w:cs="Arial"/>
          <w:color w:val="000000" w:themeColor="text1"/>
          <w:lang w:val="es-ES_tradnl"/>
        </w:rPr>
        <w:t xml:space="preserve">, dado que en la pregunta de su consulta hace referencia al régimen de los conflictos de interés en la contratación estatal, debe señalarse que, de acuerdo con el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2011–. En desarrollo de esta directriz, </w:t>
      </w:r>
      <w:bookmarkStart w:id="1" w:name="_Hlk36672204"/>
      <w:r w:rsidRPr="002A4195">
        <w:rPr>
          <w:rFonts w:ascii="Verdana" w:hAnsi="Verdana" w:cs="Arial"/>
          <w:color w:val="000000" w:themeColor="text1"/>
          <w:lang w:val="es-ES_tradnl"/>
        </w:rPr>
        <w:t xml:space="preserve">el régimen de los </w:t>
      </w:r>
      <w:r w:rsidRPr="002A4195">
        <w:rPr>
          <w:rFonts w:ascii="Verdana" w:hAnsi="Verdana" w:cs="Arial"/>
          <w:i/>
          <w:iCs/>
          <w:color w:val="000000" w:themeColor="text1"/>
          <w:lang w:val="es-ES_tradnl"/>
        </w:rPr>
        <w:t>conflictos de interés</w:t>
      </w:r>
      <w:r w:rsidRPr="002A4195">
        <w:rPr>
          <w:rFonts w:ascii="Verdana" w:hAnsi="Verdana" w:cs="Arial"/>
          <w:color w:val="000000" w:themeColor="text1"/>
          <w:lang w:val="es-ES_tradnl"/>
        </w:rPr>
        <w:t xml:space="preserve"> tiene como objetivo la prevalencia del bien común sobre el particular, razón por la cual se configuran cuando los servidores públicos actúan influenciados por consideraciones personales que colisionan con el deber de preservar su independencia e imparcialidad. En este sentido, se definen como la </w:t>
      </w:r>
      <w:bookmarkStart w:id="2" w:name="_Hlk36668905"/>
      <w:r w:rsidRPr="002A4195">
        <w:rPr>
          <w:rFonts w:ascii="Verdana" w:hAnsi="Verdana" w:cs="Arial"/>
          <w:color w:val="000000" w:themeColor="text1"/>
          <w:lang w:val="es-ES_tradnl"/>
        </w:rPr>
        <w:t>concurrencia de intereses antagónicos que afectan la transparencia de las decisiones, al implicar –en detrimento del interés general– el aprovechamiento personal, familiar o particular</w:t>
      </w:r>
      <w:bookmarkEnd w:id="1"/>
      <w:bookmarkEnd w:id="2"/>
      <w:r w:rsidRPr="002A4195">
        <w:rPr>
          <w:rFonts w:ascii="Verdana" w:hAnsi="Verdana" w:cs="Arial"/>
          <w:color w:val="000000" w:themeColor="text1"/>
          <w:vertAlign w:val="superscript"/>
          <w:lang w:val="es-ES_tradnl"/>
        </w:rPr>
        <w:footnoteReference w:id="11"/>
      </w:r>
      <w:r w:rsidRPr="002A4195">
        <w:rPr>
          <w:rFonts w:ascii="Verdana" w:hAnsi="Verdana" w:cs="Arial"/>
          <w:color w:val="000000" w:themeColor="text1"/>
          <w:lang w:val="es-ES_tradnl"/>
        </w:rPr>
        <w:t>.</w:t>
      </w:r>
    </w:p>
    <w:p w14:paraId="20CC53E1"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_tradnl"/>
        </w:rPr>
      </w:pPr>
    </w:p>
    <w:p w14:paraId="59BAB2CE"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ES"/>
        </w:rPr>
      </w:pPr>
      <w:r w:rsidRPr="002A4195">
        <w:rPr>
          <w:rFonts w:ascii="Verdana" w:hAnsi="Verdana" w:cs="Arial"/>
          <w:color w:val="000000" w:themeColor="text1"/>
          <w:lang w:val="es-ES"/>
        </w:rPr>
        <w:t xml:space="preserve">La institución jurídica de los conflictos de interés no está definida con carácter general en el ordenamiento jurídico y tampoco de forma precisa en las normas que regulan la contratación estatal, por lo que es un asunto ausente en el EGCAP. No obstante, existen disposiciones especiales como el régimen de los congresistas, de los concejales o el régimen disciplinario </w:t>
      </w:r>
      <w:r w:rsidRPr="002A4195">
        <w:rPr>
          <w:rFonts w:ascii="Verdana" w:hAnsi="Verdana" w:cs="Arial"/>
          <w:color w:val="000000" w:themeColor="text1"/>
          <w:lang w:val="es-ES"/>
        </w:rPr>
        <w:lastRenderedPageBreak/>
        <w:t xml:space="preserve">de los servidores públicos, donde se definen causales de conflictos de interés. En todo caso, la satisfacción del principio de moralidad, el deber de probidad y rectitud también se exige a los contratistas. Al respecto, el artículo 3 de la Ley 80 de 1993 dispone que la actividad contractual del Estado se dirige tanto al cumplimiento de los fines estatales como a la continua y eficiente prestación de los servicios públicos, precisando que “Los particulares, por su parte, tendrán en cuenta al celebrar y ejecutar contratos con las entidades estatales que colaboran con ellas en el logro de sus fines y cumplen una función social que, como tal, implica obligaciones”. En concordancia con lo anterior, el numeral 2 del artículo 5 del EGCAP dispone que aquellos obrarán con lealtad y buena fe en las distintas etapas contractuales. </w:t>
      </w:r>
    </w:p>
    <w:p w14:paraId="6A6A8165"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
        </w:rPr>
      </w:pPr>
    </w:p>
    <w:p w14:paraId="12F2E380"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ES_tradnl"/>
        </w:rPr>
      </w:pPr>
      <w:r w:rsidRPr="002A4195">
        <w:rPr>
          <w:rFonts w:ascii="Verdana" w:hAnsi="Verdana" w:cs="Arial"/>
          <w:color w:val="000000" w:themeColor="text1"/>
          <w:lang w:val="es-ES_tradnl"/>
        </w:rPr>
        <w:t>Sin perjuicio de lo anterior, el EGCAP no establece una noción o causales particulares de conflictos de interés aplicables a los proponentes o contratistas del Estado. En efecto, además de las disposiciones brevemente enunciadas en el párrafo precedente, la Ley 1437 de 2011 establece un régimen de “conflictos de interés  y causales de impedimento y recusación” –artículos 11 y 12–, que si bien aplican en los procedimientos administrativos, en general, incluyendo los de selección de contratistas del Estado, están dirigidos a los servidores públicos que adelantan estas actuaciones en desarrollo de la actividad contractual de la Entidad Estatal de la cual hacen parte. Por lo anterior, sus destinatarios no son los proponentes o contratistas particulares que participan en el procedimiento de selección o celebran el contrato con la Entidad Estatal, sino los servidores mencionados. En este sentido, en caso de presentarse alguna de las causales establecidas en el artículo 11 del Código de Procedimiento Administrativo o de lo Contencioso Administrativo –en adelante CPACA–, corresponde aplicar el trámite establecido en el artículo 12 de la misma ley.</w:t>
      </w:r>
    </w:p>
    <w:p w14:paraId="0B0E56E2" w14:textId="77777777" w:rsidR="002A4195" w:rsidRPr="002A4195" w:rsidRDefault="002A4195" w:rsidP="002A4195">
      <w:pPr>
        <w:widowControl w:val="0"/>
        <w:autoSpaceDE w:val="0"/>
        <w:autoSpaceDN w:val="0"/>
        <w:spacing w:after="0" w:line="276" w:lineRule="auto"/>
        <w:jc w:val="both"/>
        <w:rPr>
          <w:rFonts w:ascii="Verdana" w:hAnsi="Verdana" w:cs="Arial"/>
          <w:color w:val="000000" w:themeColor="text1"/>
          <w:lang w:val="es-ES_tradnl"/>
        </w:rPr>
      </w:pPr>
    </w:p>
    <w:p w14:paraId="4027C41D"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i/>
          <w:iCs/>
          <w:color w:val="000000" w:themeColor="text1"/>
          <w:lang w:val="es-ES"/>
        </w:rPr>
      </w:pPr>
      <w:r w:rsidRPr="002A4195">
        <w:rPr>
          <w:rFonts w:ascii="Verdana" w:hAnsi="Verdana" w:cs="Arial"/>
          <w:color w:val="000000" w:themeColor="text1"/>
          <w:lang w:val="es-ES"/>
        </w:rPr>
        <w:t xml:space="preserve">Finalmente, en virtud del principio de autonomía, las Entidades Estatales puede establecer causales de rechazo que consideren pertinentes en el Proceso de Contratación. Así mismo, es bueno resaltar, como lo señaló la Agencia Nacional de Contratación Pública – Colombia Compra Eficiente en los conceptos C-815 del 18 de febrero de 2021 y C-449 del 31 de agosto </w:t>
      </w:r>
      <w:r w:rsidRPr="002A4195">
        <w:rPr>
          <w:rFonts w:ascii="Verdana" w:hAnsi="Verdana" w:cs="Arial"/>
          <w:color w:val="000000" w:themeColor="text1"/>
          <w:lang w:val="es-ES"/>
        </w:rPr>
        <w:lastRenderedPageBreak/>
        <w:t>de 2021, que la doctrina</w:t>
      </w:r>
      <w:r w:rsidRPr="002A4195">
        <w:rPr>
          <w:rFonts w:ascii="Verdana" w:hAnsi="Verdana" w:cs="Arial"/>
          <w:color w:val="000000" w:themeColor="text1"/>
          <w:vertAlign w:val="superscript"/>
          <w:lang w:val="es-ES"/>
        </w:rPr>
        <w:footnoteReference w:id="12"/>
      </w:r>
      <w:r w:rsidRPr="002A4195">
        <w:rPr>
          <w:rFonts w:ascii="Verdana" w:hAnsi="Verdana" w:cs="Arial"/>
          <w:color w:val="000000" w:themeColor="text1"/>
          <w:lang w:val="es-ES"/>
        </w:rPr>
        <w:t xml:space="preserve"> y de forma particular la Sala de Consulta y Servicio Civil del Consejo de Estado</w:t>
      </w:r>
      <w:r w:rsidRPr="002A4195">
        <w:rPr>
          <w:rFonts w:ascii="Verdana" w:hAnsi="Verdana" w:cs="Arial"/>
          <w:color w:val="000000" w:themeColor="text1"/>
          <w:vertAlign w:val="superscript"/>
          <w:lang w:val="es-ES"/>
        </w:rPr>
        <w:footnoteReference w:id="13"/>
      </w:r>
      <w:r w:rsidRPr="002A4195">
        <w:rPr>
          <w:rFonts w:ascii="Verdana" w:hAnsi="Verdana" w:cs="Arial"/>
          <w:color w:val="000000" w:themeColor="text1"/>
          <w:lang w:val="es-ES"/>
        </w:rPr>
        <w:t xml:space="preserve">, han reconocido la posibilidad que tienen las Entidades Estatales de establecer conflictos de interés en sus Pliegos de Condiciones, diferenciando dichas causales y su regulación de las inhabilidades e incompatibilidades consagradas en el EGCAP y demás normas complementarias. La Sala de Consulta y Servicio Civil del Consejo de Estado claramente ha admitido la inclusión de causales de conflicto de interés en los Pliegos de Condiciones o en los contratos de las Entidades Estatales, siempre y cuando estas satisfagan, entre otros requisitos, los criterios de </w:t>
      </w:r>
      <w:r w:rsidRPr="002A4195">
        <w:rPr>
          <w:rFonts w:ascii="Verdana" w:hAnsi="Verdana" w:cs="Arial"/>
          <w:i/>
          <w:iCs/>
          <w:color w:val="000000" w:themeColor="text1"/>
          <w:lang w:val="es-ES"/>
        </w:rPr>
        <w:t xml:space="preserve">tipicidad </w:t>
      </w:r>
      <w:r w:rsidRPr="002A4195">
        <w:rPr>
          <w:rFonts w:ascii="Verdana" w:hAnsi="Verdana" w:cs="Arial"/>
          <w:color w:val="000000" w:themeColor="text1"/>
          <w:lang w:val="es-ES"/>
        </w:rPr>
        <w:t xml:space="preserve">y </w:t>
      </w:r>
      <w:r w:rsidRPr="002A4195">
        <w:rPr>
          <w:rFonts w:ascii="Verdana" w:hAnsi="Verdana" w:cs="Arial"/>
          <w:i/>
          <w:iCs/>
          <w:color w:val="000000" w:themeColor="text1"/>
          <w:lang w:val="es-ES"/>
        </w:rPr>
        <w:t>objetividad.</w:t>
      </w:r>
      <w:r w:rsidRPr="002A4195">
        <w:rPr>
          <w:rFonts w:ascii="Verdana" w:hAnsi="Verdana" w:cs="Arial"/>
          <w:color w:val="000000" w:themeColor="text1"/>
          <w:vertAlign w:val="superscript"/>
          <w:lang w:val="es-ES"/>
        </w:rPr>
        <w:footnoteReference w:id="14"/>
      </w:r>
    </w:p>
    <w:p w14:paraId="509B6639" w14:textId="77777777" w:rsidR="002A4195" w:rsidRPr="002A4195" w:rsidRDefault="002A4195" w:rsidP="002A4195">
      <w:pPr>
        <w:widowControl w:val="0"/>
        <w:autoSpaceDE w:val="0"/>
        <w:autoSpaceDN w:val="0"/>
        <w:spacing w:after="0" w:line="276" w:lineRule="auto"/>
        <w:jc w:val="both"/>
        <w:rPr>
          <w:rFonts w:ascii="Verdana" w:hAnsi="Verdana" w:cs="Arial"/>
          <w:i/>
          <w:iCs/>
          <w:color w:val="000000" w:themeColor="text1"/>
          <w:lang w:val="es-ES_tradnl"/>
        </w:rPr>
      </w:pPr>
    </w:p>
    <w:p w14:paraId="74AD82CD" w14:textId="77777777" w:rsidR="002A4195" w:rsidRPr="002A4195" w:rsidRDefault="002A4195" w:rsidP="002A4195">
      <w:pPr>
        <w:widowControl w:val="0"/>
        <w:numPr>
          <w:ilvl w:val="0"/>
          <w:numId w:val="2"/>
        </w:numPr>
        <w:autoSpaceDE w:val="0"/>
        <w:autoSpaceDN w:val="0"/>
        <w:spacing w:after="0" w:line="276" w:lineRule="auto"/>
        <w:jc w:val="both"/>
        <w:rPr>
          <w:rFonts w:ascii="Verdana" w:hAnsi="Verdana" w:cs="Arial"/>
          <w:color w:val="000000" w:themeColor="text1"/>
          <w:lang w:val="es-ES"/>
        </w:rPr>
      </w:pPr>
      <w:r w:rsidRPr="002A4195">
        <w:rPr>
          <w:rFonts w:ascii="Verdana" w:hAnsi="Verdana" w:cs="Arial"/>
          <w:bCs/>
          <w:color w:val="000000" w:themeColor="text1"/>
          <w:lang w:val="es-MX"/>
        </w:rPr>
        <w:t xml:space="preserve">Bajo estas consideraciones, corresponde a cada Entidad Pública, en ejercicio de su competencia y previa valoración de los elementos fácticos y jurídicos, determinar si se está incurso en alguna causal de inhabilidad o incompatibilidad o si se configura un conflicto de intereses. </w:t>
      </w:r>
    </w:p>
    <w:p w14:paraId="65F81B9B" w14:textId="77777777" w:rsidR="00661953" w:rsidRPr="002A4195" w:rsidRDefault="00661953" w:rsidP="00661953">
      <w:pPr>
        <w:widowControl w:val="0"/>
        <w:autoSpaceDE w:val="0"/>
        <w:autoSpaceDN w:val="0"/>
        <w:spacing w:after="0" w:line="276" w:lineRule="auto"/>
        <w:jc w:val="both"/>
        <w:rPr>
          <w:rFonts w:ascii="Verdana" w:hAnsi="Verdana" w:cs="Arial"/>
          <w:color w:val="000000" w:themeColor="text1"/>
          <w:lang w:val="es-ES"/>
        </w:rPr>
      </w:pPr>
    </w:p>
    <w:p w14:paraId="7A47E624" w14:textId="77777777" w:rsidR="00661953" w:rsidRPr="00115E3D" w:rsidRDefault="00661953" w:rsidP="0066195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Referencias normativas, jurisprudenciales y otras fuentes:</w:t>
      </w:r>
    </w:p>
    <w:p w14:paraId="3354F54E" w14:textId="77777777" w:rsidR="00661953" w:rsidRPr="00115E3D" w:rsidRDefault="00661953" w:rsidP="00661953">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61953" w:rsidRPr="00115E3D" w14:paraId="57B01B18" w14:textId="77777777" w:rsidTr="003028CD">
        <w:trPr>
          <w:trHeight w:val="870"/>
        </w:trPr>
        <w:tc>
          <w:tcPr>
            <w:tcW w:w="8647" w:type="dxa"/>
          </w:tcPr>
          <w:p w14:paraId="743F1194" w14:textId="77777777" w:rsidR="007257E2" w:rsidRPr="007257E2" w:rsidRDefault="007257E2" w:rsidP="007257E2">
            <w:pPr>
              <w:pStyle w:val="Prrafodelista"/>
              <w:numPr>
                <w:ilvl w:val="0"/>
                <w:numId w:val="3"/>
              </w:numPr>
              <w:contextualSpacing w:val="0"/>
              <w:rPr>
                <w:rFonts w:ascii="Verdana" w:hAnsi="Verdana" w:cs="Arial"/>
                <w:color w:val="000000" w:themeColor="text1"/>
                <w:lang w:val="es-ES"/>
              </w:rPr>
            </w:pPr>
            <w:r w:rsidRPr="007257E2">
              <w:rPr>
                <w:rFonts w:ascii="Verdana" w:hAnsi="Verdana" w:cs="Arial"/>
                <w:color w:val="000000" w:themeColor="text1"/>
                <w:lang w:val="es-ES_tradnl"/>
              </w:rPr>
              <w:t>Constitución Política: artículo 209.</w:t>
            </w:r>
          </w:p>
          <w:p w14:paraId="32925593" w14:textId="77777777" w:rsidR="007257E2" w:rsidRPr="007257E2" w:rsidRDefault="007257E2" w:rsidP="007257E2">
            <w:pPr>
              <w:pStyle w:val="Prrafodelista"/>
              <w:numPr>
                <w:ilvl w:val="0"/>
                <w:numId w:val="3"/>
              </w:numPr>
              <w:contextualSpacing w:val="0"/>
              <w:rPr>
                <w:rFonts w:ascii="Verdana" w:hAnsi="Verdana" w:cs="Arial"/>
                <w:color w:val="000000" w:themeColor="text1"/>
                <w:lang w:val="es-ES"/>
              </w:rPr>
            </w:pPr>
            <w:r w:rsidRPr="007257E2">
              <w:rPr>
                <w:rFonts w:ascii="Verdana" w:hAnsi="Verdana" w:cs="Arial"/>
                <w:color w:val="000000" w:themeColor="text1"/>
                <w:lang w:val="es-ES"/>
              </w:rPr>
              <w:t>Ley 80 de 1993: artículo 8.</w:t>
            </w:r>
          </w:p>
          <w:p w14:paraId="32E9B727" w14:textId="77777777" w:rsidR="007257E2" w:rsidRPr="007257E2" w:rsidRDefault="007257E2" w:rsidP="007257E2">
            <w:pPr>
              <w:pStyle w:val="Prrafodelista"/>
              <w:numPr>
                <w:ilvl w:val="0"/>
                <w:numId w:val="3"/>
              </w:numPr>
              <w:contextualSpacing w:val="0"/>
              <w:rPr>
                <w:rFonts w:ascii="Verdana" w:hAnsi="Verdana" w:cs="Arial"/>
                <w:color w:val="000000" w:themeColor="text1"/>
                <w:lang w:val="es-ES"/>
              </w:rPr>
            </w:pPr>
            <w:r w:rsidRPr="007257E2">
              <w:rPr>
                <w:rFonts w:ascii="Verdana" w:hAnsi="Verdana" w:cs="Arial"/>
                <w:color w:val="000000" w:themeColor="text1"/>
                <w:lang w:val="es-MX"/>
              </w:rPr>
              <w:t>Ley 1150 de 2007: artículo 18.</w:t>
            </w:r>
          </w:p>
          <w:p w14:paraId="4B242956" w14:textId="77777777" w:rsidR="007257E2" w:rsidRPr="007257E2" w:rsidRDefault="007257E2" w:rsidP="007257E2">
            <w:pPr>
              <w:pStyle w:val="Prrafodelista"/>
              <w:numPr>
                <w:ilvl w:val="0"/>
                <w:numId w:val="3"/>
              </w:numPr>
              <w:contextualSpacing w:val="0"/>
              <w:rPr>
                <w:rFonts w:ascii="Verdana" w:hAnsi="Verdana" w:cs="Arial"/>
                <w:color w:val="000000" w:themeColor="text1"/>
                <w:lang w:val="es-ES"/>
              </w:rPr>
            </w:pPr>
            <w:r w:rsidRPr="007257E2">
              <w:rPr>
                <w:rFonts w:ascii="Verdana" w:hAnsi="Verdana" w:cs="Arial"/>
                <w:color w:val="000000" w:themeColor="text1"/>
                <w:lang w:val="es-ES_tradnl"/>
              </w:rPr>
              <w:t>Ley 1437 de 2011: artículos 3 numeral 5, 11 y 12</w:t>
            </w:r>
            <w:r w:rsidRPr="007257E2">
              <w:rPr>
                <w:rFonts w:ascii="Verdana" w:hAnsi="Verdana" w:cs="Arial"/>
                <w:color w:val="000000" w:themeColor="text1"/>
                <w:lang w:val="es-MX"/>
              </w:rPr>
              <w:t>.</w:t>
            </w:r>
          </w:p>
          <w:p w14:paraId="45529DBC" w14:textId="77777777" w:rsidR="007257E2" w:rsidRPr="007257E2" w:rsidRDefault="007257E2" w:rsidP="007257E2">
            <w:pPr>
              <w:pStyle w:val="Prrafodelista"/>
              <w:numPr>
                <w:ilvl w:val="0"/>
                <w:numId w:val="3"/>
              </w:numPr>
              <w:contextualSpacing w:val="0"/>
              <w:rPr>
                <w:rFonts w:ascii="Verdana" w:hAnsi="Verdana" w:cs="Arial"/>
                <w:color w:val="000000" w:themeColor="text1"/>
                <w:lang w:val="es-ES"/>
              </w:rPr>
            </w:pPr>
            <w:r w:rsidRPr="007257E2">
              <w:rPr>
                <w:rFonts w:ascii="Verdana" w:hAnsi="Verdana" w:cs="Arial"/>
                <w:color w:val="000000" w:themeColor="text1"/>
                <w:lang w:val="pt-BR"/>
              </w:rPr>
              <w:t>Corte Constitucional. Sentencia C-1016 de 2012. M.P. Jorge Iván Palacio.</w:t>
            </w:r>
          </w:p>
          <w:p w14:paraId="0D7A18CE" w14:textId="77777777" w:rsidR="007257E2" w:rsidRPr="007257E2" w:rsidRDefault="007257E2" w:rsidP="007257E2">
            <w:pPr>
              <w:pStyle w:val="Prrafodelista"/>
              <w:numPr>
                <w:ilvl w:val="0"/>
                <w:numId w:val="3"/>
              </w:numPr>
              <w:contextualSpacing w:val="0"/>
              <w:jc w:val="both"/>
              <w:rPr>
                <w:rFonts w:ascii="Verdana" w:hAnsi="Verdana" w:cs="Arial"/>
                <w:color w:val="000000" w:themeColor="text1"/>
                <w:lang w:val="pt-BR"/>
              </w:rPr>
            </w:pPr>
            <w:r w:rsidRPr="007257E2">
              <w:rPr>
                <w:rFonts w:ascii="Verdana" w:hAnsi="Verdana" w:cs="Arial"/>
                <w:color w:val="000000" w:themeColor="text1"/>
                <w:lang w:val="pt-BR"/>
              </w:rPr>
              <w:t xml:space="preserve">Corte Constitucional. Sentencia C-415 de 1994. M.P. Eduardo Cifuentes Muñoz. </w:t>
            </w:r>
          </w:p>
          <w:p w14:paraId="201652B5" w14:textId="77777777" w:rsidR="007257E2" w:rsidRPr="007257E2" w:rsidRDefault="007257E2" w:rsidP="007257E2">
            <w:pPr>
              <w:pStyle w:val="Prrafodelista"/>
              <w:numPr>
                <w:ilvl w:val="0"/>
                <w:numId w:val="3"/>
              </w:numPr>
              <w:contextualSpacing w:val="0"/>
              <w:rPr>
                <w:rFonts w:ascii="Verdana" w:hAnsi="Verdana" w:cs="Arial"/>
                <w:color w:val="000000" w:themeColor="text1"/>
                <w:lang w:val="es-ES"/>
              </w:rPr>
            </w:pPr>
            <w:r w:rsidRPr="007257E2">
              <w:rPr>
                <w:rFonts w:ascii="Verdana" w:hAnsi="Verdana" w:cs="Arial"/>
                <w:color w:val="000000" w:themeColor="text1"/>
                <w:lang w:val="pt-BR"/>
              </w:rPr>
              <w:t xml:space="preserve">Corte Constitucional. </w:t>
            </w:r>
            <w:r w:rsidRPr="007257E2">
              <w:rPr>
                <w:rFonts w:ascii="Verdana" w:hAnsi="Verdana" w:cs="Arial"/>
                <w:color w:val="000000" w:themeColor="text1"/>
              </w:rPr>
              <w:t>Sentencia C-780 de 2001. M.P. Jaime Córdoba Triviño.</w:t>
            </w:r>
          </w:p>
          <w:p w14:paraId="136FA241" w14:textId="77777777" w:rsidR="007257E2" w:rsidRPr="007257E2" w:rsidRDefault="007257E2" w:rsidP="007257E2">
            <w:pPr>
              <w:pStyle w:val="Prrafodelista"/>
              <w:numPr>
                <w:ilvl w:val="0"/>
                <w:numId w:val="3"/>
              </w:numPr>
              <w:contextualSpacing w:val="0"/>
              <w:jc w:val="both"/>
              <w:rPr>
                <w:rFonts w:ascii="Verdana" w:hAnsi="Verdana" w:cs="Arial"/>
                <w:color w:val="000000" w:themeColor="text1"/>
                <w:lang w:val="es-ES"/>
              </w:rPr>
            </w:pPr>
            <w:r w:rsidRPr="007257E2">
              <w:rPr>
                <w:rFonts w:ascii="Verdana" w:hAnsi="Verdana" w:cs="Arial"/>
                <w:color w:val="000000" w:themeColor="text1"/>
                <w:lang w:val="es-ES"/>
              </w:rPr>
              <w:t xml:space="preserve">Corte Constitucional. Sentencia T-1039 de 2006. Magistrado Ponente: Humberto Sierra Porto. </w:t>
            </w:r>
          </w:p>
          <w:p w14:paraId="3CB04971" w14:textId="77777777" w:rsidR="007257E2" w:rsidRPr="007257E2" w:rsidRDefault="007257E2" w:rsidP="007257E2">
            <w:pPr>
              <w:pStyle w:val="Prrafodelista"/>
              <w:numPr>
                <w:ilvl w:val="0"/>
                <w:numId w:val="3"/>
              </w:numPr>
              <w:contextualSpacing w:val="0"/>
              <w:rPr>
                <w:rFonts w:ascii="Verdana" w:hAnsi="Verdana" w:cs="Arial"/>
                <w:color w:val="000000" w:themeColor="text1"/>
                <w:lang w:val="es-ES"/>
              </w:rPr>
            </w:pPr>
            <w:r w:rsidRPr="007257E2">
              <w:rPr>
                <w:rFonts w:ascii="Verdana" w:hAnsi="Verdana" w:cs="Arial"/>
                <w:color w:val="000000" w:themeColor="text1"/>
              </w:rPr>
              <w:lastRenderedPageBreak/>
              <w:t>Consejo de Estado. Sala de Consulta y de Servicio Civil. Concepto del 23 de marzo de 2011. Rad. 2.045. C.P. Enrique José Arboleda Perdomo.</w:t>
            </w:r>
          </w:p>
          <w:p w14:paraId="51FE45DF" w14:textId="77777777" w:rsidR="007257E2" w:rsidRPr="007257E2" w:rsidRDefault="007257E2" w:rsidP="007257E2">
            <w:pPr>
              <w:pStyle w:val="Prrafodelista"/>
              <w:numPr>
                <w:ilvl w:val="0"/>
                <w:numId w:val="3"/>
              </w:numPr>
              <w:contextualSpacing w:val="0"/>
              <w:rPr>
                <w:rFonts w:ascii="Verdana" w:hAnsi="Verdana" w:cs="Arial"/>
                <w:color w:val="000000" w:themeColor="text1"/>
                <w:lang w:val="es-ES"/>
              </w:rPr>
            </w:pPr>
            <w:r w:rsidRPr="007257E2">
              <w:rPr>
                <w:rFonts w:ascii="Verdana" w:hAnsi="Verdana" w:cs="Arial"/>
                <w:color w:val="000000" w:themeColor="text1"/>
              </w:rPr>
              <w:t>Consejo de Estado. Sección Tercera. Subsección C. Sentencia del 22 de mayo de 2013. Exp. 24.057. Consejera Ponente: Olga Melida Valle De De La Hoz.</w:t>
            </w:r>
          </w:p>
          <w:p w14:paraId="22CB6357" w14:textId="77777777" w:rsidR="007257E2" w:rsidRPr="007257E2" w:rsidRDefault="007257E2" w:rsidP="007257E2">
            <w:pPr>
              <w:pStyle w:val="Prrafodelista"/>
              <w:numPr>
                <w:ilvl w:val="0"/>
                <w:numId w:val="3"/>
              </w:numPr>
              <w:contextualSpacing w:val="0"/>
              <w:jc w:val="both"/>
              <w:rPr>
                <w:rFonts w:ascii="Verdana" w:hAnsi="Verdana" w:cs="Arial"/>
                <w:color w:val="000000" w:themeColor="text1"/>
                <w:lang w:val="es-ES"/>
              </w:rPr>
            </w:pPr>
            <w:r w:rsidRPr="007257E2">
              <w:rPr>
                <w:rFonts w:ascii="Verdana" w:hAnsi="Verdana" w:cs="Arial"/>
                <w:color w:val="000000" w:themeColor="text1"/>
              </w:rPr>
              <w:t xml:space="preserve">Consejo De Estado. Sección Tercera. Subsección A. Sentencia del 13 de noviembre de 2013. </w:t>
            </w:r>
            <w:r w:rsidRPr="007257E2">
              <w:rPr>
                <w:rFonts w:ascii="Verdana" w:hAnsi="Verdana" w:cs="Arial"/>
                <w:color w:val="000000" w:themeColor="text1"/>
                <w:lang w:val="pt-BR"/>
              </w:rPr>
              <w:t xml:space="preserve">Rad. 25.646. C.P. Mauricio Fajardo Gómez.  </w:t>
            </w:r>
          </w:p>
          <w:p w14:paraId="6FAEC696" w14:textId="77777777" w:rsidR="007257E2" w:rsidRPr="007257E2" w:rsidRDefault="007257E2" w:rsidP="007257E2">
            <w:pPr>
              <w:pStyle w:val="Prrafodelista"/>
              <w:numPr>
                <w:ilvl w:val="0"/>
                <w:numId w:val="3"/>
              </w:numPr>
              <w:contextualSpacing w:val="0"/>
              <w:jc w:val="both"/>
              <w:rPr>
                <w:rFonts w:ascii="Verdana" w:hAnsi="Verdana" w:cs="Arial"/>
                <w:color w:val="000000" w:themeColor="text1"/>
                <w:lang w:val="es-ES"/>
              </w:rPr>
            </w:pPr>
            <w:r w:rsidRPr="007257E2">
              <w:rPr>
                <w:rFonts w:ascii="Verdana" w:hAnsi="Verdana" w:cs="Arial"/>
                <w:color w:val="000000" w:themeColor="text1"/>
                <w:lang w:val="es-ES"/>
              </w:rPr>
              <w:t>Consejo de Estado. Sala de Consulta y Servicio Civil. Concepto del 30 de abril de 2015. Expediente: 2.251. Consejero Ponente: Álvaro Namén Vargas.</w:t>
            </w:r>
          </w:p>
          <w:p w14:paraId="53CC178B" w14:textId="1F055B5C" w:rsidR="00661953" w:rsidRPr="00115E3D" w:rsidRDefault="007257E2" w:rsidP="007257E2">
            <w:pPr>
              <w:pStyle w:val="Prrafodelista"/>
              <w:widowControl w:val="0"/>
              <w:numPr>
                <w:ilvl w:val="0"/>
                <w:numId w:val="3"/>
              </w:numPr>
              <w:autoSpaceDE w:val="0"/>
              <w:autoSpaceDN w:val="0"/>
              <w:spacing w:after="120" w:line="276" w:lineRule="auto"/>
              <w:contextualSpacing w:val="0"/>
              <w:jc w:val="both"/>
              <w:rPr>
                <w:rFonts w:ascii="Verdana" w:hAnsi="Verdana" w:cs="Arial"/>
                <w:color w:val="000000" w:themeColor="text1"/>
              </w:rPr>
            </w:pPr>
            <w:r w:rsidRPr="007257E2">
              <w:rPr>
                <w:rFonts w:ascii="Verdana" w:hAnsi="Verdana" w:cs="Arial"/>
                <w:color w:val="000000" w:themeColor="text1"/>
                <w:lang w:val="es-MX"/>
              </w:rPr>
              <w:t>Consejo de Estado. Sección Tercera. Subsección A. Sentencia del 24 de junio de 2015. Exp. 40.635. Consejero Ponente: Hernán Andrade Rincón (E).</w:t>
            </w:r>
          </w:p>
        </w:tc>
      </w:tr>
    </w:tbl>
    <w:p w14:paraId="1A0C3B44" w14:textId="77777777" w:rsidR="00661953" w:rsidRPr="00115E3D" w:rsidRDefault="00661953" w:rsidP="00661953">
      <w:pPr>
        <w:widowControl w:val="0"/>
        <w:autoSpaceDE w:val="0"/>
        <w:autoSpaceDN w:val="0"/>
        <w:spacing w:after="0" w:line="276" w:lineRule="auto"/>
        <w:jc w:val="both"/>
        <w:rPr>
          <w:rFonts w:ascii="Verdana" w:hAnsi="Verdana" w:cs="Arial"/>
          <w:color w:val="000000" w:themeColor="text1"/>
        </w:rPr>
      </w:pPr>
    </w:p>
    <w:p w14:paraId="624A677C" w14:textId="77777777" w:rsidR="00661953" w:rsidRPr="00115E3D" w:rsidRDefault="00661953" w:rsidP="0066195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Doctrina de la Agencia Nacional de Contratación Pública:</w:t>
      </w:r>
    </w:p>
    <w:p w14:paraId="5B70DA56" w14:textId="77777777" w:rsidR="00661953" w:rsidRPr="00115E3D" w:rsidRDefault="00661953" w:rsidP="00661953">
      <w:pPr>
        <w:widowControl w:val="0"/>
        <w:autoSpaceDE w:val="0"/>
        <w:autoSpaceDN w:val="0"/>
        <w:spacing w:after="0" w:line="276" w:lineRule="auto"/>
        <w:jc w:val="both"/>
        <w:rPr>
          <w:rFonts w:ascii="Verdana" w:hAnsi="Verdana" w:cs="Arial"/>
          <w:color w:val="000000" w:themeColor="text1"/>
        </w:rPr>
      </w:pPr>
    </w:p>
    <w:p w14:paraId="074FB274" w14:textId="5B47CBC2" w:rsidR="00661953" w:rsidRDefault="000F155D" w:rsidP="00661953">
      <w:pPr>
        <w:widowControl w:val="0"/>
        <w:autoSpaceDE w:val="0"/>
        <w:autoSpaceDN w:val="0"/>
        <w:spacing w:after="0" w:line="276" w:lineRule="auto"/>
        <w:jc w:val="both"/>
        <w:rPr>
          <w:rFonts w:ascii="Verdana" w:hAnsi="Verdana" w:cs="Arial"/>
          <w:color w:val="000000" w:themeColor="text1"/>
          <w:shd w:val="clear" w:color="auto" w:fill="FFFFFF"/>
        </w:rPr>
      </w:pPr>
      <w:r w:rsidRPr="000F155D">
        <w:rPr>
          <w:rFonts w:ascii="Verdana" w:hAnsi="Verdana" w:cs="Arial"/>
          <w:color w:val="000000" w:themeColor="text1"/>
          <w:shd w:val="clear" w:color="auto" w:fill="FFFFFF"/>
          <w:lang w:val="es-ES"/>
        </w:rPr>
        <w:t>Sobre el régimen de inhabilidades e incompatibilidades en la contratación pública, sus criterios de interpretación –restrictivo y pro libertate– y sus efectos en la capacidad contractual, entre otros se pronunció esta Subdirección en los conceptos</w:t>
      </w:r>
      <w:r w:rsidRPr="000F155D">
        <w:rPr>
          <w:rFonts w:ascii="Verdana" w:hAnsi="Verdana" w:cs="Arial"/>
          <w:color w:val="000000" w:themeColor="text1"/>
          <w:shd w:val="clear" w:color="auto" w:fill="FFFFFF"/>
        </w:rPr>
        <w:t xml:space="preserve"> </w:t>
      </w:r>
      <w:r w:rsidRPr="000F155D">
        <w:rPr>
          <w:rFonts w:ascii="Verdana" w:hAnsi="Verdana" w:cs="Arial"/>
          <w:color w:val="000000" w:themeColor="text1"/>
          <w:shd w:val="clear" w:color="auto" w:fill="FFFFFF"/>
          <w:lang w:val="es-ES"/>
        </w:rPr>
        <w:t xml:space="preserve">C-090 del 24 de febrero de 2020, C-125 del 3 de marzo de 2020, C-157 del 17 de marzo de 2020, C-273 del 21 de mayo de 2020, C-402 del 26 de junio de 2020, C-386 del 24 de julio de 2020, C-701 del 6 de enero de 2021, C-004 del 12 de febrero de 2021, C-210 del 12 de mayo de 2021, C-275 del 11 de junio de 2021, C-449 del 31 de agosto de 2021, C-028 del 28 de febrero de 2022, C-318 del 18 de mayo de 2022, C-252 del 30 de mayo de 2022, C-619 del 27 de septiembre de 2022, C-035 del 24 de abril de 2024, C-067 del 16 de mayo de 2024, C-041 del 29 de mayo de 2024, C-078 del 04 de junio de 2024, C-193 del 19 de julio de 2024, C-271 del 25 de julio de 2024, C-108 de 06 de agosto de 2024 y C-332 del 27 de agosto del 2024, entre otros. También se ha pronunciado sobre el conflicto de interés en los conceptos C-229 del 16 de abril de 2020, C-815 del 18 de febrero de 2021, C-449 del 31 de agosto de 2021, C-288 del 14 de julio de 2023 </w:t>
      </w:r>
      <w:r w:rsidR="00BD51D3">
        <w:rPr>
          <w:rFonts w:ascii="Verdana" w:hAnsi="Verdana" w:cs="Arial"/>
          <w:color w:val="000000" w:themeColor="text1"/>
          <w:shd w:val="clear" w:color="auto" w:fill="FFFFFF"/>
          <w:lang w:val="es-ES"/>
        </w:rPr>
        <w:t>,</w:t>
      </w:r>
      <w:r w:rsidRPr="000F155D">
        <w:rPr>
          <w:rFonts w:ascii="Verdana" w:hAnsi="Verdana" w:cs="Arial"/>
          <w:color w:val="000000" w:themeColor="text1"/>
          <w:shd w:val="clear" w:color="auto" w:fill="FFFFFF"/>
          <w:lang w:val="es-ES"/>
        </w:rPr>
        <w:t xml:space="preserve"> C-294 del 14 de agosto de 2024</w:t>
      </w:r>
      <w:r w:rsidR="00BD51D3">
        <w:rPr>
          <w:rFonts w:ascii="Verdana" w:hAnsi="Verdana" w:cs="Arial"/>
          <w:color w:val="000000" w:themeColor="text1"/>
          <w:shd w:val="clear" w:color="auto" w:fill="FFFFFF"/>
          <w:lang w:val="es-ES"/>
        </w:rPr>
        <w:t xml:space="preserve"> y </w:t>
      </w:r>
      <w:r w:rsidR="00BC0A5B">
        <w:rPr>
          <w:rFonts w:ascii="Verdana" w:hAnsi="Verdana" w:cs="Arial"/>
          <w:color w:val="000000" w:themeColor="text1"/>
          <w:shd w:val="clear" w:color="auto" w:fill="FFFFFF"/>
          <w:lang w:val="es-ES"/>
        </w:rPr>
        <w:t>C-560 del 27 de septiembre de 2024</w:t>
      </w:r>
      <w:r w:rsidRPr="000F155D">
        <w:rPr>
          <w:rFonts w:ascii="Verdana" w:hAnsi="Verdana" w:cs="Arial"/>
          <w:color w:val="000000" w:themeColor="text1"/>
          <w:shd w:val="clear" w:color="auto" w:fill="FFFFFF"/>
          <w:lang w:val="es-ES"/>
        </w:rPr>
        <w:t xml:space="preserve">. </w:t>
      </w:r>
      <w:r w:rsidRPr="000F155D">
        <w:rPr>
          <w:rFonts w:ascii="Verdana" w:hAnsi="Verdana" w:cs="Arial"/>
          <w:color w:val="000000" w:themeColor="text1"/>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w:t>
      </w:r>
      <w:r w:rsidRPr="000F155D">
        <w:rPr>
          <w:rFonts w:ascii="Verdana" w:hAnsi="Verdana" w:cs="Arial"/>
          <w:color w:val="000000" w:themeColor="text1"/>
          <w:shd w:val="clear" w:color="auto" w:fill="FFFFFF"/>
        </w:rPr>
        <w:lastRenderedPageBreak/>
        <w:t>Contractual. Accede a través del siguiente enlace: </w:t>
      </w:r>
      <w:hyperlink r:id="rId9" w:tgtFrame="_blank" w:tooltip="Dirección URL original: https://relatoria.colombiacompra.gov.co/. Haga clic o pulse si confía en este vínculo." w:history="1">
        <w:r w:rsidRPr="000F155D">
          <w:rPr>
            <w:rStyle w:val="Hipervnculo"/>
            <w:rFonts w:ascii="Verdana" w:hAnsi="Verdana" w:cs="Arial"/>
            <w:shd w:val="clear" w:color="auto" w:fill="FFFFFF"/>
          </w:rPr>
          <w:t>https://relatoria.colombiacompra.gov.co/</w:t>
        </w:r>
      </w:hyperlink>
      <w:r w:rsidRPr="000F155D">
        <w:rPr>
          <w:rFonts w:ascii="Verdana" w:hAnsi="Verdana" w:cs="Arial"/>
          <w:color w:val="000000" w:themeColor="text1"/>
          <w:shd w:val="clear" w:color="auto" w:fill="FFFFFF"/>
        </w:rPr>
        <w:t> .</w:t>
      </w:r>
    </w:p>
    <w:p w14:paraId="7A69D1EA" w14:textId="77777777" w:rsidR="000F155D" w:rsidRPr="00115E3D" w:rsidRDefault="000F155D" w:rsidP="00661953">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1605A2CD" w14:textId="77777777" w:rsidR="00A8329D" w:rsidRDefault="00A8329D" w:rsidP="00A8329D">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0" w:tgtFrame="_blank" w:tooltip="Dirección URL original: https://www.colombiacompra.gov.co/content/borrador-de-documentos-tipo-de-consultoria-de-obra-publica-de-infraestructura-de-transporte. Haga clic o pulse si confía en este vínculo." w:history="1">
        <w:r w:rsidRPr="00C76656">
          <w:rPr>
            <w:rStyle w:val="Hipervnculo"/>
            <w:rFonts w:ascii="Verdana" w:hAnsi="Verdana" w:cs="Arial"/>
          </w:rPr>
          <w:t>https://www.colombiacompra.gov.co/content/borrador-de-documentos-tipo-de-consultoria-de-obra-publica-de-infraestructura-de-transporte</w:t>
        </w:r>
      </w:hyperlink>
      <w:r w:rsidRPr="00C76656">
        <w:rPr>
          <w:rFonts w:ascii="Verdana" w:hAnsi="Verdana" w:cs="Arial"/>
          <w:color w:val="000000" w:themeColor="text1"/>
        </w:rPr>
        <w:t> y </w:t>
      </w:r>
      <w:hyperlink r:id="rId11" w:tgtFrame="_blank" w:tooltip="Dirección URL original: https://www.colombiacompra.gov.co/content/borrador-de-documentos-tipo-de-interventoria-de-obra-publica-de-infraestructura-de. Haga clic o pulse si confía en este vínculo." w:history="1">
        <w:r w:rsidRPr="00C76656">
          <w:rPr>
            <w:rStyle w:val="Hipervnculo"/>
            <w:rFonts w:ascii="Verdana" w:hAnsi="Verdana" w:cs="Arial"/>
          </w:rPr>
          <w:t>https://www.colombiacompra.gov.co/content/borrador-de-documentos-tipo-de-interventoria-de-obra-publica-de-infraestructura-de</w:t>
        </w:r>
      </w:hyperlink>
      <w:r w:rsidRPr="00C76656">
        <w:rPr>
          <w:rFonts w:ascii="Verdana" w:hAnsi="Verdana" w:cs="Arial"/>
          <w:color w:val="000000" w:themeColor="text1"/>
        </w:rPr>
        <w:t> .</w:t>
      </w:r>
    </w:p>
    <w:p w14:paraId="7143621E" w14:textId="77777777" w:rsidR="00A8329D" w:rsidRPr="00C76656" w:rsidRDefault="00A8329D" w:rsidP="00A8329D">
      <w:pPr>
        <w:widowControl w:val="0"/>
        <w:autoSpaceDE w:val="0"/>
        <w:autoSpaceDN w:val="0"/>
        <w:spacing w:after="0" w:line="276" w:lineRule="auto"/>
        <w:jc w:val="both"/>
        <w:rPr>
          <w:rFonts w:ascii="Verdana" w:hAnsi="Verdana" w:cs="Arial"/>
          <w:color w:val="000000" w:themeColor="text1"/>
        </w:rPr>
      </w:pPr>
    </w:p>
    <w:p w14:paraId="41181C53" w14:textId="77777777" w:rsidR="00A8329D" w:rsidRDefault="00A8329D" w:rsidP="00A8329D">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De otra parte, te contamos que ya publicamos el borrador de la nueva Guía de Contratación Pública Sostenible y Socialmente Responsable. Conoce el documento y realiza tus comentarios hasta el 14 de noviembre de 2024 a través del siguiente enlace: </w:t>
      </w:r>
      <w:hyperlink r:id="rId12" w:tgtFrame="_blank" w:tooltip="Dirección URL original: https://www.sucop.gov.co/entidades/colombiacompra/Normativa?IDNorma=18320. Haga clic o pulse si confía en este vínculo." w:history="1">
        <w:r w:rsidRPr="00C76656">
          <w:rPr>
            <w:rStyle w:val="Hipervnculo"/>
            <w:rFonts w:ascii="Verdana" w:hAnsi="Verdana" w:cs="Arial"/>
          </w:rPr>
          <w:t>https://www.sucop.gov.co/entidades/colombiacompra/Normativa?IDNorma=18320</w:t>
        </w:r>
      </w:hyperlink>
      <w:r w:rsidRPr="00C76656">
        <w:rPr>
          <w:rFonts w:ascii="Verdana" w:hAnsi="Verdana" w:cs="Arial"/>
          <w:color w:val="000000" w:themeColor="text1"/>
        </w:rPr>
        <w:t>  </w:t>
      </w:r>
    </w:p>
    <w:p w14:paraId="550366B4" w14:textId="77777777" w:rsidR="00A8329D" w:rsidRPr="00C76656" w:rsidRDefault="00A8329D" w:rsidP="00A8329D">
      <w:pPr>
        <w:widowControl w:val="0"/>
        <w:autoSpaceDE w:val="0"/>
        <w:autoSpaceDN w:val="0"/>
        <w:spacing w:after="0" w:line="276" w:lineRule="auto"/>
        <w:jc w:val="both"/>
        <w:rPr>
          <w:rFonts w:ascii="Verdana" w:hAnsi="Verdana" w:cs="Arial"/>
          <w:color w:val="000000" w:themeColor="text1"/>
        </w:rPr>
      </w:pPr>
    </w:p>
    <w:p w14:paraId="7E87FD53" w14:textId="77777777" w:rsidR="00A8329D" w:rsidRPr="00C76656" w:rsidRDefault="00A8329D" w:rsidP="00A8329D">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También le invitamos a consultar las versiones V y VI de 2024 del Boletín de Relatoría de la Subdirección de Gestión Contractual relacionados con las guías de Plan Anual de Adquisiciones y la odalidad de selección de mínima cuantía , los cuales se pueden descargar en la página web de la Agencia: </w:t>
      </w:r>
      <w:hyperlink r:id="rId13" w:tgtFrame="_blank" w:tooltip="Dirección URL original: https://www.colombiacompra.gov.co/sala-de-prensa/boletin-digital. Haga clic o pulse si confía en este vínculo." w:history="1">
        <w:r w:rsidRPr="00C76656">
          <w:rPr>
            <w:rStyle w:val="Hipervnculo"/>
            <w:rFonts w:ascii="Verdana" w:hAnsi="Verdana" w:cs="Arial"/>
          </w:rPr>
          <w:t>https://www.colombiacompra.gov.co/sala-de-prensa/boletin-digital</w:t>
        </w:r>
      </w:hyperlink>
      <w:r w:rsidRPr="00C76656">
        <w:rPr>
          <w:rFonts w:ascii="Verdana" w:hAnsi="Verdana" w:cs="Arial"/>
          <w:color w:val="000000" w:themeColor="text1"/>
        </w:rPr>
        <w:t> "    </w:t>
      </w:r>
    </w:p>
    <w:p w14:paraId="420E559C" w14:textId="77777777" w:rsidR="00A8329D" w:rsidRDefault="00A8329D" w:rsidP="00A8329D">
      <w:pPr>
        <w:widowControl w:val="0"/>
        <w:autoSpaceDE w:val="0"/>
        <w:autoSpaceDN w:val="0"/>
        <w:spacing w:after="0" w:line="276" w:lineRule="auto"/>
        <w:jc w:val="both"/>
        <w:rPr>
          <w:rFonts w:ascii="Verdana" w:hAnsi="Verdana" w:cs="Arial"/>
          <w:color w:val="000000" w:themeColor="text1"/>
        </w:rPr>
      </w:pPr>
    </w:p>
    <w:p w14:paraId="3AF71046" w14:textId="77777777" w:rsidR="00A8329D" w:rsidRPr="00E91F32" w:rsidRDefault="00A8329D" w:rsidP="00A8329D">
      <w:pPr>
        <w:widowControl w:val="0"/>
        <w:autoSpaceDE w:val="0"/>
        <w:autoSpaceDN w:val="0"/>
        <w:spacing w:after="0" w:line="276" w:lineRule="auto"/>
        <w:jc w:val="both"/>
        <w:rPr>
          <w:rFonts w:ascii="Verdana" w:hAnsi="Verdana" w:cs="Arial"/>
          <w:color w:val="000000" w:themeColor="text1"/>
        </w:rPr>
      </w:pPr>
      <w:r w:rsidRPr="00E91F32">
        <w:rPr>
          <w:rFonts w:ascii="Verdana" w:hAnsi="Verdana" w:cs="Arial"/>
          <w:color w:val="000000" w:themeColor="text1"/>
        </w:rPr>
        <w:t xml:space="preserve">Por último, lo invitamos a seguirnos en las redes sociales en las cuales se difunde información institucional: </w:t>
      </w:r>
    </w:p>
    <w:p w14:paraId="333815A9" w14:textId="77777777" w:rsidR="00A8329D" w:rsidRPr="00CA17B5" w:rsidRDefault="00A8329D" w:rsidP="00A8329D">
      <w:pPr>
        <w:widowControl w:val="0"/>
        <w:autoSpaceDE w:val="0"/>
        <w:autoSpaceDN w:val="0"/>
        <w:spacing w:after="0" w:line="276" w:lineRule="auto"/>
        <w:jc w:val="both"/>
        <w:rPr>
          <w:rFonts w:ascii="Verdana" w:hAnsi="Verdana" w:cs="Arial"/>
          <w:color w:val="000000" w:themeColor="text1"/>
        </w:rPr>
      </w:pPr>
    </w:p>
    <w:p w14:paraId="09A3D222" w14:textId="77777777" w:rsidR="00A8329D" w:rsidRPr="00CA17B5" w:rsidRDefault="00A8329D" w:rsidP="00A8329D">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Twitter: </w:t>
      </w:r>
      <w:r w:rsidRPr="00CA17B5">
        <w:rPr>
          <w:rFonts w:ascii="Verdana" w:hAnsi="Verdana" w:cs="Arial"/>
          <w:color w:val="000000" w:themeColor="text1"/>
          <w:u w:val="single"/>
        </w:rPr>
        <w:t>@colombiacompra</w:t>
      </w:r>
      <w:r w:rsidRPr="00CA17B5">
        <w:rPr>
          <w:rFonts w:ascii="Verdana" w:hAnsi="Verdana" w:cs="Arial"/>
          <w:color w:val="000000" w:themeColor="text1"/>
        </w:rPr>
        <w:t xml:space="preserve"> </w:t>
      </w:r>
    </w:p>
    <w:p w14:paraId="6CC11EBE" w14:textId="77777777" w:rsidR="00A8329D" w:rsidRPr="00CA17B5" w:rsidRDefault="00A8329D" w:rsidP="00A8329D">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Facebook: </w:t>
      </w:r>
      <w:r w:rsidRPr="00CA17B5">
        <w:rPr>
          <w:rFonts w:ascii="Verdana" w:hAnsi="Verdana" w:cs="Arial"/>
          <w:color w:val="000000" w:themeColor="text1"/>
          <w:u w:val="single"/>
        </w:rPr>
        <w:t>ColombiaCompraEficiente</w:t>
      </w:r>
    </w:p>
    <w:p w14:paraId="47C5484C" w14:textId="77777777" w:rsidR="00A8329D" w:rsidRPr="00CA17B5" w:rsidRDefault="00A8329D" w:rsidP="00A8329D">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LinkedIn: </w:t>
      </w:r>
      <w:r w:rsidRPr="00CA17B5">
        <w:rPr>
          <w:rFonts w:ascii="Verdana" w:hAnsi="Verdana" w:cs="Arial"/>
          <w:color w:val="000000" w:themeColor="text1"/>
          <w:u w:val="single"/>
        </w:rPr>
        <w:t>Agencia Nacional de Contratación Pública - Colombia Compra Eficiente</w:t>
      </w:r>
      <w:r w:rsidRPr="00CA17B5">
        <w:rPr>
          <w:rFonts w:ascii="Verdana" w:hAnsi="Verdana" w:cs="Arial"/>
          <w:color w:val="000000" w:themeColor="text1"/>
        </w:rPr>
        <w:t xml:space="preserve"> Instagram: </w:t>
      </w:r>
      <w:r w:rsidRPr="00CA17B5">
        <w:rPr>
          <w:rFonts w:ascii="Verdana" w:hAnsi="Verdana" w:cs="Arial"/>
          <w:color w:val="000000" w:themeColor="text1"/>
          <w:u w:val="single"/>
        </w:rPr>
        <w:t>@colombiacompraeficiente_cce</w:t>
      </w:r>
    </w:p>
    <w:p w14:paraId="76736D63" w14:textId="77777777" w:rsidR="00A8329D" w:rsidRPr="00CA17B5" w:rsidRDefault="00A8329D" w:rsidP="00A8329D">
      <w:pPr>
        <w:widowControl w:val="0"/>
        <w:autoSpaceDE w:val="0"/>
        <w:autoSpaceDN w:val="0"/>
        <w:spacing w:after="0" w:line="276" w:lineRule="auto"/>
        <w:jc w:val="both"/>
        <w:rPr>
          <w:rFonts w:ascii="Verdana" w:hAnsi="Verdana" w:cs="Arial"/>
          <w:color w:val="000000" w:themeColor="text1"/>
        </w:rPr>
      </w:pPr>
    </w:p>
    <w:p w14:paraId="453870BE" w14:textId="77777777" w:rsidR="00A8329D" w:rsidRPr="00CA17B5" w:rsidRDefault="00A8329D" w:rsidP="00A8329D">
      <w:pPr>
        <w:widowControl w:val="0"/>
        <w:autoSpaceDE w:val="0"/>
        <w:autoSpaceDN w:val="0"/>
        <w:spacing w:after="0" w:line="276" w:lineRule="auto"/>
        <w:jc w:val="both"/>
        <w:rPr>
          <w:rFonts w:ascii="Verdana" w:hAnsi="Verdana" w:cs="Arial"/>
          <w:color w:val="000000" w:themeColor="text1"/>
          <w:lang w:val="es-ES_tradnl"/>
        </w:rPr>
      </w:pPr>
      <w:r w:rsidRPr="00CA17B5">
        <w:rPr>
          <w:rFonts w:ascii="Verdana" w:hAnsi="Verdana" w:cs="Arial"/>
          <w:color w:val="000000" w:themeColor="text1"/>
        </w:rPr>
        <w:t xml:space="preserve">Este concepto tiene el alcance previsto en el artículo 28 del Código de Procedimiento Administrativo y de lo Contencioso Administrativo </w:t>
      </w:r>
      <w:r w:rsidRPr="00CA17B5">
        <w:rPr>
          <w:rFonts w:ascii="Verdana" w:hAnsi="Verdana" w:cs="Arial"/>
          <w:color w:val="000000" w:themeColor="text1"/>
          <w:lang w:val="es-ES_tradnl"/>
        </w:rPr>
        <w:t xml:space="preserve">y las </w:t>
      </w:r>
      <w:r w:rsidRPr="00CA17B5">
        <w:rPr>
          <w:rFonts w:ascii="Verdana" w:hAnsi="Verdana" w:cs="Arial"/>
          <w:color w:val="000000" w:themeColor="text1"/>
          <w:lang w:val="es-ES_tradnl"/>
        </w:rPr>
        <w:lastRenderedPageBreak/>
        <w:t>expresiones aquí utilizadas con mayúscula inicial deben ser entendidas con el significado que les otorga el artículo 2.2.1.1.1.3.1. del Decreto 1082 de 2015.</w:t>
      </w:r>
    </w:p>
    <w:p w14:paraId="285F6224" w14:textId="77777777" w:rsidR="00661953" w:rsidRPr="00A8329D" w:rsidRDefault="00661953" w:rsidP="00661953">
      <w:pPr>
        <w:widowControl w:val="0"/>
        <w:autoSpaceDE w:val="0"/>
        <w:autoSpaceDN w:val="0"/>
        <w:spacing w:after="0" w:line="276" w:lineRule="auto"/>
        <w:jc w:val="both"/>
        <w:rPr>
          <w:rFonts w:ascii="Verdana" w:hAnsi="Verdana" w:cs="Arial"/>
          <w:color w:val="000000" w:themeColor="text1"/>
          <w:lang w:val="es-ES_tradnl"/>
        </w:rPr>
      </w:pPr>
    </w:p>
    <w:p w14:paraId="6E44BD44" w14:textId="77777777" w:rsidR="00661953" w:rsidRPr="00115E3D" w:rsidRDefault="00661953" w:rsidP="00661953">
      <w:pPr>
        <w:spacing w:after="0" w:line="240" w:lineRule="auto"/>
        <w:rPr>
          <w:rFonts w:ascii="Verdana" w:hAnsi="Verdana" w:cs="Arial"/>
          <w:color w:val="000000" w:themeColor="text1"/>
          <w:lang w:eastAsia="es-CO"/>
        </w:rPr>
      </w:pPr>
      <w:r w:rsidRPr="00115E3D">
        <w:rPr>
          <w:rFonts w:ascii="Verdana" w:eastAsia="Times New Roman" w:hAnsi="Verdana" w:cs="Arial"/>
          <w:color w:val="000000" w:themeColor="text1"/>
          <w:lang w:eastAsia="es-CO"/>
        </w:rPr>
        <w:t>Atentamente,</w:t>
      </w:r>
      <w:r w:rsidRPr="00115E3D">
        <w:rPr>
          <w:rFonts w:ascii="Verdana" w:hAnsi="Verdana" w:cs="Arial"/>
          <w:color w:val="000000" w:themeColor="text1"/>
          <w:lang w:eastAsia="es-CO"/>
        </w:rPr>
        <w:t xml:space="preserve"> </w:t>
      </w:r>
    </w:p>
    <w:p w14:paraId="5E1DD0C3" w14:textId="2FE8E5AC" w:rsidR="00661953" w:rsidRPr="00115E3D" w:rsidRDefault="00197955" w:rsidP="00661953">
      <w:pPr>
        <w:spacing w:line="276" w:lineRule="auto"/>
        <w:jc w:val="center"/>
        <w:rPr>
          <w:rFonts w:ascii="Verdana" w:hAnsi="Verdana" w:cs="Arial"/>
          <w:color w:val="000000" w:themeColor="text1"/>
          <w:lang w:val="es-ES_tradnl" w:eastAsia="es-CO"/>
        </w:rPr>
      </w:pPr>
      <w:r>
        <w:rPr>
          <w:noProof/>
          <w14:ligatures w14:val="standardContextual"/>
        </w:rPr>
        <w:drawing>
          <wp:inline distT="0" distB="0" distL="0" distR="0" wp14:anchorId="14BFD539" wp14:editId="1E63A81A">
            <wp:extent cx="3771265" cy="1399540"/>
            <wp:effectExtent l="0" t="0" r="0" b="0"/>
            <wp:docPr id="12620428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42838" name="Imagen 1" descr="Texto&#10;&#10;Descripción generada automáticamente"/>
                    <pic:cNvPicPr>
                      <a:picLocks noChangeAspect="1"/>
                    </pic:cNvPicPr>
                  </pic:nvPicPr>
                  <pic:blipFill>
                    <a:blip r:embed="rId14"/>
                    <a:stretch>
                      <a:fillRect/>
                    </a:stretch>
                  </pic:blipFill>
                  <pic:spPr>
                    <a:xfrm>
                      <a:off x="0" y="0"/>
                      <a:ext cx="3771265" cy="139954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61953" w:rsidRPr="00115E3D" w14:paraId="45053A4A" w14:textId="77777777" w:rsidTr="003028CD">
        <w:trPr>
          <w:trHeight w:val="315"/>
        </w:trPr>
        <w:tc>
          <w:tcPr>
            <w:tcW w:w="893" w:type="dxa"/>
            <w:vAlign w:val="center"/>
            <w:hideMark/>
          </w:tcPr>
          <w:p w14:paraId="38DEBACE" w14:textId="77777777" w:rsidR="00661953" w:rsidRPr="00115E3D" w:rsidRDefault="00661953" w:rsidP="003028CD">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3B1553D" w14:textId="0DED8F20" w:rsidR="00661953" w:rsidRPr="00115E3D" w:rsidRDefault="00A224D0" w:rsidP="003028CD">
            <w:pPr>
              <w:contextualSpacing/>
              <w:rPr>
                <w:rFonts w:ascii="Verdana" w:eastAsia="Arial" w:hAnsi="Verdana" w:cs="Arial"/>
                <w:color w:val="000000" w:themeColor="text1"/>
                <w:sz w:val="16"/>
                <w:szCs w:val="16"/>
              </w:rPr>
            </w:pPr>
            <w:r>
              <w:rPr>
                <w:rFonts w:ascii="Verdana" w:eastAsia="Arial" w:hAnsi="Verdana" w:cs="Arial"/>
                <w:color w:val="000000" w:themeColor="text1"/>
                <w:sz w:val="16"/>
                <w:szCs w:val="16"/>
              </w:rPr>
              <w:t xml:space="preserve">Andreina Cerpa Muñoz </w:t>
            </w:r>
          </w:p>
          <w:p w14:paraId="551FEE49" w14:textId="6794C4FA" w:rsidR="00661953" w:rsidRPr="00115E3D" w:rsidRDefault="00A224D0" w:rsidP="003028CD">
            <w:pPr>
              <w:contextualSpacing/>
              <w:rPr>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Analista T2-02</w:t>
            </w:r>
            <w:r w:rsidR="00661953" w:rsidRPr="00115E3D">
              <w:rPr>
                <w:rStyle w:val="normaltextrun"/>
                <w:rFonts w:ascii="Verdana" w:eastAsia="Arial" w:hAnsi="Verdana" w:cs="Arial"/>
                <w:color w:val="000000" w:themeColor="text1"/>
                <w:sz w:val="16"/>
                <w:szCs w:val="16"/>
              </w:rPr>
              <w:t xml:space="preserve"> de la Subdirección de Gestión Contractual</w:t>
            </w:r>
          </w:p>
        </w:tc>
      </w:tr>
      <w:tr w:rsidR="00661953" w:rsidRPr="00115E3D" w14:paraId="571EB8EB" w14:textId="77777777" w:rsidTr="003028CD">
        <w:trPr>
          <w:trHeight w:val="330"/>
        </w:trPr>
        <w:tc>
          <w:tcPr>
            <w:tcW w:w="893" w:type="dxa"/>
            <w:vAlign w:val="center"/>
            <w:hideMark/>
          </w:tcPr>
          <w:p w14:paraId="749A0591" w14:textId="77777777" w:rsidR="00661953" w:rsidRPr="00115E3D" w:rsidRDefault="00661953" w:rsidP="003028CD">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3D47FF7" w14:textId="1DA98B8E" w:rsidR="00661953" w:rsidRPr="00580396" w:rsidRDefault="00A224D0" w:rsidP="003028CD">
            <w:pPr>
              <w:pStyle w:val="paragraph"/>
              <w:spacing w:before="0" w:beforeAutospacing="0" w:after="0" w:afterAutospacing="0"/>
              <w:contextualSpacing/>
              <w:textAlignment w:val="baseline"/>
              <w:rPr>
                <w:rFonts w:ascii="Verdana" w:hAnsi="Verdana" w:cs="Segoe UI"/>
                <w:color w:val="000000" w:themeColor="text1"/>
                <w:sz w:val="16"/>
                <w:szCs w:val="16"/>
              </w:rPr>
            </w:pPr>
            <w:r w:rsidRPr="00580396">
              <w:rPr>
                <w:rFonts w:ascii="Verdana" w:hAnsi="Verdana" w:cs="Segoe UI"/>
                <w:color w:val="000000" w:themeColor="text1"/>
                <w:sz w:val="16"/>
                <w:szCs w:val="16"/>
              </w:rPr>
              <w:t>X</w:t>
            </w:r>
            <w:r w:rsidRPr="00580396">
              <w:rPr>
                <w:rFonts w:ascii="Verdana" w:hAnsi="Verdana" w:cs="Segoe UI"/>
                <w:sz w:val="16"/>
                <w:szCs w:val="16"/>
              </w:rPr>
              <w:t xml:space="preserve">imena Ríos López </w:t>
            </w:r>
          </w:p>
          <w:p w14:paraId="1A3DFCFA" w14:textId="7038E745" w:rsidR="00661953" w:rsidRPr="00115E3D" w:rsidRDefault="00580396" w:rsidP="003028CD">
            <w:pPr>
              <w:pStyle w:val="paragraph"/>
              <w:spacing w:before="0" w:beforeAutospacing="0" w:after="0" w:afterAutospacing="0"/>
              <w:contextualSpacing/>
              <w:textAlignment w:val="baseline"/>
              <w:rPr>
                <w:rFonts w:ascii="Verdana" w:hAnsi="Verdana" w:cs="Segoe UI"/>
                <w:color w:val="000000" w:themeColor="text1"/>
                <w:sz w:val="16"/>
                <w:szCs w:val="16"/>
              </w:rPr>
            </w:pPr>
            <w:r w:rsidRPr="00580396">
              <w:rPr>
                <w:rStyle w:val="normaltextrun"/>
                <w:rFonts w:ascii="Verdana" w:hAnsi="Verdana" w:cs="Arial"/>
                <w:color w:val="000000" w:themeColor="text1"/>
                <w:sz w:val="16"/>
                <w:szCs w:val="16"/>
                <w:lang w:val="es-ES"/>
              </w:rPr>
              <w:t>Gestor T1-11</w:t>
            </w:r>
            <w:r w:rsidR="00661953" w:rsidRPr="00580396">
              <w:rPr>
                <w:rStyle w:val="normaltextrun"/>
                <w:rFonts w:ascii="Verdana" w:hAnsi="Verdana" w:cs="Arial"/>
                <w:color w:val="000000" w:themeColor="text1"/>
                <w:sz w:val="16"/>
                <w:szCs w:val="16"/>
                <w:lang w:val="es-ES"/>
              </w:rPr>
              <w:t xml:space="preserve"> de la Subdirección de Gestión Contractual</w:t>
            </w:r>
            <w:r w:rsidR="00661953" w:rsidRPr="00115E3D">
              <w:rPr>
                <w:rStyle w:val="eop"/>
                <w:rFonts w:ascii="Verdana" w:hAnsi="Verdana" w:cs="Arial"/>
                <w:color w:val="000000" w:themeColor="text1"/>
                <w:sz w:val="16"/>
                <w:szCs w:val="16"/>
              </w:rPr>
              <w:t> </w:t>
            </w:r>
          </w:p>
        </w:tc>
      </w:tr>
      <w:tr w:rsidR="00661953" w:rsidRPr="00115E3D" w14:paraId="133D28BD" w14:textId="77777777" w:rsidTr="003028CD">
        <w:trPr>
          <w:trHeight w:val="300"/>
        </w:trPr>
        <w:tc>
          <w:tcPr>
            <w:tcW w:w="893" w:type="dxa"/>
            <w:vAlign w:val="center"/>
          </w:tcPr>
          <w:p w14:paraId="50A8EEC1" w14:textId="77777777" w:rsidR="00661953" w:rsidRPr="00115E3D" w:rsidRDefault="00661953" w:rsidP="003028CD">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BDC44B7" w14:textId="77777777" w:rsidR="00661953" w:rsidRPr="00115E3D" w:rsidRDefault="00661953" w:rsidP="003028CD">
            <w:pPr>
              <w:contextualSpacing/>
              <w:rPr>
                <w:rFonts w:ascii="Verdana" w:eastAsia="Calibri" w:hAnsi="Verdana" w:cs="Arial"/>
                <w:color w:val="000000" w:themeColor="text1"/>
                <w:sz w:val="16"/>
                <w:szCs w:val="16"/>
                <w:lang w:val="pt-BR" w:eastAsia="es-ES"/>
              </w:rPr>
            </w:pPr>
            <w:r w:rsidRPr="00115E3D">
              <w:rPr>
                <w:rFonts w:ascii="Verdana" w:eastAsia="Calibri" w:hAnsi="Verdana" w:cs="Arial"/>
                <w:color w:val="000000" w:themeColor="text1"/>
                <w:sz w:val="16"/>
                <w:szCs w:val="16"/>
                <w:lang w:val="pt-BR" w:eastAsia="es-ES"/>
              </w:rPr>
              <w:t>Carolina Quintero Gacharná</w:t>
            </w:r>
          </w:p>
          <w:p w14:paraId="4C45222E" w14:textId="77777777" w:rsidR="00661953" w:rsidRPr="00115E3D" w:rsidRDefault="00661953" w:rsidP="003028CD">
            <w:pPr>
              <w:contextualSpacing/>
              <w:rPr>
                <w:rFonts w:ascii="Verdana" w:eastAsia="Calibri" w:hAnsi="Verdana" w:cs="Arial"/>
                <w:color w:val="000000" w:themeColor="text1"/>
                <w:sz w:val="16"/>
                <w:szCs w:val="16"/>
                <w:lang w:val="pt-BR" w:eastAsia="es-ES"/>
              </w:rPr>
            </w:pPr>
            <w:r w:rsidRPr="00115E3D">
              <w:rPr>
                <w:rFonts w:ascii="Verdana" w:eastAsia="Calibri" w:hAnsi="Verdana" w:cs="Arial"/>
                <w:color w:val="000000" w:themeColor="text1"/>
                <w:sz w:val="16"/>
                <w:szCs w:val="16"/>
                <w:lang w:eastAsia="es-ES"/>
              </w:rPr>
              <w:t>Subdirectora</w:t>
            </w:r>
            <w:r w:rsidRPr="00115E3D">
              <w:rPr>
                <w:rFonts w:ascii="Verdana" w:eastAsia="Calibri" w:hAnsi="Verdana" w:cs="Arial"/>
                <w:color w:val="000000" w:themeColor="text1"/>
                <w:sz w:val="16"/>
                <w:szCs w:val="16"/>
                <w:lang w:val="pt-BR" w:eastAsia="es-ES"/>
              </w:rPr>
              <w:t xml:space="preserve"> de Gestión Contractual ANCP – CCE</w:t>
            </w:r>
          </w:p>
        </w:tc>
      </w:tr>
    </w:tbl>
    <w:p w14:paraId="2C508EF6" w14:textId="77777777" w:rsidR="00661953" w:rsidRPr="00115E3D" w:rsidRDefault="00661953" w:rsidP="00661953">
      <w:pPr>
        <w:spacing w:after="0" w:line="240" w:lineRule="auto"/>
        <w:rPr>
          <w:rFonts w:ascii="Verdana" w:eastAsia="Times New Roman" w:hAnsi="Verdana" w:cs="Arial"/>
          <w:color w:val="000000" w:themeColor="text1"/>
          <w:sz w:val="24"/>
          <w:szCs w:val="24"/>
          <w:lang w:eastAsia="es-ES"/>
        </w:rPr>
      </w:pPr>
    </w:p>
    <w:p w14:paraId="4327250B" w14:textId="77777777" w:rsidR="000F5A42" w:rsidRDefault="000F5A42"/>
    <w:sectPr w:rsidR="000F5A42" w:rsidSect="00661953">
      <w:headerReference w:type="default" r:id="rId15"/>
      <w:footerReference w:type="default" r:id="rId1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16A74" w14:textId="77777777" w:rsidR="009A16DE" w:rsidRDefault="009A16DE" w:rsidP="00661953">
      <w:pPr>
        <w:spacing w:after="0" w:line="240" w:lineRule="auto"/>
      </w:pPr>
      <w:r>
        <w:separator/>
      </w:r>
    </w:p>
  </w:endnote>
  <w:endnote w:type="continuationSeparator" w:id="0">
    <w:p w14:paraId="52D54CBC" w14:textId="77777777" w:rsidR="009A16DE" w:rsidRDefault="009A16DE" w:rsidP="0066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5B410" w14:textId="77777777" w:rsidR="007C0785" w:rsidRDefault="007C0785" w:rsidP="000849D5">
    <w:pPr>
      <w:spacing w:after="0"/>
      <w:rPr>
        <w:rFonts w:ascii="Verdana" w:hAnsi="Verdana"/>
        <w:b/>
        <w:bCs/>
        <w:sz w:val="20"/>
        <w:szCs w:val="20"/>
      </w:rPr>
    </w:pPr>
  </w:p>
  <w:p w14:paraId="29F98E39" w14:textId="77777777" w:rsidR="007C0785" w:rsidRPr="00174B77" w:rsidRDefault="007C078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E35D69">
      <w:rPr>
        <w:rFonts w:ascii="Verdana" w:eastAsia="Times New Roman" w:hAnsi="Verdana" w:cs="Times New Roman"/>
        <w:b/>
        <w:bCs/>
        <w:sz w:val="16"/>
        <w:szCs w:val="16"/>
        <w:lang w:val="es-ES"/>
      </w:rPr>
      <w:t xml:space="preserve">pág. </w:t>
    </w:r>
    <w:r w:rsidRPr="00E35D69">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E35D69">
      <w:rPr>
        <w:rFonts w:ascii="Verdana" w:eastAsia="Times New Roman" w:hAnsi="Verdana"/>
        <w:b/>
        <w:bCs/>
        <w:sz w:val="16"/>
        <w:szCs w:val="16"/>
      </w:rPr>
      <w:fldChar w:fldCharType="separate"/>
    </w:r>
    <w:r w:rsidRPr="00E35D69">
      <w:rPr>
        <w:rFonts w:ascii="Verdana" w:eastAsia="Times New Roman" w:hAnsi="Verdana"/>
        <w:b/>
        <w:bCs/>
        <w:sz w:val="16"/>
        <w:szCs w:val="16"/>
      </w:rPr>
      <w:t>1</w:t>
    </w:r>
    <w:r w:rsidRPr="00E35D69">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5D1F454" w14:textId="77777777" w:rsidR="007C0785" w:rsidRDefault="007C078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42972045" w14:textId="77777777" w:rsidR="007C0785" w:rsidRPr="00E41027" w:rsidRDefault="007C0785" w:rsidP="000849D5">
    <w:pPr>
      <w:spacing w:after="0"/>
      <w:jc w:val="both"/>
      <w:rPr>
        <w:rFonts w:ascii="Verdana" w:hAnsi="Verdana"/>
        <w:sz w:val="18"/>
        <w:szCs w:val="18"/>
      </w:rPr>
    </w:pPr>
    <w:r w:rsidRPr="00E41027">
      <w:rPr>
        <w:rFonts w:ascii="Verdana" w:hAnsi="Verdana"/>
        <w:sz w:val="18"/>
        <w:szCs w:val="18"/>
      </w:rPr>
      <w:t>Mesa de servicio: (+57) 601 7456788</w:t>
    </w:r>
  </w:p>
  <w:p w14:paraId="3ABDC42B" w14:textId="77777777" w:rsidR="007C0785" w:rsidRDefault="007C078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1D1B7BF1" w14:textId="77777777" w:rsidR="007C0785" w:rsidRPr="007D04B2" w:rsidRDefault="007C0785" w:rsidP="000849D5">
    <w:pPr>
      <w:pStyle w:val="Piedepgina"/>
    </w:pPr>
  </w:p>
  <w:p w14:paraId="426E899E" w14:textId="77777777" w:rsidR="007C0785" w:rsidRPr="000849D5" w:rsidRDefault="007C0785"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23EE3" w14:textId="77777777" w:rsidR="009A16DE" w:rsidRDefault="009A16DE" w:rsidP="00661953">
      <w:pPr>
        <w:spacing w:after="0" w:line="240" w:lineRule="auto"/>
      </w:pPr>
      <w:r>
        <w:separator/>
      </w:r>
    </w:p>
  </w:footnote>
  <w:footnote w:type="continuationSeparator" w:id="0">
    <w:p w14:paraId="0E65C9CD" w14:textId="77777777" w:rsidR="009A16DE" w:rsidRDefault="009A16DE" w:rsidP="00661953">
      <w:pPr>
        <w:spacing w:after="0" w:line="240" w:lineRule="auto"/>
      </w:pPr>
      <w:r>
        <w:continuationSeparator/>
      </w:r>
    </w:p>
  </w:footnote>
  <w:footnote w:id="1">
    <w:p w14:paraId="3F7FFA78" w14:textId="77777777" w:rsidR="002A4195" w:rsidRPr="00B95C23" w:rsidRDefault="002A4195" w:rsidP="002A4195">
      <w:pPr>
        <w:pStyle w:val="Textonotapie"/>
        <w:ind w:firstLine="708"/>
        <w:contextualSpacing/>
        <w:jc w:val="both"/>
        <w:rPr>
          <w:rFonts w:ascii="Verdana" w:hAnsi="Verdana" w:cs="Arial"/>
          <w:sz w:val="18"/>
          <w:szCs w:val="18"/>
          <w:lang w:val="pt-BR"/>
        </w:rPr>
      </w:pPr>
      <w:r w:rsidRPr="00B95C23">
        <w:rPr>
          <w:rFonts w:ascii="Verdana" w:hAnsi="Verdana" w:cs="Arial"/>
          <w:sz w:val="18"/>
          <w:szCs w:val="18"/>
          <w:vertAlign w:val="superscript"/>
        </w:rPr>
        <w:footnoteRef/>
      </w:r>
      <w:r w:rsidRPr="00B95C23">
        <w:rPr>
          <w:rFonts w:ascii="Verdana" w:hAnsi="Verdana" w:cs="Arial"/>
          <w:sz w:val="18"/>
          <w:szCs w:val="18"/>
          <w:lang w:val="pt-BR"/>
        </w:rPr>
        <w:t xml:space="preserve"> Corte Constitucional. Sentencia C-1016 de 2012. M.P. Jorge Iván Palacio. </w:t>
      </w:r>
    </w:p>
    <w:p w14:paraId="2BB89B25" w14:textId="77777777" w:rsidR="002A4195" w:rsidRDefault="002A4195" w:rsidP="002A4195">
      <w:pPr>
        <w:pStyle w:val="Textonotapie"/>
        <w:ind w:firstLine="708"/>
        <w:contextualSpacing/>
        <w:jc w:val="both"/>
      </w:pPr>
    </w:p>
  </w:footnote>
  <w:footnote w:id="2">
    <w:p w14:paraId="6424B434" w14:textId="77777777" w:rsidR="002A4195" w:rsidRPr="00B95C23" w:rsidRDefault="002A4195" w:rsidP="002A4195">
      <w:pPr>
        <w:pStyle w:val="Textonotapie"/>
        <w:ind w:firstLine="708"/>
        <w:contextualSpacing/>
        <w:jc w:val="both"/>
        <w:rPr>
          <w:rFonts w:ascii="Verdana" w:hAnsi="Verdana" w:cs="Arial"/>
          <w:sz w:val="18"/>
          <w:szCs w:val="18"/>
          <w:lang w:val="pt-BR"/>
        </w:rPr>
      </w:pPr>
      <w:r w:rsidRPr="00B95C23">
        <w:rPr>
          <w:rFonts w:ascii="Verdana" w:hAnsi="Verdana" w:cs="Arial"/>
          <w:sz w:val="18"/>
          <w:szCs w:val="18"/>
          <w:vertAlign w:val="superscript"/>
        </w:rPr>
        <w:footnoteRef/>
      </w:r>
      <w:r w:rsidRPr="00B95C23">
        <w:rPr>
          <w:rFonts w:ascii="Verdana" w:hAnsi="Verdana" w:cs="Arial"/>
          <w:sz w:val="18"/>
          <w:szCs w:val="18"/>
        </w:rPr>
        <w:t xml:space="preserve"> Consejo De Estado. Sección Tercera. Subsección A. Sentencia del 13 de noviembre de 2013. </w:t>
      </w:r>
      <w:r w:rsidRPr="00B95C23">
        <w:rPr>
          <w:rFonts w:ascii="Verdana" w:hAnsi="Verdana" w:cs="Arial"/>
          <w:sz w:val="18"/>
          <w:szCs w:val="18"/>
          <w:lang w:val="pt-BR"/>
        </w:rPr>
        <w:t xml:space="preserve">Rad. 25.646. C.P. Mauricio Fajardo Gómez.  </w:t>
      </w:r>
    </w:p>
    <w:p w14:paraId="6F221FF4" w14:textId="77777777" w:rsidR="002A4195" w:rsidRDefault="002A4195" w:rsidP="002A4195">
      <w:pPr>
        <w:pStyle w:val="Textonotapie"/>
        <w:ind w:firstLine="708"/>
        <w:contextualSpacing/>
        <w:jc w:val="both"/>
      </w:pPr>
    </w:p>
  </w:footnote>
  <w:footnote w:id="3">
    <w:p w14:paraId="0B30D785" w14:textId="77777777" w:rsidR="002A4195" w:rsidRPr="00B95C23" w:rsidRDefault="002A4195" w:rsidP="002A4195">
      <w:pPr>
        <w:pStyle w:val="Textonotapie"/>
        <w:ind w:firstLine="708"/>
        <w:contextualSpacing/>
        <w:jc w:val="both"/>
        <w:rPr>
          <w:rFonts w:ascii="Verdana" w:hAnsi="Verdana" w:cs="Arial"/>
          <w:sz w:val="18"/>
          <w:szCs w:val="18"/>
          <w:lang w:val="pt-BR"/>
        </w:rPr>
      </w:pPr>
      <w:r w:rsidRPr="00B95C23">
        <w:rPr>
          <w:rFonts w:ascii="Verdana" w:hAnsi="Verdana" w:cs="Arial"/>
          <w:sz w:val="18"/>
          <w:szCs w:val="18"/>
          <w:vertAlign w:val="superscript"/>
        </w:rPr>
        <w:footnoteRef/>
      </w:r>
      <w:r w:rsidRPr="00B95C23">
        <w:rPr>
          <w:rFonts w:ascii="Verdana" w:hAnsi="Verdana" w:cs="Arial"/>
          <w:sz w:val="18"/>
          <w:szCs w:val="18"/>
          <w:lang w:val="pt-BR"/>
        </w:rPr>
        <w:t xml:space="preserve"> Corte Constitucional. Sentencia C-415 de 1994. M.P. Eduardo Cifuentes Muñoz. </w:t>
      </w:r>
    </w:p>
    <w:p w14:paraId="6BC8B0CD" w14:textId="77777777" w:rsidR="002A4195" w:rsidRDefault="002A4195" w:rsidP="002A4195">
      <w:pPr>
        <w:pStyle w:val="Textonotapie"/>
        <w:ind w:firstLine="708"/>
        <w:contextualSpacing/>
        <w:jc w:val="both"/>
      </w:pPr>
    </w:p>
  </w:footnote>
  <w:footnote w:id="4">
    <w:p w14:paraId="0D339E1D" w14:textId="77777777" w:rsidR="002A4195" w:rsidRPr="00B95C23" w:rsidRDefault="002A4195" w:rsidP="002A4195">
      <w:pPr>
        <w:pStyle w:val="Textonotapie"/>
        <w:ind w:firstLine="708"/>
        <w:contextualSpacing/>
        <w:jc w:val="both"/>
        <w:rPr>
          <w:rFonts w:ascii="Verdana" w:hAnsi="Verdana" w:cs="Arial"/>
          <w:sz w:val="18"/>
          <w:szCs w:val="18"/>
          <w:lang w:val="pt-BR"/>
        </w:rPr>
      </w:pPr>
      <w:r w:rsidRPr="00B95C23">
        <w:rPr>
          <w:rFonts w:ascii="Verdana" w:hAnsi="Verdana" w:cs="Arial"/>
          <w:sz w:val="18"/>
          <w:szCs w:val="18"/>
          <w:vertAlign w:val="superscript"/>
        </w:rPr>
        <w:footnoteRef/>
      </w:r>
      <w:r w:rsidRPr="00B95C23">
        <w:rPr>
          <w:rFonts w:ascii="Verdana" w:hAnsi="Verdana" w:cs="Arial"/>
          <w:sz w:val="18"/>
          <w:szCs w:val="18"/>
          <w:lang w:val="pt-BR"/>
        </w:rPr>
        <w:t xml:space="preserve"> Ibídem. </w:t>
      </w:r>
    </w:p>
    <w:p w14:paraId="104578E8" w14:textId="77777777" w:rsidR="002A4195" w:rsidRDefault="002A4195" w:rsidP="002A4195">
      <w:pPr>
        <w:pStyle w:val="Textonotapie"/>
        <w:ind w:firstLine="708"/>
        <w:contextualSpacing/>
        <w:jc w:val="both"/>
      </w:pPr>
    </w:p>
  </w:footnote>
  <w:footnote w:id="5">
    <w:p w14:paraId="543C22DD" w14:textId="77777777" w:rsidR="002A4195" w:rsidRPr="00B95C23" w:rsidRDefault="002A4195" w:rsidP="002A4195">
      <w:pPr>
        <w:pStyle w:val="Textonotapie"/>
        <w:ind w:firstLine="708"/>
        <w:contextualSpacing/>
        <w:jc w:val="both"/>
        <w:rPr>
          <w:rFonts w:ascii="Verdana" w:hAnsi="Verdana" w:cs="Arial"/>
          <w:sz w:val="18"/>
          <w:szCs w:val="18"/>
        </w:rPr>
      </w:pPr>
      <w:r w:rsidRPr="00B95C23">
        <w:rPr>
          <w:rFonts w:ascii="Verdana" w:hAnsi="Verdana" w:cs="Arial"/>
          <w:sz w:val="18"/>
          <w:szCs w:val="18"/>
          <w:vertAlign w:val="superscript"/>
        </w:rPr>
        <w:footnoteRef/>
      </w:r>
      <w:r w:rsidRPr="00B95C23">
        <w:rPr>
          <w:rFonts w:ascii="Verdana" w:hAnsi="Verdana" w:cs="Arial"/>
          <w:sz w:val="18"/>
          <w:szCs w:val="18"/>
          <w:lang w:val="pt-BR"/>
        </w:rPr>
        <w:t xml:space="preserve"> Corte Constitucional. </w:t>
      </w:r>
      <w:r w:rsidRPr="00B95C23">
        <w:rPr>
          <w:rFonts w:ascii="Verdana" w:hAnsi="Verdana" w:cs="Arial"/>
          <w:sz w:val="18"/>
          <w:szCs w:val="18"/>
        </w:rPr>
        <w:t xml:space="preserve">Sentencia C-780 de 2001. M.P. Jaime Córdoba Triviño. </w:t>
      </w:r>
    </w:p>
    <w:p w14:paraId="2212562C" w14:textId="77777777" w:rsidR="002A4195" w:rsidRDefault="002A4195" w:rsidP="002A4195">
      <w:pPr>
        <w:pStyle w:val="Textonotapie"/>
        <w:ind w:firstLine="708"/>
        <w:contextualSpacing/>
        <w:jc w:val="both"/>
      </w:pPr>
    </w:p>
  </w:footnote>
  <w:footnote w:id="6">
    <w:p w14:paraId="3480A050" w14:textId="77777777" w:rsidR="002A4195" w:rsidRPr="00B95C23" w:rsidRDefault="002A4195" w:rsidP="002A4195">
      <w:pPr>
        <w:pStyle w:val="Textonotapie"/>
        <w:ind w:firstLine="709"/>
        <w:contextualSpacing/>
        <w:jc w:val="both"/>
        <w:rPr>
          <w:rFonts w:ascii="Verdana" w:hAnsi="Verdana" w:cs="Arial"/>
          <w:color w:val="000000"/>
          <w:sz w:val="18"/>
          <w:szCs w:val="18"/>
          <w:lang w:val="es-ES"/>
        </w:rPr>
      </w:pPr>
      <w:r w:rsidRPr="00B95C23">
        <w:rPr>
          <w:rFonts w:ascii="Verdana" w:hAnsi="Verdana"/>
          <w:sz w:val="18"/>
          <w:szCs w:val="18"/>
          <w:vertAlign w:val="superscript"/>
        </w:rPr>
        <w:footnoteRef/>
      </w:r>
      <w:r w:rsidRPr="00B95C23">
        <w:rPr>
          <w:rFonts w:ascii="Verdana" w:hAnsi="Verdana" w:cs="Arial"/>
          <w:color w:val="000000"/>
          <w:sz w:val="18"/>
          <w:szCs w:val="18"/>
        </w:rPr>
        <w:t xml:space="preserve"> </w:t>
      </w:r>
      <w:r w:rsidRPr="00B95C23">
        <w:rPr>
          <w:rFonts w:ascii="Verdana" w:hAnsi="Verdana" w:cs="Arial"/>
          <w:color w:val="000000"/>
          <w:sz w:val="18"/>
          <w:szCs w:val="18"/>
          <w:lang w:val="es-ES"/>
        </w:rPr>
        <w:t>Ibíd., p. 69.</w:t>
      </w:r>
    </w:p>
    <w:p w14:paraId="4592FE18" w14:textId="77777777" w:rsidR="002A4195" w:rsidRDefault="002A4195" w:rsidP="002A4195">
      <w:pPr>
        <w:pStyle w:val="Textonotapie"/>
        <w:ind w:firstLine="709"/>
        <w:contextualSpacing/>
        <w:jc w:val="both"/>
      </w:pPr>
    </w:p>
  </w:footnote>
  <w:footnote w:id="7">
    <w:p w14:paraId="332AC12D" w14:textId="77777777" w:rsidR="002A4195" w:rsidRPr="00B95C23" w:rsidRDefault="002A4195" w:rsidP="002A4195">
      <w:pPr>
        <w:pStyle w:val="Textonotapie"/>
        <w:ind w:firstLine="709"/>
        <w:contextualSpacing/>
        <w:jc w:val="both"/>
        <w:rPr>
          <w:rFonts w:ascii="Verdana" w:hAnsi="Verdana" w:cs="Arial"/>
          <w:color w:val="000000"/>
          <w:sz w:val="18"/>
          <w:szCs w:val="18"/>
          <w:lang w:val="es-ES"/>
        </w:rPr>
      </w:pPr>
      <w:r w:rsidRPr="00B95C23">
        <w:rPr>
          <w:rFonts w:ascii="Verdana" w:hAnsi="Verdana"/>
          <w:sz w:val="18"/>
          <w:szCs w:val="18"/>
          <w:vertAlign w:val="superscript"/>
        </w:rPr>
        <w:footnoteRef/>
      </w:r>
      <w:r w:rsidRPr="00B95C23">
        <w:rPr>
          <w:rFonts w:ascii="Verdana" w:hAnsi="Verdana" w:cs="Arial"/>
          <w:color w:val="000000"/>
          <w:sz w:val="18"/>
          <w:szCs w:val="18"/>
        </w:rPr>
        <w:t xml:space="preserve"> </w:t>
      </w:r>
      <w:r w:rsidRPr="00B95C23">
        <w:rPr>
          <w:rFonts w:ascii="Verdana" w:hAnsi="Verdana" w:cs="Arial"/>
          <w:color w:val="000000"/>
          <w:sz w:val="18"/>
          <w:szCs w:val="18"/>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0A41A8C1" w14:textId="77777777" w:rsidR="002A4195" w:rsidRDefault="002A4195" w:rsidP="002A4195">
      <w:pPr>
        <w:pStyle w:val="Textonotapie"/>
        <w:ind w:firstLine="709"/>
        <w:contextualSpacing/>
        <w:jc w:val="both"/>
      </w:pPr>
    </w:p>
  </w:footnote>
  <w:footnote w:id="8">
    <w:p w14:paraId="13F39995" w14:textId="77777777" w:rsidR="002A4195" w:rsidRPr="00B95C23" w:rsidRDefault="002A4195" w:rsidP="002A4195">
      <w:pPr>
        <w:pStyle w:val="Textonotapie"/>
        <w:ind w:firstLine="709"/>
        <w:contextualSpacing/>
        <w:jc w:val="both"/>
        <w:rPr>
          <w:rFonts w:ascii="Verdana" w:hAnsi="Verdana" w:cs="Arial"/>
          <w:color w:val="000000"/>
          <w:sz w:val="18"/>
          <w:szCs w:val="18"/>
          <w:lang w:val="es-ES"/>
        </w:rPr>
      </w:pPr>
      <w:r w:rsidRPr="00B95C23">
        <w:rPr>
          <w:rFonts w:ascii="Verdana" w:hAnsi="Verdana"/>
          <w:sz w:val="18"/>
          <w:szCs w:val="18"/>
          <w:vertAlign w:val="superscript"/>
        </w:rPr>
        <w:footnoteRef/>
      </w:r>
      <w:r w:rsidRPr="00B95C23">
        <w:rPr>
          <w:rFonts w:ascii="Verdana" w:hAnsi="Verdana" w:cs="Arial"/>
          <w:color w:val="000000"/>
          <w:sz w:val="18"/>
          <w:szCs w:val="18"/>
        </w:rPr>
        <w:t xml:space="preserve"> </w:t>
      </w:r>
      <w:r w:rsidRPr="00B95C23">
        <w:rPr>
          <w:rFonts w:ascii="Verdana" w:hAnsi="Verdana" w:cs="Arial"/>
          <w:color w:val="000000"/>
          <w:sz w:val="18"/>
          <w:szCs w:val="18"/>
          <w:lang w:val="es-ES"/>
        </w:rPr>
        <w:t>Consejo de Estado. Sala de Consulta y Servicio Civil. Concepto del 30 de abril de 2015. Expediente: 2.251. Consejero Ponente: Álvaro Namén Vargas.</w:t>
      </w:r>
    </w:p>
    <w:p w14:paraId="035795B7" w14:textId="77777777" w:rsidR="002A4195" w:rsidRDefault="002A4195" w:rsidP="002A4195">
      <w:pPr>
        <w:pStyle w:val="Textonotapie"/>
        <w:ind w:firstLine="709"/>
        <w:contextualSpacing/>
        <w:jc w:val="both"/>
      </w:pPr>
    </w:p>
  </w:footnote>
  <w:footnote w:id="9">
    <w:p w14:paraId="521743E1" w14:textId="77777777" w:rsidR="002A4195" w:rsidRPr="00B95C23" w:rsidRDefault="002A4195" w:rsidP="002A4195">
      <w:pPr>
        <w:pStyle w:val="Textonotapie"/>
        <w:ind w:firstLine="709"/>
        <w:contextualSpacing/>
        <w:jc w:val="both"/>
        <w:rPr>
          <w:rFonts w:ascii="Verdana" w:hAnsi="Verdana" w:cs="Arial"/>
          <w:color w:val="000000"/>
          <w:sz w:val="18"/>
          <w:szCs w:val="18"/>
        </w:rPr>
      </w:pPr>
      <w:r w:rsidRPr="00B95C23">
        <w:rPr>
          <w:rFonts w:ascii="Verdana" w:hAnsi="Verdana"/>
          <w:sz w:val="18"/>
          <w:szCs w:val="18"/>
          <w:vertAlign w:val="superscript"/>
        </w:rPr>
        <w:footnoteRef/>
      </w:r>
      <w:r w:rsidRPr="00B95C23">
        <w:rPr>
          <w:rFonts w:ascii="Verdana" w:hAnsi="Verdana" w:cs="Arial"/>
          <w:color w:val="000000"/>
          <w:sz w:val="18"/>
          <w:szCs w:val="18"/>
        </w:rPr>
        <w:t xml:space="preserve"> Consejo de Estado. Sección Tercera. Subsección A. Sentencia del 24 de junio de 2015. Exp. 40.635. Consejero Ponente: Hernán Andrade Rincón (E).</w:t>
      </w:r>
    </w:p>
    <w:p w14:paraId="6193E3A1" w14:textId="77777777" w:rsidR="002A4195" w:rsidRDefault="002A4195" w:rsidP="002A4195">
      <w:pPr>
        <w:pStyle w:val="Textonotapie"/>
        <w:ind w:firstLine="709"/>
        <w:contextualSpacing/>
        <w:jc w:val="both"/>
      </w:pPr>
    </w:p>
  </w:footnote>
  <w:footnote w:id="10">
    <w:p w14:paraId="01908FFA" w14:textId="77777777" w:rsidR="002A4195" w:rsidRPr="00B95C23" w:rsidRDefault="002A4195" w:rsidP="002A4195">
      <w:pPr>
        <w:pStyle w:val="Textonotapie"/>
        <w:ind w:firstLine="709"/>
        <w:contextualSpacing/>
        <w:jc w:val="both"/>
        <w:rPr>
          <w:rFonts w:ascii="Verdana" w:hAnsi="Verdana" w:cs="Arial"/>
          <w:color w:val="000000"/>
          <w:sz w:val="18"/>
          <w:szCs w:val="18"/>
        </w:rPr>
      </w:pPr>
      <w:r w:rsidRPr="00B95C23">
        <w:rPr>
          <w:rFonts w:ascii="Verdana" w:hAnsi="Verdana"/>
          <w:sz w:val="18"/>
          <w:szCs w:val="18"/>
          <w:vertAlign w:val="superscript"/>
        </w:rPr>
        <w:footnoteRef/>
      </w:r>
      <w:r w:rsidRPr="00B95C23">
        <w:rPr>
          <w:rFonts w:ascii="Verdana" w:hAnsi="Verdana" w:cs="Arial"/>
          <w:color w:val="000000"/>
          <w:sz w:val="18"/>
          <w:szCs w:val="18"/>
        </w:rPr>
        <w:t xml:space="preserve"> Consejo de Estado. Sección Tercera. Subsección C. Sentencia del 22 de mayo de 2013. Exp. 24.057. Consejera Ponente: Olga Melida Valle De De La Hoz.</w:t>
      </w:r>
    </w:p>
    <w:p w14:paraId="21F0204C" w14:textId="77777777" w:rsidR="002A4195" w:rsidRDefault="002A4195" w:rsidP="002A4195">
      <w:pPr>
        <w:pStyle w:val="Textonotapie"/>
        <w:ind w:firstLine="709"/>
        <w:contextualSpacing/>
        <w:jc w:val="both"/>
      </w:pPr>
    </w:p>
  </w:footnote>
  <w:footnote w:id="11">
    <w:p w14:paraId="1413B91D" w14:textId="77777777" w:rsidR="002A4195" w:rsidRPr="00B95C23" w:rsidRDefault="002A4195" w:rsidP="002A4195">
      <w:pPr>
        <w:pStyle w:val="Textonotapie"/>
        <w:ind w:firstLine="708"/>
        <w:contextualSpacing/>
        <w:jc w:val="both"/>
        <w:rPr>
          <w:rFonts w:ascii="Verdana" w:hAnsi="Verdana" w:cs="Arial"/>
          <w:color w:val="000000"/>
          <w:sz w:val="18"/>
          <w:szCs w:val="18"/>
        </w:rPr>
      </w:pPr>
      <w:r w:rsidRPr="00B95C23">
        <w:rPr>
          <w:rFonts w:ascii="Verdana" w:hAnsi="Verdana" w:cs="Arial"/>
          <w:color w:val="000000"/>
          <w:sz w:val="18"/>
          <w:szCs w:val="18"/>
          <w:vertAlign w:val="superscript"/>
        </w:rPr>
        <w:footnoteRef/>
      </w:r>
      <w:r w:rsidRPr="00B95C23">
        <w:rPr>
          <w:rFonts w:ascii="Verdana" w:hAnsi="Verdana" w:cs="Arial"/>
          <w:color w:val="000000"/>
          <w:sz w:val="18"/>
          <w:szCs w:val="18"/>
        </w:rPr>
        <w:t xml:space="preserve"> Consejo de Estado. Sala de Consulta y de Servicio Civil. Concepto del 23 de marzo de 2011. Rad. 2.045. C.P. Enrique José Arboleda Perdomo.</w:t>
      </w:r>
    </w:p>
    <w:p w14:paraId="53B140AC" w14:textId="77777777" w:rsidR="002A4195" w:rsidRDefault="002A4195" w:rsidP="002A4195">
      <w:pPr>
        <w:pStyle w:val="Textonotapie"/>
        <w:ind w:firstLine="708"/>
        <w:contextualSpacing/>
        <w:jc w:val="both"/>
      </w:pPr>
    </w:p>
  </w:footnote>
  <w:footnote w:id="12">
    <w:p w14:paraId="520AF258" w14:textId="77777777" w:rsidR="002A4195" w:rsidRPr="00B95C23" w:rsidRDefault="002A4195" w:rsidP="002A4195">
      <w:pPr>
        <w:pStyle w:val="Textonotapie"/>
        <w:ind w:firstLine="708"/>
        <w:contextualSpacing/>
        <w:jc w:val="both"/>
        <w:rPr>
          <w:rFonts w:ascii="Verdana" w:hAnsi="Verdana" w:cs="Arial"/>
          <w:color w:val="000000"/>
          <w:sz w:val="18"/>
          <w:szCs w:val="18"/>
        </w:rPr>
      </w:pPr>
      <w:r w:rsidRPr="00B95C23">
        <w:rPr>
          <w:rFonts w:ascii="Verdana" w:hAnsi="Verdana" w:cs="Arial"/>
          <w:color w:val="000000"/>
          <w:sz w:val="18"/>
          <w:szCs w:val="18"/>
          <w:vertAlign w:val="superscript"/>
        </w:rPr>
        <w:footnoteRef/>
      </w:r>
      <w:r w:rsidRPr="00B95C23">
        <w:rPr>
          <w:rFonts w:ascii="Verdana" w:hAnsi="Verdana" w:cs="Arial"/>
          <w:color w:val="000000"/>
          <w:sz w:val="18"/>
          <w:szCs w:val="18"/>
        </w:rPr>
        <w:t xml:space="preserve"> DÁVILA VINUEZA, Luis Guillermo. Op. Cit., pp. 149-153.</w:t>
      </w:r>
    </w:p>
    <w:p w14:paraId="08FFF2B0" w14:textId="77777777" w:rsidR="002A4195" w:rsidRDefault="002A4195" w:rsidP="002A4195">
      <w:pPr>
        <w:pStyle w:val="Textonotapie"/>
        <w:ind w:firstLine="708"/>
        <w:contextualSpacing/>
        <w:jc w:val="both"/>
      </w:pPr>
    </w:p>
  </w:footnote>
  <w:footnote w:id="13">
    <w:p w14:paraId="5E0DFFCF" w14:textId="77777777" w:rsidR="002A4195" w:rsidRPr="00B95C23" w:rsidRDefault="002A4195" w:rsidP="002A4195">
      <w:pPr>
        <w:pStyle w:val="Textonotapie"/>
        <w:ind w:firstLine="708"/>
        <w:contextualSpacing/>
        <w:jc w:val="both"/>
        <w:rPr>
          <w:rFonts w:ascii="Verdana" w:hAnsi="Verdana" w:cs="Arial"/>
          <w:color w:val="000000"/>
          <w:sz w:val="18"/>
          <w:szCs w:val="18"/>
        </w:rPr>
      </w:pPr>
      <w:r w:rsidRPr="00B95C23">
        <w:rPr>
          <w:rFonts w:ascii="Verdana" w:hAnsi="Verdana" w:cs="Arial"/>
          <w:color w:val="000000"/>
          <w:sz w:val="18"/>
          <w:szCs w:val="18"/>
          <w:vertAlign w:val="superscript"/>
        </w:rPr>
        <w:footnoteRef/>
      </w:r>
      <w:r w:rsidRPr="00B95C23">
        <w:rPr>
          <w:rFonts w:ascii="Verdana" w:hAnsi="Verdana" w:cs="Arial"/>
          <w:color w:val="000000"/>
          <w:sz w:val="18"/>
          <w:szCs w:val="18"/>
        </w:rPr>
        <w:t xml:space="preserve"> Siendo los pronunciamientos más relevantes el Concepto del 10 de agosto de 2006. Exp. 1.767 –C.P. Luis Fernando Álvarez Jaramillo–, reiterado y complementado en el Concepto del 23 de marzo de 2011. Rad. 2.045 –C.P. Enrique José Arboleda Perdomo–.</w:t>
      </w:r>
    </w:p>
    <w:p w14:paraId="5A1B990A" w14:textId="77777777" w:rsidR="002A4195" w:rsidRDefault="002A4195" w:rsidP="002A4195">
      <w:pPr>
        <w:pStyle w:val="Textonotapie"/>
        <w:ind w:firstLine="708"/>
        <w:contextualSpacing/>
        <w:jc w:val="both"/>
      </w:pPr>
    </w:p>
  </w:footnote>
  <w:footnote w:id="14">
    <w:p w14:paraId="6FCB0399" w14:textId="77777777" w:rsidR="002A4195" w:rsidRDefault="002A4195" w:rsidP="002A4195">
      <w:pPr>
        <w:pStyle w:val="Textonotapie"/>
        <w:ind w:firstLine="708"/>
        <w:contextualSpacing/>
        <w:jc w:val="both"/>
      </w:pPr>
      <w:r w:rsidRPr="00B95C23">
        <w:rPr>
          <w:rFonts w:ascii="Verdana" w:hAnsi="Verdana" w:cs="Arial"/>
          <w:sz w:val="18"/>
          <w:szCs w:val="18"/>
          <w:vertAlign w:val="superscript"/>
        </w:rPr>
        <w:footnoteRef/>
      </w:r>
      <w:r w:rsidRPr="00B95C23">
        <w:rPr>
          <w:rFonts w:ascii="Verdana" w:hAnsi="Verdana" w:cs="Arial"/>
          <w:sz w:val="18"/>
          <w:szCs w:val="18"/>
        </w:rPr>
        <w:t xml:space="preserve"> Consejo de Estado. Sala de Consulta y Servicio Civil. </w:t>
      </w:r>
      <w:r w:rsidRPr="00B95C23">
        <w:rPr>
          <w:rFonts w:ascii="Verdana" w:hAnsi="Verdana" w:cs="Arial"/>
          <w:color w:val="000000"/>
          <w:sz w:val="18"/>
          <w:szCs w:val="18"/>
        </w:rPr>
        <w:t>Concepto del 23 de marzo de 2011. Rad. 2.045.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4853" w14:textId="77777777" w:rsidR="007C0785" w:rsidRDefault="007C0785" w:rsidP="00515FB5">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5E8A2F60" wp14:editId="76484DB0">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ED954A5" wp14:editId="0291139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D8895F5" w14:textId="77777777" w:rsidR="007C0785" w:rsidRDefault="007C0785" w:rsidP="00515FB5">
    <w:pPr>
      <w:pStyle w:val="Encabezado"/>
    </w:pPr>
  </w:p>
  <w:p w14:paraId="0BEDB0DF" w14:textId="77777777" w:rsidR="007C0785" w:rsidRDefault="007C0785" w:rsidP="00515FB5">
    <w:pPr>
      <w:pStyle w:val="Encabezado"/>
    </w:pPr>
  </w:p>
  <w:p w14:paraId="4EEA622F" w14:textId="77777777" w:rsidR="007C0785" w:rsidRPr="00515FB5" w:rsidRDefault="007C0785"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1D417DC"/>
    <w:multiLevelType w:val="hybridMultilevel"/>
    <w:tmpl w:val="62721808"/>
    <w:lvl w:ilvl="0" w:tplc="5574B2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41274352">
    <w:abstractNumId w:val="0"/>
  </w:num>
  <w:num w:numId="2" w16cid:durableId="1492209491">
    <w:abstractNumId w:val="1"/>
  </w:num>
  <w:num w:numId="3" w16cid:durableId="679089576">
    <w:abstractNumId w:val="2"/>
  </w:num>
  <w:num w:numId="4" w16cid:durableId="1250188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53"/>
    <w:rsid w:val="000B3A0C"/>
    <w:rsid w:val="000B7ECC"/>
    <w:rsid w:val="000F155D"/>
    <w:rsid w:val="000F5A42"/>
    <w:rsid w:val="00165D13"/>
    <w:rsid w:val="00197955"/>
    <w:rsid w:val="001C50D9"/>
    <w:rsid w:val="00231E9D"/>
    <w:rsid w:val="002410DF"/>
    <w:rsid w:val="00272D47"/>
    <w:rsid w:val="002A4195"/>
    <w:rsid w:val="002E02A8"/>
    <w:rsid w:val="003234E0"/>
    <w:rsid w:val="00333D23"/>
    <w:rsid w:val="0034225D"/>
    <w:rsid w:val="003E6924"/>
    <w:rsid w:val="004248A8"/>
    <w:rsid w:val="00456BB7"/>
    <w:rsid w:val="00511022"/>
    <w:rsid w:val="00520FF1"/>
    <w:rsid w:val="0056467C"/>
    <w:rsid w:val="00580396"/>
    <w:rsid w:val="0059065C"/>
    <w:rsid w:val="005A048C"/>
    <w:rsid w:val="005A51A8"/>
    <w:rsid w:val="005B4C2B"/>
    <w:rsid w:val="005D18A0"/>
    <w:rsid w:val="005E079A"/>
    <w:rsid w:val="00660429"/>
    <w:rsid w:val="00661953"/>
    <w:rsid w:val="00677F9A"/>
    <w:rsid w:val="006B331D"/>
    <w:rsid w:val="006C01AC"/>
    <w:rsid w:val="006F5018"/>
    <w:rsid w:val="007257E2"/>
    <w:rsid w:val="007A49AF"/>
    <w:rsid w:val="007C0785"/>
    <w:rsid w:val="00850396"/>
    <w:rsid w:val="00853900"/>
    <w:rsid w:val="008C1785"/>
    <w:rsid w:val="00994B5E"/>
    <w:rsid w:val="009A16DE"/>
    <w:rsid w:val="00A12218"/>
    <w:rsid w:val="00A224D0"/>
    <w:rsid w:val="00A8329D"/>
    <w:rsid w:val="00A90678"/>
    <w:rsid w:val="00AB3348"/>
    <w:rsid w:val="00B1115F"/>
    <w:rsid w:val="00B278F6"/>
    <w:rsid w:val="00BC0A5B"/>
    <w:rsid w:val="00BD4274"/>
    <w:rsid w:val="00BD51D3"/>
    <w:rsid w:val="00BF1201"/>
    <w:rsid w:val="00C5324D"/>
    <w:rsid w:val="00C55B3B"/>
    <w:rsid w:val="00C775D1"/>
    <w:rsid w:val="00D74FB2"/>
    <w:rsid w:val="00DB0612"/>
    <w:rsid w:val="00E32ED8"/>
    <w:rsid w:val="00E35D69"/>
    <w:rsid w:val="00EE510A"/>
    <w:rsid w:val="00F13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C5C0"/>
  <w15:chartTrackingRefBased/>
  <w15:docId w15:val="{D8983247-5008-46E0-B6DF-04A0B153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53"/>
    <w:rPr>
      <w:kern w:val="0"/>
      <w14:ligatures w14:val="none"/>
    </w:rPr>
  </w:style>
  <w:style w:type="paragraph" w:styleId="Ttulo1">
    <w:name w:val="heading 1"/>
    <w:basedOn w:val="Normal"/>
    <w:next w:val="Normal"/>
    <w:link w:val="Ttulo1Car"/>
    <w:uiPriority w:val="9"/>
    <w:qFormat/>
    <w:rsid w:val="00661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61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619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619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19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19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19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19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195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19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619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619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619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19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19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19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19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1953"/>
    <w:rPr>
      <w:rFonts w:eastAsiaTheme="majorEastAsia" w:cstheme="majorBidi"/>
      <w:color w:val="272727" w:themeColor="text1" w:themeTint="D8"/>
    </w:rPr>
  </w:style>
  <w:style w:type="paragraph" w:styleId="Ttulo">
    <w:name w:val="Title"/>
    <w:basedOn w:val="Normal"/>
    <w:next w:val="Normal"/>
    <w:link w:val="TtuloCar"/>
    <w:uiPriority w:val="10"/>
    <w:qFormat/>
    <w:rsid w:val="00661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619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619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19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1953"/>
    <w:pPr>
      <w:spacing w:before="160"/>
      <w:jc w:val="center"/>
    </w:pPr>
    <w:rPr>
      <w:i/>
      <w:iCs/>
      <w:color w:val="404040" w:themeColor="text1" w:themeTint="BF"/>
    </w:rPr>
  </w:style>
  <w:style w:type="character" w:customStyle="1" w:styleId="CitaCar">
    <w:name w:val="Cita Car"/>
    <w:basedOn w:val="Fuentedeprrafopredeter"/>
    <w:link w:val="Cita"/>
    <w:uiPriority w:val="29"/>
    <w:rsid w:val="00661953"/>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661953"/>
    <w:pPr>
      <w:ind w:left="720"/>
      <w:contextualSpacing/>
    </w:pPr>
  </w:style>
  <w:style w:type="character" w:styleId="nfasisintenso">
    <w:name w:val="Intense Emphasis"/>
    <w:basedOn w:val="Fuentedeprrafopredeter"/>
    <w:uiPriority w:val="21"/>
    <w:qFormat/>
    <w:rsid w:val="00661953"/>
    <w:rPr>
      <w:i/>
      <w:iCs/>
      <w:color w:val="0F4761" w:themeColor="accent1" w:themeShade="BF"/>
    </w:rPr>
  </w:style>
  <w:style w:type="paragraph" w:styleId="Citadestacada">
    <w:name w:val="Intense Quote"/>
    <w:basedOn w:val="Normal"/>
    <w:next w:val="Normal"/>
    <w:link w:val="CitadestacadaCar"/>
    <w:uiPriority w:val="30"/>
    <w:qFormat/>
    <w:rsid w:val="00661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1953"/>
    <w:rPr>
      <w:i/>
      <w:iCs/>
      <w:color w:val="0F4761" w:themeColor="accent1" w:themeShade="BF"/>
    </w:rPr>
  </w:style>
  <w:style w:type="character" w:styleId="Referenciaintensa">
    <w:name w:val="Intense Reference"/>
    <w:basedOn w:val="Fuentedeprrafopredeter"/>
    <w:uiPriority w:val="32"/>
    <w:qFormat/>
    <w:rsid w:val="00661953"/>
    <w:rPr>
      <w:b/>
      <w:bCs/>
      <w:smallCaps/>
      <w:color w:val="0F4761" w:themeColor="accent1" w:themeShade="BF"/>
      <w:spacing w:val="5"/>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6195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61953"/>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6195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61953"/>
    <w:rPr>
      <w:vertAlign w:val="superscript"/>
    </w:rPr>
  </w:style>
  <w:style w:type="paragraph" w:customStyle="1" w:styleId="Appelnotedebasde">
    <w:name w:val="Appel note de bas de..."/>
    <w:basedOn w:val="Normal"/>
    <w:link w:val="Refdenotaalpie"/>
    <w:uiPriority w:val="99"/>
    <w:rsid w:val="00661953"/>
    <w:pPr>
      <w:spacing w:line="240" w:lineRule="exact"/>
    </w:pPr>
    <w:rPr>
      <w:kern w:val="2"/>
      <w:vertAlign w:val="superscript"/>
      <w14:ligatures w14:val="standardContextual"/>
    </w:rPr>
  </w:style>
  <w:style w:type="paragraph" w:styleId="Encabezado">
    <w:name w:val="header"/>
    <w:basedOn w:val="Normal"/>
    <w:link w:val="EncabezadoCar"/>
    <w:uiPriority w:val="99"/>
    <w:unhideWhenUsed/>
    <w:rsid w:val="006619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1953"/>
    <w:rPr>
      <w:kern w:val="0"/>
      <w14:ligatures w14:val="none"/>
    </w:rPr>
  </w:style>
  <w:style w:type="paragraph" w:styleId="Piedepgina">
    <w:name w:val="footer"/>
    <w:basedOn w:val="Normal"/>
    <w:link w:val="PiedepginaCar"/>
    <w:uiPriority w:val="99"/>
    <w:unhideWhenUsed/>
    <w:rsid w:val="006619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953"/>
    <w:rPr>
      <w:kern w:val="0"/>
      <w14:ligatures w14:val="none"/>
    </w:rPr>
  </w:style>
  <w:style w:type="table" w:styleId="Tablaconcuadrcula">
    <w:name w:val="Table Grid"/>
    <w:basedOn w:val="Tablanormal"/>
    <w:uiPriority w:val="39"/>
    <w:qFormat/>
    <w:rsid w:val="006619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61953"/>
    <w:rPr>
      <w:color w:val="467886" w:themeColor="hyperlink"/>
      <w:u w:val="single"/>
    </w:rPr>
  </w:style>
  <w:style w:type="character" w:styleId="Refdecomentario">
    <w:name w:val="annotation reference"/>
    <w:basedOn w:val="Fuentedeprrafopredeter"/>
    <w:uiPriority w:val="99"/>
    <w:semiHidden/>
    <w:unhideWhenUsed/>
    <w:rsid w:val="00661953"/>
    <w:rPr>
      <w:sz w:val="16"/>
      <w:szCs w:val="16"/>
    </w:rPr>
  </w:style>
  <w:style w:type="paragraph" w:styleId="Textocomentario">
    <w:name w:val="annotation text"/>
    <w:basedOn w:val="Normal"/>
    <w:link w:val="TextocomentarioCar"/>
    <w:uiPriority w:val="99"/>
    <w:unhideWhenUsed/>
    <w:rsid w:val="00661953"/>
    <w:pPr>
      <w:spacing w:line="240" w:lineRule="auto"/>
    </w:pPr>
    <w:rPr>
      <w:sz w:val="20"/>
      <w:szCs w:val="20"/>
    </w:rPr>
  </w:style>
  <w:style w:type="character" w:customStyle="1" w:styleId="TextocomentarioCar">
    <w:name w:val="Texto comentario Car"/>
    <w:basedOn w:val="Fuentedeprrafopredeter"/>
    <w:link w:val="Textocomentario"/>
    <w:uiPriority w:val="99"/>
    <w:rsid w:val="00661953"/>
    <w:rPr>
      <w:kern w:val="0"/>
      <w:sz w:val="20"/>
      <w:szCs w:val="20"/>
      <w14:ligatures w14:val="none"/>
    </w:rPr>
  </w:style>
  <w:style w:type="character" w:customStyle="1" w:styleId="normaltextrun">
    <w:name w:val="normaltextrun"/>
    <w:basedOn w:val="Fuentedeprrafopredeter"/>
    <w:rsid w:val="00661953"/>
  </w:style>
  <w:style w:type="character" w:customStyle="1" w:styleId="eop">
    <w:name w:val="eop"/>
    <w:basedOn w:val="Fuentedeprrafopredeter"/>
    <w:rsid w:val="00661953"/>
  </w:style>
  <w:style w:type="paragraph" w:customStyle="1" w:styleId="paragraph">
    <w:name w:val="paragraph"/>
    <w:basedOn w:val="Normal"/>
    <w:rsid w:val="0066195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61953"/>
  </w:style>
  <w:style w:type="character" w:styleId="Mencinsinresolver">
    <w:name w:val="Unresolved Mention"/>
    <w:basedOn w:val="Fuentedeprrafopredeter"/>
    <w:uiPriority w:val="99"/>
    <w:semiHidden/>
    <w:unhideWhenUsed/>
    <w:rsid w:val="000F1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4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ulido14@gmail.com" TargetMode="External"/><Relationship Id="rId13" Type="http://schemas.openxmlformats.org/officeDocument/2006/relationships/hyperlink" Target="https://nam02.safelinks.protection.outlook.com/?url=https%3A%2F%2Fwww.colombiacompra.gov.co%2Fsala-de-prensa%2Fboletin-digital&amp;data=05%7C02%7Candreina.cerpa%40colombiacompra.gov.co%7C096eca3fdcca424ff1c708dcf932f947%7C7b09041e245149d08cb179d5e3d8c1be%7C0%7C0%7C638659244553129750%7CUnknown%7CTWFpbGZsb3d8eyJWIjoiMC4wLjAwMDAiLCJQIjoiV2luMzIiLCJBTiI6Ik1haWwiLCJXVCI6Mn0%3D%7C0%7C%7C%7C&amp;sdata=TPSikXYdiaZ7j6%2BW39%2BMNPMouatq7ONRQMFwgX4AQak%3D&amp;reserved=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nam02.safelinks.protection.outlook.com/?url=https%3A%2F%2Fwww.sucop.gov.co%2Fentidades%2Fcolombiacompra%2FNormativa%3FIDNorma%3D18320&amp;data=05%7C02%7Candreina.cerpa%40colombiacompra.gov.co%7C096eca3fdcca424ff1c708dcf932f947%7C7b09041e245149d08cb179d5e3d8c1be%7C0%7C0%7C638659244553118377%7CUnknown%7CTWFpbGZsb3d8eyJWIjoiMC4wLjAwMDAiLCJQIjoiV2luMzIiLCJBTiI6Ik1haWwiLCJXVCI6Mn0%3D%7C0%7C%7C%7C&amp;sdata=GLeg7SM%2B%2FRxgqbeVVQ2kAB42HlF%2BLA2V9MH2iP6TELo%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2.safelinks.protection.outlook.com/?url=https%3A%2F%2Fwww.colombiacompra.gov.co%2Fcontent%2Fborrador-de-documentos-tipo-de-interventoria-de-obra-publica-de-infraestructura-de&amp;data=05%7C02%7Candreina.cerpa%40colombiacompra.gov.co%7C096eca3fdcca424ff1c708dcf932f947%7C7b09041e245149d08cb179d5e3d8c1be%7C0%7C0%7C638659244553106601%7CUnknown%7CTWFpbGZsb3d8eyJWIjoiMC4wLjAwMDAiLCJQIjoiV2luMzIiLCJBTiI6Ik1haWwiLCJXVCI6Mn0%3D%7C0%7C%7C%7C&amp;sdata=3bx45dHvyLBsz0xlBnt2sZ7JCsO1WHwvxX5esmdiOnE%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am02.safelinks.protection.outlook.com/?url=https%3A%2F%2Fwww.colombiacompra.gov.co%2Fcontent%2Fborrador-de-documentos-tipo-de-consultoria-de-obra-publica-de-infraestructura-de-transporte&amp;data=05%7C02%7Candreina.cerpa%40colombiacompra.gov.co%7C096eca3fdcca424ff1c708dcf932f947%7C7b09041e245149d08cb179d5e3d8c1be%7C0%7C0%7C638659244553089105%7CUnknown%7CTWFpbGZsb3d8eyJWIjoiMC4wLjAwMDAiLCJQIjoiV2luMzIiLCJBTiI6Ik1haWwiLCJXVCI6Mn0%3D%7C0%7C%7C%7C&amp;sdata=sbTbikmBPVtCbo7mXkVZFxvU9C9ryShyBoc6QGPGO1A%3D&amp;reserved=0"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nam02.safelinks.protection.outlook.com/?url=https%3A%2F%2Frelatoria.colombiacompra.gov.co%2F&amp;data=05%7C02%7Csantiago.herrera%40colombiacompra.gov.co%7C5aad36a736844ec87b2108dcc1fa4639%7C7b09041e245149d08cb179d5e3d8c1be%7C0%7C0%7C638598527916403321%7CUnknown%7CTWFpbGZsb3d8eyJWIjoiMC4wLjAwMDAiLCJQIjoiV2luMzIiLCJBTiI6Ik1haWwiLCJXVCI6Mn0%3D%7C0%7C%7C%7C&amp;sdata=neyw9B8a4kmrys5KzRYzkS0Ic%2B9lB44MAv0EAAX%2BfcY%3D&amp;reserved=0"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63AB6F-FE69-4678-8AA0-44E8E6E4A150}"/>
</file>

<file path=customXml/itemProps2.xml><?xml version="1.0" encoding="utf-8"?>
<ds:datastoreItem xmlns:ds="http://schemas.openxmlformats.org/officeDocument/2006/customXml" ds:itemID="{5FEFAD01-1FDC-4BD7-BDC3-13F1BBD9BBAD}"/>
</file>

<file path=customXml/itemProps3.xml><?xml version="1.0" encoding="utf-8"?>
<ds:datastoreItem xmlns:ds="http://schemas.openxmlformats.org/officeDocument/2006/customXml" ds:itemID="{4DD82AC0-F8FC-420B-9128-13E77AE3E378}"/>
</file>

<file path=docProps/app.xml><?xml version="1.0" encoding="utf-8"?>
<Properties xmlns="http://schemas.openxmlformats.org/officeDocument/2006/extended-properties" xmlns:vt="http://schemas.openxmlformats.org/officeDocument/2006/docPropsVTypes">
  <Template>Normal</Template>
  <TotalTime>459</TotalTime>
  <Pages>17</Pages>
  <Words>5395</Words>
  <Characters>29678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51</cp:revision>
  <dcterms:created xsi:type="dcterms:W3CDTF">2024-11-06T14:50:00Z</dcterms:created>
  <dcterms:modified xsi:type="dcterms:W3CDTF">2024-11-14T15:09:00Z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