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2DE8C" w14:textId="77777777" w:rsidR="001C44ED" w:rsidRPr="00F858AE" w:rsidRDefault="001C44ED" w:rsidP="001C44ED">
      <w:pPr>
        <w:spacing w:after="0" w:line="240" w:lineRule="auto"/>
        <w:jc w:val="both"/>
        <w:rPr>
          <w:rFonts w:ascii="Verdana" w:hAnsi="Verdana"/>
          <w:b/>
          <w:bCs/>
          <w:lang w:val="es-MX"/>
        </w:rPr>
      </w:pPr>
      <w:bookmarkStart w:id="0" w:name="_Hlk143780582"/>
      <w:r w:rsidRPr="001C44ED">
        <w:rPr>
          <w:rFonts w:ascii="Verdana" w:hAnsi="Verdana"/>
          <w:b/>
          <w:bCs/>
          <w:lang w:val="es-MX"/>
        </w:rPr>
        <w:t xml:space="preserve">REQUISITOS HABILITANTES – Noción </w:t>
      </w:r>
    </w:p>
    <w:p w14:paraId="25380FC7" w14:textId="77777777" w:rsidR="001C44ED" w:rsidRPr="001C44ED" w:rsidRDefault="001C44ED" w:rsidP="001C44ED">
      <w:pPr>
        <w:spacing w:after="0" w:line="240" w:lineRule="auto"/>
        <w:jc w:val="both"/>
        <w:rPr>
          <w:rFonts w:ascii="Verdana" w:hAnsi="Verdana"/>
          <w:b/>
          <w:bCs/>
          <w:sz w:val="20"/>
          <w:szCs w:val="20"/>
          <w:lang w:val="es-MX"/>
        </w:rPr>
      </w:pPr>
    </w:p>
    <w:p w14:paraId="46E0748E" w14:textId="794B75A8" w:rsidR="001C44ED" w:rsidRPr="001C44ED" w:rsidRDefault="001C44ED" w:rsidP="001C44ED">
      <w:pPr>
        <w:spacing w:after="0" w:line="240" w:lineRule="auto"/>
        <w:jc w:val="both"/>
        <w:rPr>
          <w:rFonts w:ascii="Verdana" w:hAnsi="Verdana"/>
          <w:sz w:val="20"/>
          <w:szCs w:val="20"/>
          <w:lang w:val="es-ES"/>
        </w:rPr>
      </w:pPr>
      <w:r w:rsidRPr="001C44ED">
        <w:rPr>
          <w:rFonts w:ascii="Verdana" w:hAnsi="Verdana"/>
          <w:sz w:val="20"/>
          <w:szCs w:val="20"/>
        </w:rPr>
        <w:t>[…]</w:t>
      </w:r>
      <w:r w:rsidR="00802F91" w:rsidRPr="00F858AE">
        <w:rPr>
          <w:rFonts w:ascii="Verdana" w:hAnsi="Verdana"/>
          <w:sz w:val="20"/>
          <w:szCs w:val="20"/>
        </w:rPr>
        <w:t xml:space="preserve"> </w:t>
      </w:r>
      <w:r w:rsidRPr="001C44ED">
        <w:rPr>
          <w:rFonts w:ascii="Verdana" w:hAnsi="Verdana"/>
          <w:sz w:val="20"/>
          <w:szCs w:val="20"/>
          <w:lang w:val="es-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2BE4414E" w14:textId="77777777" w:rsidR="001C44ED" w:rsidRPr="001C44ED" w:rsidRDefault="001C44ED" w:rsidP="001C44ED">
      <w:pPr>
        <w:spacing w:after="0" w:line="240" w:lineRule="auto"/>
        <w:jc w:val="both"/>
        <w:rPr>
          <w:rFonts w:ascii="Verdana" w:hAnsi="Verdana"/>
          <w:sz w:val="20"/>
          <w:szCs w:val="20"/>
          <w:lang w:val="es-ES"/>
        </w:rPr>
      </w:pPr>
      <w:r w:rsidRPr="001C44ED">
        <w:rPr>
          <w:rFonts w:ascii="Verdana" w:hAnsi="Verdana"/>
          <w:sz w:val="20"/>
          <w:szCs w:val="20"/>
          <w:lang w:val="es-ES"/>
        </w:rPr>
        <w:t xml:space="preserve"> </w:t>
      </w:r>
    </w:p>
    <w:p w14:paraId="6EAA1F61" w14:textId="4001BE94" w:rsidR="001C44ED" w:rsidRPr="001C44ED" w:rsidRDefault="001C44ED" w:rsidP="001C44ED">
      <w:pPr>
        <w:spacing w:after="0" w:line="240" w:lineRule="auto"/>
        <w:jc w:val="both"/>
        <w:rPr>
          <w:rFonts w:ascii="Verdana" w:hAnsi="Verdana"/>
          <w:sz w:val="20"/>
          <w:szCs w:val="20"/>
          <w:lang w:val="es-ES"/>
        </w:rPr>
      </w:pPr>
      <w:r w:rsidRPr="001C44ED">
        <w:rPr>
          <w:rFonts w:ascii="Verdana" w:hAnsi="Verdana"/>
          <w:sz w:val="20"/>
          <w:szCs w:val="20"/>
          <w:lang w:val="es-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r w:rsidR="00131711" w:rsidRPr="00F858AE">
        <w:rPr>
          <w:rFonts w:ascii="Verdana" w:hAnsi="Verdana"/>
          <w:sz w:val="20"/>
          <w:szCs w:val="20"/>
          <w:lang w:val="es-ES"/>
        </w:rPr>
        <w:t xml:space="preserve"> </w:t>
      </w:r>
      <w:r w:rsidRPr="001C44ED">
        <w:rPr>
          <w:rFonts w:ascii="Verdana" w:hAnsi="Verdana"/>
          <w:sz w:val="20"/>
          <w:szCs w:val="20"/>
        </w:rPr>
        <w:t>[…]</w:t>
      </w:r>
    </w:p>
    <w:p w14:paraId="02F2DA85" w14:textId="77777777" w:rsidR="001C44ED" w:rsidRPr="00F858AE" w:rsidRDefault="001C44ED" w:rsidP="00802F91">
      <w:pPr>
        <w:spacing w:after="0"/>
        <w:jc w:val="both"/>
        <w:rPr>
          <w:rFonts w:ascii="Verdana" w:hAnsi="Verdana"/>
          <w:sz w:val="20"/>
          <w:szCs w:val="20"/>
        </w:rPr>
      </w:pPr>
    </w:p>
    <w:p w14:paraId="3F65CA07" w14:textId="77777777" w:rsidR="00802F91" w:rsidRPr="00802F91" w:rsidRDefault="00802F91" w:rsidP="00802F91">
      <w:pPr>
        <w:spacing w:after="0"/>
        <w:jc w:val="both"/>
        <w:rPr>
          <w:rFonts w:ascii="Verdana" w:hAnsi="Verdana"/>
          <w:b/>
          <w:bCs/>
          <w:lang w:val="es-ES_tradnl"/>
        </w:rPr>
      </w:pPr>
      <w:r w:rsidRPr="00802F91">
        <w:rPr>
          <w:rFonts w:ascii="Verdana" w:hAnsi="Verdana"/>
          <w:b/>
          <w:bCs/>
          <w:lang w:val="es-ES_tradnl"/>
        </w:rPr>
        <w:t>REQUISITOS HABILITANTES – Carácter enunciativo – Artículo 5 de la Ley 1150 de 2007</w:t>
      </w:r>
    </w:p>
    <w:p w14:paraId="3F04332D" w14:textId="77777777" w:rsidR="00802F91" w:rsidRPr="00802F91" w:rsidRDefault="00802F91" w:rsidP="00802F91">
      <w:pPr>
        <w:spacing w:after="0"/>
        <w:jc w:val="both"/>
        <w:rPr>
          <w:rFonts w:ascii="Verdana" w:hAnsi="Verdana"/>
          <w:b/>
          <w:bCs/>
          <w:sz w:val="20"/>
          <w:szCs w:val="20"/>
          <w:lang w:val="es-ES_tradnl"/>
        </w:rPr>
      </w:pPr>
    </w:p>
    <w:p w14:paraId="1F2C2DE0" w14:textId="46708A97" w:rsidR="00802F91" w:rsidRPr="00802F91" w:rsidRDefault="00802F91" w:rsidP="00802F91">
      <w:pPr>
        <w:spacing w:after="0" w:line="240" w:lineRule="auto"/>
        <w:jc w:val="both"/>
        <w:rPr>
          <w:rFonts w:ascii="Verdana" w:hAnsi="Verdana"/>
          <w:sz w:val="20"/>
          <w:szCs w:val="20"/>
        </w:rPr>
      </w:pPr>
      <w:r w:rsidRPr="001C44ED">
        <w:rPr>
          <w:rFonts w:ascii="Verdana" w:hAnsi="Verdana"/>
          <w:sz w:val="20"/>
          <w:szCs w:val="20"/>
        </w:rPr>
        <w:t>[…]</w:t>
      </w:r>
      <w:r w:rsidRPr="00F858AE">
        <w:rPr>
          <w:rFonts w:ascii="Verdana" w:hAnsi="Verdana"/>
          <w:sz w:val="20"/>
          <w:szCs w:val="20"/>
        </w:rPr>
        <w:t xml:space="preserve"> </w:t>
      </w:r>
      <w:r w:rsidRPr="00802F91">
        <w:rPr>
          <w:rFonts w:ascii="Verdana" w:hAnsi="Verdana"/>
          <w:sz w:val="20"/>
          <w:szCs w:val="20"/>
        </w:rPr>
        <w:t>La Agencia Nacional de Contratación Pública ha defendido el carácter enunciativo del listado de los requisitos habilitantes contenidos en el numeral 1 del artículo 5 de la Ley 1150 de 2007, en la medida en que la referida disposición, al referirse a los requisitos habilitantes, no contiene una expresión como «únicamente» o «solo», de la que pueda colegirse la taxatividad de los requisitos mencionados.</w:t>
      </w:r>
    </w:p>
    <w:p w14:paraId="7CE8ACC2" w14:textId="77777777" w:rsidR="00802F91" w:rsidRPr="00802F91" w:rsidRDefault="00802F91" w:rsidP="00802F91">
      <w:pPr>
        <w:spacing w:after="0" w:line="240" w:lineRule="auto"/>
        <w:jc w:val="both"/>
        <w:rPr>
          <w:rFonts w:ascii="Verdana" w:hAnsi="Verdana"/>
          <w:sz w:val="20"/>
          <w:szCs w:val="20"/>
        </w:rPr>
      </w:pPr>
    </w:p>
    <w:p w14:paraId="05388C23" w14:textId="77777777" w:rsidR="00802F91" w:rsidRPr="00802F91" w:rsidRDefault="00802F91" w:rsidP="00802F91">
      <w:pPr>
        <w:spacing w:after="0" w:line="240" w:lineRule="auto"/>
        <w:jc w:val="both"/>
        <w:rPr>
          <w:rFonts w:ascii="Verdana" w:hAnsi="Verdana"/>
          <w:sz w:val="20"/>
          <w:szCs w:val="20"/>
        </w:rPr>
      </w:pPr>
      <w:r w:rsidRPr="00802F91">
        <w:rPr>
          <w:rFonts w:ascii="Verdana" w:hAnsi="Verdana"/>
          <w:sz w:val="20"/>
          <w:szCs w:val="20"/>
        </w:rPr>
        <w:t xml:space="preserve">En ese sentido, si bien la Ley 1150 de 2007 estableció unos requisitos habilitantes para los proponentes –la capacidad jurídica, las condiciones de experiencia, la capacidad financiera y la capacidad de organización–, estos no son taxativos. En consecuencia, corresponde a las entidades estatales, durante la etapa de planeación del contrato estatal, estudiar y determinar los requisitos habilitantes que establecerán en los pliegos de condiciones, los cuales deben fijarse de forma adecuada y proporcional. </w:t>
      </w:r>
    </w:p>
    <w:p w14:paraId="6564BF5A" w14:textId="77777777" w:rsidR="00802F91" w:rsidRPr="00802F91" w:rsidRDefault="00802F91" w:rsidP="00802F91">
      <w:pPr>
        <w:spacing w:after="0" w:line="240" w:lineRule="auto"/>
        <w:jc w:val="both"/>
        <w:rPr>
          <w:rFonts w:ascii="Verdana" w:hAnsi="Verdana"/>
          <w:sz w:val="20"/>
          <w:szCs w:val="20"/>
        </w:rPr>
      </w:pPr>
    </w:p>
    <w:p w14:paraId="650DD914" w14:textId="6681A888" w:rsidR="00802F91" w:rsidRPr="00802F91" w:rsidRDefault="00802F91" w:rsidP="00802F91">
      <w:pPr>
        <w:spacing w:after="0" w:line="240" w:lineRule="auto"/>
        <w:jc w:val="both"/>
        <w:rPr>
          <w:rFonts w:ascii="Verdana" w:hAnsi="Verdana"/>
          <w:sz w:val="20"/>
          <w:szCs w:val="20"/>
        </w:rPr>
      </w:pPr>
      <w:r w:rsidRPr="00802F91">
        <w:rPr>
          <w:rFonts w:ascii="Verdana" w:hAnsi="Verdana"/>
          <w:sz w:val="20"/>
          <w:szCs w:val="20"/>
        </w:rPr>
        <w:t xml:space="preserve">En ese sentido,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 Para esto resulta indispensable que los requisitos establecidos por la entidad, además se fijen de manera adecuada y proporcional a las características del objeto ofertado, procurando además ceñirse a la normativa que resulte aplicable. </w:t>
      </w:r>
      <w:r w:rsidRPr="001C44ED">
        <w:rPr>
          <w:rFonts w:ascii="Verdana" w:hAnsi="Verdana"/>
          <w:sz w:val="20"/>
          <w:szCs w:val="20"/>
        </w:rPr>
        <w:t>[…]</w:t>
      </w:r>
    </w:p>
    <w:p w14:paraId="5F4DB7FE" w14:textId="77777777" w:rsidR="00802F91" w:rsidRPr="00F858AE" w:rsidRDefault="00802F91" w:rsidP="00802F91">
      <w:pPr>
        <w:spacing w:after="0"/>
        <w:rPr>
          <w:rFonts w:ascii="Verdana" w:hAnsi="Verdana"/>
          <w:b/>
          <w:bCs/>
          <w:lang w:val="es-ES"/>
        </w:rPr>
      </w:pPr>
    </w:p>
    <w:p w14:paraId="3F8584B7" w14:textId="77777777" w:rsidR="004B1979" w:rsidRPr="00F858AE" w:rsidRDefault="00AC105D" w:rsidP="004B1979">
      <w:pPr>
        <w:spacing w:after="0"/>
        <w:jc w:val="both"/>
        <w:rPr>
          <w:rFonts w:ascii="Verdana" w:hAnsi="Verdana"/>
          <w:b/>
          <w:bCs/>
        </w:rPr>
      </w:pPr>
      <w:r w:rsidRPr="00AC105D">
        <w:rPr>
          <w:rFonts w:ascii="Verdana" w:hAnsi="Verdana"/>
          <w:b/>
          <w:bCs/>
        </w:rPr>
        <w:lastRenderedPageBreak/>
        <w:t>SUBSANABILIDAD – Regla – Requisitos habilitantes – Ley 1882 de 2018</w:t>
      </w:r>
    </w:p>
    <w:p w14:paraId="63137A31" w14:textId="77777777" w:rsidR="004B1979" w:rsidRPr="00F858AE" w:rsidRDefault="004B1979" w:rsidP="004B1979">
      <w:pPr>
        <w:spacing w:after="0"/>
        <w:jc w:val="both"/>
        <w:rPr>
          <w:rFonts w:ascii="Verdana" w:hAnsi="Verdana"/>
          <w:b/>
          <w:bCs/>
        </w:rPr>
      </w:pPr>
    </w:p>
    <w:p w14:paraId="1A2FDC93" w14:textId="0041457D" w:rsidR="00AC105D" w:rsidRPr="00F858AE" w:rsidRDefault="00AC105D" w:rsidP="004B1979">
      <w:pPr>
        <w:spacing w:after="0" w:line="240" w:lineRule="auto"/>
        <w:jc w:val="both"/>
        <w:rPr>
          <w:rFonts w:ascii="Verdana" w:hAnsi="Verdana"/>
          <w:sz w:val="20"/>
          <w:szCs w:val="20"/>
        </w:rPr>
      </w:pPr>
      <w:r w:rsidRPr="00AC105D">
        <w:rPr>
          <w:rFonts w:ascii="Verdana" w:hAnsi="Verdana"/>
          <w:sz w:val="20"/>
          <w:szCs w:val="20"/>
        </w:rPr>
        <w:t xml:space="preserve">Esta Subdirección se ha pronunciado en diversas oportunidades acerca del alcance de la regla de la </w:t>
      </w:r>
      <w:proofErr w:type="spellStart"/>
      <w:r w:rsidRPr="00AC105D">
        <w:rPr>
          <w:rFonts w:ascii="Verdana" w:hAnsi="Verdana"/>
          <w:sz w:val="20"/>
          <w:szCs w:val="20"/>
        </w:rPr>
        <w:t>subsanabilidad</w:t>
      </w:r>
      <w:proofErr w:type="spellEnd"/>
      <w:r w:rsidRPr="00AC105D">
        <w:rPr>
          <w:rFonts w:ascii="Verdana" w:hAnsi="Verdana"/>
          <w:sz w:val="20"/>
          <w:szCs w:val="20"/>
        </w:rPr>
        <w:t xml:space="preserve">,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AC105D">
        <w:rPr>
          <w:rFonts w:ascii="Verdana" w:hAnsi="Verdana"/>
          <w:sz w:val="20"/>
          <w:szCs w:val="20"/>
        </w:rPr>
        <w:t>subsanabilidad</w:t>
      </w:r>
      <w:proofErr w:type="spellEnd"/>
      <w:r w:rsidRPr="00AC105D">
        <w:rPr>
          <w:rFonts w:ascii="Verdana" w:hAnsi="Verdana"/>
          <w:sz w:val="20"/>
          <w:szCs w:val="20"/>
        </w:rPr>
        <w:t>, como, por ejemplo, la prohibición de permitir la entrega de la garantía de seriedad de la oferta que no fue aportada con la propuesta y de permitir la acreditación de circunstancias ocurridas con posterioridad al cierre del proceso.</w:t>
      </w:r>
    </w:p>
    <w:p w14:paraId="43A74FC7" w14:textId="77777777" w:rsidR="004B1979" w:rsidRPr="00AC105D" w:rsidRDefault="004B1979" w:rsidP="004B1979">
      <w:pPr>
        <w:spacing w:after="0" w:line="240" w:lineRule="auto"/>
        <w:jc w:val="both"/>
        <w:rPr>
          <w:rFonts w:ascii="Verdana" w:hAnsi="Verdana"/>
          <w:sz w:val="20"/>
          <w:szCs w:val="20"/>
        </w:rPr>
      </w:pPr>
    </w:p>
    <w:p w14:paraId="392DBA36" w14:textId="77777777" w:rsidR="00AC105D" w:rsidRPr="00AC105D" w:rsidRDefault="00AC105D" w:rsidP="004B1979">
      <w:pPr>
        <w:spacing w:after="0" w:line="240" w:lineRule="auto"/>
        <w:jc w:val="both"/>
        <w:rPr>
          <w:rFonts w:ascii="Verdana" w:hAnsi="Verdana"/>
          <w:sz w:val="20"/>
          <w:szCs w:val="20"/>
        </w:rPr>
      </w:pPr>
      <w:r w:rsidRPr="00AC105D">
        <w:rPr>
          <w:rFonts w:ascii="Verdana" w:hAnsi="Verdana"/>
          <w:sz w:val="20"/>
          <w:szCs w:val="20"/>
        </w:rPr>
        <w:t>[…]</w:t>
      </w:r>
    </w:p>
    <w:p w14:paraId="6538EC92" w14:textId="77777777" w:rsidR="004B1979" w:rsidRPr="00F858AE" w:rsidRDefault="004B1979" w:rsidP="004B1979">
      <w:pPr>
        <w:spacing w:after="0" w:line="240" w:lineRule="auto"/>
        <w:jc w:val="both"/>
        <w:rPr>
          <w:rFonts w:ascii="Verdana" w:hAnsi="Verdana"/>
          <w:sz w:val="20"/>
          <w:szCs w:val="20"/>
        </w:rPr>
      </w:pPr>
    </w:p>
    <w:p w14:paraId="2A4D760C" w14:textId="04AC68B0" w:rsidR="00AC105D" w:rsidRPr="00AC105D" w:rsidRDefault="00AC105D" w:rsidP="004B1979">
      <w:pPr>
        <w:spacing w:after="0" w:line="240" w:lineRule="auto"/>
        <w:jc w:val="both"/>
        <w:rPr>
          <w:rFonts w:ascii="Verdana" w:hAnsi="Verdana"/>
          <w:sz w:val="20"/>
          <w:szCs w:val="20"/>
        </w:rPr>
      </w:pPr>
      <w:r w:rsidRPr="00AC105D">
        <w:rPr>
          <w:rFonts w:ascii="Verdana" w:hAnsi="Verdana"/>
          <w:sz w:val="20"/>
          <w:szCs w:val="20"/>
        </w:rPr>
        <w:t xml:space="preserve">Por un lado, el </w:t>
      </w:r>
      <w:r w:rsidRPr="00AC105D">
        <w:rPr>
          <w:rFonts w:ascii="Verdana" w:hAnsi="Verdana"/>
          <w:i/>
          <w:iCs/>
          <w:sz w:val="20"/>
          <w:szCs w:val="20"/>
        </w:rPr>
        <w:t>primero</w:t>
      </w:r>
      <w:r w:rsidRPr="00AC105D">
        <w:rPr>
          <w:rFonts w:ascii="Verdana" w:hAnsi="Verdana"/>
          <w:sz w:val="20"/>
          <w:szCs w:val="20"/>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 </w:t>
      </w:r>
    </w:p>
    <w:p w14:paraId="7B08229B" w14:textId="77777777" w:rsidR="00AC105D" w:rsidRPr="00F858AE" w:rsidRDefault="00AC105D" w:rsidP="004B1979">
      <w:pPr>
        <w:spacing w:after="0" w:line="240" w:lineRule="auto"/>
        <w:jc w:val="both"/>
        <w:rPr>
          <w:rFonts w:ascii="Verdana" w:hAnsi="Verdana"/>
          <w:sz w:val="20"/>
          <w:szCs w:val="20"/>
        </w:rPr>
      </w:pPr>
    </w:p>
    <w:p w14:paraId="504878F8" w14:textId="77777777" w:rsidR="004B1979" w:rsidRPr="00AC105D" w:rsidRDefault="004B1979" w:rsidP="004B1979">
      <w:pPr>
        <w:spacing w:after="0" w:line="240" w:lineRule="auto"/>
        <w:jc w:val="both"/>
        <w:rPr>
          <w:rFonts w:ascii="Verdana" w:hAnsi="Verdana"/>
          <w:sz w:val="20"/>
          <w:szCs w:val="20"/>
        </w:rPr>
      </w:pPr>
      <w:r w:rsidRPr="00AC105D">
        <w:rPr>
          <w:rFonts w:ascii="Verdana" w:hAnsi="Verdana"/>
          <w:sz w:val="20"/>
          <w:szCs w:val="20"/>
        </w:rPr>
        <w:t>[…]</w:t>
      </w:r>
    </w:p>
    <w:p w14:paraId="23A6C7B7" w14:textId="77777777" w:rsidR="004B1979" w:rsidRPr="00F858AE" w:rsidRDefault="004B1979" w:rsidP="004B1979">
      <w:pPr>
        <w:spacing w:after="0" w:line="240" w:lineRule="auto"/>
        <w:jc w:val="both"/>
        <w:rPr>
          <w:rFonts w:ascii="Verdana" w:hAnsi="Verdana"/>
          <w:sz w:val="20"/>
          <w:szCs w:val="20"/>
        </w:rPr>
      </w:pPr>
    </w:p>
    <w:p w14:paraId="4BBAE927" w14:textId="77777777" w:rsidR="0046540B" w:rsidRPr="00AC105D" w:rsidRDefault="004B1979" w:rsidP="0046540B">
      <w:pPr>
        <w:spacing w:after="0" w:line="240" w:lineRule="auto"/>
        <w:jc w:val="both"/>
        <w:rPr>
          <w:rFonts w:ascii="Verdana" w:hAnsi="Verdana"/>
          <w:sz w:val="20"/>
          <w:szCs w:val="20"/>
        </w:rPr>
      </w:pPr>
      <w:r w:rsidRPr="004B1979">
        <w:rPr>
          <w:rFonts w:ascii="Verdana" w:hAnsi="Verdana"/>
          <w:sz w:val="20"/>
          <w:szCs w:val="20"/>
        </w:rPr>
        <w:t xml:space="preserve">Finalmente, el </w:t>
      </w:r>
      <w:r w:rsidRPr="004B1979">
        <w:rPr>
          <w:rFonts w:ascii="Verdana" w:hAnsi="Verdana"/>
          <w:i/>
          <w:iCs/>
          <w:sz w:val="20"/>
          <w:szCs w:val="20"/>
        </w:rPr>
        <w:t>último</w:t>
      </w:r>
      <w:r w:rsidRPr="004B1979">
        <w:rPr>
          <w:rFonts w:ascii="Verdana" w:hAnsi="Verdana"/>
          <w:sz w:val="20"/>
          <w:szCs w:val="20"/>
        </w:rPr>
        <w:t xml:space="preserve"> cambio de la Ley 1882 de 2018 fue la introducción de un criterio material, directamente relacionado con los aspectos subsanables: “los proponentes no podrán acreditar circunstancias ocurridas con posterioridad al cierre del proceso”.</w:t>
      </w:r>
      <w:r w:rsidRPr="004B1979">
        <w:rPr>
          <w:rFonts w:ascii="Verdana" w:hAnsi="Verdana"/>
          <w:sz w:val="20"/>
          <w:szCs w:val="20"/>
          <w:lang w:val="es-ES_tradnl"/>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w:t>
      </w:r>
      <w:r w:rsidR="0046540B" w:rsidRPr="00F858AE">
        <w:rPr>
          <w:rFonts w:ascii="Verdana" w:hAnsi="Verdana"/>
          <w:sz w:val="20"/>
          <w:szCs w:val="20"/>
          <w:lang w:val="es-ES_tradnl"/>
        </w:rPr>
        <w:t xml:space="preserve"> </w:t>
      </w:r>
      <w:r w:rsidR="0046540B" w:rsidRPr="00AC105D">
        <w:rPr>
          <w:rFonts w:ascii="Verdana" w:hAnsi="Verdana"/>
          <w:sz w:val="20"/>
          <w:szCs w:val="20"/>
        </w:rPr>
        <w:t>[…]</w:t>
      </w:r>
    </w:p>
    <w:p w14:paraId="473AA55C" w14:textId="5C8F605F" w:rsidR="004B1979" w:rsidRPr="004B1979" w:rsidRDefault="004B1979" w:rsidP="004B1979">
      <w:pPr>
        <w:spacing w:after="0" w:line="240" w:lineRule="auto"/>
        <w:jc w:val="both"/>
        <w:rPr>
          <w:rFonts w:ascii="Verdana" w:hAnsi="Verdana"/>
          <w:sz w:val="20"/>
          <w:szCs w:val="20"/>
        </w:rPr>
      </w:pPr>
    </w:p>
    <w:p w14:paraId="7CE18003" w14:textId="77777777" w:rsidR="004B1979" w:rsidRPr="00F858AE" w:rsidRDefault="004B1979" w:rsidP="00802F91">
      <w:pPr>
        <w:spacing w:after="0"/>
        <w:rPr>
          <w:rFonts w:ascii="Verdana" w:hAnsi="Verdana"/>
          <w:b/>
          <w:bCs/>
        </w:rPr>
      </w:pPr>
    </w:p>
    <w:p w14:paraId="1E4918E4" w14:textId="77777777" w:rsidR="00F858AE" w:rsidRPr="00F858AE" w:rsidRDefault="00F858AE" w:rsidP="00802F91">
      <w:pPr>
        <w:spacing w:after="0"/>
        <w:rPr>
          <w:rFonts w:ascii="Verdana" w:hAnsi="Verdana"/>
          <w:b/>
          <w:bCs/>
        </w:rPr>
      </w:pPr>
    </w:p>
    <w:p w14:paraId="187685C2" w14:textId="77777777" w:rsidR="00F858AE" w:rsidRPr="00F858AE" w:rsidRDefault="00F858AE" w:rsidP="00802F91">
      <w:pPr>
        <w:spacing w:after="0"/>
        <w:rPr>
          <w:rFonts w:ascii="Verdana" w:hAnsi="Verdana"/>
          <w:b/>
          <w:bCs/>
        </w:rPr>
      </w:pPr>
    </w:p>
    <w:p w14:paraId="1DE99429" w14:textId="77777777" w:rsidR="00F858AE" w:rsidRPr="00F858AE" w:rsidRDefault="00F858AE" w:rsidP="00802F91">
      <w:pPr>
        <w:spacing w:after="0"/>
        <w:rPr>
          <w:rFonts w:ascii="Verdana" w:hAnsi="Verdana"/>
          <w:b/>
          <w:bCs/>
        </w:rPr>
      </w:pPr>
    </w:p>
    <w:p w14:paraId="170BC16E" w14:textId="77777777" w:rsidR="00F858AE" w:rsidRPr="00F858AE" w:rsidRDefault="00F858AE" w:rsidP="00802F91">
      <w:pPr>
        <w:spacing w:after="0"/>
        <w:rPr>
          <w:rFonts w:ascii="Verdana" w:hAnsi="Verdana"/>
          <w:b/>
          <w:bCs/>
        </w:rPr>
      </w:pPr>
    </w:p>
    <w:p w14:paraId="0E6EF61B" w14:textId="77777777" w:rsidR="00F858AE" w:rsidRPr="00F858AE" w:rsidRDefault="00F858AE" w:rsidP="00802F91">
      <w:pPr>
        <w:spacing w:after="0"/>
        <w:rPr>
          <w:rFonts w:ascii="Verdana" w:hAnsi="Verdana"/>
          <w:b/>
          <w:bCs/>
        </w:rPr>
      </w:pPr>
    </w:p>
    <w:p w14:paraId="35F6DA32" w14:textId="77777777" w:rsidR="00F858AE" w:rsidRPr="00F858AE" w:rsidRDefault="00F858AE" w:rsidP="00802F91">
      <w:pPr>
        <w:spacing w:after="0"/>
        <w:rPr>
          <w:rFonts w:ascii="Verdana" w:hAnsi="Verdana"/>
          <w:b/>
          <w:bCs/>
        </w:rPr>
      </w:pPr>
    </w:p>
    <w:p w14:paraId="37197E82" w14:textId="77777777" w:rsidR="00F858AE" w:rsidRPr="00F858AE" w:rsidRDefault="00F858AE" w:rsidP="00802F91">
      <w:pPr>
        <w:spacing w:after="0"/>
        <w:rPr>
          <w:rFonts w:ascii="Verdana" w:hAnsi="Verdana"/>
          <w:b/>
          <w:bCs/>
        </w:rPr>
      </w:pPr>
    </w:p>
    <w:p w14:paraId="55545C70" w14:textId="77777777" w:rsidR="00F858AE" w:rsidRPr="00F858AE" w:rsidRDefault="00F858AE" w:rsidP="00802F91">
      <w:pPr>
        <w:spacing w:after="0"/>
        <w:rPr>
          <w:rFonts w:ascii="Verdana" w:hAnsi="Verdana"/>
          <w:b/>
          <w:bCs/>
        </w:rPr>
      </w:pPr>
    </w:p>
    <w:p w14:paraId="4915C050" w14:textId="77777777" w:rsidR="00F858AE" w:rsidRPr="00802F91" w:rsidRDefault="00F858AE" w:rsidP="00802F91">
      <w:pPr>
        <w:spacing w:after="0"/>
        <w:rPr>
          <w:rFonts w:ascii="Verdana" w:hAnsi="Verdana"/>
          <w:b/>
          <w:bCs/>
        </w:rPr>
      </w:pPr>
    </w:p>
    <w:p w14:paraId="739E7D57" w14:textId="77777777" w:rsidR="00802F91" w:rsidRPr="00F858AE" w:rsidRDefault="00802F91" w:rsidP="00E245AB">
      <w:pPr>
        <w:spacing w:after="0"/>
        <w:rPr>
          <w:rFonts w:ascii="Verdana" w:hAnsi="Verdana"/>
          <w:lang w:val="es-ES"/>
        </w:rPr>
      </w:pPr>
    </w:p>
    <w:p w14:paraId="11904D25" w14:textId="77777777" w:rsidR="001C44ED" w:rsidRPr="00F858AE" w:rsidRDefault="001C44ED" w:rsidP="00E245AB">
      <w:pPr>
        <w:spacing w:after="0"/>
        <w:rPr>
          <w:rFonts w:ascii="Verdana" w:hAnsi="Verdana"/>
        </w:rPr>
      </w:pPr>
    </w:p>
    <w:p w14:paraId="3FE2184B" w14:textId="39B5E148" w:rsidR="00E245AB" w:rsidRPr="00F858AE" w:rsidRDefault="00E245AB" w:rsidP="00E245AB">
      <w:pPr>
        <w:spacing w:after="0"/>
        <w:rPr>
          <w:rFonts w:ascii="Verdana" w:hAnsi="Verdana"/>
        </w:rPr>
      </w:pPr>
      <w:r w:rsidRPr="00F858AE">
        <w:rPr>
          <w:rFonts w:ascii="Verdana" w:hAnsi="Verdana"/>
        </w:rPr>
        <w:lastRenderedPageBreak/>
        <w:t xml:space="preserve">Bogotá D.C., </w:t>
      </w:r>
      <w:r w:rsidR="005A4F17" w:rsidRPr="00F858AE">
        <w:rPr>
          <w:rFonts w:ascii="Verdana" w:hAnsi="Verdana"/>
        </w:rPr>
        <w:t>18 de noviembre del 2024</w:t>
      </w:r>
    </w:p>
    <w:p w14:paraId="5FCADBF9" w14:textId="77777777" w:rsidR="00E245AB" w:rsidRPr="00F858AE" w:rsidRDefault="00E245AB" w:rsidP="00E245AB">
      <w:pPr>
        <w:spacing w:after="0"/>
        <w:rPr>
          <w:rFonts w:ascii="Verdana" w:hAnsi="Verdana"/>
          <w:highlight w:val="cyan"/>
        </w:rPr>
      </w:pPr>
    </w:p>
    <w:p w14:paraId="69623A14" w14:textId="5C6AA4CB" w:rsidR="00E06A85" w:rsidRPr="00F858AE" w:rsidRDefault="00184BAE" w:rsidP="00184BAE">
      <w:pPr>
        <w:spacing w:after="0"/>
        <w:jc w:val="right"/>
        <w:rPr>
          <w:rFonts w:ascii="Verdana" w:hAnsi="Verdana"/>
          <w:highlight w:val="cyan"/>
        </w:rPr>
      </w:pPr>
      <w:r w:rsidRPr="00F858AE">
        <w:rPr>
          <w:rFonts w:ascii="Verdana" w:hAnsi="Verdana"/>
        </w:rPr>
        <w:drawing>
          <wp:inline distT="0" distB="0" distL="0" distR="0" wp14:anchorId="0240E2CE" wp14:editId="4919ACC6">
            <wp:extent cx="2609215" cy="828675"/>
            <wp:effectExtent l="0" t="0" r="635" b="9525"/>
            <wp:docPr id="121034711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47110" name="Imagen 1" descr="Interfaz de usuario gráfica, Texto&#10;&#10;Descripción generada automáticamente"/>
                    <pic:cNvPicPr/>
                  </pic:nvPicPr>
                  <pic:blipFill>
                    <a:blip r:embed="rId10"/>
                    <a:stretch>
                      <a:fillRect/>
                    </a:stretch>
                  </pic:blipFill>
                  <pic:spPr>
                    <a:xfrm>
                      <a:off x="0" y="0"/>
                      <a:ext cx="2613060" cy="829896"/>
                    </a:xfrm>
                    <a:prstGeom prst="rect">
                      <a:avLst/>
                    </a:prstGeom>
                  </pic:spPr>
                </pic:pic>
              </a:graphicData>
            </a:graphic>
          </wp:inline>
        </w:drawing>
      </w:r>
    </w:p>
    <w:p w14:paraId="0465BA6D" w14:textId="77777777" w:rsidR="00E245AB" w:rsidRPr="00F858AE" w:rsidRDefault="00E245AB" w:rsidP="00E245AB">
      <w:pPr>
        <w:spacing w:after="0"/>
        <w:rPr>
          <w:rFonts w:ascii="Verdana" w:hAnsi="Verdana"/>
          <w:highlight w:val="cyan"/>
        </w:rPr>
      </w:pPr>
    </w:p>
    <w:bookmarkEnd w:id="0"/>
    <w:p w14:paraId="5D51D1B2" w14:textId="6681AF3B" w:rsidR="00BD416A" w:rsidRPr="00F858AE" w:rsidRDefault="00BD416A" w:rsidP="00BD416A">
      <w:pPr>
        <w:spacing w:after="0" w:line="240" w:lineRule="auto"/>
        <w:jc w:val="both"/>
        <w:rPr>
          <w:rFonts w:ascii="Verdana" w:eastAsia="Calibri" w:hAnsi="Verdana" w:cs="Arial"/>
          <w:lang w:val="es-ES" w:eastAsia="es-ES"/>
        </w:rPr>
      </w:pPr>
      <w:r w:rsidRPr="00F858AE">
        <w:rPr>
          <w:rFonts w:ascii="Verdana" w:eastAsia="Calibri" w:hAnsi="Verdana" w:cs="Arial"/>
          <w:lang w:val="es-ES" w:eastAsia="es-ES"/>
        </w:rPr>
        <w:t>Señor:</w:t>
      </w:r>
    </w:p>
    <w:p w14:paraId="26E67BD2" w14:textId="2DCC3C8C" w:rsidR="00BD416A" w:rsidRPr="00F858AE" w:rsidRDefault="00DD3BB9" w:rsidP="00BD416A">
      <w:pPr>
        <w:spacing w:after="0" w:line="240" w:lineRule="auto"/>
        <w:rPr>
          <w:rFonts w:ascii="Verdana" w:eastAsia="Calibri" w:hAnsi="Verdana" w:cs="Arial"/>
          <w:b/>
          <w:lang w:val="es-ES" w:eastAsia="es-ES"/>
        </w:rPr>
      </w:pPr>
      <w:r w:rsidRPr="00F858AE">
        <w:rPr>
          <w:rFonts w:ascii="Verdana" w:eastAsia="Calibri" w:hAnsi="Verdana" w:cs="Arial"/>
          <w:b/>
          <w:lang w:val="es-ES" w:eastAsia="es-ES"/>
        </w:rPr>
        <w:t>Juan Sebastián Jaramillo Londo</w:t>
      </w:r>
      <w:r w:rsidR="00AA7F87" w:rsidRPr="00F858AE">
        <w:rPr>
          <w:rFonts w:ascii="Verdana" w:eastAsia="Calibri" w:hAnsi="Verdana" w:cs="Arial"/>
          <w:b/>
          <w:lang w:val="es-ES" w:eastAsia="es-ES"/>
        </w:rPr>
        <w:t>ñ</w:t>
      </w:r>
      <w:r w:rsidRPr="00F858AE">
        <w:rPr>
          <w:rFonts w:ascii="Verdana" w:eastAsia="Calibri" w:hAnsi="Verdana" w:cs="Arial"/>
          <w:b/>
          <w:lang w:val="es-ES" w:eastAsia="es-ES"/>
        </w:rPr>
        <w:t>o</w:t>
      </w:r>
    </w:p>
    <w:p w14:paraId="11792668" w14:textId="4D9033C1" w:rsidR="00E66320" w:rsidRPr="00F858AE" w:rsidRDefault="00E66320" w:rsidP="00BD416A">
      <w:pPr>
        <w:spacing w:after="0" w:line="240" w:lineRule="auto"/>
        <w:rPr>
          <w:rFonts w:ascii="Verdana" w:hAnsi="Verdana"/>
        </w:rPr>
      </w:pPr>
      <w:hyperlink r:id="rId11" w:history="1">
        <w:r w:rsidRPr="00F858AE">
          <w:rPr>
            <w:rStyle w:val="Hipervnculo"/>
            <w:rFonts w:ascii="Verdana" w:hAnsi="Verdana"/>
          </w:rPr>
          <w:t>juansebasjara@hotmail.com</w:t>
        </w:r>
      </w:hyperlink>
    </w:p>
    <w:p w14:paraId="50540BA0" w14:textId="4C952A00" w:rsidR="00BD416A" w:rsidRPr="00F858AE" w:rsidRDefault="00E66320" w:rsidP="00BD416A">
      <w:pPr>
        <w:spacing w:after="0" w:line="240" w:lineRule="auto"/>
        <w:rPr>
          <w:rFonts w:ascii="Verdana" w:hAnsi="Verdana"/>
        </w:rPr>
      </w:pPr>
      <w:r w:rsidRPr="00F858AE">
        <w:rPr>
          <w:rFonts w:ascii="Verdana" w:eastAsia="Calibri" w:hAnsi="Verdana" w:cs="Arial"/>
          <w:bCs/>
          <w:lang w:val="es-ES" w:eastAsia="es-ES"/>
        </w:rPr>
        <w:t>Dosquebradas</w:t>
      </w:r>
      <w:r w:rsidR="00BD416A" w:rsidRPr="00F858AE">
        <w:rPr>
          <w:rFonts w:ascii="Verdana" w:eastAsia="Calibri" w:hAnsi="Verdana" w:cs="Arial"/>
          <w:lang w:val="es-ES" w:eastAsia="es-ES"/>
        </w:rPr>
        <w:t xml:space="preserve">, </w:t>
      </w:r>
      <w:r w:rsidRPr="00F858AE">
        <w:rPr>
          <w:rFonts w:ascii="Verdana" w:eastAsia="Calibri" w:hAnsi="Verdana" w:cs="Arial"/>
          <w:lang w:val="es-ES" w:eastAsia="es-ES"/>
        </w:rPr>
        <w:t>Risaralda</w:t>
      </w:r>
      <w:r w:rsidR="00BD416A" w:rsidRPr="00F858AE">
        <w:rPr>
          <w:rFonts w:ascii="Verdana" w:eastAsia="Calibri" w:hAnsi="Verdana" w:cs="Arial"/>
          <w:lang w:val="es-ES" w:eastAsia="es-ES"/>
        </w:rPr>
        <w:t xml:space="preserve"> </w:t>
      </w:r>
    </w:p>
    <w:p w14:paraId="434EE3F9" w14:textId="77777777" w:rsidR="00BD416A" w:rsidRPr="00F858AE" w:rsidRDefault="00BD416A" w:rsidP="00BD416A">
      <w:pPr>
        <w:spacing w:after="0" w:line="240" w:lineRule="auto"/>
        <w:rPr>
          <w:rFonts w:ascii="Verdana" w:eastAsia="Calibri" w:hAnsi="Verdana" w:cs="Arial"/>
          <w:b/>
          <w:bCs/>
          <w:highlight w:val="cyan"/>
          <w:lang w:val="es-ES_tradnl" w:eastAsia="es-ES_tradnl"/>
        </w:rPr>
      </w:pPr>
    </w:p>
    <w:p w14:paraId="448CA20C" w14:textId="77777777" w:rsidR="00BD416A" w:rsidRPr="00F858AE" w:rsidRDefault="00BD416A" w:rsidP="00BD416A">
      <w:pPr>
        <w:spacing w:after="0" w:line="240" w:lineRule="auto"/>
        <w:rPr>
          <w:rFonts w:ascii="Verdana" w:eastAsia="Calibri" w:hAnsi="Verdana" w:cs="Arial"/>
          <w:b/>
          <w:bCs/>
          <w:highlight w:val="cyan"/>
          <w:lang w:val="es-ES_tradnl" w:eastAsia="es-ES_tradnl"/>
        </w:rPr>
      </w:pPr>
    </w:p>
    <w:p w14:paraId="623170FC" w14:textId="77777777" w:rsidR="00BD416A" w:rsidRPr="00F858AE" w:rsidRDefault="00BD416A" w:rsidP="00BD416A">
      <w:pPr>
        <w:spacing w:after="0" w:line="240" w:lineRule="auto"/>
        <w:rPr>
          <w:rFonts w:ascii="Verdana" w:eastAsia="Calibri" w:hAnsi="Verdana" w:cs="Arial"/>
          <w:b/>
          <w:bCs/>
          <w:highlight w:val="cyan"/>
          <w:lang w:val="es-ES_tradnl" w:eastAsia="es-ES_tradnl"/>
        </w:rPr>
      </w:pPr>
    </w:p>
    <w:p w14:paraId="759D9891" w14:textId="77777777" w:rsidR="00E06A85" w:rsidRPr="00F858AE" w:rsidRDefault="00E06A85" w:rsidP="00BD416A">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D416A" w:rsidRPr="00F858AE" w14:paraId="5DD1FB6F" w14:textId="77777777" w:rsidTr="00B80C21">
        <w:trPr>
          <w:trHeight w:val="884"/>
        </w:trPr>
        <w:tc>
          <w:tcPr>
            <w:tcW w:w="2689" w:type="dxa"/>
          </w:tcPr>
          <w:p w14:paraId="1DC87074" w14:textId="77777777" w:rsidR="00BD416A" w:rsidRPr="00F858AE" w:rsidRDefault="00BD416A" w:rsidP="00B80C21">
            <w:pPr>
              <w:jc w:val="both"/>
              <w:rPr>
                <w:rFonts w:ascii="Verdana" w:eastAsia="Calibri" w:hAnsi="Verdana" w:cs="Arial"/>
                <w:b/>
                <w:bCs/>
                <w:highlight w:val="cyan"/>
                <w:lang w:val="es-ES_tradnl" w:eastAsia="es-ES_tradnl"/>
              </w:rPr>
            </w:pPr>
          </w:p>
        </w:tc>
        <w:tc>
          <w:tcPr>
            <w:tcW w:w="6100" w:type="dxa"/>
          </w:tcPr>
          <w:p w14:paraId="2D8EE41D" w14:textId="66D61A94" w:rsidR="00BD416A" w:rsidRPr="00F858AE" w:rsidRDefault="00BD416A" w:rsidP="00B80C21">
            <w:pPr>
              <w:jc w:val="both"/>
              <w:rPr>
                <w:rFonts w:ascii="Verdana" w:eastAsia="Calibri" w:hAnsi="Verdana" w:cs="Arial"/>
                <w:b/>
                <w:bCs/>
                <w:lang w:val="es-ES" w:eastAsia="es-ES"/>
              </w:rPr>
            </w:pPr>
            <w:r w:rsidRPr="00F858AE">
              <w:rPr>
                <w:rFonts w:ascii="Verdana" w:eastAsia="Calibri" w:hAnsi="Verdana" w:cs="Arial"/>
                <w:b/>
                <w:bCs/>
                <w:lang w:val="es-ES" w:eastAsia="es-ES"/>
              </w:rPr>
              <w:t xml:space="preserve">Concepto </w:t>
            </w:r>
            <w:r w:rsidRPr="00F858AE">
              <w:rPr>
                <w:rFonts w:ascii="Verdana" w:eastAsia="Calibri" w:hAnsi="Verdana" w:cs="Arial"/>
                <w:b/>
                <w:bCs/>
                <w:lang w:eastAsia="es-ES"/>
              </w:rPr>
              <w:t>C-</w:t>
            </w:r>
            <w:r w:rsidR="004141F4" w:rsidRPr="00F858AE">
              <w:rPr>
                <w:rFonts w:ascii="Verdana" w:eastAsia="Calibri" w:hAnsi="Verdana" w:cs="Arial"/>
                <w:b/>
                <w:bCs/>
                <w:lang w:eastAsia="es-ES"/>
              </w:rPr>
              <w:t>825</w:t>
            </w:r>
            <w:r w:rsidRPr="00F858AE">
              <w:rPr>
                <w:rFonts w:ascii="Verdana" w:eastAsia="Calibri" w:hAnsi="Verdana" w:cs="Arial"/>
                <w:b/>
                <w:bCs/>
                <w:lang w:eastAsia="es-ES"/>
              </w:rPr>
              <w:t xml:space="preserve"> </w:t>
            </w:r>
            <w:r w:rsidRPr="00F858AE">
              <w:rPr>
                <w:rFonts w:ascii="Verdana" w:eastAsia="Calibri" w:hAnsi="Verdana" w:cs="Arial"/>
                <w:b/>
                <w:bCs/>
                <w:lang w:val="es-ES" w:eastAsia="es-ES"/>
              </w:rPr>
              <w:t>de 2024</w:t>
            </w:r>
          </w:p>
        </w:tc>
      </w:tr>
      <w:tr w:rsidR="00BD416A" w:rsidRPr="00F858AE" w14:paraId="6DA14F32" w14:textId="77777777" w:rsidTr="00B80C21">
        <w:trPr>
          <w:trHeight w:val="884"/>
        </w:trPr>
        <w:tc>
          <w:tcPr>
            <w:tcW w:w="2689" w:type="dxa"/>
            <w:shd w:val="clear" w:color="auto" w:fill="auto"/>
          </w:tcPr>
          <w:p w14:paraId="5BA7B56D" w14:textId="77777777" w:rsidR="00BD416A" w:rsidRPr="00F858AE" w:rsidRDefault="00BD416A" w:rsidP="00B80C21">
            <w:pPr>
              <w:jc w:val="both"/>
              <w:rPr>
                <w:rFonts w:ascii="Verdana" w:eastAsia="Calibri" w:hAnsi="Verdana" w:cs="Arial"/>
                <w:b/>
                <w:highlight w:val="cyan"/>
                <w:lang w:val="es-ES_tradnl" w:eastAsia="es-ES_tradnl"/>
              </w:rPr>
            </w:pPr>
            <w:r w:rsidRPr="00F858AE">
              <w:rPr>
                <w:rFonts w:ascii="Verdana" w:eastAsia="Calibri" w:hAnsi="Verdana" w:cs="Arial"/>
                <w:b/>
                <w:lang w:val="es-ES_tradnl" w:eastAsia="es-ES_tradnl"/>
              </w:rPr>
              <w:t xml:space="preserve">Temas:                   </w:t>
            </w:r>
          </w:p>
        </w:tc>
        <w:tc>
          <w:tcPr>
            <w:tcW w:w="6100" w:type="dxa"/>
          </w:tcPr>
          <w:p w14:paraId="61050E5D" w14:textId="77777777" w:rsidR="005C567B" w:rsidRPr="00F858AE" w:rsidRDefault="00DE320F" w:rsidP="00B80C21">
            <w:pPr>
              <w:spacing w:line="276" w:lineRule="auto"/>
              <w:jc w:val="both"/>
              <w:rPr>
                <w:rFonts w:ascii="Verdana" w:hAnsi="Verdana" w:cs="Arial"/>
                <w:bCs/>
                <w:lang w:val="es-ES_tradnl" w:eastAsia="es-ES"/>
              </w:rPr>
            </w:pPr>
            <w:r w:rsidRPr="00F858AE">
              <w:rPr>
                <w:rFonts w:ascii="Verdana" w:hAnsi="Verdana" w:cs="Arial"/>
                <w:bCs/>
                <w:lang w:val="es-ES_tradnl" w:eastAsia="es-ES"/>
              </w:rPr>
              <w:t>REQUISITOS HABILITANTES – Concepto / REQUISITOS HABILITANTES – Carácter enunciativo – Artículo 5 de la Ley 1150 de 2007 / SUBSANABILIDAD – Regla – Requisitos habilitantes – Ley 1882 de 2018</w:t>
            </w:r>
          </w:p>
          <w:p w14:paraId="1FDC9DE0" w14:textId="1C39DAD2" w:rsidR="00DE320F" w:rsidRPr="00F858AE" w:rsidRDefault="00DE320F" w:rsidP="00B80C21">
            <w:pPr>
              <w:spacing w:line="276" w:lineRule="auto"/>
              <w:jc w:val="both"/>
              <w:rPr>
                <w:rFonts w:ascii="Verdana" w:eastAsia="Calibri" w:hAnsi="Verdana" w:cs="Arial"/>
                <w:highlight w:val="cyan"/>
                <w:lang w:val="es-ES" w:eastAsia="es-ES"/>
              </w:rPr>
            </w:pPr>
          </w:p>
        </w:tc>
      </w:tr>
      <w:tr w:rsidR="00BD416A" w:rsidRPr="00F858AE" w14:paraId="1D31B483" w14:textId="77777777" w:rsidTr="00B80C21">
        <w:trPr>
          <w:trHeight w:val="388"/>
        </w:trPr>
        <w:tc>
          <w:tcPr>
            <w:tcW w:w="2689" w:type="dxa"/>
          </w:tcPr>
          <w:p w14:paraId="6068338A" w14:textId="77777777" w:rsidR="00BD416A" w:rsidRPr="00F858AE" w:rsidRDefault="00BD416A" w:rsidP="00B80C21">
            <w:pPr>
              <w:jc w:val="both"/>
              <w:rPr>
                <w:rFonts w:ascii="Verdana" w:eastAsia="Calibri" w:hAnsi="Verdana" w:cs="Arial"/>
                <w:b/>
                <w:lang w:val="es-ES_tradnl" w:eastAsia="es-ES_tradnl"/>
              </w:rPr>
            </w:pPr>
            <w:r w:rsidRPr="00F858AE">
              <w:rPr>
                <w:rFonts w:ascii="Verdana" w:eastAsia="Calibri" w:hAnsi="Verdana" w:cs="Arial"/>
                <w:b/>
                <w:lang w:val="es-ES_tradnl" w:eastAsia="es-ES_tradnl"/>
              </w:rPr>
              <w:t>Radicación:</w:t>
            </w:r>
            <w:r w:rsidRPr="00F858AE">
              <w:rPr>
                <w:rFonts w:ascii="Verdana" w:eastAsia="Calibri" w:hAnsi="Verdana" w:cs="Arial"/>
                <w:lang w:val="es-ES_tradnl" w:eastAsia="es-ES_tradnl"/>
              </w:rPr>
              <w:t xml:space="preserve">               </w:t>
            </w:r>
          </w:p>
        </w:tc>
        <w:tc>
          <w:tcPr>
            <w:tcW w:w="6100" w:type="dxa"/>
          </w:tcPr>
          <w:p w14:paraId="188E1113" w14:textId="7DE7C12A" w:rsidR="00BD416A" w:rsidRPr="00F858AE" w:rsidRDefault="00BD416A" w:rsidP="00B80C21">
            <w:pPr>
              <w:jc w:val="both"/>
              <w:rPr>
                <w:rFonts w:ascii="Verdana" w:eastAsia="Calibri" w:hAnsi="Verdana" w:cs="Arial"/>
                <w:lang w:eastAsia="es-ES_tradnl"/>
              </w:rPr>
            </w:pPr>
            <w:r w:rsidRPr="00F858AE">
              <w:rPr>
                <w:rFonts w:ascii="Verdana" w:eastAsia="Calibri" w:hAnsi="Verdana" w:cs="Arial"/>
                <w:lang w:val="es-ES_tradnl" w:eastAsia="es-ES_tradnl"/>
              </w:rPr>
              <w:t xml:space="preserve">Respuesta a consulta con radicado No. </w:t>
            </w:r>
            <w:r w:rsidR="00BC2FFB" w:rsidRPr="00F858AE">
              <w:rPr>
                <w:rFonts w:ascii="Verdana" w:eastAsia="Calibri" w:hAnsi="Verdana" w:cs="Arial"/>
                <w:lang w:eastAsia="es-ES_tradnl"/>
              </w:rPr>
              <w:t>P20241007010205</w:t>
            </w:r>
          </w:p>
        </w:tc>
      </w:tr>
    </w:tbl>
    <w:p w14:paraId="16E6B852" w14:textId="77777777" w:rsidR="00BD416A" w:rsidRPr="00F858AE" w:rsidRDefault="00BD416A" w:rsidP="00BD416A">
      <w:pPr>
        <w:spacing w:after="0" w:line="240" w:lineRule="auto"/>
        <w:jc w:val="both"/>
        <w:rPr>
          <w:rFonts w:ascii="Verdana" w:eastAsia="Calibri" w:hAnsi="Verdana" w:cs="Arial"/>
          <w:highlight w:val="cyan"/>
          <w:lang w:val="es-ES_tradnl" w:eastAsia="es-ES_tradnl"/>
        </w:rPr>
      </w:pPr>
    </w:p>
    <w:p w14:paraId="2C39D424" w14:textId="77777777" w:rsidR="00BD416A" w:rsidRPr="00F858AE" w:rsidRDefault="00BD416A" w:rsidP="00BD416A">
      <w:pPr>
        <w:spacing w:after="0" w:line="240" w:lineRule="auto"/>
        <w:jc w:val="both"/>
        <w:rPr>
          <w:rFonts w:ascii="Verdana" w:eastAsia="Calibri" w:hAnsi="Verdana" w:cs="Arial"/>
          <w:highlight w:val="cyan"/>
          <w:lang w:val="es-ES_tradnl" w:eastAsia="es-ES_tradnl"/>
        </w:rPr>
      </w:pPr>
    </w:p>
    <w:p w14:paraId="08664905" w14:textId="77777777" w:rsidR="00E06A85" w:rsidRPr="00F858AE" w:rsidRDefault="00E06A85" w:rsidP="00BD416A">
      <w:pPr>
        <w:spacing w:after="0" w:line="240" w:lineRule="auto"/>
        <w:jc w:val="both"/>
        <w:rPr>
          <w:rFonts w:ascii="Verdana" w:eastAsia="Calibri" w:hAnsi="Verdana" w:cs="Arial"/>
          <w:highlight w:val="cyan"/>
          <w:lang w:val="es-ES_tradnl" w:eastAsia="es-ES_tradnl"/>
        </w:rPr>
      </w:pPr>
    </w:p>
    <w:p w14:paraId="03BF4A36" w14:textId="77777777" w:rsidR="00E06A85" w:rsidRPr="00F858AE" w:rsidRDefault="00E06A85" w:rsidP="00BD416A">
      <w:pPr>
        <w:spacing w:after="0" w:line="240" w:lineRule="auto"/>
        <w:jc w:val="both"/>
        <w:rPr>
          <w:rFonts w:ascii="Verdana" w:eastAsia="Calibri" w:hAnsi="Verdana" w:cs="Arial"/>
          <w:highlight w:val="cyan"/>
          <w:lang w:val="es-ES_tradnl" w:eastAsia="es-ES_tradnl"/>
        </w:rPr>
      </w:pPr>
    </w:p>
    <w:p w14:paraId="418C4551" w14:textId="3BCFBBAD" w:rsidR="00BD416A" w:rsidRPr="00F858AE" w:rsidRDefault="00BD416A" w:rsidP="00BD416A">
      <w:pPr>
        <w:spacing w:after="0" w:line="276" w:lineRule="auto"/>
        <w:jc w:val="both"/>
        <w:rPr>
          <w:rFonts w:ascii="Verdana" w:eastAsia="Calibri" w:hAnsi="Verdana" w:cs="Arial"/>
          <w:lang w:val="es-ES" w:eastAsia="es-ES"/>
        </w:rPr>
      </w:pPr>
      <w:r w:rsidRPr="00F858AE">
        <w:rPr>
          <w:rFonts w:ascii="Verdana" w:eastAsia="Calibri" w:hAnsi="Verdana" w:cs="Arial"/>
          <w:lang w:val="es-ES" w:eastAsia="es-ES"/>
        </w:rPr>
        <w:t>Estimad</w:t>
      </w:r>
      <w:r w:rsidR="005E7197" w:rsidRPr="00F858AE">
        <w:rPr>
          <w:rFonts w:ascii="Verdana" w:eastAsia="Calibri" w:hAnsi="Verdana" w:cs="Arial"/>
          <w:lang w:val="es-ES" w:eastAsia="es-ES"/>
        </w:rPr>
        <w:t>o</w:t>
      </w:r>
      <w:r w:rsidRPr="00F858AE">
        <w:rPr>
          <w:rFonts w:ascii="Verdana" w:eastAsia="Calibri" w:hAnsi="Verdana" w:cs="Arial"/>
          <w:lang w:val="es-ES" w:eastAsia="es-ES"/>
        </w:rPr>
        <w:t xml:space="preserve"> señor </w:t>
      </w:r>
      <w:r w:rsidR="005E7197" w:rsidRPr="00F858AE">
        <w:rPr>
          <w:rFonts w:ascii="Verdana" w:eastAsia="Calibri" w:hAnsi="Verdana" w:cs="Arial"/>
          <w:lang w:val="es-ES" w:eastAsia="es-ES"/>
        </w:rPr>
        <w:t>Jaramillo</w:t>
      </w:r>
      <w:r w:rsidRPr="00F858AE">
        <w:rPr>
          <w:rFonts w:ascii="Verdana" w:eastAsia="Calibri" w:hAnsi="Verdana" w:cs="Arial"/>
          <w:lang w:val="es-ES" w:eastAsia="es-ES"/>
        </w:rPr>
        <w:t>;</w:t>
      </w:r>
    </w:p>
    <w:p w14:paraId="3D4BFEE8" w14:textId="77777777" w:rsidR="00BD416A" w:rsidRPr="00F858AE" w:rsidRDefault="00BD416A" w:rsidP="00BD416A">
      <w:pPr>
        <w:tabs>
          <w:tab w:val="left" w:pos="3768"/>
        </w:tabs>
        <w:spacing w:after="0" w:line="276" w:lineRule="auto"/>
        <w:jc w:val="both"/>
        <w:rPr>
          <w:rFonts w:ascii="Verdana" w:eastAsia="Calibri" w:hAnsi="Verdana" w:cs="Arial"/>
          <w:highlight w:val="cyan"/>
          <w:lang w:val="es-ES" w:eastAsia="es-ES"/>
        </w:rPr>
      </w:pPr>
    </w:p>
    <w:p w14:paraId="277ED2E3" w14:textId="5E1E8C2C" w:rsidR="00BD416A" w:rsidRPr="00F858AE" w:rsidRDefault="00BD416A" w:rsidP="00BD416A">
      <w:pPr>
        <w:spacing w:after="0" w:line="276" w:lineRule="auto"/>
        <w:jc w:val="both"/>
        <w:rPr>
          <w:rFonts w:ascii="Verdana" w:eastAsia="Calibri" w:hAnsi="Verdana" w:cs="Arial"/>
          <w:lang w:val="es-ES" w:eastAsia="es-ES"/>
        </w:rPr>
      </w:pPr>
      <w:r w:rsidRPr="00F858AE">
        <w:rPr>
          <w:rFonts w:ascii="Verdana" w:eastAsia="Calibri" w:hAnsi="Verdana" w:cs="Arial"/>
          <w:lang w:val="es-ES" w:eastAsia="es-ES"/>
        </w:rPr>
        <w:t>En ejercicio de la competencia otorgada por los artículos 3, numeral 5º, y 11, numeral 8º, del Decreto Ley 4170 de 2011,</w:t>
      </w:r>
      <w:r w:rsidRPr="00F858AE">
        <w:rPr>
          <w:rFonts w:ascii="Verdana" w:eastAsia="Arial MT" w:hAnsi="Verdana" w:cs="Arial MT"/>
          <w:lang w:val="es-ES" w:eastAsia="es-ES"/>
        </w:rPr>
        <w:t xml:space="preserve"> </w:t>
      </w:r>
      <w:r w:rsidRPr="00F858AE">
        <w:rPr>
          <w:rFonts w:ascii="Verdana" w:hAnsi="Verdana" w:cs="Arial"/>
        </w:rPr>
        <w:t xml:space="preserve">así como lo establecido en el artículo 4 de la Resolución 1707 de 2018 expedida por esta Entidad, </w:t>
      </w:r>
      <w:r w:rsidRPr="00F858AE">
        <w:rPr>
          <w:rFonts w:ascii="Verdana" w:eastAsia="Calibri" w:hAnsi="Verdana" w:cs="Arial"/>
          <w:lang w:val="es-ES" w:eastAsia="es-ES"/>
        </w:rPr>
        <w:t xml:space="preserve">la Agencia Nacional de Contratación Pública – Colombia Compra Eficiente– responde su solicitud de consulta de fecha </w:t>
      </w:r>
      <w:r w:rsidR="002E164F" w:rsidRPr="00F858AE">
        <w:rPr>
          <w:rFonts w:ascii="Verdana" w:eastAsia="Calibri" w:hAnsi="Verdana" w:cs="Arial"/>
          <w:lang w:val="es-ES" w:eastAsia="es-ES"/>
        </w:rPr>
        <w:t>07 de octubre del 2024</w:t>
      </w:r>
      <w:r w:rsidRPr="00F858AE">
        <w:rPr>
          <w:rFonts w:ascii="Verdana" w:eastAsia="Calibri" w:hAnsi="Verdana" w:cs="Arial"/>
          <w:lang w:val="es-ES" w:eastAsia="es-ES"/>
        </w:rPr>
        <w:t xml:space="preserve">, en la cual manifiesta lo siguiente: </w:t>
      </w:r>
    </w:p>
    <w:p w14:paraId="476D28AE" w14:textId="77777777" w:rsidR="00BD416A" w:rsidRPr="00F858AE" w:rsidRDefault="00BD416A" w:rsidP="00BD416A">
      <w:pPr>
        <w:spacing w:after="0"/>
        <w:jc w:val="both"/>
        <w:rPr>
          <w:rFonts w:ascii="Verdana" w:hAnsi="Verdana"/>
          <w:highlight w:val="cyan"/>
          <w:lang w:val="es-ES"/>
        </w:rPr>
      </w:pPr>
    </w:p>
    <w:p w14:paraId="41BE695D" w14:textId="4A200115" w:rsidR="00BD416A" w:rsidRPr="00F858AE" w:rsidRDefault="00BD416A" w:rsidP="00BD416A">
      <w:pPr>
        <w:spacing w:after="0" w:line="240" w:lineRule="auto"/>
        <w:ind w:left="709" w:right="709"/>
        <w:jc w:val="both"/>
        <w:rPr>
          <w:rFonts w:ascii="Verdana" w:eastAsia="Century Gothic" w:hAnsi="Verdana" w:cs="Century Gothic"/>
          <w:sz w:val="20"/>
          <w:szCs w:val="20"/>
          <w:lang w:val="es-ES"/>
        </w:rPr>
      </w:pPr>
      <w:r w:rsidRPr="00F858AE">
        <w:rPr>
          <w:rFonts w:ascii="Verdana" w:eastAsia="Century Gothic" w:hAnsi="Verdana" w:cs="Century Gothic"/>
          <w:sz w:val="20"/>
          <w:szCs w:val="20"/>
          <w:lang w:val="es-ES"/>
        </w:rPr>
        <w:t xml:space="preserve">“[…] </w:t>
      </w:r>
      <w:r w:rsidR="00C2678B" w:rsidRPr="00F858AE">
        <w:rPr>
          <w:rFonts w:ascii="Verdana" w:eastAsia="Century Gothic" w:hAnsi="Verdana" w:cs="Century Gothic"/>
          <w:sz w:val="20"/>
          <w:szCs w:val="20"/>
          <w:lang w:val="es-ES"/>
        </w:rPr>
        <w:t>El reemplazo de una hoja de vida (sustitu</w:t>
      </w:r>
      <w:r w:rsidR="009A3B72" w:rsidRPr="00F858AE">
        <w:rPr>
          <w:rFonts w:ascii="Verdana" w:eastAsia="Century Gothic" w:hAnsi="Verdana" w:cs="Century Gothic"/>
          <w:sz w:val="20"/>
          <w:szCs w:val="20"/>
          <w:lang w:val="es-ES"/>
        </w:rPr>
        <w:t>y</w:t>
      </w:r>
      <w:r w:rsidR="00C2678B" w:rsidRPr="00F858AE">
        <w:rPr>
          <w:rFonts w:ascii="Verdana" w:eastAsia="Century Gothic" w:hAnsi="Verdana" w:cs="Century Gothic"/>
          <w:sz w:val="20"/>
          <w:szCs w:val="20"/>
          <w:lang w:val="es-ES"/>
        </w:rPr>
        <w:t>e la persona por otra) que no cumple como requisito habilitante dentro de un proceso de contratación se considera como mejoramiento de la oferta, así la nueva hoja de vida cumpla con el requisito inicialmente planteado</w:t>
      </w:r>
      <w:r w:rsidRPr="00F858AE">
        <w:rPr>
          <w:rFonts w:ascii="Verdana" w:eastAsia="Century Gothic" w:hAnsi="Verdana" w:cs="Century Gothic"/>
          <w:sz w:val="20"/>
          <w:szCs w:val="20"/>
          <w:lang w:val="es-ES"/>
        </w:rPr>
        <w:t>. […]”</w:t>
      </w:r>
    </w:p>
    <w:p w14:paraId="40DCD992" w14:textId="77777777" w:rsidR="00BD416A" w:rsidRPr="00F858AE" w:rsidRDefault="00BD416A" w:rsidP="00BD416A">
      <w:pPr>
        <w:spacing w:after="0"/>
        <w:jc w:val="both"/>
        <w:rPr>
          <w:rFonts w:ascii="Verdana" w:hAnsi="Verdana"/>
          <w:highlight w:val="cyan"/>
          <w:lang w:val="es-ES"/>
        </w:rPr>
      </w:pPr>
    </w:p>
    <w:p w14:paraId="73938622" w14:textId="77777777" w:rsidR="00BD416A" w:rsidRPr="00F858AE" w:rsidRDefault="00BD416A" w:rsidP="00BD416A">
      <w:pPr>
        <w:spacing w:after="120" w:line="276" w:lineRule="auto"/>
        <w:ind w:firstLine="709"/>
        <w:jc w:val="both"/>
        <w:rPr>
          <w:rFonts w:ascii="Verdana" w:eastAsia="Calibri" w:hAnsi="Verdana" w:cs="Arial"/>
          <w:color w:val="000000"/>
          <w:lang w:val="es-ES_tradnl" w:eastAsia="es-ES_tradnl"/>
        </w:rPr>
      </w:pPr>
      <w:r w:rsidRPr="00F858AE">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D8DCD38" w14:textId="43F63015" w:rsidR="00BD416A" w:rsidRPr="00F858AE" w:rsidRDefault="00BD416A" w:rsidP="00BD416A">
      <w:pPr>
        <w:spacing w:after="0" w:line="276" w:lineRule="auto"/>
        <w:ind w:firstLine="709"/>
        <w:jc w:val="both"/>
        <w:rPr>
          <w:rFonts w:ascii="Verdana" w:eastAsia="Calibri" w:hAnsi="Verdana" w:cs="Arial"/>
          <w:color w:val="000000"/>
          <w:lang w:val="es-ES" w:eastAsia="es-ES"/>
        </w:rPr>
      </w:pPr>
      <w:r w:rsidRPr="00F858AE">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CD606D" w:rsidRPr="00F858AE">
        <w:rPr>
          <w:rFonts w:ascii="Verdana" w:eastAsia="Calibri" w:hAnsi="Verdana" w:cs="Arial"/>
          <w:color w:val="000000"/>
          <w:lang w:val="es-ES" w:eastAsia="es-ES"/>
        </w:rPr>
        <w:t>el</w:t>
      </w:r>
      <w:r w:rsidRPr="00F858AE">
        <w:rPr>
          <w:rFonts w:ascii="Verdana" w:eastAsia="Calibri" w:hAnsi="Verdana" w:cs="Arial"/>
          <w:color w:val="000000"/>
          <w:lang w:val="es-ES" w:eastAsia="es-ES"/>
        </w:rPr>
        <w:t xml:space="preserve"> problema jurídico de su consulta.  </w:t>
      </w:r>
    </w:p>
    <w:p w14:paraId="4406DBBF" w14:textId="77777777" w:rsidR="00BD416A" w:rsidRPr="00F858AE" w:rsidRDefault="00BD416A" w:rsidP="00BD416A">
      <w:pPr>
        <w:spacing w:after="0"/>
        <w:jc w:val="both"/>
        <w:rPr>
          <w:rFonts w:ascii="Verdana" w:hAnsi="Verdana"/>
          <w:highlight w:val="cyan"/>
          <w:lang w:val="es-ES"/>
        </w:rPr>
      </w:pPr>
    </w:p>
    <w:p w14:paraId="562918B5" w14:textId="77777777" w:rsidR="00BD416A" w:rsidRPr="00F858AE" w:rsidRDefault="00BD416A" w:rsidP="00BD416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F858AE">
        <w:rPr>
          <w:rFonts w:ascii="Verdana" w:eastAsia="Century Gothic" w:hAnsi="Verdana" w:cs="Century Gothic"/>
          <w:b/>
          <w:bCs/>
        </w:rPr>
        <w:t>Problema planteado:</w:t>
      </w:r>
    </w:p>
    <w:p w14:paraId="01A5CE4B" w14:textId="77777777" w:rsidR="00BD416A" w:rsidRPr="00F858AE" w:rsidRDefault="00BD416A" w:rsidP="00BD416A">
      <w:pPr>
        <w:tabs>
          <w:tab w:val="left" w:pos="426"/>
        </w:tabs>
        <w:spacing w:after="0" w:line="276" w:lineRule="auto"/>
        <w:jc w:val="both"/>
        <w:rPr>
          <w:rFonts w:ascii="Verdana" w:eastAsia="Century Gothic" w:hAnsi="Verdana" w:cs="Century Gothic"/>
          <w:highlight w:val="cyan"/>
          <w:lang w:val="es-ES"/>
        </w:rPr>
      </w:pPr>
    </w:p>
    <w:p w14:paraId="50E7D45C" w14:textId="1F485E00" w:rsidR="00BD416A" w:rsidRPr="00F858AE" w:rsidRDefault="00BD416A" w:rsidP="00BD416A">
      <w:pPr>
        <w:spacing w:after="0" w:line="276" w:lineRule="auto"/>
        <w:jc w:val="both"/>
        <w:rPr>
          <w:rFonts w:ascii="Verdana" w:eastAsia="Century Gothic" w:hAnsi="Verdana" w:cs="Century Gothic"/>
        </w:rPr>
      </w:pPr>
      <w:r w:rsidRPr="00F858AE">
        <w:rPr>
          <w:rFonts w:ascii="Verdana" w:eastAsia="Century Gothic" w:hAnsi="Verdana" w:cs="Century Gothic"/>
        </w:rPr>
        <w:t xml:space="preserve">De acuerdo con el contenido de su solicitud, esta Agencia resolverá </w:t>
      </w:r>
      <w:r w:rsidR="00CD606D" w:rsidRPr="00F858AE">
        <w:rPr>
          <w:rFonts w:ascii="Verdana" w:eastAsia="Century Gothic" w:hAnsi="Verdana" w:cs="Century Gothic"/>
        </w:rPr>
        <w:t>el</w:t>
      </w:r>
      <w:r w:rsidRPr="00F858AE">
        <w:rPr>
          <w:rFonts w:ascii="Verdana" w:eastAsia="Century Gothic" w:hAnsi="Verdana" w:cs="Century Gothic"/>
        </w:rPr>
        <w:t xml:space="preserve"> siguiente problema jurídico: </w:t>
      </w:r>
      <w:r w:rsidR="00DC1711" w:rsidRPr="00F858AE">
        <w:rPr>
          <w:rFonts w:ascii="Verdana" w:eastAsia="Century Gothic" w:hAnsi="Verdana" w:cs="Century Gothic"/>
        </w:rPr>
        <w:t>¿</w:t>
      </w:r>
      <w:r w:rsidR="00663B71" w:rsidRPr="00F858AE">
        <w:rPr>
          <w:rFonts w:ascii="Verdana" w:eastAsia="Century Gothic" w:hAnsi="Verdana" w:cs="Century Gothic"/>
        </w:rPr>
        <w:t>La subsanación de un requisito habilitante puede constituirse como mejoramiento de la oferta?</w:t>
      </w:r>
    </w:p>
    <w:p w14:paraId="68CAA157" w14:textId="77777777" w:rsidR="00BD416A" w:rsidRPr="00F858AE" w:rsidRDefault="00BD416A" w:rsidP="00BD416A">
      <w:pPr>
        <w:spacing w:after="0"/>
        <w:jc w:val="both"/>
        <w:rPr>
          <w:rFonts w:ascii="Verdana" w:hAnsi="Verdana"/>
          <w:highlight w:val="cyan"/>
        </w:rPr>
      </w:pPr>
    </w:p>
    <w:p w14:paraId="409C7CB1" w14:textId="77777777" w:rsidR="00BD416A" w:rsidRPr="00F858AE" w:rsidRDefault="00BD416A" w:rsidP="00BD416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858AE">
        <w:rPr>
          <w:rFonts w:ascii="Verdana" w:eastAsia="Century Gothic" w:hAnsi="Verdana" w:cs="Century Gothic"/>
          <w:b/>
          <w:bCs/>
        </w:rPr>
        <w:t>Respuesta:</w:t>
      </w:r>
    </w:p>
    <w:p w14:paraId="4E687654" w14:textId="77777777" w:rsidR="00BD416A" w:rsidRPr="00F858AE" w:rsidRDefault="00BD416A" w:rsidP="00BD416A">
      <w:pPr>
        <w:spacing w:after="0"/>
        <w:jc w:val="both"/>
        <w:rPr>
          <w:rFonts w:ascii="Verdana" w:hAnsi="Verdana"/>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D416A" w:rsidRPr="00F858AE" w14:paraId="3E3E0D9C" w14:textId="77777777" w:rsidTr="00B74BA7">
        <w:trPr>
          <w:trHeight w:val="2472"/>
        </w:trPr>
        <w:tc>
          <w:tcPr>
            <w:tcW w:w="8828" w:type="dxa"/>
            <w:shd w:val="clear" w:color="auto" w:fill="auto"/>
          </w:tcPr>
          <w:p w14:paraId="1890612A" w14:textId="7E5C1C76" w:rsidR="00BD416A" w:rsidRPr="00F858AE" w:rsidRDefault="00BD416A" w:rsidP="00B80C21">
            <w:pPr>
              <w:spacing w:after="120" w:line="276" w:lineRule="auto"/>
              <w:jc w:val="both"/>
              <w:rPr>
                <w:rFonts w:ascii="Verdana" w:eastAsia="Calibri" w:hAnsi="Verdana" w:cs="Arial"/>
                <w:lang w:val="es-ES"/>
              </w:rPr>
            </w:pPr>
            <w:r w:rsidRPr="00F858AE">
              <w:rPr>
                <w:rFonts w:ascii="Verdana" w:eastAsia="Calibri" w:hAnsi="Verdana" w:cs="Arial"/>
                <w:lang w:val="es-ES"/>
              </w:rPr>
              <w:t>En respuesta a</w:t>
            </w:r>
            <w:r w:rsidR="002B60D6" w:rsidRPr="00F858AE">
              <w:rPr>
                <w:rFonts w:ascii="Verdana" w:eastAsia="Calibri" w:hAnsi="Verdana" w:cs="Arial"/>
                <w:lang w:val="es-ES"/>
              </w:rPr>
              <w:t xml:space="preserve">l </w:t>
            </w:r>
            <w:r w:rsidRPr="00F858AE">
              <w:rPr>
                <w:rFonts w:ascii="Verdana" w:eastAsia="Calibri" w:hAnsi="Verdana" w:cs="Arial"/>
                <w:lang w:val="es-ES"/>
              </w:rPr>
              <w:t>problema planteado esta Subdirección manifiesta:</w:t>
            </w:r>
          </w:p>
          <w:p w14:paraId="2D554CB5" w14:textId="5DFBE8F3" w:rsidR="00DA63A9" w:rsidRPr="00F858AE" w:rsidRDefault="00590421" w:rsidP="0052351C">
            <w:pPr>
              <w:spacing w:line="276" w:lineRule="auto"/>
              <w:jc w:val="both"/>
              <w:rPr>
                <w:rFonts w:ascii="Verdana" w:eastAsia="Calibri" w:hAnsi="Verdana" w:cs="Arial"/>
                <w:color w:val="000000" w:themeColor="text1"/>
              </w:rPr>
            </w:pPr>
            <w:r w:rsidRPr="00F858AE">
              <w:rPr>
                <w:rFonts w:ascii="Verdana" w:eastAsia="Calibri" w:hAnsi="Verdana" w:cs="Arial"/>
                <w:color w:val="000000" w:themeColor="text1"/>
              </w:rPr>
              <w:t>Frente</w:t>
            </w:r>
            <w:r w:rsidR="00DE0852" w:rsidRPr="00F858AE">
              <w:rPr>
                <w:rFonts w:ascii="Verdana" w:eastAsia="Calibri" w:hAnsi="Verdana" w:cs="Arial"/>
                <w:color w:val="000000" w:themeColor="text1"/>
              </w:rPr>
              <w:t xml:space="preserve"> </w:t>
            </w:r>
            <w:r w:rsidR="00B46688" w:rsidRPr="00F858AE">
              <w:rPr>
                <w:rFonts w:ascii="Verdana" w:hAnsi="Verdana" w:cs="Arial"/>
                <w:color w:val="000000" w:themeColor="text1"/>
                <w:lang w:val="es-ES"/>
              </w:rPr>
              <w:t xml:space="preserve">a la subsanación </w:t>
            </w:r>
            <w:r w:rsidR="00123972" w:rsidRPr="00F858AE">
              <w:rPr>
                <w:rFonts w:ascii="Verdana" w:hAnsi="Verdana" w:cs="Arial"/>
                <w:color w:val="000000" w:themeColor="text1"/>
                <w:lang w:val="es-ES"/>
              </w:rPr>
              <w:t>de los requisitos habilitantes</w:t>
            </w:r>
            <w:r w:rsidR="00B46688" w:rsidRPr="00F858AE">
              <w:rPr>
                <w:rFonts w:ascii="Verdana" w:hAnsi="Verdana" w:cs="Arial"/>
                <w:color w:val="000000" w:themeColor="text1"/>
                <w:lang w:val="es-ES"/>
              </w:rPr>
              <w:t xml:space="preserve">, resulta necesario indicar que </w:t>
            </w:r>
            <w:r w:rsidR="00123972" w:rsidRPr="00F858AE">
              <w:rPr>
                <w:rFonts w:ascii="Verdana" w:hAnsi="Verdana" w:cs="Arial"/>
                <w:color w:val="000000" w:themeColor="text1"/>
                <w:lang w:val="es-ES"/>
              </w:rPr>
              <w:t xml:space="preserve">conforme a lo dispuesto en el </w:t>
            </w:r>
            <w:r w:rsidR="007B43A6" w:rsidRPr="00F858AE">
              <w:rPr>
                <w:rFonts w:ascii="Verdana" w:eastAsia="Calibri" w:hAnsi="Verdana" w:cs="Arial"/>
                <w:lang w:val="es-ES_tradnl"/>
              </w:rPr>
              <w:t>artículo 5 de la Ley 1150 de 2007</w:t>
            </w:r>
            <w:r w:rsidR="007B54CE" w:rsidRPr="00F858AE">
              <w:rPr>
                <w:rFonts w:ascii="Verdana" w:eastAsia="Calibri" w:hAnsi="Verdana" w:cs="Arial"/>
                <w:color w:val="000000" w:themeColor="text1"/>
              </w:rPr>
              <w:t xml:space="preserve"> adicionado por la Ley 1882 de 2018–,</w:t>
            </w:r>
            <w:r w:rsidR="00257E9D" w:rsidRPr="00F858AE">
              <w:rPr>
                <w:rFonts w:ascii="Verdana" w:eastAsia="Calibri" w:hAnsi="Verdana" w:cs="Arial"/>
                <w:color w:val="000000" w:themeColor="text1"/>
              </w:rPr>
              <w:t xml:space="preserve"> es viable </w:t>
            </w:r>
            <w:r w:rsidR="008E2FC8" w:rsidRPr="00F858AE">
              <w:rPr>
                <w:rFonts w:ascii="Verdana" w:eastAsia="Calibri" w:hAnsi="Verdana" w:cs="Arial"/>
                <w:color w:val="000000" w:themeColor="text1"/>
              </w:rPr>
              <w:t>e</w:t>
            </w:r>
            <w:r w:rsidR="008E2FC8" w:rsidRPr="00F858AE">
              <w:rPr>
                <w:rFonts w:ascii="Verdana" w:hAnsi="Verdana"/>
              </w:rPr>
              <w:t xml:space="preserve">nmendar, corregir o modificar los errores </w:t>
            </w:r>
            <w:r w:rsidR="004D213E" w:rsidRPr="00F858AE">
              <w:rPr>
                <w:rFonts w:ascii="Verdana" w:eastAsia="Calibri" w:hAnsi="Verdana" w:cs="Arial"/>
                <w:color w:val="000000" w:themeColor="text1"/>
              </w:rPr>
              <w:t>de los requisitos habilitantes</w:t>
            </w:r>
            <w:r w:rsidR="00FE684F" w:rsidRPr="00F858AE">
              <w:rPr>
                <w:rFonts w:ascii="Verdana" w:eastAsia="Calibri" w:hAnsi="Verdana" w:cs="Arial"/>
                <w:color w:val="000000" w:themeColor="text1"/>
              </w:rPr>
              <w:t xml:space="preserve">, lo expuesto, encuentra plena justificación en que estos </w:t>
            </w:r>
            <w:r w:rsidR="00F014DF" w:rsidRPr="00F858AE">
              <w:rPr>
                <w:rFonts w:ascii="Verdana" w:eastAsia="Calibri" w:hAnsi="Verdana" w:cs="Arial"/>
                <w:color w:val="000000" w:themeColor="text1"/>
              </w:rPr>
              <w:t>aspectos</w:t>
            </w:r>
            <w:r w:rsidR="00FE684F" w:rsidRPr="00F858AE">
              <w:rPr>
                <w:rFonts w:ascii="Verdana" w:eastAsia="Calibri" w:hAnsi="Verdana" w:cs="Arial"/>
                <w:color w:val="000000" w:themeColor="text1"/>
              </w:rPr>
              <w:t xml:space="preserve"> no son un factor susceptible de evaluación mediante la asignación de puntaje. En ese orden, las Entidades Estatales deben permitir a los oferentes subsanar los </w:t>
            </w:r>
            <w:r w:rsidR="003D400B" w:rsidRPr="00F858AE">
              <w:rPr>
                <w:rFonts w:ascii="Verdana" w:eastAsia="Calibri" w:hAnsi="Verdana" w:cs="Arial"/>
                <w:color w:val="000000" w:themeColor="text1"/>
              </w:rPr>
              <w:t xml:space="preserve">defectos </w:t>
            </w:r>
            <w:r w:rsidR="00B4099D" w:rsidRPr="00F858AE">
              <w:rPr>
                <w:rFonts w:ascii="Verdana" w:eastAsia="Calibri" w:hAnsi="Verdana" w:cs="Arial"/>
                <w:color w:val="000000" w:themeColor="text1"/>
              </w:rPr>
              <w:t xml:space="preserve">de los requisitos habilitantes </w:t>
            </w:r>
            <w:r w:rsidR="007E1089" w:rsidRPr="00F858AE">
              <w:rPr>
                <w:rFonts w:ascii="Verdana" w:eastAsia="Calibri" w:hAnsi="Verdana" w:cs="Arial"/>
                <w:color w:val="000000" w:themeColor="text1"/>
              </w:rPr>
              <w:t>de</w:t>
            </w:r>
            <w:r w:rsidR="00B4099D" w:rsidRPr="00F858AE">
              <w:rPr>
                <w:rFonts w:ascii="Verdana" w:eastAsia="Calibri" w:hAnsi="Verdana" w:cs="Arial"/>
                <w:color w:val="000000" w:themeColor="text1"/>
              </w:rPr>
              <w:t xml:space="preserve"> las propuestas </w:t>
            </w:r>
            <w:r w:rsidR="00FE684F" w:rsidRPr="00F858AE">
              <w:rPr>
                <w:rFonts w:ascii="Verdana" w:eastAsia="Calibri" w:hAnsi="Verdana" w:cs="Arial"/>
                <w:color w:val="000000" w:themeColor="text1"/>
              </w:rPr>
              <w:t xml:space="preserve">presentadas, en tanto a que es un </w:t>
            </w:r>
            <w:r w:rsidR="00083E0C" w:rsidRPr="00F858AE">
              <w:rPr>
                <w:rFonts w:ascii="Verdana" w:eastAsia="Calibri" w:hAnsi="Verdana" w:cs="Arial"/>
                <w:color w:val="000000" w:themeColor="text1"/>
              </w:rPr>
              <w:t>asunto</w:t>
            </w:r>
            <w:r w:rsidR="00FE684F" w:rsidRPr="00F858AE">
              <w:rPr>
                <w:rFonts w:ascii="Verdana" w:eastAsia="Calibri" w:hAnsi="Verdana" w:cs="Arial"/>
                <w:color w:val="000000" w:themeColor="text1"/>
              </w:rPr>
              <w:t xml:space="preserve"> al que no se le asigna </w:t>
            </w:r>
            <w:r w:rsidR="00FE684F" w:rsidRPr="00F858AE">
              <w:rPr>
                <w:rFonts w:ascii="Verdana" w:eastAsia="Calibri" w:hAnsi="Verdana" w:cs="Arial"/>
                <w:color w:val="000000" w:themeColor="text1"/>
              </w:rPr>
              <w:lastRenderedPageBreak/>
              <w:t>puntaje</w:t>
            </w:r>
            <w:r w:rsidR="00096510" w:rsidRPr="00F858AE">
              <w:rPr>
                <w:rFonts w:ascii="Verdana" w:eastAsia="Calibri" w:hAnsi="Verdana" w:cs="Arial"/>
                <w:color w:val="000000" w:themeColor="text1"/>
              </w:rPr>
              <w:t xml:space="preserve"> y en este sentido no podría interpretarse como un mejoramiento de la oferta.</w:t>
            </w:r>
          </w:p>
          <w:p w14:paraId="0E8EF31E" w14:textId="77777777" w:rsidR="0052351C" w:rsidRPr="00F858AE" w:rsidRDefault="0052351C" w:rsidP="0052351C">
            <w:pPr>
              <w:spacing w:line="276" w:lineRule="auto"/>
              <w:jc w:val="both"/>
              <w:rPr>
                <w:rFonts w:ascii="Verdana" w:eastAsia="Calibri" w:hAnsi="Verdana" w:cs="Arial"/>
                <w:color w:val="000000" w:themeColor="text1"/>
              </w:rPr>
            </w:pPr>
          </w:p>
          <w:p w14:paraId="302640F5" w14:textId="3871BB41" w:rsidR="0052351C" w:rsidRPr="00F858AE" w:rsidRDefault="00FB65C8" w:rsidP="0052351C">
            <w:pPr>
              <w:spacing w:line="276" w:lineRule="auto"/>
              <w:jc w:val="both"/>
              <w:rPr>
                <w:rFonts w:ascii="Verdana" w:eastAsia="Calibri" w:hAnsi="Verdana" w:cs="Arial"/>
                <w:color w:val="000000" w:themeColor="text1"/>
              </w:rPr>
            </w:pPr>
            <w:r w:rsidRPr="00F858AE">
              <w:rPr>
                <w:rFonts w:ascii="Verdana" w:eastAsia="Calibri" w:hAnsi="Verdana" w:cs="Arial"/>
                <w:color w:val="000000" w:themeColor="text1"/>
              </w:rPr>
              <w:t>En complemento con lo anterior</w:t>
            </w:r>
            <w:r w:rsidR="0052351C" w:rsidRPr="00F858AE">
              <w:rPr>
                <w:rFonts w:ascii="Verdana" w:eastAsia="Calibri" w:hAnsi="Verdana" w:cs="Arial"/>
                <w:color w:val="000000" w:themeColor="text1"/>
              </w:rPr>
              <w:t xml:space="preserve">, debe tenerse en consideración que la </w:t>
            </w:r>
            <w:proofErr w:type="spellStart"/>
            <w:r w:rsidR="0052351C" w:rsidRPr="00F858AE">
              <w:rPr>
                <w:rFonts w:ascii="Verdana" w:eastAsia="Calibri" w:hAnsi="Verdana" w:cs="Arial"/>
                <w:color w:val="000000" w:themeColor="text1"/>
              </w:rPr>
              <w:t>subsanabilidad</w:t>
            </w:r>
            <w:proofErr w:type="spellEnd"/>
            <w:r w:rsidR="0052351C" w:rsidRPr="00F858AE">
              <w:rPr>
                <w:rFonts w:ascii="Verdana" w:eastAsia="Calibri" w:hAnsi="Verdana" w:cs="Arial"/>
                <w:color w:val="000000" w:themeColor="text1"/>
              </w:rPr>
              <w:t xml:space="preserve"> de los requisitos habilitantes y de otros aspectos de las ofertas</w:t>
            </w:r>
            <w:r w:rsidRPr="00F858AE">
              <w:rPr>
                <w:rFonts w:ascii="Verdana" w:eastAsia="Calibri" w:hAnsi="Verdana" w:cs="Arial"/>
                <w:color w:val="000000" w:themeColor="text1"/>
              </w:rPr>
              <w:t>, siempre que no afecte</w:t>
            </w:r>
            <w:r w:rsidR="00182E88" w:rsidRPr="00F858AE">
              <w:rPr>
                <w:rFonts w:ascii="Verdana" w:eastAsia="Calibri" w:hAnsi="Verdana" w:cs="Arial"/>
                <w:color w:val="000000" w:themeColor="text1"/>
              </w:rPr>
              <w:t>n</w:t>
            </w:r>
            <w:r w:rsidRPr="00F858AE">
              <w:rPr>
                <w:rFonts w:ascii="Verdana" w:eastAsia="Calibri" w:hAnsi="Verdana" w:cs="Arial"/>
                <w:color w:val="000000" w:themeColor="text1"/>
              </w:rPr>
              <w:t xml:space="preserve"> la asignación de puntaje, </w:t>
            </w:r>
            <w:r w:rsidR="00F11F0F" w:rsidRPr="00F858AE">
              <w:rPr>
                <w:rFonts w:ascii="Verdana" w:eastAsia="Calibri" w:hAnsi="Verdana" w:cs="Arial"/>
                <w:color w:val="000000" w:themeColor="text1"/>
              </w:rPr>
              <w:t>deberán</w:t>
            </w:r>
            <w:r w:rsidRPr="00F858AE">
              <w:rPr>
                <w:rFonts w:ascii="Verdana" w:eastAsia="Calibri" w:hAnsi="Verdana" w:cs="Arial"/>
                <w:color w:val="000000" w:themeColor="text1"/>
              </w:rPr>
              <w:t xml:space="preserve"> ser solicitados por las Entidades Estatales y entregados por los proponentes </w:t>
            </w:r>
            <w:r w:rsidR="00F11F0F" w:rsidRPr="00F858AE">
              <w:rPr>
                <w:rFonts w:ascii="Verdana" w:eastAsia="Calibri" w:hAnsi="Verdana" w:cs="Arial"/>
                <w:color w:val="000000" w:themeColor="text1"/>
              </w:rPr>
              <w:t xml:space="preserve">hasta el término de traslado del informe de </w:t>
            </w:r>
            <w:r w:rsidR="00B74BA7" w:rsidRPr="00F858AE">
              <w:rPr>
                <w:rFonts w:ascii="Verdana" w:eastAsia="Calibri" w:hAnsi="Verdana" w:cs="Arial"/>
                <w:color w:val="000000" w:themeColor="text1"/>
              </w:rPr>
              <w:t>evaluación</w:t>
            </w:r>
            <w:r w:rsidR="00F11F0F" w:rsidRPr="00F858AE">
              <w:rPr>
                <w:rFonts w:ascii="Verdana" w:eastAsia="Calibri" w:hAnsi="Verdana" w:cs="Arial"/>
                <w:color w:val="000000" w:themeColor="text1"/>
              </w:rPr>
              <w:t xml:space="preserve"> </w:t>
            </w:r>
            <w:r w:rsidR="000C2938" w:rsidRPr="00F858AE">
              <w:rPr>
                <w:rFonts w:ascii="Verdana" w:eastAsia="Calibri" w:hAnsi="Verdana" w:cs="Arial"/>
                <w:bCs/>
              </w:rPr>
              <w:t xml:space="preserve">que corresponda a cada modalidad de selección. </w:t>
            </w:r>
            <w:r w:rsidR="00B07524" w:rsidRPr="00F858AE">
              <w:rPr>
                <w:rFonts w:ascii="Verdana" w:eastAsia="Calibri" w:hAnsi="Verdana" w:cs="Arial"/>
                <w:bCs/>
              </w:rPr>
              <w:t>Así las cosas</w:t>
            </w:r>
            <w:r w:rsidR="000C2938" w:rsidRPr="00F858AE">
              <w:rPr>
                <w:rFonts w:ascii="Verdana" w:eastAsia="Calibri" w:hAnsi="Verdana" w:cs="Arial"/>
                <w:bCs/>
              </w:rPr>
              <w:t>, si el proponente no subsana la información solicitada por la entidad dentro del plazo, será rechazada la oferta.</w:t>
            </w:r>
          </w:p>
          <w:p w14:paraId="45F3AC50" w14:textId="77777777" w:rsidR="0052351C" w:rsidRPr="00F858AE" w:rsidRDefault="0052351C" w:rsidP="0052351C">
            <w:pPr>
              <w:spacing w:line="276" w:lineRule="auto"/>
              <w:jc w:val="both"/>
              <w:rPr>
                <w:rFonts w:ascii="Verdana" w:eastAsia="Calibri" w:hAnsi="Verdana" w:cs="Arial"/>
                <w:color w:val="000000" w:themeColor="text1"/>
              </w:rPr>
            </w:pPr>
          </w:p>
          <w:p w14:paraId="23097E46" w14:textId="327D5421" w:rsidR="000105AF" w:rsidRPr="00F858AE" w:rsidRDefault="000367C4" w:rsidP="00B74BA7">
            <w:pPr>
              <w:spacing w:line="276" w:lineRule="auto"/>
              <w:jc w:val="both"/>
              <w:rPr>
                <w:rFonts w:ascii="Verdana" w:eastAsia="Calibri" w:hAnsi="Verdana" w:cs="Arial"/>
                <w:color w:val="000000" w:themeColor="text1"/>
              </w:rPr>
            </w:pPr>
            <w:r w:rsidRPr="00F858AE">
              <w:rPr>
                <w:rFonts w:ascii="Verdana" w:eastAsia="Calibri" w:hAnsi="Verdana" w:cs="Arial"/>
                <w:color w:val="000000" w:themeColor="text1"/>
              </w:rPr>
              <w:t>Ahora bien,</w:t>
            </w:r>
            <w:r w:rsidR="000A0CA3" w:rsidRPr="00F858AE">
              <w:rPr>
                <w:rFonts w:ascii="Verdana" w:eastAsia="Calibri" w:hAnsi="Verdana" w:cs="Arial"/>
                <w:color w:val="000000" w:themeColor="text1"/>
              </w:rPr>
              <w:t xml:space="preserve"> </w:t>
            </w:r>
            <w:r w:rsidR="009059BC" w:rsidRPr="00F858AE">
              <w:rPr>
                <w:rFonts w:ascii="Verdana" w:eastAsia="Calibri" w:hAnsi="Verdana" w:cs="Arial"/>
                <w:color w:val="000000" w:themeColor="text1"/>
              </w:rPr>
              <w:t xml:space="preserve">en lo que respecta al reemplazo de </w:t>
            </w:r>
            <w:r w:rsidR="002C731F" w:rsidRPr="00F858AE">
              <w:rPr>
                <w:rFonts w:ascii="Verdana" w:eastAsia="Calibri" w:hAnsi="Verdana" w:cs="Arial"/>
                <w:color w:val="000000" w:themeColor="text1"/>
              </w:rPr>
              <w:t xml:space="preserve">las </w:t>
            </w:r>
            <w:r w:rsidR="009059BC" w:rsidRPr="00F858AE">
              <w:rPr>
                <w:rFonts w:ascii="Verdana" w:eastAsia="Calibri" w:hAnsi="Verdana" w:cs="Arial"/>
                <w:color w:val="000000" w:themeColor="text1"/>
              </w:rPr>
              <w:t xml:space="preserve">hojas de vida, </w:t>
            </w:r>
            <w:r w:rsidR="00B42D0D" w:rsidRPr="00F858AE">
              <w:rPr>
                <w:rFonts w:ascii="Verdana" w:eastAsia="Calibri" w:hAnsi="Verdana" w:cs="Arial"/>
                <w:color w:val="000000" w:themeColor="text1"/>
              </w:rPr>
              <w:t xml:space="preserve">debe manifestarse </w:t>
            </w:r>
            <w:r w:rsidR="00C05B58" w:rsidRPr="00F858AE">
              <w:rPr>
                <w:rFonts w:ascii="Verdana" w:eastAsia="Calibri" w:hAnsi="Verdana" w:cs="Arial"/>
                <w:color w:val="000000" w:themeColor="text1"/>
              </w:rPr>
              <w:t>que</w:t>
            </w:r>
            <w:r w:rsidR="00653562" w:rsidRPr="00F858AE">
              <w:rPr>
                <w:rFonts w:ascii="Verdana" w:eastAsia="Calibri" w:hAnsi="Verdana" w:cs="Arial"/>
                <w:color w:val="000000" w:themeColor="text1"/>
              </w:rPr>
              <w:t xml:space="preserve"> si</w:t>
            </w:r>
            <w:r w:rsidR="0073282E" w:rsidRPr="00F858AE">
              <w:rPr>
                <w:rFonts w:ascii="Verdana" w:eastAsia="Calibri" w:hAnsi="Verdana" w:cs="Arial"/>
                <w:color w:val="000000" w:themeColor="text1"/>
              </w:rPr>
              <w:t xml:space="preserve"> la Entidad Estatal dentro del proceso de contratación</w:t>
            </w:r>
            <w:r w:rsidR="00A468D6" w:rsidRPr="00F858AE">
              <w:rPr>
                <w:rFonts w:ascii="Verdana" w:eastAsia="Calibri" w:hAnsi="Verdana" w:cs="Arial"/>
                <w:color w:val="000000" w:themeColor="text1"/>
              </w:rPr>
              <w:t xml:space="preserve"> que adelanta</w:t>
            </w:r>
            <w:r w:rsidR="00653562" w:rsidRPr="00F858AE">
              <w:rPr>
                <w:rFonts w:ascii="Verdana" w:eastAsia="Calibri" w:hAnsi="Verdana" w:cs="Arial"/>
                <w:color w:val="000000" w:themeColor="text1"/>
              </w:rPr>
              <w:t xml:space="preserve">, </w:t>
            </w:r>
            <w:r w:rsidR="0073282E" w:rsidRPr="00F858AE">
              <w:rPr>
                <w:rFonts w:ascii="Verdana" w:eastAsia="Calibri" w:hAnsi="Verdana" w:cs="Arial"/>
                <w:color w:val="000000" w:themeColor="text1"/>
              </w:rPr>
              <w:t>identifica que</w:t>
            </w:r>
            <w:r w:rsidR="007C377C" w:rsidRPr="00F858AE">
              <w:rPr>
                <w:rFonts w:ascii="Verdana" w:eastAsia="Calibri" w:hAnsi="Verdana" w:cs="Arial"/>
                <w:color w:val="000000" w:themeColor="text1"/>
              </w:rPr>
              <w:t xml:space="preserve"> es</w:t>
            </w:r>
            <w:r w:rsidR="0073282E" w:rsidRPr="00F858AE">
              <w:rPr>
                <w:rFonts w:ascii="Verdana" w:eastAsia="Calibri" w:hAnsi="Verdana" w:cs="Arial"/>
                <w:color w:val="000000" w:themeColor="text1"/>
              </w:rPr>
              <w:t xml:space="preserve"> un aspecto</w:t>
            </w:r>
            <w:r w:rsidR="00C05B58" w:rsidRPr="00F858AE">
              <w:rPr>
                <w:rFonts w:ascii="Verdana" w:eastAsia="Calibri" w:hAnsi="Verdana" w:cs="Arial"/>
                <w:color w:val="000000" w:themeColor="text1"/>
              </w:rPr>
              <w:t xml:space="preserve"> </w:t>
            </w:r>
            <w:r w:rsidR="00F83E01" w:rsidRPr="00F858AE">
              <w:rPr>
                <w:rFonts w:ascii="Verdana" w:eastAsia="Calibri" w:hAnsi="Verdana" w:cs="Arial"/>
                <w:color w:val="000000" w:themeColor="text1"/>
              </w:rPr>
              <w:t xml:space="preserve">susceptible de asignación de </w:t>
            </w:r>
            <w:r w:rsidR="003F799B" w:rsidRPr="00F858AE">
              <w:rPr>
                <w:rFonts w:ascii="Verdana" w:eastAsia="Calibri" w:hAnsi="Verdana" w:cs="Arial"/>
                <w:color w:val="000000" w:themeColor="text1"/>
              </w:rPr>
              <w:t>puntaje</w:t>
            </w:r>
            <w:r w:rsidR="00F83E01" w:rsidRPr="00F858AE">
              <w:rPr>
                <w:rFonts w:ascii="Verdana" w:eastAsia="Calibri" w:hAnsi="Verdana" w:cs="Arial"/>
                <w:color w:val="000000" w:themeColor="text1"/>
              </w:rPr>
              <w:t xml:space="preserve"> no podrá </w:t>
            </w:r>
            <w:r w:rsidR="003F799B" w:rsidRPr="00F858AE">
              <w:rPr>
                <w:rFonts w:ascii="Verdana" w:eastAsia="Calibri" w:hAnsi="Verdana" w:cs="Arial"/>
                <w:color w:val="000000" w:themeColor="text1"/>
              </w:rPr>
              <w:t>tenerl</w:t>
            </w:r>
            <w:r w:rsidR="007C377C" w:rsidRPr="00F858AE">
              <w:rPr>
                <w:rFonts w:ascii="Verdana" w:eastAsia="Calibri" w:hAnsi="Verdana" w:cs="Arial"/>
                <w:color w:val="000000" w:themeColor="text1"/>
              </w:rPr>
              <w:t>o</w:t>
            </w:r>
            <w:r w:rsidR="003F799B" w:rsidRPr="00F858AE">
              <w:rPr>
                <w:rFonts w:ascii="Verdana" w:eastAsia="Calibri" w:hAnsi="Verdana" w:cs="Arial"/>
                <w:color w:val="000000" w:themeColor="text1"/>
              </w:rPr>
              <w:t xml:space="preserve"> en cuenta al momento de realizar la evaluación de la propuesta</w:t>
            </w:r>
            <w:r w:rsidR="00696AC8" w:rsidRPr="00F858AE">
              <w:rPr>
                <w:rFonts w:ascii="Verdana" w:eastAsia="Calibri" w:hAnsi="Verdana" w:cs="Arial"/>
                <w:color w:val="000000" w:themeColor="text1"/>
              </w:rPr>
              <w:t xml:space="preserve">. </w:t>
            </w:r>
            <w:r w:rsidR="0048259C" w:rsidRPr="00F858AE">
              <w:rPr>
                <w:rFonts w:ascii="Verdana" w:eastAsia="Calibri" w:hAnsi="Verdana" w:cs="Arial"/>
                <w:color w:val="000000" w:themeColor="text1"/>
              </w:rPr>
              <w:t>Igualmente</w:t>
            </w:r>
            <w:r w:rsidR="00696AC8" w:rsidRPr="00F858AE">
              <w:rPr>
                <w:rFonts w:ascii="Verdana" w:eastAsia="Calibri" w:hAnsi="Verdana" w:cs="Arial"/>
                <w:color w:val="000000" w:themeColor="text1"/>
              </w:rPr>
              <w:t xml:space="preserve">, si la Entidad Estatal </w:t>
            </w:r>
            <w:r w:rsidR="00DD23FA" w:rsidRPr="00F858AE">
              <w:rPr>
                <w:rFonts w:ascii="Verdana" w:eastAsia="Calibri" w:hAnsi="Verdana" w:cs="Arial"/>
                <w:color w:val="000000" w:themeColor="text1"/>
              </w:rPr>
              <w:t>corrobora</w:t>
            </w:r>
            <w:r w:rsidR="00696AC8" w:rsidRPr="00F858AE">
              <w:rPr>
                <w:rFonts w:ascii="Verdana" w:eastAsia="Calibri" w:hAnsi="Verdana" w:cs="Arial"/>
                <w:color w:val="000000" w:themeColor="text1"/>
              </w:rPr>
              <w:t xml:space="preserve"> que </w:t>
            </w:r>
            <w:r w:rsidR="00442D32" w:rsidRPr="00F858AE">
              <w:rPr>
                <w:rFonts w:ascii="Verdana" w:eastAsia="Calibri" w:hAnsi="Verdana" w:cs="Arial"/>
                <w:color w:val="000000" w:themeColor="text1"/>
              </w:rPr>
              <w:t xml:space="preserve">con esta modificación se pretende acreditar un requisito que no se cumplía </w:t>
            </w:r>
            <w:r w:rsidR="008F02EF" w:rsidRPr="00F858AE">
              <w:rPr>
                <w:rFonts w:ascii="Verdana" w:eastAsia="Calibri" w:hAnsi="Verdana" w:cs="Arial"/>
                <w:color w:val="000000" w:themeColor="text1"/>
              </w:rPr>
              <w:t xml:space="preserve">al momento de presentar la oferta, </w:t>
            </w:r>
            <w:r w:rsidR="00EF55C9" w:rsidRPr="00F858AE">
              <w:rPr>
                <w:rFonts w:ascii="Verdana" w:eastAsia="Calibri" w:hAnsi="Verdana" w:cs="Arial"/>
                <w:color w:val="000000" w:themeColor="text1"/>
              </w:rPr>
              <w:t>tampoco</w:t>
            </w:r>
            <w:r w:rsidR="00DD23FA" w:rsidRPr="00F858AE">
              <w:rPr>
                <w:rFonts w:ascii="Verdana" w:eastAsia="Calibri" w:hAnsi="Verdana" w:cs="Arial"/>
                <w:color w:val="000000" w:themeColor="text1"/>
              </w:rPr>
              <w:t xml:space="preserve"> podrá </w:t>
            </w:r>
            <w:r w:rsidR="00182115" w:rsidRPr="00F858AE">
              <w:rPr>
                <w:rFonts w:ascii="Verdana" w:eastAsia="Calibri" w:hAnsi="Verdana" w:cs="Arial"/>
                <w:color w:val="000000" w:themeColor="text1"/>
              </w:rPr>
              <w:t>tenerla</w:t>
            </w:r>
            <w:r w:rsidR="006E7020" w:rsidRPr="00F858AE">
              <w:rPr>
                <w:rFonts w:ascii="Verdana" w:eastAsia="Calibri" w:hAnsi="Verdana" w:cs="Arial"/>
                <w:color w:val="000000" w:themeColor="text1"/>
              </w:rPr>
              <w:t xml:space="preserve"> en cuent</w:t>
            </w:r>
            <w:r w:rsidR="008122F2" w:rsidRPr="00F858AE">
              <w:rPr>
                <w:rFonts w:ascii="Verdana" w:eastAsia="Calibri" w:hAnsi="Verdana" w:cs="Arial"/>
                <w:color w:val="000000" w:themeColor="text1"/>
              </w:rPr>
              <w:t xml:space="preserve">a, </w:t>
            </w:r>
            <w:r w:rsidR="00B663A0" w:rsidRPr="00F858AE">
              <w:rPr>
                <w:rFonts w:ascii="Verdana" w:eastAsia="Calibri" w:hAnsi="Verdana" w:cs="Arial"/>
                <w:color w:val="000000" w:themeColor="text1"/>
              </w:rPr>
              <w:t xml:space="preserve">esto, </w:t>
            </w:r>
            <w:r w:rsidR="00C34A63" w:rsidRPr="00F858AE">
              <w:rPr>
                <w:rFonts w:ascii="Verdana" w:eastAsia="Calibri" w:hAnsi="Verdana" w:cs="Arial"/>
                <w:color w:val="000000" w:themeColor="text1"/>
              </w:rPr>
              <w:t>en razón</w:t>
            </w:r>
            <w:r w:rsidR="00B663A0" w:rsidRPr="00F858AE">
              <w:rPr>
                <w:rFonts w:ascii="Verdana" w:eastAsia="Calibri" w:hAnsi="Verdana" w:cs="Arial"/>
                <w:color w:val="000000" w:themeColor="text1"/>
              </w:rPr>
              <w:t xml:space="preserve"> a que </w:t>
            </w:r>
            <w:r w:rsidR="00D92B3D" w:rsidRPr="00F858AE">
              <w:rPr>
                <w:rFonts w:ascii="Verdana" w:eastAsia="Calibri" w:hAnsi="Verdana" w:cs="Arial"/>
                <w:color w:val="000000" w:themeColor="text1"/>
              </w:rPr>
              <w:t>lo que permite la norma en mención es la subsanación</w:t>
            </w:r>
            <w:r w:rsidR="00A334D1" w:rsidRPr="00F858AE">
              <w:rPr>
                <w:rFonts w:ascii="Verdana" w:eastAsia="Calibri" w:hAnsi="Verdana" w:cs="Arial"/>
                <w:color w:val="000000" w:themeColor="text1"/>
              </w:rPr>
              <w:t xml:space="preserve"> </w:t>
            </w:r>
            <w:r w:rsidR="005A7539" w:rsidRPr="00F858AE">
              <w:rPr>
                <w:rFonts w:ascii="Verdana" w:eastAsia="Calibri" w:hAnsi="Verdana" w:cs="Arial"/>
                <w:color w:val="000000" w:themeColor="text1"/>
              </w:rPr>
              <w:t>de aspectos formales de oferta</w:t>
            </w:r>
            <w:r w:rsidR="007D3D6C" w:rsidRPr="00F858AE">
              <w:rPr>
                <w:rFonts w:ascii="Verdana" w:eastAsia="Calibri" w:hAnsi="Verdana" w:cs="Arial"/>
                <w:color w:val="000000" w:themeColor="text1"/>
              </w:rPr>
              <w:t xml:space="preserve"> más no la oportunidad de </w:t>
            </w:r>
            <w:r w:rsidR="00215256" w:rsidRPr="00F858AE">
              <w:rPr>
                <w:rFonts w:ascii="Verdana" w:eastAsia="Calibri" w:hAnsi="Verdana" w:cs="Arial"/>
                <w:lang w:val="es-ES_tradnl"/>
              </w:rPr>
              <w:t>acreditar circunstancias ocurridas con posterioridad al cierre del proceso.</w:t>
            </w:r>
          </w:p>
        </w:tc>
      </w:tr>
    </w:tbl>
    <w:p w14:paraId="6D9CECC4" w14:textId="77777777" w:rsidR="00BD416A" w:rsidRPr="00F858AE" w:rsidRDefault="00BD416A" w:rsidP="00BD416A">
      <w:pPr>
        <w:spacing w:after="0"/>
        <w:jc w:val="both"/>
        <w:rPr>
          <w:rFonts w:ascii="Verdana" w:hAnsi="Verdana"/>
          <w:highlight w:val="cyan"/>
        </w:rPr>
      </w:pPr>
    </w:p>
    <w:p w14:paraId="383405E7" w14:textId="77777777" w:rsidR="00BD416A" w:rsidRPr="00F858AE" w:rsidRDefault="00BD416A" w:rsidP="00BD416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858AE">
        <w:rPr>
          <w:rFonts w:ascii="Verdana" w:eastAsia="Century Gothic" w:hAnsi="Verdana" w:cs="Century Gothic"/>
          <w:b/>
          <w:bCs/>
        </w:rPr>
        <w:t>Razones de la respuesta:</w:t>
      </w:r>
    </w:p>
    <w:p w14:paraId="3ED33B92" w14:textId="77777777" w:rsidR="00BD416A" w:rsidRPr="00F858AE" w:rsidRDefault="00BD416A" w:rsidP="00BD416A">
      <w:pPr>
        <w:spacing w:after="0" w:line="276" w:lineRule="auto"/>
        <w:jc w:val="both"/>
        <w:rPr>
          <w:rFonts w:ascii="Verdana" w:eastAsia="Calibri" w:hAnsi="Verdana" w:cs="Arial"/>
          <w:color w:val="7030A0"/>
          <w:lang w:val="es-ES"/>
        </w:rPr>
      </w:pPr>
    </w:p>
    <w:p w14:paraId="48A122E9" w14:textId="77777777" w:rsidR="00BD416A" w:rsidRPr="00F858AE" w:rsidRDefault="00BD416A" w:rsidP="00BD416A">
      <w:pPr>
        <w:spacing w:after="0"/>
        <w:jc w:val="both"/>
        <w:rPr>
          <w:rFonts w:ascii="Verdana" w:eastAsia="Calibri" w:hAnsi="Verdana" w:cs="Arial"/>
          <w:lang w:val="es-ES"/>
        </w:rPr>
      </w:pPr>
      <w:r w:rsidRPr="00F858AE">
        <w:rPr>
          <w:rFonts w:ascii="Verdana" w:eastAsia="Calibri" w:hAnsi="Verdana" w:cs="Arial"/>
          <w:lang w:val="es-ES"/>
        </w:rPr>
        <w:t>Lo anterior se sustenta en las siguientes consideraciones:</w:t>
      </w:r>
    </w:p>
    <w:p w14:paraId="10EE0C2F" w14:textId="77777777" w:rsidR="005B1CBA" w:rsidRPr="00F858AE" w:rsidRDefault="005B1CBA" w:rsidP="00665D70">
      <w:pPr>
        <w:spacing w:after="0"/>
        <w:jc w:val="both"/>
        <w:rPr>
          <w:rFonts w:ascii="Verdana" w:hAnsi="Verdana"/>
          <w:lang w:val="es-ES"/>
        </w:rPr>
      </w:pPr>
    </w:p>
    <w:p w14:paraId="07E2C0DA" w14:textId="77777777" w:rsidR="005B1CBA" w:rsidRPr="00F858AE" w:rsidRDefault="00C804F1" w:rsidP="005B1CBA">
      <w:pPr>
        <w:pStyle w:val="Prrafodelista"/>
        <w:numPr>
          <w:ilvl w:val="0"/>
          <w:numId w:val="18"/>
        </w:numPr>
        <w:spacing w:after="120" w:line="276" w:lineRule="auto"/>
        <w:jc w:val="both"/>
        <w:rPr>
          <w:rFonts w:ascii="Verdana" w:eastAsia="Calibri" w:hAnsi="Verdana" w:cs="Arial"/>
          <w:lang w:eastAsia="es-MX"/>
        </w:rPr>
      </w:pPr>
      <w:bookmarkStart w:id="1" w:name="_Hlk99546562"/>
      <w:r w:rsidRPr="00F858AE">
        <w:rPr>
          <w:rFonts w:ascii="Verdana" w:eastAsia="Calibri" w:hAnsi="Verdana" w:cs="Arial"/>
          <w:lang w:eastAsia="es-MX"/>
        </w:rPr>
        <w:t xml:space="preserve">Los requisitos habilitantes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5D98C124" w14:textId="77777777" w:rsidR="005B1CBA" w:rsidRPr="00F858AE" w:rsidRDefault="005B1CBA" w:rsidP="005B1CBA">
      <w:pPr>
        <w:pStyle w:val="Prrafodelista"/>
        <w:spacing w:after="120" w:line="276" w:lineRule="auto"/>
        <w:ind w:left="360"/>
        <w:jc w:val="both"/>
        <w:rPr>
          <w:rFonts w:ascii="Verdana" w:eastAsia="Calibri" w:hAnsi="Verdana" w:cs="Arial"/>
          <w:lang w:val="es-ES_tradnl" w:eastAsia="es-MX"/>
        </w:rPr>
      </w:pPr>
    </w:p>
    <w:p w14:paraId="66CBE2B8" w14:textId="77777777" w:rsidR="007911BE" w:rsidRPr="00F858AE" w:rsidRDefault="005B1CBA" w:rsidP="007911BE">
      <w:pPr>
        <w:pStyle w:val="Prrafodelista"/>
        <w:numPr>
          <w:ilvl w:val="0"/>
          <w:numId w:val="18"/>
        </w:numPr>
        <w:spacing w:after="120" w:line="276" w:lineRule="auto"/>
        <w:jc w:val="both"/>
        <w:rPr>
          <w:rFonts w:ascii="Verdana" w:eastAsia="Calibri" w:hAnsi="Verdana" w:cs="Arial"/>
          <w:lang w:eastAsia="es-MX"/>
        </w:rPr>
      </w:pPr>
      <w:r w:rsidRPr="00F858AE">
        <w:rPr>
          <w:rFonts w:ascii="Verdana" w:eastAsia="Calibri" w:hAnsi="Verdana" w:cs="Arial"/>
          <w:lang w:eastAsia="es-MX"/>
        </w:rPr>
        <w:lastRenderedPageBreak/>
        <w:t>Los requisitos habilitantes constituyen los requerimientos mínimos con los que deben cumplir los proponentes para poder participar en el procedimiento de selección, razón por la que los mismos no se valoran con un puntaje tendiente a determinar el orden de escogencia, sino que se analizan como criterios previos a la evaluación en sentido estricto, de manera que quienes no los reúnan no pueden continuar en el procedimiento de selección, es decir, incurren en causal de rechazo. Esto sin perjuicio del derecho que tienen los oferentes de subsanar los defectos que se presenten en la prueba de tales requisitos, de conformidad con el artículo 5, parágrafos 1º al 4º, de la Ley 1150 de 2007.</w:t>
      </w:r>
    </w:p>
    <w:p w14:paraId="36C58AE1" w14:textId="77777777" w:rsidR="007911BE" w:rsidRPr="00F858AE" w:rsidRDefault="007911BE" w:rsidP="007911BE">
      <w:pPr>
        <w:pStyle w:val="Prrafodelista"/>
        <w:rPr>
          <w:rFonts w:ascii="Verdana" w:eastAsia="Calibri" w:hAnsi="Verdana" w:cs="Arial"/>
          <w:lang w:val="es-ES_tradnl" w:eastAsia="es-MX"/>
        </w:rPr>
      </w:pPr>
    </w:p>
    <w:p w14:paraId="6E000324" w14:textId="77777777" w:rsidR="00AC5D26" w:rsidRPr="00F858AE" w:rsidRDefault="007911BE" w:rsidP="00AC5D26">
      <w:pPr>
        <w:pStyle w:val="Prrafodelista"/>
        <w:numPr>
          <w:ilvl w:val="0"/>
          <w:numId w:val="18"/>
        </w:numPr>
        <w:spacing w:after="120" w:line="276" w:lineRule="auto"/>
        <w:jc w:val="both"/>
        <w:rPr>
          <w:rFonts w:ascii="Verdana" w:eastAsia="Calibri" w:hAnsi="Verdana" w:cs="Arial"/>
          <w:lang w:val="es-ES_tradnl" w:eastAsia="es-MX"/>
        </w:rPr>
      </w:pPr>
      <w:r w:rsidRPr="00F858AE">
        <w:rPr>
          <w:rFonts w:ascii="Verdana" w:eastAsia="Calibri" w:hAnsi="Verdana" w:cs="Arial"/>
          <w:lang w:val="es-ES_tradnl" w:eastAsia="es-MX"/>
        </w:rPr>
        <w:t xml:space="preserve">El mencionado artículo dispone que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w:t>
      </w:r>
      <w:bookmarkStart w:id="2" w:name="_Hlk99547809"/>
      <w:bookmarkStart w:id="3" w:name="_Hlk99546625"/>
    </w:p>
    <w:p w14:paraId="11857DA2" w14:textId="77777777" w:rsidR="00AC5D26" w:rsidRPr="00F858AE" w:rsidRDefault="00AC5D26" w:rsidP="00AC5D26">
      <w:pPr>
        <w:pStyle w:val="Prrafodelista"/>
        <w:rPr>
          <w:rFonts w:ascii="Verdana" w:eastAsia="Times New Roman" w:hAnsi="Verdana" w:cs="Arial"/>
          <w:lang w:val="es-ES_tradnl" w:eastAsia="es-MX"/>
        </w:rPr>
      </w:pPr>
    </w:p>
    <w:p w14:paraId="7F026BE8" w14:textId="77777777" w:rsidR="00254700" w:rsidRPr="00F858AE" w:rsidRDefault="00AC5D26" w:rsidP="00254700">
      <w:pPr>
        <w:pStyle w:val="Prrafodelista"/>
        <w:numPr>
          <w:ilvl w:val="0"/>
          <w:numId w:val="18"/>
        </w:numPr>
        <w:spacing w:after="120" w:line="276" w:lineRule="auto"/>
        <w:jc w:val="both"/>
        <w:rPr>
          <w:rFonts w:ascii="Verdana" w:eastAsia="Calibri" w:hAnsi="Verdana" w:cs="Arial"/>
          <w:lang w:val="es-ES_tradnl" w:eastAsia="es-MX"/>
        </w:rPr>
      </w:pPr>
      <w:r w:rsidRPr="00F858AE">
        <w:rPr>
          <w:rFonts w:ascii="Verdana" w:eastAsia="Times New Roman" w:hAnsi="Verdana" w:cs="Arial"/>
          <w:lang w:val="es-ES_tradnl" w:eastAsia="es-MX"/>
        </w:rPr>
        <w:t xml:space="preserve">En línea con lo anterior, la Agencia Nacional de Contratación Pública ha defendido el carácter </w:t>
      </w:r>
      <w:bookmarkStart w:id="4" w:name="_Hlk99547799"/>
      <w:r w:rsidRPr="00F858AE">
        <w:rPr>
          <w:rFonts w:ascii="Verdana" w:eastAsia="Times New Roman" w:hAnsi="Verdana" w:cs="Arial"/>
          <w:lang w:val="es-ES_tradnl" w:eastAsia="es-MX"/>
        </w:rPr>
        <w:t xml:space="preserve">enunciativo del listado de los requisitos habilitantes contenidos en el numeral 1 del artículo 5 de la Ley 1150 de 2007, en la medida en que la </w:t>
      </w:r>
      <w:r w:rsidR="007C65DA" w:rsidRPr="00F858AE">
        <w:rPr>
          <w:rFonts w:ascii="Verdana" w:eastAsia="Times New Roman" w:hAnsi="Verdana" w:cs="Arial"/>
          <w:lang w:val="es-ES_tradnl" w:eastAsia="es-MX"/>
        </w:rPr>
        <w:t>mencionada</w:t>
      </w:r>
      <w:r w:rsidRPr="00F858AE">
        <w:rPr>
          <w:rFonts w:ascii="Verdana" w:eastAsia="Times New Roman" w:hAnsi="Verdana" w:cs="Arial"/>
          <w:lang w:val="es-ES_tradnl" w:eastAsia="es-MX"/>
        </w:rPr>
        <w:t xml:space="preserve"> disposición, al referirse a los requisitos habilitantes, no contiene una expresión como “únicamente” o “solo”, de la que pueda colegirse la taxatividad de los requisitos mencionados. </w:t>
      </w:r>
      <w:bookmarkEnd w:id="2"/>
      <w:bookmarkEnd w:id="4"/>
      <w:r w:rsidRPr="00F858AE">
        <w:rPr>
          <w:rFonts w:ascii="Verdana" w:eastAsia="Times New Roman" w:hAnsi="Verdana" w:cs="Arial"/>
          <w:lang w:val="es-ES_tradnl" w:eastAsia="es-MX"/>
        </w:rPr>
        <w:t>Esta conclusión además se apoya en una la lectura integral de las normas que regulan la contratación estatal, en virtud de la cual es posible evidenciar que existen otras condiciones que deben cumplirse para la contratación con entidades públicas, de las que derivan requisitos habilitantes, como sucede, por ejemplo, con la capacidad residual a la que se refiere el artículo 6º, parágrafo 1, de la Ley 1150 de 2007</w:t>
      </w:r>
      <w:bookmarkEnd w:id="3"/>
      <w:r w:rsidRPr="00F858AE">
        <w:rPr>
          <w:rFonts w:ascii="Verdana" w:hAnsi="Verdana"/>
          <w:vertAlign w:val="superscript"/>
          <w:lang w:eastAsia="es-MX"/>
        </w:rPr>
        <w:footnoteReference w:id="2"/>
      </w:r>
      <w:r w:rsidRPr="00F858AE">
        <w:rPr>
          <w:rFonts w:ascii="Verdana" w:eastAsia="Times New Roman" w:hAnsi="Verdana" w:cs="Arial"/>
          <w:lang w:val="es-ES_tradnl" w:eastAsia="es-MX"/>
        </w:rPr>
        <w:t xml:space="preserve">. </w:t>
      </w:r>
    </w:p>
    <w:p w14:paraId="1AF296D3" w14:textId="77777777" w:rsidR="00254700" w:rsidRPr="00F858AE" w:rsidRDefault="00254700" w:rsidP="00254700">
      <w:pPr>
        <w:pStyle w:val="Prrafodelista"/>
        <w:rPr>
          <w:rFonts w:ascii="Verdana" w:eastAsia="Times New Roman" w:hAnsi="Verdana" w:cs="Arial"/>
          <w:lang w:val="es-ES_tradnl" w:eastAsia="es-MX"/>
        </w:rPr>
      </w:pPr>
    </w:p>
    <w:p w14:paraId="56113487" w14:textId="77777777" w:rsidR="006647DE" w:rsidRPr="00F858AE" w:rsidRDefault="00254700" w:rsidP="006647DE">
      <w:pPr>
        <w:pStyle w:val="Prrafodelista"/>
        <w:numPr>
          <w:ilvl w:val="0"/>
          <w:numId w:val="18"/>
        </w:numPr>
        <w:spacing w:after="120" w:line="276" w:lineRule="auto"/>
        <w:jc w:val="both"/>
        <w:rPr>
          <w:rFonts w:ascii="Verdana" w:eastAsia="Calibri" w:hAnsi="Verdana" w:cs="Arial"/>
          <w:lang w:val="es-ES_tradnl" w:eastAsia="es-MX"/>
        </w:rPr>
      </w:pPr>
      <w:r w:rsidRPr="00F858AE">
        <w:rPr>
          <w:rFonts w:ascii="Verdana" w:eastAsia="Times New Roman" w:hAnsi="Verdana" w:cs="Arial"/>
          <w:lang w:val="es-ES_tradnl" w:eastAsia="es-MX"/>
        </w:rPr>
        <w:t>Por otro lado, en el “Manual para determinar y verificar los requisitos habilitantes en los Procesos de Contratación”</w:t>
      </w:r>
      <w:r w:rsidRPr="00F858AE">
        <w:rPr>
          <w:rFonts w:ascii="Verdana" w:eastAsia="Calibri" w:hAnsi="Verdana" w:cs="Arial"/>
          <w:lang w:val="es-ES_tradnl" w:eastAsia="es-MX"/>
        </w:rPr>
        <w:t>,</w:t>
      </w:r>
      <w:r w:rsidRPr="00F858AE">
        <w:rPr>
          <w:rFonts w:ascii="Verdana" w:eastAsia="Times New Roman" w:hAnsi="Verdana" w:cs="Arial"/>
          <w:lang w:val="es-ES_tradnl" w:eastAsia="es-MX"/>
        </w:rPr>
        <w:t xml:space="preserve"> expedido por la </w:t>
      </w:r>
      <w:r w:rsidRPr="00F858AE">
        <w:rPr>
          <w:rFonts w:ascii="Verdana" w:eastAsia="Calibri" w:hAnsi="Verdana" w:cs="Arial"/>
          <w:lang w:val="es-ES_tradnl" w:eastAsia="es-MX"/>
        </w:rPr>
        <w:t>Agencia Nacional de Contratación Pública – Colombia Compra Eficiente</w:t>
      </w:r>
      <w:r w:rsidRPr="00F858AE">
        <w:rPr>
          <w:rFonts w:ascii="Verdana" w:eastAsia="Times New Roman" w:hAnsi="Verdana" w:cs="Arial"/>
          <w:lang w:val="es-ES_tradnl" w:eastAsia="es-MX"/>
        </w:rPr>
        <w:t xml:space="preserve"> se determinaron los parámetros para establecer, acreditar y subsanar los requisitos habilitantes. Allí también se precisó que estos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w:t>
      </w:r>
    </w:p>
    <w:p w14:paraId="6D1909AA" w14:textId="77777777" w:rsidR="006647DE" w:rsidRPr="00F858AE" w:rsidRDefault="006647DE" w:rsidP="006647DE">
      <w:pPr>
        <w:pStyle w:val="Prrafodelista"/>
        <w:rPr>
          <w:rFonts w:ascii="Verdana" w:eastAsia="Times New Roman" w:hAnsi="Verdana" w:cs="Arial"/>
          <w:lang w:val="es-ES_tradnl" w:eastAsia="es-MX"/>
        </w:rPr>
      </w:pPr>
    </w:p>
    <w:p w14:paraId="6B8BAE13" w14:textId="77777777" w:rsidR="00884F31" w:rsidRPr="00F858AE" w:rsidRDefault="006647DE" w:rsidP="00884F31">
      <w:pPr>
        <w:pStyle w:val="Prrafodelista"/>
        <w:numPr>
          <w:ilvl w:val="0"/>
          <w:numId w:val="18"/>
        </w:numPr>
        <w:spacing w:after="120" w:line="276" w:lineRule="auto"/>
        <w:jc w:val="both"/>
        <w:rPr>
          <w:rFonts w:ascii="Verdana" w:eastAsia="Calibri" w:hAnsi="Verdana" w:cs="Arial"/>
          <w:lang w:val="es-ES_tradnl" w:eastAsia="es-MX"/>
        </w:rPr>
      </w:pPr>
      <w:r w:rsidRPr="00F858AE">
        <w:rPr>
          <w:rFonts w:ascii="Verdana" w:eastAsia="Times New Roman" w:hAnsi="Verdana" w:cs="Arial"/>
          <w:lang w:val="es-ES_tradnl" w:eastAsia="es-MX"/>
        </w:rPr>
        <w:t>Así las cosas, al tratarse de condiciones mínimas, significa que las entidades podrían establecer otras, según su autonomía de la voluntad, y teniendo en cuenta el objeto del contrato, los riesgos detectados en los estudios previos, el presupuesto oficial, entre otros factores.</w:t>
      </w:r>
      <w:bookmarkStart w:id="5" w:name="_Hlk99548027"/>
    </w:p>
    <w:p w14:paraId="68A20C41" w14:textId="77777777" w:rsidR="00884F31" w:rsidRPr="00F858AE" w:rsidRDefault="00884F31" w:rsidP="00884F31">
      <w:pPr>
        <w:pStyle w:val="Prrafodelista"/>
        <w:rPr>
          <w:rFonts w:ascii="Verdana" w:eastAsia="Times New Roman" w:hAnsi="Verdana" w:cs="Arial"/>
          <w:lang w:val="es-ES_tradnl" w:eastAsia="es-MX"/>
        </w:rPr>
      </w:pPr>
    </w:p>
    <w:p w14:paraId="47274566" w14:textId="38E48481" w:rsidR="00A512FF" w:rsidRPr="00F858AE" w:rsidRDefault="00333BBD" w:rsidP="00A512FF">
      <w:pPr>
        <w:pStyle w:val="Prrafodelista"/>
        <w:numPr>
          <w:ilvl w:val="0"/>
          <w:numId w:val="18"/>
        </w:numPr>
        <w:spacing w:after="120" w:line="276" w:lineRule="auto"/>
        <w:jc w:val="both"/>
        <w:rPr>
          <w:rFonts w:ascii="Verdana" w:eastAsia="Calibri" w:hAnsi="Verdana" w:cs="Arial"/>
          <w:lang w:val="es-ES_tradnl" w:eastAsia="es-MX"/>
        </w:rPr>
      </w:pPr>
      <w:r w:rsidRPr="00F858AE">
        <w:rPr>
          <w:rFonts w:ascii="Verdana" w:eastAsia="Times New Roman" w:hAnsi="Verdana" w:cs="Arial"/>
          <w:lang w:val="es-ES_tradnl" w:eastAsia="es-MX"/>
        </w:rPr>
        <w:t>Bajo este contexto</w:t>
      </w:r>
      <w:r w:rsidR="00884F31" w:rsidRPr="00F858AE">
        <w:rPr>
          <w:rFonts w:ascii="Verdana" w:eastAsia="Times New Roman" w:hAnsi="Verdana" w:cs="Arial"/>
          <w:lang w:val="es-ES_tradnl" w:eastAsia="es-MX"/>
        </w:rPr>
        <w:t xml:space="preserve">, si bien </w:t>
      </w:r>
      <w:r w:rsidR="00884F31" w:rsidRPr="00F858AE">
        <w:rPr>
          <w:rFonts w:ascii="Verdana" w:eastAsia="Calibri" w:hAnsi="Verdana" w:cs="Arial"/>
          <w:lang w:val="es-ES_tradnl" w:eastAsia="es-MX"/>
        </w:rPr>
        <w:t xml:space="preserve">la Ley 1150 de 2007 estableció unos requisitos habilitantes para los proponentes –la capacidad jurídica, las condiciones de experiencia, la capacidad financiera y la capacidad de organización–, estos no son taxativos. </w:t>
      </w:r>
      <w:r w:rsidR="00884F31" w:rsidRPr="00F858AE">
        <w:rPr>
          <w:rFonts w:ascii="Verdana" w:eastAsia="Times New Roman" w:hAnsi="Verdana" w:cs="Arial"/>
          <w:lang w:val="es-ES_tradnl" w:eastAsia="es-MX"/>
        </w:rPr>
        <w:t xml:space="preserve">En consecuencia, corresponde a las </w:t>
      </w:r>
      <w:r w:rsidR="00FC2976" w:rsidRPr="00F858AE">
        <w:rPr>
          <w:rFonts w:ascii="Verdana" w:eastAsia="Times New Roman" w:hAnsi="Verdana" w:cs="Arial"/>
          <w:lang w:val="es-ES_tradnl" w:eastAsia="es-MX"/>
        </w:rPr>
        <w:t>E</w:t>
      </w:r>
      <w:r w:rsidR="00884F31" w:rsidRPr="00F858AE">
        <w:rPr>
          <w:rFonts w:ascii="Verdana" w:eastAsia="Times New Roman" w:hAnsi="Verdana" w:cs="Arial"/>
          <w:lang w:val="es-ES_tradnl" w:eastAsia="es-MX"/>
        </w:rPr>
        <w:t xml:space="preserve">ntidades </w:t>
      </w:r>
      <w:r w:rsidR="00FC2976" w:rsidRPr="00F858AE">
        <w:rPr>
          <w:rFonts w:ascii="Verdana" w:eastAsia="Times New Roman" w:hAnsi="Verdana" w:cs="Arial"/>
          <w:lang w:val="es-ES_tradnl" w:eastAsia="es-MX"/>
        </w:rPr>
        <w:t>E</w:t>
      </w:r>
      <w:r w:rsidR="00884F31" w:rsidRPr="00F858AE">
        <w:rPr>
          <w:rFonts w:ascii="Verdana" w:eastAsia="Times New Roman" w:hAnsi="Verdana" w:cs="Arial"/>
          <w:lang w:val="es-ES_tradnl" w:eastAsia="es-MX"/>
        </w:rPr>
        <w:t xml:space="preserve">statales, durante la etapa de planeación del contrato estatal, estudiar y </w:t>
      </w:r>
      <w:r w:rsidR="00884F31" w:rsidRPr="00F858AE">
        <w:rPr>
          <w:rFonts w:ascii="Verdana" w:eastAsia="Times New Roman" w:hAnsi="Verdana" w:cs="Arial"/>
          <w:bCs/>
          <w:iCs/>
          <w:lang w:val="es-ES_tradnl" w:eastAsia="es-MX"/>
        </w:rPr>
        <w:t>determinar</w:t>
      </w:r>
      <w:r w:rsidR="00884F31" w:rsidRPr="00F858AE">
        <w:rPr>
          <w:rFonts w:ascii="Verdana" w:eastAsia="Times New Roman" w:hAnsi="Verdana" w:cs="Arial"/>
          <w:lang w:val="es-ES_tradnl" w:eastAsia="es-MX"/>
        </w:rPr>
        <w:t xml:space="preserve"> los requisitos habilitantes que establecerán en los pliegos de condiciones, los cuales deben fijarse de forma adecuada y proporcional. </w:t>
      </w:r>
      <w:bookmarkEnd w:id="5"/>
    </w:p>
    <w:p w14:paraId="489E419B" w14:textId="77777777" w:rsidR="00A512FF" w:rsidRPr="00F858AE" w:rsidRDefault="00A512FF" w:rsidP="00A512FF">
      <w:pPr>
        <w:pStyle w:val="Prrafodelista"/>
        <w:rPr>
          <w:rFonts w:ascii="Verdana" w:eastAsia="Times New Roman" w:hAnsi="Verdana" w:cs="Arial"/>
          <w:lang w:val="es-ES_tradnl" w:eastAsia="es-MX"/>
        </w:rPr>
      </w:pPr>
    </w:p>
    <w:p w14:paraId="6A198172" w14:textId="77777777" w:rsidR="00740E90" w:rsidRPr="00F858AE" w:rsidRDefault="00A512FF" w:rsidP="00740E90">
      <w:pPr>
        <w:pStyle w:val="Prrafodelista"/>
        <w:numPr>
          <w:ilvl w:val="0"/>
          <w:numId w:val="18"/>
        </w:numPr>
        <w:spacing w:after="120" w:line="276" w:lineRule="auto"/>
        <w:jc w:val="both"/>
        <w:rPr>
          <w:rFonts w:ascii="Verdana" w:eastAsia="Calibri" w:hAnsi="Verdana" w:cs="Arial"/>
          <w:lang w:eastAsia="es-MX"/>
        </w:rPr>
      </w:pPr>
      <w:r w:rsidRPr="00F858AE">
        <w:rPr>
          <w:rFonts w:ascii="Verdana" w:eastAsia="Times New Roman" w:hAnsi="Verdana" w:cs="Arial"/>
          <w:lang w:eastAsia="es-MX"/>
        </w:rPr>
        <w:t xml:space="preserve">En ese sentido, las entidades tienen autonomía para estructurar los requisitos habilitantes en los procesos que adelantan, pero tal facultad no puede ejercerse de forma arbitraria, caprichosa y, mucho menos, con el ánimo de direccionar el proceso de contratación o favorecer a alguno de los proponentes. Tampoco puede suceder que el ejercicio de dicha atribución se haga con desconocimiento de los límites impuestos por la normativa vigente, como, por ejemplo, el parágrafo 2 del artículo 5 de la Ley 1150 de 2007, que prohíbe exigir certificaciones de sistemas de gestión de calidad como requisito habilitante. </w:t>
      </w:r>
      <w:bookmarkStart w:id="6" w:name="_Hlk99547936"/>
    </w:p>
    <w:p w14:paraId="6F87EBB8" w14:textId="77777777" w:rsidR="00740E90" w:rsidRPr="00F858AE" w:rsidRDefault="00740E90" w:rsidP="00740E90">
      <w:pPr>
        <w:pStyle w:val="Prrafodelista"/>
        <w:rPr>
          <w:rFonts w:ascii="Verdana" w:eastAsia="Times New Roman" w:hAnsi="Verdana" w:cs="Arial"/>
          <w:lang w:val="es-ES_tradnl" w:eastAsia="es-MX"/>
        </w:rPr>
      </w:pPr>
    </w:p>
    <w:p w14:paraId="28A758F3" w14:textId="77777777" w:rsidR="00E44771" w:rsidRPr="00F858AE" w:rsidRDefault="00740E90" w:rsidP="00E44771">
      <w:pPr>
        <w:pStyle w:val="Prrafodelista"/>
        <w:numPr>
          <w:ilvl w:val="0"/>
          <w:numId w:val="18"/>
        </w:numPr>
        <w:spacing w:after="120" w:line="276" w:lineRule="auto"/>
        <w:jc w:val="both"/>
        <w:rPr>
          <w:rFonts w:ascii="Verdana" w:eastAsia="Calibri" w:hAnsi="Verdana" w:cs="Arial"/>
          <w:lang w:eastAsia="es-MX"/>
        </w:rPr>
      </w:pPr>
      <w:r w:rsidRPr="00F858AE">
        <w:rPr>
          <w:rFonts w:ascii="Verdana" w:eastAsia="Times New Roman" w:hAnsi="Verdana" w:cs="Arial"/>
          <w:lang w:eastAsia="es-MX"/>
        </w:rPr>
        <w:lastRenderedPageBreak/>
        <w:t xml:space="preserve">De tal manera que,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 Para esto resulta indispensable que los requisitos establecidos por la entidad, además se fijen de manera adecuada y proporcional a las características del objeto ofertado, procurando además ceñirse a la normativa que resulte aplicable. </w:t>
      </w:r>
    </w:p>
    <w:p w14:paraId="370C31C7" w14:textId="77777777" w:rsidR="00E44771" w:rsidRPr="00F858AE" w:rsidRDefault="00E44771" w:rsidP="00E44771">
      <w:pPr>
        <w:pStyle w:val="Prrafodelista"/>
        <w:rPr>
          <w:rFonts w:ascii="Verdana" w:eastAsia="Calibri" w:hAnsi="Verdana" w:cs="Arial"/>
          <w:lang w:val="es-ES_tradnl" w:eastAsia="es-MX"/>
        </w:rPr>
      </w:pPr>
    </w:p>
    <w:p w14:paraId="4AB4FD0E" w14:textId="00DBBF6E" w:rsidR="00E44771" w:rsidRPr="00F858AE" w:rsidRDefault="001B6212" w:rsidP="00E44771">
      <w:pPr>
        <w:pStyle w:val="Prrafodelista"/>
        <w:numPr>
          <w:ilvl w:val="0"/>
          <w:numId w:val="18"/>
        </w:numPr>
        <w:spacing w:after="120" w:line="276" w:lineRule="auto"/>
        <w:jc w:val="both"/>
        <w:rPr>
          <w:rFonts w:ascii="Verdana" w:eastAsia="Calibri" w:hAnsi="Verdana" w:cs="Arial"/>
          <w:lang w:val="es-ES_tradnl" w:eastAsia="es-MX"/>
        </w:rPr>
      </w:pPr>
      <w:r w:rsidRPr="00F858AE">
        <w:rPr>
          <w:rFonts w:ascii="Verdana" w:eastAsia="Calibri" w:hAnsi="Verdana" w:cs="Arial"/>
          <w:lang w:val="es-ES_tradnl" w:eastAsia="es-MX"/>
        </w:rPr>
        <w:t xml:space="preserve">Ahora bien, </w:t>
      </w:r>
      <w:r w:rsidR="0067132F" w:rsidRPr="00F858AE">
        <w:rPr>
          <w:rFonts w:ascii="Verdana" w:eastAsia="Calibri" w:hAnsi="Verdana" w:cs="Arial"/>
          <w:lang w:val="es-ES_tradnl" w:eastAsia="es-MX"/>
        </w:rPr>
        <w:t xml:space="preserve">teniendo en consideración el objeto de la </w:t>
      </w:r>
      <w:r w:rsidR="00700284" w:rsidRPr="00F858AE">
        <w:rPr>
          <w:rFonts w:ascii="Verdana" w:eastAsia="Calibri" w:hAnsi="Verdana" w:cs="Arial"/>
          <w:lang w:val="es-ES_tradnl" w:eastAsia="es-MX"/>
        </w:rPr>
        <w:t xml:space="preserve">presente </w:t>
      </w:r>
      <w:r w:rsidR="0067132F" w:rsidRPr="00F858AE">
        <w:rPr>
          <w:rFonts w:ascii="Verdana" w:eastAsia="Calibri" w:hAnsi="Verdana" w:cs="Arial"/>
          <w:lang w:val="es-ES_tradnl" w:eastAsia="es-MX"/>
        </w:rPr>
        <w:t>consulta, es</w:t>
      </w:r>
      <w:r w:rsidR="002869DF" w:rsidRPr="00F858AE">
        <w:rPr>
          <w:rFonts w:ascii="Verdana" w:eastAsia="Calibri" w:hAnsi="Verdana" w:cs="Arial"/>
          <w:lang w:val="es-ES_tradnl" w:eastAsia="es-MX"/>
        </w:rPr>
        <w:t xml:space="preserve"> preciso</w:t>
      </w:r>
      <w:r w:rsidR="0067132F" w:rsidRPr="00F858AE">
        <w:rPr>
          <w:rFonts w:ascii="Verdana" w:eastAsia="Calibri" w:hAnsi="Verdana" w:cs="Arial"/>
          <w:lang w:val="es-ES_tradnl" w:eastAsia="es-MX"/>
        </w:rPr>
        <w:t xml:space="preserve"> </w:t>
      </w:r>
      <w:r w:rsidR="00E44771" w:rsidRPr="00F858AE">
        <w:rPr>
          <w:rFonts w:ascii="Verdana" w:eastAsia="Calibri" w:hAnsi="Verdana" w:cs="Arial"/>
        </w:rPr>
        <w:t xml:space="preserve">indicar que la regla de </w:t>
      </w:r>
      <w:proofErr w:type="spellStart"/>
      <w:r w:rsidR="00E44771" w:rsidRPr="00F858AE">
        <w:rPr>
          <w:rFonts w:ascii="Verdana" w:eastAsia="Calibri" w:hAnsi="Verdana" w:cs="Arial"/>
        </w:rPr>
        <w:t>subsanabilidad</w:t>
      </w:r>
      <w:proofErr w:type="spellEnd"/>
      <w:r w:rsidR="00E44771" w:rsidRPr="00F858AE">
        <w:rPr>
          <w:rFonts w:ascii="Verdana" w:eastAsia="Calibri" w:hAnsi="Verdana" w:cs="Arial"/>
        </w:rPr>
        <w:t xml:space="preserve">, </w:t>
      </w:r>
      <w:r w:rsidR="00E44771" w:rsidRPr="00F858AE">
        <w:rPr>
          <w:rFonts w:ascii="Verdana" w:eastAsia="Calibri" w:hAnsi="Verdana" w:cs="Arial"/>
          <w:lang w:val="es-ES_tradnl"/>
        </w:rPr>
        <w:t xml:space="preserve">contenida en el artículo 5 de la Ley 1150 de 2007, </w:t>
      </w:r>
      <w:r w:rsidR="00F66284" w:rsidRPr="00F858AE">
        <w:rPr>
          <w:rFonts w:ascii="Verdana" w:hAnsi="Verdana"/>
        </w:rPr>
        <w:t>consiste en permitir que los proponentes pued</w:t>
      </w:r>
      <w:r w:rsidR="003A4835" w:rsidRPr="00F858AE">
        <w:rPr>
          <w:rFonts w:ascii="Verdana" w:hAnsi="Verdana"/>
        </w:rPr>
        <w:t>e</w:t>
      </w:r>
      <w:r w:rsidR="00F66284" w:rsidRPr="00F858AE">
        <w:rPr>
          <w:rFonts w:ascii="Verdana" w:hAnsi="Verdana"/>
        </w:rPr>
        <w:t>n enmendar, corregir o modificar los errores en los que se incurre en los documentos contentivos de la oferta.</w:t>
      </w:r>
      <w:r w:rsidR="003A4835" w:rsidRPr="00F858AE">
        <w:rPr>
          <w:rFonts w:ascii="Verdana" w:hAnsi="Verdana"/>
        </w:rPr>
        <w:t xml:space="preserve"> </w:t>
      </w:r>
      <w:r w:rsidR="00F30EDB" w:rsidRPr="00F858AE">
        <w:rPr>
          <w:rFonts w:ascii="Verdana" w:hAnsi="Verdana"/>
        </w:rPr>
        <w:t xml:space="preserve">En otras palabras este </w:t>
      </w:r>
      <w:r w:rsidR="00AB1DB0" w:rsidRPr="00F858AE">
        <w:rPr>
          <w:rFonts w:ascii="Verdana" w:hAnsi="Verdana"/>
        </w:rPr>
        <w:t xml:space="preserve">mecanismo se concreta </w:t>
      </w:r>
      <w:r w:rsidR="00DF13F4" w:rsidRPr="00F858AE">
        <w:rPr>
          <w:rFonts w:ascii="Verdana" w:hAnsi="Verdana"/>
        </w:rPr>
        <w:t xml:space="preserve">esencialmente </w:t>
      </w:r>
      <w:r w:rsidR="00DF13F4" w:rsidRPr="00F858AE">
        <w:rPr>
          <w:rFonts w:ascii="Verdana" w:eastAsia="Calibri" w:hAnsi="Verdana" w:cs="Arial"/>
          <w:lang w:val="es-ES_tradnl"/>
        </w:rPr>
        <w:t xml:space="preserve">en los siguientes supuestos a saber: i) la falta de entrega o </w:t>
      </w:r>
      <w:proofErr w:type="spellStart"/>
      <w:r w:rsidR="00DF13F4" w:rsidRPr="00F858AE">
        <w:rPr>
          <w:rFonts w:ascii="Verdana" w:eastAsia="Calibri" w:hAnsi="Verdana" w:cs="Arial"/>
          <w:lang w:val="es-ES_tradnl"/>
        </w:rPr>
        <w:t>ii</w:t>
      </w:r>
      <w:proofErr w:type="spellEnd"/>
      <w:r w:rsidR="00DF13F4" w:rsidRPr="00F858AE">
        <w:rPr>
          <w:rFonts w:ascii="Verdana" w:eastAsia="Calibri" w:hAnsi="Verdana" w:cs="Arial"/>
          <w:lang w:val="es-ES_tradnl"/>
        </w:rPr>
        <w:t>) los defectos de los requisitos habilitantes. Así las cosas, la norma en mención dispone un criterio claro para determinar si la ausencia de documentos o requisitos de la oferta conlleva a su rechazo o al requerimiento del proponente para que la subsane. Bajo este contexto, debe tenerse en consideración que los requisitos o documentos que no sean necesarios para la comparación de las ofertas pueden subsanarse.</w:t>
      </w:r>
    </w:p>
    <w:p w14:paraId="2970392D" w14:textId="1C5CDD6D" w:rsidR="001B6212" w:rsidRPr="00F858AE" w:rsidRDefault="001B6212" w:rsidP="00DA4A5E">
      <w:pPr>
        <w:pStyle w:val="Prrafodelista"/>
        <w:spacing w:after="120" w:line="276" w:lineRule="auto"/>
        <w:ind w:left="360"/>
        <w:jc w:val="both"/>
        <w:rPr>
          <w:rFonts w:ascii="Verdana" w:eastAsia="Calibri" w:hAnsi="Verdana" w:cs="Arial"/>
          <w:lang w:val="es-ES_tradnl" w:eastAsia="es-MX"/>
        </w:rPr>
      </w:pPr>
    </w:p>
    <w:p w14:paraId="303C4AD3" w14:textId="39B5679C" w:rsidR="002C1427" w:rsidRPr="00F858AE" w:rsidRDefault="002C1427" w:rsidP="002C1427">
      <w:pPr>
        <w:pStyle w:val="Prrafodelista"/>
        <w:numPr>
          <w:ilvl w:val="0"/>
          <w:numId w:val="19"/>
        </w:numPr>
        <w:spacing w:after="0"/>
        <w:jc w:val="both"/>
        <w:rPr>
          <w:rFonts w:ascii="Verdana" w:eastAsia="Calibri" w:hAnsi="Verdana" w:cs="Arial"/>
          <w:lang w:val="es-ES_tradnl"/>
        </w:rPr>
      </w:pPr>
      <w:r w:rsidRPr="00F858AE">
        <w:rPr>
          <w:rFonts w:ascii="Verdana" w:eastAsia="Calibri" w:hAnsi="Verdana" w:cs="Arial"/>
          <w:lang w:val="es-ES_tradnl"/>
        </w:rPr>
        <w:t xml:space="preserve">Así, bastará con un simple ejercicio de verificación consistente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r w:rsidRPr="00F858AE">
        <w:rPr>
          <w:rFonts w:ascii="Verdana" w:eastAsia="Calibri" w:hAnsi="Verdana" w:cs="Arial"/>
        </w:rPr>
        <w:t xml:space="preserve">Ahora bien, el artículo 5 de la Ley 1150 de 2007, además de consagrar un criterio claro de </w:t>
      </w:r>
      <w:proofErr w:type="spellStart"/>
      <w:r w:rsidRPr="00F858AE">
        <w:rPr>
          <w:rFonts w:ascii="Verdana" w:eastAsia="Calibri" w:hAnsi="Verdana" w:cs="Arial"/>
        </w:rPr>
        <w:t>subsanabilidad</w:t>
      </w:r>
      <w:proofErr w:type="spellEnd"/>
      <w:r w:rsidRPr="00F858AE">
        <w:rPr>
          <w:rFonts w:ascii="Verdana" w:eastAsia="Calibri" w:hAnsi="Verdana" w:cs="Arial"/>
        </w:rPr>
        <w:t>, y, de paso, reducir la discrecionalidad de la Administración, fijó un ámbito temporal para que las entidades requirieran la subsanación de las ofertas: “en cualquier momento, hasta la adjudicación”.</w:t>
      </w:r>
    </w:p>
    <w:p w14:paraId="65BA23A5" w14:textId="77777777" w:rsidR="002C1427" w:rsidRPr="00F858AE" w:rsidRDefault="002C1427" w:rsidP="00DA4A5E">
      <w:pPr>
        <w:pStyle w:val="Prrafodelista"/>
        <w:spacing w:after="120" w:line="276" w:lineRule="auto"/>
        <w:ind w:left="360"/>
        <w:jc w:val="both"/>
        <w:rPr>
          <w:rFonts w:ascii="Verdana" w:eastAsia="Calibri" w:hAnsi="Verdana" w:cs="Arial"/>
          <w:lang w:val="es-ES_tradnl" w:eastAsia="es-MX"/>
        </w:rPr>
      </w:pPr>
    </w:p>
    <w:bookmarkEnd w:id="6"/>
    <w:p w14:paraId="080BE9FE" w14:textId="77777777" w:rsidR="00220A24" w:rsidRPr="00F858AE" w:rsidRDefault="0005235A" w:rsidP="00220A24">
      <w:pPr>
        <w:pStyle w:val="Prrafodelista"/>
        <w:numPr>
          <w:ilvl w:val="0"/>
          <w:numId w:val="19"/>
        </w:numPr>
        <w:spacing w:after="0"/>
        <w:jc w:val="both"/>
        <w:rPr>
          <w:rFonts w:ascii="Verdana" w:eastAsia="Calibri" w:hAnsi="Verdana" w:cs="Arial"/>
        </w:rPr>
      </w:pPr>
      <w:r w:rsidRPr="00F858AE">
        <w:rPr>
          <w:rFonts w:ascii="Verdana" w:eastAsia="Calibri" w:hAnsi="Verdana" w:cs="Arial"/>
        </w:rPr>
        <w:t xml:space="preserve">Frente al asunto debe señalarse que la Agencia Nacional de Contratación Pública – Colombia Compra Eficiente, en la Circular Externa Única precisó que, si durante un proceso de contratación hay proponentes que no acreditaron en sus ofertas requisitos que no afectan la asignación de puntaje o la comparación de </w:t>
      </w:r>
      <w:proofErr w:type="gramStart"/>
      <w:r w:rsidRPr="00F858AE">
        <w:rPr>
          <w:rFonts w:ascii="Verdana" w:eastAsia="Calibri" w:hAnsi="Verdana" w:cs="Arial"/>
        </w:rPr>
        <w:t>las mismas</w:t>
      </w:r>
      <w:proofErr w:type="gramEnd"/>
      <w:r w:rsidRPr="00F858AE">
        <w:rPr>
          <w:rFonts w:ascii="Verdana" w:eastAsia="Calibri" w:hAnsi="Verdana" w:cs="Arial"/>
        </w:rPr>
        <w:t xml:space="preserve">, la Entidad Estatal deberá indicarlo en el </w:t>
      </w:r>
      <w:r w:rsidRPr="00F858AE">
        <w:rPr>
          <w:rFonts w:ascii="Verdana" w:eastAsia="Calibri" w:hAnsi="Verdana" w:cs="Arial"/>
        </w:rPr>
        <w:lastRenderedPageBreak/>
        <w:t>informe de evaluación y advertir que la correspondiente oferta no será evaluada hasta que se subsane.</w:t>
      </w:r>
    </w:p>
    <w:p w14:paraId="4C1C7171" w14:textId="77777777" w:rsidR="00220A24" w:rsidRPr="00F858AE" w:rsidRDefault="00220A24" w:rsidP="00220A24">
      <w:pPr>
        <w:pStyle w:val="Prrafodelista"/>
        <w:rPr>
          <w:rFonts w:ascii="Verdana" w:eastAsia="Calibri" w:hAnsi="Verdana" w:cs="Arial"/>
          <w:lang w:val="es-ES_tradnl"/>
        </w:rPr>
      </w:pPr>
    </w:p>
    <w:p w14:paraId="5BD6F1E4" w14:textId="77777777" w:rsidR="00B462D7" w:rsidRPr="00F858AE" w:rsidRDefault="003179D7" w:rsidP="00B462D7">
      <w:pPr>
        <w:pStyle w:val="Prrafodelista"/>
        <w:numPr>
          <w:ilvl w:val="0"/>
          <w:numId w:val="19"/>
        </w:numPr>
        <w:spacing w:after="0"/>
        <w:jc w:val="both"/>
        <w:rPr>
          <w:rFonts w:ascii="Verdana" w:eastAsia="Calibri" w:hAnsi="Verdana" w:cs="Arial"/>
          <w:lang w:val="es-ES_tradnl"/>
        </w:rPr>
      </w:pPr>
      <w:r w:rsidRPr="00F858AE">
        <w:rPr>
          <w:rFonts w:ascii="Verdana" w:eastAsia="Calibri" w:hAnsi="Verdana" w:cs="Arial"/>
          <w:lang w:val="es-ES_tradnl"/>
        </w:rPr>
        <w:t xml:space="preserve">En línea con lo expuesto, se evidencia que en lo relacionado al ámbito temporal para subsanar la oferta se cuenta con una regla general y una excepción. </w:t>
      </w:r>
      <w:r w:rsidR="00220A24" w:rsidRPr="00F858AE">
        <w:rPr>
          <w:rFonts w:ascii="Verdana" w:eastAsia="Arial" w:hAnsi="Verdana" w:cs="Arial"/>
          <w:color w:val="000000"/>
          <w:lang w:eastAsia="es-MX"/>
        </w:rPr>
        <w:t>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00220A24" w:rsidRPr="00F858AE">
        <w:rPr>
          <w:rFonts w:ascii="Verdana" w:hAnsi="Verdana"/>
          <w:vertAlign w:val="superscript"/>
          <w:lang w:eastAsia="es-MX"/>
        </w:rPr>
        <w:footnoteReference w:id="3"/>
      </w:r>
      <w:r w:rsidR="00220A24" w:rsidRPr="00F858AE">
        <w:rPr>
          <w:rFonts w:ascii="Verdana" w:eastAsia="Arial" w:hAnsi="Verdana" w:cs="Arial"/>
          <w:color w:val="000000"/>
          <w:lang w:eastAsia="es-MX"/>
        </w:rPr>
        <w:t>.</w:t>
      </w:r>
    </w:p>
    <w:p w14:paraId="600A9D0E" w14:textId="77777777" w:rsidR="00B462D7" w:rsidRPr="00F858AE" w:rsidRDefault="00B462D7" w:rsidP="00B462D7">
      <w:pPr>
        <w:pStyle w:val="Prrafodelista"/>
        <w:rPr>
          <w:rFonts w:ascii="Verdana" w:eastAsia="Times New Roman" w:hAnsi="Verdana" w:cs="Arial"/>
          <w:color w:val="000000"/>
          <w:shd w:val="clear" w:color="auto" w:fill="FFFFFF"/>
          <w:lang w:eastAsia="es-MX"/>
        </w:rPr>
      </w:pPr>
    </w:p>
    <w:p w14:paraId="42E5BBFF" w14:textId="77777777" w:rsidR="00A61470" w:rsidRPr="00F858AE" w:rsidRDefault="00B462D7" w:rsidP="00A61470">
      <w:pPr>
        <w:pStyle w:val="Prrafodelista"/>
        <w:numPr>
          <w:ilvl w:val="0"/>
          <w:numId w:val="19"/>
        </w:numPr>
        <w:spacing w:after="0"/>
        <w:jc w:val="both"/>
        <w:rPr>
          <w:rFonts w:ascii="Verdana" w:eastAsia="Calibri" w:hAnsi="Verdana" w:cs="Arial"/>
          <w:lang w:val="es-ES_tradnl"/>
        </w:rPr>
      </w:pPr>
      <w:r w:rsidRPr="00F858AE">
        <w:rPr>
          <w:rFonts w:ascii="Verdana" w:eastAsia="Times New Roman" w:hAnsi="Verdana" w:cs="Arial"/>
          <w:color w:val="000000"/>
          <w:shd w:val="clear" w:color="auto" w:fill="FFFFFF"/>
          <w:lang w:eastAsia="es-MX"/>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sidRPr="00F858AE">
        <w:rPr>
          <w:rFonts w:ascii="Verdana" w:eastAsia="Calibri" w:hAnsi="Verdana" w:cs="Arial"/>
          <w:bCs/>
          <w:lang w:val="es-MX" w:eastAsia="es-ES_tradnl"/>
        </w:rPr>
        <w:t>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w:t>
      </w:r>
    </w:p>
    <w:p w14:paraId="0269FE5B" w14:textId="77777777" w:rsidR="00A61470" w:rsidRPr="00F858AE" w:rsidRDefault="00A61470" w:rsidP="00A61470">
      <w:pPr>
        <w:pStyle w:val="Prrafodelista"/>
        <w:rPr>
          <w:rFonts w:ascii="Verdana" w:eastAsia="Calibri" w:hAnsi="Verdana" w:cs="Arial"/>
          <w:lang w:val="es-ES_tradnl"/>
        </w:rPr>
      </w:pPr>
    </w:p>
    <w:p w14:paraId="62243C37" w14:textId="045B7009" w:rsidR="00A61470" w:rsidRPr="00F858AE" w:rsidRDefault="00A61470" w:rsidP="00A61470">
      <w:pPr>
        <w:pStyle w:val="Prrafodelista"/>
        <w:numPr>
          <w:ilvl w:val="0"/>
          <w:numId w:val="19"/>
        </w:numPr>
        <w:spacing w:after="0"/>
        <w:jc w:val="both"/>
        <w:rPr>
          <w:rFonts w:ascii="Verdana" w:eastAsia="Calibri" w:hAnsi="Verdana" w:cs="Arial"/>
          <w:lang w:val="es-ES_tradnl"/>
        </w:rPr>
      </w:pPr>
      <w:r w:rsidRPr="00F858AE">
        <w:rPr>
          <w:rFonts w:ascii="Verdana" w:eastAsia="Calibri" w:hAnsi="Verdana" w:cs="Arial"/>
          <w:lang w:val="es-ES_tradnl"/>
        </w:rPr>
        <w:t xml:space="preserve">Por otro lado, debe tenerse de presente que lo subsanable es la prueba de todas las circunstancias ocurridas antes del vencimiento del término para presentar las ofertas, esto conlleva 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Así, en el caso de la </w:t>
      </w:r>
      <w:proofErr w:type="spellStart"/>
      <w:r w:rsidRPr="00F858AE">
        <w:rPr>
          <w:rFonts w:ascii="Verdana" w:eastAsia="Calibri" w:hAnsi="Verdana" w:cs="Arial"/>
          <w:lang w:val="es-ES_tradnl"/>
        </w:rPr>
        <w:t>subsanabilidad</w:t>
      </w:r>
      <w:proofErr w:type="spellEnd"/>
      <w:r w:rsidRPr="00F858AE">
        <w:rPr>
          <w:rFonts w:ascii="Verdana" w:eastAsia="Calibri" w:hAnsi="Verdana" w:cs="Arial"/>
          <w:lang w:val="es-ES_tradnl"/>
        </w:rPr>
        <w:t xml:space="preserve"> de las ofertas, una cosa es el requisito habilitante o el elemento de la propuesta y otra su prueba. Lo que prohíbe la norma es que se subsanen requisitos que no estaban materialmente cumplidos al momento </w:t>
      </w:r>
      <w:r w:rsidRPr="00F858AE">
        <w:rPr>
          <w:rFonts w:ascii="Verdana" w:eastAsia="Calibri" w:hAnsi="Verdana" w:cs="Arial"/>
          <w:lang w:val="es-ES_tradnl"/>
        </w:rPr>
        <w:lastRenderedPageBreak/>
        <w:t>de presentación de la oferta, o en palabras de la ley, que se acrediten hechos que ocurrieron después del cierre del proceso</w:t>
      </w:r>
      <w:r w:rsidRPr="00F858AE">
        <w:rPr>
          <w:rFonts w:ascii="Verdana" w:hAnsi="Verdana"/>
          <w:vertAlign w:val="superscript"/>
        </w:rPr>
        <w:footnoteReference w:id="4"/>
      </w:r>
      <w:r w:rsidRPr="00F858AE">
        <w:rPr>
          <w:rFonts w:ascii="Verdana" w:eastAsia="Calibri" w:hAnsi="Verdana" w:cs="Arial"/>
          <w:lang w:val="es-ES_tradnl"/>
        </w:rPr>
        <w:t xml:space="preserve">. </w:t>
      </w:r>
    </w:p>
    <w:p w14:paraId="21B4A826" w14:textId="77777777" w:rsidR="00740E90" w:rsidRPr="00F858AE" w:rsidRDefault="00740E90" w:rsidP="0094167F">
      <w:pPr>
        <w:pStyle w:val="Prrafodelista"/>
        <w:spacing w:after="120" w:line="276" w:lineRule="auto"/>
        <w:ind w:left="360"/>
        <w:jc w:val="both"/>
        <w:rPr>
          <w:rFonts w:ascii="Verdana" w:eastAsia="Calibri" w:hAnsi="Verdana" w:cs="Arial"/>
          <w:lang w:val="es-CO" w:eastAsia="es-MX"/>
        </w:rPr>
      </w:pPr>
    </w:p>
    <w:p w14:paraId="6EF32A98" w14:textId="77777777" w:rsidR="009B6DAA" w:rsidRPr="00F858AE" w:rsidRDefault="009B6DAA" w:rsidP="009B6DAA">
      <w:pPr>
        <w:pStyle w:val="Prrafodelista"/>
        <w:numPr>
          <w:ilvl w:val="0"/>
          <w:numId w:val="19"/>
        </w:numPr>
        <w:jc w:val="both"/>
        <w:rPr>
          <w:rFonts w:ascii="Verdana" w:eastAsia="Calibri" w:hAnsi="Verdana" w:cs="Arial"/>
          <w:lang w:val="es-CO"/>
        </w:rPr>
      </w:pPr>
      <w:r w:rsidRPr="00F858AE">
        <w:rPr>
          <w:rFonts w:ascii="Verdana" w:eastAsia="Calibri" w:hAnsi="Verdana" w:cs="Arial"/>
          <w:lang w:val="es-ES_tradnl"/>
          <w14:ligatures w14:val="standardContextua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F858AE">
        <w:rPr>
          <w:rFonts w:ascii="Verdana" w:eastAsia="Calibri" w:hAnsi="Verdana" w:cs="Arial"/>
          <w:lang w:val="es-ES_tradnl"/>
          <w14:ligatures w14:val="standardContextual"/>
        </w:rPr>
        <w:t>que</w:t>
      </w:r>
      <w:proofErr w:type="gramEnd"/>
      <w:r w:rsidRPr="00F858AE">
        <w:rPr>
          <w:rFonts w:ascii="Verdana" w:eastAsia="Calibri" w:hAnsi="Verdana" w:cs="Arial"/>
          <w:lang w:val="es-ES_tradnl"/>
          <w14:ligatures w14:val="standardContextua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F858AE">
        <w:rPr>
          <w:rFonts w:ascii="Verdana" w:hAnsi="Verdana"/>
          <w:vertAlign w:val="superscript"/>
        </w:rPr>
        <w:footnoteReference w:id="5"/>
      </w:r>
      <w:r w:rsidRPr="00F858AE">
        <w:rPr>
          <w:rFonts w:ascii="Verdana" w:eastAsia="Calibri" w:hAnsi="Verdana" w:cs="Arial"/>
          <w:lang w:val="es-ES_tradnl"/>
          <w14:ligatures w14:val="standardContextual"/>
        </w:rPr>
        <w:t xml:space="preserve">. </w:t>
      </w:r>
    </w:p>
    <w:p w14:paraId="4FDA6E5B" w14:textId="77777777" w:rsidR="006A5685" w:rsidRPr="00F858AE" w:rsidRDefault="006A5685" w:rsidP="006A5685">
      <w:pPr>
        <w:pStyle w:val="Prrafodelista"/>
        <w:rPr>
          <w:rFonts w:ascii="Verdana" w:eastAsia="Calibri" w:hAnsi="Verdana" w:cs="Arial"/>
          <w:lang w:val="es-CO"/>
        </w:rPr>
      </w:pPr>
    </w:p>
    <w:p w14:paraId="1B460A6F" w14:textId="26FC7ACE" w:rsidR="004327F7" w:rsidRPr="00F858AE" w:rsidRDefault="00D24719" w:rsidP="004327F7">
      <w:pPr>
        <w:pStyle w:val="Prrafodelista"/>
        <w:numPr>
          <w:ilvl w:val="0"/>
          <w:numId w:val="19"/>
        </w:numPr>
        <w:spacing w:after="0"/>
        <w:jc w:val="both"/>
        <w:rPr>
          <w:rFonts w:ascii="Verdana" w:eastAsia="Calibri" w:hAnsi="Verdana" w:cs="Arial"/>
          <w:lang w:val="es-CO"/>
        </w:rPr>
      </w:pPr>
      <w:r w:rsidRPr="00F858AE">
        <w:rPr>
          <w:rFonts w:ascii="Verdana" w:eastAsia="Calibri" w:hAnsi="Verdana" w:cs="Arial"/>
          <w:lang w:val="es-CO"/>
        </w:rPr>
        <w:t xml:space="preserve">De lo expuesto, se concluye que </w:t>
      </w:r>
      <w:r w:rsidRPr="00F858AE">
        <w:rPr>
          <w:rFonts w:ascii="Verdana" w:hAnsi="Verdana" w:cs="Arial"/>
          <w:color w:val="000000" w:themeColor="text1"/>
        </w:rPr>
        <w:t xml:space="preserve">la subsanación de los requisitos habilitantes conforme a lo dispuesto en el </w:t>
      </w:r>
      <w:r w:rsidRPr="00F858AE">
        <w:rPr>
          <w:rFonts w:ascii="Verdana" w:eastAsia="Calibri" w:hAnsi="Verdana" w:cs="Arial"/>
          <w:lang w:val="es-ES_tradnl"/>
        </w:rPr>
        <w:t>artículo 5 de la Ley 1150 de 2007</w:t>
      </w:r>
      <w:r w:rsidRPr="00F858AE">
        <w:rPr>
          <w:rFonts w:ascii="Verdana" w:eastAsia="Calibri" w:hAnsi="Verdana" w:cs="Arial"/>
          <w:color w:val="000000" w:themeColor="text1"/>
        </w:rPr>
        <w:t xml:space="preserve"> adicionado por la Ley 1882 de 2018–, es </w:t>
      </w:r>
      <w:r w:rsidR="00C42034" w:rsidRPr="00F858AE">
        <w:rPr>
          <w:rFonts w:ascii="Verdana" w:eastAsia="Calibri" w:hAnsi="Verdana" w:cs="Arial"/>
          <w:color w:val="000000" w:themeColor="text1"/>
        </w:rPr>
        <w:t xml:space="preserve">jurídicamente </w:t>
      </w:r>
      <w:r w:rsidRPr="00F858AE">
        <w:rPr>
          <w:rFonts w:ascii="Verdana" w:eastAsia="Calibri" w:hAnsi="Verdana" w:cs="Arial"/>
          <w:color w:val="000000" w:themeColor="text1"/>
        </w:rPr>
        <w:t>viable</w:t>
      </w:r>
      <w:r w:rsidR="00C42034" w:rsidRPr="00F858AE">
        <w:rPr>
          <w:rFonts w:ascii="Verdana" w:eastAsia="Calibri" w:hAnsi="Verdana" w:cs="Arial"/>
          <w:color w:val="000000" w:themeColor="text1"/>
        </w:rPr>
        <w:t xml:space="preserve">, toda vez que estos </w:t>
      </w:r>
      <w:r w:rsidRPr="00F858AE">
        <w:rPr>
          <w:rFonts w:ascii="Verdana" w:eastAsia="Calibri" w:hAnsi="Verdana" w:cs="Arial"/>
          <w:color w:val="000000" w:themeColor="text1"/>
        </w:rPr>
        <w:t xml:space="preserve">aspectos no son un factor susceptible de evaluación mediante la asignación de puntaje. En ese orden, las Entidades Estatales deben permitir a los oferentes subsanar los defectos de los requisitos habilitantes de las propuestas presentadas, en tanto a que es un asunto al que no se le asigna </w:t>
      </w:r>
      <w:r w:rsidRPr="00F858AE">
        <w:rPr>
          <w:rFonts w:ascii="Verdana" w:eastAsia="Calibri" w:hAnsi="Verdana" w:cs="Arial"/>
          <w:color w:val="000000" w:themeColor="text1"/>
        </w:rPr>
        <w:lastRenderedPageBreak/>
        <w:t>puntaje y en este sentido no podría interpretarse como un mejoramiento de la oferta</w:t>
      </w:r>
      <w:r w:rsidR="004327F7" w:rsidRPr="00F858AE">
        <w:rPr>
          <w:rFonts w:ascii="Verdana" w:eastAsia="Calibri" w:hAnsi="Verdana" w:cs="Arial"/>
          <w:color w:val="000000" w:themeColor="text1"/>
        </w:rPr>
        <w:t>.</w:t>
      </w:r>
      <w:bookmarkEnd w:id="1"/>
    </w:p>
    <w:p w14:paraId="7D89F8D4" w14:textId="77777777" w:rsidR="004327F7" w:rsidRPr="00F858AE" w:rsidRDefault="004327F7" w:rsidP="004327F7">
      <w:pPr>
        <w:spacing w:after="0"/>
        <w:jc w:val="both"/>
        <w:rPr>
          <w:rFonts w:ascii="Verdana" w:eastAsia="Calibri" w:hAnsi="Verdana" w:cs="Arial"/>
        </w:rPr>
      </w:pPr>
    </w:p>
    <w:p w14:paraId="399BC19B" w14:textId="77777777" w:rsidR="00682629" w:rsidRPr="00F858AE" w:rsidRDefault="00682629" w:rsidP="004327F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858AE">
        <w:rPr>
          <w:rFonts w:ascii="Verdana" w:eastAsia="Century Gothic" w:hAnsi="Verdana" w:cs="Century Gothic"/>
          <w:b/>
          <w:bCs/>
        </w:rPr>
        <w:t>Referencias normativas, jurisprudenciales y otras fuentes:</w:t>
      </w:r>
    </w:p>
    <w:p w14:paraId="275F302D" w14:textId="77777777" w:rsidR="00682629" w:rsidRPr="00F858AE" w:rsidRDefault="00682629" w:rsidP="0068262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82629" w:rsidRPr="00F858AE" w14:paraId="4E1E2786" w14:textId="77777777" w:rsidTr="0027586E">
        <w:trPr>
          <w:trHeight w:val="203"/>
        </w:trPr>
        <w:tc>
          <w:tcPr>
            <w:tcW w:w="8647" w:type="dxa"/>
          </w:tcPr>
          <w:p w14:paraId="09C7F229" w14:textId="6D5EB771" w:rsidR="00682629" w:rsidRPr="00F858AE" w:rsidRDefault="00682629" w:rsidP="00016F30">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F858AE">
              <w:rPr>
                <w:rFonts w:ascii="Verdana" w:hAnsi="Verdana" w:cs="Arial"/>
              </w:rPr>
              <w:t xml:space="preserve">Ley </w:t>
            </w:r>
            <w:r w:rsidRPr="00F858AE">
              <w:rPr>
                <w:rFonts w:ascii="Verdana" w:eastAsia="Calibri" w:hAnsi="Verdana" w:cs="Arial"/>
              </w:rPr>
              <w:t>1150 de 2007. Artículo 5. Artículo 2.</w:t>
            </w:r>
          </w:p>
          <w:p w14:paraId="56A1D121" w14:textId="77777777" w:rsidR="00682629" w:rsidRPr="00F858AE" w:rsidRDefault="00682629" w:rsidP="00016F30">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F858AE">
              <w:rPr>
                <w:rFonts w:ascii="Verdana" w:hAnsi="Verdana" w:cs="Arial"/>
              </w:rPr>
              <w:t>Ley 1882 de 2018. Artículo 5.</w:t>
            </w:r>
          </w:p>
          <w:p w14:paraId="0366C8EE" w14:textId="77777777" w:rsidR="00682629" w:rsidRPr="00F858AE" w:rsidRDefault="00682629" w:rsidP="00016F30">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F858AE">
              <w:rPr>
                <w:rFonts w:ascii="Verdana" w:eastAsia="Calibri" w:hAnsi="Verdana" w:cs="Arial"/>
                <w:bCs/>
                <w:color w:val="000000"/>
                <w:lang w:val="es-ES_tradnl" w:eastAsia="es-ES_tradnl" w:bidi="es-ES"/>
              </w:rPr>
              <w:t>Consejo de Estado. Sección Tercera. Subsección C. Sentencia del 26 de febrero de 2014. Expediente: 25.804. Consejero Ponente: Enrique Gil Botero.</w:t>
            </w:r>
          </w:p>
          <w:p w14:paraId="1936F767" w14:textId="77777777" w:rsidR="00682629" w:rsidRPr="00F858AE" w:rsidRDefault="00682629" w:rsidP="00016F30">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F858AE">
              <w:rPr>
                <w:rFonts w:ascii="Verdana" w:hAnsi="Verdana" w:cs="Arial"/>
              </w:rPr>
              <w:t>Consejo de Estado. Sala de Consulta y Servicio Civil. Concepto del 20 de mayo de 2010. Expediente: 1992. Consejero Ponente: Enrique José Arboleda Perdomo.</w:t>
            </w:r>
          </w:p>
          <w:p w14:paraId="2B4F0A2E" w14:textId="77777777" w:rsidR="00682629" w:rsidRPr="00F858AE" w:rsidRDefault="00682629" w:rsidP="00016F30">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F858AE">
              <w:rPr>
                <w:rFonts w:ascii="Verdana" w:hAnsi="Verdana" w:cs="Arial"/>
              </w:rPr>
              <w:t xml:space="preserve">Circular Externa Única - Agencia Nacional de Contratación Pública Colombia Compra Eficiente. Disponible para consulta en: </w:t>
            </w:r>
            <w:hyperlink r:id="rId12" w:history="1">
              <w:r w:rsidRPr="00F858AE">
                <w:rPr>
                  <w:rStyle w:val="Hipervnculo"/>
                  <w:rFonts w:ascii="Verdana" w:hAnsi="Verdana" w:cs="Arial"/>
                </w:rPr>
                <w:t>https://colombiacompra.gov.co/sites/cce_public/files/cce_circulares/circular_externa_unica_version_3_vf49.pdf</w:t>
              </w:r>
            </w:hyperlink>
            <w:r w:rsidRPr="00F858AE">
              <w:rPr>
                <w:rFonts w:ascii="Verdana" w:hAnsi="Verdana" w:cs="Arial"/>
              </w:rPr>
              <w:t xml:space="preserve"> </w:t>
            </w:r>
          </w:p>
          <w:p w14:paraId="6CBDF2F2" w14:textId="3564D3BB" w:rsidR="000A57E4" w:rsidRPr="00F858AE" w:rsidRDefault="000A57E4" w:rsidP="0027586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F858AE">
              <w:rPr>
                <w:rFonts w:ascii="Verdana" w:hAnsi="Verdana" w:cs="Arial"/>
              </w:rPr>
              <w:t xml:space="preserve">Manual para Determinar y Verificar los Requisitos Habilitantes en los Procesos De Contratación expedido por la Agencia Nacional de Contratación Pública – Colombia Compra Eficiente. Disponible en: </w:t>
            </w:r>
            <w:hyperlink r:id="rId13" w:history="1">
              <w:r w:rsidRPr="00F858AE">
                <w:rPr>
                  <w:rStyle w:val="Hipervnculo"/>
                  <w:rFonts w:ascii="Verdana" w:hAnsi="Verdana" w:cs="Arial"/>
                </w:rPr>
                <w:t>https://colombiacompra.gov.co/sites/cce_public/files/cce_documents/cce-eicp-ma-04._manual_requisitos_habilitantes_v3_29-09-2023.pdf</w:t>
              </w:r>
            </w:hyperlink>
            <w:r w:rsidRPr="00F858AE">
              <w:rPr>
                <w:rFonts w:ascii="Verdana" w:hAnsi="Verdana" w:cs="Arial"/>
              </w:rPr>
              <w:t xml:space="preserve">. </w:t>
            </w:r>
          </w:p>
        </w:tc>
      </w:tr>
    </w:tbl>
    <w:p w14:paraId="75DF1206" w14:textId="77777777" w:rsidR="00682629" w:rsidRPr="00F858AE" w:rsidRDefault="00682629" w:rsidP="00682629">
      <w:pPr>
        <w:widowControl w:val="0"/>
        <w:autoSpaceDE w:val="0"/>
        <w:autoSpaceDN w:val="0"/>
        <w:spacing w:after="0" w:line="276" w:lineRule="auto"/>
        <w:jc w:val="both"/>
        <w:rPr>
          <w:rFonts w:ascii="Verdana" w:hAnsi="Verdana" w:cs="Arial"/>
        </w:rPr>
      </w:pPr>
    </w:p>
    <w:p w14:paraId="09C361ED" w14:textId="77777777" w:rsidR="00682629" w:rsidRPr="00F858AE" w:rsidRDefault="00682629" w:rsidP="006826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858AE">
        <w:rPr>
          <w:rFonts w:ascii="Verdana" w:eastAsia="Century Gothic" w:hAnsi="Verdana" w:cs="Century Gothic"/>
          <w:b/>
          <w:bCs/>
        </w:rPr>
        <w:t>Doctrina de la Agencia Nacional de Contratación Pública:</w:t>
      </w:r>
    </w:p>
    <w:p w14:paraId="27906A63" w14:textId="77777777" w:rsidR="00682629" w:rsidRPr="00F858AE" w:rsidRDefault="00682629" w:rsidP="00682629">
      <w:pPr>
        <w:widowControl w:val="0"/>
        <w:autoSpaceDE w:val="0"/>
        <w:autoSpaceDN w:val="0"/>
        <w:spacing w:after="0" w:line="276" w:lineRule="auto"/>
        <w:jc w:val="both"/>
        <w:rPr>
          <w:rFonts w:ascii="Verdana" w:hAnsi="Verdana" w:cs="Arial"/>
        </w:rPr>
      </w:pPr>
    </w:p>
    <w:p w14:paraId="6A4E0EA9" w14:textId="3D432AF5" w:rsidR="00682629" w:rsidRPr="00F858AE" w:rsidRDefault="00BC75CE" w:rsidP="00682629">
      <w:pPr>
        <w:widowControl w:val="0"/>
        <w:autoSpaceDE w:val="0"/>
        <w:autoSpaceDN w:val="0"/>
        <w:spacing w:after="0" w:line="276" w:lineRule="auto"/>
        <w:jc w:val="both"/>
        <w:rPr>
          <w:rFonts w:ascii="Verdana" w:hAnsi="Verdana" w:cs="Arial"/>
          <w:shd w:val="clear" w:color="auto" w:fill="FFFFFF"/>
          <w:lang w:val="es-ES"/>
        </w:rPr>
      </w:pPr>
      <w:r w:rsidRPr="00F858AE">
        <w:rPr>
          <w:rStyle w:val="normaltextrun"/>
          <w:rFonts w:ascii="Verdana" w:hAnsi="Verdana" w:cs="Arial"/>
          <w:shd w:val="clear" w:color="auto" w:fill="FFFFFF"/>
          <w:lang w:val="es-ES"/>
        </w:rPr>
        <w:t>Sobre los requisitos habilitantes</w:t>
      </w:r>
      <w:r w:rsidR="00CE4231" w:rsidRPr="00F858AE">
        <w:rPr>
          <w:rStyle w:val="normaltextrun"/>
          <w:rFonts w:ascii="Verdana" w:hAnsi="Verdana" w:cs="Arial"/>
          <w:shd w:val="clear" w:color="auto" w:fill="FFFFFF"/>
          <w:lang w:val="es-ES"/>
        </w:rPr>
        <w:t xml:space="preserve"> </w:t>
      </w:r>
      <w:r w:rsidRPr="00F858AE">
        <w:rPr>
          <w:rStyle w:val="normaltextrun"/>
          <w:rFonts w:ascii="Verdana" w:hAnsi="Verdana" w:cs="Arial"/>
          <w:shd w:val="clear" w:color="auto" w:fill="FFFFFF"/>
          <w:lang w:val="es-ES"/>
        </w:rPr>
        <w:t>esta Subdirección se ha pronunciado en los conceptos</w:t>
      </w:r>
      <w:r w:rsidR="00244509" w:rsidRPr="00F858AE">
        <w:rPr>
          <w:rStyle w:val="normaltextrun"/>
          <w:rFonts w:ascii="Verdana" w:hAnsi="Verdana" w:cs="Arial"/>
          <w:shd w:val="clear" w:color="auto" w:fill="FFFFFF"/>
          <w:lang w:val="es-ES"/>
        </w:rPr>
        <w:t xml:space="preserve"> Nro.</w:t>
      </w:r>
      <w:r w:rsidRPr="00F858AE">
        <w:rPr>
          <w:rStyle w:val="normaltextrun"/>
          <w:rFonts w:ascii="Verdana" w:hAnsi="Verdana" w:cs="Calibri"/>
          <w:shd w:val="clear" w:color="auto" w:fill="FFFFFF"/>
        </w:rPr>
        <w:t xml:space="preserve"> </w:t>
      </w:r>
      <w:r w:rsidRPr="00F858AE">
        <w:rPr>
          <w:rStyle w:val="normaltextrun"/>
          <w:rFonts w:ascii="Verdana" w:hAnsi="Verdana" w:cs="Arial"/>
          <w:shd w:val="clear" w:color="auto" w:fill="FFFFFF"/>
          <w:lang w:val="es-ES"/>
        </w:rPr>
        <w:t xml:space="preserve">C-120 del 3 de marzo de 2020, C-204 del 31 de marzo de 2020, C-099 del 6 de abril de 2020, C-195 del 13 de abril de 2020, C-013 del 17 de abril de 2020, C-330 del 27 de mayo de 2020, C-396 de 16 de julio de 2020 y C-142 del 30 de marzo de 2022. </w:t>
      </w:r>
      <w:r w:rsidR="00AC5FC1" w:rsidRPr="00F858AE">
        <w:rPr>
          <w:rFonts w:ascii="Verdana" w:eastAsia="Calibri" w:hAnsi="Verdana" w:cs="Arial"/>
          <w:lang w:val="es-MX"/>
        </w:rPr>
        <w:t>Igualmente</w:t>
      </w:r>
      <w:r w:rsidR="00FE74AE" w:rsidRPr="00F858AE">
        <w:rPr>
          <w:rStyle w:val="normaltextrun"/>
          <w:rFonts w:ascii="Verdana" w:hAnsi="Verdana" w:cs="Arial"/>
          <w:shd w:val="clear" w:color="auto" w:fill="FFFFFF"/>
          <w:lang w:val="es-MX"/>
        </w:rPr>
        <w:t>,</w:t>
      </w:r>
      <w:r w:rsidR="003A48EC" w:rsidRPr="00F858AE">
        <w:rPr>
          <w:rStyle w:val="normaltextrun"/>
          <w:rFonts w:ascii="Verdana" w:hAnsi="Verdana" w:cs="Arial"/>
          <w:shd w:val="clear" w:color="auto" w:fill="FFFFFF"/>
          <w:lang w:val="es-MX"/>
        </w:rPr>
        <w:t xml:space="preserve"> </w:t>
      </w:r>
      <w:r w:rsidR="009E21F3" w:rsidRPr="00F858AE">
        <w:rPr>
          <w:rStyle w:val="normaltextrun"/>
          <w:rFonts w:ascii="Verdana" w:hAnsi="Verdana" w:cs="Arial"/>
          <w:shd w:val="clear" w:color="auto" w:fill="FFFFFF"/>
          <w:lang w:val="es-ES"/>
        </w:rPr>
        <w:t xml:space="preserve">en los </w:t>
      </w:r>
      <w:r w:rsidRPr="00F858AE">
        <w:rPr>
          <w:rStyle w:val="normaltextrun"/>
          <w:rFonts w:ascii="Verdana" w:hAnsi="Verdana" w:cs="Arial"/>
          <w:shd w:val="clear" w:color="auto" w:fill="FFFFFF"/>
          <w:lang w:val="es-ES"/>
        </w:rPr>
        <w:t>conceptos C-218 del 2 de abril de 2020, C-307 del 21 de mayo de 2020, C-391 del 10 de agosto de 2020, C-675 del 25 de noviembre de 2020 y C-683 del 21 de noviembre de 2020, C-779 del 20 de septiembre de 2020, C-882 del 21 de diciembre de 2022</w:t>
      </w:r>
      <w:r w:rsidR="009E21F3" w:rsidRPr="00F858AE">
        <w:rPr>
          <w:rStyle w:val="normaltextrun"/>
          <w:rFonts w:ascii="Verdana" w:hAnsi="Verdana" w:cs="Arial"/>
          <w:shd w:val="clear" w:color="auto" w:fill="FFFFFF"/>
          <w:lang w:val="es-ES"/>
        </w:rPr>
        <w:t xml:space="preserve">, </w:t>
      </w:r>
      <w:r w:rsidRPr="00F858AE">
        <w:rPr>
          <w:rStyle w:val="normaltextrun"/>
          <w:rFonts w:ascii="Verdana" w:hAnsi="Verdana" w:cs="Arial"/>
          <w:shd w:val="clear" w:color="auto" w:fill="FFFFFF"/>
          <w:lang w:val="es-ES"/>
        </w:rPr>
        <w:t>C-426 del 17 de octubre de 2023</w:t>
      </w:r>
      <w:r w:rsidR="00E068BC" w:rsidRPr="00F858AE">
        <w:rPr>
          <w:rStyle w:val="normaltextrun"/>
          <w:rFonts w:ascii="Verdana" w:hAnsi="Verdana" w:cs="Arial"/>
          <w:shd w:val="clear" w:color="auto" w:fill="FFFFFF"/>
          <w:lang w:val="es-ES"/>
        </w:rPr>
        <w:t xml:space="preserve">, </w:t>
      </w:r>
      <w:r w:rsidR="007A349B" w:rsidRPr="00F858AE">
        <w:rPr>
          <w:rStyle w:val="normaltextrun"/>
          <w:rFonts w:ascii="Verdana" w:hAnsi="Verdana" w:cs="Arial"/>
          <w:shd w:val="clear" w:color="auto" w:fill="FFFFFF"/>
          <w:lang w:val="es-ES"/>
        </w:rPr>
        <w:t xml:space="preserve">C-174 del </w:t>
      </w:r>
      <w:r w:rsidR="00DA026B" w:rsidRPr="00F858AE">
        <w:rPr>
          <w:rStyle w:val="normaltextrun"/>
          <w:rFonts w:ascii="Verdana" w:hAnsi="Verdana" w:cs="Arial"/>
          <w:shd w:val="clear" w:color="auto" w:fill="FFFFFF"/>
          <w:lang w:val="es-ES"/>
        </w:rPr>
        <w:t>23 de julo del 2024,</w:t>
      </w:r>
      <w:r w:rsidR="00F953F2" w:rsidRPr="00F858AE">
        <w:rPr>
          <w:rStyle w:val="normaltextrun"/>
          <w:rFonts w:ascii="Verdana" w:hAnsi="Verdana" w:cs="Arial"/>
          <w:shd w:val="clear" w:color="auto" w:fill="FFFFFF"/>
          <w:lang w:val="es-ES"/>
        </w:rPr>
        <w:t xml:space="preserve"> C-</w:t>
      </w:r>
      <w:r w:rsidR="00AE405C" w:rsidRPr="00F858AE">
        <w:rPr>
          <w:rStyle w:val="normaltextrun"/>
          <w:rFonts w:ascii="Verdana" w:hAnsi="Verdana" w:cs="Arial"/>
          <w:shd w:val="clear" w:color="auto" w:fill="FFFFFF"/>
          <w:lang w:val="es-ES"/>
        </w:rPr>
        <w:t xml:space="preserve">168 del 25 de julio </w:t>
      </w:r>
      <w:r w:rsidR="00AE405C" w:rsidRPr="00F858AE">
        <w:rPr>
          <w:rStyle w:val="normaltextrun"/>
          <w:rFonts w:ascii="Verdana" w:hAnsi="Verdana" w:cs="Arial"/>
          <w:shd w:val="clear" w:color="auto" w:fill="FFFFFF"/>
          <w:lang w:val="es-ES"/>
        </w:rPr>
        <w:lastRenderedPageBreak/>
        <w:t xml:space="preserve">del 2024, </w:t>
      </w:r>
      <w:r w:rsidR="00E068BC" w:rsidRPr="00F858AE">
        <w:rPr>
          <w:rStyle w:val="normaltextrun"/>
          <w:rFonts w:ascii="Verdana" w:hAnsi="Verdana" w:cs="Arial"/>
          <w:shd w:val="clear" w:color="auto" w:fill="FFFFFF"/>
          <w:lang w:val="es-ES"/>
        </w:rPr>
        <w:t>C-354 del 03 de agosto del 2024</w:t>
      </w:r>
      <w:r w:rsidR="006B6838" w:rsidRPr="00F858AE">
        <w:rPr>
          <w:rStyle w:val="normaltextrun"/>
          <w:rFonts w:ascii="Verdana" w:hAnsi="Verdana" w:cs="Arial"/>
          <w:shd w:val="clear" w:color="auto" w:fill="FFFFFF"/>
          <w:lang w:val="es-ES"/>
        </w:rPr>
        <w:t xml:space="preserve">, C-198 del 15 de agosto del 2024 </w:t>
      </w:r>
      <w:r w:rsidR="00E068BC" w:rsidRPr="00F858AE">
        <w:rPr>
          <w:rStyle w:val="normaltextrun"/>
          <w:rFonts w:ascii="Verdana" w:hAnsi="Verdana" w:cs="Arial"/>
          <w:shd w:val="clear" w:color="auto" w:fill="FFFFFF"/>
          <w:lang w:val="es-ES"/>
        </w:rPr>
        <w:t xml:space="preserve">y </w:t>
      </w:r>
      <w:r w:rsidR="009E21F3" w:rsidRPr="00F858AE">
        <w:rPr>
          <w:rStyle w:val="normaltextrun"/>
          <w:rFonts w:ascii="Verdana" w:hAnsi="Verdana" w:cs="Arial"/>
          <w:shd w:val="clear" w:color="auto" w:fill="FFFFFF"/>
          <w:lang w:val="es-ES"/>
        </w:rPr>
        <w:t>C-</w:t>
      </w:r>
      <w:r w:rsidR="0049587B" w:rsidRPr="00F858AE">
        <w:rPr>
          <w:rStyle w:val="normaltextrun"/>
          <w:rFonts w:ascii="Verdana" w:hAnsi="Verdana" w:cs="Arial"/>
          <w:shd w:val="clear" w:color="auto" w:fill="FFFFFF"/>
          <w:lang w:val="es-ES"/>
        </w:rPr>
        <w:t>426 del 13 de septiembre del 2024</w:t>
      </w:r>
      <w:r w:rsidR="003A48EC" w:rsidRPr="00F858AE">
        <w:rPr>
          <w:rStyle w:val="normaltextrun"/>
          <w:rFonts w:ascii="Verdana" w:hAnsi="Verdana" w:cs="Arial"/>
          <w:shd w:val="clear" w:color="auto" w:fill="FFFFFF"/>
          <w:lang w:val="es-ES"/>
        </w:rPr>
        <w:t xml:space="preserve">, esta subdirección </w:t>
      </w:r>
      <w:r w:rsidR="00AC5FC1" w:rsidRPr="00F858AE">
        <w:rPr>
          <w:rStyle w:val="normaltextrun"/>
          <w:rFonts w:ascii="Verdana" w:hAnsi="Verdana" w:cs="Arial"/>
          <w:shd w:val="clear" w:color="auto" w:fill="FFFFFF"/>
          <w:lang w:val="es-ES"/>
        </w:rPr>
        <w:t>h</w:t>
      </w:r>
      <w:r w:rsidR="003A48EC" w:rsidRPr="00F858AE">
        <w:rPr>
          <w:rStyle w:val="normaltextrun"/>
          <w:rFonts w:ascii="Verdana" w:hAnsi="Verdana" w:cs="Arial"/>
          <w:shd w:val="clear" w:color="auto" w:fill="FFFFFF"/>
          <w:lang w:val="es-ES"/>
        </w:rPr>
        <w:t xml:space="preserve">a analizado la </w:t>
      </w:r>
      <w:proofErr w:type="spellStart"/>
      <w:r w:rsidR="003A48EC" w:rsidRPr="00F858AE">
        <w:rPr>
          <w:rStyle w:val="normaltextrun"/>
          <w:rFonts w:ascii="Verdana" w:hAnsi="Verdana" w:cs="Arial"/>
          <w:shd w:val="clear" w:color="auto" w:fill="FFFFFF"/>
          <w:lang w:val="es-ES"/>
        </w:rPr>
        <w:t>subsanabilidad</w:t>
      </w:r>
      <w:proofErr w:type="spellEnd"/>
      <w:r w:rsidR="003A48EC" w:rsidRPr="00F858AE">
        <w:rPr>
          <w:rStyle w:val="normaltextrun"/>
          <w:rFonts w:ascii="Verdana" w:hAnsi="Verdana" w:cs="Arial"/>
          <w:shd w:val="clear" w:color="auto" w:fill="FFFFFF"/>
          <w:lang w:val="es-ES"/>
        </w:rPr>
        <w:t xml:space="preserve"> de los requisitos habilitantes. </w:t>
      </w:r>
      <w:r w:rsidR="00682629" w:rsidRPr="00F858AE">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00682629" w:rsidRPr="00F858AE">
          <w:rPr>
            <w:rStyle w:val="Hipervnculo"/>
            <w:rFonts w:ascii="Verdana" w:hAnsi="Verdana" w:cs="Arial"/>
            <w:shd w:val="clear" w:color="auto" w:fill="FFFFFF"/>
          </w:rPr>
          <w:t>https://relatoria.colombiacompra.gov.co/</w:t>
        </w:r>
      </w:hyperlink>
      <w:r w:rsidR="00682629" w:rsidRPr="00F858AE">
        <w:rPr>
          <w:rFonts w:ascii="Verdana" w:hAnsi="Verdana" w:cs="Arial"/>
          <w:shd w:val="clear" w:color="auto" w:fill="FFFFFF"/>
        </w:rPr>
        <w:t>.</w:t>
      </w:r>
    </w:p>
    <w:p w14:paraId="4F955A29" w14:textId="77777777" w:rsidR="00682629" w:rsidRPr="00F858AE" w:rsidRDefault="00682629" w:rsidP="00682629">
      <w:pPr>
        <w:widowControl w:val="0"/>
        <w:autoSpaceDE w:val="0"/>
        <w:autoSpaceDN w:val="0"/>
        <w:spacing w:after="0" w:line="276" w:lineRule="auto"/>
        <w:jc w:val="both"/>
        <w:rPr>
          <w:rFonts w:ascii="Verdana" w:hAnsi="Verdana" w:cs="Arial"/>
        </w:rPr>
      </w:pPr>
    </w:p>
    <w:p w14:paraId="2FB0BEE5" w14:textId="7C2178A9" w:rsidR="00682629" w:rsidRPr="00F858AE" w:rsidRDefault="00682629" w:rsidP="00682629">
      <w:pPr>
        <w:widowControl w:val="0"/>
        <w:autoSpaceDE w:val="0"/>
        <w:autoSpaceDN w:val="0"/>
        <w:spacing w:after="0" w:line="276" w:lineRule="auto"/>
        <w:jc w:val="both"/>
        <w:rPr>
          <w:rFonts w:ascii="Verdana" w:hAnsi="Verdana" w:cs="Arial"/>
        </w:rPr>
      </w:pPr>
      <w:r w:rsidRPr="00F858AE">
        <w:rPr>
          <w:rFonts w:ascii="Verdana" w:hAnsi="Verdana" w:cs="Arial"/>
          <w:color w:val="000000" w:themeColor="text1"/>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tooltip="Dirección URL original: https://www.colombiacompra.gov.co/sala-de-prensa/boletin-digital. Haga clic o pulse si confía en este vínculo." w:history="1">
        <w:r w:rsidRPr="00F858AE">
          <w:rPr>
            <w:rStyle w:val="Hipervnculo"/>
            <w:rFonts w:ascii="Verdana" w:hAnsi="Verdana" w:cs="Arial"/>
            <w:shd w:val="clear" w:color="auto" w:fill="FFFFFF"/>
          </w:rPr>
          <w:t>https://www.colombiacompra.gov.co/sala-de-prensa/boletin-digital</w:t>
        </w:r>
      </w:hyperlink>
      <w:r w:rsidRPr="00F858AE">
        <w:rPr>
          <w:rFonts w:ascii="Verdana" w:hAnsi="Verdana" w:cs="Arial"/>
          <w:color w:val="000000" w:themeColor="text1"/>
          <w:shd w:val="clear" w:color="auto" w:fill="FFFFFF"/>
        </w:rPr>
        <w:t>    </w:t>
      </w:r>
    </w:p>
    <w:p w14:paraId="2A983587" w14:textId="77777777" w:rsidR="00682629" w:rsidRPr="00F858AE" w:rsidRDefault="00682629" w:rsidP="00682629">
      <w:pPr>
        <w:spacing w:after="0" w:line="240" w:lineRule="auto"/>
        <w:jc w:val="both"/>
        <w:rPr>
          <w:rFonts w:ascii="Verdana" w:hAnsi="Verdana" w:cs="Arial"/>
          <w:color w:val="000000" w:themeColor="text1"/>
          <w:shd w:val="clear" w:color="auto" w:fill="FFFFFF"/>
        </w:rPr>
      </w:pPr>
    </w:p>
    <w:p w14:paraId="2C4A49D2" w14:textId="018F9072" w:rsidR="00682629" w:rsidRPr="00F858AE" w:rsidRDefault="00682629" w:rsidP="00682629">
      <w:pPr>
        <w:spacing w:after="0" w:line="240" w:lineRule="auto"/>
        <w:jc w:val="both"/>
        <w:rPr>
          <w:rFonts w:ascii="Verdana" w:hAnsi="Verdana" w:cs="Arial"/>
          <w:color w:val="000000" w:themeColor="text1"/>
          <w:shd w:val="clear" w:color="auto" w:fill="FFFFFF"/>
        </w:rPr>
      </w:pPr>
      <w:r w:rsidRPr="00F858AE">
        <w:rPr>
          <w:rFonts w:ascii="Verdana" w:hAnsi="Verdana"/>
        </w:rPr>
        <w:t xml:space="preserve">Por último, </w:t>
      </w:r>
      <w:r w:rsidR="008335E9" w:rsidRPr="00F858AE">
        <w:rPr>
          <w:rFonts w:ascii="Verdana" w:hAnsi="Verdana"/>
        </w:rPr>
        <w:t xml:space="preserve">te </w:t>
      </w:r>
      <w:r w:rsidRPr="00F858AE">
        <w:rPr>
          <w:rFonts w:ascii="Verdana" w:hAnsi="Verdana"/>
        </w:rPr>
        <w:t xml:space="preserve">invitamos a seguirnos en las redes sociales en las cuales se difunde información institucional: </w:t>
      </w:r>
    </w:p>
    <w:p w14:paraId="38FEC598" w14:textId="77777777" w:rsidR="00682629" w:rsidRPr="00F858AE" w:rsidRDefault="00682629" w:rsidP="00682629">
      <w:pPr>
        <w:spacing w:after="0" w:line="240" w:lineRule="auto"/>
        <w:jc w:val="both"/>
        <w:rPr>
          <w:rFonts w:ascii="Verdana" w:hAnsi="Verdana"/>
        </w:rPr>
      </w:pPr>
    </w:p>
    <w:p w14:paraId="20EF3CED" w14:textId="77777777" w:rsidR="00682629" w:rsidRPr="00F858AE" w:rsidRDefault="00682629" w:rsidP="00682629">
      <w:pPr>
        <w:spacing w:after="0" w:line="240" w:lineRule="auto"/>
        <w:jc w:val="both"/>
        <w:rPr>
          <w:rFonts w:ascii="Verdana" w:hAnsi="Verdana"/>
        </w:rPr>
      </w:pPr>
      <w:r w:rsidRPr="00F858AE">
        <w:rPr>
          <w:rFonts w:ascii="Verdana" w:hAnsi="Verdana"/>
        </w:rPr>
        <w:t xml:space="preserve">Twitter: </w:t>
      </w:r>
      <w:r w:rsidRPr="00F858AE">
        <w:rPr>
          <w:rStyle w:val="Hipervnculo"/>
          <w:rFonts w:ascii="Verdana" w:hAnsi="Verdana"/>
          <w:color w:val="4472C4" w:themeColor="accent1"/>
        </w:rPr>
        <w:t>@colombiacompra</w:t>
      </w:r>
      <w:r w:rsidRPr="00F858AE">
        <w:rPr>
          <w:rFonts w:ascii="Verdana" w:hAnsi="Verdana"/>
          <w:color w:val="4472C4" w:themeColor="accent1"/>
        </w:rPr>
        <w:t xml:space="preserve"> </w:t>
      </w:r>
    </w:p>
    <w:p w14:paraId="1501085F" w14:textId="77777777" w:rsidR="00682629" w:rsidRPr="00F858AE" w:rsidRDefault="00682629" w:rsidP="00682629">
      <w:pPr>
        <w:spacing w:after="0" w:line="240" w:lineRule="auto"/>
        <w:jc w:val="both"/>
        <w:rPr>
          <w:rFonts w:ascii="Verdana" w:hAnsi="Verdana"/>
        </w:rPr>
      </w:pPr>
      <w:r w:rsidRPr="00F858AE">
        <w:rPr>
          <w:rFonts w:ascii="Verdana" w:hAnsi="Verdana"/>
        </w:rPr>
        <w:t xml:space="preserve">Facebook: </w:t>
      </w:r>
      <w:proofErr w:type="spellStart"/>
      <w:r w:rsidRPr="00F858AE">
        <w:rPr>
          <w:rStyle w:val="Hipervnculo"/>
          <w:rFonts w:ascii="Verdana" w:hAnsi="Verdana"/>
          <w:color w:val="4472C4" w:themeColor="accent1"/>
        </w:rPr>
        <w:t>ColombiaCompraEficiente</w:t>
      </w:r>
      <w:proofErr w:type="spellEnd"/>
    </w:p>
    <w:p w14:paraId="63AAE7CC" w14:textId="77777777" w:rsidR="00682629" w:rsidRPr="00F858AE" w:rsidRDefault="00682629" w:rsidP="00682629">
      <w:pPr>
        <w:spacing w:after="0" w:line="240" w:lineRule="auto"/>
        <w:jc w:val="both"/>
        <w:rPr>
          <w:rFonts w:ascii="Verdana" w:hAnsi="Verdana"/>
        </w:rPr>
      </w:pPr>
      <w:r w:rsidRPr="00F858AE">
        <w:rPr>
          <w:rFonts w:ascii="Verdana" w:hAnsi="Verdana"/>
        </w:rPr>
        <w:t xml:space="preserve">LinkedIn: </w:t>
      </w:r>
      <w:r w:rsidRPr="00F858AE">
        <w:rPr>
          <w:rStyle w:val="Hipervnculo"/>
          <w:rFonts w:ascii="Verdana" w:hAnsi="Verdana"/>
          <w:color w:val="4472C4" w:themeColor="accent1"/>
        </w:rPr>
        <w:t>Agencia Nacional de Contratación Pública - Colombia Compra Eficiente</w:t>
      </w:r>
      <w:r w:rsidRPr="00F858AE">
        <w:rPr>
          <w:rFonts w:ascii="Verdana" w:hAnsi="Verdana"/>
          <w:color w:val="4472C4" w:themeColor="accent1"/>
        </w:rPr>
        <w:t xml:space="preserve"> </w:t>
      </w:r>
      <w:r w:rsidRPr="00F858AE">
        <w:rPr>
          <w:rFonts w:ascii="Verdana" w:hAnsi="Verdana"/>
        </w:rPr>
        <w:t xml:space="preserve">Instagram: </w:t>
      </w:r>
      <w:r w:rsidRPr="00F858AE">
        <w:rPr>
          <w:rStyle w:val="Hipervnculo"/>
          <w:rFonts w:ascii="Verdana" w:hAnsi="Verdana"/>
          <w:color w:val="4472C4" w:themeColor="accent1"/>
        </w:rPr>
        <w:t>@colombiacompraeficiente_cce</w:t>
      </w:r>
    </w:p>
    <w:p w14:paraId="2E8B5B4C" w14:textId="77777777" w:rsidR="00682629" w:rsidRPr="00F858AE" w:rsidRDefault="00682629" w:rsidP="00682629">
      <w:pPr>
        <w:widowControl w:val="0"/>
        <w:autoSpaceDE w:val="0"/>
        <w:autoSpaceDN w:val="0"/>
        <w:spacing w:after="0" w:line="276" w:lineRule="auto"/>
        <w:jc w:val="both"/>
        <w:rPr>
          <w:rFonts w:ascii="Verdana" w:hAnsi="Verdana" w:cs="Arial"/>
        </w:rPr>
      </w:pPr>
    </w:p>
    <w:p w14:paraId="333A3273" w14:textId="77777777" w:rsidR="00682629" w:rsidRPr="00F858AE" w:rsidRDefault="00682629" w:rsidP="00682629">
      <w:pPr>
        <w:widowControl w:val="0"/>
        <w:autoSpaceDE w:val="0"/>
        <w:autoSpaceDN w:val="0"/>
        <w:spacing w:after="0" w:line="276" w:lineRule="auto"/>
        <w:jc w:val="both"/>
        <w:rPr>
          <w:rFonts w:ascii="Verdana" w:hAnsi="Verdana" w:cs="Arial"/>
          <w:lang w:val="es-ES_tradnl"/>
        </w:rPr>
      </w:pPr>
      <w:r w:rsidRPr="00F858AE">
        <w:rPr>
          <w:rFonts w:ascii="Verdana" w:hAnsi="Verdana" w:cs="Arial"/>
        </w:rPr>
        <w:t xml:space="preserve">Este concepto tiene el alcance previsto en el artículo 28 del Código de Procedimiento Administrativo y de lo Contencioso Administrativo </w:t>
      </w:r>
      <w:r w:rsidRPr="00F858AE">
        <w:rPr>
          <w:rFonts w:ascii="Verdana" w:hAnsi="Verdana" w:cs="Arial"/>
          <w:lang w:val="es-ES_tradnl"/>
        </w:rPr>
        <w:t>y las expresiones aquí utilizadas con mayúscula inicial deben ser entendidas con el significado que les otorga el artículo 2.2.1.1.1.3.1. del Decreto 1082 de 2015.</w:t>
      </w:r>
    </w:p>
    <w:p w14:paraId="5AAE3653" w14:textId="77777777" w:rsidR="00682629" w:rsidRPr="00F858AE" w:rsidRDefault="00682629" w:rsidP="00682629">
      <w:pPr>
        <w:widowControl w:val="0"/>
        <w:autoSpaceDE w:val="0"/>
        <w:autoSpaceDN w:val="0"/>
        <w:spacing w:after="0" w:line="276" w:lineRule="auto"/>
        <w:jc w:val="both"/>
        <w:rPr>
          <w:rFonts w:ascii="Verdana" w:hAnsi="Verdana" w:cs="Arial"/>
        </w:rPr>
      </w:pPr>
    </w:p>
    <w:p w14:paraId="6866F21B" w14:textId="77777777" w:rsidR="00682629" w:rsidRPr="00F858AE" w:rsidRDefault="00682629" w:rsidP="00682629">
      <w:pPr>
        <w:spacing w:after="0" w:line="240" w:lineRule="auto"/>
        <w:rPr>
          <w:rFonts w:ascii="Verdana" w:hAnsi="Verdana" w:cs="Arial"/>
          <w:lang w:eastAsia="es-CO"/>
        </w:rPr>
      </w:pPr>
      <w:r w:rsidRPr="00F858AE">
        <w:rPr>
          <w:rFonts w:ascii="Verdana" w:eastAsia="Times New Roman" w:hAnsi="Verdana" w:cs="Arial"/>
          <w:lang w:eastAsia="es-CO"/>
        </w:rPr>
        <w:t>Atentamente,</w:t>
      </w:r>
      <w:r w:rsidRPr="00F858AE">
        <w:rPr>
          <w:rFonts w:ascii="Verdana" w:hAnsi="Verdana" w:cs="Arial"/>
          <w:lang w:eastAsia="es-CO"/>
        </w:rPr>
        <w:t xml:space="preserve"> </w:t>
      </w:r>
    </w:p>
    <w:p w14:paraId="5062DB7C" w14:textId="2995CFE8" w:rsidR="00682629" w:rsidRPr="00F858AE" w:rsidRDefault="00EC6056" w:rsidP="00682629">
      <w:pPr>
        <w:spacing w:line="276" w:lineRule="auto"/>
        <w:jc w:val="center"/>
        <w:rPr>
          <w:rFonts w:ascii="Verdana" w:hAnsi="Verdana" w:cs="Arial"/>
          <w:color w:val="000000"/>
          <w:lang w:val="es-ES_tradnl" w:eastAsia="es-CO"/>
        </w:rPr>
      </w:pPr>
      <w:r w:rsidRPr="00F858AE">
        <w:rPr>
          <w:rFonts w:ascii="Verdana" w:hAnsi="Verdana"/>
          <w:noProof/>
        </w:rPr>
        <w:drawing>
          <wp:inline distT="0" distB="0" distL="0" distR="0" wp14:anchorId="7355CF05" wp14:editId="3DF3E78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82629" w:rsidRPr="00F858AE" w14:paraId="71936B64" w14:textId="77777777" w:rsidTr="00016F30">
        <w:trPr>
          <w:trHeight w:val="315"/>
        </w:trPr>
        <w:tc>
          <w:tcPr>
            <w:tcW w:w="893" w:type="dxa"/>
            <w:vAlign w:val="center"/>
            <w:hideMark/>
          </w:tcPr>
          <w:p w14:paraId="7B8B108A" w14:textId="77777777" w:rsidR="00682629" w:rsidRPr="00F858AE" w:rsidRDefault="00682629" w:rsidP="00016F30">
            <w:pPr>
              <w:contextualSpacing/>
              <w:rPr>
                <w:rFonts w:ascii="Verdana" w:hAnsi="Verdana" w:cs="Arial"/>
                <w:sz w:val="16"/>
                <w:szCs w:val="16"/>
                <w:lang w:val="es-ES" w:eastAsia="es-ES"/>
              </w:rPr>
            </w:pPr>
            <w:r w:rsidRPr="00F858AE">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1067EF0" w14:textId="77777777" w:rsidR="00682629" w:rsidRPr="00F858AE" w:rsidRDefault="00682629" w:rsidP="00016F30">
            <w:pPr>
              <w:contextualSpacing/>
              <w:rPr>
                <w:rFonts w:ascii="Verdana" w:eastAsia="Arial" w:hAnsi="Verdana" w:cs="Arial"/>
                <w:sz w:val="16"/>
                <w:szCs w:val="16"/>
              </w:rPr>
            </w:pPr>
            <w:r w:rsidRPr="00F858AE">
              <w:rPr>
                <w:rFonts w:ascii="Verdana" w:eastAsia="Arial" w:hAnsi="Verdana" w:cs="Arial"/>
                <w:sz w:val="16"/>
                <w:szCs w:val="16"/>
              </w:rPr>
              <w:t>Ana María Ortiz Ballesteros</w:t>
            </w:r>
          </w:p>
          <w:p w14:paraId="114079F5" w14:textId="77777777" w:rsidR="00682629" w:rsidRPr="00F858AE" w:rsidRDefault="00682629" w:rsidP="00016F30">
            <w:pPr>
              <w:contextualSpacing/>
              <w:rPr>
                <w:rFonts w:ascii="Verdana" w:eastAsia="Arial" w:hAnsi="Verdana" w:cs="Arial"/>
                <w:sz w:val="16"/>
                <w:szCs w:val="16"/>
              </w:rPr>
            </w:pPr>
            <w:r w:rsidRPr="00F858AE">
              <w:rPr>
                <w:rStyle w:val="normaltextrun"/>
                <w:rFonts w:ascii="Verdana" w:eastAsia="Arial" w:hAnsi="Verdana" w:cs="Arial"/>
                <w:sz w:val="16"/>
                <w:szCs w:val="16"/>
              </w:rPr>
              <w:t>C</w:t>
            </w:r>
            <w:r w:rsidRPr="00F858AE">
              <w:rPr>
                <w:rStyle w:val="normaltextrun"/>
                <w:rFonts w:ascii="Verdana" w:hAnsi="Verdana"/>
                <w:sz w:val="16"/>
                <w:szCs w:val="16"/>
              </w:rPr>
              <w:t>ontratista</w:t>
            </w:r>
            <w:r w:rsidRPr="00F858AE">
              <w:rPr>
                <w:rStyle w:val="normaltextrun"/>
                <w:rFonts w:ascii="Verdana" w:eastAsia="Arial" w:hAnsi="Verdana" w:cs="Arial"/>
                <w:sz w:val="16"/>
                <w:szCs w:val="16"/>
              </w:rPr>
              <w:t xml:space="preserve"> de la Subdirección de Gestión Contractual</w:t>
            </w:r>
          </w:p>
        </w:tc>
      </w:tr>
      <w:tr w:rsidR="00682629" w:rsidRPr="00F858AE" w14:paraId="661BECAD" w14:textId="77777777" w:rsidTr="00016F30">
        <w:trPr>
          <w:trHeight w:val="330"/>
        </w:trPr>
        <w:tc>
          <w:tcPr>
            <w:tcW w:w="893" w:type="dxa"/>
            <w:vAlign w:val="center"/>
            <w:hideMark/>
          </w:tcPr>
          <w:p w14:paraId="3F8BCECB" w14:textId="77777777" w:rsidR="00682629" w:rsidRPr="00F858AE" w:rsidRDefault="00682629" w:rsidP="00016F30">
            <w:pPr>
              <w:contextualSpacing/>
              <w:rPr>
                <w:rFonts w:ascii="Verdana" w:hAnsi="Verdana" w:cs="Arial"/>
                <w:sz w:val="16"/>
                <w:szCs w:val="16"/>
                <w:lang w:val="es-ES" w:eastAsia="es-ES"/>
              </w:rPr>
            </w:pPr>
            <w:r w:rsidRPr="00F858AE">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8C8E62D" w14:textId="77777777" w:rsidR="00591730" w:rsidRPr="00F858AE" w:rsidRDefault="00591730" w:rsidP="00591730">
            <w:pPr>
              <w:pStyle w:val="paragraph"/>
              <w:spacing w:after="0"/>
              <w:contextualSpacing/>
              <w:textAlignment w:val="baseline"/>
              <w:rPr>
                <w:rStyle w:val="normaltextrun"/>
                <w:rFonts w:ascii="Verdana" w:hAnsi="Verdana" w:cs="Arial"/>
                <w:sz w:val="16"/>
                <w:szCs w:val="16"/>
                <w:lang w:val="es-ES"/>
              </w:rPr>
            </w:pPr>
            <w:r w:rsidRPr="00F858AE">
              <w:rPr>
                <w:rStyle w:val="normaltextrun"/>
                <w:rFonts w:ascii="Verdana" w:hAnsi="Verdana" w:cs="Arial"/>
                <w:sz w:val="16"/>
                <w:szCs w:val="16"/>
                <w:lang w:val="es-ES"/>
              </w:rPr>
              <w:t>Alejandro Sarmiento Cantillo</w:t>
            </w:r>
          </w:p>
          <w:p w14:paraId="336FE11D" w14:textId="4E333EB0" w:rsidR="00682629" w:rsidRPr="00F858AE" w:rsidRDefault="00591730" w:rsidP="00591730">
            <w:pPr>
              <w:pStyle w:val="paragraph"/>
              <w:spacing w:before="0" w:beforeAutospacing="0" w:after="0" w:afterAutospacing="0"/>
              <w:contextualSpacing/>
              <w:textAlignment w:val="baseline"/>
              <w:rPr>
                <w:rFonts w:ascii="Verdana" w:hAnsi="Verdana" w:cs="Segoe UI"/>
                <w:sz w:val="16"/>
                <w:szCs w:val="16"/>
              </w:rPr>
            </w:pPr>
            <w:r w:rsidRPr="00F858AE">
              <w:rPr>
                <w:rStyle w:val="normaltextrun"/>
                <w:rFonts w:ascii="Verdana" w:hAnsi="Verdana" w:cs="Arial"/>
                <w:sz w:val="16"/>
                <w:szCs w:val="16"/>
                <w:lang w:val="es-ES"/>
              </w:rPr>
              <w:t>Gestor T1 ‒ 15 de la Subdirección de Gestión Contractual</w:t>
            </w:r>
            <w:r w:rsidRPr="00F858AE">
              <w:rPr>
                <w:rStyle w:val="eop"/>
                <w:rFonts w:ascii="Verdana" w:hAnsi="Verdana" w:cs="Arial"/>
                <w:sz w:val="16"/>
                <w:szCs w:val="16"/>
              </w:rPr>
              <w:t> </w:t>
            </w:r>
          </w:p>
        </w:tc>
      </w:tr>
      <w:tr w:rsidR="00682629" w:rsidRPr="00F858AE" w14:paraId="67D412C9" w14:textId="77777777" w:rsidTr="00016F30">
        <w:trPr>
          <w:trHeight w:val="300"/>
        </w:trPr>
        <w:tc>
          <w:tcPr>
            <w:tcW w:w="893" w:type="dxa"/>
            <w:vAlign w:val="center"/>
          </w:tcPr>
          <w:p w14:paraId="58538C34" w14:textId="77777777" w:rsidR="00682629" w:rsidRPr="00F858AE" w:rsidRDefault="00682629" w:rsidP="00016F30">
            <w:pPr>
              <w:contextualSpacing/>
              <w:rPr>
                <w:rFonts w:ascii="Verdana" w:hAnsi="Verdana" w:cs="Arial"/>
                <w:sz w:val="16"/>
                <w:szCs w:val="16"/>
                <w:lang w:val="es-ES" w:eastAsia="es-ES"/>
              </w:rPr>
            </w:pPr>
            <w:r w:rsidRPr="00F858AE">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8367B30" w14:textId="77777777" w:rsidR="00682629" w:rsidRPr="00F858AE" w:rsidRDefault="00682629" w:rsidP="00016F30">
            <w:pPr>
              <w:contextualSpacing/>
              <w:rPr>
                <w:rFonts w:ascii="Verdana" w:eastAsia="Calibri" w:hAnsi="Verdana" w:cs="Arial"/>
                <w:sz w:val="16"/>
                <w:szCs w:val="16"/>
                <w:lang w:val="pt-BR" w:eastAsia="es-ES"/>
              </w:rPr>
            </w:pPr>
            <w:r w:rsidRPr="00F858AE">
              <w:rPr>
                <w:rFonts w:ascii="Verdana" w:eastAsia="Calibri" w:hAnsi="Verdana" w:cs="Arial"/>
                <w:sz w:val="16"/>
                <w:szCs w:val="16"/>
                <w:lang w:val="pt-BR" w:eastAsia="es-ES"/>
              </w:rPr>
              <w:t xml:space="preserve">Carolina Quintero </w:t>
            </w:r>
            <w:proofErr w:type="spellStart"/>
            <w:r w:rsidRPr="00F858AE">
              <w:rPr>
                <w:rFonts w:ascii="Verdana" w:eastAsia="Calibri" w:hAnsi="Verdana" w:cs="Arial"/>
                <w:sz w:val="16"/>
                <w:szCs w:val="16"/>
                <w:lang w:val="pt-BR" w:eastAsia="es-ES"/>
              </w:rPr>
              <w:t>Gacharná</w:t>
            </w:r>
            <w:proofErr w:type="spellEnd"/>
          </w:p>
          <w:p w14:paraId="7D20A12C" w14:textId="77777777" w:rsidR="00682629" w:rsidRPr="00F858AE" w:rsidRDefault="00682629" w:rsidP="00016F30">
            <w:pPr>
              <w:contextualSpacing/>
              <w:rPr>
                <w:rFonts w:ascii="Verdana" w:eastAsia="Calibri" w:hAnsi="Verdana" w:cs="Arial"/>
                <w:sz w:val="16"/>
                <w:szCs w:val="16"/>
                <w:lang w:val="pt-BR" w:eastAsia="es-ES"/>
              </w:rPr>
            </w:pPr>
            <w:r w:rsidRPr="00F858AE">
              <w:rPr>
                <w:rFonts w:ascii="Verdana" w:eastAsia="Calibri" w:hAnsi="Verdana" w:cs="Arial"/>
                <w:sz w:val="16"/>
                <w:szCs w:val="16"/>
                <w:lang w:eastAsia="es-ES"/>
              </w:rPr>
              <w:t>Subdirectora</w:t>
            </w:r>
            <w:r w:rsidRPr="00F858AE">
              <w:rPr>
                <w:rFonts w:ascii="Verdana" w:eastAsia="Calibri" w:hAnsi="Verdana" w:cs="Arial"/>
                <w:sz w:val="16"/>
                <w:szCs w:val="16"/>
                <w:lang w:val="pt-BR" w:eastAsia="es-ES"/>
              </w:rPr>
              <w:t xml:space="preserve"> de Gestión Contractual ANCP – CCE</w:t>
            </w:r>
          </w:p>
        </w:tc>
      </w:tr>
    </w:tbl>
    <w:p w14:paraId="4DE1A852" w14:textId="77777777" w:rsidR="00682629" w:rsidRPr="00F858AE" w:rsidRDefault="00682629" w:rsidP="00682629">
      <w:pPr>
        <w:spacing w:after="0"/>
        <w:jc w:val="both"/>
        <w:rPr>
          <w:rFonts w:ascii="Verdana" w:hAnsi="Verdana"/>
        </w:rPr>
      </w:pPr>
    </w:p>
    <w:p w14:paraId="0BD65C33" w14:textId="77777777" w:rsidR="00682629" w:rsidRPr="00682629" w:rsidRDefault="00682629" w:rsidP="00665D70">
      <w:pPr>
        <w:spacing w:after="0"/>
        <w:jc w:val="both"/>
        <w:rPr>
          <w:rFonts w:ascii="Verdana" w:hAnsi="Verdana"/>
        </w:rPr>
      </w:pPr>
    </w:p>
    <w:sectPr w:rsidR="00682629" w:rsidRPr="00682629"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A3BCD" w14:textId="77777777" w:rsidR="005856D7" w:rsidRDefault="005856D7" w:rsidP="004A1847">
      <w:pPr>
        <w:spacing w:after="0" w:line="240" w:lineRule="auto"/>
      </w:pPr>
      <w:r>
        <w:separator/>
      </w:r>
    </w:p>
  </w:endnote>
  <w:endnote w:type="continuationSeparator" w:id="0">
    <w:p w14:paraId="41FAA80F" w14:textId="77777777" w:rsidR="005856D7" w:rsidRDefault="005856D7" w:rsidP="004A1847">
      <w:pPr>
        <w:spacing w:after="0" w:line="240" w:lineRule="auto"/>
      </w:pPr>
      <w:r>
        <w:continuationSeparator/>
      </w:r>
    </w:p>
  </w:endnote>
  <w:endnote w:type="continuationNotice" w:id="1">
    <w:p w14:paraId="766CD167" w14:textId="77777777" w:rsidR="00000CB1" w:rsidRDefault="00000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6395" w14:textId="77777777" w:rsidR="005856D7" w:rsidRDefault="005856D7" w:rsidP="004A1847">
      <w:pPr>
        <w:spacing w:after="0" w:line="240" w:lineRule="auto"/>
      </w:pPr>
      <w:r>
        <w:separator/>
      </w:r>
    </w:p>
  </w:footnote>
  <w:footnote w:type="continuationSeparator" w:id="0">
    <w:p w14:paraId="5B10CC75" w14:textId="77777777" w:rsidR="005856D7" w:rsidRDefault="005856D7" w:rsidP="004A1847">
      <w:pPr>
        <w:spacing w:after="0" w:line="240" w:lineRule="auto"/>
      </w:pPr>
      <w:r>
        <w:continuationSeparator/>
      </w:r>
    </w:p>
  </w:footnote>
  <w:footnote w:type="continuationNotice" w:id="1">
    <w:p w14:paraId="2158AD82" w14:textId="77777777" w:rsidR="00000CB1" w:rsidRDefault="00000CB1">
      <w:pPr>
        <w:spacing w:after="0" w:line="240" w:lineRule="auto"/>
      </w:pPr>
    </w:p>
  </w:footnote>
  <w:footnote w:id="2">
    <w:p w14:paraId="588EEA1C" w14:textId="77777777" w:rsidR="00104118" w:rsidRPr="00BE4759" w:rsidRDefault="00AC5D26" w:rsidP="00104118">
      <w:pPr>
        <w:pStyle w:val="NormalWeb"/>
        <w:spacing w:before="0" w:beforeAutospacing="0" w:after="0" w:afterAutospacing="0"/>
        <w:ind w:firstLine="709"/>
        <w:contextualSpacing/>
        <w:jc w:val="both"/>
        <w:rPr>
          <w:rFonts w:ascii="Verdana" w:hAnsi="Verdana" w:cs="Arial"/>
          <w:sz w:val="18"/>
          <w:szCs w:val="18"/>
        </w:rPr>
      </w:pPr>
      <w:r w:rsidRPr="00BE4759">
        <w:rPr>
          <w:rStyle w:val="Refdenotaalpie"/>
          <w:rFonts w:ascii="Verdana" w:hAnsi="Verdana" w:cs="Arial"/>
          <w:sz w:val="18"/>
          <w:szCs w:val="18"/>
        </w:rPr>
        <w:footnoteRef/>
      </w:r>
      <w:r w:rsidRPr="00BE4759">
        <w:rPr>
          <w:rFonts w:ascii="Verdana" w:hAnsi="Verdana" w:cs="Arial"/>
          <w:sz w:val="18"/>
          <w:szCs w:val="18"/>
        </w:rPr>
        <w:t xml:space="preserve"> </w:t>
      </w:r>
      <w:r w:rsidRPr="00BE4759">
        <w:rPr>
          <w:rFonts w:ascii="Verdana" w:hAnsi="Verdana" w:cs="Arial"/>
          <w:sz w:val="18"/>
          <w:szCs w:val="18"/>
          <w:lang w:val="es-ES"/>
        </w:rPr>
        <w:t>“</w:t>
      </w:r>
      <w:r w:rsidRPr="00BE4759">
        <w:rPr>
          <w:rFonts w:ascii="Verdana" w:hAnsi="Verdana" w:cs="Arial"/>
          <w:sz w:val="18"/>
          <w:szCs w:val="18"/>
        </w:rPr>
        <w:t xml:space="preserve">Para poder participar en los procesos de selección de los contratos de obra, la capacidad residual del proponente o K de contratación deberá ser igual o superior al que la entidad haya establecido para el efecto en los pliegos de condiciones. </w:t>
      </w:r>
    </w:p>
    <w:p w14:paraId="3FED7484" w14:textId="45AEA8CF" w:rsidR="00AC5D26" w:rsidRPr="00BE4759" w:rsidRDefault="00AC5D26" w:rsidP="00104118">
      <w:pPr>
        <w:pStyle w:val="NormalWeb"/>
        <w:spacing w:before="0" w:beforeAutospacing="0" w:after="0" w:afterAutospacing="0"/>
        <w:ind w:firstLine="709"/>
        <w:contextualSpacing/>
        <w:jc w:val="both"/>
        <w:rPr>
          <w:rFonts w:ascii="Verdana" w:hAnsi="Verdana" w:cs="Arial"/>
          <w:sz w:val="18"/>
          <w:szCs w:val="18"/>
        </w:rPr>
      </w:pPr>
      <w:r w:rsidRPr="00BE4759">
        <w:rPr>
          <w:rFonts w:ascii="Verdana" w:hAnsi="Verdana" w:cs="Arial"/>
          <w:sz w:val="18"/>
          <w:szCs w:val="18"/>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 w:id="3">
    <w:p w14:paraId="26EA1717" w14:textId="77777777" w:rsidR="00220A24" w:rsidRPr="00BE4759" w:rsidRDefault="00220A24" w:rsidP="00220A24">
      <w:pPr>
        <w:pBdr>
          <w:top w:val="nil"/>
          <w:left w:val="nil"/>
          <w:bottom w:val="nil"/>
          <w:right w:val="nil"/>
          <w:between w:val="nil"/>
        </w:pBdr>
        <w:spacing w:after="0" w:line="240" w:lineRule="auto"/>
        <w:ind w:firstLine="709"/>
        <w:contextualSpacing/>
        <w:jc w:val="both"/>
        <w:rPr>
          <w:rFonts w:ascii="Verdana" w:eastAsia="Arial" w:hAnsi="Verdana" w:cs="Arial"/>
          <w:sz w:val="18"/>
          <w:szCs w:val="18"/>
        </w:rPr>
      </w:pPr>
      <w:r w:rsidRPr="00BE4759">
        <w:rPr>
          <w:rFonts w:ascii="Verdana" w:hAnsi="Verdana" w:cs="Arial"/>
          <w:sz w:val="18"/>
          <w:szCs w:val="18"/>
          <w:vertAlign w:val="superscript"/>
        </w:rPr>
        <w:footnoteRef/>
      </w:r>
      <w:r w:rsidRPr="00BE4759">
        <w:rPr>
          <w:rFonts w:ascii="Verdana" w:eastAsia="Arial" w:hAnsi="Verdana" w:cs="Arial"/>
          <w:sz w:val="18"/>
          <w:szCs w:val="18"/>
          <w:vertAlign w:val="superscript"/>
        </w:rPr>
        <w:t xml:space="preserve"> </w:t>
      </w:r>
      <w:r w:rsidRPr="00BE4759">
        <w:rPr>
          <w:rFonts w:ascii="Verdana" w:eastAsia="Arial" w:hAnsi="Verdana" w:cs="Arial"/>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7D84931C" w14:textId="77777777" w:rsidR="00220A24" w:rsidRPr="00BE4759" w:rsidRDefault="00220A24" w:rsidP="00220A24">
      <w:pPr>
        <w:pBdr>
          <w:top w:val="nil"/>
          <w:left w:val="nil"/>
          <w:bottom w:val="nil"/>
          <w:right w:val="nil"/>
          <w:between w:val="nil"/>
        </w:pBdr>
        <w:spacing w:after="0" w:line="240" w:lineRule="auto"/>
        <w:ind w:firstLine="709"/>
        <w:contextualSpacing/>
        <w:jc w:val="both"/>
        <w:rPr>
          <w:rFonts w:ascii="Verdana" w:eastAsia="Arial" w:hAnsi="Verdana" w:cs="Arial"/>
          <w:sz w:val="18"/>
          <w:szCs w:val="18"/>
        </w:rPr>
      </w:pPr>
    </w:p>
  </w:footnote>
  <w:footnote w:id="4">
    <w:p w14:paraId="2326F98D" w14:textId="77777777" w:rsidR="00A61470" w:rsidRPr="00BE4759" w:rsidRDefault="00A61470" w:rsidP="00A61470">
      <w:pPr>
        <w:pStyle w:val="Textonotapie"/>
        <w:ind w:firstLine="709"/>
        <w:jc w:val="both"/>
        <w:rPr>
          <w:rFonts w:ascii="Verdana" w:hAnsi="Verdana" w:cs="Arial"/>
          <w:color w:val="000000" w:themeColor="text1"/>
          <w:sz w:val="18"/>
          <w:szCs w:val="18"/>
        </w:rPr>
      </w:pPr>
      <w:r w:rsidRPr="00BE4759">
        <w:rPr>
          <w:rStyle w:val="Refdenotaalpie"/>
          <w:rFonts w:ascii="Verdana" w:hAnsi="Verdana" w:cs="Arial"/>
          <w:sz w:val="18"/>
          <w:szCs w:val="18"/>
        </w:rPr>
        <w:footnoteRef/>
      </w:r>
      <w:r w:rsidRPr="00BE4759">
        <w:rPr>
          <w:rFonts w:ascii="Verdana" w:hAnsi="Verdana" w:cs="Arial"/>
          <w:sz w:val="18"/>
          <w:szCs w:val="18"/>
        </w:rPr>
        <w:t xml:space="preserve"> </w:t>
      </w:r>
      <w:r w:rsidRPr="00BE4759">
        <w:rPr>
          <w:rFonts w:ascii="Verdana" w:hAnsi="Verdana" w:cs="Arial"/>
          <w:color w:val="000000" w:themeColor="text1"/>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29405B75" w14:textId="77777777" w:rsidR="00A61470" w:rsidRPr="00BE4759" w:rsidRDefault="00A61470" w:rsidP="00A61470">
      <w:pPr>
        <w:pStyle w:val="Textonotapie"/>
        <w:ind w:firstLine="709"/>
        <w:jc w:val="both"/>
        <w:rPr>
          <w:rFonts w:ascii="Verdana" w:hAnsi="Verdana" w:cs="Arial"/>
          <w:color w:val="000000" w:themeColor="text1"/>
          <w:sz w:val="18"/>
          <w:szCs w:val="18"/>
        </w:rPr>
      </w:pPr>
    </w:p>
    <w:p w14:paraId="25016B0D" w14:textId="77777777" w:rsidR="00A61470" w:rsidRPr="00BE4759" w:rsidRDefault="00A61470" w:rsidP="00A61470">
      <w:pPr>
        <w:pStyle w:val="Textonotapie"/>
        <w:ind w:firstLine="709"/>
        <w:jc w:val="both"/>
        <w:rPr>
          <w:rFonts w:ascii="Verdana" w:hAnsi="Verdana" w:cs="Arial"/>
          <w:color w:val="000000" w:themeColor="text1"/>
          <w:sz w:val="18"/>
          <w:szCs w:val="18"/>
        </w:rPr>
      </w:pPr>
      <w:r w:rsidRPr="00BE4759">
        <w:rPr>
          <w:rFonts w:ascii="Verdana" w:hAnsi="Verdana" w:cs="Arial"/>
          <w:color w:val="000000" w:themeColor="text1"/>
          <w:sz w:val="18"/>
          <w:szCs w:val="18"/>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w:t>
      </w:r>
      <w:proofErr w:type="spellStart"/>
      <w:r w:rsidRPr="00BE4759">
        <w:rPr>
          <w:rFonts w:ascii="Verdana" w:hAnsi="Verdana" w:cs="Arial"/>
          <w:color w:val="000000" w:themeColor="text1"/>
          <w:sz w:val="18"/>
          <w:szCs w:val="18"/>
        </w:rPr>
        <w:t>subsanabilidad</w:t>
      </w:r>
      <w:proofErr w:type="spellEnd"/>
      <w:r w:rsidRPr="00BE4759">
        <w:rPr>
          <w:rFonts w:ascii="Verdana" w:hAnsi="Verdana" w:cs="Arial"/>
          <w:color w:val="000000" w:themeColor="text1"/>
          <w:sz w:val="18"/>
          <w:szCs w:val="18"/>
        </w:rPr>
        <w:t xml:space="preserve">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w:t>
      </w:r>
    </w:p>
    <w:p w14:paraId="42749981" w14:textId="77777777" w:rsidR="00A61470" w:rsidRPr="00BE4759" w:rsidRDefault="00A61470" w:rsidP="00A61470">
      <w:pPr>
        <w:pStyle w:val="Textonotapie"/>
        <w:ind w:firstLine="709"/>
        <w:jc w:val="both"/>
        <w:rPr>
          <w:rFonts w:ascii="Verdana" w:hAnsi="Verdana" w:cs="Arial"/>
          <w:sz w:val="18"/>
          <w:szCs w:val="18"/>
        </w:rPr>
      </w:pPr>
    </w:p>
  </w:footnote>
  <w:footnote w:id="5">
    <w:p w14:paraId="01B60501" w14:textId="77777777" w:rsidR="009B6DAA" w:rsidRPr="00E06A85" w:rsidRDefault="009B6DAA" w:rsidP="009B6DAA">
      <w:pPr>
        <w:pStyle w:val="Textonotapie"/>
        <w:ind w:firstLine="709"/>
        <w:jc w:val="both"/>
        <w:rPr>
          <w:rFonts w:ascii="Verdana" w:hAnsi="Verdana" w:cs="Arial"/>
          <w:color w:val="000000" w:themeColor="text1"/>
          <w:sz w:val="12"/>
          <w:szCs w:val="12"/>
        </w:rPr>
      </w:pPr>
      <w:r w:rsidRPr="00BE4759">
        <w:rPr>
          <w:rStyle w:val="Refdenotaalpie"/>
          <w:rFonts w:ascii="Verdana" w:hAnsi="Verdana" w:cs="Arial"/>
          <w:color w:val="000000" w:themeColor="text1"/>
          <w:sz w:val="18"/>
          <w:szCs w:val="18"/>
        </w:rPr>
        <w:footnoteRef/>
      </w:r>
      <w:r w:rsidRPr="00BE4759">
        <w:rPr>
          <w:rFonts w:ascii="Verdana" w:hAnsi="Verdana" w:cs="Arial"/>
          <w:color w:val="000000" w:themeColor="text1"/>
          <w:sz w:val="18"/>
          <w:szCs w:val="18"/>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79719B"/>
    <w:multiLevelType w:val="hybridMultilevel"/>
    <w:tmpl w:val="39246A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679089576">
    <w:abstractNumId w:val="11"/>
  </w:num>
  <w:num w:numId="18" w16cid:durableId="187254162">
    <w:abstractNumId w:val="6"/>
  </w:num>
  <w:num w:numId="19" w16cid:durableId="36122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CB1"/>
    <w:rsid w:val="000105AF"/>
    <w:rsid w:val="00034A97"/>
    <w:rsid w:val="000367C4"/>
    <w:rsid w:val="0005235A"/>
    <w:rsid w:val="00060490"/>
    <w:rsid w:val="00061B2A"/>
    <w:rsid w:val="0006317B"/>
    <w:rsid w:val="00082362"/>
    <w:rsid w:val="00083E0C"/>
    <w:rsid w:val="00090C02"/>
    <w:rsid w:val="00096510"/>
    <w:rsid w:val="000A0CA3"/>
    <w:rsid w:val="000A57E4"/>
    <w:rsid w:val="000A683E"/>
    <w:rsid w:val="000B19B9"/>
    <w:rsid w:val="000C2938"/>
    <w:rsid w:val="000D0334"/>
    <w:rsid w:val="000E1696"/>
    <w:rsid w:val="000F26CB"/>
    <w:rsid w:val="000F6486"/>
    <w:rsid w:val="00104118"/>
    <w:rsid w:val="001208C1"/>
    <w:rsid w:val="00123972"/>
    <w:rsid w:val="00125105"/>
    <w:rsid w:val="00127233"/>
    <w:rsid w:val="00131711"/>
    <w:rsid w:val="00165C0D"/>
    <w:rsid w:val="00182115"/>
    <w:rsid w:val="00182E88"/>
    <w:rsid w:val="0018332C"/>
    <w:rsid w:val="00184BAE"/>
    <w:rsid w:val="001A2472"/>
    <w:rsid w:val="001B37E4"/>
    <w:rsid w:val="001B6212"/>
    <w:rsid w:val="001C44ED"/>
    <w:rsid w:val="001C63AD"/>
    <w:rsid w:val="001D62FF"/>
    <w:rsid w:val="001E4177"/>
    <w:rsid w:val="001F7DC6"/>
    <w:rsid w:val="00212222"/>
    <w:rsid w:val="002132F7"/>
    <w:rsid w:val="00215256"/>
    <w:rsid w:val="00220A24"/>
    <w:rsid w:val="002421BB"/>
    <w:rsid w:val="00244509"/>
    <w:rsid w:val="00254700"/>
    <w:rsid w:val="0025796E"/>
    <w:rsid w:val="00257E9D"/>
    <w:rsid w:val="002634BB"/>
    <w:rsid w:val="002707A2"/>
    <w:rsid w:val="0027586E"/>
    <w:rsid w:val="002806A1"/>
    <w:rsid w:val="002869DF"/>
    <w:rsid w:val="002951A0"/>
    <w:rsid w:val="002962BC"/>
    <w:rsid w:val="002A093D"/>
    <w:rsid w:val="002A0DD0"/>
    <w:rsid w:val="002A49AC"/>
    <w:rsid w:val="002A64FD"/>
    <w:rsid w:val="002B60D6"/>
    <w:rsid w:val="002C1427"/>
    <w:rsid w:val="002C4E25"/>
    <w:rsid w:val="002C731F"/>
    <w:rsid w:val="002C7A84"/>
    <w:rsid w:val="002D5DF2"/>
    <w:rsid w:val="002E164F"/>
    <w:rsid w:val="002E4FD9"/>
    <w:rsid w:val="002E7D76"/>
    <w:rsid w:val="002F1EEC"/>
    <w:rsid w:val="00306C90"/>
    <w:rsid w:val="00313DD4"/>
    <w:rsid w:val="003179D7"/>
    <w:rsid w:val="00322A85"/>
    <w:rsid w:val="00324168"/>
    <w:rsid w:val="00333BBD"/>
    <w:rsid w:val="003448F4"/>
    <w:rsid w:val="00354C3D"/>
    <w:rsid w:val="0036702C"/>
    <w:rsid w:val="003702A6"/>
    <w:rsid w:val="00374F5E"/>
    <w:rsid w:val="00377E3E"/>
    <w:rsid w:val="003A26D1"/>
    <w:rsid w:val="003A4835"/>
    <w:rsid w:val="003A48EC"/>
    <w:rsid w:val="003A779E"/>
    <w:rsid w:val="003B155E"/>
    <w:rsid w:val="003D0F4D"/>
    <w:rsid w:val="003D400B"/>
    <w:rsid w:val="003D5B0D"/>
    <w:rsid w:val="003E0499"/>
    <w:rsid w:val="003F3941"/>
    <w:rsid w:val="003F799B"/>
    <w:rsid w:val="00406575"/>
    <w:rsid w:val="004118CD"/>
    <w:rsid w:val="004141F4"/>
    <w:rsid w:val="0042722E"/>
    <w:rsid w:val="004327F7"/>
    <w:rsid w:val="00442D32"/>
    <w:rsid w:val="0044528D"/>
    <w:rsid w:val="0046540B"/>
    <w:rsid w:val="004801F3"/>
    <w:rsid w:val="0048259C"/>
    <w:rsid w:val="0049357A"/>
    <w:rsid w:val="00493C6B"/>
    <w:rsid w:val="0049587B"/>
    <w:rsid w:val="004A1847"/>
    <w:rsid w:val="004A1F66"/>
    <w:rsid w:val="004A305D"/>
    <w:rsid w:val="004A6368"/>
    <w:rsid w:val="004B1979"/>
    <w:rsid w:val="004D0C01"/>
    <w:rsid w:val="004D213E"/>
    <w:rsid w:val="004E2C86"/>
    <w:rsid w:val="004F21C4"/>
    <w:rsid w:val="004F2416"/>
    <w:rsid w:val="004F685F"/>
    <w:rsid w:val="005020BC"/>
    <w:rsid w:val="0050350A"/>
    <w:rsid w:val="00506F54"/>
    <w:rsid w:val="0052351C"/>
    <w:rsid w:val="005566E8"/>
    <w:rsid w:val="00574867"/>
    <w:rsid w:val="005856D7"/>
    <w:rsid w:val="00590421"/>
    <w:rsid w:val="00591460"/>
    <w:rsid w:val="00591730"/>
    <w:rsid w:val="00592628"/>
    <w:rsid w:val="00594547"/>
    <w:rsid w:val="005A4F17"/>
    <w:rsid w:val="005A7539"/>
    <w:rsid w:val="005B1CBA"/>
    <w:rsid w:val="005B614A"/>
    <w:rsid w:val="005C3777"/>
    <w:rsid w:val="005C567B"/>
    <w:rsid w:val="005C5CDC"/>
    <w:rsid w:val="005D476C"/>
    <w:rsid w:val="005E06F3"/>
    <w:rsid w:val="005E7197"/>
    <w:rsid w:val="00610812"/>
    <w:rsid w:val="006219F8"/>
    <w:rsid w:val="00631349"/>
    <w:rsid w:val="006323A2"/>
    <w:rsid w:val="00644D41"/>
    <w:rsid w:val="00650FF7"/>
    <w:rsid w:val="00653562"/>
    <w:rsid w:val="00663B71"/>
    <w:rsid w:val="006647DE"/>
    <w:rsid w:val="00665D70"/>
    <w:rsid w:val="0067132F"/>
    <w:rsid w:val="00671DAC"/>
    <w:rsid w:val="006742C7"/>
    <w:rsid w:val="00680078"/>
    <w:rsid w:val="006812A2"/>
    <w:rsid w:val="00682629"/>
    <w:rsid w:val="006900D9"/>
    <w:rsid w:val="00696AC8"/>
    <w:rsid w:val="006A2999"/>
    <w:rsid w:val="006A5685"/>
    <w:rsid w:val="006B08AB"/>
    <w:rsid w:val="006B6838"/>
    <w:rsid w:val="006D12F8"/>
    <w:rsid w:val="006E6D2B"/>
    <w:rsid w:val="006E7020"/>
    <w:rsid w:val="00700284"/>
    <w:rsid w:val="007034ED"/>
    <w:rsid w:val="00706C16"/>
    <w:rsid w:val="00714D02"/>
    <w:rsid w:val="0073282E"/>
    <w:rsid w:val="00740E90"/>
    <w:rsid w:val="00756841"/>
    <w:rsid w:val="007649AB"/>
    <w:rsid w:val="00771D0C"/>
    <w:rsid w:val="007833AC"/>
    <w:rsid w:val="007911BE"/>
    <w:rsid w:val="007A1B06"/>
    <w:rsid w:val="007A1B08"/>
    <w:rsid w:val="007A349B"/>
    <w:rsid w:val="007B268C"/>
    <w:rsid w:val="007B43A6"/>
    <w:rsid w:val="007B54CE"/>
    <w:rsid w:val="007B7171"/>
    <w:rsid w:val="007C0C0F"/>
    <w:rsid w:val="007C377C"/>
    <w:rsid w:val="007C3DC2"/>
    <w:rsid w:val="007C65DA"/>
    <w:rsid w:val="007D3D6C"/>
    <w:rsid w:val="007E1089"/>
    <w:rsid w:val="007E5497"/>
    <w:rsid w:val="00802F91"/>
    <w:rsid w:val="00806F5F"/>
    <w:rsid w:val="008122F2"/>
    <w:rsid w:val="00820278"/>
    <w:rsid w:val="008335E9"/>
    <w:rsid w:val="008362C0"/>
    <w:rsid w:val="0084145D"/>
    <w:rsid w:val="00841651"/>
    <w:rsid w:val="008843B6"/>
    <w:rsid w:val="00884F31"/>
    <w:rsid w:val="00886739"/>
    <w:rsid w:val="00891928"/>
    <w:rsid w:val="00893833"/>
    <w:rsid w:val="008A446D"/>
    <w:rsid w:val="008A6B39"/>
    <w:rsid w:val="008B6AFA"/>
    <w:rsid w:val="008B6D3D"/>
    <w:rsid w:val="008D180B"/>
    <w:rsid w:val="008E2FC8"/>
    <w:rsid w:val="008F02EF"/>
    <w:rsid w:val="008F0EA7"/>
    <w:rsid w:val="009059BC"/>
    <w:rsid w:val="00906978"/>
    <w:rsid w:val="00923EEF"/>
    <w:rsid w:val="0094167F"/>
    <w:rsid w:val="009419F9"/>
    <w:rsid w:val="0095685E"/>
    <w:rsid w:val="00961B09"/>
    <w:rsid w:val="00965334"/>
    <w:rsid w:val="00970322"/>
    <w:rsid w:val="0097093E"/>
    <w:rsid w:val="00974E93"/>
    <w:rsid w:val="00984EB6"/>
    <w:rsid w:val="0098697A"/>
    <w:rsid w:val="009A0854"/>
    <w:rsid w:val="009A0DFA"/>
    <w:rsid w:val="009A3B72"/>
    <w:rsid w:val="009A5273"/>
    <w:rsid w:val="009A6EE2"/>
    <w:rsid w:val="009B2D26"/>
    <w:rsid w:val="009B6DAA"/>
    <w:rsid w:val="009C71FA"/>
    <w:rsid w:val="009C72E7"/>
    <w:rsid w:val="009D3058"/>
    <w:rsid w:val="009D7464"/>
    <w:rsid w:val="009E21F3"/>
    <w:rsid w:val="009E5A6F"/>
    <w:rsid w:val="009F3A13"/>
    <w:rsid w:val="00A042DD"/>
    <w:rsid w:val="00A0493A"/>
    <w:rsid w:val="00A0493C"/>
    <w:rsid w:val="00A05660"/>
    <w:rsid w:val="00A06474"/>
    <w:rsid w:val="00A122D3"/>
    <w:rsid w:val="00A17F13"/>
    <w:rsid w:val="00A20739"/>
    <w:rsid w:val="00A214EF"/>
    <w:rsid w:val="00A30390"/>
    <w:rsid w:val="00A334D1"/>
    <w:rsid w:val="00A33C78"/>
    <w:rsid w:val="00A468D6"/>
    <w:rsid w:val="00A512FF"/>
    <w:rsid w:val="00A61470"/>
    <w:rsid w:val="00A71CD3"/>
    <w:rsid w:val="00AA7F87"/>
    <w:rsid w:val="00AB0ADB"/>
    <w:rsid w:val="00AB1DB0"/>
    <w:rsid w:val="00AC105D"/>
    <w:rsid w:val="00AC5D26"/>
    <w:rsid w:val="00AC5FC1"/>
    <w:rsid w:val="00AD0947"/>
    <w:rsid w:val="00AE09F6"/>
    <w:rsid w:val="00AE405C"/>
    <w:rsid w:val="00B01B1A"/>
    <w:rsid w:val="00B07524"/>
    <w:rsid w:val="00B12E63"/>
    <w:rsid w:val="00B1398F"/>
    <w:rsid w:val="00B4099D"/>
    <w:rsid w:val="00B42D0D"/>
    <w:rsid w:val="00B462D7"/>
    <w:rsid w:val="00B46688"/>
    <w:rsid w:val="00B50B65"/>
    <w:rsid w:val="00B61310"/>
    <w:rsid w:val="00B663A0"/>
    <w:rsid w:val="00B72CD3"/>
    <w:rsid w:val="00B72FFF"/>
    <w:rsid w:val="00B74BA7"/>
    <w:rsid w:val="00BC2FFB"/>
    <w:rsid w:val="00BC3D36"/>
    <w:rsid w:val="00BC6464"/>
    <w:rsid w:val="00BC75CE"/>
    <w:rsid w:val="00BD416A"/>
    <w:rsid w:val="00BD7F72"/>
    <w:rsid w:val="00BE4759"/>
    <w:rsid w:val="00BF205B"/>
    <w:rsid w:val="00C04FB3"/>
    <w:rsid w:val="00C05B58"/>
    <w:rsid w:val="00C2678B"/>
    <w:rsid w:val="00C330EB"/>
    <w:rsid w:val="00C34A63"/>
    <w:rsid w:val="00C37B2C"/>
    <w:rsid w:val="00C42034"/>
    <w:rsid w:val="00C53663"/>
    <w:rsid w:val="00C754BE"/>
    <w:rsid w:val="00C76B1C"/>
    <w:rsid w:val="00C804F1"/>
    <w:rsid w:val="00C96A58"/>
    <w:rsid w:val="00CB6357"/>
    <w:rsid w:val="00CC1B26"/>
    <w:rsid w:val="00CD606D"/>
    <w:rsid w:val="00CE4231"/>
    <w:rsid w:val="00CF6924"/>
    <w:rsid w:val="00D24719"/>
    <w:rsid w:val="00D423A2"/>
    <w:rsid w:val="00D426F8"/>
    <w:rsid w:val="00D47DCD"/>
    <w:rsid w:val="00D520D8"/>
    <w:rsid w:val="00D63AC2"/>
    <w:rsid w:val="00D7383B"/>
    <w:rsid w:val="00D75494"/>
    <w:rsid w:val="00D92B3D"/>
    <w:rsid w:val="00DA026B"/>
    <w:rsid w:val="00DA231B"/>
    <w:rsid w:val="00DA23A0"/>
    <w:rsid w:val="00DA4A5E"/>
    <w:rsid w:val="00DA63A9"/>
    <w:rsid w:val="00DC1711"/>
    <w:rsid w:val="00DC39FC"/>
    <w:rsid w:val="00DD23FA"/>
    <w:rsid w:val="00DD3BB9"/>
    <w:rsid w:val="00DD5EF5"/>
    <w:rsid w:val="00DE0852"/>
    <w:rsid w:val="00DE320F"/>
    <w:rsid w:val="00DF00BA"/>
    <w:rsid w:val="00DF13F4"/>
    <w:rsid w:val="00DF228E"/>
    <w:rsid w:val="00DF5254"/>
    <w:rsid w:val="00E065A1"/>
    <w:rsid w:val="00E068BC"/>
    <w:rsid w:val="00E06A85"/>
    <w:rsid w:val="00E16408"/>
    <w:rsid w:val="00E20894"/>
    <w:rsid w:val="00E245AB"/>
    <w:rsid w:val="00E2764C"/>
    <w:rsid w:val="00E27F2E"/>
    <w:rsid w:val="00E32F21"/>
    <w:rsid w:val="00E413EA"/>
    <w:rsid w:val="00E44771"/>
    <w:rsid w:val="00E50470"/>
    <w:rsid w:val="00E50AFE"/>
    <w:rsid w:val="00E66320"/>
    <w:rsid w:val="00E75C92"/>
    <w:rsid w:val="00E771DC"/>
    <w:rsid w:val="00E8772A"/>
    <w:rsid w:val="00E90F6B"/>
    <w:rsid w:val="00E92C27"/>
    <w:rsid w:val="00EA0E3D"/>
    <w:rsid w:val="00EB23CD"/>
    <w:rsid w:val="00EB617A"/>
    <w:rsid w:val="00EC38A7"/>
    <w:rsid w:val="00EC572C"/>
    <w:rsid w:val="00EC6056"/>
    <w:rsid w:val="00EE1AA8"/>
    <w:rsid w:val="00EF55C9"/>
    <w:rsid w:val="00F00059"/>
    <w:rsid w:val="00F014DF"/>
    <w:rsid w:val="00F11F0F"/>
    <w:rsid w:val="00F1384C"/>
    <w:rsid w:val="00F30EDB"/>
    <w:rsid w:val="00F31EDC"/>
    <w:rsid w:val="00F33480"/>
    <w:rsid w:val="00F462B3"/>
    <w:rsid w:val="00F5664F"/>
    <w:rsid w:val="00F63823"/>
    <w:rsid w:val="00F66284"/>
    <w:rsid w:val="00F666C4"/>
    <w:rsid w:val="00F76AFC"/>
    <w:rsid w:val="00F83E01"/>
    <w:rsid w:val="00F858AE"/>
    <w:rsid w:val="00F953F2"/>
    <w:rsid w:val="00FA47C0"/>
    <w:rsid w:val="00FB5DD1"/>
    <w:rsid w:val="00FB618C"/>
    <w:rsid w:val="00FB65C8"/>
    <w:rsid w:val="00FC2976"/>
    <w:rsid w:val="00FC2B5D"/>
    <w:rsid w:val="00FE1128"/>
    <w:rsid w:val="00FE684F"/>
    <w:rsid w:val="00FE74AE"/>
    <w:rsid w:val="00FF1449"/>
    <w:rsid w:val="264A048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D416A"/>
    <w:rPr>
      <w:rFonts w:ascii="Geomanist Light" w:hAnsi="Geomanist Light"/>
      <w:lang w:val="es-ES"/>
    </w:rPr>
  </w:style>
  <w:style w:type="paragraph" w:customStyle="1" w:styleId="Appelnotedebasde">
    <w:name w:val="Appel note de bas de..."/>
    <w:basedOn w:val="Normal"/>
    <w:link w:val="Refdenotaalpie"/>
    <w:uiPriority w:val="99"/>
    <w:rsid w:val="00AC5D26"/>
    <w:pPr>
      <w:spacing w:line="240" w:lineRule="exact"/>
    </w:pPr>
    <w:rPr>
      <w:vertAlign w:val="superscript"/>
    </w:rPr>
  </w:style>
  <w:style w:type="character" w:customStyle="1" w:styleId="NormalWebCar">
    <w:name w:val="Normal (Web) Car"/>
    <w:link w:val="NormalWeb"/>
    <w:uiPriority w:val="99"/>
    <w:locked/>
    <w:rsid w:val="00AC5D26"/>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097">
      <w:bodyDiv w:val="1"/>
      <w:marLeft w:val="0"/>
      <w:marRight w:val="0"/>
      <w:marTop w:val="0"/>
      <w:marBottom w:val="0"/>
      <w:divBdr>
        <w:top w:val="none" w:sz="0" w:space="0" w:color="auto"/>
        <w:left w:val="none" w:sz="0" w:space="0" w:color="auto"/>
        <w:bottom w:val="none" w:sz="0" w:space="0" w:color="auto"/>
        <w:right w:val="none" w:sz="0" w:space="0" w:color="auto"/>
      </w:divBdr>
    </w:div>
    <w:div w:id="32996500">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93086298">
      <w:bodyDiv w:val="1"/>
      <w:marLeft w:val="0"/>
      <w:marRight w:val="0"/>
      <w:marTop w:val="0"/>
      <w:marBottom w:val="0"/>
      <w:divBdr>
        <w:top w:val="none" w:sz="0" w:space="0" w:color="auto"/>
        <w:left w:val="none" w:sz="0" w:space="0" w:color="auto"/>
        <w:bottom w:val="none" w:sz="0" w:space="0" w:color="auto"/>
        <w:right w:val="none" w:sz="0" w:space="0" w:color="auto"/>
      </w:divBdr>
    </w:div>
    <w:div w:id="410739236">
      <w:bodyDiv w:val="1"/>
      <w:marLeft w:val="0"/>
      <w:marRight w:val="0"/>
      <w:marTop w:val="0"/>
      <w:marBottom w:val="0"/>
      <w:divBdr>
        <w:top w:val="none" w:sz="0" w:space="0" w:color="auto"/>
        <w:left w:val="none" w:sz="0" w:space="0" w:color="auto"/>
        <w:bottom w:val="none" w:sz="0" w:space="0" w:color="auto"/>
        <w:right w:val="none" w:sz="0" w:space="0" w:color="auto"/>
      </w:divBdr>
    </w:div>
    <w:div w:id="534972310">
      <w:bodyDiv w:val="1"/>
      <w:marLeft w:val="0"/>
      <w:marRight w:val="0"/>
      <w:marTop w:val="0"/>
      <w:marBottom w:val="0"/>
      <w:divBdr>
        <w:top w:val="none" w:sz="0" w:space="0" w:color="auto"/>
        <w:left w:val="none" w:sz="0" w:space="0" w:color="auto"/>
        <w:bottom w:val="none" w:sz="0" w:space="0" w:color="auto"/>
        <w:right w:val="none" w:sz="0" w:space="0" w:color="auto"/>
      </w:divBdr>
    </w:div>
    <w:div w:id="54552770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78980511">
      <w:bodyDiv w:val="1"/>
      <w:marLeft w:val="0"/>
      <w:marRight w:val="0"/>
      <w:marTop w:val="0"/>
      <w:marBottom w:val="0"/>
      <w:divBdr>
        <w:top w:val="none" w:sz="0" w:space="0" w:color="auto"/>
        <w:left w:val="none" w:sz="0" w:space="0" w:color="auto"/>
        <w:bottom w:val="none" w:sz="0" w:space="0" w:color="auto"/>
        <w:right w:val="none" w:sz="0" w:space="0" w:color="auto"/>
      </w:divBdr>
    </w:div>
    <w:div w:id="1064913561">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32756456">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33208376">
      <w:bodyDiv w:val="1"/>
      <w:marLeft w:val="0"/>
      <w:marRight w:val="0"/>
      <w:marTop w:val="0"/>
      <w:marBottom w:val="0"/>
      <w:divBdr>
        <w:top w:val="none" w:sz="0" w:space="0" w:color="auto"/>
        <w:left w:val="none" w:sz="0" w:space="0" w:color="auto"/>
        <w:bottom w:val="none" w:sz="0" w:space="0" w:color="auto"/>
        <w:right w:val="none" w:sz="0" w:space="0" w:color="auto"/>
      </w:divBdr>
    </w:div>
    <w:div w:id="1884097230">
      <w:bodyDiv w:val="1"/>
      <w:marLeft w:val="0"/>
      <w:marRight w:val="0"/>
      <w:marTop w:val="0"/>
      <w:marBottom w:val="0"/>
      <w:divBdr>
        <w:top w:val="none" w:sz="0" w:space="0" w:color="auto"/>
        <w:left w:val="none" w:sz="0" w:space="0" w:color="auto"/>
        <w:bottom w:val="none" w:sz="0" w:space="0" w:color="auto"/>
        <w:right w:val="none" w:sz="0" w:space="0" w:color="auto"/>
      </w:divBdr>
    </w:div>
    <w:div w:id="1923761542">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10987380">
      <w:bodyDiv w:val="1"/>
      <w:marLeft w:val="0"/>
      <w:marRight w:val="0"/>
      <w:marTop w:val="0"/>
      <w:marBottom w:val="0"/>
      <w:divBdr>
        <w:top w:val="none" w:sz="0" w:space="0" w:color="auto"/>
        <w:left w:val="none" w:sz="0" w:space="0" w:color="auto"/>
        <w:bottom w:val="none" w:sz="0" w:space="0" w:color="auto"/>
        <w:right w:val="none" w:sz="0" w:space="0" w:color="auto"/>
      </w:divBdr>
    </w:div>
    <w:div w:id="2115129345">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ombiacompra.gov.co/sites/cce_public/files/cce_documents/cce-eicp-ma-04._manual_requisitos_habilitantes_v3_29-09-202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ombiacompra.gov.co/sites/cce_public/files/cce_circulares/circular_externa_unica_version_3_vf4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ansebasjara@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BB84B297-6A60-450E-9C71-1C49FD958DE9}"/>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terms/"/>
    <ds:schemaRef ds:uri="http://schemas.microsoft.com/office/2006/metadata/properties"/>
    <ds:schemaRef ds:uri="http://www.w3.org/XML/1998/namespace"/>
    <ds:schemaRef ds:uri="http://purl.org/dc/elements/1.1/"/>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8ae15d26-076e-464e-81a7-6f76a0fb39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4053</Words>
  <Characters>22293</Characters>
  <Application>Microsoft Office Word</Application>
  <DocSecurity>0</DocSecurity>
  <Lines>185</Lines>
  <Paragraphs>52</Paragraphs>
  <ScaleCrop>false</ScaleCrop>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28</cp:revision>
  <cp:lastPrinted>2023-01-10T21:18:00Z</cp:lastPrinted>
  <dcterms:created xsi:type="dcterms:W3CDTF">2024-11-18T13:48:00Z</dcterms:created>
  <dcterms:modified xsi:type="dcterms:W3CDTF">2024-11-18T13:57:00Z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