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8D7E9" w14:textId="6FB137C3" w:rsidR="004C6846" w:rsidRPr="004C6846" w:rsidRDefault="004C6846" w:rsidP="004C6846">
      <w:pPr>
        <w:spacing w:line="276" w:lineRule="auto"/>
        <w:jc w:val="both"/>
        <w:rPr>
          <w:rFonts w:ascii="Verdana" w:eastAsia="Calibri" w:hAnsi="Verdana" w:cs="Arial"/>
          <w:b/>
          <w:bCs/>
        </w:rPr>
      </w:pPr>
      <w:bookmarkStart w:id="0" w:name="_Hlk143780582"/>
      <w:r w:rsidRPr="004C6846">
        <w:rPr>
          <w:rFonts w:ascii="Verdana" w:eastAsia="Calibri" w:hAnsi="Verdana" w:cs="Arial"/>
          <w:b/>
          <w:bCs/>
        </w:rPr>
        <w:t>SUBSANABILIDAD DE LAS OFERTAS – Alcance de la regla – Ley 1882 de 2018– Ámbito temporal – Criterio material</w:t>
      </w:r>
    </w:p>
    <w:p w14:paraId="7CB520DB" w14:textId="3CF618C3" w:rsidR="004C6846" w:rsidRPr="004C6846" w:rsidRDefault="004C6846" w:rsidP="004C6846">
      <w:pPr>
        <w:spacing w:after="0" w:line="240" w:lineRule="auto"/>
        <w:contextualSpacing/>
        <w:jc w:val="both"/>
        <w:rPr>
          <w:rFonts w:ascii="Verdana" w:hAnsi="Verdana" w:cs="Arial"/>
          <w:lang w:val="es-ES_tradnl"/>
          <w14:ligatures w14:val="standardContextual"/>
        </w:rPr>
      </w:pPr>
      <w:r w:rsidRPr="004C6846">
        <w:rPr>
          <w:rFonts w:ascii="Verdana" w:eastAsia="Calibri" w:hAnsi="Verdana" w:cs="Arial"/>
          <w:lang w:val="es-ES_tradnl"/>
        </w:rPr>
        <w:t>“[…]</w:t>
      </w:r>
      <w:r w:rsidRPr="004C6846">
        <w:rPr>
          <w:rFonts w:ascii="Verdana" w:eastAsia="Calibri" w:hAnsi="Verdana" w:cs="Arial"/>
          <w:lang w:val="es-ES_tradnl"/>
        </w:rPr>
        <w:t xml:space="preserve"> </w:t>
      </w:r>
      <w:r w:rsidRPr="004C6846">
        <w:rPr>
          <w:rFonts w:ascii="Verdana" w:hAnsi="Verdana" w:cs="Arial"/>
          <w:lang w:val="es-ES_tradnl"/>
          <w14:ligatures w14:val="standardContextual"/>
        </w:rPr>
        <w:t xml:space="preserve">Como puede observarse, la Ley 1882 de 2018: i) mantiene el criterio de la Ley 80 de 1993, relativo a que todo lo que no sea necesario para la comparación de propuestas no es título suficiente para su rechazo; </w:t>
      </w:r>
      <w:proofErr w:type="spellStart"/>
      <w:r w:rsidRPr="004C6846">
        <w:rPr>
          <w:rFonts w:ascii="Verdana" w:hAnsi="Verdana" w:cs="Arial"/>
          <w:lang w:val="es-ES_tradnl"/>
          <w14:ligatures w14:val="standardContextual"/>
        </w:rPr>
        <w:t>ii</w:t>
      </w:r>
      <w:proofErr w:type="spellEnd"/>
      <w:r w:rsidRPr="004C6846">
        <w:rPr>
          <w:rFonts w:ascii="Verdana" w:hAnsi="Verdana" w:cs="Arial"/>
          <w:lang w:val="es-ES_tradnl"/>
          <w14:ligatures w14:val="standardContextual"/>
        </w:rPr>
        <w:t xml:space="preserve">) mantiene el criterio aclaratorio de la Ley 1150 de 2007, según el cual todo lo que no afecte la asignación de puntaje puede subsanarse y, </w:t>
      </w:r>
      <w:proofErr w:type="spellStart"/>
      <w:r w:rsidRPr="004C6846">
        <w:rPr>
          <w:rFonts w:ascii="Verdana" w:hAnsi="Verdana" w:cs="Arial"/>
          <w:lang w:val="es-ES_tradnl"/>
          <w14:ligatures w14:val="standardContextual"/>
        </w:rPr>
        <w:t>iii</w:t>
      </w:r>
      <w:proofErr w:type="spellEnd"/>
      <w:r w:rsidRPr="004C6846">
        <w:rPr>
          <w:rFonts w:ascii="Verdana" w:hAnsi="Verdana" w:cs="Arial"/>
          <w:lang w:val="es-ES_tradnl"/>
          <w14:ligatures w14:val="standardContextual"/>
        </w:rPr>
        <w:t xml:space="preserve">) introduce modificaciones en relación con algunos aspectos que se analizarán a continuación. </w:t>
      </w:r>
    </w:p>
    <w:p w14:paraId="4BBA7CDA" w14:textId="77777777" w:rsidR="004C6846" w:rsidRPr="004C6846" w:rsidRDefault="004C6846" w:rsidP="004C6846">
      <w:pPr>
        <w:spacing w:after="0" w:line="240" w:lineRule="auto"/>
        <w:contextualSpacing/>
        <w:jc w:val="both"/>
        <w:rPr>
          <w:rFonts w:ascii="Verdana" w:hAnsi="Verdana" w:cs="Arial"/>
          <w:lang w:val="es-ES_tradnl"/>
        </w:rPr>
      </w:pPr>
    </w:p>
    <w:p w14:paraId="4C548472" w14:textId="77777777" w:rsidR="004C6846" w:rsidRPr="004C6846" w:rsidRDefault="004C6846" w:rsidP="004C6846">
      <w:pPr>
        <w:spacing w:after="0" w:line="240" w:lineRule="auto"/>
        <w:contextualSpacing/>
        <w:jc w:val="both"/>
        <w:rPr>
          <w:rFonts w:ascii="Verdana" w:eastAsia="Calibri" w:hAnsi="Verdana" w:cs="Arial"/>
          <w:lang w:val="es-ES_tradnl"/>
        </w:rPr>
      </w:pPr>
      <w:r w:rsidRPr="004C6846">
        <w:rPr>
          <w:rFonts w:ascii="Verdana" w:hAnsi="Verdana" w:cs="Arial"/>
          <w:i/>
          <w:iCs/>
          <w:lang w:val="es-ES_tradnl"/>
          <w14:ligatures w14:val="standardContextual"/>
        </w:rPr>
        <w:t>El primero</w:t>
      </w:r>
      <w:r w:rsidRPr="004C6846">
        <w:rPr>
          <w:rFonts w:ascii="Verdana" w:hAnsi="Verdana" w:cs="Arial"/>
          <w:lang w:val="es-ES_tradnl"/>
          <w14:ligatures w14:val="standardContextua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Pr="004C6846">
        <w:rPr>
          <w:rFonts w:ascii="Verdana" w:eastAsia="Calibri" w:hAnsi="Verdana" w:cs="Arial"/>
          <w:lang w:val="es-ES_tradnl"/>
          <w14:ligatures w14:val="standardContextual"/>
        </w:rPr>
        <w:t>de selección a través del sistema de subasta, este último al cual hace referencia en su consulta, y en el que los documentos o requisitos subsanables pueden y deben solicitarse por parte de las entidades estatales, como límite, hasta el momento previo a la celebración de la audiencia</w:t>
      </w:r>
      <w:r w:rsidRPr="004C6846">
        <w:rPr>
          <w:rFonts w:ascii="Verdana" w:eastAsia="Calibri" w:hAnsi="Verdana" w:cs="Arial"/>
          <w:lang w:val="es-ES_tradnl"/>
        </w:rPr>
        <w:t xml:space="preserve"> […]</w:t>
      </w:r>
    </w:p>
    <w:p w14:paraId="6169EDAB" w14:textId="77777777" w:rsidR="004C6846" w:rsidRPr="004C6846" w:rsidRDefault="004C6846" w:rsidP="004C6846">
      <w:pPr>
        <w:spacing w:after="0" w:line="240" w:lineRule="auto"/>
        <w:contextualSpacing/>
        <w:jc w:val="both"/>
        <w:rPr>
          <w:rFonts w:ascii="Verdana" w:eastAsia="Calibri" w:hAnsi="Verdana" w:cs="Arial"/>
          <w:lang w:val="es-ES_tradnl"/>
        </w:rPr>
      </w:pPr>
    </w:p>
    <w:p w14:paraId="37CF944F" w14:textId="77777777" w:rsidR="004C6846" w:rsidRPr="004C6846" w:rsidRDefault="004C6846" w:rsidP="004C6846">
      <w:pPr>
        <w:spacing w:line="240" w:lineRule="auto"/>
        <w:contextualSpacing/>
        <w:jc w:val="both"/>
        <w:rPr>
          <w:rFonts w:ascii="Verdana" w:hAnsi="Verdana" w:cs="Arial"/>
          <w:lang w:val="es-ES_tradnl"/>
        </w:rPr>
      </w:pPr>
      <w:r w:rsidRPr="004C6846">
        <w:rPr>
          <w:rFonts w:ascii="Verdana" w:eastAsia="Calibri" w:hAnsi="Verdana" w:cs="Arial"/>
          <w:lang w:val="es-ES_tradnl"/>
          <w14:ligatures w14:val="standardContextual"/>
        </w:rPr>
        <w:t xml:space="preserve">De otro lado, </w:t>
      </w:r>
      <w:r w:rsidRPr="004C6846">
        <w:rPr>
          <w:rFonts w:ascii="Verdana" w:eastAsia="Calibri" w:hAnsi="Verdana" w:cs="Arial"/>
          <w:i/>
          <w:iCs/>
          <w:lang w:val="es-ES_tradnl"/>
          <w14:ligatures w14:val="standardContextual"/>
        </w:rPr>
        <w:t>el segundo</w:t>
      </w:r>
      <w:r w:rsidRPr="004C6846">
        <w:rPr>
          <w:rFonts w:ascii="Verdana" w:eastAsia="Calibri" w:hAnsi="Verdana" w:cs="Arial"/>
          <w:lang w:val="es-ES_tradnl"/>
          <w14:ligatures w14:val="standardContextual"/>
        </w:rPr>
        <w:t xml:space="preserve"> cambio importante de la Ley 1882 de 2018 fue la introducción de un criterio material, directamente relacionado con los aspectos subsanables: “</w:t>
      </w:r>
      <w:r w:rsidRPr="004C6846">
        <w:rPr>
          <w:rFonts w:ascii="Verdana" w:hAnsi="Verdana" w:cs="Arial"/>
          <w:lang w:val="es-ES_tradnl"/>
          <w14:ligatures w14:val="standardContextual"/>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317976B6" w14:textId="77777777" w:rsidR="004C6846" w:rsidRPr="004C6846" w:rsidRDefault="004C6846" w:rsidP="004C6846">
      <w:pPr>
        <w:spacing w:after="0" w:line="240" w:lineRule="auto"/>
        <w:contextualSpacing/>
        <w:jc w:val="both"/>
        <w:rPr>
          <w:rFonts w:ascii="Verdana" w:hAnsi="Verdana" w:cs="Arial"/>
          <w:lang w:val="es-ES_tradnl"/>
          <w14:ligatures w14:val="standardContextual"/>
        </w:rPr>
      </w:pPr>
    </w:p>
    <w:p w14:paraId="1BCC000F" w14:textId="77777777" w:rsidR="004C6846" w:rsidRPr="004C6846" w:rsidRDefault="004C6846" w:rsidP="004C6846">
      <w:pPr>
        <w:spacing w:after="0" w:line="240" w:lineRule="auto"/>
        <w:contextualSpacing/>
        <w:jc w:val="both"/>
        <w:rPr>
          <w:rFonts w:ascii="Verdana" w:hAnsi="Verdana" w:cs="Arial"/>
          <w:lang w:val="es-ES_tradnl"/>
        </w:rPr>
      </w:pPr>
      <w:r w:rsidRPr="004C6846">
        <w:rPr>
          <w:rFonts w:ascii="Verdana" w:hAnsi="Verdana" w:cs="Arial"/>
          <w:lang w:val="es-ES_tradnl"/>
        </w:rPr>
        <w:t xml:space="preserve">[…] </w:t>
      </w:r>
    </w:p>
    <w:p w14:paraId="7C2AEE0D" w14:textId="77777777" w:rsidR="004C6846" w:rsidRPr="004C6846" w:rsidRDefault="004C6846" w:rsidP="004C6846">
      <w:pPr>
        <w:spacing w:after="0" w:line="240" w:lineRule="auto"/>
        <w:contextualSpacing/>
        <w:jc w:val="both"/>
        <w:rPr>
          <w:rFonts w:ascii="Verdana" w:hAnsi="Verdana" w:cs="Arial"/>
          <w:lang w:val="es-ES_tradnl"/>
        </w:rPr>
      </w:pPr>
    </w:p>
    <w:p w14:paraId="15FB682E" w14:textId="3CFD3A67" w:rsidR="004C6846" w:rsidRPr="004C6846" w:rsidRDefault="004C6846" w:rsidP="004C6846">
      <w:pPr>
        <w:spacing w:after="0" w:line="240" w:lineRule="auto"/>
        <w:contextualSpacing/>
        <w:jc w:val="both"/>
        <w:rPr>
          <w:rFonts w:ascii="Verdana" w:eastAsia="Calibri" w:hAnsi="Verdana" w:cs="Arial"/>
          <w:lang w:val="es-ES_tradnl"/>
          <w14:ligatures w14:val="standardContextual"/>
        </w:rPr>
      </w:pPr>
      <w:r w:rsidRPr="004C6846">
        <w:rPr>
          <w:rFonts w:ascii="Verdana" w:eastAsia="Calibri" w:hAnsi="Verdana" w:cs="Arial"/>
          <w:lang w:val="es-ES_tradnl"/>
          <w14:ligatures w14:val="standardContextua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r w:rsidRPr="004C6846">
        <w:rPr>
          <w:rFonts w:ascii="Verdana" w:eastAsia="Calibri" w:hAnsi="Verdana" w:cs="Arial"/>
          <w:lang w:val="es-ES_tradnl"/>
        </w:rPr>
        <w:t>[…]”</w:t>
      </w:r>
    </w:p>
    <w:p w14:paraId="293C389D" w14:textId="77777777" w:rsidR="004C6846" w:rsidRPr="004C6846" w:rsidRDefault="004C6846" w:rsidP="004C6846">
      <w:pPr>
        <w:spacing w:line="276" w:lineRule="auto"/>
        <w:jc w:val="both"/>
        <w:rPr>
          <w:rFonts w:ascii="Verdana" w:eastAsia="Calibri" w:hAnsi="Verdana" w:cs="Arial"/>
          <w:b/>
          <w:bCs/>
          <w:lang w:val="es-ES_tradnl"/>
        </w:rPr>
      </w:pPr>
    </w:p>
    <w:p w14:paraId="45805A2A" w14:textId="77777777" w:rsidR="004C6846" w:rsidRPr="004C6846" w:rsidRDefault="004C6846" w:rsidP="004C6846">
      <w:pPr>
        <w:spacing w:line="276" w:lineRule="auto"/>
        <w:jc w:val="both"/>
        <w:rPr>
          <w:rFonts w:ascii="Verdana" w:eastAsia="Calibri" w:hAnsi="Verdana" w:cs="Arial"/>
          <w:b/>
          <w:bCs/>
        </w:rPr>
      </w:pPr>
      <w:r w:rsidRPr="004C6846">
        <w:rPr>
          <w:rFonts w:ascii="Verdana" w:eastAsia="Calibri" w:hAnsi="Verdana" w:cs="Arial"/>
          <w:b/>
          <w:bCs/>
        </w:rPr>
        <w:t xml:space="preserve">SUBASTA INVERSA – Regla de </w:t>
      </w:r>
      <w:proofErr w:type="spellStart"/>
      <w:r w:rsidRPr="004C6846">
        <w:rPr>
          <w:rFonts w:ascii="Verdana" w:eastAsia="Calibri" w:hAnsi="Verdana" w:cs="Arial"/>
          <w:b/>
          <w:bCs/>
        </w:rPr>
        <w:t>subsanabilidad</w:t>
      </w:r>
      <w:proofErr w:type="spellEnd"/>
      <w:r w:rsidRPr="004C6846">
        <w:rPr>
          <w:rFonts w:ascii="Verdana" w:eastAsia="Calibri" w:hAnsi="Verdana" w:cs="Arial"/>
          <w:b/>
          <w:bCs/>
        </w:rPr>
        <w:t xml:space="preserve"> – Tiempo límite – Alcance normativo </w:t>
      </w:r>
    </w:p>
    <w:p w14:paraId="07F5BCA3" w14:textId="3D8C492B" w:rsidR="004C6846" w:rsidRPr="004C6846" w:rsidRDefault="004C6846" w:rsidP="004C6846">
      <w:pPr>
        <w:spacing w:after="0" w:line="240" w:lineRule="auto"/>
        <w:ind w:right="49"/>
        <w:contextualSpacing/>
        <w:jc w:val="both"/>
        <w:rPr>
          <w:rFonts w:ascii="Verdana" w:eastAsia="Times New Roman" w:hAnsi="Verdana" w:cs="Arial"/>
          <w:lang w:eastAsia="es-ES_tradnl"/>
          <w14:ligatures w14:val="standardContextual"/>
        </w:rPr>
      </w:pPr>
      <w:r w:rsidRPr="004C6846">
        <w:rPr>
          <w:rFonts w:ascii="Verdana" w:eastAsia="Calibri" w:hAnsi="Verdana" w:cs="Arial"/>
          <w:lang w:val="es-ES_tradnl"/>
        </w:rPr>
        <w:lastRenderedPageBreak/>
        <w:t>“</w:t>
      </w:r>
      <w:r w:rsidRPr="004C6846">
        <w:rPr>
          <w:rFonts w:ascii="Verdana" w:eastAsia="Calibri" w:hAnsi="Verdana" w:cs="Arial"/>
          <w:lang w:val="es-ES_tradnl"/>
        </w:rPr>
        <w:t>[…]</w:t>
      </w:r>
      <w:r w:rsidRPr="004C6846">
        <w:rPr>
          <w:rFonts w:ascii="Verdana" w:eastAsia="Calibri" w:hAnsi="Verdana" w:cs="Arial"/>
          <w:lang w:val="es-ES_tradnl"/>
        </w:rPr>
        <w:t xml:space="preserve"> </w:t>
      </w:r>
      <w:r w:rsidRPr="004C6846">
        <w:rPr>
          <w:rFonts w:ascii="Verdana" w:eastAsia="Times New Roman" w:hAnsi="Verdana" w:cs="Arial"/>
          <w:lang w:eastAsia="es-ES_tradnl"/>
          <w14:ligatures w14:val="standardContextual"/>
        </w:rPr>
        <w:t xml:space="preserve">En ese orden de ideas, extendiendo las anteriores consideraciones a la regla de </w:t>
      </w:r>
      <w:proofErr w:type="spellStart"/>
      <w:r w:rsidRPr="004C6846">
        <w:rPr>
          <w:rFonts w:ascii="Verdana" w:eastAsia="Times New Roman" w:hAnsi="Verdana" w:cs="Arial"/>
          <w:lang w:eastAsia="es-ES_tradnl"/>
          <w14:ligatures w14:val="standardContextual"/>
        </w:rPr>
        <w:t>subsanabilidad</w:t>
      </w:r>
      <w:proofErr w:type="spellEnd"/>
      <w:r w:rsidRPr="004C6846">
        <w:rPr>
          <w:rFonts w:ascii="Verdana" w:eastAsia="Times New Roman" w:hAnsi="Verdana" w:cs="Arial"/>
          <w:lang w:eastAsia="es-ES_tradnl"/>
          <w14:ligatures w14:val="standardContextual"/>
        </w:rPr>
        <w:t xml:space="preserve"> consagrada en el parágrafo 4 del artículo 5 de la Ley 1150 de 2007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subsanación de los documentos referentes a la futura contratación o a los proponentes, no necesarios para la comparación de las propuestas. Para el ejercicio de tal facultad, las entidades de manera </w:t>
      </w:r>
      <w:r w:rsidRPr="004C6846">
        <w:rPr>
          <w:rFonts w:ascii="Verdana" w:eastAsia="Times New Roman" w:hAnsi="Verdana" w:cs="Arial"/>
          <w:i/>
          <w:iCs/>
          <w:lang w:eastAsia="es-ES_tradnl"/>
          <w14:ligatures w14:val="standardContextual"/>
        </w:rPr>
        <w:t xml:space="preserve">ex ante </w:t>
      </w:r>
      <w:r w:rsidRPr="004C6846">
        <w:rPr>
          <w:rFonts w:ascii="Verdana" w:eastAsia="Times New Roman" w:hAnsi="Verdana" w:cs="Arial"/>
          <w:lang w:eastAsia="es-ES_tradnl"/>
          <w14:ligatures w14:val="standardContextual"/>
        </w:rPr>
        <w:t xml:space="preserve">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Así mismo, dentro del pliego de condiciones podrán definir las veces en las cuales le será posible a los proponentes subsanar los documentos.  En sentido, atendiendo a la consulta planteada, la posibilidad de subsanar varias veces un determinado aspecto de la propuesta dependerá de lo establecido en el pliego de condiciones, pues la normativa no restringe el número de veces que un proponente podrá subsanar un determinado aspecto. </w:t>
      </w:r>
    </w:p>
    <w:p w14:paraId="79526438" w14:textId="77777777" w:rsidR="004C6846" w:rsidRPr="004C6846" w:rsidRDefault="004C6846" w:rsidP="004C6846">
      <w:pPr>
        <w:spacing w:line="240" w:lineRule="auto"/>
        <w:contextualSpacing/>
        <w:jc w:val="both"/>
        <w:rPr>
          <w:rFonts w:ascii="Verdana" w:eastAsia="Calibri" w:hAnsi="Verdana" w:cs="Arial"/>
          <w:lang w:val="es-ES_tradnl"/>
        </w:rPr>
      </w:pPr>
    </w:p>
    <w:p w14:paraId="68DBC296" w14:textId="19940B2B" w:rsidR="004C6846" w:rsidRPr="004C6846" w:rsidRDefault="004C6846" w:rsidP="004C6846">
      <w:pPr>
        <w:spacing w:line="240" w:lineRule="auto"/>
        <w:contextualSpacing/>
        <w:jc w:val="both"/>
        <w:rPr>
          <w:rFonts w:ascii="Verdana" w:eastAsia="Calibri" w:hAnsi="Verdana" w:cs="Arial"/>
          <w:lang w:val="es-ES_tradnl"/>
        </w:rPr>
      </w:pPr>
      <w:r w:rsidRPr="004C6846">
        <w:rPr>
          <w:rFonts w:ascii="Verdana" w:eastAsia="Calibri" w:hAnsi="Verdana" w:cs="Arial"/>
          <w:lang w:val="es-ES_tradnl" w:eastAsia="es-ES_tradnl"/>
          <w14:ligatures w14:val="standardContextual"/>
        </w:rPr>
        <w:t>De esta manera, el parágrafo analizado</w:t>
      </w:r>
      <w:r w:rsidRPr="004C6846">
        <w:rPr>
          <w:rFonts w:ascii="Verdana" w:eastAsia="Calibri" w:hAnsi="Verdana" w:cs="Arial"/>
          <w:lang w:eastAsia="es-ES_tradnl"/>
          <w14:ligatures w14:val="standardContextual"/>
        </w:rPr>
        <w:t xml:space="preserve"> permite a las entidades </w:t>
      </w:r>
      <w:r w:rsidRPr="004C6846">
        <w:rPr>
          <w:rFonts w:ascii="Verdana" w:eastAsia="Calibri" w:hAnsi="Verdana" w:cs="Arial"/>
          <w:i/>
          <w:iCs/>
          <w:lang w:eastAsia="es-ES_tradnl"/>
          <w14:ligatures w14:val="standardContextual"/>
        </w:rPr>
        <w:t>solicitar</w:t>
      </w:r>
      <w:r w:rsidRPr="004C6846">
        <w:rPr>
          <w:rFonts w:ascii="Verdana" w:eastAsia="Calibri" w:hAnsi="Verdana" w:cs="Arial"/>
          <w:lang w:eastAsia="es-ES_tradnl"/>
          <w14:ligatures w14:val="standardContextual"/>
        </w:rPr>
        <w:t xml:space="preserve"> a los oferentes que subsanen los documentos referentes a la futura contratación no necesarios para la comparación de las propuestas, hasta el momento previo a la realización a la subasta a la que hace referencia el artículo </w:t>
      </w:r>
      <w:r w:rsidRPr="004C6846">
        <w:rPr>
          <w:rFonts w:ascii="Verdana" w:eastAsia="Calibri" w:hAnsi="Verdana" w:cs="Arial"/>
          <w:lang w:val="es-ES_tradnl" w:eastAsia="es-ES_tradnl"/>
          <w14:ligatures w14:val="standardContextual"/>
        </w:rPr>
        <w:t xml:space="preserve">2.2.1.2.1.2.2 del Decreto 1082 de 2015, momento que, además, deberá estar señalado en el pliego de condiciones, independientemente de que la entidad opte para desarrollar la audiencia de manera presencial o través del algún mecanismo electrónico. En defecto de lo anterior, las entidades también podrán </w:t>
      </w:r>
      <w:r w:rsidRPr="004C6846">
        <w:rPr>
          <w:rFonts w:ascii="Verdana" w:eastAsia="Calibri" w:hAnsi="Verdana" w:cs="Arial"/>
          <w:lang w:eastAsia="es-ES_tradnl"/>
          <w14:ligatures w14:val="standardContextual"/>
        </w:rPr>
        <w:t>requerir por separado o conjuntamente a cada proponente para que subsanen los respectivos documentos, fijándoles un término razonable, el cual en todo caso no podrá exceder el momento previo al inicio de la audiencia de subasta, por lo que será anterior a ella</w:t>
      </w:r>
      <w:r w:rsidRPr="004C6846">
        <w:rPr>
          <w:rFonts w:ascii="Verdana" w:eastAsia="Calibri" w:hAnsi="Verdana" w:cs="Arial"/>
          <w:lang w:eastAsia="es-ES_tradnl"/>
          <w14:ligatures w14:val="standardContextual"/>
        </w:rPr>
        <w:t xml:space="preserve">. </w:t>
      </w:r>
      <w:r w:rsidRPr="004C6846">
        <w:rPr>
          <w:rFonts w:ascii="Verdana" w:eastAsia="Calibri" w:hAnsi="Verdana" w:cs="Arial"/>
          <w:lang w:val="es-ES_tradnl"/>
        </w:rPr>
        <w:t>[…]</w:t>
      </w:r>
      <w:r w:rsidRPr="004C6846">
        <w:rPr>
          <w:rFonts w:ascii="Verdana" w:eastAsia="Calibri" w:hAnsi="Verdana" w:cs="Arial"/>
          <w:lang w:val="es-ES_tradnl"/>
        </w:rPr>
        <w:t>”</w:t>
      </w:r>
    </w:p>
    <w:p w14:paraId="5F6D878B" w14:textId="77777777" w:rsidR="004C6846" w:rsidRPr="004C6846" w:rsidRDefault="004C6846" w:rsidP="004C6846">
      <w:pPr>
        <w:spacing w:line="276" w:lineRule="auto"/>
        <w:jc w:val="both"/>
        <w:rPr>
          <w:rFonts w:ascii="Verdana" w:eastAsia="Calibri" w:hAnsi="Verdana" w:cs="Arial"/>
          <w:b/>
          <w:bCs/>
          <w:lang w:val="es-ES_tradnl"/>
        </w:rPr>
      </w:pPr>
    </w:p>
    <w:p w14:paraId="54E6E4ED" w14:textId="52A95720" w:rsidR="004C6846" w:rsidRPr="004C6846" w:rsidRDefault="004C6846" w:rsidP="004C6846">
      <w:pPr>
        <w:spacing w:line="276" w:lineRule="auto"/>
        <w:jc w:val="both"/>
        <w:rPr>
          <w:rFonts w:ascii="Verdana" w:eastAsia="Calibri" w:hAnsi="Verdana" w:cs="Arial"/>
          <w:b/>
          <w:bCs/>
          <w:lang w:val="es-ES_tradnl"/>
        </w:rPr>
      </w:pPr>
      <w:r w:rsidRPr="004C6846">
        <w:rPr>
          <w:rFonts w:ascii="Verdana" w:eastAsia="Calibri" w:hAnsi="Verdana" w:cs="Arial"/>
          <w:b/>
          <w:bCs/>
        </w:rPr>
        <w:t>SUBSANABILIDAD – Ficha técnica o anexo técnico – Posición vigente – Colombia Compra Eficiente</w:t>
      </w:r>
      <w:r w:rsidRPr="004C6846">
        <w:rPr>
          <w:rFonts w:ascii="Verdana" w:eastAsia="Calibri" w:hAnsi="Verdana" w:cs="Arial"/>
          <w:b/>
          <w:bCs/>
          <w:lang w:val="es-ES_tradnl"/>
        </w:rPr>
        <w:t>.</w:t>
      </w:r>
    </w:p>
    <w:p w14:paraId="720BF723" w14:textId="41FF9A18" w:rsidR="004C6846" w:rsidRPr="004C6846" w:rsidRDefault="004C6846" w:rsidP="004C6846">
      <w:pPr>
        <w:spacing w:after="120" w:line="240" w:lineRule="auto"/>
        <w:jc w:val="both"/>
        <w:rPr>
          <w:rFonts w:ascii="Verdana" w:hAnsi="Verdana"/>
        </w:rPr>
      </w:pPr>
      <w:r w:rsidRPr="004C6846">
        <w:rPr>
          <w:rFonts w:ascii="Verdana" w:eastAsia="Calibri" w:hAnsi="Verdana" w:cs="Arial"/>
          <w:lang w:val="es-ES_tradnl"/>
        </w:rPr>
        <w:t>“[…]</w:t>
      </w:r>
      <w:r w:rsidRPr="004C6846">
        <w:rPr>
          <w:rFonts w:ascii="Verdana" w:eastAsia="Calibri" w:hAnsi="Verdana" w:cs="Arial"/>
          <w:lang w:val="es-ES_tradnl"/>
        </w:rPr>
        <w:t xml:space="preserve"> </w:t>
      </w:r>
      <w:r w:rsidRPr="004C6846">
        <w:rPr>
          <w:rFonts w:ascii="Verdana" w:hAnsi="Verdana"/>
        </w:rPr>
        <w:t xml:space="preserve">El cambio de posición se origina en la medida en que la ausencia de requisitos o los errores en los documentos del proponente que no son necesarios para comparar las propuestas, no pueden ser una razón suficiente para el rechazo de la oferta y por lo tanto deben ser subsanados. Como se ha explicado, en los procesos donde el precio es el único criterio para la comparación de las ofertas, como por ejemplo la selección abreviada para adquirir bienes y servicios </w:t>
      </w:r>
      <w:r w:rsidRPr="004C6846">
        <w:rPr>
          <w:rFonts w:ascii="Verdana" w:hAnsi="Verdana"/>
        </w:rPr>
        <w:lastRenderedPageBreak/>
        <w:t>de características técnicas uniforme mediante subasta inversa, no es viable impedir que subsanen requisitos diferentes a los que afecten el precio, pues estos en la medida en que no son necesarios para comparar las propuestas, no modifican los criterios que otorgan puntaje, sino que permiten habilitar o demostrar que el proponente tiene la capacidad para cumplir con el objeto del contrato. por consiguiente, siempre que la ficha técnica no sea un requisito puntuable o que cambie uno de ellos que pueda mejorar la oferta, deberá subsanarse.</w:t>
      </w:r>
      <w:r w:rsidRPr="004C6846">
        <w:rPr>
          <w:rFonts w:ascii="Verdana" w:hAnsi="Verdana"/>
        </w:rPr>
        <w:t xml:space="preserve"> </w:t>
      </w:r>
      <w:r w:rsidRPr="004C6846">
        <w:rPr>
          <w:rFonts w:ascii="Verdana" w:eastAsia="Calibri" w:hAnsi="Verdana" w:cs="Arial"/>
          <w:lang w:val="es-ES_tradnl"/>
        </w:rPr>
        <w:t>[…]”</w:t>
      </w:r>
    </w:p>
    <w:p w14:paraId="4E29B4DE" w14:textId="77777777" w:rsidR="004C6846" w:rsidRPr="004C6846" w:rsidRDefault="004C6846" w:rsidP="00E245AB">
      <w:pPr>
        <w:spacing w:after="0"/>
        <w:rPr>
          <w:rFonts w:ascii="Verdana" w:hAnsi="Verdana"/>
        </w:rPr>
      </w:pPr>
    </w:p>
    <w:p w14:paraId="4855A2D0" w14:textId="77777777" w:rsidR="004C6846" w:rsidRPr="004C6846" w:rsidRDefault="004C6846" w:rsidP="00E245AB">
      <w:pPr>
        <w:spacing w:after="0"/>
        <w:rPr>
          <w:rFonts w:ascii="Verdana" w:hAnsi="Verdana"/>
        </w:rPr>
      </w:pPr>
    </w:p>
    <w:p w14:paraId="673AC6BB" w14:textId="77777777" w:rsidR="004C6846" w:rsidRPr="004C6846" w:rsidRDefault="004C6846" w:rsidP="00E245AB">
      <w:pPr>
        <w:spacing w:after="0"/>
        <w:rPr>
          <w:rFonts w:ascii="Verdana" w:hAnsi="Verdana"/>
        </w:rPr>
      </w:pPr>
    </w:p>
    <w:p w14:paraId="35A78CFD" w14:textId="77777777" w:rsidR="004C6846" w:rsidRPr="004C6846" w:rsidRDefault="004C6846" w:rsidP="00E245AB">
      <w:pPr>
        <w:spacing w:after="0"/>
        <w:rPr>
          <w:rFonts w:ascii="Verdana" w:hAnsi="Verdana"/>
        </w:rPr>
      </w:pPr>
    </w:p>
    <w:p w14:paraId="49369FCC" w14:textId="77777777" w:rsidR="004C6846" w:rsidRPr="004C6846" w:rsidRDefault="004C6846" w:rsidP="00E245AB">
      <w:pPr>
        <w:spacing w:after="0"/>
        <w:rPr>
          <w:rFonts w:ascii="Verdana" w:hAnsi="Verdana"/>
        </w:rPr>
      </w:pPr>
    </w:p>
    <w:p w14:paraId="5C52AF9F" w14:textId="77777777" w:rsidR="004C6846" w:rsidRPr="004C6846" w:rsidRDefault="004C6846" w:rsidP="00E245AB">
      <w:pPr>
        <w:spacing w:after="0"/>
        <w:rPr>
          <w:rFonts w:ascii="Verdana" w:hAnsi="Verdana"/>
        </w:rPr>
      </w:pPr>
    </w:p>
    <w:p w14:paraId="0293A200" w14:textId="77777777" w:rsidR="004C6846" w:rsidRPr="004C6846" w:rsidRDefault="004C6846" w:rsidP="00E245AB">
      <w:pPr>
        <w:spacing w:after="0"/>
        <w:rPr>
          <w:rFonts w:ascii="Verdana" w:hAnsi="Verdana"/>
        </w:rPr>
      </w:pPr>
    </w:p>
    <w:p w14:paraId="33B5944A" w14:textId="77777777" w:rsidR="004C6846" w:rsidRPr="004C6846" w:rsidRDefault="004C6846" w:rsidP="00E245AB">
      <w:pPr>
        <w:spacing w:after="0"/>
        <w:rPr>
          <w:rFonts w:ascii="Verdana" w:hAnsi="Verdana"/>
        </w:rPr>
      </w:pPr>
    </w:p>
    <w:p w14:paraId="125BC562" w14:textId="77777777" w:rsidR="004C6846" w:rsidRPr="004C6846" w:rsidRDefault="004C6846" w:rsidP="00E245AB">
      <w:pPr>
        <w:spacing w:after="0"/>
        <w:rPr>
          <w:rFonts w:ascii="Verdana" w:hAnsi="Verdana"/>
        </w:rPr>
      </w:pPr>
    </w:p>
    <w:p w14:paraId="2E1BC7EF" w14:textId="77777777" w:rsidR="004C6846" w:rsidRPr="004C6846" w:rsidRDefault="004C6846" w:rsidP="00E245AB">
      <w:pPr>
        <w:spacing w:after="0"/>
        <w:rPr>
          <w:rFonts w:ascii="Verdana" w:hAnsi="Verdana"/>
        </w:rPr>
      </w:pPr>
    </w:p>
    <w:p w14:paraId="6185A68D" w14:textId="77777777" w:rsidR="004C6846" w:rsidRPr="004C6846" w:rsidRDefault="004C6846" w:rsidP="00E245AB">
      <w:pPr>
        <w:spacing w:after="0"/>
        <w:rPr>
          <w:rFonts w:ascii="Verdana" w:hAnsi="Verdana"/>
        </w:rPr>
      </w:pPr>
    </w:p>
    <w:p w14:paraId="1D1A8EF7" w14:textId="77777777" w:rsidR="004C6846" w:rsidRPr="004C6846" w:rsidRDefault="004C6846" w:rsidP="00E245AB">
      <w:pPr>
        <w:spacing w:after="0"/>
        <w:rPr>
          <w:rFonts w:ascii="Verdana" w:hAnsi="Verdana"/>
        </w:rPr>
      </w:pPr>
    </w:p>
    <w:p w14:paraId="45007049" w14:textId="77777777" w:rsidR="004C6846" w:rsidRPr="004C6846" w:rsidRDefault="004C6846" w:rsidP="00E245AB">
      <w:pPr>
        <w:spacing w:after="0"/>
        <w:rPr>
          <w:rFonts w:ascii="Verdana" w:hAnsi="Verdana"/>
        </w:rPr>
      </w:pPr>
    </w:p>
    <w:p w14:paraId="0C9A57E3" w14:textId="77777777" w:rsidR="004C6846" w:rsidRPr="004C6846" w:rsidRDefault="004C6846" w:rsidP="00E245AB">
      <w:pPr>
        <w:spacing w:after="0"/>
        <w:rPr>
          <w:rFonts w:ascii="Verdana" w:hAnsi="Verdana"/>
        </w:rPr>
      </w:pPr>
    </w:p>
    <w:p w14:paraId="2CDEE0A7" w14:textId="77777777" w:rsidR="004C6846" w:rsidRPr="004C6846" w:rsidRDefault="004C6846" w:rsidP="00E245AB">
      <w:pPr>
        <w:spacing w:after="0"/>
        <w:rPr>
          <w:rFonts w:ascii="Verdana" w:hAnsi="Verdana"/>
        </w:rPr>
      </w:pPr>
    </w:p>
    <w:p w14:paraId="7B13A8D4" w14:textId="77777777" w:rsidR="004C6846" w:rsidRPr="004C6846" w:rsidRDefault="004C6846" w:rsidP="00E245AB">
      <w:pPr>
        <w:spacing w:after="0"/>
        <w:rPr>
          <w:rFonts w:ascii="Verdana" w:hAnsi="Verdana"/>
        </w:rPr>
      </w:pPr>
    </w:p>
    <w:p w14:paraId="1E27626B" w14:textId="77777777" w:rsidR="004C6846" w:rsidRPr="004C6846" w:rsidRDefault="004C6846" w:rsidP="00E245AB">
      <w:pPr>
        <w:spacing w:after="0"/>
        <w:rPr>
          <w:rFonts w:ascii="Verdana" w:hAnsi="Verdana"/>
        </w:rPr>
      </w:pPr>
    </w:p>
    <w:p w14:paraId="1A6A1B75" w14:textId="77777777" w:rsidR="004C6846" w:rsidRPr="004C6846" w:rsidRDefault="004C6846" w:rsidP="00E245AB">
      <w:pPr>
        <w:spacing w:after="0"/>
        <w:rPr>
          <w:rFonts w:ascii="Verdana" w:hAnsi="Verdana"/>
        </w:rPr>
      </w:pPr>
    </w:p>
    <w:p w14:paraId="2DE5860D" w14:textId="77777777" w:rsidR="004C6846" w:rsidRPr="004C6846" w:rsidRDefault="004C6846" w:rsidP="00E245AB">
      <w:pPr>
        <w:spacing w:after="0"/>
        <w:rPr>
          <w:rFonts w:ascii="Verdana" w:hAnsi="Verdana"/>
        </w:rPr>
      </w:pPr>
    </w:p>
    <w:p w14:paraId="15AD1D7E" w14:textId="77777777" w:rsidR="004C6846" w:rsidRPr="004C6846" w:rsidRDefault="004C6846" w:rsidP="00E245AB">
      <w:pPr>
        <w:spacing w:after="0"/>
        <w:rPr>
          <w:rFonts w:ascii="Verdana" w:hAnsi="Verdana"/>
        </w:rPr>
      </w:pPr>
    </w:p>
    <w:p w14:paraId="1CD1459D" w14:textId="77777777" w:rsidR="004C6846" w:rsidRPr="004C6846" w:rsidRDefault="004C6846" w:rsidP="00E245AB">
      <w:pPr>
        <w:spacing w:after="0"/>
        <w:rPr>
          <w:rFonts w:ascii="Verdana" w:hAnsi="Verdana"/>
        </w:rPr>
      </w:pPr>
    </w:p>
    <w:p w14:paraId="749B6172" w14:textId="77777777" w:rsidR="004C6846" w:rsidRPr="004C6846" w:rsidRDefault="004C6846" w:rsidP="00E245AB">
      <w:pPr>
        <w:spacing w:after="0"/>
        <w:rPr>
          <w:rFonts w:ascii="Verdana" w:hAnsi="Verdana"/>
        </w:rPr>
      </w:pPr>
    </w:p>
    <w:p w14:paraId="0FEEC799" w14:textId="77777777" w:rsidR="004C6846" w:rsidRPr="004C6846" w:rsidRDefault="004C6846" w:rsidP="00E245AB">
      <w:pPr>
        <w:spacing w:after="0"/>
        <w:rPr>
          <w:rFonts w:ascii="Verdana" w:hAnsi="Verdana"/>
        </w:rPr>
      </w:pPr>
    </w:p>
    <w:p w14:paraId="049C7504" w14:textId="77777777" w:rsidR="004C6846" w:rsidRPr="004C6846" w:rsidRDefault="004C6846" w:rsidP="00E245AB">
      <w:pPr>
        <w:spacing w:after="0"/>
        <w:rPr>
          <w:rFonts w:ascii="Verdana" w:hAnsi="Verdana"/>
        </w:rPr>
      </w:pPr>
    </w:p>
    <w:p w14:paraId="51E27386" w14:textId="77777777" w:rsidR="004C6846" w:rsidRPr="004C6846" w:rsidRDefault="004C6846" w:rsidP="00E245AB">
      <w:pPr>
        <w:spacing w:after="0"/>
        <w:rPr>
          <w:rFonts w:ascii="Verdana" w:hAnsi="Verdana"/>
        </w:rPr>
      </w:pPr>
    </w:p>
    <w:p w14:paraId="21749D11" w14:textId="77777777" w:rsidR="004C6846" w:rsidRPr="004C6846" w:rsidRDefault="004C6846" w:rsidP="00E245AB">
      <w:pPr>
        <w:spacing w:after="0"/>
        <w:rPr>
          <w:rFonts w:ascii="Verdana" w:hAnsi="Verdana"/>
        </w:rPr>
      </w:pPr>
    </w:p>
    <w:p w14:paraId="327C409A" w14:textId="77777777" w:rsidR="004C6846" w:rsidRPr="004C6846" w:rsidRDefault="004C6846" w:rsidP="00E245AB">
      <w:pPr>
        <w:spacing w:after="0"/>
        <w:rPr>
          <w:rFonts w:ascii="Verdana" w:hAnsi="Verdana"/>
        </w:rPr>
      </w:pPr>
    </w:p>
    <w:p w14:paraId="669F7E74" w14:textId="77777777" w:rsidR="004C6846" w:rsidRPr="004C6846" w:rsidRDefault="004C6846" w:rsidP="00E245AB">
      <w:pPr>
        <w:spacing w:after="0"/>
        <w:rPr>
          <w:rFonts w:ascii="Verdana" w:hAnsi="Verdana"/>
        </w:rPr>
      </w:pPr>
    </w:p>
    <w:p w14:paraId="4BE155CC" w14:textId="77777777" w:rsidR="004C6846" w:rsidRPr="004C6846" w:rsidRDefault="004C6846" w:rsidP="00E245AB">
      <w:pPr>
        <w:spacing w:after="0"/>
        <w:rPr>
          <w:rFonts w:ascii="Verdana" w:hAnsi="Verdana"/>
        </w:rPr>
      </w:pPr>
    </w:p>
    <w:p w14:paraId="47045242" w14:textId="77777777" w:rsidR="004C6846" w:rsidRPr="004C6846" w:rsidRDefault="004C6846" w:rsidP="00E245AB">
      <w:pPr>
        <w:spacing w:after="0"/>
        <w:rPr>
          <w:rFonts w:ascii="Verdana" w:hAnsi="Verdana"/>
        </w:rPr>
      </w:pPr>
    </w:p>
    <w:p w14:paraId="1A9E2B9E" w14:textId="77777777" w:rsidR="004C6846" w:rsidRPr="004C6846" w:rsidRDefault="004C6846" w:rsidP="00E245AB">
      <w:pPr>
        <w:spacing w:after="0"/>
        <w:rPr>
          <w:rFonts w:ascii="Verdana" w:hAnsi="Verdana"/>
        </w:rPr>
      </w:pPr>
    </w:p>
    <w:p w14:paraId="21658597" w14:textId="77777777" w:rsidR="004C6846" w:rsidRPr="004C6846" w:rsidRDefault="004C6846" w:rsidP="00E245AB">
      <w:pPr>
        <w:spacing w:after="0"/>
        <w:rPr>
          <w:rFonts w:ascii="Verdana" w:hAnsi="Verdana"/>
        </w:rPr>
      </w:pPr>
    </w:p>
    <w:p w14:paraId="1C72DDDF" w14:textId="77777777" w:rsidR="004C6846" w:rsidRPr="004C6846" w:rsidRDefault="004C6846" w:rsidP="00E245AB">
      <w:pPr>
        <w:spacing w:after="0"/>
        <w:rPr>
          <w:rFonts w:ascii="Verdana" w:hAnsi="Verdana"/>
        </w:rPr>
      </w:pPr>
    </w:p>
    <w:p w14:paraId="3FE2184B" w14:textId="1853F06A" w:rsidR="00E245AB" w:rsidRPr="004C6846" w:rsidRDefault="00E245AB" w:rsidP="00E245AB">
      <w:pPr>
        <w:spacing w:after="0"/>
        <w:rPr>
          <w:rFonts w:ascii="Verdana" w:hAnsi="Verdana"/>
        </w:rPr>
      </w:pPr>
      <w:r w:rsidRPr="004C6846">
        <w:rPr>
          <w:rFonts w:ascii="Verdana" w:hAnsi="Verdana"/>
        </w:rPr>
        <w:lastRenderedPageBreak/>
        <w:t xml:space="preserve">Bogotá D.C., </w:t>
      </w:r>
      <w:r w:rsidR="00F62E2B" w:rsidRPr="004C6846">
        <w:rPr>
          <w:rFonts w:ascii="Verdana" w:hAnsi="Verdana"/>
        </w:rPr>
        <w:t>21 de noviembre del 2024</w:t>
      </w:r>
      <w:r w:rsidR="00891928" w:rsidRPr="004C6846">
        <w:rPr>
          <w:rFonts w:ascii="Verdana" w:hAnsi="Verdana"/>
        </w:rPr>
        <w:tab/>
      </w:r>
    </w:p>
    <w:p w14:paraId="5FCADBF9" w14:textId="77777777" w:rsidR="00E245AB" w:rsidRPr="004C6846" w:rsidRDefault="00E245AB" w:rsidP="00E245AB">
      <w:pPr>
        <w:spacing w:after="0"/>
        <w:rPr>
          <w:rFonts w:ascii="Verdana" w:hAnsi="Verdana"/>
        </w:rPr>
      </w:pPr>
    </w:p>
    <w:p w14:paraId="3533EB33" w14:textId="2DB08BBA" w:rsidR="00824184" w:rsidRPr="004C6846" w:rsidRDefault="00824184" w:rsidP="00824184">
      <w:pPr>
        <w:spacing w:after="0"/>
        <w:jc w:val="right"/>
        <w:rPr>
          <w:rFonts w:ascii="Verdana" w:hAnsi="Verdana"/>
        </w:rPr>
      </w:pPr>
      <w:r w:rsidRPr="004C6846">
        <w:rPr>
          <w:rFonts w:ascii="Verdana" w:hAnsi="Verdana"/>
        </w:rPr>
        <w:drawing>
          <wp:inline distT="0" distB="0" distL="0" distR="0" wp14:anchorId="68ED1AA9" wp14:editId="6865B41D">
            <wp:extent cx="3453130" cy="914400"/>
            <wp:effectExtent l="0" t="0" r="1270" b="0"/>
            <wp:docPr id="7086343"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343" name="Picture 1" descr="A close-up of a white card&#10;&#10;Description automatically generated"/>
                    <pic:cNvPicPr/>
                  </pic:nvPicPr>
                  <pic:blipFill>
                    <a:blip r:embed="rId11"/>
                    <a:stretch>
                      <a:fillRect/>
                    </a:stretch>
                  </pic:blipFill>
                  <pic:spPr>
                    <a:xfrm>
                      <a:off x="0" y="0"/>
                      <a:ext cx="3453130" cy="914400"/>
                    </a:xfrm>
                    <a:prstGeom prst="rect">
                      <a:avLst/>
                    </a:prstGeom>
                  </pic:spPr>
                </pic:pic>
              </a:graphicData>
            </a:graphic>
          </wp:inline>
        </w:drawing>
      </w:r>
    </w:p>
    <w:bookmarkEnd w:id="0"/>
    <w:p w14:paraId="7AF4319F" w14:textId="3E840311" w:rsidR="00BA268F" w:rsidRPr="004C6846" w:rsidRDefault="00BA268F" w:rsidP="00BA268F">
      <w:pPr>
        <w:spacing w:after="0" w:line="240" w:lineRule="auto"/>
        <w:jc w:val="both"/>
        <w:rPr>
          <w:rFonts w:ascii="Verdana" w:eastAsia="Calibri" w:hAnsi="Verdana" w:cs="Arial"/>
          <w:lang w:val="es-ES" w:eastAsia="es-ES"/>
        </w:rPr>
      </w:pPr>
      <w:r w:rsidRPr="004C6846">
        <w:rPr>
          <w:rFonts w:ascii="Verdana" w:eastAsia="Calibri" w:hAnsi="Verdana" w:cs="Arial"/>
          <w:lang w:val="es-ES" w:eastAsia="es-ES"/>
        </w:rPr>
        <w:t>Señor</w:t>
      </w:r>
      <w:r w:rsidR="004E27ED" w:rsidRPr="004C6846">
        <w:rPr>
          <w:rFonts w:ascii="Verdana" w:eastAsia="Calibri" w:hAnsi="Verdana" w:cs="Arial"/>
          <w:lang w:val="es-ES" w:eastAsia="es-ES"/>
        </w:rPr>
        <w:t>a:</w:t>
      </w:r>
    </w:p>
    <w:p w14:paraId="052097AD" w14:textId="2522A2C8" w:rsidR="00BA268F" w:rsidRPr="004C6846" w:rsidRDefault="004E27ED" w:rsidP="00BA268F">
      <w:pPr>
        <w:spacing w:after="0" w:line="240" w:lineRule="auto"/>
        <w:rPr>
          <w:rFonts w:ascii="Verdana" w:eastAsia="Calibri" w:hAnsi="Verdana" w:cs="Arial"/>
          <w:b/>
          <w:lang w:val="es-ES" w:eastAsia="es-ES"/>
        </w:rPr>
      </w:pPr>
      <w:r w:rsidRPr="004C6846">
        <w:rPr>
          <w:rFonts w:ascii="Verdana" w:eastAsia="Calibri" w:hAnsi="Verdana" w:cs="Arial"/>
          <w:b/>
          <w:lang w:val="es-ES" w:eastAsia="es-ES"/>
        </w:rPr>
        <w:t>Paula Andrea Cristancho García</w:t>
      </w:r>
    </w:p>
    <w:p w14:paraId="643DCF48" w14:textId="43B05AF4" w:rsidR="001745DF" w:rsidRDefault="001745DF" w:rsidP="00BA268F">
      <w:pPr>
        <w:spacing w:after="0" w:line="240" w:lineRule="auto"/>
        <w:rPr>
          <w:rStyle w:val="Hyperlink"/>
          <w:rFonts w:ascii="Verdana" w:hAnsi="Verdana"/>
          <w:color w:val="auto"/>
        </w:rPr>
      </w:pPr>
      <w:hyperlink r:id="rId12" w:history="1">
        <w:r w:rsidRPr="004C6846">
          <w:rPr>
            <w:rStyle w:val="Hyperlink"/>
            <w:rFonts w:ascii="Verdana" w:hAnsi="Verdana"/>
            <w:color w:val="auto"/>
          </w:rPr>
          <w:t>pcristancho@sdis.gov.co</w:t>
        </w:r>
      </w:hyperlink>
    </w:p>
    <w:p w14:paraId="7479DF3C" w14:textId="6330DA91" w:rsidR="00BA268F" w:rsidRPr="004C6846" w:rsidRDefault="004E27ED" w:rsidP="00BA268F">
      <w:pPr>
        <w:spacing w:after="0" w:line="240" w:lineRule="auto"/>
        <w:rPr>
          <w:rFonts w:ascii="Verdana" w:hAnsi="Verdana"/>
        </w:rPr>
      </w:pPr>
      <w:r w:rsidRPr="004C6846">
        <w:rPr>
          <w:rFonts w:ascii="Verdana" w:eastAsia="Calibri" w:hAnsi="Verdana" w:cs="Arial"/>
          <w:bCs/>
          <w:lang w:val="es-ES" w:eastAsia="es-ES"/>
        </w:rPr>
        <w:t>Bogotá D.C.</w:t>
      </w:r>
    </w:p>
    <w:p w14:paraId="0275E92D" w14:textId="77777777" w:rsidR="00BA268F" w:rsidRPr="004C6846" w:rsidRDefault="00BA268F" w:rsidP="00BA268F">
      <w:pPr>
        <w:spacing w:after="0" w:line="240" w:lineRule="auto"/>
        <w:rPr>
          <w:rFonts w:ascii="Verdana" w:eastAsia="Calibri" w:hAnsi="Verdana" w:cs="Arial"/>
          <w:b/>
          <w:bCs/>
          <w:highlight w:val="cyan"/>
          <w:lang w:val="es-ES_tradnl" w:eastAsia="es-ES_tradnl"/>
        </w:rPr>
      </w:pPr>
    </w:p>
    <w:p w14:paraId="007F17E0" w14:textId="77777777" w:rsidR="00BA268F" w:rsidRPr="004C6846" w:rsidRDefault="00BA268F" w:rsidP="00BA268F">
      <w:pPr>
        <w:spacing w:after="0" w:line="240" w:lineRule="auto"/>
        <w:rPr>
          <w:rFonts w:ascii="Verdana" w:eastAsia="Calibri" w:hAnsi="Verdana" w:cs="Arial"/>
          <w:b/>
          <w:bCs/>
          <w:highlight w:val="cyan"/>
          <w:lang w:val="es-ES_tradnl" w:eastAsia="es-ES_tradnl"/>
        </w:rPr>
      </w:pPr>
    </w:p>
    <w:p w14:paraId="26C3AC85" w14:textId="77777777" w:rsidR="00BA268F" w:rsidRPr="004C6846" w:rsidRDefault="00BA268F" w:rsidP="00BA268F">
      <w:pPr>
        <w:spacing w:after="0" w:line="240" w:lineRule="auto"/>
        <w:rPr>
          <w:rFonts w:ascii="Verdana" w:eastAsia="Calibri" w:hAnsi="Verdana" w:cs="Arial"/>
          <w:b/>
          <w:bCs/>
          <w:highlight w:val="cyan"/>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C6846" w:rsidRPr="004C6846" w14:paraId="48C36CC7" w14:textId="77777777" w:rsidTr="00B80C21">
        <w:trPr>
          <w:trHeight w:val="884"/>
        </w:trPr>
        <w:tc>
          <w:tcPr>
            <w:tcW w:w="2689" w:type="dxa"/>
          </w:tcPr>
          <w:p w14:paraId="3BBE2102" w14:textId="77777777" w:rsidR="00BA268F" w:rsidRPr="004C6846" w:rsidRDefault="00BA268F" w:rsidP="00B80C21">
            <w:pPr>
              <w:jc w:val="both"/>
              <w:rPr>
                <w:rFonts w:ascii="Verdana" w:eastAsia="Calibri" w:hAnsi="Verdana" w:cs="Arial"/>
                <w:b/>
                <w:bCs/>
                <w:highlight w:val="cyan"/>
                <w:lang w:val="es-ES_tradnl" w:eastAsia="es-ES_tradnl"/>
              </w:rPr>
            </w:pPr>
          </w:p>
        </w:tc>
        <w:tc>
          <w:tcPr>
            <w:tcW w:w="6100" w:type="dxa"/>
          </w:tcPr>
          <w:p w14:paraId="0805275A" w14:textId="1385D14F" w:rsidR="00BA268F" w:rsidRPr="004C6846" w:rsidRDefault="00BA268F" w:rsidP="00B80C21">
            <w:pPr>
              <w:jc w:val="both"/>
              <w:rPr>
                <w:rFonts w:ascii="Verdana" w:eastAsia="Calibri" w:hAnsi="Verdana" w:cs="Arial"/>
                <w:b/>
                <w:bCs/>
                <w:highlight w:val="cyan"/>
                <w:lang w:val="es-ES" w:eastAsia="es-ES"/>
              </w:rPr>
            </w:pPr>
            <w:r w:rsidRPr="004C6846">
              <w:rPr>
                <w:rFonts w:ascii="Verdana" w:eastAsia="Calibri" w:hAnsi="Verdana" w:cs="Arial"/>
                <w:b/>
                <w:bCs/>
                <w:lang w:val="es-ES" w:eastAsia="es-ES"/>
              </w:rPr>
              <w:t xml:space="preserve">Concepto </w:t>
            </w:r>
            <w:r w:rsidRPr="004C6846">
              <w:rPr>
                <w:rFonts w:ascii="Verdana" w:eastAsia="Calibri" w:hAnsi="Verdana" w:cs="Arial"/>
                <w:b/>
                <w:bCs/>
                <w:lang w:eastAsia="es-ES"/>
              </w:rPr>
              <w:t>C-</w:t>
            </w:r>
            <w:r w:rsidR="00817D92" w:rsidRPr="004C6846">
              <w:rPr>
                <w:rFonts w:ascii="Verdana" w:eastAsia="Calibri" w:hAnsi="Verdana" w:cs="Arial"/>
                <w:b/>
                <w:bCs/>
                <w:lang w:eastAsia="es-ES"/>
              </w:rPr>
              <w:t>838</w:t>
            </w:r>
            <w:r w:rsidRPr="004C6846">
              <w:rPr>
                <w:rFonts w:ascii="Verdana" w:eastAsia="Calibri" w:hAnsi="Verdana" w:cs="Arial"/>
                <w:b/>
                <w:bCs/>
                <w:lang w:eastAsia="es-ES"/>
              </w:rPr>
              <w:t xml:space="preserve"> </w:t>
            </w:r>
            <w:r w:rsidRPr="004C6846">
              <w:rPr>
                <w:rFonts w:ascii="Verdana" w:eastAsia="Calibri" w:hAnsi="Verdana" w:cs="Arial"/>
                <w:b/>
                <w:bCs/>
                <w:lang w:val="es-ES" w:eastAsia="es-ES"/>
              </w:rPr>
              <w:t>de 2024</w:t>
            </w:r>
          </w:p>
        </w:tc>
      </w:tr>
      <w:tr w:rsidR="004C6846" w:rsidRPr="004C6846" w14:paraId="1D8A031D" w14:textId="77777777" w:rsidTr="00B80C21">
        <w:trPr>
          <w:trHeight w:val="884"/>
        </w:trPr>
        <w:tc>
          <w:tcPr>
            <w:tcW w:w="2689" w:type="dxa"/>
            <w:shd w:val="clear" w:color="auto" w:fill="auto"/>
          </w:tcPr>
          <w:p w14:paraId="0C30FA45" w14:textId="77777777" w:rsidR="00BA268F" w:rsidRPr="004C6846" w:rsidRDefault="00BA268F" w:rsidP="00B80C21">
            <w:pPr>
              <w:jc w:val="both"/>
              <w:rPr>
                <w:rFonts w:ascii="Verdana" w:eastAsia="Calibri" w:hAnsi="Verdana" w:cs="Arial"/>
                <w:b/>
                <w:lang w:val="es-ES_tradnl" w:eastAsia="es-ES_tradnl"/>
              </w:rPr>
            </w:pPr>
            <w:r w:rsidRPr="004C6846">
              <w:rPr>
                <w:rFonts w:ascii="Verdana" w:eastAsia="Calibri" w:hAnsi="Verdana" w:cs="Arial"/>
                <w:b/>
                <w:lang w:val="es-ES_tradnl" w:eastAsia="es-ES_tradnl"/>
              </w:rPr>
              <w:t xml:space="preserve">Temas:                   </w:t>
            </w:r>
          </w:p>
        </w:tc>
        <w:tc>
          <w:tcPr>
            <w:tcW w:w="6100" w:type="dxa"/>
          </w:tcPr>
          <w:p w14:paraId="1CBA8B69" w14:textId="5BA0CD3D" w:rsidR="00E82D35" w:rsidRPr="004C6846" w:rsidRDefault="008A7EE1" w:rsidP="00B80C21">
            <w:pPr>
              <w:spacing w:line="276" w:lineRule="auto"/>
              <w:jc w:val="both"/>
              <w:rPr>
                <w:rFonts w:ascii="Verdana" w:eastAsia="Calibri" w:hAnsi="Verdana" w:cs="Arial"/>
                <w:lang w:val="es-ES_tradnl"/>
              </w:rPr>
            </w:pPr>
            <w:r w:rsidRPr="004C6846">
              <w:rPr>
                <w:rFonts w:ascii="Verdana" w:eastAsia="Calibri" w:hAnsi="Verdana" w:cs="Arial"/>
              </w:rPr>
              <w:t xml:space="preserve">SUBSANABILIDAD DE LAS OFERTAS – Alcance de la regla – Ley 1882 de 2018– Ámbito temporal – Criterio material / SUBASTA INVERSA – Regla de </w:t>
            </w:r>
            <w:proofErr w:type="spellStart"/>
            <w:r w:rsidRPr="004C6846">
              <w:rPr>
                <w:rFonts w:ascii="Verdana" w:eastAsia="Calibri" w:hAnsi="Verdana" w:cs="Arial"/>
              </w:rPr>
              <w:t>subsanabilidad</w:t>
            </w:r>
            <w:proofErr w:type="spellEnd"/>
            <w:r w:rsidRPr="004C6846">
              <w:rPr>
                <w:rFonts w:ascii="Verdana" w:eastAsia="Calibri" w:hAnsi="Verdana" w:cs="Arial"/>
              </w:rPr>
              <w:t xml:space="preserve"> – Tiempo límite – Alcance normativo </w:t>
            </w:r>
            <w:r w:rsidR="008F1F04" w:rsidRPr="004C6846">
              <w:rPr>
                <w:rFonts w:ascii="Verdana" w:eastAsia="Calibri" w:hAnsi="Verdana" w:cs="Arial"/>
              </w:rPr>
              <w:t xml:space="preserve">/ </w:t>
            </w:r>
            <w:r w:rsidR="00C50EA5" w:rsidRPr="004C6846">
              <w:rPr>
                <w:rFonts w:ascii="Verdana" w:eastAsia="Calibri" w:hAnsi="Verdana" w:cs="Arial"/>
              </w:rPr>
              <w:t>SUBSANABILIDAD – Ficha técnica o anexo técnico – Posición vigente – Colombia Compra Eficiente</w:t>
            </w:r>
            <w:r w:rsidR="00600804" w:rsidRPr="004C6846">
              <w:rPr>
                <w:rFonts w:ascii="Verdana" w:eastAsia="Calibri" w:hAnsi="Verdana" w:cs="Arial"/>
                <w:lang w:val="es-ES_tradnl"/>
              </w:rPr>
              <w:t>.</w:t>
            </w:r>
          </w:p>
          <w:p w14:paraId="4DFDD2BA" w14:textId="7C583A6E" w:rsidR="00E97E11" w:rsidRPr="004C6846" w:rsidRDefault="00E97E11" w:rsidP="00B80C21">
            <w:pPr>
              <w:spacing w:line="276" w:lineRule="auto"/>
              <w:jc w:val="both"/>
              <w:rPr>
                <w:rFonts w:ascii="Verdana" w:eastAsia="Calibri" w:hAnsi="Verdana" w:cs="Arial"/>
                <w:highlight w:val="cyan"/>
                <w:lang w:val="es-ES_tradnl" w:eastAsia="es-ES"/>
              </w:rPr>
            </w:pPr>
          </w:p>
        </w:tc>
      </w:tr>
      <w:tr w:rsidR="00BA268F" w:rsidRPr="004C6846" w14:paraId="6AE313D6" w14:textId="77777777" w:rsidTr="00B80C21">
        <w:trPr>
          <w:trHeight w:val="388"/>
        </w:trPr>
        <w:tc>
          <w:tcPr>
            <w:tcW w:w="2689" w:type="dxa"/>
          </w:tcPr>
          <w:p w14:paraId="52A62555" w14:textId="77777777" w:rsidR="00BA268F" w:rsidRPr="004C6846" w:rsidRDefault="00BA268F" w:rsidP="00B80C21">
            <w:pPr>
              <w:jc w:val="both"/>
              <w:rPr>
                <w:rFonts w:ascii="Verdana" w:eastAsia="Calibri" w:hAnsi="Verdana" w:cs="Arial"/>
                <w:b/>
                <w:lang w:val="es-ES_tradnl" w:eastAsia="es-ES_tradnl"/>
              </w:rPr>
            </w:pPr>
            <w:r w:rsidRPr="004C6846">
              <w:rPr>
                <w:rFonts w:ascii="Verdana" w:eastAsia="Calibri" w:hAnsi="Verdana" w:cs="Arial"/>
                <w:b/>
                <w:lang w:val="es-ES_tradnl" w:eastAsia="es-ES_tradnl"/>
              </w:rPr>
              <w:t>Radicación:</w:t>
            </w:r>
            <w:r w:rsidRPr="004C6846">
              <w:rPr>
                <w:rFonts w:ascii="Verdana" w:eastAsia="Calibri" w:hAnsi="Verdana" w:cs="Arial"/>
                <w:lang w:val="es-ES_tradnl" w:eastAsia="es-ES_tradnl"/>
              </w:rPr>
              <w:t xml:space="preserve">               </w:t>
            </w:r>
          </w:p>
        </w:tc>
        <w:tc>
          <w:tcPr>
            <w:tcW w:w="6100" w:type="dxa"/>
          </w:tcPr>
          <w:p w14:paraId="4AF317C1" w14:textId="354A2206" w:rsidR="00BA268F" w:rsidRPr="004C6846" w:rsidRDefault="00BA268F" w:rsidP="00B80C21">
            <w:pPr>
              <w:jc w:val="both"/>
              <w:rPr>
                <w:rFonts w:ascii="Verdana" w:eastAsia="Calibri" w:hAnsi="Verdana" w:cs="Arial"/>
                <w:lang w:eastAsia="es-ES_tradnl"/>
              </w:rPr>
            </w:pPr>
            <w:r w:rsidRPr="004C6846">
              <w:rPr>
                <w:rFonts w:ascii="Verdana" w:eastAsia="Calibri" w:hAnsi="Verdana" w:cs="Arial"/>
                <w:lang w:val="es-ES_tradnl" w:eastAsia="es-ES_tradnl"/>
              </w:rPr>
              <w:t xml:space="preserve">Respuesta a consulta con radicado No. </w:t>
            </w:r>
            <w:r w:rsidR="00874244" w:rsidRPr="004C6846">
              <w:rPr>
                <w:rFonts w:ascii="Verdana" w:eastAsia="Calibri" w:hAnsi="Verdana" w:cs="Arial"/>
                <w:lang w:eastAsia="es-ES_tradnl"/>
              </w:rPr>
              <w:t>P20241007010232.</w:t>
            </w:r>
          </w:p>
        </w:tc>
      </w:tr>
    </w:tbl>
    <w:p w14:paraId="247CF8F2" w14:textId="77777777" w:rsidR="00BA268F" w:rsidRPr="004C6846" w:rsidRDefault="00BA268F" w:rsidP="00BA268F">
      <w:pPr>
        <w:spacing w:after="0" w:line="240" w:lineRule="auto"/>
        <w:jc w:val="both"/>
        <w:rPr>
          <w:rFonts w:ascii="Verdana" w:eastAsia="Calibri" w:hAnsi="Verdana" w:cs="Arial"/>
          <w:highlight w:val="cyan"/>
          <w:lang w:val="es-ES_tradnl" w:eastAsia="es-ES_tradnl"/>
        </w:rPr>
      </w:pPr>
    </w:p>
    <w:p w14:paraId="69672DA9" w14:textId="77777777" w:rsidR="00BA268F" w:rsidRPr="004C6846" w:rsidRDefault="00BA268F" w:rsidP="00BA268F">
      <w:pPr>
        <w:spacing w:after="0" w:line="240" w:lineRule="auto"/>
        <w:jc w:val="both"/>
        <w:rPr>
          <w:rFonts w:ascii="Verdana" w:eastAsia="Calibri" w:hAnsi="Verdana" w:cs="Arial"/>
          <w:highlight w:val="cyan"/>
          <w:lang w:val="es-ES_tradnl" w:eastAsia="es-ES_tradnl"/>
        </w:rPr>
      </w:pPr>
    </w:p>
    <w:p w14:paraId="364F8CC1" w14:textId="491125CA" w:rsidR="00BA268F" w:rsidRPr="004C6846" w:rsidRDefault="00BA268F" w:rsidP="00BA268F">
      <w:pPr>
        <w:spacing w:after="0" w:line="276" w:lineRule="auto"/>
        <w:jc w:val="both"/>
        <w:rPr>
          <w:rFonts w:ascii="Verdana" w:eastAsia="Calibri" w:hAnsi="Verdana" w:cs="Arial"/>
          <w:lang w:val="es-ES" w:eastAsia="es-ES"/>
        </w:rPr>
      </w:pPr>
      <w:r w:rsidRPr="004C6846">
        <w:rPr>
          <w:rFonts w:ascii="Verdana" w:eastAsia="Calibri" w:hAnsi="Verdana" w:cs="Arial"/>
          <w:lang w:val="es-ES" w:eastAsia="es-ES"/>
        </w:rPr>
        <w:t>Estimad</w:t>
      </w:r>
      <w:r w:rsidR="00D93FAD" w:rsidRPr="004C6846">
        <w:rPr>
          <w:rFonts w:ascii="Verdana" w:eastAsia="Calibri" w:hAnsi="Verdana" w:cs="Arial"/>
          <w:lang w:val="es-ES" w:eastAsia="es-ES"/>
        </w:rPr>
        <w:t>a</w:t>
      </w:r>
      <w:r w:rsidRPr="004C6846">
        <w:rPr>
          <w:rFonts w:ascii="Verdana" w:eastAsia="Calibri" w:hAnsi="Verdana" w:cs="Arial"/>
          <w:lang w:val="es-ES" w:eastAsia="es-ES"/>
        </w:rPr>
        <w:t xml:space="preserve"> señor</w:t>
      </w:r>
      <w:r w:rsidR="00D93FAD" w:rsidRPr="004C6846">
        <w:rPr>
          <w:rFonts w:ascii="Verdana" w:eastAsia="Calibri" w:hAnsi="Verdana" w:cs="Arial"/>
          <w:lang w:val="es-ES" w:eastAsia="es-ES"/>
        </w:rPr>
        <w:t>a</w:t>
      </w:r>
      <w:r w:rsidRPr="004C6846">
        <w:rPr>
          <w:rFonts w:ascii="Verdana" w:eastAsia="Calibri" w:hAnsi="Verdana" w:cs="Arial"/>
          <w:lang w:val="es-ES" w:eastAsia="es-ES"/>
        </w:rPr>
        <w:t xml:space="preserve"> </w:t>
      </w:r>
      <w:r w:rsidR="00D93FAD" w:rsidRPr="004C6846">
        <w:rPr>
          <w:rFonts w:ascii="Verdana" w:eastAsia="Calibri" w:hAnsi="Verdana" w:cs="Arial"/>
          <w:lang w:val="es-ES" w:eastAsia="es-ES"/>
        </w:rPr>
        <w:t>Cristancho</w:t>
      </w:r>
      <w:r w:rsidRPr="004C6846">
        <w:rPr>
          <w:rFonts w:ascii="Verdana" w:eastAsia="Calibri" w:hAnsi="Verdana" w:cs="Arial"/>
          <w:lang w:val="es-ES" w:eastAsia="es-ES"/>
        </w:rPr>
        <w:t>;</w:t>
      </w:r>
    </w:p>
    <w:p w14:paraId="24D79238" w14:textId="77777777" w:rsidR="00BA268F" w:rsidRPr="004C6846" w:rsidRDefault="00BA268F" w:rsidP="00BA268F">
      <w:pPr>
        <w:tabs>
          <w:tab w:val="left" w:pos="3768"/>
        </w:tabs>
        <w:spacing w:after="0" w:line="276" w:lineRule="auto"/>
        <w:jc w:val="both"/>
        <w:rPr>
          <w:rFonts w:ascii="Verdana" w:eastAsia="Calibri" w:hAnsi="Verdana" w:cs="Arial"/>
          <w:highlight w:val="cyan"/>
          <w:lang w:val="es-ES" w:eastAsia="es-ES"/>
        </w:rPr>
      </w:pPr>
    </w:p>
    <w:p w14:paraId="7D113A78" w14:textId="77777777" w:rsidR="00BA268F" w:rsidRPr="004C6846" w:rsidRDefault="00BA268F" w:rsidP="00BA268F">
      <w:pPr>
        <w:spacing w:after="0" w:line="276" w:lineRule="auto"/>
        <w:jc w:val="both"/>
        <w:rPr>
          <w:rFonts w:ascii="Verdana" w:eastAsia="Calibri" w:hAnsi="Verdana" w:cs="Arial"/>
          <w:lang w:val="es-ES" w:eastAsia="es-ES"/>
        </w:rPr>
      </w:pPr>
      <w:r w:rsidRPr="004C6846">
        <w:rPr>
          <w:rFonts w:ascii="Verdana" w:eastAsia="Calibri" w:hAnsi="Verdana" w:cs="Arial"/>
          <w:lang w:val="es-ES" w:eastAsia="es-ES"/>
        </w:rPr>
        <w:t>En ejercicio de la competencia otorgada por los artículos 3, numeral 5º, y 11, numeral 8º, del Decreto Ley 4170 de 2011,</w:t>
      </w:r>
      <w:r w:rsidRPr="004C6846">
        <w:rPr>
          <w:rFonts w:ascii="Verdana" w:eastAsia="Arial MT" w:hAnsi="Verdana" w:cs="Arial MT"/>
          <w:lang w:val="es-ES" w:eastAsia="es-ES"/>
        </w:rPr>
        <w:t xml:space="preserve"> </w:t>
      </w:r>
      <w:r w:rsidRPr="004C6846">
        <w:rPr>
          <w:rFonts w:ascii="Verdana" w:hAnsi="Verdana" w:cs="Arial"/>
        </w:rPr>
        <w:t xml:space="preserve">así como lo establecido en el artículo 4 de la Resolución 1707 de 2018 expedida por esta Entidad, </w:t>
      </w:r>
      <w:r w:rsidRPr="004C6846">
        <w:rPr>
          <w:rFonts w:ascii="Verdana" w:eastAsia="Calibri" w:hAnsi="Verdana" w:cs="Arial"/>
          <w:lang w:val="es-ES" w:eastAsia="es-ES"/>
        </w:rPr>
        <w:t xml:space="preserve">la Agencia Nacional de Contratación Pública – Colombia Compra Eficiente– responde su solicitud de consulta de fecha 07 de octubre del 2024, en la cual manifiesta lo siguiente: </w:t>
      </w:r>
    </w:p>
    <w:p w14:paraId="18FCFC6A" w14:textId="77777777" w:rsidR="00BA268F" w:rsidRPr="004C6846" w:rsidRDefault="00BA268F" w:rsidP="00BA268F">
      <w:pPr>
        <w:spacing w:after="0"/>
        <w:jc w:val="both"/>
        <w:rPr>
          <w:rFonts w:ascii="Verdana" w:hAnsi="Verdana"/>
          <w:highlight w:val="cyan"/>
          <w:lang w:val="es-ES"/>
        </w:rPr>
      </w:pPr>
    </w:p>
    <w:p w14:paraId="3C6C3ADC" w14:textId="1DF87A27" w:rsidR="00BA268F" w:rsidRPr="004C6846" w:rsidRDefault="00BA268F" w:rsidP="00FD7567">
      <w:pPr>
        <w:spacing w:after="0" w:line="240" w:lineRule="auto"/>
        <w:ind w:left="709" w:right="709"/>
        <w:jc w:val="both"/>
        <w:rPr>
          <w:rFonts w:ascii="Verdana" w:eastAsia="Century Gothic" w:hAnsi="Verdana" w:cs="Century Gothic"/>
          <w:sz w:val="20"/>
          <w:szCs w:val="20"/>
          <w:lang w:val="es-ES"/>
        </w:rPr>
      </w:pPr>
      <w:r w:rsidRPr="004C6846">
        <w:rPr>
          <w:rFonts w:ascii="Verdana" w:eastAsia="Century Gothic" w:hAnsi="Verdana" w:cs="Century Gothic"/>
          <w:sz w:val="20"/>
          <w:szCs w:val="20"/>
          <w:lang w:val="es-ES"/>
        </w:rPr>
        <w:t xml:space="preserve">“[…] </w:t>
      </w:r>
      <w:r w:rsidR="00885B7F" w:rsidRPr="004C6846">
        <w:rPr>
          <w:rFonts w:ascii="Verdana" w:eastAsia="Century Gothic" w:hAnsi="Verdana" w:cs="Century Gothic"/>
          <w:sz w:val="20"/>
          <w:szCs w:val="20"/>
          <w:lang w:val="es-ES"/>
        </w:rPr>
        <w:t xml:space="preserve">Solicito concepto con respecto a la </w:t>
      </w:r>
      <w:proofErr w:type="spellStart"/>
      <w:r w:rsidR="00885B7F" w:rsidRPr="004C6846">
        <w:rPr>
          <w:rFonts w:ascii="Verdana" w:eastAsia="Century Gothic" w:hAnsi="Verdana" w:cs="Century Gothic"/>
          <w:sz w:val="20"/>
          <w:szCs w:val="20"/>
          <w:lang w:val="es-ES"/>
        </w:rPr>
        <w:t>subsanabilidad</w:t>
      </w:r>
      <w:proofErr w:type="spellEnd"/>
      <w:r w:rsidR="00885B7F" w:rsidRPr="004C6846">
        <w:rPr>
          <w:rFonts w:ascii="Verdana" w:eastAsia="Century Gothic" w:hAnsi="Verdana" w:cs="Century Gothic"/>
          <w:sz w:val="20"/>
          <w:szCs w:val="20"/>
          <w:lang w:val="es-ES"/>
        </w:rPr>
        <w:t xml:space="preserve"> de ofertas en una subasta inversa </w:t>
      </w:r>
      <w:r w:rsidR="005D6A2B" w:rsidRPr="004C6846">
        <w:rPr>
          <w:rFonts w:ascii="Verdana" w:eastAsia="Century Gothic" w:hAnsi="Verdana" w:cs="Century Gothic"/>
          <w:sz w:val="20"/>
          <w:szCs w:val="20"/>
          <w:lang w:val="es-ES"/>
        </w:rPr>
        <w:t>¿Puede un proponente subsanar una referencia o marca, en la propuesta técnica cuando no presentó fichas técnicas</w:t>
      </w:r>
      <w:r w:rsidR="00FD7567" w:rsidRPr="004C6846">
        <w:rPr>
          <w:rFonts w:ascii="Verdana" w:eastAsia="Century Gothic" w:hAnsi="Verdana" w:cs="Century Gothic"/>
          <w:sz w:val="20"/>
          <w:szCs w:val="20"/>
          <w:lang w:val="es-ES"/>
        </w:rPr>
        <w:t xml:space="preserve"> de los equipos, luego de evidenciar en el informe preliminar las subsanaciones de los </w:t>
      </w:r>
      <w:r w:rsidR="00FD7567" w:rsidRPr="004C6846">
        <w:rPr>
          <w:rFonts w:ascii="Verdana" w:eastAsia="Century Gothic" w:hAnsi="Verdana" w:cs="Century Gothic"/>
          <w:sz w:val="20"/>
          <w:szCs w:val="20"/>
          <w:lang w:val="es-ES"/>
        </w:rPr>
        <w:lastRenderedPageBreak/>
        <w:t>demás proponentes? ¿Esto puede constituir un mejoramiento de la oferta?</w:t>
      </w:r>
      <w:r w:rsidRPr="004C6846">
        <w:rPr>
          <w:rFonts w:ascii="Verdana" w:eastAsia="Century Gothic" w:hAnsi="Verdana" w:cs="Century Gothic"/>
          <w:sz w:val="20"/>
          <w:szCs w:val="20"/>
          <w:lang w:val="es-ES"/>
        </w:rPr>
        <w:t xml:space="preserve"> […]”</w:t>
      </w:r>
    </w:p>
    <w:p w14:paraId="1F1AE749" w14:textId="77777777" w:rsidR="00BA268F" w:rsidRPr="004C6846" w:rsidRDefault="00BA268F" w:rsidP="00BA268F">
      <w:pPr>
        <w:spacing w:after="0"/>
        <w:jc w:val="both"/>
        <w:rPr>
          <w:rFonts w:ascii="Verdana" w:hAnsi="Verdana"/>
          <w:highlight w:val="cyan"/>
          <w:lang w:val="es-ES"/>
        </w:rPr>
      </w:pPr>
    </w:p>
    <w:p w14:paraId="66279B6E" w14:textId="77777777" w:rsidR="00BA268F" w:rsidRPr="004C6846" w:rsidRDefault="00BA268F" w:rsidP="00BA268F">
      <w:pPr>
        <w:spacing w:after="120" w:line="276" w:lineRule="auto"/>
        <w:ind w:firstLine="709"/>
        <w:jc w:val="both"/>
        <w:rPr>
          <w:rFonts w:ascii="Verdana" w:eastAsia="Calibri" w:hAnsi="Verdana" w:cs="Arial"/>
          <w:lang w:val="es-ES_tradnl" w:eastAsia="es-ES_tradnl"/>
        </w:rPr>
      </w:pPr>
      <w:r w:rsidRPr="004C6846">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1882C8D8" w14:textId="77777777" w:rsidR="00BA268F" w:rsidRPr="004C6846" w:rsidRDefault="00BA268F" w:rsidP="00BA268F">
      <w:pPr>
        <w:spacing w:after="0" w:line="276" w:lineRule="auto"/>
        <w:ind w:firstLine="709"/>
        <w:jc w:val="both"/>
        <w:rPr>
          <w:rFonts w:ascii="Verdana" w:eastAsia="Calibri" w:hAnsi="Verdana" w:cs="Arial"/>
          <w:lang w:val="es-ES" w:eastAsia="es-ES"/>
        </w:rPr>
      </w:pPr>
      <w:r w:rsidRPr="004C684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C5FBFF0" w14:textId="77777777" w:rsidR="00BA268F" w:rsidRPr="004C6846" w:rsidRDefault="00BA268F" w:rsidP="00BA268F">
      <w:pPr>
        <w:spacing w:after="0"/>
        <w:jc w:val="both"/>
        <w:rPr>
          <w:rFonts w:ascii="Verdana" w:hAnsi="Verdana"/>
          <w:highlight w:val="cyan"/>
          <w:lang w:val="es-ES"/>
        </w:rPr>
      </w:pPr>
    </w:p>
    <w:p w14:paraId="3053403E" w14:textId="77777777" w:rsidR="00BA268F" w:rsidRPr="004C6846" w:rsidRDefault="00BA268F" w:rsidP="00BA268F">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C6846">
        <w:rPr>
          <w:rFonts w:ascii="Verdana" w:eastAsia="Century Gothic" w:hAnsi="Verdana" w:cs="Century Gothic"/>
          <w:b/>
          <w:bCs/>
        </w:rPr>
        <w:t>Problema planteado:</w:t>
      </w:r>
    </w:p>
    <w:p w14:paraId="04D44D4A" w14:textId="77777777" w:rsidR="00BA268F" w:rsidRPr="004C6846" w:rsidRDefault="00BA268F" w:rsidP="00BA268F">
      <w:pPr>
        <w:tabs>
          <w:tab w:val="left" w:pos="426"/>
        </w:tabs>
        <w:spacing w:after="0" w:line="276" w:lineRule="auto"/>
        <w:jc w:val="both"/>
        <w:rPr>
          <w:rFonts w:ascii="Verdana" w:eastAsia="Century Gothic" w:hAnsi="Verdana" w:cs="Century Gothic"/>
          <w:lang w:val="es-ES"/>
        </w:rPr>
      </w:pPr>
    </w:p>
    <w:p w14:paraId="5FA5BD4A" w14:textId="3B6B32BD" w:rsidR="00BA268F" w:rsidRPr="004C6846" w:rsidRDefault="00BA268F" w:rsidP="00BA268F">
      <w:pPr>
        <w:spacing w:after="0" w:line="276" w:lineRule="auto"/>
        <w:jc w:val="both"/>
        <w:rPr>
          <w:rFonts w:ascii="Verdana" w:eastAsia="Century Gothic" w:hAnsi="Verdana" w:cs="Century Gothic"/>
        </w:rPr>
      </w:pPr>
      <w:r w:rsidRPr="004C6846">
        <w:rPr>
          <w:rFonts w:ascii="Verdana" w:eastAsia="Century Gothic" w:hAnsi="Verdana" w:cs="Century Gothic"/>
        </w:rPr>
        <w:t xml:space="preserve">De acuerdo con el contenido de su solicitud, esta Agencia resolverá el siguiente problema jurídico: </w:t>
      </w:r>
      <w:r w:rsidR="00FD4294" w:rsidRPr="004C6846">
        <w:rPr>
          <w:rFonts w:ascii="Verdana" w:eastAsia="Century Gothic" w:hAnsi="Verdana" w:cs="Century Gothic"/>
        </w:rPr>
        <w:t xml:space="preserve">¿Qué documentos se pueden subsanar </w:t>
      </w:r>
      <w:r w:rsidR="002A18F9" w:rsidRPr="004C6846">
        <w:rPr>
          <w:rFonts w:ascii="Verdana" w:eastAsia="Century Gothic" w:hAnsi="Verdana" w:cs="Century Gothic"/>
        </w:rPr>
        <w:t xml:space="preserve">en un </w:t>
      </w:r>
      <w:r w:rsidR="00577110" w:rsidRPr="004C6846">
        <w:rPr>
          <w:rFonts w:ascii="Verdana" w:eastAsia="Century Gothic" w:hAnsi="Verdana" w:cs="Century Gothic"/>
        </w:rPr>
        <w:t>proceso de selección abreviada mediante subasta inversa?</w:t>
      </w:r>
      <w:r w:rsidR="00945700" w:rsidRPr="004C6846">
        <w:rPr>
          <w:rFonts w:ascii="Verdana" w:eastAsia="Century Gothic" w:hAnsi="Verdana" w:cs="Century Gothic"/>
        </w:rPr>
        <w:t xml:space="preserve"> </w:t>
      </w:r>
      <w:r w:rsidR="00BF3051" w:rsidRPr="004C6846">
        <w:rPr>
          <w:rFonts w:ascii="Verdana" w:eastAsia="Century Gothic" w:hAnsi="Verdana" w:cs="Century Gothic"/>
        </w:rPr>
        <w:t xml:space="preserve"> </w:t>
      </w:r>
    </w:p>
    <w:p w14:paraId="745B9C91" w14:textId="77777777" w:rsidR="00BA268F" w:rsidRPr="004C6846" w:rsidRDefault="00BA268F" w:rsidP="00BA268F">
      <w:pPr>
        <w:spacing w:after="0"/>
        <w:jc w:val="both"/>
        <w:rPr>
          <w:rFonts w:ascii="Verdana" w:hAnsi="Verdana"/>
          <w:highlight w:val="cyan"/>
        </w:rPr>
      </w:pPr>
    </w:p>
    <w:p w14:paraId="79925AF6" w14:textId="77777777" w:rsidR="00BA268F" w:rsidRPr="004C6846" w:rsidRDefault="00BA268F" w:rsidP="00BA268F">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C6846">
        <w:rPr>
          <w:rFonts w:ascii="Verdana" w:eastAsia="Century Gothic" w:hAnsi="Verdana" w:cs="Century Gothic"/>
          <w:b/>
          <w:bCs/>
        </w:rPr>
        <w:t>Respuesta:</w:t>
      </w:r>
    </w:p>
    <w:p w14:paraId="7EB88BF8" w14:textId="77777777" w:rsidR="00BA268F" w:rsidRPr="004C6846" w:rsidRDefault="00BA268F" w:rsidP="00BA268F">
      <w:pPr>
        <w:spacing w:after="0"/>
        <w:jc w:val="both"/>
        <w:rPr>
          <w:rFonts w:ascii="Verdana" w:hAnsi="Verdana"/>
          <w:highlight w:val="cyan"/>
          <w:lang w:val="es-E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A268F" w:rsidRPr="004C6846" w14:paraId="7D42597A" w14:textId="77777777" w:rsidTr="00757D1C">
        <w:trPr>
          <w:trHeight w:val="629"/>
        </w:trPr>
        <w:tc>
          <w:tcPr>
            <w:tcW w:w="8828" w:type="dxa"/>
            <w:shd w:val="clear" w:color="auto" w:fill="auto"/>
          </w:tcPr>
          <w:p w14:paraId="08DEABFF" w14:textId="72396692" w:rsidR="00BA268F" w:rsidRPr="004C6846" w:rsidRDefault="00BA268F" w:rsidP="00F75648">
            <w:pPr>
              <w:spacing w:after="120" w:line="276" w:lineRule="auto"/>
              <w:jc w:val="both"/>
              <w:rPr>
                <w:rFonts w:ascii="Verdana" w:eastAsia="Calibri" w:hAnsi="Verdana" w:cs="Arial"/>
                <w:lang w:val="es-ES"/>
              </w:rPr>
            </w:pPr>
            <w:r w:rsidRPr="004C6846">
              <w:rPr>
                <w:rFonts w:ascii="Verdana" w:eastAsia="Calibri" w:hAnsi="Verdana" w:cs="Arial"/>
                <w:lang w:val="es-ES"/>
              </w:rPr>
              <w:t>En respuesta al problema planteado esta Subdirección manifiesta:</w:t>
            </w:r>
          </w:p>
          <w:p w14:paraId="5674658E" w14:textId="2CD20598" w:rsidR="00057437" w:rsidRPr="004C6846" w:rsidRDefault="00017237" w:rsidP="00F75648">
            <w:pPr>
              <w:spacing w:line="276" w:lineRule="auto"/>
              <w:jc w:val="both"/>
              <w:rPr>
                <w:rFonts w:ascii="Verdana" w:eastAsia="Calibri" w:hAnsi="Verdana" w:cs="Arial"/>
              </w:rPr>
            </w:pPr>
            <w:r w:rsidRPr="004C6846">
              <w:rPr>
                <w:rFonts w:ascii="Verdana" w:eastAsia="Calibri" w:hAnsi="Verdana" w:cs="Arial"/>
                <w:lang w:val="es-ES"/>
              </w:rPr>
              <w:t>E</w:t>
            </w:r>
            <w:r w:rsidRPr="004C6846">
              <w:rPr>
                <w:rFonts w:ascii="Verdana" w:eastAsia="Calibri" w:hAnsi="Verdana" w:cs="Arial"/>
              </w:rPr>
              <w:t xml:space="preserve">n torno a la </w:t>
            </w:r>
            <w:proofErr w:type="spellStart"/>
            <w:r w:rsidRPr="004C6846">
              <w:rPr>
                <w:rFonts w:ascii="Verdana" w:eastAsia="Calibri" w:hAnsi="Verdana" w:cs="Arial"/>
              </w:rPr>
              <w:t>subsanabilidad</w:t>
            </w:r>
            <w:proofErr w:type="spellEnd"/>
            <w:r w:rsidRPr="004C6846">
              <w:rPr>
                <w:rFonts w:ascii="Verdana" w:eastAsia="Calibri" w:hAnsi="Verdana" w:cs="Arial"/>
              </w:rPr>
              <w:t xml:space="preserve"> de las ofertas y teniendo en cuenta las reglas dispuestas en la Ley 1882 de 2018, se establece que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w:t>
            </w:r>
            <w:r w:rsidRPr="004C6846">
              <w:rPr>
                <w:rFonts w:ascii="Verdana" w:eastAsia="Calibri" w:hAnsi="Verdana" w:cs="Arial"/>
              </w:rPr>
              <w:lastRenderedPageBreak/>
              <w:t xml:space="preserve">pueden subsanarse. Además, se precisa que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 </w:t>
            </w:r>
            <w:r w:rsidR="008E2238" w:rsidRPr="004C6846">
              <w:rPr>
                <w:rFonts w:ascii="Verdana" w:eastAsia="Calibri" w:hAnsi="Verdana" w:cs="Arial"/>
              </w:rPr>
              <w:t xml:space="preserve">No obstante, debe tenerse en </w:t>
            </w:r>
            <w:r w:rsidR="00607377" w:rsidRPr="004C6846">
              <w:rPr>
                <w:rFonts w:ascii="Verdana" w:eastAsia="Calibri" w:hAnsi="Verdana" w:cs="Arial"/>
              </w:rPr>
              <w:t>consideración</w:t>
            </w:r>
            <w:r w:rsidR="008E2238" w:rsidRPr="004C6846">
              <w:rPr>
                <w:rFonts w:ascii="Verdana" w:eastAsia="Calibri" w:hAnsi="Verdana" w:cs="Arial"/>
              </w:rPr>
              <w:t xml:space="preserve"> que </w:t>
            </w:r>
            <w:r w:rsidR="000A15BE" w:rsidRPr="004C6846">
              <w:rPr>
                <w:rFonts w:ascii="Verdana" w:eastAsia="Calibri" w:hAnsi="Verdana" w:cs="Arial"/>
              </w:rPr>
              <w:t xml:space="preserve">la </w:t>
            </w:r>
            <w:proofErr w:type="spellStart"/>
            <w:r w:rsidR="000A15BE" w:rsidRPr="004C6846">
              <w:rPr>
                <w:rFonts w:ascii="Verdana" w:eastAsia="Calibri" w:hAnsi="Verdana" w:cs="Arial"/>
              </w:rPr>
              <w:t>subsanabilidad</w:t>
            </w:r>
            <w:proofErr w:type="spellEnd"/>
            <w:r w:rsidR="000A15BE" w:rsidRPr="004C6846">
              <w:rPr>
                <w:rFonts w:ascii="Verdana" w:eastAsia="Calibri" w:hAnsi="Verdana" w:cs="Arial"/>
              </w:rPr>
              <w:t xml:space="preserve"> de los aspectos </w:t>
            </w:r>
            <w:r w:rsidR="00676F47" w:rsidRPr="004C6846">
              <w:rPr>
                <w:rFonts w:ascii="Verdana" w:eastAsia="Calibri" w:hAnsi="Verdana" w:cs="Arial"/>
              </w:rPr>
              <w:t>técnicos</w:t>
            </w:r>
            <w:r w:rsidR="00B44B75" w:rsidRPr="004C6846">
              <w:rPr>
                <w:rFonts w:ascii="Verdana" w:eastAsia="Calibri" w:hAnsi="Verdana" w:cs="Arial"/>
              </w:rPr>
              <w:t xml:space="preserve">, </w:t>
            </w:r>
            <w:r w:rsidR="00EC7BD9" w:rsidRPr="004C6846">
              <w:rPr>
                <w:rFonts w:ascii="Verdana" w:eastAsia="Calibri" w:hAnsi="Verdana" w:cs="Arial"/>
              </w:rPr>
              <w:t>no puede conducir a la modificación del precio de la oferta, pues</w:t>
            </w:r>
            <w:r w:rsidR="00E55244" w:rsidRPr="004C6846">
              <w:rPr>
                <w:rFonts w:ascii="Verdana" w:eastAsia="Calibri" w:hAnsi="Verdana" w:cs="Arial"/>
              </w:rPr>
              <w:t>to que</w:t>
            </w:r>
            <w:r w:rsidR="00EC7BD9" w:rsidRPr="004C6846">
              <w:rPr>
                <w:rFonts w:ascii="Verdana" w:eastAsia="Calibri" w:hAnsi="Verdana" w:cs="Arial"/>
              </w:rPr>
              <w:t xml:space="preserve"> en este caso</w:t>
            </w:r>
            <w:r w:rsidR="00AF3CF6" w:rsidRPr="004C6846">
              <w:rPr>
                <w:rFonts w:ascii="Verdana" w:eastAsia="Calibri" w:hAnsi="Verdana" w:cs="Arial"/>
              </w:rPr>
              <w:t xml:space="preserve"> en particular,</w:t>
            </w:r>
            <w:r w:rsidR="00EC7BD9" w:rsidRPr="004C6846">
              <w:rPr>
                <w:rFonts w:ascii="Verdana" w:eastAsia="Calibri" w:hAnsi="Verdana" w:cs="Arial"/>
              </w:rPr>
              <w:t xml:space="preserve"> no podr</w:t>
            </w:r>
            <w:r w:rsidR="008404D8" w:rsidRPr="004C6846">
              <w:rPr>
                <w:rFonts w:ascii="Verdana" w:eastAsia="Calibri" w:hAnsi="Verdana" w:cs="Arial"/>
              </w:rPr>
              <w:t>ía</w:t>
            </w:r>
            <w:r w:rsidR="00180953" w:rsidRPr="004C6846">
              <w:rPr>
                <w:rFonts w:ascii="Verdana" w:eastAsia="Calibri" w:hAnsi="Verdana" w:cs="Arial"/>
              </w:rPr>
              <w:t>n</w:t>
            </w:r>
            <w:r w:rsidR="00EC7BD9" w:rsidRPr="004C6846">
              <w:rPr>
                <w:rFonts w:ascii="Verdana" w:eastAsia="Calibri" w:hAnsi="Verdana" w:cs="Arial"/>
              </w:rPr>
              <w:t xml:space="preserve"> </w:t>
            </w:r>
            <w:r w:rsidR="007E002C" w:rsidRPr="004C6846">
              <w:rPr>
                <w:rFonts w:ascii="Verdana" w:eastAsia="Calibri" w:hAnsi="Verdana" w:cs="Arial"/>
              </w:rPr>
              <w:t xml:space="preserve">ser </w:t>
            </w:r>
            <w:r w:rsidR="00B04488" w:rsidRPr="004C6846">
              <w:rPr>
                <w:rFonts w:ascii="Verdana" w:eastAsia="Calibri" w:hAnsi="Verdana" w:cs="Arial"/>
              </w:rPr>
              <w:t>objeto de subsanación</w:t>
            </w:r>
            <w:r w:rsidR="0070192D" w:rsidRPr="004C6846">
              <w:rPr>
                <w:rFonts w:ascii="Verdana" w:eastAsia="Calibri" w:hAnsi="Verdana" w:cs="Arial"/>
              </w:rPr>
              <w:t>.</w:t>
            </w:r>
          </w:p>
          <w:p w14:paraId="3645C444" w14:textId="77777777" w:rsidR="00057437" w:rsidRPr="004C6846" w:rsidRDefault="00057437" w:rsidP="00F75648">
            <w:pPr>
              <w:spacing w:line="276" w:lineRule="auto"/>
              <w:jc w:val="both"/>
              <w:rPr>
                <w:rFonts w:ascii="Verdana" w:eastAsia="Calibri" w:hAnsi="Verdana" w:cs="Arial"/>
              </w:rPr>
            </w:pPr>
          </w:p>
          <w:p w14:paraId="57E840BF" w14:textId="77777777" w:rsidR="003C660A" w:rsidRPr="004C6846" w:rsidRDefault="0030493B" w:rsidP="00F75648">
            <w:pPr>
              <w:spacing w:line="276" w:lineRule="auto"/>
              <w:jc w:val="both"/>
              <w:rPr>
                <w:rFonts w:ascii="Verdana" w:eastAsia="Calibri" w:hAnsi="Verdana" w:cs="Arial"/>
              </w:rPr>
            </w:pPr>
            <w:r w:rsidRPr="004C6846">
              <w:rPr>
                <w:rFonts w:ascii="Verdana" w:eastAsia="Calibri" w:hAnsi="Verdana" w:cs="Arial"/>
              </w:rPr>
              <w:t xml:space="preserve">En ese orden de ideas, extendiendo las anteriores consideraciones a la regla de </w:t>
            </w:r>
            <w:proofErr w:type="spellStart"/>
            <w:r w:rsidRPr="004C6846">
              <w:rPr>
                <w:rFonts w:ascii="Verdana" w:eastAsia="Calibri" w:hAnsi="Verdana" w:cs="Arial"/>
              </w:rPr>
              <w:t>subsanabilidad</w:t>
            </w:r>
            <w:proofErr w:type="spellEnd"/>
            <w:r w:rsidRPr="004C6846">
              <w:rPr>
                <w:rFonts w:ascii="Verdana" w:eastAsia="Calibri" w:hAnsi="Verdana" w:cs="Arial"/>
              </w:rPr>
              <w:t xml:space="preserve"> consagrada en el parágrafo 4 del artículo 5 de la Ley 1150 de 2007 –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subsanación de los documentos referentes a la futura contratación o a los proponentes, no necesarios para la comparación de las propuestas. Para el ejercicio de tal facultad, las entidades de manera ex ante 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Así mismo, dentro del pliego de condiciones podrán definir las veces en las cuales le será posible a los proponentes subsanar los documentos</w:t>
            </w:r>
            <w:r w:rsidR="003C660A" w:rsidRPr="004C6846">
              <w:rPr>
                <w:rFonts w:ascii="Verdana" w:eastAsia="Calibri" w:hAnsi="Verdana" w:cs="Arial"/>
              </w:rPr>
              <w:t>.</w:t>
            </w:r>
          </w:p>
          <w:p w14:paraId="6B030635" w14:textId="77777777" w:rsidR="003C660A" w:rsidRPr="004C6846" w:rsidRDefault="003C660A" w:rsidP="00F75648">
            <w:pPr>
              <w:spacing w:line="276" w:lineRule="auto"/>
              <w:jc w:val="both"/>
              <w:rPr>
                <w:rFonts w:ascii="Verdana" w:eastAsia="Calibri" w:hAnsi="Verdana" w:cs="Arial"/>
              </w:rPr>
            </w:pPr>
          </w:p>
          <w:p w14:paraId="617915B3" w14:textId="32C10817" w:rsidR="00BA268F" w:rsidRPr="004C6846" w:rsidRDefault="003C660A" w:rsidP="00F75648">
            <w:pPr>
              <w:spacing w:line="276" w:lineRule="auto"/>
              <w:jc w:val="both"/>
              <w:rPr>
                <w:rFonts w:ascii="Verdana" w:eastAsia="Calibri" w:hAnsi="Verdana" w:cs="Arial"/>
              </w:rPr>
            </w:pPr>
            <w:r w:rsidRPr="004C6846">
              <w:rPr>
                <w:rFonts w:ascii="Verdana" w:eastAsia="Calibri" w:hAnsi="Verdana" w:cs="Arial"/>
              </w:rPr>
              <w:t xml:space="preserve">De esta manera, los oferentes que subsanen los documentos referentes a la futura contratación no necesarios para la comparación de las propuestas, hasta el momento previo a la realización a la subasta a la que hace referencia el artículo 2.2.1.2.1.2.2 del Decreto 1082 de 2015, momento que, además, deberá estar señalado en el pliego de condiciones, independientemente de que la entidad opte para desarrollar la audiencia de manera presencial o través del algún mecanismo electrónico. En defecto de lo anterior, las entidades también podrán requerir por separado o conjuntamente a cada proponente para que subsanen los respectivos documentos, fijándoles un término razonable, el cual </w:t>
            </w:r>
            <w:r w:rsidRPr="004C6846">
              <w:rPr>
                <w:rFonts w:ascii="Verdana" w:eastAsia="Calibri" w:hAnsi="Verdana" w:cs="Arial"/>
              </w:rPr>
              <w:lastRenderedPageBreak/>
              <w:t>en todo caso no podrá exceder el momento previo al inicio de la audiencia de subasta, por lo que será anterior a ella.</w:t>
            </w:r>
            <w:r w:rsidR="00757D1C" w:rsidRPr="004C6846">
              <w:rPr>
                <w:rFonts w:ascii="Verdana" w:eastAsia="Calibri" w:hAnsi="Verdana" w:cs="Arial"/>
              </w:rPr>
              <w:t xml:space="preserve">.  </w:t>
            </w:r>
          </w:p>
        </w:tc>
      </w:tr>
    </w:tbl>
    <w:p w14:paraId="7A40B65E" w14:textId="77777777" w:rsidR="00D96D98" w:rsidRPr="004C6846" w:rsidRDefault="00D96D98" w:rsidP="00BA268F">
      <w:pPr>
        <w:spacing w:after="0"/>
        <w:jc w:val="both"/>
        <w:rPr>
          <w:rFonts w:ascii="Verdana" w:hAnsi="Verdana"/>
          <w:highlight w:val="cyan"/>
        </w:rPr>
      </w:pPr>
    </w:p>
    <w:p w14:paraId="55A4B34E" w14:textId="77777777" w:rsidR="00BA268F" w:rsidRPr="004C6846" w:rsidRDefault="00BA268F" w:rsidP="00BA268F">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C6846">
        <w:rPr>
          <w:rFonts w:ascii="Verdana" w:eastAsia="Century Gothic" w:hAnsi="Verdana" w:cs="Century Gothic"/>
          <w:b/>
          <w:bCs/>
        </w:rPr>
        <w:t>Razones de la respuesta:</w:t>
      </w:r>
    </w:p>
    <w:p w14:paraId="2ABC5F84" w14:textId="77777777" w:rsidR="00D96D98" w:rsidRPr="004C6846" w:rsidRDefault="00D96D98" w:rsidP="00BA268F">
      <w:pPr>
        <w:spacing w:after="0" w:line="276" w:lineRule="auto"/>
        <w:jc w:val="both"/>
        <w:rPr>
          <w:rFonts w:ascii="Verdana" w:eastAsia="Calibri" w:hAnsi="Verdana" w:cs="Arial"/>
          <w:highlight w:val="cyan"/>
          <w:lang w:val="es-ES"/>
        </w:rPr>
      </w:pPr>
    </w:p>
    <w:p w14:paraId="15022146" w14:textId="77777777" w:rsidR="004E5B9E" w:rsidRPr="004C6846" w:rsidRDefault="004E5B9E" w:rsidP="004E5B9E">
      <w:pPr>
        <w:spacing w:after="0"/>
        <w:jc w:val="both"/>
        <w:rPr>
          <w:rFonts w:ascii="Verdana" w:eastAsia="Calibri" w:hAnsi="Verdana" w:cs="Arial"/>
          <w:lang w:val="es-ES"/>
        </w:rPr>
      </w:pPr>
      <w:r w:rsidRPr="004C6846">
        <w:rPr>
          <w:rFonts w:ascii="Verdana" w:eastAsia="Calibri" w:hAnsi="Verdana" w:cs="Arial"/>
          <w:lang w:val="es-ES"/>
        </w:rPr>
        <w:t>Lo anterior se sustenta en las siguientes consideraciones:</w:t>
      </w:r>
    </w:p>
    <w:p w14:paraId="69EE9AD7" w14:textId="77777777" w:rsidR="004E5B9E" w:rsidRPr="004C6846" w:rsidRDefault="004E5B9E" w:rsidP="00BA268F">
      <w:pPr>
        <w:spacing w:after="0" w:line="276" w:lineRule="auto"/>
        <w:jc w:val="both"/>
        <w:rPr>
          <w:rFonts w:ascii="Verdana" w:eastAsia="Calibri" w:hAnsi="Verdana" w:cs="Arial"/>
          <w:highlight w:val="cyan"/>
          <w:lang w:val="es-ES"/>
        </w:rPr>
      </w:pPr>
    </w:p>
    <w:p w14:paraId="57DE654B" w14:textId="5451160F" w:rsidR="008C72BD" w:rsidRPr="004C6846" w:rsidRDefault="00D80792" w:rsidP="00D96D98">
      <w:pPr>
        <w:pStyle w:val="ListParagraph"/>
        <w:numPr>
          <w:ilvl w:val="0"/>
          <w:numId w:val="18"/>
        </w:numPr>
        <w:spacing w:after="0"/>
        <w:jc w:val="both"/>
        <w:rPr>
          <w:rFonts w:ascii="Verdana" w:eastAsia="Calibri" w:hAnsi="Verdana" w:cs="Arial"/>
          <w:lang w:val="es-ES_tradnl"/>
        </w:rPr>
      </w:pPr>
      <w:r w:rsidRPr="004C6846">
        <w:rPr>
          <w:rFonts w:ascii="Verdana" w:eastAsia="Calibri" w:hAnsi="Verdana" w:cs="Arial"/>
        </w:rPr>
        <w:t xml:space="preserve">Para brindar respuesta a la consulta elevada </w:t>
      </w:r>
      <w:r w:rsidR="00493414" w:rsidRPr="004C6846">
        <w:rPr>
          <w:rFonts w:ascii="Verdana" w:eastAsia="Calibri" w:hAnsi="Verdana" w:cs="Arial"/>
        </w:rPr>
        <w:t>es</w:t>
      </w:r>
      <w:r w:rsidR="00EA22B2" w:rsidRPr="004C6846">
        <w:rPr>
          <w:rFonts w:ascii="Verdana" w:eastAsia="Calibri" w:hAnsi="Verdana" w:cs="Arial"/>
        </w:rPr>
        <w:t xml:space="preserve"> preciso indicar que </w:t>
      </w:r>
      <w:r w:rsidR="004D6B0B" w:rsidRPr="004C6846">
        <w:rPr>
          <w:rFonts w:ascii="Verdana" w:eastAsia="Calibri" w:hAnsi="Verdana" w:cs="Arial"/>
        </w:rPr>
        <w:t>la</w:t>
      </w:r>
      <w:r w:rsidR="00EA22B2" w:rsidRPr="004C6846">
        <w:rPr>
          <w:rFonts w:ascii="Verdana" w:eastAsia="Calibri" w:hAnsi="Verdana" w:cs="Arial"/>
        </w:rPr>
        <w:t xml:space="preserve"> regla </w:t>
      </w:r>
      <w:r w:rsidR="004D6B0B" w:rsidRPr="004C6846">
        <w:rPr>
          <w:rFonts w:ascii="Verdana" w:eastAsia="Calibri" w:hAnsi="Verdana" w:cs="Arial"/>
        </w:rPr>
        <w:t>de</w:t>
      </w:r>
      <w:r w:rsidR="00EA22B2" w:rsidRPr="004C6846">
        <w:rPr>
          <w:rFonts w:ascii="Verdana" w:eastAsia="Calibri" w:hAnsi="Verdana" w:cs="Arial"/>
        </w:rPr>
        <w:t xml:space="preserve"> </w:t>
      </w:r>
      <w:proofErr w:type="spellStart"/>
      <w:r w:rsidR="00EA22B2" w:rsidRPr="004C6846">
        <w:rPr>
          <w:rFonts w:ascii="Verdana" w:eastAsia="Calibri" w:hAnsi="Verdana" w:cs="Arial"/>
        </w:rPr>
        <w:t>subsanabilidad</w:t>
      </w:r>
      <w:proofErr w:type="spellEnd"/>
      <w:r w:rsidR="00EA22B2" w:rsidRPr="004C6846">
        <w:rPr>
          <w:rFonts w:ascii="Verdana" w:eastAsia="Calibri" w:hAnsi="Verdana" w:cs="Arial"/>
        </w:rPr>
        <w:t xml:space="preserve">, </w:t>
      </w:r>
      <w:r w:rsidR="00495292" w:rsidRPr="004C6846">
        <w:rPr>
          <w:rFonts w:ascii="Verdana" w:eastAsia="Calibri" w:hAnsi="Verdana" w:cs="Arial"/>
          <w:lang w:val="es-ES_tradnl"/>
        </w:rPr>
        <w:t xml:space="preserve">contenida en el artículo 5 de la Ley 1150 de 2007, </w:t>
      </w:r>
      <w:r w:rsidR="00404D36" w:rsidRPr="004C6846">
        <w:rPr>
          <w:rFonts w:ascii="Verdana" w:eastAsia="Calibri" w:hAnsi="Verdana" w:cs="Arial"/>
          <w:lang w:val="es-ES_tradnl"/>
        </w:rPr>
        <w:t xml:space="preserve">se concreta </w:t>
      </w:r>
      <w:r w:rsidR="00863C95" w:rsidRPr="004C6846">
        <w:rPr>
          <w:rFonts w:ascii="Verdana" w:eastAsia="Calibri" w:hAnsi="Verdana" w:cs="Arial"/>
          <w:lang w:val="es-ES_tradnl"/>
        </w:rPr>
        <w:t>en los siguientes supuestos a saber</w:t>
      </w:r>
      <w:r w:rsidR="00404D36" w:rsidRPr="004C6846">
        <w:rPr>
          <w:rFonts w:ascii="Verdana" w:eastAsia="Calibri" w:hAnsi="Verdana" w:cs="Arial"/>
          <w:lang w:val="es-ES_tradnl"/>
        </w:rPr>
        <w:t xml:space="preserve">: </w:t>
      </w:r>
      <w:r w:rsidR="00495292" w:rsidRPr="004C6846">
        <w:rPr>
          <w:rFonts w:ascii="Verdana" w:eastAsia="Calibri" w:hAnsi="Verdana" w:cs="Arial"/>
          <w:lang w:val="es-ES_tradnl"/>
        </w:rPr>
        <w:t xml:space="preserve">i) la falta de entrega o </w:t>
      </w:r>
      <w:proofErr w:type="spellStart"/>
      <w:r w:rsidR="00495292" w:rsidRPr="004C6846">
        <w:rPr>
          <w:rFonts w:ascii="Verdana" w:eastAsia="Calibri" w:hAnsi="Verdana" w:cs="Arial"/>
          <w:lang w:val="es-ES_tradnl"/>
        </w:rPr>
        <w:t>ii</w:t>
      </w:r>
      <w:proofErr w:type="spellEnd"/>
      <w:r w:rsidR="00495292" w:rsidRPr="004C6846">
        <w:rPr>
          <w:rFonts w:ascii="Verdana" w:eastAsia="Calibri" w:hAnsi="Verdana" w:cs="Arial"/>
          <w:lang w:val="es-ES_tradnl"/>
        </w:rPr>
        <w:t>) los defectos</w:t>
      </w:r>
      <w:r w:rsidR="001200C8" w:rsidRPr="004C6846">
        <w:rPr>
          <w:rFonts w:ascii="Verdana" w:eastAsia="Calibri" w:hAnsi="Verdana" w:cs="Arial"/>
          <w:lang w:val="es-ES_tradnl"/>
        </w:rPr>
        <w:t xml:space="preserve"> </w:t>
      </w:r>
      <w:r w:rsidR="00495292" w:rsidRPr="004C6846">
        <w:rPr>
          <w:rFonts w:ascii="Verdana" w:eastAsia="Calibri" w:hAnsi="Verdana" w:cs="Arial"/>
          <w:lang w:val="es-ES_tradnl"/>
        </w:rPr>
        <w:t>de los requisitos habilitantes</w:t>
      </w:r>
      <w:r w:rsidR="00B11946" w:rsidRPr="004C6846">
        <w:rPr>
          <w:rFonts w:ascii="Verdana" w:eastAsia="Calibri" w:hAnsi="Verdana" w:cs="Arial"/>
          <w:lang w:val="es-ES_tradnl"/>
        </w:rPr>
        <w:t>.</w:t>
      </w:r>
      <w:r w:rsidR="00495292" w:rsidRPr="004C6846">
        <w:rPr>
          <w:rFonts w:ascii="Verdana" w:eastAsia="Calibri" w:hAnsi="Verdana" w:cs="Arial"/>
          <w:lang w:val="es-ES_tradnl"/>
        </w:rPr>
        <w:t xml:space="preserve"> </w:t>
      </w:r>
      <w:r w:rsidR="000D5A22" w:rsidRPr="004C6846">
        <w:rPr>
          <w:rFonts w:ascii="Verdana" w:eastAsia="Calibri" w:hAnsi="Verdana" w:cs="Arial"/>
          <w:lang w:val="es-ES_tradnl"/>
        </w:rPr>
        <w:t xml:space="preserve">Así las cosas, </w:t>
      </w:r>
      <w:r w:rsidR="00E828AC" w:rsidRPr="004C6846">
        <w:rPr>
          <w:rFonts w:ascii="Verdana" w:eastAsia="Calibri" w:hAnsi="Verdana" w:cs="Arial"/>
          <w:lang w:val="es-ES_tradnl"/>
        </w:rPr>
        <w:t xml:space="preserve">la norma en mención dispone un criterio claro </w:t>
      </w:r>
      <w:r w:rsidR="00C5217B" w:rsidRPr="004C6846">
        <w:rPr>
          <w:rFonts w:ascii="Verdana" w:eastAsia="Calibri" w:hAnsi="Verdana" w:cs="Arial"/>
          <w:lang w:val="es-ES_tradnl"/>
        </w:rPr>
        <w:t xml:space="preserve">para determinar </w:t>
      </w:r>
      <w:r w:rsidR="00B46F28" w:rsidRPr="004C6846">
        <w:rPr>
          <w:rFonts w:ascii="Verdana" w:eastAsia="Calibri" w:hAnsi="Verdana" w:cs="Arial"/>
          <w:lang w:val="es-ES_tradnl"/>
        </w:rPr>
        <w:t>si la ausencia de documentos o requisitos de la oferta conlleva a su rechazo o al requerimiento del proponente para que l</w:t>
      </w:r>
      <w:r w:rsidR="008C72BD" w:rsidRPr="004C6846">
        <w:rPr>
          <w:rFonts w:ascii="Verdana" w:eastAsia="Calibri" w:hAnsi="Verdana" w:cs="Arial"/>
          <w:lang w:val="es-ES_tradnl"/>
        </w:rPr>
        <w:t>a</w:t>
      </w:r>
      <w:r w:rsidR="00B46F28" w:rsidRPr="004C6846">
        <w:rPr>
          <w:rFonts w:ascii="Verdana" w:eastAsia="Calibri" w:hAnsi="Verdana" w:cs="Arial"/>
          <w:lang w:val="es-ES_tradnl"/>
        </w:rPr>
        <w:t xml:space="preserve"> subsane</w:t>
      </w:r>
      <w:r w:rsidR="00A17215" w:rsidRPr="004C6846">
        <w:rPr>
          <w:rFonts w:ascii="Verdana" w:eastAsia="Calibri" w:hAnsi="Verdana" w:cs="Arial"/>
          <w:lang w:val="es-ES_tradnl"/>
        </w:rPr>
        <w:t>. Bajo este contexto,</w:t>
      </w:r>
      <w:r w:rsidR="00493414" w:rsidRPr="004C6846">
        <w:rPr>
          <w:rFonts w:ascii="Verdana" w:eastAsia="Calibri" w:hAnsi="Verdana" w:cs="Arial"/>
          <w:lang w:val="es-ES_tradnl"/>
        </w:rPr>
        <w:t xml:space="preserve"> </w:t>
      </w:r>
      <w:r w:rsidR="001200C8" w:rsidRPr="004C6846">
        <w:rPr>
          <w:rFonts w:ascii="Verdana" w:eastAsia="Calibri" w:hAnsi="Verdana" w:cs="Arial"/>
          <w:lang w:val="es-ES_tradnl"/>
        </w:rPr>
        <w:t xml:space="preserve">debe tenerse en consideración que </w:t>
      </w:r>
      <w:r w:rsidR="00A94048" w:rsidRPr="004C6846">
        <w:rPr>
          <w:rFonts w:ascii="Verdana" w:eastAsia="Calibri" w:hAnsi="Verdana" w:cs="Arial"/>
          <w:lang w:val="es-ES_tradnl"/>
        </w:rPr>
        <w:t>los requisitos o documentos que no sean necesarios para la comparación de las ofertas pueden subsanarse</w:t>
      </w:r>
      <w:r w:rsidR="00324677" w:rsidRPr="004C6846">
        <w:rPr>
          <w:rFonts w:ascii="Verdana" w:eastAsia="Calibri" w:hAnsi="Verdana" w:cs="Arial"/>
          <w:lang w:val="es-ES_tradnl"/>
        </w:rPr>
        <w:t>.</w:t>
      </w:r>
    </w:p>
    <w:p w14:paraId="04DB4409" w14:textId="77777777" w:rsidR="00D96D98" w:rsidRPr="004C6846" w:rsidRDefault="00D96D98" w:rsidP="00D96D98">
      <w:pPr>
        <w:pStyle w:val="ListParagraph"/>
        <w:spacing w:after="0"/>
        <w:ind w:left="360"/>
        <w:jc w:val="both"/>
        <w:rPr>
          <w:rFonts w:ascii="Verdana" w:eastAsia="Calibri" w:hAnsi="Verdana" w:cs="Arial"/>
          <w:lang w:val="es-ES_tradnl"/>
        </w:rPr>
      </w:pPr>
    </w:p>
    <w:p w14:paraId="63ED4E3B" w14:textId="77777777" w:rsidR="00D61279" w:rsidRPr="004C6846" w:rsidRDefault="00A741CB" w:rsidP="00D61279">
      <w:pPr>
        <w:pStyle w:val="ListParagraph"/>
        <w:numPr>
          <w:ilvl w:val="0"/>
          <w:numId w:val="18"/>
        </w:numPr>
        <w:spacing w:after="0"/>
        <w:jc w:val="both"/>
        <w:rPr>
          <w:rFonts w:ascii="Verdana" w:eastAsia="Calibri" w:hAnsi="Verdana" w:cs="Arial"/>
          <w:lang w:val="es-ES_tradnl"/>
        </w:rPr>
      </w:pPr>
      <w:r w:rsidRPr="004C6846">
        <w:rPr>
          <w:rFonts w:ascii="Verdana" w:eastAsia="Calibri" w:hAnsi="Verdana" w:cs="Arial"/>
          <w:lang w:val="es-ES_tradnl"/>
        </w:rPr>
        <w:t>Bajo este contexto</w:t>
      </w:r>
      <w:r w:rsidR="00D96D98" w:rsidRPr="004C6846">
        <w:rPr>
          <w:rFonts w:ascii="Verdana" w:eastAsia="Calibri" w:hAnsi="Verdana" w:cs="Arial"/>
          <w:lang w:val="es-ES_tradnl"/>
        </w:rPr>
        <w:t xml:space="preserve">, </w:t>
      </w:r>
      <w:r w:rsidR="00B46F28" w:rsidRPr="004C6846">
        <w:rPr>
          <w:rFonts w:ascii="Verdana" w:eastAsia="Calibri" w:hAnsi="Verdana" w:cs="Arial"/>
          <w:lang w:val="es-ES_tradnl"/>
        </w:rPr>
        <w:t xml:space="preserve">bastará con un simple ejercicio de verificación </w:t>
      </w:r>
      <w:r w:rsidR="00D96D98" w:rsidRPr="004C6846">
        <w:rPr>
          <w:rFonts w:ascii="Verdana" w:eastAsia="Calibri" w:hAnsi="Verdana" w:cs="Arial"/>
          <w:lang w:val="es-ES_tradnl"/>
        </w:rPr>
        <w:t>consistente en</w:t>
      </w:r>
      <w:r w:rsidR="00B46F28" w:rsidRPr="004C6846">
        <w:rPr>
          <w:rFonts w:ascii="Verdana" w:eastAsia="Calibri" w:hAnsi="Verdana" w:cs="Arial"/>
          <w:lang w:val="es-ES_tradnl"/>
        </w:rPr>
        <w:t xml:space="preserve"> corroborar si lo omitido hace parte de los aspectos que otorgan puntaje o no</w:t>
      </w:r>
      <w:r w:rsidR="00783CC6" w:rsidRPr="004C6846">
        <w:rPr>
          <w:rFonts w:ascii="Verdana" w:eastAsia="Calibri" w:hAnsi="Verdana" w:cs="Arial"/>
          <w:lang w:val="es-ES_tradnl"/>
        </w:rPr>
        <w:t>. S</w:t>
      </w:r>
      <w:r w:rsidR="00B46F28" w:rsidRPr="004C6846">
        <w:rPr>
          <w:rFonts w:ascii="Verdana" w:eastAsia="Calibri" w:hAnsi="Verdana" w:cs="Arial"/>
          <w:lang w:val="es-ES_tradnl"/>
        </w:rPr>
        <w:t>i la Administración encuentra que lo omitido por el proponente es un aspecto que otorga puntaje, no es posible subsanarlo; pero, si lo omitido no otorga puntaje, la Administración debe requerir al proponente para que lo subsane.</w:t>
      </w:r>
      <w:r w:rsidR="00316ACF" w:rsidRPr="004C6846">
        <w:rPr>
          <w:rFonts w:ascii="Verdana" w:eastAsia="Calibri" w:hAnsi="Verdana" w:cs="Arial"/>
          <w:lang w:val="es-ES_tradnl"/>
        </w:rPr>
        <w:t xml:space="preserve"> </w:t>
      </w:r>
      <w:r w:rsidR="00F747CF" w:rsidRPr="004C6846">
        <w:rPr>
          <w:rFonts w:ascii="Verdana" w:eastAsia="Calibri" w:hAnsi="Verdana" w:cs="Arial"/>
        </w:rPr>
        <w:t xml:space="preserve">Ahora bien, </w:t>
      </w:r>
      <w:r w:rsidR="00B83411" w:rsidRPr="004C6846">
        <w:rPr>
          <w:rFonts w:ascii="Verdana" w:eastAsia="Calibri" w:hAnsi="Verdana" w:cs="Arial"/>
        </w:rPr>
        <w:t>el artículo 5 de la Ley 1150 de 2007, además de consagrar un criterio claro</w:t>
      </w:r>
      <w:r w:rsidR="00A2411F" w:rsidRPr="004C6846">
        <w:rPr>
          <w:rFonts w:ascii="Verdana" w:eastAsia="Calibri" w:hAnsi="Verdana" w:cs="Arial"/>
        </w:rPr>
        <w:t xml:space="preserve"> de </w:t>
      </w:r>
      <w:proofErr w:type="spellStart"/>
      <w:r w:rsidR="00A2411F" w:rsidRPr="004C6846">
        <w:rPr>
          <w:rFonts w:ascii="Verdana" w:eastAsia="Calibri" w:hAnsi="Verdana" w:cs="Arial"/>
        </w:rPr>
        <w:t>subsanabilidad</w:t>
      </w:r>
      <w:proofErr w:type="spellEnd"/>
      <w:r w:rsidR="00B83411" w:rsidRPr="004C6846">
        <w:rPr>
          <w:rFonts w:ascii="Verdana" w:eastAsia="Calibri" w:hAnsi="Verdana" w:cs="Arial"/>
        </w:rPr>
        <w:t xml:space="preserve">, y, de paso, reducir la discrecionalidad de la Administración, fijó un ámbito temporal para que las entidades requirieran </w:t>
      </w:r>
      <w:r w:rsidR="009120E8" w:rsidRPr="004C6846">
        <w:rPr>
          <w:rFonts w:ascii="Verdana" w:eastAsia="Calibri" w:hAnsi="Verdana" w:cs="Arial"/>
        </w:rPr>
        <w:t>la subsanación de las ofertas: “en cualquier momento, hasta la adjudicación”.</w:t>
      </w:r>
    </w:p>
    <w:p w14:paraId="21DF2193" w14:textId="77777777" w:rsidR="00D61279" w:rsidRPr="004C6846" w:rsidRDefault="00D61279" w:rsidP="00D61279">
      <w:pPr>
        <w:pStyle w:val="ListParagraph"/>
        <w:rPr>
          <w:rFonts w:ascii="Verdana" w:eastAsia="Calibri" w:hAnsi="Verdana" w:cs="Arial"/>
          <w:lang w:val="es-ES_tradnl"/>
        </w:rPr>
      </w:pPr>
    </w:p>
    <w:p w14:paraId="27550E9E" w14:textId="0DC2D3BE" w:rsidR="009120E8" w:rsidRPr="004C6846" w:rsidRDefault="00E23032" w:rsidP="00D61279">
      <w:pPr>
        <w:pStyle w:val="ListParagraph"/>
        <w:numPr>
          <w:ilvl w:val="0"/>
          <w:numId w:val="18"/>
        </w:numPr>
        <w:spacing w:after="0"/>
        <w:jc w:val="both"/>
        <w:rPr>
          <w:rFonts w:ascii="Verdana" w:eastAsia="Calibri" w:hAnsi="Verdana" w:cs="Arial"/>
        </w:rPr>
      </w:pPr>
      <w:r w:rsidRPr="004C6846">
        <w:rPr>
          <w:rFonts w:ascii="Verdana" w:eastAsia="Calibri" w:hAnsi="Verdana" w:cs="Arial"/>
        </w:rPr>
        <w:t>F</w:t>
      </w:r>
      <w:r w:rsidR="00BC2B5D" w:rsidRPr="004C6846">
        <w:rPr>
          <w:rFonts w:ascii="Verdana" w:eastAsia="Calibri" w:hAnsi="Verdana" w:cs="Arial"/>
        </w:rPr>
        <w:t xml:space="preserve">rente al asunto </w:t>
      </w:r>
      <w:r w:rsidR="002D500D" w:rsidRPr="004C6846">
        <w:rPr>
          <w:rFonts w:ascii="Verdana" w:eastAsia="Calibri" w:hAnsi="Verdana" w:cs="Arial"/>
        </w:rPr>
        <w:t xml:space="preserve">debe señalarse que </w:t>
      </w:r>
      <w:r w:rsidR="00D61279" w:rsidRPr="004C6846">
        <w:rPr>
          <w:rFonts w:ascii="Verdana" w:eastAsia="Calibri" w:hAnsi="Verdana" w:cs="Arial"/>
        </w:rPr>
        <w:t xml:space="preserve">la Agencia Nacional de Contratación Pública – Colombia Compra Eficiente, en la Circular Externa Única precisó que, si durante un proceso de contratación hay proponentes que no acreditaron en sus ofertas requisitos que no afectan la asignación de puntaje o la comparación de </w:t>
      </w:r>
      <w:proofErr w:type="gramStart"/>
      <w:r w:rsidR="00D61279" w:rsidRPr="004C6846">
        <w:rPr>
          <w:rFonts w:ascii="Verdana" w:eastAsia="Calibri" w:hAnsi="Verdana" w:cs="Arial"/>
        </w:rPr>
        <w:t>las mismas</w:t>
      </w:r>
      <w:proofErr w:type="gramEnd"/>
      <w:r w:rsidR="00D61279" w:rsidRPr="004C6846">
        <w:rPr>
          <w:rFonts w:ascii="Verdana" w:eastAsia="Calibri" w:hAnsi="Verdana" w:cs="Arial"/>
        </w:rPr>
        <w:t>, la Entidad Estatal deberá indicarlo en el informe de evaluación y advertir que la correspondiente oferta no será evaluada hasta que se subsane.</w:t>
      </w:r>
    </w:p>
    <w:p w14:paraId="661C8E67" w14:textId="77777777" w:rsidR="002D500D" w:rsidRPr="004C6846" w:rsidRDefault="002D500D" w:rsidP="002D500D">
      <w:pPr>
        <w:pStyle w:val="ListParagraph"/>
        <w:rPr>
          <w:rFonts w:ascii="Verdana" w:eastAsia="Calibri" w:hAnsi="Verdana" w:cs="Arial"/>
          <w:lang w:val="es-ES_tradnl"/>
        </w:rPr>
      </w:pPr>
    </w:p>
    <w:p w14:paraId="0C8460AB" w14:textId="77777777" w:rsidR="00247681" w:rsidRPr="004C6846" w:rsidRDefault="00F27147" w:rsidP="00247681">
      <w:pPr>
        <w:pStyle w:val="ListParagraph"/>
        <w:numPr>
          <w:ilvl w:val="0"/>
          <w:numId w:val="18"/>
        </w:numPr>
        <w:spacing w:after="0"/>
        <w:jc w:val="both"/>
        <w:rPr>
          <w:rFonts w:ascii="Verdana" w:eastAsia="Calibri" w:hAnsi="Verdana" w:cs="Arial"/>
          <w:lang w:val="es-ES_tradnl"/>
        </w:rPr>
      </w:pPr>
      <w:r w:rsidRPr="004C6846">
        <w:rPr>
          <w:rFonts w:ascii="Verdana" w:eastAsia="Calibri" w:hAnsi="Verdana" w:cs="Arial"/>
          <w:lang w:val="es-ES_tradnl"/>
        </w:rPr>
        <w:t xml:space="preserve">En línea con lo expuesto, se </w:t>
      </w:r>
      <w:r w:rsidR="00AE61AE" w:rsidRPr="004C6846">
        <w:rPr>
          <w:rFonts w:ascii="Verdana" w:eastAsia="Calibri" w:hAnsi="Verdana" w:cs="Arial"/>
          <w:lang w:val="es-ES_tradnl"/>
        </w:rPr>
        <w:t>evidencia</w:t>
      </w:r>
      <w:r w:rsidRPr="004C6846">
        <w:rPr>
          <w:rFonts w:ascii="Verdana" w:eastAsia="Calibri" w:hAnsi="Verdana" w:cs="Arial"/>
          <w:lang w:val="es-ES_tradnl"/>
        </w:rPr>
        <w:t xml:space="preserve"> que </w:t>
      </w:r>
      <w:r w:rsidR="00C903A3" w:rsidRPr="004C6846">
        <w:rPr>
          <w:rFonts w:ascii="Verdana" w:eastAsia="Calibri" w:hAnsi="Verdana" w:cs="Arial"/>
          <w:lang w:val="es-ES_tradnl"/>
        </w:rPr>
        <w:t xml:space="preserve">en lo relacionado </w:t>
      </w:r>
      <w:r w:rsidR="00AE61AE" w:rsidRPr="004C6846">
        <w:rPr>
          <w:rFonts w:ascii="Verdana" w:eastAsia="Calibri" w:hAnsi="Verdana" w:cs="Arial"/>
          <w:lang w:val="es-ES_tradnl"/>
        </w:rPr>
        <w:t>al</w:t>
      </w:r>
      <w:r w:rsidR="00C903A3" w:rsidRPr="004C6846">
        <w:rPr>
          <w:rFonts w:ascii="Verdana" w:eastAsia="Calibri" w:hAnsi="Verdana" w:cs="Arial"/>
          <w:lang w:val="es-ES_tradnl"/>
        </w:rPr>
        <w:t xml:space="preserve"> ámbito temporal </w:t>
      </w:r>
      <w:r w:rsidR="00CF3650" w:rsidRPr="004C6846">
        <w:rPr>
          <w:rFonts w:ascii="Verdana" w:eastAsia="Calibri" w:hAnsi="Verdana" w:cs="Arial"/>
          <w:lang w:val="es-ES_tradnl"/>
        </w:rPr>
        <w:t>para</w:t>
      </w:r>
      <w:r w:rsidRPr="004C6846">
        <w:rPr>
          <w:rFonts w:ascii="Verdana" w:eastAsia="Calibri" w:hAnsi="Verdana" w:cs="Arial"/>
          <w:lang w:val="es-ES_tradnl"/>
        </w:rPr>
        <w:t xml:space="preserve"> subsanar </w:t>
      </w:r>
      <w:r w:rsidR="00C903A3" w:rsidRPr="004C6846">
        <w:rPr>
          <w:rFonts w:ascii="Verdana" w:eastAsia="Calibri" w:hAnsi="Verdana" w:cs="Arial"/>
          <w:lang w:val="es-ES_tradnl"/>
        </w:rPr>
        <w:t xml:space="preserve">la oferta se cuenta con una regla general </w:t>
      </w:r>
      <w:r w:rsidR="00CE2045" w:rsidRPr="004C6846">
        <w:rPr>
          <w:rFonts w:ascii="Verdana" w:eastAsia="Calibri" w:hAnsi="Verdana" w:cs="Arial"/>
          <w:lang w:val="es-ES_tradnl"/>
        </w:rPr>
        <w:t xml:space="preserve">y una excepción. </w:t>
      </w:r>
      <w:r w:rsidR="004A1686" w:rsidRPr="004C6846">
        <w:rPr>
          <w:rFonts w:ascii="Verdana" w:eastAsia="Calibri" w:hAnsi="Verdana" w:cs="Arial"/>
          <w:lang w:val="es-ES_tradnl"/>
        </w:rPr>
        <w:t xml:space="preserve">La regla general es que el límite para que la entidad solicite y para que el proponente corrija lo que haga falta es hasta el término de traslado </w:t>
      </w:r>
      <w:r w:rsidR="004A1686" w:rsidRPr="004C6846">
        <w:rPr>
          <w:rFonts w:ascii="Verdana" w:eastAsia="Calibri" w:hAnsi="Verdana" w:cs="Arial"/>
          <w:lang w:val="es-ES_tradnl"/>
        </w:rPr>
        <w:lastRenderedPageBreak/>
        <w:t xml:space="preserve">del informe de evaluación que corresponda a cada modalidad de selección. </w:t>
      </w:r>
      <w:r w:rsidR="004A1686" w:rsidRPr="004C6846">
        <w:rPr>
          <w:rFonts w:ascii="Verdana" w:eastAsia="Calibri" w:hAnsi="Verdana" w:cs="Arial"/>
          <w:i/>
          <w:iCs/>
          <w:lang w:val="es-ES_tradnl"/>
        </w:rPr>
        <w:t>La excepción es que el límite anterior no aplica para los procesos de mínima cuantía y para el proceso de selección a través del sistema de subasta</w:t>
      </w:r>
      <w:r w:rsidR="004A1686" w:rsidRPr="004C6846">
        <w:rPr>
          <w:rFonts w:ascii="Verdana" w:eastAsia="Calibri" w:hAnsi="Verdana" w:cs="Arial"/>
          <w:vertAlign w:val="superscript"/>
          <w:lang w:val="es-ES_tradnl"/>
        </w:rPr>
        <w:footnoteReference w:id="2"/>
      </w:r>
      <w:r w:rsidR="004A1686" w:rsidRPr="004C6846">
        <w:rPr>
          <w:rFonts w:ascii="Verdana" w:eastAsia="Calibri" w:hAnsi="Verdana" w:cs="Arial"/>
          <w:lang w:val="es-ES_tradnl"/>
        </w:rPr>
        <w:t xml:space="preserve">, este último al cual hace referencia </w:t>
      </w:r>
      <w:r w:rsidR="006F7720" w:rsidRPr="004C6846">
        <w:rPr>
          <w:rFonts w:ascii="Verdana" w:eastAsia="Calibri" w:hAnsi="Verdana" w:cs="Arial"/>
          <w:lang w:val="es-ES_tradnl"/>
        </w:rPr>
        <w:t>la</w:t>
      </w:r>
      <w:r w:rsidR="004A1686" w:rsidRPr="004C6846">
        <w:rPr>
          <w:rFonts w:ascii="Verdana" w:eastAsia="Calibri" w:hAnsi="Verdana" w:cs="Arial"/>
          <w:lang w:val="es-ES_tradnl"/>
        </w:rPr>
        <w:t xml:space="preserve"> consulta, y en el que los documentos o requisitos subsanables pueden y deben solicitarse por parte de las </w:t>
      </w:r>
      <w:r w:rsidR="006F7720" w:rsidRPr="004C6846">
        <w:rPr>
          <w:rFonts w:ascii="Verdana" w:eastAsia="Calibri" w:hAnsi="Verdana" w:cs="Arial"/>
          <w:lang w:val="es-ES_tradnl"/>
        </w:rPr>
        <w:t>E</w:t>
      </w:r>
      <w:r w:rsidR="004A1686" w:rsidRPr="004C6846">
        <w:rPr>
          <w:rFonts w:ascii="Verdana" w:eastAsia="Calibri" w:hAnsi="Verdana" w:cs="Arial"/>
          <w:lang w:val="es-ES_tradnl"/>
        </w:rPr>
        <w:t xml:space="preserve">ntidades </w:t>
      </w:r>
      <w:r w:rsidR="006F7720" w:rsidRPr="004C6846">
        <w:rPr>
          <w:rFonts w:ascii="Verdana" w:eastAsia="Calibri" w:hAnsi="Verdana" w:cs="Arial"/>
          <w:lang w:val="es-ES_tradnl"/>
        </w:rPr>
        <w:t>E</w:t>
      </w:r>
      <w:r w:rsidR="004A1686" w:rsidRPr="004C6846">
        <w:rPr>
          <w:rFonts w:ascii="Verdana" w:eastAsia="Calibri" w:hAnsi="Verdana" w:cs="Arial"/>
          <w:lang w:val="es-ES_tradnl"/>
        </w:rPr>
        <w:t>statales, como límite, hasta el momento previo a la celebración de la audiencia</w:t>
      </w:r>
      <w:r w:rsidR="006F7720" w:rsidRPr="004C6846">
        <w:rPr>
          <w:rFonts w:ascii="Verdana" w:eastAsia="Calibri" w:hAnsi="Verdana" w:cs="Arial"/>
          <w:lang w:val="es-ES_tradnl"/>
        </w:rPr>
        <w:t>.</w:t>
      </w:r>
      <w:r w:rsidR="004A1686" w:rsidRPr="004C6846">
        <w:rPr>
          <w:rFonts w:ascii="Verdana" w:eastAsia="Calibri" w:hAnsi="Verdana" w:cs="Arial"/>
          <w:lang w:val="es-ES_tradnl"/>
        </w:rPr>
        <w:t xml:space="preserve"> </w:t>
      </w:r>
    </w:p>
    <w:p w14:paraId="4D7D3E50" w14:textId="77777777" w:rsidR="00247681" w:rsidRPr="004C6846" w:rsidRDefault="00247681" w:rsidP="00247681">
      <w:pPr>
        <w:pStyle w:val="ListParagraph"/>
        <w:rPr>
          <w:rFonts w:ascii="Verdana" w:eastAsia="Calibri" w:hAnsi="Verdana" w:cs="Arial"/>
          <w:lang w:val="es-ES_tradnl"/>
        </w:rPr>
      </w:pPr>
    </w:p>
    <w:p w14:paraId="6A1BBFB8" w14:textId="77777777" w:rsidR="00D7707A" w:rsidRPr="004C6846" w:rsidRDefault="00D708A7" w:rsidP="00D7707A">
      <w:pPr>
        <w:pStyle w:val="ListParagraph"/>
        <w:numPr>
          <w:ilvl w:val="0"/>
          <w:numId w:val="18"/>
        </w:numPr>
        <w:jc w:val="both"/>
        <w:rPr>
          <w:rFonts w:ascii="Verdana" w:eastAsia="Calibri" w:hAnsi="Verdana" w:cs="Arial"/>
          <w:lang w:val="es-CO"/>
        </w:rPr>
      </w:pPr>
      <w:r w:rsidRPr="004C6846">
        <w:rPr>
          <w:rFonts w:ascii="Verdana" w:eastAsia="Calibri" w:hAnsi="Verdana" w:cs="Arial"/>
          <w:lang w:val="es-ES_tradnl"/>
        </w:rPr>
        <w:t xml:space="preserve">Por otro lado, </w:t>
      </w:r>
      <w:r w:rsidR="00C41159" w:rsidRPr="004C6846">
        <w:rPr>
          <w:rFonts w:ascii="Verdana" w:eastAsia="Calibri" w:hAnsi="Verdana" w:cs="Arial"/>
          <w:lang w:val="es-ES_tradnl"/>
        </w:rPr>
        <w:t xml:space="preserve">debe tenerse de presente que </w:t>
      </w:r>
      <w:r w:rsidR="00247681" w:rsidRPr="004C6846">
        <w:rPr>
          <w:rFonts w:ascii="Verdana" w:eastAsia="Calibri" w:hAnsi="Verdana" w:cs="Arial"/>
          <w:lang w:val="es-ES_tradnl"/>
        </w:rPr>
        <w:t xml:space="preserve">lo subsanable es la prueba de todas las circunstancias ocurridas antes del vencimiento del término para presentar las ofertas, </w:t>
      </w:r>
      <w:r w:rsidR="00EC05D9" w:rsidRPr="004C6846">
        <w:rPr>
          <w:rFonts w:ascii="Verdana" w:eastAsia="Calibri" w:hAnsi="Verdana" w:cs="Arial"/>
          <w:lang w:val="es-ES_tradnl"/>
        </w:rPr>
        <w:t>esto</w:t>
      </w:r>
      <w:r w:rsidR="00247681" w:rsidRPr="004C6846">
        <w:rPr>
          <w:rFonts w:ascii="Verdana" w:eastAsia="Calibri" w:hAnsi="Verdana" w:cs="Arial"/>
          <w:lang w:val="es-ES_tradnl"/>
        </w:rPr>
        <w:t xml:space="preserve"> </w:t>
      </w:r>
      <w:r w:rsidR="00EC05D9" w:rsidRPr="004C6846">
        <w:rPr>
          <w:rFonts w:ascii="Verdana" w:eastAsia="Calibri" w:hAnsi="Verdana" w:cs="Arial"/>
          <w:lang w:val="es-ES_tradnl"/>
        </w:rPr>
        <w:t>conlleva a</w:t>
      </w:r>
      <w:r w:rsidR="00247681" w:rsidRPr="004C6846">
        <w:rPr>
          <w:rFonts w:ascii="Verdana" w:eastAsia="Calibri" w:hAnsi="Verdana" w:cs="Arial"/>
          <w:lang w:val="es-ES_tradnl"/>
        </w:rPr>
        <w:t xml:space="preserve">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r w:rsidR="00AD0315" w:rsidRPr="004C6846">
        <w:rPr>
          <w:rFonts w:ascii="Verdana" w:eastAsia="Calibri" w:hAnsi="Verdana" w:cs="Arial"/>
          <w:lang w:val="es-ES_tradnl"/>
        </w:rPr>
        <w:t xml:space="preserve">Así, en el caso de la </w:t>
      </w:r>
      <w:proofErr w:type="spellStart"/>
      <w:r w:rsidR="00AD0315" w:rsidRPr="004C6846">
        <w:rPr>
          <w:rFonts w:ascii="Verdana" w:eastAsia="Calibri" w:hAnsi="Verdana" w:cs="Arial"/>
          <w:lang w:val="es-ES_tradnl"/>
        </w:rPr>
        <w:t>subsanabilidad</w:t>
      </w:r>
      <w:proofErr w:type="spellEnd"/>
      <w:r w:rsidR="00AD0315" w:rsidRPr="004C6846">
        <w:rPr>
          <w:rFonts w:ascii="Verdana" w:eastAsia="Calibri" w:hAnsi="Verdana" w:cs="Arial"/>
          <w:lang w:val="es-ES_tradnl"/>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00AD0315" w:rsidRPr="004C6846">
        <w:rPr>
          <w:rFonts w:ascii="Verdana" w:eastAsia="Calibri" w:hAnsi="Verdana" w:cs="Arial"/>
          <w:vertAlign w:val="superscript"/>
          <w:lang w:val="es-ES_tradnl"/>
        </w:rPr>
        <w:footnoteReference w:id="3"/>
      </w:r>
      <w:r w:rsidR="00AD0315" w:rsidRPr="004C6846">
        <w:rPr>
          <w:rFonts w:ascii="Verdana" w:eastAsia="Calibri" w:hAnsi="Verdana" w:cs="Arial"/>
          <w:lang w:val="es-ES_tradnl"/>
        </w:rPr>
        <w:t xml:space="preserve">. </w:t>
      </w:r>
    </w:p>
    <w:p w14:paraId="4596D6F3" w14:textId="77777777" w:rsidR="00D7707A" w:rsidRPr="004C6846" w:rsidRDefault="00D7707A" w:rsidP="00D7707A">
      <w:pPr>
        <w:pStyle w:val="ListParagraph"/>
        <w:rPr>
          <w:rFonts w:ascii="Verdana" w:eastAsia="Calibri" w:hAnsi="Verdana" w:cs="Arial"/>
          <w:lang w:val="es-ES_tradnl"/>
          <w14:ligatures w14:val="standardContextual"/>
        </w:rPr>
      </w:pPr>
    </w:p>
    <w:p w14:paraId="4FF6BA09" w14:textId="77777777" w:rsidR="00AE59BD" w:rsidRPr="004C6846" w:rsidRDefault="00D7707A" w:rsidP="00AE59BD">
      <w:pPr>
        <w:pStyle w:val="ListParagraph"/>
        <w:numPr>
          <w:ilvl w:val="0"/>
          <w:numId w:val="18"/>
        </w:numPr>
        <w:jc w:val="both"/>
        <w:rPr>
          <w:rFonts w:ascii="Verdana" w:eastAsia="Calibri" w:hAnsi="Verdana" w:cs="Arial"/>
          <w:lang w:val="es-CO"/>
        </w:rPr>
      </w:pPr>
      <w:r w:rsidRPr="004C6846">
        <w:rPr>
          <w:rFonts w:ascii="Verdana" w:eastAsia="Calibri" w:hAnsi="Verdana" w:cs="Arial"/>
          <w:lang w:val="es-ES_tradnl"/>
          <w14:ligatures w14:val="standardContextua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4C6846">
        <w:rPr>
          <w:rFonts w:ascii="Verdana" w:eastAsia="Calibri" w:hAnsi="Verdana" w:cs="Arial"/>
          <w:lang w:val="es-ES_tradnl"/>
          <w14:ligatures w14:val="standardContextual"/>
        </w:rPr>
        <w:t>que</w:t>
      </w:r>
      <w:proofErr w:type="gramEnd"/>
      <w:r w:rsidRPr="004C6846">
        <w:rPr>
          <w:rFonts w:ascii="Verdana" w:eastAsia="Calibri" w:hAnsi="Verdana" w:cs="Arial"/>
          <w:lang w:val="es-ES_tradnl"/>
          <w14:ligatures w14:val="standardContextua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4C6846">
        <w:rPr>
          <w:rFonts w:ascii="Verdana" w:hAnsi="Verdana"/>
          <w:vertAlign w:val="superscript"/>
        </w:rPr>
        <w:footnoteReference w:id="4"/>
      </w:r>
      <w:r w:rsidRPr="004C6846">
        <w:rPr>
          <w:rFonts w:ascii="Verdana" w:eastAsia="Calibri" w:hAnsi="Verdana" w:cs="Arial"/>
          <w:lang w:val="es-ES_tradnl"/>
          <w14:ligatures w14:val="standardContextual"/>
        </w:rPr>
        <w:t xml:space="preserve">. </w:t>
      </w:r>
    </w:p>
    <w:p w14:paraId="474BC8B4" w14:textId="77777777" w:rsidR="00AE59BD" w:rsidRPr="004C6846" w:rsidRDefault="00AE59BD" w:rsidP="00AE59BD">
      <w:pPr>
        <w:pStyle w:val="ListParagraph"/>
        <w:rPr>
          <w:rFonts w:ascii="Verdana" w:eastAsia="Calibri" w:hAnsi="Verdana" w:cs="Arial"/>
        </w:rPr>
      </w:pPr>
    </w:p>
    <w:p w14:paraId="30B4BD3F" w14:textId="77777777" w:rsidR="002510ED" w:rsidRPr="004C6846" w:rsidRDefault="00CB7913" w:rsidP="002510ED">
      <w:pPr>
        <w:pStyle w:val="ListParagraph"/>
        <w:numPr>
          <w:ilvl w:val="0"/>
          <w:numId w:val="18"/>
        </w:numPr>
        <w:jc w:val="both"/>
        <w:rPr>
          <w:rFonts w:ascii="Verdana" w:eastAsia="Calibri" w:hAnsi="Verdana" w:cs="Arial"/>
          <w:lang w:val="es-CO"/>
        </w:rPr>
      </w:pPr>
      <w:r w:rsidRPr="004C6846">
        <w:rPr>
          <w:rFonts w:ascii="Verdana" w:eastAsia="Calibri" w:hAnsi="Verdana" w:cs="Arial"/>
        </w:rPr>
        <w:t xml:space="preserve">Ahora bien, en lo que respecta de manera </w:t>
      </w:r>
      <w:proofErr w:type="spellStart"/>
      <w:r w:rsidRPr="004C6846">
        <w:rPr>
          <w:rFonts w:ascii="Verdana" w:eastAsia="Calibri" w:hAnsi="Verdana" w:cs="Arial"/>
        </w:rPr>
        <w:t>especifica</w:t>
      </w:r>
      <w:proofErr w:type="spellEnd"/>
      <w:r w:rsidRPr="004C6846">
        <w:rPr>
          <w:rFonts w:ascii="Verdana" w:eastAsia="Calibri" w:hAnsi="Verdana" w:cs="Arial"/>
        </w:rPr>
        <w:t xml:space="preserve"> a la subasta inversa debe </w:t>
      </w:r>
      <w:r w:rsidR="00F25722" w:rsidRPr="004C6846">
        <w:rPr>
          <w:rFonts w:ascii="Verdana" w:eastAsia="Calibri" w:hAnsi="Verdana" w:cs="Arial"/>
        </w:rPr>
        <w:t>tener</w:t>
      </w:r>
      <w:r w:rsidR="00AE59BD" w:rsidRPr="004C6846">
        <w:rPr>
          <w:rFonts w:ascii="Verdana" w:eastAsia="Calibri" w:hAnsi="Verdana" w:cs="Arial"/>
        </w:rPr>
        <w:t>se</w:t>
      </w:r>
      <w:r w:rsidR="00F25722" w:rsidRPr="004C6846">
        <w:rPr>
          <w:rFonts w:ascii="Verdana" w:eastAsia="Calibri" w:hAnsi="Verdana" w:cs="Arial"/>
        </w:rPr>
        <w:t xml:space="preserve"> en cuenta que esta se concibió como un mecanismo </w:t>
      </w:r>
      <w:r w:rsidR="00D528B5" w:rsidRPr="004C6846">
        <w:rPr>
          <w:rFonts w:ascii="Verdana" w:eastAsia="Calibri" w:hAnsi="Verdana" w:cs="Arial"/>
        </w:rPr>
        <w:t xml:space="preserve">o metodología alternativa para </w:t>
      </w:r>
      <w:r w:rsidR="00AE59BD" w:rsidRPr="004C6846">
        <w:rPr>
          <w:rFonts w:ascii="Verdana" w:eastAsia="Calibri" w:hAnsi="Verdana" w:cs="Arial"/>
          <w:lang w:val="es-MX"/>
        </w:rPr>
        <w:t xml:space="preserve">el proceso de negociación y perfeccionamiento del contrato estatal. Su regulación se encuentra en el artículo 2 de la Ley 1150 de 2007, en donde se indica que </w:t>
      </w:r>
      <w:r w:rsidR="005074EF" w:rsidRPr="004C6846">
        <w:rPr>
          <w:rFonts w:ascii="Verdana" w:eastAsia="Calibri" w:hAnsi="Verdana" w:cs="Arial"/>
          <w:lang w:val="es-MX"/>
        </w:rPr>
        <w:t>esta</w:t>
      </w:r>
      <w:r w:rsidR="00AE59BD" w:rsidRPr="004C6846">
        <w:rPr>
          <w:rFonts w:ascii="Verdana" w:eastAsia="Calibri" w:hAnsi="Verdana" w:cs="Arial"/>
          <w:lang w:val="es-MX"/>
        </w:rPr>
        <w:t xml:space="preserve"> figura tiene como finalidad confrontar, de manera dinámica, las distintas ofertas que pueden presentarse para los procesos de licitación pública, para los procesos de selección abreviada que tienen por finalidad la adquisición de bienes y servicios de características técnicas uniformes y de común utilización, y en los procesos de enajenación de bienes del Estado.  </w:t>
      </w:r>
    </w:p>
    <w:p w14:paraId="20CCDB00" w14:textId="77777777" w:rsidR="002510ED" w:rsidRPr="004C6846" w:rsidRDefault="002510ED" w:rsidP="002510ED">
      <w:pPr>
        <w:pStyle w:val="ListParagraph"/>
        <w:rPr>
          <w:rFonts w:ascii="Verdana" w:eastAsia="Calibri" w:hAnsi="Verdana" w:cs="Arial"/>
        </w:rPr>
      </w:pPr>
    </w:p>
    <w:p w14:paraId="7E5A4BA7" w14:textId="331BA7F6" w:rsidR="00597B83" w:rsidRPr="004C6846" w:rsidRDefault="002510ED" w:rsidP="002510ED">
      <w:pPr>
        <w:pStyle w:val="ListParagraph"/>
        <w:numPr>
          <w:ilvl w:val="0"/>
          <w:numId w:val="18"/>
        </w:numPr>
        <w:jc w:val="both"/>
        <w:rPr>
          <w:rFonts w:ascii="Verdana" w:eastAsia="Calibri" w:hAnsi="Verdana" w:cs="Arial"/>
          <w:lang w:val="es-CO"/>
        </w:rPr>
      </w:pPr>
      <w:r w:rsidRPr="004C6846">
        <w:rPr>
          <w:rFonts w:ascii="Verdana" w:eastAsia="Calibri" w:hAnsi="Verdana" w:cs="Arial"/>
        </w:rPr>
        <w:t>En este contexto, la doctrina ha señalado que “se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sidR="00271032" w:rsidRPr="004C6846">
        <w:rPr>
          <w:rFonts w:ascii="Verdana" w:eastAsia="Calibri" w:hAnsi="Verdana" w:cs="Arial"/>
        </w:rPr>
        <w:t>.</w:t>
      </w:r>
      <w:r w:rsidRPr="004C6846">
        <w:rPr>
          <w:rFonts w:ascii="Verdana" w:eastAsia="Calibri" w:hAnsi="Verdana" w:cs="Arial"/>
        </w:rPr>
        <w:t xml:space="preserve"> En igual sentido, la doctrina especializada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r w:rsidR="00271032" w:rsidRPr="004C6846">
        <w:rPr>
          <w:rFonts w:ascii="Verdana" w:eastAsia="Calibri" w:hAnsi="Verdana" w:cs="Arial"/>
        </w:rPr>
        <w:t>.</w:t>
      </w:r>
    </w:p>
    <w:p w14:paraId="2EADF69B" w14:textId="77777777" w:rsidR="009D54FC" w:rsidRPr="004C6846" w:rsidRDefault="009D54FC" w:rsidP="009D54FC">
      <w:pPr>
        <w:pStyle w:val="ListParagraph"/>
        <w:rPr>
          <w:rFonts w:ascii="Verdana" w:eastAsia="Calibri" w:hAnsi="Verdana" w:cs="Arial"/>
          <w:lang w:val="es-CO"/>
        </w:rPr>
      </w:pPr>
    </w:p>
    <w:p w14:paraId="3EF0EE62" w14:textId="61C8D6FF" w:rsidR="009D54FC" w:rsidRPr="004C6846" w:rsidRDefault="00334EF5" w:rsidP="00FF602A">
      <w:pPr>
        <w:pStyle w:val="ListParagraph"/>
        <w:numPr>
          <w:ilvl w:val="0"/>
          <w:numId w:val="18"/>
        </w:numPr>
        <w:spacing w:before="120" w:after="0" w:line="276" w:lineRule="auto"/>
        <w:jc w:val="both"/>
        <w:rPr>
          <w:rFonts w:ascii="Verdana" w:eastAsia="Times New Roman" w:hAnsi="Verdana" w:cs="Arial"/>
          <w:lang w:eastAsia="es-ES"/>
          <w14:ligatures w14:val="standardContextual"/>
        </w:rPr>
      </w:pPr>
      <w:r w:rsidRPr="004C6846">
        <w:rPr>
          <w:rFonts w:ascii="Verdana" w:eastAsia="Times New Roman" w:hAnsi="Verdana" w:cs="Arial"/>
          <w:lang w:eastAsia="es-ES"/>
          <w14:ligatures w14:val="standardContextual"/>
        </w:rPr>
        <w:lastRenderedPageBreak/>
        <w:t>Frente</w:t>
      </w:r>
      <w:r w:rsidR="00190485" w:rsidRPr="004C6846">
        <w:rPr>
          <w:rFonts w:ascii="Verdana" w:eastAsia="Times New Roman" w:hAnsi="Verdana" w:cs="Arial"/>
          <w:lang w:eastAsia="es-ES"/>
          <w14:ligatures w14:val="standardContextual"/>
        </w:rPr>
        <w:t xml:space="preserve"> a </w:t>
      </w:r>
      <w:r w:rsidR="009D54FC" w:rsidRPr="004C6846">
        <w:rPr>
          <w:rFonts w:ascii="Verdana" w:eastAsia="Times New Roman" w:hAnsi="Verdana" w:cs="Arial"/>
          <w:lang w:eastAsia="es-ES"/>
          <w14:ligatures w14:val="standardContextual"/>
        </w:rPr>
        <w:t>la regla general para subsanar</w:t>
      </w:r>
      <w:r w:rsidRPr="004C6846">
        <w:rPr>
          <w:rFonts w:ascii="Verdana" w:eastAsia="Times New Roman" w:hAnsi="Verdana" w:cs="Arial"/>
          <w:lang w:eastAsia="es-ES"/>
          <w14:ligatures w14:val="standardContextual"/>
        </w:rPr>
        <w:t xml:space="preserve"> las ofertas</w:t>
      </w:r>
      <w:r w:rsidR="0049601C" w:rsidRPr="004C6846">
        <w:rPr>
          <w:rFonts w:ascii="Verdana" w:eastAsia="Times New Roman" w:hAnsi="Verdana" w:cs="Arial"/>
          <w:lang w:eastAsia="es-ES"/>
          <w14:ligatures w14:val="standardContextual"/>
        </w:rPr>
        <w:t xml:space="preserve">, tal y como se indicó previamente, </w:t>
      </w:r>
      <w:r w:rsidRPr="004C6846">
        <w:rPr>
          <w:rFonts w:ascii="Verdana" w:eastAsia="Times New Roman" w:hAnsi="Verdana" w:cs="Arial"/>
          <w:lang w:eastAsia="es-ES"/>
          <w14:ligatures w14:val="standardContextual"/>
        </w:rPr>
        <w:t xml:space="preserve">se </w:t>
      </w:r>
      <w:r w:rsidR="009D54FC" w:rsidRPr="004C6846">
        <w:rPr>
          <w:rFonts w:ascii="Verdana" w:eastAsia="Times New Roman" w:hAnsi="Verdana" w:cs="Arial"/>
          <w:lang w:eastAsia="es-ES"/>
          <w14:ligatures w14:val="standardContextual"/>
        </w:rPr>
        <w:t xml:space="preserve">tiene como excepción, entre otras cosas, el término especial establecido en los procesos de selección en los que se utilice el mecanismo de </w:t>
      </w:r>
      <w:r w:rsidR="009D54FC" w:rsidRPr="004C6846">
        <w:rPr>
          <w:rFonts w:ascii="Verdana" w:eastAsia="Times New Roman" w:hAnsi="Verdana" w:cs="Arial"/>
          <w:i/>
          <w:lang w:eastAsia="es-ES"/>
          <w14:ligatures w14:val="standardContextual"/>
        </w:rPr>
        <w:t>subasta inversa</w:t>
      </w:r>
      <w:r w:rsidR="009D54FC" w:rsidRPr="004C6846">
        <w:rPr>
          <w:rFonts w:ascii="Verdana" w:eastAsia="Times New Roman" w:hAnsi="Verdana" w:cs="Arial"/>
          <w:lang w:eastAsia="es-ES"/>
          <w14:ligatures w14:val="standardContextual"/>
        </w:rPr>
        <w:t xml:space="preserve">, </w:t>
      </w:r>
      <w:r w:rsidR="00045FA6" w:rsidRPr="004C6846">
        <w:rPr>
          <w:rFonts w:ascii="Verdana" w:eastAsia="Times New Roman" w:hAnsi="Verdana" w:cs="Arial"/>
          <w:lang w:eastAsia="es-ES"/>
          <w14:ligatures w14:val="standardContextual"/>
        </w:rPr>
        <w:t xml:space="preserve">este es, </w:t>
      </w:r>
      <w:r w:rsidR="00072E3F" w:rsidRPr="004C6846">
        <w:rPr>
          <w:rFonts w:ascii="Verdana" w:eastAsia="Times New Roman" w:hAnsi="Verdana" w:cs="Arial"/>
          <w:lang w:eastAsia="es-ES"/>
          <w14:ligatures w14:val="standardContextual"/>
        </w:rPr>
        <w:t>hasta el momento previo a su realización</w:t>
      </w:r>
      <w:r w:rsidR="009B012D" w:rsidRPr="004C6846">
        <w:rPr>
          <w:rFonts w:ascii="Verdana" w:eastAsia="Times New Roman" w:hAnsi="Verdana" w:cs="Arial"/>
          <w:lang w:eastAsia="es-ES"/>
          <w14:ligatures w14:val="standardContextual"/>
        </w:rPr>
        <w:t xml:space="preserve">. </w:t>
      </w:r>
      <w:r w:rsidR="00FF602A" w:rsidRPr="004C6846">
        <w:rPr>
          <w:rFonts w:ascii="Verdana" w:eastAsia="Times New Roman" w:hAnsi="Verdana" w:cs="Arial"/>
          <w:lang w:eastAsia="es-ES"/>
          <w14:ligatures w14:val="standardContextual"/>
        </w:rPr>
        <w:t>Sobre el particular, llama la atención que el</w:t>
      </w:r>
      <w:r w:rsidR="006C6A70" w:rsidRPr="004C6846">
        <w:rPr>
          <w:rFonts w:ascii="Verdana" w:eastAsia="Times New Roman" w:hAnsi="Verdana" w:cs="Arial"/>
          <w:lang w:eastAsia="es-ES"/>
          <w14:ligatures w14:val="standardContextual"/>
        </w:rPr>
        <w:t xml:space="preserve"> inicio de la subasta es el momento hasta el cual la entidad cuenta con la facultad para requerir la subsanación de los documentos referentes a la futura contratación o a los proponentes, no necesarios para la comparación de las propuestas. Para el ejercicio de tal facultad, las entidades podrán establecer dentro del pliego de condiciones</w:t>
      </w:r>
      <w:r w:rsidR="00D018D7" w:rsidRPr="004C6846">
        <w:rPr>
          <w:rFonts w:ascii="Verdana" w:eastAsia="Times New Roman" w:hAnsi="Verdana" w:cs="Arial"/>
          <w:lang w:eastAsia="es-ES"/>
          <w14:ligatures w14:val="standardContextual"/>
        </w:rPr>
        <w:t xml:space="preserve"> o documento equivalente</w:t>
      </w:r>
      <w:r w:rsidR="006C6A70" w:rsidRPr="004C6846">
        <w:rPr>
          <w:rFonts w:ascii="Verdana" w:eastAsia="Times New Roman" w:hAnsi="Verdana" w:cs="Arial"/>
          <w:lang w:eastAsia="es-ES"/>
          <w14:ligatures w14:val="standardContextual"/>
        </w:rPr>
        <w:t xml:space="preserve">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w:t>
      </w:r>
    </w:p>
    <w:p w14:paraId="09E0DAE4" w14:textId="77777777" w:rsidR="004D4037" w:rsidRPr="004C6846" w:rsidRDefault="004D4037" w:rsidP="004D4037">
      <w:pPr>
        <w:pStyle w:val="ListParagraph"/>
        <w:rPr>
          <w:rFonts w:ascii="Verdana" w:eastAsia="Times New Roman" w:hAnsi="Verdana" w:cs="Arial"/>
          <w:szCs w:val="24"/>
          <w:lang w:val="es-ES_tradnl" w:eastAsia="es-ES_tradnl"/>
          <w14:ligatures w14:val="standardContextual"/>
        </w:rPr>
      </w:pPr>
    </w:p>
    <w:p w14:paraId="20BBC359" w14:textId="77777777" w:rsidR="002F09D4" w:rsidRPr="004C6846" w:rsidRDefault="009375E8" w:rsidP="002F09D4">
      <w:pPr>
        <w:pStyle w:val="ListParagraph"/>
        <w:numPr>
          <w:ilvl w:val="0"/>
          <w:numId w:val="18"/>
        </w:numPr>
        <w:spacing w:before="120" w:after="0" w:line="276" w:lineRule="auto"/>
        <w:jc w:val="both"/>
        <w:rPr>
          <w:rFonts w:ascii="Verdana" w:eastAsia="Times New Roman" w:hAnsi="Verdana" w:cs="Arial"/>
          <w:lang w:eastAsia="es-ES"/>
          <w14:ligatures w14:val="standardContextual"/>
        </w:rPr>
      </w:pPr>
      <w:r w:rsidRPr="004C6846">
        <w:rPr>
          <w:rFonts w:ascii="Verdana" w:eastAsia="Times New Roman" w:hAnsi="Verdana" w:cs="Arial"/>
          <w:lang w:eastAsia="es-ES"/>
          <w14:ligatures w14:val="standardContextual"/>
        </w:rPr>
        <w:t xml:space="preserve">Finalmente, y en lo que respecta a las </w:t>
      </w:r>
      <w:r w:rsidR="00997D31" w:rsidRPr="004C6846">
        <w:rPr>
          <w:rFonts w:ascii="Verdana" w:eastAsia="Times New Roman" w:hAnsi="Verdana" w:cs="Arial"/>
          <w:lang w:eastAsia="es-ES"/>
          <w14:ligatures w14:val="standardContextual"/>
        </w:rPr>
        <w:t>“</w:t>
      </w:r>
      <w:r w:rsidR="00CD463D" w:rsidRPr="004C6846">
        <w:rPr>
          <w:rFonts w:ascii="Verdana" w:eastAsia="Times New Roman" w:hAnsi="Verdana" w:cs="Arial"/>
          <w:lang w:eastAsia="es-ES"/>
          <w14:ligatures w14:val="standardContextual"/>
        </w:rPr>
        <w:t>fichas técnicas</w:t>
      </w:r>
      <w:r w:rsidR="00997D31" w:rsidRPr="004C6846">
        <w:rPr>
          <w:rFonts w:ascii="Verdana" w:eastAsia="Times New Roman" w:hAnsi="Verdana" w:cs="Arial"/>
          <w:lang w:eastAsia="es-ES"/>
          <w14:ligatures w14:val="standardContextual"/>
        </w:rPr>
        <w:t>”</w:t>
      </w:r>
      <w:r w:rsidRPr="004C6846">
        <w:rPr>
          <w:rFonts w:ascii="Verdana" w:eastAsia="Times New Roman" w:hAnsi="Verdana" w:cs="Arial"/>
          <w:lang w:eastAsia="es-ES"/>
          <w14:ligatures w14:val="standardContextual"/>
        </w:rPr>
        <w:t xml:space="preserve"> </w:t>
      </w:r>
      <w:r w:rsidR="00BF7C3B" w:rsidRPr="004C6846">
        <w:rPr>
          <w:rFonts w:ascii="Verdana" w:eastAsia="Times New Roman" w:hAnsi="Verdana" w:cs="Arial"/>
          <w:lang w:eastAsia="es-ES"/>
          <w14:ligatures w14:val="standardContextual"/>
        </w:rPr>
        <w:t xml:space="preserve">el Decreto 1082 de 2015 establece una regulación particular para la adquisición de bienes y servicios de características técnicas uniformes mediante subasta inversa, prescribiendo que: </w:t>
      </w:r>
      <w:r w:rsidR="00A97D3F" w:rsidRPr="004C6846">
        <w:rPr>
          <w:rFonts w:ascii="Verdana" w:eastAsia="Times New Roman" w:hAnsi="Verdana" w:cs="Arial"/>
          <w:lang w:eastAsia="es-ES"/>
          <w14:ligatures w14:val="standardContextual"/>
        </w:rPr>
        <w:t>“</w:t>
      </w:r>
      <w:r w:rsidR="00BF7C3B" w:rsidRPr="004C6846">
        <w:rPr>
          <w:rFonts w:ascii="Verdana" w:eastAsia="Times New Roman" w:hAnsi="Verdana" w:cs="Arial"/>
          <w:lang w:eastAsia="es-ES"/>
          <w14:ligatures w14:val="standardContextual"/>
        </w:rPr>
        <w:t xml:space="preserve">La ficha técnica del bien o servicio que debe incluir: i) la clasificación del bien o servicio de acuerdo con el Clasificador de Bienes y Servicios; </w:t>
      </w:r>
      <w:proofErr w:type="spellStart"/>
      <w:r w:rsidR="00BF7C3B" w:rsidRPr="004C6846">
        <w:rPr>
          <w:rFonts w:ascii="Verdana" w:eastAsia="Times New Roman" w:hAnsi="Verdana" w:cs="Arial"/>
          <w:lang w:eastAsia="es-ES"/>
          <w14:ligatures w14:val="standardContextual"/>
        </w:rPr>
        <w:t>ii</w:t>
      </w:r>
      <w:proofErr w:type="spellEnd"/>
      <w:r w:rsidR="00BF7C3B" w:rsidRPr="004C6846">
        <w:rPr>
          <w:rFonts w:ascii="Verdana" w:eastAsia="Times New Roman" w:hAnsi="Verdana" w:cs="Arial"/>
          <w:lang w:eastAsia="es-ES"/>
          <w14:ligatures w14:val="standardContextual"/>
        </w:rPr>
        <w:t xml:space="preserve">) la identificación adicional requerida; </w:t>
      </w:r>
      <w:proofErr w:type="spellStart"/>
      <w:r w:rsidR="00BF7C3B" w:rsidRPr="004C6846">
        <w:rPr>
          <w:rFonts w:ascii="Verdana" w:eastAsia="Times New Roman" w:hAnsi="Verdana" w:cs="Arial"/>
          <w:lang w:eastAsia="es-ES"/>
          <w14:ligatures w14:val="standardContextual"/>
        </w:rPr>
        <w:t>iii</w:t>
      </w:r>
      <w:proofErr w:type="spellEnd"/>
      <w:r w:rsidR="00BF7C3B" w:rsidRPr="004C6846">
        <w:rPr>
          <w:rFonts w:ascii="Verdana" w:eastAsia="Times New Roman" w:hAnsi="Verdana" w:cs="Arial"/>
          <w:lang w:eastAsia="es-ES"/>
          <w14:ligatures w14:val="standardContextual"/>
        </w:rPr>
        <w:t xml:space="preserve">) la unidad de medida; </w:t>
      </w:r>
      <w:proofErr w:type="spellStart"/>
      <w:r w:rsidR="00BF7C3B" w:rsidRPr="004C6846">
        <w:rPr>
          <w:rFonts w:ascii="Verdana" w:eastAsia="Times New Roman" w:hAnsi="Verdana" w:cs="Arial"/>
          <w:lang w:eastAsia="es-ES"/>
          <w14:ligatures w14:val="standardContextual"/>
        </w:rPr>
        <w:t>iv</w:t>
      </w:r>
      <w:proofErr w:type="spellEnd"/>
      <w:r w:rsidR="00BF7C3B" w:rsidRPr="004C6846">
        <w:rPr>
          <w:rFonts w:ascii="Verdana" w:eastAsia="Times New Roman" w:hAnsi="Verdana" w:cs="Arial"/>
          <w:lang w:eastAsia="es-ES"/>
          <w14:ligatures w14:val="standardContextual"/>
        </w:rPr>
        <w:t>) la calidad mínima, y v) los patrones de desempeño mínimos</w:t>
      </w:r>
      <w:r w:rsidR="00A97D3F" w:rsidRPr="004C6846">
        <w:rPr>
          <w:rFonts w:ascii="Verdana" w:eastAsia="Times New Roman" w:hAnsi="Verdana" w:cs="Arial"/>
          <w:lang w:eastAsia="es-ES"/>
          <w14:ligatures w14:val="standardContextual"/>
        </w:rPr>
        <w:t>”</w:t>
      </w:r>
      <w:r w:rsidR="00BF7C3B" w:rsidRPr="004C6846">
        <w:rPr>
          <w:rFonts w:ascii="Verdana" w:eastAsia="Times New Roman" w:hAnsi="Verdana" w:cs="Arial"/>
          <w:lang w:eastAsia="es-ES"/>
          <w14:ligatures w14:val="standardContextual"/>
        </w:rPr>
        <w:t xml:space="preserve">. En relación con la exigencia anterior, esta Agencia </w:t>
      </w:r>
      <w:r w:rsidR="00A97D3F" w:rsidRPr="004C6846">
        <w:rPr>
          <w:rFonts w:ascii="Verdana" w:eastAsia="Times New Roman" w:hAnsi="Verdana" w:cs="Arial"/>
          <w:lang w:eastAsia="es-ES"/>
          <w14:ligatures w14:val="standardContextual"/>
        </w:rPr>
        <w:t>ha manifestado</w:t>
      </w:r>
      <w:r w:rsidR="00BF7C3B" w:rsidRPr="004C6846">
        <w:rPr>
          <w:rFonts w:ascii="Verdana" w:eastAsia="Times New Roman" w:hAnsi="Verdana" w:cs="Arial"/>
          <w:lang w:eastAsia="es-ES"/>
          <w14:ligatures w14:val="standardContextual"/>
        </w:rPr>
        <w:t xml:space="preserve"> que </w:t>
      </w:r>
      <w:r w:rsidR="00A97D3F" w:rsidRPr="004C6846">
        <w:rPr>
          <w:rFonts w:ascii="Verdana" w:eastAsia="Times New Roman" w:hAnsi="Verdana" w:cs="Arial"/>
          <w:lang w:eastAsia="es-ES"/>
          <w14:ligatures w14:val="standardContextual"/>
        </w:rPr>
        <w:t>“</w:t>
      </w:r>
      <w:r w:rsidR="00BF7C3B" w:rsidRPr="004C6846">
        <w:rPr>
          <w:rFonts w:ascii="Verdana" w:eastAsia="Times New Roman" w:hAnsi="Verdana" w:cs="Arial"/>
          <w:lang w:eastAsia="es-ES"/>
          <w14:ligatures w14:val="standardContextual"/>
        </w:rPr>
        <w:t xml:space="preserve">la </w:t>
      </w:r>
      <w:r w:rsidR="00A97D3F" w:rsidRPr="004C6846">
        <w:rPr>
          <w:rFonts w:ascii="Verdana" w:eastAsia="Times New Roman" w:hAnsi="Verdana" w:cs="Arial"/>
          <w:lang w:eastAsia="es-ES"/>
          <w14:ligatures w14:val="standardContextual"/>
        </w:rPr>
        <w:t>E</w:t>
      </w:r>
      <w:r w:rsidR="00BF7C3B" w:rsidRPr="004C6846">
        <w:rPr>
          <w:rFonts w:ascii="Verdana" w:eastAsia="Times New Roman" w:hAnsi="Verdana" w:cs="Arial"/>
          <w:lang w:eastAsia="es-ES"/>
          <w14:ligatures w14:val="standardContextual"/>
        </w:rPr>
        <w:t xml:space="preserve">ntidad </w:t>
      </w:r>
      <w:r w:rsidR="00A97D3F" w:rsidRPr="004C6846">
        <w:rPr>
          <w:rFonts w:ascii="Verdana" w:eastAsia="Times New Roman" w:hAnsi="Verdana" w:cs="Arial"/>
          <w:lang w:eastAsia="es-ES"/>
          <w14:ligatures w14:val="standardContextual"/>
        </w:rPr>
        <w:t>E</w:t>
      </w:r>
      <w:r w:rsidR="00BF7C3B" w:rsidRPr="004C6846">
        <w:rPr>
          <w:rFonts w:ascii="Verdana" w:eastAsia="Times New Roman" w:hAnsi="Verdana" w:cs="Arial"/>
          <w:lang w:eastAsia="es-ES"/>
          <w14:ligatures w14:val="standardContextual"/>
        </w:rPr>
        <w:t>statal determina el contenido de la ficha, es decir, las condiciones mínimas del bien o servicio que necesita. Lo anterior, no se traduce en que los oferentes no puedan presentar bienes o servicios que tengan mejores calidades de las que han sido descritas en la ficha técnica, sino que no pueden presentar fichas con calidad o patrones de desempeño que no cumplan con los mínimos establecidos por la entidad</w:t>
      </w:r>
      <w:r w:rsidR="003B7611" w:rsidRPr="004C6846">
        <w:rPr>
          <w:rFonts w:ascii="Verdana" w:eastAsia="Times New Roman" w:hAnsi="Verdana" w:cs="Arial"/>
          <w:lang w:eastAsia="es-ES"/>
          <w14:ligatures w14:val="standardContextual"/>
        </w:rPr>
        <w:t>”</w:t>
      </w:r>
      <w:r w:rsidR="00BF7C3B" w:rsidRPr="004C6846">
        <w:rPr>
          <w:rFonts w:ascii="Verdana" w:eastAsia="Times New Roman" w:hAnsi="Verdana" w:cs="Arial"/>
          <w:lang w:eastAsia="es-ES"/>
          <w14:ligatures w14:val="standardContextual"/>
        </w:rPr>
        <w:t>.</w:t>
      </w:r>
    </w:p>
    <w:p w14:paraId="5E41F1BE" w14:textId="77777777" w:rsidR="002F09D4" w:rsidRPr="004C6846" w:rsidRDefault="002F09D4" w:rsidP="002F09D4">
      <w:pPr>
        <w:pStyle w:val="ListParagraph"/>
        <w:rPr>
          <w:rFonts w:ascii="Verdana" w:eastAsia="Calibri" w:hAnsi="Verdana" w:cs="Arial"/>
          <w:lang w:val="es-MX"/>
        </w:rPr>
      </w:pPr>
    </w:p>
    <w:p w14:paraId="57F952DC" w14:textId="77777777" w:rsidR="002A6A24" w:rsidRPr="004C6846" w:rsidRDefault="002F09D4" w:rsidP="002A6A24">
      <w:pPr>
        <w:pStyle w:val="ListParagraph"/>
        <w:numPr>
          <w:ilvl w:val="0"/>
          <w:numId w:val="18"/>
        </w:numPr>
        <w:spacing w:before="120" w:after="0" w:line="276" w:lineRule="auto"/>
        <w:jc w:val="both"/>
        <w:rPr>
          <w:rFonts w:ascii="Verdana" w:eastAsia="Times New Roman" w:hAnsi="Verdana" w:cs="Arial"/>
          <w:szCs w:val="24"/>
          <w:lang w:val="es-ES_tradnl" w:eastAsia="es-ES_tradnl"/>
          <w14:ligatures w14:val="standardContextual"/>
        </w:rPr>
      </w:pPr>
      <w:r w:rsidRPr="004C6846">
        <w:rPr>
          <w:rFonts w:ascii="Verdana" w:eastAsia="Calibri" w:hAnsi="Verdana" w:cs="Arial"/>
          <w:lang w:val="es-MX"/>
        </w:rPr>
        <w:t xml:space="preserve">Así mismo, el artículo 2.2.1.2.1.2.2 del Decreto 1082 de 2015 establece que, para presentar la oferta en los procesos de selección abreviada para adquirir bienes y servicios de características técnicas uniforme por subasta inversa, el proponente debe indicar si cumple con la ficha técnica y, consecuentemente, la entidad solo debe habilitar al oferente que cumple con esta, pues hay subasta inversa cuando se presentan mínimo dos oferentes que cumplan con la ficha técnica. Con todo, si un único proponente cumple, </w:t>
      </w:r>
      <w:r w:rsidRPr="004C6846">
        <w:rPr>
          <w:rFonts w:ascii="Verdana" w:eastAsia="Calibri" w:hAnsi="Verdana" w:cs="Arial"/>
          <w:lang w:val="es-MX"/>
        </w:rPr>
        <w:lastRenderedPageBreak/>
        <w:t>puede la entidad adjudicarle el contrato al único oferente si el valor de la oferta es igual o inferior a la disponibilidad presupuestal para el contrato.</w:t>
      </w:r>
    </w:p>
    <w:p w14:paraId="12ECB34B" w14:textId="77777777" w:rsidR="002A6A24" w:rsidRPr="004C6846" w:rsidRDefault="002A6A24" w:rsidP="002A6A24">
      <w:pPr>
        <w:pStyle w:val="ListParagraph"/>
        <w:rPr>
          <w:rFonts w:ascii="Verdana" w:eastAsia="Calibri" w:hAnsi="Verdana" w:cs="Arial"/>
          <w:lang w:val="es-MX"/>
        </w:rPr>
      </w:pPr>
    </w:p>
    <w:p w14:paraId="186DC673" w14:textId="77777777" w:rsidR="00BF4281" w:rsidRPr="004C6846" w:rsidRDefault="002A6A24" w:rsidP="00BF4281">
      <w:pPr>
        <w:pStyle w:val="ListParagraph"/>
        <w:numPr>
          <w:ilvl w:val="0"/>
          <w:numId w:val="18"/>
        </w:numPr>
        <w:spacing w:before="120" w:after="0" w:line="276" w:lineRule="auto"/>
        <w:jc w:val="both"/>
        <w:rPr>
          <w:rFonts w:ascii="Verdana" w:eastAsia="Times New Roman" w:hAnsi="Verdana" w:cs="Arial"/>
          <w:szCs w:val="24"/>
          <w:lang w:val="es-ES_tradnl" w:eastAsia="es-ES_tradnl"/>
          <w14:ligatures w14:val="standardContextual"/>
        </w:rPr>
      </w:pPr>
      <w:r w:rsidRPr="004C6846">
        <w:rPr>
          <w:rFonts w:ascii="Verdana" w:eastAsia="Calibri" w:hAnsi="Verdana" w:cs="Arial"/>
          <w:lang w:val="es-MX"/>
        </w:rPr>
        <w:t>Con base en lo anterior, es posible afirmar que una ficha técnica consiste en el instrumento que contiene las condiciones o características mínimas que requieren los bienes y servicios que se pretenden contratar por parte de la entidad. Por tratarse de requisitos mínimos, debe aclararse que los oferentes pueden presentar bienes y servicios con calidades superiores a las exigidas, sin que con ello se desnaturalice la función de la ficha técnica, consistente en garantizar que se cumplan con el mínimo de requisitos establecidos. </w:t>
      </w:r>
    </w:p>
    <w:p w14:paraId="4662FAB3" w14:textId="77777777" w:rsidR="00BF4281" w:rsidRPr="004C6846" w:rsidRDefault="00BF4281" w:rsidP="00BF4281">
      <w:pPr>
        <w:pStyle w:val="ListParagraph"/>
        <w:rPr>
          <w:rFonts w:ascii="Verdana" w:hAnsi="Verdana" w:cs="Arial"/>
          <w:lang w:val="es-MX"/>
        </w:rPr>
      </w:pPr>
    </w:p>
    <w:p w14:paraId="6EE2B1CE" w14:textId="77777777" w:rsidR="00535CBA" w:rsidRPr="004C6846" w:rsidRDefault="00BF4281" w:rsidP="00BF4281">
      <w:pPr>
        <w:pStyle w:val="ListParagraph"/>
        <w:numPr>
          <w:ilvl w:val="0"/>
          <w:numId w:val="18"/>
        </w:numPr>
        <w:spacing w:before="120" w:after="0" w:line="276" w:lineRule="auto"/>
        <w:jc w:val="both"/>
        <w:rPr>
          <w:rStyle w:val="normaltextrun"/>
          <w:rFonts w:ascii="Verdana" w:eastAsia="Times New Roman" w:hAnsi="Verdana" w:cs="Arial"/>
          <w:szCs w:val="24"/>
          <w:lang w:val="es-ES_tradnl" w:eastAsia="es-ES_tradnl"/>
          <w14:ligatures w14:val="standardContextual"/>
        </w:rPr>
      </w:pPr>
      <w:r w:rsidRPr="004C6846">
        <w:rPr>
          <w:rFonts w:ascii="Verdana" w:hAnsi="Verdana" w:cs="Arial"/>
          <w:lang w:val="es-MX"/>
        </w:rPr>
        <w:t xml:space="preserve">Adicionalmente, es posible precisar que, si bien la ficha técnica hace parte de uno de los componentes del proceso de la subasta inversa, </w:t>
      </w:r>
      <w:r w:rsidRPr="004C6846">
        <w:rPr>
          <w:rFonts w:ascii="Verdana" w:hAnsi="Verdana" w:cs="Arial"/>
        </w:rPr>
        <w:t xml:space="preserve">según la normativa del sistema de compra pública, es posible concluir que, </w:t>
      </w:r>
      <w:r w:rsidRPr="004C6846">
        <w:rPr>
          <w:rStyle w:val="normaltextrun"/>
          <w:rFonts w:ascii="Verdana" w:hAnsi="Verdana" w:cs="Arial"/>
        </w:rPr>
        <w:t xml:space="preserve">toda vez que la ficha técnica es un documento que contiene los aspectos técnicos mínimos de acreditación del bien o servicio a ofertar, no es un factor susceptible de evaluación mediante la asignación de puntaje, máxime cuando de conformidad con el numeral 3 del artículo </w:t>
      </w:r>
      <w:r w:rsidR="00A143D5" w:rsidRPr="004C6846">
        <w:rPr>
          <w:rStyle w:val="normaltextrun"/>
          <w:rFonts w:ascii="Verdana" w:hAnsi="Verdana" w:cs="Arial"/>
        </w:rPr>
        <w:t xml:space="preserve">5 </w:t>
      </w:r>
      <w:r w:rsidRPr="004C6846">
        <w:rPr>
          <w:rStyle w:val="normaltextrun"/>
          <w:rFonts w:ascii="Verdana" w:hAnsi="Verdana" w:cs="Arial"/>
        </w:rPr>
        <w:t xml:space="preserve">de la Ley 1150 de 2007 </w:t>
      </w:r>
      <w:r w:rsidR="00C103B8" w:rsidRPr="004C6846">
        <w:rPr>
          <w:rStyle w:val="normaltextrun"/>
          <w:rFonts w:ascii="Verdana" w:hAnsi="Verdana" w:cs="Arial"/>
        </w:rPr>
        <w:t>“</w:t>
      </w:r>
      <w:r w:rsidRPr="004C6846">
        <w:rPr>
          <w:rStyle w:val="normaltextrun"/>
          <w:rFonts w:ascii="Verdana" w:hAnsi="Verdana" w:cs="Arial"/>
        </w:rPr>
        <w:t xml:space="preserve">[…] en los pliegos de condiciones para las contrataciones cuyo objeto sea la adquisición o suministro de bienes y servicios de características técnicas uniformes y común utilización, las </w:t>
      </w:r>
      <w:r w:rsidR="00C103B8" w:rsidRPr="004C6846">
        <w:rPr>
          <w:rStyle w:val="normaltextrun"/>
          <w:rFonts w:ascii="Verdana" w:hAnsi="Verdana" w:cs="Arial"/>
        </w:rPr>
        <w:t>E</w:t>
      </w:r>
      <w:r w:rsidRPr="004C6846">
        <w:rPr>
          <w:rStyle w:val="normaltextrun"/>
          <w:rFonts w:ascii="Verdana" w:hAnsi="Verdana" w:cs="Arial"/>
        </w:rPr>
        <w:t xml:space="preserve">ntidades </w:t>
      </w:r>
      <w:r w:rsidR="00C103B8" w:rsidRPr="004C6846">
        <w:rPr>
          <w:rStyle w:val="normaltextrun"/>
          <w:rFonts w:ascii="Verdana" w:hAnsi="Verdana" w:cs="Arial"/>
        </w:rPr>
        <w:t>E</w:t>
      </w:r>
      <w:r w:rsidRPr="004C6846">
        <w:rPr>
          <w:rStyle w:val="normaltextrun"/>
          <w:rFonts w:ascii="Verdana" w:hAnsi="Verdana" w:cs="Arial"/>
        </w:rPr>
        <w:t>statales incluirán como único factor de evaluación el menor precio ofrecido</w:t>
      </w:r>
      <w:r w:rsidR="00C103B8" w:rsidRPr="004C6846">
        <w:rPr>
          <w:rStyle w:val="normaltextrun"/>
          <w:rFonts w:ascii="Verdana" w:hAnsi="Verdana" w:cs="Arial"/>
        </w:rPr>
        <w:t>”</w:t>
      </w:r>
      <w:r w:rsidRPr="004C6846">
        <w:rPr>
          <w:rStyle w:val="normaltextrun"/>
          <w:rFonts w:ascii="Verdana" w:hAnsi="Verdana" w:cs="Arial"/>
        </w:rPr>
        <w:t xml:space="preserve">. </w:t>
      </w:r>
    </w:p>
    <w:p w14:paraId="4114DDE9" w14:textId="3A3ABC0A" w:rsidR="00E911CD" w:rsidRPr="004C6846" w:rsidRDefault="00E911CD" w:rsidP="00813450">
      <w:pPr>
        <w:spacing w:before="120" w:after="0" w:line="276" w:lineRule="auto"/>
        <w:jc w:val="both"/>
        <w:rPr>
          <w:rFonts w:ascii="Verdana" w:eastAsia="Times New Roman" w:hAnsi="Verdana" w:cs="Arial"/>
          <w:szCs w:val="24"/>
          <w:lang w:val="es-ES_tradnl" w:eastAsia="es-ES_tradnl"/>
          <w14:ligatures w14:val="standardContextual"/>
        </w:rPr>
      </w:pPr>
    </w:p>
    <w:p w14:paraId="58921008" w14:textId="77777777" w:rsidR="00E911CD" w:rsidRPr="004C6846" w:rsidRDefault="00E911CD" w:rsidP="00E911CD">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C6846">
        <w:rPr>
          <w:rFonts w:ascii="Verdana" w:eastAsia="Century Gothic" w:hAnsi="Verdana" w:cs="Century Gothic"/>
          <w:b/>
          <w:bCs/>
        </w:rPr>
        <w:t>Referencias normativas, jurisprudenciales y otras fuentes:</w:t>
      </w:r>
    </w:p>
    <w:p w14:paraId="767DDB52" w14:textId="77777777" w:rsidR="00E911CD" w:rsidRPr="004C6846" w:rsidRDefault="00E911CD" w:rsidP="00E911CD">
      <w:pPr>
        <w:pStyle w:val="ListParagraph"/>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911CD" w:rsidRPr="004C6846" w14:paraId="161EA772" w14:textId="77777777" w:rsidTr="00B80C21">
        <w:trPr>
          <w:trHeight w:val="870"/>
        </w:trPr>
        <w:tc>
          <w:tcPr>
            <w:tcW w:w="8647" w:type="dxa"/>
          </w:tcPr>
          <w:p w14:paraId="5553BF84" w14:textId="42D6FF52" w:rsidR="00E911CD" w:rsidRPr="004C6846" w:rsidRDefault="00E911CD" w:rsidP="00B80C21">
            <w:pPr>
              <w:pStyle w:val="ListParagraph"/>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C6846">
              <w:rPr>
                <w:rFonts w:ascii="Verdana" w:hAnsi="Verdana" w:cs="Arial"/>
              </w:rPr>
              <w:t xml:space="preserve">Ley </w:t>
            </w:r>
            <w:r w:rsidRPr="004C6846">
              <w:rPr>
                <w:rFonts w:ascii="Verdana" w:eastAsia="Calibri" w:hAnsi="Verdana" w:cs="Arial"/>
              </w:rPr>
              <w:t>1150 de 2007</w:t>
            </w:r>
            <w:r w:rsidR="009E6D22" w:rsidRPr="004C6846">
              <w:rPr>
                <w:rFonts w:ascii="Verdana" w:eastAsia="Calibri" w:hAnsi="Verdana" w:cs="Arial"/>
              </w:rPr>
              <w:t xml:space="preserve">. </w:t>
            </w:r>
            <w:r w:rsidR="003919F1" w:rsidRPr="004C6846">
              <w:rPr>
                <w:rFonts w:ascii="Verdana" w:eastAsia="Calibri" w:hAnsi="Verdana" w:cs="Arial"/>
              </w:rPr>
              <w:t>Artículo 5, Párrafo</w:t>
            </w:r>
            <w:r w:rsidR="00C33747" w:rsidRPr="004C6846">
              <w:rPr>
                <w:rFonts w:ascii="Verdana" w:eastAsia="Calibri" w:hAnsi="Verdana" w:cs="Arial"/>
              </w:rPr>
              <w:t>s 1º y</w:t>
            </w:r>
            <w:r w:rsidR="003919F1" w:rsidRPr="004C6846">
              <w:rPr>
                <w:rFonts w:ascii="Verdana" w:eastAsia="Calibri" w:hAnsi="Verdana" w:cs="Arial"/>
              </w:rPr>
              <w:t xml:space="preserve"> 4º. Artículo 2</w:t>
            </w:r>
            <w:r w:rsidR="009E6D22" w:rsidRPr="004C6846">
              <w:rPr>
                <w:rFonts w:ascii="Verdana" w:eastAsia="Calibri" w:hAnsi="Verdana" w:cs="Arial"/>
              </w:rPr>
              <w:t>.</w:t>
            </w:r>
          </w:p>
          <w:p w14:paraId="1CECA95A" w14:textId="1171A3F2" w:rsidR="007577B0" w:rsidRPr="004C6846" w:rsidRDefault="009E6D22" w:rsidP="00B80C21">
            <w:pPr>
              <w:pStyle w:val="ListParagraph"/>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C6846">
              <w:rPr>
                <w:rFonts w:ascii="Verdana" w:hAnsi="Verdana" w:cs="Arial"/>
              </w:rPr>
              <w:t>Ley 1882 de 2018. Artículo 5.</w:t>
            </w:r>
          </w:p>
          <w:p w14:paraId="75ED0AC0" w14:textId="5671E6FB" w:rsidR="009E6D22" w:rsidRPr="004C6846" w:rsidRDefault="005A1AAB" w:rsidP="00B80C21">
            <w:pPr>
              <w:pStyle w:val="ListParagraph"/>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C6846">
              <w:rPr>
                <w:rFonts w:ascii="Verdana" w:hAnsi="Verdana" w:cs="Arial"/>
              </w:rPr>
              <w:t xml:space="preserve">Decreto 1082 de 2015. Artículo </w:t>
            </w:r>
            <w:r w:rsidR="00B44B75" w:rsidRPr="004C6846">
              <w:rPr>
                <w:rFonts w:ascii="Verdana" w:hAnsi="Verdana" w:cs="Arial"/>
              </w:rPr>
              <w:t>2.2.1.2.1.2.2</w:t>
            </w:r>
          </w:p>
          <w:p w14:paraId="168C011C" w14:textId="77777777" w:rsidR="00E911CD" w:rsidRPr="004C6846" w:rsidRDefault="00986A93" w:rsidP="00B80C21">
            <w:pPr>
              <w:pStyle w:val="ListParagraph"/>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C6846">
              <w:rPr>
                <w:rFonts w:ascii="Verdana" w:eastAsia="Calibri" w:hAnsi="Verdana" w:cs="Arial"/>
                <w:bCs/>
                <w:lang w:val="es-ES_tradnl" w:eastAsia="es-ES_tradnl" w:bidi="es-ES"/>
              </w:rPr>
              <w:t>Consejo de Estado. Sección Tercera. Subsección C. Sentencia del 26 de febrero de 2014. Expediente: 25.804. Consejero Ponente: Enrique Gil Botero.</w:t>
            </w:r>
          </w:p>
          <w:p w14:paraId="138F6741" w14:textId="568C3016" w:rsidR="00AF317E" w:rsidRPr="004C6846" w:rsidRDefault="00AF317E" w:rsidP="00B80C21">
            <w:pPr>
              <w:pStyle w:val="ListParagraph"/>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C6846">
              <w:rPr>
                <w:rFonts w:ascii="Verdana" w:hAnsi="Verdana" w:cs="Arial"/>
              </w:rPr>
              <w:t>Consejo de Estado. Sala de Consulta y Servicio Civil. Concepto del 20 de mayo de 2010. Expediente: 1992. Consejero Ponente: Enrique José Arboleda Perdomo.</w:t>
            </w:r>
          </w:p>
          <w:p w14:paraId="48CA5B55" w14:textId="71E64948" w:rsidR="009225CB" w:rsidRPr="004C6846" w:rsidRDefault="00E23032" w:rsidP="00B80C21">
            <w:pPr>
              <w:pStyle w:val="ListParagraph"/>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C6846">
              <w:rPr>
                <w:rFonts w:ascii="Verdana" w:hAnsi="Verdana" w:cs="Arial"/>
              </w:rPr>
              <w:t xml:space="preserve">Circular </w:t>
            </w:r>
            <w:r w:rsidR="00FE37BD" w:rsidRPr="004C6846">
              <w:rPr>
                <w:rFonts w:ascii="Verdana" w:hAnsi="Verdana" w:cs="Arial"/>
              </w:rPr>
              <w:t xml:space="preserve">Externa Única </w:t>
            </w:r>
            <w:r w:rsidR="007577B0" w:rsidRPr="004C6846">
              <w:rPr>
                <w:rFonts w:ascii="Verdana" w:hAnsi="Verdana" w:cs="Arial"/>
              </w:rPr>
              <w:t xml:space="preserve">- Agencia Nacional de Contratación Pública </w:t>
            </w:r>
            <w:r w:rsidR="007577B0" w:rsidRPr="004C6846">
              <w:rPr>
                <w:rFonts w:ascii="Verdana" w:hAnsi="Verdana" w:cs="Arial"/>
              </w:rPr>
              <w:lastRenderedPageBreak/>
              <w:t>Colombia Compra Eficient</w:t>
            </w:r>
            <w:r w:rsidR="00165F87" w:rsidRPr="004C6846">
              <w:rPr>
                <w:rFonts w:ascii="Verdana" w:hAnsi="Verdana" w:cs="Arial"/>
              </w:rPr>
              <w:t xml:space="preserve">e. </w:t>
            </w:r>
            <w:r w:rsidR="007577B0" w:rsidRPr="004C6846">
              <w:rPr>
                <w:rFonts w:ascii="Verdana" w:hAnsi="Verdana" w:cs="Arial"/>
              </w:rPr>
              <w:t xml:space="preserve">Disponible para consulta en: </w:t>
            </w:r>
            <w:hyperlink r:id="rId13" w:history="1">
              <w:r w:rsidR="007577B0" w:rsidRPr="004C6846">
                <w:rPr>
                  <w:rStyle w:val="Hyperlink"/>
                  <w:rFonts w:ascii="Verdana" w:hAnsi="Verdana" w:cs="Arial"/>
                  <w:color w:val="auto"/>
                </w:rPr>
                <w:t>https://colombiacompra.gov.co/sites/cce_public/files/cce_circulares/circular_externa_unica_version_3_vf49.pdf</w:t>
              </w:r>
            </w:hyperlink>
            <w:r w:rsidR="007577B0" w:rsidRPr="004C6846">
              <w:rPr>
                <w:rFonts w:ascii="Verdana" w:hAnsi="Verdana" w:cs="Arial"/>
              </w:rPr>
              <w:t xml:space="preserve"> </w:t>
            </w:r>
          </w:p>
        </w:tc>
      </w:tr>
    </w:tbl>
    <w:p w14:paraId="310A728B" w14:textId="77777777" w:rsidR="00E911CD" w:rsidRPr="004C6846" w:rsidRDefault="00E911CD" w:rsidP="00E911CD">
      <w:pPr>
        <w:widowControl w:val="0"/>
        <w:autoSpaceDE w:val="0"/>
        <w:autoSpaceDN w:val="0"/>
        <w:spacing w:after="0" w:line="276" w:lineRule="auto"/>
        <w:jc w:val="both"/>
        <w:rPr>
          <w:rFonts w:ascii="Verdana" w:hAnsi="Verdana" w:cs="Arial"/>
        </w:rPr>
      </w:pPr>
    </w:p>
    <w:p w14:paraId="78D905D3" w14:textId="77777777" w:rsidR="00E911CD" w:rsidRPr="004C6846" w:rsidRDefault="00E911CD" w:rsidP="00E911CD">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C6846">
        <w:rPr>
          <w:rFonts w:ascii="Verdana" w:eastAsia="Century Gothic" w:hAnsi="Verdana" w:cs="Century Gothic"/>
          <w:b/>
          <w:bCs/>
        </w:rPr>
        <w:t>Doctrina de la Agencia Nacional de Contratación Pública:</w:t>
      </w:r>
    </w:p>
    <w:p w14:paraId="38C16CDC" w14:textId="77777777" w:rsidR="00E911CD" w:rsidRPr="004C6846" w:rsidRDefault="00E911CD" w:rsidP="00E911CD">
      <w:pPr>
        <w:widowControl w:val="0"/>
        <w:autoSpaceDE w:val="0"/>
        <w:autoSpaceDN w:val="0"/>
        <w:spacing w:after="0" w:line="276" w:lineRule="auto"/>
        <w:jc w:val="both"/>
        <w:rPr>
          <w:rFonts w:ascii="Verdana" w:hAnsi="Verdana" w:cs="Arial"/>
        </w:rPr>
      </w:pPr>
    </w:p>
    <w:p w14:paraId="4B541CE0" w14:textId="239F8A2A" w:rsidR="006207DD" w:rsidRPr="004C6846" w:rsidRDefault="00E911CD" w:rsidP="009F72AE">
      <w:pPr>
        <w:widowControl w:val="0"/>
        <w:autoSpaceDE w:val="0"/>
        <w:autoSpaceDN w:val="0"/>
        <w:spacing w:after="0" w:line="276" w:lineRule="auto"/>
        <w:jc w:val="both"/>
        <w:rPr>
          <w:rFonts w:ascii="Verdana" w:hAnsi="Verdana" w:cs="Arial"/>
        </w:rPr>
      </w:pPr>
      <w:r w:rsidRPr="004C6846">
        <w:rPr>
          <w:rFonts w:ascii="Verdana" w:hAnsi="Verdana" w:cs="Arial"/>
          <w:lang w:val="es-ES"/>
        </w:rPr>
        <w:t xml:space="preserve">Sobre </w:t>
      </w:r>
      <w:r w:rsidR="00DA2186" w:rsidRPr="004C6846">
        <w:rPr>
          <w:rFonts w:ascii="Verdana" w:hAnsi="Verdana" w:cs="Arial"/>
          <w:lang w:val="es-ES"/>
        </w:rPr>
        <w:t xml:space="preserve">la </w:t>
      </w:r>
      <w:proofErr w:type="spellStart"/>
      <w:r w:rsidR="009B4CC4" w:rsidRPr="004C6846">
        <w:rPr>
          <w:rFonts w:ascii="Verdana" w:hAnsi="Verdana" w:cs="Arial"/>
          <w:lang w:val="es-ES"/>
        </w:rPr>
        <w:t>subsanabilidad</w:t>
      </w:r>
      <w:proofErr w:type="spellEnd"/>
      <w:r w:rsidR="00DA2186" w:rsidRPr="004C6846">
        <w:rPr>
          <w:rFonts w:ascii="Verdana" w:hAnsi="Verdana" w:cs="Arial"/>
          <w:lang w:val="es-ES"/>
        </w:rPr>
        <w:t xml:space="preserve"> del anexo técnico en los procesos de selección </w:t>
      </w:r>
      <w:r w:rsidR="00555B19" w:rsidRPr="004C6846">
        <w:rPr>
          <w:rFonts w:ascii="Verdana" w:hAnsi="Verdana" w:cs="Arial"/>
          <w:lang w:val="es-ES"/>
        </w:rPr>
        <w:t xml:space="preserve">abreviada </w:t>
      </w:r>
      <w:r w:rsidR="00555B19" w:rsidRPr="004C6846">
        <w:rPr>
          <w:rFonts w:ascii="Verdana" w:eastAsia="Century Gothic" w:hAnsi="Verdana" w:cs="Century Gothic"/>
        </w:rPr>
        <w:t>mediante subasta inversa</w:t>
      </w:r>
      <w:r w:rsidRPr="004C6846">
        <w:rPr>
          <w:rFonts w:ascii="Verdana" w:hAnsi="Verdana" w:cs="Arial"/>
          <w:bCs/>
          <w:lang w:val="es-ES_tradnl"/>
        </w:rPr>
        <w:t xml:space="preserve">, </w:t>
      </w:r>
      <w:r w:rsidRPr="004C6846">
        <w:rPr>
          <w:rFonts w:ascii="Verdana" w:hAnsi="Verdana" w:cs="Arial"/>
          <w:lang w:val="es-ES"/>
        </w:rPr>
        <w:t>esta Subdirección se</w:t>
      </w:r>
      <w:r w:rsidR="005B4877" w:rsidRPr="004C6846">
        <w:rPr>
          <w:rFonts w:ascii="Verdana" w:hAnsi="Verdana" w:cs="Arial"/>
          <w:lang w:val="es-ES"/>
        </w:rPr>
        <w:t xml:space="preserve"> ha</w:t>
      </w:r>
      <w:r w:rsidRPr="004C6846">
        <w:rPr>
          <w:rFonts w:ascii="Verdana" w:hAnsi="Verdana" w:cs="Arial"/>
          <w:lang w:val="es-ES"/>
        </w:rPr>
        <w:t xml:space="preserve"> </w:t>
      </w:r>
      <w:r w:rsidR="005B4877" w:rsidRPr="004C6846">
        <w:rPr>
          <w:rFonts w:ascii="Verdana" w:hAnsi="Verdana" w:cs="Arial"/>
          <w:lang w:val="es-ES"/>
        </w:rPr>
        <w:t>pronunciado</w:t>
      </w:r>
      <w:r w:rsidRPr="004C6846">
        <w:rPr>
          <w:rFonts w:ascii="Verdana" w:hAnsi="Verdana" w:cs="Arial"/>
          <w:lang w:val="es-ES"/>
        </w:rPr>
        <w:t xml:space="preserve"> en los conceptos </w:t>
      </w:r>
      <w:r w:rsidR="006207DD" w:rsidRPr="004C6846">
        <w:rPr>
          <w:rFonts w:ascii="Verdana" w:hAnsi="Verdana" w:cs="Arial"/>
        </w:rPr>
        <w:t>Nos</w:t>
      </w:r>
      <w:r w:rsidRPr="004C6846">
        <w:rPr>
          <w:rFonts w:ascii="Verdana" w:hAnsi="Verdana" w:cs="Arial"/>
        </w:rPr>
        <w:t xml:space="preserve">. </w:t>
      </w:r>
      <w:r w:rsidR="006A4A90" w:rsidRPr="004C6846">
        <w:rPr>
          <w:rFonts w:ascii="Verdana" w:hAnsi="Verdana" w:cs="Arial"/>
        </w:rPr>
        <w:t>4201912000006453 del 14 de noviembre de 2019,</w:t>
      </w:r>
      <w:r w:rsidR="002E683A" w:rsidRPr="004C6846">
        <w:rPr>
          <w:rFonts w:ascii="Verdana" w:hAnsi="Verdana" w:cs="Arial"/>
        </w:rPr>
        <w:t xml:space="preserve"> 4201912000006711 del 12 de noviembre de 2019, C-024 del 24 de febrero de 2021, C-233 del 12 de agosto de 2024</w:t>
      </w:r>
      <w:r w:rsidR="00F33CB0" w:rsidRPr="004C6846">
        <w:rPr>
          <w:rFonts w:ascii="Verdana" w:hAnsi="Verdana" w:cs="Arial"/>
        </w:rPr>
        <w:t xml:space="preserve"> y </w:t>
      </w:r>
      <w:r w:rsidR="002E683A" w:rsidRPr="004C6846">
        <w:rPr>
          <w:rFonts w:ascii="Verdana" w:hAnsi="Verdana" w:cs="Arial"/>
        </w:rPr>
        <w:t>C-</w:t>
      </w:r>
      <w:r w:rsidR="00927FC0" w:rsidRPr="004C6846">
        <w:rPr>
          <w:rFonts w:ascii="Verdana" w:hAnsi="Verdana" w:cs="Arial"/>
        </w:rPr>
        <w:t>369 del 09 de septiembre del 2024</w:t>
      </w:r>
      <w:r w:rsidR="00F33CB0" w:rsidRPr="004C6846">
        <w:rPr>
          <w:rFonts w:ascii="Verdana" w:hAnsi="Verdana" w:cs="Arial"/>
        </w:rPr>
        <w:t xml:space="preserve">. </w:t>
      </w:r>
      <w:r w:rsidRPr="004C6846">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4C6846">
          <w:rPr>
            <w:rStyle w:val="Hyperlink"/>
            <w:rFonts w:ascii="Verdana" w:hAnsi="Verdana" w:cs="Arial"/>
            <w:color w:val="auto"/>
            <w:shd w:val="clear" w:color="auto" w:fill="FFFFFF"/>
          </w:rPr>
          <w:t>https://relatoria.colombiacompra.gov.co/</w:t>
        </w:r>
      </w:hyperlink>
      <w:r w:rsidR="006207DD" w:rsidRPr="004C6846">
        <w:rPr>
          <w:rFonts w:ascii="Verdana" w:hAnsi="Verdana" w:cs="Arial"/>
          <w:shd w:val="clear" w:color="auto" w:fill="FFFFFF"/>
        </w:rPr>
        <w:t>.</w:t>
      </w:r>
    </w:p>
    <w:p w14:paraId="00BDB3CB" w14:textId="77777777" w:rsidR="006207DD" w:rsidRPr="004C6846" w:rsidRDefault="006207DD" w:rsidP="009F72AE">
      <w:pPr>
        <w:widowControl w:val="0"/>
        <w:autoSpaceDE w:val="0"/>
        <w:autoSpaceDN w:val="0"/>
        <w:spacing w:after="0" w:line="276" w:lineRule="auto"/>
        <w:jc w:val="both"/>
        <w:rPr>
          <w:rFonts w:ascii="Verdana" w:hAnsi="Verdana" w:cs="Arial"/>
        </w:rPr>
      </w:pPr>
    </w:p>
    <w:p w14:paraId="2BA28DCB" w14:textId="74E49890" w:rsidR="00E911CD" w:rsidRPr="004C6846" w:rsidRDefault="00E911CD" w:rsidP="009F72AE">
      <w:pPr>
        <w:widowControl w:val="0"/>
        <w:autoSpaceDE w:val="0"/>
        <w:autoSpaceDN w:val="0"/>
        <w:spacing w:after="0" w:line="276" w:lineRule="auto"/>
        <w:jc w:val="both"/>
        <w:rPr>
          <w:rFonts w:ascii="Verdana" w:hAnsi="Verdana" w:cs="Arial"/>
        </w:rPr>
      </w:pPr>
      <w:r w:rsidRPr="004C6846">
        <w:rPr>
          <w:rFonts w:ascii="Verdana" w:hAnsi="Verdana" w:cs="Arial"/>
          <w:shd w:val="clear" w:color="auto" w:fill="FFFFFF"/>
        </w:rPr>
        <w:t>También te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5" w:tgtFrame="_blank" w:tooltip="Dirección URL original: https://www.colombiacompra.gov.co/sala-de-prensa/boletin-digital. Haga clic o pulse si confía en este vínculo." w:history="1">
        <w:r w:rsidRPr="004C6846">
          <w:rPr>
            <w:rStyle w:val="Hyperlink"/>
            <w:rFonts w:ascii="Verdana" w:hAnsi="Verdana" w:cs="Arial"/>
            <w:color w:val="auto"/>
            <w:shd w:val="clear" w:color="auto" w:fill="FFFFFF"/>
          </w:rPr>
          <w:t>https://www.colombiacompra.gov.co/sala-de-prensa/boletin-digital</w:t>
        </w:r>
      </w:hyperlink>
      <w:r w:rsidRPr="004C6846">
        <w:rPr>
          <w:rFonts w:ascii="Verdana" w:hAnsi="Verdana" w:cs="Arial"/>
          <w:shd w:val="clear" w:color="auto" w:fill="FFFFFF"/>
        </w:rPr>
        <w:t> "   </w:t>
      </w:r>
    </w:p>
    <w:p w14:paraId="16268183" w14:textId="77777777" w:rsidR="00E911CD" w:rsidRPr="004C6846" w:rsidRDefault="00E911CD" w:rsidP="00E911CD">
      <w:pPr>
        <w:spacing w:after="0" w:line="240" w:lineRule="auto"/>
        <w:jc w:val="both"/>
        <w:rPr>
          <w:rFonts w:ascii="Verdana" w:hAnsi="Verdana" w:cs="Arial"/>
          <w:shd w:val="clear" w:color="auto" w:fill="FFFFFF"/>
        </w:rPr>
      </w:pPr>
    </w:p>
    <w:p w14:paraId="5E432D1E" w14:textId="7DAB89E1" w:rsidR="00E911CD" w:rsidRPr="004C6846" w:rsidRDefault="00E911CD" w:rsidP="00E911CD">
      <w:pPr>
        <w:spacing w:after="0" w:line="240" w:lineRule="auto"/>
        <w:jc w:val="both"/>
        <w:rPr>
          <w:rFonts w:ascii="Verdana" w:hAnsi="Verdana" w:cs="Arial"/>
          <w:shd w:val="clear" w:color="auto" w:fill="FFFFFF"/>
        </w:rPr>
      </w:pPr>
      <w:r w:rsidRPr="004C6846">
        <w:rPr>
          <w:rFonts w:ascii="Verdana" w:hAnsi="Verdana"/>
        </w:rPr>
        <w:t xml:space="preserve">Por </w:t>
      </w:r>
      <w:r w:rsidR="009F72AE" w:rsidRPr="004C6846">
        <w:rPr>
          <w:rFonts w:ascii="Verdana" w:hAnsi="Verdana"/>
        </w:rPr>
        <w:t>último, invitamos</w:t>
      </w:r>
      <w:r w:rsidRPr="004C6846">
        <w:rPr>
          <w:rFonts w:ascii="Verdana" w:hAnsi="Verdana"/>
        </w:rPr>
        <w:t xml:space="preserve"> a seguirnos en las redes sociales en las cuales se difunde información institucional: </w:t>
      </w:r>
    </w:p>
    <w:p w14:paraId="5226D062" w14:textId="77777777" w:rsidR="00E911CD" w:rsidRPr="004C6846" w:rsidRDefault="00E911CD" w:rsidP="00E911CD">
      <w:pPr>
        <w:spacing w:after="0" w:line="240" w:lineRule="auto"/>
        <w:jc w:val="both"/>
        <w:rPr>
          <w:rFonts w:ascii="Verdana" w:hAnsi="Verdana"/>
        </w:rPr>
      </w:pPr>
    </w:p>
    <w:p w14:paraId="36151C70" w14:textId="77777777" w:rsidR="00E911CD" w:rsidRPr="004C6846" w:rsidRDefault="00E911CD" w:rsidP="00E911CD">
      <w:pPr>
        <w:spacing w:after="0" w:line="240" w:lineRule="auto"/>
        <w:jc w:val="both"/>
        <w:rPr>
          <w:rFonts w:ascii="Verdana" w:hAnsi="Verdana"/>
        </w:rPr>
      </w:pPr>
      <w:r w:rsidRPr="004C6846">
        <w:rPr>
          <w:rFonts w:ascii="Verdana" w:hAnsi="Verdana"/>
        </w:rPr>
        <w:t xml:space="preserve">Twitter: </w:t>
      </w:r>
      <w:r w:rsidRPr="004C6846">
        <w:rPr>
          <w:rStyle w:val="Hyperlink"/>
          <w:rFonts w:ascii="Verdana" w:hAnsi="Verdana"/>
          <w:color w:val="auto"/>
        </w:rPr>
        <w:t>@colombiacompra</w:t>
      </w:r>
      <w:r w:rsidRPr="004C6846">
        <w:rPr>
          <w:rFonts w:ascii="Verdana" w:hAnsi="Verdana"/>
        </w:rPr>
        <w:t xml:space="preserve"> </w:t>
      </w:r>
    </w:p>
    <w:p w14:paraId="62F0D08C" w14:textId="77777777" w:rsidR="00E911CD" w:rsidRPr="004C6846" w:rsidRDefault="00E911CD" w:rsidP="00E911CD">
      <w:pPr>
        <w:spacing w:after="0" w:line="240" w:lineRule="auto"/>
        <w:jc w:val="both"/>
        <w:rPr>
          <w:rFonts w:ascii="Verdana" w:hAnsi="Verdana"/>
        </w:rPr>
      </w:pPr>
      <w:r w:rsidRPr="004C6846">
        <w:rPr>
          <w:rFonts w:ascii="Verdana" w:hAnsi="Verdana"/>
        </w:rPr>
        <w:t xml:space="preserve">Facebook: </w:t>
      </w:r>
      <w:proofErr w:type="spellStart"/>
      <w:r w:rsidRPr="004C6846">
        <w:rPr>
          <w:rStyle w:val="Hyperlink"/>
          <w:rFonts w:ascii="Verdana" w:hAnsi="Verdana"/>
          <w:color w:val="auto"/>
        </w:rPr>
        <w:t>ColombiaCompraEficiente</w:t>
      </w:r>
      <w:proofErr w:type="spellEnd"/>
    </w:p>
    <w:p w14:paraId="4B7D7F39" w14:textId="77777777" w:rsidR="00E911CD" w:rsidRPr="004C6846" w:rsidRDefault="00E911CD" w:rsidP="00E911CD">
      <w:pPr>
        <w:spacing w:after="0" w:line="240" w:lineRule="auto"/>
        <w:jc w:val="both"/>
        <w:rPr>
          <w:rFonts w:ascii="Verdana" w:hAnsi="Verdana"/>
        </w:rPr>
      </w:pPr>
      <w:r w:rsidRPr="004C6846">
        <w:rPr>
          <w:rFonts w:ascii="Verdana" w:hAnsi="Verdana"/>
        </w:rPr>
        <w:t xml:space="preserve">LinkedIn: </w:t>
      </w:r>
      <w:r w:rsidRPr="004C6846">
        <w:rPr>
          <w:rStyle w:val="Hyperlink"/>
          <w:rFonts w:ascii="Verdana" w:hAnsi="Verdana"/>
          <w:color w:val="auto"/>
        </w:rPr>
        <w:t>Agencia Nacional de Contratación Pública - Colombia Compra Eficiente</w:t>
      </w:r>
      <w:r w:rsidRPr="004C6846">
        <w:rPr>
          <w:rFonts w:ascii="Verdana" w:hAnsi="Verdana"/>
        </w:rPr>
        <w:t xml:space="preserve"> Instagram: </w:t>
      </w:r>
      <w:r w:rsidRPr="004C6846">
        <w:rPr>
          <w:rStyle w:val="Hyperlink"/>
          <w:rFonts w:ascii="Verdana" w:hAnsi="Verdana"/>
          <w:color w:val="auto"/>
        </w:rPr>
        <w:t>@colombiacompraeficiente_cce</w:t>
      </w:r>
    </w:p>
    <w:p w14:paraId="28868AEB" w14:textId="77777777" w:rsidR="00E911CD" w:rsidRPr="004C6846" w:rsidRDefault="00E911CD" w:rsidP="00E911CD">
      <w:pPr>
        <w:widowControl w:val="0"/>
        <w:autoSpaceDE w:val="0"/>
        <w:autoSpaceDN w:val="0"/>
        <w:spacing w:after="0" w:line="276" w:lineRule="auto"/>
        <w:jc w:val="both"/>
        <w:rPr>
          <w:rFonts w:ascii="Verdana" w:hAnsi="Verdana" w:cs="Arial"/>
        </w:rPr>
      </w:pPr>
    </w:p>
    <w:p w14:paraId="4C8C31B6" w14:textId="779E69F8" w:rsidR="00E911CD" w:rsidRPr="004C6846" w:rsidRDefault="00E911CD" w:rsidP="00E911CD">
      <w:pPr>
        <w:widowControl w:val="0"/>
        <w:autoSpaceDE w:val="0"/>
        <w:autoSpaceDN w:val="0"/>
        <w:spacing w:after="0" w:line="276" w:lineRule="auto"/>
        <w:jc w:val="both"/>
        <w:rPr>
          <w:rFonts w:ascii="Verdana" w:hAnsi="Verdana" w:cs="Arial"/>
          <w:lang w:val="es-ES_tradnl"/>
        </w:rPr>
      </w:pPr>
      <w:r w:rsidRPr="004C6846">
        <w:rPr>
          <w:rFonts w:ascii="Verdana" w:hAnsi="Verdana" w:cs="Arial"/>
        </w:rPr>
        <w:t xml:space="preserve">Este concepto tiene el alcance previsto en el artículo 28 del Código de Procedimiento Administrativo y de lo Contencioso Administrativo </w:t>
      </w:r>
      <w:r w:rsidRPr="004C6846">
        <w:rPr>
          <w:rFonts w:ascii="Verdana" w:hAnsi="Verdana" w:cs="Arial"/>
          <w:lang w:val="es-ES_tradnl"/>
        </w:rPr>
        <w:t>y las expresiones aquí utilizadas con mayúscula inicial deben ser entendidas con el significado que les otorga el artículo 2.2.1.1.1.3.1. del Decreto 1082 de 2015.</w:t>
      </w:r>
    </w:p>
    <w:p w14:paraId="395BF2E0" w14:textId="77777777" w:rsidR="00E911CD" w:rsidRPr="004C6846" w:rsidRDefault="00E911CD" w:rsidP="00E911CD">
      <w:pPr>
        <w:widowControl w:val="0"/>
        <w:autoSpaceDE w:val="0"/>
        <w:autoSpaceDN w:val="0"/>
        <w:spacing w:after="0" w:line="276" w:lineRule="auto"/>
        <w:jc w:val="both"/>
        <w:rPr>
          <w:rFonts w:ascii="Verdana" w:hAnsi="Verdana" w:cs="Arial"/>
        </w:rPr>
      </w:pPr>
    </w:p>
    <w:p w14:paraId="17815A76" w14:textId="77777777" w:rsidR="00E911CD" w:rsidRPr="004C6846" w:rsidRDefault="00E911CD" w:rsidP="00E911CD">
      <w:pPr>
        <w:spacing w:after="0" w:line="240" w:lineRule="auto"/>
        <w:rPr>
          <w:rFonts w:ascii="Verdana" w:hAnsi="Verdana" w:cs="Arial"/>
          <w:lang w:eastAsia="es-CO"/>
        </w:rPr>
      </w:pPr>
      <w:r w:rsidRPr="004C6846">
        <w:rPr>
          <w:rFonts w:ascii="Verdana" w:eastAsia="Times New Roman" w:hAnsi="Verdana" w:cs="Arial"/>
          <w:lang w:eastAsia="es-CO"/>
        </w:rPr>
        <w:t>Atentamente,</w:t>
      </w:r>
      <w:r w:rsidRPr="004C6846">
        <w:rPr>
          <w:rFonts w:ascii="Verdana" w:hAnsi="Verdana" w:cs="Arial"/>
          <w:lang w:eastAsia="es-CO"/>
        </w:rPr>
        <w:t xml:space="preserve"> </w:t>
      </w:r>
    </w:p>
    <w:p w14:paraId="58782799" w14:textId="4419677D" w:rsidR="00E911CD" w:rsidRPr="004C6846" w:rsidRDefault="00AC1F4B" w:rsidP="00E911CD">
      <w:pPr>
        <w:spacing w:line="276" w:lineRule="auto"/>
        <w:jc w:val="center"/>
        <w:rPr>
          <w:rFonts w:ascii="Verdana" w:hAnsi="Verdana" w:cs="Arial"/>
          <w:lang w:val="es-ES_tradnl" w:eastAsia="es-CO"/>
        </w:rPr>
      </w:pPr>
      <w:r w:rsidRPr="004C6846">
        <w:rPr>
          <w:rFonts w:ascii="Verdana" w:hAnsi="Verdana"/>
          <w:noProof/>
        </w:rPr>
        <w:lastRenderedPageBreak/>
        <w:drawing>
          <wp:inline distT="0" distB="0" distL="0" distR="0" wp14:anchorId="1DA3FFE1" wp14:editId="379C0992">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6"/>
                    <a:stretch>
                      <a:fillRect/>
                    </a:stretch>
                  </pic:blipFill>
                  <pic:spPr>
                    <a:xfrm>
                      <a:off x="0" y="0"/>
                      <a:ext cx="3962953" cy="1867161"/>
                    </a:xfrm>
                    <a:prstGeom prst="rect">
                      <a:avLst/>
                    </a:prstGeom>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C6846" w:rsidRPr="004C6846" w14:paraId="49048860" w14:textId="77777777" w:rsidTr="00B80C21">
        <w:trPr>
          <w:trHeight w:val="315"/>
        </w:trPr>
        <w:tc>
          <w:tcPr>
            <w:tcW w:w="893" w:type="dxa"/>
            <w:vAlign w:val="center"/>
            <w:hideMark/>
          </w:tcPr>
          <w:p w14:paraId="14940468" w14:textId="77777777" w:rsidR="00E911CD" w:rsidRPr="004C6846" w:rsidRDefault="00E911CD" w:rsidP="00B80C21">
            <w:pPr>
              <w:contextualSpacing/>
              <w:rPr>
                <w:rFonts w:ascii="Verdana" w:hAnsi="Verdana" w:cs="Arial"/>
                <w:sz w:val="16"/>
                <w:szCs w:val="16"/>
                <w:lang w:val="es-ES" w:eastAsia="es-ES"/>
              </w:rPr>
            </w:pPr>
            <w:r w:rsidRPr="004C6846">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D79CBDF" w14:textId="77777777" w:rsidR="00E911CD" w:rsidRPr="004C6846" w:rsidRDefault="00E911CD" w:rsidP="00B80C21">
            <w:pPr>
              <w:contextualSpacing/>
              <w:rPr>
                <w:rFonts w:ascii="Verdana" w:eastAsia="Arial" w:hAnsi="Verdana" w:cs="Arial"/>
                <w:sz w:val="16"/>
                <w:szCs w:val="16"/>
              </w:rPr>
            </w:pPr>
            <w:r w:rsidRPr="004C6846">
              <w:rPr>
                <w:rFonts w:ascii="Verdana" w:eastAsia="Arial" w:hAnsi="Verdana" w:cs="Arial"/>
                <w:sz w:val="16"/>
                <w:szCs w:val="16"/>
              </w:rPr>
              <w:t>Ana María Ortiz Ballesteros</w:t>
            </w:r>
          </w:p>
          <w:p w14:paraId="148EE56F" w14:textId="77777777" w:rsidR="00E911CD" w:rsidRPr="004C6846" w:rsidRDefault="00E911CD" w:rsidP="00B80C21">
            <w:pPr>
              <w:contextualSpacing/>
              <w:rPr>
                <w:rFonts w:ascii="Verdana" w:eastAsia="Arial" w:hAnsi="Verdana" w:cs="Arial"/>
                <w:sz w:val="16"/>
                <w:szCs w:val="16"/>
              </w:rPr>
            </w:pPr>
            <w:r w:rsidRPr="004C6846">
              <w:rPr>
                <w:rStyle w:val="normaltextrun"/>
                <w:rFonts w:ascii="Verdana" w:eastAsia="Arial" w:hAnsi="Verdana" w:cs="Arial"/>
                <w:sz w:val="16"/>
                <w:szCs w:val="16"/>
              </w:rPr>
              <w:t>C</w:t>
            </w:r>
            <w:r w:rsidRPr="004C6846">
              <w:rPr>
                <w:rStyle w:val="normaltextrun"/>
                <w:rFonts w:ascii="Verdana" w:hAnsi="Verdana"/>
                <w:sz w:val="16"/>
                <w:szCs w:val="16"/>
              </w:rPr>
              <w:t>ontratista</w:t>
            </w:r>
            <w:r w:rsidRPr="004C6846">
              <w:rPr>
                <w:rStyle w:val="normaltextrun"/>
                <w:rFonts w:ascii="Verdana" w:eastAsia="Arial" w:hAnsi="Verdana" w:cs="Arial"/>
                <w:sz w:val="16"/>
                <w:szCs w:val="16"/>
              </w:rPr>
              <w:t xml:space="preserve"> de la Subdirección de Gestión Contractual</w:t>
            </w:r>
          </w:p>
        </w:tc>
      </w:tr>
      <w:tr w:rsidR="004C6846" w:rsidRPr="004C6846" w14:paraId="129481D0" w14:textId="77777777" w:rsidTr="00B80C21">
        <w:trPr>
          <w:trHeight w:val="330"/>
        </w:trPr>
        <w:tc>
          <w:tcPr>
            <w:tcW w:w="893" w:type="dxa"/>
            <w:vAlign w:val="center"/>
            <w:hideMark/>
          </w:tcPr>
          <w:p w14:paraId="4DF0956E" w14:textId="77777777" w:rsidR="00E911CD" w:rsidRPr="004C6846" w:rsidRDefault="00E911CD" w:rsidP="00B80C21">
            <w:pPr>
              <w:contextualSpacing/>
              <w:rPr>
                <w:rFonts w:ascii="Verdana" w:hAnsi="Verdana" w:cs="Arial"/>
                <w:sz w:val="16"/>
                <w:szCs w:val="16"/>
                <w:lang w:val="es-ES" w:eastAsia="es-ES"/>
              </w:rPr>
            </w:pPr>
            <w:r w:rsidRPr="004C6846">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6C14F96" w14:textId="0A41AE4F" w:rsidR="00DC3B26" w:rsidRPr="004C6846" w:rsidRDefault="00DC3B26" w:rsidP="00B80C21">
            <w:pPr>
              <w:pStyle w:val="paragraph"/>
              <w:spacing w:before="0" w:beforeAutospacing="0" w:after="0" w:afterAutospacing="0"/>
              <w:contextualSpacing/>
              <w:textAlignment w:val="baseline"/>
              <w:rPr>
                <w:rStyle w:val="normaltextrun"/>
                <w:rFonts w:ascii="Verdana" w:hAnsi="Verdana" w:cs="Arial"/>
                <w:sz w:val="16"/>
                <w:szCs w:val="16"/>
                <w:lang w:val="es-ES"/>
              </w:rPr>
            </w:pPr>
            <w:r w:rsidRPr="004C6846">
              <w:rPr>
                <w:rStyle w:val="normaltextrun"/>
                <w:rFonts w:ascii="Verdana" w:hAnsi="Verdana" w:cs="Arial"/>
                <w:sz w:val="16"/>
                <w:szCs w:val="16"/>
                <w:lang w:val="es-ES"/>
              </w:rPr>
              <w:t>Adriana Katerine López Rodríguez</w:t>
            </w:r>
          </w:p>
          <w:p w14:paraId="48CD99DD" w14:textId="7B1CB10E" w:rsidR="00E911CD" w:rsidRPr="004C6846" w:rsidRDefault="00DC3B26" w:rsidP="00B80C21">
            <w:pPr>
              <w:pStyle w:val="paragraph"/>
              <w:spacing w:before="0" w:beforeAutospacing="0" w:after="0" w:afterAutospacing="0"/>
              <w:contextualSpacing/>
              <w:textAlignment w:val="baseline"/>
              <w:rPr>
                <w:rFonts w:ascii="Verdana" w:hAnsi="Verdana" w:cs="Segoe UI"/>
                <w:sz w:val="16"/>
                <w:szCs w:val="16"/>
              </w:rPr>
            </w:pPr>
            <w:r w:rsidRPr="004C6846">
              <w:rPr>
                <w:rStyle w:val="normaltextrun"/>
                <w:rFonts w:ascii="Verdana" w:eastAsia="Arial" w:hAnsi="Verdana" w:cs="Arial"/>
                <w:sz w:val="16"/>
                <w:szCs w:val="16"/>
              </w:rPr>
              <w:t>C</w:t>
            </w:r>
            <w:r w:rsidRPr="004C6846">
              <w:rPr>
                <w:rStyle w:val="normaltextrun"/>
                <w:rFonts w:ascii="Verdana" w:hAnsi="Verdana"/>
                <w:sz w:val="16"/>
                <w:szCs w:val="16"/>
              </w:rPr>
              <w:t>ontratista</w:t>
            </w:r>
            <w:r w:rsidRPr="004C6846">
              <w:rPr>
                <w:rStyle w:val="normaltextrun"/>
                <w:rFonts w:ascii="Verdana" w:eastAsia="Arial" w:hAnsi="Verdana" w:cs="Arial"/>
                <w:sz w:val="16"/>
                <w:szCs w:val="16"/>
              </w:rPr>
              <w:t xml:space="preserve"> de la Subdirección de Gestión Contractual</w:t>
            </w:r>
          </w:p>
        </w:tc>
      </w:tr>
      <w:tr w:rsidR="004C6846" w:rsidRPr="004C6846" w14:paraId="5B845D2E" w14:textId="77777777" w:rsidTr="00B80C21">
        <w:trPr>
          <w:trHeight w:val="300"/>
        </w:trPr>
        <w:tc>
          <w:tcPr>
            <w:tcW w:w="893" w:type="dxa"/>
            <w:vAlign w:val="center"/>
          </w:tcPr>
          <w:p w14:paraId="6644C9D3" w14:textId="77777777" w:rsidR="00E911CD" w:rsidRPr="004C6846" w:rsidRDefault="00E911CD" w:rsidP="00B80C21">
            <w:pPr>
              <w:contextualSpacing/>
              <w:rPr>
                <w:rFonts w:ascii="Verdana" w:hAnsi="Verdana" w:cs="Arial"/>
                <w:sz w:val="16"/>
                <w:szCs w:val="16"/>
                <w:lang w:val="es-ES" w:eastAsia="es-ES"/>
              </w:rPr>
            </w:pPr>
            <w:r w:rsidRPr="004C6846">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7FF8581" w14:textId="77777777" w:rsidR="00E911CD" w:rsidRPr="004C6846" w:rsidRDefault="00E911CD" w:rsidP="00B80C21">
            <w:pPr>
              <w:contextualSpacing/>
              <w:rPr>
                <w:rFonts w:ascii="Verdana" w:eastAsia="Calibri" w:hAnsi="Verdana" w:cs="Arial"/>
                <w:sz w:val="16"/>
                <w:szCs w:val="16"/>
                <w:lang w:val="pt-BR" w:eastAsia="es-ES"/>
              </w:rPr>
            </w:pPr>
            <w:r w:rsidRPr="004C6846">
              <w:rPr>
                <w:rFonts w:ascii="Verdana" w:eastAsia="Calibri" w:hAnsi="Verdana" w:cs="Arial"/>
                <w:sz w:val="16"/>
                <w:szCs w:val="16"/>
                <w:lang w:val="pt-BR" w:eastAsia="es-ES"/>
              </w:rPr>
              <w:t xml:space="preserve">Carolina Quintero </w:t>
            </w:r>
            <w:proofErr w:type="spellStart"/>
            <w:r w:rsidRPr="004C6846">
              <w:rPr>
                <w:rFonts w:ascii="Verdana" w:eastAsia="Calibri" w:hAnsi="Verdana" w:cs="Arial"/>
                <w:sz w:val="16"/>
                <w:szCs w:val="16"/>
                <w:lang w:val="pt-BR" w:eastAsia="es-ES"/>
              </w:rPr>
              <w:t>Gacharná</w:t>
            </w:r>
            <w:proofErr w:type="spellEnd"/>
          </w:p>
          <w:p w14:paraId="20B1AE9C" w14:textId="77777777" w:rsidR="00E911CD" w:rsidRPr="004C6846" w:rsidRDefault="00E911CD" w:rsidP="00B80C21">
            <w:pPr>
              <w:contextualSpacing/>
              <w:rPr>
                <w:rFonts w:ascii="Verdana" w:eastAsia="Calibri" w:hAnsi="Verdana" w:cs="Arial"/>
                <w:sz w:val="16"/>
                <w:szCs w:val="16"/>
                <w:lang w:val="pt-BR" w:eastAsia="es-ES"/>
              </w:rPr>
            </w:pPr>
            <w:r w:rsidRPr="004C6846">
              <w:rPr>
                <w:rFonts w:ascii="Verdana" w:eastAsia="Calibri" w:hAnsi="Verdana" w:cs="Arial"/>
                <w:sz w:val="16"/>
                <w:szCs w:val="16"/>
                <w:lang w:eastAsia="es-ES"/>
              </w:rPr>
              <w:t>Subdirectora</w:t>
            </w:r>
            <w:r w:rsidRPr="004C6846">
              <w:rPr>
                <w:rFonts w:ascii="Verdana" w:eastAsia="Calibri" w:hAnsi="Verdana" w:cs="Arial"/>
                <w:sz w:val="16"/>
                <w:szCs w:val="16"/>
                <w:lang w:val="pt-BR" w:eastAsia="es-ES"/>
              </w:rPr>
              <w:t xml:space="preserve"> de Gestión </w:t>
            </w:r>
            <w:proofErr w:type="spellStart"/>
            <w:r w:rsidRPr="004C6846">
              <w:rPr>
                <w:rFonts w:ascii="Verdana" w:eastAsia="Calibri" w:hAnsi="Verdana" w:cs="Arial"/>
                <w:sz w:val="16"/>
                <w:szCs w:val="16"/>
                <w:lang w:val="pt-BR" w:eastAsia="es-ES"/>
              </w:rPr>
              <w:t>Contractual</w:t>
            </w:r>
            <w:proofErr w:type="spellEnd"/>
            <w:r w:rsidRPr="004C6846">
              <w:rPr>
                <w:rFonts w:ascii="Verdana" w:eastAsia="Calibri" w:hAnsi="Verdana" w:cs="Arial"/>
                <w:sz w:val="16"/>
                <w:szCs w:val="16"/>
                <w:lang w:val="pt-BR" w:eastAsia="es-ES"/>
              </w:rPr>
              <w:t xml:space="preserve"> ANCP – CCE</w:t>
            </w:r>
          </w:p>
        </w:tc>
      </w:tr>
    </w:tbl>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4ACC" w14:textId="77777777" w:rsidR="005443B5" w:rsidRDefault="005443B5" w:rsidP="004A1847">
      <w:pPr>
        <w:spacing w:after="0" w:line="240" w:lineRule="auto"/>
      </w:pPr>
      <w:r>
        <w:separator/>
      </w:r>
    </w:p>
  </w:endnote>
  <w:endnote w:type="continuationSeparator" w:id="0">
    <w:p w14:paraId="7E36211F" w14:textId="77777777" w:rsidR="005443B5" w:rsidRDefault="005443B5" w:rsidP="004A1847">
      <w:pPr>
        <w:spacing w:after="0" w:line="240" w:lineRule="auto"/>
      </w:pPr>
      <w:r>
        <w:continuationSeparator/>
      </w:r>
    </w:p>
  </w:endnote>
  <w:endnote w:type="continuationNotice" w:id="1">
    <w:p w14:paraId="3C138A4A" w14:textId="77777777" w:rsidR="005443B5" w:rsidRDefault="00544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E047" w14:textId="77777777" w:rsidR="005443B5" w:rsidRDefault="005443B5" w:rsidP="004A1847">
      <w:pPr>
        <w:spacing w:after="0" w:line="240" w:lineRule="auto"/>
      </w:pPr>
      <w:r>
        <w:separator/>
      </w:r>
    </w:p>
  </w:footnote>
  <w:footnote w:type="continuationSeparator" w:id="0">
    <w:p w14:paraId="080D6AD7" w14:textId="77777777" w:rsidR="005443B5" w:rsidRDefault="005443B5" w:rsidP="004A1847">
      <w:pPr>
        <w:spacing w:after="0" w:line="240" w:lineRule="auto"/>
      </w:pPr>
      <w:r>
        <w:continuationSeparator/>
      </w:r>
    </w:p>
  </w:footnote>
  <w:footnote w:type="continuationNotice" w:id="1">
    <w:p w14:paraId="7388912A" w14:textId="77777777" w:rsidR="005443B5" w:rsidRDefault="005443B5">
      <w:pPr>
        <w:spacing w:after="0" w:line="240" w:lineRule="auto"/>
      </w:pPr>
    </w:p>
  </w:footnote>
  <w:footnote w:id="2">
    <w:p w14:paraId="5B35D70C" w14:textId="42155A7A" w:rsidR="004A1686" w:rsidRPr="004709E3" w:rsidRDefault="004A1686" w:rsidP="00FB62DF">
      <w:pPr>
        <w:pStyle w:val="FootnoteText"/>
        <w:ind w:firstLine="708"/>
        <w:jc w:val="both"/>
        <w:rPr>
          <w:rFonts w:ascii="Verdana" w:hAnsi="Verdana" w:cs="Arial"/>
          <w:color w:val="000000" w:themeColor="text1"/>
          <w:sz w:val="18"/>
          <w:szCs w:val="18"/>
        </w:rPr>
      </w:pPr>
      <w:r w:rsidRPr="004709E3">
        <w:rPr>
          <w:rStyle w:val="FootnoteReference"/>
          <w:rFonts w:ascii="Verdana" w:hAnsi="Verdana" w:cs="Arial"/>
          <w:color w:val="000000" w:themeColor="text1"/>
          <w:sz w:val="18"/>
          <w:szCs w:val="18"/>
        </w:rPr>
        <w:footnoteRef/>
      </w:r>
      <w:r w:rsidRPr="004709E3">
        <w:rPr>
          <w:rStyle w:val="FootnoteReference"/>
          <w:rFonts w:ascii="Verdana" w:hAnsi="Verdana" w:cs="Arial"/>
          <w:color w:val="000000" w:themeColor="text1"/>
          <w:sz w:val="18"/>
          <w:szCs w:val="18"/>
        </w:rPr>
        <w:t xml:space="preserve"> </w:t>
      </w:r>
      <w:r w:rsidRPr="004709E3">
        <w:rPr>
          <w:rFonts w:ascii="Verdana" w:hAnsi="Verdana" w:cs="Arial"/>
          <w:color w:val="000000" w:themeColor="text1"/>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707DEB23" w14:textId="77777777" w:rsidR="00412523" w:rsidRPr="004709E3" w:rsidRDefault="00412523" w:rsidP="00FB62DF">
      <w:pPr>
        <w:pStyle w:val="FootnoteText"/>
        <w:ind w:firstLine="708"/>
        <w:jc w:val="both"/>
        <w:rPr>
          <w:rFonts w:ascii="Verdana" w:hAnsi="Verdana" w:cs="Arial"/>
          <w:color w:val="000000" w:themeColor="text1"/>
          <w:sz w:val="18"/>
          <w:szCs w:val="18"/>
        </w:rPr>
      </w:pPr>
    </w:p>
  </w:footnote>
  <w:footnote w:id="3">
    <w:p w14:paraId="363F7897" w14:textId="77777777" w:rsidR="00AD0315" w:rsidRPr="004709E3" w:rsidRDefault="00AD0315" w:rsidP="00AD0315">
      <w:pPr>
        <w:pStyle w:val="FootnoteText"/>
        <w:ind w:firstLine="709"/>
        <w:jc w:val="both"/>
        <w:rPr>
          <w:rFonts w:ascii="Verdana" w:hAnsi="Verdana" w:cs="Arial"/>
          <w:color w:val="000000" w:themeColor="text1"/>
          <w:sz w:val="18"/>
          <w:szCs w:val="18"/>
        </w:rPr>
      </w:pPr>
      <w:r w:rsidRPr="004709E3">
        <w:rPr>
          <w:rStyle w:val="FootnoteReference"/>
          <w:rFonts w:ascii="Verdana" w:hAnsi="Verdana" w:cs="Arial"/>
          <w:sz w:val="18"/>
          <w:szCs w:val="18"/>
        </w:rPr>
        <w:footnoteRef/>
      </w:r>
      <w:r w:rsidRPr="004709E3">
        <w:rPr>
          <w:rFonts w:ascii="Verdana" w:hAnsi="Verdana" w:cs="Arial"/>
          <w:sz w:val="18"/>
          <w:szCs w:val="18"/>
        </w:rPr>
        <w:t xml:space="preserve"> </w:t>
      </w:r>
      <w:r w:rsidRPr="004709E3">
        <w:rPr>
          <w:rFonts w:ascii="Verdana" w:hAnsi="Verdana" w:cs="Arial"/>
          <w:color w:val="000000" w:themeColor="text1"/>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33C48607" w14:textId="77777777" w:rsidR="00CB7913" w:rsidRPr="004709E3" w:rsidRDefault="00CB7913" w:rsidP="00AD0315">
      <w:pPr>
        <w:pStyle w:val="FootnoteText"/>
        <w:ind w:firstLine="709"/>
        <w:jc w:val="both"/>
        <w:rPr>
          <w:rFonts w:ascii="Verdana" w:hAnsi="Verdana" w:cs="Arial"/>
          <w:color w:val="000000" w:themeColor="text1"/>
          <w:sz w:val="18"/>
          <w:szCs w:val="18"/>
        </w:rPr>
      </w:pPr>
    </w:p>
    <w:p w14:paraId="3C01FB18" w14:textId="4280DBDF" w:rsidR="00AD0315" w:rsidRPr="004709E3" w:rsidRDefault="00AD0315" w:rsidP="00AD0315">
      <w:pPr>
        <w:pStyle w:val="FootnoteText"/>
        <w:ind w:firstLine="709"/>
        <w:jc w:val="both"/>
        <w:rPr>
          <w:rFonts w:ascii="Verdana" w:hAnsi="Verdana" w:cs="Arial"/>
          <w:color w:val="000000" w:themeColor="text1"/>
          <w:sz w:val="18"/>
          <w:szCs w:val="18"/>
        </w:rPr>
      </w:pPr>
      <w:r w:rsidRPr="004709E3">
        <w:rPr>
          <w:rFonts w:ascii="Verdana" w:hAnsi="Verdana" w:cs="Arial"/>
          <w:color w:val="000000" w:themeColor="text1"/>
          <w:sz w:val="18"/>
          <w:szCs w:val="18"/>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w:t>
      </w:r>
    </w:p>
    <w:p w14:paraId="330A9113" w14:textId="77777777" w:rsidR="00AD0315" w:rsidRPr="004709E3" w:rsidRDefault="00AD0315" w:rsidP="00AD0315">
      <w:pPr>
        <w:pStyle w:val="FootnoteText"/>
        <w:ind w:firstLine="709"/>
        <w:jc w:val="both"/>
        <w:rPr>
          <w:rFonts w:ascii="Verdana" w:hAnsi="Verdana" w:cs="Arial"/>
          <w:sz w:val="18"/>
          <w:szCs w:val="18"/>
        </w:rPr>
      </w:pPr>
    </w:p>
  </w:footnote>
  <w:footnote w:id="4">
    <w:p w14:paraId="2B2AB80F" w14:textId="5D3D9F50" w:rsidR="00D7707A" w:rsidRPr="004709E3" w:rsidRDefault="00D7707A" w:rsidP="00FB62DF">
      <w:pPr>
        <w:pStyle w:val="FootnoteText"/>
        <w:ind w:firstLine="709"/>
        <w:jc w:val="both"/>
        <w:rPr>
          <w:rFonts w:ascii="Verdana" w:hAnsi="Verdana" w:cs="Arial"/>
          <w:color w:val="000000" w:themeColor="text1"/>
          <w:sz w:val="18"/>
          <w:szCs w:val="18"/>
        </w:rPr>
      </w:pPr>
      <w:r w:rsidRPr="004709E3">
        <w:rPr>
          <w:rStyle w:val="FootnoteReference"/>
          <w:rFonts w:ascii="Verdana" w:hAnsi="Verdana" w:cs="Arial"/>
          <w:color w:val="000000" w:themeColor="text1"/>
          <w:sz w:val="18"/>
          <w:szCs w:val="18"/>
        </w:rPr>
        <w:footnoteRef/>
      </w:r>
      <w:r w:rsidRPr="004709E3">
        <w:rPr>
          <w:rFonts w:ascii="Verdana" w:hAnsi="Verdana" w:cs="Arial"/>
          <w:color w:val="000000" w:themeColor="text1"/>
          <w:sz w:val="18"/>
          <w:szCs w:val="18"/>
        </w:rPr>
        <w:t xml:space="preserve"> Consejo de Estado. Sala de Consulta y Servicio Civil. Concepto del 20 de mayo de 2010. Expediente: 1992. Consejero Ponente: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pt;height:11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79719B"/>
    <w:multiLevelType w:val="hybridMultilevel"/>
    <w:tmpl w:val="39246A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36122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237"/>
    <w:rsid w:val="00045A9E"/>
    <w:rsid w:val="00045FA6"/>
    <w:rsid w:val="00057437"/>
    <w:rsid w:val="00061B2A"/>
    <w:rsid w:val="00070999"/>
    <w:rsid w:val="00072E3F"/>
    <w:rsid w:val="00075FC4"/>
    <w:rsid w:val="00082362"/>
    <w:rsid w:val="00092B4E"/>
    <w:rsid w:val="000A15BE"/>
    <w:rsid w:val="000A36FB"/>
    <w:rsid w:val="000A683E"/>
    <w:rsid w:val="000B19B9"/>
    <w:rsid w:val="000B41FC"/>
    <w:rsid w:val="000D0334"/>
    <w:rsid w:val="000D5A22"/>
    <w:rsid w:val="000D6282"/>
    <w:rsid w:val="000F26CB"/>
    <w:rsid w:val="000F6486"/>
    <w:rsid w:val="001200C8"/>
    <w:rsid w:val="00125105"/>
    <w:rsid w:val="00127233"/>
    <w:rsid w:val="00140BDD"/>
    <w:rsid w:val="00146FA2"/>
    <w:rsid w:val="001566DF"/>
    <w:rsid w:val="00165F87"/>
    <w:rsid w:val="0016781E"/>
    <w:rsid w:val="001745DF"/>
    <w:rsid w:val="00180953"/>
    <w:rsid w:val="00190485"/>
    <w:rsid w:val="001B3626"/>
    <w:rsid w:val="001C36E7"/>
    <w:rsid w:val="001E4177"/>
    <w:rsid w:val="001F3AA2"/>
    <w:rsid w:val="001F7DC6"/>
    <w:rsid w:val="00241511"/>
    <w:rsid w:val="002421BB"/>
    <w:rsid w:val="00247681"/>
    <w:rsid w:val="002510ED"/>
    <w:rsid w:val="0025796E"/>
    <w:rsid w:val="002707A2"/>
    <w:rsid w:val="00271032"/>
    <w:rsid w:val="00294BD4"/>
    <w:rsid w:val="002951A0"/>
    <w:rsid w:val="002962BC"/>
    <w:rsid w:val="002976F5"/>
    <w:rsid w:val="00297B0F"/>
    <w:rsid w:val="002A002F"/>
    <w:rsid w:val="002A093D"/>
    <w:rsid w:val="002A0ADF"/>
    <w:rsid w:val="002A0DD0"/>
    <w:rsid w:val="002A18F9"/>
    <w:rsid w:val="002A49AC"/>
    <w:rsid w:val="002A64FD"/>
    <w:rsid w:val="002A6A24"/>
    <w:rsid w:val="002C5FA0"/>
    <w:rsid w:val="002C7A84"/>
    <w:rsid w:val="002D20D2"/>
    <w:rsid w:val="002D2B1F"/>
    <w:rsid w:val="002D500D"/>
    <w:rsid w:val="002E09BD"/>
    <w:rsid w:val="002E4FD9"/>
    <w:rsid w:val="002E683A"/>
    <w:rsid w:val="002F09D4"/>
    <w:rsid w:val="002F1113"/>
    <w:rsid w:val="0030493B"/>
    <w:rsid w:val="00316ACF"/>
    <w:rsid w:val="00322A85"/>
    <w:rsid w:val="00324168"/>
    <w:rsid w:val="00324677"/>
    <w:rsid w:val="00334EF5"/>
    <w:rsid w:val="003448F4"/>
    <w:rsid w:val="00347997"/>
    <w:rsid w:val="00374F5E"/>
    <w:rsid w:val="00377E3E"/>
    <w:rsid w:val="00383BE8"/>
    <w:rsid w:val="003919F1"/>
    <w:rsid w:val="00393F12"/>
    <w:rsid w:val="003A02D8"/>
    <w:rsid w:val="003A26D1"/>
    <w:rsid w:val="003A779E"/>
    <w:rsid w:val="003B08D8"/>
    <w:rsid w:val="003B7611"/>
    <w:rsid w:val="003C660A"/>
    <w:rsid w:val="003D0F4D"/>
    <w:rsid w:val="003D5B0D"/>
    <w:rsid w:val="003E0499"/>
    <w:rsid w:val="003E2818"/>
    <w:rsid w:val="003E3109"/>
    <w:rsid w:val="003F3941"/>
    <w:rsid w:val="00404D36"/>
    <w:rsid w:val="00406575"/>
    <w:rsid w:val="00412523"/>
    <w:rsid w:val="004137D0"/>
    <w:rsid w:val="0042722E"/>
    <w:rsid w:val="0044528D"/>
    <w:rsid w:val="004709E3"/>
    <w:rsid w:val="00493414"/>
    <w:rsid w:val="00495292"/>
    <w:rsid w:val="0049601C"/>
    <w:rsid w:val="004A1686"/>
    <w:rsid w:val="004A1847"/>
    <w:rsid w:val="004A305D"/>
    <w:rsid w:val="004C6846"/>
    <w:rsid w:val="004D4037"/>
    <w:rsid w:val="004D6B0B"/>
    <w:rsid w:val="004E1BC8"/>
    <w:rsid w:val="004E27ED"/>
    <w:rsid w:val="004E5B9E"/>
    <w:rsid w:val="004E6838"/>
    <w:rsid w:val="004F1258"/>
    <w:rsid w:val="004F21C4"/>
    <w:rsid w:val="004F685F"/>
    <w:rsid w:val="005031C7"/>
    <w:rsid w:val="005074EF"/>
    <w:rsid w:val="00512813"/>
    <w:rsid w:val="005131E0"/>
    <w:rsid w:val="00535CBA"/>
    <w:rsid w:val="005443B5"/>
    <w:rsid w:val="00555B19"/>
    <w:rsid w:val="005566E8"/>
    <w:rsid w:val="00574867"/>
    <w:rsid w:val="00577110"/>
    <w:rsid w:val="00591460"/>
    <w:rsid w:val="00592628"/>
    <w:rsid w:val="00597B83"/>
    <w:rsid w:val="005A1AAB"/>
    <w:rsid w:val="005B4877"/>
    <w:rsid w:val="005C3777"/>
    <w:rsid w:val="005C5CDC"/>
    <w:rsid w:val="005C7FD1"/>
    <w:rsid w:val="005D476C"/>
    <w:rsid w:val="005D6A2B"/>
    <w:rsid w:val="005E16FC"/>
    <w:rsid w:val="00600804"/>
    <w:rsid w:val="0060259E"/>
    <w:rsid w:val="00607377"/>
    <w:rsid w:val="00610812"/>
    <w:rsid w:val="006207DD"/>
    <w:rsid w:val="006219F8"/>
    <w:rsid w:val="00650FF7"/>
    <w:rsid w:val="00665D70"/>
    <w:rsid w:val="00671DAC"/>
    <w:rsid w:val="00676F47"/>
    <w:rsid w:val="006900D9"/>
    <w:rsid w:val="006A3238"/>
    <w:rsid w:val="006A4A90"/>
    <w:rsid w:val="006C6A70"/>
    <w:rsid w:val="006D12F8"/>
    <w:rsid w:val="006F7720"/>
    <w:rsid w:val="0070192D"/>
    <w:rsid w:val="00704C83"/>
    <w:rsid w:val="00706C16"/>
    <w:rsid w:val="00756841"/>
    <w:rsid w:val="007577B0"/>
    <w:rsid w:val="00757D1C"/>
    <w:rsid w:val="007649AB"/>
    <w:rsid w:val="00771D0C"/>
    <w:rsid w:val="00772344"/>
    <w:rsid w:val="007833AC"/>
    <w:rsid w:val="00783CC6"/>
    <w:rsid w:val="00786ECD"/>
    <w:rsid w:val="007930F6"/>
    <w:rsid w:val="007B268C"/>
    <w:rsid w:val="007B7171"/>
    <w:rsid w:val="007C0C0F"/>
    <w:rsid w:val="007C3DC2"/>
    <w:rsid w:val="007D207C"/>
    <w:rsid w:val="007D41DD"/>
    <w:rsid w:val="007E002C"/>
    <w:rsid w:val="007E5497"/>
    <w:rsid w:val="007F3A5D"/>
    <w:rsid w:val="00806F5F"/>
    <w:rsid w:val="00813450"/>
    <w:rsid w:val="00817D92"/>
    <w:rsid w:val="00820278"/>
    <w:rsid w:val="00824184"/>
    <w:rsid w:val="00835383"/>
    <w:rsid w:val="00836329"/>
    <w:rsid w:val="008404D8"/>
    <w:rsid w:val="008522FF"/>
    <w:rsid w:val="008560BD"/>
    <w:rsid w:val="00863C95"/>
    <w:rsid w:val="0087159C"/>
    <w:rsid w:val="00874244"/>
    <w:rsid w:val="008843B6"/>
    <w:rsid w:val="00885B7F"/>
    <w:rsid w:val="008865C1"/>
    <w:rsid w:val="00891928"/>
    <w:rsid w:val="008A446D"/>
    <w:rsid w:val="008A7EE1"/>
    <w:rsid w:val="008B1BE0"/>
    <w:rsid w:val="008C72BD"/>
    <w:rsid w:val="008D0857"/>
    <w:rsid w:val="008D180B"/>
    <w:rsid w:val="008E2238"/>
    <w:rsid w:val="008F0EA7"/>
    <w:rsid w:val="008F1F04"/>
    <w:rsid w:val="009120E8"/>
    <w:rsid w:val="009225CB"/>
    <w:rsid w:val="00923EEF"/>
    <w:rsid w:val="00927FC0"/>
    <w:rsid w:val="009375E8"/>
    <w:rsid w:val="009419F9"/>
    <w:rsid w:val="00945700"/>
    <w:rsid w:val="009512FB"/>
    <w:rsid w:val="0095685E"/>
    <w:rsid w:val="00961B09"/>
    <w:rsid w:val="00965334"/>
    <w:rsid w:val="0097093E"/>
    <w:rsid w:val="00986A93"/>
    <w:rsid w:val="00997D31"/>
    <w:rsid w:val="009A0DFA"/>
    <w:rsid w:val="009B012D"/>
    <w:rsid w:val="009B2D26"/>
    <w:rsid w:val="009B4CC4"/>
    <w:rsid w:val="009C0289"/>
    <w:rsid w:val="009C71FA"/>
    <w:rsid w:val="009C72E7"/>
    <w:rsid w:val="009D3058"/>
    <w:rsid w:val="009D54FC"/>
    <w:rsid w:val="009E6D22"/>
    <w:rsid w:val="009F3A13"/>
    <w:rsid w:val="009F72AE"/>
    <w:rsid w:val="00A122D3"/>
    <w:rsid w:val="00A143D5"/>
    <w:rsid w:val="00A17215"/>
    <w:rsid w:val="00A17F13"/>
    <w:rsid w:val="00A20739"/>
    <w:rsid w:val="00A2411F"/>
    <w:rsid w:val="00A26445"/>
    <w:rsid w:val="00A33C78"/>
    <w:rsid w:val="00A4777F"/>
    <w:rsid w:val="00A741CB"/>
    <w:rsid w:val="00A94048"/>
    <w:rsid w:val="00A97D3F"/>
    <w:rsid w:val="00AB0ADB"/>
    <w:rsid w:val="00AC04CA"/>
    <w:rsid w:val="00AC1F4B"/>
    <w:rsid w:val="00AC40AF"/>
    <w:rsid w:val="00AD0315"/>
    <w:rsid w:val="00AE59BD"/>
    <w:rsid w:val="00AE61AE"/>
    <w:rsid w:val="00AF317E"/>
    <w:rsid w:val="00AF3CF6"/>
    <w:rsid w:val="00B01B1A"/>
    <w:rsid w:val="00B04488"/>
    <w:rsid w:val="00B11946"/>
    <w:rsid w:val="00B313B1"/>
    <w:rsid w:val="00B44B75"/>
    <w:rsid w:val="00B46F28"/>
    <w:rsid w:val="00B56B88"/>
    <w:rsid w:val="00B72CD3"/>
    <w:rsid w:val="00B72FFF"/>
    <w:rsid w:val="00B73130"/>
    <w:rsid w:val="00B83411"/>
    <w:rsid w:val="00BA21E1"/>
    <w:rsid w:val="00BA268F"/>
    <w:rsid w:val="00BA4EAF"/>
    <w:rsid w:val="00BC2B5D"/>
    <w:rsid w:val="00BC3D36"/>
    <w:rsid w:val="00BD7CEB"/>
    <w:rsid w:val="00BD7F72"/>
    <w:rsid w:val="00BF3051"/>
    <w:rsid w:val="00BF4281"/>
    <w:rsid w:val="00BF7C3B"/>
    <w:rsid w:val="00C04FB3"/>
    <w:rsid w:val="00C103B8"/>
    <w:rsid w:val="00C26BED"/>
    <w:rsid w:val="00C330EB"/>
    <w:rsid w:val="00C33747"/>
    <w:rsid w:val="00C41159"/>
    <w:rsid w:val="00C4639F"/>
    <w:rsid w:val="00C50EA5"/>
    <w:rsid w:val="00C5217B"/>
    <w:rsid w:val="00C754BE"/>
    <w:rsid w:val="00C76B1C"/>
    <w:rsid w:val="00C903A3"/>
    <w:rsid w:val="00CA5059"/>
    <w:rsid w:val="00CB6357"/>
    <w:rsid w:val="00CB7913"/>
    <w:rsid w:val="00CC1B26"/>
    <w:rsid w:val="00CC7539"/>
    <w:rsid w:val="00CD37D6"/>
    <w:rsid w:val="00CD463D"/>
    <w:rsid w:val="00CE2045"/>
    <w:rsid w:val="00CF3650"/>
    <w:rsid w:val="00D018D7"/>
    <w:rsid w:val="00D25723"/>
    <w:rsid w:val="00D423A2"/>
    <w:rsid w:val="00D520D8"/>
    <w:rsid w:val="00D528B5"/>
    <w:rsid w:val="00D57FE6"/>
    <w:rsid w:val="00D61279"/>
    <w:rsid w:val="00D63156"/>
    <w:rsid w:val="00D63AC2"/>
    <w:rsid w:val="00D708A7"/>
    <w:rsid w:val="00D7383B"/>
    <w:rsid w:val="00D7707A"/>
    <w:rsid w:val="00D80792"/>
    <w:rsid w:val="00D93FAD"/>
    <w:rsid w:val="00D96D98"/>
    <w:rsid w:val="00DA1AB4"/>
    <w:rsid w:val="00DA2186"/>
    <w:rsid w:val="00DA231B"/>
    <w:rsid w:val="00DA23A0"/>
    <w:rsid w:val="00DC39FC"/>
    <w:rsid w:val="00DC3B26"/>
    <w:rsid w:val="00DF5254"/>
    <w:rsid w:val="00DF7727"/>
    <w:rsid w:val="00E10C65"/>
    <w:rsid w:val="00E16408"/>
    <w:rsid w:val="00E20894"/>
    <w:rsid w:val="00E23032"/>
    <w:rsid w:val="00E245AB"/>
    <w:rsid w:val="00E2764C"/>
    <w:rsid w:val="00E27F2E"/>
    <w:rsid w:val="00E413EA"/>
    <w:rsid w:val="00E4185C"/>
    <w:rsid w:val="00E50AFE"/>
    <w:rsid w:val="00E52B27"/>
    <w:rsid w:val="00E55244"/>
    <w:rsid w:val="00E56D19"/>
    <w:rsid w:val="00E70D6B"/>
    <w:rsid w:val="00E75C92"/>
    <w:rsid w:val="00E771DC"/>
    <w:rsid w:val="00E828AC"/>
    <w:rsid w:val="00E82D35"/>
    <w:rsid w:val="00E8772A"/>
    <w:rsid w:val="00E90F6B"/>
    <w:rsid w:val="00E911CD"/>
    <w:rsid w:val="00E92C27"/>
    <w:rsid w:val="00E97E11"/>
    <w:rsid w:val="00EA0E3D"/>
    <w:rsid w:val="00EA195F"/>
    <w:rsid w:val="00EA22B2"/>
    <w:rsid w:val="00EC05D9"/>
    <w:rsid w:val="00EC38A7"/>
    <w:rsid w:val="00EC7BD9"/>
    <w:rsid w:val="00EE1AA8"/>
    <w:rsid w:val="00F14C93"/>
    <w:rsid w:val="00F165CC"/>
    <w:rsid w:val="00F24529"/>
    <w:rsid w:val="00F25722"/>
    <w:rsid w:val="00F27147"/>
    <w:rsid w:val="00F31EDC"/>
    <w:rsid w:val="00F33CB0"/>
    <w:rsid w:val="00F43863"/>
    <w:rsid w:val="00F462B3"/>
    <w:rsid w:val="00F5664F"/>
    <w:rsid w:val="00F62E2B"/>
    <w:rsid w:val="00F6500A"/>
    <w:rsid w:val="00F666C4"/>
    <w:rsid w:val="00F747CF"/>
    <w:rsid w:val="00F75648"/>
    <w:rsid w:val="00F76AFC"/>
    <w:rsid w:val="00F90430"/>
    <w:rsid w:val="00FA47C0"/>
    <w:rsid w:val="00FB5DD1"/>
    <w:rsid w:val="00FB62DF"/>
    <w:rsid w:val="00FC2B5D"/>
    <w:rsid w:val="00FC4661"/>
    <w:rsid w:val="00FC7B5A"/>
    <w:rsid w:val="00FD4294"/>
    <w:rsid w:val="00FD7567"/>
    <w:rsid w:val="00FE37BD"/>
    <w:rsid w:val="00FF1449"/>
    <w:rsid w:val="00FF602A"/>
    <w:rsid w:val="3BEDD97F"/>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BA268F"/>
    <w:rPr>
      <w:rFonts w:ascii="Geomanist Light" w:hAnsi="Geomanist Light"/>
      <w:lang w:val="es-ES"/>
    </w:rPr>
  </w:style>
  <w:style w:type="paragraph" w:customStyle="1" w:styleId="Appelnotedebasde">
    <w:name w:val="Appel note de bas de..."/>
    <w:basedOn w:val="Normal"/>
    <w:link w:val="FootnoteReference"/>
    <w:uiPriority w:val="99"/>
    <w:rsid w:val="00D7707A"/>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2437">
      <w:bodyDiv w:val="1"/>
      <w:marLeft w:val="0"/>
      <w:marRight w:val="0"/>
      <w:marTop w:val="0"/>
      <w:marBottom w:val="0"/>
      <w:divBdr>
        <w:top w:val="none" w:sz="0" w:space="0" w:color="auto"/>
        <w:left w:val="none" w:sz="0" w:space="0" w:color="auto"/>
        <w:bottom w:val="none" w:sz="0" w:space="0" w:color="auto"/>
        <w:right w:val="none" w:sz="0" w:space="0" w:color="auto"/>
      </w:divBdr>
    </w:div>
    <w:div w:id="48697735">
      <w:bodyDiv w:val="1"/>
      <w:marLeft w:val="0"/>
      <w:marRight w:val="0"/>
      <w:marTop w:val="0"/>
      <w:marBottom w:val="0"/>
      <w:divBdr>
        <w:top w:val="none" w:sz="0" w:space="0" w:color="auto"/>
        <w:left w:val="none" w:sz="0" w:space="0" w:color="auto"/>
        <w:bottom w:val="none" w:sz="0" w:space="0" w:color="auto"/>
        <w:right w:val="none" w:sz="0" w:space="0" w:color="auto"/>
      </w:divBdr>
    </w:div>
    <w:div w:id="174348790">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93164389">
      <w:bodyDiv w:val="1"/>
      <w:marLeft w:val="0"/>
      <w:marRight w:val="0"/>
      <w:marTop w:val="0"/>
      <w:marBottom w:val="0"/>
      <w:divBdr>
        <w:top w:val="none" w:sz="0" w:space="0" w:color="auto"/>
        <w:left w:val="none" w:sz="0" w:space="0" w:color="auto"/>
        <w:bottom w:val="none" w:sz="0" w:space="0" w:color="auto"/>
        <w:right w:val="none" w:sz="0" w:space="0" w:color="auto"/>
      </w:divBdr>
    </w:div>
    <w:div w:id="438186163">
      <w:bodyDiv w:val="1"/>
      <w:marLeft w:val="0"/>
      <w:marRight w:val="0"/>
      <w:marTop w:val="0"/>
      <w:marBottom w:val="0"/>
      <w:divBdr>
        <w:top w:val="none" w:sz="0" w:space="0" w:color="auto"/>
        <w:left w:val="none" w:sz="0" w:space="0" w:color="auto"/>
        <w:bottom w:val="none" w:sz="0" w:space="0" w:color="auto"/>
        <w:right w:val="none" w:sz="0" w:space="0" w:color="auto"/>
      </w:divBdr>
    </w:div>
    <w:div w:id="507793301">
      <w:bodyDiv w:val="1"/>
      <w:marLeft w:val="0"/>
      <w:marRight w:val="0"/>
      <w:marTop w:val="0"/>
      <w:marBottom w:val="0"/>
      <w:divBdr>
        <w:top w:val="none" w:sz="0" w:space="0" w:color="auto"/>
        <w:left w:val="none" w:sz="0" w:space="0" w:color="auto"/>
        <w:bottom w:val="none" w:sz="0" w:space="0" w:color="auto"/>
        <w:right w:val="none" w:sz="0" w:space="0" w:color="auto"/>
      </w:divBdr>
    </w:div>
    <w:div w:id="59351504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84403574">
      <w:bodyDiv w:val="1"/>
      <w:marLeft w:val="0"/>
      <w:marRight w:val="0"/>
      <w:marTop w:val="0"/>
      <w:marBottom w:val="0"/>
      <w:divBdr>
        <w:top w:val="none" w:sz="0" w:space="0" w:color="auto"/>
        <w:left w:val="none" w:sz="0" w:space="0" w:color="auto"/>
        <w:bottom w:val="none" w:sz="0" w:space="0" w:color="auto"/>
        <w:right w:val="none" w:sz="0" w:space="0" w:color="auto"/>
      </w:divBdr>
    </w:div>
    <w:div w:id="695691499">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3542943">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39855487">
      <w:bodyDiv w:val="1"/>
      <w:marLeft w:val="0"/>
      <w:marRight w:val="0"/>
      <w:marTop w:val="0"/>
      <w:marBottom w:val="0"/>
      <w:divBdr>
        <w:top w:val="none" w:sz="0" w:space="0" w:color="auto"/>
        <w:left w:val="none" w:sz="0" w:space="0" w:color="auto"/>
        <w:bottom w:val="none" w:sz="0" w:space="0" w:color="auto"/>
        <w:right w:val="none" w:sz="0" w:space="0" w:color="auto"/>
      </w:divBdr>
    </w:div>
    <w:div w:id="840315527">
      <w:bodyDiv w:val="1"/>
      <w:marLeft w:val="0"/>
      <w:marRight w:val="0"/>
      <w:marTop w:val="0"/>
      <w:marBottom w:val="0"/>
      <w:divBdr>
        <w:top w:val="none" w:sz="0" w:space="0" w:color="auto"/>
        <w:left w:val="none" w:sz="0" w:space="0" w:color="auto"/>
        <w:bottom w:val="none" w:sz="0" w:space="0" w:color="auto"/>
        <w:right w:val="none" w:sz="0" w:space="0" w:color="auto"/>
      </w:divBdr>
    </w:div>
    <w:div w:id="844171955">
      <w:bodyDiv w:val="1"/>
      <w:marLeft w:val="0"/>
      <w:marRight w:val="0"/>
      <w:marTop w:val="0"/>
      <w:marBottom w:val="0"/>
      <w:divBdr>
        <w:top w:val="none" w:sz="0" w:space="0" w:color="auto"/>
        <w:left w:val="none" w:sz="0" w:space="0" w:color="auto"/>
        <w:bottom w:val="none" w:sz="0" w:space="0" w:color="auto"/>
        <w:right w:val="none" w:sz="0" w:space="0" w:color="auto"/>
      </w:divBdr>
    </w:div>
    <w:div w:id="880366190">
      <w:bodyDiv w:val="1"/>
      <w:marLeft w:val="0"/>
      <w:marRight w:val="0"/>
      <w:marTop w:val="0"/>
      <w:marBottom w:val="0"/>
      <w:divBdr>
        <w:top w:val="none" w:sz="0" w:space="0" w:color="auto"/>
        <w:left w:val="none" w:sz="0" w:space="0" w:color="auto"/>
        <w:bottom w:val="none" w:sz="0" w:space="0" w:color="auto"/>
        <w:right w:val="none" w:sz="0" w:space="0" w:color="auto"/>
      </w:divBdr>
    </w:div>
    <w:div w:id="893084419">
      <w:bodyDiv w:val="1"/>
      <w:marLeft w:val="0"/>
      <w:marRight w:val="0"/>
      <w:marTop w:val="0"/>
      <w:marBottom w:val="0"/>
      <w:divBdr>
        <w:top w:val="none" w:sz="0" w:space="0" w:color="auto"/>
        <w:left w:val="none" w:sz="0" w:space="0" w:color="auto"/>
        <w:bottom w:val="none" w:sz="0" w:space="0" w:color="auto"/>
        <w:right w:val="none" w:sz="0" w:space="0" w:color="auto"/>
      </w:divBdr>
    </w:div>
    <w:div w:id="904993222">
      <w:bodyDiv w:val="1"/>
      <w:marLeft w:val="0"/>
      <w:marRight w:val="0"/>
      <w:marTop w:val="0"/>
      <w:marBottom w:val="0"/>
      <w:divBdr>
        <w:top w:val="none" w:sz="0" w:space="0" w:color="auto"/>
        <w:left w:val="none" w:sz="0" w:space="0" w:color="auto"/>
        <w:bottom w:val="none" w:sz="0" w:space="0" w:color="auto"/>
        <w:right w:val="none" w:sz="0" w:space="0" w:color="auto"/>
      </w:divBdr>
    </w:div>
    <w:div w:id="912079343">
      <w:bodyDiv w:val="1"/>
      <w:marLeft w:val="0"/>
      <w:marRight w:val="0"/>
      <w:marTop w:val="0"/>
      <w:marBottom w:val="0"/>
      <w:divBdr>
        <w:top w:val="none" w:sz="0" w:space="0" w:color="auto"/>
        <w:left w:val="none" w:sz="0" w:space="0" w:color="auto"/>
        <w:bottom w:val="none" w:sz="0" w:space="0" w:color="auto"/>
        <w:right w:val="none" w:sz="0" w:space="0" w:color="auto"/>
      </w:divBdr>
    </w:div>
    <w:div w:id="942222379">
      <w:bodyDiv w:val="1"/>
      <w:marLeft w:val="0"/>
      <w:marRight w:val="0"/>
      <w:marTop w:val="0"/>
      <w:marBottom w:val="0"/>
      <w:divBdr>
        <w:top w:val="none" w:sz="0" w:space="0" w:color="auto"/>
        <w:left w:val="none" w:sz="0" w:space="0" w:color="auto"/>
        <w:bottom w:val="none" w:sz="0" w:space="0" w:color="auto"/>
        <w:right w:val="none" w:sz="0" w:space="0" w:color="auto"/>
      </w:divBdr>
    </w:div>
    <w:div w:id="1016737476">
      <w:bodyDiv w:val="1"/>
      <w:marLeft w:val="0"/>
      <w:marRight w:val="0"/>
      <w:marTop w:val="0"/>
      <w:marBottom w:val="0"/>
      <w:divBdr>
        <w:top w:val="none" w:sz="0" w:space="0" w:color="auto"/>
        <w:left w:val="none" w:sz="0" w:space="0" w:color="auto"/>
        <w:bottom w:val="none" w:sz="0" w:space="0" w:color="auto"/>
        <w:right w:val="none" w:sz="0" w:space="0" w:color="auto"/>
      </w:divBdr>
    </w:div>
    <w:div w:id="1043940586">
      <w:bodyDiv w:val="1"/>
      <w:marLeft w:val="0"/>
      <w:marRight w:val="0"/>
      <w:marTop w:val="0"/>
      <w:marBottom w:val="0"/>
      <w:divBdr>
        <w:top w:val="none" w:sz="0" w:space="0" w:color="auto"/>
        <w:left w:val="none" w:sz="0" w:space="0" w:color="auto"/>
        <w:bottom w:val="none" w:sz="0" w:space="0" w:color="auto"/>
        <w:right w:val="none" w:sz="0" w:space="0" w:color="auto"/>
      </w:divBdr>
    </w:div>
    <w:div w:id="1119448988">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69515389">
      <w:bodyDiv w:val="1"/>
      <w:marLeft w:val="0"/>
      <w:marRight w:val="0"/>
      <w:marTop w:val="0"/>
      <w:marBottom w:val="0"/>
      <w:divBdr>
        <w:top w:val="none" w:sz="0" w:space="0" w:color="auto"/>
        <w:left w:val="none" w:sz="0" w:space="0" w:color="auto"/>
        <w:bottom w:val="none" w:sz="0" w:space="0" w:color="auto"/>
        <w:right w:val="none" w:sz="0" w:space="0" w:color="auto"/>
      </w:divBdr>
    </w:div>
    <w:div w:id="1171676716">
      <w:bodyDiv w:val="1"/>
      <w:marLeft w:val="0"/>
      <w:marRight w:val="0"/>
      <w:marTop w:val="0"/>
      <w:marBottom w:val="0"/>
      <w:divBdr>
        <w:top w:val="none" w:sz="0" w:space="0" w:color="auto"/>
        <w:left w:val="none" w:sz="0" w:space="0" w:color="auto"/>
        <w:bottom w:val="none" w:sz="0" w:space="0" w:color="auto"/>
        <w:right w:val="none" w:sz="0" w:space="0" w:color="auto"/>
      </w:divBdr>
    </w:div>
    <w:div w:id="1217400004">
      <w:bodyDiv w:val="1"/>
      <w:marLeft w:val="0"/>
      <w:marRight w:val="0"/>
      <w:marTop w:val="0"/>
      <w:marBottom w:val="0"/>
      <w:divBdr>
        <w:top w:val="none" w:sz="0" w:space="0" w:color="auto"/>
        <w:left w:val="none" w:sz="0" w:space="0" w:color="auto"/>
        <w:bottom w:val="none" w:sz="0" w:space="0" w:color="auto"/>
        <w:right w:val="none" w:sz="0" w:space="0" w:color="auto"/>
      </w:divBdr>
    </w:div>
    <w:div w:id="1222643743">
      <w:bodyDiv w:val="1"/>
      <w:marLeft w:val="0"/>
      <w:marRight w:val="0"/>
      <w:marTop w:val="0"/>
      <w:marBottom w:val="0"/>
      <w:divBdr>
        <w:top w:val="none" w:sz="0" w:space="0" w:color="auto"/>
        <w:left w:val="none" w:sz="0" w:space="0" w:color="auto"/>
        <w:bottom w:val="none" w:sz="0" w:space="0" w:color="auto"/>
        <w:right w:val="none" w:sz="0" w:space="0" w:color="auto"/>
      </w:divBdr>
    </w:div>
    <w:div w:id="1227497269">
      <w:bodyDiv w:val="1"/>
      <w:marLeft w:val="0"/>
      <w:marRight w:val="0"/>
      <w:marTop w:val="0"/>
      <w:marBottom w:val="0"/>
      <w:divBdr>
        <w:top w:val="none" w:sz="0" w:space="0" w:color="auto"/>
        <w:left w:val="none" w:sz="0" w:space="0" w:color="auto"/>
        <w:bottom w:val="none" w:sz="0" w:space="0" w:color="auto"/>
        <w:right w:val="none" w:sz="0" w:space="0" w:color="auto"/>
      </w:divBdr>
    </w:div>
    <w:div w:id="1260021780">
      <w:bodyDiv w:val="1"/>
      <w:marLeft w:val="0"/>
      <w:marRight w:val="0"/>
      <w:marTop w:val="0"/>
      <w:marBottom w:val="0"/>
      <w:divBdr>
        <w:top w:val="none" w:sz="0" w:space="0" w:color="auto"/>
        <w:left w:val="none" w:sz="0" w:space="0" w:color="auto"/>
        <w:bottom w:val="none" w:sz="0" w:space="0" w:color="auto"/>
        <w:right w:val="none" w:sz="0" w:space="0" w:color="auto"/>
      </w:divBdr>
    </w:div>
    <w:div w:id="126584573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37154473">
      <w:bodyDiv w:val="1"/>
      <w:marLeft w:val="0"/>
      <w:marRight w:val="0"/>
      <w:marTop w:val="0"/>
      <w:marBottom w:val="0"/>
      <w:divBdr>
        <w:top w:val="none" w:sz="0" w:space="0" w:color="auto"/>
        <w:left w:val="none" w:sz="0" w:space="0" w:color="auto"/>
        <w:bottom w:val="none" w:sz="0" w:space="0" w:color="auto"/>
        <w:right w:val="none" w:sz="0" w:space="0" w:color="auto"/>
      </w:divBdr>
    </w:div>
    <w:div w:id="1554655429">
      <w:bodyDiv w:val="1"/>
      <w:marLeft w:val="0"/>
      <w:marRight w:val="0"/>
      <w:marTop w:val="0"/>
      <w:marBottom w:val="0"/>
      <w:divBdr>
        <w:top w:val="none" w:sz="0" w:space="0" w:color="auto"/>
        <w:left w:val="none" w:sz="0" w:space="0" w:color="auto"/>
        <w:bottom w:val="none" w:sz="0" w:space="0" w:color="auto"/>
        <w:right w:val="none" w:sz="0" w:space="0" w:color="auto"/>
      </w:divBdr>
    </w:div>
    <w:div w:id="1645888161">
      <w:bodyDiv w:val="1"/>
      <w:marLeft w:val="0"/>
      <w:marRight w:val="0"/>
      <w:marTop w:val="0"/>
      <w:marBottom w:val="0"/>
      <w:divBdr>
        <w:top w:val="none" w:sz="0" w:space="0" w:color="auto"/>
        <w:left w:val="none" w:sz="0" w:space="0" w:color="auto"/>
        <w:bottom w:val="none" w:sz="0" w:space="0" w:color="auto"/>
        <w:right w:val="none" w:sz="0" w:space="0" w:color="auto"/>
      </w:divBdr>
    </w:div>
    <w:div w:id="1690597711">
      <w:bodyDiv w:val="1"/>
      <w:marLeft w:val="0"/>
      <w:marRight w:val="0"/>
      <w:marTop w:val="0"/>
      <w:marBottom w:val="0"/>
      <w:divBdr>
        <w:top w:val="none" w:sz="0" w:space="0" w:color="auto"/>
        <w:left w:val="none" w:sz="0" w:space="0" w:color="auto"/>
        <w:bottom w:val="none" w:sz="0" w:space="0" w:color="auto"/>
        <w:right w:val="none" w:sz="0" w:space="0" w:color="auto"/>
      </w:divBdr>
    </w:div>
    <w:div w:id="1697920372">
      <w:bodyDiv w:val="1"/>
      <w:marLeft w:val="0"/>
      <w:marRight w:val="0"/>
      <w:marTop w:val="0"/>
      <w:marBottom w:val="0"/>
      <w:divBdr>
        <w:top w:val="none" w:sz="0" w:space="0" w:color="auto"/>
        <w:left w:val="none" w:sz="0" w:space="0" w:color="auto"/>
        <w:bottom w:val="none" w:sz="0" w:space="0" w:color="auto"/>
        <w:right w:val="none" w:sz="0" w:space="0" w:color="auto"/>
      </w:divBdr>
    </w:div>
    <w:div w:id="1726098991">
      <w:bodyDiv w:val="1"/>
      <w:marLeft w:val="0"/>
      <w:marRight w:val="0"/>
      <w:marTop w:val="0"/>
      <w:marBottom w:val="0"/>
      <w:divBdr>
        <w:top w:val="none" w:sz="0" w:space="0" w:color="auto"/>
        <w:left w:val="none" w:sz="0" w:space="0" w:color="auto"/>
        <w:bottom w:val="none" w:sz="0" w:space="0" w:color="auto"/>
        <w:right w:val="none" w:sz="0" w:space="0" w:color="auto"/>
      </w:divBdr>
    </w:div>
    <w:div w:id="1761028828">
      <w:bodyDiv w:val="1"/>
      <w:marLeft w:val="0"/>
      <w:marRight w:val="0"/>
      <w:marTop w:val="0"/>
      <w:marBottom w:val="0"/>
      <w:divBdr>
        <w:top w:val="none" w:sz="0" w:space="0" w:color="auto"/>
        <w:left w:val="none" w:sz="0" w:space="0" w:color="auto"/>
        <w:bottom w:val="none" w:sz="0" w:space="0" w:color="auto"/>
        <w:right w:val="none" w:sz="0" w:space="0" w:color="auto"/>
      </w:divBdr>
    </w:div>
    <w:div w:id="1791820213">
      <w:bodyDiv w:val="1"/>
      <w:marLeft w:val="0"/>
      <w:marRight w:val="0"/>
      <w:marTop w:val="0"/>
      <w:marBottom w:val="0"/>
      <w:divBdr>
        <w:top w:val="none" w:sz="0" w:space="0" w:color="auto"/>
        <w:left w:val="none" w:sz="0" w:space="0" w:color="auto"/>
        <w:bottom w:val="none" w:sz="0" w:space="0" w:color="auto"/>
        <w:right w:val="none" w:sz="0" w:space="0" w:color="auto"/>
      </w:divBdr>
    </w:div>
    <w:div w:id="1823816961">
      <w:bodyDiv w:val="1"/>
      <w:marLeft w:val="0"/>
      <w:marRight w:val="0"/>
      <w:marTop w:val="0"/>
      <w:marBottom w:val="0"/>
      <w:divBdr>
        <w:top w:val="none" w:sz="0" w:space="0" w:color="auto"/>
        <w:left w:val="none" w:sz="0" w:space="0" w:color="auto"/>
        <w:bottom w:val="none" w:sz="0" w:space="0" w:color="auto"/>
        <w:right w:val="none" w:sz="0" w:space="0" w:color="auto"/>
      </w:divBdr>
    </w:div>
    <w:div w:id="1894925594">
      <w:bodyDiv w:val="1"/>
      <w:marLeft w:val="0"/>
      <w:marRight w:val="0"/>
      <w:marTop w:val="0"/>
      <w:marBottom w:val="0"/>
      <w:divBdr>
        <w:top w:val="none" w:sz="0" w:space="0" w:color="auto"/>
        <w:left w:val="none" w:sz="0" w:space="0" w:color="auto"/>
        <w:bottom w:val="none" w:sz="0" w:space="0" w:color="auto"/>
        <w:right w:val="none" w:sz="0" w:space="0" w:color="auto"/>
      </w:divBdr>
    </w:div>
    <w:div w:id="1997605103">
      <w:bodyDiv w:val="1"/>
      <w:marLeft w:val="0"/>
      <w:marRight w:val="0"/>
      <w:marTop w:val="0"/>
      <w:marBottom w:val="0"/>
      <w:divBdr>
        <w:top w:val="none" w:sz="0" w:space="0" w:color="auto"/>
        <w:left w:val="none" w:sz="0" w:space="0" w:color="auto"/>
        <w:bottom w:val="none" w:sz="0" w:space="0" w:color="auto"/>
        <w:right w:val="none" w:sz="0" w:space="0" w:color="auto"/>
      </w:divBdr>
    </w:div>
    <w:div w:id="2001810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25667710">
      <w:bodyDiv w:val="1"/>
      <w:marLeft w:val="0"/>
      <w:marRight w:val="0"/>
      <w:marTop w:val="0"/>
      <w:marBottom w:val="0"/>
      <w:divBdr>
        <w:top w:val="none" w:sz="0" w:space="0" w:color="auto"/>
        <w:left w:val="none" w:sz="0" w:space="0" w:color="auto"/>
        <w:bottom w:val="none" w:sz="0" w:space="0" w:color="auto"/>
        <w:right w:val="none" w:sz="0" w:space="0" w:color="auto"/>
      </w:divBdr>
    </w:div>
    <w:div w:id="2095055232">
      <w:bodyDiv w:val="1"/>
      <w:marLeft w:val="0"/>
      <w:marRight w:val="0"/>
      <w:marTop w:val="0"/>
      <w:marBottom w:val="0"/>
      <w:divBdr>
        <w:top w:val="none" w:sz="0" w:space="0" w:color="auto"/>
        <w:left w:val="none" w:sz="0" w:space="0" w:color="auto"/>
        <w:bottom w:val="none" w:sz="0" w:space="0" w:color="auto"/>
        <w:right w:val="none" w:sz="0" w:space="0" w:color="auto"/>
      </w:divBdr>
    </w:div>
    <w:div w:id="2114545773">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ombiacompra.gov.co/sites/cce_public/files/cce_circulares/circular_externa_unica_version_3_vf49.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ristancho@sdis.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DFF5D-B69D-4BCD-8613-D8A967CAD3E4}"/>
</file>

<file path=customXml/itemProps2.xml><?xml version="1.0" encoding="utf-8"?>
<ds:datastoreItem xmlns:ds="http://schemas.openxmlformats.org/officeDocument/2006/customXml" ds:itemID="{4099127A-C999-44BD-84F1-B4E4E1233BFB}">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3957</Words>
  <Characters>22556</Characters>
  <Application>Microsoft Office Word</Application>
  <DocSecurity>0</DocSecurity>
  <Lines>187</Lines>
  <Paragraphs>52</Paragraphs>
  <ScaleCrop>false</ScaleCrop>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17</cp:revision>
  <cp:lastPrinted>2023-01-10T21:18:00Z</cp:lastPrinted>
  <dcterms:created xsi:type="dcterms:W3CDTF">2024-11-21T20:10:00Z</dcterms:created>
  <dcterms:modified xsi:type="dcterms:W3CDTF">2024-11-21T20:23:00Z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y fmtid="{D5CDD505-2E9C-101B-9397-08002B2CF9AE}" pid="4" name="MSIP_Label_79c9bbd4-2155-4c05-a8cb-143fc41f09a9_Enabled">
    <vt:lpwstr>true</vt:lpwstr>
  </property>
  <property fmtid="{D5CDD505-2E9C-101B-9397-08002B2CF9AE}" pid="5" name="MSIP_Label_79c9bbd4-2155-4c05-a8cb-143fc41f09a9_SetDate">
    <vt:lpwstr>2024-11-21T20:11:48Z</vt:lpwstr>
  </property>
  <property fmtid="{D5CDD505-2E9C-101B-9397-08002B2CF9AE}" pid="6" name="MSIP_Label_79c9bbd4-2155-4c05-a8cb-143fc41f09a9_Method">
    <vt:lpwstr>Standard</vt:lpwstr>
  </property>
  <property fmtid="{D5CDD505-2E9C-101B-9397-08002B2CF9AE}" pid="7" name="MSIP_Label_79c9bbd4-2155-4c05-a8cb-143fc41f09a9_Name">
    <vt:lpwstr>defa4170-0d19-0005-0004-bc88714345d2</vt:lpwstr>
  </property>
  <property fmtid="{D5CDD505-2E9C-101B-9397-08002B2CF9AE}" pid="8" name="MSIP_Label_79c9bbd4-2155-4c05-a8cb-143fc41f09a9_SiteId">
    <vt:lpwstr>33fa6907-21c6-4126-aa66-bcbed95361bb</vt:lpwstr>
  </property>
  <property fmtid="{D5CDD505-2E9C-101B-9397-08002B2CF9AE}" pid="9" name="MSIP_Label_79c9bbd4-2155-4c05-a8cb-143fc41f09a9_ActionId">
    <vt:lpwstr>ae39ac03-b504-4810-a686-a1767b92280b</vt:lpwstr>
  </property>
  <property fmtid="{D5CDD505-2E9C-101B-9397-08002B2CF9AE}" pid="10" name="MSIP_Label_79c9bbd4-2155-4c05-a8cb-143fc41f09a9_ContentBits">
    <vt:lpwstr>0</vt:lpwstr>
  </property>
</Properties>
</file>