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7E861" w14:textId="77777777" w:rsidR="00E26466" w:rsidRPr="00C21EB1" w:rsidRDefault="00E26466" w:rsidP="00E26466">
      <w:pPr>
        <w:spacing w:after="0" w:line="240" w:lineRule="auto"/>
        <w:jc w:val="both"/>
        <w:rPr>
          <w:rFonts w:ascii="Verdana" w:eastAsia="Calibri" w:hAnsi="Verdana" w:cs="Arial"/>
          <w:b/>
          <w:lang w:val="es-ES" w:eastAsia="es-ES"/>
        </w:rPr>
      </w:pPr>
      <w:bookmarkStart w:id="0" w:name="_GoBack"/>
      <w:bookmarkEnd w:id="0"/>
      <w:r w:rsidRPr="00C21EB1">
        <w:rPr>
          <w:rFonts w:ascii="Verdana" w:eastAsia="Calibri" w:hAnsi="Verdana" w:cs="Arial"/>
          <w:b/>
          <w:lang w:val="es-ES" w:eastAsia="es-ES"/>
        </w:rPr>
        <w:t xml:space="preserve">CONTRATACIÓN PÚBLICA – Principio de publicidad – Principio de transparencia – Uso del SECOP </w:t>
      </w:r>
    </w:p>
    <w:p w14:paraId="6FFAB364" w14:textId="77777777" w:rsidR="00E26466" w:rsidRPr="00C21EB1" w:rsidRDefault="00E26466" w:rsidP="00E26466">
      <w:pPr>
        <w:spacing w:after="0" w:line="240" w:lineRule="auto"/>
        <w:jc w:val="both"/>
        <w:rPr>
          <w:rFonts w:ascii="Verdana" w:eastAsia="Calibri" w:hAnsi="Verdana" w:cs="Arial"/>
          <w:b/>
          <w:bCs/>
          <w:sz w:val="20"/>
          <w:szCs w:val="20"/>
          <w:lang w:val="es-ES_tradnl" w:eastAsia="es-ES_tradnl"/>
        </w:rPr>
      </w:pPr>
    </w:p>
    <w:p w14:paraId="7FC10194" w14:textId="77777777" w:rsidR="00E26466" w:rsidRPr="00C21EB1" w:rsidRDefault="00E26466" w:rsidP="00E26466">
      <w:pPr>
        <w:spacing w:after="0" w:line="240" w:lineRule="auto"/>
        <w:jc w:val="both"/>
        <w:rPr>
          <w:rFonts w:ascii="Verdana" w:eastAsia="Aptos" w:hAnsi="Verdana" w:cs="Times New Roman"/>
          <w:sz w:val="20"/>
          <w:szCs w:val="20"/>
        </w:rPr>
      </w:pPr>
      <w:r w:rsidRPr="00C21EB1">
        <w:rPr>
          <w:rFonts w:ascii="Verdana" w:eastAsia="Aptos" w:hAnsi="Verdana" w:cs="Times New Roman"/>
          <w:sz w:val="20"/>
          <w:szCs w:val="20"/>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2A668D84" w14:textId="77777777" w:rsidR="00E26466" w:rsidRPr="00C21EB1" w:rsidRDefault="00E26466" w:rsidP="00E26466">
      <w:pPr>
        <w:spacing w:after="0" w:line="240" w:lineRule="auto"/>
        <w:jc w:val="both"/>
        <w:rPr>
          <w:rFonts w:ascii="Verdana" w:eastAsia="Aptos" w:hAnsi="Verdana" w:cs="Times New Roman"/>
          <w:sz w:val="20"/>
          <w:szCs w:val="20"/>
        </w:rPr>
      </w:pPr>
    </w:p>
    <w:p w14:paraId="3B4FD972" w14:textId="77777777" w:rsidR="00E26466" w:rsidRPr="00C21EB1" w:rsidRDefault="00E26466" w:rsidP="00E26466">
      <w:pPr>
        <w:spacing w:after="0" w:line="240" w:lineRule="auto"/>
        <w:jc w:val="both"/>
        <w:rPr>
          <w:rFonts w:ascii="Verdana" w:eastAsia="Aptos" w:hAnsi="Verdana" w:cs="Times New Roman"/>
          <w:b/>
          <w:bCs/>
        </w:rPr>
      </w:pPr>
      <w:r w:rsidRPr="00C21EB1">
        <w:rPr>
          <w:rFonts w:ascii="Verdana" w:eastAsia="Aptos" w:hAnsi="Verdana" w:cs="Times New Roman"/>
          <w:b/>
          <w:bCs/>
        </w:rPr>
        <w:t xml:space="preserve">SECOP ll – Publicidad – Documentos del proceso – Actos Administrativos </w:t>
      </w:r>
    </w:p>
    <w:p w14:paraId="0155B1C0" w14:textId="77777777" w:rsidR="00E26466" w:rsidRPr="00C21EB1" w:rsidRDefault="00E26466" w:rsidP="00E26466">
      <w:pPr>
        <w:spacing w:after="0" w:line="240" w:lineRule="auto"/>
        <w:jc w:val="both"/>
        <w:rPr>
          <w:rFonts w:ascii="Verdana" w:eastAsia="Aptos" w:hAnsi="Verdana" w:cs="Times New Roman"/>
          <w:sz w:val="20"/>
          <w:szCs w:val="20"/>
        </w:rPr>
      </w:pPr>
    </w:p>
    <w:p w14:paraId="4F90C33A" w14:textId="77777777" w:rsidR="00E26466" w:rsidRPr="00C21EB1" w:rsidRDefault="00E26466" w:rsidP="00E26466">
      <w:pPr>
        <w:spacing w:after="0" w:line="276" w:lineRule="auto"/>
        <w:jc w:val="both"/>
        <w:rPr>
          <w:rFonts w:ascii="Verdana" w:eastAsia="Aptos" w:hAnsi="Verdana" w:cs="Times New Roman"/>
          <w:sz w:val="20"/>
          <w:szCs w:val="20"/>
        </w:rPr>
      </w:pPr>
      <w:r w:rsidRPr="00C21EB1">
        <w:rPr>
          <w:rFonts w:ascii="Verdana" w:eastAsia="Aptos" w:hAnsi="Verdana" w:cs="Times New Roman"/>
          <w:sz w:val="20"/>
          <w:szCs w:val="20"/>
        </w:rPr>
        <w:t>[…]las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Documentos del Proceso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7F9E75EA" w14:textId="77777777" w:rsidR="00E26466" w:rsidRPr="00C21EB1" w:rsidRDefault="00E26466" w:rsidP="00E26466">
      <w:pPr>
        <w:spacing w:after="0" w:line="276" w:lineRule="auto"/>
        <w:jc w:val="both"/>
        <w:rPr>
          <w:rFonts w:ascii="Verdana" w:eastAsia="Aptos" w:hAnsi="Verdana" w:cs="Times New Roman"/>
          <w:kern w:val="2"/>
          <w:sz w:val="20"/>
          <w:szCs w:val="20"/>
          <w14:ligatures w14:val="standardContextual"/>
        </w:rPr>
      </w:pPr>
      <w:r w:rsidRPr="00C21EB1">
        <w:rPr>
          <w:rFonts w:ascii="Verdana" w:eastAsia="Aptos" w:hAnsi="Verdana" w:cs="Times New Roman"/>
          <w:kern w:val="2"/>
          <w:sz w:val="20"/>
          <w:szCs w:val="20"/>
          <w14:ligatures w14:val="standardContextual"/>
        </w:rPr>
        <w:t>[…]</w:t>
      </w:r>
    </w:p>
    <w:p w14:paraId="7D1E823F" w14:textId="77777777" w:rsidR="00E26466" w:rsidRPr="00C21EB1" w:rsidRDefault="00E26466" w:rsidP="00E26466">
      <w:pPr>
        <w:spacing w:after="0" w:line="276" w:lineRule="auto"/>
        <w:jc w:val="both"/>
        <w:rPr>
          <w:rFonts w:ascii="Verdana" w:eastAsia="Aptos" w:hAnsi="Verdana" w:cs="Times New Roman"/>
          <w:kern w:val="2"/>
          <w:sz w:val="20"/>
          <w:szCs w:val="20"/>
          <w14:ligatures w14:val="standardContextual"/>
        </w:rPr>
      </w:pPr>
      <w:r w:rsidRPr="00C21EB1">
        <w:rPr>
          <w:rFonts w:ascii="Verdana" w:eastAsia="Aptos" w:hAnsi="Verdana" w:cs="Times New Roman"/>
          <w:kern w:val="2"/>
          <w:sz w:val="20"/>
          <w:szCs w:val="20"/>
          <w14:ligatures w14:val="standardContextual"/>
        </w:rPr>
        <w:t xml:space="preserve">[…]la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w:t>
      </w:r>
      <w:proofErr w:type="spellStart"/>
      <w:r w:rsidRPr="00C21EB1">
        <w:rPr>
          <w:rFonts w:ascii="Verdana" w:eastAsia="Aptos" w:hAnsi="Verdana" w:cs="Times New Roman"/>
          <w:kern w:val="2"/>
          <w:sz w:val="20"/>
          <w:szCs w:val="20"/>
          <w14:ligatures w14:val="standardContextual"/>
        </w:rPr>
        <w:t>postcontractual</w:t>
      </w:r>
      <w:proofErr w:type="spellEnd"/>
      <w:r w:rsidRPr="00C21EB1">
        <w:rPr>
          <w:rFonts w:ascii="Verdana" w:eastAsia="Aptos" w:hAnsi="Verdana" w:cs="Times New Roman"/>
          <w:kern w:val="2"/>
          <w:sz w:val="20"/>
          <w:szCs w:val="20"/>
          <w14:ligatures w14:val="standardContextual"/>
        </w:rPr>
        <w:t xml:space="preserve"> deberán ser publicados en SECOP ll.</w:t>
      </w:r>
    </w:p>
    <w:p w14:paraId="1677AEFD" w14:textId="77777777" w:rsidR="00E26466" w:rsidRPr="00C21EB1" w:rsidRDefault="00E26466" w:rsidP="00E26466">
      <w:pPr>
        <w:spacing w:after="0" w:line="278" w:lineRule="auto"/>
        <w:jc w:val="both"/>
        <w:rPr>
          <w:rFonts w:ascii="Verdana" w:eastAsia="Aptos" w:hAnsi="Verdana" w:cs="Times New Roman"/>
          <w:kern w:val="2"/>
          <w:sz w:val="20"/>
          <w:szCs w:val="20"/>
          <w14:ligatures w14:val="standardContextual"/>
        </w:rPr>
      </w:pPr>
    </w:p>
    <w:p w14:paraId="0880DC62" w14:textId="77777777" w:rsidR="00E26466" w:rsidRPr="00C21EB1" w:rsidRDefault="00E26466" w:rsidP="00E26466">
      <w:pPr>
        <w:spacing w:after="0" w:line="240" w:lineRule="auto"/>
        <w:jc w:val="both"/>
        <w:rPr>
          <w:rFonts w:ascii="Verdana" w:eastAsia="Aptos" w:hAnsi="Verdana" w:cs="Times New Roman"/>
          <w:b/>
          <w:bCs/>
          <w:kern w:val="2"/>
          <w14:ligatures w14:val="standardContextual"/>
        </w:rPr>
      </w:pPr>
      <w:r w:rsidRPr="008632D4">
        <w:rPr>
          <w:rFonts w:ascii="Verdana" w:eastAsia="Aptos" w:hAnsi="Verdana" w:cs="Times New Roman"/>
          <w:b/>
          <w:bCs/>
          <w:kern w:val="2"/>
          <w14:ligatures w14:val="standardContextual"/>
        </w:rPr>
        <w:t xml:space="preserve">CONTRATOS DE APRENDIZAJE – Noción – Derecho laboral – </w:t>
      </w:r>
      <w:r>
        <w:rPr>
          <w:rFonts w:ascii="Verdana" w:eastAsia="Aptos" w:hAnsi="Verdana" w:cs="Times New Roman"/>
          <w:b/>
          <w:bCs/>
          <w:kern w:val="2"/>
          <w14:ligatures w14:val="standardContextual"/>
        </w:rPr>
        <w:t xml:space="preserve">Publicación en </w:t>
      </w:r>
      <w:proofErr w:type="spellStart"/>
      <w:r>
        <w:rPr>
          <w:rFonts w:ascii="Verdana" w:eastAsia="Aptos" w:hAnsi="Verdana" w:cs="Times New Roman"/>
          <w:b/>
          <w:bCs/>
          <w:kern w:val="2"/>
          <w14:ligatures w14:val="standardContextual"/>
        </w:rPr>
        <w:t>secop</w:t>
      </w:r>
      <w:proofErr w:type="spellEnd"/>
      <w:r>
        <w:rPr>
          <w:rFonts w:ascii="Verdana" w:eastAsia="Aptos" w:hAnsi="Verdana" w:cs="Times New Roman"/>
          <w:b/>
          <w:bCs/>
          <w:kern w:val="2"/>
          <w14:ligatures w14:val="standardContextual"/>
        </w:rPr>
        <w:t xml:space="preserve"> </w:t>
      </w:r>
      <w:proofErr w:type="spellStart"/>
      <w:r>
        <w:rPr>
          <w:rFonts w:ascii="Verdana" w:eastAsia="Aptos" w:hAnsi="Verdana" w:cs="Times New Roman"/>
          <w:b/>
          <w:bCs/>
          <w:kern w:val="2"/>
          <w14:ligatures w14:val="standardContextual"/>
        </w:rPr>
        <w:t>ii</w:t>
      </w:r>
      <w:proofErr w:type="spellEnd"/>
    </w:p>
    <w:p w14:paraId="52933F1E" w14:textId="77777777" w:rsidR="00E26466" w:rsidRPr="00501703" w:rsidRDefault="00E26466" w:rsidP="00E26466">
      <w:pPr>
        <w:spacing w:after="0" w:line="240" w:lineRule="auto"/>
        <w:rPr>
          <w:rFonts w:ascii="Verdana" w:eastAsia="Aptos" w:hAnsi="Verdana" w:cs="Times New Roman"/>
          <w:sz w:val="20"/>
          <w:szCs w:val="20"/>
        </w:rPr>
      </w:pPr>
    </w:p>
    <w:p w14:paraId="75E93F7B" w14:textId="77777777" w:rsidR="00E26466" w:rsidRDefault="00E26466" w:rsidP="00E26466">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06DB">
        <w:rPr>
          <w:rFonts w:ascii="Verdana" w:eastAsia="Aptos" w:hAnsi="Verdana" w:cs="Times New Roman"/>
          <w:sz w:val="20"/>
          <w:szCs w:val="20"/>
        </w:rPr>
        <w:t>El contrato de aprendizaje es una forma especial de vinculación del Derecho Laboral, sin subordinación y por un plazo no mayor a dos (2) años en la que una persona natural recibe formación teórica en una entidad de formación autorizada con el auspicio de una empresa patrocinadora</w:t>
      </w:r>
      <w:r>
        <w:rPr>
          <w:rFonts w:ascii="Verdana" w:eastAsia="Aptos" w:hAnsi="Verdana" w:cs="Times New Roman"/>
          <w:sz w:val="20"/>
          <w:szCs w:val="20"/>
        </w:rPr>
        <w:t xml:space="preserve"> […]</w:t>
      </w:r>
    </w:p>
    <w:p w14:paraId="10354CDE" w14:textId="77777777" w:rsidR="00E26466" w:rsidRDefault="00E26466" w:rsidP="00E26466">
      <w:pPr>
        <w:spacing w:after="0" w:line="240" w:lineRule="auto"/>
        <w:jc w:val="both"/>
        <w:rPr>
          <w:rFonts w:ascii="Verdana" w:eastAsia="Aptos" w:hAnsi="Verdana" w:cs="Times New Roman"/>
          <w:sz w:val="20"/>
          <w:szCs w:val="20"/>
        </w:rPr>
      </w:pPr>
      <w:r>
        <w:rPr>
          <w:rFonts w:ascii="Verdana" w:eastAsia="Aptos" w:hAnsi="Verdana" w:cs="Times New Roman"/>
          <w:sz w:val="20"/>
          <w:szCs w:val="20"/>
        </w:rPr>
        <w:t>[…]</w:t>
      </w:r>
    </w:p>
    <w:p w14:paraId="67D2ABCD" w14:textId="77777777" w:rsidR="00E26466" w:rsidRPr="00501703" w:rsidRDefault="00E26466" w:rsidP="00E26466">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134CD1">
        <w:rPr>
          <w:rFonts w:ascii="Verdana" w:eastAsia="Aptos" w:hAnsi="Verdana" w:cs="Times New Roman"/>
          <w:sz w:val="20"/>
          <w:szCs w:val="20"/>
        </w:rPr>
        <w:t>resulta a bien aclarar que dicha tipología contractual no se encuentra incorporada en la noción de contratos estatales, puesto que, de acuerdo con lo indicado en el artículo 32 de la Ley 80 de 1993, estos últimos corresponden a todos los actos jurídicos, cualquiera que sea su denominación, que celebren las entidades a las que se refiere el Estatuto General de Contratación de la Administración Pública –Ley 80 de 1993, Ley 1150 de 2007, Decreto 1082 de 2015 y demás normas que lo complementen y/o adicionen– sobre los que, recae la obligación de publicar en el SECOP II.</w:t>
      </w:r>
    </w:p>
    <w:p w14:paraId="1815B86F" w14:textId="77777777" w:rsidR="00E26466" w:rsidRPr="00501703" w:rsidRDefault="00E26466" w:rsidP="00E26466">
      <w:pPr>
        <w:spacing w:after="0" w:line="240" w:lineRule="auto"/>
        <w:rPr>
          <w:rFonts w:ascii="Verdana" w:eastAsia="Aptos" w:hAnsi="Verdana" w:cs="Times New Roman"/>
          <w:sz w:val="20"/>
          <w:szCs w:val="20"/>
        </w:rPr>
      </w:pPr>
    </w:p>
    <w:p w14:paraId="14512F74" w14:textId="77777777" w:rsidR="00E26466" w:rsidRPr="00501703" w:rsidRDefault="00E26466" w:rsidP="00E26466">
      <w:pPr>
        <w:spacing w:after="0" w:line="240" w:lineRule="auto"/>
        <w:rPr>
          <w:rFonts w:ascii="Verdana" w:eastAsia="Geomanist Light" w:hAnsi="Verdana" w:cs="Arial"/>
          <w:lang w:val="es-MX"/>
        </w:rPr>
      </w:pPr>
      <w:r w:rsidRPr="00501703">
        <w:rPr>
          <w:rFonts w:ascii="Verdana" w:eastAsia="Geomanist Light" w:hAnsi="Verdana" w:cs="Arial"/>
          <w:lang w:val="es-MX"/>
        </w:rPr>
        <w:lastRenderedPageBreak/>
        <w:t>Bogotá D.C., [Día] de [</w:t>
      </w:r>
      <w:proofErr w:type="spellStart"/>
      <w:r w:rsidRPr="00501703">
        <w:rPr>
          <w:rFonts w:ascii="Verdana" w:eastAsia="Geomanist Light" w:hAnsi="Verdana" w:cs="Arial"/>
          <w:lang w:val="es-MX"/>
        </w:rPr>
        <w:t>Mes.NombreCapitalizado</w:t>
      </w:r>
      <w:proofErr w:type="spellEnd"/>
      <w:r w:rsidRPr="00501703">
        <w:rPr>
          <w:rFonts w:ascii="Verdana" w:eastAsia="Geomanist Light" w:hAnsi="Verdana" w:cs="Arial"/>
          <w:lang w:val="es-MX"/>
        </w:rPr>
        <w:t>] de [Año]</w:t>
      </w:r>
    </w:p>
    <w:p w14:paraId="0996204E" w14:textId="77777777" w:rsidR="00E26466" w:rsidRPr="00501703" w:rsidRDefault="00E26466" w:rsidP="00E26466">
      <w:pPr>
        <w:spacing w:after="0" w:line="240" w:lineRule="auto"/>
        <w:jc w:val="both"/>
        <w:rPr>
          <w:rFonts w:ascii="Verdana" w:eastAsia="Calibri" w:hAnsi="Verdana" w:cs="Arial"/>
          <w:lang w:val="es-ES"/>
        </w:rPr>
      </w:pPr>
    </w:p>
    <w:p w14:paraId="5F61F56D" w14:textId="53B47AA1" w:rsidR="00E26466" w:rsidRPr="00501703" w:rsidRDefault="00E26466" w:rsidP="00E26466">
      <w:pPr>
        <w:spacing w:after="0" w:line="240" w:lineRule="auto"/>
        <w:jc w:val="right"/>
        <w:rPr>
          <w:rFonts w:ascii="Verdana" w:eastAsia="Calibri" w:hAnsi="Verdana" w:cs="Arial"/>
          <w:lang w:val="es-ES"/>
        </w:rPr>
      </w:pPr>
      <w:r w:rsidRPr="003A6DC8">
        <w:rPr>
          <w:rFonts w:ascii="Verdana" w:eastAsia="Calibri" w:hAnsi="Verdana" w:cs="Arial"/>
          <w:noProof/>
          <w:lang w:val="es-ES"/>
        </w:rPr>
        <w:drawing>
          <wp:inline distT="0" distB="0" distL="0" distR="0" wp14:anchorId="4DD145F5" wp14:editId="7075AF2D">
            <wp:extent cx="3305636" cy="933580"/>
            <wp:effectExtent l="0" t="0" r="9525" b="0"/>
            <wp:docPr id="1545263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63962" name=""/>
                    <pic:cNvPicPr/>
                  </pic:nvPicPr>
                  <pic:blipFill>
                    <a:blip r:embed="rId10"/>
                    <a:stretch>
                      <a:fillRect/>
                    </a:stretch>
                  </pic:blipFill>
                  <pic:spPr>
                    <a:xfrm>
                      <a:off x="0" y="0"/>
                      <a:ext cx="3305636" cy="933580"/>
                    </a:xfrm>
                    <a:prstGeom prst="rect">
                      <a:avLst/>
                    </a:prstGeom>
                  </pic:spPr>
                </pic:pic>
              </a:graphicData>
            </a:graphic>
          </wp:inline>
        </w:drawing>
      </w:r>
    </w:p>
    <w:p w14:paraId="4C112D11" w14:textId="77777777" w:rsidR="00E26466" w:rsidRPr="00501703" w:rsidRDefault="00E26466" w:rsidP="00E26466">
      <w:pPr>
        <w:spacing w:after="0" w:line="240" w:lineRule="auto"/>
        <w:jc w:val="both"/>
        <w:rPr>
          <w:rFonts w:ascii="Verdana" w:eastAsia="Calibri" w:hAnsi="Verdana" w:cs="Arial"/>
          <w:lang w:val="es-ES" w:eastAsia="es-ES"/>
        </w:rPr>
      </w:pPr>
      <w:r w:rsidRPr="00501703">
        <w:rPr>
          <w:rFonts w:ascii="Verdana" w:eastAsia="Calibri" w:hAnsi="Verdana" w:cs="Arial"/>
          <w:lang w:val="es-ES" w:eastAsia="es-ES"/>
        </w:rPr>
        <w:t>Señor</w:t>
      </w:r>
      <w:r>
        <w:rPr>
          <w:rFonts w:ascii="Verdana" w:eastAsia="Calibri" w:hAnsi="Verdana" w:cs="Arial"/>
          <w:lang w:val="es-ES" w:eastAsia="es-ES"/>
        </w:rPr>
        <w:t>(a)</w:t>
      </w:r>
    </w:p>
    <w:p w14:paraId="49FAB02E" w14:textId="77777777" w:rsidR="00E26466" w:rsidRPr="00501703" w:rsidRDefault="00E26466" w:rsidP="00E26466">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Ciudadano(a) Anónimo</w:t>
      </w:r>
    </w:p>
    <w:p w14:paraId="3145A7BC" w14:textId="77777777" w:rsidR="00E26466" w:rsidRPr="00501703" w:rsidRDefault="00CF43CA" w:rsidP="00E26466">
      <w:pPr>
        <w:spacing w:after="0" w:line="240" w:lineRule="auto"/>
        <w:rPr>
          <w:rFonts w:ascii="Verdana" w:eastAsia="Aptos" w:hAnsi="Verdana" w:cs="Times New Roman"/>
        </w:rPr>
      </w:pPr>
      <w:hyperlink r:id="rId11" w:history="1">
        <w:r w:rsidR="00E26466" w:rsidRPr="00501703">
          <w:rPr>
            <w:rFonts w:ascii="Verdana" w:eastAsia="Aptos" w:hAnsi="Verdana" w:cs="Times New Roman"/>
            <w:color w:val="467886"/>
            <w:u w:val="single"/>
          </w:rPr>
          <w:t>oscaralape1@hotmail.com</w:t>
        </w:r>
      </w:hyperlink>
      <w:r w:rsidR="00E26466" w:rsidRPr="00501703">
        <w:rPr>
          <w:rFonts w:ascii="Verdana" w:eastAsia="Aptos" w:hAnsi="Verdana" w:cs="Times New Roman"/>
        </w:rPr>
        <w:t xml:space="preserve"> </w:t>
      </w:r>
    </w:p>
    <w:p w14:paraId="584094A9" w14:textId="77777777" w:rsidR="00E26466" w:rsidRPr="00501703" w:rsidRDefault="00E26466" w:rsidP="00E26466">
      <w:pPr>
        <w:spacing w:after="0" w:line="240" w:lineRule="auto"/>
        <w:rPr>
          <w:rFonts w:ascii="Verdana" w:eastAsia="Calibri" w:hAnsi="Verdana" w:cs="Arial"/>
          <w:b/>
          <w:bCs/>
          <w:lang w:val="es-ES" w:eastAsia="es-ES"/>
        </w:rPr>
      </w:pPr>
      <w:r w:rsidRPr="00501703">
        <w:rPr>
          <w:rFonts w:ascii="Verdana" w:eastAsia="Calibri" w:hAnsi="Verdana" w:cs="Arial"/>
          <w:lang w:val="es-ES" w:eastAsia="es-ES"/>
        </w:rPr>
        <w:t>Pitalito, Huila</w:t>
      </w:r>
    </w:p>
    <w:p w14:paraId="40940E88" w14:textId="77777777" w:rsidR="00E26466" w:rsidRPr="00501703" w:rsidRDefault="00E26466" w:rsidP="00E26466">
      <w:pPr>
        <w:spacing w:after="0" w:line="240" w:lineRule="auto"/>
        <w:rPr>
          <w:rFonts w:ascii="Verdana" w:eastAsia="Calibri" w:hAnsi="Verdana" w:cs="Arial"/>
          <w:b/>
          <w:bCs/>
          <w:lang w:val="es-ES_tradnl" w:eastAsia="es-ES_tradnl"/>
        </w:rPr>
      </w:pPr>
    </w:p>
    <w:p w14:paraId="0AFE49E8" w14:textId="77777777" w:rsidR="00E26466" w:rsidRPr="00501703" w:rsidRDefault="00E26466" w:rsidP="00E26466">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26466" w:rsidRPr="00501703" w14:paraId="645455F5" w14:textId="77777777" w:rsidTr="00AC4589">
        <w:trPr>
          <w:trHeight w:val="884"/>
        </w:trPr>
        <w:tc>
          <w:tcPr>
            <w:tcW w:w="2689" w:type="dxa"/>
          </w:tcPr>
          <w:p w14:paraId="5865FC3B" w14:textId="77777777" w:rsidR="00E26466" w:rsidRPr="00501703" w:rsidRDefault="00E26466" w:rsidP="00AC4589">
            <w:pPr>
              <w:jc w:val="both"/>
              <w:rPr>
                <w:rFonts w:ascii="Verdana" w:eastAsia="Calibri" w:hAnsi="Verdana" w:cs="Arial"/>
                <w:b/>
                <w:bCs/>
                <w:lang w:val="es-ES_tradnl" w:eastAsia="es-ES_tradnl"/>
              </w:rPr>
            </w:pPr>
          </w:p>
        </w:tc>
        <w:tc>
          <w:tcPr>
            <w:tcW w:w="6100" w:type="dxa"/>
          </w:tcPr>
          <w:p w14:paraId="5B8A510D" w14:textId="77777777" w:rsidR="00E26466" w:rsidRPr="00501703" w:rsidRDefault="00E26466" w:rsidP="00AC4589">
            <w:pPr>
              <w:jc w:val="both"/>
              <w:rPr>
                <w:rFonts w:ascii="Verdana" w:eastAsia="Calibri" w:hAnsi="Verdana" w:cs="Arial"/>
                <w:b/>
                <w:bCs/>
                <w:lang w:val="es-ES" w:eastAsia="es-ES"/>
              </w:rPr>
            </w:pPr>
            <w:r w:rsidRPr="00501703">
              <w:rPr>
                <w:rFonts w:ascii="Verdana" w:eastAsia="Calibri" w:hAnsi="Verdana" w:cs="Arial"/>
                <w:b/>
                <w:bCs/>
                <w:lang w:val="es-ES" w:eastAsia="es-ES"/>
              </w:rPr>
              <w:t>Concepto C-</w:t>
            </w:r>
            <w:r>
              <w:rPr>
                <w:rFonts w:ascii="Verdana" w:eastAsia="Calibri" w:hAnsi="Verdana" w:cs="Arial"/>
                <w:b/>
                <w:bCs/>
                <w:lang w:val="es-ES" w:eastAsia="es-ES"/>
              </w:rPr>
              <w:t>969</w:t>
            </w:r>
            <w:r w:rsidRPr="00501703">
              <w:rPr>
                <w:rFonts w:ascii="Verdana" w:eastAsia="Calibri" w:hAnsi="Verdana" w:cs="Arial"/>
                <w:b/>
                <w:bCs/>
                <w:lang w:val="es-ES" w:eastAsia="es-ES"/>
              </w:rPr>
              <w:t xml:space="preserve"> de 2024</w:t>
            </w:r>
          </w:p>
        </w:tc>
      </w:tr>
      <w:tr w:rsidR="00E26466" w:rsidRPr="00501703" w14:paraId="365F161C" w14:textId="77777777" w:rsidTr="00AC4589">
        <w:trPr>
          <w:trHeight w:val="884"/>
        </w:trPr>
        <w:tc>
          <w:tcPr>
            <w:tcW w:w="2689" w:type="dxa"/>
          </w:tcPr>
          <w:p w14:paraId="127289F9" w14:textId="77777777" w:rsidR="00E26466" w:rsidRPr="000B7E30" w:rsidRDefault="00E26466" w:rsidP="00AC4589">
            <w:pPr>
              <w:jc w:val="both"/>
              <w:rPr>
                <w:rFonts w:ascii="Verdana" w:eastAsia="Calibri" w:hAnsi="Verdana" w:cs="Arial"/>
                <w:lang w:val="es-ES_tradnl" w:eastAsia="es-ES_tradnl"/>
              </w:rPr>
            </w:pPr>
            <w:r w:rsidRPr="000B7E30">
              <w:rPr>
                <w:rFonts w:ascii="Verdana" w:eastAsia="Calibri" w:hAnsi="Verdana" w:cs="Arial"/>
                <w:b/>
                <w:lang w:val="es-ES_tradnl" w:eastAsia="es-ES_tradnl"/>
              </w:rPr>
              <w:t>Temas:</w:t>
            </w:r>
            <w:r w:rsidRPr="000B7E30">
              <w:rPr>
                <w:rFonts w:ascii="Verdana" w:eastAsia="Calibri" w:hAnsi="Verdana" w:cs="Arial"/>
                <w:lang w:val="es-ES_tradnl" w:eastAsia="es-ES_tradnl"/>
              </w:rPr>
              <w:t xml:space="preserve">                   </w:t>
            </w:r>
          </w:p>
        </w:tc>
        <w:tc>
          <w:tcPr>
            <w:tcW w:w="6100" w:type="dxa"/>
          </w:tcPr>
          <w:p w14:paraId="4F23D37F" w14:textId="77777777" w:rsidR="00E26466" w:rsidRDefault="00E26466" w:rsidP="00AC4589">
            <w:pPr>
              <w:spacing w:line="276" w:lineRule="auto"/>
              <w:jc w:val="both"/>
              <w:rPr>
                <w:rFonts w:ascii="Verdana" w:eastAsia="Calibri" w:hAnsi="Verdana" w:cs="Arial"/>
                <w:lang w:val="es-ES" w:eastAsia="es-ES"/>
              </w:rPr>
            </w:pPr>
            <w:r w:rsidRPr="000B7E30">
              <w:rPr>
                <w:rFonts w:ascii="Verdana" w:eastAsia="Calibri" w:hAnsi="Verdana" w:cs="Arial"/>
                <w:lang w:val="es-ES" w:eastAsia="es-ES"/>
              </w:rPr>
              <w:t xml:space="preserve">CONTRATACIÓN PÚBLICA – Principio de publicidad – Principio de transparencia – Uso del SECOP / SECOP ll – Publicidad – Documentos del proceso – Actos Administrativos / </w:t>
            </w:r>
            <w:r w:rsidRPr="00134CD1">
              <w:rPr>
                <w:rFonts w:ascii="Verdana" w:eastAsia="Calibri" w:hAnsi="Verdana" w:cs="Arial"/>
                <w:lang w:val="es-ES" w:eastAsia="es-ES"/>
              </w:rPr>
              <w:t xml:space="preserve">CONTRATOS DE APRENDIZAJE – Noción – Derecho laboral – Publicación en </w:t>
            </w:r>
            <w:proofErr w:type="spellStart"/>
            <w:r w:rsidRPr="00134CD1">
              <w:rPr>
                <w:rFonts w:ascii="Verdana" w:eastAsia="Calibri" w:hAnsi="Verdana" w:cs="Arial"/>
                <w:lang w:val="es-ES" w:eastAsia="es-ES"/>
              </w:rPr>
              <w:t>secop</w:t>
            </w:r>
            <w:proofErr w:type="spellEnd"/>
            <w:r w:rsidRPr="00134CD1">
              <w:rPr>
                <w:rFonts w:ascii="Verdana" w:eastAsia="Calibri" w:hAnsi="Verdana" w:cs="Arial"/>
                <w:lang w:val="es-ES" w:eastAsia="es-ES"/>
              </w:rPr>
              <w:t xml:space="preserve"> </w:t>
            </w:r>
            <w:proofErr w:type="spellStart"/>
            <w:r w:rsidRPr="00134CD1">
              <w:rPr>
                <w:rFonts w:ascii="Verdana" w:eastAsia="Calibri" w:hAnsi="Verdana" w:cs="Arial"/>
                <w:lang w:val="es-ES" w:eastAsia="es-ES"/>
              </w:rPr>
              <w:t>ii</w:t>
            </w:r>
            <w:proofErr w:type="spellEnd"/>
          </w:p>
          <w:p w14:paraId="2C759843" w14:textId="77777777" w:rsidR="00E26466" w:rsidRPr="000B7E30" w:rsidRDefault="00E26466" w:rsidP="00AC4589">
            <w:pPr>
              <w:spacing w:line="276" w:lineRule="auto"/>
              <w:jc w:val="both"/>
              <w:rPr>
                <w:rFonts w:ascii="Verdana" w:eastAsia="Calibri" w:hAnsi="Verdana" w:cs="Arial"/>
                <w:lang w:val="es-ES" w:eastAsia="es-ES"/>
              </w:rPr>
            </w:pPr>
          </w:p>
        </w:tc>
      </w:tr>
      <w:tr w:rsidR="00E26466" w:rsidRPr="00501703" w14:paraId="0AD15814" w14:textId="77777777" w:rsidTr="00AC4589">
        <w:tc>
          <w:tcPr>
            <w:tcW w:w="2689" w:type="dxa"/>
          </w:tcPr>
          <w:p w14:paraId="78E00CDB" w14:textId="77777777" w:rsidR="00E26466" w:rsidRPr="00501703" w:rsidRDefault="00E26466" w:rsidP="00AC4589">
            <w:pPr>
              <w:jc w:val="both"/>
              <w:rPr>
                <w:rFonts w:ascii="Verdana" w:eastAsia="Calibri" w:hAnsi="Verdana" w:cs="Arial"/>
                <w:b/>
                <w:lang w:val="es-ES_tradnl" w:eastAsia="es-ES_tradnl"/>
              </w:rPr>
            </w:pPr>
            <w:r w:rsidRPr="00501703">
              <w:rPr>
                <w:rFonts w:ascii="Verdana" w:eastAsia="Calibri" w:hAnsi="Verdana" w:cs="Arial"/>
                <w:b/>
                <w:lang w:val="es-ES_tradnl" w:eastAsia="es-ES_tradnl"/>
              </w:rPr>
              <w:t>Radicación:</w:t>
            </w:r>
            <w:r w:rsidRPr="00501703">
              <w:rPr>
                <w:rFonts w:ascii="Verdana" w:eastAsia="Calibri" w:hAnsi="Verdana" w:cs="Arial"/>
                <w:lang w:val="es-ES_tradnl" w:eastAsia="es-ES_tradnl"/>
              </w:rPr>
              <w:t xml:space="preserve">               </w:t>
            </w:r>
          </w:p>
        </w:tc>
        <w:tc>
          <w:tcPr>
            <w:tcW w:w="6100" w:type="dxa"/>
          </w:tcPr>
          <w:p w14:paraId="465A21D9" w14:textId="77777777" w:rsidR="00E26466" w:rsidRPr="00501703" w:rsidRDefault="00E26466" w:rsidP="00AC4589">
            <w:pPr>
              <w:jc w:val="both"/>
              <w:rPr>
                <w:rFonts w:ascii="Verdana" w:eastAsia="Calibri" w:hAnsi="Verdana" w:cs="Arial"/>
                <w:lang w:val="es-ES_tradnl" w:eastAsia="es-ES_tradnl"/>
              </w:rPr>
            </w:pPr>
            <w:r w:rsidRPr="00501703">
              <w:rPr>
                <w:rFonts w:ascii="Verdana" w:eastAsia="Calibri" w:hAnsi="Verdana" w:cs="Arial"/>
                <w:lang w:val="es-ES_tradnl" w:eastAsia="es-ES_tradnl"/>
              </w:rPr>
              <w:t xml:space="preserve">Respuesta a </w:t>
            </w:r>
            <w:r>
              <w:rPr>
                <w:rFonts w:ascii="Verdana" w:eastAsia="Calibri" w:hAnsi="Verdana" w:cs="Arial"/>
                <w:lang w:val="es-ES_tradnl" w:eastAsia="es-ES_tradnl"/>
              </w:rPr>
              <w:t>consulta con</w:t>
            </w:r>
            <w:r w:rsidRPr="00501703">
              <w:rPr>
                <w:rFonts w:ascii="Verdana" w:eastAsia="Calibri" w:hAnsi="Verdana" w:cs="Arial"/>
                <w:lang w:val="es-ES_tradnl" w:eastAsia="es-ES_tradnl"/>
              </w:rPr>
              <w:t xml:space="preserve"> radicado No.  </w:t>
            </w:r>
            <w:r w:rsidRPr="00C00681">
              <w:rPr>
                <w:rFonts w:ascii="Verdana" w:eastAsia="Calibri" w:hAnsi="Verdana" w:cs="Arial"/>
                <w:lang w:val="es-ES_tradnl" w:eastAsia="es-ES_tradnl"/>
              </w:rPr>
              <w:t>P20241003010092</w:t>
            </w:r>
          </w:p>
        </w:tc>
      </w:tr>
    </w:tbl>
    <w:p w14:paraId="1C2CAD5E" w14:textId="77777777" w:rsidR="00E26466" w:rsidRPr="00501703" w:rsidRDefault="00E26466" w:rsidP="00E26466">
      <w:pPr>
        <w:spacing w:after="0" w:line="240" w:lineRule="auto"/>
        <w:jc w:val="both"/>
        <w:rPr>
          <w:rFonts w:ascii="Verdana" w:eastAsia="Calibri" w:hAnsi="Verdana" w:cs="Arial"/>
          <w:lang w:val="es-ES_tradnl" w:eastAsia="es-ES_tradnl"/>
        </w:rPr>
      </w:pPr>
    </w:p>
    <w:p w14:paraId="7903A82A" w14:textId="77777777" w:rsidR="00E26466" w:rsidRPr="00501703" w:rsidRDefault="00E26466" w:rsidP="00E26466">
      <w:pPr>
        <w:spacing w:after="0" w:line="240" w:lineRule="auto"/>
        <w:jc w:val="both"/>
        <w:rPr>
          <w:rFonts w:ascii="Verdana" w:eastAsia="Calibri" w:hAnsi="Verdana" w:cs="Arial"/>
          <w:lang w:val="es-ES_tradnl" w:eastAsia="es-ES_tradnl"/>
        </w:rPr>
      </w:pPr>
    </w:p>
    <w:p w14:paraId="1C575C3B" w14:textId="77777777" w:rsidR="00E26466" w:rsidRPr="00501703" w:rsidRDefault="00E26466" w:rsidP="00E26466">
      <w:pPr>
        <w:spacing w:after="0" w:line="276" w:lineRule="auto"/>
        <w:jc w:val="both"/>
        <w:rPr>
          <w:rFonts w:ascii="Verdana" w:eastAsia="Calibri" w:hAnsi="Verdana" w:cs="Arial"/>
          <w:lang w:val="es-ES" w:eastAsia="es-ES"/>
        </w:rPr>
      </w:pPr>
      <w:r w:rsidRPr="00501703">
        <w:rPr>
          <w:rFonts w:ascii="Verdana" w:eastAsia="Calibri" w:hAnsi="Verdana" w:cs="Arial"/>
          <w:lang w:val="es-ES" w:eastAsia="es-ES"/>
        </w:rPr>
        <w:t>Estimado</w:t>
      </w:r>
      <w:r>
        <w:rPr>
          <w:rFonts w:ascii="Verdana" w:eastAsia="Calibri" w:hAnsi="Verdana" w:cs="Arial"/>
          <w:lang w:val="es-ES" w:eastAsia="es-ES"/>
        </w:rPr>
        <w:t>(a) Ciudadano(a) Anónimo(a)</w:t>
      </w:r>
      <w:r w:rsidRPr="00501703">
        <w:rPr>
          <w:rFonts w:ascii="Verdana" w:eastAsia="Calibri" w:hAnsi="Verdana" w:cs="Arial"/>
          <w:lang w:val="es-ES" w:eastAsia="es-ES"/>
        </w:rPr>
        <w:t xml:space="preserve">: </w:t>
      </w:r>
    </w:p>
    <w:p w14:paraId="5E79F868" w14:textId="77777777" w:rsidR="00E26466" w:rsidRPr="00501703" w:rsidRDefault="00E26466" w:rsidP="00E26466">
      <w:pPr>
        <w:tabs>
          <w:tab w:val="left" w:pos="3768"/>
        </w:tabs>
        <w:spacing w:after="0" w:line="276" w:lineRule="auto"/>
        <w:jc w:val="both"/>
        <w:rPr>
          <w:rFonts w:ascii="Verdana" w:eastAsia="Calibri" w:hAnsi="Verdana" w:cs="Arial"/>
          <w:lang w:val="es-ES" w:eastAsia="es-ES"/>
        </w:rPr>
      </w:pPr>
    </w:p>
    <w:p w14:paraId="083B97BC" w14:textId="77777777" w:rsidR="00E26466" w:rsidRPr="0084579F" w:rsidRDefault="00E26466" w:rsidP="00E26466">
      <w:pPr>
        <w:spacing w:after="0" w:line="276" w:lineRule="auto"/>
        <w:jc w:val="both"/>
        <w:rPr>
          <w:rFonts w:ascii="Verdana" w:eastAsia="Calibri" w:hAnsi="Verdana" w:cs="Arial"/>
          <w:i/>
          <w:iCs/>
          <w:lang w:val="es-ES" w:eastAsia="es-ES"/>
        </w:rPr>
      </w:pPr>
      <w:r w:rsidRPr="00501703">
        <w:rPr>
          <w:rFonts w:ascii="Verdana" w:eastAsia="Calibri" w:hAnsi="Verdana" w:cs="Arial"/>
          <w:lang w:val="es-ES" w:eastAsia="es-ES"/>
        </w:rPr>
        <w:t>En ejercicio de la competencia otorgada por los artículos 3, numeral 5º, y 11, numeral 8º, del Decreto Ley 4170 de 2011,</w:t>
      </w:r>
      <w:r w:rsidRPr="00501703">
        <w:rPr>
          <w:rFonts w:ascii="Verdana" w:eastAsia="Arial MT" w:hAnsi="Verdana" w:cs="Arial MT"/>
          <w:lang w:val="es-ES" w:eastAsia="es-ES"/>
        </w:rPr>
        <w:t xml:space="preserve"> </w:t>
      </w:r>
      <w:r w:rsidRPr="00501703">
        <w:rPr>
          <w:rFonts w:ascii="Verdana" w:eastAsia="Aptos" w:hAnsi="Verdana" w:cs="Arial"/>
        </w:rPr>
        <w:t xml:space="preserve">así como lo establecido en el artículo 4 de la Resolución 1707 de 2018 expedida por esta Entidad, </w:t>
      </w:r>
      <w:r w:rsidRPr="00501703">
        <w:rPr>
          <w:rFonts w:ascii="Verdana" w:eastAsia="Calibri" w:hAnsi="Verdana" w:cs="Arial"/>
          <w:lang w:val="es-ES" w:eastAsia="es-ES"/>
        </w:rPr>
        <w:t xml:space="preserve">la Agencia Nacional de Contratación Pública – Colombia Compra Eficiente– responde </w:t>
      </w:r>
      <w:r>
        <w:rPr>
          <w:rFonts w:ascii="Verdana" w:eastAsia="Calibri" w:hAnsi="Verdana" w:cs="Arial"/>
          <w:lang w:val="es-ES" w:eastAsia="es-ES"/>
        </w:rPr>
        <w:t>su</w:t>
      </w:r>
      <w:r w:rsidRPr="00501703">
        <w:rPr>
          <w:rFonts w:ascii="Verdana" w:eastAsia="Calibri" w:hAnsi="Verdana" w:cs="Arial"/>
          <w:lang w:val="es-ES" w:eastAsia="es-ES"/>
        </w:rPr>
        <w:t xml:space="preserve"> </w:t>
      </w:r>
      <w:r>
        <w:rPr>
          <w:rFonts w:ascii="Verdana" w:eastAsia="Calibri" w:hAnsi="Verdana" w:cs="Arial"/>
          <w:lang w:val="es-ES" w:eastAsia="es-ES"/>
        </w:rPr>
        <w:t>petición</w:t>
      </w:r>
      <w:r w:rsidRPr="00501703">
        <w:rPr>
          <w:rFonts w:ascii="Verdana" w:eastAsia="Calibri" w:hAnsi="Verdana" w:cs="Arial"/>
          <w:lang w:val="es-ES" w:eastAsia="es-ES"/>
        </w:rPr>
        <w:t>, recibida</w:t>
      </w:r>
      <w:r>
        <w:rPr>
          <w:rFonts w:ascii="Verdana" w:eastAsia="Calibri" w:hAnsi="Verdana" w:cs="Arial"/>
          <w:lang w:val="es-ES" w:eastAsia="es-ES"/>
        </w:rPr>
        <w:t xml:space="preserve"> </w:t>
      </w:r>
      <w:r w:rsidRPr="00501703">
        <w:rPr>
          <w:rFonts w:ascii="Verdana" w:eastAsia="Calibri" w:hAnsi="Verdana" w:cs="Arial"/>
          <w:lang w:val="es-ES" w:eastAsia="es-ES"/>
        </w:rPr>
        <w:t xml:space="preserve">el </w:t>
      </w:r>
      <w:r w:rsidRPr="00E71C49">
        <w:rPr>
          <w:rFonts w:ascii="Verdana" w:eastAsia="Calibri" w:hAnsi="Verdana" w:cs="Arial"/>
          <w:lang w:val="es-ES" w:eastAsia="es-ES"/>
        </w:rPr>
        <w:t xml:space="preserve">03 de octubre de 2024. Usted realiza la siguiente consulta: </w:t>
      </w:r>
      <w:r w:rsidRPr="0084579F">
        <w:rPr>
          <w:rFonts w:ascii="Verdana" w:eastAsia="Calibri" w:hAnsi="Verdana" w:cs="Arial"/>
          <w:i/>
          <w:iCs/>
          <w:lang w:val="es-MX"/>
        </w:rPr>
        <w:t xml:space="preserve">“Jurídicamente es obligatorio cargar al </w:t>
      </w:r>
      <w:proofErr w:type="spellStart"/>
      <w:r w:rsidRPr="0084579F">
        <w:rPr>
          <w:rFonts w:ascii="Verdana" w:eastAsia="Calibri" w:hAnsi="Verdana" w:cs="Arial"/>
          <w:i/>
          <w:iCs/>
          <w:lang w:val="es-MX"/>
        </w:rPr>
        <w:t>Secop</w:t>
      </w:r>
      <w:proofErr w:type="spellEnd"/>
      <w:r w:rsidRPr="0084579F">
        <w:rPr>
          <w:rFonts w:ascii="Verdana" w:eastAsia="Calibri" w:hAnsi="Verdana" w:cs="Arial"/>
          <w:i/>
          <w:iCs/>
          <w:lang w:val="es-MX"/>
        </w:rPr>
        <w:t xml:space="preserve"> ll los contratos de aprendizaje suscritos con estudiantes o no es necesario”.</w:t>
      </w:r>
    </w:p>
    <w:p w14:paraId="7138B4A0" w14:textId="77777777" w:rsidR="00E26466" w:rsidRPr="00501703" w:rsidRDefault="00E26466" w:rsidP="00E26466">
      <w:pPr>
        <w:tabs>
          <w:tab w:val="left" w:pos="142"/>
          <w:tab w:val="left" w:pos="284"/>
        </w:tabs>
        <w:spacing w:line="276" w:lineRule="auto"/>
        <w:contextualSpacing/>
        <w:jc w:val="both"/>
        <w:rPr>
          <w:rFonts w:ascii="Verdana" w:eastAsia="Century Gothic" w:hAnsi="Verdana" w:cs="Century Gothic"/>
          <w:b/>
          <w:bCs/>
          <w:lang w:val="es-ES"/>
        </w:rPr>
      </w:pPr>
    </w:p>
    <w:p w14:paraId="27765A35" w14:textId="77777777" w:rsidR="00E26466" w:rsidRPr="00501703" w:rsidRDefault="00E26466" w:rsidP="00E26466">
      <w:pPr>
        <w:spacing w:after="120" w:line="276" w:lineRule="auto"/>
        <w:ind w:firstLine="709"/>
        <w:jc w:val="both"/>
        <w:rPr>
          <w:rFonts w:ascii="Verdana" w:eastAsia="Calibri" w:hAnsi="Verdana" w:cs="Arial"/>
          <w:szCs w:val="24"/>
          <w:lang w:val="es-ES_tradnl" w:eastAsia="es-ES_tradnl"/>
        </w:rPr>
      </w:pPr>
      <w:r w:rsidRPr="00501703">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501703">
        <w:rPr>
          <w:rFonts w:ascii="Verdana" w:eastAsia="Calibri" w:hAnsi="Verdana" w:cs="Arial"/>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026F754E" w14:textId="77777777" w:rsidR="00E26466" w:rsidRPr="00501703" w:rsidRDefault="00E26466" w:rsidP="00E26466">
      <w:pPr>
        <w:spacing w:after="0" w:line="276" w:lineRule="auto"/>
        <w:ind w:firstLine="709"/>
        <w:jc w:val="both"/>
        <w:rPr>
          <w:rFonts w:ascii="Verdana" w:eastAsia="Calibri" w:hAnsi="Verdana" w:cs="Arial"/>
          <w:lang w:val="es-ES" w:eastAsia="es-ES"/>
        </w:rPr>
      </w:pPr>
      <w:r w:rsidRPr="00501703">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8F3E0D8" w14:textId="77777777" w:rsidR="00E26466" w:rsidRPr="00501703" w:rsidRDefault="00E26466" w:rsidP="00E26466">
      <w:pPr>
        <w:spacing w:after="0" w:line="276" w:lineRule="auto"/>
        <w:ind w:firstLine="709"/>
        <w:jc w:val="both"/>
        <w:rPr>
          <w:rFonts w:ascii="Verdana" w:eastAsia="Calibri" w:hAnsi="Verdana" w:cs="Arial"/>
          <w:lang w:val="es-ES" w:eastAsia="es-ES"/>
        </w:rPr>
      </w:pPr>
    </w:p>
    <w:p w14:paraId="0F057818" w14:textId="77777777" w:rsidR="00E26466" w:rsidRPr="00501703" w:rsidRDefault="00E26466" w:rsidP="00E26466">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501703">
        <w:rPr>
          <w:rFonts w:ascii="Verdana" w:eastAsia="Arial" w:hAnsi="Verdana" w:cs="Arial"/>
          <w:b/>
          <w:bCs/>
          <w:lang w:val="es-ES"/>
        </w:rPr>
        <w:t>1. Problema planteado:</w:t>
      </w:r>
    </w:p>
    <w:p w14:paraId="5FDCEEF9" w14:textId="77777777" w:rsidR="00E26466" w:rsidRPr="00501703" w:rsidRDefault="00E26466" w:rsidP="00E26466">
      <w:pPr>
        <w:tabs>
          <w:tab w:val="left" w:pos="426"/>
        </w:tabs>
        <w:spacing w:after="0" w:line="276" w:lineRule="auto"/>
        <w:jc w:val="both"/>
        <w:rPr>
          <w:rFonts w:ascii="Verdana" w:eastAsia="Century Gothic" w:hAnsi="Verdana" w:cs="Century Gothic"/>
          <w:lang w:val="es-ES"/>
        </w:rPr>
      </w:pPr>
    </w:p>
    <w:p w14:paraId="39C8B53D" w14:textId="77777777" w:rsidR="00E26466" w:rsidRPr="0084721D" w:rsidRDefault="00E26466" w:rsidP="00E26466">
      <w:pPr>
        <w:spacing w:after="0" w:line="276" w:lineRule="auto"/>
        <w:jc w:val="both"/>
        <w:rPr>
          <w:rFonts w:ascii="Verdana" w:eastAsia="Century Gothic" w:hAnsi="Verdana" w:cs="Century Gothic"/>
        </w:rPr>
      </w:pPr>
      <w:r w:rsidRPr="0084721D">
        <w:rPr>
          <w:rFonts w:ascii="Verdana" w:eastAsia="Century Gothic" w:hAnsi="Verdana" w:cs="Century Gothic"/>
        </w:rPr>
        <w:t>De acuerdo con el contenido de su solicitud, le informamos que la misma se resolverá desde los siguientes problemas jurídicos:</w:t>
      </w:r>
      <w:bookmarkStart w:id="1" w:name="_Hlk171070029"/>
      <w:r w:rsidRPr="0084721D">
        <w:rPr>
          <w:rFonts w:ascii="Verdana" w:eastAsia="Century Gothic" w:hAnsi="Verdana" w:cs="Century Gothic"/>
        </w:rPr>
        <w:t xml:space="preserve"> i)</w:t>
      </w:r>
      <w:r w:rsidRPr="0084721D">
        <w:t xml:space="preserve"> </w:t>
      </w:r>
      <w:r w:rsidRPr="0084721D">
        <w:rPr>
          <w:rFonts w:ascii="Verdana" w:eastAsia="Century Gothic" w:hAnsi="Verdana" w:cs="Century Gothic"/>
        </w:rPr>
        <w:t>¿qué documentos deben cargarse en el SECOP ll?</w:t>
      </w:r>
      <w:r>
        <w:rPr>
          <w:rFonts w:ascii="Verdana" w:eastAsia="Century Gothic" w:hAnsi="Verdana" w:cs="Century Gothic"/>
        </w:rPr>
        <w:t>;</w:t>
      </w:r>
      <w:r w:rsidRPr="0084721D">
        <w:rPr>
          <w:rFonts w:ascii="Verdana" w:eastAsia="Century Gothic" w:hAnsi="Verdana" w:cs="Century Gothic"/>
        </w:rPr>
        <w:t xml:space="preserve"> y </w:t>
      </w:r>
      <w:proofErr w:type="spellStart"/>
      <w:r w:rsidRPr="0084721D">
        <w:rPr>
          <w:rFonts w:ascii="Verdana" w:eastAsia="Century Gothic" w:hAnsi="Verdana" w:cs="Century Gothic"/>
        </w:rPr>
        <w:t>ii</w:t>
      </w:r>
      <w:proofErr w:type="spellEnd"/>
      <w:r w:rsidRPr="0084721D">
        <w:rPr>
          <w:rFonts w:ascii="Verdana" w:eastAsia="Century Gothic" w:hAnsi="Verdana" w:cs="Century Gothic"/>
        </w:rPr>
        <w:t>) ¿</w:t>
      </w:r>
      <w:r>
        <w:rPr>
          <w:rFonts w:ascii="Verdana" w:eastAsia="Century Gothic" w:hAnsi="Verdana" w:cs="Century Gothic"/>
        </w:rPr>
        <w:t>qué son los contratos de aprendizaje</w:t>
      </w:r>
      <w:r w:rsidRPr="0084721D">
        <w:rPr>
          <w:rFonts w:ascii="Verdana" w:eastAsia="Century Gothic" w:hAnsi="Verdana" w:cs="Century Gothic"/>
        </w:rPr>
        <w:t>?</w:t>
      </w:r>
    </w:p>
    <w:p w14:paraId="63DDC12C" w14:textId="77777777" w:rsidR="00E26466" w:rsidRPr="00501703" w:rsidRDefault="00E26466" w:rsidP="00E26466">
      <w:pPr>
        <w:spacing w:after="0" w:line="276" w:lineRule="auto"/>
        <w:jc w:val="both"/>
        <w:rPr>
          <w:rFonts w:ascii="Verdana" w:eastAsia="Calibri" w:hAnsi="Verdana" w:cs="Arial"/>
          <w:lang w:val="es-ES"/>
        </w:rPr>
      </w:pPr>
    </w:p>
    <w:bookmarkEnd w:id="1"/>
    <w:p w14:paraId="4D4890EC" w14:textId="77777777" w:rsidR="00E26466" w:rsidRPr="00501703" w:rsidRDefault="00E26466" w:rsidP="00E26466">
      <w:pPr>
        <w:widowControl w:val="0"/>
        <w:autoSpaceDE w:val="0"/>
        <w:autoSpaceDN w:val="0"/>
        <w:spacing w:before="1" w:after="0" w:line="240" w:lineRule="auto"/>
        <w:jc w:val="both"/>
        <w:outlineLvl w:val="0"/>
        <w:rPr>
          <w:rFonts w:ascii="Verdana" w:eastAsia="Arial" w:hAnsi="Verdana" w:cs="Arial"/>
          <w:b/>
          <w:bCs/>
          <w:lang w:val="es-ES"/>
        </w:rPr>
      </w:pPr>
      <w:r w:rsidRPr="00501703">
        <w:rPr>
          <w:rFonts w:ascii="Verdana" w:eastAsia="Arial" w:hAnsi="Verdana" w:cs="Arial"/>
          <w:b/>
          <w:bCs/>
          <w:lang w:val="es-ES"/>
        </w:rPr>
        <w:t>2. Respuesta:</w:t>
      </w:r>
    </w:p>
    <w:p w14:paraId="73EC82B3" w14:textId="77777777" w:rsidR="00E26466" w:rsidRPr="00501703" w:rsidRDefault="00E26466" w:rsidP="00E26466">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26466" w:rsidRPr="00501703" w14:paraId="075182B4" w14:textId="77777777" w:rsidTr="00AC4589">
        <w:tc>
          <w:tcPr>
            <w:tcW w:w="8828" w:type="dxa"/>
            <w:shd w:val="clear" w:color="auto" w:fill="auto"/>
          </w:tcPr>
          <w:p w14:paraId="535F0C7B" w14:textId="77777777" w:rsidR="00E26466" w:rsidRPr="004A1D83" w:rsidRDefault="00E26466" w:rsidP="00AC4589">
            <w:pPr>
              <w:spacing w:line="276" w:lineRule="auto"/>
              <w:jc w:val="both"/>
              <w:rPr>
                <w:rFonts w:ascii="Verdana" w:eastAsia="Calibri" w:hAnsi="Verdana" w:cs="Arial"/>
              </w:rPr>
            </w:pPr>
            <w:bookmarkStart w:id="2" w:name="_Hlk171067516"/>
            <w:r>
              <w:rPr>
                <w:rFonts w:ascii="Verdana" w:eastAsia="Calibri" w:hAnsi="Verdana" w:cs="Arial"/>
              </w:rPr>
              <w:t xml:space="preserve">i) </w:t>
            </w:r>
            <w:r w:rsidRPr="004A1D83">
              <w:rPr>
                <w:rFonts w:ascii="Verdana" w:eastAsia="Calibri" w:hAnsi="Verdana" w:cs="Arial"/>
              </w:rPr>
              <w:t>Las Entidades Estatales, conforme al artículo 2.2.1.1.1.7.1 del Decreto 1082 de 2015, tienen la obligación de publicar en el Sistema Electrónico para la Contratación Pública –</w:t>
            </w:r>
            <w:r>
              <w:rPr>
                <w:rFonts w:ascii="Verdana" w:eastAsia="Calibri" w:hAnsi="Verdana" w:cs="Arial"/>
              </w:rPr>
              <w:t xml:space="preserve"> </w:t>
            </w:r>
            <w:r w:rsidRPr="004A1D83">
              <w:rPr>
                <w:rFonts w:ascii="Verdana" w:eastAsia="Calibri" w:hAnsi="Verdana" w:cs="Arial"/>
              </w:rPr>
              <w:t xml:space="preserve">SECOP “[…] los Documentos del Proceso y los actos administrativos del Proceso de Contratación […]”. La expresión Documentos del Proceso, está definida en el artículo 2.2.1.1.1.3.1 del referido decreto,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006EA37A" w14:textId="77777777" w:rsidR="00E26466" w:rsidRDefault="00E26466" w:rsidP="00AC4589">
            <w:pPr>
              <w:pStyle w:val="Prrafodelista"/>
              <w:spacing w:line="276" w:lineRule="auto"/>
              <w:ind w:left="1080"/>
              <w:jc w:val="both"/>
              <w:rPr>
                <w:rFonts w:ascii="Verdana" w:eastAsia="Calibri" w:hAnsi="Verdana" w:cs="Arial"/>
              </w:rPr>
            </w:pPr>
          </w:p>
          <w:p w14:paraId="2F823C2A" w14:textId="77777777" w:rsidR="00E26466" w:rsidRPr="004A1D83" w:rsidRDefault="00E26466" w:rsidP="00AC4589">
            <w:pPr>
              <w:spacing w:line="276" w:lineRule="auto"/>
              <w:jc w:val="both"/>
              <w:rPr>
                <w:rFonts w:ascii="Verdana" w:eastAsia="Calibri" w:hAnsi="Verdana" w:cs="Arial"/>
              </w:rPr>
            </w:pPr>
            <w:r w:rsidRPr="004A1D83">
              <w:rPr>
                <w:rFonts w:ascii="Verdana" w:eastAsia="Calibri" w:hAnsi="Verdana" w:cs="Arial"/>
              </w:rPr>
              <w:t xml:space="preserve">En ese sentido, la interpretación sistemática de los preceptos del Decreto 1082 de 2015, de acuerdo con el principio de publicidad, inicialmente, indican que las Entidades Estatales tienen la obligación de publicar todos los documentos que expidan con ocasión </w:t>
            </w:r>
            <w:r>
              <w:rPr>
                <w:rFonts w:ascii="Verdana" w:eastAsia="Calibri" w:hAnsi="Verdana" w:cs="Arial"/>
              </w:rPr>
              <w:t>del procedimiento de contratación estatal</w:t>
            </w:r>
            <w:r w:rsidRPr="004A1D83">
              <w:rPr>
                <w:rFonts w:ascii="Verdana" w:eastAsia="Calibri" w:hAnsi="Verdana" w:cs="Arial"/>
              </w:rPr>
              <w:t xml:space="preserve">, es decir que todos los documentos emitidos por la entidad durante las etapas </w:t>
            </w:r>
            <w:r w:rsidRPr="004A1D83">
              <w:rPr>
                <w:rFonts w:ascii="Verdana" w:eastAsia="Calibri" w:hAnsi="Verdana" w:cs="Arial"/>
              </w:rPr>
              <w:lastRenderedPageBreak/>
              <w:t xml:space="preserve">precontractual, de ejecución y </w:t>
            </w:r>
            <w:proofErr w:type="spellStart"/>
            <w:r w:rsidRPr="004A1D83">
              <w:rPr>
                <w:rFonts w:ascii="Verdana" w:eastAsia="Calibri" w:hAnsi="Verdana" w:cs="Arial"/>
              </w:rPr>
              <w:t>postcontractual</w:t>
            </w:r>
            <w:proofErr w:type="spellEnd"/>
            <w:r w:rsidRPr="004A1D83">
              <w:rPr>
                <w:rFonts w:ascii="Verdana" w:eastAsia="Calibri" w:hAnsi="Verdana" w:cs="Arial"/>
              </w:rPr>
              <w:t xml:space="preserve"> deberán ser publicados en el SECOP ll.</w:t>
            </w:r>
          </w:p>
          <w:p w14:paraId="324ADD9E" w14:textId="77777777" w:rsidR="00E26466" w:rsidRDefault="00E26466" w:rsidP="00AC4589">
            <w:pPr>
              <w:spacing w:line="276" w:lineRule="auto"/>
              <w:jc w:val="both"/>
              <w:rPr>
                <w:rFonts w:ascii="Verdana" w:eastAsia="Calibri" w:hAnsi="Verdana" w:cs="Arial"/>
              </w:rPr>
            </w:pPr>
          </w:p>
          <w:p w14:paraId="7D24CAE0" w14:textId="77777777" w:rsidR="00E26466" w:rsidRDefault="00E26466" w:rsidP="00AC4589">
            <w:pPr>
              <w:spacing w:line="276" w:lineRule="auto"/>
              <w:jc w:val="both"/>
              <w:rPr>
                <w:rFonts w:ascii="Verdana" w:eastAsia="Calibri" w:hAnsi="Verdana" w:cs="Arial"/>
              </w:rPr>
            </w:pPr>
            <w:proofErr w:type="spellStart"/>
            <w:r>
              <w:rPr>
                <w:rFonts w:ascii="Verdana" w:eastAsia="Calibri" w:hAnsi="Verdana" w:cs="Arial"/>
              </w:rPr>
              <w:t>ii</w:t>
            </w:r>
            <w:proofErr w:type="spellEnd"/>
            <w:r>
              <w:rPr>
                <w:rFonts w:ascii="Verdana" w:eastAsia="Calibri" w:hAnsi="Verdana" w:cs="Arial"/>
              </w:rPr>
              <w:t xml:space="preserve">) El artículo 1 del Decreto 933 de 2003, define el contrato de aprendizaje como “una forma especial de vinculación dentro del Derecho Laboral, sin subordinación […] en la que una persona natural recibe formación teórica en una entidad de formación autorizada […]”. En ese sentido, debe precisarse que esta tipología contractual </w:t>
            </w:r>
            <w:bookmarkStart w:id="3" w:name="_Hlk181279793"/>
            <w:r>
              <w:rPr>
                <w:rFonts w:ascii="Verdana" w:eastAsia="Calibri" w:hAnsi="Verdana" w:cs="Arial"/>
              </w:rPr>
              <w:t>no se encuentra incorporada en la noción de contratos estatales, puesto que, de acuerdo con lo indicado en el artículo 32 de la Ley 80 de 1993, estos últimos corresponden a todos los actos jurídicos, cualquiera que sea su denominación, que celebren las entidades a las que se refiere el Estatuto General de Contratación de la Administración Pública –Ley 80 de 1993, Ley 1150 de 2007, Decreto 1082 de 2015 y demás normas que lo complementen y/o adicionen– sobre los que, recae la obligación de publicar en el SECOP II.</w:t>
            </w:r>
          </w:p>
          <w:bookmarkEnd w:id="3"/>
          <w:p w14:paraId="0787FF15" w14:textId="77777777" w:rsidR="00E26466" w:rsidRPr="00501703" w:rsidRDefault="00E26466" w:rsidP="00AC4589">
            <w:pPr>
              <w:spacing w:line="276" w:lineRule="auto"/>
              <w:jc w:val="both"/>
              <w:rPr>
                <w:rFonts w:ascii="Verdana" w:eastAsia="Calibri" w:hAnsi="Verdana" w:cs="Arial"/>
                <w:lang w:val="es-ES"/>
              </w:rPr>
            </w:pPr>
          </w:p>
        </w:tc>
      </w:tr>
      <w:bookmarkEnd w:id="2"/>
    </w:tbl>
    <w:p w14:paraId="5D0FDE19" w14:textId="77777777" w:rsidR="00E26466" w:rsidRPr="00501703" w:rsidRDefault="00E26466" w:rsidP="00E26466">
      <w:pPr>
        <w:widowControl w:val="0"/>
        <w:autoSpaceDE w:val="0"/>
        <w:autoSpaceDN w:val="0"/>
        <w:spacing w:before="1" w:after="0" w:line="240" w:lineRule="auto"/>
        <w:ind w:left="360" w:hanging="360"/>
        <w:outlineLvl w:val="0"/>
        <w:rPr>
          <w:rFonts w:ascii="Verdana" w:eastAsia="Arial" w:hAnsi="Verdana" w:cs="Arial"/>
          <w:b/>
          <w:bCs/>
          <w:lang w:val="es-ES"/>
        </w:rPr>
      </w:pPr>
    </w:p>
    <w:p w14:paraId="44C85374" w14:textId="77777777" w:rsidR="00E26466" w:rsidRPr="00501703" w:rsidRDefault="00E26466" w:rsidP="00E26466">
      <w:pPr>
        <w:widowControl w:val="0"/>
        <w:autoSpaceDE w:val="0"/>
        <w:autoSpaceDN w:val="0"/>
        <w:spacing w:before="1" w:after="0" w:line="240" w:lineRule="auto"/>
        <w:ind w:left="360" w:hanging="360"/>
        <w:outlineLvl w:val="0"/>
        <w:rPr>
          <w:rFonts w:ascii="Verdana" w:eastAsia="Arial" w:hAnsi="Verdana" w:cs="Arial"/>
          <w:b/>
          <w:bCs/>
          <w:lang w:val="es-ES"/>
        </w:rPr>
      </w:pPr>
      <w:r w:rsidRPr="00501703">
        <w:rPr>
          <w:rFonts w:ascii="Verdana" w:eastAsia="Arial" w:hAnsi="Verdana" w:cs="Arial"/>
          <w:b/>
          <w:bCs/>
          <w:lang w:val="es-ES"/>
        </w:rPr>
        <w:t>3. Razones de la respuesta</w:t>
      </w:r>
    </w:p>
    <w:p w14:paraId="543651F8" w14:textId="77777777" w:rsidR="00E26466" w:rsidRPr="00501703" w:rsidRDefault="00E26466" w:rsidP="00E26466">
      <w:pPr>
        <w:spacing w:after="0" w:line="276" w:lineRule="auto"/>
        <w:jc w:val="both"/>
        <w:rPr>
          <w:rFonts w:ascii="Verdana" w:eastAsia="Calibri" w:hAnsi="Verdana" w:cs="Arial"/>
          <w:lang w:val="es-ES"/>
        </w:rPr>
      </w:pPr>
    </w:p>
    <w:p w14:paraId="42F38636" w14:textId="77777777" w:rsidR="00E26466" w:rsidRPr="00501703" w:rsidRDefault="00E26466" w:rsidP="00E26466">
      <w:pPr>
        <w:spacing w:after="0" w:line="276" w:lineRule="auto"/>
        <w:jc w:val="both"/>
        <w:rPr>
          <w:rFonts w:ascii="Verdana" w:eastAsia="Calibri" w:hAnsi="Verdana" w:cs="Arial"/>
          <w:lang w:val="es-ES"/>
        </w:rPr>
      </w:pPr>
      <w:r w:rsidRPr="00501703">
        <w:rPr>
          <w:rFonts w:ascii="Verdana" w:eastAsia="Calibri" w:hAnsi="Verdana" w:cs="Arial"/>
          <w:lang w:val="es-ES"/>
        </w:rPr>
        <w:t xml:space="preserve">Las respuestas anteriores se sustentan en las siguientes consideraciones: </w:t>
      </w:r>
    </w:p>
    <w:p w14:paraId="1370ADC5" w14:textId="77777777" w:rsidR="00E26466" w:rsidRPr="00501703" w:rsidRDefault="00E26466" w:rsidP="00E26466">
      <w:pPr>
        <w:spacing w:after="0" w:line="276" w:lineRule="auto"/>
        <w:contextualSpacing/>
        <w:jc w:val="both"/>
        <w:rPr>
          <w:rFonts w:ascii="Verdana" w:eastAsia="Calibri" w:hAnsi="Verdana" w:cs="Arial"/>
          <w:lang w:val="es-ES"/>
        </w:rPr>
      </w:pPr>
      <w:bookmarkStart w:id="4" w:name="_Hlk173311098"/>
    </w:p>
    <w:p w14:paraId="64C72479" w14:textId="77777777" w:rsidR="00E26466" w:rsidRPr="00501703" w:rsidRDefault="00E26466" w:rsidP="00E26466">
      <w:pPr>
        <w:numPr>
          <w:ilvl w:val="0"/>
          <w:numId w:val="2"/>
        </w:numPr>
        <w:spacing w:after="0" w:line="276" w:lineRule="auto"/>
        <w:contextualSpacing/>
        <w:jc w:val="both"/>
        <w:rPr>
          <w:rFonts w:ascii="Verdana" w:eastAsia="Calibri" w:hAnsi="Verdana" w:cs="Arial"/>
          <w:lang w:val="es-ES"/>
        </w:rPr>
      </w:pPr>
      <w:r w:rsidRPr="00501703">
        <w:rPr>
          <w:rFonts w:ascii="Verdana" w:eastAsia="Calibri" w:hAnsi="Verdana" w:cs="Arial"/>
          <w:lang w:val="es-ES"/>
        </w:rPr>
        <w:t>Uno de los postulados más importantes de un Estado Social de y Democrático de Derecho es el principio de publicidad,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w:t>
      </w:r>
      <w:r w:rsidRPr="00501703">
        <w:rPr>
          <w:rFonts w:ascii="Verdana" w:eastAsia="Calibri" w:hAnsi="Verdana" w:cs="Arial"/>
        </w:rPr>
        <w:t> </w:t>
      </w:r>
    </w:p>
    <w:p w14:paraId="46CF21DB" w14:textId="77777777" w:rsidR="00E26466" w:rsidRPr="00501703" w:rsidRDefault="00E26466" w:rsidP="00E26466">
      <w:pPr>
        <w:spacing w:after="0" w:line="276" w:lineRule="auto"/>
        <w:ind w:left="720"/>
        <w:contextualSpacing/>
        <w:jc w:val="both"/>
        <w:rPr>
          <w:rFonts w:ascii="Verdana" w:eastAsia="Calibri" w:hAnsi="Verdana" w:cs="Arial"/>
          <w:lang w:val="es-ES"/>
        </w:rPr>
      </w:pPr>
    </w:p>
    <w:p w14:paraId="1352979E" w14:textId="77777777" w:rsidR="00E26466" w:rsidRPr="00501703" w:rsidRDefault="00E26466" w:rsidP="00E26466">
      <w:pPr>
        <w:numPr>
          <w:ilvl w:val="0"/>
          <w:numId w:val="2"/>
        </w:numPr>
        <w:spacing w:after="0" w:line="276" w:lineRule="auto"/>
        <w:contextualSpacing/>
        <w:jc w:val="both"/>
        <w:rPr>
          <w:rFonts w:ascii="Verdana" w:eastAsia="Calibri" w:hAnsi="Verdana" w:cs="Arial"/>
          <w:lang w:val="es-ES"/>
        </w:rPr>
      </w:pPr>
      <w:r w:rsidRPr="00501703">
        <w:rPr>
          <w:rFonts w:ascii="Verdana" w:eastAsia="Aptos" w:hAnsi="Verdana" w:cs="Arial"/>
          <w:shd w:val="clear" w:color="auto" w:fill="FFFFFF"/>
        </w:rPr>
        <w:t xml:space="preserve">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w:t>
      </w:r>
      <w:r w:rsidRPr="00501703">
        <w:rPr>
          <w:rFonts w:ascii="Verdana" w:eastAsia="Aptos" w:hAnsi="Verdana" w:cs="Arial"/>
          <w:shd w:val="clear" w:color="auto" w:fill="FFFFFF"/>
        </w:rPr>
        <w:lastRenderedPageBreak/>
        <w:t>contratación realizada con dineros públicos, para lo cual establecerá los patrones a que haya lugar y se encargará de su difusión a través de canales electrónicos</w:t>
      </w:r>
      <w:r w:rsidRPr="00501703">
        <w:rPr>
          <w:rFonts w:ascii="Verdana" w:eastAsia="Calibri" w:hAnsi="Verdana" w:cs="Arial"/>
          <w:color w:val="000000"/>
          <w:vertAlign w:val="superscript"/>
          <w:lang w:val="es-ES_tradnl"/>
        </w:rPr>
        <w:footnoteReference w:id="1"/>
      </w:r>
      <w:r w:rsidRPr="00501703">
        <w:rPr>
          <w:rFonts w:ascii="Verdana" w:eastAsia="Aptos" w:hAnsi="Verdana" w:cs="Arial"/>
          <w:shd w:val="clear" w:color="auto" w:fill="FFFFFF"/>
        </w:rPr>
        <w:t>”</w:t>
      </w:r>
      <w:r w:rsidRPr="00501703">
        <w:rPr>
          <w:rFonts w:ascii="Verdana" w:eastAsia="Calibri" w:hAnsi="Verdana" w:cs="Arial"/>
          <w:color w:val="000000"/>
          <w:lang w:val="es-ES_tradnl"/>
        </w:rPr>
        <w:t>.</w:t>
      </w:r>
    </w:p>
    <w:p w14:paraId="628F3FB2" w14:textId="77777777" w:rsidR="00E26466" w:rsidRPr="00501703" w:rsidRDefault="00E26466" w:rsidP="00E26466">
      <w:pPr>
        <w:spacing w:line="276" w:lineRule="auto"/>
        <w:ind w:left="720"/>
        <w:contextualSpacing/>
        <w:jc w:val="both"/>
        <w:rPr>
          <w:rFonts w:ascii="Verdana" w:eastAsia="Aptos" w:hAnsi="Verdana" w:cs="Arial"/>
          <w:lang w:val="es-ES_tradnl" w:eastAsia="es-MX"/>
        </w:rPr>
      </w:pPr>
    </w:p>
    <w:p w14:paraId="2C8B6B74" w14:textId="77777777" w:rsidR="00E26466" w:rsidRPr="00501703" w:rsidRDefault="00E26466" w:rsidP="00E26466">
      <w:pPr>
        <w:numPr>
          <w:ilvl w:val="0"/>
          <w:numId w:val="3"/>
        </w:numPr>
        <w:spacing w:line="276" w:lineRule="auto"/>
        <w:contextualSpacing/>
        <w:jc w:val="both"/>
        <w:textAlignment w:val="baseline"/>
        <w:rPr>
          <w:rFonts w:ascii="Verdana" w:eastAsia="Aptos" w:hAnsi="Verdana" w:cs="Arial"/>
          <w:lang w:val="es-ES_tradnl" w:eastAsia="es-MX"/>
        </w:rPr>
      </w:pPr>
      <w:r w:rsidRPr="00501703">
        <w:rPr>
          <w:rFonts w:ascii="Verdana" w:eastAsia="Aptos" w:hAnsi="Verdana" w:cs="Arial"/>
          <w:lang w:val="es-ES_tradnl" w:eastAsia="es-MX"/>
        </w:rPr>
        <w:t>En ese sentido, resulta importante resaltar que 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Documentos del Proceso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7BA6082B" w14:textId="77777777" w:rsidR="00E26466" w:rsidRPr="00501703" w:rsidRDefault="00E26466" w:rsidP="00E26466">
      <w:pPr>
        <w:spacing w:line="276" w:lineRule="auto"/>
        <w:ind w:left="720"/>
        <w:contextualSpacing/>
        <w:jc w:val="both"/>
        <w:textAlignment w:val="baseline"/>
        <w:rPr>
          <w:rFonts w:ascii="Verdana" w:eastAsia="Aptos" w:hAnsi="Verdana" w:cs="Arial"/>
          <w:lang w:val="es-ES_tradnl" w:eastAsia="es-MX"/>
        </w:rPr>
      </w:pPr>
    </w:p>
    <w:p w14:paraId="2B946151" w14:textId="77777777" w:rsidR="00E26466" w:rsidRPr="00501703" w:rsidRDefault="00E26466" w:rsidP="00E26466">
      <w:pPr>
        <w:numPr>
          <w:ilvl w:val="0"/>
          <w:numId w:val="3"/>
        </w:numPr>
        <w:spacing w:line="276" w:lineRule="auto"/>
        <w:contextualSpacing/>
        <w:jc w:val="both"/>
        <w:textAlignment w:val="baseline"/>
        <w:rPr>
          <w:rFonts w:ascii="Verdana" w:eastAsia="Aptos" w:hAnsi="Verdana" w:cs="Arial"/>
          <w:lang w:val="es-ES_tradnl" w:eastAsia="es-MX"/>
        </w:rPr>
      </w:pPr>
      <w:r w:rsidRPr="00501703">
        <w:rPr>
          <w:rFonts w:ascii="Verdana" w:eastAsia="Aptos" w:hAnsi="Verdana" w:cs="Arial"/>
          <w:lang w:val="es-ES_tradnl" w:eastAsia="es-MX"/>
        </w:rPr>
        <w:t>En consecuencia,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ibidem,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76663877" w14:textId="77777777" w:rsidR="00E26466" w:rsidRPr="00501703" w:rsidRDefault="00E26466" w:rsidP="00E26466">
      <w:pPr>
        <w:ind w:left="720"/>
        <w:contextualSpacing/>
        <w:rPr>
          <w:rFonts w:ascii="Verdana" w:eastAsia="Aptos" w:hAnsi="Verdana" w:cs="Arial"/>
          <w:lang w:val="es-ES_tradnl" w:eastAsia="es-MX"/>
        </w:rPr>
      </w:pPr>
    </w:p>
    <w:p w14:paraId="4A91177A" w14:textId="77777777" w:rsidR="00E26466" w:rsidRPr="00501703" w:rsidRDefault="00E26466" w:rsidP="00E26466">
      <w:pPr>
        <w:numPr>
          <w:ilvl w:val="0"/>
          <w:numId w:val="3"/>
        </w:numPr>
        <w:spacing w:line="276" w:lineRule="auto"/>
        <w:contextualSpacing/>
        <w:jc w:val="both"/>
        <w:rPr>
          <w:rFonts w:ascii="Verdana" w:eastAsia="Aptos" w:hAnsi="Verdana" w:cs="Arial"/>
          <w:lang w:val="es-ES" w:eastAsia="es-MX"/>
        </w:rPr>
      </w:pPr>
      <w:r w:rsidRPr="504E84A0">
        <w:rPr>
          <w:rFonts w:ascii="Verdana" w:eastAsia="Aptos" w:hAnsi="Verdana" w:cs="Arial"/>
          <w:lang w:val="es-ES" w:eastAsia="es-MX"/>
        </w:rPr>
        <w:t xml:space="preserve">Nótese que la norma hace referencia a los documentos “expedidos por la entidad estatal” durante el </w:t>
      </w:r>
      <w:r>
        <w:rPr>
          <w:rFonts w:ascii="Verdana" w:eastAsia="Aptos" w:hAnsi="Verdana" w:cs="Arial"/>
          <w:lang w:val="es-ES" w:eastAsia="es-MX"/>
        </w:rPr>
        <w:t>P</w:t>
      </w:r>
      <w:r w:rsidRPr="504E84A0">
        <w:rPr>
          <w:rFonts w:ascii="Verdana" w:eastAsia="Aptos" w:hAnsi="Verdana" w:cs="Arial"/>
          <w:lang w:val="es-ES" w:eastAsia="es-MX"/>
        </w:rPr>
        <w:t xml:space="preserve">roceso de </w:t>
      </w:r>
      <w:r>
        <w:rPr>
          <w:rFonts w:ascii="Verdana" w:eastAsia="Aptos" w:hAnsi="Verdana" w:cs="Arial"/>
          <w:lang w:val="es-ES" w:eastAsia="es-MX"/>
        </w:rPr>
        <w:t>C</w:t>
      </w:r>
      <w:r w:rsidRPr="504E84A0">
        <w:rPr>
          <w:rFonts w:ascii="Verdana" w:eastAsia="Aptos" w:hAnsi="Verdana" w:cs="Arial"/>
          <w:lang w:val="es-ES" w:eastAsia="es-MX"/>
        </w:rPr>
        <w:t xml:space="preserve">ontratación, excluyendo de la noción de Documentos del Proceso los expedidos por un sujeto distinto a la entidad, salvo la oferta, la cual se incluye expresamente en el referido artículo 2.2.1.1.1.3.1. En ese sentido, </w:t>
      </w:r>
      <w:bookmarkStart w:id="5" w:name="_Hlk178832591"/>
      <w:r w:rsidRPr="504E84A0">
        <w:rPr>
          <w:rFonts w:ascii="Verdana" w:eastAsia="Aptos" w:hAnsi="Verdana" w:cs="Arial"/>
          <w:lang w:val="es-ES" w:eastAsia="es-MX"/>
        </w:rPr>
        <w:t xml:space="preserve">la interpretación sistemática de los </w:t>
      </w:r>
      <w:r w:rsidRPr="504E84A0">
        <w:rPr>
          <w:rFonts w:ascii="Verdana" w:eastAsia="Aptos" w:hAnsi="Verdana" w:cs="Arial"/>
          <w:lang w:val="es-ES" w:eastAsia="es-MX"/>
        </w:rPr>
        <w:lastRenderedPageBreak/>
        <w:t xml:space="preserve">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w:t>
      </w:r>
      <w:proofErr w:type="spellStart"/>
      <w:r w:rsidRPr="504E84A0">
        <w:rPr>
          <w:rFonts w:ascii="Verdana" w:eastAsia="Aptos" w:hAnsi="Verdana" w:cs="Arial"/>
          <w:lang w:val="es-ES" w:eastAsia="es-MX"/>
        </w:rPr>
        <w:t>postcontractual</w:t>
      </w:r>
      <w:proofErr w:type="spellEnd"/>
      <w:r w:rsidRPr="504E84A0">
        <w:rPr>
          <w:rFonts w:ascii="Verdana" w:eastAsia="Aptos" w:hAnsi="Verdana" w:cs="Arial"/>
          <w:lang w:val="es-ES" w:eastAsia="es-MX"/>
        </w:rPr>
        <w:t xml:space="preserve"> deberán ser publicados en SECOP ll.</w:t>
      </w:r>
    </w:p>
    <w:bookmarkEnd w:id="5"/>
    <w:p w14:paraId="3B3E930A" w14:textId="77777777" w:rsidR="00E26466" w:rsidRPr="00501703" w:rsidRDefault="00E26466" w:rsidP="00E26466">
      <w:pPr>
        <w:ind w:left="720"/>
        <w:contextualSpacing/>
        <w:rPr>
          <w:rFonts w:ascii="Verdana" w:eastAsia="Aptos" w:hAnsi="Verdana" w:cs="Arial"/>
          <w:lang w:val="es-ES_tradnl" w:eastAsia="es-MX"/>
        </w:rPr>
      </w:pPr>
    </w:p>
    <w:p w14:paraId="6A9BB9CD" w14:textId="77777777" w:rsidR="00E26466" w:rsidRDefault="00E26466" w:rsidP="00E26466">
      <w:pPr>
        <w:numPr>
          <w:ilvl w:val="0"/>
          <w:numId w:val="3"/>
        </w:numPr>
        <w:spacing w:after="0"/>
        <w:contextualSpacing/>
        <w:jc w:val="both"/>
        <w:rPr>
          <w:rFonts w:ascii="Verdana" w:eastAsia="Aptos" w:hAnsi="Verdana" w:cs="Arial"/>
          <w:bCs/>
        </w:rPr>
      </w:pPr>
      <w:r w:rsidRPr="00501703">
        <w:rPr>
          <w:rFonts w:ascii="Verdana" w:eastAsia="Aptos" w:hAnsi="Verdana" w:cs="Arial"/>
          <w:bCs/>
        </w:rPr>
        <w:t>Ahora bien, y atendiendo al objeto de la consulta, debe señalarse que</w:t>
      </w:r>
      <w:r>
        <w:rPr>
          <w:rFonts w:ascii="Verdana" w:eastAsia="Aptos" w:hAnsi="Verdana" w:cs="Arial"/>
          <w:bCs/>
        </w:rPr>
        <w:t xml:space="preserve"> el contrato de aprendizaje se encuentra regulado en el Decreto 933 de 2003, que lo define en su artículo 1, de la siguiente forma: </w:t>
      </w:r>
    </w:p>
    <w:p w14:paraId="7333DF23" w14:textId="77777777" w:rsidR="00E26466" w:rsidRDefault="00E26466" w:rsidP="00E26466">
      <w:pPr>
        <w:pStyle w:val="Prrafodelista"/>
        <w:spacing w:after="0" w:line="240" w:lineRule="auto"/>
        <w:ind w:left="1440" w:right="709"/>
        <w:jc w:val="both"/>
        <w:rPr>
          <w:rFonts w:ascii="Verdana" w:eastAsia="Aptos" w:hAnsi="Verdana" w:cs="Vrinda"/>
          <w:sz w:val="20"/>
          <w:szCs w:val="20"/>
          <w:lang w:val="es-ES_tradnl" w:eastAsia="es-MX"/>
        </w:rPr>
      </w:pPr>
    </w:p>
    <w:p w14:paraId="2804309C" w14:textId="77777777" w:rsidR="00E26466" w:rsidRPr="003E0BBE" w:rsidRDefault="00E26466" w:rsidP="00E26466">
      <w:pPr>
        <w:pStyle w:val="Prrafodelista"/>
        <w:spacing w:after="0" w:line="240" w:lineRule="auto"/>
        <w:ind w:left="1440" w:right="709"/>
        <w:jc w:val="both"/>
        <w:rPr>
          <w:rFonts w:ascii="Verdana" w:eastAsia="Aptos" w:hAnsi="Verdana" w:cs="Vrinda"/>
          <w:sz w:val="20"/>
          <w:szCs w:val="20"/>
          <w:lang w:val="es-ES_tradnl" w:eastAsia="es-MX"/>
        </w:rPr>
      </w:pPr>
      <w:r w:rsidRPr="003E0BBE">
        <w:rPr>
          <w:rFonts w:ascii="Verdana" w:eastAsia="Aptos" w:hAnsi="Verdana" w:cs="Vrinda"/>
          <w:sz w:val="20"/>
          <w:szCs w:val="20"/>
          <w:lang w:val="es-ES_tradnl" w:eastAsia="es-MX"/>
        </w:rPr>
        <w:t>“</w:t>
      </w:r>
      <w:r>
        <w:rPr>
          <w:rFonts w:ascii="Verdana" w:eastAsia="Aptos" w:hAnsi="Verdana" w:cs="Vrinda"/>
          <w:sz w:val="20"/>
          <w:szCs w:val="20"/>
          <w:lang w:val="es-ES_tradnl" w:eastAsia="es-MX"/>
        </w:rPr>
        <w:t xml:space="preserve">Características del contrato de aprendizaje. El contrato de aprendizaje es una forma especial de vinculación del Derecho Laboral, sin subordinación y por un plazo no mayor a dos (2) años en la que una persona natural recibe formación teórica en una entidad de formación autorizada con el auspicio de una empresa patrocinadora que </w:t>
      </w:r>
      <w:r w:rsidRPr="00125845">
        <w:rPr>
          <w:rFonts w:ascii="Verdana" w:eastAsia="Aptos" w:hAnsi="Verdana" w:cs="Vrinda"/>
          <w:sz w:val="20"/>
          <w:szCs w:val="20"/>
          <w:lang w:val="es-ES_tradnl" w:eastAsia="es-MX"/>
        </w:rPr>
        <w:t>suministra los medios para que adquiera formación profesional metódica y completa requerida en el oficio, actividad u ocupación dentro del manejo administrativo, operativo, comercial o financiero propios del giro ordinario de las actividades del patrocinador con exclusividad en las actividades propias del aprendizaje y el reconocimiento de un apoyo de sostenimiento que garantice el proceso de aprendizaje y el cual, en ningún caso, constituye salario</w:t>
      </w:r>
      <w:r>
        <w:rPr>
          <w:rFonts w:ascii="Verdana" w:eastAsia="Aptos" w:hAnsi="Verdana" w:cs="Vrinda"/>
          <w:sz w:val="20"/>
          <w:szCs w:val="20"/>
          <w:lang w:val="es-ES_tradnl" w:eastAsia="es-MX"/>
        </w:rPr>
        <w:t>”</w:t>
      </w:r>
      <w:r w:rsidRPr="00125845">
        <w:rPr>
          <w:rFonts w:ascii="Verdana" w:eastAsia="Aptos" w:hAnsi="Verdana" w:cs="Vrinda"/>
          <w:sz w:val="20"/>
          <w:szCs w:val="20"/>
          <w:lang w:val="es-ES_tradnl" w:eastAsia="es-MX"/>
        </w:rPr>
        <w:t>.</w:t>
      </w:r>
    </w:p>
    <w:p w14:paraId="43C9A3EB" w14:textId="77777777" w:rsidR="00E26466" w:rsidRDefault="00E26466" w:rsidP="00E26466">
      <w:pPr>
        <w:pStyle w:val="Prrafodelista"/>
        <w:rPr>
          <w:rFonts w:ascii="Verdana" w:eastAsia="Aptos" w:hAnsi="Verdana" w:cs="Arial"/>
          <w:bCs/>
        </w:rPr>
      </w:pPr>
    </w:p>
    <w:p w14:paraId="29A240A5" w14:textId="77777777" w:rsidR="00E26466" w:rsidRDefault="00E26466" w:rsidP="00E26466">
      <w:pPr>
        <w:pStyle w:val="Prrafodelista"/>
        <w:numPr>
          <w:ilvl w:val="0"/>
          <w:numId w:val="4"/>
        </w:numPr>
        <w:jc w:val="both"/>
        <w:rPr>
          <w:rFonts w:ascii="Verdana" w:eastAsia="Aptos" w:hAnsi="Verdana" w:cs="Arial"/>
          <w:bCs/>
        </w:rPr>
      </w:pPr>
      <w:r>
        <w:rPr>
          <w:rFonts w:ascii="Verdana" w:eastAsia="Aptos" w:hAnsi="Verdana" w:cs="Arial"/>
          <w:bCs/>
        </w:rPr>
        <w:t xml:space="preserve">En ese sentido, resulta a bien aclarar que dicha tipología contractual </w:t>
      </w:r>
      <w:r w:rsidRPr="00125845">
        <w:rPr>
          <w:rFonts w:ascii="Verdana" w:eastAsia="Aptos" w:hAnsi="Verdana" w:cs="Arial"/>
          <w:bCs/>
        </w:rPr>
        <w:t>no se encuentra incorporada en la noción de contratos estatales, puesto que, de acuerdo con lo indicado en el artículo 32 de la Ley 80 de 1993, estos últimos corresponden a todos los actos jurídicos, cualquiera que sea su denominación, que celebren las entidades a las que se refiere el Estatuto General de Contratación de la Administración Pública –Ley 80 de 1993, Ley 1150 de 2007, Decreto 1082 de 2015 y demás normas que lo complementen y/o adicionen– sobre los que, recae la obligación de publicar en el SECOP</w:t>
      </w:r>
      <w:r>
        <w:rPr>
          <w:rFonts w:ascii="Verdana" w:eastAsia="Aptos" w:hAnsi="Verdana" w:cs="Arial"/>
          <w:bCs/>
        </w:rPr>
        <w:t xml:space="preserve"> II</w:t>
      </w:r>
      <w:r w:rsidRPr="00125845">
        <w:rPr>
          <w:rFonts w:ascii="Verdana" w:eastAsia="Aptos" w:hAnsi="Verdana" w:cs="Arial"/>
          <w:bCs/>
        </w:rPr>
        <w:t>.</w:t>
      </w:r>
    </w:p>
    <w:p w14:paraId="5096BE5A" w14:textId="77777777" w:rsidR="00E26466" w:rsidRPr="00501703" w:rsidRDefault="00E26466" w:rsidP="00E26466">
      <w:pPr>
        <w:spacing w:line="276" w:lineRule="auto"/>
        <w:ind w:left="720"/>
        <w:contextualSpacing/>
        <w:rPr>
          <w:rFonts w:ascii="Verdana" w:eastAsia="Aptos" w:hAnsi="Verdana" w:cs="Arial"/>
          <w:color w:val="000000"/>
          <w:shd w:val="clear" w:color="auto" w:fill="FFFFFF"/>
        </w:rPr>
      </w:pPr>
    </w:p>
    <w:bookmarkEnd w:id="4"/>
    <w:p w14:paraId="42115651" w14:textId="77777777" w:rsidR="00E26466" w:rsidRPr="00501703" w:rsidRDefault="00E26466" w:rsidP="00E26466">
      <w:pPr>
        <w:numPr>
          <w:ilvl w:val="0"/>
          <w:numId w:val="3"/>
        </w:numPr>
        <w:spacing w:after="0" w:line="276" w:lineRule="auto"/>
        <w:contextualSpacing/>
        <w:jc w:val="both"/>
        <w:rPr>
          <w:rFonts w:ascii="Verdana" w:eastAsia="Aptos" w:hAnsi="Verdana" w:cs="Arial"/>
          <w:shd w:val="clear" w:color="auto" w:fill="FFFFFF"/>
        </w:rPr>
      </w:pPr>
      <w:r w:rsidRPr="00501703">
        <w:rPr>
          <w:rFonts w:ascii="Verdana" w:eastAsia="Aptos" w:hAnsi="Verdana" w:cs="Arial"/>
          <w:shd w:val="clear" w:color="auto" w:fill="FFFFFF"/>
        </w:rPr>
        <w:t>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p>
    <w:p w14:paraId="2E29302D" w14:textId="77777777" w:rsidR="00E26466" w:rsidRPr="00501703" w:rsidRDefault="00E26466" w:rsidP="00E26466">
      <w:pPr>
        <w:spacing w:after="0" w:line="276" w:lineRule="auto"/>
        <w:ind w:left="720"/>
        <w:contextualSpacing/>
        <w:jc w:val="both"/>
        <w:rPr>
          <w:rFonts w:ascii="Verdana" w:eastAsia="Calibri" w:hAnsi="Verdana" w:cs="Arial"/>
          <w:lang w:val="es-ES"/>
        </w:rPr>
      </w:pPr>
    </w:p>
    <w:p w14:paraId="7D2A0483" w14:textId="77777777" w:rsidR="00E26466" w:rsidRPr="00501703" w:rsidRDefault="00E26466" w:rsidP="00E26466">
      <w:pPr>
        <w:widowControl w:val="0"/>
        <w:autoSpaceDE w:val="0"/>
        <w:autoSpaceDN w:val="0"/>
        <w:spacing w:before="1" w:after="0" w:line="240" w:lineRule="auto"/>
        <w:outlineLvl w:val="0"/>
        <w:rPr>
          <w:rFonts w:ascii="Verdana" w:eastAsia="Arial" w:hAnsi="Verdana" w:cs="Arial"/>
          <w:b/>
          <w:bCs/>
          <w:lang w:val="es-ES"/>
        </w:rPr>
      </w:pPr>
      <w:r w:rsidRPr="00501703">
        <w:rPr>
          <w:rFonts w:ascii="Verdana" w:eastAsia="Arial" w:hAnsi="Verdana" w:cs="Arial"/>
          <w:b/>
          <w:bCs/>
          <w:lang w:val="es-ES"/>
        </w:rPr>
        <w:lastRenderedPageBreak/>
        <w:t>4.Referencias normativas, jurisprudenciales y otras fuentes:</w:t>
      </w:r>
    </w:p>
    <w:p w14:paraId="4FFC1172" w14:textId="77777777" w:rsidR="00E26466" w:rsidRPr="00501703" w:rsidRDefault="00E26466" w:rsidP="00E26466">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26466" w:rsidRPr="00501703" w14:paraId="03A24B4F" w14:textId="77777777" w:rsidTr="00AC4589">
        <w:trPr>
          <w:trHeight w:val="870"/>
        </w:trPr>
        <w:tc>
          <w:tcPr>
            <w:tcW w:w="8647" w:type="dxa"/>
          </w:tcPr>
          <w:p w14:paraId="143625FF" w14:textId="77777777" w:rsidR="00E26466" w:rsidRPr="00501703" w:rsidRDefault="00E26466" w:rsidP="00E26466">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501703">
              <w:rPr>
                <w:rFonts w:ascii="Verdana" w:eastAsia="Calibri" w:hAnsi="Verdana" w:cs="Arial"/>
                <w:lang w:val="es-ES"/>
              </w:rPr>
              <w:t>Ley 80 de 1993. Artículos 4, 5, 12, 14 y 26</w:t>
            </w:r>
          </w:p>
          <w:p w14:paraId="7C5C6A78" w14:textId="77777777" w:rsidR="00E26466" w:rsidRPr="00501703" w:rsidRDefault="00E26466" w:rsidP="00E26466">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501703">
              <w:rPr>
                <w:rFonts w:ascii="Verdana" w:eastAsia="Calibri" w:hAnsi="Verdana" w:cs="Arial"/>
                <w:lang w:val="es-ES"/>
              </w:rPr>
              <w:t>Ley 1150 de 2007. Artículos 17 y 21</w:t>
            </w:r>
          </w:p>
          <w:p w14:paraId="006D7EB3" w14:textId="77777777" w:rsidR="00E26466" w:rsidRPr="00C21EB1" w:rsidRDefault="00E26466" w:rsidP="00E26466">
            <w:pPr>
              <w:widowControl w:val="0"/>
              <w:numPr>
                <w:ilvl w:val="0"/>
                <w:numId w:val="1"/>
              </w:numPr>
              <w:autoSpaceDE w:val="0"/>
              <w:autoSpaceDN w:val="0"/>
              <w:spacing w:line="276" w:lineRule="auto"/>
              <w:contextualSpacing/>
              <w:jc w:val="both"/>
              <w:rPr>
                <w:rFonts w:ascii="Verdana" w:eastAsia="Aptos" w:hAnsi="Verdana" w:cs="Arial"/>
              </w:rPr>
            </w:pPr>
            <w:r>
              <w:rPr>
                <w:rFonts w:ascii="Verdana" w:eastAsia="Aptos" w:hAnsi="Verdana" w:cs="Arial"/>
              </w:rPr>
              <w:t>Decreto 1082 de 2015. Artículo 2.</w:t>
            </w:r>
            <w:r w:rsidRPr="504E84A0">
              <w:rPr>
                <w:rFonts w:ascii="Verdana" w:eastAsia="Aptos" w:hAnsi="Verdana" w:cs="Arial"/>
                <w:lang w:val="es-ES" w:eastAsia="es-MX"/>
              </w:rPr>
              <w:t>2.1.1.1.3.1</w:t>
            </w:r>
            <w:r>
              <w:rPr>
                <w:rFonts w:ascii="Verdana" w:eastAsia="Aptos" w:hAnsi="Verdana" w:cs="Arial"/>
                <w:lang w:val="es-ES" w:eastAsia="es-MX"/>
              </w:rPr>
              <w:t xml:space="preserve"> y </w:t>
            </w:r>
            <w:r w:rsidRPr="00501703">
              <w:rPr>
                <w:rFonts w:ascii="Verdana" w:eastAsia="Aptos" w:hAnsi="Verdana" w:cs="Arial"/>
                <w:lang w:val="es-ES_tradnl" w:eastAsia="es-MX"/>
              </w:rPr>
              <w:t>2.2.1.1.1.7.1</w:t>
            </w:r>
          </w:p>
        </w:tc>
      </w:tr>
    </w:tbl>
    <w:p w14:paraId="042FC49C" w14:textId="77777777" w:rsidR="00E26466" w:rsidRPr="00501703" w:rsidRDefault="00E26466" w:rsidP="00E26466">
      <w:pPr>
        <w:widowControl w:val="0"/>
        <w:autoSpaceDE w:val="0"/>
        <w:autoSpaceDN w:val="0"/>
        <w:spacing w:after="0" w:line="276" w:lineRule="auto"/>
        <w:jc w:val="both"/>
        <w:rPr>
          <w:rFonts w:ascii="Verdana" w:eastAsia="Aptos" w:hAnsi="Verdana" w:cs="Arial"/>
        </w:rPr>
      </w:pPr>
    </w:p>
    <w:p w14:paraId="37964868" w14:textId="77777777" w:rsidR="00E26466" w:rsidRPr="00501703" w:rsidRDefault="00E26466" w:rsidP="00E26466">
      <w:pPr>
        <w:widowControl w:val="0"/>
        <w:autoSpaceDE w:val="0"/>
        <w:autoSpaceDN w:val="0"/>
        <w:spacing w:before="1" w:after="0" w:line="240" w:lineRule="auto"/>
        <w:outlineLvl w:val="0"/>
        <w:rPr>
          <w:rFonts w:ascii="Verdana" w:eastAsia="Arial" w:hAnsi="Verdana" w:cs="Arial"/>
          <w:b/>
          <w:bCs/>
          <w:lang w:val="es-ES"/>
        </w:rPr>
      </w:pPr>
      <w:r w:rsidRPr="00501703">
        <w:rPr>
          <w:rFonts w:ascii="Verdana" w:eastAsia="Arial" w:hAnsi="Verdana" w:cs="Arial"/>
          <w:b/>
          <w:bCs/>
          <w:lang w:val="es-ES"/>
        </w:rPr>
        <w:t>5. Doctrina de la Agencia Nacional de Contratación Pública:</w:t>
      </w:r>
    </w:p>
    <w:p w14:paraId="1B648D09" w14:textId="77777777" w:rsidR="00E26466" w:rsidRPr="00501703" w:rsidRDefault="00E26466" w:rsidP="00E26466">
      <w:pPr>
        <w:widowControl w:val="0"/>
        <w:autoSpaceDE w:val="0"/>
        <w:autoSpaceDN w:val="0"/>
        <w:spacing w:after="0" w:line="276" w:lineRule="auto"/>
        <w:jc w:val="both"/>
        <w:rPr>
          <w:rFonts w:ascii="Verdana" w:eastAsia="Aptos" w:hAnsi="Verdana" w:cs="Arial"/>
        </w:rPr>
      </w:pPr>
    </w:p>
    <w:p w14:paraId="7B834CB6" w14:textId="77777777" w:rsidR="00E26466" w:rsidRPr="00501703" w:rsidRDefault="00E26466" w:rsidP="00E26466">
      <w:pPr>
        <w:widowControl w:val="0"/>
        <w:autoSpaceDE w:val="0"/>
        <w:autoSpaceDN w:val="0"/>
        <w:spacing w:after="0" w:line="276" w:lineRule="auto"/>
        <w:jc w:val="both"/>
        <w:rPr>
          <w:rFonts w:ascii="Verdana" w:eastAsia="Aptos" w:hAnsi="Verdana" w:cs="Arial"/>
          <w:shd w:val="clear" w:color="auto" w:fill="FFFFFF"/>
          <w:lang w:val="es-ES"/>
        </w:rPr>
      </w:pPr>
      <w:r w:rsidRPr="00501703">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501703">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se pronunció sobre la obligación de controlar y vigilar la ejecución de los contratos estatales en los conceptos radicado 4201913000004799 del 30 de agosto de 2019, 4201913000008240 del 20 de diciembre de 2019, C-064 del 28 de febrero de 2020, C-071 del 4 de marzo de 2020, C–077 del 18 de marzo de 2020, C–150 del 18 de marzo de 2020, C–134 del 30 de marzo de 2020, C–180 del 13 de abril de 2020, C-344 del 26 de mayo de 2020, C-414 del 30 de junio de 2021, C-506 de 3 de agosto de 2022, C-579 del 9 de septiembre de 2022, C-577 del 15 de septiembre de 2022, C-620 del 27 de septiembre de 2022, C-650 del 27 de septiembre de 2022, C-679 de 24 de octubre de 2022, C-818 del 28 de noviembre de 2022, C-830 de 28 de noviembre de 2022, C-800 de 29 de noviembre de 2022, C-930 de 30 de diciembre de 2022, C-932 de 30 de diciembre de 2022, C-975 de 8 de marzo de 2032, C-191 de 27 de abril de 2023, C-089 de 2024 de 17 de julio de 2024, C-255 de 14 de agosto de 2024</w:t>
      </w:r>
      <w:r w:rsidRPr="00501703">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501703">
          <w:rPr>
            <w:rFonts w:ascii="Verdana" w:eastAsia="Aptos" w:hAnsi="Verdana" w:cs="Arial"/>
            <w:color w:val="467886"/>
            <w:u w:val="single"/>
            <w:shd w:val="clear" w:color="auto" w:fill="FFFFFF"/>
            <w:lang w:val="es-ES"/>
          </w:rPr>
          <w:t>https://relatoria.colombiacompra.gov.co/</w:t>
        </w:r>
      </w:hyperlink>
      <w:r w:rsidRPr="00501703">
        <w:rPr>
          <w:rFonts w:ascii="Verdana" w:eastAsia="Aptos" w:hAnsi="Verdana" w:cs="Arial"/>
          <w:shd w:val="clear" w:color="auto" w:fill="FFFFFF"/>
          <w:lang w:val="es-ES"/>
        </w:rPr>
        <w:t xml:space="preserve">. </w:t>
      </w:r>
    </w:p>
    <w:p w14:paraId="7722D607" w14:textId="77777777" w:rsidR="00E26466" w:rsidRPr="00501703" w:rsidRDefault="00E26466" w:rsidP="00E26466">
      <w:pPr>
        <w:widowControl w:val="0"/>
        <w:autoSpaceDE w:val="0"/>
        <w:autoSpaceDN w:val="0"/>
        <w:spacing w:after="0" w:line="276" w:lineRule="auto"/>
        <w:jc w:val="both"/>
        <w:rPr>
          <w:rFonts w:ascii="Verdana" w:eastAsia="Aptos" w:hAnsi="Verdana" w:cs="Arial"/>
          <w:shd w:val="clear" w:color="auto" w:fill="FFFFFF"/>
          <w:lang w:val="es-ES"/>
        </w:rPr>
      </w:pPr>
    </w:p>
    <w:p w14:paraId="0E79CAC0" w14:textId="77777777" w:rsidR="00E26466" w:rsidRPr="001F4EEC" w:rsidRDefault="00E26466" w:rsidP="00E26466">
      <w:pPr>
        <w:widowControl w:val="0"/>
        <w:autoSpaceDE w:val="0"/>
        <w:autoSpaceDN w:val="0"/>
        <w:spacing w:after="0" w:line="276" w:lineRule="auto"/>
        <w:jc w:val="both"/>
        <w:rPr>
          <w:rFonts w:ascii="Verdana" w:eastAsia="Aptos" w:hAnsi="Verdana" w:cs="Arial"/>
          <w:shd w:val="clear" w:color="auto" w:fill="FFFFFF"/>
        </w:rPr>
      </w:pPr>
      <w:r w:rsidRPr="001F4EEC">
        <w:rPr>
          <w:rFonts w:ascii="Verdana" w:eastAsia="Aptos" w:hAnsi="Verdana" w:cs="Arial"/>
          <w:shd w:val="clear" w:color="auto" w:fill="FFFFFF"/>
        </w:rPr>
        <w:t xml:space="preserve">También le invitamos a consultar las versiones V y VI de 2024 del Boletín de Relatoría de la Subdirección de Gestión Contractual relacionados con las guías de Plan Anual de Adquisiciones y la </w:t>
      </w:r>
      <w:r>
        <w:rPr>
          <w:rFonts w:ascii="Verdana" w:eastAsia="Aptos" w:hAnsi="Verdana" w:cs="Arial"/>
          <w:shd w:val="clear" w:color="auto" w:fill="FFFFFF"/>
        </w:rPr>
        <w:t>m</w:t>
      </w:r>
      <w:r w:rsidRPr="001F4EEC">
        <w:rPr>
          <w:rFonts w:ascii="Verdana" w:eastAsia="Aptos" w:hAnsi="Verdana" w:cs="Arial"/>
          <w:shd w:val="clear" w:color="auto" w:fill="FFFFFF"/>
        </w:rPr>
        <w:t xml:space="preserve">odalidad de selección de mínima cuantía , los cuales se pueden descargar en la página web de la </w:t>
      </w:r>
      <w:r w:rsidRPr="001F4EEC">
        <w:rPr>
          <w:rFonts w:ascii="Verdana" w:eastAsia="Aptos" w:hAnsi="Verdana" w:cs="Arial"/>
          <w:shd w:val="clear" w:color="auto" w:fill="FFFFFF"/>
        </w:rPr>
        <w:lastRenderedPageBreak/>
        <w:t>Agencia: </w:t>
      </w:r>
      <w:hyperlink r:id="rId13" w:tgtFrame="_blank" w:tooltip="Dirección URL original: https://www.colombiacompra.gov.co/sala-de-prensa/boletin-digital. Haga clic o pulse si confía en este vínculo." w:history="1">
        <w:r w:rsidRPr="001F4EEC">
          <w:rPr>
            <w:rStyle w:val="Hipervnculo"/>
            <w:rFonts w:ascii="Verdana" w:eastAsia="Aptos" w:hAnsi="Verdana" w:cs="Arial"/>
            <w:shd w:val="clear" w:color="auto" w:fill="FFFFFF"/>
          </w:rPr>
          <w:t>https://www.colombiacompra.gov.co/sala-de-prensa/boletin-digital</w:t>
        </w:r>
      </w:hyperlink>
      <w:r w:rsidRPr="001F4EEC">
        <w:rPr>
          <w:rFonts w:ascii="Verdana" w:eastAsia="Aptos" w:hAnsi="Verdana" w:cs="Arial"/>
          <w:shd w:val="clear" w:color="auto" w:fill="FFFFFF"/>
        </w:rPr>
        <w:t> </w:t>
      </w:r>
    </w:p>
    <w:p w14:paraId="7163D321" w14:textId="77777777" w:rsidR="00E26466" w:rsidRDefault="00E26466" w:rsidP="00E26466">
      <w:pPr>
        <w:widowControl w:val="0"/>
        <w:autoSpaceDE w:val="0"/>
        <w:autoSpaceDN w:val="0"/>
        <w:spacing w:after="0" w:line="276" w:lineRule="auto"/>
        <w:jc w:val="both"/>
        <w:rPr>
          <w:rFonts w:ascii="Verdana" w:eastAsia="Aptos" w:hAnsi="Verdana" w:cs="Arial"/>
          <w:shd w:val="clear" w:color="auto" w:fill="FFFFFF"/>
          <w:lang w:val="es-ES"/>
        </w:rPr>
      </w:pPr>
    </w:p>
    <w:p w14:paraId="1DA79FB6" w14:textId="77777777" w:rsidR="00E26466" w:rsidRPr="00501703" w:rsidRDefault="00E26466" w:rsidP="00E26466">
      <w:pPr>
        <w:widowControl w:val="0"/>
        <w:autoSpaceDE w:val="0"/>
        <w:autoSpaceDN w:val="0"/>
        <w:spacing w:after="0" w:line="276" w:lineRule="auto"/>
        <w:jc w:val="both"/>
        <w:rPr>
          <w:rFonts w:ascii="Verdana" w:eastAsia="Aptos" w:hAnsi="Verdana" w:cs="Arial"/>
          <w:shd w:val="clear" w:color="auto" w:fill="FFFFFF"/>
          <w:lang w:val="es-ES"/>
        </w:rPr>
      </w:pPr>
    </w:p>
    <w:p w14:paraId="42A6D35F" w14:textId="77777777" w:rsidR="00E26466" w:rsidRPr="00501703" w:rsidRDefault="00E26466" w:rsidP="00E26466">
      <w:pPr>
        <w:spacing w:after="0" w:line="240" w:lineRule="auto"/>
        <w:jc w:val="both"/>
        <w:rPr>
          <w:rFonts w:ascii="Verdana" w:eastAsia="Aptos" w:hAnsi="Verdana" w:cs="Times New Roman"/>
        </w:rPr>
      </w:pPr>
      <w:r w:rsidRPr="00501703">
        <w:rPr>
          <w:rFonts w:ascii="Verdana" w:eastAsia="Aptos" w:hAnsi="Verdana" w:cs="Times New Roman"/>
        </w:rPr>
        <w:t xml:space="preserve">Por último, lo invitamos a seguirnos en las redes sociales en las cuales se difunde información institucional: </w:t>
      </w:r>
    </w:p>
    <w:p w14:paraId="1507BD94" w14:textId="77777777" w:rsidR="00E26466" w:rsidRPr="00501703" w:rsidRDefault="00E26466" w:rsidP="00E26466">
      <w:pPr>
        <w:spacing w:after="0" w:line="240" w:lineRule="auto"/>
        <w:jc w:val="both"/>
        <w:rPr>
          <w:rFonts w:ascii="Verdana" w:eastAsia="Aptos" w:hAnsi="Verdana" w:cs="Times New Roman"/>
        </w:rPr>
      </w:pPr>
    </w:p>
    <w:p w14:paraId="650096FA" w14:textId="77777777" w:rsidR="00E26466" w:rsidRPr="00501703" w:rsidRDefault="00E26466" w:rsidP="00E26466">
      <w:pPr>
        <w:spacing w:after="0" w:line="240" w:lineRule="auto"/>
        <w:jc w:val="both"/>
        <w:rPr>
          <w:rFonts w:ascii="Verdana" w:eastAsia="Aptos" w:hAnsi="Verdana" w:cs="Times New Roman"/>
        </w:rPr>
      </w:pPr>
      <w:r w:rsidRPr="00501703">
        <w:rPr>
          <w:rFonts w:ascii="Verdana" w:eastAsia="Aptos" w:hAnsi="Verdana" w:cs="Times New Roman"/>
        </w:rPr>
        <w:t xml:space="preserve">Twitter: </w:t>
      </w:r>
      <w:r w:rsidRPr="00501703">
        <w:rPr>
          <w:rFonts w:ascii="Verdana" w:eastAsia="Aptos" w:hAnsi="Verdana" w:cs="Arial"/>
          <w:color w:val="467886"/>
          <w:u w:val="single"/>
          <w:shd w:val="clear" w:color="auto" w:fill="FFFFFF"/>
          <w:lang w:val="es-ES"/>
        </w:rPr>
        <w:t>@colombiacompra</w:t>
      </w:r>
      <w:r w:rsidRPr="00501703">
        <w:rPr>
          <w:rFonts w:ascii="Verdana" w:eastAsia="Aptos" w:hAnsi="Verdana" w:cs="Times New Roman"/>
          <w:color w:val="156082"/>
        </w:rPr>
        <w:t xml:space="preserve"> </w:t>
      </w:r>
    </w:p>
    <w:p w14:paraId="62ACE835" w14:textId="77777777" w:rsidR="00E26466" w:rsidRPr="00501703" w:rsidRDefault="00E26466" w:rsidP="00E26466">
      <w:pPr>
        <w:spacing w:after="0" w:line="240" w:lineRule="auto"/>
        <w:jc w:val="both"/>
        <w:rPr>
          <w:rFonts w:ascii="Verdana" w:eastAsia="Aptos" w:hAnsi="Verdana" w:cs="Times New Roman"/>
        </w:rPr>
      </w:pPr>
      <w:r w:rsidRPr="00501703">
        <w:rPr>
          <w:rFonts w:ascii="Verdana" w:eastAsia="Aptos" w:hAnsi="Verdana" w:cs="Times New Roman"/>
        </w:rPr>
        <w:t xml:space="preserve">Facebook: </w:t>
      </w:r>
      <w:proofErr w:type="spellStart"/>
      <w:r w:rsidRPr="00501703">
        <w:rPr>
          <w:rFonts w:ascii="Verdana" w:eastAsia="Aptos" w:hAnsi="Verdana" w:cs="Arial"/>
          <w:color w:val="467886"/>
          <w:u w:val="single"/>
          <w:shd w:val="clear" w:color="auto" w:fill="FFFFFF"/>
          <w:lang w:val="es-ES"/>
        </w:rPr>
        <w:t>ColombiaCompraEficiente</w:t>
      </w:r>
      <w:proofErr w:type="spellEnd"/>
    </w:p>
    <w:p w14:paraId="1E552EF8" w14:textId="77777777" w:rsidR="00E26466" w:rsidRPr="00501703" w:rsidRDefault="00E26466" w:rsidP="00E26466">
      <w:pPr>
        <w:spacing w:after="0" w:line="240" w:lineRule="auto"/>
        <w:jc w:val="both"/>
        <w:rPr>
          <w:rFonts w:ascii="Verdana" w:eastAsia="Aptos" w:hAnsi="Verdana" w:cs="Times New Roman"/>
        </w:rPr>
      </w:pPr>
      <w:r w:rsidRPr="00501703">
        <w:rPr>
          <w:rFonts w:ascii="Verdana" w:eastAsia="Aptos" w:hAnsi="Verdana" w:cs="Times New Roman"/>
        </w:rPr>
        <w:t xml:space="preserve">LinkedIn: </w:t>
      </w:r>
      <w:r w:rsidRPr="00501703">
        <w:rPr>
          <w:rFonts w:ascii="Verdana" w:eastAsia="Aptos" w:hAnsi="Verdana" w:cs="Arial"/>
          <w:color w:val="467886"/>
          <w:u w:val="single"/>
          <w:shd w:val="clear" w:color="auto" w:fill="FFFFFF"/>
          <w:lang w:val="es-ES"/>
        </w:rPr>
        <w:t>Agencia Nacional de Contratación Pública - Colombia Compra Eficiente</w:t>
      </w:r>
      <w:r w:rsidRPr="00501703">
        <w:rPr>
          <w:rFonts w:ascii="Verdana" w:eastAsia="Aptos" w:hAnsi="Verdana" w:cs="Times New Roman"/>
          <w:color w:val="156082"/>
        </w:rPr>
        <w:t xml:space="preserve"> </w:t>
      </w:r>
      <w:r w:rsidRPr="00501703">
        <w:rPr>
          <w:rFonts w:ascii="Verdana" w:eastAsia="Aptos" w:hAnsi="Verdana" w:cs="Times New Roman"/>
        </w:rPr>
        <w:t xml:space="preserve">Instagram: </w:t>
      </w:r>
      <w:r w:rsidRPr="00501703">
        <w:rPr>
          <w:rFonts w:ascii="Verdana" w:eastAsia="Aptos" w:hAnsi="Verdana" w:cs="Arial"/>
          <w:color w:val="467886"/>
          <w:u w:val="single"/>
          <w:shd w:val="clear" w:color="auto" w:fill="FFFFFF"/>
          <w:lang w:val="es-ES"/>
        </w:rPr>
        <w:t>@colombiacompraeficiente_cce</w:t>
      </w:r>
    </w:p>
    <w:p w14:paraId="44F7A148" w14:textId="77777777" w:rsidR="00E26466" w:rsidRPr="00501703" w:rsidRDefault="00E26466" w:rsidP="00E26466">
      <w:pPr>
        <w:widowControl w:val="0"/>
        <w:autoSpaceDE w:val="0"/>
        <w:autoSpaceDN w:val="0"/>
        <w:spacing w:after="0" w:line="276" w:lineRule="auto"/>
        <w:jc w:val="both"/>
        <w:rPr>
          <w:rFonts w:ascii="Verdana" w:eastAsia="Aptos" w:hAnsi="Verdana" w:cs="Arial"/>
        </w:rPr>
      </w:pPr>
    </w:p>
    <w:p w14:paraId="6AF3220B" w14:textId="77777777" w:rsidR="00E26466" w:rsidRPr="00501703" w:rsidRDefault="00E26466" w:rsidP="00E26466">
      <w:pPr>
        <w:widowControl w:val="0"/>
        <w:autoSpaceDE w:val="0"/>
        <w:autoSpaceDN w:val="0"/>
        <w:spacing w:after="0" w:line="276" w:lineRule="auto"/>
        <w:jc w:val="both"/>
        <w:rPr>
          <w:rFonts w:ascii="Verdana" w:eastAsia="Aptos" w:hAnsi="Verdana" w:cs="Arial"/>
          <w:lang w:val="es-ES_tradnl"/>
        </w:rPr>
      </w:pPr>
      <w:r w:rsidRPr="00501703">
        <w:rPr>
          <w:rFonts w:ascii="Verdana" w:eastAsia="Aptos" w:hAnsi="Verdana" w:cs="Arial"/>
        </w:rPr>
        <w:t xml:space="preserve">Este concepto tiene el alcance previsto en el artículo 28 del Código de Procedimiento Administrativo y de lo Contencioso Administrativo </w:t>
      </w:r>
      <w:r w:rsidRPr="00501703">
        <w:rPr>
          <w:rFonts w:ascii="Verdana" w:eastAsia="Aptos" w:hAnsi="Verdana" w:cs="Arial"/>
          <w:lang w:val="es-ES_tradnl"/>
        </w:rPr>
        <w:t>y las expresiones aquí utilizadas con mayúscula inicial deben ser entendidas con el significado que les otorga el artículo 2.2.1.1.1.3.1. del Decreto 1082 de 2015.</w:t>
      </w:r>
    </w:p>
    <w:p w14:paraId="0C6DE680" w14:textId="77777777" w:rsidR="00E26466" w:rsidRPr="00501703" w:rsidRDefault="00E26466" w:rsidP="00E26466">
      <w:pPr>
        <w:widowControl w:val="0"/>
        <w:autoSpaceDE w:val="0"/>
        <w:autoSpaceDN w:val="0"/>
        <w:spacing w:after="0" w:line="276" w:lineRule="auto"/>
        <w:jc w:val="both"/>
        <w:rPr>
          <w:rFonts w:ascii="Verdana" w:eastAsia="Aptos" w:hAnsi="Verdana" w:cs="Arial"/>
        </w:rPr>
      </w:pPr>
    </w:p>
    <w:p w14:paraId="6F30828E" w14:textId="77777777" w:rsidR="00E26466" w:rsidRDefault="00E26466" w:rsidP="00E26466">
      <w:pPr>
        <w:spacing w:after="0" w:line="240" w:lineRule="auto"/>
        <w:rPr>
          <w:rFonts w:ascii="Verdana" w:eastAsia="Aptos" w:hAnsi="Verdana" w:cs="Arial"/>
          <w:lang w:eastAsia="es-CO"/>
        </w:rPr>
      </w:pPr>
      <w:r w:rsidRPr="00501703">
        <w:rPr>
          <w:rFonts w:ascii="Verdana" w:eastAsia="Times New Roman" w:hAnsi="Verdana" w:cs="Arial"/>
          <w:lang w:eastAsia="es-CO"/>
        </w:rPr>
        <w:t>Atentamente,</w:t>
      </w:r>
      <w:r w:rsidRPr="00501703">
        <w:rPr>
          <w:rFonts w:ascii="Verdana" w:eastAsia="Aptos" w:hAnsi="Verdana" w:cs="Arial"/>
          <w:lang w:eastAsia="es-CO"/>
        </w:rPr>
        <w:t xml:space="preserve"> </w:t>
      </w:r>
    </w:p>
    <w:p w14:paraId="330D7B6C" w14:textId="77777777" w:rsidR="00E26466" w:rsidRPr="00501703" w:rsidRDefault="00E26466" w:rsidP="00E26466">
      <w:pPr>
        <w:spacing w:after="0" w:line="240" w:lineRule="auto"/>
        <w:rPr>
          <w:rFonts w:ascii="Verdana" w:eastAsia="Aptos" w:hAnsi="Verdana" w:cs="Arial"/>
          <w:lang w:eastAsia="es-CO"/>
        </w:rPr>
      </w:pPr>
    </w:p>
    <w:p w14:paraId="27449F33" w14:textId="6620C406" w:rsidR="00E26466" w:rsidRPr="00501703" w:rsidRDefault="00DE49DC" w:rsidP="00E26466">
      <w:pPr>
        <w:spacing w:line="276" w:lineRule="auto"/>
        <w:jc w:val="center"/>
        <w:rPr>
          <w:rFonts w:ascii="Verdana" w:eastAsia="Aptos" w:hAnsi="Verdana" w:cs="Arial"/>
          <w:lang w:val="es-ES_tradnl" w:eastAsia="es-CO"/>
        </w:rPr>
      </w:pPr>
      <w:r w:rsidRPr="00DE49DC">
        <w:rPr>
          <w:rFonts w:ascii="Verdana" w:eastAsia="Aptos" w:hAnsi="Verdana" w:cs="Arial"/>
          <w:noProof/>
          <w:lang w:eastAsia="es-CO"/>
        </w:rPr>
        <w:drawing>
          <wp:inline distT="0" distB="0" distL="0" distR="0" wp14:anchorId="72BD0F72" wp14:editId="53E0C400">
            <wp:extent cx="3771900" cy="1400175"/>
            <wp:effectExtent l="0" t="0" r="0" b="9525"/>
            <wp:docPr id="64607811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DE49DC">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E26466" w:rsidRPr="00501703" w14:paraId="10C6ECB5" w14:textId="77777777" w:rsidTr="00AC4589">
        <w:trPr>
          <w:trHeight w:val="286"/>
        </w:trPr>
        <w:tc>
          <w:tcPr>
            <w:tcW w:w="901" w:type="dxa"/>
            <w:vAlign w:val="center"/>
            <w:hideMark/>
          </w:tcPr>
          <w:p w14:paraId="0E9C2D84" w14:textId="77777777" w:rsidR="00E26466" w:rsidRPr="00501703" w:rsidRDefault="00E26466" w:rsidP="00AC4589">
            <w:pPr>
              <w:rPr>
                <w:rFonts w:ascii="Verdana" w:eastAsia="Aptos" w:hAnsi="Verdana" w:cs="Arial"/>
                <w:sz w:val="14"/>
                <w:szCs w:val="14"/>
                <w:lang w:eastAsia="es-ES"/>
              </w:rPr>
            </w:pPr>
            <w:r w:rsidRPr="00501703">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188AC718" w14:textId="77777777" w:rsidR="00E26466" w:rsidRPr="00501703" w:rsidRDefault="00E26466" w:rsidP="00AC4589">
            <w:pPr>
              <w:rPr>
                <w:rFonts w:ascii="Verdana" w:eastAsia="Aptos" w:hAnsi="Verdana" w:cs="Arial"/>
                <w:sz w:val="14"/>
                <w:szCs w:val="14"/>
                <w:lang w:eastAsia="es-ES"/>
              </w:rPr>
            </w:pPr>
            <w:r w:rsidRPr="00501703">
              <w:rPr>
                <w:rFonts w:ascii="Verdana" w:eastAsia="Aptos" w:hAnsi="Verdana" w:cs="Arial"/>
                <w:sz w:val="14"/>
                <w:szCs w:val="14"/>
                <w:lang w:eastAsia="es-ES"/>
              </w:rPr>
              <w:t>Nasly Yeana Mosquera Rivas</w:t>
            </w:r>
          </w:p>
          <w:p w14:paraId="1F04A8A8" w14:textId="77777777" w:rsidR="00E26466" w:rsidRPr="00501703" w:rsidRDefault="00E26466" w:rsidP="00AC4589">
            <w:pPr>
              <w:rPr>
                <w:rFonts w:ascii="Verdana" w:eastAsia="Aptos" w:hAnsi="Verdana" w:cs="Arial"/>
                <w:sz w:val="14"/>
                <w:szCs w:val="14"/>
                <w:lang w:eastAsia="es-ES"/>
              </w:rPr>
            </w:pPr>
            <w:r w:rsidRPr="00501703">
              <w:rPr>
                <w:rFonts w:ascii="Verdana" w:eastAsia="Aptos" w:hAnsi="Verdana" w:cs="Arial"/>
                <w:sz w:val="14"/>
                <w:szCs w:val="14"/>
                <w:lang w:eastAsia="es-ES"/>
              </w:rPr>
              <w:t>Analista T2–06 de la Subdirección de Gestión Contractual</w:t>
            </w:r>
          </w:p>
        </w:tc>
      </w:tr>
      <w:tr w:rsidR="00E26466" w:rsidRPr="00501703" w14:paraId="4EB38B7E" w14:textId="77777777" w:rsidTr="00AC4589">
        <w:trPr>
          <w:trHeight w:val="299"/>
        </w:trPr>
        <w:tc>
          <w:tcPr>
            <w:tcW w:w="901" w:type="dxa"/>
            <w:vAlign w:val="center"/>
          </w:tcPr>
          <w:p w14:paraId="3A738DA8" w14:textId="77777777" w:rsidR="00E26466" w:rsidRPr="00501703" w:rsidRDefault="00E26466" w:rsidP="00AC4589">
            <w:pPr>
              <w:rPr>
                <w:rFonts w:ascii="Verdana" w:eastAsia="Aptos" w:hAnsi="Verdana" w:cs="Arial"/>
                <w:sz w:val="14"/>
                <w:szCs w:val="14"/>
                <w:lang w:eastAsia="es-ES"/>
              </w:rPr>
            </w:pPr>
            <w:r w:rsidRPr="00501703">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7E0E3ED1" w14:textId="77777777" w:rsidR="00E26466" w:rsidRPr="00501703" w:rsidRDefault="00E26466" w:rsidP="00AC4589">
            <w:pPr>
              <w:rPr>
                <w:rFonts w:ascii="Verdana" w:eastAsia="Aptos" w:hAnsi="Verdana" w:cs="Arial"/>
                <w:sz w:val="14"/>
                <w:szCs w:val="14"/>
                <w:lang w:eastAsia="es-ES"/>
              </w:rPr>
            </w:pPr>
            <w:r>
              <w:rPr>
                <w:rFonts w:ascii="Verdana" w:eastAsia="Aptos" w:hAnsi="Verdana" w:cs="Arial"/>
                <w:sz w:val="14"/>
                <w:szCs w:val="14"/>
                <w:lang w:eastAsia="es-ES"/>
              </w:rPr>
              <w:t xml:space="preserve">Adriana </w:t>
            </w:r>
            <w:proofErr w:type="spellStart"/>
            <w:r>
              <w:rPr>
                <w:rFonts w:ascii="Verdana" w:eastAsia="Aptos" w:hAnsi="Verdana" w:cs="Arial"/>
                <w:sz w:val="14"/>
                <w:szCs w:val="14"/>
                <w:lang w:eastAsia="es-ES"/>
              </w:rPr>
              <w:t>Katerine</w:t>
            </w:r>
            <w:proofErr w:type="spellEnd"/>
            <w:r>
              <w:rPr>
                <w:rFonts w:ascii="Verdana" w:eastAsia="Aptos" w:hAnsi="Verdana" w:cs="Arial"/>
                <w:sz w:val="14"/>
                <w:szCs w:val="14"/>
                <w:lang w:eastAsia="es-ES"/>
              </w:rPr>
              <w:t xml:space="preserve"> López Rodríguez</w:t>
            </w:r>
          </w:p>
          <w:p w14:paraId="038CE180" w14:textId="77777777" w:rsidR="00E26466" w:rsidRPr="00501703" w:rsidRDefault="00E26466" w:rsidP="00AC4589">
            <w:pPr>
              <w:rPr>
                <w:rFonts w:ascii="Verdana" w:eastAsia="Aptos" w:hAnsi="Verdana" w:cs="Arial"/>
                <w:sz w:val="14"/>
                <w:szCs w:val="14"/>
                <w:lang w:eastAsia="es-ES"/>
              </w:rPr>
            </w:pPr>
            <w:r w:rsidRPr="00501703">
              <w:rPr>
                <w:rFonts w:ascii="Verdana" w:eastAsia="Aptos" w:hAnsi="Verdana" w:cs="Arial"/>
                <w:sz w:val="14"/>
                <w:szCs w:val="14"/>
                <w:lang w:eastAsia="es-ES"/>
              </w:rPr>
              <w:t>Contratista de la Subdirección de Gestión Contractual</w:t>
            </w:r>
          </w:p>
        </w:tc>
      </w:tr>
      <w:tr w:rsidR="00E26466" w:rsidRPr="00501703" w14:paraId="36D4F2DD" w14:textId="77777777" w:rsidTr="00AC4589">
        <w:trPr>
          <w:trHeight w:val="272"/>
        </w:trPr>
        <w:tc>
          <w:tcPr>
            <w:tcW w:w="901" w:type="dxa"/>
            <w:vAlign w:val="center"/>
            <w:hideMark/>
          </w:tcPr>
          <w:p w14:paraId="58FB501E" w14:textId="77777777" w:rsidR="00E26466" w:rsidRPr="00501703" w:rsidRDefault="00E26466" w:rsidP="00AC4589">
            <w:pPr>
              <w:rPr>
                <w:rFonts w:ascii="Verdana" w:eastAsia="Aptos" w:hAnsi="Verdana" w:cs="Arial"/>
                <w:sz w:val="14"/>
                <w:szCs w:val="14"/>
                <w:lang w:eastAsia="es-ES"/>
              </w:rPr>
            </w:pPr>
            <w:r w:rsidRPr="00501703">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3C3D6597" w14:textId="77777777" w:rsidR="00E26466" w:rsidRPr="00501703" w:rsidRDefault="00E26466" w:rsidP="00AC4589">
            <w:pPr>
              <w:rPr>
                <w:rFonts w:ascii="Verdana" w:eastAsia="Aptos" w:hAnsi="Verdana" w:cs="Arial"/>
                <w:sz w:val="14"/>
                <w:szCs w:val="14"/>
                <w:lang w:eastAsia="es-ES"/>
              </w:rPr>
            </w:pPr>
            <w:r w:rsidRPr="00501703">
              <w:rPr>
                <w:rFonts w:ascii="Verdana" w:eastAsia="Aptos" w:hAnsi="Verdana" w:cs="Arial"/>
                <w:sz w:val="14"/>
                <w:szCs w:val="14"/>
                <w:lang w:eastAsia="es-ES"/>
              </w:rPr>
              <w:t>Carolina Quintero Gacharná</w:t>
            </w:r>
          </w:p>
          <w:p w14:paraId="1A6F31C4" w14:textId="77777777" w:rsidR="00E26466" w:rsidRPr="00501703" w:rsidRDefault="00E26466" w:rsidP="00AC4589">
            <w:pPr>
              <w:rPr>
                <w:rFonts w:ascii="Verdana" w:eastAsia="Aptos" w:hAnsi="Verdana" w:cs="Arial"/>
                <w:sz w:val="14"/>
                <w:szCs w:val="14"/>
                <w:lang w:eastAsia="es-ES"/>
              </w:rPr>
            </w:pPr>
            <w:r w:rsidRPr="00501703">
              <w:rPr>
                <w:rFonts w:ascii="Verdana" w:eastAsia="Aptos" w:hAnsi="Verdana" w:cs="Arial"/>
                <w:sz w:val="14"/>
                <w:szCs w:val="14"/>
                <w:lang w:eastAsia="es-ES"/>
              </w:rPr>
              <w:t>Subdirectora de Gestión Contractual ANCP – CCE</w:t>
            </w:r>
          </w:p>
        </w:tc>
      </w:tr>
    </w:tbl>
    <w:p w14:paraId="2275C6C7" w14:textId="77777777" w:rsidR="00E26466" w:rsidRPr="00501703" w:rsidRDefault="00E26466" w:rsidP="00E26466">
      <w:pPr>
        <w:spacing w:after="0" w:line="240" w:lineRule="auto"/>
        <w:rPr>
          <w:rFonts w:ascii="Verdana" w:eastAsia="Times New Roman" w:hAnsi="Verdana" w:cs="Arial"/>
          <w:sz w:val="24"/>
          <w:szCs w:val="24"/>
          <w:lang w:eastAsia="es-ES"/>
        </w:rPr>
      </w:pPr>
    </w:p>
    <w:p w14:paraId="1B578681" w14:textId="77777777" w:rsidR="00E26466" w:rsidRPr="00501703" w:rsidRDefault="00E26466" w:rsidP="00E26466">
      <w:pPr>
        <w:rPr>
          <w:rFonts w:ascii="Verdana" w:eastAsia="Aptos" w:hAnsi="Verdana" w:cs="Times New Roman"/>
        </w:rPr>
      </w:pPr>
    </w:p>
    <w:p w14:paraId="47B54C37" w14:textId="77777777" w:rsidR="00E26466" w:rsidRPr="00501703" w:rsidRDefault="00E26466" w:rsidP="00E26466">
      <w:pPr>
        <w:rPr>
          <w:rFonts w:ascii="Verdana" w:eastAsia="Aptos" w:hAnsi="Verdana" w:cs="Times New Roman"/>
        </w:rPr>
      </w:pPr>
    </w:p>
    <w:sectPr w:rsidR="00E26466" w:rsidRPr="00501703" w:rsidSect="00E26466">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A5BE2" w14:textId="77777777" w:rsidR="00735397" w:rsidRDefault="00735397" w:rsidP="00E26466">
      <w:pPr>
        <w:spacing w:after="0" w:line="240" w:lineRule="auto"/>
      </w:pPr>
      <w:r>
        <w:separator/>
      </w:r>
    </w:p>
  </w:endnote>
  <w:endnote w:type="continuationSeparator" w:id="0">
    <w:p w14:paraId="6A297174" w14:textId="77777777" w:rsidR="00735397" w:rsidRDefault="00735397" w:rsidP="00E2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03BA6" w14:textId="77777777" w:rsidR="00382436" w:rsidRDefault="00382436">
    <w:pPr>
      <w:pStyle w:val="Piedepgina"/>
    </w:pPr>
  </w:p>
  <w:p w14:paraId="093D0675" w14:textId="77777777" w:rsidR="00382436" w:rsidRPr="00174B77" w:rsidRDefault="00CF43CA"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52D5DFF" w14:textId="77777777" w:rsidR="00382436" w:rsidRDefault="00CF43CA"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387BA88C" w14:textId="77777777" w:rsidR="00382436" w:rsidRPr="00E41027" w:rsidRDefault="00CF43CA" w:rsidP="00D520D8">
    <w:pPr>
      <w:spacing w:after="0"/>
      <w:jc w:val="both"/>
      <w:rPr>
        <w:rFonts w:ascii="Verdana" w:hAnsi="Verdana"/>
        <w:sz w:val="18"/>
        <w:szCs w:val="18"/>
      </w:rPr>
    </w:pPr>
    <w:r w:rsidRPr="00E41027">
      <w:rPr>
        <w:rFonts w:ascii="Verdana" w:hAnsi="Verdana"/>
        <w:sz w:val="18"/>
        <w:szCs w:val="18"/>
      </w:rPr>
      <w:t>Mesa de servicio: (+57) 601 7456788</w:t>
    </w:r>
  </w:p>
  <w:p w14:paraId="7AFDE370" w14:textId="77777777" w:rsidR="00382436" w:rsidRDefault="00CF43CA"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D2EC4" w14:textId="77777777" w:rsidR="00735397" w:rsidRDefault="00735397" w:rsidP="00E26466">
      <w:pPr>
        <w:spacing w:after="0" w:line="240" w:lineRule="auto"/>
      </w:pPr>
      <w:r>
        <w:separator/>
      </w:r>
    </w:p>
  </w:footnote>
  <w:footnote w:type="continuationSeparator" w:id="0">
    <w:p w14:paraId="56A29F90" w14:textId="77777777" w:rsidR="00735397" w:rsidRDefault="00735397" w:rsidP="00E26466">
      <w:pPr>
        <w:spacing w:after="0" w:line="240" w:lineRule="auto"/>
      </w:pPr>
      <w:r>
        <w:continuationSeparator/>
      </w:r>
    </w:p>
  </w:footnote>
  <w:footnote w:id="1">
    <w:p w14:paraId="4F1A24FE" w14:textId="77777777" w:rsidR="00E26466" w:rsidRPr="00067581" w:rsidRDefault="00E26466" w:rsidP="00E26466">
      <w:pPr>
        <w:pStyle w:val="Textonotapie"/>
        <w:ind w:firstLine="709"/>
        <w:jc w:val="both"/>
        <w:rPr>
          <w:rFonts w:ascii="Verdana" w:hAnsi="Verdana" w:cs="Arial"/>
          <w:color w:val="000000"/>
          <w:sz w:val="8"/>
          <w:szCs w:val="8"/>
        </w:rPr>
      </w:pPr>
      <w:r w:rsidRPr="00067581">
        <w:rPr>
          <w:rStyle w:val="Refdenotaalpie"/>
          <w:rFonts w:ascii="Verdana" w:hAnsi="Verdana" w:cs="Arial"/>
          <w:color w:val="000000"/>
          <w:sz w:val="8"/>
          <w:szCs w:val="8"/>
        </w:rPr>
        <w:footnoteRef/>
      </w:r>
      <w:r w:rsidRPr="00067581">
        <w:rPr>
          <w:rFonts w:ascii="Verdana" w:hAnsi="Verdana" w:cs="Arial"/>
          <w:color w:val="000000"/>
          <w:sz w:val="8"/>
          <w:szCs w:val="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90A0D19" w14:textId="77777777" w:rsidR="00E26466" w:rsidRPr="00067581" w:rsidRDefault="00E26466" w:rsidP="00E26466">
      <w:pPr>
        <w:pStyle w:val="Textonotapie"/>
        <w:ind w:firstLine="709"/>
        <w:jc w:val="both"/>
        <w:rPr>
          <w:rFonts w:ascii="Verdana" w:hAnsi="Verdana" w:cs="Arial"/>
          <w:color w:val="000000"/>
          <w:sz w:val="8"/>
          <w:szCs w:val="8"/>
        </w:rPr>
      </w:pPr>
      <w:r w:rsidRPr="00067581">
        <w:rPr>
          <w:rFonts w:ascii="Verdana" w:hAnsi="Verdana" w:cs="Arial"/>
          <w:color w:val="000000"/>
          <w:sz w:val="8"/>
          <w:szCs w:val="8"/>
        </w:rPr>
        <w:t>Lo anterior, sin perjuicio de las publicaciones previstas en el numeral 3 del artículo 30 de la Ley 80 de 1993.</w:t>
      </w:r>
    </w:p>
    <w:p w14:paraId="51A55657" w14:textId="77777777" w:rsidR="00E26466" w:rsidRPr="00067581" w:rsidRDefault="00E26466" w:rsidP="00E26466">
      <w:pPr>
        <w:pStyle w:val="Textonotapie"/>
        <w:ind w:firstLine="709"/>
        <w:jc w:val="both"/>
        <w:rPr>
          <w:rFonts w:ascii="Verdana" w:hAnsi="Verdana" w:cs="Arial"/>
          <w:color w:val="000000"/>
          <w:sz w:val="8"/>
          <w:szCs w:val="8"/>
        </w:rPr>
      </w:pPr>
      <w:r w:rsidRPr="00067581">
        <w:rPr>
          <w:rFonts w:ascii="Verdana" w:hAnsi="Verdana" w:cs="Arial"/>
          <w:color w:val="000000"/>
          <w:sz w:val="8"/>
          <w:szCs w:val="8"/>
        </w:rPr>
        <w:t xml:space="preserve">Con el fin de materializar los objetivos a que se refiere el inciso anterior, el Gobierno Nacional desarrollará el Sistema Electrónico para la Contratación Pública, Secop, el cual: </w:t>
      </w:r>
    </w:p>
    <w:p w14:paraId="4EEE34C7" w14:textId="77777777" w:rsidR="00E26466" w:rsidRPr="00067581" w:rsidRDefault="00E26466" w:rsidP="00E26466">
      <w:pPr>
        <w:pStyle w:val="Textonotapie"/>
        <w:ind w:firstLine="709"/>
        <w:jc w:val="both"/>
        <w:rPr>
          <w:rFonts w:ascii="Verdana" w:hAnsi="Verdana" w:cs="Arial"/>
          <w:color w:val="000000"/>
          <w:sz w:val="8"/>
          <w:szCs w:val="8"/>
        </w:rPr>
      </w:pPr>
      <w:r w:rsidRPr="00067581">
        <w:rPr>
          <w:rFonts w:ascii="Verdana" w:hAnsi="Verdana" w:cs="Arial"/>
          <w:color w:val="000000"/>
          <w:sz w:val="8"/>
          <w:szCs w:val="8"/>
        </w:rPr>
        <w:t>[…]</w:t>
      </w:r>
    </w:p>
    <w:p w14:paraId="236B82B9" w14:textId="77777777" w:rsidR="00E26466" w:rsidRPr="00067581" w:rsidRDefault="00E26466" w:rsidP="00E26466">
      <w:pPr>
        <w:pStyle w:val="Textonotapie"/>
        <w:ind w:firstLine="709"/>
        <w:jc w:val="both"/>
        <w:rPr>
          <w:rFonts w:ascii="Verdana" w:hAnsi="Verdana" w:cs="Arial"/>
          <w:color w:val="000000"/>
          <w:sz w:val="8"/>
          <w:szCs w:val="8"/>
        </w:rPr>
      </w:pPr>
      <w:r w:rsidRPr="00067581">
        <w:rPr>
          <w:rFonts w:ascii="Verdana" w:hAnsi="Verdana" w:cs="Arial"/>
          <w:color w:val="000000"/>
          <w:sz w:val="8"/>
          <w:szCs w:val="8"/>
        </w:rPr>
        <w:t xml:space="preserve">c) Contará con la información oficial de la contratación realizada con dineros públicos, para lo cual establecerá los patrones a que haya lugar y se encargará de su difusión a través de canales electrónico”. </w:t>
      </w:r>
    </w:p>
    <w:p w14:paraId="6E82B12C" w14:textId="77777777" w:rsidR="00E26466" w:rsidRPr="00067581" w:rsidRDefault="00E26466" w:rsidP="00E26466">
      <w:pPr>
        <w:pStyle w:val="Textonotapie"/>
        <w:ind w:firstLine="709"/>
        <w:jc w:val="both"/>
        <w:rPr>
          <w:rFonts w:ascii="Verdana" w:hAnsi="Verdana" w:cs="Arial"/>
          <w:color w:val="000000"/>
          <w:sz w:val="8"/>
          <w:szCs w:val="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3C724" w14:textId="77777777" w:rsidR="00382436" w:rsidRDefault="00CF43CA">
    <w:pPr>
      <w:pStyle w:val="Encabezado"/>
    </w:pPr>
    <w:r>
      <w:rPr>
        <w:rFonts w:ascii="Geomanist Bold" w:hAnsi="Geomanist Bold"/>
        <w:b/>
        <w:bCs/>
        <w:noProof/>
        <w:color w:val="002060"/>
        <w:sz w:val="24"/>
        <w:szCs w:val="24"/>
      </w:rPr>
      <w:drawing>
        <wp:anchor distT="0" distB="0" distL="114300" distR="114300" simplePos="0" relativeHeight="251659264" behindDoc="1" locked="0" layoutInCell="1" allowOverlap="1" wp14:anchorId="40653694" wp14:editId="05EB956D">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7216" behindDoc="0" locked="0" layoutInCell="1" allowOverlap="1" wp14:anchorId="39D018EA" wp14:editId="7F58AA3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58B881F" w14:textId="77777777" w:rsidR="00382436" w:rsidRDefault="00382436">
    <w:pPr>
      <w:pStyle w:val="Encabezado"/>
    </w:pPr>
  </w:p>
  <w:p w14:paraId="74F1D125" w14:textId="77777777" w:rsidR="00382436" w:rsidRDefault="00382436" w:rsidP="004A305D">
    <w:pPr>
      <w:spacing w:after="0"/>
      <w:rPr>
        <w:rFonts w:ascii="Verdana" w:hAnsi="Verdan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BC39DA"/>
    <w:multiLevelType w:val="hybridMultilevel"/>
    <w:tmpl w:val="635C5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CD33FF"/>
    <w:multiLevelType w:val="hybridMultilevel"/>
    <w:tmpl w:val="907211E6"/>
    <w:lvl w:ilvl="0" w:tplc="240A0001">
      <w:start w:val="1"/>
      <w:numFmt w:val="bullet"/>
      <w:lvlText w:val=""/>
      <w:lvlJc w:val="left"/>
      <w:pPr>
        <w:ind w:left="720" w:hanging="360"/>
      </w:pPr>
      <w:rPr>
        <w:rFonts w:ascii="Symbol" w:hAnsi="Symbol" w:hint="default"/>
      </w:rPr>
    </w:lvl>
    <w:lvl w:ilvl="1" w:tplc="8F6A3E4E">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66"/>
    <w:rsid w:val="00067581"/>
    <w:rsid w:val="001D1757"/>
    <w:rsid w:val="00382436"/>
    <w:rsid w:val="00431E01"/>
    <w:rsid w:val="00735397"/>
    <w:rsid w:val="008E6A63"/>
    <w:rsid w:val="00CF43CA"/>
    <w:rsid w:val="00DE49DC"/>
    <w:rsid w:val="00E264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A000"/>
  <w15:chartTrackingRefBased/>
  <w15:docId w15:val="{B3FDA746-85EC-473A-BB8D-F417B6BB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466"/>
    <w:pPr>
      <w:spacing w:line="259" w:lineRule="auto"/>
    </w:pPr>
    <w:rPr>
      <w:kern w:val="0"/>
      <w:sz w:val="22"/>
      <w:szCs w:val="22"/>
      <w14:ligatures w14:val="none"/>
    </w:rPr>
  </w:style>
  <w:style w:type="paragraph" w:styleId="Ttulo1">
    <w:name w:val="heading 1"/>
    <w:basedOn w:val="Normal"/>
    <w:next w:val="Normal"/>
    <w:link w:val="Ttulo1Car"/>
    <w:uiPriority w:val="9"/>
    <w:qFormat/>
    <w:rsid w:val="00E26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6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64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64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64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64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64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64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64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64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64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64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64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64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64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64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64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6466"/>
    <w:rPr>
      <w:rFonts w:eastAsiaTheme="majorEastAsia" w:cstheme="majorBidi"/>
      <w:color w:val="272727" w:themeColor="text1" w:themeTint="D8"/>
    </w:rPr>
  </w:style>
  <w:style w:type="paragraph" w:styleId="Ttulo">
    <w:name w:val="Title"/>
    <w:basedOn w:val="Normal"/>
    <w:next w:val="Normal"/>
    <w:link w:val="TtuloCar"/>
    <w:uiPriority w:val="10"/>
    <w:qFormat/>
    <w:rsid w:val="00E26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64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64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64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6466"/>
    <w:pPr>
      <w:spacing w:before="160"/>
      <w:jc w:val="center"/>
    </w:pPr>
    <w:rPr>
      <w:i/>
      <w:iCs/>
      <w:color w:val="404040" w:themeColor="text1" w:themeTint="BF"/>
    </w:rPr>
  </w:style>
  <w:style w:type="character" w:customStyle="1" w:styleId="CitaCar">
    <w:name w:val="Cita Car"/>
    <w:basedOn w:val="Fuentedeprrafopredeter"/>
    <w:link w:val="Cita"/>
    <w:uiPriority w:val="29"/>
    <w:rsid w:val="00E26466"/>
    <w:rPr>
      <w:i/>
      <w:iCs/>
      <w:color w:val="404040" w:themeColor="text1" w:themeTint="BF"/>
    </w:rPr>
  </w:style>
  <w:style w:type="paragraph" w:styleId="Prrafodelista">
    <w:name w:val="List Paragraph"/>
    <w:basedOn w:val="Normal"/>
    <w:uiPriority w:val="34"/>
    <w:qFormat/>
    <w:rsid w:val="00E26466"/>
    <w:pPr>
      <w:ind w:left="720"/>
      <w:contextualSpacing/>
    </w:pPr>
  </w:style>
  <w:style w:type="character" w:styleId="nfasisintenso">
    <w:name w:val="Intense Emphasis"/>
    <w:basedOn w:val="Fuentedeprrafopredeter"/>
    <w:uiPriority w:val="21"/>
    <w:qFormat/>
    <w:rsid w:val="00E26466"/>
    <w:rPr>
      <w:i/>
      <w:iCs/>
      <w:color w:val="0F4761" w:themeColor="accent1" w:themeShade="BF"/>
    </w:rPr>
  </w:style>
  <w:style w:type="paragraph" w:styleId="Citadestacada">
    <w:name w:val="Intense Quote"/>
    <w:basedOn w:val="Normal"/>
    <w:next w:val="Normal"/>
    <w:link w:val="CitadestacadaCar"/>
    <w:uiPriority w:val="30"/>
    <w:qFormat/>
    <w:rsid w:val="00E26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6466"/>
    <w:rPr>
      <w:i/>
      <w:iCs/>
      <w:color w:val="0F4761" w:themeColor="accent1" w:themeShade="BF"/>
    </w:rPr>
  </w:style>
  <w:style w:type="character" w:styleId="Referenciaintensa">
    <w:name w:val="Intense Reference"/>
    <w:basedOn w:val="Fuentedeprrafopredeter"/>
    <w:uiPriority w:val="32"/>
    <w:qFormat/>
    <w:rsid w:val="00E26466"/>
    <w:rPr>
      <w:b/>
      <w:bCs/>
      <w:smallCaps/>
      <w:color w:val="0F4761" w:themeColor="accent1" w:themeShade="BF"/>
      <w:spacing w:val="5"/>
    </w:rPr>
  </w:style>
  <w:style w:type="paragraph" w:styleId="Encabezado">
    <w:name w:val="header"/>
    <w:basedOn w:val="Normal"/>
    <w:link w:val="EncabezadoCar"/>
    <w:uiPriority w:val="99"/>
    <w:unhideWhenUsed/>
    <w:rsid w:val="00E26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6466"/>
    <w:rPr>
      <w:kern w:val="0"/>
      <w:sz w:val="22"/>
      <w:szCs w:val="22"/>
      <w14:ligatures w14:val="none"/>
    </w:rPr>
  </w:style>
  <w:style w:type="paragraph" w:styleId="Piedepgina">
    <w:name w:val="footer"/>
    <w:basedOn w:val="Normal"/>
    <w:link w:val="PiedepginaCar"/>
    <w:uiPriority w:val="99"/>
    <w:unhideWhenUsed/>
    <w:rsid w:val="00E26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6466"/>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2646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E26466"/>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E26466"/>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E26466"/>
    <w:rPr>
      <w:vertAlign w:val="superscript"/>
    </w:rPr>
  </w:style>
  <w:style w:type="table" w:styleId="Tablaconcuadrcula">
    <w:name w:val="Table Grid"/>
    <w:basedOn w:val="Tablanormal"/>
    <w:uiPriority w:val="39"/>
    <w:qFormat/>
    <w:rsid w:val="00E2646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26466"/>
    <w:rPr>
      <w:color w:val="0000FF"/>
      <w:u w:val="single"/>
    </w:rPr>
  </w:style>
  <w:style w:type="paragraph" w:customStyle="1" w:styleId="Appelnotedebasde">
    <w:name w:val="Appel note de bas de..."/>
    <w:basedOn w:val="Normal"/>
    <w:link w:val="Refdenotaalpie"/>
    <w:uiPriority w:val="99"/>
    <w:rsid w:val="00E26466"/>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E2646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nasly.mosquera%40colombiacompra.gov.co%7C096eca3fdcca424ff1c708dcf932f947%7C7b09041e245149d08cb179d5e3d8c1be%7C0%7C0%7C638659244554752794%7CUnknown%7CTWFpbGZsb3d8eyJWIjoiMC4wLjAwMDAiLCJQIjoiV2luMzIiLCJBTiI6Ik1haWwiLCJXVCI6Mn0%3D%7C0%7C%7C%7C&amp;sdata=MLPzXykOuNOgfjychiW1hUeLyZnQU5IBrc%2BD1DfNdao%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scaralape1@hot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E2A50-2AE3-4290-A51E-438BD66F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E1E44-C85E-49AE-B0DC-05F32AAB37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9C69EFEF-7AA1-4BA7-842F-B46CD220D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2681</Words>
  <Characters>14746</Characters>
  <Application>Microsoft Office Word</Application>
  <DocSecurity>0</DocSecurity>
  <Lines>122</Lines>
  <Paragraphs>34</Paragraphs>
  <ScaleCrop>false</ScaleCrop>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cp:lastModifiedBy>
  <cp:revision>2</cp:revision>
  <dcterms:created xsi:type="dcterms:W3CDTF">2024-11-19T20:12:00Z</dcterms:created>
  <dcterms:modified xsi:type="dcterms:W3CDTF">2024-11-19T20:12:00Z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