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735E" w14:textId="77777777" w:rsidR="009C2DD0" w:rsidRPr="002C379A" w:rsidRDefault="009C2DD0">
      <w:pPr>
        <w:rPr>
          <w:rFonts w:ascii="Verdana" w:hAnsi="Verdana" w:cs="Arial"/>
          <w:b/>
          <w:bCs/>
          <w:lang w:val="es-ES" w:eastAsia="es-ES"/>
        </w:rPr>
      </w:pPr>
      <w:bookmarkStart w:id="0" w:name="_Hlk143780582"/>
      <w:r w:rsidRPr="002C379A">
        <w:rPr>
          <w:rFonts w:ascii="Verdana" w:hAnsi="Verdana" w:cs="Arial"/>
          <w:b/>
          <w:bCs/>
          <w:lang w:val="es-ES" w:eastAsia="es-ES"/>
        </w:rPr>
        <w:t>SELECCIÓN ABREVIADA – Marco normativo</w:t>
      </w:r>
    </w:p>
    <w:p w14:paraId="1C8A7F89" w14:textId="5BD94527" w:rsidR="009C2DD0" w:rsidRPr="003528DF" w:rsidRDefault="003528DF" w:rsidP="003528DF">
      <w:pPr>
        <w:jc w:val="both"/>
        <w:rPr>
          <w:rFonts w:ascii="Verdana" w:hAnsi="Verdana" w:cs="Arial"/>
          <w:sz w:val="20"/>
          <w:szCs w:val="20"/>
          <w:lang w:val="es-ES" w:eastAsia="es-ES"/>
        </w:rPr>
      </w:pPr>
      <w:r w:rsidRPr="003528DF">
        <w:rPr>
          <w:rFonts w:ascii="Verdana" w:eastAsia="Calibri" w:hAnsi="Verdana" w:cs="Arial"/>
          <w:bCs/>
          <w:sz w:val="20"/>
          <w:szCs w:val="20"/>
          <w:lang w:val="es-MX" w:eastAsia="es-ES_tradnl"/>
        </w:rPr>
        <w:t xml:space="preserve">Respecto a la selección abreviada, </w:t>
      </w:r>
      <w:r w:rsidRPr="003528DF">
        <w:rPr>
          <w:rFonts w:ascii="Verdana" w:eastAsia="Calibri" w:hAnsi="Verdana" w:cs="Arial"/>
          <w:sz w:val="20"/>
          <w:szCs w:val="20"/>
        </w:rPr>
        <w:t xml:space="preserve">el numeral 2 del artículo 2 de la Ley 1150 de 2007 dispone que “[…] corresponde a la modalidad de selección objetiva prevista para aquellos casos en </w:t>
      </w:r>
      <w:proofErr w:type="gramStart"/>
      <w:r w:rsidRPr="003528DF">
        <w:rPr>
          <w:rFonts w:ascii="Verdana" w:eastAsia="Calibri" w:hAnsi="Verdana" w:cs="Arial"/>
          <w:sz w:val="20"/>
          <w:szCs w:val="20"/>
        </w:rPr>
        <w:t>que</w:t>
      </w:r>
      <w:proofErr w:type="gramEnd"/>
      <w:r w:rsidRPr="003528DF">
        <w:rPr>
          <w:rFonts w:ascii="Verdana" w:eastAsia="Calibri" w:hAnsi="Verdana" w:cs="Arial"/>
          <w:sz w:val="20"/>
          <w:szCs w:val="20"/>
        </w:rPr>
        <w:t xml:space="preserv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Pr>
          <w:rFonts w:ascii="Verdana" w:eastAsia="Calibri" w:hAnsi="Verdana" w:cs="Arial"/>
          <w:sz w:val="20"/>
          <w:szCs w:val="20"/>
        </w:rPr>
        <w:t>.</w:t>
      </w:r>
    </w:p>
    <w:p w14:paraId="62D5B8B0" w14:textId="387791CF" w:rsidR="009C2DD0" w:rsidRPr="002C379A" w:rsidRDefault="009C2DD0">
      <w:pPr>
        <w:rPr>
          <w:rFonts w:ascii="Verdana" w:hAnsi="Verdana" w:cs="Arial"/>
          <w:b/>
          <w:bCs/>
          <w:lang w:val="es-ES" w:eastAsia="es-ES"/>
        </w:rPr>
      </w:pPr>
      <w:r w:rsidRPr="002C379A">
        <w:rPr>
          <w:rFonts w:ascii="Verdana" w:hAnsi="Verdana" w:cs="Arial"/>
          <w:b/>
          <w:bCs/>
          <w:lang w:val="es-ES" w:eastAsia="es-ES"/>
        </w:rPr>
        <w:t xml:space="preserve">BIENES Y SERVICIOS DE CARACTERÍSTICAS TÉCNICAS UNIFORMES – Definición </w:t>
      </w:r>
    </w:p>
    <w:p w14:paraId="7585D0F6" w14:textId="1E5B01A8" w:rsidR="009C2DD0" w:rsidRPr="003528DF" w:rsidRDefault="003528DF" w:rsidP="003528DF">
      <w:pPr>
        <w:jc w:val="both"/>
        <w:rPr>
          <w:rFonts w:ascii="Verdana" w:hAnsi="Verdana" w:cs="Arial"/>
          <w:sz w:val="20"/>
          <w:szCs w:val="20"/>
          <w:lang w:val="es-ES" w:eastAsia="es-ES"/>
        </w:rPr>
      </w:pPr>
      <w:r w:rsidRPr="003528DF">
        <w:rPr>
          <w:rFonts w:ascii="Verdana" w:eastAsia="Calibri" w:hAnsi="Verdana" w:cs="Arial"/>
          <w:bCs/>
          <w:color w:val="000000" w:themeColor="text1"/>
          <w:sz w:val="20"/>
          <w:szCs w:val="20"/>
        </w:rPr>
        <w:t>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w:t>
      </w:r>
    </w:p>
    <w:p w14:paraId="239D0C90" w14:textId="77777777" w:rsidR="009C2DD0" w:rsidRPr="002C379A" w:rsidRDefault="009C2DD0">
      <w:pPr>
        <w:rPr>
          <w:rFonts w:ascii="Verdana" w:hAnsi="Verdana" w:cs="Arial"/>
          <w:b/>
          <w:bCs/>
          <w:lang w:val="es-ES" w:eastAsia="es-ES"/>
        </w:rPr>
      </w:pPr>
      <w:r w:rsidRPr="002C379A">
        <w:rPr>
          <w:rFonts w:ascii="Verdana" w:hAnsi="Verdana" w:cs="Arial"/>
          <w:b/>
          <w:bCs/>
          <w:lang w:val="es-ES" w:eastAsia="es-ES"/>
        </w:rPr>
        <w:t xml:space="preserve">BIENES Y SERVICIOS DE CARACTERÍSTICAS TÉCNICAS UNIFORMES ‒ Características – Formas de adquisición </w:t>
      </w:r>
    </w:p>
    <w:p w14:paraId="6E01F820" w14:textId="3180733B" w:rsidR="009C2DD0" w:rsidRPr="003528DF" w:rsidRDefault="003528DF" w:rsidP="003528DF">
      <w:pPr>
        <w:jc w:val="both"/>
        <w:rPr>
          <w:rFonts w:ascii="Verdana" w:hAnsi="Verdana" w:cs="Arial"/>
          <w:sz w:val="20"/>
          <w:szCs w:val="20"/>
          <w:lang w:val="es-ES" w:eastAsia="es-ES"/>
        </w:rPr>
      </w:pPr>
      <w:r w:rsidRPr="003528DF">
        <w:rPr>
          <w:rFonts w:ascii="Verdana" w:eastAsia="Calibri" w:hAnsi="Verdana" w:cs="Arial"/>
          <w:bCs/>
          <w:color w:val="000000" w:themeColor="text1"/>
          <w:sz w:val="20"/>
          <w:szCs w:val="20"/>
        </w:rPr>
        <w:t>Igualmente, el inciso segundo del literal a) del artículo 2, numeral 2 de la Ley 1150 de 2007 dispone que “</w:t>
      </w:r>
      <w:r w:rsidRPr="003528DF">
        <w:rPr>
          <w:rFonts w:ascii="Verdana" w:eastAsia="Calibri" w:hAnsi="Verdana" w:cs="Arial"/>
          <w:bCs/>
          <w:i/>
          <w:iCs/>
          <w:color w:val="000000" w:themeColor="text1"/>
          <w:sz w:val="20"/>
          <w:szCs w:val="20"/>
        </w:rPr>
        <w:t>Para la adquisición de estos bienes y servicios las entidades deberán</w:t>
      </w:r>
      <w:r w:rsidRPr="003528DF">
        <w:rPr>
          <w:rFonts w:ascii="Verdana" w:eastAsia="Calibri" w:hAnsi="Verdana" w:cs="Arial"/>
          <w:bCs/>
          <w:color w:val="000000" w:themeColor="text1"/>
          <w:sz w:val="20"/>
          <w:szCs w:val="20"/>
        </w:rPr>
        <w:t xml:space="preserve">, siempre que el reglamento así lo señale, </w:t>
      </w:r>
      <w:r w:rsidRPr="003528DF">
        <w:rPr>
          <w:rFonts w:ascii="Verdana" w:eastAsia="Calibri" w:hAnsi="Verdana" w:cs="Arial"/>
          <w:bCs/>
          <w:i/>
          <w:iCs/>
          <w:color w:val="000000" w:themeColor="text1"/>
          <w:sz w:val="20"/>
          <w:szCs w:val="20"/>
        </w:rPr>
        <w:t>hacer uso</w:t>
      </w:r>
      <w:r w:rsidRPr="003528DF">
        <w:rPr>
          <w:rFonts w:ascii="Verdana" w:eastAsia="Calibri" w:hAnsi="Verdana" w:cs="Arial"/>
          <w:bCs/>
          <w:color w:val="000000" w:themeColor="text1"/>
          <w:sz w:val="20"/>
          <w:szCs w:val="20"/>
        </w:rPr>
        <w:t xml:space="preserve"> de procedimientos de subasta inversa o de instrumentos de compra por catálogo derivados de la celebración de acuerdos marco de precios o </w:t>
      </w:r>
      <w:r w:rsidRPr="003528DF">
        <w:rPr>
          <w:rFonts w:ascii="Verdana" w:eastAsia="Calibri" w:hAnsi="Verdana" w:cs="Arial"/>
          <w:bCs/>
          <w:i/>
          <w:iCs/>
          <w:color w:val="000000" w:themeColor="text1"/>
          <w:sz w:val="20"/>
          <w:szCs w:val="20"/>
        </w:rPr>
        <w:t>de procedimientos de adquisición en bolsas de productos</w:t>
      </w:r>
      <w:r w:rsidRPr="003528DF">
        <w:rPr>
          <w:rFonts w:ascii="Verdana" w:eastAsia="Calibri" w:hAnsi="Verdana" w:cs="Arial"/>
          <w:bCs/>
          <w:color w:val="000000" w:themeColor="text1"/>
          <w:sz w:val="20"/>
          <w:szCs w:val="20"/>
        </w:rPr>
        <w:t>” (Énfasis fuera de texto). Estos mecanismos se aplicarán en la forma que disponga el Decreto 1082 de 2015 para para cada uno de ellos.</w:t>
      </w:r>
    </w:p>
    <w:p w14:paraId="11A27248" w14:textId="77777777" w:rsidR="00A37BC4" w:rsidRPr="002C379A" w:rsidRDefault="009C2DD0">
      <w:pPr>
        <w:rPr>
          <w:rFonts w:ascii="Verdana" w:hAnsi="Verdana" w:cs="Arial"/>
          <w:b/>
          <w:bCs/>
          <w:lang w:val="es-ES" w:eastAsia="es-ES"/>
        </w:rPr>
      </w:pPr>
      <w:r w:rsidRPr="002C379A">
        <w:rPr>
          <w:rFonts w:ascii="Verdana" w:hAnsi="Verdana" w:cs="Arial"/>
          <w:b/>
          <w:bCs/>
          <w:lang w:val="es-ES" w:eastAsia="es-ES"/>
        </w:rPr>
        <w:t xml:space="preserve">SERVICIOS DE VIGILANCIA PRIVADA – Modalidad de selección – Licitación pública – Contratación     </w:t>
      </w:r>
    </w:p>
    <w:p w14:paraId="222C9F56" w14:textId="2006DCEB" w:rsidR="009C2DD0" w:rsidRPr="00A37BC4" w:rsidRDefault="00A37BC4" w:rsidP="00A37BC4">
      <w:pPr>
        <w:jc w:val="both"/>
        <w:rPr>
          <w:rFonts w:ascii="Verdana" w:eastAsia="Calibri" w:hAnsi="Verdana" w:cs="Times New Roman"/>
          <w:sz w:val="20"/>
          <w:szCs w:val="20"/>
        </w:rPr>
      </w:pPr>
      <w:r w:rsidRPr="00A37BC4">
        <w:rPr>
          <w:rFonts w:ascii="Verdana" w:eastAsia="Calibri" w:hAnsi="Verdana" w:cs="Arial"/>
          <w:bCs/>
          <w:color w:val="000000" w:themeColor="text1"/>
          <w:sz w:val="20"/>
          <w:szCs w:val="20"/>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w:t>
      </w:r>
      <w:r w:rsidR="009C2DD0" w:rsidRPr="00A37BC4">
        <w:rPr>
          <w:rFonts w:ascii="Verdana" w:eastAsia="Calibri" w:hAnsi="Verdana" w:cs="Times New Roman"/>
          <w:sz w:val="20"/>
          <w:szCs w:val="20"/>
        </w:rPr>
        <w:br w:type="page"/>
      </w:r>
    </w:p>
    <w:p w14:paraId="13F886D9" w14:textId="7B19A71B" w:rsidR="0008328D" w:rsidRPr="00185EE9" w:rsidRDefault="00ED0D4A" w:rsidP="0008328D">
      <w:pPr>
        <w:spacing w:after="0" w:line="256" w:lineRule="auto"/>
        <w:rPr>
          <w:rFonts w:ascii="Verdana" w:eastAsia="Calibri" w:hAnsi="Verdana" w:cs="Times New Roman"/>
        </w:rPr>
      </w:pPr>
      <w:r w:rsidRPr="00185EE9">
        <w:rPr>
          <w:rFonts w:ascii="Verdana" w:eastAsia="Calibri" w:hAnsi="Verdana" w:cs="Times New Roman"/>
        </w:rPr>
        <w:lastRenderedPageBreak/>
        <w:t>B</w:t>
      </w:r>
      <w:r w:rsidR="0008328D" w:rsidRPr="00185EE9">
        <w:rPr>
          <w:rFonts w:ascii="Verdana" w:eastAsia="Calibri" w:hAnsi="Verdana" w:cs="Times New Roman"/>
        </w:rPr>
        <w:t xml:space="preserve">ogotá D.C., </w:t>
      </w:r>
      <w:r w:rsidR="009C2DD0">
        <w:rPr>
          <w:rFonts w:ascii="Verdana" w:eastAsia="Calibri" w:hAnsi="Verdana" w:cs="Times New Roman"/>
        </w:rPr>
        <w:t xml:space="preserve">08 de </w:t>
      </w:r>
      <w:proofErr w:type="gramStart"/>
      <w:r w:rsidR="009C2DD0">
        <w:rPr>
          <w:rFonts w:ascii="Verdana" w:eastAsia="Calibri" w:hAnsi="Verdana" w:cs="Times New Roman"/>
        </w:rPr>
        <w:t>Noviembre</w:t>
      </w:r>
      <w:proofErr w:type="gramEnd"/>
      <w:r w:rsidR="009C2DD0">
        <w:rPr>
          <w:rFonts w:ascii="Verdana" w:eastAsia="Calibri" w:hAnsi="Verdana" w:cs="Times New Roman"/>
        </w:rPr>
        <w:t xml:space="preserve"> de 2024</w:t>
      </w:r>
    </w:p>
    <w:p w14:paraId="4059EE1A" w14:textId="755BDE62" w:rsidR="0008328D" w:rsidRPr="00185EE9" w:rsidRDefault="00EB2C4B" w:rsidP="00EB2C4B">
      <w:pPr>
        <w:spacing w:after="0" w:line="256" w:lineRule="auto"/>
        <w:jc w:val="right"/>
        <w:rPr>
          <w:rFonts w:ascii="Verdana" w:eastAsia="Calibri" w:hAnsi="Verdana" w:cs="Times New Roman"/>
        </w:rPr>
      </w:pPr>
      <w:r w:rsidRPr="00EB2C4B">
        <w:rPr>
          <w:rFonts w:ascii="Verdana" w:eastAsia="Calibri" w:hAnsi="Verdana" w:cs="Times New Roman"/>
          <w:noProof/>
        </w:rPr>
        <w:drawing>
          <wp:inline distT="0" distB="0" distL="0" distR="0" wp14:anchorId="606F45C4" wp14:editId="66EA7B10">
            <wp:extent cx="2455396" cy="680522"/>
            <wp:effectExtent l="0" t="0" r="2540" b="5715"/>
            <wp:docPr id="13177455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5521" name="Imagen 1" descr="Texto&#10;&#10;Descripción generada automáticamente"/>
                    <pic:cNvPicPr/>
                  </pic:nvPicPr>
                  <pic:blipFill>
                    <a:blip r:embed="rId11"/>
                    <a:stretch>
                      <a:fillRect/>
                    </a:stretch>
                  </pic:blipFill>
                  <pic:spPr>
                    <a:xfrm>
                      <a:off x="0" y="0"/>
                      <a:ext cx="2487240" cy="689348"/>
                    </a:xfrm>
                    <a:prstGeom prst="rect">
                      <a:avLst/>
                    </a:prstGeom>
                  </pic:spPr>
                </pic:pic>
              </a:graphicData>
            </a:graphic>
          </wp:inline>
        </w:drawing>
      </w:r>
    </w:p>
    <w:p w14:paraId="551028EC" w14:textId="4676B300" w:rsidR="0008328D" w:rsidRPr="00185EE9" w:rsidRDefault="0008328D" w:rsidP="0008328D">
      <w:pPr>
        <w:spacing w:after="0" w:line="256" w:lineRule="auto"/>
        <w:rPr>
          <w:rFonts w:ascii="Verdana" w:eastAsia="Calibri" w:hAnsi="Verdana" w:cs="Times New Roman"/>
          <w:lang w:val="es-MX"/>
        </w:rPr>
      </w:pPr>
      <w:r w:rsidRPr="00185EE9">
        <w:rPr>
          <w:rFonts w:ascii="Verdana" w:eastAsia="Calibri" w:hAnsi="Verdana" w:cs="Times New Roman"/>
          <w:lang w:val="es-MX"/>
        </w:rPr>
        <w:t>Señor</w:t>
      </w:r>
    </w:p>
    <w:p w14:paraId="21573D9E" w14:textId="76B84621" w:rsidR="0008328D" w:rsidRPr="00185EE9" w:rsidRDefault="0008328D" w:rsidP="0008328D">
      <w:pPr>
        <w:spacing w:after="0" w:line="256" w:lineRule="auto"/>
        <w:rPr>
          <w:rFonts w:ascii="Verdana" w:eastAsia="Calibri" w:hAnsi="Verdana" w:cs="Times New Roman"/>
          <w:b/>
        </w:rPr>
      </w:pPr>
      <w:r w:rsidRPr="00185EE9">
        <w:rPr>
          <w:rFonts w:ascii="Verdana" w:eastAsia="Calibri" w:hAnsi="Verdana" w:cs="Times New Roman"/>
          <w:b/>
        </w:rPr>
        <w:t>Daniel Andrés</w:t>
      </w:r>
      <w:r w:rsidRPr="00185EE9">
        <w:rPr>
          <w:rFonts w:ascii="Verdana" w:hAnsi="Verdana"/>
        </w:rPr>
        <w:t xml:space="preserve"> </w:t>
      </w:r>
      <w:r w:rsidRPr="00185EE9">
        <w:rPr>
          <w:rFonts w:ascii="Verdana" w:eastAsia="Calibri" w:hAnsi="Verdana" w:cs="Times New Roman"/>
          <w:b/>
        </w:rPr>
        <w:t>Gamba Hurtado</w:t>
      </w:r>
    </w:p>
    <w:p w14:paraId="3DBD5236" w14:textId="55D6A2DD" w:rsidR="0008328D" w:rsidRPr="00185EE9" w:rsidRDefault="0008328D" w:rsidP="0008328D">
      <w:pPr>
        <w:spacing w:after="0" w:line="256" w:lineRule="auto"/>
        <w:rPr>
          <w:rFonts w:ascii="Verdana" w:hAnsi="Verdana"/>
        </w:rPr>
      </w:pPr>
      <w:hyperlink r:id="rId12" w:history="1">
        <w:r w:rsidRPr="00185EE9">
          <w:rPr>
            <w:rStyle w:val="Hipervnculo"/>
            <w:rFonts w:ascii="Verdana" w:hAnsi="Verdana"/>
          </w:rPr>
          <w:t>andresgamba14@gmail.com</w:t>
        </w:r>
      </w:hyperlink>
    </w:p>
    <w:p w14:paraId="601A9C91" w14:textId="1A036F59" w:rsidR="0008328D" w:rsidRPr="00185EE9" w:rsidRDefault="0008328D" w:rsidP="0008328D">
      <w:pPr>
        <w:spacing w:after="0" w:line="256" w:lineRule="auto"/>
        <w:rPr>
          <w:rFonts w:ascii="Verdana" w:eastAsia="Calibri" w:hAnsi="Verdana" w:cs="Times New Roman"/>
        </w:rPr>
      </w:pPr>
      <w:r w:rsidRPr="00185EE9">
        <w:rPr>
          <w:rFonts w:ascii="Verdana" w:eastAsia="Calibri" w:hAnsi="Verdana" w:cs="Times New Roman"/>
        </w:rPr>
        <w:t>Bogotá D.C</w:t>
      </w:r>
      <w:r w:rsidR="00EC1A2C" w:rsidRPr="00185EE9">
        <w:rPr>
          <w:rFonts w:ascii="Verdana" w:eastAsia="Calibri" w:hAnsi="Verdana" w:cs="Times New Roman"/>
        </w:rPr>
        <w:t>.</w:t>
      </w:r>
    </w:p>
    <w:p w14:paraId="77F55E68" w14:textId="77777777" w:rsidR="0008328D" w:rsidRPr="00185EE9" w:rsidRDefault="0008328D" w:rsidP="0008328D">
      <w:pPr>
        <w:spacing w:after="0" w:line="256" w:lineRule="auto"/>
        <w:rPr>
          <w:rFonts w:ascii="Verdana" w:eastAsia="Calibri" w:hAnsi="Verdana" w:cs="Times New Roman"/>
        </w:rPr>
      </w:pPr>
    </w:p>
    <w:p w14:paraId="1B33C607" w14:textId="6371EBC8" w:rsidR="0008328D" w:rsidRPr="00185EE9" w:rsidRDefault="0036594E" w:rsidP="0036594E">
      <w:pPr>
        <w:spacing w:after="0" w:line="256" w:lineRule="auto"/>
        <w:rPr>
          <w:rFonts w:ascii="Verdana" w:eastAsia="Calibri" w:hAnsi="Verdana" w:cs="Times New Roman"/>
          <w:b/>
          <w:bCs/>
          <w:lang w:val="es-ES"/>
        </w:rPr>
      </w:pPr>
      <w:r w:rsidRPr="00185EE9">
        <w:rPr>
          <w:rFonts w:ascii="Verdana" w:eastAsia="Calibri" w:hAnsi="Verdana" w:cs="Times New Roman"/>
          <w:b/>
          <w:bCs/>
          <w:lang w:val="es-ES"/>
        </w:rPr>
        <w:t xml:space="preserve">                                    </w:t>
      </w:r>
      <w:r w:rsidR="0008328D" w:rsidRPr="00185EE9">
        <w:rPr>
          <w:rFonts w:ascii="Verdana" w:eastAsia="Calibri" w:hAnsi="Verdana" w:cs="Times New Roman"/>
          <w:b/>
          <w:bCs/>
          <w:lang w:val="es-ES"/>
        </w:rPr>
        <w:t>Concepto C–597 de 2024</w:t>
      </w:r>
    </w:p>
    <w:p w14:paraId="2C40B2F7" w14:textId="77777777" w:rsidR="0008328D" w:rsidRPr="00185EE9" w:rsidRDefault="0008328D" w:rsidP="0008328D">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202886" w:rsidRPr="00185EE9" w14:paraId="37BDEA22" w14:textId="77777777" w:rsidTr="00A76BAD">
        <w:trPr>
          <w:trHeight w:val="884"/>
        </w:trPr>
        <w:tc>
          <w:tcPr>
            <w:tcW w:w="2685" w:type="dxa"/>
            <w:hideMark/>
          </w:tcPr>
          <w:p w14:paraId="491E7EF4" w14:textId="77777777" w:rsidR="00202886" w:rsidRPr="00185EE9" w:rsidRDefault="00202886" w:rsidP="00202886">
            <w:pPr>
              <w:spacing w:line="256" w:lineRule="auto"/>
              <w:rPr>
                <w:rFonts w:ascii="Verdana" w:hAnsi="Verdana"/>
                <w:b/>
                <w:bCs/>
                <w:lang w:val="es-ES_tradnl"/>
              </w:rPr>
            </w:pPr>
            <w:r w:rsidRPr="00185EE9">
              <w:rPr>
                <w:rFonts w:ascii="Verdana" w:hAnsi="Verdana"/>
                <w:b/>
                <w:bCs/>
                <w:lang w:val="es-ES_tradnl"/>
              </w:rPr>
              <w:t xml:space="preserve">Temas:                   </w:t>
            </w:r>
          </w:p>
        </w:tc>
        <w:tc>
          <w:tcPr>
            <w:tcW w:w="6241" w:type="dxa"/>
            <w:hideMark/>
          </w:tcPr>
          <w:p w14:paraId="7F983EDF" w14:textId="641EC8AF" w:rsidR="00202886" w:rsidRPr="00185EE9" w:rsidRDefault="00202886" w:rsidP="00202886">
            <w:pPr>
              <w:spacing w:line="276" w:lineRule="auto"/>
              <w:jc w:val="both"/>
              <w:rPr>
                <w:rFonts w:ascii="Verdana" w:hAnsi="Verdana" w:cs="Arial"/>
                <w:lang w:val="es-ES" w:eastAsia="es-ES"/>
              </w:rPr>
            </w:pPr>
            <w:r w:rsidRPr="00185EE9">
              <w:rPr>
                <w:rFonts w:ascii="Verdana" w:hAnsi="Verdana" w:cs="Arial"/>
                <w:lang w:val="es-ES" w:eastAsia="es-ES"/>
              </w:rPr>
              <w:t xml:space="preserve">SELECCIÓN ABREVIADA – Marco normativo / BIENES Y SERVICIOS DE CARACTERÍSTICAS TÉCNICAS UNIFORMES – Definición / BIENES Y SERVICIOS DE CARACTERÍSTICAS TÉCNICAS UNIFORMES ‒ Características – Formas de adquisición / SERVICIOS DE VIGILANCIA PRIVADA – </w:t>
            </w:r>
            <w:r w:rsidR="00EC1A2C" w:rsidRPr="00185EE9">
              <w:rPr>
                <w:rFonts w:ascii="Verdana" w:hAnsi="Verdana" w:cs="Arial"/>
                <w:lang w:val="es-ES" w:eastAsia="es-ES"/>
              </w:rPr>
              <w:t xml:space="preserve">Modalidad de selección </w:t>
            </w:r>
            <w:r w:rsidRPr="00185EE9">
              <w:rPr>
                <w:rFonts w:ascii="Verdana" w:hAnsi="Verdana" w:cs="Arial"/>
                <w:lang w:val="es-ES" w:eastAsia="es-ES"/>
              </w:rPr>
              <w:t xml:space="preserve">– Licitación pública – Contratación      </w:t>
            </w:r>
          </w:p>
          <w:p w14:paraId="31F92C96" w14:textId="0E16EE26" w:rsidR="00202886" w:rsidRPr="00185EE9" w:rsidRDefault="00202886" w:rsidP="00202886">
            <w:pPr>
              <w:spacing w:line="256" w:lineRule="auto"/>
              <w:jc w:val="both"/>
              <w:rPr>
                <w:rFonts w:ascii="Verdana" w:hAnsi="Verdana"/>
              </w:rPr>
            </w:pPr>
            <w:r w:rsidRPr="00185EE9">
              <w:rPr>
                <w:rFonts w:ascii="Verdana" w:hAnsi="Verdana" w:cs="Arial"/>
                <w:lang w:val="es-ES" w:eastAsia="es-ES"/>
              </w:rPr>
              <w:t xml:space="preserve">  </w:t>
            </w:r>
          </w:p>
        </w:tc>
        <w:tc>
          <w:tcPr>
            <w:tcW w:w="6237" w:type="dxa"/>
          </w:tcPr>
          <w:p w14:paraId="3F303715" w14:textId="77777777" w:rsidR="00202886" w:rsidRPr="00185EE9" w:rsidRDefault="00202886" w:rsidP="00202886">
            <w:pPr>
              <w:spacing w:line="256" w:lineRule="auto"/>
              <w:rPr>
                <w:rFonts w:ascii="Verdana" w:hAnsi="Verdana"/>
                <w:lang w:val="es-ES"/>
              </w:rPr>
            </w:pPr>
          </w:p>
        </w:tc>
      </w:tr>
      <w:tr w:rsidR="00202886" w:rsidRPr="00185EE9" w14:paraId="698E5C4A" w14:textId="77777777" w:rsidTr="00A76BAD">
        <w:tc>
          <w:tcPr>
            <w:tcW w:w="2685" w:type="dxa"/>
          </w:tcPr>
          <w:p w14:paraId="0BCBFB76" w14:textId="77777777" w:rsidR="00202886" w:rsidRPr="00185EE9" w:rsidRDefault="00202886" w:rsidP="00202886">
            <w:pPr>
              <w:spacing w:line="256" w:lineRule="auto"/>
              <w:rPr>
                <w:rFonts w:ascii="Verdana" w:hAnsi="Verdana"/>
                <w:lang w:val="es-ES_tradnl"/>
              </w:rPr>
            </w:pPr>
          </w:p>
          <w:p w14:paraId="2B7AA0EE" w14:textId="77777777" w:rsidR="00202886" w:rsidRPr="00185EE9" w:rsidRDefault="00202886" w:rsidP="00202886">
            <w:pPr>
              <w:spacing w:line="256" w:lineRule="auto"/>
              <w:rPr>
                <w:rFonts w:ascii="Verdana" w:hAnsi="Verdana"/>
                <w:b/>
                <w:bCs/>
                <w:lang w:val="es-ES_tradnl"/>
              </w:rPr>
            </w:pPr>
            <w:r w:rsidRPr="00185EE9">
              <w:rPr>
                <w:rFonts w:ascii="Verdana" w:hAnsi="Verdana"/>
                <w:b/>
                <w:bCs/>
                <w:lang w:val="es-ES_tradnl"/>
              </w:rPr>
              <w:t xml:space="preserve">Radicación:               </w:t>
            </w:r>
          </w:p>
        </w:tc>
        <w:tc>
          <w:tcPr>
            <w:tcW w:w="6241" w:type="dxa"/>
          </w:tcPr>
          <w:p w14:paraId="1A7C93BE" w14:textId="77777777" w:rsidR="00202886" w:rsidRPr="00185EE9" w:rsidRDefault="00202886" w:rsidP="00B62D8B">
            <w:pPr>
              <w:spacing w:line="257" w:lineRule="auto"/>
              <w:rPr>
                <w:rFonts w:ascii="Verdana" w:hAnsi="Verdana"/>
                <w:lang w:val="es-ES_tradnl"/>
              </w:rPr>
            </w:pPr>
          </w:p>
          <w:p w14:paraId="383CAC3A" w14:textId="71E61C0D" w:rsidR="00202886" w:rsidRPr="00185EE9" w:rsidRDefault="00202886" w:rsidP="00B62D8B">
            <w:pPr>
              <w:spacing w:line="257" w:lineRule="auto"/>
              <w:jc w:val="both"/>
              <w:rPr>
                <w:rFonts w:ascii="Verdana" w:hAnsi="Verdana"/>
              </w:rPr>
            </w:pPr>
            <w:r w:rsidRPr="00185EE9">
              <w:rPr>
                <w:rFonts w:ascii="Verdana" w:hAnsi="Verdana"/>
                <w:lang w:val="es-ES_tradnl"/>
              </w:rPr>
              <w:t xml:space="preserve">Respuesta a consulta con radicado No. </w:t>
            </w:r>
            <w:r w:rsidRPr="00185EE9">
              <w:rPr>
                <w:rFonts w:ascii="Verdana" w:hAnsi="Verdana"/>
              </w:rPr>
              <w:t>P20240911009288</w:t>
            </w:r>
          </w:p>
        </w:tc>
        <w:tc>
          <w:tcPr>
            <w:tcW w:w="6237" w:type="dxa"/>
          </w:tcPr>
          <w:p w14:paraId="0AA7FC7F" w14:textId="77777777" w:rsidR="00202886" w:rsidRPr="00185EE9" w:rsidRDefault="00202886" w:rsidP="00202886">
            <w:pPr>
              <w:spacing w:line="256" w:lineRule="auto"/>
              <w:rPr>
                <w:rFonts w:ascii="Verdana" w:hAnsi="Verdana"/>
                <w:lang w:val="es-ES_tradnl"/>
              </w:rPr>
            </w:pPr>
          </w:p>
        </w:tc>
      </w:tr>
    </w:tbl>
    <w:p w14:paraId="15778004" w14:textId="77777777" w:rsidR="0008328D" w:rsidRPr="00185EE9" w:rsidRDefault="0008328D" w:rsidP="0008328D">
      <w:pPr>
        <w:spacing w:after="0" w:line="256" w:lineRule="auto"/>
        <w:rPr>
          <w:rFonts w:ascii="Verdana" w:eastAsia="Calibri" w:hAnsi="Verdana" w:cs="Times New Roman"/>
          <w:lang w:val="es-ES_tradnl"/>
        </w:rPr>
      </w:pPr>
    </w:p>
    <w:p w14:paraId="2476D9F8" w14:textId="1D6CC820" w:rsidR="0008328D" w:rsidRPr="00185EE9" w:rsidRDefault="0008328D" w:rsidP="0008328D">
      <w:pPr>
        <w:spacing w:after="0" w:line="256" w:lineRule="auto"/>
        <w:rPr>
          <w:rFonts w:ascii="Verdana" w:eastAsia="Calibri" w:hAnsi="Verdana" w:cs="Times New Roman"/>
          <w:lang w:val="es-ES"/>
        </w:rPr>
      </w:pPr>
      <w:r w:rsidRPr="00185EE9">
        <w:rPr>
          <w:rFonts w:ascii="Verdana" w:eastAsia="Calibri" w:hAnsi="Verdana" w:cs="Times New Roman"/>
          <w:lang w:val="es-ES"/>
        </w:rPr>
        <w:t xml:space="preserve">Estimado señor </w:t>
      </w:r>
      <w:r w:rsidR="00202886" w:rsidRPr="00185EE9">
        <w:rPr>
          <w:rFonts w:ascii="Verdana" w:eastAsia="Calibri" w:hAnsi="Verdana" w:cs="Times New Roman"/>
          <w:lang w:val="es-ES"/>
        </w:rPr>
        <w:t>Gamba</w:t>
      </w:r>
      <w:r w:rsidRPr="00185EE9">
        <w:rPr>
          <w:rFonts w:ascii="Verdana" w:eastAsia="Calibri" w:hAnsi="Verdana" w:cs="Times New Roman"/>
          <w:lang w:val="es-ES"/>
        </w:rPr>
        <w:t xml:space="preserve">: </w:t>
      </w:r>
    </w:p>
    <w:p w14:paraId="7E94C1A0" w14:textId="77777777" w:rsidR="0008328D" w:rsidRPr="00185EE9" w:rsidRDefault="0008328D" w:rsidP="0008328D">
      <w:pPr>
        <w:spacing w:after="0" w:line="256" w:lineRule="auto"/>
        <w:rPr>
          <w:rFonts w:ascii="Verdana" w:eastAsia="Calibri" w:hAnsi="Verdana" w:cs="Times New Roman"/>
          <w:lang w:val="es-ES"/>
        </w:rPr>
      </w:pPr>
    </w:p>
    <w:p w14:paraId="2BD522B8" w14:textId="7DF0CA93" w:rsidR="0008328D" w:rsidRPr="00185EE9" w:rsidRDefault="0008328D" w:rsidP="0008328D">
      <w:pPr>
        <w:spacing w:after="0" w:line="256" w:lineRule="auto"/>
        <w:jc w:val="both"/>
        <w:rPr>
          <w:rFonts w:ascii="Verdana" w:eastAsia="Calibri" w:hAnsi="Verdana" w:cs="Times New Roman"/>
          <w:lang w:val="es-ES"/>
        </w:rPr>
      </w:pPr>
      <w:r w:rsidRPr="00185EE9">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w:t>
      </w:r>
      <w:r w:rsidR="00C32523" w:rsidRPr="00185EE9">
        <w:rPr>
          <w:rFonts w:ascii="Verdana" w:eastAsia="Calibri" w:hAnsi="Verdana" w:cs="Times New Roman"/>
          <w:lang w:val="es-ES"/>
        </w:rPr>
        <w:t>11</w:t>
      </w:r>
      <w:r w:rsidRPr="00185EE9">
        <w:rPr>
          <w:rFonts w:ascii="Verdana" w:eastAsia="Calibri" w:hAnsi="Verdana" w:cs="Times New Roman"/>
          <w:lang w:val="es-ES"/>
        </w:rPr>
        <w:t xml:space="preserve"> de septiembre de 2024, en la cual manifiesta lo siguiente:</w:t>
      </w:r>
    </w:p>
    <w:p w14:paraId="2AA1AF9B" w14:textId="77777777" w:rsidR="0008328D" w:rsidRPr="00185EE9" w:rsidRDefault="0008328D" w:rsidP="0008328D">
      <w:pPr>
        <w:spacing w:after="0" w:line="256" w:lineRule="auto"/>
        <w:jc w:val="both"/>
        <w:rPr>
          <w:rFonts w:ascii="Verdana" w:eastAsia="Calibri" w:hAnsi="Verdana" w:cs="Times New Roman"/>
          <w:lang w:val="es-ES"/>
        </w:rPr>
      </w:pPr>
    </w:p>
    <w:p w14:paraId="3C0C5A5E" w14:textId="50A387A6" w:rsidR="0008328D" w:rsidRPr="00185EE9" w:rsidRDefault="0008328D" w:rsidP="00E75B66">
      <w:pPr>
        <w:spacing w:after="0" w:line="256" w:lineRule="auto"/>
        <w:ind w:left="709" w:right="709"/>
        <w:jc w:val="both"/>
        <w:rPr>
          <w:rFonts w:ascii="Verdana" w:hAnsi="Verdana"/>
          <w:sz w:val="20"/>
          <w:szCs w:val="20"/>
        </w:rPr>
      </w:pPr>
      <w:r w:rsidRPr="00185EE9">
        <w:rPr>
          <w:rFonts w:ascii="Verdana" w:eastAsia="Calibri" w:hAnsi="Verdana" w:cs="Times New Roman"/>
          <w:sz w:val="20"/>
          <w:szCs w:val="20"/>
          <w:lang w:val="es-ES"/>
        </w:rPr>
        <w:t>“(…)</w:t>
      </w:r>
      <w:r w:rsidR="00D13351" w:rsidRPr="00185EE9">
        <w:rPr>
          <w:rFonts w:ascii="Verdana" w:hAnsi="Verdana"/>
          <w:sz w:val="20"/>
          <w:szCs w:val="20"/>
        </w:rPr>
        <w:t xml:space="preserve"> </w:t>
      </w:r>
      <w:r w:rsidRPr="00185EE9">
        <w:rPr>
          <w:rFonts w:ascii="Verdana" w:hAnsi="Verdana"/>
          <w:sz w:val="20"/>
          <w:szCs w:val="20"/>
        </w:rPr>
        <w:t xml:space="preserve">1. De conformidad con la definición citada anteriormente sobre los bienes y servicios de características técnicas uniformes, ¿El servicio de vigilancia y seguridad privada se puede entender como un bien o servicio de características técnicas uniformes? </w:t>
      </w:r>
    </w:p>
    <w:p w14:paraId="5EEA8973" w14:textId="77777777" w:rsidR="0008328D" w:rsidRPr="00185EE9" w:rsidRDefault="0008328D" w:rsidP="00B62D8B">
      <w:pPr>
        <w:spacing w:after="0" w:line="240" w:lineRule="auto"/>
        <w:ind w:left="709" w:right="709"/>
        <w:jc w:val="both"/>
        <w:rPr>
          <w:rFonts w:ascii="Verdana" w:hAnsi="Verdana"/>
          <w:sz w:val="20"/>
          <w:szCs w:val="20"/>
        </w:rPr>
      </w:pPr>
      <w:r w:rsidRPr="00185EE9">
        <w:rPr>
          <w:rFonts w:ascii="Verdana" w:hAnsi="Verdana"/>
          <w:sz w:val="20"/>
          <w:szCs w:val="20"/>
        </w:rPr>
        <w:t xml:space="preserve">2. ¿Cuál es la modalidad de selección idónea de acuerdo con el artículo 2º de la Ley 1150 de 2007, para la contratación del servicio de vigilancia y seguridad privada? ¿Licitación pública o selección abreviada de menor cuantía dada su, valga la redundancia, cuantía? O ¿Selección abreviada en acuerdo marco de precios (si existiera), subasta inversa o bolsa de productos? </w:t>
      </w:r>
    </w:p>
    <w:p w14:paraId="35180419" w14:textId="77777777" w:rsidR="0008328D" w:rsidRPr="00185EE9" w:rsidRDefault="0008328D" w:rsidP="00D13351">
      <w:pPr>
        <w:spacing w:after="0" w:line="240" w:lineRule="auto"/>
        <w:ind w:left="709" w:right="709"/>
        <w:jc w:val="both"/>
        <w:rPr>
          <w:rFonts w:ascii="Verdana" w:hAnsi="Verdana"/>
          <w:sz w:val="20"/>
          <w:szCs w:val="20"/>
        </w:rPr>
      </w:pPr>
      <w:r w:rsidRPr="00185EE9">
        <w:rPr>
          <w:rFonts w:ascii="Verdana" w:hAnsi="Verdana"/>
          <w:sz w:val="20"/>
          <w:szCs w:val="20"/>
        </w:rPr>
        <w:lastRenderedPageBreak/>
        <w:t xml:space="preserve">3. ¿Es válido que la entidad estatal adelante el proceso de selección para la contratación del servicio de vigilancia y seguridad privada, a través de selección abreviada por subasta inversa y/o en bolsa de productos, teniendo en cuenta que en estas modalidades el único factor de selección es el menor precio, y el servicio tiene diversas características y modalidades que hacen que el mismo no sea homogéneo y no se pueda agrupar para su adquisición, por demás, que la tarifa de este servicio es regulada por una entidad pública del orden nacional? </w:t>
      </w:r>
    </w:p>
    <w:p w14:paraId="3CCDB5C4" w14:textId="77777777" w:rsidR="00146C57" w:rsidRPr="00185EE9" w:rsidRDefault="00146C57" w:rsidP="00E75B66">
      <w:pPr>
        <w:spacing w:after="0" w:line="240" w:lineRule="auto"/>
        <w:ind w:left="709" w:right="709"/>
        <w:jc w:val="both"/>
        <w:rPr>
          <w:rFonts w:ascii="Verdana" w:hAnsi="Verdana"/>
          <w:sz w:val="20"/>
          <w:szCs w:val="20"/>
        </w:rPr>
      </w:pPr>
    </w:p>
    <w:p w14:paraId="0CFB5692" w14:textId="11F213C3" w:rsidR="0008328D" w:rsidRPr="00185EE9" w:rsidRDefault="0008328D" w:rsidP="00E75B66">
      <w:pPr>
        <w:spacing w:after="0" w:line="240" w:lineRule="auto"/>
        <w:ind w:left="709" w:right="709"/>
        <w:jc w:val="both"/>
        <w:rPr>
          <w:rFonts w:ascii="Verdana" w:eastAsia="Calibri" w:hAnsi="Verdana" w:cs="Times New Roman"/>
          <w:sz w:val="20"/>
          <w:szCs w:val="20"/>
        </w:rPr>
      </w:pPr>
      <w:r w:rsidRPr="00185EE9">
        <w:rPr>
          <w:rFonts w:ascii="Verdana" w:hAnsi="Verdana"/>
          <w:sz w:val="20"/>
          <w:szCs w:val="20"/>
        </w:rPr>
        <w:t>4. ¿Es posible que en su respuesta me sea compartido conceptos previos que haya sobre el particular, emitidos por la Agencia Nacional de Contratación Pública de Colombia Compra Eficiente y, jurisprudencia que exista, del Consejo de Estado o Corte Constitucional, y que sea de su conocimiento que haya resuelto situaciones sobre este particular, adicionales a las mencionadas en los antecedentes?</w:t>
      </w:r>
      <w:r w:rsidRPr="00185EE9">
        <w:rPr>
          <w:rFonts w:ascii="Verdana" w:eastAsia="Calibri" w:hAnsi="Verdana" w:cs="Times New Roman"/>
          <w:sz w:val="20"/>
          <w:szCs w:val="20"/>
        </w:rPr>
        <w:t xml:space="preserve"> (…)</w:t>
      </w:r>
      <w:r w:rsidR="00D13351" w:rsidRPr="00185EE9">
        <w:rPr>
          <w:rFonts w:ascii="Verdana" w:eastAsia="Calibri" w:hAnsi="Verdana" w:cs="Times New Roman"/>
          <w:sz w:val="20"/>
          <w:szCs w:val="20"/>
        </w:rPr>
        <w:t>”.</w:t>
      </w:r>
    </w:p>
    <w:p w14:paraId="2134CEEC" w14:textId="77777777" w:rsidR="0008328D" w:rsidRPr="00185EE9" w:rsidRDefault="0008328D" w:rsidP="0008328D">
      <w:pPr>
        <w:spacing w:after="0" w:line="256" w:lineRule="auto"/>
        <w:rPr>
          <w:rFonts w:ascii="Verdana" w:eastAsia="Calibri" w:hAnsi="Verdana" w:cs="Times New Roman"/>
          <w:lang w:val="es-ES"/>
        </w:rPr>
      </w:pPr>
    </w:p>
    <w:p w14:paraId="01F2E9D6" w14:textId="77777777" w:rsidR="0008328D" w:rsidRPr="00185EE9" w:rsidRDefault="0008328D" w:rsidP="00EB7E00">
      <w:pPr>
        <w:spacing w:after="120" w:line="276" w:lineRule="auto"/>
        <w:ind w:firstLine="709"/>
        <w:jc w:val="both"/>
        <w:rPr>
          <w:rFonts w:ascii="Verdana" w:eastAsia="Calibri" w:hAnsi="Verdana" w:cs="Times New Roman"/>
          <w:lang w:val="es-ES"/>
        </w:rPr>
      </w:pPr>
      <w:r w:rsidRPr="00185EE9">
        <w:rPr>
          <w:rFonts w:ascii="Verdana" w:eastAsia="Calibri" w:hAnsi="Verdana" w:cs="Times New Roman"/>
          <w:lang w:val="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55296E72" w14:textId="77777777" w:rsidR="0008328D" w:rsidRPr="00185EE9" w:rsidRDefault="0008328D" w:rsidP="00EB7E00">
      <w:pPr>
        <w:spacing w:after="0" w:line="276" w:lineRule="auto"/>
        <w:ind w:firstLine="708"/>
        <w:jc w:val="both"/>
        <w:rPr>
          <w:rFonts w:ascii="Verdana" w:eastAsia="Calibri" w:hAnsi="Verdana" w:cs="Times New Roman"/>
          <w:lang w:val="es-ES"/>
        </w:rPr>
      </w:pPr>
      <w:r w:rsidRPr="00185EE9">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17EFDC1" w14:textId="77777777" w:rsidR="0008328D" w:rsidRPr="00185EE9" w:rsidRDefault="0008328D" w:rsidP="0008328D">
      <w:pPr>
        <w:spacing w:after="0" w:line="256" w:lineRule="auto"/>
        <w:rPr>
          <w:rFonts w:ascii="Verdana" w:eastAsia="Calibri" w:hAnsi="Verdana" w:cs="Times New Roman"/>
          <w:lang w:val="es-ES"/>
        </w:rPr>
      </w:pPr>
    </w:p>
    <w:p w14:paraId="6FD9B5FE" w14:textId="3AFD4C9F" w:rsidR="0008328D" w:rsidRPr="00185EE9" w:rsidRDefault="0008328D" w:rsidP="008E7B09">
      <w:pPr>
        <w:pStyle w:val="Prrafodelista"/>
        <w:numPr>
          <w:ilvl w:val="0"/>
          <w:numId w:val="19"/>
        </w:numPr>
        <w:spacing w:after="0" w:line="256" w:lineRule="auto"/>
        <w:rPr>
          <w:rFonts w:ascii="Verdana" w:eastAsia="Calibri" w:hAnsi="Verdana" w:cs="Times New Roman"/>
          <w:b/>
          <w:bCs/>
        </w:rPr>
      </w:pPr>
      <w:r w:rsidRPr="00185EE9">
        <w:rPr>
          <w:rFonts w:ascii="Verdana" w:eastAsia="Calibri" w:hAnsi="Verdana" w:cs="Times New Roman"/>
          <w:b/>
          <w:bCs/>
        </w:rPr>
        <w:t>Problema planteado:</w:t>
      </w:r>
    </w:p>
    <w:p w14:paraId="0E27CC29" w14:textId="77777777" w:rsidR="0008328D" w:rsidRPr="00185EE9" w:rsidRDefault="0008328D" w:rsidP="0008328D">
      <w:pPr>
        <w:spacing w:after="0" w:line="256" w:lineRule="auto"/>
        <w:rPr>
          <w:rFonts w:ascii="Verdana" w:eastAsia="Calibri" w:hAnsi="Verdana" w:cs="Times New Roman"/>
        </w:rPr>
      </w:pPr>
    </w:p>
    <w:p w14:paraId="27CFF02D" w14:textId="47170A50" w:rsidR="0008328D" w:rsidRPr="00185EE9" w:rsidRDefault="0008328D" w:rsidP="008E7B09">
      <w:pPr>
        <w:spacing w:after="0" w:line="276" w:lineRule="auto"/>
        <w:jc w:val="both"/>
        <w:rPr>
          <w:rFonts w:ascii="Verdana" w:eastAsia="Calibri" w:hAnsi="Verdana" w:cs="Times New Roman"/>
        </w:rPr>
      </w:pPr>
      <w:r w:rsidRPr="00185EE9">
        <w:rPr>
          <w:rFonts w:ascii="Verdana" w:eastAsia="Calibri" w:hAnsi="Verdana" w:cs="Times New Roman"/>
        </w:rPr>
        <w:t>De acuerdo con el contenido de su solicitud, esta Agencia</w:t>
      </w:r>
      <w:r w:rsidR="008E7B09" w:rsidRPr="00185EE9">
        <w:rPr>
          <w:rFonts w:ascii="Verdana" w:eastAsia="Calibri" w:hAnsi="Verdana" w:cs="Times New Roman"/>
        </w:rPr>
        <w:t xml:space="preserve"> procede a</w:t>
      </w:r>
      <w:r w:rsidRPr="00185EE9">
        <w:rPr>
          <w:rFonts w:ascii="Verdana" w:eastAsia="Calibri" w:hAnsi="Verdana" w:cs="Times New Roman"/>
        </w:rPr>
        <w:t xml:space="preserve"> resolver el siguiente problema jurídico: i)</w:t>
      </w:r>
      <w:r w:rsidR="00C40E9F" w:rsidRPr="00185EE9">
        <w:rPr>
          <w:rFonts w:ascii="Verdana" w:eastAsia="Calibri" w:hAnsi="Verdana" w:cs="Times New Roman"/>
        </w:rPr>
        <w:t xml:space="preserve"> </w:t>
      </w:r>
      <w:r w:rsidR="000F669F" w:rsidRPr="00185EE9">
        <w:rPr>
          <w:rFonts w:ascii="Verdana" w:eastAsia="Calibri" w:hAnsi="Verdana" w:cs="Times New Roman"/>
        </w:rPr>
        <w:t>¿</w:t>
      </w:r>
      <w:r w:rsidR="00C40E9F" w:rsidRPr="00185EE9">
        <w:rPr>
          <w:rFonts w:ascii="Verdana" w:eastAsia="Calibri" w:hAnsi="Verdana" w:cs="Times New Roman"/>
        </w:rPr>
        <w:t>q</w:t>
      </w:r>
      <w:r w:rsidR="000F669F" w:rsidRPr="00185EE9">
        <w:rPr>
          <w:rFonts w:ascii="Verdana" w:eastAsia="Calibri" w:hAnsi="Verdana" w:cs="Times New Roman"/>
        </w:rPr>
        <w:t xml:space="preserve">ué se entiende como bienes y servicios de características técnicas uniformes y de </w:t>
      </w:r>
      <w:r w:rsidR="00961409" w:rsidRPr="00185EE9">
        <w:rPr>
          <w:rFonts w:ascii="Verdana" w:eastAsia="Calibri" w:hAnsi="Verdana" w:cs="Times New Roman"/>
        </w:rPr>
        <w:t>común</w:t>
      </w:r>
      <w:r w:rsidR="000F669F" w:rsidRPr="00185EE9">
        <w:rPr>
          <w:rFonts w:ascii="Verdana" w:eastAsia="Calibri" w:hAnsi="Verdana" w:cs="Times New Roman"/>
        </w:rPr>
        <w:t xml:space="preserve"> utilización?</w:t>
      </w:r>
      <w:r w:rsidR="00C40E9F" w:rsidRPr="00185EE9">
        <w:rPr>
          <w:rFonts w:ascii="Verdana" w:eastAsia="Calibri" w:hAnsi="Verdana" w:cs="Times New Roman"/>
        </w:rPr>
        <w:t>;</w:t>
      </w:r>
      <w:r w:rsidR="00961409" w:rsidRPr="00185EE9">
        <w:rPr>
          <w:rFonts w:ascii="Verdana" w:eastAsia="Calibri" w:hAnsi="Verdana" w:cs="Times New Roman"/>
        </w:rPr>
        <w:t xml:space="preserve"> </w:t>
      </w:r>
      <w:proofErr w:type="spellStart"/>
      <w:r w:rsidR="00DB186F" w:rsidRPr="00185EE9">
        <w:rPr>
          <w:rFonts w:ascii="Verdana" w:eastAsia="Calibri" w:hAnsi="Verdana" w:cs="Times New Roman"/>
        </w:rPr>
        <w:t>ii</w:t>
      </w:r>
      <w:proofErr w:type="spellEnd"/>
      <w:r w:rsidR="00DB186F" w:rsidRPr="00185EE9">
        <w:rPr>
          <w:rFonts w:ascii="Verdana" w:eastAsia="Calibri" w:hAnsi="Verdana" w:cs="Times New Roman"/>
        </w:rPr>
        <w:t xml:space="preserve">) </w:t>
      </w:r>
      <w:r w:rsidR="0007022C" w:rsidRPr="00185EE9">
        <w:rPr>
          <w:rFonts w:ascii="Verdana" w:eastAsia="Calibri" w:hAnsi="Verdana" w:cs="Times New Roman"/>
        </w:rPr>
        <w:t>¿</w:t>
      </w:r>
      <w:r w:rsidR="003C3FA5" w:rsidRPr="00185EE9">
        <w:rPr>
          <w:rFonts w:ascii="Verdana" w:eastAsia="Calibri" w:hAnsi="Verdana" w:cs="Times New Roman"/>
        </w:rPr>
        <w:t>c</w:t>
      </w:r>
      <w:r w:rsidR="0007022C" w:rsidRPr="00185EE9">
        <w:rPr>
          <w:rFonts w:ascii="Verdana" w:eastAsia="Calibri" w:hAnsi="Verdana" w:cs="Times New Roman"/>
        </w:rPr>
        <w:t xml:space="preserve">uál es la </w:t>
      </w:r>
      <w:r w:rsidR="0007022C" w:rsidRPr="00185EE9">
        <w:rPr>
          <w:rFonts w:ascii="Verdana" w:eastAsia="Calibri" w:hAnsi="Verdana" w:cs="Times New Roman"/>
        </w:rPr>
        <w:lastRenderedPageBreak/>
        <w:t>modalidad de selección y mecanismos aplicables</w:t>
      </w:r>
      <w:r w:rsidR="00E870E5" w:rsidRPr="00185EE9">
        <w:rPr>
          <w:rFonts w:ascii="Verdana" w:eastAsia="Calibri" w:hAnsi="Verdana" w:cs="Times New Roman"/>
        </w:rPr>
        <w:t xml:space="preserve"> para </w:t>
      </w:r>
      <w:r w:rsidR="0007022C" w:rsidRPr="00185EE9">
        <w:rPr>
          <w:rFonts w:ascii="Verdana" w:eastAsia="Calibri" w:hAnsi="Verdana" w:cs="Times New Roman"/>
        </w:rPr>
        <w:t>la contratación de servicios de vigilancia y seguridad privada</w:t>
      </w:r>
      <w:r w:rsidR="00961409" w:rsidRPr="00185EE9">
        <w:rPr>
          <w:rFonts w:ascii="Verdana" w:eastAsia="Calibri" w:hAnsi="Verdana" w:cs="Times New Roman"/>
        </w:rPr>
        <w:t>?</w:t>
      </w:r>
      <w:r w:rsidR="007F60FB" w:rsidRPr="00185EE9">
        <w:rPr>
          <w:rFonts w:ascii="Verdana" w:eastAsia="Calibri" w:hAnsi="Verdana" w:cs="Times New Roman"/>
        </w:rPr>
        <w:t xml:space="preserve"> </w:t>
      </w:r>
    </w:p>
    <w:p w14:paraId="6F3DB96C" w14:textId="77777777" w:rsidR="0008328D" w:rsidRPr="00185EE9" w:rsidRDefault="0008328D" w:rsidP="0008328D">
      <w:pPr>
        <w:spacing w:after="0" w:line="256" w:lineRule="auto"/>
        <w:rPr>
          <w:rFonts w:ascii="Verdana" w:eastAsia="Calibri" w:hAnsi="Verdana" w:cs="Times New Roman"/>
        </w:rPr>
      </w:pPr>
    </w:p>
    <w:p w14:paraId="2DFF6497" w14:textId="46E8FE28" w:rsidR="0008328D" w:rsidRPr="00185EE9" w:rsidRDefault="0008328D" w:rsidP="008E7B09">
      <w:pPr>
        <w:pStyle w:val="Prrafodelista"/>
        <w:numPr>
          <w:ilvl w:val="0"/>
          <w:numId w:val="19"/>
        </w:numPr>
        <w:spacing w:after="0" w:line="256" w:lineRule="auto"/>
        <w:rPr>
          <w:rFonts w:ascii="Verdana" w:eastAsia="Calibri" w:hAnsi="Verdana" w:cs="Times New Roman"/>
          <w:b/>
          <w:bCs/>
        </w:rPr>
      </w:pPr>
      <w:r w:rsidRPr="00185EE9">
        <w:rPr>
          <w:rFonts w:ascii="Verdana" w:eastAsia="Calibri" w:hAnsi="Verdana" w:cs="Times New Roman"/>
          <w:b/>
          <w:bCs/>
        </w:rPr>
        <w:t>Respuesta:</w:t>
      </w:r>
    </w:p>
    <w:p w14:paraId="39C2AE2D" w14:textId="77777777" w:rsidR="0008328D" w:rsidRPr="00185EE9" w:rsidRDefault="0008328D" w:rsidP="0008328D">
      <w:pPr>
        <w:spacing w:after="0" w:line="256" w:lineRule="auto"/>
        <w:rPr>
          <w:rFonts w:ascii="Verdana" w:eastAsia="Calibri" w:hAnsi="Verdana" w:cs="Times New Roman"/>
          <w:b/>
          <w:bCs/>
          <w:lang w:val="es-ES"/>
        </w:rPr>
      </w:pPr>
    </w:p>
    <w:p w14:paraId="6924C00A" w14:textId="4E8C7E27" w:rsidR="00202886" w:rsidRPr="00185EE9" w:rsidRDefault="00202886" w:rsidP="00AE2631">
      <w:pPr>
        <w:spacing w:after="0" w:line="256" w:lineRule="auto"/>
        <w:jc w:val="both"/>
        <w:rPr>
          <w:rFonts w:ascii="Verdana" w:eastAsia="Calibri" w:hAnsi="Verdana" w:cs="Times New Roman"/>
          <w:lang w:val="es-ES"/>
        </w:rPr>
      </w:pPr>
      <w:r w:rsidRPr="00185EE9">
        <w:rPr>
          <w:rFonts w:ascii="Verdana" w:eastAsia="Calibri" w:hAnsi="Verdana" w:cs="Times New Roman"/>
          <w:lang w:val="es-ES"/>
        </w:rPr>
        <w:t>Respecto de los interrogantes planteados esta Subdirección manifiesta:</w:t>
      </w:r>
    </w:p>
    <w:p w14:paraId="67A82CEF" w14:textId="77777777" w:rsidR="00202886" w:rsidRPr="00185EE9" w:rsidRDefault="00202886" w:rsidP="0008328D">
      <w:pPr>
        <w:spacing w:after="0" w:line="256" w:lineRule="auto"/>
        <w:rPr>
          <w:rFonts w:ascii="Verdana" w:eastAsia="Calibri" w:hAnsi="Verdana" w:cs="Times New Roman"/>
          <w:b/>
          <w:bCs/>
          <w:lang w:val="es-ES"/>
        </w:rPr>
      </w:pPr>
    </w:p>
    <w:p w14:paraId="2D09F639" w14:textId="0FAE606C" w:rsidR="0041655A" w:rsidRPr="00185EE9" w:rsidRDefault="00202886" w:rsidP="0008328D">
      <w:pPr>
        <w:tabs>
          <w:tab w:val="left" w:pos="567"/>
        </w:tabs>
        <w:spacing w:after="0" w:line="256" w:lineRule="auto"/>
        <w:jc w:val="both"/>
        <w:rPr>
          <w:rFonts w:ascii="Verdana" w:eastAsia="Times New Roman" w:hAnsi="Verdana" w:cs="Arial"/>
          <w:shd w:val="clear" w:color="auto" w:fill="FFFFFF"/>
          <w:lang w:eastAsia="es-CO"/>
        </w:rPr>
      </w:pPr>
      <w:r w:rsidRPr="00185EE9">
        <w:rPr>
          <w:rFonts w:ascii="Verdana" w:eastAsia="Calibri" w:hAnsi="Verdana" w:cs="Times New Roman"/>
          <w:iCs/>
          <w:lang w:val="es-ES"/>
        </w:rPr>
        <w:t xml:space="preserve">En </w:t>
      </w:r>
      <w:r w:rsidRPr="00185EE9">
        <w:rPr>
          <w:rFonts w:ascii="Verdana" w:eastAsia="Calibri" w:hAnsi="Verdana" w:cs="Times New Roman"/>
          <w:i/>
          <w:lang w:val="es-ES"/>
        </w:rPr>
        <w:t>primer lugar</w:t>
      </w:r>
      <w:r w:rsidRPr="00185EE9">
        <w:rPr>
          <w:rFonts w:ascii="Verdana" w:eastAsia="Calibri" w:hAnsi="Verdana" w:cs="Times New Roman"/>
          <w:iCs/>
          <w:lang w:val="es-ES"/>
        </w:rPr>
        <w:t>,</w:t>
      </w:r>
      <w:r w:rsidR="00D57FA4" w:rsidRPr="00185EE9">
        <w:rPr>
          <w:rFonts w:ascii="Verdana" w:eastAsia="Calibri" w:hAnsi="Verdana" w:cs="Times New Roman"/>
          <w:iCs/>
          <w:lang w:val="es-ES"/>
        </w:rPr>
        <w:t xml:space="preserve"> </w:t>
      </w:r>
      <w:r w:rsidR="00E761BC" w:rsidRPr="00185EE9">
        <w:rPr>
          <w:rFonts w:ascii="Verdana" w:eastAsia="Calibri" w:hAnsi="Verdana" w:cs="Times New Roman"/>
          <w:iCs/>
          <w:lang w:val="es-ES"/>
        </w:rPr>
        <w:t>se p</w:t>
      </w:r>
      <w:r w:rsidR="0041655A" w:rsidRPr="00185EE9">
        <w:rPr>
          <w:rFonts w:ascii="Verdana" w:eastAsia="Calibri" w:hAnsi="Verdana" w:cs="Times New Roman"/>
          <w:iCs/>
          <w:lang w:val="es-ES"/>
        </w:rPr>
        <w:t>recisa que</w:t>
      </w:r>
      <w:r w:rsidR="00C40E9F" w:rsidRPr="00185EE9">
        <w:rPr>
          <w:rFonts w:ascii="Verdana" w:eastAsia="Calibri" w:hAnsi="Verdana" w:cs="Times New Roman"/>
          <w:iCs/>
          <w:lang w:val="es-ES"/>
        </w:rPr>
        <w:t>,</w:t>
      </w:r>
      <w:r w:rsidR="0041655A" w:rsidRPr="00185EE9">
        <w:rPr>
          <w:rFonts w:ascii="Verdana" w:eastAsia="Calibri" w:hAnsi="Verdana" w:cs="Times New Roman"/>
          <w:iCs/>
          <w:lang w:val="es-ES"/>
        </w:rPr>
        <w:t xml:space="preserve"> los bienes y servicios de características técnicas uniformes y de común utilización </w:t>
      </w:r>
      <w:r w:rsidR="000E06F4" w:rsidRPr="00185EE9">
        <w:rPr>
          <w:rFonts w:ascii="Verdana" w:eastAsia="Calibri" w:hAnsi="Verdana" w:cs="Times New Roman"/>
          <w:iCs/>
          <w:lang w:val="es-ES"/>
        </w:rPr>
        <w:t xml:space="preserve">son aquellos que </w:t>
      </w:r>
      <w:r w:rsidRPr="00185EE9">
        <w:rPr>
          <w:rFonts w:ascii="Verdana" w:eastAsia="Calibri" w:hAnsi="Verdana" w:cs="Times New Roman"/>
          <w:iCs/>
          <w:lang w:val="es-ES"/>
        </w:rPr>
        <w:t xml:space="preserve">comparten </w:t>
      </w:r>
      <w:r w:rsidR="00392A49" w:rsidRPr="00185EE9">
        <w:rPr>
          <w:rFonts w:ascii="Verdana" w:eastAsia="Calibri" w:hAnsi="Verdana" w:cs="Times New Roman"/>
          <w:iCs/>
          <w:lang w:val="es-ES"/>
        </w:rPr>
        <w:t>patrones de desempeño</w:t>
      </w:r>
      <w:r w:rsidR="000A31B9" w:rsidRPr="00185EE9">
        <w:rPr>
          <w:rFonts w:ascii="Verdana" w:eastAsia="Calibri" w:hAnsi="Verdana" w:cs="Times New Roman"/>
          <w:iCs/>
          <w:lang w:val="es-ES"/>
        </w:rPr>
        <w:t xml:space="preserve"> y calidad</w:t>
      </w:r>
      <w:r w:rsidR="002E1D98" w:rsidRPr="00185EE9">
        <w:rPr>
          <w:rFonts w:ascii="Verdana" w:eastAsia="Calibri" w:hAnsi="Verdana" w:cs="Arial"/>
          <w:bCs/>
          <w:color w:val="000000" w:themeColor="text1"/>
        </w:rPr>
        <w:t xml:space="preserve"> similares para la satisfacción de la necesidad a la que atienden</w:t>
      </w:r>
      <w:r w:rsidR="002E1D98" w:rsidRPr="00185EE9">
        <w:rPr>
          <w:rFonts w:ascii="Verdana" w:eastAsia="Calibri" w:hAnsi="Verdana" w:cs="Times New Roman"/>
          <w:iCs/>
          <w:lang w:val="es-ES"/>
        </w:rPr>
        <w:t>.</w:t>
      </w:r>
      <w:r w:rsidR="0031430F" w:rsidRPr="00185EE9">
        <w:rPr>
          <w:rFonts w:ascii="Verdana" w:eastAsia="Calibri" w:hAnsi="Verdana" w:cs="Times New Roman"/>
          <w:iCs/>
          <w:lang w:val="es-ES"/>
        </w:rPr>
        <w:t xml:space="preserve"> </w:t>
      </w:r>
      <w:r w:rsidR="008E7333" w:rsidRPr="00185EE9">
        <w:rPr>
          <w:rFonts w:ascii="Verdana" w:eastAsia="Calibri" w:hAnsi="Verdana" w:cs="Times New Roman"/>
          <w:iCs/>
          <w:lang w:val="es-ES"/>
        </w:rPr>
        <w:t xml:space="preserve">De </w:t>
      </w:r>
      <w:r w:rsidR="00A80F32" w:rsidRPr="00185EE9">
        <w:rPr>
          <w:rFonts w:ascii="Verdana" w:eastAsia="Calibri" w:hAnsi="Verdana" w:cs="Times New Roman"/>
          <w:iCs/>
          <w:lang w:val="es-ES"/>
        </w:rPr>
        <w:t xml:space="preserve">acuerdo con el numeral </w:t>
      </w:r>
      <w:r w:rsidR="001A237A" w:rsidRPr="00185EE9">
        <w:rPr>
          <w:rFonts w:ascii="Verdana" w:eastAsia="Calibri" w:hAnsi="Verdana" w:cs="Times New Roman"/>
          <w:iCs/>
          <w:lang w:val="es-ES"/>
        </w:rPr>
        <w:t xml:space="preserve">2 </w:t>
      </w:r>
      <w:r w:rsidR="00A80F32" w:rsidRPr="00185EE9">
        <w:rPr>
          <w:rFonts w:ascii="Verdana" w:eastAsia="Calibri" w:hAnsi="Verdana" w:cs="Times New Roman"/>
          <w:iCs/>
          <w:lang w:val="es-ES"/>
        </w:rPr>
        <w:t xml:space="preserve">del </w:t>
      </w:r>
      <w:r w:rsidR="001A237A" w:rsidRPr="00185EE9">
        <w:rPr>
          <w:rFonts w:ascii="Verdana" w:eastAsia="Calibri" w:hAnsi="Verdana" w:cs="Times New Roman"/>
          <w:iCs/>
          <w:lang w:val="es-ES"/>
        </w:rPr>
        <w:t xml:space="preserve">artículo 2 de la Ley 1150 de 2007, así </w:t>
      </w:r>
      <w:r w:rsidR="001A237A" w:rsidRPr="00185EE9">
        <w:rPr>
          <w:rFonts w:ascii="Verdana" w:eastAsia="Times New Roman" w:hAnsi="Verdana" w:cs="Arial"/>
          <w:shd w:val="clear" w:color="auto" w:fill="FFFFFF"/>
          <w:lang w:eastAsia="es-CO"/>
        </w:rPr>
        <w:t>corresponden a aquellos que poseen las mismas especificaciones técnicas, con independencia de su diseño o de sus características descriptivas, y comparten patrones de desempeño y calidad objetivamente definidos.</w:t>
      </w:r>
    </w:p>
    <w:p w14:paraId="047609C5" w14:textId="77777777" w:rsidR="001A237A" w:rsidRPr="00185EE9" w:rsidRDefault="001A237A" w:rsidP="0008328D">
      <w:pPr>
        <w:tabs>
          <w:tab w:val="left" w:pos="567"/>
        </w:tabs>
        <w:spacing w:after="0" w:line="256" w:lineRule="auto"/>
        <w:jc w:val="both"/>
        <w:rPr>
          <w:rFonts w:ascii="Verdana" w:eastAsia="Times New Roman" w:hAnsi="Verdana" w:cs="Arial"/>
          <w:sz w:val="20"/>
          <w:szCs w:val="20"/>
          <w:shd w:val="clear" w:color="auto" w:fill="FFFFFF"/>
          <w:lang w:eastAsia="es-CO"/>
        </w:rPr>
      </w:pPr>
    </w:p>
    <w:p w14:paraId="0E526305" w14:textId="6E89E274" w:rsidR="0052543A" w:rsidRPr="00185EE9" w:rsidRDefault="00BC0036" w:rsidP="00F40BAD">
      <w:pPr>
        <w:spacing w:after="120" w:line="276" w:lineRule="auto"/>
        <w:ind w:firstLine="709"/>
        <w:jc w:val="both"/>
        <w:rPr>
          <w:rFonts w:ascii="Verdana" w:eastAsia="Calibri" w:hAnsi="Verdana" w:cs="Arial"/>
          <w:bCs/>
          <w:color w:val="000000" w:themeColor="text1"/>
        </w:rPr>
      </w:pPr>
      <w:r w:rsidRPr="00185EE9">
        <w:rPr>
          <w:rFonts w:ascii="Verdana" w:eastAsia="Calibri" w:hAnsi="Verdana" w:cs="Times New Roman"/>
          <w:iCs/>
          <w:lang w:val="es-ES"/>
        </w:rPr>
        <w:t xml:space="preserve">En </w:t>
      </w:r>
      <w:r w:rsidRPr="00185EE9">
        <w:rPr>
          <w:rFonts w:ascii="Verdana" w:eastAsia="Calibri" w:hAnsi="Verdana" w:cs="Times New Roman"/>
          <w:i/>
          <w:lang w:val="es-ES"/>
        </w:rPr>
        <w:t>segundo</w:t>
      </w:r>
      <w:r w:rsidRPr="00185EE9">
        <w:rPr>
          <w:rFonts w:ascii="Verdana" w:eastAsia="Calibri" w:hAnsi="Verdana" w:cs="Times New Roman"/>
          <w:iCs/>
          <w:lang w:val="es-ES"/>
        </w:rPr>
        <w:t xml:space="preserve"> lugar, </w:t>
      </w:r>
      <w:r w:rsidR="00C40E9F" w:rsidRPr="00185EE9">
        <w:rPr>
          <w:rFonts w:ascii="Verdana" w:eastAsia="Calibri" w:hAnsi="Verdana" w:cs="Times New Roman"/>
          <w:iCs/>
          <w:lang w:val="es-ES"/>
        </w:rPr>
        <w:t>debe indicarse que,</w:t>
      </w:r>
      <w:r w:rsidR="00F40BAD" w:rsidRPr="00185EE9">
        <w:rPr>
          <w:rFonts w:ascii="Verdana" w:eastAsia="Calibri" w:hAnsi="Verdana" w:cs="Times New Roman"/>
          <w:iCs/>
          <w:lang w:val="es-ES"/>
        </w:rPr>
        <w:t xml:space="preserve"> </w:t>
      </w:r>
      <w:r w:rsidR="00F40BAD" w:rsidRPr="00185EE9">
        <w:rPr>
          <w:rFonts w:ascii="Verdana" w:eastAsia="Calibri" w:hAnsi="Verdana" w:cs="Times New Roman"/>
          <w:i/>
          <w:lang w:val="es-ES"/>
        </w:rPr>
        <w:t xml:space="preserve">en principio, </w:t>
      </w:r>
      <w:r w:rsidR="00F40BAD" w:rsidRPr="00185EE9">
        <w:rPr>
          <w:rFonts w:ascii="Verdana" w:eastAsia="Calibri" w:hAnsi="Verdana" w:cs="Times New Roman"/>
          <w:iCs/>
          <w:lang w:val="es-ES"/>
        </w:rPr>
        <w:t>la modalidad de selección aplicable</w:t>
      </w:r>
      <w:r w:rsidR="0052543A" w:rsidRPr="00185EE9">
        <w:rPr>
          <w:rFonts w:ascii="Verdana" w:eastAsia="Calibri" w:hAnsi="Verdana" w:cs="Arial"/>
          <w:bCs/>
          <w:color w:val="000000" w:themeColor="text1"/>
        </w:rPr>
        <w:t xml:space="preserve"> </w:t>
      </w:r>
      <w:r w:rsidR="00F40BAD" w:rsidRPr="00185EE9">
        <w:rPr>
          <w:rFonts w:ascii="Verdana" w:eastAsia="Calibri" w:hAnsi="Verdana" w:cs="Arial"/>
          <w:bCs/>
          <w:color w:val="000000" w:themeColor="text1"/>
        </w:rPr>
        <w:t>p</w:t>
      </w:r>
      <w:r w:rsidR="0052543A" w:rsidRPr="00185EE9">
        <w:rPr>
          <w:rFonts w:ascii="Verdana" w:eastAsia="Calibri" w:hAnsi="Verdana" w:cs="Arial"/>
          <w:bCs/>
          <w:color w:val="000000" w:themeColor="text1"/>
        </w:rPr>
        <w:t>ara la adquisición de</w:t>
      </w:r>
      <w:r w:rsidR="0052543A" w:rsidRPr="00185EE9">
        <w:rPr>
          <w:rFonts w:ascii="Verdana" w:eastAsia="Calibri" w:hAnsi="Verdana" w:cs="Arial"/>
          <w:bCs/>
          <w:i/>
          <w:iCs/>
          <w:color w:val="000000" w:themeColor="text1"/>
        </w:rPr>
        <w:t xml:space="preserve"> </w:t>
      </w:r>
      <w:r w:rsidR="0052543A" w:rsidRPr="00185EE9">
        <w:rPr>
          <w:rFonts w:ascii="Verdana" w:eastAsia="Calibri" w:hAnsi="Verdana" w:cs="Arial"/>
          <w:bCs/>
          <w:color w:val="000000" w:themeColor="text1"/>
        </w:rPr>
        <w:t>bienes y servicios</w:t>
      </w:r>
      <w:r w:rsidR="00F40BAD" w:rsidRPr="00185EE9">
        <w:rPr>
          <w:rFonts w:ascii="Verdana" w:eastAsia="Calibri" w:hAnsi="Verdana" w:cs="Arial"/>
          <w:bCs/>
          <w:color w:val="000000" w:themeColor="text1"/>
        </w:rPr>
        <w:t xml:space="preserve"> de características técnicas uniformes y común utilización es la selección abreviada a la que hace referencia el</w:t>
      </w:r>
      <w:r w:rsidR="00F40BAD" w:rsidRPr="00185EE9">
        <w:rPr>
          <w:rFonts w:ascii="Verdana" w:eastAsia="Calibri" w:hAnsi="Verdana" w:cs="Arial"/>
          <w:bCs/>
          <w:i/>
          <w:iCs/>
          <w:color w:val="000000" w:themeColor="text1"/>
        </w:rPr>
        <w:t xml:space="preserve"> </w:t>
      </w:r>
      <w:r w:rsidR="00F40BAD" w:rsidRPr="00185EE9">
        <w:rPr>
          <w:rFonts w:ascii="Verdana" w:eastAsia="Calibri" w:hAnsi="Verdana" w:cs="Arial"/>
          <w:bCs/>
          <w:color w:val="000000" w:themeColor="text1"/>
        </w:rPr>
        <w:t xml:space="preserve">literal a) del numeral 2 del 2 artículo de la Ley 1150 de 2007. Esto supone que, para la adquisición de estos bienes o servicios, las Entidades Estatales deban escoger a los proponentes habilitados que </w:t>
      </w:r>
      <w:r w:rsidR="003528DF" w:rsidRPr="00185EE9">
        <w:rPr>
          <w:rFonts w:ascii="Verdana" w:eastAsia="Calibri" w:hAnsi="Verdana" w:cs="Arial"/>
          <w:bCs/>
          <w:color w:val="000000" w:themeColor="text1"/>
        </w:rPr>
        <w:t>presenten ofertas</w:t>
      </w:r>
      <w:r w:rsidR="00F40BAD" w:rsidRPr="00185EE9">
        <w:rPr>
          <w:rFonts w:ascii="Verdana" w:eastAsia="Calibri" w:hAnsi="Verdana" w:cs="Arial"/>
          <w:bCs/>
          <w:color w:val="000000" w:themeColor="text1"/>
        </w:rPr>
        <w:t xml:space="preserve"> de menor valor, en el marco de </w:t>
      </w:r>
      <w:r w:rsidR="00EC1A2C" w:rsidRPr="00185EE9">
        <w:rPr>
          <w:rFonts w:ascii="Verdana" w:eastAsia="Calibri" w:hAnsi="Verdana" w:cs="Arial"/>
          <w:bCs/>
          <w:color w:val="000000" w:themeColor="text1"/>
        </w:rPr>
        <w:t xml:space="preserve">la aplicación del mecanismo </w:t>
      </w:r>
      <w:r w:rsidR="0052543A" w:rsidRPr="00185EE9">
        <w:rPr>
          <w:rFonts w:ascii="Verdana" w:eastAsia="Calibri" w:hAnsi="Verdana" w:cs="Arial"/>
          <w:bCs/>
          <w:color w:val="000000" w:themeColor="text1"/>
        </w:rPr>
        <w:t>de subasta inversa o de instrumentos de compra por catálogo derivados de la celebración de acuerdos marco de precios o de procedimientos de adquisición en bolsas de productos</w:t>
      </w:r>
      <w:r w:rsidR="00F40BAD" w:rsidRPr="00185EE9">
        <w:rPr>
          <w:rFonts w:ascii="Verdana" w:eastAsia="Calibri" w:hAnsi="Verdana" w:cs="Arial"/>
          <w:bCs/>
          <w:color w:val="000000" w:themeColor="text1"/>
        </w:rPr>
        <w:t>.</w:t>
      </w:r>
      <w:r w:rsidR="0052543A" w:rsidRPr="00185EE9">
        <w:rPr>
          <w:rFonts w:ascii="Verdana" w:eastAsia="Calibri" w:hAnsi="Verdana" w:cs="Arial"/>
          <w:bCs/>
          <w:color w:val="000000" w:themeColor="text1"/>
        </w:rPr>
        <w:t xml:space="preserve"> </w:t>
      </w:r>
    </w:p>
    <w:p w14:paraId="32B23017" w14:textId="1344C6D3" w:rsidR="007F7B94" w:rsidRPr="00185EE9" w:rsidRDefault="00F40BAD" w:rsidP="007F7B9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Sin embargo,</w:t>
      </w:r>
      <w:r w:rsidR="007F7B94" w:rsidRPr="00185EE9">
        <w:rPr>
          <w:rFonts w:ascii="Verdana" w:eastAsia="Calibri" w:hAnsi="Verdana" w:cs="Arial"/>
          <w:bCs/>
          <w:color w:val="000000" w:themeColor="text1"/>
        </w:rPr>
        <w:t xml:space="preserve"> si bien nada se opone a que los</w:t>
      </w:r>
      <w:r w:rsidR="0052543A" w:rsidRPr="00185EE9">
        <w:rPr>
          <w:rFonts w:ascii="Verdana" w:eastAsia="Calibri" w:hAnsi="Verdana" w:cs="Arial"/>
          <w:bCs/>
          <w:color w:val="000000" w:themeColor="text1"/>
        </w:rPr>
        <w:t xml:space="preserve"> servicios de vigilancia </w:t>
      </w:r>
      <w:r w:rsidR="007F7B94" w:rsidRPr="00185EE9">
        <w:rPr>
          <w:rFonts w:ascii="Verdana" w:eastAsia="Calibri" w:hAnsi="Verdana" w:cs="Arial"/>
          <w:bCs/>
          <w:color w:val="000000" w:themeColor="text1"/>
        </w:rPr>
        <w:t xml:space="preserve">y seguridad </w:t>
      </w:r>
      <w:r w:rsidR="0052543A" w:rsidRPr="00185EE9">
        <w:rPr>
          <w:rFonts w:ascii="Verdana" w:eastAsia="Calibri" w:hAnsi="Verdana" w:cs="Arial"/>
          <w:bCs/>
          <w:color w:val="000000" w:themeColor="text1"/>
        </w:rPr>
        <w:t>privad</w:t>
      </w:r>
      <w:r w:rsidR="007F7B94" w:rsidRPr="00185EE9">
        <w:rPr>
          <w:rFonts w:ascii="Verdana" w:eastAsia="Calibri" w:hAnsi="Verdana" w:cs="Arial"/>
          <w:bCs/>
          <w:color w:val="000000" w:themeColor="text1"/>
        </w:rPr>
        <w:t>a regulados por el</w:t>
      </w:r>
      <w:r w:rsidR="0052543A" w:rsidRPr="00185EE9">
        <w:rPr>
          <w:rFonts w:ascii="Verdana" w:eastAsia="Calibri" w:hAnsi="Verdana" w:cs="Arial"/>
          <w:bCs/>
          <w:color w:val="000000" w:themeColor="text1"/>
        </w:rPr>
        <w:t xml:space="preserve"> Decreto Ley 356 de 1994 </w:t>
      </w:r>
      <w:r w:rsidR="007F7B94" w:rsidRPr="00185EE9">
        <w:rPr>
          <w:rFonts w:ascii="Verdana" w:eastAsia="Calibri" w:hAnsi="Verdana" w:cs="Arial"/>
          <w:bCs/>
          <w:color w:val="000000" w:themeColor="text1"/>
        </w:rPr>
        <w:t>sean</w:t>
      </w:r>
      <w:r w:rsidR="0052543A" w:rsidRPr="00185EE9">
        <w:rPr>
          <w:rFonts w:ascii="Verdana" w:eastAsia="Calibri" w:hAnsi="Verdana" w:cs="Arial"/>
          <w:bCs/>
          <w:color w:val="000000" w:themeColor="text1"/>
        </w:rPr>
        <w:t xml:space="preserve"> considera</w:t>
      </w:r>
      <w:r w:rsidR="007F7B94" w:rsidRPr="00185EE9">
        <w:rPr>
          <w:rFonts w:ascii="Verdana" w:eastAsia="Calibri" w:hAnsi="Verdana" w:cs="Arial"/>
          <w:bCs/>
          <w:color w:val="000000" w:themeColor="text1"/>
        </w:rPr>
        <w:t>dos</w:t>
      </w:r>
      <w:r w:rsidR="0052543A" w:rsidRPr="00185EE9">
        <w:rPr>
          <w:rFonts w:ascii="Verdana" w:eastAsia="Calibri" w:hAnsi="Verdana" w:cs="Arial"/>
          <w:bCs/>
          <w:color w:val="000000" w:themeColor="text1"/>
        </w:rPr>
        <w:t xml:space="preserve"> como de características técnicas uniformes</w:t>
      </w:r>
      <w:r w:rsidR="007F7B94" w:rsidRPr="00185EE9">
        <w:rPr>
          <w:rFonts w:ascii="Verdana" w:eastAsia="Calibri" w:hAnsi="Verdana" w:cs="Arial"/>
          <w:bCs/>
          <w:color w:val="000000" w:themeColor="text1"/>
        </w:rPr>
        <w:t xml:space="preserve">, la contratación de estos a través de las modalidades antes indicadas no </w:t>
      </w:r>
      <w:r w:rsidR="00881ABA" w:rsidRPr="00185EE9">
        <w:rPr>
          <w:rFonts w:ascii="Verdana" w:eastAsia="Calibri" w:hAnsi="Verdana" w:cs="Arial"/>
          <w:bCs/>
          <w:color w:val="000000" w:themeColor="text1"/>
        </w:rPr>
        <w:t>es</w:t>
      </w:r>
      <w:r w:rsidR="007F7B94" w:rsidRPr="00185EE9">
        <w:rPr>
          <w:rFonts w:ascii="Verdana" w:eastAsia="Calibri" w:hAnsi="Verdana" w:cs="Arial"/>
          <w:bCs/>
          <w:color w:val="000000" w:themeColor="text1"/>
        </w:rPr>
        <w:t xml:space="preserve"> funcional para garantizar la selección objetiva. Esto comoquiera que las tarifas mínimas establecidas para estos servicios en la Circular Externa de la Superintendencia de Vigilancia y Seguridad Privada 20231300001105 del 30 de diciembre de 2023 representan una </w:t>
      </w:r>
      <w:r w:rsidR="00612CE7" w:rsidRPr="00185EE9">
        <w:rPr>
          <w:rFonts w:ascii="Verdana" w:eastAsia="Calibri" w:hAnsi="Verdana" w:cs="Arial"/>
          <w:bCs/>
          <w:color w:val="000000" w:themeColor="text1"/>
        </w:rPr>
        <w:t>medida regulatoria</w:t>
      </w:r>
      <w:r w:rsidR="007F7B94" w:rsidRPr="00185EE9">
        <w:rPr>
          <w:rFonts w:ascii="Verdana" w:eastAsia="Calibri" w:hAnsi="Verdana" w:cs="Arial"/>
          <w:bCs/>
          <w:color w:val="000000" w:themeColor="text1"/>
        </w:rPr>
        <w:t xml:space="preserve"> </w:t>
      </w:r>
      <w:r w:rsidR="00612CE7" w:rsidRPr="00185EE9">
        <w:rPr>
          <w:rFonts w:ascii="Verdana" w:eastAsia="Calibri" w:hAnsi="Verdana" w:cs="Arial"/>
          <w:bCs/>
          <w:color w:val="000000" w:themeColor="text1"/>
        </w:rPr>
        <w:t xml:space="preserve">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w:t>
      </w:r>
      <w:r w:rsidR="00EC1A2C" w:rsidRPr="00185EE9">
        <w:rPr>
          <w:rFonts w:ascii="Verdana" w:eastAsia="Calibri" w:hAnsi="Verdana" w:cs="Arial"/>
          <w:bCs/>
          <w:color w:val="000000" w:themeColor="text1"/>
        </w:rPr>
        <w:t xml:space="preserve">otros </w:t>
      </w:r>
      <w:r w:rsidR="00612CE7" w:rsidRPr="00185EE9">
        <w:rPr>
          <w:rFonts w:ascii="Verdana" w:eastAsia="Calibri" w:hAnsi="Verdana" w:cs="Arial"/>
          <w:bCs/>
          <w:color w:val="000000" w:themeColor="text1"/>
        </w:rPr>
        <w:t xml:space="preserve">bienes o servicios </w:t>
      </w:r>
      <w:r w:rsidR="00197274" w:rsidRPr="00185EE9">
        <w:rPr>
          <w:rFonts w:ascii="Verdana" w:eastAsia="Calibri" w:hAnsi="Verdana" w:cs="Arial"/>
          <w:bCs/>
          <w:color w:val="000000" w:themeColor="text1"/>
        </w:rPr>
        <w:t xml:space="preserve">que no tienen un precio mínimo regulado. </w:t>
      </w:r>
      <w:r w:rsidR="00612CE7" w:rsidRPr="00185EE9">
        <w:rPr>
          <w:rFonts w:ascii="Verdana" w:eastAsia="Calibri" w:hAnsi="Verdana" w:cs="Arial"/>
          <w:bCs/>
          <w:color w:val="000000" w:themeColor="text1"/>
        </w:rPr>
        <w:t xml:space="preserve">  </w:t>
      </w:r>
    </w:p>
    <w:p w14:paraId="433025B3" w14:textId="260EFA86" w:rsidR="00197274" w:rsidRPr="00185EE9" w:rsidRDefault="00197274" w:rsidP="00EB7E00">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En atención </w:t>
      </w:r>
      <w:r w:rsidR="00881ABA" w:rsidRPr="00185EE9">
        <w:rPr>
          <w:rFonts w:ascii="Verdana" w:eastAsia="Calibri" w:hAnsi="Verdana" w:cs="Arial"/>
          <w:bCs/>
          <w:color w:val="000000" w:themeColor="text1"/>
        </w:rPr>
        <w:t xml:space="preserve">a </w:t>
      </w:r>
      <w:r w:rsidRPr="00185EE9">
        <w:rPr>
          <w:rFonts w:ascii="Verdana" w:eastAsia="Calibri" w:hAnsi="Verdana" w:cs="Arial"/>
          <w:bCs/>
          <w:color w:val="000000" w:themeColor="text1"/>
        </w:rPr>
        <w:t>esto, la modalidad de selección más adecuada para la contratación de servicios de vigilancia y seguridad privada es la licitación pública</w:t>
      </w:r>
      <w:r w:rsidR="00F9479C" w:rsidRPr="00185EE9">
        <w:rPr>
          <w:rFonts w:ascii="Verdana" w:eastAsia="Calibri" w:hAnsi="Verdana" w:cs="Arial"/>
          <w:bCs/>
          <w:color w:val="000000" w:themeColor="text1"/>
        </w:rPr>
        <w:t xml:space="preserve"> </w:t>
      </w:r>
      <w:r w:rsidR="00F9479C" w:rsidRPr="00185EE9">
        <w:rPr>
          <w:rFonts w:ascii="Verdana" w:eastAsia="Calibri" w:hAnsi="Verdana" w:cs="Arial"/>
          <w:bCs/>
          <w:color w:val="000000" w:themeColor="text1"/>
        </w:rPr>
        <w:lastRenderedPageBreak/>
        <w:t>prevista en el numeral 1 del artículo 2 de la Ley 1150 de 2007</w:t>
      </w:r>
      <w:r w:rsidR="008E1F92" w:rsidRPr="00185EE9">
        <w:rPr>
          <w:rFonts w:ascii="Verdana" w:eastAsia="Calibri" w:hAnsi="Verdana" w:cs="Arial"/>
          <w:bCs/>
          <w:color w:val="000000" w:themeColor="text1"/>
        </w:rPr>
        <w:t xml:space="preserve"> como</w:t>
      </w:r>
      <w:r w:rsidRPr="00185EE9">
        <w:rPr>
          <w:rFonts w:ascii="Verdana" w:eastAsia="Calibri" w:hAnsi="Verdana" w:cs="Arial"/>
          <w:bCs/>
          <w:color w:val="000000" w:themeColor="text1"/>
        </w:rPr>
        <w:t xml:space="preserve"> la regla general para objetos no sujetos a alguna modalidad en específico</w:t>
      </w:r>
      <w:r w:rsidR="008E1F92" w:rsidRPr="00185EE9">
        <w:rPr>
          <w:rFonts w:ascii="Verdana" w:eastAsia="Calibri" w:hAnsi="Verdana" w:cs="Arial"/>
          <w:bCs/>
          <w:color w:val="000000" w:themeColor="text1"/>
        </w:rPr>
        <w:t xml:space="preserve">. Esto además debido a que la licitación pública es la modalidad que </w:t>
      </w:r>
      <w:r w:rsidRPr="00185EE9">
        <w:rPr>
          <w:rFonts w:ascii="Verdana" w:eastAsia="Calibri" w:hAnsi="Verdana" w:cs="Arial"/>
          <w:bCs/>
          <w:color w:val="000000" w:themeColor="text1"/>
        </w:rPr>
        <w:t>brinda más garantías para la</w:t>
      </w:r>
      <w:r w:rsidR="00F9479C" w:rsidRPr="00185EE9">
        <w:rPr>
          <w:rFonts w:ascii="Verdana" w:eastAsia="Calibri" w:hAnsi="Verdana" w:cs="Arial"/>
          <w:bCs/>
          <w:color w:val="000000" w:themeColor="text1"/>
        </w:rPr>
        <w:t xml:space="preserve"> selección objetiva, ya que</w:t>
      </w:r>
      <w:r w:rsidR="008E1F92" w:rsidRPr="00185EE9">
        <w:rPr>
          <w:rFonts w:ascii="Verdana" w:eastAsia="Calibri" w:hAnsi="Verdana" w:cs="Arial"/>
          <w:bCs/>
          <w:color w:val="000000" w:themeColor="text1"/>
        </w:rPr>
        <w:t>, de acuerdo con el artículo 5, numeral 2 de la Ley 1150 de 2007, reglamentado en el artículo 2.2.1.1.2.2.2 del Decreto 1082 de 2015, en este tipo de procedimientos</w:t>
      </w:r>
      <w:r w:rsidR="00F9479C" w:rsidRPr="00185EE9">
        <w:rPr>
          <w:rFonts w:ascii="Verdana" w:eastAsia="Calibri" w:hAnsi="Verdana" w:cs="Arial"/>
          <w:bCs/>
          <w:color w:val="000000" w:themeColor="text1"/>
        </w:rPr>
        <w:t xml:space="preserve"> la</w:t>
      </w:r>
      <w:r w:rsidRPr="00185EE9">
        <w:rPr>
          <w:rFonts w:ascii="Verdana" w:eastAsia="Calibri" w:hAnsi="Verdana" w:cs="Arial"/>
          <w:bCs/>
          <w:color w:val="000000" w:themeColor="text1"/>
        </w:rPr>
        <w:t xml:space="preserve"> oferta más favorable</w:t>
      </w:r>
      <w:r w:rsidR="00F9479C" w:rsidRPr="00185EE9">
        <w:rPr>
          <w:rFonts w:ascii="Verdana" w:eastAsia="Calibri" w:hAnsi="Verdana" w:cs="Arial"/>
          <w:bCs/>
          <w:color w:val="000000" w:themeColor="text1"/>
        </w:rPr>
        <w:t xml:space="preserve"> es</w:t>
      </w:r>
      <w:r w:rsidR="00CC54DB" w:rsidRPr="00185EE9">
        <w:rPr>
          <w:rFonts w:ascii="Verdana" w:eastAsia="Calibri" w:hAnsi="Verdana" w:cs="Arial"/>
          <w:bCs/>
          <w:color w:val="000000" w:themeColor="text1"/>
        </w:rPr>
        <w:t xml:space="preserve"> aquella</w:t>
      </w:r>
      <w:r w:rsidR="00F9479C" w:rsidRPr="00185EE9">
        <w:rPr>
          <w:rFonts w:ascii="Verdana" w:eastAsia="Calibri" w:hAnsi="Verdana" w:cs="Arial"/>
          <w:bCs/>
          <w:color w:val="000000" w:themeColor="text1"/>
        </w:rPr>
        <w:t xml:space="preserve"> que represente la mejor</w:t>
      </w:r>
      <w:r w:rsidRPr="00185EE9">
        <w:rPr>
          <w:rFonts w:ascii="Verdana" w:eastAsia="Calibri" w:hAnsi="Verdana" w:cs="Arial"/>
          <w:bCs/>
          <w:color w:val="000000" w:themeColor="text1"/>
        </w:rPr>
        <w:t xml:space="preserve"> relación calidad-precio</w:t>
      </w:r>
      <w:r w:rsidR="00881ABA" w:rsidRPr="00185EE9">
        <w:rPr>
          <w:rFonts w:ascii="Verdana" w:eastAsia="Calibri" w:hAnsi="Verdana" w:cs="Arial"/>
          <w:bCs/>
          <w:color w:val="000000" w:themeColor="text1"/>
        </w:rPr>
        <w:t>,</w:t>
      </w:r>
      <w:r w:rsidR="00F9479C" w:rsidRPr="00185EE9">
        <w:rPr>
          <w:rFonts w:ascii="Verdana" w:eastAsia="Calibri" w:hAnsi="Verdana" w:cs="Arial"/>
          <w:bCs/>
          <w:color w:val="000000" w:themeColor="text1"/>
        </w:rPr>
        <w:t xml:space="preserve"> cuestión que debe determinarse valorando,</w:t>
      </w:r>
      <w:r w:rsidR="00881ABA" w:rsidRPr="00185EE9">
        <w:rPr>
          <w:rFonts w:ascii="Verdana" w:eastAsia="Calibri" w:hAnsi="Verdana" w:cs="Arial"/>
          <w:bCs/>
          <w:color w:val="000000" w:themeColor="text1"/>
        </w:rPr>
        <w:t xml:space="preserve"> además del precio, factores de calidad, criterios sociales y ambientales</w:t>
      </w:r>
      <w:r w:rsidR="00F9479C" w:rsidRPr="00185EE9">
        <w:rPr>
          <w:rFonts w:ascii="Verdana" w:eastAsia="Calibri" w:hAnsi="Verdana" w:cs="Arial"/>
          <w:bCs/>
          <w:color w:val="000000" w:themeColor="text1"/>
        </w:rPr>
        <w:t>, sin perjuicio de la aplicación de puntajes adicionales y acciones afirmativas previstos en la normativa de la contratación pública</w:t>
      </w:r>
      <w:r w:rsidR="00881ABA" w:rsidRPr="00185EE9">
        <w:rPr>
          <w:rFonts w:ascii="Verdana" w:eastAsia="Calibri" w:hAnsi="Verdana" w:cs="Arial"/>
          <w:bCs/>
          <w:color w:val="000000" w:themeColor="text1"/>
        </w:rPr>
        <w:t>. Esto además resulta coherente con lo dispuesto en el</w:t>
      </w:r>
      <w:r w:rsidR="00881ABA" w:rsidRPr="00185EE9">
        <w:rPr>
          <w:rFonts w:ascii="Verdana" w:eastAsia="Calibri" w:hAnsi="Verdana" w:cs="Arial"/>
          <w:color w:val="000000"/>
          <w:lang w:val="es-ES_tradnl"/>
        </w:rPr>
        <w:t xml:space="preserve"> artículo 6 de la Ley 1920 de 2018, que </w:t>
      </w:r>
      <w:r w:rsidR="00881ABA"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00881ABA" w:rsidRPr="00185EE9">
        <w:rPr>
          <w:rFonts w:ascii="Verdana" w:eastAsia="Calibri" w:hAnsi="Verdana" w:cs="Arial"/>
          <w:bCs/>
          <w:color w:val="000000" w:themeColor="text1"/>
        </w:rPr>
        <w:t>servicios de vigilancia y seguridad privada</w:t>
      </w:r>
      <w:r w:rsidR="00EC1A2C" w:rsidRPr="00185EE9">
        <w:rPr>
          <w:rFonts w:ascii="Verdana" w:eastAsia="Calibri" w:hAnsi="Verdana" w:cs="Arial"/>
          <w:bCs/>
          <w:color w:val="000000" w:themeColor="text1"/>
        </w:rPr>
        <w:t xml:space="preserve">, previendo además la aplicación de factores de evaluación distintos del precio. </w:t>
      </w:r>
    </w:p>
    <w:p w14:paraId="5C4AF794" w14:textId="6A7A25A7" w:rsidR="00F9479C" w:rsidRPr="00185EE9" w:rsidRDefault="00F9479C" w:rsidP="00EC1A2C">
      <w:pPr>
        <w:spacing w:after="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w:t>
      </w:r>
      <w:r w:rsidR="005A0CFB" w:rsidRPr="00185EE9">
        <w:rPr>
          <w:rFonts w:ascii="Verdana" w:eastAsia="Calibri" w:hAnsi="Verdana" w:cs="Arial"/>
          <w:bCs/>
          <w:color w:val="000000" w:themeColor="text1"/>
        </w:rPr>
        <w:t xml:space="preserve">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366E10F5" w14:textId="77777777" w:rsidR="005A0CFB" w:rsidRPr="00185EE9" w:rsidRDefault="005A0CFB" w:rsidP="00EB7E00">
      <w:pPr>
        <w:spacing w:after="0" w:line="276" w:lineRule="auto"/>
        <w:ind w:firstLine="709"/>
        <w:jc w:val="both"/>
        <w:rPr>
          <w:rFonts w:ascii="Verdana" w:eastAsia="Calibri" w:hAnsi="Verdana" w:cs="Arial"/>
          <w:bCs/>
          <w:color w:val="000000" w:themeColor="text1"/>
        </w:rPr>
      </w:pPr>
    </w:p>
    <w:p w14:paraId="45CC5D27" w14:textId="77777777" w:rsidR="0008328D" w:rsidRPr="00185EE9" w:rsidRDefault="0008328D" w:rsidP="00AE2631">
      <w:pPr>
        <w:numPr>
          <w:ilvl w:val="0"/>
          <w:numId w:val="19"/>
        </w:numPr>
        <w:spacing w:after="0" w:line="256" w:lineRule="auto"/>
        <w:ind w:left="0" w:firstLine="0"/>
        <w:rPr>
          <w:rFonts w:ascii="Verdana" w:eastAsia="Calibri" w:hAnsi="Verdana" w:cs="Times New Roman"/>
          <w:b/>
          <w:bCs/>
          <w:lang w:val="es-ES"/>
        </w:rPr>
      </w:pPr>
      <w:r w:rsidRPr="00185EE9">
        <w:rPr>
          <w:rFonts w:ascii="Verdana" w:eastAsia="Calibri" w:hAnsi="Verdana" w:cs="Times New Roman"/>
          <w:b/>
          <w:bCs/>
          <w:lang w:val="es-ES"/>
        </w:rPr>
        <w:t>Razones de la respuesta:</w:t>
      </w:r>
    </w:p>
    <w:p w14:paraId="4C1E6DBF" w14:textId="77777777" w:rsidR="0008328D" w:rsidRPr="00185EE9" w:rsidRDefault="0008328D" w:rsidP="0008328D">
      <w:pPr>
        <w:spacing w:after="0" w:line="256" w:lineRule="auto"/>
        <w:rPr>
          <w:rFonts w:ascii="Verdana" w:eastAsia="Calibri" w:hAnsi="Verdana" w:cs="Times New Roman"/>
          <w:b/>
          <w:bCs/>
          <w:lang w:val="es-ES"/>
        </w:rPr>
      </w:pPr>
    </w:p>
    <w:p w14:paraId="4665044A" w14:textId="77777777" w:rsidR="0008328D" w:rsidRPr="00185EE9" w:rsidRDefault="0008328D" w:rsidP="0008328D">
      <w:pPr>
        <w:spacing w:after="0" w:line="276" w:lineRule="auto"/>
        <w:jc w:val="both"/>
        <w:rPr>
          <w:rFonts w:ascii="Verdana" w:eastAsia="Calibri" w:hAnsi="Verdana" w:cs="Arial"/>
          <w:lang w:val="es-ES"/>
        </w:rPr>
      </w:pPr>
      <w:r w:rsidRPr="00185EE9">
        <w:rPr>
          <w:rFonts w:ascii="Verdana" w:eastAsia="Calibri" w:hAnsi="Verdana" w:cs="Arial"/>
          <w:lang w:val="es-ES"/>
        </w:rPr>
        <w:t xml:space="preserve">Lo anterior se sustenta en las siguientes consideraciones: </w:t>
      </w:r>
    </w:p>
    <w:p w14:paraId="53E9E04D" w14:textId="77777777" w:rsidR="00A34D87" w:rsidRPr="00185EE9" w:rsidRDefault="00A34D87" w:rsidP="00AE2631">
      <w:pPr>
        <w:spacing w:after="0" w:line="276" w:lineRule="auto"/>
        <w:jc w:val="both"/>
        <w:rPr>
          <w:rFonts w:ascii="Verdana" w:eastAsia="Calibri" w:hAnsi="Verdana" w:cs="Arial"/>
          <w:color w:val="000000"/>
          <w:szCs w:val="24"/>
          <w:lang w:val="es-ES_tradnl" w:eastAsia="es-ES_tradnl"/>
        </w:rPr>
      </w:pPr>
    </w:p>
    <w:p w14:paraId="2C705851" w14:textId="3080AFED" w:rsidR="003734F4" w:rsidRPr="00185EE9" w:rsidRDefault="003734F4" w:rsidP="003734F4">
      <w:pPr>
        <w:spacing w:after="120" w:line="276" w:lineRule="auto"/>
        <w:jc w:val="both"/>
        <w:rPr>
          <w:rFonts w:ascii="Verdana" w:eastAsia="Calibri" w:hAnsi="Verdana" w:cs="Arial"/>
          <w:bCs/>
          <w:lang w:val="es-MX" w:eastAsia="es-ES_tradnl"/>
        </w:rPr>
      </w:pPr>
      <w:r w:rsidRPr="00185EE9">
        <w:rPr>
          <w:rFonts w:ascii="Verdana" w:eastAsia="Calibri" w:hAnsi="Verdana" w:cs="Arial"/>
          <w:color w:val="000000"/>
          <w:szCs w:val="24"/>
          <w:lang w:val="es-ES_tradnl" w:eastAsia="es-ES_tradnl"/>
        </w:rPr>
        <w:t>P</w:t>
      </w:r>
      <w:r w:rsidRPr="00185EE9">
        <w:rPr>
          <w:rFonts w:ascii="Verdana" w:hAnsi="Verdana" w:cs="Arial"/>
          <w:lang w:val="es-ES"/>
        </w:rPr>
        <w:t xml:space="preserve">ara las entidades sometidas al Estatuto General de Contratación de la Administración Pública, los procesos de selección se rigen por </w:t>
      </w:r>
      <w:r w:rsidRPr="00185EE9">
        <w:rPr>
          <w:rFonts w:ascii="Verdana" w:hAnsi="Verdana" w:cs="Arial"/>
          <w:bCs/>
          <w:lang w:val="es-ES_tradnl"/>
        </w:rPr>
        <w:t>el artículo 2 de la Ley 1150 de 2007</w:t>
      </w:r>
      <w:r w:rsidRPr="00185EE9">
        <w:rPr>
          <w:rFonts w:ascii="Verdana" w:hAnsi="Verdana" w:cs="Arial"/>
          <w:lang w:val="es-ES"/>
        </w:rPr>
        <w:t xml:space="preserve">. El </w:t>
      </w:r>
      <w:r w:rsidRPr="00185EE9">
        <w:rPr>
          <w:rFonts w:ascii="Verdana" w:eastAsia="Calibri" w:hAnsi="Verdana" w:cs="Arial"/>
          <w:bCs/>
          <w:lang w:val="es-MX" w:eastAsia="es-ES_tradnl"/>
        </w:rPr>
        <w:t>numeral uno, inciso primero, de la norma citada</w:t>
      </w:r>
      <w:r w:rsidRPr="00185EE9">
        <w:rPr>
          <w:rFonts w:ascii="Verdana" w:hAnsi="Verdana" w:cs="Arial"/>
          <w:bCs/>
          <w:lang w:val="es-ES_tradnl"/>
        </w:rPr>
        <w:t xml:space="preserve"> </w:t>
      </w:r>
      <w:r w:rsidRPr="00185EE9">
        <w:rPr>
          <w:rFonts w:ascii="Verdana" w:eastAsia="Calibri" w:hAnsi="Verdana" w:cs="Arial"/>
          <w:bCs/>
          <w:lang w:val="es-MX" w:eastAsia="es-ES_tradnl"/>
        </w:rPr>
        <w:t xml:space="preserve">dispone que “La escogencia del contratista se efectuará por </w:t>
      </w:r>
      <w:r w:rsidRPr="00185EE9">
        <w:rPr>
          <w:rFonts w:ascii="Verdana" w:eastAsia="Calibri" w:hAnsi="Verdana" w:cs="Arial"/>
          <w:bCs/>
          <w:i/>
          <w:iCs/>
          <w:lang w:val="es-MX" w:eastAsia="es-ES_tradnl"/>
        </w:rPr>
        <w:t>regla general</w:t>
      </w:r>
      <w:r w:rsidRPr="00185EE9">
        <w:rPr>
          <w:rFonts w:ascii="Verdana" w:eastAsia="Calibri" w:hAnsi="Verdana" w:cs="Arial"/>
          <w:bCs/>
          <w:lang w:val="es-MX" w:eastAsia="es-ES_tradnl"/>
        </w:rPr>
        <w:t xml:space="preserve"> a través de licitación pública, con las </w:t>
      </w:r>
      <w:r w:rsidRPr="00185EE9">
        <w:rPr>
          <w:rFonts w:ascii="Verdana" w:eastAsia="Calibri" w:hAnsi="Verdana" w:cs="Arial"/>
          <w:bCs/>
          <w:i/>
          <w:iCs/>
          <w:lang w:val="es-MX" w:eastAsia="es-ES_tradnl"/>
        </w:rPr>
        <w:t>excepciones</w:t>
      </w:r>
      <w:r w:rsidRPr="00185EE9">
        <w:rPr>
          <w:rFonts w:ascii="Verdana" w:eastAsia="Calibri" w:hAnsi="Verdana" w:cs="Arial"/>
          <w:bCs/>
          <w:lang w:val="es-MX" w:eastAsia="es-ES_tradnl"/>
        </w:rPr>
        <w:t xml:space="preserve"> que se señalan en los numerales 2, 3 y 4 </w:t>
      </w:r>
      <w:r w:rsidRPr="00185EE9">
        <w:rPr>
          <w:rFonts w:ascii="Verdana" w:eastAsia="Calibri" w:hAnsi="Verdana" w:cs="Arial"/>
          <w:bCs/>
          <w:lang w:val="es-MX" w:eastAsia="es-ES_tradnl"/>
        </w:rPr>
        <w:lastRenderedPageBreak/>
        <w:t>del presente artículo”, norma que sustituye el derogado numeral 1 del artículo 24 de la Ley 80 de 1993 sobre el principio de transparencia</w:t>
      </w:r>
      <w:r w:rsidRPr="00185EE9">
        <w:rPr>
          <w:rStyle w:val="Refdenotaalpie"/>
          <w:rFonts w:ascii="Verdana" w:eastAsia="Calibri" w:hAnsi="Verdana" w:cs="Arial"/>
          <w:bCs/>
          <w:lang w:val="es-MX" w:eastAsia="es-ES_tradnl"/>
        </w:rPr>
        <w:footnoteReference w:id="2"/>
      </w:r>
      <w:r w:rsidRPr="00185EE9">
        <w:rPr>
          <w:rFonts w:ascii="Verdana" w:eastAsia="Calibri" w:hAnsi="Verdana" w:cs="Arial"/>
          <w:bCs/>
          <w:lang w:val="es-MX" w:eastAsia="es-ES_tradnl"/>
        </w:rPr>
        <w:t xml:space="preserve">. </w:t>
      </w:r>
    </w:p>
    <w:p w14:paraId="6CF8D39F" w14:textId="77777777" w:rsidR="003734F4" w:rsidRPr="00185EE9" w:rsidRDefault="003734F4" w:rsidP="003734F4">
      <w:pPr>
        <w:spacing w:after="120" w:line="276" w:lineRule="auto"/>
        <w:ind w:firstLine="708"/>
        <w:jc w:val="both"/>
        <w:rPr>
          <w:rFonts w:ascii="Verdana" w:eastAsia="Calibri" w:hAnsi="Verdana" w:cs="Arial"/>
          <w:bCs/>
          <w:lang w:val="es-MX" w:eastAsia="es-ES_tradnl"/>
        </w:rPr>
      </w:pPr>
      <w:r w:rsidRPr="00185EE9">
        <w:rPr>
          <w:rFonts w:ascii="Verdana" w:eastAsia="Calibri" w:hAnsi="Verdana" w:cs="Arial"/>
          <w:bCs/>
          <w:lang w:val="es-MX" w:eastAsia="es-ES_tradnl"/>
        </w:rPr>
        <w:t>Salvo norma especial que ordene la celebración del negocio jurídico por otra modalidad de selección, debe aplicarse la regla general de licitación pública</w:t>
      </w:r>
      <w:r w:rsidRPr="00185EE9">
        <w:rPr>
          <w:rStyle w:val="Refdenotaalpie"/>
          <w:rFonts w:ascii="Verdana" w:eastAsia="Calibri" w:hAnsi="Verdana" w:cs="Arial"/>
          <w:bCs/>
          <w:lang w:val="es-MX" w:eastAsia="es-ES_tradnl"/>
        </w:rPr>
        <w:footnoteReference w:id="3"/>
      </w:r>
      <w:r w:rsidRPr="00185EE9">
        <w:rPr>
          <w:rFonts w:ascii="Verdana" w:eastAsia="Calibri" w:hAnsi="Verdana" w:cs="Arial"/>
          <w:bCs/>
          <w:lang w:val="es-MX" w:eastAsia="es-ES_tradnl"/>
        </w:rPr>
        <w:t>. Por ello, dependiendo del objeto o el valor de presupuesto oficial, es posible la aplicación de otros procedimientos contractuales. Estos pueden ser con pluralidad de oferentes –v. gr. la selección abreviada de menor cuantía o la mínima cuantía– o sin concurrencia de proponentes –por ejemplo, la contratación directa–.</w:t>
      </w:r>
    </w:p>
    <w:p w14:paraId="20DB5D72" w14:textId="77777777" w:rsidR="003734F4" w:rsidRPr="00185EE9" w:rsidRDefault="003734F4" w:rsidP="003734F4">
      <w:pPr>
        <w:spacing w:after="120" w:line="276" w:lineRule="auto"/>
        <w:ind w:firstLine="708"/>
        <w:jc w:val="both"/>
        <w:rPr>
          <w:rFonts w:ascii="Verdana" w:eastAsia="Calibri" w:hAnsi="Verdana" w:cs="Arial"/>
        </w:rPr>
      </w:pPr>
      <w:r w:rsidRPr="00185EE9">
        <w:rPr>
          <w:rFonts w:ascii="Verdana" w:eastAsia="Calibri" w:hAnsi="Verdana" w:cs="Arial"/>
          <w:bCs/>
          <w:lang w:val="es-MX" w:eastAsia="es-ES_tradnl"/>
        </w:rPr>
        <w:t xml:space="preserve">Respecto a la selección abreviada, </w:t>
      </w:r>
      <w:bookmarkStart w:id="1" w:name="_Hlk39070608"/>
      <w:r w:rsidRPr="00185EE9">
        <w:rPr>
          <w:rFonts w:ascii="Verdana" w:eastAsia="Calibri" w:hAnsi="Verdana" w:cs="Arial"/>
        </w:rPr>
        <w:t>el numeral 2 del artículo 2 de la Ley 1150 de 2007</w:t>
      </w:r>
      <w:bookmarkEnd w:id="1"/>
      <w:r w:rsidRPr="00185EE9">
        <w:rPr>
          <w:rFonts w:ascii="Verdana" w:eastAsia="Calibri" w:hAnsi="Verdana" w:cs="Arial"/>
        </w:rPr>
        <w:t xml:space="preserve"> dispone que “[…] corresponde a la modalidad de selección objetiva prevista para aquellos casos en </w:t>
      </w:r>
      <w:proofErr w:type="gramStart"/>
      <w:r w:rsidRPr="00185EE9">
        <w:rPr>
          <w:rFonts w:ascii="Verdana" w:eastAsia="Calibri" w:hAnsi="Verdana" w:cs="Arial"/>
        </w:rPr>
        <w:t>que</w:t>
      </w:r>
      <w:proofErr w:type="gramEnd"/>
      <w:r w:rsidRPr="00185EE9">
        <w:rPr>
          <w:rFonts w:ascii="Verdana" w:eastAsia="Calibri" w:hAnsi="Verdana" w:cs="Arial"/>
        </w:rPr>
        <w:t xml:space="preserv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85EE9">
        <w:rPr>
          <w:rStyle w:val="Refdenotaalpie"/>
          <w:rFonts w:ascii="Verdana" w:eastAsia="Calibri" w:hAnsi="Verdana" w:cs="Arial"/>
        </w:rPr>
        <w:footnoteReference w:id="4"/>
      </w:r>
      <w:r w:rsidRPr="00185EE9">
        <w:rPr>
          <w:rFonts w:ascii="Verdana" w:eastAsia="Calibri" w:hAnsi="Verdana" w:cs="Arial"/>
        </w:rPr>
        <w:t xml:space="preserve">. </w:t>
      </w:r>
    </w:p>
    <w:p w14:paraId="1A9C9A6F" w14:textId="77777777" w:rsidR="003734F4" w:rsidRPr="00185EE9" w:rsidRDefault="003734F4" w:rsidP="003734F4">
      <w:pPr>
        <w:spacing w:after="0" w:line="276" w:lineRule="auto"/>
        <w:ind w:firstLine="708"/>
        <w:jc w:val="both"/>
        <w:rPr>
          <w:rFonts w:ascii="Verdana" w:eastAsia="Calibri" w:hAnsi="Verdana" w:cs="Arial"/>
        </w:rPr>
      </w:pPr>
      <w:bookmarkStart w:id="2" w:name="_Hlk39174727"/>
      <w:r w:rsidRPr="00185EE9">
        <w:rPr>
          <w:rFonts w:ascii="Verdana" w:eastAsia="Calibri" w:hAnsi="Verdana" w:cs="Arial"/>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2"/>
      <w:r w:rsidRPr="00185EE9">
        <w:rPr>
          <w:rFonts w:ascii="Verdana" w:eastAsia="Calibri" w:hAnsi="Verdana" w:cs="Arial"/>
        </w:rPr>
        <w:t>. En la exposición de motivos se explica lo siguiente:</w:t>
      </w:r>
    </w:p>
    <w:p w14:paraId="04DD5AC3" w14:textId="77777777" w:rsidR="003734F4" w:rsidRPr="00185EE9" w:rsidRDefault="003734F4" w:rsidP="003734F4">
      <w:pPr>
        <w:spacing w:after="0" w:line="276" w:lineRule="auto"/>
        <w:jc w:val="both"/>
        <w:rPr>
          <w:rFonts w:ascii="Verdana" w:eastAsia="Calibri" w:hAnsi="Verdana" w:cs="Arial"/>
        </w:rPr>
      </w:pPr>
    </w:p>
    <w:p w14:paraId="3AEF946D" w14:textId="77777777" w:rsidR="003734F4" w:rsidRPr="00185EE9" w:rsidRDefault="003734F4" w:rsidP="003734F4">
      <w:pPr>
        <w:spacing w:after="12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141DEC2C" w14:textId="77777777" w:rsidR="003734F4" w:rsidRPr="00185EE9" w:rsidRDefault="003734F4" w:rsidP="003734F4">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85EE9">
        <w:rPr>
          <w:rStyle w:val="Refdenotaalpie"/>
          <w:rFonts w:ascii="Verdana" w:eastAsia="Calibri" w:hAnsi="Verdana" w:cs="Arial"/>
          <w:sz w:val="21"/>
          <w:szCs w:val="21"/>
        </w:rPr>
        <w:footnoteReference w:id="5"/>
      </w:r>
      <w:r w:rsidRPr="00185EE9">
        <w:rPr>
          <w:rFonts w:ascii="Verdana" w:eastAsia="Calibri" w:hAnsi="Verdana" w:cs="Arial"/>
          <w:sz w:val="21"/>
          <w:szCs w:val="21"/>
        </w:rPr>
        <w:t>.</w:t>
      </w:r>
    </w:p>
    <w:p w14:paraId="5AFA0DE7" w14:textId="77777777" w:rsidR="003734F4" w:rsidRPr="00185EE9" w:rsidRDefault="003734F4" w:rsidP="003734F4">
      <w:pPr>
        <w:spacing w:after="0" w:line="276" w:lineRule="auto"/>
        <w:jc w:val="both"/>
        <w:rPr>
          <w:rFonts w:ascii="Verdana" w:eastAsia="Calibri" w:hAnsi="Verdana" w:cs="Arial"/>
        </w:rPr>
      </w:pPr>
    </w:p>
    <w:p w14:paraId="45F4406B" w14:textId="77777777" w:rsidR="003734F4" w:rsidRPr="00185EE9" w:rsidRDefault="003734F4" w:rsidP="003734F4">
      <w:pPr>
        <w:spacing w:after="120" w:line="276" w:lineRule="auto"/>
        <w:ind w:firstLine="709"/>
        <w:jc w:val="both"/>
        <w:rPr>
          <w:rFonts w:ascii="Verdana" w:eastAsia="Calibri" w:hAnsi="Verdana" w:cs="Arial"/>
        </w:rPr>
      </w:pPr>
      <w:r w:rsidRPr="00185EE9">
        <w:rPr>
          <w:rFonts w:ascii="Verdana" w:eastAsia="Calibri" w:hAnsi="Verdana" w:cs="Arial"/>
        </w:rPr>
        <w:lastRenderedPageBreak/>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85EE9">
        <w:rPr>
          <w:rStyle w:val="Refdenotaalpie"/>
          <w:rFonts w:ascii="Verdana" w:eastAsia="Calibri" w:hAnsi="Verdana" w:cs="Arial"/>
        </w:rPr>
        <w:footnoteReference w:id="6"/>
      </w:r>
      <w:r w:rsidRPr="00185EE9">
        <w:rPr>
          <w:rFonts w:ascii="Verdana" w:eastAsia="Calibri" w:hAnsi="Verdana" w:cs="Arial"/>
        </w:rPr>
        <w:t xml:space="preserve">. </w:t>
      </w:r>
    </w:p>
    <w:p w14:paraId="4658191F" w14:textId="77777777" w:rsidR="003734F4" w:rsidRPr="00185EE9" w:rsidRDefault="003734F4" w:rsidP="003734F4">
      <w:pPr>
        <w:spacing w:after="120" w:line="276" w:lineRule="auto"/>
        <w:ind w:firstLine="709"/>
        <w:jc w:val="both"/>
        <w:rPr>
          <w:rFonts w:ascii="Verdana" w:eastAsia="Calibri" w:hAnsi="Verdana" w:cs="Arial"/>
          <w:color w:val="000000"/>
          <w:szCs w:val="24"/>
          <w:lang w:val="es-ES_tradnl" w:eastAsia="es-ES_tradnl"/>
        </w:rPr>
      </w:pPr>
      <w:r w:rsidRPr="00185EE9">
        <w:rPr>
          <w:rFonts w:ascii="Verdana" w:eastAsia="Calibri" w:hAnsi="Verdana" w:cs="Arial"/>
          <w:color w:val="000000"/>
          <w:szCs w:val="24"/>
          <w:lang w:val="es-ES_tradnl" w:eastAsia="es-ES_tradnl"/>
        </w:rPr>
        <w:t xml:space="preserve">Así, el literal a) del artículo 2.2 de la Ley 1150 de 2007 regula la adquisición o suministro de bienes y servicios de características técnicas uniformes y de común utilización como causal de selección abreviada. Para entender su alcance, es necesario tener en cuenta que </w:t>
      </w:r>
      <w:r w:rsidRPr="00185EE9">
        <w:rPr>
          <w:rFonts w:ascii="Verdana" w:eastAsia="Calibri" w:hAnsi="Verdana" w:cs="Arial"/>
          <w:bCs/>
          <w:color w:val="000000" w:themeColor="text1"/>
        </w:rPr>
        <w:t xml:space="preserve">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prescribe lo siguiente: “Las palabras técnicas de toda ciencia o arte se tomarán en el sentido que les den los que profesan la misma ciencia o arte; a menos que aparezca claramente que se han formado en sentido diverso”</w:t>
      </w:r>
      <w:r w:rsidRPr="00185EE9">
        <w:rPr>
          <w:rStyle w:val="Refdenotaalpie"/>
          <w:rFonts w:ascii="Verdana" w:eastAsia="Calibri" w:hAnsi="Verdana" w:cs="Arial"/>
          <w:bCs/>
          <w:color w:val="000000" w:themeColor="text1"/>
        </w:rPr>
        <w:footnoteReference w:id="7"/>
      </w:r>
      <w:r w:rsidRPr="00185EE9">
        <w:rPr>
          <w:rFonts w:ascii="Verdana" w:eastAsia="Calibri" w:hAnsi="Verdana" w:cs="Arial"/>
          <w:bCs/>
          <w:color w:val="000000" w:themeColor="text1"/>
        </w:rPr>
        <w:t xml:space="preserve">. </w:t>
      </w:r>
    </w:p>
    <w:p w14:paraId="3CC88258" w14:textId="77777777" w:rsidR="003734F4" w:rsidRPr="00185EE9" w:rsidRDefault="003734F4" w:rsidP="003734F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w:t>
      </w:r>
      <w:r w:rsidRPr="00185EE9">
        <w:rPr>
          <w:rFonts w:ascii="Verdana" w:eastAsia="Calibri" w:hAnsi="Verdana" w:cs="Arial"/>
          <w:bCs/>
          <w:color w:val="000000" w:themeColor="text1"/>
        </w:rPr>
        <w:lastRenderedPageBreak/>
        <w:t xml:space="preserve">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14:paraId="733D39C4" w14:textId="77777777" w:rsidR="003734F4" w:rsidRPr="00185EE9" w:rsidRDefault="003734F4" w:rsidP="003734F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Para identificar los bienes y servicios que corresponden a este tipo, se destacan dos (2) aspectos importantes: la común utilización y la homogeneidad. Para la doctrina, la </w:t>
      </w:r>
      <w:r w:rsidRPr="00185EE9">
        <w:rPr>
          <w:rFonts w:ascii="Verdana" w:eastAsia="Calibri" w:hAnsi="Verdana" w:cs="Arial"/>
          <w:bCs/>
          <w:i/>
          <w:iCs/>
          <w:color w:val="000000" w:themeColor="text1"/>
        </w:rPr>
        <w:t>común utilización</w:t>
      </w:r>
      <w:r w:rsidRPr="00185EE9">
        <w:rPr>
          <w:rFonts w:ascii="Verdana" w:eastAsia="Calibri" w:hAnsi="Verdana" w:cs="Arial"/>
          <w:bCs/>
          <w:color w:val="000000" w:themeColor="text1"/>
        </w:rPr>
        <w:t xml:space="preserve"> “[…] busca que los bienes o servicios que se compren en esta categoría sean de los que se ofrecen en un mercado con un estándar para quienes los demandan, o lo que es igual, que la oferta de </w:t>
      </w:r>
      <w:proofErr w:type="gramStart"/>
      <w:r w:rsidRPr="00185EE9">
        <w:rPr>
          <w:rFonts w:ascii="Verdana" w:eastAsia="Calibri" w:hAnsi="Verdana" w:cs="Arial"/>
          <w:bCs/>
          <w:color w:val="000000" w:themeColor="text1"/>
        </w:rPr>
        <w:t>los mismos</w:t>
      </w:r>
      <w:proofErr w:type="gramEnd"/>
      <w:r w:rsidRPr="00185EE9">
        <w:rPr>
          <w:rFonts w:ascii="Verdana" w:eastAsia="Calibri" w:hAnsi="Verdana" w:cs="Arial"/>
          <w:bCs/>
          <w:color w:val="000000" w:themeColor="text1"/>
        </w:rPr>
        <w:t xml:space="preserve"> en el mercado ocurriese en condiciones equivalentes para todo interesado en adquirirlos”</w:t>
      </w:r>
      <w:r w:rsidRPr="00185EE9">
        <w:rPr>
          <w:rStyle w:val="Refdenotaalpie"/>
          <w:rFonts w:ascii="Verdana" w:eastAsia="Calibri" w:hAnsi="Verdana" w:cs="Arial"/>
          <w:bCs/>
          <w:color w:val="000000" w:themeColor="text1"/>
        </w:rPr>
        <w:footnoteReference w:id="8"/>
      </w:r>
      <w:r w:rsidRPr="00185EE9">
        <w:rPr>
          <w:rFonts w:ascii="Verdana" w:eastAsia="Calibri" w:hAnsi="Verdana" w:cs="Arial"/>
          <w:bCs/>
          <w:color w:val="000000" w:themeColor="text1"/>
        </w:rPr>
        <w:t xml:space="preserve">. Por su parte, la </w:t>
      </w:r>
      <w:r w:rsidRPr="00185EE9">
        <w:rPr>
          <w:rFonts w:ascii="Verdana" w:eastAsia="Calibri" w:hAnsi="Verdana" w:cs="Arial"/>
          <w:bCs/>
          <w:i/>
          <w:iCs/>
          <w:color w:val="000000" w:themeColor="text1"/>
        </w:rPr>
        <w:t>homogeneidad</w:t>
      </w:r>
      <w:r w:rsidRPr="00185EE9">
        <w:rPr>
          <w:rFonts w:ascii="Verdana" w:eastAsia="Calibri" w:hAnsi="Verdana" w:cs="Arial"/>
          <w:bCs/>
          <w:color w:val="000000" w:themeColor="text1"/>
        </w:rPr>
        <w:t xml:space="preserve"> se 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servicios de igual calidad, ofrecidos por los proponentes capaces de satisfacer el requerimiento de la entidad contratante”</w:t>
      </w:r>
      <w:r w:rsidRPr="00185EE9">
        <w:rPr>
          <w:rStyle w:val="Refdenotaalpie"/>
          <w:rFonts w:ascii="Verdana" w:eastAsia="Calibri" w:hAnsi="Verdana" w:cs="Arial"/>
          <w:bCs/>
          <w:color w:val="000000" w:themeColor="text1"/>
        </w:rPr>
        <w:footnoteReference w:id="9"/>
      </w:r>
      <w:r w:rsidRPr="00185EE9">
        <w:rPr>
          <w:rFonts w:ascii="Verdana" w:eastAsia="Calibri" w:hAnsi="Verdana" w:cs="Arial"/>
          <w:bCs/>
          <w:color w:val="000000" w:themeColor="text1"/>
        </w:rPr>
        <w:t>.</w:t>
      </w:r>
    </w:p>
    <w:p w14:paraId="0EDDFF34" w14:textId="77777777" w:rsidR="003734F4" w:rsidRPr="00185EE9" w:rsidRDefault="003734F4" w:rsidP="003734F4">
      <w:pPr>
        <w:spacing w:after="0" w:line="276" w:lineRule="auto"/>
        <w:ind w:firstLine="708"/>
        <w:jc w:val="both"/>
        <w:rPr>
          <w:rFonts w:ascii="Verdana" w:eastAsia="Calibri" w:hAnsi="Verdana" w:cs="Arial"/>
        </w:rPr>
      </w:pPr>
      <w:r w:rsidRPr="00185EE9">
        <w:rPr>
          <w:rFonts w:ascii="Verdana" w:eastAsia="Calibri" w:hAnsi="Verdana"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14:paraId="7594300D" w14:textId="77777777" w:rsidR="003734F4" w:rsidRPr="00185EE9" w:rsidRDefault="003734F4" w:rsidP="003734F4">
      <w:pPr>
        <w:spacing w:after="0" w:line="276" w:lineRule="auto"/>
        <w:jc w:val="both"/>
        <w:rPr>
          <w:rFonts w:ascii="Verdana" w:eastAsia="Calibri" w:hAnsi="Verdana" w:cs="Arial"/>
        </w:rPr>
      </w:pPr>
    </w:p>
    <w:p w14:paraId="51044B79" w14:textId="77777777" w:rsidR="003734F4" w:rsidRPr="00185EE9" w:rsidRDefault="003734F4" w:rsidP="003734F4">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w:t>
      </w:r>
      <w:proofErr w:type="gramStart"/>
      <w:r w:rsidRPr="00185EE9">
        <w:rPr>
          <w:rFonts w:ascii="Verdana" w:eastAsia="Calibri" w:hAnsi="Verdana" w:cs="Arial"/>
          <w:sz w:val="21"/>
          <w:szCs w:val="21"/>
        </w:rPr>
        <w:t>que</w:t>
      </w:r>
      <w:proofErr w:type="gramEnd"/>
      <w:r w:rsidRPr="00185EE9">
        <w:rPr>
          <w:rFonts w:ascii="Verdana" w:eastAsia="Calibri" w:hAnsi="Verdana" w:cs="Arial"/>
          <w:sz w:val="21"/>
          <w:szCs w:val="21"/>
        </w:rPr>
        <w:t xml:space="preserve"> según cálculos del </w:t>
      </w:r>
      <w:r w:rsidRPr="00185EE9">
        <w:rPr>
          <w:rFonts w:ascii="Verdana" w:eastAsia="Calibri" w:hAnsi="Verdana" w:cs="Arial"/>
          <w:sz w:val="21"/>
          <w:szCs w:val="21"/>
        </w:rPr>
        <w:lastRenderedPageBreak/>
        <w:t xml:space="preserve">Departamento Nacional de Planeación, corresponden a más del 80% en número de contratos. </w:t>
      </w:r>
      <w:r w:rsidRPr="00185EE9">
        <w:rPr>
          <w:rFonts w:ascii="Verdana" w:eastAsia="Calibri" w:hAnsi="Verdana"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85EE9">
        <w:rPr>
          <w:rFonts w:ascii="Verdana" w:eastAsia="Calibri" w:hAnsi="Verdana" w:cs="Arial"/>
          <w:sz w:val="21"/>
          <w:szCs w:val="21"/>
        </w:rPr>
        <w:t xml:space="preserve"> […]”</w:t>
      </w:r>
      <w:r w:rsidRPr="00185EE9">
        <w:rPr>
          <w:rStyle w:val="Refdenotaalpie"/>
          <w:rFonts w:ascii="Verdana" w:eastAsia="Calibri" w:hAnsi="Verdana" w:cs="Arial"/>
          <w:sz w:val="21"/>
          <w:szCs w:val="21"/>
        </w:rPr>
        <w:footnoteReference w:id="10"/>
      </w:r>
      <w:r w:rsidRPr="00185EE9">
        <w:rPr>
          <w:rFonts w:ascii="Verdana" w:eastAsia="Calibri" w:hAnsi="Verdana" w:cs="Arial"/>
          <w:sz w:val="21"/>
          <w:szCs w:val="21"/>
        </w:rPr>
        <w:t>. (Énfasis fuera de texto)</w:t>
      </w:r>
    </w:p>
    <w:p w14:paraId="2CD03866" w14:textId="77777777" w:rsidR="003734F4" w:rsidRPr="00185EE9" w:rsidRDefault="003734F4" w:rsidP="003734F4">
      <w:pPr>
        <w:spacing w:after="0" w:line="276" w:lineRule="auto"/>
        <w:jc w:val="both"/>
        <w:rPr>
          <w:rFonts w:ascii="Verdana" w:eastAsia="Calibri" w:hAnsi="Verdana" w:cs="Arial"/>
        </w:rPr>
      </w:pPr>
    </w:p>
    <w:p w14:paraId="4B1079EB" w14:textId="6D7616A3" w:rsidR="003734F4" w:rsidRPr="00185EE9" w:rsidRDefault="003734F4" w:rsidP="003734F4">
      <w:pPr>
        <w:spacing w:after="120" w:line="276" w:lineRule="auto"/>
        <w:ind w:firstLine="709"/>
        <w:jc w:val="both"/>
        <w:rPr>
          <w:rFonts w:ascii="Verdana" w:eastAsia="Calibri" w:hAnsi="Verdana" w:cs="Arial"/>
        </w:rPr>
      </w:pPr>
      <w:r w:rsidRPr="00185EE9">
        <w:rPr>
          <w:rFonts w:ascii="Verdana" w:eastAsia="Calibri" w:hAnsi="Verdana" w:cs="Arial"/>
        </w:rPr>
        <w:t xml:space="preserve">En este contexto, la doctrina identifica como bienes o servicios de características técnicas los insumos de </w:t>
      </w:r>
      <w:r w:rsidR="007D0457" w:rsidRPr="00185EE9">
        <w:rPr>
          <w:rFonts w:ascii="Verdana" w:eastAsia="Calibri" w:hAnsi="Verdana" w:cs="Arial"/>
        </w:rPr>
        <w:t>oficina –</w:t>
      </w:r>
      <w:r w:rsidRPr="00185EE9">
        <w:rPr>
          <w:rFonts w:ascii="Verdana" w:eastAsia="Calibri" w:hAnsi="Verdana" w:cs="Arial"/>
        </w:rPr>
        <w:t>bolígrafos, cartuchos de tinta, papel de impresora, tijeras, cuadernos, entre otros–, los insumos de limpieza –bolsas de basura, esponjas, limpiador de pisos, papel higiénico, toallas de papel, entre otros–, y los insumos de cocina –agua, aromáticas, azúcar, café, servilletas, entre otros–. También identifica como tales los muebles y enseres –archivos, asientos, escritorios, mesas, entre otros–, los equipos –computadores, escáneres, impresoras, proyectores, entre otros–, los combustibles –ACPM, biodiesel, gasolina, combustible diésel, entre otros–, los servicios de mantenimiento –equipos electrónicos, de comunicaciones, entre otros–, etc.</w:t>
      </w:r>
      <w:r w:rsidRPr="00185EE9">
        <w:rPr>
          <w:rStyle w:val="Refdenotaalpie"/>
          <w:rFonts w:ascii="Verdana" w:eastAsia="Calibri" w:hAnsi="Verdana" w:cs="Arial"/>
        </w:rPr>
        <w:footnoteReference w:id="11"/>
      </w:r>
    </w:p>
    <w:p w14:paraId="5222168B" w14:textId="664F5B3B" w:rsidR="003734F4" w:rsidRPr="00185EE9" w:rsidRDefault="003734F4" w:rsidP="003734F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w:t>
      </w:r>
      <w:r w:rsidR="009800BE" w:rsidRPr="00185EE9">
        <w:rPr>
          <w:rFonts w:ascii="Verdana" w:eastAsia="Calibri" w:hAnsi="Verdana" w:cs="Arial"/>
          <w:bCs/>
          <w:color w:val="000000" w:themeColor="text1"/>
        </w:rPr>
        <w:t xml:space="preserve">, numeral </w:t>
      </w:r>
      <w:r w:rsidRPr="00185EE9">
        <w:rPr>
          <w:rFonts w:ascii="Verdana" w:eastAsia="Calibri" w:hAnsi="Verdana" w:cs="Arial"/>
          <w:bCs/>
          <w:color w:val="000000" w:themeColor="text1"/>
        </w:rPr>
        <w:t>2 de la Ley 1150 de 2007 dispone que “</w:t>
      </w:r>
      <w:r w:rsidRPr="00185EE9">
        <w:rPr>
          <w:rFonts w:ascii="Verdana" w:eastAsia="Calibri" w:hAnsi="Verdana" w:cs="Arial"/>
          <w:bCs/>
          <w:i/>
          <w:iCs/>
          <w:color w:val="000000" w:themeColor="text1"/>
        </w:rPr>
        <w:t>Para la adquisición de estos bienes y servicios las entidades deberán</w:t>
      </w:r>
      <w:r w:rsidRPr="00185EE9">
        <w:rPr>
          <w:rFonts w:ascii="Verdana" w:eastAsia="Calibri" w:hAnsi="Verdana" w:cs="Arial"/>
          <w:bCs/>
          <w:color w:val="000000" w:themeColor="text1"/>
        </w:rPr>
        <w:t xml:space="preserve">, siempre que el reglamento así lo señale, </w:t>
      </w:r>
      <w:r w:rsidRPr="00185EE9">
        <w:rPr>
          <w:rFonts w:ascii="Verdana" w:eastAsia="Calibri" w:hAnsi="Verdana" w:cs="Arial"/>
          <w:bCs/>
          <w:i/>
          <w:iCs/>
          <w:color w:val="000000" w:themeColor="text1"/>
        </w:rPr>
        <w:t>hacer uso</w:t>
      </w:r>
      <w:r w:rsidRPr="00185EE9">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85EE9">
        <w:rPr>
          <w:rFonts w:ascii="Verdana" w:eastAsia="Calibri" w:hAnsi="Verdana" w:cs="Arial"/>
          <w:bCs/>
          <w:i/>
          <w:iCs/>
          <w:color w:val="000000" w:themeColor="text1"/>
        </w:rPr>
        <w:t>de procedimientos de adquisición en bolsas de productos</w:t>
      </w:r>
      <w:r w:rsidRPr="00185EE9">
        <w:rPr>
          <w:rFonts w:ascii="Verdana" w:eastAsia="Calibri" w:hAnsi="Verdana" w:cs="Arial"/>
          <w:bCs/>
          <w:color w:val="000000" w:themeColor="text1"/>
        </w:rPr>
        <w:t>” (Énfasis fuera de texto). Estos mecanismos se aplicarán en la forma que disponga el Decreto 1082 de 2015 para para cada uno de ellos.</w:t>
      </w:r>
    </w:p>
    <w:p w14:paraId="00C7BB1A" w14:textId="77777777" w:rsidR="003734F4" w:rsidRPr="00185EE9" w:rsidRDefault="003734F4" w:rsidP="003734F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w:t>
      </w:r>
      <w:r w:rsidRPr="00185EE9">
        <w:rPr>
          <w:rFonts w:ascii="Verdana" w:eastAsia="Calibri" w:hAnsi="Verdana" w:cs="Arial"/>
          <w:bCs/>
          <w:color w:val="000000" w:themeColor="text1"/>
        </w:rPr>
        <w:lastRenderedPageBreak/>
        <w:t xml:space="preserve">individual en lo relacionado con la vida y los bienes propios o de terceros y la fabricación, instalación, comercialización y utilización de equipos para vigilancia y seguridad privada, blindajes y transportes con este mismo fin”. </w:t>
      </w:r>
    </w:p>
    <w:p w14:paraId="09617771" w14:textId="77777777" w:rsidR="003734F4" w:rsidRPr="00185EE9" w:rsidRDefault="003734F4" w:rsidP="003734F4">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Su prestación se encuentra estandarizada desde el punto de vista normativo, pues los artículos 5 y 6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imponiéndoles tanto una serie de principios, deberes y obligaciones como de disposiciones comunes.</w:t>
      </w:r>
    </w:p>
    <w:p w14:paraId="29B9C78D" w14:textId="42412B26" w:rsidR="009800BE" w:rsidRPr="00185EE9" w:rsidRDefault="009800BE" w:rsidP="009800BE">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Estos servicios además se encuentran</w:t>
      </w:r>
      <w:r w:rsidR="003734F4" w:rsidRPr="00185EE9">
        <w:rPr>
          <w:rFonts w:ascii="Verdana" w:eastAsia="Calibri" w:hAnsi="Verdana" w:cs="Arial"/>
          <w:bCs/>
          <w:color w:val="000000" w:themeColor="text1"/>
        </w:rPr>
        <w:t xml:space="preserve"> sujetos a las tarifas mínimas </w:t>
      </w:r>
      <w:r w:rsidRPr="00185EE9">
        <w:rPr>
          <w:rFonts w:ascii="Verdana" w:eastAsia="Calibri" w:hAnsi="Verdana" w:cs="Arial"/>
          <w:bCs/>
          <w:color w:val="000000" w:themeColor="text1"/>
        </w:rPr>
        <w:t>establecidas en</w:t>
      </w:r>
      <w:r w:rsidR="003734F4" w:rsidRPr="00185EE9">
        <w:rPr>
          <w:rFonts w:ascii="Verdana" w:eastAsia="Calibri" w:hAnsi="Verdana" w:cs="Arial"/>
          <w:bCs/>
          <w:color w:val="000000" w:themeColor="text1"/>
        </w:rPr>
        <w:t xml:space="preserve"> la Circular Externa de la Superintendencia de Vigilancia y Seguridad Privada 20231300001105 del 30 de diciembre de 2023</w:t>
      </w:r>
      <w:r w:rsidRPr="00185EE9">
        <w:rPr>
          <w:rFonts w:ascii="Verdana" w:eastAsia="Calibri" w:hAnsi="Verdana" w:cs="Arial"/>
          <w:bCs/>
          <w:color w:val="000000" w:themeColor="text1"/>
        </w:rPr>
        <w:t>. No obstante,</w:t>
      </w:r>
      <w:r w:rsidR="003734F4" w:rsidRPr="00185EE9">
        <w:rPr>
          <w:rFonts w:ascii="Verdana" w:eastAsia="Calibri" w:hAnsi="Verdana" w:cs="Arial"/>
          <w:bCs/>
          <w:color w:val="000000" w:themeColor="text1"/>
        </w:rPr>
        <w:t xml:space="preserve"> este elemento normativo no hace parte de las definiciones del literal a) del artículo 2</w:t>
      </w:r>
      <w:r w:rsidRPr="00185EE9">
        <w:rPr>
          <w:rFonts w:ascii="Verdana" w:eastAsia="Calibri" w:hAnsi="Verdana" w:cs="Arial"/>
          <w:bCs/>
          <w:color w:val="000000" w:themeColor="text1"/>
        </w:rPr>
        <w:t xml:space="preserve">, numeral </w:t>
      </w:r>
      <w:r w:rsidR="003734F4" w:rsidRPr="00185EE9">
        <w:rPr>
          <w:rFonts w:ascii="Verdana" w:eastAsia="Calibri" w:hAnsi="Verdana" w:cs="Arial"/>
          <w:bCs/>
          <w:color w:val="000000" w:themeColor="text1"/>
        </w:rPr>
        <w:t xml:space="preserve">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p>
    <w:p w14:paraId="21E9B4AE" w14:textId="21DA8784" w:rsidR="009800BE" w:rsidRPr="00185EE9" w:rsidRDefault="009800BE" w:rsidP="009800BE">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Sin embargo, las tarifas mínimas establecidas a para este tipo de servicios representan una medida regulatoria que hace que los ofertas para la prestación de este tipo de servicios tiendan al valor mínimo permitido por la regulación 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w:t>
      </w:r>
      <w:r w:rsidR="000039A2" w:rsidRPr="00185EE9">
        <w:rPr>
          <w:rFonts w:ascii="Verdana" w:eastAsia="Calibri" w:hAnsi="Verdana" w:cs="Arial"/>
          <w:bCs/>
          <w:color w:val="000000" w:themeColor="text1"/>
        </w:rPr>
        <w:t xml:space="preserve"> por lo</w:t>
      </w:r>
      <w:r w:rsidRPr="00185EE9">
        <w:rPr>
          <w:rFonts w:ascii="Verdana" w:eastAsia="Calibri" w:hAnsi="Verdana" w:cs="Arial"/>
          <w:bCs/>
          <w:color w:val="000000" w:themeColor="text1"/>
        </w:rPr>
        <w:t xml:space="preserve"> </w:t>
      </w:r>
      <w:r w:rsidR="000039A2" w:rsidRPr="00185EE9">
        <w:rPr>
          <w:rFonts w:ascii="Verdana" w:eastAsia="Calibri" w:hAnsi="Verdana" w:cs="Arial"/>
          <w:bCs/>
          <w:color w:val="000000" w:themeColor="text1"/>
        </w:rPr>
        <w:t>que, la aplicación de mecanismos de subasta, catálogos derivados de acuerdos</w:t>
      </w:r>
      <w:r w:rsidRPr="00185EE9">
        <w:rPr>
          <w:rFonts w:ascii="Verdana" w:eastAsia="Calibri" w:hAnsi="Verdana" w:cs="Arial"/>
          <w:bCs/>
          <w:color w:val="000000" w:themeColor="text1"/>
        </w:rPr>
        <w:t xml:space="preserve"> </w:t>
      </w:r>
      <w:r w:rsidR="000039A2" w:rsidRPr="00185EE9">
        <w:rPr>
          <w:rFonts w:ascii="Verdana" w:eastAsia="Calibri" w:hAnsi="Verdana" w:cs="Arial"/>
          <w:bCs/>
          <w:color w:val="000000" w:themeColor="text1"/>
        </w:rPr>
        <w:t xml:space="preserve">de precios y bolsa de productos, no resultan funcionales para garantizar la selección objetiva, al no permitir la aplicación de factores de evaluación distintos del precio.   </w:t>
      </w:r>
      <w:r w:rsidRPr="00185EE9">
        <w:rPr>
          <w:rFonts w:ascii="Verdana" w:eastAsia="Calibri" w:hAnsi="Verdana" w:cs="Arial"/>
          <w:bCs/>
          <w:color w:val="000000" w:themeColor="text1"/>
        </w:rPr>
        <w:t xml:space="preserve">   </w:t>
      </w:r>
    </w:p>
    <w:p w14:paraId="44113B6F" w14:textId="6C89B1AE" w:rsidR="000039A2" w:rsidRPr="00185EE9" w:rsidRDefault="000039A2" w:rsidP="000039A2">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w:t>
      </w:r>
      <w:r w:rsidRPr="00185EE9">
        <w:rPr>
          <w:rFonts w:ascii="Verdana" w:eastAsia="Calibri" w:hAnsi="Verdana" w:cs="Arial"/>
          <w:color w:val="000000"/>
          <w:lang w:val="es-ES_tradnl"/>
        </w:rPr>
        <w:lastRenderedPageBreak/>
        <w:t xml:space="preserve">selección aplicable para la contratación de servicios de vigilancia y seguridad privada:   </w:t>
      </w:r>
    </w:p>
    <w:p w14:paraId="6421DD13" w14:textId="77777777" w:rsidR="000039A2" w:rsidRPr="00185EE9" w:rsidRDefault="000039A2" w:rsidP="00EB7E00">
      <w:pPr>
        <w:spacing w:after="0" w:line="240" w:lineRule="auto"/>
        <w:ind w:left="709" w:right="709"/>
        <w:jc w:val="both"/>
        <w:textAlignment w:val="baseline"/>
        <w:rPr>
          <w:rFonts w:ascii="Verdana" w:eastAsia="Arial" w:hAnsi="Verdana" w:cs="Arial"/>
          <w:sz w:val="20"/>
          <w:szCs w:val="20"/>
        </w:rPr>
      </w:pPr>
      <w:r w:rsidRPr="00185EE9">
        <w:rPr>
          <w:rFonts w:ascii="Verdana" w:eastAsia="Arial" w:hAnsi="Verdana" w:cs="Arial"/>
          <w:sz w:val="20"/>
          <w:szCs w:val="20"/>
        </w:rPr>
        <w:t xml:space="preserve">“Apartándose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w:t>
      </w:r>
      <w:proofErr w:type="gramStart"/>
      <w:r w:rsidRPr="00185EE9">
        <w:rPr>
          <w:rFonts w:ascii="Verdana" w:eastAsia="Arial" w:hAnsi="Verdana" w:cs="Arial"/>
          <w:sz w:val="20"/>
          <w:szCs w:val="20"/>
        </w:rPr>
        <w:t>del mismo</w:t>
      </w:r>
      <w:proofErr w:type="gramEnd"/>
      <w:r w:rsidRPr="00185EE9">
        <w:rPr>
          <w:rFonts w:ascii="Verdana" w:eastAsia="Arial" w:hAnsi="Verdana" w:cs="Arial"/>
          <w:sz w:val="20"/>
          <w:szCs w:val="20"/>
        </w:rPr>
        <w:t xml:space="preserve">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ofreciendo el precio más bajo; esta constatación conlleva la necesidad de estudiar oportunamente la opción de escoger un proceso de selección que permita considerar y medir objetivamente otros criterios de adjudicación en los cuales ella dependa de factores distintos que privilegien, entre otras cosas, la calidad del servicio”.</w:t>
      </w:r>
      <w:r w:rsidRPr="00185EE9">
        <w:rPr>
          <w:rStyle w:val="Refdenotaalpie"/>
          <w:rFonts w:ascii="Verdana" w:eastAsia="Arial" w:hAnsi="Verdana" w:cs="Arial"/>
          <w:sz w:val="20"/>
          <w:szCs w:val="20"/>
        </w:rPr>
        <w:footnoteReference w:id="12"/>
      </w:r>
      <w:r w:rsidRPr="00185EE9">
        <w:rPr>
          <w:rFonts w:ascii="Verdana" w:eastAsia="Arial" w:hAnsi="Verdana" w:cs="Arial"/>
          <w:sz w:val="20"/>
          <w:szCs w:val="20"/>
        </w:rPr>
        <w:t xml:space="preserve"> </w:t>
      </w:r>
    </w:p>
    <w:p w14:paraId="444939DD" w14:textId="77777777" w:rsidR="000039A2" w:rsidRPr="00185EE9" w:rsidRDefault="000039A2" w:rsidP="00EB7E00">
      <w:pPr>
        <w:spacing w:after="0" w:line="240" w:lineRule="auto"/>
        <w:ind w:left="709" w:right="709"/>
        <w:jc w:val="both"/>
        <w:textAlignment w:val="baseline"/>
        <w:rPr>
          <w:rFonts w:ascii="Verdana" w:eastAsia="Arial" w:hAnsi="Verdana" w:cs="Arial"/>
          <w:sz w:val="20"/>
          <w:szCs w:val="20"/>
        </w:rPr>
      </w:pPr>
    </w:p>
    <w:p w14:paraId="209A0511" w14:textId="77777777" w:rsidR="000039A2" w:rsidRPr="00185EE9" w:rsidRDefault="000039A2" w:rsidP="000039A2">
      <w:pPr>
        <w:shd w:val="clear" w:color="auto" w:fill="FFFFFF" w:themeFill="background1"/>
        <w:spacing w:after="120" w:line="276" w:lineRule="auto"/>
        <w:ind w:right="51" w:firstLine="709"/>
        <w:jc w:val="both"/>
        <w:rPr>
          <w:rFonts w:ascii="Verdana" w:eastAsia="Calibri" w:hAnsi="Verdana" w:cs="Arial"/>
          <w:color w:val="000000" w:themeColor="text1"/>
          <w:lang w:val="es-ES"/>
        </w:rPr>
      </w:pPr>
      <w:r w:rsidRPr="00185EE9">
        <w:rPr>
          <w:rFonts w:ascii="Verdana" w:eastAsia="Calibri" w:hAnsi="Verdana" w:cs="Arial"/>
          <w:color w:val="000000" w:themeColor="text1"/>
          <w:lang w:val="es-ES"/>
        </w:rPr>
        <w:t xml:space="preserve">Las consideraciones transcritas de este salvamento de voto, si bien no constituyen un criterio jurisprudencial unificado de la Sección Tercera del Consejo de Estado que tengan un efecto directo procesos de contratación en específico, si llaman la atención sobre la necesidad de que la selección objetiva de contratistas para la prestación de servicios de vigilancia y seguridad privada se haga a través de procedimiento que permitan comparar las ofertas a partir de factores distintos del precio. </w:t>
      </w:r>
    </w:p>
    <w:p w14:paraId="6EBD7BFD" w14:textId="7DDC2C20" w:rsidR="000039A2" w:rsidRPr="00185EE9" w:rsidRDefault="000039A2" w:rsidP="000039A2">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En atención a lo anterior, esta Subdirección estima que, la modalidad de selección más adecuada para la contratación de servicios de vigilancia y seguridad privada es la licitación pública, no solo porque de acuerdo con el artículo 2, numeral 1 de la Ley 1150 de 2007 es la regla general para objetos no sujetos a alguna modalidad en específico, sino también por ser el procedimiento </w:t>
      </w:r>
      <w:r w:rsidR="00217A08" w:rsidRPr="00185EE9">
        <w:rPr>
          <w:rFonts w:ascii="Verdana" w:eastAsia="Calibri" w:hAnsi="Verdana" w:cs="Arial"/>
          <w:bCs/>
          <w:color w:val="000000" w:themeColor="text1"/>
        </w:rPr>
        <w:t>donde se cuentan con más elementos para garantizar la selección objetiva a partir de factores distintos del precio. De acuerdo con lo establecido en el numeral 2 del artículo 5 de la Ley 1150 de 2007, reglamentado en el artículo 2.2.1.1.2.2.2. del Decreto 1082 de 2015, en est</w:t>
      </w:r>
      <w:r w:rsidR="003528DF">
        <w:rPr>
          <w:rFonts w:ascii="Verdana" w:eastAsia="Calibri" w:hAnsi="Verdana" w:cs="Arial"/>
          <w:bCs/>
          <w:color w:val="000000" w:themeColor="text1"/>
        </w:rPr>
        <w:t>a</w:t>
      </w:r>
      <w:r w:rsidR="00217A08" w:rsidRPr="00185EE9">
        <w:rPr>
          <w:rFonts w:ascii="Verdana" w:eastAsia="Calibri" w:hAnsi="Verdana" w:cs="Arial"/>
          <w:bCs/>
          <w:color w:val="000000" w:themeColor="text1"/>
        </w:rPr>
        <w:t xml:space="preserve"> modalidad de selección la oferta más favorable</w:t>
      </w:r>
      <w:r w:rsidR="005A282F" w:rsidRPr="00185EE9">
        <w:rPr>
          <w:rFonts w:ascii="Verdana" w:eastAsia="Calibri" w:hAnsi="Verdana" w:cs="Arial"/>
          <w:bCs/>
          <w:color w:val="000000" w:themeColor="text1"/>
        </w:rPr>
        <w:t xml:space="preserve"> es que represente la mejor relación calidad-precio, la cual </w:t>
      </w:r>
      <w:r w:rsidR="005A282F" w:rsidRPr="00185EE9">
        <w:rPr>
          <w:rFonts w:ascii="Verdana" w:eastAsia="Calibri" w:hAnsi="Verdana" w:cs="Arial"/>
          <w:bCs/>
          <w:color w:val="000000" w:themeColor="text1"/>
        </w:rPr>
        <w:lastRenderedPageBreak/>
        <w:t>se debe determinar ponderando el valor de la oferta económica con factores de calidad, criterios sociales y ambientales, sin perjuicio de la aplicación de puntajes adicionales dispuestos por la normativa de contratación pública –</w:t>
      </w:r>
      <w:r w:rsidR="005A282F" w:rsidRPr="00185EE9">
        <w:rPr>
          <w:rFonts w:ascii="Verdana" w:eastAsia="Calibri" w:hAnsi="Verdana" w:cs="Arial"/>
          <w:bCs/>
          <w:i/>
          <w:iCs/>
          <w:color w:val="000000" w:themeColor="text1"/>
        </w:rPr>
        <w:t>v.g.</w:t>
      </w:r>
      <w:r w:rsidR="005A282F" w:rsidRPr="00185EE9">
        <w:rPr>
          <w:rFonts w:ascii="Verdana" w:eastAsia="Calibri" w:hAnsi="Verdana" w:cs="Arial"/>
          <w:bCs/>
          <w:color w:val="000000" w:themeColor="text1"/>
        </w:rPr>
        <w:t xml:space="preserve"> Ley 816 de 2003, Ley 1920 de 2018, Ley 2069 de 2020, etc.–. </w:t>
      </w:r>
    </w:p>
    <w:p w14:paraId="75528CB9" w14:textId="5FE40749" w:rsidR="003734F4" w:rsidRPr="00185EE9" w:rsidRDefault="000039A2" w:rsidP="005A282F">
      <w:pPr>
        <w:spacing w:after="120" w:line="276" w:lineRule="auto"/>
        <w:ind w:firstLine="709"/>
        <w:jc w:val="both"/>
        <w:rPr>
          <w:rFonts w:ascii="Verdana" w:eastAsia="Calibri" w:hAnsi="Verdana" w:cs="Arial"/>
          <w:color w:val="000000"/>
          <w:lang w:val="es-ES_tradnl"/>
        </w:rPr>
      </w:pPr>
      <w:r w:rsidRPr="00185EE9">
        <w:rPr>
          <w:rFonts w:ascii="Verdana" w:eastAsia="Calibri" w:hAnsi="Verdana" w:cs="Arial"/>
          <w:bCs/>
          <w:color w:val="000000" w:themeColor="text1"/>
        </w:rPr>
        <w:t>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servicios de vigilancia y seguridad privada.</w:t>
      </w:r>
      <w:r w:rsidR="003734F4" w:rsidRPr="00185EE9">
        <w:rPr>
          <w:rFonts w:ascii="Verdana" w:eastAsia="Calibri" w:hAnsi="Verdana" w:cs="Arial"/>
          <w:bCs/>
          <w:color w:val="000000" w:themeColor="text1"/>
        </w:rPr>
        <w:t xml:space="preserve"> E</w:t>
      </w:r>
      <w:r w:rsidR="003734F4" w:rsidRPr="00185EE9">
        <w:rPr>
          <w:rFonts w:ascii="Verdana" w:eastAsia="Calibri" w:hAnsi="Verdana" w:cs="Arial"/>
          <w:color w:val="000000"/>
          <w:lang w:val="es-ES_tradnl"/>
        </w:rPr>
        <w:t>l inciso primero del artículo 6 dispone que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7AED92DC" w14:textId="77777777" w:rsidR="003734F4" w:rsidRPr="00185EE9" w:rsidRDefault="003734F4" w:rsidP="003734F4">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color w:val="000000"/>
          <w:sz w:val="21"/>
          <w:szCs w:val="21"/>
          <w:lang w:val="es-ES_tradnl"/>
        </w:rPr>
        <w:tab/>
      </w:r>
      <w:r w:rsidRPr="00185EE9">
        <w:rPr>
          <w:rFonts w:ascii="Verdana" w:eastAsia="Calibri" w:hAnsi="Verdana" w:cs="Arial"/>
          <w:color w:val="000000"/>
          <w:sz w:val="21"/>
          <w:szCs w:val="21"/>
          <w:lang w:val="es-ES_tradnl"/>
        </w:rPr>
        <w:tab/>
      </w:r>
      <w:r w:rsidRPr="00185EE9">
        <w:rPr>
          <w:rFonts w:ascii="Verdana" w:eastAsia="Calibri" w:hAnsi="Verdana" w:cs="Arial"/>
          <w:color w:val="000000"/>
          <w:lang w:val="es-ES_tradnl"/>
        </w:rPr>
        <w:t xml:space="preserve">Este incentivo </w:t>
      </w:r>
      <w:r w:rsidRPr="00185EE9">
        <w:rPr>
          <w:rFonts w:ascii="Verdana" w:eastAsia="Calibri" w:hAnsi="Verdana"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85EE9">
        <w:rPr>
          <w:rFonts w:ascii="Verdana" w:eastAsia="Calibri" w:hAnsi="Verdana"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185EE9">
        <w:rPr>
          <w:rFonts w:ascii="Verdana" w:eastAsia="Calibri" w:hAnsi="Verdana" w:cs="Arial"/>
          <w:color w:val="000000"/>
          <w:vertAlign w:val="superscript"/>
          <w:lang w:val="es-ES"/>
        </w:rPr>
        <w:footnoteReference w:id="13"/>
      </w:r>
      <w:r w:rsidRPr="00185EE9">
        <w:rPr>
          <w:rFonts w:ascii="Verdana" w:eastAsia="Calibri" w:hAnsi="Verdana" w:cs="Arial"/>
          <w:color w:val="000000"/>
          <w:lang w:val="es-ES"/>
        </w:rPr>
        <w:t>.</w:t>
      </w:r>
    </w:p>
    <w:p w14:paraId="0727F34B" w14:textId="77777777" w:rsidR="003734F4" w:rsidRPr="00185EE9" w:rsidRDefault="003734F4" w:rsidP="003734F4">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bCs/>
          <w:color w:val="000000"/>
          <w:lang w:val="es-ES_tradnl"/>
        </w:rPr>
        <w:tab/>
      </w:r>
      <w:r w:rsidRPr="00185EE9">
        <w:rPr>
          <w:rFonts w:ascii="Verdana" w:eastAsia="Calibri" w:hAnsi="Verdana" w:cs="Arial"/>
          <w:bCs/>
          <w:color w:val="000000"/>
          <w:lang w:val="es-ES_tradnl"/>
        </w:rPr>
        <w:tab/>
        <w:t xml:space="preserve">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w:t>
      </w:r>
      <w:r w:rsidRPr="00185EE9">
        <w:rPr>
          <w:rFonts w:ascii="Verdana" w:eastAsia="Calibri" w:hAnsi="Verdana" w:cs="Arial"/>
          <w:bCs/>
          <w:color w:val="000000"/>
          <w:lang w:val="es-ES_tradnl"/>
        </w:rPr>
        <w:lastRenderedPageBreak/>
        <w:t>de su personal operativo contaban con mujeres, personas con discapacidad y personas mayores de 45 años vinculadas con todas las garantías que establece la ley.</w:t>
      </w:r>
    </w:p>
    <w:p w14:paraId="22AD30FB" w14:textId="77777777" w:rsidR="003734F4" w:rsidRPr="00185EE9" w:rsidRDefault="003734F4" w:rsidP="2832C13D">
      <w:pPr>
        <w:shd w:val="clear" w:color="auto" w:fill="FFFFFF" w:themeFill="background1"/>
        <w:spacing w:after="120" w:line="276" w:lineRule="auto"/>
        <w:ind w:right="51" w:firstLine="709"/>
        <w:jc w:val="both"/>
        <w:rPr>
          <w:rFonts w:ascii="Verdana" w:eastAsia="Calibri" w:hAnsi="Verdana" w:cs="Arial"/>
          <w:color w:val="000000"/>
          <w:lang w:val="es-ES"/>
        </w:rPr>
      </w:pPr>
      <w:r w:rsidRPr="2832C13D">
        <w:rPr>
          <w:rFonts w:ascii="Verdana" w:eastAsia="Calibri" w:hAnsi="Verdana" w:cs="Arial"/>
          <w:color w:val="000000"/>
          <w:lang w:val="es-ES"/>
        </w:rPr>
        <w:t>Pese a que 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r w:rsidRPr="2832C13D">
        <w:rPr>
          <w:rFonts w:ascii="Verdana" w:eastAsia="Calibri" w:hAnsi="Verdana" w:cs="Arial"/>
          <w:color w:val="000000"/>
          <w:vertAlign w:val="superscript"/>
          <w:lang w:val="es-ES"/>
        </w:rPr>
        <w:footnoteReference w:id="14"/>
      </w:r>
      <w:r w:rsidRPr="2832C13D">
        <w:rPr>
          <w:rFonts w:ascii="Verdana" w:eastAsia="Calibri" w:hAnsi="Verdana" w:cs="Arial"/>
          <w:color w:val="000000"/>
          <w:lang w:val="es-ES"/>
        </w:rPr>
        <w:t xml:space="preserve">.  </w:t>
      </w:r>
    </w:p>
    <w:p w14:paraId="693CD184" w14:textId="77777777" w:rsidR="003734F4" w:rsidRPr="00185EE9" w:rsidRDefault="003734F4" w:rsidP="003734F4">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Aunque el </w:t>
      </w:r>
      <w:r w:rsidRPr="00185EE9">
        <w:rPr>
          <w:rFonts w:ascii="Verdana" w:eastAsia="Calibri" w:hAnsi="Verdana" w:cs="Arial"/>
          <w:bCs/>
          <w:color w:val="000000"/>
          <w:lang w:val="es-ES_tradnl"/>
        </w:rPr>
        <w:t>Decreto 1279 de 2021 es actualmente inaplicable en virtud de la medida cautelar, de</w:t>
      </w:r>
      <w:r w:rsidRPr="00185EE9">
        <w:rPr>
          <w:rFonts w:ascii="Verdana" w:eastAsia="Calibri" w:hAnsi="Verdana" w:cs="Arial"/>
          <w:color w:val="000000"/>
          <w:lang w:val="es-ES_tradnl"/>
        </w:rPr>
        <w:t>l artículo 6 de la Ley 1920 de 2018</w:t>
      </w:r>
      <w:r w:rsidRPr="00185EE9">
        <w:rPr>
          <w:rFonts w:ascii="Verdana" w:eastAsia="Calibri" w:hAnsi="Verdana"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85EE9">
        <w:rPr>
          <w:rFonts w:ascii="Verdana" w:eastAsia="Calibri" w:hAnsi="Verdana" w:cs="Arial"/>
          <w:bCs/>
          <w:color w:val="000000" w:themeColor="text1"/>
        </w:rPr>
        <w:t>servicios de vigilancia privada. En este caso, los puntajes previstos en los artículos 2.2.1.2.4.2.10, 2.2.1.2.4.2.11, 2.2.1.2.4.2.12 y 2.2.1.2.4.2.13 del Decreto 1082 de 2015, eventualmente, regirán nuevamente cuando el Consejo de Estado levante la suspensión provisional.</w:t>
      </w:r>
      <w:r w:rsidRPr="00185EE9">
        <w:rPr>
          <w:rFonts w:ascii="Verdana" w:eastAsia="Calibri" w:hAnsi="Verdana" w:cs="Arial"/>
          <w:bCs/>
          <w:color w:val="000000"/>
          <w:lang w:val="es-ES_tradnl"/>
        </w:rPr>
        <w:t xml:space="preserve"> </w:t>
      </w:r>
      <w:r w:rsidRPr="00185EE9">
        <w:rPr>
          <w:rFonts w:ascii="Verdana" w:eastAsia="Calibri" w:hAnsi="Verdana" w:cs="Arial"/>
          <w:color w:val="000000"/>
          <w:lang w:val="es-ES_tradnl"/>
        </w:rPr>
        <w:t xml:space="preserve"> </w:t>
      </w:r>
    </w:p>
    <w:p w14:paraId="7BD7D436" w14:textId="77777777" w:rsidR="00CC54DB" w:rsidRPr="00185EE9" w:rsidRDefault="00CC54DB" w:rsidP="00CC54DB">
      <w:pPr>
        <w:spacing w:after="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78E41F69" w14:textId="77777777" w:rsidR="00E85AA8" w:rsidRPr="00185EE9" w:rsidRDefault="00E85AA8" w:rsidP="00CE5414">
      <w:pPr>
        <w:spacing w:after="120" w:line="240" w:lineRule="auto"/>
        <w:ind w:left="567" w:right="900"/>
        <w:jc w:val="both"/>
        <w:textAlignment w:val="baseline"/>
        <w:rPr>
          <w:rFonts w:ascii="Verdana" w:eastAsia="Arial" w:hAnsi="Verdana" w:cs="Arial"/>
          <w:sz w:val="20"/>
          <w:szCs w:val="20"/>
        </w:rPr>
      </w:pPr>
    </w:p>
    <w:p w14:paraId="18051447" w14:textId="77777777" w:rsidR="0008328D" w:rsidRPr="00185EE9" w:rsidRDefault="0008328D" w:rsidP="00AE2631">
      <w:pPr>
        <w:numPr>
          <w:ilvl w:val="0"/>
          <w:numId w:val="19"/>
        </w:numPr>
        <w:spacing w:after="0" w:line="256" w:lineRule="auto"/>
        <w:ind w:left="0" w:firstLine="0"/>
        <w:rPr>
          <w:rFonts w:ascii="Verdana" w:eastAsia="Calibri" w:hAnsi="Verdana" w:cs="Times New Roman"/>
          <w:b/>
          <w:bCs/>
          <w:lang w:val="es-ES"/>
        </w:rPr>
      </w:pPr>
      <w:r w:rsidRPr="00185EE9">
        <w:rPr>
          <w:rFonts w:ascii="Verdana" w:eastAsia="Calibri" w:hAnsi="Verdana" w:cs="Times New Roman"/>
          <w:b/>
          <w:bCs/>
          <w:lang w:val="es-ES"/>
        </w:rPr>
        <w:t>Referencias normativas, jurisprudenciales y otras fuentes:</w:t>
      </w:r>
    </w:p>
    <w:p w14:paraId="15E79B0C" w14:textId="77777777" w:rsidR="0008328D" w:rsidRPr="00185EE9" w:rsidRDefault="0008328D" w:rsidP="0008328D">
      <w:pPr>
        <w:spacing w:after="0" w:line="256" w:lineRule="auto"/>
        <w:rPr>
          <w:rFonts w:ascii="Verdana" w:eastAsia="Calibri" w:hAnsi="Verdana" w:cs="Times New Roman"/>
          <w:bCs/>
          <w:lang w:val="es-ES_tradnl"/>
        </w:rPr>
      </w:pPr>
    </w:p>
    <w:p w14:paraId="43389920" w14:textId="77777777" w:rsidR="001F6D11" w:rsidRPr="00185EE9" w:rsidRDefault="001F6D11" w:rsidP="001F6D1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Decreto Ley 354 de 1994, artículos 2, 5 y 6.</w:t>
      </w:r>
    </w:p>
    <w:p w14:paraId="6D572B40" w14:textId="77777777" w:rsidR="001F6D11" w:rsidRPr="00185EE9" w:rsidRDefault="001F6D11" w:rsidP="001F6D1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lastRenderedPageBreak/>
        <w:t xml:space="preserve">Ley 1150 de 2007, artículo 2. </w:t>
      </w:r>
    </w:p>
    <w:p w14:paraId="44233328" w14:textId="77777777" w:rsidR="001F6D11" w:rsidRPr="00185EE9" w:rsidRDefault="001F6D11" w:rsidP="001F6D1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Ley 1920 de 2018, artículo 6.</w:t>
      </w:r>
    </w:p>
    <w:p w14:paraId="156E5795" w14:textId="755DC18F" w:rsidR="001F6D11" w:rsidRPr="00185EE9" w:rsidRDefault="001F6D11" w:rsidP="001F6D1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185EE9">
        <w:rPr>
          <w:rFonts w:ascii="Verdana" w:hAnsi="Verdana" w:cs="Arial"/>
        </w:rPr>
        <w:t>Decreto 1082 de 2015, artículo</w:t>
      </w:r>
      <w:r w:rsidR="00EC1A2C" w:rsidRPr="00185EE9">
        <w:rPr>
          <w:rFonts w:ascii="Verdana" w:hAnsi="Verdana" w:cs="Arial"/>
        </w:rPr>
        <w:t>s</w:t>
      </w:r>
      <w:r w:rsidRPr="00185EE9">
        <w:rPr>
          <w:rFonts w:ascii="Verdana" w:hAnsi="Verdana" w:cs="Arial"/>
        </w:rPr>
        <w:t xml:space="preserve"> 2</w:t>
      </w:r>
      <w:r w:rsidR="00EC1A2C" w:rsidRPr="00185EE9">
        <w:rPr>
          <w:rFonts w:ascii="Verdana" w:hAnsi="Verdana" w:cs="Arial"/>
        </w:rPr>
        <w:t>.</w:t>
      </w:r>
      <w:r w:rsidRPr="00185EE9">
        <w:rPr>
          <w:rFonts w:ascii="Verdana" w:hAnsi="Verdana" w:cs="Arial"/>
        </w:rPr>
        <w:t>2.2.1.1.1.3.1</w:t>
      </w:r>
      <w:r w:rsidR="00EC1A2C" w:rsidRPr="00185EE9">
        <w:rPr>
          <w:rFonts w:ascii="Verdana" w:hAnsi="Verdana" w:cs="Arial"/>
        </w:rPr>
        <w:t xml:space="preserve">, </w:t>
      </w:r>
      <w:r w:rsidR="00EC1A2C" w:rsidRPr="00185EE9">
        <w:rPr>
          <w:rFonts w:ascii="Verdana" w:eastAsia="Calibri" w:hAnsi="Verdana" w:cs="Arial"/>
          <w:bCs/>
          <w:color w:val="000000" w:themeColor="text1"/>
        </w:rPr>
        <w:t>2.2.1.1.2.2.2</w:t>
      </w:r>
      <w:r w:rsidRPr="00185EE9">
        <w:rPr>
          <w:rFonts w:ascii="Verdana" w:hAnsi="Verdana" w:cs="Arial"/>
        </w:rPr>
        <w:t xml:space="preserve"> </w:t>
      </w:r>
      <w:r w:rsidR="00EC1A2C" w:rsidRPr="00185EE9">
        <w:rPr>
          <w:rFonts w:ascii="Verdana" w:eastAsia="Calibri" w:hAnsi="Verdana" w:cs="Arial"/>
          <w:bCs/>
          <w:color w:val="000000" w:themeColor="text1"/>
        </w:rPr>
        <w:t>2.2.1.2.4.2.10, 2.2.1.2.4.2.11, 2.2.1.2.4.2.12 y 2.2.1.2.4.2.13</w:t>
      </w:r>
    </w:p>
    <w:p w14:paraId="28130BD2" w14:textId="7F388FA2" w:rsidR="0008328D" w:rsidRPr="00185EE9" w:rsidRDefault="001F6D11" w:rsidP="00A37BC4">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color w:val="000000" w:themeColor="text1"/>
          <w:lang w:val="es-ES_tradnl"/>
        </w:rPr>
      </w:pPr>
      <w:r w:rsidRPr="00185EE9">
        <w:rPr>
          <w:rFonts w:ascii="Verdana" w:hAnsi="Verdana" w:cs="Arial"/>
        </w:rPr>
        <w:t>Código Civil, artículos 28 y 29.</w:t>
      </w:r>
    </w:p>
    <w:p w14:paraId="34197B3B" w14:textId="77777777" w:rsidR="0008328D" w:rsidRPr="00185EE9" w:rsidRDefault="0008328D" w:rsidP="0008328D">
      <w:pPr>
        <w:pStyle w:val="Prrafodelista"/>
        <w:spacing w:line="276" w:lineRule="auto"/>
        <w:ind w:right="709"/>
        <w:jc w:val="both"/>
        <w:rPr>
          <w:rFonts w:ascii="Verdana" w:hAnsi="Verdana" w:cs="Arial"/>
          <w:color w:val="000000" w:themeColor="text1"/>
          <w:lang w:val="es-ES_tradnl"/>
        </w:rPr>
      </w:pPr>
    </w:p>
    <w:p w14:paraId="509967FD" w14:textId="77777777" w:rsidR="0008328D" w:rsidRPr="00185EE9" w:rsidRDefault="0008328D" w:rsidP="00AE2631">
      <w:pPr>
        <w:numPr>
          <w:ilvl w:val="0"/>
          <w:numId w:val="19"/>
        </w:numPr>
        <w:spacing w:after="0" w:line="256" w:lineRule="auto"/>
        <w:ind w:left="0" w:firstLine="0"/>
        <w:rPr>
          <w:rFonts w:ascii="Verdana" w:eastAsia="Calibri" w:hAnsi="Verdana" w:cs="Times New Roman"/>
          <w:b/>
          <w:bCs/>
          <w:lang w:val="es-ES"/>
        </w:rPr>
      </w:pPr>
      <w:r w:rsidRPr="00185EE9">
        <w:rPr>
          <w:rFonts w:ascii="Verdana" w:eastAsia="Calibri" w:hAnsi="Verdana" w:cs="Times New Roman"/>
          <w:b/>
          <w:bCs/>
          <w:lang w:val="es-ES"/>
        </w:rPr>
        <w:t>Doctrina de la Agencia Nacional de Contratación Pública:</w:t>
      </w:r>
    </w:p>
    <w:p w14:paraId="283741C8" w14:textId="77777777" w:rsidR="0008328D" w:rsidRPr="00185EE9" w:rsidRDefault="0008328D" w:rsidP="0008328D">
      <w:pPr>
        <w:spacing w:after="0" w:line="256" w:lineRule="auto"/>
        <w:rPr>
          <w:rFonts w:ascii="Verdana" w:eastAsia="Calibri" w:hAnsi="Verdana" w:cs="Times New Roman"/>
          <w:lang w:val="es-ES"/>
        </w:rPr>
      </w:pPr>
    </w:p>
    <w:p w14:paraId="09BEB8EE" w14:textId="0CD06A6C" w:rsidR="0008328D" w:rsidRPr="00185EE9" w:rsidRDefault="00E85AA8" w:rsidP="00A34D87">
      <w:pPr>
        <w:widowControl w:val="0"/>
        <w:autoSpaceDE w:val="0"/>
        <w:autoSpaceDN w:val="0"/>
        <w:spacing w:after="0" w:line="276" w:lineRule="auto"/>
        <w:jc w:val="both"/>
        <w:rPr>
          <w:rFonts w:ascii="Verdana" w:eastAsia="Calibri" w:hAnsi="Verdana" w:cs="Times New Roman"/>
        </w:rPr>
      </w:pPr>
      <w:r w:rsidRPr="00185EE9">
        <w:rPr>
          <w:rStyle w:val="normaltextrun"/>
          <w:rFonts w:ascii="Verdana" w:hAnsi="Verdana" w:cs="Arial"/>
          <w:shd w:val="clear" w:color="auto" w:fill="FFFFFF"/>
          <w:lang w:val="es-ES"/>
        </w:rPr>
        <w:t xml:space="preserve">Esta Subdirección se ha pronunciado sobre varios de los temas objeto de la solicitud. </w:t>
      </w:r>
      <w:r w:rsidR="0008328D" w:rsidRPr="00185EE9">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690408E1" w14:textId="77777777" w:rsidR="0008328D" w:rsidRPr="00185EE9" w:rsidRDefault="0008328D" w:rsidP="00AE2631">
      <w:pPr>
        <w:spacing w:after="0" w:line="256" w:lineRule="auto"/>
        <w:jc w:val="both"/>
        <w:rPr>
          <w:rFonts w:ascii="Verdana" w:eastAsia="Calibri" w:hAnsi="Verdana" w:cs="Times New Roman"/>
        </w:rPr>
      </w:pPr>
      <w:hyperlink r:id="rId13" w:history="1">
        <w:r w:rsidRPr="00185EE9">
          <w:rPr>
            <w:rFonts w:ascii="Verdana" w:eastAsia="Calibri" w:hAnsi="Verdana" w:cs="Times New Roman"/>
            <w:color w:val="0000FF"/>
            <w:u w:val="single"/>
            <w:lang w:val="es-ES"/>
          </w:rPr>
          <w:t>https://relatoria.colombiacompra.gov.co/busqueda/conceptos</w:t>
        </w:r>
      </w:hyperlink>
      <w:r w:rsidRPr="00185EE9">
        <w:rPr>
          <w:rFonts w:ascii="Verdana" w:eastAsia="Calibri" w:hAnsi="Verdana" w:cs="Times New Roman"/>
        </w:rPr>
        <w:t xml:space="preserve">. </w:t>
      </w:r>
    </w:p>
    <w:p w14:paraId="2BC9D89F" w14:textId="233C448C" w:rsidR="0008328D" w:rsidRPr="00185EE9" w:rsidRDefault="0008328D" w:rsidP="00A34D87">
      <w:pPr>
        <w:spacing w:after="0" w:line="256" w:lineRule="auto"/>
        <w:jc w:val="both"/>
        <w:rPr>
          <w:rFonts w:ascii="Verdana" w:eastAsia="Calibri" w:hAnsi="Verdana" w:cs="Times New Roman"/>
          <w:lang w:val="es-ES"/>
        </w:rPr>
      </w:pPr>
    </w:p>
    <w:p w14:paraId="6A94468A" w14:textId="77777777" w:rsidR="002B1E57" w:rsidRPr="00185EE9" w:rsidRDefault="002B1E57" w:rsidP="00A34D87">
      <w:pPr>
        <w:spacing w:after="0" w:line="256" w:lineRule="auto"/>
        <w:jc w:val="both"/>
        <w:rPr>
          <w:rFonts w:ascii="Verdana" w:eastAsia="Calibri" w:hAnsi="Verdana" w:cs="Times New Roman"/>
        </w:rPr>
      </w:pPr>
      <w:r w:rsidRPr="00185EE9">
        <w:rPr>
          <w:rFonts w:ascii="Verdana" w:eastAsia="Calibri" w:hAnsi="Verdana" w:cs="Times New Roman"/>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4" w:tgtFrame="_blank" w:tooltip="Dirección URL original: https://www.colombiacompra.gov.co/content/borrador-de-documentos-tipo-de-consultoria-de-obra-publica-de-infraestructura-de-transporte. Haga clic o pulse si confía en este vínculo." w:history="1">
        <w:r w:rsidRPr="00185EE9">
          <w:rPr>
            <w:rStyle w:val="Hipervnculo"/>
            <w:rFonts w:ascii="Verdana" w:eastAsia="Calibri" w:hAnsi="Verdana" w:cs="Times New Roman"/>
          </w:rPr>
          <w:t>https://www.colombiacompra.gov.co/content/borrador-de-documentos-tipo-de-consultoria-de-obra-publica-de-infraestructura-de-transporte</w:t>
        </w:r>
      </w:hyperlink>
      <w:r w:rsidRPr="00185EE9">
        <w:rPr>
          <w:rFonts w:ascii="Verdana" w:eastAsia="Calibri" w:hAnsi="Verdana" w:cs="Times New Roman"/>
        </w:rPr>
        <w:t> y </w:t>
      </w:r>
      <w:hyperlink r:id="rId15" w:tgtFrame="_blank" w:tooltip="Dirección URL original: https://www.colombiacompra.gov.co/content/borrador-de-documentos-tipo-de-interventoria-de-obra-publica-de-infraestructura-de. Haga clic o pulse si confía en este vínculo." w:history="1">
        <w:r w:rsidRPr="00185EE9">
          <w:rPr>
            <w:rStyle w:val="Hipervnculo"/>
            <w:rFonts w:ascii="Verdana" w:eastAsia="Calibri" w:hAnsi="Verdana" w:cs="Times New Roman"/>
          </w:rPr>
          <w:t>https://www.colombiacompra.gov.co/content/borrador-de-documentos-tipo-de-interventoria-de-obra-publica-de-infraestructura-de</w:t>
        </w:r>
      </w:hyperlink>
      <w:r w:rsidRPr="00185EE9">
        <w:rPr>
          <w:rFonts w:ascii="Verdana" w:eastAsia="Calibri" w:hAnsi="Verdana" w:cs="Times New Roman"/>
        </w:rPr>
        <w:t> .</w:t>
      </w:r>
    </w:p>
    <w:p w14:paraId="7FE7F8DC" w14:textId="77777777" w:rsidR="002B1E57" w:rsidRPr="00185EE9" w:rsidRDefault="002B1E57" w:rsidP="00A34D87">
      <w:pPr>
        <w:spacing w:after="0" w:line="256" w:lineRule="auto"/>
        <w:jc w:val="both"/>
        <w:rPr>
          <w:rFonts w:ascii="Verdana" w:eastAsia="Calibri" w:hAnsi="Verdana" w:cs="Times New Roman"/>
        </w:rPr>
      </w:pPr>
    </w:p>
    <w:p w14:paraId="004F96EB" w14:textId="7A9D61CF" w:rsidR="002B1E57" w:rsidRPr="00185EE9" w:rsidRDefault="002B1E57" w:rsidP="00A34D87">
      <w:pPr>
        <w:spacing w:after="0" w:line="256" w:lineRule="auto"/>
        <w:jc w:val="both"/>
        <w:rPr>
          <w:rFonts w:ascii="Verdana" w:eastAsia="Calibri" w:hAnsi="Verdana" w:cs="Times New Roman"/>
        </w:rPr>
      </w:pPr>
      <w:r w:rsidRPr="00185EE9">
        <w:rPr>
          <w:rFonts w:ascii="Verdana" w:eastAsia="Calibri" w:hAnsi="Verdana" w:cs="Times New Roman"/>
        </w:rPr>
        <w:t>De otra parte, te contamos que ya publicamos el borrador de la nueva Guía de Contratación Pública Sostenible y Socialmente Responsable. Conoce el documento y realiza tus comentarios hasta el 14 de noviembre de 2024 a través del siguiente enlace: </w:t>
      </w:r>
    </w:p>
    <w:p w14:paraId="55631631" w14:textId="4EAF3954" w:rsidR="002B1E57" w:rsidRPr="00185EE9" w:rsidRDefault="002B1E57" w:rsidP="00A34D87">
      <w:pPr>
        <w:spacing w:after="0" w:line="256" w:lineRule="auto"/>
        <w:jc w:val="both"/>
        <w:rPr>
          <w:rFonts w:ascii="Verdana" w:eastAsia="Calibri" w:hAnsi="Verdana" w:cs="Times New Roman"/>
        </w:rPr>
      </w:pPr>
      <w:hyperlink r:id="rId16" w:history="1">
        <w:r w:rsidRPr="00185EE9">
          <w:rPr>
            <w:rStyle w:val="Hipervnculo"/>
            <w:rFonts w:ascii="Verdana" w:eastAsia="Calibri" w:hAnsi="Verdana" w:cs="Times New Roman"/>
          </w:rPr>
          <w:t>https://www.sucop.gov.co/entidades/colombiacompra/Normativa?IDNorma=18320</w:t>
        </w:r>
      </w:hyperlink>
      <w:r w:rsidRPr="00185EE9">
        <w:rPr>
          <w:rFonts w:ascii="Verdana" w:eastAsia="Calibri" w:hAnsi="Verdana" w:cs="Times New Roman"/>
        </w:rPr>
        <w:t>  </w:t>
      </w:r>
    </w:p>
    <w:p w14:paraId="6E6CE6C6" w14:textId="77777777" w:rsidR="002B1E57" w:rsidRPr="00185EE9" w:rsidRDefault="002B1E57" w:rsidP="002B1E57">
      <w:pPr>
        <w:spacing w:after="0" w:line="256" w:lineRule="auto"/>
        <w:jc w:val="both"/>
        <w:rPr>
          <w:rFonts w:ascii="Verdana" w:eastAsia="Calibri" w:hAnsi="Verdana" w:cs="Times New Roman"/>
        </w:rPr>
      </w:pPr>
    </w:p>
    <w:p w14:paraId="55572B85" w14:textId="28D7866F" w:rsidR="002B1E57" w:rsidRPr="00185EE9" w:rsidRDefault="002B1E57" w:rsidP="002B1E57">
      <w:pPr>
        <w:spacing w:after="0" w:line="256" w:lineRule="auto"/>
        <w:jc w:val="both"/>
        <w:rPr>
          <w:rFonts w:ascii="Verdana" w:eastAsia="Calibri" w:hAnsi="Verdana" w:cs="Times New Roman"/>
        </w:rPr>
      </w:pPr>
      <w:r w:rsidRPr="00185EE9">
        <w:rPr>
          <w:rFonts w:ascii="Verdana" w:eastAsia="Calibri" w:hAnsi="Verdana" w:cs="Times New Roman"/>
        </w:rPr>
        <w:t xml:space="preserve">También le invitamos a consultar las versiones V y VI de 2024 del Boletín de Relatoría de la Subdirección de Gestión Contractual relacionados con las guías de Plan Anual de Adquisiciones y la </w:t>
      </w:r>
      <w:r w:rsidR="007D0457" w:rsidRPr="00185EE9">
        <w:rPr>
          <w:rFonts w:ascii="Verdana" w:eastAsia="Calibri" w:hAnsi="Verdana" w:cs="Times New Roman"/>
        </w:rPr>
        <w:t>modalidad</w:t>
      </w:r>
      <w:r w:rsidRPr="00185EE9">
        <w:rPr>
          <w:rFonts w:ascii="Verdana" w:eastAsia="Calibri" w:hAnsi="Verdana" w:cs="Times New Roman"/>
        </w:rPr>
        <w:t xml:space="preserve"> de selección de mínima cuantía , los cuales se pueden descargar en la página web de la Agencia: </w:t>
      </w:r>
      <w:hyperlink r:id="rId17" w:tgtFrame="_blank" w:tooltip="Dirección URL original: https://www.colombiacompra.gov.co/sala-de-prensa/boletin-digital. Haga clic o pulse si confía en este vínculo." w:history="1">
        <w:r w:rsidRPr="00185EE9">
          <w:rPr>
            <w:rStyle w:val="Hipervnculo"/>
            <w:rFonts w:ascii="Verdana" w:eastAsia="Calibri" w:hAnsi="Verdana" w:cs="Times New Roman"/>
          </w:rPr>
          <w:t>https://www.colombiacompra.gov.co/sala-de-prensa/boletin-digital</w:t>
        </w:r>
      </w:hyperlink>
      <w:r w:rsidRPr="00185EE9">
        <w:rPr>
          <w:rFonts w:ascii="Verdana" w:eastAsia="Calibri" w:hAnsi="Verdana" w:cs="Times New Roman"/>
        </w:rPr>
        <w:t> </w:t>
      </w:r>
    </w:p>
    <w:p w14:paraId="5D8C4DEF" w14:textId="77777777" w:rsidR="00A445C0" w:rsidRPr="00185EE9" w:rsidRDefault="00A445C0" w:rsidP="0008328D">
      <w:pPr>
        <w:spacing w:after="0" w:line="256" w:lineRule="auto"/>
        <w:jc w:val="both"/>
        <w:rPr>
          <w:rFonts w:ascii="Verdana" w:eastAsia="Calibri" w:hAnsi="Verdana" w:cs="Times New Roman"/>
          <w:lang w:val="es-ES"/>
        </w:rPr>
      </w:pPr>
    </w:p>
    <w:p w14:paraId="79881989" w14:textId="77777777" w:rsidR="0008328D" w:rsidRPr="00185EE9" w:rsidRDefault="0008328D" w:rsidP="0008328D">
      <w:pPr>
        <w:spacing w:after="0" w:line="256" w:lineRule="auto"/>
        <w:rPr>
          <w:rFonts w:ascii="Verdana" w:eastAsia="Calibri" w:hAnsi="Verdana" w:cs="Times New Roman"/>
        </w:rPr>
      </w:pPr>
      <w:r w:rsidRPr="00185EE9">
        <w:rPr>
          <w:rFonts w:ascii="Verdana" w:eastAsia="Calibri" w:hAnsi="Verdana" w:cs="Times New Roman"/>
        </w:rPr>
        <w:lastRenderedPageBreak/>
        <w:t xml:space="preserve">Por último, lo invitamos a seguirnos en las redes sociales en las cuales se difunde información institucional: </w:t>
      </w:r>
    </w:p>
    <w:p w14:paraId="75488B70" w14:textId="77777777" w:rsidR="0008328D" w:rsidRPr="00185EE9" w:rsidRDefault="0008328D" w:rsidP="0008328D">
      <w:pPr>
        <w:spacing w:after="0" w:line="256" w:lineRule="auto"/>
        <w:rPr>
          <w:rFonts w:ascii="Verdana" w:eastAsia="Calibri" w:hAnsi="Verdana" w:cs="Times New Roman"/>
        </w:rPr>
      </w:pPr>
    </w:p>
    <w:p w14:paraId="7B1A2C76" w14:textId="77777777" w:rsidR="0008328D" w:rsidRPr="00185EE9" w:rsidRDefault="0008328D" w:rsidP="0008328D">
      <w:pPr>
        <w:spacing w:after="0" w:line="256" w:lineRule="auto"/>
        <w:rPr>
          <w:rFonts w:ascii="Verdana" w:eastAsia="Calibri" w:hAnsi="Verdana" w:cs="Times New Roman"/>
        </w:rPr>
      </w:pPr>
      <w:r w:rsidRPr="00185EE9">
        <w:rPr>
          <w:rFonts w:ascii="Verdana" w:eastAsia="Calibri" w:hAnsi="Verdana" w:cs="Times New Roman"/>
        </w:rPr>
        <w:t xml:space="preserve">Twitter: </w:t>
      </w:r>
      <w:r w:rsidRPr="00185EE9">
        <w:rPr>
          <w:rFonts w:ascii="Verdana" w:eastAsia="Calibri" w:hAnsi="Verdana" w:cs="Times New Roman"/>
          <w:u w:val="single"/>
        </w:rPr>
        <w:t>@colombiacompra</w:t>
      </w:r>
      <w:r w:rsidRPr="00185EE9">
        <w:rPr>
          <w:rFonts w:ascii="Verdana" w:eastAsia="Calibri" w:hAnsi="Verdana" w:cs="Times New Roman"/>
        </w:rPr>
        <w:t xml:space="preserve"> </w:t>
      </w:r>
    </w:p>
    <w:p w14:paraId="3628B6E9" w14:textId="77777777" w:rsidR="0008328D" w:rsidRPr="00185EE9" w:rsidRDefault="0008328D" w:rsidP="0008328D">
      <w:pPr>
        <w:spacing w:after="0" w:line="256" w:lineRule="auto"/>
        <w:rPr>
          <w:rFonts w:ascii="Verdana" w:eastAsia="Calibri" w:hAnsi="Verdana" w:cs="Times New Roman"/>
        </w:rPr>
      </w:pPr>
      <w:r w:rsidRPr="00185EE9">
        <w:rPr>
          <w:rFonts w:ascii="Verdana" w:eastAsia="Calibri" w:hAnsi="Verdana" w:cs="Times New Roman"/>
        </w:rPr>
        <w:t xml:space="preserve">Facebook: </w:t>
      </w:r>
      <w:r w:rsidRPr="00185EE9">
        <w:rPr>
          <w:rFonts w:ascii="Verdana" w:eastAsia="Calibri" w:hAnsi="Verdana" w:cs="Times New Roman"/>
          <w:u w:val="single"/>
        </w:rPr>
        <w:t>ColombiaCompraEficiente</w:t>
      </w:r>
    </w:p>
    <w:p w14:paraId="52FDCEDA" w14:textId="77777777" w:rsidR="0008328D" w:rsidRPr="00185EE9" w:rsidRDefault="0008328D" w:rsidP="0008328D">
      <w:pPr>
        <w:spacing w:after="0" w:line="256" w:lineRule="auto"/>
        <w:rPr>
          <w:rFonts w:ascii="Verdana" w:eastAsia="Calibri" w:hAnsi="Verdana" w:cs="Times New Roman"/>
          <w:u w:val="single"/>
        </w:rPr>
      </w:pPr>
      <w:r w:rsidRPr="00185EE9">
        <w:rPr>
          <w:rFonts w:ascii="Verdana" w:eastAsia="Calibri" w:hAnsi="Verdana" w:cs="Times New Roman"/>
        </w:rPr>
        <w:t xml:space="preserve">LinkedIn: </w:t>
      </w:r>
      <w:r w:rsidRPr="00185EE9">
        <w:rPr>
          <w:rFonts w:ascii="Verdana" w:eastAsia="Calibri" w:hAnsi="Verdana" w:cs="Times New Roman"/>
          <w:u w:val="single"/>
        </w:rPr>
        <w:t>Agencia Nacional de Contratación Pública - Colombia Compra Eficiente</w:t>
      </w:r>
      <w:r w:rsidRPr="00185EE9">
        <w:rPr>
          <w:rFonts w:ascii="Verdana" w:eastAsia="Calibri" w:hAnsi="Verdana" w:cs="Times New Roman"/>
        </w:rPr>
        <w:t xml:space="preserve"> Instagram: </w:t>
      </w:r>
      <w:r w:rsidRPr="00185EE9">
        <w:rPr>
          <w:rFonts w:ascii="Verdana" w:eastAsia="Calibri" w:hAnsi="Verdana" w:cs="Times New Roman"/>
          <w:u w:val="single"/>
        </w:rPr>
        <w:t>@colombiacompraeficiente_cce</w:t>
      </w:r>
    </w:p>
    <w:p w14:paraId="79D48CE0" w14:textId="77777777" w:rsidR="0008328D" w:rsidRPr="00185EE9" w:rsidRDefault="0008328D" w:rsidP="0008328D">
      <w:pPr>
        <w:spacing w:after="0" w:line="256" w:lineRule="auto"/>
        <w:rPr>
          <w:rFonts w:ascii="Verdana" w:eastAsia="Calibri" w:hAnsi="Verdana" w:cs="Times New Roman"/>
          <w:b/>
          <w:bCs/>
        </w:rPr>
      </w:pPr>
    </w:p>
    <w:p w14:paraId="6A2D72F8" w14:textId="77777777" w:rsidR="0008328D" w:rsidRPr="00185EE9" w:rsidRDefault="0008328D" w:rsidP="0008328D">
      <w:pPr>
        <w:spacing w:after="0" w:line="256" w:lineRule="auto"/>
        <w:jc w:val="both"/>
        <w:rPr>
          <w:rFonts w:ascii="Verdana" w:eastAsia="Calibri" w:hAnsi="Verdana" w:cs="Times New Roman"/>
          <w:bCs/>
          <w:lang w:val="es-ES_tradnl"/>
        </w:rPr>
      </w:pPr>
      <w:r w:rsidRPr="00185EE9">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CA08F33" w14:textId="77777777" w:rsidR="0008328D" w:rsidRPr="00185EE9" w:rsidRDefault="0008328D" w:rsidP="0008328D">
      <w:pPr>
        <w:spacing w:after="0" w:line="256" w:lineRule="auto"/>
        <w:jc w:val="both"/>
        <w:rPr>
          <w:rFonts w:ascii="Verdana" w:eastAsia="Calibri" w:hAnsi="Verdana" w:cs="Times New Roman"/>
        </w:rPr>
      </w:pPr>
    </w:p>
    <w:p w14:paraId="66A28213" w14:textId="77777777" w:rsidR="0008328D" w:rsidRPr="00185EE9" w:rsidRDefault="0008328D" w:rsidP="0008328D">
      <w:pPr>
        <w:spacing w:after="0" w:line="256" w:lineRule="auto"/>
        <w:jc w:val="both"/>
        <w:rPr>
          <w:rFonts w:ascii="Verdana" w:eastAsia="Calibri" w:hAnsi="Verdana" w:cs="Times New Roman"/>
        </w:rPr>
      </w:pPr>
      <w:r w:rsidRPr="00185EE9">
        <w:rPr>
          <w:rFonts w:ascii="Verdana" w:eastAsia="Calibri" w:hAnsi="Verdana" w:cs="Times New Roman"/>
        </w:rPr>
        <w:t>Atentamente,</w:t>
      </w:r>
    </w:p>
    <w:p w14:paraId="0364F822" w14:textId="77777777" w:rsidR="0008328D" w:rsidRPr="00185EE9" w:rsidRDefault="0008328D" w:rsidP="0008328D">
      <w:pPr>
        <w:spacing w:after="0" w:line="256" w:lineRule="auto"/>
        <w:rPr>
          <w:rFonts w:ascii="Verdana" w:eastAsia="Calibri" w:hAnsi="Verdana" w:cs="Times New Roman"/>
          <w:lang w:val="es-ES"/>
        </w:rPr>
      </w:pPr>
    </w:p>
    <w:p w14:paraId="538FF309" w14:textId="7D7B18A4" w:rsidR="0008328D" w:rsidRPr="00185EE9" w:rsidRDefault="009C2DD0" w:rsidP="0008328D">
      <w:pPr>
        <w:spacing w:after="0" w:line="256" w:lineRule="auto"/>
        <w:jc w:val="center"/>
        <w:rPr>
          <w:rFonts w:ascii="Verdana" w:eastAsia="Calibri" w:hAnsi="Verdana" w:cs="Times New Roman"/>
          <w:lang w:val="es-ES"/>
        </w:rPr>
      </w:pPr>
      <w:r w:rsidRPr="002C3AD6">
        <w:rPr>
          <w:rFonts w:ascii="Century Gothic" w:hAnsi="Century Gothic"/>
          <w:noProof/>
        </w:rPr>
        <w:drawing>
          <wp:inline distT="0" distB="0" distL="0" distR="0" wp14:anchorId="766D4A5B" wp14:editId="59CA6BC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546B936F" w14:textId="77777777" w:rsidR="0008328D" w:rsidRPr="00185EE9" w:rsidRDefault="0008328D" w:rsidP="0008328D">
      <w:pPr>
        <w:spacing w:after="0" w:line="256" w:lineRule="auto"/>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8328D" w:rsidRPr="00185EE9" w14:paraId="7C109E46" w14:textId="77777777" w:rsidTr="00A76BAD">
        <w:trPr>
          <w:trHeight w:val="409"/>
        </w:trPr>
        <w:tc>
          <w:tcPr>
            <w:tcW w:w="817" w:type="dxa"/>
            <w:tcBorders>
              <w:top w:val="nil"/>
              <w:left w:val="nil"/>
              <w:bottom w:val="nil"/>
              <w:right w:val="nil"/>
            </w:tcBorders>
            <w:vAlign w:val="center"/>
            <w:hideMark/>
          </w:tcPr>
          <w:p w14:paraId="3E03EA22"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Elaboró: </w:t>
            </w:r>
          </w:p>
        </w:tc>
        <w:tc>
          <w:tcPr>
            <w:tcW w:w="4937" w:type="dxa"/>
            <w:tcBorders>
              <w:top w:val="nil"/>
              <w:left w:val="nil"/>
              <w:bottom w:val="dotted" w:sz="6" w:space="0" w:color="7F7F7F" w:themeColor="text1" w:themeTint="80"/>
              <w:right w:val="nil"/>
            </w:tcBorders>
            <w:vAlign w:val="center"/>
            <w:hideMark/>
          </w:tcPr>
          <w:p w14:paraId="3739E7E7"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Gustavo Hinestroza Martínez</w:t>
            </w:r>
          </w:p>
          <w:p w14:paraId="438262AF"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Contratista de la Subdirección de Gestión Contractual</w:t>
            </w:r>
          </w:p>
        </w:tc>
      </w:tr>
      <w:tr w:rsidR="0008328D" w:rsidRPr="00185EE9" w14:paraId="370D97DA" w14:textId="77777777" w:rsidTr="00A76BAD">
        <w:trPr>
          <w:trHeight w:val="409"/>
        </w:trPr>
        <w:tc>
          <w:tcPr>
            <w:tcW w:w="817" w:type="dxa"/>
            <w:tcBorders>
              <w:top w:val="nil"/>
              <w:left w:val="nil"/>
              <w:bottom w:val="nil"/>
              <w:right w:val="nil"/>
            </w:tcBorders>
            <w:vAlign w:val="center"/>
            <w:hideMark/>
          </w:tcPr>
          <w:p w14:paraId="2494E74E"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F7A692F"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Alejandro Sarmiento Cantillo</w:t>
            </w:r>
          </w:p>
          <w:p w14:paraId="162225B7"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Gestor T1-15 de la Subdirección de Gestión Contractual </w:t>
            </w:r>
          </w:p>
        </w:tc>
      </w:tr>
      <w:tr w:rsidR="0008328D" w:rsidRPr="00A445C0" w14:paraId="7AA79FA9" w14:textId="77777777" w:rsidTr="00A76BAD">
        <w:trPr>
          <w:trHeight w:val="389"/>
        </w:trPr>
        <w:tc>
          <w:tcPr>
            <w:tcW w:w="817" w:type="dxa"/>
            <w:tcBorders>
              <w:top w:val="nil"/>
              <w:left w:val="nil"/>
              <w:bottom w:val="nil"/>
              <w:right w:val="nil"/>
            </w:tcBorders>
            <w:vAlign w:val="center"/>
            <w:hideMark/>
          </w:tcPr>
          <w:p w14:paraId="1F874CC8"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4994C2E" w14:textId="77777777" w:rsidR="0008328D" w:rsidRPr="00185EE9"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Carolina Quintero Gacharná</w:t>
            </w:r>
          </w:p>
          <w:p w14:paraId="280C4B0B" w14:textId="77777777" w:rsidR="0008328D" w:rsidRPr="00AE2631" w:rsidRDefault="0008328D" w:rsidP="00A76BAD">
            <w:pPr>
              <w:spacing w:after="0" w:line="256" w:lineRule="auto"/>
              <w:rPr>
                <w:rFonts w:ascii="Verdana" w:eastAsia="Calibri" w:hAnsi="Verdana" w:cs="Times New Roman"/>
                <w:sz w:val="16"/>
                <w:szCs w:val="16"/>
              </w:rPr>
            </w:pPr>
            <w:r w:rsidRPr="00185EE9">
              <w:rPr>
                <w:rFonts w:ascii="Verdana" w:eastAsia="Calibri" w:hAnsi="Verdana" w:cs="Times New Roman"/>
                <w:sz w:val="16"/>
                <w:szCs w:val="16"/>
              </w:rPr>
              <w:t>Subdirectora de Gestión Contractual ANCP – CCE</w:t>
            </w:r>
          </w:p>
        </w:tc>
      </w:tr>
      <w:bookmarkEnd w:id="0"/>
    </w:tbl>
    <w:p w14:paraId="0F293BF4" w14:textId="5BFB13AD" w:rsidR="00127233" w:rsidRPr="00354BCA" w:rsidRDefault="00127233" w:rsidP="00EA1CD8">
      <w:pPr>
        <w:rPr>
          <w:rFonts w:ascii="Verdana" w:hAnsi="Verdana"/>
        </w:rPr>
      </w:pPr>
    </w:p>
    <w:sectPr w:rsidR="00127233" w:rsidRPr="00354BCA"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F8DC5" w14:textId="77777777" w:rsidR="008A7F08" w:rsidRDefault="008A7F08" w:rsidP="004A1847">
      <w:pPr>
        <w:spacing w:after="0" w:line="240" w:lineRule="auto"/>
      </w:pPr>
      <w:r>
        <w:separator/>
      </w:r>
    </w:p>
  </w:endnote>
  <w:endnote w:type="continuationSeparator" w:id="0">
    <w:p w14:paraId="11C5F6AA" w14:textId="77777777" w:rsidR="008A7F08" w:rsidRDefault="008A7F08" w:rsidP="004A1847">
      <w:pPr>
        <w:spacing w:after="0" w:line="240" w:lineRule="auto"/>
      </w:pPr>
      <w:r>
        <w:continuationSeparator/>
      </w:r>
    </w:p>
  </w:endnote>
  <w:endnote w:type="continuationNotice" w:id="1">
    <w:p w14:paraId="48F8DF99" w14:textId="77777777" w:rsidR="008A7F08" w:rsidRDefault="008A7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2A67" w14:textId="77777777" w:rsidR="008A7F08" w:rsidRDefault="008A7F08" w:rsidP="004A1847">
      <w:pPr>
        <w:spacing w:after="0" w:line="240" w:lineRule="auto"/>
      </w:pPr>
      <w:r>
        <w:separator/>
      </w:r>
    </w:p>
  </w:footnote>
  <w:footnote w:type="continuationSeparator" w:id="0">
    <w:p w14:paraId="154F8365" w14:textId="77777777" w:rsidR="008A7F08" w:rsidRDefault="008A7F08" w:rsidP="004A1847">
      <w:pPr>
        <w:spacing w:after="0" w:line="240" w:lineRule="auto"/>
      </w:pPr>
      <w:r>
        <w:continuationSeparator/>
      </w:r>
    </w:p>
  </w:footnote>
  <w:footnote w:type="continuationNotice" w:id="1">
    <w:p w14:paraId="4371CCC6" w14:textId="77777777" w:rsidR="008A7F08" w:rsidRDefault="008A7F08">
      <w:pPr>
        <w:spacing w:after="0" w:line="240" w:lineRule="auto"/>
      </w:pPr>
    </w:p>
  </w:footnote>
  <w:footnote w:id="2">
    <w:p w14:paraId="40550B81" w14:textId="77777777"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El inciso primero de norma disponía que, conforme al principio de transparencia, “</w:t>
      </w:r>
      <w:r w:rsidRPr="00457B8D">
        <w:rPr>
          <w:rFonts w:ascii="Verdana" w:hAnsi="Verdana" w:cs="Arial"/>
          <w:i/>
          <w:iCs/>
          <w:sz w:val="16"/>
          <w:szCs w:val="16"/>
        </w:rPr>
        <w:t>La escogencia del contratista se efectuará siempre a través de licitación o concurso públicos</w:t>
      </w:r>
      <w:r w:rsidRPr="00457B8D">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footnote>
  <w:footnote w:id="3">
    <w:p w14:paraId="19A71DF8" w14:textId="6F4D10FC"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cs="Arial"/>
          <w:sz w:val="16"/>
          <w:szCs w:val="16"/>
        </w:rPr>
        <w:footnoteRef/>
      </w:r>
      <w:r w:rsidRPr="00457B8D">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w:t>
      </w:r>
      <w:r w:rsidR="007D0457" w:rsidRPr="00457B8D">
        <w:rPr>
          <w:rFonts w:ascii="Verdana" w:hAnsi="Verdana" w:cs="Arial"/>
          <w:sz w:val="16"/>
          <w:szCs w:val="16"/>
        </w:rPr>
        <w:t>pública</w:t>
      </w:r>
      <w:r w:rsidRPr="00457B8D">
        <w:rPr>
          <w:rFonts w:ascii="Verdana" w:hAnsi="Verdana" w:cs="Arial"/>
          <w:sz w:val="16"/>
          <w:szCs w:val="16"/>
        </w:rPr>
        <w:t xml:space="preserve">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457B8D">
        <w:rPr>
          <w:rFonts w:ascii="Verdana" w:hAnsi="Verdana" w:cs="Arial"/>
          <w:i/>
          <w:iCs/>
          <w:sz w:val="16"/>
          <w:szCs w:val="16"/>
        </w:rPr>
        <w:t>Presentación de la oferta de manera dinámica</w:t>
      </w:r>
      <w:r w:rsidRPr="00457B8D">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que,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4">
    <w:p w14:paraId="3B357F39" w14:textId="77777777"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El numeral 2 del artículo 2 de la Ley 1150 de 2007 prescribe: </w:t>
      </w:r>
      <w:r w:rsidRPr="00457B8D">
        <w:rPr>
          <w:rFonts w:ascii="Verdana" w:hAnsi="Verdana"/>
          <w:sz w:val="16"/>
          <w:szCs w:val="16"/>
        </w:rPr>
        <w:t xml:space="preserve">“[…] </w:t>
      </w:r>
      <w:r w:rsidRPr="00457B8D">
        <w:rPr>
          <w:rFonts w:ascii="Verdana" w:hAnsi="Verdana" w:cs="Arial"/>
          <w:sz w:val="16"/>
          <w:szCs w:val="16"/>
        </w:rPr>
        <w:t>Serán causales de selección abreviada las siguientes:</w:t>
      </w:r>
    </w:p>
    <w:p w14:paraId="0E5E762B"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8E7F589"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55C35F29"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4326924B"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w:t>
      </w:r>
    </w:p>
    <w:p w14:paraId="39C71E63"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26E59F52"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521DE115"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e) La enajenación de bienes del Estado, con excepción de aquellos a que se refiere la Ley 226 de 1995.</w:t>
      </w:r>
    </w:p>
    <w:p w14:paraId="5F50C9BB"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 xml:space="preserve">[…]; </w:t>
      </w:r>
    </w:p>
    <w:p w14:paraId="3957E260"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 xml:space="preserve">f) Productos de origen o destinación agropecuarios que se ofrezcan en las bolsas de productos legalmente constituidas; </w:t>
      </w:r>
    </w:p>
    <w:p w14:paraId="7B9455BD"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04AA1DD6"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0D475D0F"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i) La contratación de bienes y servicios que se requieran para la defensa y seguridad nacional.</w:t>
      </w:r>
    </w:p>
    <w:p w14:paraId="05C9B26A" w14:textId="77777777" w:rsidR="003734F4" w:rsidRPr="00457B8D" w:rsidRDefault="003734F4" w:rsidP="003734F4">
      <w:pPr>
        <w:pStyle w:val="Textonotapie"/>
        <w:ind w:firstLine="708"/>
        <w:jc w:val="both"/>
        <w:rPr>
          <w:rFonts w:ascii="Verdana" w:hAnsi="Verdana" w:cs="Arial"/>
          <w:sz w:val="16"/>
          <w:szCs w:val="16"/>
        </w:rPr>
      </w:pPr>
      <w:r w:rsidRPr="00457B8D">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5">
    <w:p w14:paraId="25CE3532" w14:textId="77777777"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6">
    <w:p w14:paraId="72DB8AD7" w14:textId="77777777"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CONSEJO DE ESTADO. Sección Tercera. Subsección A. Sentencia del 23 de julio de 2015. Exp. 36.805. C. P. Hernán Andrade Rincón. </w:t>
      </w:r>
    </w:p>
  </w:footnote>
  <w:footnote w:id="7">
    <w:p w14:paraId="6B6A457A" w14:textId="77777777" w:rsidR="003734F4" w:rsidRPr="00457B8D" w:rsidRDefault="003734F4" w:rsidP="003734F4">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457B8D">
        <w:rPr>
          <w:rFonts w:ascii="Verdana" w:hAnsi="Verdana"/>
          <w:i/>
          <w:iCs/>
          <w:sz w:val="16"/>
          <w:szCs w:val="16"/>
        </w:rPr>
        <w:t>las palabras de la ley se entenderán en su sentido natural y obvio, según el uso general de las mismas palabras</w:t>
      </w:r>
      <w:r w:rsidRPr="00457B8D">
        <w:rPr>
          <w:rFonts w:ascii="Verdana" w:hAnsi="Verdana"/>
          <w:sz w:val="16"/>
          <w:szCs w:val="16"/>
        </w:rPr>
        <w:t>’, es decir, el uso de la gente educada. El Diccionario de la Lengua publicado por la Real Academia Española goza a este respecto de gran autoridad. ‘</w:t>
      </w:r>
      <w:r w:rsidRPr="00457B8D">
        <w:rPr>
          <w:rFonts w:ascii="Verdana" w:hAnsi="Verdana"/>
          <w:i/>
          <w:iCs/>
          <w:sz w:val="16"/>
          <w:szCs w:val="16"/>
        </w:rPr>
        <w:t>Pero cuando el legislador</w:t>
      </w:r>
      <w:r w:rsidRPr="00457B8D">
        <w:rPr>
          <w:rFonts w:ascii="Verdana" w:hAnsi="Verdana"/>
          <w:sz w:val="16"/>
          <w:szCs w:val="16"/>
        </w:rPr>
        <w:t xml:space="preserve">, agrega el artículo 20, </w:t>
      </w:r>
      <w:r w:rsidRPr="00457B8D">
        <w:rPr>
          <w:rFonts w:ascii="Verdana" w:hAnsi="Verdana"/>
          <w:i/>
          <w:iCs/>
          <w:sz w:val="16"/>
          <w:szCs w:val="16"/>
        </w:rPr>
        <w:t>las haya definido expresamente para ciertas materias se les dará en éstas su significado legal</w:t>
      </w:r>
      <w:r w:rsidRPr="00457B8D">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footnote>
  <w:footnote w:id="8">
    <w:p w14:paraId="66F83E66" w14:textId="77777777" w:rsidR="003734F4" w:rsidRPr="00457B8D" w:rsidRDefault="003734F4" w:rsidP="003734F4">
      <w:pPr>
        <w:pStyle w:val="Textonotapie"/>
        <w:ind w:firstLine="708"/>
        <w:jc w:val="both"/>
        <w:rPr>
          <w:rFonts w:ascii="Verdana" w:hAnsi="Verdana"/>
          <w:sz w:val="16"/>
          <w:szCs w:val="16"/>
        </w:rPr>
      </w:pPr>
      <w:r w:rsidRPr="00457B8D">
        <w:rPr>
          <w:rStyle w:val="Refdenotaalpie"/>
          <w:rFonts w:ascii="Verdana" w:hAnsi="Verdana"/>
          <w:sz w:val="16"/>
          <w:szCs w:val="16"/>
        </w:rPr>
        <w:footnoteRef/>
      </w:r>
      <w:r w:rsidRPr="00457B8D">
        <w:rPr>
          <w:rFonts w:ascii="Verdana" w:hAnsi="Verdana"/>
          <w:sz w:val="16"/>
          <w:szCs w:val="16"/>
        </w:rPr>
        <w:t xml:space="preserve"> SUÁREZ BELTRÁN, Gonzalo. Estudios de derecho contractual público. Colombia: Bogotá, 2014. p. 72.</w:t>
      </w:r>
    </w:p>
  </w:footnote>
  <w:footnote w:id="9">
    <w:p w14:paraId="5C7EAA3E" w14:textId="77777777" w:rsidR="003734F4" w:rsidRPr="002223F1" w:rsidRDefault="003734F4" w:rsidP="003734F4">
      <w:pPr>
        <w:pStyle w:val="Textonotapie"/>
        <w:ind w:firstLine="708"/>
        <w:jc w:val="both"/>
        <w:rPr>
          <w:rFonts w:ascii="Verdana" w:hAnsi="Verdana"/>
          <w:sz w:val="16"/>
          <w:szCs w:val="16"/>
          <w:lang w:val="es-CO"/>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i/>
          <w:iCs/>
          <w:sz w:val="16"/>
          <w:szCs w:val="16"/>
        </w:rPr>
        <w:t>Ibidem</w:t>
      </w:r>
      <w:r w:rsidRPr="00457B8D">
        <w:rPr>
          <w:rFonts w:ascii="Verdana" w:hAnsi="Verdana"/>
          <w:sz w:val="16"/>
          <w:szCs w:val="16"/>
        </w:rPr>
        <w:t>.</w:t>
      </w:r>
    </w:p>
  </w:footnote>
  <w:footnote w:id="10">
    <w:p w14:paraId="0255E88A" w14:textId="77777777" w:rsidR="003734F4" w:rsidRPr="00457B8D" w:rsidRDefault="003734F4" w:rsidP="003734F4">
      <w:pPr>
        <w:pStyle w:val="Textonotapie"/>
        <w:ind w:firstLine="708"/>
        <w:jc w:val="both"/>
        <w:rPr>
          <w:rFonts w:ascii="Verdana" w:hAnsi="Verdana" w:cs="Arial"/>
          <w:sz w:val="16"/>
          <w:szCs w:val="16"/>
        </w:rPr>
      </w:pPr>
      <w:r w:rsidRPr="00457B8D">
        <w:rPr>
          <w:rStyle w:val="Refdenotaalpie"/>
          <w:rFonts w:ascii="Verdana" w:hAnsi="Verdana"/>
          <w:sz w:val="16"/>
          <w:szCs w:val="16"/>
        </w:rPr>
        <w:footnoteRef/>
      </w:r>
      <w:r w:rsidRPr="00457B8D">
        <w:rPr>
          <w:rFonts w:ascii="Verdana" w:hAnsi="Verdana"/>
          <w:sz w:val="16"/>
          <w:szCs w:val="16"/>
        </w:rPr>
        <w:t xml:space="preserve"> </w:t>
      </w:r>
      <w:r w:rsidRPr="00457B8D">
        <w:rPr>
          <w:rFonts w:ascii="Verdana" w:hAnsi="Verdana" w:cs="Arial"/>
          <w:sz w:val="16"/>
          <w:szCs w:val="16"/>
        </w:rPr>
        <w:t xml:space="preserve">CONGRESO DE LA REPÚBLICA. Exposición de motivos de la Ley 1150 de 2007. Gaceta del Congreso No. 458 del 1º de agosto de 2005. p. 8. </w:t>
      </w:r>
    </w:p>
  </w:footnote>
  <w:footnote w:id="11">
    <w:p w14:paraId="34C6ABB5" w14:textId="77777777" w:rsidR="003734F4" w:rsidRPr="000361D8" w:rsidRDefault="003734F4" w:rsidP="003734F4">
      <w:pPr>
        <w:pStyle w:val="Textonotapie"/>
        <w:ind w:firstLine="708"/>
        <w:jc w:val="both"/>
        <w:rPr>
          <w:rFonts w:ascii="Verdana" w:hAnsi="Verdana"/>
          <w:sz w:val="16"/>
          <w:szCs w:val="16"/>
          <w:lang w:val="en-US"/>
        </w:rPr>
      </w:pPr>
      <w:r w:rsidRPr="00457B8D">
        <w:rPr>
          <w:rStyle w:val="Refdenotaalpie"/>
          <w:rFonts w:ascii="Verdana" w:hAnsi="Verdana"/>
          <w:sz w:val="16"/>
          <w:szCs w:val="16"/>
        </w:rPr>
        <w:footnoteRef/>
      </w:r>
      <w:r w:rsidRPr="00457B8D">
        <w:rPr>
          <w:rFonts w:ascii="Verdana" w:hAnsi="Verdana"/>
          <w:sz w:val="16"/>
          <w:szCs w:val="16"/>
        </w:rPr>
        <w:t xml:space="preserve"> DÁVILA VINUEZA, Luis Guillermo. Régimen jurídico de la contratación estatal. </w:t>
      </w:r>
      <w:r w:rsidRPr="000361D8">
        <w:rPr>
          <w:rFonts w:ascii="Verdana" w:hAnsi="Verdana" w:cs="Arial"/>
          <w:sz w:val="16"/>
          <w:szCs w:val="16"/>
          <w:lang w:val="en-US"/>
        </w:rPr>
        <w:t>Tercera Edición</w:t>
      </w:r>
      <w:r w:rsidRPr="000361D8">
        <w:rPr>
          <w:rFonts w:ascii="Verdana" w:hAnsi="Verdana"/>
          <w:sz w:val="16"/>
          <w:szCs w:val="16"/>
          <w:lang w:val="en-US"/>
        </w:rPr>
        <w:t>. Bogotá: Legis, 2016. pp. 466-467.</w:t>
      </w:r>
    </w:p>
  </w:footnote>
  <w:footnote w:id="12">
    <w:p w14:paraId="2A22BD4E" w14:textId="2749D673" w:rsidR="000039A2" w:rsidRPr="00E52E49" w:rsidRDefault="000039A2" w:rsidP="000039A2">
      <w:pPr>
        <w:pStyle w:val="Textonotapie"/>
        <w:ind w:firstLine="705"/>
        <w:rPr>
          <w:rFonts w:ascii="Verdana" w:hAnsi="Verdana"/>
        </w:rPr>
      </w:pPr>
      <w:r w:rsidRPr="00E52E49">
        <w:rPr>
          <w:rStyle w:val="Refdenotaalpie"/>
          <w:rFonts w:ascii="Verdana" w:hAnsi="Verdana"/>
        </w:rPr>
        <w:footnoteRef/>
      </w:r>
      <w:r w:rsidRPr="00E52E49">
        <w:rPr>
          <w:rFonts w:ascii="Verdana" w:hAnsi="Verdana"/>
        </w:rPr>
        <w:t xml:space="preserve"> </w:t>
      </w:r>
      <w:r w:rsidRPr="00E52E49">
        <w:rPr>
          <w:rStyle w:val="normaltextrun"/>
          <w:rFonts w:ascii="Verdana" w:hAnsi="Verdana" w:cs="Arial"/>
          <w:color w:val="000000"/>
          <w:sz w:val="18"/>
          <w:szCs w:val="18"/>
          <w:shd w:val="clear" w:color="auto" w:fill="FFFFFF"/>
        </w:rPr>
        <w:t xml:space="preserve">CONSEJO DE ESTADO. Sección Tercera. Subsección C. Sentencia del 17 de junio de 2024. Rad. 69575. C.P. </w:t>
      </w:r>
      <w:r w:rsidRPr="00E52E49">
        <w:rPr>
          <w:rFonts w:ascii="Verdana" w:hAnsi="Verdana" w:cs="Arial"/>
          <w:color w:val="000000"/>
          <w:sz w:val="18"/>
          <w:szCs w:val="18"/>
          <w:shd w:val="clear" w:color="auto" w:fill="FFFFFF"/>
          <w:lang w:val="es-CO"/>
        </w:rPr>
        <w:t>Martín Bermúdez Muñoz</w:t>
      </w:r>
      <w:r w:rsidRPr="00E52E49">
        <w:rPr>
          <w:rStyle w:val="normaltextrun"/>
          <w:rFonts w:ascii="Verdana" w:hAnsi="Verdana" w:cs="Arial"/>
          <w:color w:val="000000"/>
          <w:sz w:val="18"/>
          <w:szCs w:val="18"/>
          <w:shd w:val="clear" w:color="auto" w:fill="FFFFFF"/>
        </w:rPr>
        <w:t>. </w:t>
      </w:r>
      <w:r>
        <w:rPr>
          <w:rStyle w:val="normaltextrun"/>
          <w:rFonts w:ascii="Verdana" w:hAnsi="Verdana" w:cs="Arial"/>
          <w:color w:val="000000"/>
          <w:sz w:val="18"/>
          <w:szCs w:val="18"/>
          <w:shd w:val="clear" w:color="auto" w:fill="FFFFFF"/>
        </w:rPr>
        <w:t xml:space="preserve">Nota al pie No. 7. </w:t>
      </w:r>
      <w:r w:rsidRPr="00E52E49">
        <w:rPr>
          <w:rStyle w:val="eop"/>
          <w:rFonts w:ascii="Verdana" w:hAnsi="Verdana" w:cs="Arial"/>
          <w:color w:val="000000"/>
          <w:sz w:val="18"/>
          <w:szCs w:val="18"/>
          <w:shd w:val="clear" w:color="auto" w:fill="FFFFFF"/>
        </w:rPr>
        <w:t> </w:t>
      </w:r>
    </w:p>
  </w:footnote>
  <w:footnote w:id="13">
    <w:p w14:paraId="44B613BA" w14:textId="77777777" w:rsidR="003734F4" w:rsidRPr="00311A20" w:rsidRDefault="003734F4" w:rsidP="003734F4">
      <w:pPr>
        <w:pStyle w:val="Textonotapie"/>
        <w:ind w:firstLine="708"/>
        <w:jc w:val="both"/>
        <w:rPr>
          <w:rFonts w:ascii="Verdana" w:hAnsi="Verdana" w:cs="Arial"/>
          <w:color w:val="000000"/>
          <w:sz w:val="16"/>
          <w:szCs w:val="16"/>
          <w:lang w:val="en-US"/>
        </w:rPr>
      </w:pPr>
      <w:r w:rsidRPr="00311A20">
        <w:rPr>
          <w:rStyle w:val="Refdenotaalpie"/>
          <w:rFonts w:ascii="Verdana" w:hAnsi="Verdana" w:cs="Arial"/>
          <w:color w:val="000000"/>
          <w:sz w:val="16"/>
          <w:szCs w:val="16"/>
        </w:rPr>
        <w:footnoteRef/>
      </w:r>
      <w:r w:rsidRPr="00311A20">
        <w:rPr>
          <w:rFonts w:ascii="Verdana" w:hAnsi="Verdana" w:cs="Arial"/>
          <w:color w:val="000000"/>
          <w:sz w:val="16"/>
          <w:szCs w:val="16"/>
          <w:lang w:val="en-US"/>
        </w:rPr>
        <w:t xml:space="preserve"> EUROPEAN COMMISSION. Buying Green – A handbook on green procurement, 2016, disponible en: </w:t>
      </w:r>
      <w:hyperlink r:id="rId1" w:history="1">
        <w:r w:rsidRPr="00311A20">
          <w:rPr>
            <w:rStyle w:val="Hipervnculo"/>
            <w:rFonts w:ascii="Verdana" w:hAnsi="Verdana" w:cs="Arial"/>
            <w:sz w:val="16"/>
            <w:szCs w:val="16"/>
            <w:lang w:val="en-US"/>
          </w:rPr>
          <w:t>https://ec.europa.eu/environment/gpp/pdf/Buying-Green-Handbook-3rd-Edition.pdf</w:t>
        </w:r>
      </w:hyperlink>
      <w:r w:rsidRPr="00311A20">
        <w:rPr>
          <w:rFonts w:ascii="Verdana" w:hAnsi="Verdana" w:cs="Arial"/>
          <w:color w:val="000000"/>
          <w:sz w:val="16"/>
          <w:szCs w:val="16"/>
          <w:lang w:val="en-US"/>
        </w:rPr>
        <w:t>.</w:t>
      </w:r>
    </w:p>
  </w:footnote>
  <w:footnote w:id="14">
    <w:p w14:paraId="181F904D" w14:textId="77777777" w:rsidR="003734F4" w:rsidRPr="00311A20" w:rsidRDefault="003734F4" w:rsidP="003734F4">
      <w:pPr>
        <w:pStyle w:val="Textonotapie"/>
        <w:ind w:firstLine="708"/>
        <w:jc w:val="both"/>
        <w:rPr>
          <w:rFonts w:ascii="Verdana" w:hAnsi="Verdana" w:cs="Arial"/>
          <w:sz w:val="16"/>
          <w:szCs w:val="16"/>
        </w:rPr>
      </w:pPr>
      <w:r w:rsidRPr="00311A20">
        <w:rPr>
          <w:rStyle w:val="Refdenotaalpie"/>
          <w:rFonts w:ascii="Verdana" w:hAnsi="Verdana" w:cs="Arial"/>
          <w:sz w:val="16"/>
          <w:szCs w:val="16"/>
        </w:rPr>
        <w:footnoteRef/>
      </w:r>
      <w:r w:rsidRPr="00311A20">
        <w:rPr>
          <w:rFonts w:ascii="Verdana" w:hAnsi="Verdana" w:cs="Arial"/>
          <w:sz w:val="16"/>
          <w:szCs w:val="16"/>
        </w:rPr>
        <w:t xml:space="preserve"> Cfr. </w:t>
      </w:r>
      <w:hyperlink r:id="rId2" w:history="1">
        <w:r w:rsidRPr="00311A20">
          <w:rPr>
            <w:rStyle w:val="Hipervnculo"/>
            <w:rFonts w:ascii="Verdana" w:hAnsi="Verdana" w:cs="Arial"/>
            <w:sz w:val="16"/>
            <w:szCs w:val="16"/>
          </w:rPr>
          <w:t>https://colaboracion.dnp.gov.co/CDT/DNP/Soporte%20t%c3%a9cnico%20Ley%20del%20Vigilante.pdf</w:t>
        </w:r>
      </w:hyperlink>
      <w:r w:rsidRPr="00311A20">
        <w:rPr>
          <w:rFonts w:ascii="Verdana" w:hAnsi="Verdana" w:cs="Arial"/>
          <w:sz w:val="16"/>
          <w:szCs w:val="16"/>
        </w:rPr>
        <w:t xml:space="preserve">. Consultado el </w:t>
      </w:r>
      <w:r>
        <w:rPr>
          <w:rFonts w:ascii="Verdana" w:hAnsi="Verdana" w:cs="Arial"/>
          <w:sz w:val="16"/>
          <w:szCs w:val="16"/>
        </w:rPr>
        <w:t xml:space="preserve">5 de noviembre </w:t>
      </w:r>
      <w:r w:rsidRPr="00311A20">
        <w:rPr>
          <w:rFonts w:ascii="Verdana" w:hAnsi="Verdana" w:cs="Arial"/>
          <w:sz w:val="16"/>
          <w:szCs w:val="16"/>
        </w:rPr>
        <w:t>de 202</w:t>
      </w:r>
      <w:r>
        <w:rPr>
          <w:rFonts w:ascii="Verdana" w:hAnsi="Verdana" w:cs="Arial"/>
          <w:sz w:val="16"/>
          <w:szCs w:val="16"/>
        </w:rPr>
        <w:t>4</w:t>
      </w:r>
      <w:r w:rsidRPr="00311A20">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425A2"/>
    <w:multiLevelType w:val="hybridMultilevel"/>
    <w:tmpl w:val="58DEB14A"/>
    <w:lvl w:ilvl="0" w:tplc="E4762024">
      <w:start w:val="1"/>
      <w:numFmt w:val="upperRoman"/>
      <w:lvlText w:val="%1."/>
      <w:lvlJc w:val="left"/>
      <w:pPr>
        <w:ind w:left="1080" w:hanging="72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AE07B1E"/>
    <w:multiLevelType w:val="multilevel"/>
    <w:tmpl w:val="6F14CB5E"/>
    <w:lvl w:ilvl="0">
      <w:start w:val="1"/>
      <w:numFmt w:val="decimal"/>
      <w:lvlText w:val="%1."/>
      <w:lvlJc w:val="left"/>
      <w:pPr>
        <w:ind w:left="360" w:hanging="360"/>
      </w:pPr>
      <w:rPr>
        <w:rFonts w:hint="default"/>
        <w:b/>
        <w:bCs/>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4183383">
    <w:abstractNumId w:val="8"/>
  </w:num>
  <w:num w:numId="2" w16cid:durableId="1810829536">
    <w:abstractNumId w:val="2"/>
  </w:num>
  <w:num w:numId="3" w16cid:durableId="1661470304">
    <w:abstractNumId w:val="6"/>
  </w:num>
  <w:num w:numId="4" w16cid:durableId="1932471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727799">
    <w:abstractNumId w:val="2"/>
  </w:num>
  <w:num w:numId="6" w16cid:durableId="459690010">
    <w:abstractNumId w:val="16"/>
  </w:num>
  <w:num w:numId="7" w16cid:durableId="1319848734">
    <w:abstractNumId w:val="7"/>
  </w:num>
  <w:num w:numId="8" w16cid:durableId="1886485432">
    <w:abstractNumId w:val="15"/>
  </w:num>
  <w:num w:numId="9" w16cid:durableId="1421947296">
    <w:abstractNumId w:val="9"/>
  </w:num>
  <w:num w:numId="10" w16cid:durableId="931013696">
    <w:abstractNumId w:val="14"/>
  </w:num>
  <w:num w:numId="11" w16cid:durableId="607589881">
    <w:abstractNumId w:val="10"/>
  </w:num>
  <w:num w:numId="12" w16cid:durableId="1180849700">
    <w:abstractNumId w:val="1"/>
  </w:num>
  <w:num w:numId="13" w16cid:durableId="1787776765">
    <w:abstractNumId w:val="4"/>
  </w:num>
  <w:num w:numId="14" w16cid:durableId="1558782692">
    <w:abstractNumId w:val="17"/>
  </w:num>
  <w:num w:numId="15" w16cid:durableId="1202474700">
    <w:abstractNumId w:val="13"/>
  </w:num>
  <w:num w:numId="16" w16cid:durableId="15055902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800384">
    <w:abstractNumId w:val="3"/>
  </w:num>
  <w:num w:numId="18" w16cid:durableId="11419874">
    <w:abstractNumId w:val="12"/>
  </w:num>
  <w:num w:numId="19" w16cid:durableId="2132892151">
    <w:abstractNumId w:val="5"/>
  </w:num>
  <w:num w:numId="20" w16cid:durableId="679089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9A2"/>
    <w:rsid w:val="000062F3"/>
    <w:rsid w:val="0000797D"/>
    <w:rsid w:val="0001328B"/>
    <w:rsid w:val="000224F2"/>
    <w:rsid w:val="00023C3E"/>
    <w:rsid w:val="0005682C"/>
    <w:rsid w:val="00056D71"/>
    <w:rsid w:val="00061B2A"/>
    <w:rsid w:val="00062BAF"/>
    <w:rsid w:val="000630B9"/>
    <w:rsid w:val="0007022C"/>
    <w:rsid w:val="00077439"/>
    <w:rsid w:val="000774B8"/>
    <w:rsid w:val="00082362"/>
    <w:rsid w:val="0008328D"/>
    <w:rsid w:val="0009387A"/>
    <w:rsid w:val="0009387B"/>
    <w:rsid w:val="000963C6"/>
    <w:rsid w:val="000A31B9"/>
    <w:rsid w:val="000A3D63"/>
    <w:rsid w:val="000A683A"/>
    <w:rsid w:val="000A683E"/>
    <w:rsid w:val="000B19B9"/>
    <w:rsid w:val="000D0152"/>
    <w:rsid w:val="000D0334"/>
    <w:rsid w:val="000D3B29"/>
    <w:rsid w:val="000E06F4"/>
    <w:rsid w:val="000E4CE4"/>
    <w:rsid w:val="000F6486"/>
    <w:rsid w:val="000F669F"/>
    <w:rsid w:val="001063B3"/>
    <w:rsid w:val="001114A9"/>
    <w:rsid w:val="00111979"/>
    <w:rsid w:val="00116537"/>
    <w:rsid w:val="001240BD"/>
    <w:rsid w:val="00125105"/>
    <w:rsid w:val="00127233"/>
    <w:rsid w:val="00143E81"/>
    <w:rsid w:val="00143FD9"/>
    <w:rsid w:val="00145047"/>
    <w:rsid w:val="00146C57"/>
    <w:rsid w:val="0016332F"/>
    <w:rsid w:val="001717E9"/>
    <w:rsid w:val="00185EE9"/>
    <w:rsid w:val="00187F79"/>
    <w:rsid w:val="00197274"/>
    <w:rsid w:val="001A237A"/>
    <w:rsid w:val="001A26CF"/>
    <w:rsid w:val="001A2919"/>
    <w:rsid w:val="001C222E"/>
    <w:rsid w:val="001C22F9"/>
    <w:rsid w:val="001D1C29"/>
    <w:rsid w:val="001E4177"/>
    <w:rsid w:val="001F4EFD"/>
    <w:rsid w:val="001F5E13"/>
    <w:rsid w:val="001F6D11"/>
    <w:rsid w:val="001F7DC6"/>
    <w:rsid w:val="00202886"/>
    <w:rsid w:val="00215CEF"/>
    <w:rsid w:val="00217A08"/>
    <w:rsid w:val="00220B77"/>
    <w:rsid w:val="00237233"/>
    <w:rsid w:val="002421BB"/>
    <w:rsid w:val="00246A81"/>
    <w:rsid w:val="00251A5F"/>
    <w:rsid w:val="0025796E"/>
    <w:rsid w:val="002603E5"/>
    <w:rsid w:val="002638B2"/>
    <w:rsid w:val="002660F2"/>
    <w:rsid w:val="002664BB"/>
    <w:rsid w:val="002707A2"/>
    <w:rsid w:val="002835A6"/>
    <w:rsid w:val="002844ED"/>
    <w:rsid w:val="002951A0"/>
    <w:rsid w:val="002962BC"/>
    <w:rsid w:val="002A093D"/>
    <w:rsid w:val="002A0DD0"/>
    <w:rsid w:val="002A49AC"/>
    <w:rsid w:val="002A64FD"/>
    <w:rsid w:val="002A6BBF"/>
    <w:rsid w:val="002B1E57"/>
    <w:rsid w:val="002C110E"/>
    <w:rsid w:val="002C379A"/>
    <w:rsid w:val="002C765E"/>
    <w:rsid w:val="002C7A84"/>
    <w:rsid w:val="002D13A1"/>
    <w:rsid w:val="002D3F0D"/>
    <w:rsid w:val="002E1D98"/>
    <w:rsid w:val="002E2C3F"/>
    <w:rsid w:val="002E4FD9"/>
    <w:rsid w:val="002E6F15"/>
    <w:rsid w:val="002F13FD"/>
    <w:rsid w:val="003039C1"/>
    <w:rsid w:val="0031430F"/>
    <w:rsid w:val="00320BBD"/>
    <w:rsid w:val="00322A85"/>
    <w:rsid w:val="00324168"/>
    <w:rsid w:val="0033032A"/>
    <w:rsid w:val="00334C6A"/>
    <w:rsid w:val="00336C05"/>
    <w:rsid w:val="00342675"/>
    <w:rsid w:val="00343512"/>
    <w:rsid w:val="003448F4"/>
    <w:rsid w:val="00345330"/>
    <w:rsid w:val="003528DF"/>
    <w:rsid w:val="00352C12"/>
    <w:rsid w:val="00354BCA"/>
    <w:rsid w:val="0036594E"/>
    <w:rsid w:val="003665EE"/>
    <w:rsid w:val="0037010E"/>
    <w:rsid w:val="003734F4"/>
    <w:rsid w:val="00374F5E"/>
    <w:rsid w:val="00377E3E"/>
    <w:rsid w:val="003815E8"/>
    <w:rsid w:val="00392A49"/>
    <w:rsid w:val="003A26D1"/>
    <w:rsid w:val="003A3B30"/>
    <w:rsid w:val="003A779E"/>
    <w:rsid w:val="003B005A"/>
    <w:rsid w:val="003C3FA5"/>
    <w:rsid w:val="003D0F4D"/>
    <w:rsid w:val="003D5B0D"/>
    <w:rsid w:val="003E0499"/>
    <w:rsid w:val="003F3941"/>
    <w:rsid w:val="00400676"/>
    <w:rsid w:val="00406575"/>
    <w:rsid w:val="00410906"/>
    <w:rsid w:val="0041655A"/>
    <w:rsid w:val="0042722E"/>
    <w:rsid w:val="00427DA0"/>
    <w:rsid w:val="00440391"/>
    <w:rsid w:val="00442C7F"/>
    <w:rsid w:val="0044528D"/>
    <w:rsid w:val="00450920"/>
    <w:rsid w:val="004554F9"/>
    <w:rsid w:val="0046004D"/>
    <w:rsid w:val="004633DE"/>
    <w:rsid w:val="00465E71"/>
    <w:rsid w:val="004734BD"/>
    <w:rsid w:val="00482608"/>
    <w:rsid w:val="00483749"/>
    <w:rsid w:val="00484809"/>
    <w:rsid w:val="004A0980"/>
    <w:rsid w:val="004A1847"/>
    <w:rsid w:val="004A305D"/>
    <w:rsid w:val="004A3312"/>
    <w:rsid w:val="004B740F"/>
    <w:rsid w:val="004C4B37"/>
    <w:rsid w:val="004D026D"/>
    <w:rsid w:val="004E221E"/>
    <w:rsid w:val="004E2892"/>
    <w:rsid w:val="004E4C0B"/>
    <w:rsid w:val="004E505B"/>
    <w:rsid w:val="004F21C4"/>
    <w:rsid w:val="004F3012"/>
    <w:rsid w:val="004F5559"/>
    <w:rsid w:val="004F685F"/>
    <w:rsid w:val="004F7EC9"/>
    <w:rsid w:val="00514598"/>
    <w:rsid w:val="005163B5"/>
    <w:rsid w:val="0052543A"/>
    <w:rsid w:val="0052785C"/>
    <w:rsid w:val="00540C2D"/>
    <w:rsid w:val="00552502"/>
    <w:rsid w:val="005566E8"/>
    <w:rsid w:val="00560CB5"/>
    <w:rsid w:val="00574122"/>
    <w:rsid w:val="00574867"/>
    <w:rsid w:val="00577D09"/>
    <w:rsid w:val="00591460"/>
    <w:rsid w:val="00592628"/>
    <w:rsid w:val="00597C75"/>
    <w:rsid w:val="005A0868"/>
    <w:rsid w:val="005A0CFB"/>
    <w:rsid w:val="005A282F"/>
    <w:rsid w:val="005A2AC9"/>
    <w:rsid w:val="005B58C1"/>
    <w:rsid w:val="005B6033"/>
    <w:rsid w:val="005C3777"/>
    <w:rsid w:val="005C5CDC"/>
    <w:rsid w:val="005D2B2B"/>
    <w:rsid w:val="005D476C"/>
    <w:rsid w:val="005D7B25"/>
    <w:rsid w:val="005F7C43"/>
    <w:rsid w:val="00610812"/>
    <w:rsid w:val="00612CE7"/>
    <w:rsid w:val="006219F8"/>
    <w:rsid w:val="0063165E"/>
    <w:rsid w:val="00632C08"/>
    <w:rsid w:val="00650FF7"/>
    <w:rsid w:val="00665D70"/>
    <w:rsid w:val="00671DAC"/>
    <w:rsid w:val="006747C7"/>
    <w:rsid w:val="006827AC"/>
    <w:rsid w:val="006859A3"/>
    <w:rsid w:val="006900D9"/>
    <w:rsid w:val="006A0008"/>
    <w:rsid w:val="006A10DF"/>
    <w:rsid w:val="006A3147"/>
    <w:rsid w:val="006C5595"/>
    <w:rsid w:val="006D12F8"/>
    <w:rsid w:val="006F2501"/>
    <w:rsid w:val="00704D9B"/>
    <w:rsid w:val="00705E5F"/>
    <w:rsid w:val="00706C16"/>
    <w:rsid w:val="00711C85"/>
    <w:rsid w:val="0071458F"/>
    <w:rsid w:val="00723A7F"/>
    <w:rsid w:val="00737C53"/>
    <w:rsid w:val="00737DFA"/>
    <w:rsid w:val="00756841"/>
    <w:rsid w:val="00762AA9"/>
    <w:rsid w:val="007649AB"/>
    <w:rsid w:val="00771D0C"/>
    <w:rsid w:val="007833AC"/>
    <w:rsid w:val="00784D58"/>
    <w:rsid w:val="00786FBF"/>
    <w:rsid w:val="00790AB7"/>
    <w:rsid w:val="00791769"/>
    <w:rsid w:val="00796340"/>
    <w:rsid w:val="007A5189"/>
    <w:rsid w:val="007B268C"/>
    <w:rsid w:val="007B7171"/>
    <w:rsid w:val="007B7D02"/>
    <w:rsid w:val="007C0C0F"/>
    <w:rsid w:val="007C3DC2"/>
    <w:rsid w:val="007D0457"/>
    <w:rsid w:val="007D43C9"/>
    <w:rsid w:val="007E5497"/>
    <w:rsid w:val="007F28CA"/>
    <w:rsid w:val="007F52A4"/>
    <w:rsid w:val="007F60FB"/>
    <w:rsid w:val="007F7B94"/>
    <w:rsid w:val="00804981"/>
    <w:rsid w:val="00806F5F"/>
    <w:rsid w:val="008163D7"/>
    <w:rsid w:val="00820278"/>
    <w:rsid w:val="00834554"/>
    <w:rsid w:val="00834B31"/>
    <w:rsid w:val="00840ADC"/>
    <w:rsid w:val="008449B3"/>
    <w:rsid w:val="00846276"/>
    <w:rsid w:val="00850E23"/>
    <w:rsid w:val="00864209"/>
    <w:rsid w:val="0087325B"/>
    <w:rsid w:val="00881ABA"/>
    <w:rsid w:val="008843B6"/>
    <w:rsid w:val="00886C89"/>
    <w:rsid w:val="00891928"/>
    <w:rsid w:val="00894B8B"/>
    <w:rsid w:val="008A00A4"/>
    <w:rsid w:val="008A446D"/>
    <w:rsid w:val="008A7F08"/>
    <w:rsid w:val="008B2F0E"/>
    <w:rsid w:val="008D180B"/>
    <w:rsid w:val="008D7227"/>
    <w:rsid w:val="008E1F92"/>
    <w:rsid w:val="008E7333"/>
    <w:rsid w:val="008E7B09"/>
    <w:rsid w:val="008F0EA7"/>
    <w:rsid w:val="008F7BB9"/>
    <w:rsid w:val="00904692"/>
    <w:rsid w:val="00910097"/>
    <w:rsid w:val="0091561E"/>
    <w:rsid w:val="00923EEF"/>
    <w:rsid w:val="009411F5"/>
    <w:rsid w:val="009419F9"/>
    <w:rsid w:val="00953AA4"/>
    <w:rsid w:val="00955305"/>
    <w:rsid w:val="0095685E"/>
    <w:rsid w:val="009572D9"/>
    <w:rsid w:val="00961409"/>
    <w:rsid w:val="00961B09"/>
    <w:rsid w:val="00962300"/>
    <w:rsid w:val="00965334"/>
    <w:rsid w:val="0097093E"/>
    <w:rsid w:val="00976025"/>
    <w:rsid w:val="009800BE"/>
    <w:rsid w:val="00982E41"/>
    <w:rsid w:val="00984649"/>
    <w:rsid w:val="009858BE"/>
    <w:rsid w:val="009A0DFA"/>
    <w:rsid w:val="009A3C2C"/>
    <w:rsid w:val="009A4A40"/>
    <w:rsid w:val="009B2D26"/>
    <w:rsid w:val="009B780F"/>
    <w:rsid w:val="009C2DD0"/>
    <w:rsid w:val="009C3AC7"/>
    <w:rsid w:val="009C71FA"/>
    <w:rsid w:val="009C72E7"/>
    <w:rsid w:val="009D0555"/>
    <w:rsid w:val="009D3058"/>
    <w:rsid w:val="009D3A11"/>
    <w:rsid w:val="009D44C4"/>
    <w:rsid w:val="009D67FD"/>
    <w:rsid w:val="009E5A30"/>
    <w:rsid w:val="009E7C05"/>
    <w:rsid w:val="009F3831"/>
    <w:rsid w:val="009F3832"/>
    <w:rsid w:val="009F3A13"/>
    <w:rsid w:val="009F4AB2"/>
    <w:rsid w:val="009F73F7"/>
    <w:rsid w:val="00A03415"/>
    <w:rsid w:val="00A04A81"/>
    <w:rsid w:val="00A122D3"/>
    <w:rsid w:val="00A14D3D"/>
    <w:rsid w:val="00A17F13"/>
    <w:rsid w:val="00A20739"/>
    <w:rsid w:val="00A211D0"/>
    <w:rsid w:val="00A23361"/>
    <w:rsid w:val="00A24433"/>
    <w:rsid w:val="00A2443A"/>
    <w:rsid w:val="00A332DD"/>
    <w:rsid w:val="00A339A9"/>
    <w:rsid w:val="00A33C78"/>
    <w:rsid w:val="00A34B38"/>
    <w:rsid w:val="00A34D87"/>
    <w:rsid w:val="00A35538"/>
    <w:rsid w:val="00A37BC4"/>
    <w:rsid w:val="00A43292"/>
    <w:rsid w:val="00A445C0"/>
    <w:rsid w:val="00A56FCA"/>
    <w:rsid w:val="00A6004A"/>
    <w:rsid w:val="00A613C2"/>
    <w:rsid w:val="00A74DE6"/>
    <w:rsid w:val="00A8086A"/>
    <w:rsid w:val="00A80F32"/>
    <w:rsid w:val="00A87F7D"/>
    <w:rsid w:val="00A9244C"/>
    <w:rsid w:val="00AB0ADB"/>
    <w:rsid w:val="00AB3FD1"/>
    <w:rsid w:val="00AC0EAB"/>
    <w:rsid w:val="00AC4701"/>
    <w:rsid w:val="00AC49A2"/>
    <w:rsid w:val="00AD73E2"/>
    <w:rsid w:val="00AE2631"/>
    <w:rsid w:val="00AF1BEC"/>
    <w:rsid w:val="00B009B8"/>
    <w:rsid w:val="00B01B1A"/>
    <w:rsid w:val="00B35ADC"/>
    <w:rsid w:val="00B40FBC"/>
    <w:rsid w:val="00B47FD7"/>
    <w:rsid w:val="00B51F75"/>
    <w:rsid w:val="00B53E27"/>
    <w:rsid w:val="00B558AF"/>
    <w:rsid w:val="00B62D8B"/>
    <w:rsid w:val="00B72CD3"/>
    <w:rsid w:val="00B72FFF"/>
    <w:rsid w:val="00B76CEB"/>
    <w:rsid w:val="00B8257D"/>
    <w:rsid w:val="00B82B8B"/>
    <w:rsid w:val="00B91186"/>
    <w:rsid w:val="00B93423"/>
    <w:rsid w:val="00BC0036"/>
    <w:rsid w:val="00BC05A6"/>
    <w:rsid w:val="00BC3D36"/>
    <w:rsid w:val="00BD7F72"/>
    <w:rsid w:val="00BE03BC"/>
    <w:rsid w:val="00BE0A18"/>
    <w:rsid w:val="00BF1D4A"/>
    <w:rsid w:val="00BF230F"/>
    <w:rsid w:val="00C002E3"/>
    <w:rsid w:val="00C012CC"/>
    <w:rsid w:val="00C04FB3"/>
    <w:rsid w:val="00C16346"/>
    <w:rsid w:val="00C21B15"/>
    <w:rsid w:val="00C32523"/>
    <w:rsid w:val="00C330EB"/>
    <w:rsid w:val="00C371C9"/>
    <w:rsid w:val="00C40E9F"/>
    <w:rsid w:val="00C41481"/>
    <w:rsid w:val="00C42469"/>
    <w:rsid w:val="00C57281"/>
    <w:rsid w:val="00C67703"/>
    <w:rsid w:val="00C7173F"/>
    <w:rsid w:val="00C730B6"/>
    <w:rsid w:val="00C754BE"/>
    <w:rsid w:val="00C76466"/>
    <w:rsid w:val="00C76B1C"/>
    <w:rsid w:val="00C915DD"/>
    <w:rsid w:val="00CA6A9D"/>
    <w:rsid w:val="00CA7F6B"/>
    <w:rsid w:val="00CB6357"/>
    <w:rsid w:val="00CC0FA3"/>
    <w:rsid w:val="00CC1B26"/>
    <w:rsid w:val="00CC49F7"/>
    <w:rsid w:val="00CC54DB"/>
    <w:rsid w:val="00CD087D"/>
    <w:rsid w:val="00CD41CB"/>
    <w:rsid w:val="00CE5414"/>
    <w:rsid w:val="00D036D8"/>
    <w:rsid w:val="00D038ED"/>
    <w:rsid w:val="00D06D26"/>
    <w:rsid w:val="00D10B75"/>
    <w:rsid w:val="00D13351"/>
    <w:rsid w:val="00D20368"/>
    <w:rsid w:val="00D22361"/>
    <w:rsid w:val="00D22598"/>
    <w:rsid w:val="00D26924"/>
    <w:rsid w:val="00D413F6"/>
    <w:rsid w:val="00D4231B"/>
    <w:rsid w:val="00D423A2"/>
    <w:rsid w:val="00D520D8"/>
    <w:rsid w:val="00D52961"/>
    <w:rsid w:val="00D55048"/>
    <w:rsid w:val="00D57FA4"/>
    <w:rsid w:val="00D62DE7"/>
    <w:rsid w:val="00D63AC2"/>
    <w:rsid w:val="00D7383B"/>
    <w:rsid w:val="00D7609E"/>
    <w:rsid w:val="00D81A63"/>
    <w:rsid w:val="00D81D25"/>
    <w:rsid w:val="00D94C40"/>
    <w:rsid w:val="00DA231B"/>
    <w:rsid w:val="00DA23A0"/>
    <w:rsid w:val="00DA7F66"/>
    <w:rsid w:val="00DB186F"/>
    <w:rsid w:val="00DC39FC"/>
    <w:rsid w:val="00DC4385"/>
    <w:rsid w:val="00DC484F"/>
    <w:rsid w:val="00DC4C27"/>
    <w:rsid w:val="00DC51BC"/>
    <w:rsid w:val="00DF5254"/>
    <w:rsid w:val="00E16408"/>
    <w:rsid w:val="00E20894"/>
    <w:rsid w:val="00E245AB"/>
    <w:rsid w:val="00E26239"/>
    <w:rsid w:val="00E2764C"/>
    <w:rsid w:val="00E27F2E"/>
    <w:rsid w:val="00E413EA"/>
    <w:rsid w:val="00E47F28"/>
    <w:rsid w:val="00E50AFE"/>
    <w:rsid w:val="00E52E49"/>
    <w:rsid w:val="00E577AC"/>
    <w:rsid w:val="00E578B6"/>
    <w:rsid w:val="00E61702"/>
    <w:rsid w:val="00E75B66"/>
    <w:rsid w:val="00E75C92"/>
    <w:rsid w:val="00E761BC"/>
    <w:rsid w:val="00E76808"/>
    <w:rsid w:val="00E770CD"/>
    <w:rsid w:val="00E771DC"/>
    <w:rsid w:val="00E77478"/>
    <w:rsid w:val="00E77E1B"/>
    <w:rsid w:val="00E8013F"/>
    <w:rsid w:val="00E847D2"/>
    <w:rsid w:val="00E85AA8"/>
    <w:rsid w:val="00E870E5"/>
    <w:rsid w:val="00E8772A"/>
    <w:rsid w:val="00E90F6B"/>
    <w:rsid w:val="00E91079"/>
    <w:rsid w:val="00E92C27"/>
    <w:rsid w:val="00EA0E3D"/>
    <w:rsid w:val="00EA1CD8"/>
    <w:rsid w:val="00EA393B"/>
    <w:rsid w:val="00EA39A5"/>
    <w:rsid w:val="00EB2C4B"/>
    <w:rsid w:val="00EB7E00"/>
    <w:rsid w:val="00EC1A2C"/>
    <w:rsid w:val="00EC1FE1"/>
    <w:rsid w:val="00EC38A7"/>
    <w:rsid w:val="00ED042A"/>
    <w:rsid w:val="00ED0D4A"/>
    <w:rsid w:val="00EE1AA8"/>
    <w:rsid w:val="00EF26C3"/>
    <w:rsid w:val="00EF489F"/>
    <w:rsid w:val="00F11213"/>
    <w:rsid w:val="00F11BAA"/>
    <w:rsid w:val="00F238F2"/>
    <w:rsid w:val="00F260AA"/>
    <w:rsid w:val="00F27B26"/>
    <w:rsid w:val="00F31EDC"/>
    <w:rsid w:val="00F34D02"/>
    <w:rsid w:val="00F34E84"/>
    <w:rsid w:val="00F40BAD"/>
    <w:rsid w:val="00F462B3"/>
    <w:rsid w:val="00F5184B"/>
    <w:rsid w:val="00F55081"/>
    <w:rsid w:val="00F55168"/>
    <w:rsid w:val="00F5664F"/>
    <w:rsid w:val="00F626C4"/>
    <w:rsid w:val="00F64D9E"/>
    <w:rsid w:val="00F666C4"/>
    <w:rsid w:val="00F7684C"/>
    <w:rsid w:val="00F76AFC"/>
    <w:rsid w:val="00F80CBE"/>
    <w:rsid w:val="00F939CB"/>
    <w:rsid w:val="00F9479C"/>
    <w:rsid w:val="00F965EE"/>
    <w:rsid w:val="00F97949"/>
    <w:rsid w:val="00FA358D"/>
    <w:rsid w:val="00FA47C0"/>
    <w:rsid w:val="00FB4425"/>
    <w:rsid w:val="00FB5DD1"/>
    <w:rsid w:val="00FC07B5"/>
    <w:rsid w:val="00FC2B5D"/>
    <w:rsid w:val="00FD00E9"/>
    <w:rsid w:val="00FE122A"/>
    <w:rsid w:val="00FE20E6"/>
    <w:rsid w:val="00FF1187"/>
    <w:rsid w:val="00FF1449"/>
    <w:rsid w:val="00FF74EA"/>
    <w:rsid w:val="0FB71FC4"/>
    <w:rsid w:val="2832C13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0832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8328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08328D"/>
    <w:rPr>
      <w:rFonts w:ascii="Geomanist Light" w:hAnsi="Geomanist Light"/>
      <w:lang w:val="es-ES"/>
    </w:rPr>
  </w:style>
  <w:style w:type="character" w:styleId="Textoennegrita">
    <w:name w:val="Strong"/>
    <w:basedOn w:val="Fuentedeprrafopredeter"/>
    <w:uiPriority w:val="22"/>
    <w:qFormat/>
    <w:rsid w:val="0008328D"/>
    <w:rPr>
      <w:b/>
      <w:bCs/>
    </w:rPr>
  </w:style>
  <w:style w:type="paragraph" w:customStyle="1" w:styleId="fn1">
    <w:name w:val="fn1"/>
    <w:basedOn w:val="Normal"/>
    <w:next w:val="Textonotapie"/>
    <w:uiPriority w:val="99"/>
    <w:unhideWhenUsed/>
    <w:qFormat/>
    <w:rsid w:val="004F3012"/>
    <w:pPr>
      <w:spacing w:after="0" w:line="240" w:lineRule="auto"/>
    </w:pPr>
    <w:rPr>
      <w:sz w:val="20"/>
      <w:szCs w:val="20"/>
      <w:lang w:val="es-MX"/>
    </w:rPr>
  </w:style>
  <w:style w:type="paragraph" w:styleId="Textoindependiente">
    <w:name w:val="Body Text"/>
    <w:basedOn w:val="Normal"/>
    <w:link w:val="TextoindependienteCar"/>
    <w:uiPriority w:val="1"/>
    <w:qFormat/>
    <w:rsid w:val="00FF74EA"/>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F74EA"/>
    <w:rPr>
      <w:rFonts w:ascii="Arial" w:eastAsia="Arial" w:hAnsi="Arial" w:cs="Arial"/>
      <w:lang w:val="es-ES"/>
    </w:rPr>
  </w:style>
  <w:style w:type="character" w:customStyle="1" w:styleId="NormalWebCar">
    <w:name w:val="Normal (Web) Car"/>
    <w:link w:val="NormalWeb"/>
    <w:uiPriority w:val="99"/>
    <w:locked/>
    <w:rsid w:val="00FF74EA"/>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A24433"/>
    <w:rPr>
      <w:i/>
      <w:iCs/>
    </w:rPr>
  </w:style>
  <w:style w:type="character" w:styleId="Refdecomentario">
    <w:name w:val="annotation reference"/>
    <w:basedOn w:val="Fuentedeprrafopredeter"/>
    <w:uiPriority w:val="99"/>
    <w:semiHidden/>
    <w:unhideWhenUsed/>
    <w:rsid w:val="0052785C"/>
    <w:rPr>
      <w:sz w:val="16"/>
      <w:szCs w:val="16"/>
    </w:rPr>
  </w:style>
  <w:style w:type="paragraph" w:styleId="Textocomentario">
    <w:name w:val="annotation text"/>
    <w:basedOn w:val="Normal"/>
    <w:link w:val="TextocomentarioCar"/>
    <w:uiPriority w:val="99"/>
    <w:unhideWhenUsed/>
    <w:rsid w:val="0052785C"/>
    <w:pPr>
      <w:spacing w:line="240" w:lineRule="auto"/>
    </w:pPr>
    <w:rPr>
      <w:sz w:val="20"/>
      <w:szCs w:val="20"/>
    </w:rPr>
  </w:style>
  <w:style w:type="character" w:customStyle="1" w:styleId="TextocomentarioCar">
    <w:name w:val="Texto comentario Car"/>
    <w:basedOn w:val="Fuentedeprrafopredeter"/>
    <w:link w:val="Textocomentario"/>
    <w:uiPriority w:val="99"/>
    <w:rsid w:val="0052785C"/>
    <w:rPr>
      <w:sz w:val="20"/>
      <w:szCs w:val="20"/>
    </w:rPr>
  </w:style>
  <w:style w:type="paragraph" w:styleId="Asuntodelcomentario">
    <w:name w:val="annotation subject"/>
    <w:basedOn w:val="Textocomentario"/>
    <w:next w:val="Textocomentario"/>
    <w:link w:val="AsuntodelcomentarioCar"/>
    <w:uiPriority w:val="99"/>
    <w:semiHidden/>
    <w:unhideWhenUsed/>
    <w:rsid w:val="0052785C"/>
    <w:rPr>
      <w:b/>
      <w:bCs/>
    </w:rPr>
  </w:style>
  <w:style w:type="character" w:customStyle="1" w:styleId="AsuntodelcomentarioCar">
    <w:name w:val="Asunto del comentario Car"/>
    <w:basedOn w:val="TextocomentarioCar"/>
    <w:link w:val="Asuntodelcomentario"/>
    <w:uiPriority w:val="99"/>
    <w:semiHidden/>
    <w:rsid w:val="00527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02475250">
      <w:bodyDiv w:val="1"/>
      <w:marLeft w:val="0"/>
      <w:marRight w:val="0"/>
      <w:marTop w:val="0"/>
      <w:marBottom w:val="0"/>
      <w:divBdr>
        <w:top w:val="none" w:sz="0" w:space="0" w:color="auto"/>
        <w:left w:val="none" w:sz="0" w:space="0" w:color="auto"/>
        <w:bottom w:val="none" w:sz="0" w:space="0" w:color="auto"/>
        <w:right w:val="none" w:sz="0" w:space="0" w:color="auto"/>
      </w:divBdr>
    </w:div>
    <w:div w:id="513416965">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8189111">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3744084">
      <w:bodyDiv w:val="1"/>
      <w:marLeft w:val="0"/>
      <w:marRight w:val="0"/>
      <w:marTop w:val="0"/>
      <w:marBottom w:val="0"/>
      <w:divBdr>
        <w:top w:val="none" w:sz="0" w:space="0" w:color="auto"/>
        <w:left w:val="none" w:sz="0" w:space="0" w:color="auto"/>
        <w:bottom w:val="none" w:sz="0" w:space="0" w:color="auto"/>
        <w:right w:val="none" w:sz="0" w:space="0" w:color="auto"/>
      </w:divBdr>
      <w:divsChild>
        <w:div w:id="1665283950">
          <w:marLeft w:val="0"/>
          <w:marRight w:val="0"/>
          <w:marTop w:val="0"/>
          <w:marBottom w:val="160"/>
          <w:divBdr>
            <w:top w:val="none" w:sz="0" w:space="0" w:color="auto"/>
            <w:left w:val="none" w:sz="0" w:space="0" w:color="auto"/>
            <w:bottom w:val="none" w:sz="0" w:space="0" w:color="auto"/>
            <w:right w:val="none" w:sz="0" w:space="0" w:color="auto"/>
          </w:divBdr>
        </w:div>
        <w:div w:id="133375842">
          <w:marLeft w:val="0"/>
          <w:marRight w:val="0"/>
          <w:marTop w:val="0"/>
          <w:marBottom w:val="160"/>
          <w:divBdr>
            <w:top w:val="none" w:sz="0" w:space="0" w:color="auto"/>
            <w:left w:val="none" w:sz="0" w:space="0" w:color="auto"/>
            <w:bottom w:val="none" w:sz="0" w:space="0" w:color="auto"/>
            <w:right w:val="none" w:sz="0" w:space="0" w:color="auto"/>
          </w:divBdr>
        </w:div>
        <w:div w:id="1806265997">
          <w:marLeft w:val="0"/>
          <w:marRight w:val="0"/>
          <w:marTop w:val="0"/>
          <w:marBottom w:val="160"/>
          <w:divBdr>
            <w:top w:val="none" w:sz="0" w:space="0" w:color="auto"/>
            <w:left w:val="none" w:sz="0" w:space="0" w:color="auto"/>
            <w:bottom w:val="none" w:sz="0" w:space="0" w:color="auto"/>
            <w:right w:val="none" w:sz="0" w:space="0" w:color="auto"/>
          </w:divBdr>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7840713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71678187">
      <w:bodyDiv w:val="1"/>
      <w:marLeft w:val="0"/>
      <w:marRight w:val="0"/>
      <w:marTop w:val="0"/>
      <w:marBottom w:val="0"/>
      <w:divBdr>
        <w:top w:val="none" w:sz="0" w:space="0" w:color="auto"/>
        <w:left w:val="none" w:sz="0" w:space="0" w:color="auto"/>
        <w:bottom w:val="none" w:sz="0" w:space="0" w:color="auto"/>
        <w:right w:val="none" w:sz="0" w:space="0" w:color="auto"/>
      </w:divBdr>
      <w:divsChild>
        <w:div w:id="331952033">
          <w:marLeft w:val="0"/>
          <w:marRight w:val="0"/>
          <w:marTop w:val="0"/>
          <w:marBottom w:val="0"/>
          <w:divBdr>
            <w:top w:val="none" w:sz="0" w:space="0" w:color="auto"/>
            <w:left w:val="none" w:sz="0" w:space="0" w:color="auto"/>
            <w:bottom w:val="none" w:sz="0" w:space="0" w:color="auto"/>
            <w:right w:val="none" w:sz="0" w:space="0" w:color="auto"/>
          </w:divBdr>
        </w:div>
        <w:div w:id="1549146269">
          <w:marLeft w:val="0"/>
          <w:marRight w:val="0"/>
          <w:marTop w:val="0"/>
          <w:marBottom w:val="0"/>
          <w:divBdr>
            <w:top w:val="none" w:sz="0" w:space="0" w:color="auto"/>
            <w:left w:val="none" w:sz="0" w:space="0" w:color="auto"/>
            <w:bottom w:val="none" w:sz="0" w:space="0" w:color="auto"/>
            <w:right w:val="none" w:sz="0" w:space="0" w:color="auto"/>
          </w:divBdr>
        </w:div>
      </w:divsChild>
    </w:div>
    <w:div w:id="1661929042">
      <w:bodyDiv w:val="1"/>
      <w:marLeft w:val="0"/>
      <w:marRight w:val="0"/>
      <w:marTop w:val="0"/>
      <w:marBottom w:val="0"/>
      <w:divBdr>
        <w:top w:val="none" w:sz="0" w:space="0" w:color="auto"/>
        <w:left w:val="none" w:sz="0" w:space="0" w:color="auto"/>
        <w:bottom w:val="none" w:sz="0" w:space="0" w:color="auto"/>
        <w:right w:val="none" w:sz="0" w:space="0" w:color="auto"/>
      </w:divBdr>
      <w:divsChild>
        <w:div w:id="1221401708">
          <w:marLeft w:val="0"/>
          <w:marRight w:val="0"/>
          <w:marTop w:val="0"/>
          <w:marBottom w:val="160"/>
          <w:divBdr>
            <w:top w:val="none" w:sz="0" w:space="0" w:color="auto"/>
            <w:left w:val="none" w:sz="0" w:space="0" w:color="auto"/>
            <w:bottom w:val="none" w:sz="0" w:space="0" w:color="auto"/>
            <w:right w:val="none" w:sz="0" w:space="0" w:color="auto"/>
          </w:divBdr>
        </w:div>
        <w:div w:id="1959291753">
          <w:marLeft w:val="0"/>
          <w:marRight w:val="0"/>
          <w:marTop w:val="0"/>
          <w:marBottom w:val="160"/>
          <w:divBdr>
            <w:top w:val="none" w:sz="0" w:space="0" w:color="auto"/>
            <w:left w:val="none" w:sz="0" w:space="0" w:color="auto"/>
            <w:bottom w:val="none" w:sz="0" w:space="0" w:color="auto"/>
            <w:right w:val="none" w:sz="0" w:space="0" w:color="auto"/>
          </w:divBdr>
        </w:div>
        <w:div w:id="1179394306">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sgamba14@gmail.com" TargetMode="External"/><Relationship Id="rId17" Type="http://schemas.openxmlformats.org/officeDocument/2006/relationships/hyperlink" Target="https://nam02.safelinks.protection.outlook.com/?url=https%3A%2F%2Fwww.colombiacompra.gov.co%2Fsala-de-prensa%2Fboletin-digital&amp;data=05%7C02%7Cgustavo.hinestroza%40colombiacompra.gov.co%7C096eca3fdcca424ff1c708dcf932f947%7C7b09041e245149d08cb179d5e3d8c1be%7C0%7C0%7C638659244559061680%7CUnknown%7CTWFpbGZsb3d8eyJWIjoiMC4wLjAwMDAiLCJQIjoiV2luMzIiLCJBTiI6Ik1haWwiLCJXVCI6Mn0%3D%7C0%7C%7C%7C&amp;sdata=IgofxPX4D86fse%2BbBCSEfgmya3pjzqVsheEOAfgOWuk%3D&amp;reserved=0" TargetMode="External"/><Relationship Id="rId2" Type="http://schemas.openxmlformats.org/officeDocument/2006/relationships/customXml" Target="../customXml/item2.xml"/><Relationship Id="rId16" Type="http://schemas.openxmlformats.org/officeDocument/2006/relationships/hyperlink" Target="https://www.sucop.gov.co/entidades/colombiacompra/Normativa?IDNorma=183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borrador-de-documentos-tipo-de-interventoria-de-obra-publica-de-infraestructura-de&amp;data=05%7C02%7Cgustavo.hinestroza%40colombiacompra.gov.co%7C096eca3fdcca424ff1c708dcf932f947%7C7b09041e245149d08cb179d5e3d8c1be%7C0%7C0%7C638659244559009305%7CUnknown%7CTWFpbGZsb3d8eyJWIjoiMC4wLjAwMDAiLCJQIjoiV2luMzIiLCJBTiI6Ik1haWwiLCJXVCI6Mn0%3D%7C0%7C%7C%7C&amp;sdata=tGFfBDNA2UfgZjTR6YetCGGZnlJ3HZEAOL1Y%2FgjLdQA%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content%2Fborrador-de-documentos-tipo-de-consultoria-de-obra-publica-de-infraestructura-de-transporte&amp;data=05%7C02%7Cgustavo.hinestroza%40colombiacompra.gov.co%7C096eca3fdcca424ff1c708dcf932f947%7C7b09041e245149d08cb179d5e3d8c1be%7C0%7C0%7C638659244558969426%7CUnknown%7CTWFpbGZsb3d8eyJWIjoiMC4wLjAwMDAiLCJQIjoiV2luMzIiLCJBTiI6Ik1haWwiLCJXVCI6Mn0%3D%7C0%7C%7C%7C&amp;sdata=euNN%2Bobln1e4Sfw7QkQf2cxPj3R%2FsCFmoL55MX5p9SA%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4B5A6-9DA6-4F40-BF97-E6920E48A382}">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elements/1.1/"/>
    <ds:schemaRef ds:uri="9d85dbaf-23eb-4e57-a637-93dcacc8b1a1"/>
    <ds:schemaRef ds:uri="a6cb9e4b-f1d1-4245-83ec-6cad768d538a"/>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13505DD-BD8A-4C72-9BF3-E233AAE1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5538</Words>
  <Characters>30459</Characters>
  <Application>Microsoft Office Word</Application>
  <DocSecurity>0</DocSecurity>
  <Lines>253</Lines>
  <Paragraphs>71</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Alejandro Sarmiento</cp:lastModifiedBy>
  <cp:revision>2</cp:revision>
  <cp:lastPrinted>2023-01-10T21:18:00Z</cp:lastPrinted>
  <dcterms:created xsi:type="dcterms:W3CDTF">2024-11-15T14:58:00Z</dcterms:created>
  <dcterms:modified xsi:type="dcterms:W3CDTF">2024-11-15T14:58:00Z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