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5498" w14:textId="77777777" w:rsidR="006F4AF3" w:rsidRPr="00CF2301" w:rsidRDefault="006F4AF3" w:rsidP="006F4AF3">
      <w:pPr>
        <w:spacing w:after="0" w:line="240" w:lineRule="auto"/>
        <w:jc w:val="both"/>
        <w:rPr>
          <w:rFonts w:ascii="Verdana" w:eastAsia="Calibri" w:hAnsi="Verdana" w:cs="Arial"/>
          <w:b/>
          <w:color w:val="000000" w:themeColor="text1"/>
          <w:lang w:val="es-ES"/>
        </w:rPr>
      </w:pPr>
      <w:bookmarkStart w:id="0" w:name="_Hlk143780582"/>
      <w:r w:rsidRPr="00CF2301">
        <w:rPr>
          <w:rFonts w:ascii="Verdana" w:eastAsia="Calibri" w:hAnsi="Verdana" w:cs="Arial"/>
          <w:b/>
          <w:color w:val="000000" w:themeColor="text1"/>
          <w:lang w:val="es-ES"/>
        </w:rPr>
        <w:t xml:space="preserve">ASOCIACIONES PÚBLICO POPULARES – Tipología contractual – Objeto </w:t>
      </w:r>
    </w:p>
    <w:p w14:paraId="46FB0CB5" w14:textId="77777777" w:rsidR="006F4AF3" w:rsidRPr="001451C0" w:rsidRDefault="006F4AF3" w:rsidP="006F4AF3">
      <w:pPr>
        <w:spacing w:after="0" w:line="240" w:lineRule="auto"/>
        <w:jc w:val="both"/>
        <w:rPr>
          <w:rFonts w:ascii="Verdana" w:eastAsia="Calibri" w:hAnsi="Verdana" w:cs="Arial"/>
          <w:bCs/>
          <w:color w:val="000000" w:themeColor="text1"/>
          <w:sz w:val="20"/>
          <w:szCs w:val="20"/>
        </w:rPr>
      </w:pPr>
    </w:p>
    <w:p w14:paraId="28234C27" w14:textId="77777777" w:rsidR="006F4AF3" w:rsidRPr="001451C0" w:rsidRDefault="006F4AF3" w:rsidP="006F4AF3">
      <w:pPr>
        <w:spacing w:after="0" w:line="240" w:lineRule="auto"/>
        <w:jc w:val="both"/>
        <w:rPr>
          <w:rFonts w:ascii="Verdana" w:eastAsia="Calibri" w:hAnsi="Verdana" w:cs="Arial"/>
          <w:bCs/>
          <w:color w:val="000000" w:themeColor="text1"/>
          <w:sz w:val="20"/>
          <w:szCs w:val="20"/>
        </w:rPr>
      </w:pPr>
      <w:r w:rsidRPr="001451C0">
        <w:rPr>
          <w:rFonts w:ascii="Verdana" w:eastAsia="Calibri" w:hAnsi="Verdana" w:cs="Arial"/>
          <w:bCs/>
          <w:color w:val="000000" w:themeColor="text1"/>
          <w:sz w:val="20"/>
          <w:szCs w:val="20"/>
        </w:rPr>
        <w:t xml:space="preserve">Como causal de contratación directa, no se incluyó a través de la modificación expresa del artículo 2, numeral 4 de la Ley 1150 de 2007. Con esto el Congreso de la República dota a las Asociaciones Público-Populares de una sustantividad propia como tipología contractual, aspecto que es congruente con el fortalecimiento de la </w:t>
      </w:r>
      <w:r w:rsidRPr="001451C0">
        <w:rPr>
          <w:rFonts w:ascii="Verdana" w:eastAsia="Calibri" w:hAnsi="Verdana" w:cs="Arial"/>
          <w:bCs/>
          <w:i/>
          <w:iCs/>
          <w:color w:val="000000" w:themeColor="text1"/>
          <w:sz w:val="20"/>
          <w:szCs w:val="20"/>
        </w:rPr>
        <w:t>Economía Popular y Comunitaria</w:t>
      </w:r>
      <w:r w:rsidRPr="001451C0">
        <w:rPr>
          <w:rFonts w:ascii="Verdana" w:eastAsia="Calibri" w:hAnsi="Verdana" w:cs="Arial"/>
          <w:bCs/>
          <w:color w:val="000000" w:themeColor="text1"/>
          <w:sz w:val="20"/>
          <w:szCs w:val="20"/>
        </w:rPr>
        <w:t xml:space="preserve"> como eje de las Bases del Plan Nacional de Desarrollo. Así, dichas asociaciones complementan el listado del artículo 32 de la Ley 80 de 1993.</w:t>
      </w:r>
    </w:p>
    <w:p w14:paraId="6D2D4A2F" w14:textId="77777777" w:rsidR="006F4AF3" w:rsidRPr="001451C0" w:rsidRDefault="006F4AF3" w:rsidP="006F4AF3">
      <w:pPr>
        <w:spacing w:after="0" w:line="240" w:lineRule="auto"/>
        <w:jc w:val="both"/>
        <w:rPr>
          <w:rFonts w:ascii="Verdana" w:eastAsia="Calibri" w:hAnsi="Verdana" w:cs="Arial"/>
          <w:bCs/>
          <w:color w:val="000000" w:themeColor="text1"/>
          <w:sz w:val="20"/>
          <w:szCs w:val="20"/>
          <w:lang w:eastAsia="es-ES_tradnl"/>
        </w:rPr>
      </w:pPr>
    </w:p>
    <w:p w14:paraId="7D83DAFE" w14:textId="77777777" w:rsidR="006F4AF3" w:rsidRPr="001451C0" w:rsidRDefault="006F4AF3" w:rsidP="006F4AF3">
      <w:pPr>
        <w:spacing w:after="0" w:line="240" w:lineRule="auto"/>
        <w:jc w:val="both"/>
        <w:rPr>
          <w:rFonts w:ascii="Verdana" w:eastAsia="Calibri" w:hAnsi="Verdana" w:cs="Arial"/>
          <w:bCs/>
          <w:color w:val="000000" w:themeColor="text1"/>
          <w:sz w:val="20"/>
          <w:szCs w:val="20"/>
        </w:rPr>
      </w:pPr>
      <w:r w:rsidRPr="001451C0">
        <w:rPr>
          <w:rFonts w:ascii="Verdana" w:eastAsia="Calibri" w:hAnsi="Verdana" w:cs="Arial"/>
          <w:i/>
          <w:iCs/>
          <w:color w:val="000000" w:themeColor="text1"/>
          <w:sz w:val="20"/>
          <w:szCs w:val="20"/>
          <w:lang w:val="es-ES_tradnl"/>
        </w:rPr>
        <w:t>Respecto al objeto</w:t>
      </w:r>
      <w:r w:rsidRPr="001451C0">
        <w:rPr>
          <w:rFonts w:ascii="Verdana" w:eastAsia="Calibri" w:hAnsi="Verdana" w:cs="Arial"/>
          <w:color w:val="000000" w:themeColor="text1"/>
          <w:sz w:val="20"/>
          <w:szCs w:val="20"/>
          <w:lang w:val="es-ES_tradnl"/>
        </w:rPr>
        <w:t xml:space="preserve">, las </w:t>
      </w:r>
      <w:r w:rsidRPr="001451C0">
        <w:rPr>
          <w:rFonts w:ascii="Verdana" w:eastAsia="Calibri" w:hAnsi="Verdana" w:cs="Arial"/>
          <w:bCs/>
          <w:color w:val="000000" w:themeColor="text1"/>
          <w:sz w:val="20"/>
          <w:szCs w:val="20"/>
        </w:rPr>
        <w:t xml:space="preserve">Asociaciones Público Populares se caracterizan por su contenido, el cual debe estar relacionado con alguno de los siguientes aspectos: i) infraestructura social, vivienda rural, vías terciarias y caminos vecinales; ii) cultura; iii) infraestructura productiva local; iv) proyectos de eficiencia energética; v) producción de alimentos; vi) gestión comunitaria del agua; </w:t>
      </w:r>
      <w:proofErr w:type="spellStart"/>
      <w:r w:rsidRPr="001451C0">
        <w:rPr>
          <w:rFonts w:ascii="Verdana" w:eastAsia="Calibri" w:hAnsi="Verdana" w:cs="Arial"/>
          <w:bCs/>
          <w:color w:val="000000" w:themeColor="text1"/>
          <w:sz w:val="20"/>
          <w:szCs w:val="20"/>
        </w:rPr>
        <w:t>vii</w:t>
      </w:r>
      <w:proofErr w:type="spellEnd"/>
      <w:r w:rsidRPr="001451C0">
        <w:rPr>
          <w:rFonts w:ascii="Verdana" w:eastAsia="Calibri" w:hAnsi="Verdana" w:cs="Arial"/>
          <w:bCs/>
          <w:color w:val="000000" w:themeColor="text1"/>
          <w:sz w:val="20"/>
          <w:szCs w:val="20"/>
        </w:rPr>
        <w:t xml:space="preserve">) saneamiento básico; </w:t>
      </w:r>
      <w:proofErr w:type="spellStart"/>
      <w:r w:rsidRPr="001451C0">
        <w:rPr>
          <w:rFonts w:ascii="Verdana" w:eastAsia="Calibri" w:hAnsi="Verdana" w:cs="Arial"/>
          <w:bCs/>
          <w:color w:val="000000" w:themeColor="text1"/>
          <w:sz w:val="20"/>
          <w:szCs w:val="20"/>
        </w:rPr>
        <w:t>viii</w:t>
      </w:r>
      <w:proofErr w:type="spellEnd"/>
      <w:r w:rsidRPr="001451C0">
        <w:rPr>
          <w:rFonts w:ascii="Verdana" w:eastAsia="Calibri" w:hAnsi="Verdana" w:cs="Arial"/>
          <w:bCs/>
          <w:color w:val="000000" w:themeColor="text1"/>
          <w:sz w:val="20"/>
          <w:szCs w:val="20"/>
        </w:rPr>
        <w:t xml:space="preserve">) economía del cuidado; </w:t>
      </w:r>
      <w:proofErr w:type="spellStart"/>
      <w:r w:rsidRPr="001451C0">
        <w:rPr>
          <w:rFonts w:ascii="Verdana" w:eastAsia="Calibri" w:hAnsi="Verdana" w:cs="Arial"/>
          <w:bCs/>
          <w:color w:val="000000" w:themeColor="text1"/>
          <w:sz w:val="20"/>
          <w:szCs w:val="20"/>
        </w:rPr>
        <w:t>ix</w:t>
      </w:r>
      <w:proofErr w:type="spellEnd"/>
      <w:r w:rsidRPr="001451C0">
        <w:rPr>
          <w:rFonts w:ascii="Verdana" w:eastAsia="Calibri" w:hAnsi="Verdana" w:cs="Arial"/>
          <w:bCs/>
          <w:color w:val="000000" w:themeColor="text1"/>
          <w:sz w:val="20"/>
          <w:szCs w:val="20"/>
        </w:rPr>
        <w:t>) fortalecimiento ambiental y comunitario; y x) adquisición de productos de origen o destinación agropecuarios. Cualquier objeto que no pertenezca al listado anterior, aunque esté dentro de la mínima cuantía, no podrá contratarse directamente, por lo que deberán aplicarse los demás procesos de selección establecidos en el artículo 2 de la Ley 1150 de 2007.</w:t>
      </w:r>
    </w:p>
    <w:p w14:paraId="46752E18" w14:textId="77777777" w:rsidR="006F4AF3" w:rsidRPr="001451C0" w:rsidRDefault="006F4AF3" w:rsidP="006F4AF3">
      <w:pPr>
        <w:spacing w:after="0" w:line="240" w:lineRule="auto"/>
        <w:rPr>
          <w:rFonts w:ascii="Verdana" w:eastAsia="Geomanist Light" w:hAnsi="Verdana" w:cs="Arial"/>
          <w:color w:val="000000" w:themeColor="text1"/>
          <w:sz w:val="20"/>
          <w:szCs w:val="20"/>
        </w:rPr>
      </w:pPr>
    </w:p>
    <w:p w14:paraId="1876373F" w14:textId="77777777" w:rsidR="006F4AF3" w:rsidRPr="00CF2301" w:rsidRDefault="006F4AF3" w:rsidP="006F4AF3">
      <w:pPr>
        <w:spacing w:after="0" w:line="240" w:lineRule="auto"/>
        <w:jc w:val="both"/>
        <w:rPr>
          <w:rFonts w:ascii="Verdana" w:eastAsia="Calibri" w:hAnsi="Verdana" w:cs="Arial"/>
          <w:b/>
          <w:lang w:val="es-ES"/>
        </w:rPr>
      </w:pPr>
      <w:r w:rsidRPr="00CF2301">
        <w:rPr>
          <w:rFonts w:ascii="Verdana" w:eastAsia="Calibri" w:hAnsi="Verdana" w:cs="Arial"/>
          <w:b/>
          <w:lang w:val="es-ES"/>
        </w:rPr>
        <w:t>ECONOMÍA POPULAR Y COMUNITARIA – Personas naturales y ESAL</w:t>
      </w:r>
    </w:p>
    <w:p w14:paraId="0A322E47" w14:textId="77777777" w:rsidR="006F4AF3" w:rsidRPr="00CF2301" w:rsidRDefault="006F4AF3" w:rsidP="006F4AF3">
      <w:pPr>
        <w:spacing w:after="0" w:line="240" w:lineRule="auto"/>
        <w:jc w:val="both"/>
        <w:rPr>
          <w:rFonts w:ascii="Verdana" w:eastAsia="Calibri" w:hAnsi="Verdana" w:cs="Arial"/>
          <w:b/>
          <w:sz w:val="20"/>
          <w:szCs w:val="20"/>
          <w:lang w:val="es-ES"/>
        </w:rPr>
      </w:pPr>
    </w:p>
    <w:p w14:paraId="42260AB9" w14:textId="77777777" w:rsidR="006F4AF3" w:rsidRPr="00CF2301" w:rsidRDefault="006F4AF3" w:rsidP="006F4AF3">
      <w:pPr>
        <w:spacing w:after="0" w:line="240" w:lineRule="auto"/>
        <w:jc w:val="both"/>
        <w:rPr>
          <w:rFonts w:ascii="Verdana" w:eastAsia="Calibri" w:hAnsi="Verdana" w:cs="Arial"/>
          <w:bCs/>
          <w:color w:val="000000" w:themeColor="text1"/>
          <w:sz w:val="20"/>
          <w:szCs w:val="20"/>
        </w:rPr>
      </w:pPr>
      <w:r w:rsidRPr="00CF2301">
        <w:rPr>
          <w:rFonts w:ascii="Verdana" w:eastAsia="Calibri" w:hAnsi="Verdana" w:cs="Arial"/>
          <w:bCs/>
          <w:i/>
          <w:iCs/>
          <w:color w:val="000000" w:themeColor="text1"/>
          <w:sz w:val="20"/>
          <w:szCs w:val="20"/>
        </w:rPr>
        <w:t>Respecto a los sujetos</w:t>
      </w:r>
      <w:r w:rsidRPr="00CF2301">
        <w:rPr>
          <w:rFonts w:ascii="Verdana" w:eastAsia="Calibri" w:hAnsi="Verdana" w:cs="Arial"/>
          <w:bCs/>
          <w:color w:val="000000" w:themeColor="text1"/>
          <w:sz w:val="20"/>
          <w:szCs w:val="20"/>
        </w:rPr>
        <w:t xml:space="preserve">, la norma menciona a las “personas naturales o entidades sin ánimo de lucro que hagan parte de la economía popular y comunitaria”. Esto significa que las Asociaciones Público - Populares no aplican a las personas jurídicas constituidas con sujeción al Código de Comercio, especialmente, cuando la causa del contrato de sociedad es el </w:t>
      </w:r>
      <w:r w:rsidRPr="00CF2301">
        <w:rPr>
          <w:rFonts w:ascii="Verdana" w:eastAsia="Calibri" w:hAnsi="Verdana" w:cs="Arial"/>
          <w:bCs/>
          <w:i/>
          <w:iCs/>
          <w:color w:val="000000" w:themeColor="text1"/>
          <w:sz w:val="20"/>
          <w:szCs w:val="20"/>
        </w:rPr>
        <w:t xml:space="preserve">animus </w:t>
      </w:r>
      <w:proofErr w:type="spellStart"/>
      <w:r w:rsidRPr="00CF2301">
        <w:rPr>
          <w:rFonts w:ascii="Verdana" w:eastAsia="Calibri" w:hAnsi="Verdana" w:cs="Arial"/>
          <w:bCs/>
          <w:i/>
          <w:iCs/>
          <w:color w:val="000000" w:themeColor="text1"/>
          <w:sz w:val="20"/>
          <w:szCs w:val="20"/>
        </w:rPr>
        <w:t>lucrandi</w:t>
      </w:r>
      <w:proofErr w:type="spellEnd"/>
      <w:r w:rsidRPr="00CF2301">
        <w:rPr>
          <w:rFonts w:ascii="Verdana" w:eastAsia="Calibri" w:hAnsi="Verdana" w:cs="Arial"/>
          <w:bCs/>
          <w:color w:val="000000" w:themeColor="text1"/>
          <w:sz w:val="20"/>
          <w:szCs w:val="20"/>
        </w:rPr>
        <w:t xml:space="preserve">. En contraste, </w:t>
      </w:r>
      <w:r w:rsidRPr="00CF2301">
        <w:rPr>
          <w:rFonts w:ascii="Verdana" w:eastAsia="Calibri" w:hAnsi="Verdana" w:cs="Arial"/>
          <w:color w:val="000000" w:themeColor="text1"/>
          <w:sz w:val="20"/>
          <w:szCs w:val="20"/>
          <w:lang w:val="es-ES_tradnl"/>
        </w:rPr>
        <w:t xml:space="preserve">las corporaciones y fundaciones de beneficencia pública previstas en los artículos 633 y siguientes del Código Civil carecen de este último elemento. Ello no significa que las sociedades comerciales estén excluidas del sistema de compras públicas, pues podrán concurrir a los demás procesos de selección del artículo 2 de la Ley 1150 de 2007, no obstante, no podrán celebrar contratos de Asociación Público – Popular, por no ser destinatarias del artículo 100 de la Ley del Plan Nacional de Desarrollo. </w:t>
      </w:r>
    </w:p>
    <w:p w14:paraId="48762623" w14:textId="77777777" w:rsidR="006F4AF3" w:rsidRPr="00CF2301" w:rsidRDefault="006F4AF3" w:rsidP="006F4AF3">
      <w:pPr>
        <w:spacing w:after="0" w:line="240" w:lineRule="auto"/>
        <w:rPr>
          <w:rFonts w:ascii="Verdana" w:eastAsia="Geomanist Light" w:hAnsi="Verdana" w:cs="Arial"/>
          <w:color w:val="000000" w:themeColor="text1"/>
          <w:sz w:val="20"/>
          <w:szCs w:val="20"/>
        </w:rPr>
      </w:pPr>
    </w:p>
    <w:p w14:paraId="77A1D8C4" w14:textId="77777777" w:rsidR="006F4AF3" w:rsidRPr="00CF2301" w:rsidRDefault="006F4AF3" w:rsidP="006F4AF3">
      <w:pPr>
        <w:tabs>
          <w:tab w:val="left" w:pos="426"/>
        </w:tabs>
        <w:spacing w:after="0" w:line="240" w:lineRule="auto"/>
        <w:jc w:val="both"/>
        <w:rPr>
          <w:rFonts w:ascii="Verdana" w:hAnsi="Verdana" w:cs="Arial"/>
          <w:b/>
          <w:lang w:eastAsia="es-CO"/>
        </w:rPr>
      </w:pPr>
      <w:r w:rsidRPr="00CF2301">
        <w:rPr>
          <w:rFonts w:ascii="Verdana" w:hAnsi="Verdana" w:cs="Arial"/>
          <w:b/>
          <w:lang w:eastAsia="es-CO"/>
        </w:rPr>
        <w:t xml:space="preserve">ASOCIACIONES PÚBLICO POPULARES – Celebración – Requisitos  </w:t>
      </w:r>
    </w:p>
    <w:p w14:paraId="1705BF0E" w14:textId="77777777" w:rsidR="006F4AF3" w:rsidRPr="00CF2301" w:rsidRDefault="006F4AF3" w:rsidP="006F4AF3">
      <w:pPr>
        <w:spacing w:after="0" w:line="240" w:lineRule="auto"/>
        <w:jc w:val="both"/>
        <w:rPr>
          <w:rFonts w:ascii="Verdana" w:hAnsi="Verdana" w:cs="Arial"/>
          <w:b/>
          <w:sz w:val="20"/>
          <w:szCs w:val="20"/>
          <w:lang w:eastAsia="es-CO"/>
        </w:rPr>
      </w:pPr>
    </w:p>
    <w:p w14:paraId="527F4CA2" w14:textId="77777777" w:rsidR="006F4AF3" w:rsidRPr="00CF2301" w:rsidRDefault="006F4AF3" w:rsidP="006F4AF3">
      <w:pPr>
        <w:spacing w:after="0" w:line="240" w:lineRule="auto"/>
        <w:jc w:val="both"/>
        <w:rPr>
          <w:rFonts w:ascii="Verdana" w:eastAsia="Arial" w:hAnsi="Verdana" w:cs="Arial"/>
          <w:color w:val="000000"/>
          <w:sz w:val="20"/>
          <w:szCs w:val="20"/>
        </w:rPr>
      </w:pPr>
      <w:r w:rsidRPr="00CF2301">
        <w:rPr>
          <w:rFonts w:ascii="Verdana" w:eastAsia="Calibri" w:hAnsi="Verdana" w:cs="Arial"/>
          <w:bCs/>
          <w:color w:val="000000" w:themeColor="text1"/>
          <w:sz w:val="20"/>
          <w:szCs w:val="20"/>
        </w:rPr>
        <w:t xml:space="preserve">Para la celebración de este tipo de contratos, </w:t>
      </w:r>
      <w:r w:rsidRPr="00CF2301">
        <w:rPr>
          <w:rFonts w:ascii="Verdana" w:eastAsia="Arial" w:hAnsi="Verdana" w:cs="Arial"/>
          <w:color w:val="000000"/>
          <w:sz w:val="20"/>
          <w:szCs w:val="20"/>
        </w:rPr>
        <w:t xml:space="preserve">el artículo 2.2.16.1.5 </w:t>
      </w:r>
      <w:r w:rsidRPr="00CF2301">
        <w:rPr>
          <w:rFonts w:ascii="Verdana" w:eastAsia="Arial" w:hAnsi="Verdana" w:cs="Arial"/>
          <w:i/>
          <w:iCs/>
          <w:color w:val="000000"/>
          <w:sz w:val="20"/>
          <w:szCs w:val="20"/>
        </w:rPr>
        <w:t>ibidem</w:t>
      </w:r>
      <w:r w:rsidRPr="00CF2301">
        <w:rPr>
          <w:rFonts w:ascii="Verdana" w:eastAsia="Arial" w:hAnsi="Verdana" w:cs="Arial"/>
          <w:color w:val="000000"/>
          <w:sz w:val="20"/>
          <w:szCs w:val="20"/>
        </w:rPr>
        <w:t xml:space="preserve"> impone una carga argumentativa que se desdobla en dos (2) frentes. Por un lado, es necesario justificar el uso de la</w:t>
      </w:r>
      <w:r w:rsidRPr="00CF2301">
        <w:rPr>
          <w:rFonts w:ascii="Verdana" w:eastAsia="Calibri" w:hAnsi="Verdana" w:cs="Arial"/>
          <w:color w:val="000000" w:themeColor="text1"/>
          <w:sz w:val="20"/>
          <w:szCs w:val="20"/>
        </w:rPr>
        <w:t xml:space="preserve"> Asociación Público Popular</w:t>
      </w:r>
      <w:r w:rsidRPr="00CF2301">
        <w:rPr>
          <w:rFonts w:ascii="Verdana" w:eastAsia="Arial" w:hAnsi="Verdana" w:cs="Arial"/>
          <w:color w:val="000000"/>
          <w:sz w:val="20"/>
          <w:szCs w:val="20"/>
        </w:rPr>
        <w:t xml:space="preserve"> y, por otro, es necesario identificar el perfil del contratista. Lo primero exige tener en cuenta el objeto y propósito de la tipología contractual prevista en la Ley 2294 de 2023, aspectos que sirven para determinar si es conveniente o no la contratación directa. Por su parte, lo segundo requiere identificar previamente la persona natural o a la entidad sin ánimo de lucro perteneciente a la </w:t>
      </w:r>
      <w:r w:rsidRPr="00CF2301">
        <w:rPr>
          <w:rFonts w:ascii="Verdana" w:eastAsia="Arial" w:hAnsi="Verdana" w:cs="Arial"/>
          <w:i/>
          <w:iCs/>
          <w:color w:val="000000"/>
          <w:sz w:val="20"/>
          <w:szCs w:val="20"/>
        </w:rPr>
        <w:t>Economía Popular y Comunitaria</w:t>
      </w:r>
      <w:r w:rsidRPr="00CF2301">
        <w:rPr>
          <w:rFonts w:ascii="Verdana" w:eastAsia="Arial" w:hAnsi="Verdana" w:cs="Arial"/>
          <w:color w:val="000000"/>
          <w:sz w:val="20"/>
          <w:szCs w:val="20"/>
        </w:rPr>
        <w:t xml:space="preserve"> que tenga la capacidad para ejecutar las obligaciones. </w:t>
      </w:r>
    </w:p>
    <w:p w14:paraId="78ABC6CE" w14:textId="77777777" w:rsidR="006F4AF3" w:rsidRPr="00CF2301" w:rsidRDefault="006F4AF3" w:rsidP="006F4AF3">
      <w:pPr>
        <w:spacing w:after="0" w:line="240" w:lineRule="auto"/>
        <w:jc w:val="both"/>
        <w:rPr>
          <w:rFonts w:ascii="Verdana" w:eastAsia="Arial" w:hAnsi="Verdana" w:cs="Arial"/>
          <w:color w:val="000000"/>
          <w:sz w:val="20"/>
          <w:szCs w:val="20"/>
        </w:rPr>
      </w:pPr>
    </w:p>
    <w:p w14:paraId="70F6B283" w14:textId="77777777" w:rsidR="006F4AF3" w:rsidRPr="00CF2301" w:rsidRDefault="006F4AF3" w:rsidP="006F4AF3">
      <w:pPr>
        <w:spacing w:after="0" w:line="240" w:lineRule="auto"/>
        <w:jc w:val="both"/>
        <w:rPr>
          <w:rFonts w:ascii="Verdana" w:eastAsia="Arial" w:hAnsi="Verdana" w:cs="Arial"/>
          <w:color w:val="000000"/>
          <w:sz w:val="20"/>
          <w:szCs w:val="20"/>
        </w:rPr>
      </w:pPr>
      <w:r w:rsidRPr="00CF2301">
        <w:rPr>
          <w:rFonts w:ascii="Verdana" w:eastAsia="Arial" w:hAnsi="Verdana" w:cs="Arial"/>
          <w:color w:val="000000"/>
          <w:sz w:val="20"/>
          <w:szCs w:val="20"/>
        </w:rPr>
        <w:t xml:space="preserve">Esto último se complementa con el artículo 2.2.16.1.6 del Decreto 1082 de 2015, adicionado por el Decreto 874 de 2023, el cual exige lo siguiente: i) la persona natural </w:t>
      </w:r>
      <w:r w:rsidRPr="00CF2301">
        <w:rPr>
          <w:rFonts w:ascii="Verdana" w:eastAsia="Arial" w:hAnsi="Verdana" w:cs="Arial"/>
          <w:color w:val="000000"/>
          <w:sz w:val="20"/>
          <w:szCs w:val="20"/>
        </w:rPr>
        <w:lastRenderedPageBreak/>
        <w:t xml:space="preserve">o la entidad sin ánimo de lucro debe hacer parte de la Economía Popular y Comunitaria, en el marco de lo establecido en el artículo 2.2.16.1.4 </w:t>
      </w:r>
      <w:r w:rsidRPr="00CF2301">
        <w:rPr>
          <w:rFonts w:ascii="Verdana" w:eastAsia="Arial" w:hAnsi="Verdana" w:cs="Arial"/>
          <w:i/>
          <w:iCs/>
          <w:color w:val="000000"/>
          <w:sz w:val="20"/>
          <w:szCs w:val="20"/>
        </w:rPr>
        <w:t>ibidem</w:t>
      </w:r>
      <w:r w:rsidRPr="00CF2301">
        <w:rPr>
          <w:rFonts w:ascii="Verdana" w:eastAsia="Arial" w:hAnsi="Verdana" w:cs="Arial"/>
          <w:color w:val="000000"/>
          <w:sz w:val="20"/>
          <w:szCs w:val="20"/>
        </w:rPr>
        <w:t xml:space="preserve">; ii) para el caso de las entidades sin ánimo de lucro, es necesario que su objeto social tenga relación con la ejecución de obras o la adquisición de bienes y servicios contempladas en el artículo 100 de la Ley 2294 de 2023; y iii) la persona natural o la entidad sin ánimo de lucro deberán cumplir con la normativa aplicable a los oficios, ocupaciones u objetos sociales que desempeñen, dependiendo de su sector económico y naturaleza. </w:t>
      </w:r>
    </w:p>
    <w:p w14:paraId="65B53F14" w14:textId="77777777" w:rsidR="006F4AF3" w:rsidRDefault="006F4AF3" w:rsidP="006F4AF3">
      <w:pPr>
        <w:spacing w:after="0"/>
        <w:rPr>
          <w:rFonts w:ascii="Verdana" w:hAnsi="Verdana"/>
        </w:rPr>
      </w:pPr>
    </w:p>
    <w:p w14:paraId="1646828C" w14:textId="77777777" w:rsidR="006F4AF3" w:rsidRDefault="006F4AF3" w:rsidP="006F4AF3">
      <w:pPr>
        <w:spacing w:after="0" w:line="276" w:lineRule="auto"/>
        <w:rPr>
          <w:rFonts w:ascii="Verdana" w:eastAsia="Calibri" w:hAnsi="Verdana" w:cs="Arial"/>
          <w:b/>
          <w:bCs/>
          <w:lang w:val="es-ES" w:eastAsia="es-ES"/>
        </w:rPr>
      </w:pPr>
      <w:r w:rsidRPr="006F4AF3">
        <w:rPr>
          <w:rFonts w:ascii="Verdana" w:eastAsia="Calibri" w:hAnsi="Verdana" w:cs="Arial"/>
          <w:b/>
          <w:bCs/>
          <w:lang w:val="es-ES" w:eastAsia="es-ES"/>
        </w:rPr>
        <w:t xml:space="preserve">ASOCIACIONES PÚBLICO POPULARES – SECOP II – Utilización </w:t>
      </w:r>
    </w:p>
    <w:p w14:paraId="03964DD8" w14:textId="77777777" w:rsidR="006F4AF3" w:rsidRPr="006F4AF3" w:rsidRDefault="006F4AF3" w:rsidP="006F4AF3">
      <w:pPr>
        <w:spacing w:after="0" w:line="240" w:lineRule="auto"/>
        <w:contextualSpacing/>
        <w:rPr>
          <w:rFonts w:ascii="Verdana" w:eastAsia="Calibri" w:hAnsi="Verdana" w:cs="Arial"/>
          <w:b/>
          <w:bCs/>
          <w:sz w:val="20"/>
          <w:szCs w:val="20"/>
          <w:lang w:val="es-ES" w:eastAsia="es-ES"/>
        </w:rPr>
      </w:pPr>
    </w:p>
    <w:p w14:paraId="2305168D" w14:textId="77777777" w:rsidR="006F4AF3" w:rsidRPr="006F4AF3" w:rsidRDefault="006F4AF3" w:rsidP="006F4AF3">
      <w:pPr>
        <w:pBdr>
          <w:top w:val="nil"/>
          <w:left w:val="nil"/>
          <w:bottom w:val="nil"/>
          <w:right w:val="nil"/>
          <w:between w:val="nil"/>
        </w:pBdr>
        <w:spacing w:after="0" w:line="240" w:lineRule="auto"/>
        <w:contextualSpacing/>
        <w:jc w:val="both"/>
        <w:rPr>
          <w:rFonts w:ascii="Verdana" w:eastAsia="Calibri" w:hAnsi="Verdana" w:cs="Arial"/>
          <w:color w:val="000000" w:themeColor="text1"/>
          <w:sz w:val="20"/>
          <w:szCs w:val="20"/>
        </w:rPr>
      </w:pPr>
      <w:r w:rsidRPr="006F4AF3">
        <w:rPr>
          <w:rFonts w:ascii="Verdana" w:eastAsia="Calibri" w:hAnsi="Verdana" w:cs="Arial"/>
          <w:sz w:val="20"/>
          <w:szCs w:val="20"/>
          <w:lang w:val="es-ES" w:eastAsia="es-ES"/>
        </w:rPr>
        <w:t>[…]</w:t>
      </w:r>
      <w:r w:rsidRPr="006F4AF3">
        <w:rPr>
          <w:rFonts w:ascii="Verdana" w:eastAsia="Calibri" w:hAnsi="Verdana" w:cs="Arial"/>
          <w:b/>
          <w:bCs/>
          <w:sz w:val="20"/>
          <w:szCs w:val="20"/>
          <w:lang w:val="es-ES" w:eastAsia="es-ES"/>
        </w:rPr>
        <w:t xml:space="preserve"> </w:t>
      </w:r>
      <w:r w:rsidRPr="006F4AF3">
        <w:rPr>
          <w:rFonts w:ascii="Verdana" w:eastAsia="Calibri" w:hAnsi="Verdana" w:cs="Arial"/>
          <w:color w:val="000000" w:themeColor="text1"/>
          <w:sz w:val="20"/>
          <w:szCs w:val="20"/>
        </w:rPr>
        <w:t>con el fin de garantizar la publicidad de los contratos de Asociaciones Público–Populares, el Decreto 874 de 2024 establece lo siguiente: i) las Entidades Estatales deben publicar los procedimientos, documentos y actos asociados a los Procesos de Contratación adelantados</w:t>
      </w:r>
      <w:r w:rsidRPr="006F4AF3">
        <w:rPr>
          <w:sz w:val="20"/>
          <w:szCs w:val="20"/>
        </w:rPr>
        <w:t xml:space="preserve"> </w:t>
      </w:r>
      <w:r w:rsidRPr="006F4AF3">
        <w:rPr>
          <w:rFonts w:ascii="Verdana" w:eastAsia="Calibri" w:hAnsi="Verdana" w:cs="Arial"/>
          <w:color w:val="000000" w:themeColor="text1"/>
          <w:sz w:val="20"/>
          <w:szCs w:val="20"/>
        </w:rPr>
        <w:t>por la tipología contractual tanto en el SECOP como en sus páginas web; ii) los actores de la Economía Popular y Comunitaria que celebren la tipología contractual de Asociaciones Público–Populares deberán estar registrados en el SECOP y; iii) finalmente, consagra la obligación de la persona natural o la entidad sin ánimo de lucro que pertenezca a la Economía Popular y Comunitaria y que celebre un contrato por medio de una Asociación Público–Popular de remitir a la Entidad Estatal la información relativa a los contratos que suscriba con terceros para dar cumplimiento al objeto de contrato.</w:t>
      </w:r>
    </w:p>
    <w:p w14:paraId="6ECCDE06" w14:textId="153EE0CA" w:rsidR="008A172C" w:rsidRPr="006F4AF3" w:rsidRDefault="008A172C" w:rsidP="006F4AF3">
      <w:pPr>
        <w:spacing w:after="0" w:line="240" w:lineRule="auto"/>
        <w:contextualSpacing/>
        <w:rPr>
          <w:rFonts w:ascii="Verdana" w:hAnsi="Verdana"/>
          <w:b/>
          <w:bCs/>
          <w:sz w:val="20"/>
          <w:szCs w:val="20"/>
        </w:rPr>
      </w:pPr>
      <w:r w:rsidRPr="006F4AF3">
        <w:rPr>
          <w:rFonts w:ascii="Verdana" w:hAnsi="Verdana"/>
          <w:b/>
          <w:bCs/>
          <w:sz w:val="20"/>
          <w:szCs w:val="20"/>
        </w:rPr>
        <w:br w:type="page"/>
      </w:r>
    </w:p>
    <w:p w14:paraId="6892226F" w14:textId="4A8F195D" w:rsidR="0062016E" w:rsidRDefault="00E245AB" w:rsidP="00E245AB">
      <w:pPr>
        <w:spacing w:after="0"/>
        <w:rPr>
          <w:rFonts w:ascii="Verdana" w:hAnsi="Verdana"/>
        </w:rPr>
      </w:pPr>
      <w:r w:rsidRPr="00C320D1">
        <w:rPr>
          <w:rFonts w:ascii="Verdana" w:hAnsi="Verdana"/>
        </w:rPr>
        <w:lastRenderedPageBreak/>
        <w:t xml:space="preserve">Bogotá D.C., </w:t>
      </w:r>
      <w:r w:rsidR="0062016E">
        <w:rPr>
          <w:rFonts w:ascii="Verdana" w:hAnsi="Verdana"/>
        </w:rPr>
        <w:t>5 de noviembre de 2024.</w:t>
      </w:r>
    </w:p>
    <w:p w14:paraId="3FE2184B" w14:textId="73569965" w:rsidR="00E245AB" w:rsidRPr="00C320D1" w:rsidRDefault="008366F8" w:rsidP="008366F8">
      <w:pPr>
        <w:spacing w:after="0"/>
        <w:jc w:val="right"/>
        <w:rPr>
          <w:rFonts w:ascii="Verdana" w:hAnsi="Verdana"/>
        </w:rPr>
      </w:pPr>
      <w:r w:rsidRPr="008366F8">
        <w:rPr>
          <w:rFonts w:ascii="Verdana" w:hAnsi="Verdana"/>
          <w:noProof/>
        </w:rPr>
        <w:drawing>
          <wp:inline distT="0" distB="0" distL="0" distR="0" wp14:anchorId="5C47A6BC" wp14:editId="5D771F5B">
            <wp:extent cx="2944924" cy="919195"/>
            <wp:effectExtent l="0" t="0" r="8255" b="0"/>
            <wp:docPr id="15445129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12947" name="Imagen 1" descr="Texto&#10;&#10;Descripción generada automáticamente"/>
                    <pic:cNvPicPr/>
                  </pic:nvPicPr>
                  <pic:blipFill rotWithShape="1">
                    <a:blip r:embed="rId10"/>
                    <a:srcRect r="1980"/>
                    <a:stretch/>
                  </pic:blipFill>
                  <pic:spPr bwMode="auto">
                    <a:xfrm>
                      <a:off x="0" y="0"/>
                      <a:ext cx="2961584" cy="924395"/>
                    </a:xfrm>
                    <a:prstGeom prst="rect">
                      <a:avLst/>
                    </a:prstGeom>
                    <a:ln>
                      <a:noFill/>
                    </a:ln>
                    <a:extLst>
                      <a:ext uri="{53640926-AAD7-44D8-BBD7-CCE9431645EC}">
                        <a14:shadowObscured xmlns:a14="http://schemas.microsoft.com/office/drawing/2010/main"/>
                      </a:ext>
                    </a:extLst>
                  </pic:spPr>
                </pic:pic>
              </a:graphicData>
            </a:graphic>
          </wp:inline>
        </w:drawing>
      </w:r>
      <w:r w:rsidR="00891928" w:rsidRPr="00C320D1">
        <w:rPr>
          <w:rFonts w:ascii="Verdana" w:hAnsi="Verdana"/>
        </w:rPr>
        <w:tab/>
      </w:r>
    </w:p>
    <w:p w14:paraId="338F9E60" w14:textId="77777777" w:rsidR="00A937E6" w:rsidRPr="00C320D1" w:rsidRDefault="00A937E6" w:rsidP="00A937E6">
      <w:pPr>
        <w:spacing w:after="0" w:line="240" w:lineRule="auto"/>
        <w:jc w:val="both"/>
        <w:rPr>
          <w:rFonts w:ascii="Verdana" w:eastAsia="Calibri" w:hAnsi="Verdana" w:cs="Arial"/>
          <w:lang w:eastAsia="es-ES"/>
        </w:rPr>
      </w:pPr>
      <w:r w:rsidRPr="00C320D1">
        <w:rPr>
          <w:rFonts w:ascii="Verdana" w:eastAsia="Calibri" w:hAnsi="Verdana" w:cs="Arial"/>
          <w:lang w:eastAsia="es-ES"/>
        </w:rPr>
        <w:t>Señor</w:t>
      </w:r>
    </w:p>
    <w:p w14:paraId="27BB95C1" w14:textId="77777777" w:rsidR="00A937E6" w:rsidRPr="00C320D1" w:rsidRDefault="00A937E6" w:rsidP="00A937E6">
      <w:pPr>
        <w:spacing w:after="0" w:line="240" w:lineRule="auto"/>
        <w:rPr>
          <w:rFonts w:ascii="Verdana" w:eastAsia="Calibri" w:hAnsi="Verdana" w:cs="Arial"/>
          <w:b/>
          <w:lang w:eastAsia="es-ES"/>
        </w:rPr>
      </w:pPr>
      <w:r w:rsidRPr="00C320D1">
        <w:rPr>
          <w:rFonts w:ascii="Verdana" w:eastAsia="Calibri" w:hAnsi="Verdana" w:cs="Arial"/>
          <w:b/>
          <w:lang w:eastAsia="es-ES"/>
        </w:rPr>
        <w:t>Gabriel Camilo Benavides Pantoja</w:t>
      </w:r>
    </w:p>
    <w:p w14:paraId="626CCE86" w14:textId="77777777" w:rsidR="00A937E6" w:rsidRPr="00C320D1" w:rsidRDefault="00A937E6" w:rsidP="00A937E6">
      <w:pPr>
        <w:spacing w:after="0" w:line="240" w:lineRule="auto"/>
        <w:rPr>
          <w:rFonts w:ascii="Verdana" w:eastAsia="Calibri" w:hAnsi="Verdana" w:cs="Arial"/>
          <w:lang w:eastAsia="es-ES"/>
        </w:rPr>
      </w:pPr>
      <w:r w:rsidRPr="00C320D1">
        <w:rPr>
          <w:rFonts w:ascii="Verdana" w:eastAsia="Calibri" w:hAnsi="Verdana" w:cs="Arial"/>
          <w:lang w:eastAsia="es-ES"/>
        </w:rPr>
        <w:t>Pasto</w:t>
      </w:r>
    </w:p>
    <w:p w14:paraId="033BDA7A" w14:textId="77777777" w:rsidR="00A937E6" w:rsidRPr="00C320D1" w:rsidRDefault="00A937E6" w:rsidP="00A937E6">
      <w:pPr>
        <w:spacing w:after="0" w:line="240" w:lineRule="auto"/>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937E6" w:rsidRPr="00C320D1" w14:paraId="34DA39B2" w14:textId="77777777" w:rsidTr="004B69A5">
        <w:trPr>
          <w:trHeight w:val="178"/>
        </w:trPr>
        <w:tc>
          <w:tcPr>
            <w:tcW w:w="2689" w:type="dxa"/>
          </w:tcPr>
          <w:p w14:paraId="2A392E19" w14:textId="77777777" w:rsidR="00A937E6" w:rsidRPr="00C320D1" w:rsidRDefault="00A937E6" w:rsidP="004B69A5">
            <w:pPr>
              <w:jc w:val="both"/>
              <w:rPr>
                <w:rFonts w:ascii="Verdana" w:eastAsia="Calibri" w:hAnsi="Verdana" w:cs="Arial"/>
                <w:b/>
                <w:bCs/>
                <w:lang w:eastAsia="es-ES_tradnl"/>
              </w:rPr>
            </w:pPr>
          </w:p>
        </w:tc>
        <w:tc>
          <w:tcPr>
            <w:tcW w:w="6100" w:type="dxa"/>
          </w:tcPr>
          <w:p w14:paraId="6EAA3C44" w14:textId="77777777" w:rsidR="00A937E6" w:rsidRPr="00C320D1" w:rsidRDefault="00A937E6" w:rsidP="004B69A5">
            <w:pPr>
              <w:jc w:val="both"/>
              <w:rPr>
                <w:rFonts w:ascii="Verdana" w:eastAsia="Calibri" w:hAnsi="Verdana" w:cs="Arial"/>
                <w:b/>
                <w:bCs/>
                <w:lang w:val="es-ES" w:eastAsia="es-ES"/>
              </w:rPr>
            </w:pPr>
            <w:r w:rsidRPr="00C320D1">
              <w:rPr>
                <w:rFonts w:ascii="Verdana" w:eastAsia="Calibri" w:hAnsi="Verdana" w:cs="Arial"/>
                <w:b/>
                <w:bCs/>
                <w:lang w:val="es-ES" w:eastAsia="es-ES"/>
              </w:rPr>
              <w:t>Concepto C–639 de 2024</w:t>
            </w:r>
          </w:p>
          <w:p w14:paraId="13D6DC9D" w14:textId="77777777" w:rsidR="00A937E6" w:rsidRPr="00C320D1" w:rsidRDefault="00A937E6" w:rsidP="004B69A5">
            <w:pPr>
              <w:jc w:val="both"/>
              <w:rPr>
                <w:rFonts w:ascii="Verdana" w:eastAsia="Calibri" w:hAnsi="Verdana" w:cs="Arial"/>
                <w:b/>
                <w:bCs/>
                <w:lang w:val="es-ES" w:eastAsia="es-ES"/>
              </w:rPr>
            </w:pPr>
          </w:p>
        </w:tc>
      </w:tr>
      <w:tr w:rsidR="00A937E6" w:rsidRPr="00C320D1" w14:paraId="06A3D31D" w14:textId="77777777" w:rsidTr="004B69A5">
        <w:trPr>
          <w:trHeight w:val="884"/>
        </w:trPr>
        <w:tc>
          <w:tcPr>
            <w:tcW w:w="2689" w:type="dxa"/>
          </w:tcPr>
          <w:p w14:paraId="32E42028" w14:textId="77777777" w:rsidR="00A937E6" w:rsidRPr="00C320D1" w:rsidRDefault="00A937E6" w:rsidP="004B69A5">
            <w:pPr>
              <w:jc w:val="both"/>
              <w:rPr>
                <w:rFonts w:ascii="Verdana" w:eastAsia="Calibri" w:hAnsi="Verdana" w:cs="Arial"/>
                <w:lang w:val="es-ES_tradnl" w:eastAsia="es-ES_tradnl"/>
              </w:rPr>
            </w:pPr>
            <w:r w:rsidRPr="00C320D1">
              <w:rPr>
                <w:rFonts w:ascii="Verdana" w:eastAsia="Calibri" w:hAnsi="Verdana" w:cs="Arial"/>
                <w:b/>
                <w:lang w:val="es-ES_tradnl" w:eastAsia="es-ES_tradnl"/>
              </w:rPr>
              <w:t>Temas:</w:t>
            </w:r>
            <w:r w:rsidRPr="00C320D1">
              <w:rPr>
                <w:rFonts w:ascii="Verdana" w:eastAsia="Calibri" w:hAnsi="Verdana" w:cs="Arial"/>
                <w:lang w:val="es-ES_tradnl" w:eastAsia="es-ES_tradnl"/>
              </w:rPr>
              <w:t xml:space="preserve">                   </w:t>
            </w:r>
          </w:p>
        </w:tc>
        <w:tc>
          <w:tcPr>
            <w:tcW w:w="6100" w:type="dxa"/>
          </w:tcPr>
          <w:p w14:paraId="74B264BC" w14:textId="77777777" w:rsidR="00A937E6" w:rsidRPr="00C320D1" w:rsidRDefault="00A937E6" w:rsidP="004B69A5">
            <w:pPr>
              <w:jc w:val="both"/>
              <w:rPr>
                <w:rFonts w:ascii="Verdana" w:eastAsia="Calibri" w:hAnsi="Verdana" w:cs="Arial"/>
                <w:lang w:val="es-ES" w:eastAsia="es-ES"/>
              </w:rPr>
            </w:pPr>
            <w:r w:rsidRPr="00C320D1">
              <w:rPr>
                <w:rFonts w:ascii="Verdana" w:eastAsia="Calibri" w:hAnsi="Verdana" w:cs="Arial"/>
                <w:lang w:val="es-ES" w:eastAsia="es-ES"/>
              </w:rPr>
              <w:t xml:space="preserve">ASOCIACIONES PÚBLICO POPULARES – Tipología contractual – Objeto / ECONOMÍA POPULAR Y COMUNITARIA – Personas naturales y ESAL / ASOCIACIONES PÚBLICO POPULARES – Celebración – Requisitos / ASOCIACIONES PÚBLICO POPULARES – SECOP II – Utilización </w:t>
            </w:r>
          </w:p>
          <w:p w14:paraId="7ACF8810" w14:textId="77777777" w:rsidR="00A937E6" w:rsidRPr="00C320D1" w:rsidRDefault="00A937E6" w:rsidP="004B69A5">
            <w:pPr>
              <w:jc w:val="both"/>
              <w:rPr>
                <w:rFonts w:ascii="Verdana" w:eastAsia="Calibri" w:hAnsi="Verdana" w:cs="Arial"/>
                <w:lang w:val="es-ES" w:eastAsia="es-ES"/>
              </w:rPr>
            </w:pPr>
            <w:r w:rsidRPr="00C320D1">
              <w:rPr>
                <w:rFonts w:ascii="Verdana" w:eastAsia="Calibri" w:hAnsi="Verdana" w:cs="Arial"/>
                <w:lang w:val="es-ES" w:eastAsia="es-ES"/>
              </w:rPr>
              <w:t xml:space="preserve">  </w:t>
            </w:r>
          </w:p>
        </w:tc>
      </w:tr>
      <w:tr w:rsidR="00A937E6" w:rsidRPr="00C320D1" w14:paraId="3C2B195C" w14:textId="77777777" w:rsidTr="004B69A5">
        <w:tc>
          <w:tcPr>
            <w:tcW w:w="2689" w:type="dxa"/>
          </w:tcPr>
          <w:p w14:paraId="55E6B868" w14:textId="77777777" w:rsidR="00A937E6" w:rsidRPr="00C320D1" w:rsidRDefault="00A937E6" w:rsidP="004B69A5">
            <w:pPr>
              <w:jc w:val="both"/>
              <w:rPr>
                <w:rFonts w:ascii="Verdana" w:eastAsia="Calibri" w:hAnsi="Verdana" w:cs="Arial"/>
                <w:b/>
                <w:lang w:val="es-ES_tradnl" w:eastAsia="es-ES_tradnl"/>
              </w:rPr>
            </w:pPr>
            <w:r w:rsidRPr="00C320D1">
              <w:rPr>
                <w:rFonts w:ascii="Verdana" w:eastAsia="Calibri" w:hAnsi="Verdana" w:cs="Arial"/>
                <w:b/>
                <w:lang w:val="es-ES_tradnl" w:eastAsia="es-ES_tradnl"/>
              </w:rPr>
              <w:t>Radicación:</w:t>
            </w:r>
            <w:r w:rsidRPr="00C320D1">
              <w:rPr>
                <w:rFonts w:ascii="Verdana" w:eastAsia="Calibri" w:hAnsi="Verdana" w:cs="Arial"/>
                <w:lang w:val="es-ES_tradnl" w:eastAsia="es-ES_tradnl"/>
              </w:rPr>
              <w:t xml:space="preserve">               </w:t>
            </w:r>
          </w:p>
        </w:tc>
        <w:tc>
          <w:tcPr>
            <w:tcW w:w="6100" w:type="dxa"/>
          </w:tcPr>
          <w:p w14:paraId="0F3D4274" w14:textId="3DA5176F" w:rsidR="00A937E6" w:rsidRPr="00C320D1" w:rsidRDefault="00A937E6" w:rsidP="004B69A5">
            <w:pPr>
              <w:jc w:val="both"/>
              <w:rPr>
                <w:rFonts w:ascii="Verdana" w:hAnsi="Verdana" w:cs="Calibri"/>
                <w:color w:val="000000"/>
              </w:rPr>
            </w:pPr>
            <w:r w:rsidRPr="00C320D1">
              <w:rPr>
                <w:rFonts w:ascii="Verdana" w:eastAsia="Calibri" w:hAnsi="Verdana" w:cs="Arial"/>
                <w:lang w:val="es-ES_tradnl" w:eastAsia="es-ES_tradnl"/>
              </w:rPr>
              <w:t xml:space="preserve">Respuesta a la consulta con radicado No. </w:t>
            </w:r>
            <w:r w:rsidRPr="00C320D1">
              <w:rPr>
                <w:rFonts w:ascii="Verdana" w:hAnsi="Verdana" w:cs="Calibri"/>
                <w:color w:val="000000"/>
              </w:rPr>
              <w:t>P20240920009611</w:t>
            </w:r>
          </w:p>
        </w:tc>
      </w:tr>
    </w:tbl>
    <w:p w14:paraId="5C78A142" w14:textId="77777777" w:rsidR="00A937E6" w:rsidRPr="00C320D1" w:rsidRDefault="00A937E6" w:rsidP="00A937E6">
      <w:pPr>
        <w:spacing w:after="0" w:line="240" w:lineRule="auto"/>
        <w:jc w:val="both"/>
        <w:rPr>
          <w:rFonts w:ascii="Verdana" w:eastAsia="Calibri" w:hAnsi="Verdana" w:cs="Arial"/>
          <w:lang w:val="es-ES_tradnl" w:eastAsia="es-ES_tradnl"/>
        </w:rPr>
      </w:pPr>
    </w:p>
    <w:p w14:paraId="1ACF3BB8" w14:textId="77777777" w:rsidR="00A937E6" w:rsidRPr="00C320D1" w:rsidRDefault="00A937E6" w:rsidP="00A937E6">
      <w:pPr>
        <w:spacing w:after="0" w:line="240" w:lineRule="auto"/>
        <w:jc w:val="both"/>
        <w:rPr>
          <w:rFonts w:ascii="Verdana" w:eastAsia="Calibri" w:hAnsi="Verdana" w:cs="Arial"/>
          <w:lang w:val="es-ES_tradnl" w:eastAsia="es-ES_tradnl"/>
        </w:rPr>
      </w:pPr>
    </w:p>
    <w:p w14:paraId="1B32B40C" w14:textId="77777777" w:rsidR="00A937E6" w:rsidRPr="00C320D1" w:rsidRDefault="00A937E6" w:rsidP="00A937E6">
      <w:pPr>
        <w:spacing w:after="0" w:line="276" w:lineRule="auto"/>
        <w:jc w:val="both"/>
        <w:rPr>
          <w:rFonts w:ascii="Verdana" w:eastAsia="Calibri" w:hAnsi="Verdana" w:cs="Arial"/>
          <w:lang w:val="es-ES" w:eastAsia="es-ES"/>
        </w:rPr>
      </w:pPr>
      <w:r w:rsidRPr="00C320D1">
        <w:rPr>
          <w:rFonts w:ascii="Verdana" w:eastAsia="Calibri" w:hAnsi="Verdana" w:cs="Arial"/>
          <w:lang w:val="es-ES" w:eastAsia="es-ES"/>
        </w:rPr>
        <w:t xml:space="preserve">Estimado señor Benavides Pantoja: </w:t>
      </w:r>
    </w:p>
    <w:p w14:paraId="0331FEAA" w14:textId="77777777" w:rsidR="00A937E6" w:rsidRPr="00C320D1" w:rsidRDefault="00A937E6" w:rsidP="00A937E6">
      <w:pPr>
        <w:tabs>
          <w:tab w:val="left" w:pos="3768"/>
        </w:tabs>
        <w:spacing w:after="0" w:line="276" w:lineRule="auto"/>
        <w:jc w:val="both"/>
        <w:rPr>
          <w:rFonts w:ascii="Verdana" w:eastAsia="Calibri" w:hAnsi="Verdana" w:cs="Arial"/>
          <w:lang w:val="es-ES" w:eastAsia="es-ES"/>
        </w:rPr>
      </w:pPr>
      <w:r w:rsidRPr="00C320D1">
        <w:rPr>
          <w:rFonts w:ascii="Verdana" w:eastAsia="Calibri" w:hAnsi="Verdana" w:cs="Arial"/>
          <w:lang w:val="es-ES" w:eastAsia="es-ES"/>
        </w:rPr>
        <w:tab/>
      </w:r>
    </w:p>
    <w:p w14:paraId="30036C1E" w14:textId="77777777" w:rsidR="00A937E6" w:rsidRPr="00C320D1" w:rsidRDefault="00A937E6" w:rsidP="00A937E6">
      <w:pPr>
        <w:spacing w:after="0" w:line="276" w:lineRule="auto"/>
        <w:jc w:val="both"/>
        <w:rPr>
          <w:rFonts w:ascii="Verdana" w:eastAsia="Calibri" w:hAnsi="Verdana" w:cs="Arial"/>
          <w:color w:val="7030A0"/>
          <w:lang w:val="es-ES" w:eastAsia="es-ES"/>
        </w:rPr>
      </w:pPr>
      <w:r w:rsidRPr="00C320D1">
        <w:rPr>
          <w:rFonts w:ascii="Verdana" w:eastAsia="Calibri" w:hAnsi="Verdana" w:cs="Arial"/>
          <w:color w:val="000000" w:themeColor="text1"/>
          <w:lang w:val="es-ES" w:eastAsia="es-ES"/>
        </w:rPr>
        <w:t>En ejercicio de la competencia otorgada por los artículos 3, numeral 5º, y 11, numeral 8º, del Decreto Ley 4170 de 2011,</w:t>
      </w:r>
      <w:r w:rsidRPr="00C320D1">
        <w:rPr>
          <w:rFonts w:ascii="Verdana" w:eastAsia="Arial MT" w:hAnsi="Verdana" w:cs="Arial MT"/>
          <w:lang w:val="es-ES" w:eastAsia="es-ES"/>
        </w:rPr>
        <w:t xml:space="preserve"> </w:t>
      </w:r>
      <w:r w:rsidRPr="00C320D1">
        <w:rPr>
          <w:rFonts w:ascii="Verdana" w:hAnsi="Verdana" w:cs="Arial"/>
        </w:rPr>
        <w:t xml:space="preserve">así como lo establecido en el artículo 4 de la Resolución 1707 de 2018 expedida por esta Entidad, </w:t>
      </w:r>
      <w:r w:rsidRPr="00C320D1">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C320D1">
        <w:rPr>
          <w:rFonts w:ascii="Verdana" w:eastAsia="Calibri" w:hAnsi="Verdana" w:cs="Arial"/>
          <w:lang w:val="es-ES" w:eastAsia="es-ES"/>
        </w:rPr>
        <w:t xml:space="preserve">fecha 20 de septiembre de 2024, en la cual pregunta lo siguiente: </w:t>
      </w:r>
    </w:p>
    <w:p w14:paraId="0E5782C3" w14:textId="77777777" w:rsidR="00A937E6" w:rsidRPr="00C320D1" w:rsidRDefault="00A937E6" w:rsidP="00A937E6">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E401E5F" w14:textId="77777777" w:rsidR="00A937E6" w:rsidRPr="00C320D1" w:rsidRDefault="00A937E6" w:rsidP="00A937E6">
      <w:pPr>
        <w:spacing w:after="0" w:line="240" w:lineRule="auto"/>
        <w:ind w:left="709" w:right="709"/>
        <w:jc w:val="both"/>
        <w:rPr>
          <w:rFonts w:ascii="Verdana" w:eastAsia="Century Gothic" w:hAnsi="Verdana" w:cs="Century Gothic"/>
          <w:sz w:val="20"/>
          <w:szCs w:val="20"/>
        </w:rPr>
      </w:pPr>
      <w:r w:rsidRPr="00C320D1">
        <w:rPr>
          <w:rFonts w:ascii="Verdana" w:eastAsia="Century Gothic" w:hAnsi="Verdana" w:cs="Century Gothic"/>
          <w:sz w:val="20"/>
          <w:szCs w:val="20"/>
          <w:lang w:val="es-ES"/>
        </w:rPr>
        <w:t>“</w:t>
      </w:r>
      <w:r w:rsidRPr="00C320D1">
        <w:rPr>
          <w:rFonts w:ascii="Verdana" w:eastAsia="Century Gothic" w:hAnsi="Verdana" w:cs="Century Gothic"/>
          <w:sz w:val="20"/>
          <w:szCs w:val="20"/>
        </w:rPr>
        <w:t xml:space="preserve">MI CONSULTA ESTA ENCAMINADA PARA QUE SE PUNTUALICE TENIENDO EN CUENTA EL DECRETO 0874 DE 2024 QUE ENTIDADES SE PUEDEN CONSIDERAR ASOCIACIONES PUPLICO POPULARES APPO. </w:t>
      </w:r>
      <w:proofErr w:type="gramStart"/>
      <w:r w:rsidRPr="00C320D1">
        <w:rPr>
          <w:rFonts w:ascii="Verdana" w:eastAsia="Century Gothic" w:hAnsi="Verdana" w:cs="Century Gothic"/>
          <w:sz w:val="20"/>
          <w:szCs w:val="20"/>
        </w:rPr>
        <w:t>SI LA ENTIDAD QUIERE ADELANTAR ESTE TIPO DE CAUSAL DE CONTRATACION DIRECTA CREADA POR EL GOBIERNO NACIONAL EN EL AÑO 2024, CUAL SERIA EL TRAMITE EN LA PLATAFORMA SECOP II PARA CELEBRAR DICHO CONTRATO?</w:t>
      </w:r>
      <w:proofErr w:type="gramEnd"/>
      <w:r w:rsidRPr="00C320D1">
        <w:rPr>
          <w:rFonts w:ascii="Verdana" w:eastAsia="Century Gothic" w:hAnsi="Verdana" w:cs="Century Gothic"/>
          <w:sz w:val="20"/>
          <w:szCs w:val="20"/>
        </w:rPr>
        <w:t>” [SIC].</w:t>
      </w:r>
      <w:r w:rsidRPr="00C320D1">
        <w:rPr>
          <w:rFonts w:ascii="Verdana" w:eastAsia="Century Gothic" w:hAnsi="Verdana" w:cs="Century Gothic"/>
          <w:sz w:val="20"/>
          <w:szCs w:val="20"/>
          <w:lang w:val="es-ES"/>
        </w:rPr>
        <w:t xml:space="preserve"> </w:t>
      </w:r>
    </w:p>
    <w:p w14:paraId="0CDA10CF" w14:textId="77777777" w:rsidR="00A937E6" w:rsidRPr="00C320D1" w:rsidRDefault="00A937E6" w:rsidP="00A937E6">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4C39710" w14:textId="77777777" w:rsidR="00A937E6" w:rsidRPr="00C320D1" w:rsidRDefault="00A937E6" w:rsidP="00A937E6">
      <w:pPr>
        <w:spacing w:after="120" w:line="276" w:lineRule="auto"/>
        <w:ind w:firstLine="709"/>
        <w:jc w:val="both"/>
        <w:rPr>
          <w:rFonts w:ascii="Verdana" w:eastAsia="Calibri" w:hAnsi="Verdana" w:cs="Arial"/>
          <w:color w:val="000000"/>
          <w:lang w:val="es-ES" w:eastAsia="es-ES"/>
        </w:rPr>
      </w:pPr>
      <w:r w:rsidRPr="00C320D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C320D1">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320D1">
        <w:rPr>
          <w:rFonts w:ascii="Verdana" w:eastAsia="Calibri" w:hAnsi="Verdana" w:cs="Arial"/>
          <w:color w:val="000000"/>
          <w:szCs w:val="24"/>
          <w:lang w:val="es-ES_tradnl" w:eastAsia="es-ES_tradnl"/>
        </w:rPr>
        <w:tab/>
      </w:r>
    </w:p>
    <w:p w14:paraId="7E870DAF" w14:textId="77777777" w:rsidR="00A937E6" w:rsidRPr="00C320D1" w:rsidRDefault="00A937E6" w:rsidP="00A937E6">
      <w:pPr>
        <w:spacing w:after="0" w:line="276" w:lineRule="auto"/>
        <w:ind w:firstLine="709"/>
        <w:jc w:val="both"/>
        <w:rPr>
          <w:rFonts w:ascii="Verdana" w:eastAsia="Calibri" w:hAnsi="Verdana" w:cs="Arial"/>
          <w:color w:val="000000"/>
          <w:lang w:val="es-ES" w:eastAsia="es-ES"/>
        </w:rPr>
      </w:pPr>
      <w:r w:rsidRPr="00C320D1">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unas consideraciones sobre las normas generales relacionadas con los</w:t>
      </w:r>
      <w:r w:rsidRPr="00C320D1">
        <w:rPr>
          <w:rFonts w:ascii="Verdana" w:eastAsia="Calibri" w:hAnsi="Verdana" w:cs="Arial"/>
          <w:color w:val="7030A0"/>
          <w:lang w:val="es-ES" w:eastAsia="es-ES"/>
        </w:rPr>
        <w:t xml:space="preserve"> </w:t>
      </w:r>
      <w:r w:rsidRPr="00C320D1">
        <w:rPr>
          <w:rFonts w:ascii="Verdana" w:eastAsia="Calibri" w:hAnsi="Verdana" w:cs="Arial"/>
          <w:color w:val="000000"/>
          <w:lang w:val="es-ES" w:eastAsia="es-ES"/>
        </w:rPr>
        <w:t>problemas</w:t>
      </w:r>
      <w:r w:rsidRPr="00C320D1">
        <w:rPr>
          <w:rFonts w:ascii="Verdana" w:eastAsia="Calibri" w:hAnsi="Verdana" w:cs="Arial"/>
          <w:color w:val="7030A0"/>
          <w:lang w:val="es-ES" w:eastAsia="es-ES"/>
        </w:rPr>
        <w:t xml:space="preserve"> </w:t>
      </w:r>
      <w:r w:rsidRPr="00C320D1">
        <w:rPr>
          <w:rFonts w:ascii="Verdana" w:eastAsia="Calibri" w:hAnsi="Verdana" w:cs="Arial"/>
          <w:color w:val="000000"/>
          <w:lang w:val="es-ES" w:eastAsia="es-ES"/>
        </w:rPr>
        <w:t>jurídicos</w:t>
      </w:r>
      <w:r w:rsidRPr="00C320D1">
        <w:rPr>
          <w:rFonts w:ascii="Verdana" w:eastAsia="Calibri" w:hAnsi="Verdana" w:cs="Arial"/>
          <w:color w:val="7030A0"/>
          <w:lang w:val="es-ES" w:eastAsia="es-ES"/>
        </w:rPr>
        <w:t xml:space="preserve"> </w:t>
      </w:r>
      <w:r w:rsidRPr="00C320D1">
        <w:rPr>
          <w:rFonts w:ascii="Verdana" w:eastAsia="Calibri" w:hAnsi="Verdana" w:cs="Arial"/>
          <w:color w:val="000000"/>
          <w:lang w:val="es-ES" w:eastAsia="es-ES"/>
        </w:rPr>
        <w:t xml:space="preserve">de su consulta. </w:t>
      </w:r>
    </w:p>
    <w:p w14:paraId="1E2500B7" w14:textId="77777777" w:rsidR="00A937E6" w:rsidRPr="00C320D1" w:rsidRDefault="00A937E6" w:rsidP="00A937E6">
      <w:pPr>
        <w:spacing w:after="0" w:line="276" w:lineRule="auto"/>
        <w:ind w:firstLine="709"/>
        <w:jc w:val="both"/>
        <w:rPr>
          <w:rFonts w:ascii="Verdana" w:eastAsia="Calibri" w:hAnsi="Verdana" w:cs="Arial"/>
          <w:color w:val="000000"/>
          <w:lang w:val="es-ES" w:eastAsia="es-ES"/>
        </w:rPr>
      </w:pPr>
    </w:p>
    <w:p w14:paraId="0C9935FD" w14:textId="77777777" w:rsidR="00A937E6" w:rsidRPr="00C320D1" w:rsidRDefault="00A937E6" w:rsidP="00A93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320D1">
        <w:rPr>
          <w:rFonts w:ascii="Verdana" w:eastAsia="Century Gothic" w:hAnsi="Verdana" w:cs="Century Gothic"/>
          <w:b/>
          <w:bCs/>
        </w:rPr>
        <w:t>Problemas planteados:</w:t>
      </w:r>
    </w:p>
    <w:p w14:paraId="6CB8E5A7" w14:textId="77777777" w:rsidR="00A937E6" w:rsidRPr="00C320D1" w:rsidRDefault="00A937E6" w:rsidP="00A937E6">
      <w:pPr>
        <w:tabs>
          <w:tab w:val="left" w:pos="426"/>
        </w:tabs>
        <w:spacing w:after="0" w:line="276" w:lineRule="auto"/>
        <w:jc w:val="both"/>
        <w:rPr>
          <w:rFonts w:ascii="Verdana" w:eastAsia="Century Gothic" w:hAnsi="Verdana" w:cs="Century Gothic"/>
          <w:lang w:val="es-ES"/>
        </w:rPr>
      </w:pPr>
    </w:p>
    <w:p w14:paraId="0C4F2118" w14:textId="77777777" w:rsidR="00A937E6" w:rsidRPr="00C320D1" w:rsidRDefault="00A937E6" w:rsidP="00A937E6">
      <w:pPr>
        <w:spacing w:after="0" w:line="276" w:lineRule="auto"/>
        <w:jc w:val="both"/>
        <w:rPr>
          <w:rFonts w:ascii="Verdana" w:eastAsia="Century Gothic" w:hAnsi="Verdana" w:cs="Century Gothic"/>
        </w:rPr>
      </w:pPr>
      <w:r w:rsidRPr="00C320D1">
        <w:rPr>
          <w:rFonts w:ascii="Verdana" w:eastAsia="Century Gothic" w:hAnsi="Verdana" w:cs="Century Gothic"/>
        </w:rPr>
        <w:t xml:space="preserve">De acuerdo con el contenido de su solicitud, esta Agencia resolverá el siguiente problema jurídico: ¿Los contratos de Asociaciones Público-Populares reguladas en el artículo 100 de la Ley 2294 de 2023 de forma directa deben ser publicados en el SECOP?       </w:t>
      </w:r>
      <w:r w:rsidRPr="00C320D1">
        <w:rPr>
          <w:rFonts w:ascii="Verdana" w:eastAsia="Century Gothic" w:hAnsi="Verdana" w:cs="Century Gothic"/>
          <w:color w:val="7030A0"/>
        </w:rPr>
        <w:t xml:space="preserve"> </w:t>
      </w:r>
    </w:p>
    <w:p w14:paraId="52B55F13" w14:textId="77777777" w:rsidR="00A937E6" w:rsidRPr="00C320D1" w:rsidRDefault="00A937E6" w:rsidP="00A937E6">
      <w:pPr>
        <w:spacing w:after="0" w:line="276" w:lineRule="auto"/>
        <w:jc w:val="both"/>
        <w:rPr>
          <w:rFonts w:ascii="Verdana" w:eastAsia="Calibri" w:hAnsi="Verdana" w:cs="Arial"/>
          <w:color w:val="7030A0"/>
        </w:rPr>
      </w:pPr>
    </w:p>
    <w:p w14:paraId="130D2F13" w14:textId="77777777" w:rsidR="00A937E6" w:rsidRPr="00C320D1" w:rsidRDefault="00A937E6" w:rsidP="00A93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320D1">
        <w:rPr>
          <w:rFonts w:ascii="Verdana" w:eastAsia="Century Gothic" w:hAnsi="Verdana" w:cs="Century Gothic"/>
          <w:b/>
          <w:bCs/>
        </w:rPr>
        <w:t>Respuestas:</w:t>
      </w:r>
    </w:p>
    <w:p w14:paraId="7BD3B734" w14:textId="77777777" w:rsidR="00A937E6" w:rsidRPr="00C320D1" w:rsidRDefault="00A937E6" w:rsidP="00A937E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937E6" w:rsidRPr="00C320D1" w14:paraId="4D46DA0E" w14:textId="77777777" w:rsidTr="004B69A5">
        <w:trPr>
          <w:jc w:val="center"/>
        </w:trPr>
        <w:tc>
          <w:tcPr>
            <w:tcW w:w="8828" w:type="dxa"/>
            <w:shd w:val="clear" w:color="auto" w:fill="auto"/>
          </w:tcPr>
          <w:p w14:paraId="042834CA" w14:textId="71124DA8" w:rsidR="00A937E6" w:rsidRPr="00C320D1" w:rsidRDefault="00A937E6" w:rsidP="004B69A5">
            <w:pPr>
              <w:pBdr>
                <w:top w:val="nil"/>
                <w:left w:val="nil"/>
                <w:bottom w:val="nil"/>
                <w:right w:val="nil"/>
                <w:between w:val="nil"/>
              </w:pBdr>
              <w:spacing w:after="120" w:line="276" w:lineRule="auto"/>
              <w:jc w:val="both"/>
              <w:rPr>
                <w:rFonts w:ascii="Verdana" w:eastAsia="Calibri" w:hAnsi="Verdana" w:cs="Arial"/>
                <w:color w:val="000000" w:themeColor="text1"/>
              </w:rPr>
            </w:pPr>
            <w:bookmarkStart w:id="1" w:name="_Hlk171694685"/>
            <w:r w:rsidRPr="00C320D1">
              <w:rPr>
                <w:rFonts w:ascii="Verdana" w:hAnsi="Verdana" w:cs="Arial"/>
                <w:color w:val="000000" w:themeColor="text1"/>
              </w:rPr>
              <w:t>Respecto a la utilización de la plataforma SECOP en el marco de la celebración de Asociaciones Público-Populares es</w:t>
            </w:r>
            <w:r w:rsidRPr="00C320D1">
              <w:rPr>
                <w:rFonts w:ascii="Verdana" w:eastAsia="Calibri" w:hAnsi="Verdana" w:cs="Arial"/>
                <w:color w:val="000000" w:themeColor="text1"/>
              </w:rPr>
              <w:t xml:space="preserve"> importante indicar que, el artículo 2.2.16.1.10. del Decreto</w:t>
            </w:r>
            <w:r w:rsidR="007C123F" w:rsidRPr="00C320D1">
              <w:rPr>
                <w:rFonts w:ascii="Verdana" w:eastAsia="Calibri" w:hAnsi="Verdana" w:cs="Arial"/>
                <w:color w:val="000000" w:themeColor="text1"/>
              </w:rPr>
              <w:t xml:space="preserve"> </w:t>
            </w:r>
            <w:r w:rsidR="007C123F" w:rsidRPr="00C320D1">
              <w:rPr>
                <w:rFonts w:ascii="Verdana" w:eastAsia="Calibri" w:hAnsi="Verdana" w:cs="Arial"/>
                <w:lang w:val="es-ES_tradnl"/>
              </w:rPr>
              <w:t>874 de 2024</w:t>
            </w:r>
            <w:r w:rsidRPr="00C320D1">
              <w:rPr>
                <w:rFonts w:ascii="Verdana" w:eastAsia="Calibri" w:hAnsi="Verdana" w:cs="Arial"/>
                <w:color w:val="000000" w:themeColor="text1"/>
              </w:rPr>
              <w:t xml:space="preserve"> regula lo referente al uso de la plataforma SECOP II en </w:t>
            </w:r>
            <w:r w:rsidR="00E971C8" w:rsidRPr="00C320D1">
              <w:rPr>
                <w:rFonts w:ascii="Verdana" w:eastAsia="Calibri" w:hAnsi="Verdana" w:cs="Arial"/>
                <w:color w:val="000000" w:themeColor="text1"/>
              </w:rPr>
              <w:t>este tipo de contratos</w:t>
            </w:r>
            <w:r w:rsidRPr="00C320D1">
              <w:rPr>
                <w:rFonts w:ascii="Verdana" w:eastAsia="Calibri" w:hAnsi="Verdana" w:cs="Arial"/>
                <w:color w:val="000000" w:themeColor="text1"/>
              </w:rPr>
              <w:t>.</w:t>
            </w:r>
            <w:r w:rsidR="006E04C0" w:rsidRPr="00C320D1">
              <w:rPr>
                <w:rFonts w:ascii="Verdana" w:eastAsia="Calibri" w:hAnsi="Verdana" w:cs="Arial"/>
                <w:color w:val="000000" w:themeColor="text1"/>
              </w:rPr>
              <w:t xml:space="preserve"> La señalada</w:t>
            </w:r>
            <w:r w:rsidRPr="00C320D1">
              <w:rPr>
                <w:rFonts w:ascii="Verdana" w:eastAsia="Calibri" w:hAnsi="Verdana" w:cs="Arial"/>
                <w:color w:val="000000" w:themeColor="text1"/>
              </w:rPr>
              <w:t xml:space="preserve"> disposición indica que, la Entidad Estatal deberá garantizar la publicidad de los procedimientos, documentos y actos asociados a los Procesos de Contratación adelantados por esta tipología contractual, la cual deberá realizarse tanto en la página web de la Entidad Estatal correspondiente como en el SECOP. Así las cosas, de conformidad con la referida norma, la publicidad de los documentos del Proceso de Contratación y de los contratos denominados Asociaciones Público–Populares deberá realizarse </w:t>
            </w:r>
            <w:r w:rsidR="002153CB" w:rsidRPr="00C320D1">
              <w:rPr>
                <w:rFonts w:ascii="Verdana" w:eastAsia="Calibri" w:hAnsi="Verdana" w:cs="Arial"/>
                <w:color w:val="000000" w:themeColor="text1"/>
              </w:rPr>
              <w:t xml:space="preserve">tanto </w:t>
            </w:r>
            <w:r w:rsidRPr="00C320D1">
              <w:rPr>
                <w:rFonts w:ascii="Verdana" w:eastAsia="Calibri" w:hAnsi="Verdana" w:cs="Arial"/>
                <w:color w:val="000000" w:themeColor="text1"/>
              </w:rPr>
              <w:t>en el SECOP</w:t>
            </w:r>
            <w:r w:rsidR="008E42BD" w:rsidRPr="00C320D1">
              <w:rPr>
                <w:rFonts w:ascii="Verdana" w:eastAsia="Calibri" w:hAnsi="Verdana" w:cs="Arial"/>
                <w:color w:val="000000" w:themeColor="text1"/>
              </w:rPr>
              <w:t xml:space="preserve">, como </w:t>
            </w:r>
            <w:r w:rsidRPr="00C320D1">
              <w:rPr>
                <w:rFonts w:ascii="Verdana" w:eastAsia="Calibri" w:hAnsi="Verdana" w:cs="Arial"/>
                <w:color w:val="000000" w:themeColor="text1"/>
              </w:rPr>
              <w:t xml:space="preserve">en la página web de la Entidad Estatal que desarrolla el proceso. </w:t>
            </w:r>
          </w:p>
          <w:p w14:paraId="157DD645" w14:textId="77777777" w:rsidR="00A937E6" w:rsidRPr="00C320D1" w:rsidRDefault="00A937E6" w:rsidP="004B69A5">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rPr>
              <w:t xml:space="preserve">Por otro lado, el inciso segundo establece el deber de las personas naturales o entidades sin ánimo de lucro que pertenezcan a la Economía </w:t>
            </w:r>
            <w:r w:rsidRPr="00C320D1">
              <w:rPr>
                <w:rFonts w:ascii="Verdana" w:eastAsia="Calibri" w:hAnsi="Verdana" w:cs="Arial"/>
                <w:color w:val="000000" w:themeColor="text1"/>
              </w:rPr>
              <w:lastRenderedPageBreak/>
              <w:t xml:space="preserve">Popular y Comunitaria de estar registradas en el SECOP o el sistema que haga sus veces. Esta última expresión debe interpretarse bajo el entendido de que el SECOP II es la plataforma oficial que actualmente se utiliza como mecanismo de publicidad de la actividad contractual que se desarrolla con recursos púbicos, y la que permite el registro de los proveedores. La locución no puede interpretarse como una autorización para que las entidades obligadas en virtud de este artículo puedan emplear solamente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información y documentación pública. </w:t>
            </w:r>
          </w:p>
          <w:p w14:paraId="1791C0FA" w14:textId="50F9CC77" w:rsidR="00A937E6" w:rsidRPr="00C320D1" w:rsidRDefault="00A937E6" w:rsidP="004B69A5">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rPr>
              <w:t xml:space="preserve">Finalmente, </w:t>
            </w:r>
            <w:r w:rsidR="005262BD" w:rsidRPr="00C320D1">
              <w:rPr>
                <w:rFonts w:ascii="Verdana" w:eastAsia="Calibri" w:hAnsi="Verdana" w:cs="Arial"/>
                <w:color w:val="000000" w:themeColor="text1"/>
              </w:rPr>
              <w:t xml:space="preserve">debe señalarse que, </w:t>
            </w:r>
            <w:r w:rsidRPr="00C320D1">
              <w:rPr>
                <w:rFonts w:ascii="Verdana" w:eastAsia="Calibri" w:hAnsi="Verdana" w:cs="Arial"/>
                <w:color w:val="000000" w:themeColor="text1"/>
              </w:rPr>
              <w:t>el parágrafo del artículo 2.2.16.1.10. dispone que la persona natural o la entidad sin ánimo de lucro que pertenezca a la Economía Popular y Comunitaria y que celebre un contrato de Asociación Público-Popular deberá remitir a la Entidad Estatal la información relativa a los contratos que suscriba con terceros para dar cumplimiento al objeto de contrato, esto con miras a garantizar la publicidad de todo el Proceso Contractual.</w:t>
            </w:r>
          </w:p>
          <w:p w14:paraId="68AE87BE" w14:textId="77777777" w:rsidR="00A937E6" w:rsidRPr="00C320D1" w:rsidRDefault="00A937E6" w:rsidP="00BE6E1E">
            <w:pPr>
              <w:pBdr>
                <w:top w:val="nil"/>
                <w:left w:val="nil"/>
                <w:bottom w:val="nil"/>
                <w:right w:val="nil"/>
                <w:between w:val="nil"/>
              </w:pBdr>
              <w:spacing w:after="120" w:line="276" w:lineRule="auto"/>
              <w:ind w:firstLine="709"/>
              <w:jc w:val="both"/>
              <w:rPr>
                <w:rFonts w:ascii="Verdana" w:eastAsia="Calibri" w:hAnsi="Verdana" w:cs="Arial"/>
                <w:color w:val="000000" w:themeColor="text1"/>
              </w:rPr>
            </w:pPr>
            <w:r w:rsidRPr="00C320D1">
              <w:rPr>
                <w:rFonts w:ascii="Verdana" w:eastAsia="Calibri" w:hAnsi="Verdana" w:cs="Arial"/>
                <w:color w:val="000000" w:themeColor="text1"/>
              </w:rPr>
              <w:t>En consecuencia, es posible concluir que, con el fin de garantizar la publicidad de los contratos de Asociaciones Público–Populares,</w:t>
            </w:r>
            <w:r w:rsidR="00FE445A" w:rsidRPr="00C320D1">
              <w:rPr>
                <w:rFonts w:ascii="Verdana" w:eastAsia="Calibri" w:hAnsi="Verdana" w:cs="Arial"/>
                <w:color w:val="000000" w:themeColor="text1"/>
              </w:rPr>
              <w:t xml:space="preserve"> el Decreto 874 de 2024</w:t>
            </w:r>
            <w:r w:rsidRPr="00C320D1">
              <w:rPr>
                <w:rFonts w:ascii="Verdana" w:eastAsia="Calibri" w:hAnsi="Verdana" w:cs="Arial"/>
                <w:color w:val="000000" w:themeColor="text1"/>
              </w:rPr>
              <w:t xml:space="preserve"> establece lo siguiente: i) las Entidades Estatales deben publicar los procedimientos, documentos y actos asociados a los Procesos de Contratación adelantados</w:t>
            </w:r>
            <w:r w:rsidRPr="00C320D1">
              <w:t xml:space="preserve"> </w:t>
            </w:r>
            <w:r w:rsidRPr="00C320D1">
              <w:rPr>
                <w:rFonts w:ascii="Verdana" w:eastAsia="Calibri" w:hAnsi="Verdana" w:cs="Arial"/>
                <w:color w:val="000000" w:themeColor="text1"/>
              </w:rPr>
              <w:t>por la tipología contractual tanto en el SECOP como en sus páginas web; ii) los actores de la Economía Popular y Comunitaria que celebren la tipología contractual de Asociaciones Público–Populares deberán estar registrados en el SECOP y; iii) finalmente, consagra la obligación de la persona natural o la entidad sin ánimo de lucro que pertenezca a la Economía Popular y Comunitaria y que celebre un contrato por medio de una Asociación Público–Popular de remitir a la Entidad Estatal la información relativa a los contratos que suscriba con terceros para dar cumplimiento al objeto de contrato.</w:t>
            </w:r>
          </w:p>
          <w:p w14:paraId="4DA4FB3B" w14:textId="7213162B" w:rsidR="00BE6E1E" w:rsidRPr="00C320D1" w:rsidRDefault="00BE6E1E" w:rsidP="004B69A5">
            <w:pPr>
              <w:pBdr>
                <w:top w:val="nil"/>
                <w:left w:val="nil"/>
                <w:bottom w:val="nil"/>
                <w:right w:val="nil"/>
                <w:between w:val="nil"/>
              </w:pBdr>
              <w:spacing w:line="276" w:lineRule="auto"/>
              <w:ind w:firstLine="709"/>
              <w:jc w:val="both"/>
              <w:rPr>
                <w:rFonts w:ascii="Verdana" w:eastAsia="Calibri" w:hAnsi="Verdana" w:cs="Arial"/>
                <w:color w:val="000000" w:themeColor="text1"/>
              </w:rPr>
            </w:pPr>
            <w:r w:rsidRPr="00C320D1">
              <w:rPr>
                <w:rFonts w:ascii="Verdana" w:hAnsi="Verdana" w:cs="Arial"/>
                <w:color w:val="000000" w:themeColor="text1"/>
              </w:rPr>
              <w:t>La Agencia Nacional de Contratación Pública – Colombia Compra Eficiente ha puesto a disposición de los partícipes del sistema de compra pública el módulo de “Contratación Directa (sin ofertas)” en el SECOP II de manera transaccional. En este</w:t>
            </w:r>
            <w:r w:rsidR="005B0A16" w:rsidRPr="00C320D1">
              <w:rPr>
                <w:rFonts w:ascii="Verdana" w:hAnsi="Verdana" w:cs="Arial"/>
                <w:color w:val="000000" w:themeColor="text1"/>
              </w:rPr>
              <w:t xml:space="preserve"> sentido</w:t>
            </w:r>
            <w:r w:rsidRPr="00C320D1">
              <w:rPr>
                <w:rFonts w:ascii="Verdana" w:hAnsi="Verdana" w:cs="Arial"/>
                <w:color w:val="000000" w:themeColor="text1"/>
              </w:rPr>
              <w:t>, las Entidades Estatales puedan gestionar los Procesos de Contratación y contratos de Asociaciones Público-</w:t>
            </w:r>
            <w:r w:rsidRPr="00C320D1">
              <w:rPr>
                <w:rFonts w:ascii="Verdana" w:hAnsi="Verdana" w:cs="Arial"/>
                <w:color w:val="000000" w:themeColor="text1"/>
              </w:rPr>
              <w:lastRenderedPageBreak/>
              <w:t>Populares los cuales están sometidos al Estatuto General de Contratación de la Administración Pública.</w:t>
            </w:r>
          </w:p>
        </w:tc>
      </w:tr>
    </w:tbl>
    <w:p w14:paraId="322819D6" w14:textId="77777777" w:rsidR="00A937E6" w:rsidRPr="00C320D1" w:rsidRDefault="00A937E6" w:rsidP="00A937E6">
      <w:pPr>
        <w:tabs>
          <w:tab w:val="left" w:pos="142"/>
          <w:tab w:val="left" w:pos="284"/>
        </w:tabs>
        <w:spacing w:after="0" w:line="276" w:lineRule="auto"/>
        <w:jc w:val="both"/>
        <w:rPr>
          <w:rFonts w:ascii="Verdana" w:eastAsia="Century Gothic" w:hAnsi="Verdana" w:cs="Century Gothic"/>
          <w:b/>
          <w:bCs/>
          <w:lang w:val="es-ES"/>
        </w:rPr>
      </w:pPr>
    </w:p>
    <w:bookmarkEnd w:id="1"/>
    <w:p w14:paraId="4773FCE9" w14:textId="77777777" w:rsidR="00A937E6" w:rsidRPr="00C320D1" w:rsidRDefault="00A937E6" w:rsidP="00A93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320D1">
        <w:rPr>
          <w:rFonts w:ascii="Verdana" w:eastAsia="Century Gothic" w:hAnsi="Verdana" w:cs="Century Gothic"/>
          <w:b/>
          <w:bCs/>
        </w:rPr>
        <w:t>Razones de las respuestas:</w:t>
      </w:r>
    </w:p>
    <w:p w14:paraId="47BA4C23" w14:textId="77777777" w:rsidR="00A937E6" w:rsidRPr="00C320D1" w:rsidRDefault="00A937E6" w:rsidP="00A937E6">
      <w:pPr>
        <w:spacing w:after="0" w:line="276" w:lineRule="auto"/>
        <w:jc w:val="both"/>
        <w:rPr>
          <w:rFonts w:ascii="Verdana" w:eastAsia="Calibri" w:hAnsi="Verdana" w:cs="Arial"/>
          <w:lang w:val="es-ES"/>
        </w:rPr>
      </w:pPr>
    </w:p>
    <w:p w14:paraId="5107BE38" w14:textId="77777777" w:rsidR="00A937E6" w:rsidRPr="00C320D1" w:rsidRDefault="00A937E6" w:rsidP="00A937E6">
      <w:pPr>
        <w:spacing w:after="0" w:line="276" w:lineRule="auto"/>
        <w:jc w:val="both"/>
        <w:rPr>
          <w:rFonts w:ascii="Verdana" w:eastAsia="Calibri" w:hAnsi="Verdana" w:cs="Arial"/>
          <w:lang w:val="es-ES"/>
        </w:rPr>
      </w:pPr>
      <w:r w:rsidRPr="00C320D1">
        <w:rPr>
          <w:rFonts w:ascii="Verdana" w:eastAsia="Calibri" w:hAnsi="Verdana" w:cs="Arial"/>
          <w:lang w:val="es-ES"/>
        </w:rPr>
        <w:t>Lo anterior se sustenta en las siguientes consideraciones:</w:t>
      </w:r>
    </w:p>
    <w:p w14:paraId="31194C93" w14:textId="77777777" w:rsidR="00A937E6" w:rsidRPr="00C320D1" w:rsidRDefault="00A937E6" w:rsidP="00A937E6">
      <w:pPr>
        <w:spacing w:after="0" w:line="276" w:lineRule="auto"/>
        <w:jc w:val="both"/>
        <w:rPr>
          <w:rFonts w:ascii="Verdana" w:eastAsia="Calibri" w:hAnsi="Verdana" w:cs="Arial"/>
          <w:bCs/>
          <w:color w:val="000000" w:themeColor="text1"/>
          <w:lang w:val="es-ES_tradnl"/>
        </w:rPr>
      </w:pPr>
    </w:p>
    <w:p w14:paraId="329B8243" w14:textId="77777777" w:rsidR="00A937E6" w:rsidRPr="00C320D1" w:rsidRDefault="00A937E6" w:rsidP="00A937E6">
      <w:pPr>
        <w:spacing w:after="120" w:line="276" w:lineRule="auto"/>
        <w:jc w:val="both"/>
        <w:rPr>
          <w:rFonts w:ascii="Verdana" w:hAnsi="Verdana"/>
        </w:rPr>
      </w:pPr>
      <w:r w:rsidRPr="00C320D1">
        <w:rPr>
          <w:rFonts w:ascii="Verdana" w:eastAsia="Calibri" w:hAnsi="Verdana" w:cs="Arial"/>
          <w:bCs/>
          <w:color w:val="000000" w:themeColor="text1"/>
          <w:lang w:val="es-ES_tradnl"/>
        </w:rPr>
        <w:t>Uno de los ejes del Plan Nacional de Desarrollo 2022-2024, “Colombia Potencia Mundial de la Vida”,</w:t>
      </w:r>
      <w:r w:rsidRPr="00C320D1">
        <w:rPr>
          <w:rFonts w:ascii="Verdana" w:hAnsi="Verdana"/>
        </w:rPr>
        <w:t xml:space="preserve"> aprobado mediante la Ley 2294 de 2023,</w:t>
      </w:r>
      <w:r w:rsidRPr="00C320D1">
        <w:rPr>
          <w:rFonts w:ascii="Verdana" w:eastAsia="Calibri" w:hAnsi="Verdana" w:cs="Arial"/>
          <w:bCs/>
          <w:color w:val="000000" w:themeColor="text1"/>
          <w:lang w:val="es-ES_tradnl"/>
        </w:rPr>
        <w:t xml:space="preserve"> es el fortalecimiento de la </w:t>
      </w:r>
      <w:r w:rsidRPr="00C320D1">
        <w:rPr>
          <w:rFonts w:ascii="Verdana" w:eastAsia="Calibri" w:hAnsi="Verdana" w:cs="Arial"/>
          <w:bCs/>
          <w:i/>
          <w:iCs/>
          <w:color w:val="000000" w:themeColor="text1"/>
          <w:lang w:val="es-ES_tradnl"/>
        </w:rPr>
        <w:t>Economía Popular y Comunitaria</w:t>
      </w:r>
      <w:r w:rsidRPr="00C320D1">
        <w:rPr>
          <w:rFonts w:ascii="Verdana" w:eastAsia="Calibri" w:hAnsi="Verdana" w:cs="Arial"/>
          <w:bCs/>
          <w:color w:val="000000" w:themeColor="text1"/>
          <w:lang w:val="es-ES_tradnl"/>
        </w:rPr>
        <w:t xml:space="preserve">. Lo anterior, bajo los siguientes pilares: </w:t>
      </w:r>
      <w:r w:rsidRPr="00C320D1">
        <w:rPr>
          <w:rFonts w:ascii="Verdana" w:eastAsia="Times New Roman" w:hAnsi="Verdana" w:cs="Times New Roman"/>
          <w:lang w:val="es-ES"/>
        </w:rPr>
        <w:t>“</w:t>
      </w:r>
      <w:r w:rsidRPr="00C320D1">
        <w:rPr>
          <w:rFonts w:ascii="Verdana" w:hAnsi="Verdana"/>
        </w:rPr>
        <w:t xml:space="preserve">[…] (i) marco institucional para su inclusión socioeconómica y sociocultural que fortalezca su capacidad de generación de ingresos; (ii) reconocimiento, caracterización y </w:t>
      </w:r>
      <w:proofErr w:type="spellStart"/>
      <w:r w:rsidRPr="00C320D1">
        <w:rPr>
          <w:rFonts w:ascii="Verdana" w:hAnsi="Verdana"/>
        </w:rPr>
        <w:t>visibilización</w:t>
      </w:r>
      <w:proofErr w:type="spellEnd"/>
      <w:r w:rsidRPr="00C320D1">
        <w:rPr>
          <w:rFonts w:ascii="Verdana" w:hAnsi="Verdana"/>
        </w:rPr>
        <w:t xml:space="preserve"> de su magnitud y aporte a la sociedad tanto en las actividades económicas de mercado como no mercantiles o comunitarias; </w:t>
      </w:r>
      <w:r w:rsidRPr="00C320D1">
        <w:rPr>
          <w:rFonts w:ascii="Verdana" w:hAnsi="Verdana"/>
          <w:i/>
          <w:iCs/>
        </w:rPr>
        <w:t>(iii) diseño de alianzas público-populares con el fin de constituir instancias de representación colectiva para la interlocución con el Estado y otros actores</w:t>
      </w:r>
      <w:r w:rsidRPr="00C320D1">
        <w:rPr>
          <w:rFonts w:ascii="Verdana" w:hAnsi="Verdana"/>
        </w:rPr>
        <w:t>; y (iv) procesos de participación vinculantes con actores de la EP, que reconozca sus realidades, y a partir de allí se formulen las políticas públicas que les beneficie” (Énfasis fuera del texto)</w:t>
      </w:r>
      <w:r w:rsidRPr="00C320D1">
        <w:rPr>
          <w:rStyle w:val="Refdenotaalpie"/>
          <w:rFonts w:ascii="Verdana" w:hAnsi="Verdana"/>
        </w:rPr>
        <w:footnoteReference w:id="1"/>
      </w:r>
      <w:r w:rsidRPr="00C320D1">
        <w:rPr>
          <w:rFonts w:ascii="Verdana" w:hAnsi="Verdana"/>
        </w:rPr>
        <w:t>.</w:t>
      </w:r>
    </w:p>
    <w:p w14:paraId="12E11C89" w14:textId="77777777" w:rsidR="00A937E6" w:rsidRPr="00C320D1" w:rsidRDefault="00A937E6" w:rsidP="00A937E6">
      <w:pPr>
        <w:spacing w:after="120" w:line="276" w:lineRule="auto"/>
        <w:ind w:firstLine="708"/>
        <w:jc w:val="both"/>
        <w:rPr>
          <w:rFonts w:ascii="Verdana" w:hAnsi="Verdana"/>
        </w:rPr>
      </w:pPr>
      <w:r w:rsidRPr="00C320D1">
        <w:rPr>
          <w:rFonts w:ascii="Verdana" w:hAnsi="Verdana"/>
        </w:rPr>
        <w:t>En ese contexto, e</w:t>
      </w:r>
      <w:r w:rsidRPr="00C320D1">
        <w:rPr>
          <w:rFonts w:ascii="Verdana" w:eastAsia="Calibri" w:hAnsi="Verdana" w:cs="Arial"/>
          <w:color w:val="000000" w:themeColor="text1"/>
          <w:lang w:val="es-ES_tradnl"/>
        </w:rPr>
        <w:t>l artículo 100 de la Ley del Plan Nacional de Desarrollo</w:t>
      </w:r>
      <w:r w:rsidRPr="00C320D1">
        <w:rPr>
          <w:rFonts w:ascii="Verdana" w:eastAsia="Calibri" w:hAnsi="Verdana" w:cs="Arial"/>
          <w:bCs/>
          <w:color w:val="000000" w:themeColor="text1"/>
          <w:lang w:val="es-ES_tradnl"/>
        </w:rPr>
        <w:t xml:space="preserve"> dispone que –</w:t>
      </w:r>
      <w:r w:rsidRPr="00C320D1">
        <w:rPr>
          <w:rFonts w:ascii="Verdana" w:eastAsia="Calibri" w:hAnsi="Verdana" w:cs="Arial"/>
          <w:bCs/>
          <w:color w:val="000000" w:themeColor="text1"/>
        </w:rPr>
        <w:t>previa reglamentación del Gobierno Nacional– “Las Entidades Estatales podrán celebrar directamente contratos hasta por la mínima cuantía con personas naturales o entidades sin ánimo de lucro que hagan parte de la Economía Popular y Comunitaria.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w:t>
      </w:r>
    </w:p>
    <w:p w14:paraId="61105F3A" w14:textId="77777777" w:rsidR="00A937E6" w:rsidRPr="00C320D1" w:rsidRDefault="00A937E6" w:rsidP="00A937E6">
      <w:pPr>
        <w:spacing w:after="120" w:line="276" w:lineRule="auto"/>
        <w:ind w:firstLine="708"/>
        <w:jc w:val="both"/>
        <w:rPr>
          <w:rFonts w:ascii="Verdana" w:eastAsia="Calibri" w:hAnsi="Verdana" w:cs="Arial"/>
          <w:lang w:val="es-ES_tradnl"/>
        </w:rPr>
      </w:pPr>
      <w:r w:rsidRPr="00C320D1">
        <w:rPr>
          <w:rFonts w:ascii="Verdana" w:eastAsia="Calibri" w:hAnsi="Verdana" w:cs="Arial"/>
          <w:lang w:val="es-ES_tradnl"/>
        </w:rPr>
        <w:t xml:space="preserve">A este andamiaje jurídico se suma el Decreto 874 de 2024, mediante el cual se </w:t>
      </w:r>
      <w:r w:rsidRPr="00C320D1">
        <w:rPr>
          <w:rFonts w:ascii="Verdana" w:eastAsia="Calibri" w:hAnsi="Verdana" w:cs="Arial"/>
        </w:rPr>
        <w:t xml:space="preserve">adicionó el Título 16 de la Parte 2 del Libro 2 del Decreto </w:t>
      </w:r>
      <w:hyperlink r:id="rId11" w:anchor="1082" w:tooltip="vinculo" w:history="1">
        <w:r w:rsidRPr="00C320D1">
          <w:rPr>
            <w:rStyle w:val="Hipervnculo"/>
            <w:rFonts w:ascii="Verdana" w:eastAsia="Calibri" w:hAnsi="Verdana" w:cs="Arial"/>
            <w:color w:val="auto"/>
            <w:u w:val="none"/>
          </w:rPr>
          <w:t>1082</w:t>
        </w:r>
      </w:hyperlink>
      <w:r w:rsidRPr="00C320D1">
        <w:rPr>
          <w:rFonts w:ascii="Verdana" w:eastAsia="Calibri" w:hAnsi="Verdana" w:cs="Arial"/>
        </w:rPr>
        <w:t xml:space="preserve"> de 2015, con el fin de reglamentar el artículo 100 de la Ley 2294 de 2023, sobre las Asociaciones Público-Populares. </w:t>
      </w:r>
    </w:p>
    <w:p w14:paraId="4C221B65" w14:textId="77777777" w:rsidR="00A937E6" w:rsidRPr="00C320D1" w:rsidRDefault="00A937E6" w:rsidP="00A937E6">
      <w:pP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lang w:val="es-ES_tradnl"/>
        </w:rPr>
        <w:lastRenderedPageBreak/>
        <w:t>Conforme al marco normativo consagrado en el artículo 100 de la Ley 2294 de 2023 y el Decreto 874 de 2024, a través de este mecanismo, para las precisas actividades detalladas en las disposiciones correspondientes, las Entidades Estatales pueden c</w:t>
      </w:r>
      <w:proofErr w:type="spellStart"/>
      <w:r w:rsidRPr="00C320D1">
        <w:rPr>
          <w:rFonts w:ascii="Verdana" w:eastAsia="Calibri" w:hAnsi="Verdana" w:cs="Arial"/>
          <w:color w:val="000000" w:themeColor="text1"/>
        </w:rPr>
        <w:t>elebrar</w:t>
      </w:r>
      <w:proofErr w:type="spellEnd"/>
      <w:r w:rsidRPr="00C320D1">
        <w:rPr>
          <w:rFonts w:ascii="Verdana" w:eastAsia="Calibri" w:hAnsi="Verdana" w:cs="Arial"/>
          <w:color w:val="000000" w:themeColor="text1"/>
        </w:rPr>
        <w:t xml:space="preserve"> directamente contratos hasta por la mínima cuantía con personas naturales o entidades sin ánimo de lucro que hagan parte de la Economía Popular y Comunitaria. </w:t>
      </w:r>
    </w:p>
    <w:p w14:paraId="5381DE09" w14:textId="77777777" w:rsidR="00A937E6" w:rsidRPr="00C320D1" w:rsidRDefault="00A937E6" w:rsidP="00A937E6">
      <w:pPr>
        <w:spacing w:after="120" w:line="276" w:lineRule="auto"/>
        <w:ind w:firstLine="708"/>
        <w:jc w:val="both"/>
        <w:rPr>
          <w:rFonts w:ascii="Verdana" w:eastAsia="Calibri" w:hAnsi="Verdana" w:cs="Arial"/>
          <w:bCs/>
          <w:color w:val="000000" w:themeColor="text1"/>
        </w:rPr>
      </w:pPr>
      <w:r w:rsidRPr="00C320D1">
        <w:rPr>
          <w:rFonts w:ascii="Verdana" w:eastAsia="Calibri" w:hAnsi="Verdana" w:cs="Arial"/>
          <w:bCs/>
          <w:color w:val="000000" w:themeColor="text1"/>
        </w:rPr>
        <w:t xml:space="preserve">Como causal de contratación directa, no se incluyó a través de la modificación expresa del artículo 2, numeral 4 de la Ley 1150 de 2007. Con esto el Congreso de la República dota a las Asociaciones Público-Populares de una sustantividad propia como tipología contractual, aspecto que es congruente con el fortalecimiento de la </w:t>
      </w:r>
      <w:r w:rsidRPr="00C320D1">
        <w:rPr>
          <w:rFonts w:ascii="Verdana" w:eastAsia="Calibri" w:hAnsi="Verdana" w:cs="Arial"/>
          <w:bCs/>
          <w:i/>
          <w:iCs/>
          <w:color w:val="000000" w:themeColor="text1"/>
        </w:rPr>
        <w:t>Economía Popular y Comunitaria</w:t>
      </w:r>
      <w:r w:rsidRPr="00C320D1">
        <w:rPr>
          <w:rFonts w:ascii="Verdana" w:eastAsia="Calibri" w:hAnsi="Verdana" w:cs="Arial"/>
          <w:bCs/>
          <w:color w:val="000000" w:themeColor="text1"/>
        </w:rPr>
        <w:t xml:space="preserve"> como eje de las Bases del Plan Nacional de Desarrollo. Así, dichas asociaciones complementan el listado del artículo 32 de la Ley 80 de 1993.</w:t>
      </w:r>
    </w:p>
    <w:p w14:paraId="382FF223" w14:textId="77777777" w:rsidR="00A937E6" w:rsidRPr="00C320D1" w:rsidRDefault="00A937E6" w:rsidP="00A937E6">
      <w:pPr>
        <w:spacing w:after="120" w:line="276" w:lineRule="auto"/>
        <w:jc w:val="both"/>
        <w:rPr>
          <w:rFonts w:ascii="Verdana" w:eastAsia="Calibri" w:hAnsi="Verdana" w:cs="Arial"/>
          <w:bCs/>
          <w:color w:val="000000" w:themeColor="text1"/>
        </w:rPr>
      </w:pPr>
      <w:r w:rsidRPr="00C320D1">
        <w:rPr>
          <w:rFonts w:ascii="Verdana" w:eastAsia="Calibri" w:hAnsi="Verdana" w:cs="Arial"/>
          <w:bCs/>
          <w:color w:val="000000" w:themeColor="text1"/>
        </w:rPr>
        <w:tab/>
        <w:t>Teniendo en cuenta las particularidades de esta tipología contractual y, en atención al problema jurídico planteado, a continuación, se hará un análisis sobre algunos aspectos que caracterizan a las Asociaciones Público–Populares: i) el objeto; ii) los sujetos; iii) qué se entiende por Economía Popular y Comunitaria y; iv) utilización del SECOP II.</w:t>
      </w:r>
    </w:p>
    <w:p w14:paraId="2268EDA7" w14:textId="77777777" w:rsidR="00A937E6" w:rsidRPr="00C320D1" w:rsidRDefault="00A937E6" w:rsidP="00A937E6">
      <w:pPr>
        <w:spacing w:after="120" w:line="276" w:lineRule="auto"/>
        <w:jc w:val="both"/>
        <w:rPr>
          <w:rFonts w:ascii="Verdana" w:eastAsia="Calibri" w:hAnsi="Verdana" w:cs="Arial"/>
          <w:bCs/>
          <w:color w:val="000000" w:themeColor="text1"/>
        </w:rPr>
      </w:pPr>
      <w:r w:rsidRPr="00C320D1">
        <w:rPr>
          <w:rFonts w:ascii="Verdana" w:eastAsia="Calibri" w:hAnsi="Verdana" w:cs="Arial"/>
          <w:color w:val="000000" w:themeColor="text1"/>
        </w:rPr>
        <w:tab/>
        <w:t xml:space="preserve">i) </w:t>
      </w:r>
      <w:r w:rsidRPr="00C320D1">
        <w:rPr>
          <w:rFonts w:ascii="Verdana" w:eastAsia="Calibri" w:hAnsi="Verdana" w:cs="Arial"/>
          <w:i/>
          <w:iCs/>
          <w:color w:val="000000" w:themeColor="text1"/>
          <w:lang w:val="es-ES_tradnl"/>
        </w:rPr>
        <w:t>Respecto al objeto</w:t>
      </w:r>
      <w:r w:rsidRPr="00C320D1">
        <w:rPr>
          <w:rFonts w:ascii="Verdana" w:eastAsia="Calibri" w:hAnsi="Verdana" w:cs="Arial"/>
          <w:color w:val="000000" w:themeColor="text1"/>
          <w:lang w:val="es-ES_tradnl"/>
        </w:rPr>
        <w:t xml:space="preserve">, las </w:t>
      </w:r>
      <w:r w:rsidRPr="00C320D1">
        <w:rPr>
          <w:rFonts w:ascii="Verdana" w:eastAsia="Calibri" w:hAnsi="Verdana" w:cs="Arial"/>
          <w:bCs/>
          <w:color w:val="000000" w:themeColor="text1"/>
        </w:rPr>
        <w:t xml:space="preserve">Asociaciones Público-Populares se caracterizan por su contenido, el cual debe estar relacionado con alguno de los siguientes aspectos: i) infraestructura social, vivienda rural, vías terciarias y caminos vecinales; ii) cultura; iii) infraestructura productiva local; iv) proyectos de eficiencia energética; v) producción de alimentos; vi) gestión comunitaria del agua; </w:t>
      </w:r>
      <w:proofErr w:type="spellStart"/>
      <w:r w:rsidRPr="00C320D1">
        <w:rPr>
          <w:rFonts w:ascii="Verdana" w:eastAsia="Calibri" w:hAnsi="Verdana" w:cs="Arial"/>
          <w:bCs/>
          <w:color w:val="000000" w:themeColor="text1"/>
        </w:rPr>
        <w:t>vii</w:t>
      </w:r>
      <w:proofErr w:type="spellEnd"/>
      <w:r w:rsidRPr="00C320D1">
        <w:rPr>
          <w:rFonts w:ascii="Verdana" w:eastAsia="Calibri" w:hAnsi="Verdana" w:cs="Arial"/>
          <w:bCs/>
          <w:color w:val="000000" w:themeColor="text1"/>
        </w:rPr>
        <w:t xml:space="preserve">) saneamiento básico; </w:t>
      </w:r>
      <w:proofErr w:type="spellStart"/>
      <w:r w:rsidRPr="00C320D1">
        <w:rPr>
          <w:rFonts w:ascii="Verdana" w:eastAsia="Calibri" w:hAnsi="Verdana" w:cs="Arial"/>
          <w:bCs/>
          <w:color w:val="000000" w:themeColor="text1"/>
        </w:rPr>
        <w:t>viii</w:t>
      </w:r>
      <w:proofErr w:type="spellEnd"/>
      <w:r w:rsidRPr="00C320D1">
        <w:rPr>
          <w:rFonts w:ascii="Verdana" w:eastAsia="Calibri" w:hAnsi="Verdana" w:cs="Arial"/>
          <w:bCs/>
          <w:color w:val="000000" w:themeColor="text1"/>
        </w:rPr>
        <w:t xml:space="preserve">) economía del cuidado; </w:t>
      </w:r>
      <w:proofErr w:type="spellStart"/>
      <w:r w:rsidRPr="00C320D1">
        <w:rPr>
          <w:rFonts w:ascii="Verdana" w:eastAsia="Calibri" w:hAnsi="Verdana" w:cs="Arial"/>
          <w:bCs/>
          <w:color w:val="000000" w:themeColor="text1"/>
        </w:rPr>
        <w:t>ix</w:t>
      </w:r>
      <w:proofErr w:type="spellEnd"/>
      <w:r w:rsidRPr="00C320D1">
        <w:rPr>
          <w:rFonts w:ascii="Verdana" w:eastAsia="Calibri" w:hAnsi="Verdana" w:cs="Arial"/>
          <w:bCs/>
          <w:color w:val="000000" w:themeColor="text1"/>
        </w:rPr>
        <w:t>) fortalecimiento ambiental y comunitario; y x) adquisición de productos de origen o destinación agropecuarios</w:t>
      </w:r>
      <w:r w:rsidRPr="00C320D1">
        <w:rPr>
          <w:rStyle w:val="Refdenotaalpie"/>
          <w:rFonts w:ascii="Verdana" w:eastAsia="Calibri" w:hAnsi="Verdana" w:cs="Arial"/>
          <w:bCs/>
          <w:color w:val="000000" w:themeColor="text1"/>
        </w:rPr>
        <w:footnoteReference w:id="2"/>
      </w:r>
      <w:r w:rsidRPr="00C320D1">
        <w:rPr>
          <w:rFonts w:ascii="Verdana" w:eastAsia="Calibri" w:hAnsi="Verdana" w:cs="Arial"/>
          <w:bCs/>
          <w:color w:val="000000" w:themeColor="text1"/>
        </w:rPr>
        <w:t>. Cualquier objeto que no pertenezca al listado anterior, aunque esté dentro de la mínima cuantía, no podrá contratarse directamente, por lo que deberán aplicarse los demás procesos de selección establecidos en el artículo 2 de la Ley 1150 de 2007.</w:t>
      </w:r>
    </w:p>
    <w:p w14:paraId="2E71D757" w14:textId="77777777" w:rsidR="00A937E6" w:rsidRPr="00C320D1" w:rsidRDefault="00A937E6" w:rsidP="00A937E6">
      <w:pPr>
        <w:spacing w:after="120" w:line="276" w:lineRule="auto"/>
        <w:jc w:val="both"/>
        <w:rPr>
          <w:rFonts w:ascii="Verdana" w:eastAsia="Calibri" w:hAnsi="Verdana" w:cs="Arial"/>
          <w:bCs/>
          <w:color w:val="000000" w:themeColor="text1"/>
        </w:rPr>
      </w:pPr>
      <w:r w:rsidRPr="00C320D1">
        <w:rPr>
          <w:rFonts w:ascii="Verdana" w:eastAsia="Calibri" w:hAnsi="Verdana" w:cs="Arial"/>
          <w:bCs/>
          <w:color w:val="000000" w:themeColor="text1"/>
        </w:rPr>
        <w:tab/>
        <w:t xml:space="preserve">Como la Ley 2294 de 2023 y el Decreto 874 de 2024 no definen estos conceptos, es necesario aplicar las reglas generales sobre el alcance de los </w:t>
      </w:r>
      <w:r w:rsidRPr="00C320D1">
        <w:rPr>
          <w:rFonts w:ascii="Verdana" w:eastAsia="Calibri" w:hAnsi="Verdana" w:cs="Arial"/>
          <w:bCs/>
          <w:color w:val="000000" w:themeColor="text1"/>
        </w:rPr>
        <w:lastRenderedPageBreak/>
        <w:t xml:space="preserve">términos consagrados en el ordenamiento jurídico. Al respecto,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C320D1">
        <w:rPr>
          <w:rFonts w:ascii="Verdana" w:eastAsia="Calibri" w:hAnsi="Verdana" w:cs="Arial"/>
          <w:bCs/>
          <w:i/>
          <w:iCs/>
          <w:color w:val="000000" w:themeColor="text1"/>
        </w:rPr>
        <w:t>ibidem</w:t>
      </w:r>
      <w:r w:rsidRPr="00C320D1">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C320D1">
        <w:rPr>
          <w:rStyle w:val="Refdenotaalpie"/>
          <w:rFonts w:ascii="Verdana" w:eastAsia="Calibri" w:hAnsi="Verdana" w:cs="Arial"/>
          <w:bCs/>
          <w:color w:val="000000" w:themeColor="text1"/>
        </w:rPr>
        <w:footnoteReference w:id="3"/>
      </w:r>
      <w:r w:rsidRPr="00C320D1">
        <w:rPr>
          <w:rFonts w:ascii="Verdana" w:eastAsia="Calibri" w:hAnsi="Verdana" w:cs="Arial"/>
          <w:bCs/>
          <w:color w:val="000000" w:themeColor="text1"/>
        </w:rPr>
        <w:t xml:space="preserve">. Dentro de este marco, cada Entidad Estatal definirá si el objeto contractual se enmarca o no dentro del listado que de forma taxativa incorpora el artículo 100 de la Ley 2294 de 2023.  </w:t>
      </w:r>
    </w:p>
    <w:p w14:paraId="605EFCDF" w14:textId="77777777" w:rsidR="00A937E6" w:rsidRPr="00C320D1" w:rsidRDefault="00A937E6" w:rsidP="00A937E6">
      <w:pPr>
        <w:spacing w:after="120" w:line="276" w:lineRule="auto"/>
        <w:ind w:firstLine="708"/>
        <w:jc w:val="both"/>
        <w:rPr>
          <w:rFonts w:ascii="Verdana" w:eastAsia="Calibri" w:hAnsi="Verdana" w:cs="Arial"/>
          <w:bCs/>
          <w:color w:val="000000" w:themeColor="text1"/>
        </w:rPr>
      </w:pPr>
      <w:r w:rsidRPr="00C320D1">
        <w:rPr>
          <w:rFonts w:ascii="Verdana" w:eastAsia="Calibri" w:hAnsi="Verdana" w:cs="Arial"/>
          <w:bCs/>
          <w:color w:val="000000" w:themeColor="text1"/>
        </w:rPr>
        <w:t xml:space="preserve">ii) </w:t>
      </w:r>
      <w:r w:rsidRPr="00C320D1">
        <w:rPr>
          <w:rFonts w:ascii="Verdana" w:eastAsia="Calibri" w:hAnsi="Verdana" w:cs="Arial"/>
          <w:bCs/>
          <w:i/>
          <w:iCs/>
          <w:color w:val="000000" w:themeColor="text1"/>
        </w:rPr>
        <w:t>Respecto a los sujetos</w:t>
      </w:r>
      <w:r w:rsidRPr="00C320D1">
        <w:rPr>
          <w:rFonts w:ascii="Verdana" w:eastAsia="Calibri" w:hAnsi="Verdana" w:cs="Arial"/>
          <w:bCs/>
          <w:color w:val="000000" w:themeColor="text1"/>
        </w:rPr>
        <w:t xml:space="preserve">, la norma menciona a las “personas naturales o entidades sin ánimo de lucro que hagan parte de la economía popular y comunitaria”. Esto significa que las Asociaciones Público-Populares no aplican a las personas jurídicas constituidas con sujeción al Código de Comercio, especialmente, cuando la causa del contrato de sociedad es el </w:t>
      </w:r>
      <w:r w:rsidRPr="00C320D1">
        <w:rPr>
          <w:rFonts w:ascii="Verdana" w:eastAsia="Calibri" w:hAnsi="Verdana" w:cs="Arial"/>
          <w:bCs/>
          <w:i/>
          <w:iCs/>
          <w:color w:val="000000" w:themeColor="text1"/>
        </w:rPr>
        <w:t xml:space="preserve">animus </w:t>
      </w:r>
      <w:proofErr w:type="spellStart"/>
      <w:r w:rsidRPr="00C320D1">
        <w:rPr>
          <w:rFonts w:ascii="Verdana" w:eastAsia="Calibri" w:hAnsi="Verdana" w:cs="Arial"/>
          <w:bCs/>
          <w:i/>
          <w:iCs/>
          <w:color w:val="000000" w:themeColor="text1"/>
        </w:rPr>
        <w:t>lucrandi</w:t>
      </w:r>
      <w:proofErr w:type="spellEnd"/>
      <w:r w:rsidRPr="00C320D1">
        <w:rPr>
          <w:rStyle w:val="Refdenotaalpie"/>
          <w:rFonts w:ascii="Verdana" w:eastAsia="Calibri" w:hAnsi="Verdana" w:cs="Arial"/>
          <w:bCs/>
          <w:color w:val="000000" w:themeColor="text1"/>
        </w:rPr>
        <w:footnoteReference w:id="4"/>
      </w:r>
      <w:r w:rsidRPr="00C320D1">
        <w:rPr>
          <w:rFonts w:ascii="Verdana" w:eastAsia="Calibri" w:hAnsi="Verdana" w:cs="Arial"/>
          <w:bCs/>
          <w:color w:val="000000" w:themeColor="text1"/>
        </w:rPr>
        <w:t xml:space="preserve">. En contraste, </w:t>
      </w:r>
      <w:r w:rsidRPr="00C320D1">
        <w:rPr>
          <w:rFonts w:ascii="Verdana" w:eastAsia="Calibri" w:hAnsi="Verdana" w:cs="Arial"/>
          <w:color w:val="000000" w:themeColor="text1"/>
          <w:lang w:val="es-ES_tradnl"/>
        </w:rPr>
        <w:t>las corporaciones y fundaciones de beneficencia pública previstas en los artículos 633 y siguientes del Código Civil carecen de este último elemento</w:t>
      </w:r>
      <w:r w:rsidRPr="00C320D1">
        <w:rPr>
          <w:rStyle w:val="Refdenotaalpie"/>
          <w:rFonts w:ascii="Verdana" w:eastAsia="Calibri" w:hAnsi="Verdana" w:cs="Arial"/>
          <w:color w:val="000000" w:themeColor="text1"/>
          <w:lang w:val="es-ES_tradnl"/>
        </w:rPr>
        <w:footnoteReference w:id="5"/>
      </w:r>
      <w:r w:rsidRPr="00C320D1">
        <w:rPr>
          <w:rFonts w:ascii="Verdana" w:eastAsia="Calibri" w:hAnsi="Verdana" w:cs="Arial"/>
          <w:color w:val="000000" w:themeColor="text1"/>
          <w:lang w:val="es-ES_tradnl"/>
        </w:rPr>
        <w:t xml:space="preserve">. Ello no significa que las sociedades comerciales estén excluidas del sistema de compras públicas, pues podrán concurrir a los demás procesos de selección del artículo 2 de la Ley 1150 de 2007, no obstante, no podrán celebrar contratos de Asociación Público–Popular, por no ser destinatarias del artículo 100 de la Ley del Plan Nacional de Desarrollo. </w:t>
      </w:r>
    </w:p>
    <w:p w14:paraId="3717CFCD" w14:textId="77777777" w:rsidR="00A937E6" w:rsidRPr="00C320D1" w:rsidRDefault="00A937E6" w:rsidP="00A937E6">
      <w:pPr>
        <w:spacing w:after="0" w:line="276" w:lineRule="auto"/>
        <w:ind w:firstLine="709"/>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Por lo demás, estos contratos no aplican a las personas naturales y entidades sin ánimo de lucro en sí mismas consideradas, sino en tanto hagan parte de la “Economía Popular y Comunitaria”. Esto se ratifica con el contenido </w:t>
      </w:r>
      <w:r w:rsidRPr="00C320D1">
        <w:rPr>
          <w:rFonts w:ascii="Verdana" w:eastAsia="Calibri" w:hAnsi="Verdana" w:cs="Arial"/>
          <w:color w:val="000000" w:themeColor="text1"/>
          <w:lang w:val="es-ES_tradnl"/>
        </w:rPr>
        <w:lastRenderedPageBreak/>
        <w:t>del</w:t>
      </w:r>
      <w:r w:rsidRPr="00C320D1">
        <w:rPr>
          <w:rFonts w:ascii="Verdana" w:eastAsia="Arial" w:hAnsi="Verdana" w:cs="Arial"/>
          <w:color w:val="000000"/>
        </w:rPr>
        <w:t xml:space="preserve"> artículo 2.2.16.1.5 del Decreto 1082 de 2015 –adicionado por el Decreto 874 de 2023–, el cual dispone lo siguiente: </w:t>
      </w:r>
    </w:p>
    <w:p w14:paraId="278BCEAE" w14:textId="77777777" w:rsidR="00A937E6" w:rsidRPr="00C320D1" w:rsidRDefault="00A937E6" w:rsidP="00A937E6">
      <w:pPr>
        <w:spacing w:after="0" w:line="276" w:lineRule="auto"/>
        <w:ind w:firstLine="709"/>
        <w:jc w:val="both"/>
        <w:rPr>
          <w:rFonts w:ascii="Verdana" w:eastAsia="Arial" w:hAnsi="Verdana" w:cs="Arial"/>
          <w:color w:val="000000"/>
        </w:rPr>
      </w:pPr>
    </w:p>
    <w:p w14:paraId="3984AF92" w14:textId="77777777" w:rsidR="00A937E6" w:rsidRPr="00C320D1" w:rsidRDefault="00A937E6" w:rsidP="00A937E6">
      <w:pP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 xml:space="preserve">“Para celebrar una </w:t>
      </w:r>
      <w:proofErr w:type="spellStart"/>
      <w:r w:rsidRPr="00C320D1">
        <w:rPr>
          <w:rFonts w:ascii="Verdana" w:eastAsia="Arial" w:hAnsi="Verdana" w:cs="Arial"/>
          <w:color w:val="000000"/>
          <w:sz w:val="20"/>
          <w:szCs w:val="20"/>
        </w:rPr>
        <w:t>APPo</w:t>
      </w:r>
      <w:proofErr w:type="spellEnd"/>
      <w:r w:rsidRPr="00C320D1">
        <w:rPr>
          <w:rFonts w:ascii="Verdana" w:eastAsia="Arial" w:hAnsi="Verdana" w:cs="Arial"/>
          <w:color w:val="000000"/>
          <w:sz w:val="20"/>
          <w:szCs w:val="20"/>
        </w:rPr>
        <w:t xml:space="preserve">, la Entidad Estatal debe establecer dentro de los Documentos del Proceso la conveniencia de uso de la </w:t>
      </w:r>
      <w:proofErr w:type="spellStart"/>
      <w:r w:rsidRPr="00C320D1">
        <w:rPr>
          <w:rFonts w:ascii="Verdana" w:eastAsia="Arial" w:hAnsi="Verdana" w:cs="Arial"/>
          <w:color w:val="000000"/>
          <w:sz w:val="20"/>
          <w:szCs w:val="20"/>
        </w:rPr>
        <w:t>APPo</w:t>
      </w:r>
      <w:proofErr w:type="spellEnd"/>
      <w:r w:rsidRPr="00C320D1">
        <w:rPr>
          <w:rFonts w:ascii="Verdana" w:eastAsia="Arial" w:hAnsi="Verdana" w:cs="Arial"/>
          <w:color w:val="000000"/>
          <w:sz w:val="20"/>
          <w:szCs w:val="20"/>
        </w:rPr>
        <w:t xml:space="preserve"> con base en las necesidades identificadas de la Entidad Estatal, indicando el impacto estimado en la economía popular con la suscripción del contrato, la utilización de la tipología y la consistencia entre el objeto del contrato y el alcance del presente título. </w:t>
      </w:r>
    </w:p>
    <w:p w14:paraId="32503D05" w14:textId="77777777" w:rsidR="00A937E6" w:rsidRPr="00C320D1" w:rsidRDefault="00A937E6" w:rsidP="00A937E6">
      <w:pPr>
        <w:spacing w:after="0" w:line="240" w:lineRule="auto"/>
        <w:ind w:left="709" w:right="709"/>
        <w:jc w:val="both"/>
        <w:rPr>
          <w:rFonts w:ascii="Verdana" w:eastAsia="Arial" w:hAnsi="Verdana" w:cs="Arial"/>
          <w:color w:val="000000"/>
          <w:sz w:val="20"/>
          <w:szCs w:val="20"/>
        </w:rPr>
      </w:pPr>
    </w:p>
    <w:p w14:paraId="4B41BF82" w14:textId="77777777" w:rsidR="00A937E6" w:rsidRPr="00C320D1" w:rsidRDefault="00A937E6" w:rsidP="00A937E6">
      <w:pP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i/>
          <w:color w:val="000000"/>
          <w:sz w:val="20"/>
          <w:szCs w:val="20"/>
        </w:rPr>
        <w:t>Adicionalmente, deben identificar las condiciones de idoneidad y los requisitos técnicos que llevan a elegir a la persona natural o a la entidad sin ánimo de lucro perteneciente a la economía popular y comunitaria para ejecutar y cumplir el objeto del contrato</w:t>
      </w:r>
      <w:r w:rsidRPr="00C320D1">
        <w:rPr>
          <w:rFonts w:ascii="Verdana" w:eastAsia="Arial" w:hAnsi="Verdana" w:cs="Arial"/>
          <w:color w:val="000000"/>
          <w:sz w:val="20"/>
          <w:szCs w:val="20"/>
        </w:rPr>
        <w:t>”</w:t>
      </w:r>
      <w:r w:rsidRPr="00C320D1">
        <w:rPr>
          <w:rStyle w:val="Refdenotaalpie"/>
          <w:rFonts w:ascii="Verdana" w:eastAsia="Arial" w:hAnsi="Verdana" w:cs="Arial"/>
          <w:color w:val="000000"/>
          <w:sz w:val="20"/>
          <w:szCs w:val="20"/>
        </w:rPr>
        <w:footnoteReference w:id="6"/>
      </w:r>
      <w:r w:rsidRPr="00C320D1">
        <w:rPr>
          <w:rFonts w:ascii="Verdana" w:eastAsia="Arial" w:hAnsi="Verdana" w:cs="Arial"/>
          <w:color w:val="000000"/>
          <w:sz w:val="20"/>
          <w:szCs w:val="20"/>
        </w:rPr>
        <w:t>. (Énfasis fuera de texto)</w:t>
      </w:r>
    </w:p>
    <w:p w14:paraId="345CBE23" w14:textId="77777777" w:rsidR="00A937E6" w:rsidRPr="00C320D1" w:rsidRDefault="00A937E6" w:rsidP="00A937E6">
      <w:pPr>
        <w:spacing w:after="0" w:line="276" w:lineRule="auto"/>
        <w:jc w:val="both"/>
        <w:rPr>
          <w:rFonts w:ascii="Verdana" w:eastAsia="Arial" w:hAnsi="Verdana" w:cs="Arial"/>
          <w:color w:val="000000"/>
        </w:rPr>
      </w:pPr>
    </w:p>
    <w:p w14:paraId="64F70B5F" w14:textId="77777777" w:rsidR="00A937E6" w:rsidRPr="00C320D1" w:rsidRDefault="00A937E6" w:rsidP="00A937E6">
      <w:pPr>
        <w:spacing w:after="120" w:line="276" w:lineRule="auto"/>
        <w:jc w:val="both"/>
        <w:rPr>
          <w:rFonts w:ascii="Verdana" w:eastAsia="Arial" w:hAnsi="Verdana" w:cs="Arial"/>
          <w:color w:val="000000"/>
        </w:rPr>
      </w:pPr>
      <w:r w:rsidRPr="00C320D1">
        <w:rPr>
          <w:rFonts w:ascii="Verdana" w:eastAsia="Arial" w:hAnsi="Verdana" w:cs="Arial"/>
          <w:color w:val="000000"/>
        </w:rPr>
        <w:tab/>
        <w:t>De la norma se desprende una carga argumentativa que se desdobla en dos (2) frentes. Por un lado, es necesario justificar el uso de la</w:t>
      </w:r>
      <w:r w:rsidRPr="00C320D1">
        <w:rPr>
          <w:rFonts w:ascii="Verdana" w:eastAsia="Calibri" w:hAnsi="Verdana" w:cs="Arial"/>
          <w:color w:val="000000" w:themeColor="text1"/>
        </w:rPr>
        <w:t xml:space="preserve"> Asociación Público-Popular</w:t>
      </w:r>
      <w:r w:rsidRPr="00C320D1">
        <w:rPr>
          <w:rFonts w:ascii="Verdana" w:eastAsia="Arial" w:hAnsi="Verdana" w:cs="Arial"/>
          <w:color w:val="000000"/>
        </w:rPr>
        <w:t xml:space="preserve"> y, por otro, es necesario identificar el perfil del contratista. Conforme a los parámetros precitados, lo primero exige tener en cuenta el objeto y propósito de la tipología contractual prevista en la Ley de Plan Nacional de Desarrollo, aspectos que sirven para determinar si es conveniente o no la contratación directa. Lo segundo requiere identificar previamente la persona natural o a la entidad sin ánimo de lucro perteneciente a la Economía Popular y Comunitaria que pueda ejecutar las obligaciones. </w:t>
      </w:r>
    </w:p>
    <w:p w14:paraId="747C205D" w14:textId="77777777" w:rsidR="00A937E6" w:rsidRPr="00C320D1" w:rsidRDefault="00A937E6" w:rsidP="00A937E6">
      <w:pPr>
        <w:spacing w:after="120" w:line="276" w:lineRule="auto"/>
        <w:ind w:firstLine="708"/>
        <w:jc w:val="both"/>
        <w:rPr>
          <w:rFonts w:ascii="Verdana" w:eastAsia="Arial" w:hAnsi="Verdana" w:cs="Arial"/>
          <w:color w:val="000000"/>
        </w:rPr>
      </w:pPr>
      <w:r w:rsidRPr="00C320D1">
        <w:rPr>
          <w:rFonts w:ascii="Verdana" w:eastAsia="Arial" w:hAnsi="Verdana" w:cs="Arial"/>
          <w:color w:val="000000"/>
        </w:rPr>
        <w:t xml:space="preserve">Este último aspecto se complementa con el artículo 2.2.16.1.6 del Decreto 1082 de 2015, adicionado por el Decreto 874 de 2023, el cual exige lo siguiente: i) la persona natural o la entidad sin ánimo de lucro debe hacer parte de la Economía Popular y Comunitaria, en el marco de lo establecido en el artículo 2.2.16.1.4 </w:t>
      </w:r>
      <w:r w:rsidRPr="00C320D1">
        <w:rPr>
          <w:rFonts w:ascii="Verdana" w:eastAsia="Arial" w:hAnsi="Verdana" w:cs="Arial"/>
          <w:i/>
          <w:iCs/>
          <w:color w:val="000000"/>
        </w:rPr>
        <w:t>ibidem</w:t>
      </w:r>
      <w:r w:rsidRPr="00C320D1">
        <w:rPr>
          <w:rFonts w:ascii="Verdana" w:eastAsia="Arial" w:hAnsi="Verdana" w:cs="Arial"/>
          <w:color w:val="000000"/>
        </w:rPr>
        <w:t xml:space="preserve">; ii) para el caso de las entidades sin ánimo de lucro, es necesario que su objeto social tenga relación con la ejecución de obras o la adquisición de bienes y servicios contempladas en el artículo 100 de la Ley 2294 de 2023; y iii) la persona natural o la entidad sin ánimo de lucro deberán cumplir con la normativa aplicable a los oficios, ocupaciones u objetos sociales que desempeñen, dependiendo de su sector económico y naturaleza. </w:t>
      </w:r>
    </w:p>
    <w:p w14:paraId="58F27C5B" w14:textId="77777777" w:rsidR="00A937E6" w:rsidRPr="00C320D1" w:rsidRDefault="00A937E6" w:rsidP="00A937E6">
      <w:pPr>
        <w:spacing w:after="120" w:line="276" w:lineRule="auto"/>
        <w:ind w:firstLine="709"/>
        <w:jc w:val="both"/>
        <w:rPr>
          <w:rFonts w:ascii="Verdana" w:eastAsia="Arial" w:hAnsi="Verdana" w:cs="Arial"/>
          <w:color w:val="000000"/>
        </w:rPr>
      </w:pPr>
      <w:r w:rsidRPr="00C320D1">
        <w:rPr>
          <w:rFonts w:ascii="Verdana" w:eastAsia="Arial" w:hAnsi="Verdana" w:cs="Arial"/>
          <w:color w:val="000000"/>
        </w:rPr>
        <w:t xml:space="preserve">Al entender que las Asociaciones Público-Populares son una categoría contractual autónoma, los aspectos indicados en el párrafo anterior hacen parte de los estudios previos y del acto administrativo de justificación de la </w:t>
      </w:r>
      <w:r w:rsidRPr="00C320D1">
        <w:rPr>
          <w:rFonts w:ascii="Verdana" w:eastAsia="Arial" w:hAnsi="Verdana" w:cs="Arial"/>
          <w:color w:val="000000"/>
        </w:rPr>
        <w:lastRenderedPageBreak/>
        <w:t>contratación directa –artículos 2.2.1.1.2.1.1 y 2.2.1.2.1.4.1 del Decreto 1082 de 2015–. No obstante, el parágrafo del artículo 2.2.16.1.6. dispone que “Sin perjuicio de lo anterior, cada Entidad Estatal debe determinar en los Documentos del Proceso los requisitos que debe acreditar la persona natural o la entidad sin ánimo de lucro beneficiaria de la Asociación Pública Popular, para lo cual podrán tener en cuenta los lineamientos que se expidan desde las instancias y/o entidades competentes”.</w:t>
      </w:r>
    </w:p>
    <w:p w14:paraId="6999908A" w14:textId="77777777" w:rsidR="00A937E6" w:rsidRPr="00C320D1" w:rsidRDefault="00A937E6" w:rsidP="00A937E6">
      <w:pPr>
        <w:spacing w:after="120" w:line="276" w:lineRule="auto"/>
        <w:ind w:firstLine="709"/>
        <w:jc w:val="both"/>
        <w:rPr>
          <w:rFonts w:ascii="Verdana" w:eastAsia="Arial" w:hAnsi="Verdana" w:cs="Arial"/>
          <w:color w:val="000000"/>
        </w:rPr>
      </w:pPr>
      <w:r w:rsidRPr="00C320D1">
        <w:rPr>
          <w:rFonts w:ascii="Verdana" w:eastAsia="Arial" w:hAnsi="Verdana" w:cs="Arial"/>
          <w:color w:val="000000"/>
        </w:rPr>
        <w:t xml:space="preserve">iii) Respecto a la caracterización, promoción y defensa de los intereses de los </w:t>
      </w:r>
      <w:r w:rsidRPr="00C320D1">
        <w:rPr>
          <w:rFonts w:ascii="Verdana" w:eastAsia="Arial" w:hAnsi="Verdana" w:cs="Arial"/>
          <w:i/>
          <w:iCs/>
          <w:color w:val="000000"/>
        </w:rPr>
        <w:t>sujetos de la</w:t>
      </w:r>
      <w:r w:rsidRPr="00C320D1">
        <w:rPr>
          <w:rFonts w:ascii="Verdana" w:eastAsia="Arial" w:hAnsi="Verdana" w:cs="Arial"/>
          <w:color w:val="000000"/>
        </w:rPr>
        <w:t xml:space="preserve"> </w:t>
      </w:r>
      <w:r w:rsidRPr="00C320D1">
        <w:rPr>
          <w:rFonts w:ascii="Verdana" w:eastAsia="Arial" w:hAnsi="Verdana" w:cs="Arial"/>
          <w:i/>
          <w:iCs/>
          <w:color w:val="000000"/>
        </w:rPr>
        <w:t>Economía Popular y Comunitaria</w:t>
      </w:r>
      <w:r w:rsidRPr="00C320D1">
        <w:rPr>
          <w:rFonts w:ascii="Verdana" w:eastAsia="Arial" w:hAnsi="Verdana" w:cs="Arial"/>
          <w:color w:val="000000"/>
        </w:rPr>
        <w:t>, esta norma es congruente con las competencias asignadas a entidades como el Consejo de Economía Popular, el Ministerio de Comercio, Industria y Turismo, así como el Departamento Administrativo Nacional de Estadística. Por tanto, de acuerdo con las instrucciones adicionales que expidan estos órganos, podrán identificarse y perfilarse los requisitos de quienes aspiren a celebrar contratos con Estado por medio de Asociaciones Público-Populares</w:t>
      </w:r>
      <w:r w:rsidRPr="00C320D1">
        <w:rPr>
          <w:rStyle w:val="Refdenotaalpie"/>
          <w:rFonts w:ascii="Verdana" w:eastAsia="Arial" w:hAnsi="Verdana" w:cs="Arial"/>
          <w:color w:val="000000"/>
        </w:rPr>
        <w:footnoteReference w:id="7"/>
      </w:r>
      <w:r w:rsidRPr="00C320D1">
        <w:rPr>
          <w:rFonts w:ascii="Verdana" w:eastAsia="Arial" w:hAnsi="Verdana" w:cs="Arial"/>
          <w:color w:val="000000"/>
        </w:rPr>
        <w:t xml:space="preserve">. </w:t>
      </w:r>
    </w:p>
    <w:p w14:paraId="434AE409" w14:textId="77777777" w:rsidR="00A937E6" w:rsidRPr="00C320D1" w:rsidRDefault="00A937E6" w:rsidP="00A937E6">
      <w:pPr>
        <w:spacing w:after="0" w:line="276" w:lineRule="auto"/>
        <w:ind w:firstLine="709"/>
        <w:jc w:val="both"/>
        <w:rPr>
          <w:rFonts w:ascii="Verdana" w:eastAsia="Calibri" w:hAnsi="Verdana" w:cs="Arial"/>
          <w:color w:val="000000" w:themeColor="text1"/>
          <w:lang w:val="es-ES_tradnl"/>
        </w:rPr>
      </w:pPr>
      <w:r w:rsidRPr="00C320D1">
        <w:rPr>
          <w:rFonts w:ascii="Verdana" w:eastAsia="Arial" w:hAnsi="Verdana" w:cs="Arial"/>
          <w:color w:val="000000"/>
        </w:rPr>
        <w:t xml:space="preserve">Dado que no existe un registro para identificarlos, es preciso determinar qué personas naturales o entidades sin ánimo de lucro hacen parte de la Economía Popular y Comunitaria. </w:t>
      </w:r>
      <w:r w:rsidRPr="00C320D1">
        <w:rPr>
          <w:rFonts w:ascii="Verdana" w:eastAsia="Calibri" w:hAnsi="Verdana" w:cs="Arial"/>
          <w:color w:val="000000" w:themeColor="text1"/>
          <w:lang w:val="es-ES_tradnl"/>
        </w:rPr>
        <w:t>En este marco, el artículo 2.2.16.1.4 del Decreto 1082 de 2015 –adicionado por el Decreto 874 de 2024– señala lo siguiente:</w:t>
      </w:r>
    </w:p>
    <w:p w14:paraId="2B1B084F" w14:textId="77777777" w:rsidR="00A937E6" w:rsidRPr="00C320D1" w:rsidRDefault="00A937E6" w:rsidP="00A937E6">
      <w:pPr>
        <w:pBdr>
          <w:top w:val="nil"/>
          <w:left w:val="nil"/>
          <w:bottom w:val="nil"/>
          <w:right w:val="nil"/>
          <w:between w:val="nil"/>
        </w:pBdr>
        <w:spacing w:after="0" w:line="276" w:lineRule="auto"/>
        <w:ind w:firstLine="709"/>
        <w:jc w:val="both"/>
        <w:rPr>
          <w:rFonts w:ascii="Verdana" w:eastAsia="Calibri" w:hAnsi="Verdana" w:cs="Arial"/>
          <w:color w:val="000000" w:themeColor="text1"/>
          <w:lang w:val="es-ES_tradnl"/>
        </w:rPr>
      </w:pPr>
    </w:p>
    <w:p w14:paraId="471A8CC6"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Calibri" w:hAnsi="Verdana" w:cs="Arial"/>
          <w:color w:val="000000" w:themeColor="text1"/>
          <w:sz w:val="20"/>
          <w:szCs w:val="20"/>
          <w:lang w:val="es-ES"/>
        </w:rPr>
      </w:pPr>
      <w:r w:rsidRPr="00C320D1">
        <w:rPr>
          <w:rFonts w:ascii="Verdana" w:eastAsia="Calibri" w:hAnsi="Verdana" w:cs="Arial"/>
          <w:color w:val="000000" w:themeColor="text1"/>
          <w:sz w:val="20"/>
          <w:szCs w:val="20"/>
          <w:lang w:val="es-ES"/>
        </w:rPr>
        <w:t>“Para el efecto del presente Título, se entiende por economía popular a los oficios y ocupaciones mercantiles relacionados con la producción, distribución y comercialización de bienes y servicios, y no mercantiles, que hagan referencia a actividades domésticas o comunitarias, desarrolladas por unidades económicas de baja escala ya sea personales, familiares, micronegocios o microempresas, en cualquier sector económico. Los actores de la Economía Popular pueden realizar sus actividades de manera individual, en unidades económicas, u organizados de manera asociativa”.</w:t>
      </w:r>
    </w:p>
    <w:p w14:paraId="60976C1B" w14:textId="77777777" w:rsidR="00A937E6" w:rsidRPr="00C320D1" w:rsidRDefault="00A937E6" w:rsidP="00A937E6">
      <w:pPr>
        <w:pBdr>
          <w:top w:val="nil"/>
          <w:left w:val="nil"/>
          <w:bottom w:val="nil"/>
          <w:right w:val="nil"/>
          <w:between w:val="nil"/>
        </w:pBdr>
        <w:spacing w:after="0" w:line="276" w:lineRule="auto"/>
        <w:jc w:val="both"/>
        <w:rPr>
          <w:rFonts w:ascii="Verdana" w:eastAsia="Calibri" w:hAnsi="Verdana" w:cs="Arial"/>
          <w:color w:val="000000" w:themeColor="text1"/>
          <w:lang w:val="es-ES_tradnl"/>
        </w:rPr>
      </w:pPr>
    </w:p>
    <w:p w14:paraId="2C1B4265" w14:textId="77777777" w:rsidR="00A937E6" w:rsidRPr="00C320D1" w:rsidRDefault="00A937E6" w:rsidP="00A937E6">
      <w:pPr>
        <w:pBdr>
          <w:top w:val="nil"/>
          <w:left w:val="nil"/>
          <w:bottom w:val="nil"/>
          <w:right w:val="nil"/>
          <w:between w:val="nil"/>
        </w:pBdr>
        <w:spacing w:after="120" w:line="276" w:lineRule="auto"/>
        <w:jc w:val="both"/>
        <w:rPr>
          <w:rFonts w:ascii="Verdana" w:eastAsia="Calibri" w:hAnsi="Verdana" w:cs="Arial"/>
          <w:color w:val="000000" w:themeColor="text1"/>
          <w:lang w:val="es-ES"/>
        </w:rPr>
      </w:pPr>
      <w:r w:rsidRPr="00C320D1">
        <w:rPr>
          <w:rFonts w:ascii="Verdana" w:eastAsia="Calibri" w:hAnsi="Verdana" w:cs="Arial"/>
          <w:color w:val="000000" w:themeColor="text1"/>
          <w:lang w:val="es-ES_tradnl"/>
        </w:rPr>
        <w:tab/>
      </w:r>
      <w:r w:rsidRPr="00C320D1">
        <w:rPr>
          <w:rFonts w:ascii="Verdana" w:eastAsia="Calibri" w:hAnsi="Verdana" w:cs="Arial"/>
          <w:color w:val="000000" w:themeColor="text1"/>
          <w:lang w:val="es-ES"/>
        </w:rPr>
        <w:t>La norma recoge la definición adoptada en las Bases del Plan Nacional de Desarrollo 2022-2026 para el componente “2. Seguridad humana y justicia social” – “C. Expansión de capacidades: más y mejores oportunidades de la población para lograr sus proyectos de vida” – “7. Reconocimiento e impulso a la economía popular y comunitaria (EP)”</w:t>
      </w:r>
      <w:r w:rsidRPr="00C320D1">
        <w:rPr>
          <w:rStyle w:val="Refdenotaalpie"/>
          <w:rFonts w:ascii="Verdana" w:eastAsia="Calibri" w:hAnsi="Verdana" w:cs="Arial"/>
          <w:color w:val="000000" w:themeColor="text1"/>
          <w:lang w:val="es-ES"/>
        </w:rPr>
        <w:footnoteReference w:id="8"/>
      </w:r>
      <w:r w:rsidRPr="00C320D1">
        <w:rPr>
          <w:rFonts w:ascii="Verdana" w:eastAsia="Calibri" w:hAnsi="Verdana" w:cs="Arial"/>
          <w:color w:val="000000" w:themeColor="text1"/>
          <w:lang w:val="es-ES"/>
        </w:rPr>
        <w:t xml:space="preserve">. Ésta menciona los siguientes </w:t>
      </w:r>
      <w:r w:rsidRPr="00C320D1">
        <w:rPr>
          <w:rFonts w:ascii="Verdana" w:eastAsia="Calibri" w:hAnsi="Verdana" w:cs="Arial"/>
          <w:color w:val="000000" w:themeColor="text1"/>
          <w:lang w:val="es-ES"/>
        </w:rPr>
        <w:lastRenderedPageBreak/>
        <w:t>elementos: 1) las actividades que desarrollan, 2) la forma en que lo hacen y 3) cómo se organizan.</w:t>
      </w:r>
    </w:p>
    <w:p w14:paraId="2CCED676"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 </w:t>
      </w:r>
      <w:r w:rsidRPr="00C320D1">
        <w:rPr>
          <w:rFonts w:ascii="Verdana" w:eastAsia="Calibri" w:hAnsi="Verdana" w:cs="Arial"/>
          <w:i/>
          <w:iCs/>
          <w:color w:val="000000" w:themeColor="text1"/>
          <w:lang w:val="es-ES_tradnl"/>
        </w:rPr>
        <w:t>En primer lugar</w:t>
      </w:r>
      <w:r w:rsidRPr="00C320D1">
        <w:rPr>
          <w:rFonts w:ascii="Verdana" w:eastAsia="Calibri" w:hAnsi="Verdana" w:cs="Arial"/>
          <w:color w:val="000000" w:themeColor="text1"/>
          <w:lang w:val="es-ES_tradnl"/>
        </w:rPr>
        <w:t xml:space="preserve">, el artículo 2.2.16.1.4 del Decreto 1082 de 2015 se refiere a las actividades mercantiles y no mercantiles que desempeñan las personas naturales o entidades sin ánimo de lucro. Para su identificación, es necesario tener en cuenta que la </w:t>
      </w:r>
      <w:r w:rsidRPr="00C320D1">
        <w:rPr>
          <w:rFonts w:ascii="Verdana" w:eastAsia="Calibri" w:hAnsi="Verdana" w:cs="Arial"/>
          <w:i/>
          <w:iCs/>
          <w:color w:val="000000" w:themeColor="text1"/>
          <w:lang w:val="es-ES_tradnl"/>
        </w:rPr>
        <w:t>actividad mercantil</w:t>
      </w:r>
      <w:r w:rsidRPr="00C320D1">
        <w:rPr>
          <w:rFonts w:ascii="Verdana" w:eastAsia="Calibri" w:hAnsi="Verdana" w:cs="Arial"/>
          <w:color w:val="000000" w:themeColor="text1"/>
          <w:lang w:val="es-ES_tradnl"/>
        </w:rPr>
        <w:t xml:space="preserve"> no se relaciona exclusivamente con el concepto de comerciante –sistema subjetivo–</w:t>
      </w:r>
      <w:r w:rsidRPr="00C320D1">
        <w:rPr>
          <w:rStyle w:val="Refdenotaalpie"/>
          <w:rFonts w:ascii="Verdana" w:eastAsia="Calibri" w:hAnsi="Verdana" w:cs="Arial"/>
          <w:color w:val="000000" w:themeColor="text1"/>
          <w:lang w:val="es-ES_tradnl"/>
        </w:rPr>
        <w:footnoteReference w:id="9"/>
      </w:r>
      <w:r w:rsidRPr="00C320D1">
        <w:rPr>
          <w:rFonts w:ascii="Verdana" w:eastAsia="Calibri" w:hAnsi="Verdana" w:cs="Arial"/>
          <w:color w:val="000000" w:themeColor="text1"/>
          <w:lang w:val="es-ES_tradnl"/>
        </w:rPr>
        <w:t xml:space="preserve">. Por ello, el Decreto Ley 410 de 1971 lo complementa con la noción de acto de comercio –sistema objetivo–. Así, “[…] mientras en el sistema subjetivo actos de comercio son únicamente los realizados por comerciantes, en el sistema objetivo </w:t>
      </w:r>
      <w:r w:rsidRPr="00C320D1">
        <w:rPr>
          <w:rFonts w:ascii="Verdana" w:eastAsia="Calibri" w:hAnsi="Verdana" w:cs="Arial"/>
          <w:i/>
          <w:iCs/>
          <w:color w:val="000000" w:themeColor="text1"/>
          <w:lang w:val="es-ES_tradnl"/>
        </w:rPr>
        <w:t>son actos de comercio no solo los realizados por comerciantes, sino los que, sin ser ejecutados por comerciantes, se definen como mercantiles atendiendo a su sustantiva naturaleza</w:t>
      </w:r>
      <w:r w:rsidRPr="00C320D1">
        <w:rPr>
          <w:rFonts w:ascii="Verdana" w:eastAsia="Calibri" w:hAnsi="Verdana" w:cs="Arial"/>
          <w:color w:val="000000" w:themeColor="text1"/>
          <w:lang w:val="es-ES_tradnl"/>
        </w:rPr>
        <w:t xml:space="preserve"> (la finalidad de mediación entre productores y consumidores, el ser auxiliares de una industria mercantil, etc.) [...] No hay actos de comercio porque los realice un comerciante. Hay comerciantes porque realizan actos de comercio profesionalmente [...] el punto de partida es el acto de comercio y no el comerciante”</w:t>
      </w:r>
      <w:r w:rsidRPr="00C320D1">
        <w:rPr>
          <w:rStyle w:val="Refdenotaalpie"/>
          <w:rFonts w:ascii="Verdana" w:eastAsia="Calibri" w:hAnsi="Verdana" w:cs="Arial"/>
          <w:color w:val="000000" w:themeColor="text1"/>
          <w:lang w:val="es-ES_tradnl"/>
        </w:rPr>
        <w:footnoteReference w:id="10"/>
      </w:r>
      <w:r w:rsidRPr="00C320D1">
        <w:rPr>
          <w:rFonts w:ascii="Verdana" w:eastAsia="Calibri" w:hAnsi="Verdana" w:cs="Arial"/>
          <w:color w:val="000000" w:themeColor="text1"/>
          <w:lang w:val="es-ES_tradnl"/>
        </w:rPr>
        <w:t xml:space="preserve"> (Énfasis fuera de texto).</w:t>
      </w:r>
    </w:p>
    <w:p w14:paraId="1606486F"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bCs/>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w:t>
      </w:r>
      <w:r w:rsidRPr="00C320D1">
        <w:rPr>
          <w:rFonts w:ascii="Verdana" w:eastAsia="Calibri" w:hAnsi="Verdana" w:cs="Arial"/>
          <w:color w:val="000000" w:themeColor="text1"/>
          <w:lang w:val="es-ES_tradnl"/>
        </w:rPr>
        <w:t xml:space="preserve">En esta perspectiva, la </w:t>
      </w:r>
      <w:r w:rsidRPr="00C320D1">
        <w:rPr>
          <w:rFonts w:ascii="Verdana" w:eastAsia="Calibri" w:hAnsi="Verdana" w:cs="Arial"/>
          <w:i/>
          <w:iCs/>
          <w:color w:val="000000" w:themeColor="text1"/>
          <w:lang w:val="es-ES_tradnl"/>
        </w:rPr>
        <w:t>actividad mercantil</w:t>
      </w:r>
      <w:r w:rsidRPr="00C320D1">
        <w:rPr>
          <w:rFonts w:ascii="Verdana" w:eastAsia="Calibri" w:hAnsi="Verdana" w:cs="Arial"/>
          <w:color w:val="000000" w:themeColor="text1"/>
          <w:lang w:val="es-ES_tradnl"/>
        </w:rPr>
        <w:t xml:space="preserve"> se concreta en los actos que el Código de Comercio dispone como tales. Dicho estatuto regula tres (3) categorías de actos de comercio: objetivos, conexos y mixtos. Los </w:t>
      </w:r>
      <w:r w:rsidRPr="00C320D1">
        <w:rPr>
          <w:rFonts w:ascii="Verdana" w:eastAsia="Calibri" w:hAnsi="Verdana" w:cs="Arial"/>
          <w:i/>
          <w:iCs/>
          <w:color w:val="000000" w:themeColor="text1"/>
          <w:lang w:val="es-ES_tradnl"/>
        </w:rPr>
        <w:t>actos de comercio objetivos</w:t>
      </w:r>
      <w:r w:rsidRPr="00C320D1">
        <w:rPr>
          <w:rFonts w:ascii="Verdana" w:eastAsia="Calibri" w:hAnsi="Verdana" w:cs="Arial"/>
          <w:color w:val="000000" w:themeColor="text1"/>
          <w:lang w:val="es-ES_tradnl"/>
        </w:rPr>
        <w:t xml:space="preserve"> se encuentran en la lista enunciativa del artículo 20 del Código de Comercio, identificados por su carácter patrimonial de acuerdo con su intención especulativa, propósitos de intermediación o desarrollo de actividades empresariales</w:t>
      </w:r>
      <w:r w:rsidRPr="00C320D1">
        <w:rPr>
          <w:rStyle w:val="Refdenotaalpie"/>
          <w:rFonts w:ascii="Verdana" w:eastAsia="Calibri" w:hAnsi="Verdana" w:cs="Arial"/>
          <w:color w:val="000000" w:themeColor="text1"/>
          <w:lang w:val="es-ES_tradnl"/>
        </w:rPr>
        <w:footnoteReference w:id="11"/>
      </w:r>
      <w:r w:rsidRPr="00C320D1">
        <w:rPr>
          <w:rFonts w:ascii="Verdana" w:eastAsia="Calibri" w:hAnsi="Verdana" w:cs="Arial"/>
          <w:color w:val="000000" w:themeColor="text1"/>
          <w:lang w:val="es-ES_tradnl"/>
        </w:rPr>
        <w:t xml:space="preserve">. Por su parte, los </w:t>
      </w:r>
      <w:r w:rsidRPr="00C320D1">
        <w:rPr>
          <w:rFonts w:ascii="Verdana" w:eastAsia="Calibri" w:hAnsi="Verdana" w:cs="Arial"/>
          <w:i/>
          <w:iCs/>
          <w:color w:val="000000" w:themeColor="text1"/>
          <w:lang w:val="es-ES_tradnl"/>
        </w:rPr>
        <w:lastRenderedPageBreak/>
        <w:t>actos de comercio conexos</w:t>
      </w:r>
      <w:r w:rsidRPr="00C320D1">
        <w:rPr>
          <w:rFonts w:ascii="Verdana" w:eastAsia="Calibri" w:hAnsi="Verdana" w:cs="Arial"/>
          <w:color w:val="000000" w:themeColor="text1"/>
          <w:lang w:val="es-ES_tradnl"/>
        </w:rPr>
        <w:t xml:space="preserve"> están regulados en el artículo 21 </w:t>
      </w:r>
      <w:r w:rsidRPr="00C320D1">
        <w:rPr>
          <w:rFonts w:ascii="Verdana" w:eastAsia="Calibri" w:hAnsi="Verdana" w:cs="Arial"/>
          <w:i/>
          <w:iCs/>
          <w:color w:val="000000" w:themeColor="text1"/>
          <w:lang w:val="es-ES_tradnl"/>
        </w:rPr>
        <w:t>ibidem</w:t>
      </w:r>
      <w:r w:rsidRPr="00C320D1">
        <w:rPr>
          <w:rFonts w:ascii="Verdana" w:eastAsia="Calibri" w:hAnsi="Verdana" w:cs="Arial"/>
          <w:color w:val="000000" w:themeColor="text1"/>
          <w:lang w:val="es-ES_tradnl"/>
        </w:rPr>
        <w:t xml:space="preserve"> de la siguiente forma: “Se tendrán así mismo como mercantiles todos los actos de los comerciantes relacionados con actividades o empresas de comercio, y los ejecutados por cualquier persona para asegurar el cumplimiento de obligaciones comerciales”. Finalmente, </w:t>
      </w:r>
      <w:r w:rsidRPr="00C320D1">
        <w:rPr>
          <w:rFonts w:ascii="Verdana" w:eastAsia="Calibri" w:hAnsi="Verdana" w:cs="Arial"/>
          <w:i/>
          <w:iCs/>
          <w:color w:val="000000" w:themeColor="text1"/>
          <w:lang w:val="es-ES_tradnl"/>
        </w:rPr>
        <w:t>actos de comercio mixtos</w:t>
      </w:r>
      <w:r w:rsidRPr="00C320D1">
        <w:rPr>
          <w:rFonts w:ascii="Verdana" w:eastAsia="Calibri" w:hAnsi="Verdana" w:cs="Arial"/>
          <w:color w:val="000000" w:themeColor="text1"/>
          <w:lang w:val="es-ES_tradnl"/>
        </w:rPr>
        <w:t xml:space="preserve"> son los del artículo 22 </w:t>
      </w:r>
      <w:r w:rsidRPr="00C320D1">
        <w:rPr>
          <w:rFonts w:ascii="Verdana" w:eastAsia="Calibri" w:hAnsi="Verdana" w:cs="Arial"/>
          <w:i/>
          <w:iCs/>
          <w:color w:val="000000" w:themeColor="text1"/>
          <w:lang w:val="es-ES_tradnl"/>
        </w:rPr>
        <w:t>ibidem</w:t>
      </w:r>
      <w:r w:rsidRPr="00C320D1">
        <w:rPr>
          <w:rFonts w:ascii="Verdana" w:eastAsia="Calibri" w:hAnsi="Verdana" w:cs="Arial"/>
          <w:color w:val="000000" w:themeColor="text1"/>
          <w:lang w:val="es-ES_tradnl"/>
        </w:rPr>
        <w:t>, por lo que “Si el acto fuere mercantil para una de las partes se regirá por las disposiciones de la ley comercial”</w:t>
      </w:r>
      <w:r w:rsidRPr="00C320D1">
        <w:rPr>
          <w:rStyle w:val="Refdenotaalpie"/>
          <w:rFonts w:ascii="Verdana" w:eastAsia="Calibri" w:hAnsi="Verdana" w:cs="Arial"/>
          <w:color w:val="000000" w:themeColor="text1"/>
          <w:lang w:val="es-ES_tradnl"/>
        </w:rPr>
        <w:footnoteReference w:id="12"/>
      </w:r>
      <w:r w:rsidRPr="00C320D1">
        <w:rPr>
          <w:rFonts w:ascii="Verdana" w:eastAsia="Calibri" w:hAnsi="Verdana" w:cs="Arial"/>
          <w:color w:val="000000" w:themeColor="text1"/>
          <w:lang w:val="es-ES_tradnl"/>
        </w:rPr>
        <w:t xml:space="preserve">.  </w:t>
      </w:r>
    </w:p>
    <w:p w14:paraId="0A157C74" w14:textId="77777777" w:rsidR="00A937E6" w:rsidRPr="00C320D1" w:rsidRDefault="00A937E6" w:rsidP="00A937E6">
      <w:pPr>
        <w:pBdr>
          <w:top w:val="nil"/>
          <w:left w:val="nil"/>
          <w:bottom w:val="nil"/>
          <w:right w:val="nil"/>
          <w:between w:val="nil"/>
        </w:pBdr>
        <w:spacing w:after="120" w:line="276" w:lineRule="auto"/>
        <w:ind w:firstLine="709"/>
        <w:jc w:val="both"/>
        <w:rPr>
          <w:rFonts w:ascii="Verdana" w:eastAsia="Calibri" w:hAnsi="Verdana" w:cs="Arial"/>
          <w:color w:val="000000" w:themeColor="text1"/>
          <w:lang w:val="es-ES"/>
        </w:rPr>
      </w:pPr>
      <w:r w:rsidRPr="00C320D1">
        <w:rPr>
          <w:rFonts w:ascii="Verdana" w:eastAsia="Calibri" w:hAnsi="Verdana" w:cs="Arial"/>
          <w:color w:val="000000" w:themeColor="text1"/>
          <w:lang w:val="es-ES"/>
        </w:rPr>
        <w:t xml:space="preserve">Si bien las normas citadas delimitan la </w:t>
      </w:r>
      <w:r w:rsidRPr="00C320D1">
        <w:rPr>
          <w:rFonts w:ascii="Verdana" w:eastAsia="Calibri" w:hAnsi="Verdana" w:cs="Arial"/>
          <w:i/>
          <w:color w:val="000000" w:themeColor="text1"/>
          <w:lang w:val="es-ES"/>
        </w:rPr>
        <w:t>actividad mercantil</w:t>
      </w:r>
      <w:r w:rsidRPr="00C320D1">
        <w:rPr>
          <w:rFonts w:ascii="Verdana" w:eastAsia="Calibri" w:hAnsi="Verdana" w:cs="Arial"/>
          <w:color w:val="000000" w:themeColor="text1"/>
          <w:lang w:val="es-ES"/>
        </w:rPr>
        <w:t xml:space="preserve">, la única jurídicamente relevante para el artículo 2.2.16.1.4 del Decreto 1082 de 2015 es aquella derivada de “[…] oficios y ocupaciones […] relacionados con la producción, distribución y comercialización de bienes y servicios […]”. Este criterio tiene una función delimitadora, por lo que no es suficiente la realización de actos de comercio </w:t>
      </w:r>
      <w:r w:rsidRPr="00C320D1">
        <w:rPr>
          <w:rFonts w:ascii="Verdana" w:eastAsia="Calibri" w:hAnsi="Verdana" w:cs="Arial"/>
          <w:i/>
          <w:color w:val="000000" w:themeColor="text1"/>
          <w:lang w:val="es-ES"/>
        </w:rPr>
        <w:t>per se</w:t>
      </w:r>
      <w:r w:rsidRPr="00C320D1">
        <w:rPr>
          <w:rFonts w:ascii="Verdana" w:eastAsia="Calibri" w:hAnsi="Verdana" w:cs="Arial"/>
          <w:color w:val="000000" w:themeColor="text1"/>
          <w:lang w:val="es-ES"/>
        </w:rPr>
        <w:t xml:space="preserve"> para formar parte de la Economía Popular y Comunitaria, sino que deberán corresponder al tipo de oficios y ocupaciones descritas. En consecuencia, las Entidades Estatales deberán verificar que las personas naturales o las entidades sin ánimo de lucro cumplan dicha condición. </w:t>
      </w:r>
    </w:p>
    <w:p w14:paraId="75543578"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Por su parte, la </w:t>
      </w:r>
      <w:r w:rsidRPr="00C320D1">
        <w:rPr>
          <w:rFonts w:ascii="Verdana" w:eastAsia="Calibri" w:hAnsi="Verdana" w:cs="Arial"/>
          <w:i/>
          <w:iCs/>
          <w:color w:val="000000" w:themeColor="text1"/>
          <w:lang w:val="es-ES_tradnl"/>
        </w:rPr>
        <w:t>actividad no mercantil</w:t>
      </w:r>
      <w:r w:rsidRPr="00C320D1">
        <w:rPr>
          <w:rFonts w:ascii="Verdana" w:eastAsia="Calibri" w:hAnsi="Verdana" w:cs="Arial"/>
          <w:color w:val="000000" w:themeColor="text1"/>
          <w:lang w:val="es-ES_tradnl"/>
        </w:rPr>
        <w:t xml:space="preserve"> se identifica con la lista enunciativa del artículo 23 del Código de Comercio</w:t>
      </w:r>
      <w:r w:rsidRPr="00C320D1">
        <w:rPr>
          <w:rStyle w:val="Refdenotaalpie"/>
          <w:rFonts w:ascii="Verdana" w:eastAsia="Calibri" w:hAnsi="Verdana" w:cs="Arial"/>
          <w:color w:val="000000" w:themeColor="text1"/>
          <w:lang w:val="es-ES_tradnl"/>
        </w:rPr>
        <w:footnoteReference w:id="13"/>
      </w:r>
      <w:r w:rsidRPr="00C320D1">
        <w:rPr>
          <w:rFonts w:ascii="Verdana" w:eastAsia="Calibri" w:hAnsi="Verdana" w:cs="Arial"/>
          <w:color w:val="000000" w:themeColor="text1"/>
          <w:lang w:val="es-ES_tradnl"/>
        </w:rPr>
        <w:t xml:space="preserve">. Precisamente, están excluidas de la categoría de acto de comercio, porque implican acciones de consumo, </w:t>
      </w:r>
      <w:r w:rsidRPr="00C320D1">
        <w:rPr>
          <w:rFonts w:ascii="Verdana" w:eastAsia="Calibri" w:hAnsi="Verdana" w:cs="Arial"/>
          <w:color w:val="000000" w:themeColor="text1"/>
          <w:lang w:val="es-ES_tradnl"/>
        </w:rPr>
        <w:lastRenderedPageBreak/>
        <w:t xml:space="preserve">producción de obras artísticas, ejercicio de profesiones liberales, etc., de manera que son una antítesis de la intención especulativa, el propósito de intermediación o el desarrollo de actividades empresariales. De forma análoga a lo comentado en el párrafo precedente, su realización no es suficiente por sí misma para identificar a las personas naturales o entidades sin ánimo de lucro como actores de la Economía Popular y Comunitaria, ya que la </w:t>
      </w:r>
      <w:r w:rsidRPr="00C320D1">
        <w:rPr>
          <w:rFonts w:ascii="Verdana" w:eastAsia="Calibri" w:hAnsi="Verdana" w:cs="Arial"/>
          <w:i/>
          <w:iCs/>
          <w:color w:val="000000" w:themeColor="text1"/>
          <w:lang w:val="es-ES_tradnl"/>
        </w:rPr>
        <w:t>actividad no mercantil</w:t>
      </w:r>
      <w:r w:rsidRPr="00C320D1">
        <w:rPr>
          <w:rFonts w:ascii="Verdana" w:eastAsia="Calibri" w:hAnsi="Verdana" w:cs="Arial"/>
          <w:color w:val="000000" w:themeColor="text1"/>
          <w:lang w:val="es-ES_tradnl"/>
        </w:rPr>
        <w:t xml:space="preserve"> relevante para el artículo 2.2.16.1.4 del Decreto 1082 de 2015 es aquella relacionada con “[…] oficios y ocupaciones […] que hagan referencia a actividades domésticas o comunitarias […]”.</w:t>
      </w:r>
    </w:p>
    <w:p w14:paraId="3A9439CD"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Ni las Bases de la Ley del Plan Nacional de Desarrollo ni el Decreto 874 de 2024 ofrecen criterios para determinar a qué se refieren estas actividades, por lo que –como se explicó </w:t>
      </w:r>
      <w:r w:rsidRPr="00C320D1">
        <w:rPr>
          <w:rFonts w:ascii="Verdana" w:eastAsia="Calibri" w:hAnsi="Verdana" w:cs="Arial"/>
          <w:i/>
          <w:iCs/>
          <w:color w:val="000000" w:themeColor="text1"/>
          <w:lang w:val="es-ES_tradnl"/>
        </w:rPr>
        <w:t>ut supra</w:t>
      </w:r>
      <w:r w:rsidRPr="00C320D1">
        <w:rPr>
          <w:rFonts w:ascii="Verdana" w:eastAsia="Calibri" w:hAnsi="Verdana" w:cs="Arial"/>
          <w:color w:val="000000" w:themeColor="text1"/>
          <w:lang w:val="es-ES_tradnl"/>
        </w:rPr>
        <w:t xml:space="preserve">– son importantes los lineamientos que emitan </w:t>
      </w:r>
      <w:r w:rsidRPr="00C320D1">
        <w:rPr>
          <w:rFonts w:ascii="Verdana" w:eastAsia="Arial" w:hAnsi="Verdana" w:cs="Arial"/>
          <w:color w:val="000000"/>
        </w:rPr>
        <w:t>el Consejo de Economía Popular, el Ministerio de Comercio, Industria y Turismo, así como el Departamento Administrativo Nacional de Estadística, en los términos del parágrafo del artículo 2.2.16.1.6 del Decreto 1082 de 2015. En ausencia de pronunciamiento de los órganos competentes, la Agencia considera “</w:t>
      </w:r>
      <w:r w:rsidRPr="00C320D1">
        <w:rPr>
          <w:rFonts w:ascii="Verdana" w:eastAsia="Calibri" w:hAnsi="Verdana" w:cs="Arial"/>
          <w:color w:val="000000" w:themeColor="text1"/>
          <w:lang w:val="es-ES_tradnl"/>
        </w:rPr>
        <w:t>actividades domésticas o comunitarias” como aquellas que, de forma altruista, se orientan a satisfacer necesidades básicas de la familia o la sociedad sin pretender una contraprestación económica. De forma ejemplificativa, pueden manifestarse en el cuidado de personas vulnerables, el trabajo comunitario voluntario, la producción para el autoconsumo, las actividades relacionadas con la economía del cuidado</w:t>
      </w:r>
      <w:r w:rsidRPr="00C320D1">
        <w:rPr>
          <w:rStyle w:val="Refdenotaalpie"/>
          <w:rFonts w:ascii="Verdana" w:eastAsia="Calibri" w:hAnsi="Verdana" w:cs="Arial"/>
          <w:color w:val="000000" w:themeColor="text1"/>
          <w:lang w:val="es-ES_tradnl"/>
        </w:rPr>
        <w:footnoteReference w:id="14"/>
      </w:r>
      <w:r w:rsidRPr="00C320D1">
        <w:rPr>
          <w:rFonts w:ascii="Verdana" w:eastAsia="Calibri" w:hAnsi="Verdana" w:cs="Arial"/>
          <w:color w:val="000000" w:themeColor="text1"/>
          <w:lang w:val="es-ES_tradnl"/>
        </w:rPr>
        <w:t xml:space="preserve">, etc.  </w:t>
      </w:r>
    </w:p>
    <w:p w14:paraId="637A3507"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Arial" w:hAnsi="Verdana" w:cs="Arial"/>
          <w:color w:val="000000"/>
        </w:rPr>
      </w:pPr>
      <w:r w:rsidRPr="00C320D1">
        <w:rPr>
          <w:rFonts w:ascii="Verdana" w:eastAsia="Calibri" w:hAnsi="Verdana" w:cs="Arial"/>
          <w:color w:val="000000" w:themeColor="text1"/>
          <w:lang w:val="es-ES_tradnl"/>
        </w:rPr>
        <w:t xml:space="preserve">- En </w:t>
      </w:r>
      <w:r w:rsidRPr="00C320D1">
        <w:rPr>
          <w:rFonts w:ascii="Verdana" w:eastAsia="Calibri" w:hAnsi="Verdana" w:cs="Arial"/>
          <w:i/>
          <w:iCs/>
          <w:color w:val="000000" w:themeColor="text1"/>
          <w:lang w:val="es-ES_tradnl"/>
        </w:rPr>
        <w:t>segundo lugar</w:t>
      </w:r>
      <w:r w:rsidRPr="00C320D1">
        <w:rPr>
          <w:rFonts w:ascii="Verdana" w:eastAsia="Calibri" w:hAnsi="Verdana" w:cs="Arial"/>
          <w:color w:val="000000" w:themeColor="text1"/>
          <w:lang w:val="es-ES_tradnl"/>
        </w:rPr>
        <w:t xml:space="preserve">, el artículo 2.2.16.1.4 del Decreto 1082 de 2015 dispone que estas </w:t>
      </w:r>
      <w:r w:rsidRPr="00C320D1">
        <w:rPr>
          <w:rFonts w:ascii="Verdana" w:eastAsia="Calibri" w:hAnsi="Verdana" w:cs="Arial"/>
          <w:i/>
          <w:iCs/>
          <w:color w:val="000000" w:themeColor="text1"/>
          <w:lang w:val="es-ES_tradnl"/>
        </w:rPr>
        <w:t xml:space="preserve">actividades mercantiles </w:t>
      </w:r>
      <w:r w:rsidRPr="00C320D1">
        <w:rPr>
          <w:rFonts w:ascii="Verdana" w:eastAsia="Calibri" w:hAnsi="Verdana" w:cs="Arial"/>
          <w:color w:val="000000" w:themeColor="text1"/>
          <w:lang w:val="es-ES_tradnl"/>
        </w:rPr>
        <w:t>y</w:t>
      </w:r>
      <w:r w:rsidRPr="00C320D1">
        <w:rPr>
          <w:rFonts w:ascii="Verdana" w:eastAsia="Calibri" w:hAnsi="Verdana" w:cs="Arial"/>
          <w:i/>
          <w:iCs/>
          <w:color w:val="000000" w:themeColor="text1"/>
          <w:lang w:val="es-ES_tradnl"/>
        </w:rPr>
        <w:t xml:space="preserve"> no mercantiles</w:t>
      </w:r>
      <w:r w:rsidRPr="00C320D1">
        <w:rPr>
          <w:rFonts w:ascii="Verdana" w:eastAsia="Calibri" w:hAnsi="Verdana" w:cs="Arial"/>
          <w:color w:val="000000" w:themeColor="text1"/>
          <w:lang w:val="es-ES_tradnl"/>
        </w:rPr>
        <w:t xml:space="preserve"> son desarrolladas por “[…] unidades económicas de baja escala ya sea personales, familiares, micronegocios o microempresas […]”. La concreción de esta idea hace necesarios los lineamientos </w:t>
      </w:r>
      <w:r w:rsidRPr="00C320D1">
        <w:rPr>
          <w:rFonts w:ascii="Verdana" w:eastAsia="Arial" w:hAnsi="Verdana" w:cs="Arial"/>
          <w:color w:val="000000"/>
        </w:rPr>
        <w:t xml:space="preserve">del parágrafo del artículo 2.2.16.1.6 </w:t>
      </w:r>
      <w:r w:rsidRPr="00C320D1">
        <w:rPr>
          <w:rFonts w:ascii="Verdana" w:eastAsia="Arial" w:hAnsi="Verdana" w:cs="Arial"/>
          <w:i/>
          <w:iCs/>
          <w:color w:val="000000"/>
        </w:rPr>
        <w:t>ibidem</w:t>
      </w:r>
      <w:r w:rsidRPr="00C320D1">
        <w:rPr>
          <w:rFonts w:ascii="Verdana" w:eastAsia="Arial" w:hAnsi="Verdana" w:cs="Arial"/>
          <w:color w:val="000000"/>
        </w:rPr>
        <w:t xml:space="preserve">. Como no se han expedido, la Agencia estima que el concepto de </w:t>
      </w:r>
      <w:r w:rsidRPr="00C320D1">
        <w:rPr>
          <w:rFonts w:ascii="Verdana" w:eastAsia="Arial" w:hAnsi="Verdana" w:cs="Arial"/>
          <w:i/>
          <w:iCs/>
          <w:color w:val="000000"/>
        </w:rPr>
        <w:t>unidades económicas de baja escala</w:t>
      </w:r>
      <w:r w:rsidRPr="00C320D1">
        <w:rPr>
          <w:rFonts w:ascii="Verdana" w:eastAsia="Arial" w:hAnsi="Verdana" w:cs="Arial"/>
          <w:color w:val="000000"/>
        </w:rPr>
        <w:t xml:space="preserve"> es un criterio delimitador que deja por fuera de la Economía Popular y Comunitaria a la pequeña, mediana y gran empresa, de acuerdo con la categorización del Decreto Único Reglamentario del Sector Comercio, </w:t>
      </w:r>
      <w:r w:rsidRPr="00C320D1">
        <w:rPr>
          <w:rFonts w:ascii="Verdana" w:eastAsia="Arial" w:hAnsi="Verdana" w:cs="Arial"/>
          <w:color w:val="000000"/>
        </w:rPr>
        <w:lastRenderedPageBreak/>
        <w:t xml:space="preserve">Industria y Turismo. Aunque estas últimas pueden participar en los demás procesos de selección del artículo 2 de la Ley 1150 de 2007, el objetivo del </w:t>
      </w:r>
      <w:r w:rsidRPr="00C320D1">
        <w:rPr>
          <w:rFonts w:ascii="Verdana" w:eastAsia="Calibri" w:hAnsi="Verdana" w:cs="Arial"/>
          <w:bCs/>
          <w:color w:val="000000" w:themeColor="text1"/>
        </w:rPr>
        <w:t>artículo 100 de la Ley 2294 de 2023</w:t>
      </w:r>
      <w:r w:rsidRPr="00C320D1">
        <w:rPr>
          <w:rFonts w:ascii="Verdana" w:eastAsia="Arial" w:hAnsi="Verdana" w:cs="Arial"/>
          <w:color w:val="000000"/>
        </w:rPr>
        <w:t xml:space="preserve"> es incluir en el sistema de compras públicas la actividad económica de las personas naturales y entidades sin ánimo de lucro que tienen un volumen reducido de producción, ingresos y personal empleado, por lo que operan con recursos limitados. </w:t>
      </w:r>
    </w:p>
    <w:p w14:paraId="6251394A" w14:textId="77777777" w:rsidR="00A937E6" w:rsidRPr="00C320D1" w:rsidRDefault="00A937E6" w:rsidP="00A937E6">
      <w:pPr>
        <w:pBdr>
          <w:top w:val="nil"/>
          <w:left w:val="nil"/>
          <w:bottom w:val="nil"/>
          <w:right w:val="nil"/>
          <w:between w:val="nil"/>
        </w:pBdr>
        <w:spacing w:after="0" w:line="276" w:lineRule="auto"/>
        <w:ind w:firstLine="708"/>
        <w:jc w:val="both"/>
        <w:rPr>
          <w:rFonts w:ascii="Verdana" w:eastAsia="Arial" w:hAnsi="Verdana" w:cs="Arial"/>
          <w:color w:val="000000"/>
        </w:rPr>
      </w:pPr>
      <w:r w:rsidRPr="00C320D1">
        <w:rPr>
          <w:rFonts w:ascii="Verdana" w:eastAsia="Arial" w:hAnsi="Verdana" w:cs="Arial"/>
          <w:color w:val="000000"/>
        </w:rPr>
        <w:t>Para el Departamento Administrativo Nacional De Estadística, la unidad económica es “[…] una persona natural o jurídica que lleva a cabo una actividad económica en alguno de los cuatro (4) tipos: establecimiento fijo, semifijo, vivienda o en puestos móviles”</w:t>
      </w:r>
      <w:r w:rsidRPr="00C320D1">
        <w:rPr>
          <w:rStyle w:val="Refdenotaalpie"/>
          <w:rFonts w:ascii="Verdana" w:eastAsia="Arial" w:hAnsi="Verdana" w:cs="Arial"/>
          <w:color w:val="000000"/>
        </w:rPr>
        <w:footnoteReference w:id="15"/>
      </w:r>
      <w:r w:rsidRPr="00C320D1">
        <w:rPr>
          <w:rFonts w:ascii="Verdana" w:eastAsia="Arial" w:hAnsi="Verdana" w:cs="Arial"/>
          <w:color w:val="000000"/>
        </w:rPr>
        <w:t>. Además de que pueden tener carácter personal o familiar, eventualmente ostentan la calidad de micronegocios. De acuerdo con el DANE, estos últimos corresponden a una “Unidad económica con máximo nueve (9) personas ocupadas, que desarrolla una actividad productiva de bienes o servicios, con el objeto de obtener un ingreso, actuando en calidad de propietario o arrendatario de los medios de producción”</w:t>
      </w:r>
      <w:r w:rsidRPr="00C320D1">
        <w:rPr>
          <w:rStyle w:val="Refdenotaalpie"/>
          <w:rFonts w:ascii="Verdana" w:eastAsia="Arial" w:hAnsi="Verdana" w:cs="Arial"/>
          <w:color w:val="000000"/>
        </w:rPr>
        <w:footnoteReference w:id="16"/>
      </w:r>
      <w:r w:rsidRPr="00C320D1">
        <w:rPr>
          <w:rFonts w:ascii="Verdana" w:eastAsia="Arial" w:hAnsi="Verdana" w:cs="Arial"/>
          <w:color w:val="000000"/>
        </w:rPr>
        <w:t>. Por su parte, el artículo 2.2.1.13.2.2 del Decreto 1074 de 2015 establece los criterios para identificar la microempresa:</w:t>
      </w:r>
    </w:p>
    <w:p w14:paraId="610FAD5D" w14:textId="77777777" w:rsidR="00A937E6" w:rsidRPr="00C320D1" w:rsidRDefault="00A937E6" w:rsidP="00A937E6">
      <w:pPr>
        <w:pBdr>
          <w:top w:val="nil"/>
          <w:left w:val="nil"/>
          <w:bottom w:val="nil"/>
          <w:right w:val="nil"/>
          <w:between w:val="nil"/>
        </w:pBdr>
        <w:spacing w:after="0" w:line="276" w:lineRule="auto"/>
        <w:ind w:firstLine="708"/>
        <w:jc w:val="both"/>
        <w:rPr>
          <w:rFonts w:ascii="Verdana" w:eastAsia="Arial" w:hAnsi="Verdana" w:cs="Arial"/>
          <w:color w:val="000000"/>
        </w:rPr>
      </w:pPr>
    </w:p>
    <w:p w14:paraId="317AAEB0"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“Para efectos de la clasificación del tamaño empresarial se utilizarán […] los siguientes rangos para determinar el valor de los ingresos por actividades ordinarias anuales de acuerdo con el sector económico de que se trate:</w:t>
      </w:r>
    </w:p>
    <w:p w14:paraId="4A8C70FA"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08D6F4E6"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1. Para el sector manufacturero:</w:t>
      </w:r>
    </w:p>
    <w:p w14:paraId="397DD95F"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Microempresa. Aquella cuyos ingresos por actividades ordinarias anuales sean inferiores o iguales a veintitrés mil quinientos sesenta y tres Unidades de Valor Tributario (23.563 UVT).</w:t>
      </w:r>
    </w:p>
    <w:p w14:paraId="2C08E5BC"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6C621710"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w:t>
      </w:r>
    </w:p>
    <w:p w14:paraId="0A1BC2BE"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660AA54C"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2. Para el sector servicios:</w:t>
      </w:r>
    </w:p>
    <w:p w14:paraId="4174503E"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Microempresa. Aquella cuyos ingresos por actividades ordinarias anuales sean inferiores o iguales a treinta y dos mil novecientos ochenta y ocho Unidades de Valor Tributario (32.988 UVT).</w:t>
      </w:r>
    </w:p>
    <w:p w14:paraId="26372920"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2D3178DB"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w:t>
      </w:r>
    </w:p>
    <w:p w14:paraId="5DF6474B"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4C19EB00"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3. Para el sector de comercio:</w:t>
      </w:r>
    </w:p>
    <w:p w14:paraId="19594847"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Microempresa. Aquella cuyos ingresos por actividades ordinarias anuales sean inferiores o iguales a cuarenta y cuatro mil setecientos sesenta y nueve Unidades de Valor Tributario (44.769 UVT).</w:t>
      </w:r>
    </w:p>
    <w:p w14:paraId="11368724"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73EB1E28"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w:t>
      </w:r>
    </w:p>
    <w:p w14:paraId="1DF0D992"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Parágrafo 2. Para aquella empresa cuya actividad principal no corresponda exclusivamente a uno de los anteriores sectores, los rangos a aplicar serán aquellos previstos para el sector manufacturero.</w:t>
      </w:r>
    </w:p>
    <w:p w14:paraId="3BD78564"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56250E84"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Parágrafo 3. Cuando los ingresos de la empresa provengan de más de uno de los sectores contemplados en el presente Capítulo, se considerará la actividad del sector económico cuyos ingresos hayan sido más altos.</w:t>
      </w:r>
    </w:p>
    <w:p w14:paraId="66AAB8D7"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p>
    <w:p w14:paraId="3E81F69C" w14:textId="77777777" w:rsidR="00A937E6" w:rsidRPr="00C320D1" w:rsidRDefault="00A937E6" w:rsidP="00A937E6">
      <w:pPr>
        <w:pBdr>
          <w:top w:val="nil"/>
          <w:left w:val="nil"/>
          <w:bottom w:val="nil"/>
          <w:right w:val="nil"/>
          <w:between w:val="nil"/>
        </w:pBdr>
        <w:spacing w:after="0" w:line="240" w:lineRule="auto"/>
        <w:ind w:left="709" w:right="709"/>
        <w:jc w:val="both"/>
        <w:rPr>
          <w:rFonts w:ascii="Verdana" w:eastAsia="Arial" w:hAnsi="Verdana" w:cs="Arial"/>
          <w:color w:val="000000"/>
          <w:sz w:val="20"/>
          <w:szCs w:val="20"/>
        </w:rPr>
      </w:pPr>
      <w:r w:rsidRPr="00C320D1">
        <w:rPr>
          <w:rFonts w:ascii="Verdana" w:eastAsia="Arial" w:hAnsi="Verdana" w:cs="Arial"/>
          <w:color w:val="000000"/>
          <w:sz w:val="20"/>
          <w:szCs w:val="20"/>
        </w:rPr>
        <w:t xml:space="preserve">Parágrafo 4. El Ministerio de Comercio, Industria y Turismo, en conjunto con el Departamento Nacional de Estadística -DANE-, a la fecha de la </w:t>
      </w:r>
      <w:proofErr w:type="gramStart"/>
      <w:r w:rsidRPr="00C320D1">
        <w:rPr>
          <w:rFonts w:ascii="Verdana" w:eastAsia="Arial" w:hAnsi="Verdana" w:cs="Arial"/>
          <w:color w:val="000000"/>
          <w:sz w:val="20"/>
          <w:szCs w:val="20"/>
        </w:rPr>
        <w:t>entrada en vigencia</w:t>
      </w:r>
      <w:proofErr w:type="gramEnd"/>
      <w:r w:rsidRPr="00C320D1">
        <w:rPr>
          <w:rFonts w:ascii="Verdana" w:eastAsia="Arial" w:hAnsi="Verdana" w:cs="Arial"/>
          <w:color w:val="000000"/>
          <w:sz w:val="20"/>
          <w:szCs w:val="20"/>
        </w:rPr>
        <w:t xml:space="preserve"> del presente Capitulo establecerá, mediante acto administrativo, el anexo técnico de correspondencia de los tres sectores, manufactura, comercio y servicios con la Clasificación de las Actividades Económicas - </w:t>
      </w:r>
      <w:proofErr w:type="spellStart"/>
      <w:r w:rsidRPr="00C320D1">
        <w:rPr>
          <w:rFonts w:ascii="Verdana" w:eastAsia="Arial" w:hAnsi="Verdana" w:cs="Arial"/>
          <w:color w:val="000000"/>
          <w:sz w:val="20"/>
          <w:szCs w:val="20"/>
        </w:rPr>
        <w:t>CllU</w:t>
      </w:r>
      <w:proofErr w:type="spellEnd"/>
      <w:r w:rsidRPr="00C320D1">
        <w:rPr>
          <w:rFonts w:ascii="Verdana" w:eastAsia="Arial" w:hAnsi="Verdana" w:cs="Arial"/>
          <w:color w:val="000000"/>
          <w:sz w:val="20"/>
          <w:szCs w:val="20"/>
        </w:rPr>
        <w:t xml:space="preserve"> Revisión 4”.</w:t>
      </w:r>
    </w:p>
    <w:p w14:paraId="1ADE84BC" w14:textId="77777777" w:rsidR="00A937E6" w:rsidRPr="00C320D1" w:rsidRDefault="00A937E6" w:rsidP="00A937E6">
      <w:pPr>
        <w:pBdr>
          <w:top w:val="nil"/>
          <w:left w:val="nil"/>
          <w:bottom w:val="nil"/>
          <w:right w:val="nil"/>
          <w:between w:val="nil"/>
        </w:pBdr>
        <w:spacing w:after="0" w:line="276" w:lineRule="auto"/>
        <w:jc w:val="both"/>
        <w:rPr>
          <w:rFonts w:ascii="Verdana" w:eastAsia="Arial" w:hAnsi="Verdana" w:cs="Arial"/>
          <w:color w:val="000000"/>
        </w:rPr>
      </w:pPr>
    </w:p>
    <w:p w14:paraId="6596CD67" w14:textId="77777777" w:rsidR="00A937E6" w:rsidRPr="00C320D1" w:rsidRDefault="00A937E6" w:rsidP="00A937E6">
      <w:pPr>
        <w:spacing w:after="120" w:line="276" w:lineRule="auto"/>
        <w:ind w:firstLine="708"/>
        <w:jc w:val="both"/>
        <w:rPr>
          <w:rFonts w:ascii="Verdana" w:eastAsia="Calibri" w:hAnsi="Verdana" w:cs="Arial"/>
          <w:color w:val="000000" w:themeColor="text1"/>
          <w:lang w:val="es-ES"/>
        </w:rPr>
      </w:pPr>
      <w:r w:rsidRPr="00C320D1">
        <w:rPr>
          <w:rFonts w:ascii="Verdana" w:eastAsia="Calibri" w:hAnsi="Verdana" w:cs="Arial"/>
          <w:color w:val="000000" w:themeColor="text1"/>
          <w:lang w:val="es-ES"/>
        </w:rPr>
        <w:t xml:space="preserve">La Ley de Emprendimiento atribuye la calidad de empresa a algunas entidades sin ánimo de lucro, con la posibilidad de que éstas también puedan clasificarse con microempresas. Al respecto, el artículo 23 de la Ley 2069 de 2020 dispone que “De conformidad con lo establecido por los artículos 4 de la Ley 79 de 1988 y 6 de la Ley 454 de 1998, </w:t>
      </w:r>
      <w:bookmarkStart w:id="2" w:name="_Hlk140491183"/>
      <w:r w:rsidRPr="00C320D1">
        <w:rPr>
          <w:rFonts w:ascii="Verdana" w:eastAsia="Calibri" w:hAnsi="Verdana" w:cs="Arial"/>
          <w:i/>
          <w:color w:val="000000" w:themeColor="text1"/>
          <w:lang w:val="es-ES"/>
        </w:rPr>
        <w:t>las cooperativas y demás entidades de la economía solidaria son empresas</w:t>
      </w:r>
      <w:bookmarkEnd w:id="2"/>
      <w:r w:rsidRPr="00C320D1">
        <w:rPr>
          <w:rFonts w:ascii="Verdana" w:eastAsia="Calibri" w:hAnsi="Verdana" w:cs="Arial"/>
          <w:color w:val="000000" w:themeColor="text1"/>
          <w:lang w:val="es-ES"/>
        </w:rPr>
        <w:t xml:space="preserve">. En tal virtud, para los efectos de la presente ley, las entidades de economía solidaria </w:t>
      </w:r>
      <w:r w:rsidRPr="00C320D1">
        <w:rPr>
          <w:rFonts w:ascii="Verdana" w:eastAsia="Calibri" w:hAnsi="Verdana" w:cs="Arial"/>
          <w:i/>
          <w:color w:val="000000" w:themeColor="text1"/>
          <w:lang w:val="es-ES"/>
        </w:rPr>
        <w:t>serán clasificadas como Mipymes en los términos establecidos por el artículo 2 de la Ley 590 de 2000 y por el Decreto 957 de 2019 o las normas que los modifiquen, deroguen o adicionen</w:t>
      </w:r>
      <w:r w:rsidRPr="00C320D1">
        <w:rPr>
          <w:rFonts w:ascii="Verdana" w:eastAsia="Calibri" w:hAnsi="Verdana" w:cs="Arial"/>
          <w:color w:val="000000" w:themeColor="text1"/>
          <w:lang w:val="es-ES"/>
        </w:rPr>
        <w:t>, sin perjuicio de la normatividad específica aplicable a sus diferentes figuras jurídicas, ni del marco de competencias institucionales de Gobierno para su fomento, fortalecimiento, inspección, control y vigilancia” (Énfasis fuera de texto).</w:t>
      </w:r>
    </w:p>
    <w:p w14:paraId="6552CF98" w14:textId="77777777" w:rsidR="00A937E6" w:rsidRPr="00C320D1" w:rsidRDefault="00A937E6" w:rsidP="00A937E6">
      <w:pP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El inciso primero del artículo 4 de la Ley 79 de 1988 dispone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Por su parte, el inciso primero del artículo 2 de la Ley 454 de 1998 entiende por economía solidaria el “[...] sistema </w:t>
      </w:r>
      <w:r w:rsidRPr="00C320D1">
        <w:rPr>
          <w:rFonts w:ascii="Verdana" w:eastAsia="Calibri" w:hAnsi="Verdana" w:cs="Arial"/>
          <w:color w:val="000000" w:themeColor="text1"/>
          <w:lang w:val="es-ES_tradnl"/>
        </w:rPr>
        <w:lastRenderedPageBreak/>
        <w:t>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Pr="00C320D1">
        <w:rPr>
          <w:rStyle w:val="Refdenotaalpie"/>
          <w:rFonts w:ascii="Verdana" w:eastAsia="Calibri" w:hAnsi="Verdana" w:cs="Arial"/>
          <w:color w:val="000000" w:themeColor="text1"/>
          <w:lang w:val="es-ES_tradnl"/>
        </w:rPr>
        <w:footnoteReference w:id="17"/>
      </w:r>
      <w:r w:rsidRPr="00C320D1">
        <w:rPr>
          <w:rFonts w:ascii="Verdana" w:eastAsia="Calibri" w:hAnsi="Verdana" w:cs="Arial"/>
          <w:color w:val="000000" w:themeColor="text1"/>
          <w:lang w:val="es-ES_tradnl"/>
        </w:rPr>
        <w:t>.</w:t>
      </w:r>
    </w:p>
    <w:p w14:paraId="34F2D8A1" w14:textId="77777777" w:rsidR="00A937E6" w:rsidRPr="00C320D1" w:rsidRDefault="00A937E6" w:rsidP="00A937E6">
      <w:pPr>
        <w:spacing w:after="120" w:line="276" w:lineRule="auto"/>
        <w:ind w:firstLine="708"/>
        <w:jc w:val="both"/>
        <w:rPr>
          <w:rFonts w:ascii="Verdana" w:eastAsia="Calibri" w:hAnsi="Verdana" w:cs="Arial"/>
          <w:color w:val="000000" w:themeColor="text1"/>
          <w:lang w:val="es-ES_tradnl"/>
        </w:rPr>
      </w:pPr>
      <w:r w:rsidRPr="00C320D1">
        <w:rPr>
          <w:rFonts w:ascii="Verdana" w:eastAsia="Calibri" w:hAnsi="Verdana" w:cs="Arial"/>
          <w:color w:val="000000" w:themeColor="text1"/>
          <w:lang w:val="es-ES_tradnl"/>
        </w:rPr>
        <w:t xml:space="preserve">Esta calidad empresarial de algunas entidades sin ánimo de lucro, así como el desarrollo de actividades mercantiles por parte de éstas, no riñe con la falta de </w:t>
      </w:r>
      <w:r w:rsidRPr="00C320D1">
        <w:rPr>
          <w:rFonts w:ascii="Verdana" w:eastAsia="Calibri" w:hAnsi="Verdana" w:cs="Arial"/>
          <w:bCs/>
          <w:i/>
          <w:iCs/>
          <w:color w:val="000000" w:themeColor="text1"/>
        </w:rPr>
        <w:t xml:space="preserve">animus </w:t>
      </w:r>
      <w:proofErr w:type="spellStart"/>
      <w:r w:rsidRPr="00C320D1">
        <w:rPr>
          <w:rFonts w:ascii="Verdana" w:eastAsia="Calibri" w:hAnsi="Verdana" w:cs="Arial"/>
          <w:bCs/>
          <w:i/>
          <w:iCs/>
          <w:color w:val="000000" w:themeColor="text1"/>
        </w:rPr>
        <w:t>lucrandi</w:t>
      </w:r>
      <w:proofErr w:type="spellEnd"/>
      <w:r w:rsidRPr="00C320D1">
        <w:rPr>
          <w:rFonts w:ascii="Verdana" w:eastAsia="Calibri" w:hAnsi="Verdana" w:cs="Arial"/>
          <w:bCs/>
          <w:color w:val="000000" w:themeColor="text1"/>
        </w:rPr>
        <w:t>. Como explica la Corte Constitucional en la Sentencia C-287 de 2012, con ponencia de la Magistrada María Victoria Calle Correa, “[…]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w:t>
      </w:r>
      <w:r w:rsidRPr="00C320D1">
        <w:rPr>
          <w:rStyle w:val="Refdenotaalpie"/>
          <w:rFonts w:ascii="Verdana" w:eastAsia="Calibri" w:hAnsi="Verdana" w:cs="Arial"/>
          <w:bCs/>
          <w:color w:val="000000" w:themeColor="text1"/>
        </w:rPr>
        <w:footnoteReference w:id="18"/>
      </w:r>
      <w:r w:rsidRPr="00C320D1">
        <w:rPr>
          <w:rFonts w:ascii="Verdana" w:eastAsia="Calibri" w:hAnsi="Verdana" w:cs="Arial"/>
          <w:bCs/>
          <w:color w:val="000000" w:themeColor="text1"/>
        </w:rPr>
        <w:t>. Así, la principal característica de las entidades sin ánimo de lucro es la ausencia de lucro, es decir, las ganancias o beneficios económicos no están destinados a repartirse en favor de los miembros ni de terceros, sino que permanecen dentro de la entidad incrementando su patrimonio.</w:t>
      </w:r>
    </w:p>
    <w:p w14:paraId="636D6D3B" w14:textId="77777777" w:rsidR="00A937E6" w:rsidRPr="00C320D1" w:rsidRDefault="00A937E6" w:rsidP="00A937E6">
      <w:pPr>
        <w:pBdr>
          <w:top w:val="nil"/>
          <w:left w:val="nil"/>
          <w:bottom w:val="nil"/>
          <w:right w:val="nil"/>
          <w:between w:val="nil"/>
        </w:pBdr>
        <w:spacing w:after="120" w:line="276" w:lineRule="auto"/>
        <w:jc w:val="both"/>
        <w:rPr>
          <w:rFonts w:ascii="Verdana" w:eastAsia="Calibri" w:hAnsi="Verdana" w:cs="Arial"/>
          <w:color w:val="000000" w:themeColor="text1"/>
          <w:lang w:val="es-ES_tradnl"/>
        </w:rPr>
      </w:pPr>
      <w:r w:rsidRPr="00C320D1">
        <w:rPr>
          <w:rFonts w:ascii="Verdana" w:eastAsia="Arial" w:hAnsi="Verdana" w:cs="Arial"/>
          <w:color w:val="000000"/>
        </w:rPr>
        <w:tab/>
        <w:t xml:space="preserve">Sin embargo, la noción de unidad económica empleada en el Decreto 874 de 2024 no se identifica necesariamente con los conceptos de comerciante, empresa o establecimiento de comercio. Además de que los actores de la Economía Popular y Comunitaria pueden ejecutar </w:t>
      </w:r>
      <w:r w:rsidRPr="00C320D1">
        <w:rPr>
          <w:rFonts w:ascii="Verdana" w:eastAsia="Arial" w:hAnsi="Verdana" w:cs="Arial"/>
          <w:i/>
          <w:iCs/>
          <w:color w:val="000000"/>
        </w:rPr>
        <w:t>actividades no mercantiles</w:t>
      </w:r>
      <w:r w:rsidRPr="00C320D1">
        <w:rPr>
          <w:rFonts w:ascii="Verdana" w:eastAsia="Arial" w:hAnsi="Verdana" w:cs="Arial"/>
          <w:color w:val="000000"/>
        </w:rPr>
        <w:t xml:space="preserve">, quienes no se ocupan del ejercicio profesional de </w:t>
      </w:r>
      <w:r w:rsidRPr="00C320D1">
        <w:rPr>
          <w:rFonts w:ascii="Verdana" w:eastAsia="Arial" w:hAnsi="Verdana" w:cs="Arial"/>
          <w:i/>
          <w:iCs/>
          <w:color w:val="000000"/>
        </w:rPr>
        <w:t>actividades mercantiles</w:t>
      </w:r>
      <w:r w:rsidRPr="00C320D1">
        <w:rPr>
          <w:rFonts w:ascii="Verdana" w:eastAsia="Arial" w:hAnsi="Verdana" w:cs="Arial"/>
          <w:color w:val="000000"/>
        </w:rPr>
        <w:t xml:space="preserve"> están facultados para realizar actos de comercio, sin necesidad de tener un conjunto de bienes organizados –artículo 515 del Código de Comercio– para la producción, transformación, circulación, administración o custodia de bienes, o para la prestación de servicios –artículo 25 </w:t>
      </w:r>
      <w:r w:rsidRPr="00C320D1">
        <w:rPr>
          <w:rFonts w:ascii="Verdana" w:eastAsia="Arial" w:hAnsi="Verdana" w:cs="Arial"/>
          <w:i/>
          <w:iCs/>
          <w:color w:val="000000"/>
        </w:rPr>
        <w:t>ibidem</w:t>
      </w:r>
      <w:r w:rsidRPr="00C320D1">
        <w:rPr>
          <w:rFonts w:ascii="Verdana" w:eastAsia="Arial" w:hAnsi="Verdana" w:cs="Arial"/>
          <w:color w:val="000000"/>
        </w:rPr>
        <w:t xml:space="preserve">–. Incluso, fuera de lo previsto en </w:t>
      </w:r>
      <w:r w:rsidRPr="00C320D1">
        <w:rPr>
          <w:rFonts w:ascii="Verdana" w:eastAsia="Calibri" w:hAnsi="Verdana" w:cs="Arial"/>
          <w:color w:val="000000" w:themeColor="text1"/>
          <w:lang w:val="es-ES_tradnl"/>
        </w:rPr>
        <w:t>el artículo 23 de la Ley 2069 de 2020, las demás ESAL tienen naturaleza empresarial, y el lugar donde operan no sería considerado un bien comercial.</w:t>
      </w:r>
    </w:p>
    <w:p w14:paraId="78045AFB" w14:textId="77777777" w:rsidR="00A937E6" w:rsidRPr="00C320D1" w:rsidRDefault="00A937E6" w:rsidP="00A937E6">
      <w:pPr>
        <w:spacing w:after="120" w:line="276" w:lineRule="auto"/>
        <w:ind w:firstLine="708"/>
        <w:jc w:val="both"/>
        <w:rPr>
          <w:rFonts w:ascii="Verdana" w:eastAsia="Calibri" w:hAnsi="Verdana" w:cs="Arial"/>
          <w:bCs/>
          <w:lang w:val="es-ES_tradnl"/>
        </w:rPr>
      </w:pPr>
      <w:r w:rsidRPr="00C320D1">
        <w:rPr>
          <w:rFonts w:ascii="Verdana" w:eastAsia="Arial" w:hAnsi="Verdana" w:cs="Arial"/>
          <w:color w:val="000000"/>
        </w:rPr>
        <w:lastRenderedPageBreak/>
        <w:t xml:space="preserve">En todo caso, aunque reúnan las características mencionadas, el registro mercantil no es un requisito de capacidad jurídica de las </w:t>
      </w:r>
      <w:r w:rsidRPr="00C320D1">
        <w:rPr>
          <w:rFonts w:ascii="Verdana" w:eastAsia="Calibri" w:hAnsi="Verdana" w:cs="Arial"/>
          <w:bCs/>
          <w:color w:val="000000" w:themeColor="text1"/>
        </w:rPr>
        <w:t>personas naturales o entidades sin ánimo de lucro que pretendan celebrar contratos de Asociación Público-Popular, ya que solamente es un medio de publicidad y, por tanto, no tiene una función constitutiva, sino declarativa</w:t>
      </w:r>
      <w:r w:rsidRPr="00C320D1">
        <w:rPr>
          <w:rStyle w:val="Refdenotaalpie"/>
          <w:rFonts w:ascii="Verdana" w:eastAsia="Calibri" w:hAnsi="Verdana" w:cs="Arial"/>
          <w:bCs/>
          <w:color w:val="000000" w:themeColor="text1"/>
        </w:rPr>
        <w:footnoteReference w:id="19"/>
      </w:r>
      <w:r w:rsidRPr="00C320D1">
        <w:rPr>
          <w:rFonts w:ascii="Verdana" w:eastAsia="Calibri" w:hAnsi="Verdana" w:cs="Arial"/>
          <w:bCs/>
          <w:color w:val="000000" w:themeColor="text1"/>
        </w:rPr>
        <w:t>. F</w:t>
      </w:r>
      <w:r w:rsidRPr="00C320D1">
        <w:rPr>
          <w:rFonts w:ascii="Verdana" w:eastAsia="Calibri" w:hAnsi="Verdana" w:cs="Arial"/>
          <w:bCs/>
          <w:lang w:val="es-ES_tradnl"/>
        </w:rPr>
        <w:t xml:space="preserve">rente al requisito del registro mercantil, el artículo 29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C320D1">
        <w:rPr>
          <w:rFonts w:ascii="Verdana" w:eastAsia="Calibri" w:hAnsi="Verdana" w:cs="Arial"/>
          <w:bCs/>
          <w:i/>
          <w:iCs/>
          <w:lang w:val="es-ES_tradnl"/>
        </w:rPr>
        <w:t>ibidem</w:t>
      </w:r>
      <w:r w:rsidRPr="00C320D1">
        <w:rPr>
          <w:rFonts w:ascii="Verdana" w:eastAsia="Calibri" w:hAnsi="Verdana" w:cs="Arial"/>
          <w:bCs/>
          <w:lang w:val="es-ES_tradnl"/>
        </w:rPr>
        <w:t xml:space="preserve"> señalan que cuando </w:t>
      </w:r>
      <w:r w:rsidRPr="00C320D1">
        <w:rPr>
          <w:rFonts w:ascii="Verdana" w:hAnsi="Verdana" w:cs="Arial"/>
        </w:rPr>
        <w:t xml:space="preserve">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 </w:t>
      </w:r>
    </w:p>
    <w:p w14:paraId="5A233443"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lang w:val="es-ES"/>
        </w:rPr>
      </w:pPr>
      <w:r w:rsidRPr="00C320D1">
        <w:rPr>
          <w:rFonts w:ascii="Verdana" w:eastAsia="Calibri" w:hAnsi="Verdana" w:cs="Arial"/>
          <w:color w:val="000000" w:themeColor="text1"/>
          <w:lang w:val="es-ES"/>
        </w:rPr>
        <w:t>En ese sentido, si bien el registro mercantil puede ser un medio de prueba que permita acreditar que una persona ejerce una actividad mercantil, lo cierto es que este no basta para demostrar que pertenece a la Economía Popular y Comunitaria. Esto en la medida que, tal y como se señaló en los párrafos anteriores, es necesario que se acredite que ejerce oficios y ocupaciones relacionados con la producción, distribución y comercialización de bienes y servicios, así como la condición de baja escala. Por otro lado, el registro mercantil no es aplicable en todos los casos para la verificación de las condiciones del sujeto a contratar, dado que el concepto de Economía Popular y Comunitaria también comprende actividades no mercantiles – como se señaló anteriormente –, frente a las cuales el registro mercantil no será el documento idóneo.</w:t>
      </w:r>
    </w:p>
    <w:p w14:paraId="1398C988" w14:textId="77777777" w:rsidR="00A937E6" w:rsidRPr="00C320D1" w:rsidRDefault="00A937E6" w:rsidP="00A937E6">
      <w:pPr>
        <w:pBdr>
          <w:top w:val="nil"/>
          <w:left w:val="nil"/>
          <w:bottom w:val="nil"/>
          <w:right w:val="nil"/>
          <w:between w:val="nil"/>
        </w:pBdr>
        <w:spacing w:after="120" w:line="276" w:lineRule="auto"/>
        <w:ind w:firstLine="709"/>
        <w:jc w:val="both"/>
        <w:rPr>
          <w:rFonts w:ascii="Verdana" w:eastAsia="Calibri" w:hAnsi="Verdana" w:cs="Arial"/>
          <w:color w:val="000000" w:themeColor="text1"/>
        </w:rPr>
      </w:pPr>
      <w:r w:rsidRPr="00C320D1">
        <w:rPr>
          <w:rFonts w:ascii="Verdana" w:eastAsia="Calibri" w:hAnsi="Verdana" w:cs="Arial"/>
          <w:color w:val="000000" w:themeColor="text1"/>
        </w:rPr>
        <w:t xml:space="preserve">En consecuencia, la Entidad Estatal deberá señalar en los documentos del proceso cuál es la información que se debe acreditar, así como los medios de prueba que tendrá como válidos para tal fin. En consecuencia, el sujeto que pretenda suscribir este tipo de contratos deberá ceñirse a lo dispuesto por la entidad y allegar toda información ordenada, en los términos y la forma en que hayan sido señalados. </w:t>
      </w:r>
    </w:p>
    <w:p w14:paraId="67781C0E" w14:textId="77777777" w:rsidR="00A937E6" w:rsidRPr="00C320D1" w:rsidRDefault="00A937E6" w:rsidP="00A937E6">
      <w:pPr>
        <w:pBdr>
          <w:top w:val="nil"/>
          <w:left w:val="nil"/>
          <w:bottom w:val="nil"/>
          <w:right w:val="nil"/>
          <w:between w:val="nil"/>
        </w:pBdr>
        <w:spacing w:after="120" w:line="276" w:lineRule="auto"/>
        <w:ind w:firstLine="709"/>
        <w:jc w:val="both"/>
        <w:rPr>
          <w:rFonts w:ascii="Verdana" w:eastAsia="Calibri" w:hAnsi="Verdana" w:cs="Arial"/>
          <w:color w:val="000000" w:themeColor="text1"/>
          <w:lang w:val="es-ES_tradnl"/>
        </w:rPr>
      </w:pPr>
      <w:r w:rsidRPr="00C320D1">
        <w:rPr>
          <w:rFonts w:ascii="Verdana" w:eastAsia="Calibri" w:hAnsi="Verdana" w:cs="Arial"/>
          <w:bCs/>
          <w:color w:val="000000" w:themeColor="text1"/>
        </w:rPr>
        <w:lastRenderedPageBreak/>
        <w:t xml:space="preserve">- </w:t>
      </w:r>
      <w:r w:rsidRPr="00C320D1">
        <w:rPr>
          <w:rFonts w:ascii="Verdana" w:eastAsia="Calibri" w:hAnsi="Verdana" w:cs="Arial"/>
          <w:bCs/>
          <w:i/>
          <w:iCs/>
          <w:color w:val="000000" w:themeColor="text1"/>
        </w:rPr>
        <w:t>Finalmente</w:t>
      </w:r>
      <w:r w:rsidRPr="00C320D1">
        <w:rPr>
          <w:rFonts w:ascii="Verdana" w:eastAsia="Calibri" w:hAnsi="Verdana" w:cs="Arial"/>
          <w:bCs/>
          <w:color w:val="000000" w:themeColor="text1"/>
        </w:rPr>
        <w:t xml:space="preserve">, respecto a la forma como lo hacen, </w:t>
      </w:r>
      <w:r w:rsidRPr="00C320D1">
        <w:rPr>
          <w:rFonts w:ascii="Verdana" w:eastAsia="Calibri" w:hAnsi="Verdana" w:cs="Arial"/>
          <w:color w:val="000000" w:themeColor="text1"/>
          <w:lang w:val="es-ES_tradnl"/>
        </w:rPr>
        <w:t xml:space="preserve">el artículo 2.2.16.1.4 del Decreto 1082 de 2015 prescribe que “[…] Los actores de la Economía Popular pueden realizar sus actividades de manera individual, en unidades económicas, u organizados de manera asociativa”. El concepto de unidad económica es el explicado en el punto anterior, siempre que corresponda a la categoría de baja escala. No obstante, también podrán organizarse de forma individual o asociativa, es decir, tanto por una sola persona natural o entidades sin ánimo de lucro como por un grupo de </w:t>
      </w:r>
      <w:proofErr w:type="gramStart"/>
      <w:r w:rsidRPr="00C320D1">
        <w:rPr>
          <w:rFonts w:ascii="Verdana" w:eastAsia="Calibri" w:hAnsi="Verdana" w:cs="Arial"/>
          <w:color w:val="000000" w:themeColor="text1"/>
          <w:lang w:val="es-ES_tradnl"/>
        </w:rPr>
        <w:t>las mismas</w:t>
      </w:r>
      <w:proofErr w:type="gramEnd"/>
      <w:r w:rsidRPr="00C320D1">
        <w:rPr>
          <w:rFonts w:ascii="Verdana" w:eastAsia="Calibri" w:hAnsi="Verdana" w:cs="Arial"/>
          <w:color w:val="000000" w:themeColor="text1"/>
          <w:lang w:val="es-ES_tradnl"/>
        </w:rPr>
        <w:t xml:space="preserve">. </w:t>
      </w:r>
    </w:p>
    <w:p w14:paraId="05D92107"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lang w:val="es-ES_tradnl"/>
        </w:rPr>
        <w:t xml:space="preserve">Estas formas asociativas tienen su fundamento en el artículo 38 constitucional, y de ellas pueden surgir o no una nueva persona jurídica. </w:t>
      </w:r>
      <w:r w:rsidRPr="00C320D1">
        <w:rPr>
          <w:rFonts w:ascii="Verdana" w:eastAsia="Calibri" w:hAnsi="Verdana" w:cs="Arial"/>
          <w:lang w:val="es-ES"/>
        </w:rPr>
        <w:t>Estas últimas son entes ficticios con capacidad autónoma para ejercer derechos y contraer obligaciones –</w:t>
      </w:r>
      <w:r w:rsidRPr="00C320D1">
        <w:rPr>
          <w:rFonts w:ascii="Verdana" w:eastAsia="Calibri" w:hAnsi="Verdana" w:cs="Arial"/>
          <w:color w:val="000000" w:themeColor="text1"/>
        </w:rPr>
        <w:t>artículo 633 del Código Civil–</w:t>
      </w:r>
      <w:r w:rsidRPr="00C320D1">
        <w:rPr>
          <w:rStyle w:val="Refdenotaalpie"/>
          <w:rFonts w:ascii="Verdana" w:eastAsia="Calibri" w:hAnsi="Verdana" w:cs="Arial"/>
          <w:color w:val="000000" w:themeColor="text1"/>
        </w:rPr>
        <w:footnoteReference w:id="20"/>
      </w:r>
      <w:r w:rsidRPr="00C320D1">
        <w:rPr>
          <w:rFonts w:ascii="Verdana" w:eastAsia="Calibri" w:hAnsi="Verdana" w:cs="Arial"/>
          <w:color w:val="000000" w:themeColor="text1"/>
        </w:rPr>
        <w:t>. Aunque la participación corresponda a otros sujetos de derecho, dichos entes tienen personería jurídica diferente de los socios individualmente considerados</w:t>
      </w:r>
      <w:r w:rsidRPr="00C320D1">
        <w:rPr>
          <w:rStyle w:val="Refdenotaalpie"/>
          <w:rFonts w:ascii="Verdana" w:eastAsia="Calibri" w:hAnsi="Verdana" w:cs="Arial"/>
          <w:color w:val="000000" w:themeColor="text1"/>
        </w:rPr>
        <w:footnoteReference w:id="21"/>
      </w:r>
      <w:r w:rsidRPr="00C320D1">
        <w:rPr>
          <w:rFonts w:ascii="Verdana" w:eastAsia="Calibri" w:hAnsi="Verdana" w:cs="Arial"/>
          <w:color w:val="000000" w:themeColor="text1"/>
        </w:rPr>
        <w:t>. De esta manera, “[…] todas estas colectividades se presentan como independientes y distintas de los seres humanos que las constituyen; desaparece en cierta medida la individualidad de estos; y se forma un ser jurídico distinto de ellos con vida propia […]”</w:t>
      </w:r>
      <w:r w:rsidRPr="00C320D1">
        <w:rPr>
          <w:rStyle w:val="Refdenotaalpie"/>
          <w:rFonts w:ascii="Verdana" w:eastAsia="Calibri" w:hAnsi="Verdana" w:cs="Arial"/>
          <w:color w:val="000000" w:themeColor="text1"/>
        </w:rPr>
        <w:footnoteReference w:id="22"/>
      </w:r>
      <w:r w:rsidRPr="00C320D1">
        <w:rPr>
          <w:rFonts w:ascii="Verdana" w:eastAsia="Calibri" w:hAnsi="Verdana" w:cs="Arial"/>
          <w:color w:val="000000" w:themeColor="text1"/>
        </w:rPr>
        <w:t xml:space="preserve">. </w:t>
      </w:r>
    </w:p>
    <w:p w14:paraId="75D4B825" w14:textId="77777777" w:rsidR="00A937E6" w:rsidRPr="00C320D1" w:rsidRDefault="00A937E6" w:rsidP="00A937E6">
      <w:pPr>
        <w:pBdr>
          <w:top w:val="nil"/>
          <w:left w:val="nil"/>
          <w:bottom w:val="nil"/>
          <w:right w:val="nil"/>
          <w:between w:val="nil"/>
        </w:pBdr>
        <w:spacing w:after="120" w:line="276" w:lineRule="auto"/>
        <w:ind w:firstLine="709"/>
        <w:jc w:val="both"/>
        <w:rPr>
          <w:rFonts w:ascii="Verdana" w:hAnsi="Verdana" w:cs="Arial"/>
          <w:color w:val="000000" w:themeColor="text1"/>
        </w:rPr>
      </w:pPr>
      <w:r w:rsidRPr="00C320D1">
        <w:rPr>
          <w:rFonts w:ascii="Verdana" w:eastAsia="Calibri" w:hAnsi="Verdana" w:cs="Arial"/>
          <w:color w:val="000000" w:themeColor="text1"/>
        </w:rPr>
        <w:t xml:space="preserve">No obstante, de la norma transcrita no se desprende la necesidad de que los asociados constituyan una persona jurídica independiente para ser parte de la “economía social y comunitaria”. Es decir, pueden aunar esfuerzos de forma colectiva para desarrollar </w:t>
      </w:r>
      <w:r w:rsidRPr="00C320D1">
        <w:rPr>
          <w:rFonts w:ascii="Verdana" w:eastAsia="Calibri" w:hAnsi="Verdana" w:cs="Arial"/>
          <w:i/>
          <w:iCs/>
          <w:color w:val="000000" w:themeColor="text1"/>
          <w:lang w:val="es-ES_tradnl"/>
        </w:rPr>
        <w:t xml:space="preserve">actividades mercantiles </w:t>
      </w:r>
      <w:r w:rsidRPr="00C320D1">
        <w:rPr>
          <w:rFonts w:ascii="Verdana" w:eastAsia="Calibri" w:hAnsi="Verdana" w:cs="Arial"/>
          <w:color w:val="000000" w:themeColor="text1"/>
          <w:lang w:val="es-ES_tradnl"/>
        </w:rPr>
        <w:t>y</w:t>
      </w:r>
      <w:r w:rsidRPr="00C320D1">
        <w:rPr>
          <w:rFonts w:ascii="Verdana" w:eastAsia="Calibri" w:hAnsi="Verdana" w:cs="Arial"/>
          <w:i/>
          <w:iCs/>
          <w:color w:val="000000" w:themeColor="text1"/>
          <w:lang w:val="es-ES_tradnl"/>
        </w:rPr>
        <w:t xml:space="preserve"> no mercantiles </w:t>
      </w:r>
      <w:r w:rsidRPr="00C320D1">
        <w:rPr>
          <w:rFonts w:ascii="Verdana" w:eastAsia="Calibri" w:hAnsi="Verdana" w:cs="Arial"/>
          <w:color w:val="000000" w:themeColor="text1"/>
          <w:lang w:val="es-ES_tradnl"/>
        </w:rPr>
        <w:t>de pequeña escala, por lo que –a diferencia de las descritas en el párrafo anterior, sin perjuicio de mantener el propósito altruista de las acciones desplegadas– se tratará de “asociaciones no reconocidas”</w:t>
      </w:r>
      <w:r w:rsidRPr="00C320D1">
        <w:rPr>
          <w:rStyle w:val="Refdenotaalpie"/>
          <w:rFonts w:ascii="Verdana" w:eastAsia="Calibri" w:hAnsi="Verdana" w:cs="Arial"/>
          <w:color w:val="000000" w:themeColor="text1"/>
          <w:lang w:val="es-ES_tradnl"/>
        </w:rPr>
        <w:footnoteReference w:id="23"/>
      </w:r>
      <w:r w:rsidRPr="00C320D1">
        <w:rPr>
          <w:rFonts w:ascii="Verdana" w:eastAsia="Calibri" w:hAnsi="Verdana" w:cs="Arial"/>
          <w:color w:val="000000" w:themeColor="text1"/>
          <w:lang w:val="es-ES_tradnl"/>
        </w:rPr>
        <w:t>.</w:t>
      </w:r>
      <w:r w:rsidRPr="00C320D1">
        <w:rPr>
          <w:rFonts w:ascii="Verdana" w:eastAsia="Calibri" w:hAnsi="Verdana" w:cs="Arial"/>
          <w:color w:val="000000" w:themeColor="text1"/>
        </w:rPr>
        <w:t xml:space="preserve"> Como carecen de capacidad jurídica </w:t>
      </w:r>
      <w:r w:rsidRPr="00C320D1">
        <w:rPr>
          <w:rFonts w:ascii="Verdana" w:eastAsia="Calibri" w:hAnsi="Verdana" w:cs="Arial"/>
          <w:color w:val="000000" w:themeColor="text1"/>
        </w:rPr>
        <w:lastRenderedPageBreak/>
        <w:t xml:space="preserve">autónoma, </w:t>
      </w:r>
      <w:r w:rsidRPr="00C320D1">
        <w:rPr>
          <w:rFonts w:ascii="Verdana" w:hAnsi="Verdana" w:cs="Arial"/>
          <w:color w:val="000000" w:themeColor="text1"/>
        </w:rPr>
        <w:t xml:space="preserve">la celebración de cualquier negocio jurídico no corresponde a la asociación, sino a todos sus integrantes de forma conjunta. Es decir, son los participantes –no la asociación conformada– los que tienen personería y capacidad para actuar. Ahora bien, para determinar si una asociación pertenece o no a la Economía Popular y Comunitaria, será necesario que todos sus integrantes puedan ser clasificados como tales. </w:t>
      </w:r>
    </w:p>
    <w:p w14:paraId="7CA962E4" w14:textId="77777777" w:rsidR="00A937E6" w:rsidRPr="00C320D1" w:rsidRDefault="00A937E6" w:rsidP="00A937E6">
      <w:pPr>
        <w:pBdr>
          <w:top w:val="nil"/>
          <w:left w:val="nil"/>
          <w:bottom w:val="nil"/>
          <w:right w:val="nil"/>
          <w:between w:val="nil"/>
        </w:pBdr>
        <w:spacing w:after="120" w:line="276" w:lineRule="auto"/>
        <w:ind w:firstLine="709"/>
        <w:jc w:val="both"/>
        <w:rPr>
          <w:rFonts w:ascii="Verdana" w:hAnsi="Verdana" w:cs="Arial"/>
          <w:color w:val="000000" w:themeColor="text1"/>
        </w:rPr>
      </w:pPr>
      <w:r w:rsidRPr="00C320D1">
        <w:rPr>
          <w:rFonts w:ascii="Verdana" w:hAnsi="Verdana" w:cs="Arial"/>
          <w:color w:val="000000" w:themeColor="text1"/>
        </w:rPr>
        <w:t>Por ser una causal de contratación directa, las condiciones para celebrar contratos de Asociación Público-Popular deben interpretarse restrictivamente, pues excepciona los procedimientos con pluralidad de oferentes. Incluso, el artículo 2.2.16.1.8 del Decreto 1082 de 2015 prohíbe fraccionar el objeto contractual para eludirlos</w:t>
      </w:r>
      <w:r w:rsidRPr="00C320D1">
        <w:rPr>
          <w:rStyle w:val="Refdenotaalpie"/>
          <w:rFonts w:ascii="Verdana" w:hAnsi="Verdana" w:cs="Arial"/>
          <w:color w:val="000000" w:themeColor="text1"/>
        </w:rPr>
        <w:footnoteReference w:id="24"/>
      </w:r>
      <w:r w:rsidRPr="00C320D1">
        <w:rPr>
          <w:rFonts w:ascii="Verdana" w:hAnsi="Verdana" w:cs="Arial"/>
          <w:color w:val="000000" w:themeColor="text1"/>
        </w:rPr>
        <w:t xml:space="preserve">. Esto sin perjuicio de que las Entidades Estatales verifiquen la conveniencia y oportunidad de celebrar estos negocios jurídicos de cara a criterios técnicos y económicos, para garantizar la idoneidad del contratista, la calidad del objeto ejecutado, así como el uso eficiente de los recursos públicos. </w:t>
      </w:r>
    </w:p>
    <w:p w14:paraId="0943C3FC" w14:textId="671A7F5F" w:rsidR="00A937E6" w:rsidRPr="00C320D1" w:rsidRDefault="00A937E6" w:rsidP="00A937E6">
      <w:pPr>
        <w:pBdr>
          <w:top w:val="nil"/>
          <w:left w:val="nil"/>
          <w:bottom w:val="nil"/>
          <w:right w:val="nil"/>
          <w:between w:val="nil"/>
        </w:pBdr>
        <w:spacing w:after="120" w:line="276" w:lineRule="auto"/>
        <w:jc w:val="both"/>
        <w:rPr>
          <w:rFonts w:ascii="Verdana" w:eastAsia="Calibri" w:hAnsi="Verdana" w:cs="Arial"/>
          <w:color w:val="000000" w:themeColor="text1"/>
        </w:rPr>
      </w:pPr>
      <w:r w:rsidRPr="00C320D1">
        <w:rPr>
          <w:rFonts w:ascii="Verdana" w:hAnsi="Verdana" w:cs="Arial"/>
          <w:color w:val="000000" w:themeColor="text1"/>
        </w:rPr>
        <w:tab/>
        <w:t>iv) Finalmente, respecto a la utilización de la plataforma SECOP en el marco de la celebración de Asociaciones Público-Populares es</w:t>
      </w:r>
      <w:r w:rsidRPr="00C320D1">
        <w:rPr>
          <w:rFonts w:ascii="Verdana" w:eastAsia="Calibri" w:hAnsi="Verdana" w:cs="Arial"/>
          <w:color w:val="000000" w:themeColor="text1"/>
        </w:rPr>
        <w:t xml:space="preserve"> importante indicar que, el artículo 2.2.16.1.10. del referido Decreto regula lo referente al uso de la plataforma SECOP II en </w:t>
      </w:r>
      <w:r w:rsidR="005E6BB3" w:rsidRPr="00C320D1">
        <w:rPr>
          <w:rFonts w:ascii="Verdana" w:eastAsia="Calibri" w:hAnsi="Verdana" w:cs="Arial"/>
          <w:color w:val="000000" w:themeColor="text1"/>
        </w:rPr>
        <w:t>este tipo de contratos</w:t>
      </w:r>
      <w:r w:rsidRPr="00C320D1">
        <w:rPr>
          <w:rFonts w:ascii="Verdana" w:eastAsia="Calibri" w:hAnsi="Verdana" w:cs="Arial"/>
          <w:color w:val="000000" w:themeColor="text1"/>
        </w:rPr>
        <w:t xml:space="preserve">. Esta disposición indica que, la Entidad Estatal deberá garantizar la publicidad de los procedimientos, documentos y actos asociados a los Procesos de Contratación adelantados por esta tipología contractual, la cual deberá realizarse tanto en la página web de la Entidad Estatal correspondiente como en el SECOP. Así las cosas, de conformidad con la referida norma, la publicidad de los documentos del Proceso de Contratación y de los contratos denominados Asociaciones Público–Populares deberá realizarse en el SECOP y en la página web de la Entidad Estatal que desarrolla el proceso. </w:t>
      </w:r>
    </w:p>
    <w:p w14:paraId="07C25778"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rPr>
        <w:t xml:space="preserve">Por otro lado, el inciso segundo establece el deber de las personas naturales o entidades sin ánimo de lucro que pertenezcan a la Economía Popular y Comunitaria de estar registradas en el SECOP o el sistema que haga sus veces. </w:t>
      </w:r>
      <w:r w:rsidRPr="00C320D1">
        <w:rPr>
          <w:rFonts w:ascii="Verdana" w:eastAsia="Calibri" w:hAnsi="Verdana" w:cs="Arial"/>
          <w:color w:val="000000" w:themeColor="text1"/>
        </w:rPr>
        <w:lastRenderedPageBreak/>
        <w:t xml:space="preserve">Esta última expresión debe interpretarse bajo el entendido de que el SECOP II es la plataforma oficial que actualmente se utiliza como mecanismo de publicidad de la actividad contractual que se desarrolla con recursos púbicos, y la que permite el registro de los proveedores. La locución no puede interpretarse como una autorización para que las entidades obligadas en virtud de este artículo puedan emplear solamente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información y documentación pública. </w:t>
      </w:r>
    </w:p>
    <w:p w14:paraId="45A23D8E"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rPr>
        <w:t>Finalmente, el parágrafo del artículo 2.2.16.1.10. dispone que la persona natural o la entidad sin ánimo de lucro que pertenezca a la Economía Popular y Comunitaria y que celebre un contrato de Asociación Público-Popular deberá remitir a la Entidad Estatal la información relativa a los contratos que suscriba con terceros para dar cumplimiento al objeto de contrato, esto con miras a garantizar la publicidad de todo el Proceso Contractual.</w:t>
      </w:r>
    </w:p>
    <w:p w14:paraId="7C205BCE"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eastAsia="Calibri" w:hAnsi="Verdana" w:cs="Arial"/>
          <w:color w:val="000000" w:themeColor="text1"/>
        </w:rPr>
      </w:pPr>
      <w:r w:rsidRPr="00C320D1">
        <w:rPr>
          <w:rFonts w:ascii="Verdana" w:eastAsia="Calibri" w:hAnsi="Verdana" w:cs="Arial"/>
          <w:color w:val="000000" w:themeColor="text1"/>
        </w:rPr>
        <w:t>En consecuencia, es posible concluir que el artículo antes citado, con el fin de garantizar la publicidad de los contratos de Asociaciones Público–Populares, establece lo siguiente: i) las Entidades Estatales deben publicar los procedimientos, documentos y actos asociados a los Procesos de Contratación adelantados</w:t>
      </w:r>
      <w:r w:rsidRPr="00C320D1">
        <w:t xml:space="preserve"> </w:t>
      </w:r>
      <w:r w:rsidRPr="00C320D1">
        <w:rPr>
          <w:rFonts w:ascii="Verdana" w:eastAsia="Calibri" w:hAnsi="Verdana" w:cs="Arial"/>
          <w:color w:val="000000" w:themeColor="text1"/>
        </w:rPr>
        <w:t>por la tipología contractual tanto en el SECOP como en sus páginas web; ii) los actores de la Economía Popular y Comunitaria que celebren la tipología contractual de Asociaciones Público–Populares deberán estar registrados en el SECOP y; iii) finalmente, consagra la obligación de la persona natural o la entidad sin ánimo de lucro que pertenezca a la Economía Popular y Comunitaria y que celebre un contrato por medio de una Asociación Público–Popular de remitir a la Entidad Estatal la información relativa a los contratos que suscriba con terceros para dar cumplimiento al objeto de contrato.</w:t>
      </w:r>
    </w:p>
    <w:p w14:paraId="006EEB45" w14:textId="6B90BACC" w:rsidR="00A937E6" w:rsidRPr="00C320D1" w:rsidRDefault="00A937E6" w:rsidP="00A937E6">
      <w:pPr>
        <w:pBdr>
          <w:top w:val="nil"/>
          <w:left w:val="nil"/>
          <w:bottom w:val="nil"/>
          <w:right w:val="nil"/>
          <w:between w:val="nil"/>
        </w:pBdr>
        <w:spacing w:after="120" w:line="276" w:lineRule="auto"/>
        <w:ind w:firstLine="708"/>
        <w:jc w:val="both"/>
        <w:rPr>
          <w:rFonts w:ascii="Verdana" w:hAnsi="Verdana" w:cs="Arial"/>
          <w:color w:val="000000" w:themeColor="text1"/>
        </w:rPr>
      </w:pPr>
      <w:r w:rsidRPr="00C320D1">
        <w:rPr>
          <w:rFonts w:ascii="Verdana" w:hAnsi="Verdana" w:cs="Arial"/>
          <w:color w:val="000000" w:themeColor="text1"/>
        </w:rPr>
        <w:t>En este punto, es importante tener en cuenta que el SECOP II es la nueva versión del Sistema Electrónico para la Contratación Pública que permite a compradores y proveedores realizar y gestionar el Proceso de Contratación en línea. En ese sentido, para que las Entidades Estatales puedan suscribir contratos de Asociaciones Público-Populares es necesario que las personas naturales o entidades sin ánimo de lucro que pertenezcan a la Economía Popular y Comunitaria estén registradas en el SECOP II, conforme con lo establecido en el artículo 2.2.16.1.10 del Decreto 1082 de 2015, adicionado por el Decreto 874 de 2024</w:t>
      </w:r>
      <w:r w:rsidR="00786627" w:rsidRPr="00C320D1">
        <w:rPr>
          <w:rFonts w:ascii="Verdana" w:hAnsi="Verdana" w:cs="Arial"/>
          <w:color w:val="000000" w:themeColor="text1"/>
        </w:rPr>
        <w:t>, explicado en los párrafos precedentes</w:t>
      </w:r>
      <w:r w:rsidRPr="00C320D1">
        <w:rPr>
          <w:rFonts w:ascii="Verdana" w:hAnsi="Verdana" w:cs="Arial"/>
          <w:color w:val="000000" w:themeColor="text1"/>
        </w:rPr>
        <w:t xml:space="preserve">. Lo anterior, toda vez que la </w:t>
      </w:r>
      <w:r w:rsidRPr="00C320D1">
        <w:rPr>
          <w:rFonts w:ascii="Verdana" w:hAnsi="Verdana" w:cs="Arial"/>
          <w:color w:val="000000" w:themeColor="text1"/>
        </w:rPr>
        <w:lastRenderedPageBreak/>
        <w:t xml:space="preserve">única plataforma del SECOP que permite el registro de los actores de la Economía Popular y Comunitaria es el SECOP II. </w:t>
      </w:r>
    </w:p>
    <w:p w14:paraId="3A446C3E" w14:textId="70FB2E47" w:rsidR="00A937E6" w:rsidRPr="00C320D1" w:rsidRDefault="00A937E6" w:rsidP="00A937E6">
      <w:pPr>
        <w:pBdr>
          <w:top w:val="nil"/>
          <w:left w:val="nil"/>
          <w:bottom w:val="nil"/>
          <w:right w:val="nil"/>
          <w:between w:val="nil"/>
        </w:pBdr>
        <w:spacing w:after="120" w:line="276" w:lineRule="auto"/>
        <w:ind w:firstLine="708"/>
        <w:jc w:val="both"/>
        <w:rPr>
          <w:rFonts w:ascii="Verdana" w:hAnsi="Verdana" w:cs="Arial"/>
          <w:color w:val="000000" w:themeColor="text1"/>
        </w:rPr>
      </w:pPr>
      <w:r w:rsidRPr="00C320D1">
        <w:rPr>
          <w:rFonts w:ascii="Verdana" w:hAnsi="Verdana" w:cs="Arial"/>
          <w:color w:val="000000" w:themeColor="text1"/>
        </w:rPr>
        <w:t>Conforme a lo expuesto, la Agencia Nacional de Contratación Pública – Colombia Compra Eficiente ha puesto a disposición de los partícipes del sistema de compra pública el módulo de “Contratación Directa (sin ofertas)” en el SECOP II de manera transaccional. En este</w:t>
      </w:r>
      <w:r w:rsidR="003C5123" w:rsidRPr="00C320D1">
        <w:rPr>
          <w:rFonts w:ascii="Verdana" w:hAnsi="Verdana" w:cs="Arial"/>
          <w:color w:val="000000" w:themeColor="text1"/>
        </w:rPr>
        <w:t xml:space="preserve"> sentido</w:t>
      </w:r>
      <w:r w:rsidRPr="00C320D1">
        <w:rPr>
          <w:rFonts w:ascii="Verdana" w:hAnsi="Verdana" w:cs="Arial"/>
          <w:color w:val="000000" w:themeColor="text1"/>
        </w:rPr>
        <w:t xml:space="preserve">, las Entidades Estatales puedan gestionar los Procesos de Contratación y contratos de Asociaciones Público-Populares los cuales están sometidos al Estatuto General de Contratación de la Administración Pública. </w:t>
      </w:r>
    </w:p>
    <w:p w14:paraId="6DF94683"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hAnsi="Verdana" w:cs="Arial"/>
          <w:color w:val="000000" w:themeColor="text1"/>
        </w:rPr>
      </w:pPr>
      <w:r w:rsidRPr="00C320D1">
        <w:rPr>
          <w:rFonts w:ascii="Verdana" w:hAnsi="Verdana" w:cs="Arial"/>
          <w:color w:val="000000" w:themeColor="text1"/>
        </w:rPr>
        <w:t>Ahora bien, con el fin de mejorar la experiencia de los usuarios y con el objetivo de que la plataforma del SECOP II se articule y esté en armonía con la normativa y las necesidades de los usuarios, desde la Subdirección de Información y Desarrollo Tecnológico se está trabajando constantemente en la implementación de mejoras evolutivas que son analizadas con el equipo de trabajo y que requieren un tiempo estimado para su puesta en producción. Por lo tanto, los mantenimientos evolutivos en los que se implementan nuevas funcionalidades tienen un proceso de estimación (costo y tiempo) e implementación. El proveedor de la aplicación es un proveedor externo a la Agencia Nacional de Contratación Pública – Colombia Compra Eficiente, por este motivo, los ajustes a la plataforma deben ser priorizados para su implementación. A continuación, compartimos algunas actividades que se ejecutan y que están cronológicamente definidas para realizar los cambios en la plataforma:</w:t>
      </w:r>
    </w:p>
    <w:p w14:paraId="0F12F98B" w14:textId="77777777" w:rsidR="00A937E6" w:rsidRPr="00C320D1" w:rsidRDefault="00A937E6" w:rsidP="00A937E6">
      <w:pPr>
        <w:pBdr>
          <w:top w:val="nil"/>
          <w:left w:val="nil"/>
          <w:bottom w:val="nil"/>
          <w:right w:val="nil"/>
          <w:between w:val="nil"/>
        </w:pBdr>
        <w:spacing w:after="120" w:line="276" w:lineRule="auto"/>
        <w:ind w:firstLine="708"/>
        <w:jc w:val="both"/>
        <w:rPr>
          <w:rFonts w:ascii="Verdana" w:hAnsi="Verdana" w:cs="Arial"/>
          <w:color w:val="000000" w:themeColor="text1"/>
        </w:rPr>
      </w:pPr>
      <w:r w:rsidRPr="00C320D1">
        <w:rPr>
          <w:rFonts w:ascii="Verdana" w:hAnsi="Verdana" w:cs="Arial"/>
          <w:color w:val="000000" w:themeColor="text1"/>
        </w:rPr>
        <w:t xml:space="preserve">a. Se define el requerimiento, se perfecciona desde el punto de vista técnico - normativo y se socializa con los equipos de trabajo involucrados. </w:t>
      </w:r>
    </w:p>
    <w:p w14:paraId="65FBF6FA" w14:textId="5FDA1F9B" w:rsidR="00A937E6" w:rsidRPr="00C320D1" w:rsidRDefault="00A937E6" w:rsidP="00A937E6">
      <w:pPr>
        <w:pBdr>
          <w:top w:val="nil"/>
          <w:left w:val="nil"/>
          <w:bottom w:val="nil"/>
          <w:right w:val="nil"/>
          <w:between w:val="nil"/>
        </w:pBdr>
        <w:spacing w:after="120" w:line="276" w:lineRule="auto"/>
        <w:ind w:firstLine="708"/>
        <w:jc w:val="both"/>
        <w:rPr>
          <w:rFonts w:ascii="Verdana" w:hAnsi="Verdana" w:cs="Arial"/>
          <w:color w:val="000000" w:themeColor="text1"/>
        </w:rPr>
      </w:pPr>
      <w:r w:rsidRPr="00C320D1">
        <w:rPr>
          <w:rFonts w:ascii="Verdana" w:hAnsi="Verdana" w:cs="Arial"/>
          <w:color w:val="000000" w:themeColor="text1"/>
        </w:rPr>
        <w:t xml:space="preserve">b. El SECOP II es una plataforma contratada por un proveedor externo a quien se le comparten los requerimientos para iniciar su análisis y estimación; por lo que, para el desarrollo de nuevas funcionalidades se requiere de mínimo tres meses. Adicionalmente, se debe incluir el tiempo para las pruebas y puesta en producción. </w:t>
      </w:r>
    </w:p>
    <w:p w14:paraId="0E3EB87A" w14:textId="77777777" w:rsidR="00A937E6" w:rsidRPr="00C320D1" w:rsidRDefault="00A937E6" w:rsidP="00A937E6">
      <w:pPr>
        <w:pBdr>
          <w:top w:val="nil"/>
          <w:left w:val="nil"/>
          <w:bottom w:val="nil"/>
          <w:right w:val="nil"/>
          <w:between w:val="nil"/>
        </w:pBdr>
        <w:spacing w:after="0" w:line="276" w:lineRule="auto"/>
        <w:ind w:firstLine="709"/>
        <w:jc w:val="both"/>
        <w:rPr>
          <w:rFonts w:ascii="Verdana" w:hAnsi="Verdana" w:cs="Arial"/>
          <w:color w:val="000000" w:themeColor="text1"/>
        </w:rPr>
      </w:pPr>
      <w:r w:rsidRPr="00C320D1">
        <w:rPr>
          <w:rFonts w:ascii="Verdana" w:hAnsi="Verdana" w:cs="Arial"/>
          <w:color w:val="000000" w:themeColor="text1"/>
        </w:rPr>
        <w:t xml:space="preserve">En ese sentido, queremos aclarar que no desconocemos que la plataforma requiere mejoras de carácter técnico-funcional que faciliten la gestión de los Procesos Contractuales en SECOP II, que, para el caso que nos ocupa, se trata del campo “Tipo” y “Justificación de la modalidad de contratación” ubicados en la subsección “Información del Contrato” sección No.1 “información general” del formulario electrónico del proceso. Sin embargo, como se indicó en anteriores </w:t>
      </w:r>
      <w:r w:rsidRPr="00C320D1">
        <w:rPr>
          <w:rFonts w:ascii="Verdana" w:hAnsi="Verdana" w:cs="Arial"/>
          <w:color w:val="000000" w:themeColor="text1"/>
        </w:rPr>
        <w:lastRenderedPageBreak/>
        <w:t>líneas, este tipo de soluciones requieren ser priorizados y luego designar el presupuesto para su implementación. Cabe indicar que actualmente la Agencia Nacional de Contratación Pública – Colombia Compra Eficiente está trabajando en la actualización de las causales de contratación para el módulo anteriormente reseñado de acuerdo con la normatividad vigente.</w:t>
      </w:r>
    </w:p>
    <w:p w14:paraId="1737EA21" w14:textId="77777777" w:rsidR="00A937E6" w:rsidRPr="00C320D1" w:rsidRDefault="00A937E6" w:rsidP="00A937E6">
      <w:pPr>
        <w:spacing w:after="0" w:line="276" w:lineRule="auto"/>
        <w:jc w:val="both"/>
        <w:rPr>
          <w:rFonts w:ascii="Verdana" w:eastAsia="Times New Roman" w:hAnsi="Verdana" w:cs="Arial"/>
          <w:color w:val="000000" w:themeColor="text1"/>
          <w:lang w:val="es-ES_tradnl" w:eastAsia="es-CO"/>
        </w:rPr>
      </w:pPr>
    </w:p>
    <w:p w14:paraId="571DA43E" w14:textId="77777777" w:rsidR="00A937E6" w:rsidRPr="00C320D1" w:rsidRDefault="00A937E6" w:rsidP="00A93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320D1">
        <w:rPr>
          <w:rFonts w:ascii="Verdana" w:eastAsia="Century Gothic" w:hAnsi="Verdana" w:cs="Century Gothic"/>
          <w:b/>
          <w:bCs/>
        </w:rPr>
        <w:t>Referencias normativas:</w:t>
      </w:r>
    </w:p>
    <w:p w14:paraId="2732B777" w14:textId="77777777" w:rsidR="00A937E6" w:rsidRPr="00C320D1" w:rsidRDefault="00A937E6" w:rsidP="00A937E6">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937E6" w:rsidRPr="00C320D1" w14:paraId="3F1B4817" w14:textId="77777777" w:rsidTr="004B69A5">
        <w:trPr>
          <w:trHeight w:val="870"/>
          <w:jc w:val="center"/>
        </w:trPr>
        <w:tc>
          <w:tcPr>
            <w:tcW w:w="8647" w:type="dxa"/>
          </w:tcPr>
          <w:p w14:paraId="5FB51B02" w14:textId="77777777" w:rsidR="00A937E6" w:rsidRPr="00C320D1" w:rsidRDefault="00A937E6" w:rsidP="00A937E6">
            <w:pPr>
              <w:pStyle w:val="Prrafodelista"/>
              <w:widowControl w:val="0"/>
              <w:numPr>
                <w:ilvl w:val="0"/>
                <w:numId w:val="17"/>
              </w:numPr>
              <w:autoSpaceDE w:val="0"/>
              <w:autoSpaceDN w:val="0"/>
              <w:spacing w:line="276" w:lineRule="auto"/>
              <w:ind w:left="360"/>
              <w:jc w:val="both"/>
              <w:rPr>
                <w:rFonts w:ascii="Verdana" w:hAnsi="Verdana" w:cs="Arial"/>
              </w:rPr>
            </w:pPr>
            <w:r w:rsidRPr="00C320D1">
              <w:rPr>
                <w:rFonts w:ascii="Verdana" w:hAnsi="Verdana" w:cs="Arial"/>
              </w:rPr>
              <w:t xml:space="preserve">Ley 80 de 1993: Artículo 32. </w:t>
            </w:r>
          </w:p>
          <w:p w14:paraId="41DA0035" w14:textId="77777777" w:rsidR="00A937E6" w:rsidRPr="00C320D1" w:rsidRDefault="00A937E6" w:rsidP="004B69A5">
            <w:pPr>
              <w:pStyle w:val="Prrafodelista"/>
              <w:widowControl w:val="0"/>
              <w:autoSpaceDE w:val="0"/>
              <w:autoSpaceDN w:val="0"/>
              <w:spacing w:line="276" w:lineRule="auto"/>
              <w:ind w:left="360"/>
              <w:jc w:val="both"/>
              <w:rPr>
                <w:rFonts w:ascii="Verdana" w:hAnsi="Verdana" w:cs="Arial"/>
                <w:sz w:val="12"/>
                <w:szCs w:val="12"/>
              </w:rPr>
            </w:pPr>
          </w:p>
          <w:p w14:paraId="6346BAFB" w14:textId="77777777" w:rsidR="00A937E6" w:rsidRPr="00C320D1" w:rsidRDefault="00A937E6" w:rsidP="00A937E6">
            <w:pPr>
              <w:pStyle w:val="Prrafodelista"/>
              <w:widowControl w:val="0"/>
              <w:numPr>
                <w:ilvl w:val="0"/>
                <w:numId w:val="17"/>
              </w:numPr>
              <w:autoSpaceDE w:val="0"/>
              <w:autoSpaceDN w:val="0"/>
              <w:spacing w:line="276" w:lineRule="auto"/>
              <w:ind w:left="360"/>
              <w:jc w:val="both"/>
              <w:rPr>
                <w:rFonts w:ascii="Verdana" w:hAnsi="Verdana" w:cs="Arial"/>
              </w:rPr>
            </w:pPr>
            <w:r w:rsidRPr="00C320D1">
              <w:rPr>
                <w:rFonts w:ascii="Verdana" w:hAnsi="Verdana" w:cs="Arial"/>
              </w:rPr>
              <w:t xml:space="preserve">Ley 1150 de 2007: Artículo 2. </w:t>
            </w:r>
          </w:p>
          <w:p w14:paraId="2B802532" w14:textId="77777777" w:rsidR="00A937E6" w:rsidRPr="00C320D1" w:rsidRDefault="00A937E6" w:rsidP="004B69A5">
            <w:pPr>
              <w:widowControl w:val="0"/>
              <w:autoSpaceDE w:val="0"/>
              <w:autoSpaceDN w:val="0"/>
              <w:spacing w:line="276" w:lineRule="auto"/>
              <w:jc w:val="both"/>
              <w:rPr>
                <w:rFonts w:ascii="Verdana" w:hAnsi="Verdana" w:cs="Arial"/>
                <w:sz w:val="12"/>
                <w:szCs w:val="12"/>
              </w:rPr>
            </w:pPr>
          </w:p>
          <w:p w14:paraId="6E1FCC39" w14:textId="77777777" w:rsidR="00A937E6" w:rsidRPr="00C320D1" w:rsidRDefault="00A937E6" w:rsidP="00A937E6">
            <w:pPr>
              <w:pStyle w:val="Prrafodelista"/>
              <w:widowControl w:val="0"/>
              <w:numPr>
                <w:ilvl w:val="0"/>
                <w:numId w:val="17"/>
              </w:numPr>
              <w:autoSpaceDE w:val="0"/>
              <w:autoSpaceDN w:val="0"/>
              <w:spacing w:line="276" w:lineRule="auto"/>
              <w:ind w:left="360"/>
              <w:jc w:val="both"/>
              <w:rPr>
                <w:rFonts w:ascii="Verdana" w:hAnsi="Verdana" w:cs="Arial"/>
              </w:rPr>
            </w:pPr>
            <w:r w:rsidRPr="00C320D1">
              <w:rPr>
                <w:rFonts w:ascii="Verdana" w:hAnsi="Verdana" w:cs="Arial"/>
              </w:rPr>
              <w:t>Ley 2069 de 2020: Artículo 23.</w:t>
            </w:r>
          </w:p>
          <w:p w14:paraId="54EA9779" w14:textId="77777777" w:rsidR="00A937E6" w:rsidRPr="00C320D1" w:rsidRDefault="00A937E6" w:rsidP="004B69A5">
            <w:pPr>
              <w:widowControl w:val="0"/>
              <w:autoSpaceDE w:val="0"/>
              <w:autoSpaceDN w:val="0"/>
              <w:spacing w:line="276" w:lineRule="auto"/>
              <w:jc w:val="both"/>
              <w:rPr>
                <w:rFonts w:ascii="Verdana" w:hAnsi="Verdana" w:cs="Arial"/>
                <w:sz w:val="12"/>
                <w:szCs w:val="12"/>
              </w:rPr>
            </w:pPr>
          </w:p>
          <w:p w14:paraId="46C1E508" w14:textId="77777777" w:rsidR="00A937E6" w:rsidRPr="00C320D1" w:rsidRDefault="00A937E6" w:rsidP="00A937E6">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C320D1">
              <w:rPr>
                <w:rFonts w:ascii="Verdana" w:hAnsi="Verdana" w:cs="Arial"/>
              </w:rPr>
              <w:t>Ley 2294 de 2023: Artículo 100.</w:t>
            </w:r>
          </w:p>
          <w:p w14:paraId="177C4936" w14:textId="77777777" w:rsidR="00A937E6" w:rsidRPr="00C320D1" w:rsidRDefault="00A937E6" w:rsidP="00A937E6">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C320D1">
              <w:rPr>
                <w:rFonts w:ascii="Verdana" w:hAnsi="Verdana" w:cs="Arial"/>
              </w:rPr>
              <w:t>Código Civil: Artículos 28, 29 y 633.</w:t>
            </w:r>
          </w:p>
          <w:p w14:paraId="16116646" w14:textId="77777777" w:rsidR="00A937E6" w:rsidRPr="00C320D1" w:rsidRDefault="00A937E6" w:rsidP="00A937E6">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C320D1">
              <w:rPr>
                <w:rFonts w:ascii="Verdana" w:hAnsi="Verdana" w:cs="Arial"/>
              </w:rPr>
              <w:t>Código de Comercio: Artículos 10, 11, 20, 21, 22, 23, 25, 29, 98 y 515.</w:t>
            </w:r>
          </w:p>
          <w:p w14:paraId="348D541C" w14:textId="77777777" w:rsidR="00A937E6" w:rsidRPr="00C320D1" w:rsidRDefault="00A937E6" w:rsidP="00A937E6">
            <w:pPr>
              <w:pStyle w:val="Prrafodelista"/>
              <w:widowControl w:val="0"/>
              <w:numPr>
                <w:ilvl w:val="0"/>
                <w:numId w:val="17"/>
              </w:numPr>
              <w:autoSpaceDE w:val="0"/>
              <w:autoSpaceDN w:val="0"/>
              <w:spacing w:after="120" w:line="276" w:lineRule="auto"/>
              <w:ind w:left="354" w:hanging="357"/>
              <w:contextualSpacing w:val="0"/>
              <w:jc w:val="both"/>
              <w:rPr>
                <w:rFonts w:ascii="Verdana" w:hAnsi="Verdana" w:cs="Arial"/>
              </w:rPr>
            </w:pPr>
            <w:r w:rsidRPr="00C320D1">
              <w:rPr>
                <w:rFonts w:ascii="Verdana" w:hAnsi="Verdana" w:cs="Arial"/>
              </w:rPr>
              <w:t xml:space="preserve">Decreto 1074 de 2015: Artículo 2.2.1.13.2.2. </w:t>
            </w:r>
          </w:p>
          <w:p w14:paraId="2CE0975B" w14:textId="77777777" w:rsidR="00A937E6" w:rsidRPr="00C320D1" w:rsidRDefault="00A937E6" w:rsidP="00A937E6">
            <w:pPr>
              <w:pStyle w:val="Prrafodelista"/>
              <w:widowControl w:val="0"/>
              <w:numPr>
                <w:ilvl w:val="0"/>
                <w:numId w:val="17"/>
              </w:numPr>
              <w:autoSpaceDE w:val="0"/>
              <w:autoSpaceDN w:val="0"/>
              <w:spacing w:line="276" w:lineRule="auto"/>
              <w:ind w:left="360"/>
              <w:contextualSpacing w:val="0"/>
              <w:jc w:val="both"/>
              <w:rPr>
                <w:rFonts w:ascii="Verdana" w:hAnsi="Verdana" w:cs="Arial"/>
              </w:rPr>
            </w:pPr>
            <w:r w:rsidRPr="00C320D1">
              <w:rPr>
                <w:rFonts w:ascii="Verdana" w:hAnsi="Verdana" w:cs="Arial"/>
              </w:rPr>
              <w:t xml:space="preserve">Decreto 1082 de 2015: Artículos 2.2.1.1.1.3.1, 2.2.1.1.2.1.1, 2.2.1.2.1.4.1, 2.2.16.1.4, 2.2.16.1.5, 2.2.16.1.6 y 2.2.16.1.8. </w:t>
            </w:r>
          </w:p>
        </w:tc>
      </w:tr>
    </w:tbl>
    <w:p w14:paraId="14A95F84" w14:textId="77777777" w:rsidR="00A937E6" w:rsidRPr="00C320D1" w:rsidRDefault="00A937E6" w:rsidP="00A937E6">
      <w:pPr>
        <w:widowControl w:val="0"/>
        <w:autoSpaceDE w:val="0"/>
        <w:autoSpaceDN w:val="0"/>
        <w:spacing w:after="0" w:line="276" w:lineRule="auto"/>
        <w:jc w:val="both"/>
        <w:rPr>
          <w:rFonts w:ascii="Verdana" w:hAnsi="Verdana" w:cs="Arial"/>
        </w:rPr>
      </w:pPr>
    </w:p>
    <w:p w14:paraId="40C21788" w14:textId="77777777" w:rsidR="00A937E6" w:rsidRPr="00C320D1" w:rsidRDefault="00A937E6" w:rsidP="00A937E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320D1">
        <w:rPr>
          <w:rFonts w:ascii="Verdana" w:eastAsia="Century Gothic" w:hAnsi="Verdana" w:cs="Century Gothic"/>
          <w:b/>
          <w:bCs/>
        </w:rPr>
        <w:t>Doctrina de la Agencia Nacional de Contratación Pública:</w:t>
      </w:r>
    </w:p>
    <w:p w14:paraId="710D884E" w14:textId="77777777" w:rsidR="00A937E6" w:rsidRPr="00C320D1" w:rsidRDefault="00A937E6" w:rsidP="00A937E6">
      <w:pPr>
        <w:widowControl w:val="0"/>
        <w:autoSpaceDE w:val="0"/>
        <w:autoSpaceDN w:val="0"/>
        <w:spacing w:after="0" w:line="276" w:lineRule="auto"/>
        <w:jc w:val="both"/>
        <w:rPr>
          <w:rFonts w:ascii="Verdana" w:hAnsi="Verdana" w:cs="Arial"/>
        </w:rPr>
      </w:pPr>
    </w:p>
    <w:p w14:paraId="2F33189D" w14:textId="77777777" w:rsidR="00A937E6" w:rsidRPr="00C320D1" w:rsidRDefault="00A937E6" w:rsidP="00A937E6">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320D1">
        <w:rPr>
          <w:rStyle w:val="normaltextrun"/>
          <w:rFonts w:ascii="Verdana" w:hAnsi="Verdana" w:cs="Arial"/>
          <w:shd w:val="clear" w:color="auto" w:fill="FFFFFF"/>
        </w:rPr>
        <w:t>L</w:t>
      </w:r>
      <w:r w:rsidRPr="00C320D1">
        <w:rPr>
          <w:rStyle w:val="normaltextrun"/>
          <w:rFonts w:ascii="Verdana" w:hAnsi="Verdana" w:cs="Arial"/>
          <w:shd w:val="clear" w:color="auto" w:fill="FFFFFF"/>
          <w:lang w:val="es-ES"/>
        </w:rPr>
        <w:t>os conceptos sobre diferentes temáticas del sistema de compras públicas</w:t>
      </w:r>
      <w:r w:rsidRPr="00C320D1">
        <w:rPr>
          <w:rFonts w:ascii="Verdana" w:hAnsi="Verdana"/>
        </w:rPr>
        <w:t xml:space="preserve"> están disponibles para consulta en el Sistema de relatoría de la Agencia, al cual puede accederse a través del siguiente enlace:</w:t>
      </w:r>
      <w:r w:rsidRPr="00C320D1">
        <w:rPr>
          <w:rStyle w:val="normaltextrun"/>
          <w:rFonts w:ascii="Verdana" w:hAnsi="Verdana" w:cs="Arial"/>
          <w:shd w:val="clear" w:color="auto" w:fill="FFFFFF"/>
          <w:lang w:val="es-ES"/>
        </w:rPr>
        <w:t xml:space="preserve"> </w:t>
      </w:r>
      <w:hyperlink r:id="rId12" w:history="1">
        <w:r w:rsidRPr="00C320D1">
          <w:rPr>
            <w:rStyle w:val="Hipervnculo"/>
            <w:rFonts w:ascii="Verdana" w:hAnsi="Verdana" w:cs="Arial"/>
            <w:shd w:val="clear" w:color="auto" w:fill="FFFFFF"/>
            <w:lang w:val="es-ES"/>
          </w:rPr>
          <w:t>https://relatoria.colombiacompra.gov.co/busqueda/conceptos</w:t>
        </w:r>
      </w:hyperlink>
      <w:r w:rsidRPr="00C320D1">
        <w:rPr>
          <w:rStyle w:val="normaltextrun"/>
          <w:rFonts w:ascii="Verdana" w:hAnsi="Verdana" w:cs="Arial"/>
          <w:shd w:val="clear" w:color="auto" w:fill="FFFFFF"/>
          <w:lang w:val="es-ES"/>
        </w:rPr>
        <w:t>.</w:t>
      </w:r>
      <w:r w:rsidRPr="00C320D1">
        <w:rPr>
          <w:rStyle w:val="normaltextrun"/>
          <w:rFonts w:ascii="Verdana" w:hAnsi="Verdana" w:cs="Arial"/>
          <w:color w:val="FF0000"/>
          <w:shd w:val="clear" w:color="auto" w:fill="FFFFFF"/>
          <w:lang w:val="es-ES"/>
        </w:rPr>
        <w:t xml:space="preserve"> </w:t>
      </w:r>
    </w:p>
    <w:p w14:paraId="564417AD" w14:textId="77777777" w:rsidR="00A937E6" w:rsidRPr="00C320D1" w:rsidRDefault="00A937E6" w:rsidP="00A937E6">
      <w:pPr>
        <w:widowControl w:val="0"/>
        <w:autoSpaceDE w:val="0"/>
        <w:autoSpaceDN w:val="0"/>
        <w:spacing w:after="0" w:line="276" w:lineRule="auto"/>
        <w:jc w:val="both"/>
        <w:rPr>
          <w:rFonts w:ascii="Verdana" w:hAnsi="Verdana" w:cs="Arial"/>
        </w:rPr>
      </w:pPr>
    </w:p>
    <w:p w14:paraId="0D4D1D1F" w14:textId="77777777" w:rsidR="00A937E6" w:rsidRPr="00C320D1" w:rsidRDefault="00A937E6" w:rsidP="00A937E6">
      <w:pPr>
        <w:widowControl w:val="0"/>
        <w:autoSpaceDE w:val="0"/>
        <w:autoSpaceDN w:val="0"/>
        <w:spacing w:after="0" w:line="276" w:lineRule="auto"/>
        <w:jc w:val="both"/>
        <w:rPr>
          <w:rFonts w:ascii="Verdana" w:hAnsi="Verdana" w:cs="Arial"/>
        </w:rPr>
      </w:pPr>
      <w:r w:rsidRPr="00C320D1">
        <w:rPr>
          <w:rFonts w:ascii="Verdana" w:hAnsi="Verdana" w:cs="Arial"/>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3" w:history="1">
        <w:r w:rsidRPr="00C320D1">
          <w:rPr>
            <w:rStyle w:val="Hipervnculo"/>
            <w:rFonts w:ascii="Verdana" w:hAnsi="Verdana" w:cs="Arial"/>
          </w:rPr>
          <w:t>https://www.colombiacompra.gov.co/content/borrador-de-documentos-tipo-de-consultoria-de-obra-publica-de-infraestructura-de-transporte</w:t>
        </w:r>
      </w:hyperlink>
      <w:r w:rsidRPr="00C320D1">
        <w:rPr>
          <w:rFonts w:ascii="Verdana" w:hAnsi="Verdana" w:cs="Arial"/>
        </w:rPr>
        <w:t xml:space="preserve"> y </w:t>
      </w:r>
      <w:hyperlink r:id="rId14" w:history="1">
        <w:r w:rsidRPr="00C320D1">
          <w:rPr>
            <w:rStyle w:val="Hipervnculo"/>
            <w:rFonts w:ascii="Verdana" w:hAnsi="Verdana" w:cs="Arial"/>
          </w:rPr>
          <w:t>https://www.colombiacompra.gov.co/content/borrador-de-documentos-tipo-de-interventoria-de-obra-publica-de-infraestructura-de</w:t>
        </w:r>
      </w:hyperlink>
      <w:r w:rsidRPr="00C320D1">
        <w:rPr>
          <w:rFonts w:ascii="Verdana" w:hAnsi="Verdana" w:cs="Arial"/>
        </w:rPr>
        <w:t xml:space="preserve"> .</w:t>
      </w:r>
    </w:p>
    <w:p w14:paraId="6262D67F" w14:textId="77777777" w:rsidR="00A937E6" w:rsidRPr="00C320D1" w:rsidRDefault="00A937E6" w:rsidP="00A937E6">
      <w:pPr>
        <w:widowControl w:val="0"/>
        <w:autoSpaceDE w:val="0"/>
        <w:autoSpaceDN w:val="0"/>
        <w:spacing w:after="0" w:line="276" w:lineRule="auto"/>
        <w:jc w:val="both"/>
        <w:rPr>
          <w:rFonts w:ascii="Verdana" w:hAnsi="Verdana" w:cs="Arial"/>
        </w:rPr>
      </w:pPr>
    </w:p>
    <w:p w14:paraId="04CBB4BC" w14:textId="77777777" w:rsidR="00A937E6" w:rsidRPr="00C320D1" w:rsidRDefault="00A937E6" w:rsidP="00A937E6">
      <w:pPr>
        <w:widowControl w:val="0"/>
        <w:autoSpaceDE w:val="0"/>
        <w:autoSpaceDN w:val="0"/>
        <w:spacing w:after="0" w:line="276" w:lineRule="auto"/>
        <w:jc w:val="both"/>
        <w:rPr>
          <w:rFonts w:ascii="Verdana" w:hAnsi="Verdana" w:cs="Arial"/>
        </w:rPr>
      </w:pPr>
      <w:r w:rsidRPr="00C320D1">
        <w:rPr>
          <w:rFonts w:ascii="Verdana" w:hAnsi="Verdana" w:cs="Arial"/>
        </w:rPr>
        <w:t xml:space="preserve">De otra parte, te contamos que ya publicamos el borrador de la nueva Guía de </w:t>
      </w:r>
      <w:r w:rsidRPr="00C320D1">
        <w:rPr>
          <w:rFonts w:ascii="Verdana" w:hAnsi="Verdana" w:cs="Arial"/>
        </w:rPr>
        <w:lastRenderedPageBreak/>
        <w:t xml:space="preserve">Contratación Pública Sostenible y Socialmente Responsable. Conoce el documento y realiza tus comentarios hasta el 14 de noviembre de 2024 a través del siguiente enlace: </w:t>
      </w:r>
      <w:hyperlink r:id="rId15" w:history="1">
        <w:r w:rsidRPr="00C320D1">
          <w:rPr>
            <w:rStyle w:val="Hipervnculo"/>
            <w:rFonts w:ascii="Verdana" w:hAnsi="Verdana" w:cs="Arial"/>
          </w:rPr>
          <w:t>https://www.sucop.gov.co/entidades/colombiacompra/Normativa?IDNorma=18320</w:t>
        </w:r>
      </w:hyperlink>
      <w:r w:rsidRPr="00C320D1">
        <w:rPr>
          <w:rFonts w:ascii="Verdana" w:hAnsi="Verdana" w:cs="Arial"/>
        </w:rPr>
        <w:t xml:space="preserve">  </w:t>
      </w:r>
    </w:p>
    <w:p w14:paraId="15E147AC" w14:textId="77777777" w:rsidR="00A937E6" w:rsidRPr="00C320D1" w:rsidRDefault="00A937E6" w:rsidP="00A937E6">
      <w:pPr>
        <w:widowControl w:val="0"/>
        <w:autoSpaceDE w:val="0"/>
        <w:autoSpaceDN w:val="0"/>
        <w:spacing w:after="0" w:line="276" w:lineRule="auto"/>
        <w:jc w:val="both"/>
        <w:rPr>
          <w:rFonts w:ascii="Verdana" w:hAnsi="Verdana" w:cs="Arial"/>
        </w:rPr>
      </w:pPr>
    </w:p>
    <w:p w14:paraId="7E874DE0" w14:textId="77777777" w:rsidR="00A937E6" w:rsidRPr="00C320D1" w:rsidRDefault="00A937E6" w:rsidP="00A937E6">
      <w:pPr>
        <w:widowControl w:val="0"/>
        <w:autoSpaceDE w:val="0"/>
        <w:autoSpaceDN w:val="0"/>
        <w:spacing w:after="0" w:line="276" w:lineRule="auto"/>
        <w:jc w:val="both"/>
        <w:rPr>
          <w:rFonts w:ascii="Verdana" w:hAnsi="Verdana" w:cs="Arial"/>
        </w:rPr>
      </w:pPr>
      <w:r w:rsidRPr="00C320D1">
        <w:rPr>
          <w:rFonts w:ascii="Verdana" w:hAnsi="Verdana" w:cs="Arial"/>
        </w:rPr>
        <w:t xml:space="preserve">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6" w:tgtFrame="_blank" w:tooltip="Dirección URL original: https://www.colombiacompra.gov.co/sala-de-prensa/boletin-digital. Haga clic o pulse si confía en este vínculo." w:history="1">
        <w:r w:rsidRPr="00C320D1">
          <w:rPr>
            <w:rStyle w:val="Hipervnculo"/>
            <w:rFonts w:ascii="Verdana" w:hAnsi="Verdana" w:cs="Arial"/>
          </w:rPr>
          <w:t>https://www.colombiacompra.gov.co/sala-de-prensa/boletin-digital</w:t>
        </w:r>
      </w:hyperlink>
    </w:p>
    <w:p w14:paraId="27C373A7" w14:textId="77777777" w:rsidR="00A937E6" w:rsidRPr="00C320D1" w:rsidRDefault="00A937E6" w:rsidP="00A937E6">
      <w:pPr>
        <w:widowControl w:val="0"/>
        <w:autoSpaceDE w:val="0"/>
        <w:autoSpaceDN w:val="0"/>
        <w:spacing w:after="0" w:line="276" w:lineRule="auto"/>
        <w:jc w:val="both"/>
        <w:rPr>
          <w:rFonts w:ascii="Verdana" w:hAnsi="Verdana" w:cs="Arial"/>
        </w:rPr>
      </w:pPr>
    </w:p>
    <w:p w14:paraId="10388917" w14:textId="77777777" w:rsidR="00A937E6" w:rsidRPr="00C320D1" w:rsidRDefault="00A937E6" w:rsidP="00A937E6">
      <w:pPr>
        <w:widowControl w:val="0"/>
        <w:autoSpaceDE w:val="0"/>
        <w:autoSpaceDN w:val="0"/>
        <w:spacing w:after="0" w:line="276" w:lineRule="auto"/>
        <w:jc w:val="both"/>
        <w:rPr>
          <w:rFonts w:ascii="Verdana" w:hAnsi="Verdana" w:cs="Arial"/>
          <w:lang w:val="es-ES_tradnl"/>
        </w:rPr>
      </w:pPr>
      <w:r w:rsidRPr="00C320D1">
        <w:rPr>
          <w:rFonts w:ascii="Verdana" w:hAnsi="Verdana" w:cs="Arial"/>
        </w:rPr>
        <w:t xml:space="preserve">Este concepto tiene el alcance previsto en el artículo 28 del Código de Procedimiento Administrativo y de lo Contencioso Administrativo </w:t>
      </w:r>
      <w:r w:rsidRPr="00C320D1">
        <w:rPr>
          <w:rFonts w:ascii="Verdana" w:hAnsi="Verdana" w:cs="Arial"/>
          <w:lang w:val="es-ES_tradnl"/>
        </w:rPr>
        <w:t>y las expresiones aquí utilizadas con mayúscula inicial deben ser entendidas con el significado que les otorga el artículo 2.2.1.1.1.3.1. del Decreto 1082 de 2015.</w:t>
      </w:r>
    </w:p>
    <w:p w14:paraId="63EFEC67" w14:textId="77777777" w:rsidR="00A937E6" w:rsidRPr="00C320D1" w:rsidRDefault="00A937E6" w:rsidP="00A937E6">
      <w:pPr>
        <w:widowControl w:val="0"/>
        <w:autoSpaceDE w:val="0"/>
        <w:autoSpaceDN w:val="0"/>
        <w:spacing w:after="0" w:line="276" w:lineRule="auto"/>
        <w:jc w:val="both"/>
        <w:rPr>
          <w:rFonts w:ascii="Verdana" w:hAnsi="Verdana" w:cs="Arial"/>
        </w:rPr>
      </w:pPr>
    </w:p>
    <w:p w14:paraId="064D1C57" w14:textId="77777777" w:rsidR="00A937E6" w:rsidRPr="00C320D1" w:rsidRDefault="00A937E6" w:rsidP="00A937E6">
      <w:pPr>
        <w:spacing w:after="0" w:line="240" w:lineRule="auto"/>
        <w:rPr>
          <w:rFonts w:ascii="Verdana" w:hAnsi="Verdana" w:cs="Arial"/>
          <w:lang w:eastAsia="es-CO"/>
        </w:rPr>
      </w:pPr>
      <w:r w:rsidRPr="00C320D1">
        <w:rPr>
          <w:rFonts w:ascii="Verdana" w:eastAsia="Times New Roman" w:hAnsi="Verdana" w:cs="Arial"/>
          <w:lang w:eastAsia="es-CO"/>
        </w:rPr>
        <w:t>Atentamente,</w:t>
      </w:r>
      <w:r w:rsidRPr="00C320D1">
        <w:rPr>
          <w:rFonts w:ascii="Verdana" w:hAnsi="Verdana" w:cs="Arial"/>
          <w:lang w:eastAsia="es-CO"/>
        </w:rPr>
        <w:t xml:space="preserve"> </w:t>
      </w:r>
    </w:p>
    <w:p w14:paraId="5744DED1" w14:textId="2D2A9D3E" w:rsidR="00A937E6" w:rsidRPr="00C320D1" w:rsidRDefault="008A172C" w:rsidP="00A937E6">
      <w:pPr>
        <w:spacing w:line="276" w:lineRule="auto"/>
        <w:jc w:val="center"/>
        <w:rPr>
          <w:rFonts w:ascii="Verdana" w:hAnsi="Verdana" w:cs="Arial"/>
          <w:color w:val="000000"/>
          <w:lang w:val="es-ES_tradnl" w:eastAsia="es-CO"/>
        </w:rPr>
      </w:pPr>
      <w:r>
        <w:rPr>
          <w:noProof/>
        </w:rPr>
        <w:drawing>
          <wp:inline distT="0" distB="0" distL="0" distR="0" wp14:anchorId="56DF189B" wp14:editId="04035602">
            <wp:extent cx="3638550" cy="1022886"/>
            <wp:effectExtent l="0" t="0" r="0" b="635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7"/>
                    <a:srcRect t="20995" b="13519"/>
                    <a:stretch/>
                  </pic:blipFill>
                  <pic:spPr bwMode="auto">
                    <a:xfrm>
                      <a:off x="0" y="0"/>
                      <a:ext cx="3674176" cy="103290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937E6" w:rsidRPr="00C320D1" w14:paraId="326ACA4B" w14:textId="77777777" w:rsidTr="004B69A5">
        <w:trPr>
          <w:trHeight w:val="315"/>
        </w:trPr>
        <w:tc>
          <w:tcPr>
            <w:tcW w:w="893" w:type="dxa"/>
            <w:vAlign w:val="center"/>
            <w:hideMark/>
          </w:tcPr>
          <w:p w14:paraId="0824CE06" w14:textId="77777777" w:rsidR="00A937E6" w:rsidRPr="00C320D1" w:rsidRDefault="00A937E6" w:rsidP="004B69A5">
            <w:pPr>
              <w:contextualSpacing/>
              <w:rPr>
                <w:rFonts w:ascii="Verdana" w:hAnsi="Verdana" w:cs="Arial"/>
                <w:sz w:val="16"/>
                <w:szCs w:val="16"/>
                <w:lang w:val="es-ES" w:eastAsia="es-ES"/>
              </w:rPr>
            </w:pPr>
            <w:r w:rsidRPr="00C320D1">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006458" w14:textId="77777777" w:rsidR="00A937E6" w:rsidRPr="00C320D1" w:rsidRDefault="00A937E6" w:rsidP="004B69A5">
            <w:pPr>
              <w:contextualSpacing/>
              <w:rPr>
                <w:rStyle w:val="normaltextrun"/>
                <w:rFonts w:ascii="Verdana" w:hAnsi="Verdana"/>
                <w:sz w:val="16"/>
                <w:szCs w:val="16"/>
              </w:rPr>
            </w:pPr>
            <w:r w:rsidRPr="00C320D1">
              <w:rPr>
                <w:rStyle w:val="normaltextrun"/>
                <w:rFonts w:ascii="Verdana" w:hAnsi="Verdana"/>
                <w:sz w:val="16"/>
                <w:szCs w:val="16"/>
              </w:rPr>
              <w:t>Diana Lucia Saavedra Castañeda</w:t>
            </w:r>
          </w:p>
          <w:p w14:paraId="3516453B" w14:textId="77777777" w:rsidR="00A937E6" w:rsidRPr="00C320D1" w:rsidRDefault="00A937E6" w:rsidP="004B69A5">
            <w:pPr>
              <w:contextualSpacing/>
              <w:rPr>
                <w:rFonts w:ascii="Verdana" w:eastAsia="Arial" w:hAnsi="Verdana" w:cs="Arial"/>
                <w:sz w:val="16"/>
                <w:szCs w:val="16"/>
              </w:rPr>
            </w:pPr>
            <w:r w:rsidRPr="00C320D1">
              <w:rPr>
                <w:rStyle w:val="normaltextrun"/>
                <w:rFonts w:ascii="Verdana" w:hAnsi="Verdana"/>
                <w:sz w:val="16"/>
                <w:szCs w:val="16"/>
              </w:rPr>
              <w:t>Contratista de la Subdirección de Gestión Contractual</w:t>
            </w:r>
          </w:p>
        </w:tc>
      </w:tr>
      <w:tr w:rsidR="00A937E6" w:rsidRPr="00C320D1" w14:paraId="7EA11853" w14:textId="77777777" w:rsidTr="004B69A5">
        <w:trPr>
          <w:trHeight w:val="330"/>
        </w:trPr>
        <w:tc>
          <w:tcPr>
            <w:tcW w:w="893" w:type="dxa"/>
            <w:vAlign w:val="center"/>
            <w:hideMark/>
          </w:tcPr>
          <w:p w14:paraId="45DF5B43" w14:textId="77777777" w:rsidR="00A937E6" w:rsidRPr="00C320D1" w:rsidRDefault="00A937E6" w:rsidP="004B69A5">
            <w:pPr>
              <w:contextualSpacing/>
              <w:rPr>
                <w:rFonts w:ascii="Verdana" w:hAnsi="Verdana" w:cs="Arial"/>
                <w:sz w:val="16"/>
                <w:szCs w:val="16"/>
                <w:lang w:val="es-ES" w:eastAsia="es-ES"/>
              </w:rPr>
            </w:pPr>
            <w:r w:rsidRPr="00C320D1">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4BD0623" w14:textId="77777777" w:rsidR="00A937E6" w:rsidRPr="00C320D1" w:rsidRDefault="00A937E6" w:rsidP="004B69A5">
            <w:pPr>
              <w:pStyle w:val="paragraph"/>
              <w:spacing w:after="0"/>
              <w:contextualSpacing/>
              <w:textAlignment w:val="baseline"/>
              <w:rPr>
                <w:rStyle w:val="normaltextrun"/>
                <w:rFonts w:ascii="Verdana" w:hAnsi="Verdana" w:cs="Arial"/>
                <w:sz w:val="16"/>
                <w:szCs w:val="16"/>
                <w:lang w:val="es-ES"/>
              </w:rPr>
            </w:pPr>
            <w:r w:rsidRPr="00C320D1">
              <w:rPr>
                <w:rStyle w:val="normaltextrun"/>
                <w:rFonts w:ascii="Verdana" w:hAnsi="Verdana" w:cs="Arial"/>
                <w:sz w:val="16"/>
                <w:szCs w:val="16"/>
                <w:lang w:val="es-ES"/>
              </w:rPr>
              <w:t>Alejandro Sarmiento Cantillo</w:t>
            </w:r>
          </w:p>
          <w:p w14:paraId="02A13CAB" w14:textId="77777777" w:rsidR="00A937E6" w:rsidRPr="00C320D1" w:rsidRDefault="00A937E6" w:rsidP="004B69A5">
            <w:pPr>
              <w:pStyle w:val="paragraph"/>
              <w:spacing w:before="0" w:beforeAutospacing="0" w:after="0" w:afterAutospacing="0"/>
              <w:contextualSpacing/>
              <w:textAlignment w:val="baseline"/>
              <w:rPr>
                <w:rFonts w:ascii="Verdana" w:hAnsi="Verdana" w:cs="Segoe UI"/>
                <w:sz w:val="16"/>
                <w:szCs w:val="16"/>
              </w:rPr>
            </w:pPr>
            <w:r w:rsidRPr="00C320D1">
              <w:rPr>
                <w:rStyle w:val="normaltextrun"/>
                <w:rFonts w:ascii="Verdana" w:hAnsi="Verdana" w:cs="Arial"/>
                <w:sz w:val="16"/>
                <w:szCs w:val="16"/>
                <w:lang w:val="es-ES"/>
              </w:rPr>
              <w:t>Gestor T1 ‒ 15 de la Subdirección de Gestión Contractual</w:t>
            </w:r>
            <w:r w:rsidRPr="00C320D1">
              <w:rPr>
                <w:rStyle w:val="eop"/>
                <w:rFonts w:ascii="Verdana" w:hAnsi="Verdana" w:cs="Arial"/>
                <w:sz w:val="16"/>
                <w:szCs w:val="16"/>
              </w:rPr>
              <w:t> </w:t>
            </w:r>
          </w:p>
        </w:tc>
      </w:tr>
      <w:tr w:rsidR="00A937E6" w:rsidRPr="00B55608" w14:paraId="28B50B67" w14:textId="77777777" w:rsidTr="004B69A5">
        <w:trPr>
          <w:trHeight w:val="300"/>
        </w:trPr>
        <w:tc>
          <w:tcPr>
            <w:tcW w:w="893" w:type="dxa"/>
            <w:vAlign w:val="center"/>
          </w:tcPr>
          <w:p w14:paraId="052F2ECE" w14:textId="77777777" w:rsidR="00A937E6" w:rsidRPr="00C320D1" w:rsidRDefault="00A937E6" w:rsidP="004B69A5">
            <w:pPr>
              <w:contextualSpacing/>
              <w:rPr>
                <w:rFonts w:ascii="Verdana" w:hAnsi="Verdana" w:cs="Arial"/>
                <w:sz w:val="16"/>
                <w:szCs w:val="16"/>
                <w:lang w:val="es-ES" w:eastAsia="es-ES"/>
              </w:rPr>
            </w:pPr>
            <w:r w:rsidRPr="00C320D1">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E23489C" w14:textId="77777777" w:rsidR="00A937E6" w:rsidRPr="00C320D1" w:rsidRDefault="00A937E6" w:rsidP="004B69A5">
            <w:pPr>
              <w:contextualSpacing/>
              <w:rPr>
                <w:rFonts w:ascii="Verdana" w:eastAsia="Calibri" w:hAnsi="Verdana" w:cs="Arial"/>
                <w:sz w:val="16"/>
                <w:szCs w:val="16"/>
                <w:lang w:val="pt-BR" w:eastAsia="es-ES"/>
              </w:rPr>
            </w:pPr>
            <w:r w:rsidRPr="00C320D1">
              <w:rPr>
                <w:rFonts w:ascii="Verdana" w:eastAsia="Calibri" w:hAnsi="Verdana" w:cs="Arial"/>
                <w:sz w:val="16"/>
                <w:szCs w:val="16"/>
                <w:lang w:val="pt-BR" w:eastAsia="es-ES"/>
              </w:rPr>
              <w:t>Carolina Quintero Gacharná</w:t>
            </w:r>
          </w:p>
          <w:p w14:paraId="2AA57638" w14:textId="77777777" w:rsidR="00A937E6" w:rsidRPr="00B55608" w:rsidRDefault="00A937E6" w:rsidP="004B69A5">
            <w:pPr>
              <w:contextualSpacing/>
              <w:rPr>
                <w:rFonts w:ascii="Verdana" w:eastAsia="Calibri" w:hAnsi="Verdana" w:cs="Arial"/>
                <w:sz w:val="16"/>
                <w:szCs w:val="16"/>
                <w:lang w:val="pt-BR" w:eastAsia="es-ES"/>
              </w:rPr>
            </w:pPr>
            <w:r w:rsidRPr="00C320D1">
              <w:rPr>
                <w:rFonts w:ascii="Verdana" w:eastAsia="Calibri" w:hAnsi="Verdana" w:cs="Arial"/>
                <w:sz w:val="16"/>
                <w:szCs w:val="16"/>
                <w:lang w:eastAsia="es-ES"/>
              </w:rPr>
              <w:t>Subdirectora</w:t>
            </w:r>
            <w:r w:rsidRPr="00C320D1">
              <w:rPr>
                <w:rFonts w:ascii="Verdana" w:eastAsia="Calibri" w:hAnsi="Verdana" w:cs="Arial"/>
                <w:sz w:val="16"/>
                <w:szCs w:val="16"/>
                <w:lang w:val="pt-BR" w:eastAsia="es-ES"/>
              </w:rPr>
              <w:t xml:space="preserve"> de Gestión Contractual ANCP – CCE</w:t>
            </w:r>
          </w:p>
        </w:tc>
      </w:tr>
      <w:bookmarkEnd w:id="0"/>
    </w:tbl>
    <w:p w14:paraId="3575E379" w14:textId="77777777" w:rsidR="00A937E6" w:rsidRPr="0044528D" w:rsidRDefault="00A937E6" w:rsidP="00E245AB">
      <w:pPr>
        <w:spacing w:after="0"/>
        <w:rPr>
          <w:rFonts w:ascii="Verdana" w:hAnsi="Verdana"/>
        </w:rPr>
      </w:pPr>
    </w:p>
    <w:sectPr w:rsidR="00A937E6"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1E75" w14:textId="77777777" w:rsidR="00CE29D9" w:rsidRDefault="00CE29D9" w:rsidP="004A1847">
      <w:pPr>
        <w:spacing w:after="0" w:line="240" w:lineRule="auto"/>
      </w:pPr>
      <w:r>
        <w:separator/>
      </w:r>
    </w:p>
  </w:endnote>
  <w:endnote w:type="continuationSeparator" w:id="0">
    <w:p w14:paraId="26FAA424" w14:textId="77777777" w:rsidR="00CE29D9" w:rsidRDefault="00CE29D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73A5D" w14:textId="77777777" w:rsidR="00CE29D9" w:rsidRDefault="00CE29D9" w:rsidP="004A1847">
      <w:pPr>
        <w:spacing w:after="0" w:line="240" w:lineRule="auto"/>
      </w:pPr>
      <w:r>
        <w:separator/>
      </w:r>
    </w:p>
  </w:footnote>
  <w:footnote w:type="continuationSeparator" w:id="0">
    <w:p w14:paraId="0F001C7F" w14:textId="77777777" w:rsidR="00CE29D9" w:rsidRDefault="00CE29D9" w:rsidP="004A1847">
      <w:pPr>
        <w:spacing w:after="0" w:line="240" w:lineRule="auto"/>
      </w:pPr>
      <w:r>
        <w:continuationSeparator/>
      </w:r>
    </w:p>
  </w:footnote>
  <w:footnote w:id="1">
    <w:p w14:paraId="732AC769"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Bases del Plan Nacional de Desarrollo 2022-2026. Colombia Potencia Mundial de la Vida. Numeral 7°, literal a). </w:t>
      </w:r>
    </w:p>
    <w:p w14:paraId="4B310579" w14:textId="77777777" w:rsidR="00A937E6" w:rsidRPr="003470F1" w:rsidRDefault="00A937E6" w:rsidP="00A937E6">
      <w:pPr>
        <w:pStyle w:val="Textonotapie"/>
        <w:ind w:firstLine="708"/>
        <w:contextualSpacing/>
        <w:jc w:val="both"/>
        <w:rPr>
          <w:rFonts w:ascii="Verdana" w:hAnsi="Verdana"/>
          <w:sz w:val="12"/>
          <w:szCs w:val="12"/>
        </w:rPr>
      </w:pPr>
    </w:p>
  </w:footnote>
  <w:footnote w:id="2">
    <w:p w14:paraId="32ABD663" w14:textId="77777777" w:rsidR="00A937E6" w:rsidRPr="003470F1" w:rsidRDefault="00A937E6" w:rsidP="00A937E6">
      <w:pPr>
        <w:pStyle w:val="Textonotapie"/>
        <w:ind w:firstLine="708"/>
        <w:contextualSpacing/>
        <w:jc w:val="both"/>
        <w:rPr>
          <w:rFonts w:ascii="Verdana" w:hAnsi="Verdana"/>
          <w:bCs/>
          <w:sz w:val="12"/>
          <w:szCs w:val="12"/>
          <w:lang w:val="es-CO"/>
        </w:rPr>
      </w:pPr>
      <w:r w:rsidRPr="003470F1">
        <w:rPr>
          <w:rStyle w:val="Refdenotaalpie"/>
          <w:rFonts w:ascii="Verdana" w:hAnsi="Verdana"/>
          <w:sz w:val="12"/>
          <w:szCs w:val="12"/>
        </w:rPr>
        <w:footnoteRef/>
      </w:r>
      <w:r w:rsidRPr="003470F1">
        <w:rPr>
          <w:rFonts w:ascii="Verdana" w:hAnsi="Verdana"/>
          <w:sz w:val="12"/>
          <w:szCs w:val="12"/>
        </w:rPr>
        <w:t xml:space="preserve"> Aunque el artículo </w:t>
      </w:r>
      <w:r w:rsidRPr="003470F1">
        <w:rPr>
          <w:rFonts w:ascii="Verdana" w:hAnsi="Verdana"/>
          <w:bCs/>
          <w:sz w:val="12"/>
          <w:szCs w:val="12"/>
          <w:lang w:val="es-CO"/>
        </w:rPr>
        <w:t xml:space="preserve">100 de la Ley 2294 de 2023 dispone que las Asociaciones Público-Populares “[…] podrán celebrarse para la ejecución de obras, o la adquisición de bienes y servicios relacionados con […] suministro de bienes y servicios […]”, para la Agencia se trata de un defecto de técnica legislativa que no incide sobre el alcance del instrumento. Lo anterior considerando que el </w:t>
      </w:r>
      <w:r w:rsidRPr="003470F1">
        <w:rPr>
          <w:rFonts w:ascii="Verdana" w:hAnsi="Verdana"/>
          <w:bCs/>
          <w:i/>
          <w:iCs/>
          <w:sz w:val="12"/>
          <w:szCs w:val="12"/>
          <w:lang w:val="es-CO"/>
        </w:rPr>
        <w:t>suministro</w:t>
      </w:r>
      <w:r w:rsidRPr="003470F1">
        <w:rPr>
          <w:rFonts w:ascii="Verdana" w:hAnsi="Verdana"/>
          <w:bCs/>
          <w:sz w:val="12"/>
          <w:szCs w:val="12"/>
          <w:lang w:val="es-CO"/>
        </w:rPr>
        <w:t xml:space="preserve"> es una forma </w:t>
      </w:r>
      <w:r w:rsidRPr="003470F1">
        <w:rPr>
          <w:rFonts w:ascii="Verdana" w:hAnsi="Verdana"/>
          <w:bCs/>
          <w:i/>
          <w:iCs/>
          <w:sz w:val="12"/>
          <w:szCs w:val="12"/>
          <w:lang w:val="es-CO"/>
        </w:rPr>
        <w:t>adquirir</w:t>
      </w:r>
      <w:r w:rsidRPr="003470F1">
        <w:rPr>
          <w:rFonts w:ascii="Verdana" w:hAnsi="Verdana"/>
          <w:bCs/>
          <w:sz w:val="12"/>
          <w:szCs w:val="12"/>
          <w:lang w:val="es-CO"/>
        </w:rPr>
        <w:t xml:space="preserve"> bienes y servicios.</w:t>
      </w:r>
    </w:p>
    <w:p w14:paraId="054C6F3B" w14:textId="77777777" w:rsidR="00A937E6" w:rsidRPr="003470F1" w:rsidRDefault="00A937E6" w:rsidP="00A937E6">
      <w:pPr>
        <w:pStyle w:val="Textonotapie"/>
        <w:ind w:firstLine="708"/>
        <w:contextualSpacing/>
        <w:jc w:val="both"/>
        <w:rPr>
          <w:rFonts w:ascii="Verdana" w:hAnsi="Verdana"/>
          <w:bCs/>
          <w:sz w:val="12"/>
          <w:szCs w:val="12"/>
          <w:lang w:val="es-CO"/>
        </w:rPr>
      </w:pPr>
    </w:p>
    <w:p w14:paraId="6053E70D"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lang w:val="es-CO"/>
        </w:rPr>
        <w:t>E</w:t>
      </w:r>
      <w:r w:rsidRPr="003470F1">
        <w:rPr>
          <w:rFonts w:ascii="Verdana" w:hAnsi="Verdana"/>
          <w:sz w:val="12"/>
          <w:szCs w:val="12"/>
        </w:rPr>
        <w:t xml:space="preserve">sta amplitud en los sujetos y el objeto de los contratos de Asociación Público Popular diferencia la causal </w:t>
      </w:r>
      <w:r w:rsidRPr="003470F1">
        <w:rPr>
          <w:rFonts w:ascii="Verdana" w:hAnsi="Verdana"/>
          <w:i/>
          <w:iCs/>
          <w:sz w:val="12"/>
          <w:szCs w:val="12"/>
        </w:rPr>
        <w:t>sub examine</w:t>
      </w:r>
      <w:r w:rsidRPr="003470F1">
        <w:rPr>
          <w:rFonts w:ascii="Verdana" w:hAnsi="Verdana"/>
          <w:sz w:val="12"/>
          <w:szCs w:val="12"/>
        </w:rPr>
        <w:t xml:space="preserve"> con la prevista en el artículo 95 de la Ley 2166 de 2021, pues el inciso primero únicamente “[…] autoriza a los entes del orden Nacional, Departamental, Distrital y municipal para celebrar directamente convenios solidarios con los Organismos de Acción Comunal con el fin de ejecutar obras hasta por la menor cuantía […]”.</w:t>
      </w:r>
    </w:p>
    <w:p w14:paraId="0DD3B58B" w14:textId="77777777" w:rsidR="00A937E6" w:rsidRPr="003470F1" w:rsidRDefault="00A937E6" w:rsidP="00A937E6">
      <w:pPr>
        <w:pStyle w:val="Textonotapie"/>
        <w:ind w:firstLine="708"/>
        <w:contextualSpacing/>
        <w:jc w:val="both"/>
        <w:rPr>
          <w:rFonts w:ascii="Verdana" w:hAnsi="Verdana"/>
          <w:sz w:val="12"/>
          <w:szCs w:val="12"/>
        </w:rPr>
      </w:pPr>
    </w:p>
  </w:footnote>
  <w:footnote w:id="3">
    <w:p w14:paraId="0DE8447B"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3470F1">
        <w:rPr>
          <w:rFonts w:ascii="Verdana" w:hAnsi="Verdana"/>
          <w:i/>
          <w:iCs/>
          <w:sz w:val="12"/>
          <w:szCs w:val="12"/>
        </w:rPr>
        <w:t>las palabras de la ley se entenderán en su sentido natural y obvio, según el uso general de las mismas palabras</w:t>
      </w:r>
      <w:r w:rsidRPr="003470F1">
        <w:rPr>
          <w:rFonts w:ascii="Verdana" w:hAnsi="Verdana"/>
          <w:sz w:val="12"/>
          <w:szCs w:val="12"/>
        </w:rPr>
        <w:t>’, es decir, el uso de la gente educada. El Diccionario de la Lengua publicado por la Real Academia Española goza a este respecto de gran autoridad. ‘</w:t>
      </w:r>
      <w:r w:rsidRPr="003470F1">
        <w:rPr>
          <w:rFonts w:ascii="Verdana" w:hAnsi="Verdana"/>
          <w:i/>
          <w:iCs/>
          <w:sz w:val="12"/>
          <w:szCs w:val="12"/>
        </w:rPr>
        <w:t>Pero cuando el legislador</w:t>
      </w:r>
      <w:r w:rsidRPr="003470F1">
        <w:rPr>
          <w:rFonts w:ascii="Verdana" w:hAnsi="Verdana"/>
          <w:sz w:val="12"/>
          <w:szCs w:val="12"/>
        </w:rPr>
        <w:t xml:space="preserve">, agrega el artículo 20, </w:t>
      </w:r>
      <w:r w:rsidRPr="003470F1">
        <w:rPr>
          <w:rFonts w:ascii="Verdana" w:hAnsi="Verdana"/>
          <w:i/>
          <w:iCs/>
          <w:sz w:val="12"/>
          <w:szCs w:val="12"/>
        </w:rPr>
        <w:t>las haya definido expresamente para ciertas materias se les dará en éstas su significado legal</w:t>
      </w:r>
      <w:r w:rsidRPr="003470F1">
        <w:rPr>
          <w:rFonts w:ascii="Verdana" w:hAnsi="Verdana"/>
          <w:sz w:val="12"/>
          <w:szCs w:val="12"/>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p w14:paraId="2297D1E4" w14:textId="77777777" w:rsidR="00A937E6" w:rsidRPr="003470F1" w:rsidRDefault="00A937E6" w:rsidP="00A937E6">
      <w:pPr>
        <w:pStyle w:val="Textonotapie"/>
        <w:ind w:firstLine="708"/>
        <w:contextualSpacing/>
        <w:jc w:val="both"/>
        <w:rPr>
          <w:rFonts w:ascii="Verdana" w:hAnsi="Verdana"/>
          <w:sz w:val="12"/>
          <w:szCs w:val="12"/>
        </w:rPr>
      </w:pPr>
    </w:p>
  </w:footnote>
  <w:footnote w:id="4">
    <w:p w14:paraId="355BDBF0" w14:textId="77777777" w:rsidR="00A937E6" w:rsidRPr="003470F1" w:rsidRDefault="00A937E6" w:rsidP="00A937E6">
      <w:pPr>
        <w:pStyle w:val="Textonotapie"/>
        <w:ind w:firstLine="600"/>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El inciso primero del artículo 98 del Código de Comercio dispone que “Por el contrato de sociedad dos o más personas se obligan a hacer un aporte en dinero, en trabajo o en otros bienes apreciables en dinero, con el fin de repartirse entre sí las utilidades obtenidas en la empresa o actividad social”. Como explica la doctrina, “[…] la sociedad no es un contrato desinteresado desde el punto de vista económico. La explotación del objeto no se hace con fines altruistas, sino para satisfacer el ánimo especulativo de los asociados, que se desprenden de una parte de su patrimonio para efectuar la inversión correspondiente” (MARTÍNEZ NEIRA, Néstor Humberto. Cátedra de sociedades: régimen comercial y bursátil. Bogotá: Legis, 2020. p. 111). </w:t>
      </w:r>
    </w:p>
    <w:p w14:paraId="2011644D" w14:textId="77777777" w:rsidR="00A937E6" w:rsidRPr="003470F1" w:rsidRDefault="00A937E6" w:rsidP="00A937E6">
      <w:pPr>
        <w:pStyle w:val="Textonotapie"/>
        <w:ind w:firstLine="600"/>
        <w:contextualSpacing/>
        <w:jc w:val="both"/>
        <w:rPr>
          <w:rFonts w:ascii="Verdana" w:hAnsi="Verdana"/>
          <w:sz w:val="12"/>
          <w:szCs w:val="12"/>
        </w:rPr>
      </w:pPr>
    </w:p>
  </w:footnote>
  <w:footnote w:id="5">
    <w:p w14:paraId="564196D8"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Style w:val="Refdenotaalpie"/>
          <w:rFonts w:ascii="Verdana" w:hAnsi="Verdana" w:cs="Arial"/>
          <w:sz w:val="12"/>
          <w:szCs w:val="12"/>
        </w:rPr>
        <w:footnoteRef/>
      </w:r>
      <w:r w:rsidRPr="003470F1">
        <w:rPr>
          <w:rFonts w:ascii="Verdana" w:hAnsi="Verdana" w:cs="Arial"/>
          <w:sz w:val="12"/>
          <w:szCs w:val="12"/>
        </w:rPr>
        <w:t xml:space="preserve"> De acuerdo con el inciso primero del artículo 635 del Código Civil, “Las sociedades industriales no están comprendidas en las disposiciones de este título; sus derechos y obligaciones son reglados, según su naturaleza, por otros títulos de este Código, y por el Código de Comercio”. Por su parte, la doctrina define las sociedades industriales como aquellas “[…] asociaciones […] que persiguen un propósito de lucro o beneficio directo de las personas naturales que las han formado” (Cfr. CLARO SOLAR, Luis. Explicaciones de derecho civil chileno y comparado. Volumen II. Tomo V. Santiago: Editorial Jurídica de Chile, 2013. p. 454).  </w:t>
      </w:r>
    </w:p>
    <w:p w14:paraId="2D44B124" w14:textId="77777777" w:rsidR="00A937E6" w:rsidRPr="003470F1" w:rsidRDefault="00A937E6" w:rsidP="00A937E6">
      <w:pPr>
        <w:pStyle w:val="Textonotapie"/>
        <w:ind w:firstLine="708"/>
        <w:contextualSpacing/>
        <w:jc w:val="both"/>
        <w:rPr>
          <w:rFonts w:ascii="Verdana" w:hAnsi="Verdana" w:cs="Arial"/>
          <w:sz w:val="12"/>
          <w:szCs w:val="12"/>
        </w:rPr>
      </w:pPr>
    </w:p>
  </w:footnote>
  <w:footnote w:id="6">
    <w:p w14:paraId="3F4C6F4B"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El artículo 2.2.1.1.1.3.1 del Decreto 1082 de 2015 define los documentos del proceso como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72567971" w14:textId="77777777" w:rsidR="00A937E6" w:rsidRPr="003470F1" w:rsidRDefault="00A937E6" w:rsidP="00A937E6">
      <w:pPr>
        <w:pStyle w:val="Textonotapie"/>
        <w:ind w:firstLine="708"/>
        <w:contextualSpacing/>
        <w:jc w:val="both"/>
        <w:rPr>
          <w:rFonts w:ascii="Verdana" w:hAnsi="Verdana"/>
          <w:sz w:val="12"/>
          <w:szCs w:val="12"/>
        </w:rPr>
      </w:pPr>
    </w:p>
  </w:footnote>
  <w:footnote w:id="7">
    <w:p w14:paraId="7A7DE526"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Esta identificación y caracterización de los sujetos de la </w:t>
      </w:r>
      <w:r w:rsidRPr="003470F1">
        <w:rPr>
          <w:rFonts w:ascii="Verdana" w:hAnsi="Verdana"/>
          <w:i/>
          <w:iCs/>
          <w:sz w:val="12"/>
          <w:szCs w:val="12"/>
        </w:rPr>
        <w:t>economía popular</w:t>
      </w:r>
      <w:r w:rsidRPr="003470F1">
        <w:rPr>
          <w:rFonts w:ascii="Verdana" w:hAnsi="Verdana"/>
          <w:sz w:val="12"/>
          <w:szCs w:val="12"/>
        </w:rPr>
        <w:t xml:space="preserve"> también es determinante para las competencias de esta entidad, especialmente, cuando el inciso tercero del artículo 102 de la Ley del Plan Nacional de Desarrollo –al regular los sistemas dinámicos de adquisición– señala que “La Agencia Nacional de Contratación Pública – Colombia Compra Eficiente podrá realizar procesos de contratación cuyos oferentes sean actores de la economía popular. En dichos casos no se requerirá la presentación del RUP para participar en el proceso de selección”.</w:t>
      </w:r>
    </w:p>
    <w:p w14:paraId="4ACCE1CF"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8">
    <w:p w14:paraId="30FF978B"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Este concepto hace parte de la Ley 2294 de 2023, pues –de acuerdo con el artículo 2– “El documento denominado ‘Bases del Plan Nacional de Desarrollo 2022 - 2026 Colombia Potencia Mundial de la Vida’, junto con sus anexos, elaborado por el Gobierno nacional con la participación del Consejo Superior de la Judicatura y del Consejo Nacional de Planeación, con fundamento en los insumos entregados por los colombianos en los Diálogos Regionales Vinculantes, con las modificaciones realizadas en el trámite legislativo, es parte integral del Plan Nacional de Desarrollo, y se incorpora a la presente ley como un anexo”.</w:t>
      </w:r>
    </w:p>
    <w:p w14:paraId="58658510"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9">
    <w:p w14:paraId="49AEA149"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Éste último se define en el artículo 10 del Código de Comercio como “[…] las personas que profesionalmente se ocupan en alguna de las actividades que la ley considera mercantiles”. Por lo demás, “La calidad de comerciante se </w:t>
      </w:r>
      <w:r w:rsidRPr="003470F1">
        <w:rPr>
          <w:rFonts w:ascii="Verdana" w:hAnsi="Verdana"/>
          <w:sz w:val="12"/>
          <w:szCs w:val="12"/>
        </w:rPr>
        <w:t>adquiere aunque la actividad mercantil se ejerza por medio de apoderado, intermediario o interpuesta persona”.</w:t>
      </w:r>
    </w:p>
    <w:p w14:paraId="4B6E4BA1"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10">
    <w:p w14:paraId="61583EB8" w14:textId="77777777" w:rsidR="00A937E6" w:rsidRPr="003470F1" w:rsidRDefault="00A937E6" w:rsidP="00A937E6">
      <w:pPr>
        <w:pStyle w:val="Textonotapie"/>
        <w:ind w:firstLine="708"/>
        <w:contextualSpacing/>
        <w:jc w:val="both"/>
        <w:rPr>
          <w:rFonts w:ascii="Verdana" w:hAnsi="Verdana"/>
          <w:sz w:val="12"/>
          <w:szCs w:val="12"/>
          <w:lang w:val="es-CO"/>
        </w:rPr>
      </w:pPr>
      <w:r w:rsidRPr="003470F1">
        <w:rPr>
          <w:rStyle w:val="Refdenotaalpie"/>
          <w:rFonts w:ascii="Verdana" w:hAnsi="Verdana"/>
          <w:sz w:val="12"/>
          <w:szCs w:val="12"/>
        </w:rPr>
        <w:footnoteRef/>
      </w:r>
      <w:r w:rsidRPr="003470F1">
        <w:rPr>
          <w:rFonts w:ascii="Verdana" w:hAnsi="Verdana"/>
          <w:sz w:val="12"/>
          <w:szCs w:val="12"/>
        </w:rPr>
        <w:t xml:space="preserve"> GARRIGUES, Joaquín. Curso de derecho mercantil. Tomo I. Séptima edición. Bogotá: Temis, 1987. p. 134. Énfasis fuera de texto. Ello es congruente con el artículo 11 del Código de Comercio, pues “</w:t>
      </w:r>
      <w:r w:rsidRPr="003470F1">
        <w:rPr>
          <w:rFonts w:ascii="Verdana" w:hAnsi="Verdana"/>
          <w:sz w:val="12"/>
          <w:szCs w:val="12"/>
          <w:lang w:val="es-CO"/>
        </w:rPr>
        <w:t>Las personas que ejecuten ocasionalmente operaciones mercantiles no se considerarán comerciantes, pero estarán sujetas a las normas comerciales en cuanto a dichas operaciones”.</w:t>
      </w:r>
    </w:p>
    <w:p w14:paraId="116B13E1"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11">
    <w:p w14:paraId="53E65BF4"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El artículo 20 del Código de Comercio dispone que “Son mercantiles para todos los efectos legales: </w:t>
      </w:r>
    </w:p>
    <w:p w14:paraId="476288D7"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 La adquisición de bienes a título oneroso con destino a enajenarlos en igual forma, y la enajenación de </w:t>
      </w:r>
      <w:r w:rsidRPr="003470F1">
        <w:rPr>
          <w:rFonts w:ascii="Verdana" w:hAnsi="Verdana"/>
          <w:sz w:val="12"/>
          <w:szCs w:val="12"/>
        </w:rPr>
        <w:t xml:space="preserve">los mismos; </w:t>
      </w:r>
    </w:p>
    <w:p w14:paraId="2A287AD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2) La adquisición a título oneroso de bienes muebles con destino a arrendarlos; el arrendamiento de los mismos; el arrendamiento de toda clase de bienes para subarrendarlos, y el subarrendamiento de los mismos; </w:t>
      </w:r>
    </w:p>
    <w:p w14:paraId="6DFD890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3) El recibo de dinero en mutuo a interés, con garantía o sin ella, para darlo en préstamo, y los préstamos subsiguientes, así como dar habitualmente dinero en mutuo a interés; </w:t>
      </w:r>
    </w:p>
    <w:p w14:paraId="327EEC92"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4) La adquisición o enajenación, a título oneroso, de establecimientos de comercio, y la prenda*, arrendamiento, administración y demás operaciones análogas relacionadas con los mismos; </w:t>
      </w:r>
    </w:p>
    <w:p w14:paraId="4A466FD6"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5) La intervención como asociado en la constitución de sociedades comerciales, los actos de administración de las mismas o la negociación a título oneroso de las partes de interés, cuotas o acciones; </w:t>
      </w:r>
    </w:p>
    <w:p w14:paraId="0B3D3392"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6) El giro, otorgamiento, aceptación, garantía o negociación de títulos-valores, así como la compra para reventa, permuta, etc., de los mismos; </w:t>
      </w:r>
    </w:p>
    <w:p w14:paraId="45F01ED0"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7) Las operaciones bancarias, de bolsas, o de martillos; </w:t>
      </w:r>
    </w:p>
    <w:p w14:paraId="27DAE2F0"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8) El corretaje, las agencias de negocios y la representación de firmas nacionales o extranjeras; </w:t>
      </w:r>
    </w:p>
    <w:p w14:paraId="1340CEB5"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9) La explotación o prestación de servicios de puertos, muelles, puentes, vías y campos de aterrizaje; </w:t>
      </w:r>
    </w:p>
    <w:p w14:paraId="3846AE1A"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10) Las empresas de seguros y la actividad aseguradora; </w:t>
      </w:r>
    </w:p>
    <w:p w14:paraId="0A91E5B4"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11) Las empresas de transporte de personas o de cosas, a título oneroso, cualesquiera que fueren la vía y el medio utilizados; </w:t>
      </w:r>
    </w:p>
    <w:p w14:paraId="1A25DE1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12) Las empresas de fabricación, transformación, manufactura y circulación de bienes; </w:t>
      </w:r>
    </w:p>
    <w:p w14:paraId="39C5FEEF"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13) Las empresas de depósito de mercaderías, provisiones o suministros, espectáculos públicos y expendio de toda clase de bienes; </w:t>
      </w:r>
    </w:p>
    <w:p w14:paraId="7BD1E3D9"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14) Las empresas editoriales, litográficas, fotográficas, informativas o de propaganda y las demás destinadas a la prestación de servicios; </w:t>
      </w:r>
    </w:p>
    <w:p w14:paraId="3E1EF18B"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15) Las empresas de obras o construcciones, reparaciones, montajes, instalaciones u ornamentaciones; </w:t>
      </w:r>
    </w:p>
    <w:p w14:paraId="4425491F"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16) Las empresas para el aprovechamiento y explotación mercantil de las fuerzas o recursos de la naturaleza; </w:t>
      </w:r>
    </w:p>
    <w:p w14:paraId="65730C1E"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17) Las empresas promotoras de negocios y las de compra, venta, administración, custodia o circulación de toda clase de bienes; </w:t>
      </w:r>
    </w:p>
    <w:p w14:paraId="09A4BD4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18) Las empresas de construcción, reparación, compra y venta de vehículos para el transporte por tierra, agua y aire, y sus accesorios, y </w:t>
      </w:r>
    </w:p>
    <w:p w14:paraId="0FFE399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19) Los demás actos y contratos regulados por la ley mercantil”.</w:t>
      </w:r>
    </w:p>
    <w:p w14:paraId="26F425CE"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12">
    <w:p w14:paraId="7F5B2267"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Style w:val="Refdenotaalpie"/>
          <w:rFonts w:ascii="Verdana" w:hAnsi="Verdana"/>
          <w:sz w:val="12"/>
          <w:szCs w:val="12"/>
        </w:rPr>
        <w:footnoteRef/>
      </w:r>
      <w:r w:rsidRPr="003470F1">
        <w:rPr>
          <w:rFonts w:ascii="Verdana" w:hAnsi="Verdana"/>
          <w:sz w:val="12"/>
          <w:szCs w:val="12"/>
        </w:rPr>
        <w:t xml:space="preserve"> </w:t>
      </w:r>
      <w:r w:rsidRPr="003470F1">
        <w:rPr>
          <w:rFonts w:ascii="Verdana" w:eastAsia="Calibri" w:hAnsi="Verdana" w:cs="Arial"/>
          <w:bCs/>
          <w:sz w:val="12"/>
          <w:szCs w:val="12"/>
          <w:lang w:val="es-ES_tradnl"/>
        </w:rPr>
        <w:t xml:space="preserve">En ese sentido, el artículo 20 del Código de Comercio agrupa una gran variedad de actividades bajo la categoría de “acto de comercio”, sin que dicha enumeración sea taxativa en </w:t>
      </w:r>
      <w:r w:rsidRPr="003470F1">
        <w:rPr>
          <w:rFonts w:ascii="Verdana" w:hAnsi="Verdana" w:cs="Arial"/>
          <w:sz w:val="12"/>
          <w:szCs w:val="12"/>
        </w:rPr>
        <w:t xml:space="preserve">nuestro sistema jurídico. Así las cosas, no se define estáticamente el acto de comercio, permitiendo mediante la analogía realizar la ampliación dinámica del derecho mercantil facilitando su adaptación a un cambiante mundo de negocios. Adicionalmente, la ley provee un criterio auxiliar que permite ampliar la cobertura del derecho comercial con la calificación de mercantiles de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 </w:t>
      </w:r>
    </w:p>
    <w:p w14:paraId="6643D010" w14:textId="77777777" w:rsidR="00A937E6" w:rsidRPr="003470F1" w:rsidRDefault="00A937E6" w:rsidP="00A937E6">
      <w:pPr>
        <w:pStyle w:val="Textonotapie"/>
        <w:ind w:firstLine="708"/>
        <w:contextualSpacing/>
        <w:jc w:val="both"/>
        <w:rPr>
          <w:rFonts w:ascii="Verdana" w:eastAsia="Calibri" w:hAnsi="Verdana" w:cs="Arial"/>
          <w:bCs/>
          <w:sz w:val="12"/>
          <w:szCs w:val="12"/>
          <w:lang w:val="es-ES_tradnl"/>
        </w:rPr>
      </w:pPr>
    </w:p>
  </w:footnote>
  <w:footnote w:id="13">
    <w:p w14:paraId="5291DF63"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El artículo 23 del Código de Comercio prescribe que “No son mercantiles: </w:t>
      </w:r>
    </w:p>
    <w:p w14:paraId="4133B02E"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1) La adquisición de bienes con destino al consumo doméstico o al uso del adquirente, y la enajenación de </w:t>
      </w:r>
      <w:r w:rsidRPr="003470F1">
        <w:rPr>
          <w:rFonts w:ascii="Verdana" w:hAnsi="Verdana"/>
          <w:sz w:val="12"/>
          <w:szCs w:val="12"/>
        </w:rPr>
        <w:t xml:space="preserve">los mismos o de los sobrantes; </w:t>
      </w:r>
    </w:p>
    <w:p w14:paraId="76FABF08"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2) La adquisición de bienes para producir obras artísticas y la enajenación de éstas por su autor; </w:t>
      </w:r>
    </w:p>
    <w:p w14:paraId="0C7F8C72"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3) Las adquisiciones hechas por funcionarios o empleados para fines de servicio público; </w:t>
      </w:r>
    </w:p>
    <w:p w14:paraId="143BB2AE"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 </w:t>
      </w:r>
    </w:p>
    <w:p w14:paraId="514278B4" w14:textId="77777777" w:rsidR="00A937E6" w:rsidRPr="003470F1" w:rsidRDefault="00A937E6" w:rsidP="00A937E6">
      <w:pPr>
        <w:pStyle w:val="Textonotapie"/>
        <w:ind w:firstLine="708"/>
        <w:contextualSpacing/>
        <w:jc w:val="both"/>
        <w:rPr>
          <w:rFonts w:ascii="Verdana" w:hAnsi="Verdana"/>
          <w:sz w:val="12"/>
          <w:szCs w:val="12"/>
          <w:lang w:val="es-CO"/>
        </w:rPr>
      </w:pPr>
      <w:r w:rsidRPr="003470F1">
        <w:rPr>
          <w:rFonts w:ascii="Verdana" w:hAnsi="Verdana"/>
          <w:sz w:val="12"/>
          <w:szCs w:val="12"/>
        </w:rPr>
        <w:t>5) La prestación de servicios inherentes a las profesiones liberales”.</w:t>
      </w:r>
    </w:p>
  </w:footnote>
  <w:footnote w:id="14">
    <w:p w14:paraId="7E1D73C5" w14:textId="77777777" w:rsidR="00A937E6" w:rsidRPr="003470F1" w:rsidRDefault="00A937E6" w:rsidP="00A937E6">
      <w:pPr>
        <w:pStyle w:val="Textonotapie"/>
        <w:ind w:firstLine="708"/>
        <w:contextualSpacing/>
        <w:rPr>
          <w:rFonts w:ascii="Verdana" w:hAnsi="Verdana"/>
          <w:sz w:val="12"/>
          <w:szCs w:val="12"/>
        </w:rPr>
      </w:pPr>
    </w:p>
    <w:p w14:paraId="4AEF395D" w14:textId="77777777" w:rsidR="00A937E6" w:rsidRPr="003470F1" w:rsidRDefault="00A937E6" w:rsidP="00A937E6">
      <w:pPr>
        <w:pBdr>
          <w:top w:val="nil"/>
          <w:left w:val="nil"/>
          <w:bottom w:val="nil"/>
          <w:right w:val="nil"/>
          <w:between w:val="nil"/>
        </w:pBdr>
        <w:spacing w:after="0" w:line="240" w:lineRule="auto"/>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A modo de ejemplo, d</w:t>
      </w:r>
      <w:r w:rsidRPr="003470F1">
        <w:rPr>
          <w:rFonts w:ascii="Verdana" w:eastAsia="Arial" w:hAnsi="Verdana" w:cs="Arial"/>
          <w:color w:val="000000"/>
          <w:sz w:val="12"/>
          <w:szCs w:val="12"/>
        </w:rPr>
        <w:t>entro de la economía del cuidado es posible ubicar las actividades se realizan dentro del hogar o la comunidad que son de vital importancia para el funcionamiento del sistema económico y social. Actividades como la preparación de los alimentos, el arreglo y mantenimiento del hogar y las prendas de vestir, actividades de cuidado a personas mayores, con discapacidad o niños (enseñanza de valores y habilidades), entre otras, también son necesarias para la reproducción del capital humano, dado que sirven para la manutención de los trabajadores actuales y futuros. Sin embargo, estas actividades son poco valoradas por la sociedad, principalmente porque la mayoría de ellas se realizan sin recibir una remuneración monetaria a cambio. La economía de cuidado busca otorgar valor a las actividades de cuidado y de trabajo doméstico no remunerado, dado que estas actividades se consideran bienes o servicios económicos porque además de generar valor, también demandan costos representados en tiempo y energía necesarios para producirlos. Adicionalmente estas tareas también generan bienestar a las personas que los reciben.</w:t>
      </w:r>
      <w:r w:rsidRPr="003470F1">
        <w:rPr>
          <w:rFonts w:ascii="Verdana" w:hAnsi="Verdana"/>
          <w:sz w:val="12"/>
          <w:szCs w:val="12"/>
        </w:rPr>
        <w:t xml:space="preserve"> </w:t>
      </w:r>
    </w:p>
    <w:p w14:paraId="567874BC" w14:textId="77777777" w:rsidR="00A937E6" w:rsidRPr="003470F1" w:rsidRDefault="00A937E6" w:rsidP="00A937E6">
      <w:pPr>
        <w:pBdr>
          <w:top w:val="nil"/>
          <w:left w:val="nil"/>
          <w:bottom w:val="nil"/>
          <w:right w:val="nil"/>
          <w:between w:val="nil"/>
        </w:pBdr>
        <w:spacing w:after="0" w:line="240" w:lineRule="auto"/>
        <w:ind w:firstLine="708"/>
        <w:contextualSpacing/>
        <w:jc w:val="both"/>
        <w:rPr>
          <w:rFonts w:ascii="Verdana" w:eastAsia="Arial" w:hAnsi="Verdana" w:cs="Arial"/>
          <w:color w:val="000000"/>
          <w:sz w:val="12"/>
          <w:szCs w:val="12"/>
        </w:rPr>
      </w:pPr>
    </w:p>
  </w:footnote>
  <w:footnote w:id="15">
    <w:p w14:paraId="662322DE"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DEPARTAMENTO ADMINISTRATIVO NACIONAL DE ESTADÍSTICA. Conteo de unidades económicas 2021. Consultado el 3 de septiembre de 2024 en la página web </w:t>
      </w:r>
      <w:hyperlink r:id="rId1" w:anchor=":~:text=*Una%20unidad%20económica%20es%20una,vivienda%20o%20en%20puestos%20móviles" w:history="1">
        <w:r w:rsidRPr="003470F1">
          <w:rPr>
            <w:rStyle w:val="Hipervnculo"/>
            <w:rFonts w:ascii="Verdana" w:hAnsi="Verdana"/>
            <w:sz w:val="12"/>
            <w:szCs w:val="12"/>
          </w:rPr>
          <w:t>https://www.dane.gov.co/index.php/estadisticas-por-tema/comercio-interno/censo-economico-de-colombia/conteo-de-unidades-economicas-2021#:~:text=*Una%20unidad%20económica%20es%20una,vivienda%20o%20en%20puestos%20móviles</w:t>
        </w:r>
      </w:hyperlink>
    </w:p>
    <w:p w14:paraId="6CFD7EEE" w14:textId="77777777" w:rsidR="00A937E6" w:rsidRPr="003470F1" w:rsidRDefault="00A937E6" w:rsidP="00A937E6">
      <w:pPr>
        <w:pStyle w:val="Textonotapie"/>
        <w:ind w:firstLine="708"/>
        <w:contextualSpacing/>
        <w:jc w:val="both"/>
        <w:rPr>
          <w:rFonts w:ascii="Verdana" w:hAnsi="Verdana"/>
          <w:sz w:val="12"/>
          <w:szCs w:val="12"/>
        </w:rPr>
      </w:pPr>
    </w:p>
  </w:footnote>
  <w:footnote w:id="16">
    <w:p w14:paraId="53FB59F6"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DEPARTAMENTO ADMINISTRATIVO NACIONAL DE ESTADÍSTICA. Encuesta de Micronegocios (EMICRON): I Trimestre de 2024. Consultado el 3 de septiembre de 2024 en la página web </w:t>
      </w:r>
      <w:hyperlink r:id="rId2" w:history="1">
        <w:r w:rsidRPr="003470F1">
          <w:rPr>
            <w:rStyle w:val="Hipervnculo"/>
            <w:rFonts w:ascii="Verdana" w:hAnsi="Verdana"/>
            <w:sz w:val="12"/>
            <w:szCs w:val="12"/>
          </w:rPr>
          <w:t>https://www.dane.gov.co/files/operaciones/EMICRON/bol-EMICRON-Itrim2024.pdf</w:t>
        </w:r>
      </w:hyperlink>
      <w:r w:rsidRPr="003470F1">
        <w:rPr>
          <w:rFonts w:ascii="Verdana" w:hAnsi="Verdana"/>
          <w:sz w:val="12"/>
          <w:szCs w:val="12"/>
        </w:rPr>
        <w:t xml:space="preserve">. El informe agrega que “Las actividades económicas que realizan los micronegocios comprenden desde la pequeña miscelánea de barrio hasta los servicios de consultoría especializada, incluye las profesiones liberales, las ventas ambulantes y las confecciones al interior de la vivienda. Es un grupo muy heterogéneo y puede desarrollar la actividad en cualquier emplazamiento (vivienda, local, puerta a puerta, etc.)”. </w:t>
      </w:r>
    </w:p>
  </w:footnote>
  <w:footnote w:id="17">
    <w:p w14:paraId="6CB7029D"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Conforme al inciso primero del artículo 6 de la Ley 454 de 1998, las organizaciones de la economía solidaria son “[…]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 De acuerdo con el parágrafo 2 del artículo precitado, tienen el carácter de organizaciones solidarias, entre otras, las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así como todas aquellas formas asociativas solidarias que cumplan con las características mencionadas en el capítulo II de la Ley 454 de 1998.</w:t>
      </w:r>
    </w:p>
    <w:p w14:paraId="43EC2F7B" w14:textId="77777777" w:rsidR="00A937E6" w:rsidRPr="003470F1" w:rsidRDefault="00A937E6" w:rsidP="00A937E6">
      <w:pPr>
        <w:pStyle w:val="Textonotapie"/>
        <w:ind w:firstLine="708"/>
        <w:contextualSpacing/>
        <w:jc w:val="both"/>
        <w:rPr>
          <w:rFonts w:ascii="Verdana" w:hAnsi="Verdana"/>
          <w:sz w:val="12"/>
          <w:szCs w:val="12"/>
        </w:rPr>
      </w:pPr>
    </w:p>
  </w:footnote>
  <w:footnote w:id="18">
    <w:p w14:paraId="56E651A2"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En el mismo sentido, TAFUR GALVIS considera lo siguiente: “[…] además de la realización de los actos necesarios de conservación patrimonial, de tiempo atrás se acepta que las instituciones ‘sin ánimo de lucro’ no pierden ese carácter, a pesar de que usualmente celebren actos comerciales. La necesaria coherencia conceptual debe signar esas actuaciones como complementarias respecto de la actividad principal señalada por el fundador o por los asociados, y de necesaria instrumentalidad respecto de los fines de interés general y beneficio común a su cargo […]” (TAFUR GALVIS, Álvaro. Las personas jurídicas privadas sin ánimo de lucro y el Estado. Quinta edición. Bogotá: Grupo Editorial Ibáñez, 2017. p. 60).</w:t>
      </w:r>
    </w:p>
    <w:p w14:paraId="5CD6866C" w14:textId="77777777" w:rsidR="00A937E6" w:rsidRPr="003470F1" w:rsidRDefault="00A937E6" w:rsidP="00A937E6">
      <w:pPr>
        <w:pStyle w:val="Textonotapie"/>
        <w:ind w:firstLine="708"/>
        <w:contextualSpacing/>
        <w:jc w:val="both"/>
        <w:rPr>
          <w:rFonts w:ascii="Verdana" w:hAnsi="Verdana"/>
          <w:sz w:val="12"/>
          <w:szCs w:val="12"/>
        </w:rPr>
      </w:pPr>
    </w:p>
  </w:footnote>
  <w:footnote w:id="19">
    <w:p w14:paraId="2CEFBD85"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De acuerdo con el Concepto C-184 del 2 de abril de 2020, la ANCP – CCE ha considerado que “[…] el registro mercantil es un deber legal de los comerciantes, pero no otorga capacidad jurídica, aunque su ausencia, cuando se desarrollan actividades mercantiles de manera habitual y permanente, conlleva a la imposición de multas por el incumplimiento de un deber legal.</w:t>
      </w:r>
    </w:p>
    <w:p w14:paraId="04465A75" w14:textId="77777777" w:rsidR="00A937E6" w:rsidRPr="003470F1" w:rsidRDefault="00A937E6" w:rsidP="00A937E6">
      <w:pPr>
        <w:pStyle w:val="Textonotapie"/>
        <w:ind w:firstLine="708"/>
        <w:contextualSpacing/>
        <w:jc w:val="both"/>
        <w:rPr>
          <w:rFonts w:ascii="Verdana" w:hAnsi="Verdana"/>
          <w:sz w:val="12"/>
          <w:szCs w:val="12"/>
        </w:rPr>
      </w:pPr>
    </w:p>
    <w:p w14:paraId="1A08E464"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En este sentido, […] una persona […] solo deberá estar inscrita en el registro mercantil, en cumplimiento de un deber comercial, cuando realice alguna actividad comercial profesional de manera habitual, y no por el hecho de participar en un proceso de contratación”.</w:t>
      </w:r>
    </w:p>
    <w:p w14:paraId="622E9868"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 w:id="20">
    <w:p w14:paraId="3099C3F2"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Style w:val="Refdenotaalpie"/>
          <w:rFonts w:ascii="Verdana" w:hAnsi="Verdana" w:cs="Arial"/>
          <w:sz w:val="12"/>
          <w:szCs w:val="12"/>
        </w:rPr>
        <w:footnoteRef/>
      </w:r>
      <w:r w:rsidRPr="003470F1">
        <w:rPr>
          <w:rFonts w:ascii="Verdana" w:hAnsi="Verdana" w:cs="Arial"/>
          <w:sz w:val="12"/>
          <w:szCs w:val="12"/>
        </w:rPr>
        <w:t xml:space="preserve"> Al respecto, “Se ha considerado […] que, respecto de la colectividad, la personificación no es un hecho natural, porque la colectividad no puede existir como persona </w:t>
      </w:r>
      <w:r w:rsidRPr="003470F1">
        <w:rPr>
          <w:rFonts w:ascii="Verdana" w:hAnsi="Verdana" w:cs="Arial"/>
          <w:i/>
          <w:iCs/>
          <w:sz w:val="12"/>
          <w:szCs w:val="12"/>
        </w:rPr>
        <w:t>jure propio</w:t>
      </w:r>
      <w:r w:rsidRPr="003470F1">
        <w:rPr>
          <w:rFonts w:ascii="Verdana" w:hAnsi="Verdana" w:cs="Arial"/>
          <w:sz w:val="12"/>
          <w:szCs w:val="12"/>
        </w:rPr>
        <w:t xml:space="preserve">; se ha querido, por tanto, investigar cómo puede ser sujeto de derechos un ente que no tiene existencia real y electiva, y se ha pensado que, además de los entes reales y efectivos, que son personas </w:t>
      </w:r>
      <w:r w:rsidRPr="003470F1">
        <w:rPr>
          <w:rFonts w:ascii="Verdana" w:hAnsi="Verdana" w:cs="Arial"/>
          <w:i/>
          <w:iCs/>
          <w:sz w:val="12"/>
          <w:szCs w:val="12"/>
        </w:rPr>
        <w:t>jure propio</w:t>
      </w:r>
      <w:r w:rsidRPr="003470F1">
        <w:rPr>
          <w:rFonts w:ascii="Verdana" w:hAnsi="Verdana" w:cs="Arial"/>
          <w:sz w:val="12"/>
          <w:szCs w:val="12"/>
        </w:rPr>
        <w:t xml:space="preserve">, pueden existir entes incorpóreos, entes morales, entes intelectuales, los cuales, aunque no tengan una existencia real, pueden, no obstante, ser reputados existentes como personas en consideración a los fines para que han sido constituidos y por los cuales se les ha atribuido la facultad de tener patrimonio, de contraer obligaciones y de ejercitar derechos patrimoniales” (FIORE, Pasquale. La personalidad jurídica de los entes morales y del estado en el interior y en el extranjero. Santiago: Ediciones </w:t>
      </w:r>
      <w:r w:rsidRPr="003470F1">
        <w:rPr>
          <w:rFonts w:ascii="Verdana" w:hAnsi="Verdana" w:cs="Arial"/>
          <w:sz w:val="12"/>
          <w:szCs w:val="12"/>
        </w:rPr>
        <w:t>Olejnik, 2020. p. 10).</w:t>
      </w:r>
    </w:p>
    <w:p w14:paraId="15FEDF8D" w14:textId="77777777" w:rsidR="00A937E6" w:rsidRPr="003470F1" w:rsidRDefault="00A937E6" w:rsidP="00A937E6">
      <w:pPr>
        <w:pStyle w:val="Textonotapie"/>
        <w:ind w:firstLine="708"/>
        <w:contextualSpacing/>
        <w:jc w:val="both"/>
        <w:rPr>
          <w:rFonts w:ascii="Verdana" w:hAnsi="Verdana" w:cs="Arial"/>
          <w:sz w:val="12"/>
          <w:szCs w:val="12"/>
        </w:rPr>
      </w:pPr>
    </w:p>
  </w:footnote>
  <w:footnote w:id="21">
    <w:p w14:paraId="6DD2E662"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Style w:val="Refdenotaalpie"/>
          <w:rFonts w:ascii="Verdana" w:hAnsi="Verdana" w:cs="Arial"/>
          <w:sz w:val="12"/>
          <w:szCs w:val="12"/>
        </w:rPr>
        <w:footnoteRef/>
      </w:r>
      <w:r w:rsidRPr="003470F1">
        <w:rPr>
          <w:rFonts w:ascii="Verdana" w:hAnsi="Verdana" w:cs="Arial"/>
          <w:sz w:val="12"/>
          <w:szCs w:val="12"/>
        </w:rPr>
        <w:t xml:space="preserve"> Así, “[…] podemos advertir que el concepto de persona jurídica está directamente ligado a la capacidad, y por la vía de la capacidad, llegaremos a un concepto afín, el de la separación patrimonial entre la persona jurídica y sus miembros.</w:t>
      </w:r>
    </w:p>
    <w:p w14:paraId="4EDD265A" w14:textId="77777777" w:rsidR="00A937E6" w:rsidRPr="003470F1" w:rsidRDefault="00A937E6" w:rsidP="00A937E6">
      <w:pPr>
        <w:pStyle w:val="Textonotapie"/>
        <w:ind w:firstLine="708"/>
        <w:contextualSpacing/>
        <w:jc w:val="both"/>
        <w:rPr>
          <w:rFonts w:ascii="Verdana" w:hAnsi="Verdana" w:cs="Arial"/>
          <w:sz w:val="12"/>
          <w:szCs w:val="12"/>
        </w:rPr>
      </w:pPr>
    </w:p>
    <w:p w14:paraId="15152224"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Fonts w:ascii="Verdana" w:hAnsi="Verdana" w:cs="Arial"/>
          <w:sz w:val="12"/>
          <w:szCs w:val="12"/>
        </w:rPr>
        <w:t xml:space="preserve">En este sentido, al ser una persona jurídica un ente con aptitud para adquirir derechos y contraer obligaciones, es titular de un patrimonio propio, enteramente separado del de sus miembros, y es precisamente con este patrimonio con el que la persona jurídica va a responder por las obligaciones asumidas por quienes la representan (en ejercicio de tal representación). Paralelamente, todos los bienes que se adquieren por el ente se incorporan al patrimonio de la persona jurídica” (Cfr. CALCATERRA, Gabriela &amp; ADAD, Lisandro. Personas jurídicas. Buenos Aires: Astrea, 2019. p. 2).   </w:t>
      </w:r>
    </w:p>
    <w:p w14:paraId="66CB7194" w14:textId="77777777" w:rsidR="00A937E6" w:rsidRPr="003470F1" w:rsidRDefault="00A937E6" w:rsidP="00A937E6">
      <w:pPr>
        <w:pStyle w:val="Textonotapie"/>
        <w:ind w:firstLine="708"/>
        <w:contextualSpacing/>
        <w:jc w:val="both"/>
        <w:rPr>
          <w:rFonts w:ascii="Verdana" w:hAnsi="Verdana" w:cs="Arial"/>
          <w:sz w:val="12"/>
          <w:szCs w:val="12"/>
        </w:rPr>
      </w:pPr>
    </w:p>
  </w:footnote>
  <w:footnote w:id="22">
    <w:p w14:paraId="25D124F1" w14:textId="77777777" w:rsidR="00A937E6" w:rsidRPr="003470F1" w:rsidRDefault="00A937E6" w:rsidP="00A937E6">
      <w:pPr>
        <w:pStyle w:val="Textonotapie"/>
        <w:ind w:firstLine="708"/>
        <w:contextualSpacing/>
        <w:jc w:val="both"/>
        <w:rPr>
          <w:rFonts w:ascii="Verdana" w:hAnsi="Verdana" w:cs="Arial"/>
          <w:sz w:val="12"/>
          <w:szCs w:val="12"/>
        </w:rPr>
      </w:pPr>
      <w:r w:rsidRPr="003470F1">
        <w:rPr>
          <w:rStyle w:val="Refdenotaalpie"/>
          <w:rFonts w:ascii="Verdana" w:hAnsi="Verdana" w:cs="Arial"/>
          <w:sz w:val="12"/>
          <w:szCs w:val="12"/>
        </w:rPr>
        <w:footnoteRef/>
      </w:r>
      <w:r w:rsidRPr="003470F1">
        <w:rPr>
          <w:rFonts w:ascii="Verdana" w:hAnsi="Verdana" w:cs="Arial"/>
          <w:sz w:val="12"/>
          <w:szCs w:val="12"/>
        </w:rPr>
        <w:t xml:space="preserve"> CLARO SOLAR, Luis. Explicaciones de derecho civil chileno y comparado. Volumen II. Tomo V. Santiago: Editorial Jurídica de Chile, 2013. p. 353.</w:t>
      </w:r>
    </w:p>
    <w:p w14:paraId="6382F3C9" w14:textId="77777777" w:rsidR="00A937E6" w:rsidRPr="003470F1" w:rsidRDefault="00A937E6" w:rsidP="00A937E6">
      <w:pPr>
        <w:pStyle w:val="Textonotapie"/>
        <w:ind w:firstLine="708"/>
        <w:contextualSpacing/>
        <w:jc w:val="both"/>
        <w:rPr>
          <w:rFonts w:ascii="Verdana" w:hAnsi="Verdana" w:cs="Arial"/>
          <w:sz w:val="12"/>
          <w:szCs w:val="12"/>
        </w:rPr>
      </w:pPr>
    </w:p>
  </w:footnote>
  <w:footnote w:id="23">
    <w:p w14:paraId="31CF55BD"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Para la doctrina,” Existe asociación de fines económicos, o patrimoniales si se prefiere, cuando el fin mismo de la asociación, es decir, las ventajas que los miembros pretendan recabar al asociarse, sea de orden económico, y no cuando la asociación lleve a cabo, incluso habitualmente, actos dirigidos a un fin de lucro, pero con los cuales pretenda simplemente procurarse los medios para conseguir su fin, que bien puede ser el más ideal. Todas las demás asociaciones son de fines ideales, como usualmente se dice, o, más exactamente, de fines no económicos.</w:t>
      </w:r>
    </w:p>
    <w:p w14:paraId="7A1906D4" w14:textId="77777777" w:rsidR="00A937E6" w:rsidRPr="003470F1" w:rsidRDefault="00A937E6" w:rsidP="00A937E6">
      <w:pPr>
        <w:pStyle w:val="Textonotapie"/>
        <w:ind w:firstLine="708"/>
        <w:contextualSpacing/>
        <w:jc w:val="both"/>
        <w:rPr>
          <w:rFonts w:ascii="Verdana" w:hAnsi="Verdana"/>
          <w:sz w:val="12"/>
          <w:szCs w:val="12"/>
        </w:rPr>
      </w:pPr>
    </w:p>
    <w:p w14:paraId="2D27E4AF" w14:textId="77777777" w:rsidR="00A937E6" w:rsidRPr="003470F1" w:rsidRDefault="00A937E6" w:rsidP="00A937E6">
      <w:pPr>
        <w:pStyle w:val="Textonotapie"/>
        <w:ind w:firstLine="708"/>
        <w:contextualSpacing/>
        <w:jc w:val="both"/>
        <w:rPr>
          <w:rFonts w:ascii="Verdana" w:hAnsi="Verdana"/>
          <w:sz w:val="12"/>
          <w:szCs w:val="12"/>
        </w:rPr>
      </w:pPr>
      <w:r w:rsidRPr="003470F1">
        <w:rPr>
          <w:rFonts w:ascii="Verdana" w:hAnsi="Verdana"/>
          <w:sz w:val="12"/>
          <w:szCs w:val="12"/>
        </w:rPr>
        <w:t xml:space="preserve">[…] Asociación de fines altruistas es aquélla en la que el resultado que se propone conseguir ha de redundar únicamente en ventaja de una determinada categoría de terceros (por ejemplo, los pertenecientes a una ciudad o región determinada, los interesados en determinada forma cultural), o de una concreta categoría de terceros y de asociados (en cuanto también ellos entran en aquella clase o categoría, por ejemplo, por pertenecer a aquella región), o de la generalidad, y, por consiguiente, también de los asociados; teniendo en cuenta estas dos últimas hipótesis, que son las más frecuentes, la fórmula ‘asociación de fines altruistas’ hasta puede no parecer la más feliz terminológicamente, toda vez que los resultados perseguidos redundan también directamente en beneficio de los miembros” (DOMENICO, </w:t>
      </w:r>
      <w:r w:rsidRPr="003470F1">
        <w:rPr>
          <w:rFonts w:ascii="Verdana" w:hAnsi="Verdana"/>
          <w:sz w:val="12"/>
          <w:szCs w:val="12"/>
        </w:rPr>
        <w:t>Rubino. Las asociaciones no reconocidas. Santiago: Ediciones Olejnik, 2018. pp. 81-82).</w:t>
      </w:r>
    </w:p>
    <w:p w14:paraId="6E7CD62D" w14:textId="77777777" w:rsidR="00A937E6" w:rsidRPr="003470F1" w:rsidRDefault="00A937E6" w:rsidP="00A937E6">
      <w:pPr>
        <w:pStyle w:val="Textonotapie"/>
        <w:ind w:firstLine="708"/>
        <w:contextualSpacing/>
        <w:jc w:val="both"/>
        <w:rPr>
          <w:rFonts w:ascii="Verdana" w:hAnsi="Verdana"/>
          <w:sz w:val="12"/>
          <w:szCs w:val="12"/>
        </w:rPr>
      </w:pPr>
    </w:p>
  </w:footnote>
  <w:footnote w:id="24">
    <w:p w14:paraId="46317CED" w14:textId="77777777" w:rsidR="00A937E6" w:rsidRPr="003470F1" w:rsidRDefault="00A937E6" w:rsidP="00A937E6">
      <w:pPr>
        <w:pStyle w:val="Textonotapie"/>
        <w:ind w:firstLine="708"/>
        <w:contextualSpacing/>
        <w:jc w:val="both"/>
        <w:rPr>
          <w:rFonts w:ascii="Verdana" w:hAnsi="Verdana"/>
          <w:sz w:val="12"/>
          <w:szCs w:val="12"/>
        </w:rPr>
      </w:pPr>
      <w:r w:rsidRPr="003470F1">
        <w:rPr>
          <w:rStyle w:val="Refdenotaalpie"/>
          <w:rFonts w:ascii="Verdana" w:hAnsi="Verdana"/>
          <w:sz w:val="12"/>
          <w:szCs w:val="12"/>
        </w:rPr>
        <w:footnoteRef/>
      </w:r>
      <w:r w:rsidRPr="003470F1">
        <w:rPr>
          <w:rFonts w:ascii="Verdana" w:hAnsi="Verdana"/>
          <w:sz w:val="12"/>
          <w:szCs w:val="12"/>
        </w:rPr>
        <w:t xml:space="preserve"> El artículo 2.2.16.1.8 del Decreto 1082 de 2015 dispone que “Las Entidades Estatales deben abstenerse de fraccionar el objeto contractual con el fin de eludir los procedimientos impuestos por el deber de selección objetiva”.</w:t>
      </w:r>
    </w:p>
    <w:p w14:paraId="73925E3F" w14:textId="77777777" w:rsidR="00A937E6" w:rsidRPr="003470F1" w:rsidRDefault="00A937E6" w:rsidP="00A937E6">
      <w:pPr>
        <w:pStyle w:val="Textonotapie"/>
        <w:ind w:firstLine="708"/>
        <w:contextualSpacing/>
        <w:jc w:val="both"/>
        <w:rPr>
          <w:rFonts w:ascii="Verdana" w:hAnsi="Verdana"/>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B13"/>
      </v:shape>
    </w:pict>
  </w:numPicBullet>
  <w:abstractNum w:abstractNumId="0" w15:restartNumberingAfterBreak="0">
    <w:nsid w:val="01C06310"/>
    <w:multiLevelType w:val="multilevel"/>
    <w:tmpl w:val="A916305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F1F"/>
    <w:rsid w:val="000353C1"/>
    <w:rsid w:val="00061B2A"/>
    <w:rsid w:val="00082362"/>
    <w:rsid w:val="000A683E"/>
    <w:rsid w:val="000B19B9"/>
    <w:rsid w:val="000C6E3B"/>
    <w:rsid w:val="000D0334"/>
    <w:rsid w:val="000F6486"/>
    <w:rsid w:val="00125105"/>
    <w:rsid w:val="00127233"/>
    <w:rsid w:val="00127BDB"/>
    <w:rsid w:val="001E4177"/>
    <w:rsid w:val="001F7DC6"/>
    <w:rsid w:val="002153CB"/>
    <w:rsid w:val="002421BB"/>
    <w:rsid w:val="00254347"/>
    <w:rsid w:val="0025796E"/>
    <w:rsid w:val="002707A2"/>
    <w:rsid w:val="002951A0"/>
    <w:rsid w:val="002962BC"/>
    <w:rsid w:val="002A093D"/>
    <w:rsid w:val="002A0DD0"/>
    <w:rsid w:val="002A49AC"/>
    <w:rsid w:val="002A64FD"/>
    <w:rsid w:val="002C7A84"/>
    <w:rsid w:val="002E4FD9"/>
    <w:rsid w:val="00322A85"/>
    <w:rsid w:val="00324168"/>
    <w:rsid w:val="003448F4"/>
    <w:rsid w:val="003470F1"/>
    <w:rsid w:val="00374F5E"/>
    <w:rsid w:val="00377E3E"/>
    <w:rsid w:val="00392CEE"/>
    <w:rsid w:val="003A26D1"/>
    <w:rsid w:val="003A779E"/>
    <w:rsid w:val="003B2431"/>
    <w:rsid w:val="003B50A2"/>
    <w:rsid w:val="003C5123"/>
    <w:rsid w:val="003D0F4D"/>
    <w:rsid w:val="003D5B0D"/>
    <w:rsid w:val="003E0499"/>
    <w:rsid w:val="003E2F13"/>
    <w:rsid w:val="003F3941"/>
    <w:rsid w:val="00406575"/>
    <w:rsid w:val="004176E1"/>
    <w:rsid w:val="0042722E"/>
    <w:rsid w:val="0044528D"/>
    <w:rsid w:val="00455C37"/>
    <w:rsid w:val="004630F1"/>
    <w:rsid w:val="004A1847"/>
    <w:rsid w:val="004A305D"/>
    <w:rsid w:val="004E4342"/>
    <w:rsid w:val="004F21C4"/>
    <w:rsid w:val="004F685F"/>
    <w:rsid w:val="00504D8F"/>
    <w:rsid w:val="005262BD"/>
    <w:rsid w:val="00530016"/>
    <w:rsid w:val="005566E8"/>
    <w:rsid w:val="00574867"/>
    <w:rsid w:val="00575F68"/>
    <w:rsid w:val="00591460"/>
    <w:rsid w:val="00592628"/>
    <w:rsid w:val="005A1793"/>
    <w:rsid w:val="005B0A16"/>
    <w:rsid w:val="005C3777"/>
    <w:rsid w:val="005C5CDC"/>
    <w:rsid w:val="005D476C"/>
    <w:rsid w:val="005E6BB3"/>
    <w:rsid w:val="005E7BC9"/>
    <w:rsid w:val="00610812"/>
    <w:rsid w:val="00612FA8"/>
    <w:rsid w:val="0062016E"/>
    <w:rsid w:val="006219F8"/>
    <w:rsid w:val="00650FF7"/>
    <w:rsid w:val="00665D70"/>
    <w:rsid w:val="00671DAC"/>
    <w:rsid w:val="00674B8D"/>
    <w:rsid w:val="006900D9"/>
    <w:rsid w:val="006D12F8"/>
    <w:rsid w:val="006E04C0"/>
    <w:rsid w:val="006F4AF3"/>
    <w:rsid w:val="00706C16"/>
    <w:rsid w:val="00756841"/>
    <w:rsid w:val="007649AB"/>
    <w:rsid w:val="00771D0C"/>
    <w:rsid w:val="007833AC"/>
    <w:rsid w:val="00786627"/>
    <w:rsid w:val="007B268C"/>
    <w:rsid w:val="007B7171"/>
    <w:rsid w:val="007C0C0F"/>
    <w:rsid w:val="007C123F"/>
    <w:rsid w:val="007C3DC2"/>
    <w:rsid w:val="007E5497"/>
    <w:rsid w:val="00806F5F"/>
    <w:rsid w:val="00820278"/>
    <w:rsid w:val="008366F8"/>
    <w:rsid w:val="008843B6"/>
    <w:rsid w:val="00885DE4"/>
    <w:rsid w:val="00891928"/>
    <w:rsid w:val="008A172C"/>
    <w:rsid w:val="008A446D"/>
    <w:rsid w:val="008D180B"/>
    <w:rsid w:val="008E42BD"/>
    <w:rsid w:val="008F0EA7"/>
    <w:rsid w:val="00923EEF"/>
    <w:rsid w:val="009419F9"/>
    <w:rsid w:val="0095685E"/>
    <w:rsid w:val="00961B09"/>
    <w:rsid w:val="00965334"/>
    <w:rsid w:val="0097093E"/>
    <w:rsid w:val="00987142"/>
    <w:rsid w:val="009A0DFA"/>
    <w:rsid w:val="009B2D26"/>
    <w:rsid w:val="009C71FA"/>
    <w:rsid w:val="009C72E7"/>
    <w:rsid w:val="009D3058"/>
    <w:rsid w:val="009F3A13"/>
    <w:rsid w:val="00A122D3"/>
    <w:rsid w:val="00A17F13"/>
    <w:rsid w:val="00A20739"/>
    <w:rsid w:val="00A33C78"/>
    <w:rsid w:val="00A937E6"/>
    <w:rsid w:val="00AB0ADB"/>
    <w:rsid w:val="00B01B1A"/>
    <w:rsid w:val="00B35142"/>
    <w:rsid w:val="00B72CD3"/>
    <w:rsid w:val="00B72FFF"/>
    <w:rsid w:val="00BC3D36"/>
    <w:rsid w:val="00BD7F72"/>
    <w:rsid w:val="00BE6E1E"/>
    <w:rsid w:val="00C04FB3"/>
    <w:rsid w:val="00C320D1"/>
    <w:rsid w:val="00C330EB"/>
    <w:rsid w:val="00C402E1"/>
    <w:rsid w:val="00C754BE"/>
    <w:rsid w:val="00C76B1C"/>
    <w:rsid w:val="00CB6357"/>
    <w:rsid w:val="00CC1B26"/>
    <w:rsid w:val="00CE29D9"/>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971C8"/>
    <w:rsid w:val="00EA0E3D"/>
    <w:rsid w:val="00EC38A7"/>
    <w:rsid w:val="00EE1AA8"/>
    <w:rsid w:val="00F31EDC"/>
    <w:rsid w:val="00F462B3"/>
    <w:rsid w:val="00F5664F"/>
    <w:rsid w:val="00F666C4"/>
    <w:rsid w:val="00F76AFC"/>
    <w:rsid w:val="00FA2E79"/>
    <w:rsid w:val="00FA47C0"/>
    <w:rsid w:val="00FB5DD1"/>
    <w:rsid w:val="00FC2B5D"/>
    <w:rsid w:val="00FE445A"/>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937E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937E6"/>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borrador-de-documentos-tipo-de-consultoria-de-obra-publica-de-infraestructura-de-transporte&amp;data=05%7C02%7Cdiana.saavedra%40colombiacompra.gov.co%7C096eca3fdcca424ff1c708dcf932f947%7C7b09041e245149d08cb179d5e3d8c1be%7C0%7C0%7C638659244558109929%7CUnknown%7CTWFpbGZsb3d8eyJWIjoiMC4wLjAwMDAiLCJQIjoiV2luMzIiLCJBTiI6Ik1haWwiLCJXVCI6Mn0%3D%7C0%7C%7C%7C&amp;sdata=7sUDIR9JlzhaqnugavS5CHH1W2FHmmjg2s93zGLqhG4%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diana.saavedra%40colombiacompra.gov.co%7C096eca3fdcca424ff1c708dcf932f947%7C7b09041e245149d08cb179d5e3d8c1be%7C0%7C0%7C638659244558171472%7CUnknown%7CTWFpbGZsb3d8eyJWIjoiMC4wLjAwMDAiLCJQIjoiV2luMzIiLCJBTiI6Ik1haWwiLCJXVCI6Mn0%3D%7C0%7C%7C%7C&amp;sdata=tvt%2Bgj1ghaw7jLXwvL1O0TUEXiN6XbQ2LCLzY2KnGGs%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77653"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8320&amp;data=05%7C02%7Cdiana.saavedra%40colombiacompra.gov.co%7C096eca3fdcca424ff1c708dcf932f947%7C7b09041e245149d08cb179d5e3d8c1be%7C0%7C0%7C638659244558154167%7CUnknown%7CTWFpbGZsb3d8eyJWIjoiMC4wLjAwMDAiLCJQIjoiV2luMzIiLCJBTiI6Ik1haWwiLCJXVCI6Mn0%3D%7C0%7C%7C%7C&amp;sdata=w615QBv0P5KxhVjvpv3JkueAmdvURc%2Bxm6bSeiTViNE%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borrador-de-documentos-tipo-de-interventoria-de-obra-publica-de-infraestructura-de&amp;data=05%7C02%7Cdiana.saavedra%40colombiacompra.gov.co%7C096eca3fdcca424ff1c708dcf932f947%7C7b09041e245149d08cb179d5e3d8c1be%7C0%7C0%7C638659244558136800%7CUnknown%7CTWFpbGZsb3d8eyJWIjoiMC4wLjAwMDAiLCJQIjoiV2luMzIiLCJBTiI6Ik1haWwiLCJXVCI6Mn0%3D%7C0%7C%7C%7C&amp;sdata=54AjmHGmm%2FEu8aO3zzbHzD0%2FcR%2BCYdA3NGTLvMdcVAk%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operaciones/EMICRON/bol-EMICRON-Itrim2024.pdf" TargetMode="External"/><Relationship Id="rId1" Type="http://schemas.openxmlformats.org/officeDocument/2006/relationships/hyperlink" Target="https://www.dane.gov.co/index.php/estadisticas-por-tema/comercio-interno/censo-economico-de-colombia/conteo-de-unidades-economica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5682E-65D9-4BFC-9E7E-58505FED3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7902</Words>
  <Characters>43466</Characters>
  <Application>Microsoft Office Word</Application>
  <DocSecurity>0</DocSecurity>
  <Lines>362</Lines>
  <Paragraphs>102</Paragraphs>
  <ScaleCrop>false</ScaleCrop>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2024-11-06T00:18:00Z</dcterms:created>
  <dcterms:modified xsi:type="dcterms:W3CDTF">2024-11-22T16:14:00Z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