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47A7" w14:textId="70802906" w:rsidR="00DB688A" w:rsidRPr="00DB688A" w:rsidRDefault="00DB688A" w:rsidP="00DB688A">
      <w:pPr>
        <w:spacing w:after="0" w:line="240" w:lineRule="auto"/>
        <w:jc w:val="both"/>
        <w:rPr>
          <w:rFonts w:ascii="Verdana" w:eastAsia="Calibri" w:hAnsi="Verdana" w:cs="Arial"/>
          <w:b/>
          <w:bCs/>
          <w:sz w:val="20"/>
          <w:szCs w:val="20"/>
          <w:lang w:eastAsia="es-ES"/>
        </w:rPr>
      </w:pPr>
      <w:bookmarkStart w:id="0" w:name="_Hlk143780582"/>
      <w:r w:rsidRPr="00DB688A">
        <w:rPr>
          <w:rFonts w:ascii="Verdana" w:eastAsia="Calibri" w:hAnsi="Verdana" w:cs="Arial"/>
          <w:b/>
          <w:bCs/>
          <w:sz w:val="20"/>
          <w:szCs w:val="20"/>
          <w:lang w:eastAsia="es-ES"/>
        </w:rPr>
        <w:t>PLANEACIÓN – Estudios previos</w:t>
      </w:r>
    </w:p>
    <w:p w14:paraId="571F58D1" w14:textId="77777777" w:rsidR="00DB688A" w:rsidRPr="00DB688A" w:rsidRDefault="00DB688A" w:rsidP="00DB688A">
      <w:pPr>
        <w:spacing w:after="0" w:line="240" w:lineRule="auto"/>
        <w:jc w:val="both"/>
        <w:rPr>
          <w:rFonts w:ascii="Verdana" w:eastAsia="Calibri" w:hAnsi="Verdana" w:cs="Arial"/>
          <w:sz w:val="20"/>
          <w:szCs w:val="20"/>
          <w:lang w:eastAsia="es-ES"/>
        </w:rPr>
      </w:pPr>
    </w:p>
    <w:p w14:paraId="06DB9B38" w14:textId="77777777" w:rsidR="00DB688A" w:rsidRPr="00DB688A" w:rsidRDefault="00DB688A" w:rsidP="00DB688A">
      <w:pPr>
        <w:spacing w:line="240" w:lineRule="auto"/>
        <w:contextualSpacing/>
        <w:jc w:val="both"/>
        <w:rPr>
          <w:rFonts w:ascii="Verdana" w:eastAsia="Calibri" w:hAnsi="Verdana" w:cs="Arial"/>
          <w:bCs/>
          <w:sz w:val="20"/>
          <w:szCs w:val="20"/>
          <w:lang w:val="es-ES_tradnl" w:eastAsia="es-MX"/>
        </w:rPr>
      </w:pPr>
      <w:r w:rsidRPr="00DB688A">
        <w:rPr>
          <w:rFonts w:ascii="Verdana" w:eastAsia="Calibri" w:hAnsi="Verdana" w:cs="Arial"/>
          <w:bCs/>
          <w:sz w:val="20"/>
          <w:szCs w:val="20"/>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6026B373" w14:textId="77777777" w:rsidR="00DB688A" w:rsidRPr="00DB688A" w:rsidRDefault="00DB688A" w:rsidP="00DB688A">
      <w:pPr>
        <w:spacing w:line="240" w:lineRule="auto"/>
        <w:contextualSpacing/>
        <w:jc w:val="both"/>
        <w:rPr>
          <w:rFonts w:ascii="Verdana" w:eastAsia="Calibri" w:hAnsi="Verdana" w:cs="Arial"/>
          <w:bCs/>
          <w:sz w:val="20"/>
          <w:szCs w:val="20"/>
          <w:lang w:val="es-ES_tradnl" w:eastAsia="es-MX"/>
        </w:rPr>
      </w:pPr>
    </w:p>
    <w:p w14:paraId="0DB05D6C" w14:textId="41FCAE55" w:rsidR="00DB688A" w:rsidRPr="00DB688A" w:rsidRDefault="00DB688A" w:rsidP="00DB688A">
      <w:pPr>
        <w:spacing w:line="240" w:lineRule="auto"/>
        <w:contextualSpacing/>
        <w:jc w:val="both"/>
        <w:rPr>
          <w:rFonts w:ascii="Verdana" w:eastAsia="Calibri" w:hAnsi="Verdana" w:cs="Arial"/>
          <w:b/>
          <w:bCs/>
          <w:sz w:val="20"/>
          <w:szCs w:val="20"/>
          <w:lang w:eastAsia="es-ES"/>
        </w:rPr>
      </w:pPr>
      <w:r w:rsidRPr="00DB688A">
        <w:rPr>
          <w:rFonts w:ascii="Verdana" w:eastAsia="Calibri" w:hAnsi="Verdana" w:cs="Arial"/>
          <w:b/>
          <w:bCs/>
          <w:sz w:val="20"/>
          <w:szCs w:val="20"/>
          <w:lang w:eastAsia="es-ES"/>
        </w:rPr>
        <w:t>ESTUDIOS PREVIOS – Análisis del sector – Planeación en los procesos de contratación pública</w:t>
      </w:r>
    </w:p>
    <w:p w14:paraId="72702A45" w14:textId="77777777" w:rsidR="00DB688A" w:rsidRPr="00DB688A" w:rsidRDefault="00DB688A" w:rsidP="00DB688A">
      <w:pPr>
        <w:spacing w:line="240" w:lineRule="auto"/>
        <w:contextualSpacing/>
        <w:jc w:val="both"/>
        <w:rPr>
          <w:rFonts w:ascii="Verdana" w:eastAsia="Calibri" w:hAnsi="Verdana" w:cs="Arial"/>
          <w:b/>
          <w:bCs/>
          <w:sz w:val="20"/>
          <w:szCs w:val="20"/>
          <w:lang w:eastAsia="es-ES"/>
        </w:rPr>
      </w:pPr>
    </w:p>
    <w:p w14:paraId="68AE5C77" w14:textId="041E2198" w:rsidR="00DB688A" w:rsidRPr="00DB688A" w:rsidRDefault="00DB688A" w:rsidP="00DB688A">
      <w:pPr>
        <w:spacing w:line="240" w:lineRule="auto"/>
        <w:contextualSpacing/>
        <w:jc w:val="both"/>
        <w:rPr>
          <w:rFonts w:ascii="Verdana" w:eastAsia="Calibri" w:hAnsi="Verdana" w:cs="Arial"/>
          <w:sz w:val="20"/>
          <w:szCs w:val="20"/>
          <w:lang w:val="es-ES" w:eastAsia="es-MX"/>
        </w:rPr>
      </w:pPr>
      <w:r w:rsidRPr="00DB688A">
        <w:rPr>
          <w:rFonts w:ascii="Verdana" w:eastAsia="Calibri" w:hAnsi="Verdana" w:cs="Arial"/>
          <w:sz w:val="20"/>
          <w:szCs w:val="20"/>
          <w:lang w:val="es-ES" w:eastAsia="es-MX"/>
        </w:rPr>
        <w:t xml:space="preserve">De esta manera, antes de iniciar un procedimiento de selección, la Entidad Estatal podrá determinar con los estudios previos: i) la verdadera necesidad de la celebración del contrato; </w:t>
      </w:r>
      <w:proofErr w:type="spellStart"/>
      <w:r w:rsidRPr="00DB688A">
        <w:rPr>
          <w:rFonts w:ascii="Verdana" w:eastAsia="Calibri" w:hAnsi="Verdana" w:cs="Arial"/>
          <w:sz w:val="20"/>
          <w:szCs w:val="20"/>
          <w:lang w:val="es-ES" w:eastAsia="es-MX"/>
        </w:rPr>
        <w:t>ii</w:t>
      </w:r>
      <w:proofErr w:type="spellEnd"/>
      <w:r w:rsidRPr="00DB688A">
        <w:rPr>
          <w:rFonts w:ascii="Verdana" w:eastAsia="Calibri" w:hAnsi="Verdana" w:cs="Arial"/>
          <w:sz w:val="20"/>
          <w:szCs w:val="20"/>
          <w:lang w:val="es-ES" w:eastAsia="es-MX"/>
        </w:rPr>
        <w:t xml:space="preserve">) las modalidades existentes para satisfacer esa necesidad y las razones que justifiquen la modalidad o tipo contractual que se escoja; </w:t>
      </w:r>
      <w:proofErr w:type="spellStart"/>
      <w:r w:rsidRPr="00DB688A">
        <w:rPr>
          <w:rFonts w:ascii="Verdana" w:eastAsia="Calibri" w:hAnsi="Verdana" w:cs="Arial"/>
          <w:sz w:val="20"/>
          <w:szCs w:val="20"/>
          <w:lang w:val="es-ES" w:eastAsia="es-MX"/>
        </w:rPr>
        <w:t>iii</w:t>
      </w:r>
      <w:proofErr w:type="spellEnd"/>
      <w:r w:rsidRPr="00DB688A">
        <w:rPr>
          <w:rFonts w:ascii="Verdana" w:eastAsia="Calibri" w:hAnsi="Verdana" w:cs="Arial"/>
          <w:sz w:val="20"/>
          <w:szCs w:val="20"/>
          <w:lang w:val="es-ES" w:eastAsia="es-MX"/>
        </w:rPr>
        <w:t xml:space="preserve">) las calidades, especificaciones, cantidades y demás características que puedan o deban reunir los bienes, las obras o los servicios cuya contratación se haya determinado necesaria, </w:t>
      </w:r>
      <w:proofErr w:type="spellStart"/>
      <w:r w:rsidRPr="00DB688A">
        <w:rPr>
          <w:rFonts w:ascii="Verdana" w:eastAsia="Calibri" w:hAnsi="Verdana" w:cs="Arial"/>
          <w:sz w:val="20"/>
          <w:szCs w:val="20"/>
          <w:lang w:val="es-ES" w:eastAsia="es-MX"/>
        </w:rPr>
        <w:t>iv</w:t>
      </w:r>
      <w:proofErr w:type="spellEnd"/>
      <w:r w:rsidRPr="00DB688A">
        <w:rPr>
          <w:rFonts w:ascii="Verdana" w:eastAsia="Calibri" w:hAnsi="Verdana" w:cs="Arial"/>
          <w:sz w:val="20"/>
          <w:szCs w:val="20"/>
          <w:lang w:val="es-ES" w:eastAsia="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DB688A">
        <w:rPr>
          <w:rFonts w:ascii="Verdana" w:eastAsia="Calibri" w:hAnsi="Verdana" w:cs="Arial"/>
          <w:sz w:val="20"/>
          <w:szCs w:val="20"/>
          <w:lang w:val="es-ES" w:eastAsia="es-MX"/>
        </w:rPr>
        <w:t>vii</w:t>
      </w:r>
      <w:proofErr w:type="spellEnd"/>
      <w:r w:rsidRPr="00DB688A">
        <w:rPr>
          <w:rFonts w:ascii="Verdana" w:eastAsia="Calibri" w:hAnsi="Verdana" w:cs="Arial"/>
          <w:sz w:val="20"/>
          <w:szCs w:val="20"/>
          <w:lang w:val="es-ES" w:eastAsia="es-MX"/>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75B5D77E" w14:textId="77777777" w:rsidR="00DB688A" w:rsidRPr="00DB688A" w:rsidRDefault="00DB688A" w:rsidP="00DB688A">
      <w:pPr>
        <w:spacing w:line="240" w:lineRule="auto"/>
        <w:contextualSpacing/>
        <w:jc w:val="both"/>
        <w:rPr>
          <w:rFonts w:ascii="Verdana" w:eastAsia="Calibri" w:hAnsi="Verdana" w:cs="Arial"/>
          <w:sz w:val="20"/>
          <w:szCs w:val="20"/>
          <w:lang w:val="es-ES" w:eastAsia="es-MX"/>
        </w:rPr>
      </w:pPr>
    </w:p>
    <w:p w14:paraId="45299A84" w14:textId="68199810" w:rsidR="00DB688A" w:rsidRPr="00DB688A" w:rsidRDefault="00DB688A" w:rsidP="00DB688A">
      <w:pPr>
        <w:spacing w:line="240" w:lineRule="auto"/>
        <w:contextualSpacing/>
        <w:jc w:val="both"/>
        <w:rPr>
          <w:rFonts w:ascii="Verdana" w:eastAsia="Calibri" w:hAnsi="Verdana" w:cs="Arial"/>
          <w:b/>
          <w:bCs/>
          <w:sz w:val="20"/>
          <w:szCs w:val="20"/>
          <w:lang w:eastAsia="es-ES"/>
        </w:rPr>
      </w:pPr>
      <w:r w:rsidRPr="00DB688A">
        <w:rPr>
          <w:rFonts w:ascii="Verdana" w:eastAsia="Calibri" w:hAnsi="Verdana" w:cs="Arial"/>
          <w:b/>
          <w:bCs/>
          <w:sz w:val="20"/>
          <w:szCs w:val="20"/>
          <w:lang w:val="es-ES" w:eastAsia="es-ES"/>
        </w:rPr>
        <w:t xml:space="preserve">CONTRATO DE PRESTACIÓN DE SERVICIOS – </w:t>
      </w:r>
      <w:r w:rsidRPr="00DB688A">
        <w:rPr>
          <w:rFonts w:ascii="Verdana" w:eastAsia="Calibri" w:hAnsi="Verdana" w:cs="Arial"/>
          <w:b/>
          <w:bCs/>
          <w:sz w:val="20"/>
          <w:szCs w:val="20"/>
          <w:lang w:eastAsia="es-ES"/>
        </w:rPr>
        <w:t>Condiciones para su ejecución</w:t>
      </w:r>
    </w:p>
    <w:p w14:paraId="2351C19C" w14:textId="77777777" w:rsidR="00DB688A" w:rsidRPr="00DB688A" w:rsidRDefault="00DB688A" w:rsidP="00DB688A">
      <w:pPr>
        <w:pStyle w:val="paragraph"/>
        <w:spacing w:before="0" w:beforeAutospacing="0" w:after="120" w:afterAutospacing="0"/>
        <w:jc w:val="both"/>
        <w:textAlignment w:val="baseline"/>
        <w:rPr>
          <w:rFonts w:ascii="Verdana" w:hAnsi="Verdana" w:cs="Arial"/>
          <w:sz w:val="20"/>
          <w:szCs w:val="20"/>
          <w:lang w:val="es-ES"/>
        </w:rPr>
      </w:pPr>
      <w:r w:rsidRPr="00DB688A">
        <w:rPr>
          <w:rFonts w:ascii="Verdana" w:eastAsia="Calibri" w:hAnsi="Verdana" w:cs="Arial"/>
          <w:sz w:val="20"/>
          <w:szCs w:val="20"/>
          <w:lang w:eastAsia="es-ES_tradnl"/>
        </w:rPr>
        <w:t>Finalmente, es importante destacar que el artículo 32 de la Ley 80 de 1993 establece que los contratos de prestación de servicios no crean una relación laboral ni dan lugar a prestaciones sociales derivadas de dicho vínculo. Por lo tanto, es necesario que la entidad contratante analice cuidadosamente la incorporación de cláusulas especiales y específicas, respetando el límite legal que evita generar subordinación, y asegurando que se cumpla con la autonomía característica de este tipo de contratación.</w:t>
      </w:r>
    </w:p>
    <w:p w14:paraId="485C9876" w14:textId="77777777" w:rsidR="00DB688A" w:rsidRPr="00DB688A" w:rsidRDefault="00DB688A" w:rsidP="00DB688A">
      <w:pPr>
        <w:spacing w:line="276" w:lineRule="auto"/>
        <w:contextualSpacing/>
        <w:jc w:val="both"/>
        <w:rPr>
          <w:rFonts w:ascii="Verdana" w:eastAsia="Calibri" w:hAnsi="Verdana" w:cs="Arial"/>
          <w:b/>
          <w:bCs/>
          <w:lang w:val="es-ES" w:eastAsia="es-MX"/>
        </w:rPr>
      </w:pPr>
    </w:p>
    <w:p w14:paraId="408CF570" w14:textId="77777777" w:rsidR="00DB688A" w:rsidRPr="00DB688A" w:rsidRDefault="00DB688A" w:rsidP="000E2D96">
      <w:pPr>
        <w:spacing w:after="0" w:line="240" w:lineRule="auto"/>
        <w:jc w:val="both"/>
        <w:rPr>
          <w:rFonts w:ascii="Verdana" w:eastAsia="Calibri" w:hAnsi="Verdana" w:cs="Arial"/>
          <w:lang w:val="es-ES_tradnl" w:eastAsia="es-ES"/>
        </w:rPr>
      </w:pPr>
    </w:p>
    <w:p w14:paraId="66083D81" w14:textId="77777777" w:rsidR="00DB688A" w:rsidRDefault="00DB688A" w:rsidP="000E2D96">
      <w:pPr>
        <w:spacing w:after="0" w:line="240" w:lineRule="auto"/>
        <w:jc w:val="both"/>
        <w:rPr>
          <w:rFonts w:ascii="Verdana" w:eastAsia="Calibri" w:hAnsi="Verdana" w:cs="Arial"/>
          <w:lang w:eastAsia="es-ES"/>
        </w:rPr>
      </w:pPr>
    </w:p>
    <w:p w14:paraId="75FBAEB5" w14:textId="77777777" w:rsidR="00DB688A" w:rsidRDefault="00DB688A" w:rsidP="000E2D96">
      <w:pPr>
        <w:spacing w:after="0" w:line="240" w:lineRule="auto"/>
        <w:jc w:val="both"/>
        <w:rPr>
          <w:rFonts w:ascii="Verdana" w:eastAsia="Calibri" w:hAnsi="Verdana" w:cs="Arial"/>
          <w:lang w:eastAsia="es-ES"/>
        </w:rPr>
      </w:pPr>
    </w:p>
    <w:p w14:paraId="3181A8FA" w14:textId="77777777" w:rsidR="00DB688A" w:rsidRDefault="00DB688A" w:rsidP="000E2D96">
      <w:pPr>
        <w:spacing w:after="0" w:line="240" w:lineRule="auto"/>
        <w:jc w:val="both"/>
        <w:rPr>
          <w:rFonts w:ascii="Verdana" w:eastAsia="Calibri" w:hAnsi="Verdana" w:cs="Arial"/>
          <w:lang w:eastAsia="es-ES"/>
        </w:rPr>
      </w:pPr>
    </w:p>
    <w:p w14:paraId="61679C7E" w14:textId="77777777" w:rsidR="00DB688A" w:rsidRDefault="00DB688A" w:rsidP="000E2D96">
      <w:pPr>
        <w:spacing w:after="0" w:line="240" w:lineRule="auto"/>
        <w:jc w:val="both"/>
        <w:rPr>
          <w:rFonts w:ascii="Verdana" w:eastAsia="Calibri" w:hAnsi="Verdana" w:cs="Arial"/>
          <w:lang w:eastAsia="es-ES"/>
        </w:rPr>
      </w:pPr>
    </w:p>
    <w:p w14:paraId="0879DDA2" w14:textId="77777777" w:rsidR="00DB688A" w:rsidRDefault="00DB688A" w:rsidP="000E2D96">
      <w:pPr>
        <w:spacing w:after="0" w:line="240" w:lineRule="auto"/>
        <w:jc w:val="both"/>
        <w:rPr>
          <w:rFonts w:ascii="Verdana" w:eastAsia="Calibri" w:hAnsi="Verdana" w:cs="Arial"/>
          <w:lang w:eastAsia="es-ES"/>
        </w:rPr>
      </w:pPr>
    </w:p>
    <w:p w14:paraId="72769B9B" w14:textId="05A64F8C" w:rsidR="000E2D96" w:rsidRPr="000D66F8" w:rsidRDefault="000E2D96" w:rsidP="000E2D96">
      <w:pPr>
        <w:spacing w:after="0" w:line="240" w:lineRule="auto"/>
        <w:jc w:val="both"/>
        <w:rPr>
          <w:rFonts w:ascii="Verdana" w:eastAsia="Calibri" w:hAnsi="Verdana" w:cs="Arial"/>
          <w:lang w:val="es-ES"/>
        </w:rPr>
      </w:pPr>
      <w:r w:rsidRPr="000D66F8">
        <w:rPr>
          <w:rFonts w:ascii="Verdana" w:hAnsi="Verdana"/>
        </w:rPr>
        <w:t xml:space="preserve">Bogotá D.C., </w:t>
      </w:r>
      <w:r w:rsidR="00DB688A">
        <w:rPr>
          <w:rFonts w:ascii="Verdana" w:hAnsi="Verdana"/>
        </w:rPr>
        <w:t>29</w:t>
      </w:r>
      <w:r w:rsidRPr="000D66F8">
        <w:rPr>
          <w:rFonts w:ascii="Verdana" w:hAnsi="Verdana"/>
        </w:rPr>
        <w:t xml:space="preserve"> </w:t>
      </w:r>
      <w:r w:rsidR="00DB688A">
        <w:rPr>
          <w:rFonts w:ascii="Verdana" w:hAnsi="Verdana"/>
        </w:rPr>
        <w:t>diciembre</w:t>
      </w:r>
      <w:r w:rsidRPr="000D66F8">
        <w:rPr>
          <w:rFonts w:ascii="Verdana" w:hAnsi="Verdana"/>
        </w:rPr>
        <w:t xml:space="preserve"> </w:t>
      </w:r>
      <w:r w:rsidR="00DB688A">
        <w:rPr>
          <w:rFonts w:ascii="Verdana" w:hAnsi="Verdana"/>
        </w:rPr>
        <w:t>2024</w:t>
      </w:r>
    </w:p>
    <w:p w14:paraId="4B3C6E3D" w14:textId="77777777" w:rsidR="000E2D96" w:rsidRPr="000D66F8" w:rsidRDefault="000E2D96" w:rsidP="000E2D96">
      <w:pPr>
        <w:spacing w:after="0" w:line="240" w:lineRule="auto"/>
        <w:jc w:val="both"/>
        <w:rPr>
          <w:rFonts w:ascii="Verdana" w:eastAsia="Calibri" w:hAnsi="Verdana" w:cs="Arial"/>
          <w:lang w:val="es-ES"/>
        </w:rPr>
      </w:pPr>
    </w:p>
    <w:p w14:paraId="65339FBC" w14:textId="774D1CA9" w:rsidR="00DB688A" w:rsidRDefault="00DB688A" w:rsidP="00DB688A">
      <w:pPr>
        <w:spacing w:after="0" w:line="240" w:lineRule="auto"/>
        <w:ind w:left="5664"/>
        <w:jc w:val="both"/>
        <w:rPr>
          <w:rFonts w:ascii="Verdana" w:eastAsia="Calibri" w:hAnsi="Verdana" w:cs="Arial"/>
          <w:lang w:val="es-ES" w:eastAsia="es-ES"/>
        </w:rPr>
      </w:pPr>
      <w:r w:rsidRPr="00DB688A">
        <w:rPr>
          <w:rFonts w:ascii="Verdana" w:eastAsia="Calibri" w:hAnsi="Verdana" w:cs="Arial"/>
          <w:lang w:val="es-ES" w:eastAsia="es-ES"/>
        </w:rPr>
        <w:drawing>
          <wp:inline distT="0" distB="0" distL="0" distR="0" wp14:anchorId="64517A46" wp14:editId="0E461ED1">
            <wp:extent cx="2552700" cy="803496"/>
            <wp:effectExtent l="0" t="0" r="0" b="0"/>
            <wp:docPr id="1601976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76956" name=""/>
                    <pic:cNvPicPr/>
                  </pic:nvPicPr>
                  <pic:blipFill>
                    <a:blip r:embed="rId11"/>
                    <a:stretch>
                      <a:fillRect/>
                    </a:stretch>
                  </pic:blipFill>
                  <pic:spPr>
                    <a:xfrm>
                      <a:off x="0" y="0"/>
                      <a:ext cx="2558509" cy="805325"/>
                    </a:xfrm>
                    <a:prstGeom prst="rect">
                      <a:avLst/>
                    </a:prstGeom>
                  </pic:spPr>
                </pic:pic>
              </a:graphicData>
            </a:graphic>
          </wp:inline>
        </w:drawing>
      </w:r>
    </w:p>
    <w:p w14:paraId="685DE769" w14:textId="1612AAEA" w:rsidR="000E2D96" w:rsidRPr="000D66F8" w:rsidRDefault="000E2D96" w:rsidP="000E2D96">
      <w:pPr>
        <w:spacing w:after="0" w:line="240" w:lineRule="auto"/>
        <w:jc w:val="both"/>
        <w:rPr>
          <w:rFonts w:ascii="Verdana" w:eastAsia="Calibri" w:hAnsi="Verdana" w:cs="Arial"/>
          <w:lang w:val="es-ES" w:eastAsia="es-ES"/>
        </w:rPr>
      </w:pPr>
      <w:r w:rsidRPr="000D66F8">
        <w:rPr>
          <w:rFonts w:ascii="Verdana" w:eastAsia="Calibri" w:hAnsi="Verdana" w:cs="Arial"/>
          <w:lang w:val="es-ES" w:eastAsia="es-ES"/>
        </w:rPr>
        <w:t>Señora</w:t>
      </w:r>
    </w:p>
    <w:p w14:paraId="75838B65" w14:textId="77777777" w:rsidR="000E2D96" w:rsidRDefault="000E2D96" w:rsidP="000E2D96">
      <w:pPr>
        <w:spacing w:after="0" w:line="240" w:lineRule="auto"/>
        <w:rPr>
          <w:rFonts w:ascii="Verdana" w:eastAsia="Calibri" w:hAnsi="Verdana" w:cs="Arial"/>
          <w:b/>
          <w:lang w:eastAsia="es-ES_tradnl"/>
        </w:rPr>
      </w:pPr>
      <w:r w:rsidRPr="001541B4">
        <w:rPr>
          <w:rFonts w:ascii="Verdana" w:eastAsia="Calibri" w:hAnsi="Verdana" w:cs="Arial"/>
          <w:b/>
          <w:lang w:eastAsia="es-ES_tradnl"/>
        </w:rPr>
        <w:t xml:space="preserve">Yulieth Alexandra Parra </w:t>
      </w:r>
      <w:proofErr w:type="spellStart"/>
      <w:r w:rsidRPr="001541B4">
        <w:rPr>
          <w:rFonts w:ascii="Verdana" w:eastAsia="Calibri" w:hAnsi="Verdana" w:cs="Arial"/>
          <w:b/>
          <w:lang w:eastAsia="es-ES_tradnl"/>
        </w:rPr>
        <w:t>Roncacio</w:t>
      </w:r>
      <w:proofErr w:type="spellEnd"/>
      <w:r w:rsidRPr="001541B4">
        <w:rPr>
          <w:rFonts w:ascii="Verdana" w:eastAsia="Calibri" w:hAnsi="Verdana" w:cs="Arial"/>
          <w:b/>
          <w:lang w:eastAsia="es-ES_tradnl"/>
        </w:rPr>
        <w:t xml:space="preserve"> </w:t>
      </w:r>
    </w:p>
    <w:p w14:paraId="5287A33E" w14:textId="77777777" w:rsidR="000E2D96" w:rsidRPr="001541B4" w:rsidRDefault="000E2D96" w:rsidP="000E2D96">
      <w:pPr>
        <w:spacing w:after="0" w:line="240" w:lineRule="auto"/>
        <w:rPr>
          <w:rFonts w:ascii="Verdana" w:eastAsia="Calibri" w:hAnsi="Verdana" w:cs="Arial"/>
          <w:bCs/>
          <w:lang w:eastAsia="es-ES_tradnl"/>
        </w:rPr>
      </w:pPr>
      <w:hyperlink r:id="rId12" w:history="1">
        <w:r w:rsidRPr="001541B4">
          <w:rPr>
            <w:rStyle w:val="Hipervnculo"/>
            <w:rFonts w:ascii="Verdana" w:eastAsia="Calibri" w:hAnsi="Verdana" w:cs="Arial"/>
            <w:bCs/>
            <w:lang w:eastAsia="es-ES_tradnl"/>
          </w:rPr>
          <w:t>yparra@corpoboyaca.gov.co</w:t>
        </w:r>
      </w:hyperlink>
      <w:r w:rsidRPr="001541B4">
        <w:rPr>
          <w:rFonts w:ascii="Verdana" w:eastAsia="Calibri" w:hAnsi="Verdana" w:cs="Arial"/>
          <w:bCs/>
          <w:lang w:eastAsia="es-ES_tradnl"/>
        </w:rPr>
        <w:t xml:space="preserve">;  </w:t>
      </w:r>
    </w:p>
    <w:p w14:paraId="388E5D9C" w14:textId="77777777" w:rsidR="000E2D96" w:rsidRPr="000D66F8" w:rsidRDefault="000E2D96" w:rsidP="000E2D96">
      <w:pPr>
        <w:spacing w:after="0" w:line="240" w:lineRule="auto"/>
        <w:rPr>
          <w:rFonts w:ascii="Verdana" w:eastAsia="Calibri" w:hAnsi="Verdana" w:cs="Arial"/>
          <w:bCs/>
          <w:lang w:val="es-ES_tradnl" w:eastAsia="es-ES_tradnl"/>
        </w:rPr>
      </w:pPr>
      <w:r>
        <w:rPr>
          <w:rFonts w:ascii="Verdana" w:eastAsia="Calibri" w:hAnsi="Verdana" w:cs="Arial"/>
          <w:bCs/>
          <w:lang w:eastAsia="es-ES_tradnl"/>
        </w:rPr>
        <w:t>Tunja</w:t>
      </w:r>
      <w:r w:rsidRPr="000D66F8">
        <w:rPr>
          <w:rFonts w:ascii="Verdana" w:eastAsia="Calibri" w:hAnsi="Verdana" w:cs="Arial"/>
          <w:bCs/>
          <w:lang w:eastAsia="es-ES_tradnl"/>
        </w:rPr>
        <w:t xml:space="preserve">, </w:t>
      </w:r>
      <w:r>
        <w:rPr>
          <w:rFonts w:ascii="Verdana" w:eastAsia="Calibri" w:hAnsi="Verdana" w:cs="Arial"/>
          <w:bCs/>
          <w:lang w:eastAsia="es-ES_tradnl"/>
        </w:rPr>
        <w:t>Boyacá</w:t>
      </w:r>
      <w:r w:rsidRPr="000D66F8">
        <w:rPr>
          <w:rFonts w:ascii="Verdana" w:eastAsia="Calibri" w:hAnsi="Verdana" w:cs="Arial"/>
          <w:bCs/>
          <w:lang w:eastAsia="es-ES_tradnl"/>
        </w:rPr>
        <w:t xml:space="preserve">. </w:t>
      </w:r>
    </w:p>
    <w:p w14:paraId="48AA0C94" w14:textId="77777777" w:rsidR="000E2D96" w:rsidRPr="000D66F8" w:rsidRDefault="000E2D96" w:rsidP="000E2D96">
      <w:pPr>
        <w:spacing w:after="0" w:line="240" w:lineRule="auto"/>
        <w:rPr>
          <w:rFonts w:ascii="Verdana" w:eastAsia="Calibri" w:hAnsi="Verdana" w:cs="Arial"/>
          <w:b/>
          <w:bCs/>
          <w:lang w:val="es-ES_tradnl" w:eastAsia="es-ES_tradnl"/>
        </w:rPr>
      </w:pPr>
    </w:p>
    <w:p w14:paraId="3EB15A9D" w14:textId="77777777" w:rsidR="000E2D96" w:rsidRPr="000D66F8" w:rsidRDefault="000E2D96" w:rsidP="000E2D9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E2D96" w:rsidRPr="000D66F8" w14:paraId="7670AD4B" w14:textId="77777777" w:rsidTr="001225C2">
        <w:trPr>
          <w:trHeight w:val="1183"/>
        </w:trPr>
        <w:tc>
          <w:tcPr>
            <w:tcW w:w="2689" w:type="dxa"/>
          </w:tcPr>
          <w:p w14:paraId="34EE1280" w14:textId="77777777" w:rsidR="000E2D96" w:rsidRPr="000D66F8" w:rsidRDefault="000E2D96" w:rsidP="001225C2">
            <w:pPr>
              <w:jc w:val="both"/>
              <w:rPr>
                <w:rFonts w:ascii="Verdana" w:eastAsia="Calibri" w:hAnsi="Verdana" w:cs="Arial"/>
                <w:b/>
                <w:bCs/>
                <w:lang w:val="es-ES_tradnl" w:eastAsia="es-ES_tradnl"/>
              </w:rPr>
            </w:pPr>
          </w:p>
        </w:tc>
        <w:tc>
          <w:tcPr>
            <w:tcW w:w="6100" w:type="dxa"/>
          </w:tcPr>
          <w:p w14:paraId="2C488DB2" w14:textId="77777777" w:rsidR="000E2D96" w:rsidRPr="000D66F8" w:rsidRDefault="000E2D96" w:rsidP="001225C2">
            <w:pPr>
              <w:jc w:val="both"/>
              <w:rPr>
                <w:rFonts w:ascii="Verdana" w:eastAsia="Calibri" w:hAnsi="Verdana" w:cs="Arial"/>
                <w:b/>
                <w:bCs/>
                <w:lang w:val="es-ES" w:eastAsia="es-ES"/>
              </w:rPr>
            </w:pPr>
            <w:r w:rsidRPr="000D66F8">
              <w:rPr>
                <w:rFonts w:ascii="Verdana" w:eastAsia="Calibri" w:hAnsi="Verdana" w:cs="Arial"/>
                <w:b/>
                <w:bCs/>
                <w:lang w:val="es-ES" w:eastAsia="es-ES"/>
              </w:rPr>
              <w:t>Concepto C-</w:t>
            </w:r>
            <w:r>
              <w:rPr>
                <w:rFonts w:ascii="Verdana" w:eastAsia="Calibri" w:hAnsi="Verdana" w:cs="Arial"/>
                <w:b/>
                <w:bCs/>
                <w:lang w:val="es-ES" w:eastAsia="es-ES"/>
              </w:rPr>
              <w:t>1001</w:t>
            </w:r>
            <w:r w:rsidRPr="000D66F8">
              <w:rPr>
                <w:rFonts w:ascii="Verdana" w:eastAsia="Calibri" w:hAnsi="Verdana" w:cs="Arial"/>
                <w:b/>
                <w:bCs/>
                <w:lang w:val="es-ES" w:eastAsia="es-ES"/>
              </w:rPr>
              <w:t xml:space="preserve"> de 2024</w:t>
            </w:r>
          </w:p>
        </w:tc>
      </w:tr>
      <w:tr w:rsidR="000E2D96" w:rsidRPr="00390695" w14:paraId="1BA7893E" w14:textId="77777777" w:rsidTr="001225C2">
        <w:trPr>
          <w:trHeight w:val="884"/>
        </w:trPr>
        <w:tc>
          <w:tcPr>
            <w:tcW w:w="2689" w:type="dxa"/>
          </w:tcPr>
          <w:p w14:paraId="5BB508F6" w14:textId="77777777" w:rsidR="000E2D96" w:rsidRPr="000D66F8" w:rsidRDefault="000E2D96" w:rsidP="001225C2">
            <w:pPr>
              <w:jc w:val="both"/>
              <w:rPr>
                <w:rFonts w:ascii="Verdana" w:eastAsia="Calibri" w:hAnsi="Verdana" w:cs="Arial"/>
                <w:lang w:val="es-ES_tradnl" w:eastAsia="es-ES_tradnl"/>
              </w:rPr>
            </w:pPr>
            <w:r w:rsidRPr="000D66F8">
              <w:rPr>
                <w:rFonts w:ascii="Verdana" w:eastAsia="Calibri" w:hAnsi="Verdana" w:cs="Arial"/>
                <w:b/>
                <w:lang w:val="es-ES_tradnl" w:eastAsia="es-ES_tradnl"/>
              </w:rPr>
              <w:t>Temas:</w:t>
            </w:r>
            <w:r w:rsidRPr="000D66F8">
              <w:rPr>
                <w:rFonts w:ascii="Verdana" w:eastAsia="Calibri" w:hAnsi="Verdana" w:cs="Arial"/>
                <w:lang w:val="es-ES_tradnl" w:eastAsia="es-ES_tradnl"/>
              </w:rPr>
              <w:t xml:space="preserve">                   </w:t>
            </w:r>
          </w:p>
        </w:tc>
        <w:tc>
          <w:tcPr>
            <w:tcW w:w="6100" w:type="dxa"/>
          </w:tcPr>
          <w:p w14:paraId="4B25A2CD" w14:textId="77777777" w:rsidR="000E2D96" w:rsidRDefault="000E2D96" w:rsidP="001225C2">
            <w:pPr>
              <w:spacing w:line="276" w:lineRule="auto"/>
              <w:jc w:val="both"/>
              <w:rPr>
                <w:rFonts w:ascii="Verdana" w:eastAsia="Calibri" w:hAnsi="Verdana" w:cs="Arial"/>
                <w:lang w:eastAsia="es-ES"/>
              </w:rPr>
            </w:pPr>
            <w:r w:rsidRPr="00E73E5E">
              <w:rPr>
                <w:rFonts w:ascii="Verdana" w:eastAsia="Calibri" w:hAnsi="Verdana" w:cs="Arial"/>
                <w:lang w:eastAsia="es-ES"/>
              </w:rPr>
              <w:t xml:space="preserve">PLANEACIÓN – Estudios previos / ESTUDIOS PREVIOS – Análisis del sector – Planeación en los procesos de contratación pública / </w:t>
            </w:r>
            <w:r w:rsidRPr="00E73E5E">
              <w:rPr>
                <w:rFonts w:ascii="Verdana" w:eastAsia="Calibri" w:hAnsi="Verdana" w:cs="Arial"/>
                <w:lang w:val="es-ES" w:eastAsia="es-ES"/>
              </w:rPr>
              <w:t xml:space="preserve">CONTRATO DE PRESTACIÓN DE SERVICIOS – </w:t>
            </w:r>
            <w:r w:rsidRPr="00E73E5E">
              <w:rPr>
                <w:rFonts w:ascii="Verdana" w:eastAsia="Calibri" w:hAnsi="Verdana" w:cs="Arial"/>
                <w:lang w:eastAsia="es-ES"/>
              </w:rPr>
              <w:t xml:space="preserve">Condiciones para su ejecución </w:t>
            </w:r>
          </w:p>
          <w:p w14:paraId="7DE37FB7" w14:textId="77777777" w:rsidR="000E2D96" w:rsidRPr="00390695" w:rsidRDefault="000E2D96" w:rsidP="001225C2">
            <w:pPr>
              <w:spacing w:line="276" w:lineRule="auto"/>
              <w:jc w:val="both"/>
              <w:rPr>
                <w:rFonts w:ascii="Verdana" w:eastAsia="Calibri" w:hAnsi="Verdana" w:cs="Arial"/>
                <w:lang w:val="es-MX" w:eastAsia="es-ES"/>
              </w:rPr>
            </w:pPr>
          </w:p>
        </w:tc>
      </w:tr>
      <w:tr w:rsidR="000E2D96" w:rsidRPr="000D66F8" w14:paraId="3C943A79" w14:textId="77777777" w:rsidTr="001225C2">
        <w:trPr>
          <w:trHeight w:val="344"/>
        </w:trPr>
        <w:tc>
          <w:tcPr>
            <w:tcW w:w="2689" w:type="dxa"/>
            <w:shd w:val="clear" w:color="auto" w:fill="FFFFFF" w:themeFill="background1"/>
          </w:tcPr>
          <w:p w14:paraId="0548C972" w14:textId="77777777" w:rsidR="000E2D96" w:rsidRPr="000D66F8" w:rsidRDefault="000E2D96" w:rsidP="001225C2">
            <w:pPr>
              <w:jc w:val="both"/>
              <w:rPr>
                <w:rFonts w:ascii="Verdana" w:eastAsia="Calibri" w:hAnsi="Verdana" w:cs="Arial"/>
                <w:b/>
                <w:lang w:val="es-ES_tradnl" w:eastAsia="es-ES_tradnl"/>
              </w:rPr>
            </w:pPr>
            <w:r w:rsidRPr="000D66F8">
              <w:rPr>
                <w:rFonts w:ascii="Verdana" w:eastAsia="Calibri" w:hAnsi="Verdana" w:cs="Arial"/>
                <w:b/>
                <w:lang w:val="es-ES_tradnl" w:eastAsia="es-ES_tradnl"/>
              </w:rPr>
              <w:t>Radicación:</w:t>
            </w:r>
            <w:r w:rsidRPr="000D66F8">
              <w:rPr>
                <w:rFonts w:ascii="Verdana" w:eastAsia="Calibri" w:hAnsi="Verdana" w:cs="Arial"/>
                <w:lang w:val="es-ES_tradnl" w:eastAsia="es-ES_tradnl"/>
              </w:rPr>
              <w:t xml:space="preserve">               </w:t>
            </w:r>
          </w:p>
        </w:tc>
        <w:tc>
          <w:tcPr>
            <w:tcW w:w="6100" w:type="dxa"/>
            <w:shd w:val="clear" w:color="auto" w:fill="FFFFFF" w:themeFill="background1"/>
          </w:tcPr>
          <w:p w14:paraId="5464DD8D" w14:textId="77777777" w:rsidR="000E2D96" w:rsidRPr="000D66F8" w:rsidRDefault="000E2D96" w:rsidP="001225C2">
            <w:pPr>
              <w:jc w:val="both"/>
              <w:rPr>
                <w:rFonts w:ascii="Verdana" w:eastAsia="Calibri" w:hAnsi="Verdana" w:cs="Arial"/>
                <w:lang w:val="es-ES_tradnl" w:eastAsia="es-ES_tradnl"/>
              </w:rPr>
            </w:pPr>
            <w:r w:rsidRPr="000D66F8">
              <w:rPr>
                <w:rFonts w:ascii="Verdana" w:eastAsia="Calibri" w:hAnsi="Verdana" w:cs="Arial"/>
                <w:lang w:val="es-ES_tradnl" w:eastAsia="es-ES_tradnl"/>
              </w:rPr>
              <w:t xml:space="preserve">Respuesta a consulta con radicado No. </w:t>
            </w:r>
            <w:r w:rsidRPr="001541B4">
              <w:rPr>
                <w:rFonts w:ascii="Verdana" w:eastAsia="Calibri" w:hAnsi="Verdana" w:cs="Arial"/>
                <w:lang w:val="es-ES_tradnl" w:eastAsia="es-ES_tradnl"/>
              </w:rPr>
              <w:t>P20241216012570</w:t>
            </w:r>
          </w:p>
        </w:tc>
      </w:tr>
    </w:tbl>
    <w:p w14:paraId="1D93FC0A" w14:textId="77777777" w:rsidR="000E2D96" w:rsidRPr="000D66F8" w:rsidRDefault="000E2D96" w:rsidP="000E2D96">
      <w:pPr>
        <w:spacing w:after="0" w:line="240" w:lineRule="auto"/>
        <w:jc w:val="both"/>
        <w:rPr>
          <w:rFonts w:ascii="Verdana" w:eastAsia="Calibri" w:hAnsi="Verdana" w:cs="Arial"/>
          <w:lang w:val="es-ES_tradnl" w:eastAsia="es-ES_tradnl"/>
        </w:rPr>
      </w:pPr>
    </w:p>
    <w:p w14:paraId="5138DB6E" w14:textId="77777777" w:rsidR="000E2D96" w:rsidRPr="000D66F8" w:rsidRDefault="000E2D96" w:rsidP="000E2D96">
      <w:pPr>
        <w:spacing w:after="0" w:line="240" w:lineRule="auto"/>
        <w:jc w:val="both"/>
        <w:rPr>
          <w:rFonts w:ascii="Verdana" w:eastAsia="Calibri" w:hAnsi="Verdana" w:cs="Arial"/>
          <w:lang w:val="es-ES_tradnl" w:eastAsia="es-ES_tradnl"/>
        </w:rPr>
      </w:pPr>
    </w:p>
    <w:p w14:paraId="0D46F5F6" w14:textId="77777777" w:rsidR="000E2D96" w:rsidRPr="000D66F8" w:rsidRDefault="000E2D96" w:rsidP="000E2D96">
      <w:pPr>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 xml:space="preserve">Estimada señora </w:t>
      </w:r>
      <w:r>
        <w:rPr>
          <w:rFonts w:ascii="Verdana" w:eastAsia="Calibri" w:hAnsi="Verdana" w:cs="Arial"/>
          <w:lang w:val="es-ES" w:eastAsia="es-ES"/>
        </w:rPr>
        <w:t>Parra</w:t>
      </w:r>
      <w:r w:rsidRPr="000D66F8">
        <w:rPr>
          <w:rFonts w:ascii="Verdana" w:eastAsia="Calibri" w:hAnsi="Verdana" w:cs="Arial"/>
          <w:lang w:val="es-ES" w:eastAsia="es-ES"/>
        </w:rPr>
        <w:t xml:space="preserve">: </w:t>
      </w:r>
    </w:p>
    <w:p w14:paraId="7656A087" w14:textId="77777777" w:rsidR="000E2D96" w:rsidRPr="000D66F8" w:rsidRDefault="000E2D96" w:rsidP="000E2D96">
      <w:pPr>
        <w:tabs>
          <w:tab w:val="left" w:pos="3768"/>
        </w:tabs>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ab/>
      </w:r>
    </w:p>
    <w:p w14:paraId="745943CA" w14:textId="77777777" w:rsidR="000E2D96" w:rsidRPr="000D66F8" w:rsidRDefault="000E2D96" w:rsidP="000E2D96">
      <w:pPr>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En ejercicio de la competencia otorgada por los artículos 3, numeral 5º, y 11, numeral 8º, del Decreto Ley 4170 de 2011,</w:t>
      </w:r>
      <w:r w:rsidRPr="000D66F8">
        <w:rPr>
          <w:rFonts w:ascii="Verdana" w:eastAsia="Arial MT" w:hAnsi="Verdana" w:cs="Arial MT"/>
          <w:lang w:val="es-ES" w:eastAsia="es-ES"/>
        </w:rPr>
        <w:t xml:space="preserve"> </w:t>
      </w:r>
      <w:r w:rsidRPr="000D66F8">
        <w:rPr>
          <w:rFonts w:ascii="Verdana" w:eastAsia="Calibri" w:hAnsi="Verdana" w:cs="Arial"/>
        </w:rPr>
        <w:t xml:space="preserve">así como lo establecido en el artículo 4 de la Resolución 1707 de 2018 expedida por esta Entidad, </w:t>
      </w:r>
      <w:r w:rsidRPr="000D66F8">
        <w:rPr>
          <w:rFonts w:ascii="Verdana" w:eastAsia="Calibri" w:hAnsi="Verdana" w:cs="Arial"/>
          <w:lang w:val="es-ES" w:eastAsia="es-ES"/>
        </w:rPr>
        <w:t xml:space="preserve">la Agencia Nacional de Contratación Pública – Colombia Compra Eficiente– responde su </w:t>
      </w:r>
      <w:r>
        <w:rPr>
          <w:rFonts w:ascii="Verdana" w:eastAsia="Calibri" w:hAnsi="Verdana" w:cs="Arial"/>
          <w:lang w:val="es-ES" w:eastAsia="es-ES"/>
        </w:rPr>
        <w:t>pregunta número 2</w:t>
      </w:r>
      <w:r w:rsidRPr="000D66F8">
        <w:rPr>
          <w:rFonts w:ascii="Verdana" w:eastAsia="Calibri" w:hAnsi="Verdana" w:cs="Arial"/>
          <w:lang w:val="es-ES" w:eastAsia="es-ES"/>
        </w:rPr>
        <w:t xml:space="preserve"> de consulta de fecha 1</w:t>
      </w:r>
      <w:r>
        <w:rPr>
          <w:rFonts w:ascii="Verdana" w:eastAsia="Calibri" w:hAnsi="Verdana" w:cs="Arial"/>
          <w:lang w:val="es-ES" w:eastAsia="es-ES"/>
        </w:rPr>
        <w:t>6</w:t>
      </w:r>
      <w:r w:rsidRPr="000D66F8">
        <w:rPr>
          <w:rFonts w:ascii="Verdana" w:eastAsia="Calibri" w:hAnsi="Verdana" w:cs="Arial"/>
          <w:lang w:val="es-ES" w:eastAsia="es-ES"/>
        </w:rPr>
        <w:t xml:space="preserve"> de </w:t>
      </w:r>
      <w:r>
        <w:rPr>
          <w:rFonts w:ascii="Verdana" w:eastAsia="Calibri" w:hAnsi="Verdana" w:cs="Arial"/>
          <w:lang w:val="es-ES" w:eastAsia="es-ES"/>
        </w:rPr>
        <w:t>diciembre</w:t>
      </w:r>
      <w:r w:rsidRPr="000D66F8">
        <w:rPr>
          <w:rFonts w:ascii="Verdana" w:eastAsia="Calibri" w:hAnsi="Verdana" w:cs="Arial"/>
          <w:lang w:val="es-ES" w:eastAsia="es-ES"/>
        </w:rPr>
        <w:t xml:space="preserve"> de 2024</w:t>
      </w:r>
      <w:r>
        <w:rPr>
          <w:rFonts w:ascii="Verdana" w:eastAsia="Calibri" w:hAnsi="Verdana" w:cs="Arial"/>
          <w:lang w:val="es-ES" w:eastAsia="es-ES"/>
        </w:rPr>
        <w:t xml:space="preserve"> remitida por el Departamento Administrativo para la Función Pública</w:t>
      </w:r>
      <w:r w:rsidRPr="000D66F8">
        <w:rPr>
          <w:rFonts w:ascii="Verdana" w:eastAsia="Calibri" w:hAnsi="Verdana" w:cs="Arial"/>
          <w:lang w:val="es-ES" w:eastAsia="es-ES"/>
        </w:rPr>
        <w:t>, en donde usted manifiesta lo siguiente:</w:t>
      </w:r>
    </w:p>
    <w:p w14:paraId="1F8A9A31" w14:textId="77777777" w:rsidR="000E2D96" w:rsidRPr="000D66F8" w:rsidRDefault="000E2D96" w:rsidP="000E2D96">
      <w:pPr>
        <w:spacing w:after="0" w:line="276" w:lineRule="auto"/>
        <w:jc w:val="both"/>
        <w:rPr>
          <w:rFonts w:ascii="Verdana" w:eastAsia="Calibri" w:hAnsi="Verdana" w:cs="Arial"/>
          <w:lang w:val="es-ES" w:eastAsia="es-ES"/>
        </w:rPr>
      </w:pPr>
    </w:p>
    <w:p w14:paraId="2349FC61" w14:textId="77777777" w:rsidR="000E2D96" w:rsidRDefault="000E2D96" w:rsidP="000E2D96">
      <w:pPr>
        <w:spacing w:after="0" w:line="240" w:lineRule="auto"/>
        <w:ind w:left="709" w:right="709"/>
        <w:jc w:val="both"/>
        <w:rPr>
          <w:rFonts w:ascii="Verdana" w:eastAsia="Calibri" w:hAnsi="Verdana" w:cs="Arial"/>
          <w:sz w:val="20"/>
          <w:szCs w:val="20"/>
          <w:shd w:val="clear" w:color="auto" w:fill="FFFFFF"/>
        </w:rPr>
      </w:pPr>
      <w:r w:rsidRPr="000D66F8">
        <w:rPr>
          <w:rFonts w:ascii="Verdana" w:eastAsia="Century Gothic" w:hAnsi="Verdana" w:cs="Century Gothic"/>
          <w:sz w:val="20"/>
          <w:szCs w:val="20"/>
          <w:lang w:val="es-ES"/>
        </w:rPr>
        <w:t xml:space="preserve">“[…] </w:t>
      </w:r>
      <w:r>
        <w:rPr>
          <w:rFonts w:ascii="Verdana" w:eastAsia="Calibri" w:hAnsi="Verdana" w:cs="Arial"/>
          <w:sz w:val="20"/>
          <w:szCs w:val="20"/>
          <w:shd w:val="clear" w:color="auto" w:fill="FFFFFF"/>
        </w:rPr>
        <w:t>Existe del deber legal de las CAR, como entidades públicas de entregar elementos de Protección Personal (E.P.P.) a personas naturales vinculadas a través de un contrato formal de prestación de servicios?</w:t>
      </w:r>
    </w:p>
    <w:p w14:paraId="6863E004" w14:textId="77777777" w:rsidR="000E2D96" w:rsidRPr="000D66F8" w:rsidRDefault="000E2D96" w:rsidP="000E2D96">
      <w:pPr>
        <w:spacing w:after="0" w:line="240" w:lineRule="auto"/>
        <w:ind w:left="709" w:right="709"/>
        <w:jc w:val="both"/>
        <w:rPr>
          <w:rFonts w:ascii="Verdana" w:eastAsia="Century Gothic" w:hAnsi="Verdana" w:cs="Century Gothic"/>
          <w:sz w:val="20"/>
          <w:szCs w:val="20"/>
          <w:lang w:val="es-ES"/>
        </w:rPr>
      </w:pPr>
      <w:r>
        <w:rPr>
          <w:rFonts w:ascii="Verdana" w:eastAsia="Calibri" w:hAnsi="Verdana" w:cs="Arial"/>
          <w:sz w:val="20"/>
          <w:szCs w:val="20"/>
          <w:shd w:val="clear" w:color="auto" w:fill="FFFFFF"/>
        </w:rPr>
        <w:lastRenderedPageBreak/>
        <w:t xml:space="preserve">En caso positivo, </w:t>
      </w:r>
      <w:proofErr w:type="gramStart"/>
      <w:r>
        <w:rPr>
          <w:rFonts w:ascii="Verdana" w:eastAsia="Calibri" w:hAnsi="Verdana" w:cs="Arial"/>
          <w:sz w:val="20"/>
          <w:szCs w:val="20"/>
          <w:shd w:val="clear" w:color="auto" w:fill="FFFFFF"/>
        </w:rPr>
        <w:t>¿ frente</w:t>
      </w:r>
      <w:proofErr w:type="gramEnd"/>
      <w:r>
        <w:rPr>
          <w:rFonts w:ascii="Verdana" w:eastAsia="Calibri" w:hAnsi="Verdana" w:cs="Arial"/>
          <w:sz w:val="20"/>
          <w:szCs w:val="20"/>
          <w:shd w:val="clear" w:color="auto" w:fill="FFFFFF"/>
        </w:rPr>
        <w:t xml:space="preserve"> a </w:t>
      </w:r>
      <w:proofErr w:type="spellStart"/>
      <w:r>
        <w:rPr>
          <w:rFonts w:ascii="Verdana" w:eastAsia="Calibri" w:hAnsi="Verdana" w:cs="Arial"/>
          <w:sz w:val="20"/>
          <w:szCs w:val="20"/>
          <w:shd w:val="clear" w:color="auto" w:fill="FFFFFF"/>
        </w:rPr>
        <w:t>que</w:t>
      </w:r>
      <w:proofErr w:type="spellEnd"/>
      <w:r>
        <w:rPr>
          <w:rFonts w:ascii="Verdana" w:eastAsia="Calibri" w:hAnsi="Verdana" w:cs="Arial"/>
          <w:sz w:val="20"/>
          <w:szCs w:val="20"/>
          <w:shd w:val="clear" w:color="auto" w:fill="FFFFFF"/>
        </w:rPr>
        <w:t xml:space="preserve"> nivel de riesgos debe hacerse entrega de </w:t>
      </w:r>
      <w:proofErr w:type="spellStart"/>
      <w:r>
        <w:rPr>
          <w:rFonts w:ascii="Verdana" w:eastAsia="Calibri" w:hAnsi="Verdana" w:cs="Arial"/>
          <w:sz w:val="20"/>
          <w:szCs w:val="20"/>
          <w:shd w:val="clear" w:color="auto" w:fill="FFFFFF"/>
        </w:rPr>
        <w:t>E.P.P.s</w:t>
      </w:r>
      <w:proofErr w:type="spellEnd"/>
      <w:r>
        <w:rPr>
          <w:rFonts w:ascii="Verdana" w:eastAsia="Calibri" w:hAnsi="Verdana" w:cs="Arial"/>
          <w:sz w:val="20"/>
          <w:szCs w:val="20"/>
          <w:shd w:val="clear" w:color="auto" w:fill="FFFFFF"/>
        </w:rPr>
        <w:t xml:space="preserve"> a contratistas y con que periocidad</w:t>
      </w:r>
      <w:r w:rsidRPr="000D66F8">
        <w:rPr>
          <w:rFonts w:ascii="Verdana" w:eastAsia="Calibri" w:hAnsi="Verdana" w:cs="Arial"/>
          <w:sz w:val="20"/>
          <w:szCs w:val="20"/>
          <w:shd w:val="clear" w:color="auto" w:fill="FFFFFF"/>
        </w:rPr>
        <w:t>[…]</w:t>
      </w:r>
      <w:r>
        <w:rPr>
          <w:rFonts w:ascii="Verdana" w:eastAsia="Calibri" w:hAnsi="Verdana" w:cs="Arial"/>
          <w:sz w:val="20"/>
          <w:szCs w:val="20"/>
          <w:shd w:val="clear" w:color="auto" w:fill="FFFFFF"/>
        </w:rPr>
        <w:t xml:space="preserve"> (SIC)</w:t>
      </w:r>
      <w:r w:rsidRPr="000D66F8">
        <w:rPr>
          <w:rFonts w:ascii="Verdana" w:eastAsia="Calibri" w:hAnsi="Verdana" w:cs="Arial"/>
          <w:sz w:val="20"/>
          <w:szCs w:val="20"/>
          <w:shd w:val="clear" w:color="auto" w:fill="FFFFFF"/>
          <w:lang w:val="es-ES"/>
        </w:rPr>
        <w:t>”</w:t>
      </w:r>
    </w:p>
    <w:p w14:paraId="5A95DDEE" w14:textId="77777777" w:rsidR="000E2D96" w:rsidRPr="000D66F8" w:rsidRDefault="000E2D96" w:rsidP="000E2D96">
      <w:pPr>
        <w:tabs>
          <w:tab w:val="left" w:pos="142"/>
          <w:tab w:val="left" w:pos="284"/>
        </w:tabs>
        <w:spacing w:line="276" w:lineRule="auto"/>
        <w:contextualSpacing/>
        <w:jc w:val="both"/>
        <w:rPr>
          <w:rFonts w:ascii="Verdana" w:eastAsia="Century Gothic" w:hAnsi="Verdana" w:cs="Century Gothic"/>
          <w:b/>
          <w:bCs/>
          <w:lang w:val="es-ES"/>
        </w:rPr>
      </w:pPr>
    </w:p>
    <w:p w14:paraId="426FE38E" w14:textId="77777777" w:rsidR="000E2D96" w:rsidRPr="000D66F8" w:rsidRDefault="000E2D96" w:rsidP="000E2D96">
      <w:pPr>
        <w:spacing w:after="120" w:line="276" w:lineRule="auto"/>
        <w:ind w:firstLine="709"/>
        <w:jc w:val="both"/>
        <w:rPr>
          <w:rFonts w:ascii="Verdana" w:eastAsia="Calibri" w:hAnsi="Verdana" w:cs="Arial"/>
          <w:szCs w:val="24"/>
          <w:lang w:val="es-ES_tradnl" w:eastAsia="es-ES_tradnl"/>
        </w:rPr>
      </w:pPr>
      <w:r w:rsidRPr="000D66F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D66F8">
        <w:rPr>
          <w:rFonts w:ascii="Verdana" w:eastAsia="Calibri" w:hAnsi="Verdana" w:cs="Arial"/>
          <w:szCs w:val="24"/>
          <w:lang w:val="es-ES_tradnl" w:eastAsia="es-ES_tradnl"/>
        </w:rPr>
        <w:tab/>
      </w:r>
    </w:p>
    <w:p w14:paraId="59798E3C" w14:textId="77777777" w:rsidR="000E2D96" w:rsidRPr="000D66F8" w:rsidRDefault="000E2D96" w:rsidP="000E2D96">
      <w:pPr>
        <w:spacing w:after="0" w:line="276" w:lineRule="auto"/>
        <w:ind w:firstLine="709"/>
        <w:jc w:val="both"/>
        <w:rPr>
          <w:rFonts w:ascii="Verdana" w:eastAsia="Calibri" w:hAnsi="Verdana" w:cs="Arial"/>
          <w:lang w:val="es-ES" w:eastAsia="es-ES"/>
        </w:rPr>
      </w:pPr>
      <w:r w:rsidRPr="000D66F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75270DC" w14:textId="77777777" w:rsidR="000E2D96" w:rsidRPr="000D66F8" w:rsidRDefault="000E2D96" w:rsidP="000E2D96">
      <w:pPr>
        <w:spacing w:after="0" w:line="276" w:lineRule="auto"/>
        <w:ind w:firstLine="709"/>
        <w:jc w:val="both"/>
        <w:rPr>
          <w:rFonts w:ascii="Verdana" w:eastAsia="Calibri" w:hAnsi="Verdana" w:cs="Arial"/>
          <w:lang w:val="es-ES" w:eastAsia="es-ES"/>
        </w:rPr>
      </w:pPr>
    </w:p>
    <w:p w14:paraId="20C07254" w14:textId="77777777" w:rsidR="000E2D96" w:rsidRPr="000D66F8" w:rsidRDefault="000E2D96" w:rsidP="000E2D96">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0D66F8">
        <w:rPr>
          <w:rFonts w:ascii="Verdana" w:eastAsia="Century Gothic" w:hAnsi="Verdana" w:cs="Century Gothic"/>
          <w:b/>
          <w:bCs/>
          <w:lang w:val="es-ES"/>
        </w:rPr>
        <w:t>Problema planteado:</w:t>
      </w:r>
    </w:p>
    <w:p w14:paraId="11EEC228" w14:textId="77777777" w:rsidR="000E2D96" w:rsidRPr="000D66F8" w:rsidRDefault="000E2D96" w:rsidP="000E2D96">
      <w:pPr>
        <w:tabs>
          <w:tab w:val="left" w:pos="426"/>
        </w:tabs>
        <w:spacing w:after="0" w:line="276" w:lineRule="auto"/>
        <w:jc w:val="both"/>
        <w:rPr>
          <w:rFonts w:ascii="Verdana" w:eastAsia="Century Gothic" w:hAnsi="Verdana" w:cs="Century Gothic"/>
          <w:lang w:val="es-ES"/>
        </w:rPr>
      </w:pPr>
    </w:p>
    <w:p w14:paraId="0F9B3082" w14:textId="77777777" w:rsidR="000E2D96" w:rsidRPr="000D66F8" w:rsidRDefault="000E2D96" w:rsidP="000E2D96">
      <w:pPr>
        <w:snapToGrid w:val="0"/>
        <w:spacing w:after="0" w:line="276" w:lineRule="auto"/>
        <w:jc w:val="both"/>
        <w:rPr>
          <w:rFonts w:ascii="Verdana" w:eastAsia="Century Gothic" w:hAnsi="Verdana" w:cs="Century Gothic"/>
        </w:rPr>
      </w:pPr>
      <w:r w:rsidRPr="000D66F8">
        <w:rPr>
          <w:rFonts w:ascii="Verdana" w:eastAsia="Century Gothic" w:hAnsi="Verdana" w:cs="Century Gothic"/>
        </w:rPr>
        <w:t>De acuerdo con el contenido de su solicitud, esta Agencia resolverá el siguiente problema jurídico: ¿</w:t>
      </w:r>
      <w:r>
        <w:rPr>
          <w:rFonts w:ascii="Verdana" w:eastAsia="Century Gothic" w:hAnsi="Verdana" w:cs="Century Gothic"/>
        </w:rPr>
        <w:t xml:space="preserve">Existe el deber legal de las entidades estatales de garantizar la aplicación del </w:t>
      </w:r>
      <w:r w:rsidRPr="00594B12">
        <w:rPr>
          <w:rFonts w:ascii="Verdana" w:eastAsia="Century Gothic" w:hAnsi="Verdana" w:cs="Century Gothic"/>
        </w:rPr>
        <w:t>Sistema de Seguridad de Gestión de Seguridad y Salud en el Trabajo</w:t>
      </w:r>
      <w:r>
        <w:rPr>
          <w:rFonts w:ascii="Verdana" w:eastAsia="Century Gothic" w:hAnsi="Verdana" w:cs="Century Gothic"/>
        </w:rPr>
        <w:t xml:space="preserve"> en la celebración de sus contratos estatales?</w:t>
      </w:r>
    </w:p>
    <w:p w14:paraId="4FA092A3" w14:textId="77777777" w:rsidR="000E2D96" w:rsidRPr="000D66F8" w:rsidRDefault="000E2D96" w:rsidP="000E2D96">
      <w:pPr>
        <w:snapToGrid w:val="0"/>
        <w:spacing w:after="0" w:line="276" w:lineRule="auto"/>
        <w:jc w:val="both"/>
        <w:rPr>
          <w:rFonts w:ascii="Verdana" w:eastAsia="Century Gothic" w:hAnsi="Verdana" w:cs="Century Gothic"/>
          <w:b/>
          <w:bCs/>
          <w:lang w:val="es-ES"/>
        </w:rPr>
      </w:pPr>
    </w:p>
    <w:p w14:paraId="5E2665E2" w14:textId="77777777" w:rsidR="000E2D96" w:rsidRPr="000D66F8" w:rsidRDefault="000E2D96" w:rsidP="000E2D96">
      <w:pPr>
        <w:snapToGrid w:val="0"/>
        <w:spacing w:after="0" w:line="276" w:lineRule="auto"/>
        <w:jc w:val="both"/>
        <w:rPr>
          <w:rFonts w:ascii="Verdana" w:eastAsia="Century Gothic" w:hAnsi="Verdana" w:cs="Century Gothic"/>
          <w:b/>
          <w:bCs/>
          <w:lang w:val="es-ES"/>
        </w:rPr>
      </w:pPr>
      <w:r w:rsidRPr="000D66F8">
        <w:rPr>
          <w:rFonts w:ascii="Verdana" w:eastAsia="Century Gothic" w:hAnsi="Verdana" w:cs="Century Gothic"/>
          <w:b/>
          <w:bCs/>
          <w:lang w:val="es-ES"/>
        </w:rPr>
        <w:t>Respuesta:</w:t>
      </w:r>
    </w:p>
    <w:p w14:paraId="021F73CF" w14:textId="77777777" w:rsidR="000E2D96" w:rsidRPr="000D66F8" w:rsidRDefault="000E2D96" w:rsidP="000E2D96">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E2D96" w:rsidRPr="000D66F8" w14:paraId="2FC31F38" w14:textId="77777777" w:rsidTr="001225C2">
        <w:tc>
          <w:tcPr>
            <w:tcW w:w="8828" w:type="dxa"/>
            <w:shd w:val="clear" w:color="auto" w:fill="auto"/>
          </w:tcPr>
          <w:p w14:paraId="0BAA8479" w14:textId="77777777" w:rsidR="000E2D96" w:rsidRDefault="000E2D96" w:rsidP="001225C2">
            <w:pPr>
              <w:spacing w:line="276" w:lineRule="auto"/>
              <w:jc w:val="both"/>
              <w:rPr>
                <w:rFonts w:ascii="Verdana" w:hAnsi="Verdana" w:cs="Arial"/>
              </w:rPr>
            </w:pPr>
            <w:r w:rsidRPr="000D66F8">
              <w:rPr>
                <w:rFonts w:ascii="Verdana" w:eastAsia="Calibri" w:hAnsi="Verdana" w:cs="Arial"/>
                <w:lang w:val="es-ES"/>
              </w:rPr>
              <w:t xml:space="preserve">Como primera medida, esta Agencia quiere esclarecer que </w:t>
            </w:r>
            <w:r w:rsidRPr="000D66F8">
              <w:rPr>
                <w:rFonts w:ascii="Verdana" w:hAnsi="Verdana" w:cs="Arial"/>
              </w:rPr>
              <w:t xml:space="preserve">la competencia de esta Entidad se fija con límites claros, con el objeto de evitar que la Agencia actúe como una instancia de validación de las actuaciones de las Entidades sujetas a la </w:t>
            </w:r>
            <w:bookmarkStart w:id="1" w:name="_Hlk183972912"/>
            <w:r w:rsidRPr="000D66F8">
              <w:rPr>
                <w:rFonts w:ascii="Verdana" w:hAnsi="Verdana" w:cs="Arial"/>
              </w:rPr>
              <w:t xml:space="preserve">Ley 80 de 1993 </w:t>
            </w:r>
            <w:bookmarkEnd w:id="1"/>
            <w:r w:rsidRPr="000D66F8">
              <w:rPr>
                <w:rFonts w:ascii="Verdana" w:hAnsi="Verdana" w:cs="Arial"/>
              </w:rPr>
              <w:t>o de los demás participantes de la contratación pública. Esta competencia de interpretación de normas generales, por definición, no puede extenderse a la resolución de controversias, ni a brindar asesorías sobre casos puntuales. En ese sentido</w:t>
            </w:r>
            <w:proofErr w:type="gramStart"/>
            <w:r w:rsidRPr="000D66F8">
              <w:rPr>
                <w:rFonts w:ascii="Verdana" w:hAnsi="Verdana" w:cs="Arial"/>
              </w:rPr>
              <w:t>, ,</w:t>
            </w:r>
            <w:proofErr w:type="gramEnd"/>
            <w:r w:rsidRPr="000D66F8">
              <w:rPr>
                <w:rFonts w:ascii="Verdana" w:hAnsi="Verdana" w:cs="Arial"/>
              </w:rPr>
              <w:t xml:space="preserve"> la solución de estos temas </w:t>
            </w:r>
            <w:r w:rsidRPr="000D66F8">
              <w:rPr>
                <w:rFonts w:ascii="Verdana" w:hAnsi="Verdana" w:cs="Arial"/>
              </w:rPr>
              <w:lastRenderedPageBreak/>
              <w:t>corresponde a la Entidad que adelanta el procedimiento de selección y, en caso de conflicto, a las autoridades judiciales, fiscales y disciplinarias.</w:t>
            </w:r>
          </w:p>
          <w:p w14:paraId="27A8D93F" w14:textId="77777777" w:rsidR="000E2D96" w:rsidRDefault="000E2D96" w:rsidP="001225C2">
            <w:pPr>
              <w:spacing w:line="276" w:lineRule="auto"/>
              <w:jc w:val="both"/>
              <w:rPr>
                <w:rFonts w:ascii="Verdana" w:hAnsi="Verdana" w:cs="Arial"/>
              </w:rPr>
            </w:pPr>
          </w:p>
          <w:p w14:paraId="13A314B4" w14:textId="77777777" w:rsidR="000E2D96" w:rsidRDefault="000E2D96" w:rsidP="001225C2">
            <w:pPr>
              <w:spacing w:line="276" w:lineRule="auto"/>
              <w:jc w:val="both"/>
              <w:rPr>
                <w:rFonts w:ascii="Verdana" w:eastAsia="Calibri" w:hAnsi="Verdana" w:cs="Arial"/>
                <w:lang w:val="es-ES"/>
              </w:rPr>
            </w:pPr>
            <w:r>
              <w:rPr>
                <w:rFonts w:ascii="Verdana" w:eastAsia="Calibri" w:hAnsi="Verdana" w:cs="Arial"/>
                <w:lang w:val="es-ES"/>
              </w:rPr>
              <w:t xml:space="preserve">Ahora bien, </w:t>
            </w:r>
            <w:r w:rsidRPr="00594B12">
              <w:rPr>
                <w:rFonts w:ascii="Verdana" w:eastAsia="Calibri" w:hAnsi="Verdana" w:cs="Arial"/>
                <w:lang w:val="es-ES"/>
              </w:rPr>
              <w:t xml:space="preserve">De acuerdo con lo establecido en el Decreto 1072 de 2015, las Entidades Estatales deben asegurarse de que sus contratistas cumplan con las normas del Sistema de Seguridad y Salud en el Trabajo –SG-SST–. Esto, en razón a que, según se indica el tenor literal del artículo 2.2.4.6.4 de dicho </w:t>
            </w:r>
            <w:proofErr w:type="gramStart"/>
            <w:r w:rsidRPr="00594B12">
              <w:rPr>
                <w:rFonts w:ascii="Verdana" w:eastAsia="Calibri" w:hAnsi="Verdana" w:cs="Arial"/>
                <w:lang w:val="es-ES"/>
              </w:rPr>
              <w:t>decreto“</w:t>
            </w:r>
            <w:proofErr w:type="gramEnd"/>
            <w:r w:rsidRPr="00594B12">
              <w:rPr>
                <w:rFonts w:ascii="Verdana" w:eastAsia="Calibri" w:hAnsi="Verdana" w:cs="Arial"/>
                <w:lang w:val="es-ES"/>
              </w:rPr>
              <w:t xml:space="preserve">[…]el empleador o contratante debe abordar la prevención de los accidentes y las enfermedades laborales y también la protección y promoción de la salud de sus trabajadores y/o </w:t>
            </w:r>
            <w:r w:rsidRPr="00594B12">
              <w:rPr>
                <w:rFonts w:ascii="Verdana" w:eastAsia="Calibri" w:hAnsi="Verdana" w:cs="Arial"/>
                <w:i/>
                <w:iCs/>
                <w:u w:val="single"/>
                <w:lang w:val="es-ES"/>
              </w:rPr>
              <w:t>contratistas</w:t>
            </w:r>
            <w:r w:rsidRPr="00594B12">
              <w:rPr>
                <w:rFonts w:ascii="Verdana" w:eastAsia="Calibri" w:hAnsi="Verdana" w:cs="Arial"/>
                <w:lang w:val="es-ES"/>
              </w:rPr>
              <w:t>, […]” [Énfasis fuera de texto].</w:t>
            </w:r>
          </w:p>
          <w:p w14:paraId="725E0B47" w14:textId="77777777" w:rsidR="000E2D96" w:rsidRDefault="000E2D96" w:rsidP="001225C2">
            <w:pPr>
              <w:spacing w:line="276" w:lineRule="auto"/>
              <w:jc w:val="both"/>
              <w:rPr>
                <w:rFonts w:ascii="Verdana" w:hAnsi="Verdana" w:cs="Arial"/>
              </w:rPr>
            </w:pPr>
          </w:p>
          <w:p w14:paraId="1CE388BC" w14:textId="6930F68E" w:rsidR="000E2D96" w:rsidRPr="00ED1417" w:rsidRDefault="000E2D96" w:rsidP="001225C2">
            <w:pPr>
              <w:spacing w:line="276" w:lineRule="auto"/>
              <w:jc w:val="both"/>
              <w:rPr>
                <w:rFonts w:ascii="Verdana" w:hAnsi="Verdana" w:cs="Arial"/>
              </w:rPr>
            </w:pPr>
            <w:r w:rsidRPr="00ED1417">
              <w:rPr>
                <w:rFonts w:ascii="Verdana" w:hAnsi="Verdana" w:cs="Arial"/>
              </w:rPr>
              <w:t>Lo anterior va en concordancia con la naturaleza jurídica de cada entidad y las actividades que realice dentro de</w:t>
            </w:r>
            <w:r w:rsidR="7A416F9D" w:rsidRPr="00ED1417">
              <w:rPr>
                <w:rFonts w:ascii="Verdana" w:hAnsi="Verdana" w:cs="Arial"/>
              </w:rPr>
              <w:t>l</w:t>
            </w:r>
            <w:r w:rsidRPr="00ED1417">
              <w:rPr>
                <w:rFonts w:ascii="Verdana" w:hAnsi="Verdana" w:cs="Arial"/>
              </w:rPr>
              <w:t xml:space="preserve"> aparato estatal para garantizar sus fines, para lo cual la e</w:t>
            </w:r>
            <w:r w:rsidRPr="00ED1417">
              <w:rPr>
                <w:rFonts w:ascii="Verdana" w:eastAsiaTheme="minorEastAsia" w:hAnsi="Verdana"/>
                <w:rPrChange w:id="2" w:author="Richard Andrés Montenegro Siefken" w:date="2024-12-29T21:27:00Z" w16du:dateUtc="2024-12-30T02:27:00Z">
                  <w:rPr>
                    <w:rFonts w:eastAsiaTheme="minorEastAsia"/>
                  </w:rPr>
                </w:rPrChange>
              </w:rPr>
              <w:t xml:space="preserve">ntidad bajo el principio de la autonomía de la voluntad, dentro de sus estudios previos </w:t>
            </w:r>
            <w:r w:rsidR="2E31680C" w:rsidRPr="00ED1417">
              <w:rPr>
                <w:rFonts w:ascii="Verdana" w:eastAsiaTheme="minorEastAsia" w:hAnsi="Verdana"/>
                <w:rPrChange w:id="3" w:author="Richard Andrés Montenegro Siefken" w:date="2024-12-29T21:27:00Z" w16du:dateUtc="2024-12-30T02:27:00Z">
                  <w:rPr>
                    <w:rFonts w:eastAsiaTheme="minorEastAsia"/>
                  </w:rPr>
                </w:rPrChange>
              </w:rPr>
              <w:t xml:space="preserve"> </w:t>
            </w:r>
            <w:r w:rsidR="7F448F6E" w:rsidRPr="00ED1417">
              <w:rPr>
                <w:rFonts w:ascii="Verdana" w:eastAsiaTheme="minorEastAsia" w:hAnsi="Verdana"/>
                <w:rPrChange w:id="4" w:author="Richard Andrés Montenegro Siefken" w:date="2024-12-29T21:27:00Z" w16du:dateUtc="2024-12-30T02:27:00Z">
                  <w:rPr>
                    <w:rFonts w:eastAsiaTheme="minorEastAsia"/>
                  </w:rPr>
                </w:rPrChange>
              </w:rPr>
              <w:t xml:space="preserve">deberá tener en cuenta en todo momento </w:t>
            </w:r>
            <w:r w:rsidR="09D2BEE9" w:rsidRPr="00ED1417">
              <w:rPr>
                <w:rFonts w:ascii="Verdana" w:eastAsiaTheme="minorEastAsia" w:hAnsi="Verdana"/>
                <w:rPrChange w:id="5" w:author="Richard Andrés Montenegro Siefken" w:date="2024-12-29T21:27:00Z" w16du:dateUtc="2024-12-30T02:27:00Z">
                  <w:rPr>
                    <w:rFonts w:eastAsiaTheme="minorEastAsia"/>
                  </w:rPr>
                </w:rPrChange>
              </w:rPr>
              <w:t xml:space="preserve">lo previsto </w:t>
            </w:r>
            <w:r w:rsidR="052E4D81" w:rsidRPr="00ED1417">
              <w:rPr>
                <w:rFonts w:ascii="Verdana" w:eastAsiaTheme="minorEastAsia" w:hAnsi="Verdana"/>
                <w:rPrChange w:id="6" w:author="Richard Andrés Montenegro Siefken" w:date="2024-12-29T21:27:00Z" w16du:dateUtc="2024-12-30T02:27:00Z">
                  <w:rPr>
                    <w:rFonts w:eastAsiaTheme="minorEastAsia"/>
                  </w:rPr>
                </w:rPrChange>
              </w:rPr>
              <w:t xml:space="preserve">en el numeral tercero del </w:t>
            </w:r>
            <w:proofErr w:type="spellStart"/>
            <w:r w:rsidR="052E4D81" w:rsidRPr="00ED1417">
              <w:rPr>
                <w:rFonts w:ascii="Verdana" w:eastAsiaTheme="minorEastAsia" w:hAnsi="Verdana"/>
                <w:rPrChange w:id="7" w:author="Richard Andrés Montenegro Siefken" w:date="2024-12-29T21:27:00Z" w16du:dateUtc="2024-12-30T02:27:00Z">
                  <w:rPr>
                    <w:rFonts w:eastAsiaTheme="minorEastAsia"/>
                  </w:rPr>
                </w:rPrChange>
              </w:rPr>
              <w:t>articulo</w:t>
            </w:r>
            <w:proofErr w:type="spellEnd"/>
            <w:r w:rsidR="052E4D81" w:rsidRPr="00ED1417">
              <w:rPr>
                <w:rFonts w:ascii="Verdana" w:eastAsiaTheme="minorEastAsia" w:hAnsi="Verdana"/>
                <w:rPrChange w:id="8" w:author="Richard Andrés Montenegro Siefken" w:date="2024-12-29T21:27:00Z" w16du:dateUtc="2024-12-30T02:27:00Z">
                  <w:rPr>
                    <w:rFonts w:eastAsiaTheme="minorEastAsia"/>
                  </w:rPr>
                </w:rPrChange>
              </w:rPr>
              <w:t xml:space="preserve"> 32 de la ley 80 de 1993,</w:t>
            </w:r>
            <w:r w:rsidR="4B04C257" w:rsidRPr="00ED1417">
              <w:rPr>
                <w:rFonts w:ascii="Verdana" w:eastAsiaTheme="minorEastAsia" w:hAnsi="Verdana"/>
                <w:rPrChange w:id="9" w:author="Richard Andrés Montenegro Siefken" w:date="2024-12-29T21:27:00Z" w16du:dateUtc="2024-12-30T02:27:00Z">
                  <w:rPr>
                    <w:rFonts w:eastAsiaTheme="minorEastAsia"/>
                  </w:rPr>
                </w:rPrChange>
              </w:rPr>
              <w:t xml:space="preserve"> </w:t>
            </w:r>
            <w:r w:rsidR="04E4C0D7" w:rsidRPr="00ED1417">
              <w:rPr>
                <w:rFonts w:ascii="Verdana" w:eastAsiaTheme="minorEastAsia" w:hAnsi="Verdana"/>
                <w:rPrChange w:id="10" w:author="Richard Andrés Montenegro Siefken" w:date="2024-12-29T21:27:00Z" w16du:dateUtc="2024-12-30T02:27:00Z">
                  <w:rPr>
                    <w:rFonts w:eastAsiaTheme="minorEastAsia"/>
                  </w:rPr>
                </w:rPrChange>
              </w:rPr>
              <w:t xml:space="preserve">toda vez que </w:t>
            </w:r>
            <w:r w:rsidR="33C91722" w:rsidRPr="00ED1417">
              <w:rPr>
                <w:rFonts w:ascii="Verdana" w:eastAsiaTheme="minorEastAsia" w:hAnsi="Verdana"/>
                <w:rPrChange w:id="11" w:author="Richard Andrés Montenegro Siefken" w:date="2024-12-29T21:27:00Z" w16du:dateUtc="2024-12-30T02:27:00Z">
                  <w:rPr>
                    <w:rFonts w:eastAsiaTheme="minorEastAsia"/>
                  </w:rPr>
                </w:rPrChange>
              </w:rPr>
              <w:t>“</w:t>
            </w:r>
            <w:r w:rsidR="61515085" w:rsidRPr="00ED1417">
              <w:rPr>
                <w:rFonts w:ascii="Verdana" w:eastAsiaTheme="minorEastAsia" w:hAnsi="Verdana"/>
                <w:i/>
                <w:iCs/>
                <w:rPrChange w:id="12" w:author="Richard Andrés Montenegro Siefken" w:date="2024-12-29T21:27:00Z" w16du:dateUtc="2024-12-30T02:27:00Z">
                  <w:rPr>
                    <w:rFonts w:eastAsiaTheme="minorEastAsia"/>
                    <w:i/>
                    <w:iCs/>
                  </w:rPr>
                </w:rPrChange>
              </w:rPr>
              <w:t>e</w:t>
            </w:r>
            <w:r w:rsidR="399E017D" w:rsidRPr="00ED1417">
              <w:rPr>
                <w:rFonts w:ascii="Verdana" w:eastAsiaTheme="minorEastAsia" w:hAnsi="Verdana"/>
                <w:i/>
                <w:iCs/>
                <w:rPrChange w:id="13" w:author="Richard Andrés Montenegro Siefken" w:date="2024-12-29T21:27:00Z" w16du:dateUtc="2024-12-30T02:27:00Z">
                  <w:rPr>
                    <w:rFonts w:eastAsiaTheme="minorEastAsia"/>
                    <w:i/>
                    <w:iCs/>
                  </w:rPr>
                </w:rPrChange>
              </w:rPr>
              <w:t>n ningún caso estos contratos generan relación laboral ni prestaciones sociales y se celebrarán por el término estrictamente indispensable</w:t>
            </w:r>
            <w:r w:rsidR="35C47563" w:rsidRPr="00ED1417">
              <w:rPr>
                <w:rFonts w:ascii="Verdana" w:eastAsiaTheme="minorEastAsia" w:hAnsi="Verdana"/>
                <w:rPrChange w:id="14" w:author="Richard Andrés Montenegro Siefken" w:date="2024-12-29T21:27:00Z" w16du:dateUtc="2024-12-30T02:27:00Z">
                  <w:rPr>
                    <w:rFonts w:eastAsiaTheme="minorEastAsia"/>
                  </w:rPr>
                </w:rPrChange>
              </w:rPr>
              <w:t>” ,</w:t>
            </w:r>
            <w:r w:rsidR="1416EC00" w:rsidRPr="00ED1417">
              <w:rPr>
                <w:rFonts w:ascii="Verdana" w:eastAsiaTheme="minorEastAsia" w:hAnsi="Verdana"/>
                <w:rPrChange w:id="15" w:author="Richard Andrés Montenegro Siefken" w:date="2024-12-29T21:27:00Z" w16du:dateUtc="2024-12-30T02:27:00Z">
                  <w:rPr>
                    <w:rFonts w:eastAsiaTheme="minorEastAsia"/>
                  </w:rPr>
                </w:rPrChange>
              </w:rPr>
              <w:t>;</w:t>
            </w:r>
            <w:r w:rsidR="1572B2C7" w:rsidRPr="00ED1417">
              <w:rPr>
                <w:rFonts w:ascii="Verdana" w:eastAsiaTheme="minorEastAsia" w:hAnsi="Verdana"/>
                <w:rPrChange w:id="16" w:author="Richard Andrés Montenegro Siefken" w:date="2024-12-29T21:27:00Z" w16du:dateUtc="2024-12-30T02:27:00Z">
                  <w:rPr>
                    <w:rFonts w:eastAsiaTheme="minorEastAsia"/>
                  </w:rPr>
                </w:rPrChange>
              </w:rPr>
              <w:t xml:space="preserve"> por ende la viabilidad o no de incluir </w:t>
            </w:r>
            <w:r w:rsidR="196CB286" w:rsidRPr="00ED1417">
              <w:rPr>
                <w:rFonts w:ascii="Verdana" w:eastAsiaTheme="minorEastAsia" w:hAnsi="Verdana"/>
                <w:rPrChange w:id="17" w:author="Richard Andrés Montenegro Siefken" w:date="2024-12-29T21:27:00Z" w16du:dateUtc="2024-12-30T02:27:00Z">
                  <w:rPr>
                    <w:rFonts w:eastAsiaTheme="minorEastAsia"/>
                  </w:rPr>
                </w:rPrChange>
              </w:rPr>
              <w:t>los</w:t>
            </w:r>
            <w:r w:rsidRPr="00ED1417">
              <w:rPr>
                <w:rFonts w:ascii="Verdana" w:hAnsi="Verdana" w:cs="Arial"/>
              </w:rPr>
              <w:t xml:space="preserve"> </w:t>
            </w:r>
            <w:r w:rsidR="26F6AE90" w:rsidRPr="00ED1417">
              <w:rPr>
                <w:rFonts w:ascii="Verdana" w:hAnsi="Verdana" w:cs="Arial"/>
              </w:rPr>
              <w:t>e</w:t>
            </w:r>
            <w:r w:rsidRPr="00ED1417">
              <w:rPr>
                <w:rFonts w:ascii="Verdana" w:hAnsi="Verdana" w:cs="Arial"/>
              </w:rPr>
              <w:t xml:space="preserve">lementos de </w:t>
            </w:r>
            <w:r w:rsidR="3DA50234" w:rsidRPr="00ED1417">
              <w:rPr>
                <w:rFonts w:ascii="Verdana" w:hAnsi="Verdana" w:cs="Arial"/>
              </w:rPr>
              <w:t>p</w:t>
            </w:r>
            <w:r w:rsidRPr="00ED1417">
              <w:rPr>
                <w:rFonts w:ascii="Verdana" w:hAnsi="Verdana" w:cs="Arial"/>
              </w:rPr>
              <w:t xml:space="preserve">rotección </w:t>
            </w:r>
            <w:r w:rsidR="27A4E8EA" w:rsidRPr="00ED1417">
              <w:rPr>
                <w:rFonts w:ascii="Verdana" w:hAnsi="Verdana" w:cs="Arial"/>
              </w:rPr>
              <w:t>p</w:t>
            </w:r>
            <w:r w:rsidRPr="00ED1417">
              <w:rPr>
                <w:rFonts w:ascii="Verdana" w:hAnsi="Verdana" w:cs="Arial"/>
              </w:rPr>
              <w:t xml:space="preserve">ersonal que </w:t>
            </w:r>
            <w:r w:rsidR="14745DBF" w:rsidRPr="00ED1417">
              <w:rPr>
                <w:rFonts w:ascii="Verdana" w:hAnsi="Verdana" w:cs="Arial"/>
              </w:rPr>
              <w:t xml:space="preserve">se </w:t>
            </w:r>
            <w:r w:rsidRPr="00ED1417">
              <w:rPr>
                <w:rFonts w:ascii="Verdana" w:hAnsi="Verdana" w:cs="Arial"/>
              </w:rPr>
              <w:t>considere</w:t>
            </w:r>
            <w:r w:rsidR="64CA0EA7" w:rsidRPr="00ED1417">
              <w:rPr>
                <w:rFonts w:ascii="Verdana" w:hAnsi="Verdana" w:cs="Arial"/>
              </w:rPr>
              <w:t>n</w:t>
            </w:r>
            <w:r w:rsidRPr="00ED1417">
              <w:rPr>
                <w:rFonts w:ascii="Verdana" w:hAnsi="Verdana" w:cs="Arial"/>
              </w:rPr>
              <w:t xml:space="preserve"> necesario</w:t>
            </w:r>
            <w:r w:rsidR="4AEC7229" w:rsidRPr="00ED1417">
              <w:rPr>
                <w:rFonts w:ascii="Verdana" w:hAnsi="Verdana" w:cs="Arial"/>
              </w:rPr>
              <w:t>s</w:t>
            </w:r>
            <w:r w:rsidRPr="00ED1417">
              <w:rPr>
                <w:rFonts w:ascii="Verdana" w:hAnsi="Verdana" w:cs="Arial"/>
              </w:rPr>
              <w:t xml:space="preserve"> para salvaguardar la normativa </w:t>
            </w:r>
            <w:r w:rsidRPr="00ED1417">
              <w:rPr>
                <w:rFonts w:ascii="Verdana" w:eastAsiaTheme="minorEastAsia" w:hAnsi="Verdana"/>
                <w:lang w:val="es-ES"/>
                <w:rPrChange w:id="18" w:author="Richard Andrés Montenegro Siefken" w:date="2024-12-29T21:27:00Z" w16du:dateUtc="2024-12-30T02:27:00Z">
                  <w:rPr>
                    <w:rFonts w:eastAsiaTheme="minorEastAsia"/>
                    <w:lang w:val="es-ES"/>
                  </w:rPr>
                </w:rPrChange>
              </w:rPr>
              <w:t>referente al Sistema de Seguridad y Salud en el Trabajo</w:t>
            </w:r>
            <w:r w:rsidR="09BF6911" w:rsidRPr="00ED1417">
              <w:rPr>
                <w:rFonts w:ascii="Verdana" w:eastAsiaTheme="minorEastAsia" w:hAnsi="Verdana"/>
                <w:lang w:val="es-ES"/>
                <w:rPrChange w:id="19" w:author="Richard Andrés Montenegro Siefken" w:date="2024-12-29T21:27:00Z" w16du:dateUtc="2024-12-30T02:27:00Z">
                  <w:rPr>
                    <w:rFonts w:eastAsiaTheme="minorEastAsia"/>
                    <w:lang w:val="es-ES"/>
                  </w:rPr>
                </w:rPrChange>
              </w:rPr>
              <w:t xml:space="preserve"> debe orientarse atendiendo los postulados </w:t>
            </w:r>
            <w:r w:rsidR="64F95E87" w:rsidRPr="00ED1417">
              <w:rPr>
                <w:rFonts w:ascii="Verdana" w:eastAsiaTheme="minorEastAsia" w:hAnsi="Verdana"/>
                <w:lang w:val="es-ES"/>
                <w:rPrChange w:id="20" w:author="Richard Andrés Montenegro Siefken" w:date="2024-12-29T21:27:00Z" w16du:dateUtc="2024-12-30T02:27:00Z">
                  <w:rPr>
                    <w:rFonts w:eastAsiaTheme="minorEastAsia"/>
                    <w:lang w:val="es-ES"/>
                  </w:rPr>
                </w:rPrChange>
              </w:rPr>
              <w:t>aquí</w:t>
            </w:r>
            <w:r w:rsidR="09BF6911" w:rsidRPr="00ED1417">
              <w:rPr>
                <w:rFonts w:ascii="Verdana" w:eastAsiaTheme="minorEastAsia" w:hAnsi="Verdana"/>
                <w:lang w:val="es-ES"/>
                <w:rPrChange w:id="21" w:author="Richard Andrés Montenegro Siefken" w:date="2024-12-29T21:27:00Z" w16du:dateUtc="2024-12-30T02:27:00Z">
                  <w:rPr>
                    <w:rFonts w:eastAsiaTheme="minorEastAsia"/>
                    <w:lang w:val="es-ES"/>
                  </w:rPr>
                </w:rPrChange>
              </w:rPr>
              <w:t xml:space="preserve"> citados</w:t>
            </w:r>
            <w:r w:rsidRPr="00ED1417">
              <w:rPr>
                <w:rFonts w:ascii="Verdana" w:eastAsiaTheme="minorEastAsia" w:hAnsi="Verdana"/>
                <w:lang w:val="es-ES"/>
                <w:rPrChange w:id="22" w:author="Richard Andrés Montenegro Siefken" w:date="2024-12-29T21:27:00Z" w16du:dateUtc="2024-12-30T02:27:00Z">
                  <w:rPr>
                    <w:rFonts w:eastAsiaTheme="minorEastAsia"/>
                    <w:lang w:val="es-ES"/>
                  </w:rPr>
                </w:rPrChange>
              </w:rPr>
              <w:t>.</w:t>
            </w:r>
          </w:p>
          <w:p w14:paraId="60015FBF" w14:textId="77777777" w:rsidR="000E2D96" w:rsidRPr="000D66F8" w:rsidRDefault="000E2D96" w:rsidP="001225C2">
            <w:pPr>
              <w:spacing w:line="276" w:lineRule="auto"/>
              <w:jc w:val="both"/>
              <w:rPr>
                <w:rFonts w:ascii="Verdana" w:hAnsi="Verdana" w:cs="Arial"/>
              </w:rPr>
            </w:pPr>
          </w:p>
        </w:tc>
      </w:tr>
    </w:tbl>
    <w:p w14:paraId="6B917258" w14:textId="77777777" w:rsidR="000E2D96" w:rsidRPr="000D66F8" w:rsidRDefault="000E2D96" w:rsidP="000E2D96">
      <w:pPr>
        <w:tabs>
          <w:tab w:val="left" w:pos="142"/>
          <w:tab w:val="left" w:pos="284"/>
        </w:tabs>
        <w:snapToGrid w:val="0"/>
        <w:spacing w:after="0" w:line="276" w:lineRule="auto"/>
        <w:jc w:val="both"/>
        <w:rPr>
          <w:rFonts w:ascii="Verdana" w:eastAsia="Century Gothic" w:hAnsi="Verdana" w:cs="Century Gothic"/>
          <w:b/>
          <w:bCs/>
          <w:lang w:val="es-ES"/>
        </w:rPr>
      </w:pPr>
    </w:p>
    <w:p w14:paraId="45DC935A" w14:textId="77777777" w:rsidR="000E2D96" w:rsidRDefault="000E2D96" w:rsidP="000E2D9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t>Razones de la respuesta:</w:t>
      </w:r>
    </w:p>
    <w:p w14:paraId="3A0DC76D" w14:textId="77777777" w:rsidR="000E2D96" w:rsidRDefault="000E2D96" w:rsidP="000E2D96">
      <w:pPr>
        <w:tabs>
          <w:tab w:val="left" w:pos="142"/>
          <w:tab w:val="left" w:pos="284"/>
        </w:tabs>
        <w:snapToGrid w:val="0"/>
        <w:spacing w:after="0" w:line="276" w:lineRule="auto"/>
        <w:jc w:val="both"/>
        <w:rPr>
          <w:rFonts w:ascii="Verdana" w:eastAsia="Century Gothic" w:hAnsi="Verdana" w:cs="Century Gothic"/>
          <w:b/>
          <w:bCs/>
          <w:lang w:val="es-ES"/>
        </w:rPr>
      </w:pPr>
    </w:p>
    <w:p w14:paraId="3DA8715F" w14:textId="77777777" w:rsidR="000E2D96" w:rsidRPr="000D66F8" w:rsidRDefault="000E2D96" w:rsidP="000E2D96">
      <w:pPr>
        <w:snapToGrid w:val="0"/>
        <w:spacing w:after="0" w:line="276" w:lineRule="auto"/>
        <w:jc w:val="both"/>
        <w:rPr>
          <w:rFonts w:ascii="Verdana" w:eastAsia="Calibri" w:hAnsi="Verdana" w:cs="Arial"/>
          <w:lang w:val="es-ES"/>
        </w:rPr>
      </w:pPr>
      <w:r w:rsidRPr="000D66F8">
        <w:rPr>
          <w:rFonts w:ascii="Verdana" w:eastAsia="Calibri" w:hAnsi="Verdana" w:cs="Arial"/>
          <w:lang w:val="es-ES"/>
        </w:rPr>
        <w:t xml:space="preserve">Lo anterior se sustenta en las siguientes consideraciones: </w:t>
      </w:r>
    </w:p>
    <w:p w14:paraId="02121C03" w14:textId="77777777" w:rsidR="000E2D96" w:rsidRPr="000D66F8" w:rsidRDefault="000E2D96" w:rsidP="000E2D96">
      <w:pPr>
        <w:tabs>
          <w:tab w:val="left" w:pos="142"/>
          <w:tab w:val="left" w:pos="284"/>
        </w:tabs>
        <w:snapToGrid w:val="0"/>
        <w:spacing w:after="0" w:line="276" w:lineRule="auto"/>
        <w:jc w:val="both"/>
        <w:rPr>
          <w:rFonts w:ascii="Verdana" w:eastAsia="Century Gothic" w:hAnsi="Verdana" w:cs="Century Gothic"/>
          <w:b/>
          <w:bCs/>
          <w:lang w:val="es-ES"/>
        </w:rPr>
      </w:pPr>
    </w:p>
    <w:p w14:paraId="0BC9520B" w14:textId="77777777" w:rsidR="000E2D96" w:rsidRPr="00E73E5E" w:rsidRDefault="000E2D96" w:rsidP="000E2D96">
      <w:pPr>
        <w:numPr>
          <w:ilvl w:val="0"/>
          <w:numId w:val="19"/>
        </w:numPr>
        <w:spacing w:line="276" w:lineRule="auto"/>
        <w:contextualSpacing/>
        <w:jc w:val="both"/>
        <w:rPr>
          <w:rFonts w:ascii="Verdana" w:eastAsia="Calibri" w:hAnsi="Verdana" w:cs="Arial"/>
          <w:lang w:val="es-ES_tradnl" w:eastAsia="es-MX"/>
        </w:rPr>
      </w:pPr>
      <w:bookmarkStart w:id="23" w:name="_Hlk54011258"/>
      <w:r w:rsidRPr="00E73E5E">
        <w:rPr>
          <w:rFonts w:ascii="Verdana" w:eastAsia="Calibri" w:hAnsi="Verdana" w:cs="Arial"/>
          <w:bCs/>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23"/>
      <w:r w:rsidRPr="00E73E5E">
        <w:rPr>
          <w:rFonts w:ascii="Verdana" w:eastAsia="Calibri" w:hAnsi="Verdana" w:cs="Arial"/>
          <w:bCs/>
          <w:lang w:val="es-ES_tradnl" w:eastAsia="es-MX"/>
        </w:rPr>
        <w:t>.</w:t>
      </w:r>
    </w:p>
    <w:p w14:paraId="455D3741" w14:textId="77777777" w:rsidR="000E2D96" w:rsidRPr="00E73E5E" w:rsidRDefault="000E2D96" w:rsidP="000E2D96">
      <w:pPr>
        <w:spacing w:after="0" w:line="276" w:lineRule="auto"/>
        <w:ind w:left="720"/>
        <w:contextualSpacing/>
        <w:jc w:val="both"/>
        <w:rPr>
          <w:rFonts w:ascii="Verdana" w:eastAsia="Calibri" w:hAnsi="Verdana" w:cs="Arial"/>
          <w:lang w:val="es-ES_tradnl" w:eastAsia="es-MX"/>
        </w:rPr>
      </w:pPr>
    </w:p>
    <w:p w14:paraId="241D9F7C" w14:textId="77777777" w:rsidR="000E2D96" w:rsidRPr="00E73E5E" w:rsidRDefault="000E2D96" w:rsidP="000E2D96">
      <w:pPr>
        <w:numPr>
          <w:ilvl w:val="0"/>
          <w:numId w:val="19"/>
        </w:numPr>
        <w:spacing w:line="276" w:lineRule="auto"/>
        <w:contextualSpacing/>
        <w:jc w:val="both"/>
        <w:rPr>
          <w:rFonts w:ascii="Verdana" w:eastAsia="Calibri" w:hAnsi="Verdana" w:cs="Arial"/>
          <w:bCs/>
          <w:lang w:val="es-ES" w:eastAsia="es-ES_tradnl"/>
        </w:rPr>
      </w:pPr>
      <w:r w:rsidRPr="00E73E5E">
        <w:rPr>
          <w:rFonts w:ascii="Verdana" w:eastAsia="Calibri" w:hAnsi="Verdana"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esto se tienen, por ejemplo, las siguientes reglas derivadas de la aplicación del principio de economía previsto en el artículo 25 de la Ley 80 de 1993: </w:t>
      </w:r>
    </w:p>
    <w:p w14:paraId="1F7C0B4D" w14:textId="77777777" w:rsidR="000E2D96" w:rsidRPr="00E73E5E" w:rsidRDefault="000E2D96" w:rsidP="000E2D96">
      <w:pPr>
        <w:spacing w:after="0" w:line="276" w:lineRule="auto"/>
        <w:ind w:firstLine="709"/>
        <w:jc w:val="both"/>
        <w:rPr>
          <w:rFonts w:ascii="Verdana" w:eastAsia="Calibri" w:hAnsi="Verdana" w:cs="Arial"/>
          <w:bCs/>
          <w:lang w:val="es-ES" w:eastAsia="es-ES_tradnl"/>
        </w:rPr>
      </w:pPr>
    </w:p>
    <w:p w14:paraId="74CA45BD"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0EE2496B"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p>
    <w:p w14:paraId="1A2734C3"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w:t>
      </w:r>
    </w:p>
    <w:p w14:paraId="6D1FDABA"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p>
    <w:p w14:paraId="7A17131E"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62456859"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p>
    <w:p w14:paraId="1BC10151"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MX" w:eastAsia="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65C31E1"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MX" w:eastAsia="es-ES_tradnl"/>
        </w:rPr>
      </w:pPr>
      <w:r w:rsidRPr="00E73E5E">
        <w:rPr>
          <w:rFonts w:ascii="Verdana" w:eastAsia="Calibri" w:hAnsi="Verdana" w:cs="Arial"/>
          <w:sz w:val="21"/>
          <w:szCs w:val="21"/>
          <w:lang w:val="es-ES_tradnl" w:eastAsia="es-MX"/>
        </w:rPr>
        <w:t>[…]”.</w:t>
      </w:r>
    </w:p>
    <w:p w14:paraId="29F25A15" w14:textId="77777777" w:rsidR="000E2D96" w:rsidRPr="00E73E5E" w:rsidRDefault="000E2D96" w:rsidP="000E2D96">
      <w:pPr>
        <w:spacing w:after="0" w:line="276" w:lineRule="auto"/>
        <w:jc w:val="both"/>
        <w:rPr>
          <w:rFonts w:ascii="Verdana" w:eastAsia="Calibri" w:hAnsi="Verdana" w:cs="Arial"/>
          <w:lang w:val="es-ES_tradnl" w:eastAsia="es-MX"/>
        </w:rPr>
      </w:pPr>
    </w:p>
    <w:p w14:paraId="5176AD32" w14:textId="77777777" w:rsidR="000E2D96" w:rsidRPr="00E73E5E" w:rsidRDefault="000E2D96" w:rsidP="000E2D96">
      <w:pPr>
        <w:numPr>
          <w:ilvl w:val="0"/>
          <w:numId w:val="20"/>
        </w:numPr>
        <w:spacing w:line="276" w:lineRule="auto"/>
        <w:contextualSpacing/>
        <w:jc w:val="both"/>
        <w:rPr>
          <w:rFonts w:ascii="Verdana" w:eastAsia="Calibri" w:hAnsi="Verdana" w:cs="Arial"/>
          <w:lang w:val="es-ES_tradnl" w:eastAsia="es-MX"/>
        </w:rPr>
      </w:pPr>
      <w:r w:rsidRPr="00E73E5E">
        <w:rPr>
          <w:rFonts w:ascii="Verdana" w:eastAsia="Calibri" w:hAnsi="Verdana" w:cs="Arial"/>
          <w:lang w:val="es-ES_tradnl" w:eastAsia="es-MX"/>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w:t>
      </w:r>
      <w:r w:rsidRPr="00E73E5E">
        <w:rPr>
          <w:rFonts w:ascii="Verdana" w:eastAsia="Calibri" w:hAnsi="Verdana" w:cs="Arial"/>
          <w:lang w:val="es-ES_tradnl" w:eastAsia="es-MX"/>
        </w:rPr>
        <w:lastRenderedPageBreak/>
        <w:t>permanencia de la obra y, en general, el fracaso en la ejecución de contratos estatales”</w:t>
      </w:r>
      <w:r w:rsidRPr="00E73E5E">
        <w:rPr>
          <w:rFonts w:ascii="Geomanist Light" w:eastAsia="Calibri" w:hAnsi="Geomanist Light"/>
          <w:vertAlign w:val="superscript"/>
          <w:lang w:val="es-ES" w:eastAsia="es-MX"/>
        </w:rPr>
        <w:footnoteReference w:id="2"/>
      </w:r>
      <w:r w:rsidRPr="00E73E5E">
        <w:rPr>
          <w:rFonts w:ascii="Verdana" w:eastAsia="Calibri" w:hAnsi="Verdana" w:cs="Arial"/>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50DF41A3" w14:textId="77777777" w:rsidR="000E2D96" w:rsidRPr="00E73E5E" w:rsidRDefault="000E2D96" w:rsidP="000E2D96">
      <w:pPr>
        <w:spacing w:after="0" w:line="276" w:lineRule="auto"/>
        <w:rPr>
          <w:rFonts w:ascii="Verdana" w:eastAsia="Calibri" w:hAnsi="Verdana" w:cs="Arial"/>
          <w:lang w:val="es-ES_tradnl" w:eastAsia="es-CO"/>
        </w:rPr>
      </w:pPr>
    </w:p>
    <w:p w14:paraId="1FE5E854"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ES_tradnl" w:eastAsia="es-MX"/>
        </w:rPr>
      </w:pPr>
      <w:r w:rsidRPr="00E73E5E">
        <w:rPr>
          <w:rFonts w:ascii="Verdana" w:eastAsia="Calibri" w:hAnsi="Verdana" w:cs="Arial"/>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520E9763" w14:textId="77777777" w:rsidR="000E2D96" w:rsidRPr="00E73E5E" w:rsidRDefault="000E2D96" w:rsidP="000E2D96">
      <w:pPr>
        <w:spacing w:after="0" w:line="240" w:lineRule="auto"/>
        <w:ind w:left="709" w:right="709"/>
        <w:contextualSpacing/>
        <w:jc w:val="both"/>
        <w:rPr>
          <w:rFonts w:ascii="Verdana" w:eastAsia="Calibri" w:hAnsi="Verdana" w:cs="Arial"/>
          <w:sz w:val="21"/>
          <w:szCs w:val="21"/>
          <w:lang w:val="es-ES_tradnl" w:eastAsia="es-MX"/>
        </w:rPr>
      </w:pPr>
    </w:p>
    <w:p w14:paraId="14D285A3"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1. La descripción de la necesidad que la Entidad Estatal pretende satisfacer con el Proceso de Contratación. </w:t>
      </w:r>
      <w:r w:rsidRPr="00E73E5E">
        <w:rPr>
          <w:rFonts w:ascii="Arial" w:eastAsia="Calibri" w:hAnsi="Arial" w:cs="Arial"/>
          <w:i/>
          <w:iCs/>
          <w:sz w:val="21"/>
          <w:szCs w:val="21"/>
          <w:lang w:val="es-ES_tradnl" w:eastAsia="es-MX"/>
        </w:rPr>
        <w:t>​</w:t>
      </w:r>
    </w:p>
    <w:p w14:paraId="6B5D7B6E"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7C551428"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66F343A1"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1D76767F"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3. La modalidad de selección del contratista y su justificación, incluyendo los fundamentos jurídicos. </w:t>
      </w:r>
    </w:p>
    <w:p w14:paraId="64AC950A"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4BDE9598"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 w:eastAsia="es-MX"/>
        </w:rPr>
      </w:pPr>
      <w:r w:rsidRPr="00E73E5E">
        <w:rPr>
          <w:rFonts w:ascii="Verdana" w:eastAsia="Calibri" w:hAnsi="Verdana" w:cs="Arial"/>
          <w:i/>
          <w:iCs/>
          <w:sz w:val="21"/>
          <w:szCs w:val="21"/>
          <w:lang w:val="es-ES" w:eastAsia="es-MX"/>
        </w:rPr>
        <w:t xml:space="preserve">4. El valor estimado del contrato y la justificación </w:t>
      </w:r>
      <w:proofErr w:type="gramStart"/>
      <w:r w:rsidRPr="00E73E5E">
        <w:rPr>
          <w:rFonts w:ascii="Verdana" w:eastAsia="Calibri" w:hAnsi="Verdana" w:cs="Arial"/>
          <w:i/>
          <w:iCs/>
          <w:sz w:val="21"/>
          <w:szCs w:val="21"/>
          <w:lang w:val="es-ES" w:eastAsia="es-MX"/>
        </w:rPr>
        <w:t>del mismo</w:t>
      </w:r>
      <w:proofErr w:type="gramEnd"/>
      <w:r w:rsidRPr="00E73E5E">
        <w:rPr>
          <w:rFonts w:ascii="Verdana" w:eastAsia="Calibri" w:hAnsi="Verdana" w:cs="Arial"/>
          <w:i/>
          <w:iCs/>
          <w:sz w:val="21"/>
          <w:szCs w:val="21"/>
          <w:lang w:val="es-ES"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351DD6D0"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54C6C74C"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5. Los criterios para seleccionar la oferta más favorable. </w:t>
      </w:r>
    </w:p>
    <w:p w14:paraId="68D8915D"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574D860F"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6. El análisis de Riesgo y la forma de mitigarlo. </w:t>
      </w:r>
    </w:p>
    <w:p w14:paraId="541CCF28"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704405F9"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7. Las garantías que la Entidad Estatal contempla exigir en el proceso de contratación. </w:t>
      </w:r>
    </w:p>
    <w:p w14:paraId="7CA6167E"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0AB9D57D"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 xml:space="preserve">8. La indicación de si el proceso de contratación está cobijado por un acuerdo comercial. </w:t>
      </w:r>
    </w:p>
    <w:p w14:paraId="163FDDAD"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p>
    <w:p w14:paraId="2B27F158" w14:textId="77777777" w:rsidR="000E2D96" w:rsidRPr="00E73E5E" w:rsidRDefault="000E2D96" w:rsidP="000E2D96">
      <w:pPr>
        <w:spacing w:after="0" w:line="240" w:lineRule="auto"/>
        <w:ind w:left="709" w:right="709"/>
        <w:contextualSpacing/>
        <w:jc w:val="both"/>
        <w:rPr>
          <w:rFonts w:ascii="Verdana" w:eastAsia="Calibri" w:hAnsi="Verdana" w:cs="Arial"/>
          <w:i/>
          <w:iCs/>
          <w:sz w:val="21"/>
          <w:szCs w:val="21"/>
          <w:lang w:val="es-ES_tradnl" w:eastAsia="es-MX"/>
        </w:rPr>
      </w:pPr>
      <w:r w:rsidRPr="00E73E5E">
        <w:rPr>
          <w:rFonts w:ascii="Verdana" w:eastAsia="Calibri" w:hAnsi="Verdana" w:cs="Arial"/>
          <w:i/>
          <w:iCs/>
          <w:sz w:val="21"/>
          <w:szCs w:val="21"/>
          <w:lang w:val="es-ES_tradnl" w:eastAsia="es-MX"/>
        </w:rPr>
        <w:t>El presente artículo no es aplicable a la contratación por mínima cuantía”.</w:t>
      </w:r>
    </w:p>
    <w:p w14:paraId="366278FD" w14:textId="77777777" w:rsidR="000E2D96" w:rsidRPr="00E73E5E" w:rsidRDefault="000E2D96" w:rsidP="000E2D96">
      <w:pPr>
        <w:widowControl w:val="0"/>
        <w:tabs>
          <w:tab w:val="left" w:pos="1305"/>
        </w:tabs>
        <w:autoSpaceDE w:val="0"/>
        <w:autoSpaceDN w:val="0"/>
        <w:spacing w:after="0" w:line="276" w:lineRule="auto"/>
        <w:ind w:left="828" w:right="822"/>
        <w:rPr>
          <w:rFonts w:ascii="Verdana" w:eastAsia="Calibri" w:hAnsi="Verdana" w:cs="Arial"/>
          <w:lang w:val="es-MX" w:eastAsia="es-ES_tradnl"/>
        </w:rPr>
      </w:pPr>
    </w:p>
    <w:p w14:paraId="7AC84857" w14:textId="77777777" w:rsidR="000E2D96" w:rsidRDefault="000E2D96" w:rsidP="000E2D96">
      <w:pPr>
        <w:numPr>
          <w:ilvl w:val="0"/>
          <w:numId w:val="20"/>
        </w:numPr>
        <w:spacing w:line="276" w:lineRule="auto"/>
        <w:contextualSpacing/>
        <w:jc w:val="both"/>
        <w:rPr>
          <w:rFonts w:ascii="Verdana" w:eastAsia="Calibri" w:hAnsi="Verdana" w:cs="Arial"/>
          <w:lang w:val="es-ES" w:eastAsia="es-MX"/>
        </w:rPr>
      </w:pPr>
      <w:bookmarkStart w:id="24" w:name="_Hlk54011351"/>
      <w:r w:rsidRPr="00E73E5E">
        <w:rPr>
          <w:rFonts w:ascii="Verdana" w:eastAsia="Calibri" w:hAnsi="Verdana" w:cs="Arial"/>
          <w:lang w:val="es-ES" w:eastAsia="es-MX"/>
        </w:rPr>
        <w:t xml:space="preserve">De esta manera, antes de iniciar un procedimiento de selección, la Entidad Estatal podrá determinar con los estudios previos: i) la verdadera necesidad de la celebración del contrato; </w:t>
      </w:r>
      <w:proofErr w:type="spellStart"/>
      <w:r w:rsidRPr="00E73E5E">
        <w:rPr>
          <w:rFonts w:ascii="Verdana" w:eastAsia="Calibri" w:hAnsi="Verdana" w:cs="Arial"/>
          <w:lang w:val="es-ES" w:eastAsia="es-MX"/>
        </w:rPr>
        <w:t>ii</w:t>
      </w:r>
      <w:proofErr w:type="spellEnd"/>
      <w:r w:rsidRPr="00E73E5E">
        <w:rPr>
          <w:rFonts w:ascii="Verdana" w:eastAsia="Calibri" w:hAnsi="Verdana" w:cs="Arial"/>
          <w:lang w:val="es-ES" w:eastAsia="es-MX"/>
        </w:rPr>
        <w:t xml:space="preserve">) las modalidades existentes para satisfacer esa necesidad y las razones que justifiquen la modalidad o tipo contractual que se escoja; </w:t>
      </w:r>
      <w:proofErr w:type="spellStart"/>
      <w:r w:rsidRPr="00E73E5E">
        <w:rPr>
          <w:rFonts w:ascii="Verdana" w:eastAsia="Calibri" w:hAnsi="Verdana" w:cs="Arial"/>
          <w:lang w:val="es-ES" w:eastAsia="es-MX"/>
        </w:rPr>
        <w:t>iii</w:t>
      </w:r>
      <w:proofErr w:type="spellEnd"/>
      <w:r w:rsidRPr="00E73E5E">
        <w:rPr>
          <w:rFonts w:ascii="Verdana" w:eastAsia="Calibri" w:hAnsi="Verdana" w:cs="Arial"/>
          <w:lang w:val="es-ES" w:eastAsia="es-MX"/>
        </w:rPr>
        <w:t xml:space="preserve">) las calidades, especificaciones, cantidades y demás características que puedan o deban reunir los bienes, las obras o los servicios cuya contratación se haya determinado necesaria, </w:t>
      </w:r>
      <w:proofErr w:type="spellStart"/>
      <w:r w:rsidRPr="00E73E5E">
        <w:rPr>
          <w:rFonts w:ascii="Verdana" w:eastAsia="Calibri" w:hAnsi="Verdana" w:cs="Arial"/>
          <w:lang w:val="es-ES" w:eastAsia="es-MX"/>
        </w:rPr>
        <w:t>iv</w:t>
      </w:r>
      <w:proofErr w:type="spellEnd"/>
      <w:r w:rsidRPr="00E73E5E">
        <w:rPr>
          <w:rFonts w:ascii="Verdana" w:eastAsia="Calibri" w:hAnsi="Verdana" w:cs="Arial"/>
          <w:lang w:val="es-ES" w:eastAsia="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E73E5E">
        <w:rPr>
          <w:rFonts w:ascii="Verdana" w:eastAsia="Calibri" w:hAnsi="Verdana" w:cs="Arial"/>
          <w:lang w:val="es-ES" w:eastAsia="es-MX"/>
        </w:rPr>
        <w:t>vii</w:t>
      </w:r>
      <w:proofErr w:type="spellEnd"/>
      <w:r w:rsidRPr="00E73E5E">
        <w:rPr>
          <w:rFonts w:ascii="Verdana" w:eastAsia="Calibri" w:hAnsi="Verdana" w:cs="Arial"/>
          <w:lang w:val="es-ES" w:eastAsia="es-MX"/>
        </w:rPr>
        <w:t xml:space="preserve">) los procedimientos, trámites y requisitos que deban satisfacerse, reunirse u obtenerse para llevar a cabo la selección del respectivo contratista y la celebración del contrato que se pretenda celebrar. La consideración de todos estos aspectos </w:t>
      </w:r>
      <w:bookmarkEnd w:id="24"/>
      <w:r w:rsidRPr="00E73E5E">
        <w:rPr>
          <w:rFonts w:ascii="Verdana" w:eastAsia="Calibri" w:hAnsi="Verdana" w:cs="Arial"/>
          <w:lang w:val="es-ES" w:eastAsia="es-MX"/>
        </w:rPr>
        <w:t>permite que los contratos resultantes de la planeación cuenten con el sustento técnico, económico y jurídico que incidirá en una adecuada ejecución.</w:t>
      </w:r>
    </w:p>
    <w:p w14:paraId="708C27EA" w14:textId="77777777" w:rsidR="000E2D96" w:rsidRDefault="000E2D96" w:rsidP="000E2D96">
      <w:pPr>
        <w:spacing w:line="276" w:lineRule="auto"/>
        <w:ind w:left="720"/>
        <w:contextualSpacing/>
        <w:jc w:val="both"/>
        <w:rPr>
          <w:rFonts w:ascii="Verdana" w:eastAsia="Calibri" w:hAnsi="Verdana" w:cs="Arial"/>
          <w:lang w:val="es-ES" w:eastAsia="es-MX"/>
        </w:rPr>
      </w:pPr>
    </w:p>
    <w:p w14:paraId="4BE43504" w14:textId="77777777" w:rsidR="000E2D96" w:rsidRPr="00594B12" w:rsidRDefault="000E2D96" w:rsidP="000E2D96">
      <w:pPr>
        <w:numPr>
          <w:ilvl w:val="0"/>
          <w:numId w:val="20"/>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Ahora bien, </w:t>
      </w:r>
      <w:r w:rsidRPr="00594B12">
        <w:rPr>
          <w:rFonts w:ascii="Verdana" w:eastAsia="Calibri" w:hAnsi="Verdana" w:cs="Arial"/>
          <w:lang w:val="es-ES"/>
        </w:rPr>
        <w:t>El Decreto 1925 de 1994, por el cual se determinó la organización u administración del Sistema General de Riesgos Profesionales, dispuso, en su artículo 56, la responsabilidad en cabeza del Gobierno Nacional, de expedir las normas reglamentarias técnicas tendientes a garantizar la seguridad de los trabajadores y de la población en general, en la prevención de accidentes de trabajo y enfermedades laborales.</w:t>
      </w:r>
    </w:p>
    <w:p w14:paraId="0CD2C1C8" w14:textId="77777777" w:rsidR="000E2D96" w:rsidRPr="00594B12" w:rsidRDefault="000E2D96" w:rsidP="000E2D96">
      <w:pPr>
        <w:spacing w:after="0" w:line="276" w:lineRule="auto"/>
        <w:ind w:left="720"/>
        <w:contextualSpacing/>
        <w:jc w:val="both"/>
        <w:rPr>
          <w:rFonts w:ascii="Verdana" w:eastAsia="Calibri" w:hAnsi="Verdana" w:cs="Arial"/>
          <w:lang w:val="es-ES"/>
        </w:rPr>
      </w:pPr>
    </w:p>
    <w:p w14:paraId="0C60DBA5" w14:textId="77777777" w:rsidR="000E2D96" w:rsidRPr="00594B12" w:rsidRDefault="000E2D96" w:rsidP="000E2D96">
      <w:pPr>
        <w:spacing w:after="0"/>
        <w:ind w:left="720"/>
        <w:contextualSpacing/>
        <w:jc w:val="both"/>
        <w:rPr>
          <w:rFonts w:ascii="Verdana" w:eastAsia="Calibri" w:hAnsi="Verdana" w:cs="Arial"/>
          <w:lang w:val="es-ES"/>
        </w:rPr>
      </w:pPr>
      <w:r w:rsidRPr="00594B12">
        <w:rPr>
          <w:rFonts w:ascii="Verdana" w:eastAsia="Calibri" w:hAnsi="Verdana" w:cs="Arial"/>
          <w:lang w:val="es-ES"/>
        </w:rPr>
        <w:t xml:space="preserve">En ese contexto, el artículo 1 de la Ley 1562 de 2012, que modificó el Sistema de Riesgos Laborales, contempló que el programa de salud ocupacional en adelante se conocería como el Sistema de Gestión de la Seguridad y Salud en el Trabajo –SG-SST–, definido este como un “Sistema consiste en el desarrollo de un proceso lógico y por etapas, </w:t>
      </w:r>
      <w:r w:rsidRPr="00594B12">
        <w:rPr>
          <w:rFonts w:ascii="Verdana" w:eastAsia="Calibri" w:hAnsi="Verdana" w:cs="Arial"/>
          <w:lang w:val="es-ES"/>
        </w:rPr>
        <w:lastRenderedPageBreak/>
        <w:t>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r w:rsidRPr="00594B12">
        <w:rPr>
          <w:rFonts w:ascii="Verdana" w:eastAsia="Calibri" w:hAnsi="Verdana" w:cs="Arial"/>
          <w:vertAlign w:val="superscript"/>
          <w:lang w:val="es-ES"/>
        </w:rPr>
        <w:footnoteReference w:id="3"/>
      </w:r>
      <w:r w:rsidRPr="00594B12">
        <w:rPr>
          <w:rFonts w:ascii="Verdana" w:eastAsia="Calibri" w:hAnsi="Verdana" w:cs="Arial"/>
          <w:lang w:val="es-ES"/>
        </w:rPr>
        <w:t>”.</w:t>
      </w:r>
    </w:p>
    <w:p w14:paraId="7AD6EF14" w14:textId="77777777" w:rsidR="000E2D96" w:rsidRPr="00594B12" w:rsidRDefault="000E2D96" w:rsidP="000E2D96">
      <w:pPr>
        <w:spacing w:after="0"/>
        <w:ind w:left="720"/>
        <w:contextualSpacing/>
        <w:rPr>
          <w:rFonts w:ascii="Verdana" w:eastAsia="Calibri" w:hAnsi="Verdana" w:cs="Arial"/>
          <w:lang w:val="es-ES"/>
        </w:rPr>
      </w:pPr>
    </w:p>
    <w:p w14:paraId="229EBD91" w14:textId="77777777" w:rsidR="000E2D96" w:rsidRPr="00594B12" w:rsidRDefault="000E2D96" w:rsidP="000E2D96">
      <w:pPr>
        <w:numPr>
          <w:ilvl w:val="0"/>
          <w:numId w:val="20"/>
        </w:numPr>
        <w:spacing w:after="0" w:line="276" w:lineRule="auto"/>
        <w:jc w:val="both"/>
        <w:rPr>
          <w:rFonts w:ascii="Verdana" w:eastAsia="Aptos" w:hAnsi="Verdana" w:cs="Arial"/>
          <w:i/>
          <w:iCs/>
          <w:lang w:val="es-ES"/>
        </w:rPr>
      </w:pPr>
      <w:r w:rsidRPr="00594B12">
        <w:rPr>
          <w:rFonts w:ascii="Verdana" w:eastAsia="Arial" w:hAnsi="Verdana" w:cs="Arial"/>
          <w:color w:val="000000"/>
          <w:lang w:val="es-MX" w:eastAsia="es-CO"/>
        </w:rPr>
        <w:t xml:space="preserve">Dicho sistema se reglamentó mediante el Decreto 1443 de 2014, compilado posteriormente en el capítulo 6 del Decreto 1072 de 2015, </w:t>
      </w:r>
      <w:r w:rsidRPr="00594B12">
        <w:rPr>
          <w:rFonts w:ascii="Verdana" w:eastAsia="Arial" w:hAnsi="Verdana" w:cs="Arial"/>
          <w:i/>
          <w:iCs/>
          <w:color w:val="000000"/>
          <w:lang w:val="es-MX" w:eastAsia="es-CO"/>
        </w:rPr>
        <w:t>“por medio del cual se expidió el Decreto Reglamentario del Sector Trabajo”</w:t>
      </w:r>
      <w:r w:rsidRPr="00594B12">
        <w:rPr>
          <w:rFonts w:ascii="Verdana" w:eastAsia="Arial" w:hAnsi="Verdana" w:cs="Arial"/>
          <w:color w:val="000000"/>
          <w:lang w:val="es-MX" w:eastAsia="es-CO"/>
        </w:rPr>
        <w:t>, a través del cual, se definieron directrices para la implementación del Sistema de Gestión de la Seguridad y Salud en el Trabajo –SG-SST–, las cuales son de obligatorio cumplimiento para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cooperados y los trabajadores en misión.”</w:t>
      </w:r>
    </w:p>
    <w:p w14:paraId="3EDB1B59" w14:textId="77777777" w:rsidR="000E2D96" w:rsidRPr="00594B12" w:rsidRDefault="000E2D96" w:rsidP="000E2D96">
      <w:pPr>
        <w:spacing w:after="0" w:line="276" w:lineRule="auto"/>
        <w:contextualSpacing/>
        <w:jc w:val="both"/>
        <w:rPr>
          <w:rFonts w:ascii="Verdana" w:eastAsia="Calibri" w:hAnsi="Verdana" w:cs="Arial"/>
        </w:rPr>
      </w:pPr>
    </w:p>
    <w:p w14:paraId="76B4FD98" w14:textId="2063E618" w:rsidR="000E2D96" w:rsidRPr="00BE57D7" w:rsidRDefault="000E2D96" w:rsidP="000E2D96">
      <w:pPr>
        <w:numPr>
          <w:ilvl w:val="0"/>
          <w:numId w:val="20"/>
        </w:numPr>
        <w:spacing w:after="0" w:line="276" w:lineRule="auto"/>
        <w:contextualSpacing/>
        <w:jc w:val="both"/>
        <w:rPr>
          <w:rFonts w:ascii="Verdana" w:eastAsia="Calibri" w:hAnsi="Verdana" w:cs="Arial"/>
          <w:lang w:val="es-ES_tradnl" w:eastAsia="es-ES_tradnl"/>
        </w:rPr>
      </w:pPr>
      <w:r w:rsidRPr="00594B12">
        <w:rPr>
          <w:rFonts w:ascii="Verdana" w:eastAsia="Calibri" w:hAnsi="Verdana" w:cs="Arial"/>
        </w:rPr>
        <w:t>En ese orden de ideas, el artículo 2.2.4.6.4. del Decreto 1072 de 2015 dispuso que el Sistema de Gestión de Seguridad y Salud en el Trabajo –SG-SST– debe ser liderado e implementado por el empleador o contratante, con la participación de los trabajadores y/o contratistas. Para ello, el artículo en cita contempló que los empleadores o contratantes, entre los que se encuentran las Entidades Estatales, deben de garantizar la implementación, mantenimiento y mejora continua del Sistema de Gestión de Seguridad y Salud en el Trabajo SG-SST en sus contratistas. Para ello, el decreto reglamentario adoptó a su vez, en el parágrafo 2° del artículo en cita, que: “[d]entro de los parámetros de selección y evaluación de proveedores y contratistas, el contratante podrá incluir criterios que le permitan conocer que la empresa a contratar cuente con el Sistema de Gestión de la Seguridad y Salud en el Trabajo –SG-SST–”.</w:t>
      </w:r>
      <w:r w:rsidR="00BE57D7">
        <w:rPr>
          <w:rFonts w:ascii="Verdana" w:eastAsia="Calibri" w:hAnsi="Verdana" w:cs="Arial"/>
        </w:rPr>
        <w:br/>
      </w:r>
    </w:p>
    <w:p w14:paraId="1871AF60" w14:textId="36D5394D" w:rsidR="000E2D96" w:rsidRPr="00002AF6" w:rsidRDefault="00AB2745" w:rsidP="00AB2745">
      <w:pPr>
        <w:pStyle w:val="paragraph"/>
        <w:numPr>
          <w:ilvl w:val="0"/>
          <w:numId w:val="20"/>
        </w:numPr>
        <w:spacing w:before="0" w:beforeAutospacing="0" w:after="120" w:afterAutospacing="0" w:line="276" w:lineRule="auto"/>
        <w:jc w:val="both"/>
        <w:textAlignment w:val="baseline"/>
        <w:rPr>
          <w:rFonts w:ascii="Verdana" w:hAnsi="Verdana" w:cs="Arial"/>
          <w:sz w:val="18"/>
          <w:szCs w:val="18"/>
          <w:lang w:val="es-ES"/>
        </w:rPr>
      </w:pPr>
      <w:r w:rsidRPr="00AB2745">
        <w:rPr>
          <w:rFonts w:ascii="Verdana" w:eastAsia="Calibri" w:hAnsi="Verdana" w:cs="Arial"/>
          <w:sz w:val="22"/>
          <w:szCs w:val="22"/>
          <w:lang w:eastAsia="es-ES_tradnl"/>
        </w:rPr>
        <w:t xml:space="preserve">Finalmente, es importante destacar que el artículo 32 de la Ley 80 de 1993 establece que los contratos de prestación de servicios no crean una relación laboral ni dan lugar a prestaciones sociales derivadas de dicho vínculo. Por lo tanto, es necesario que la entidad contratante analice cuidadosamente la incorporación de cláusulas especiales y específicas, </w:t>
      </w:r>
      <w:r w:rsidRPr="00AB2745">
        <w:rPr>
          <w:rFonts w:ascii="Verdana" w:eastAsia="Calibri" w:hAnsi="Verdana" w:cs="Arial"/>
          <w:sz w:val="22"/>
          <w:szCs w:val="22"/>
          <w:lang w:eastAsia="es-ES_tradnl"/>
        </w:rPr>
        <w:lastRenderedPageBreak/>
        <w:t>respetando el límite legal que evita generar subordinación, y asegurando que se cumpla con la autonomía característica de este tipo de contratación.</w:t>
      </w:r>
    </w:p>
    <w:p w14:paraId="5C61B2CA" w14:textId="77777777" w:rsidR="000E2D96" w:rsidRPr="000D66F8" w:rsidRDefault="000E2D96" w:rsidP="000E2D9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t>Referencias normativas, jurisprudenciales y otras fuentes:</w:t>
      </w:r>
    </w:p>
    <w:p w14:paraId="2B14E313" w14:textId="77777777" w:rsidR="000E2D96" w:rsidRPr="000D66F8" w:rsidRDefault="000E2D96" w:rsidP="000E2D96">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0E2D96" w:rsidRPr="000D66F8" w14:paraId="40E81986" w14:textId="77777777" w:rsidTr="001225C2">
        <w:trPr>
          <w:trHeight w:val="870"/>
        </w:trPr>
        <w:tc>
          <w:tcPr>
            <w:tcW w:w="8647" w:type="dxa"/>
          </w:tcPr>
          <w:p w14:paraId="5B5814C3" w14:textId="77777777" w:rsidR="000E2D96" w:rsidRPr="00E73E5E" w:rsidRDefault="000E2D96" w:rsidP="001225C2">
            <w:pPr>
              <w:numPr>
                <w:ilvl w:val="0"/>
                <w:numId w:val="17"/>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Ley 80 de 1993, artículo 25 y artículo 32 numeral 3°. </w:t>
            </w:r>
          </w:p>
          <w:p w14:paraId="5D2153E8" w14:textId="77777777" w:rsidR="000E2D96" w:rsidRPr="00E73E5E" w:rsidRDefault="000E2D96" w:rsidP="001225C2">
            <w:pPr>
              <w:numPr>
                <w:ilvl w:val="0"/>
                <w:numId w:val="17"/>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Decreto 1082 de 2015, artículos 2.2.1.1.2.1.1., </w:t>
            </w:r>
            <w:r w:rsidRPr="00E73E5E">
              <w:rPr>
                <w:rFonts w:ascii="Verdana" w:eastAsia="Calibri" w:hAnsi="Verdana" w:cs="Arial"/>
                <w:color w:val="000000"/>
                <w:kern w:val="2"/>
                <w:lang w:val="es-ES"/>
                <w14:ligatures w14:val="standardContextual"/>
              </w:rPr>
              <w:t xml:space="preserve">2.2.1.2.1.4.9 </w:t>
            </w:r>
            <w:r w:rsidRPr="00E73E5E">
              <w:rPr>
                <w:rFonts w:ascii="Verdana" w:eastAsia="Calibri" w:hAnsi="Verdana" w:cs="Arial"/>
                <w:kern w:val="2"/>
                <w:lang w:val="es-ES"/>
                <w14:ligatures w14:val="standardContextual"/>
              </w:rPr>
              <w:t>y 2.2.1.1.1.6.1.</w:t>
            </w:r>
            <w:r>
              <w:rPr>
                <w:rFonts w:ascii="Verdana" w:eastAsia="Calibri" w:hAnsi="Verdana" w:cs="Arial"/>
                <w:kern w:val="2"/>
                <w:lang w:val="es-ES"/>
                <w14:ligatures w14:val="standardContextual"/>
              </w:rPr>
              <w:t xml:space="preserve"> y </w:t>
            </w:r>
            <w:r w:rsidRPr="00594B12">
              <w:rPr>
                <w:rFonts w:ascii="Verdana" w:eastAsia="Aptos" w:hAnsi="Verdana" w:cs="Arial"/>
              </w:rPr>
              <w:t>2.2.1.1.1.6.2</w:t>
            </w:r>
          </w:p>
          <w:p w14:paraId="629CC7AB" w14:textId="77777777" w:rsidR="000E2D96" w:rsidRPr="00E73E5E" w:rsidRDefault="000E2D96" w:rsidP="001225C2">
            <w:pPr>
              <w:numPr>
                <w:ilvl w:val="0"/>
                <w:numId w:val="17"/>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Decreto 1083 de 2015, Artículo 2.1.1.1.</w:t>
            </w:r>
          </w:p>
          <w:p w14:paraId="33A4C38A" w14:textId="77777777" w:rsidR="000E2D96" w:rsidRPr="00E73E5E" w:rsidRDefault="000E2D96" w:rsidP="001225C2">
            <w:pPr>
              <w:numPr>
                <w:ilvl w:val="0"/>
                <w:numId w:val="17"/>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Ley 1150 de 2007, artículo 2, numeral 4°, literal h)</w:t>
            </w:r>
            <w:r>
              <w:rPr>
                <w:rFonts w:ascii="Verdana" w:eastAsia="Calibri" w:hAnsi="Verdana" w:cs="Arial"/>
                <w:kern w:val="2"/>
                <w:lang w:val="es-ES"/>
                <w14:ligatures w14:val="standardContextual"/>
              </w:rPr>
              <w:t xml:space="preserve">, </w:t>
            </w:r>
            <w:r w:rsidRPr="00594B12">
              <w:rPr>
                <w:rFonts w:ascii="Verdana" w:eastAsia="Calibri" w:hAnsi="Verdana" w:cs="Arial"/>
                <w:lang w:val="es-ES"/>
              </w:rPr>
              <w:t>Artículo 5, parágrafo 2</w:t>
            </w:r>
            <w:r>
              <w:rPr>
                <w:rFonts w:ascii="Verdana" w:eastAsia="Calibri" w:hAnsi="Verdana" w:cs="Arial"/>
                <w:lang w:val="es-ES"/>
              </w:rPr>
              <w:t>.</w:t>
            </w:r>
          </w:p>
          <w:p w14:paraId="52EE457F" w14:textId="77777777" w:rsidR="000E2D96" w:rsidRPr="00E73E5E" w:rsidRDefault="000E2D96" w:rsidP="001225C2">
            <w:pPr>
              <w:numPr>
                <w:ilvl w:val="0"/>
                <w:numId w:val="17"/>
              </w:numPr>
              <w:spacing w:line="256" w:lineRule="auto"/>
              <w:rPr>
                <w:rFonts w:ascii="Verdana" w:eastAsia="Calibri" w:hAnsi="Verdana" w:cs="Arial"/>
                <w:kern w:val="2"/>
                <w:lang w:val="es-ES"/>
                <w14:ligatures w14:val="standardContextual"/>
              </w:rPr>
            </w:pPr>
            <w:r w:rsidRPr="00E73E5E">
              <w:rPr>
                <w:rFonts w:ascii="Verdana" w:eastAsia="Calibri" w:hAnsi="Verdana" w:cs="Arial"/>
                <w:kern w:val="2"/>
                <w:lang w:val="es-ES"/>
                <w14:ligatures w14:val="standardContextual"/>
              </w:rPr>
              <w:t xml:space="preserve">Consejo de Estado. Sección Tercera. Subsección B. Sentencia del 31 de agosto de 2011. </w:t>
            </w:r>
            <w:proofErr w:type="spellStart"/>
            <w:r w:rsidRPr="00E73E5E">
              <w:rPr>
                <w:rFonts w:ascii="Verdana" w:eastAsia="Calibri" w:hAnsi="Verdana" w:cs="Arial"/>
                <w:kern w:val="2"/>
                <w:lang w:val="es-ES"/>
                <w14:ligatures w14:val="standardContextual"/>
              </w:rPr>
              <w:t>Exp</w:t>
            </w:r>
            <w:proofErr w:type="spellEnd"/>
            <w:r w:rsidRPr="00E73E5E">
              <w:rPr>
                <w:rFonts w:ascii="Verdana" w:eastAsia="Calibri" w:hAnsi="Verdana" w:cs="Arial"/>
                <w:kern w:val="2"/>
                <w:lang w:val="es-ES"/>
                <w14:ligatures w14:val="standardContextual"/>
              </w:rPr>
              <w:t>. 18.080.</w:t>
            </w:r>
          </w:p>
          <w:p w14:paraId="19ECF41A" w14:textId="77777777" w:rsidR="000E2D96" w:rsidRPr="00002AF6" w:rsidRDefault="000E2D96" w:rsidP="001225C2">
            <w:pPr>
              <w:pStyle w:val="Prrafodelista"/>
              <w:numPr>
                <w:ilvl w:val="0"/>
                <w:numId w:val="17"/>
              </w:numPr>
              <w:spacing w:line="278" w:lineRule="auto"/>
            </w:pPr>
            <w:r w:rsidRPr="00E73E5E">
              <w:rPr>
                <w:rFonts w:ascii="Verdana" w:eastAsia="Calibri" w:hAnsi="Verdana" w:cs="Arial"/>
                <w:kern w:val="2"/>
                <w14:ligatures w14:val="standardContextual"/>
              </w:rPr>
              <w:t>Colombia Compra Eficiente, Guía de Elaboración de Estudios de Sector - GEES del 24 de junio de 2022. Disponible en:  chrome-extension://efaidnbmnnnibpcajpcglclefindmkaj/https://www.colombiacompra.gov.co/sites/cce_public/files/cce_documentos/cce-eicp-gi-18._gees_v.2_2.pdf</w:t>
            </w:r>
          </w:p>
          <w:p w14:paraId="325D508E" w14:textId="77777777" w:rsidR="000E2D96" w:rsidRPr="00002AF6" w:rsidRDefault="000E2D96" w:rsidP="001225C2">
            <w:pPr>
              <w:widowControl w:val="0"/>
              <w:numPr>
                <w:ilvl w:val="0"/>
                <w:numId w:val="17"/>
              </w:numPr>
              <w:autoSpaceDE w:val="0"/>
              <w:autoSpaceDN w:val="0"/>
              <w:spacing w:line="276" w:lineRule="auto"/>
              <w:contextualSpacing/>
              <w:jc w:val="both"/>
              <w:rPr>
                <w:rFonts w:ascii="Verdana" w:eastAsia="Aptos" w:hAnsi="Verdana" w:cs="Arial"/>
              </w:rPr>
            </w:pPr>
            <w:r w:rsidRPr="00594B12">
              <w:rPr>
                <w:rFonts w:ascii="Verdana" w:eastAsia="Calibri" w:hAnsi="Verdana" w:cs="Arial"/>
                <w:lang w:val="es-ES"/>
              </w:rPr>
              <w:t>Decreto 1072 de 2015. Artículos 2.2.4.6.4,</w:t>
            </w:r>
            <w:r w:rsidRPr="00594B12">
              <w:rPr>
                <w:rFonts w:ascii="Verdana" w:eastAsia="Aptos" w:hAnsi="Verdana" w:cs="Times New Roman"/>
              </w:rPr>
              <w:t xml:space="preserve"> </w:t>
            </w:r>
            <w:r w:rsidRPr="00594B12">
              <w:rPr>
                <w:rFonts w:ascii="Verdana" w:eastAsia="Calibri" w:hAnsi="Verdana" w:cs="Arial"/>
                <w:lang w:val="es-ES"/>
              </w:rPr>
              <w:t>2.2.4.6.28, 2.2.4.6.37</w:t>
            </w:r>
          </w:p>
        </w:tc>
      </w:tr>
    </w:tbl>
    <w:p w14:paraId="2327FD87" w14:textId="77777777" w:rsidR="000E2D96" w:rsidRPr="000D66F8" w:rsidRDefault="000E2D96" w:rsidP="000E2D96">
      <w:pPr>
        <w:widowControl w:val="0"/>
        <w:autoSpaceDE w:val="0"/>
        <w:autoSpaceDN w:val="0"/>
        <w:spacing w:after="0" w:line="276" w:lineRule="auto"/>
        <w:jc w:val="both"/>
        <w:rPr>
          <w:rFonts w:ascii="Verdana" w:eastAsia="Calibri" w:hAnsi="Verdana" w:cs="Arial"/>
        </w:rPr>
      </w:pPr>
    </w:p>
    <w:p w14:paraId="5035E155" w14:textId="77777777" w:rsidR="000E2D96" w:rsidRPr="000D66F8" w:rsidRDefault="000E2D96" w:rsidP="000E2D9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t>Doctrina de la Agencia Nacional de Contratación Pública:</w:t>
      </w:r>
    </w:p>
    <w:p w14:paraId="3E126A0C" w14:textId="77777777" w:rsidR="000E2D96" w:rsidRPr="000D66F8" w:rsidRDefault="000E2D96" w:rsidP="000E2D96">
      <w:pPr>
        <w:widowControl w:val="0"/>
        <w:autoSpaceDE w:val="0"/>
        <w:autoSpaceDN w:val="0"/>
        <w:spacing w:after="0" w:line="276" w:lineRule="auto"/>
        <w:jc w:val="both"/>
        <w:rPr>
          <w:rFonts w:ascii="Verdana" w:eastAsia="Calibri" w:hAnsi="Verdana" w:cs="Arial"/>
        </w:rPr>
      </w:pPr>
    </w:p>
    <w:p w14:paraId="637B24FA" w14:textId="77777777" w:rsidR="000E2D96" w:rsidRPr="000D66F8" w:rsidRDefault="000E2D96" w:rsidP="000E2D96">
      <w:pPr>
        <w:widowControl w:val="0"/>
        <w:autoSpaceDE w:val="0"/>
        <w:autoSpaceDN w:val="0"/>
        <w:spacing w:after="0" w:line="276" w:lineRule="auto"/>
        <w:jc w:val="both"/>
        <w:rPr>
          <w:rFonts w:ascii="Verdana" w:eastAsia="Calibri" w:hAnsi="Verdana" w:cs="Arial"/>
          <w:shd w:val="clear" w:color="auto" w:fill="FFFFFF"/>
          <w:lang w:val="es-ES"/>
        </w:rPr>
      </w:pPr>
      <w:r w:rsidRPr="00594B12">
        <w:rPr>
          <w:rFonts w:ascii="Verdana" w:eastAsia="Aptos" w:hAnsi="Verdana" w:cs="Arial"/>
          <w:shd w:val="clear" w:color="auto" w:fill="FFFFFF"/>
          <w:lang w:val="es-ES"/>
        </w:rPr>
        <w:t>Sobre la implementación del Sistema de Gestión de Seguridad y Salud del Trabajo -SG-SST en los Procesos de Contratación, esta Subdirección se ha referido en los Conceptos 420184000003717, 420184000004716 y C-317 del 18 de septiembre de 2023</w:t>
      </w:r>
      <w:r w:rsidRPr="00ED6C58">
        <w:rPr>
          <w:rFonts w:ascii="Verdana" w:eastAsia="Calibri" w:hAnsi="Verdana" w:cs="Arial"/>
          <w:shd w:val="clear" w:color="auto" w:fill="FFFFFF"/>
          <w:lang w:val="es-ES"/>
        </w:rPr>
        <w:t>.</w:t>
      </w:r>
      <w:r w:rsidRPr="000D66F8">
        <w:rPr>
          <w:rFonts w:ascii="Verdana" w:eastAsia="Calibri" w:hAnsi="Verdana" w:cs="Arial"/>
          <w:shd w:val="clear" w:color="auto" w:fill="FFFFFF"/>
          <w:lang w:val="es-ES"/>
        </w:rPr>
        <w:t xml:space="preserve"> Es</w:t>
      </w:r>
      <w:r w:rsidRPr="000D66F8">
        <w:rPr>
          <w:rFonts w:ascii="Verdana" w:eastAsia="Calibri" w:hAnsi="Verdana" w:cs="Times New Roman"/>
        </w:rPr>
        <w:t>tos y otros conceptos se encuentran disponibles para consulta en el sistema de relatoría de la Agencia, al cual se puede acceder a través del siguiente enlace:</w:t>
      </w:r>
      <w:r w:rsidRPr="000D66F8">
        <w:rPr>
          <w:rFonts w:ascii="Verdana" w:eastAsia="Calibri" w:hAnsi="Verdana" w:cs="Arial"/>
          <w:shd w:val="clear" w:color="auto" w:fill="FFFFFF"/>
          <w:lang w:val="es-ES"/>
        </w:rPr>
        <w:t xml:space="preserve"> </w:t>
      </w:r>
      <w:hyperlink r:id="rId13" w:history="1">
        <w:r w:rsidRPr="000D66F8">
          <w:rPr>
            <w:rFonts w:ascii="Verdana" w:eastAsia="Calibri" w:hAnsi="Verdana" w:cs="Arial"/>
            <w:u w:val="single"/>
            <w:shd w:val="clear" w:color="auto" w:fill="FFFFFF"/>
            <w:lang w:val="es-ES"/>
          </w:rPr>
          <w:t>https://relatoria.colombiacompra.gov.co/busqueda/conceptos</w:t>
        </w:r>
      </w:hyperlink>
      <w:r w:rsidRPr="000D66F8">
        <w:rPr>
          <w:rFonts w:ascii="Verdana" w:eastAsia="Calibri" w:hAnsi="Verdana" w:cs="Arial"/>
          <w:shd w:val="clear" w:color="auto" w:fill="FFFFFF"/>
          <w:lang w:val="es-ES"/>
        </w:rPr>
        <w:t xml:space="preserve">. </w:t>
      </w:r>
    </w:p>
    <w:p w14:paraId="064663C4" w14:textId="77777777" w:rsidR="000E2D96" w:rsidRPr="000D66F8" w:rsidRDefault="000E2D96" w:rsidP="000E2D96">
      <w:pPr>
        <w:widowControl w:val="0"/>
        <w:autoSpaceDE w:val="0"/>
        <w:autoSpaceDN w:val="0"/>
        <w:spacing w:after="0" w:line="276" w:lineRule="auto"/>
        <w:jc w:val="both"/>
        <w:rPr>
          <w:rFonts w:ascii="Verdana" w:eastAsia="Calibri" w:hAnsi="Verdana" w:cs="Arial"/>
          <w:shd w:val="clear" w:color="auto" w:fill="FFFFFF"/>
          <w:lang w:val="es-ES"/>
        </w:rPr>
      </w:pPr>
    </w:p>
    <w:p w14:paraId="291EAB37" w14:textId="77777777" w:rsidR="000B2837" w:rsidRPr="000B2837" w:rsidRDefault="000E2D96" w:rsidP="000B2837">
      <w:pPr>
        <w:pStyle w:val="Textonotapie"/>
        <w:spacing w:line="276" w:lineRule="auto"/>
        <w:jc w:val="both"/>
        <w:rPr>
          <w:rFonts w:ascii="Verdana" w:hAnsi="Verdana"/>
          <w:color w:val="000000"/>
          <w:sz w:val="22"/>
          <w:szCs w:val="22"/>
          <w:shd w:val="clear" w:color="auto" w:fill="FFFFFF"/>
        </w:rPr>
      </w:pPr>
      <w:r w:rsidRPr="000D66F8">
        <w:rPr>
          <w:rFonts w:ascii="Verdana" w:eastAsia="Aptos" w:hAnsi="Verdana" w:cs="Times New Roman"/>
          <w:kern w:val="2"/>
          <w14:ligatures w14:val="standardContextual"/>
        </w:rPr>
        <w:br/>
      </w:r>
      <w:r w:rsidR="000B2837" w:rsidRPr="000B2837">
        <w:rPr>
          <w:rFonts w:ascii="Verdana" w:hAnsi="Verdana"/>
          <w:color w:val="000000"/>
          <w:sz w:val="22"/>
          <w:szCs w:val="22"/>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1E8135D7" w14:textId="77777777" w:rsidR="000B2837" w:rsidRPr="000B2837" w:rsidRDefault="000B2837" w:rsidP="000B2837">
      <w:pPr>
        <w:pStyle w:val="Textonotapie"/>
        <w:spacing w:line="276" w:lineRule="auto"/>
        <w:jc w:val="both"/>
        <w:rPr>
          <w:rFonts w:ascii="Verdana" w:hAnsi="Verdana"/>
          <w:color w:val="000000"/>
          <w:sz w:val="22"/>
          <w:szCs w:val="22"/>
          <w:shd w:val="clear" w:color="auto" w:fill="FFFFFF"/>
        </w:rPr>
      </w:pPr>
    </w:p>
    <w:p w14:paraId="189B1CBF" w14:textId="77777777" w:rsidR="000B2837" w:rsidRPr="000B2837" w:rsidRDefault="000B2837" w:rsidP="000B2837">
      <w:pPr>
        <w:pStyle w:val="Textonotapie"/>
        <w:numPr>
          <w:ilvl w:val="0"/>
          <w:numId w:val="21"/>
        </w:numPr>
        <w:spacing w:line="276" w:lineRule="auto"/>
        <w:jc w:val="both"/>
        <w:rPr>
          <w:rFonts w:ascii="Verdana" w:hAnsi="Verdana"/>
          <w:color w:val="000000"/>
          <w:sz w:val="22"/>
          <w:szCs w:val="22"/>
          <w:shd w:val="clear" w:color="auto" w:fill="FFFFFF"/>
        </w:rPr>
      </w:pPr>
      <w:r w:rsidRPr="000B2837">
        <w:rPr>
          <w:rFonts w:ascii="Verdana" w:hAnsi="Verdana"/>
          <w:b/>
          <w:bCs/>
          <w:color w:val="000000"/>
          <w:sz w:val="22"/>
          <w:szCs w:val="22"/>
          <w:shd w:val="clear" w:color="auto" w:fill="FFFFFF"/>
        </w:rPr>
        <w:lastRenderedPageBreak/>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0B2837">
          <w:rPr>
            <w:rStyle w:val="Hipervnculo"/>
            <w:rFonts w:ascii="Verdana" w:hAnsi="Verdana"/>
            <w:sz w:val="22"/>
            <w:szCs w:val="22"/>
            <w:shd w:val="clear" w:color="auto" w:fill="FFFFFF"/>
          </w:rPr>
          <w:t>03. Documentos tipo para los procesos de selección de interventoría de obra pública de infraestructura de transporte – versión 3 | Colombia Compra Eficiente | Agencia Nacional de Contratación Pública</w:t>
        </w:r>
      </w:hyperlink>
    </w:p>
    <w:p w14:paraId="11AA94F8" w14:textId="77777777" w:rsidR="000B2837" w:rsidRDefault="000B2837" w:rsidP="000B2837">
      <w:pPr>
        <w:pStyle w:val="Textonotapie"/>
        <w:numPr>
          <w:ilvl w:val="0"/>
          <w:numId w:val="21"/>
        </w:numPr>
        <w:spacing w:line="276" w:lineRule="auto"/>
        <w:jc w:val="both"/>
        <w:rPr>
          <w:rFonts w:ascii="Verdana" w:hAnsi="Verdana"/>
          <w:color w:val="000000"/>
          <w:sz w:val="22"/>
          <w:szCs w:val="22"/>
          <w:shd w:val="clear" w:color="auto" w:fill="FFFFFF"/>
        </w:rPr>
      </w:pPr>
      <w:r w:rsidRPr="000B2837">
        <w:rPr>
          <w:rFonts w:ascii="Verdana" w:hAnsi="Verdana"/>
          <w:b/>
          <w:bCs/>
          <w:color w:val="000000"/>
          <w:sz w:val="22"/>
          <w:szCs w:val="22"/>
          <w:shd w:val="clear" w:color="auto" w:fill="FFFFFF"/>
        </w:rPr>
        <w:t>Documentos tipo para los procesos de selección de consultoría de obra pública de infraestructura de transporte – versión 2:</w:t>
      </w:r>
      <w:r w:rsidRPr="000B2837">
        <w:rPr>
          <w:rFonts w:ascii="Verdana" w:hAnsi="Verdana"/>
          <w:color w:val="000000"/>
          <w:sz w:val="22"/>
          <w:szCs w:val="22"/>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0B2837">
          <w:rPr>
            <w:rStyle w:val="Hipervnculo"/>
            <w:rFonts w:ascii="Verdana" w:hAnsi="Verdana"/>
            <w:sz w:val="22"/>
            <w:szCs w:val="22"/>
            <w:shd w:val="clear" w:color="auto" w:fill="FFFFFF"/>
          </w:rPr>
          <w:t>02. Documentos tipo para los procesos de selección de consultoría de obra pública de infraestructura de transporte – versión 2. | Colombia Compra Eficiente | Agencia Nacional de Contratación Pública</w:t>
        </w:r>
      </w:hyperlink>
    </w:p>
    <w:p w14:paraId="49F75009" w14:textId="77777777" w:rsidR="000B2837" w:rsidRPr="000B2837" w:rsidRDefault="000B2837" w:rsidP="000B2837">
      <w:pPr>
        <w:pStyle w:val="Textonotapie"/>
        <w:spacing w:line="276" w:lineRule="auto"/>
        <w:ind w:left="720"/>
        <w:jc w:val="both"/>
        <w:rPr>
          <w:rFonts w:ascii="Verdana" w:hAnsi="Verdana"/>
          <w:color w:val="000000"/>
          <w:sz w:val="22"/>
          <w:szCs w:val="22"/>
          <w:shd w:val="clear" w:color="auto" w:fill="FFFFFF"/>
        </w:rPr>
      </w:pPr>
    </w:p>
    <w:p w14:paraId="5821AFCE" w14:textId="77777777" w:rsidR="000B2837" w:rsidRPr="000B2837" w:rsidRDefault="000B2837" w:rsidP="000B2837">
      <w:pPr>
        <w:pStyle w:val="Textonotapie"/>
        <w:spacing w:line="276" w:lineRule="auto"/>
        <w:jc w:val="both"/>
        <w:rPr>
          <w:rFonts w:ascii="Verdana" w:hAnsi="Verdana"/>
          <w:color w:val="000000"/>
          <w:sz w:val="22"/>
          <w:szCs w:val="22"/>
          <w:shd w:val="clear" w:color="auto" w:fill="FFFFFF"/>
        </w:rPr>
      </w:pPr>
      <w:r w:rsidRPr="000B2837">
        <w:rPr>
          <w:rFonts w:ascii="Verdana" w:hAnsi="Verdana"/>
          <w:color w:val="000000"/>
          <w:sz w:val="22"/>
          <w:szCs w:val="22"/>
          <w:shd w:val="clear" w:color="auto" w:fill="FFFFFF"/>
        </w:rPr>
        <w:t>También, te contamos que ya publicamos </w:t>
      </w:r>
      <w:r w:rsidRPr="000B2837">
        <w:rPr>
          <w:rFonts w:ascii="Verdana" w:hAnsi="Verdana"/>
          <w:b/>
          <w:bCs/>
          <w:color w:val="000000"/>
          <w:sz w:val="22"/>
          <w:szCs w:val="22"/>
          <w:shd w:val="clear" w:color="auto" w:fill="FFFFFF"/>
        </w:rPr>
        <w:t>la nueva Guía de Contratación Pública Sostenible y Socialmente Responsable</w:t>
      </w:r>
      <w:r w:rsidRPr="000B2837">
        <w:rPr>
          <w:rFonts w:ascii="Verdana" w:hAnsi="Verdana"/>
          <w:color w:val="000000"/>
          <w:sz w:val="22"/>
          <w:szCs w:val="22"/>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0B2837">
          <w:rPr>
            <w:rStyle w:val="Hipervnculo"/>
            <w:rFonts w:ascii="Verdana" w:hAnsi="Verdana"/>
            <w:sz w:val="22"/>
            <w:szCs w:val="22"/>
            <w:shd w:val="clear" w:color="auto" w:fill="FFFFFF"/>
          </w:rPr>
          <w:t>Guía de Contratación Pública Sostenible y Socialmente Responsable | Colombia Compra Eficiente | Agencia Nacional de Contratación Pública</w:t>
        </w:r>
      </w:hyperlink>
    </w:p>
    <w:p w14:paraId="4EF73D91" w14:textId="1F625724" w:rsidR="000E2D96" w:rsidRPr="000D66F8" w:rsidRDefault="000E2D96" w:rsidP="000B2837">
      <w:pPr>
        <w:pStyle w:val="Textonotapie"/>
        <w:spacing w:line="276" w:lineRule="auto"/>
        <w:jc w:val="both"/>
        <w:rPr>
          <w:rFonts w:ascii="Verdana" w:eastAsia="Calibri" w:hAnsi="Verdana" w:cs="Arial"/>
          <w:shd w:val="clear" w:color="auto" w:fill="FFFFFF"/>
        </w:rPr>
      </w:pPr>
    </w:p>
    <w:p w14:paraId="7E01B2F2" w14:textId="77777777" w:rsidR="000E2D96" w:rsidRPr="000D66F8" w:rsidRDefault="000E2D96" w:rsidP="000E2D96">
      <w:pPr>
        <w:spacing w:after="0" w:line="240" w:lineRule="auto"/>
        <w:jc w:val="both"/>
        <w:rPr>
          <w:rFonts w:ascii="Verdana" w:eastAsia="Calibri" w:hAnsi="Verdana" w:cs="Times New Roman"/>
        </w:rPr>
      </w:pPr>
      <w:r w:rsidRPr="000D66F8">
        <w:rPr>
          <w:rFonts w:ascii="Verdana" w:eastAsia="Calibri" w:hAnsi="Verdana" w:cs="Times New Roman"/>
        </w:rPr>
        <w:t xml:space="preserve">Por último, los invitamos a seguirnos en las redes sociales, en las cuales se difunde información institucional: </w:t>
      </w:r>
    </w:p>
    <w:p w14:paraId="223AF4DD" w14:textId="77777777" w:rsidR="000E2D96" w:rsidRPr="000D66F8" w:rsidRDefault="000E2D96" w:rsidP="000E2D96">
      <w:pPr>
        <w:spacing w:after="0" w:line="240" w:lineRule="auto"/>
        <w:jc w:val="both"/>
        <w:rPr>
          <w:rFonts w:ascii="Verdana" w:eastAsia="Calibri" w:hAnsi="Verdana" w:cs="Times New Roman"/>
        </w:rPr>
      </w:pPr>
    </w:p>
    <w:p w14:paraId="4AD07B01" w14:textId="77777777" w:rsidR="000E2D96" w:rsidRPr="000D66F8" w:rsidRDefault="000E2D96" w:rsidP="000E2D96">
      <w:pPr>
        <w:spacing w:after="0" w:line="240" w:lineRule="auto"/>
        <w:jc w:val="both"/>
        <w:rPr>
          <w:rFonts w:ascii="Verdana" w:eastAsia="Calibri" w:hAnsi="Verdana" w:cs="Times New Roman"/>
        </w:rPr>
      </w:pPr>
      <w:r w:rsidRPr="000D66F8">
        <w:rPr>
          <w:rFonts w:ascii="Verdana" w:eastAsia="Calibri" w:hAnsi="Verdana" w:cs="Times New Roman"/>
        </w:rPr>
        <w:t xml:space="preserve">Twitter: </w:t>
      </w:r>
      <w:r w:rsidRPr="000D66F8">
        <w:rPr>
          <w:rFonts w:ascii="Verdana" w:eastAsia="Calibri" w:hAnsi="Verdana" w:cs="Times New Roman"/>
          <w:u w:val="single"/>
        </w:rPr>
        <w:t>@colombiacompra</w:t>
      </w:r>
      <w:r w:rsidRPr="000D66F8">
        <w:rPr>
          <w:rFonts w:ascii="Verdana" w:eastAsia="Calibri" w:hAnsi="Verdana" w:cs="Times New Roman"/>
        </w:rPr>
        <w:t xml:space="preserve"> </w:t>
      </w:r>
    </w:p>
    <w:p w14:paraId="3B0BC276" w14:textId="77777777" w:rsidR="000E2D96" w:rsidRPr="000D66F8" w:rsidRDefault="000E2D96" w:rsidP="000E2D96">
      <w:pPr>
        <w:spacing w:after="0" w:line="240" w:lineRule="auto"/>
        <w:jc w:val="both"/>
        <w:rPr>
          <w:rFonts w:ascii="Verdana" w:eastAsia="Calibri" w:hAnsi="Verdana" w:cs="Times New Roman"/>
        </w:rPr>
      </w:pPr>
      <w:r w:rsidRPr="000D66F8">
        <w:rPr>
          <w:rFonts w:ascii="Verdana" w:eastAsia="Calibri" w:hAnsi="Verdana" w:cs="Times New Roman"/>
        </w:rPr>
        <w:t xml:space="preserve">Facebook: </w:t>
      </w:r>
      <w:proofErr w:type="spellStart"/>
      <w:r w:rsidRPr="000D66F8">
        <w:rPr>
          <w:rFonts w:ascii="Verdana" w:eastAsia="Calibri" w:hAnsi="Verdana" w:cs="Times New Roman"/>
          <w:u w:val="single"/>
        </w:rPr>
        <w:t>ColombiaCompraEficiente</w:t>
      </w:r>
      <w:proofErr w:type="spellEnd"/>
    </w:p>
    <w:p w14:paraId="4D2FEE53" w14:textId="77777777" w:rsidR="000E2D96" w:rsidRPr="000D66F8" w:rsidRDefault="000E2D96" w:rsidP="000E2D96">
      <w:pPr>
        <w:spacing w:after="0" w:line="240" w:lineRule="auto"/>
        <w:jc w:val="both"/>
        <w:rPr>
          <w:rFonts w:ascii="Verdana" w:eastAsia="Calibri" w:hAnsi="Verdana" w:cs="Times New Roman"/>
        </w:rPr>
      </w:pPr>
      <w:r w:rsidRPr="000D66F8">
        <w:rPr>
          <w:rFonts w:ascii="Verdana" w:eastAsia="Calibri" w:hAnsi="Verdana" w:cs="Times New Roman"/>
        </w:rPr>
        <w:t xml:space="preserve">LinkedIn: </w:t>
      </w:r>
      <w:r w:rsidRPr="000D66F8">
        <w:rPr>
          <w:rFonts w:ascii="Verdana" w:eastAsia="Calibri" w:hAnsi="Verdana" w:cs="Times New Roman"/>
          <w:u w:val="single"/>
        </w:rPr>
        <w:t>Agencia Nacional de Contratación Pública - Colombia Compra Eficiente</w:t>
      </w:r>
      <w:r w:rsidRPr="000D66F8">
        <w:rPr>
          <w:rFonts w:ascii="Verdana" w:eastAsia="Calibri" w:hAnsi="Verdana" w:cs="Times New Roman"/>
        </w:rPr>
        <w:t xml:space="preserve"> Instagram: </w:t>
      </w:r>
      <w:r w:rsidRPr="000D66F8">
        <w:rPr>
          <w:rFonts w:ascii="Verdana" w:eastAsia="Calibri" w:hAnsi="Verdana" w:cs="Times New Roman"/>
          <w:u w:val="single"/>
        </w:rPr>
        <w:t>@colombiacompraeficiente_cce</w:t>
      </w:r>
    </w:p>
    <w:p w14:paraId="42D6CE9A" w14:textId="77777777" w:rsidR="000E2D96" w:rsidRPr="000D66F8" w:rsidRDefault="000E2D96" w:rsidP="000E2D96">
      <w:pPr>
        <w:widowControl w:val="0"/>
        <w:autoSpaceDE w:val="0"/>
        <w:autoSpaceDN w:val="0"/>
        <w:spacing w:after="0" w:line="276" w:lineRule="auto"/>
        <w:jc w:val="both"/>
        <w:rPr>
          <w:rFonts w:ascii="Verdana" w:eastAsia="Calibri" w:hAnsi="Verdana" w:cs="Arial"/>
        </w:rPr>
      </w:pPr>
    </w:p>
    <w:p w14:paraId="45C0CBBA" w14:textId="77777777" w:rsidR="000E2D96" w:rsidRPr="000D66F8" w:rsidRDefault="000E2D96" w:rsidP="000E2D96">
      <w:pPr>
        <w:widowControl w:val="0"/>
        <w:autoSpaceDE w:val="0"/>
        <w:autoSpaceDN w:val="0"/>
        <w:spacing w:after="0" w:line="276" w:lineRule="auto"/>
        <w:jc w:val="both"/>
        <w:rPr>
          <w:rFonts w:ascii="Verdana" w:eastAsia="Calibri" w:hAnsi="Verdana" w:cs="Arial"/>
          <w:lang w:val="es-ES_tradnl"/>
        </w:rPr>
      </w:pPr>
      <w:r w:rsidRPr="000D66F8">
        <w:rPr>
          <w:rFonts w:ascii="Verdana" w:eastAsia="Calibri" w:hAnsi="Verdana" w:cs="Arial"/>
        </w:rPr>
        <w:t xml:space="preserve">Este concepto tiene el alcance previsto en el artículo 28 del Código de Procedimiento Administrativo y de lo Contencioso Administrativo </w:t>
      </w:r>
      <w:r w:rsidRPr="000D66F8">
        <w:rPr>
          <w:rFonts w:ascii="Verdana" w:eastAsia="Calibri" w:hAnsi="Verdana" w:cs="Arial"/>
          <w:lang w:val="es-ES_tradnl"/>
        </w:rPr>
        <w:t>y las expresiones aquí utilizadas con mayúscula inicial deben ser entendidas con el significado que les otorga el artículo 2.2.1.1.1.3.1. del Decreto 1082 de 2015.</w:t>
      </w:r>
    </w:p>
    <w:p w14:paraId="105479FC" w14:textId="77777777" w:rsidR="000E2D96" w:rsidRPr="000D66F8" w:rsidRDefault="000E2D96" w:rsidP="000E2D96">
      <w:pPr>
        <w:widowControl w:val="0"/>
        <w:autoSpaceDE w:val="0"/>
        <w:autoSpaceDN w:val="0"/>
        <w:spacing w:after="0" w:line="276" w:lineRule="auto"/>
        <w:jc w:val="both"/>
        <w:rPr>
          <w:rFonts w:ascii="Verdana" w:eastAsia="Calibri" w:hAnsi="Verdana" w:cs="Arial"/>
        </w:rPr>
      </w:pPr>
    </w:p>
    <w:p w14:paraId="13D8831B" w14:textId="77777777" w:rsidR="000E2D96" w:rsidRPr="000D66F8" w:rsidRDefault="000E2D96" w:rsidP="000E2D96">
      <w:pPr>
        <w:spacing w:after="0" w:line="240" w:lineRule="auto"/>
        <w:rPr>
          <w:rFonts w:ascii="Verdana" w:eastAsia="Calibri" w:hAnsi="Verdana" w:cs="Arial"/>
          <w:lang w:eastAsia="es-CO"/>
        </w:rPr>
      </w:pPr>
      <w:r w:rsidRPr="000D66F8">
        <w:rPr>
          <w:rFonts w:ascii="Verdana" w:eastAsia="Times New Roman" w:hAnsi="Verdana" w:cs="Arial"/>
          <w:lang w:eastAsia="es-CO"/>
        </w:rPr>
        <w:t>Atentamente,</w:t>
      </w:r>
      <w:r w:rsidRPr="000D66F8">
        <w:rPr>
          <w:rFonts w:ascii="Verdana" w:eastAsia="Calibri" w:hAnsi="Verdana" w:cs="Arial"/>
          <w:lang w:eastAsia="es-CO"/>
        </w:rPr>
        <w:t xml:space="preserve"> </w:t>
      </w:r>
    </w:p>
    <w:p w14:paraId="742A4C04" w14:textId="41575157" w:rsidR="000E2D96" w:rsidRPr="000D66F8" w:rsidRDefault="00DB688A" w:rsidP="000E2D96">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4DD84FB2" wp14:editId="7E76386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E2D96" w:rsidRPr="000D66F8" w14:paraId="276F47A3" w14:textId="77777777" w:rsidTr="001225C2">
        <w:trPr>
          <w:trHeight w:val="315"/>
        </w:trPr>
        <w:tc>
          <w:tcPr>
            <w:tcW w:w="893" w:type="dxa"/>
            <w:vAlign w:val="center"/>
            <w:hideMark/>
          </w:tcPr>
          <w:p w14:paraId="15B331E9" w14:textId="77777777" w:rsidR="000E2D96" w:rsidRPr="000D66F8" w:rsidRDefault="000E2D96" w:rsidP="001225C2">
            <w:pPr>
              <w:rPr>
                <w:rFonts w:ascii="Verdana" w:eastAsia="Calibri" w:hAnsi="Verdana" w:cs="Arial"/>
                <w:sz w:val="16"/>
                <w:szCs w:val="16"/>
                <w:lang w:val="es-ES" w:eastAsia="es-ES"/>
              </w:rPr>
            </w:pPr>
            <w:r w:rsidRPr="000D66F8">
              <w:rPr>
                <w:rFonts w:ascii="Verdana"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68E863F" w14:textId="77777777" w:rsidR="000E2D96" w:rsidRPr="000D66F8" w:rsidRDefault="000E2D96" w:rsidP="001225C2">
            <w:pPr>
              <w:contextualSpacing/>
              <w:rPr>
                <w:rFonts w:ascii="Verdana" w:eastAsia="Arial" w:hAnsi="Verdana" w:cs="Arial"/>
                <w:sz w:val="16"/>
                <w:szCs w:val="16"/>
              </w:rPr>
            </w:pPr>
            <w:r w:rsidRPr="000D66F8">
              <w:rPr>
                <w:rFonts w:ascii="Verdana" w:eastAsia="Arial" w:hAnsi="Verdana" w:cs="Arial"/>
                <w:sz w:val="16"/>
                <w:szCs w:val="16"/>
              </w:rPr>
              <w:t>Richard Andrés Montenegro Siefken</w:t>
            </w:r>
          </w:p>
          <w:p w14:paraId="74C0E71D" w14:textId="77777777" w:rsidR="000E2D96" w:rsidRPr="000D66F8" w:rsidRDefault="000E2D96" w:rsidP="001225C2">
            <w:pPr>
              <w:rPr>
                <w:rFonts w:ascii="Verdana" w:eastAsia="Arial" w:hAnsi="Verdana" w:cs="Arial"/>
                <w:sz w:val="16"/>
                <w:szCs w:val="16"/>
              </w:rPr>
            </w:pPr>
            <w:r w:rsidRPr="000D66F8">
              <w:rPr>
                <w:rStyle w:val="normaltextrun"/>
                <w:rFonts w:ascii="Verdana" w:eastAsia="Arial" w:hAnsi="Verdana" w:cs="Arial"/>
                <w:sz w:val="16"/>
                <w:szCs w:val="16"/>
              </w:rPr>
              <w:t>Contratista de la Subdirección de Gestión Contractual</w:t>
            </w:r>
          </w:p>
        </w:tc>
      </w:tr>
      <w:tr w:rsidR="000E2D96" w:rsidRPr="000D66F8" w14:paraId="00897622" w14:textId="77777777" w:rsidTr="001225C2">
        <w:trPr>
          <w:trHeight w:val="330"/>
        </w:trPr>
        <w:tc>
          <w:tcPr>
            <w:tcW w:w="893" w:type="dxa"/>
            <w:vAlign w:val="center"/>
            <w:hideMark/>
          </w:tcPr>
          <w:p w14:paraId="731BF4AE" w14:textId="77777777" w:rsidR="000E2D96" w:rsidRPr="000D66F8" w:rsidRDefault="000E2D96" w:rsidP="001225C2">
            <w:pPr>
              <w:rPr>
                <w:rFonts w:ascii="Verdana" w:eastAsia="Calibri" w:hAnsi="Verdana" w:cs="Arial"/>
                <w:sz w:val="16"/>
                <w:szCs w:val="16"/>
                <w:lang w:val="es-ES" w:eastAsia="es-ES"/>
              </w:rPr>
            </w:pPr>
            <w:r w:rsidRPr="000D66F8">
              <w:rPr>
                <w:rFonts w:ascii="Verdana"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286A775" w14:textId="77777777" w:rsidR="000E2D96" w:rsidRPr="000D66F8" w:rsidRDefault="000E2D96" w:rsidP="001225C2">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Carlos González Vásquez</w:t>
            </w:r>
          </w:p>
          <w:p w14:paraId="52D2EAE0" w14:textId="77777777" w:rsidR="000E2D96" w:rsidRPr="000D66F8" w:rsidRDefault="000E2D96" w:rsidP="001225C2">
            <w:pPr>
              <w:textAlignment w:val="baseline"/>
              <w:rPr>
                <w:rFonts w:ascii="Verdana" w:eastAsia="Times New Roman" w:hAnsi="Verdana" w:cs="Segoe UI"/>
                <w:sz w:val="16"/>
                <w:szCs w:val="16"/>
                <w:lang w:eastAsia="es-ES_tradnl"/>
              </w:rPr>
            </w:pPr>
            <w:r w:rsidRPr="000D66F8">
              <w:rPr>
                <w:rStyle w:val="normaltextrun"/>
                <w:rFonts w:ascii="Verdana" w:hAnsi="Verdana" w:cs="Arial"/>
                <w:sz w:val="16"/>
                <w:szCs w:val="16"/>
                <w:lang w:val="es-ES"/>
              </w:rPr>
              <w:t>C</w:t>
            </w:r>
            <w:r w:rsidRPr="000D66F8">
              <w:rPr>
                <w:rStyle w:val="normaltextrun"/>
                <w:rFonts w:ascii="Verdana" w:hAnsi="Verdana"/>
                <w:sz w:val="16"/>
                <w:szCs w:val="16"/>
                <w:lang w:val="es-ES"/>
              </w:rPr>
              <w:t>ontratista</w:t>
            </w:r>
            <w:r w:rsidRPr="000D66F8">
              <w:rPr>
                <w:rStyle w:val="normaltextrun"/>
                <w:rFonts w:ascii="Verdana" w:hAnsi="Verdana" w:cs="Arial"/>
                <w:sz w:val="16"/>
                <w:szCs w:val="16"/>
                <w:lang w:val="es-ES"/>
              </w:rPr>
              <w:t xml:space="preserve"> de la Subdirección de Gestión Contractual</w:t>
            </w:r>
            <w:r w:rsidRPr="000D66F8">
              <w:rPr>
                <w:rStyle w:val="eop"/>
                <w:rFonts w:ascii="Verdana" w:hAnsi="Verdana" w:cs="Arial"/>
                <w:sz w:val="16"/>
                <w:szCs w:val="16"/>
              </w:rPr>
              <w:t> </w:t>
            </w:r>
          </w:p>
        </w:tc>
      </w:tr>
      <w:tr w:rsidR="000E2D96" w:rsidRPr="000D66F8" w14:paraId="5C54F2A8" w14:textId="77777777" w:rsidTr="001225C2">
        <w:trPr>
          <w:trHeight w:val="300"/>
        </w:trPr>
        <w:tc>
          <w:tcPr>
            <w:tcW w:w="893" w:type="dxa"/>
            <w:vAlign w:val="center"/>
          </w:tcPr>
          <w:p w14:paraId="3485B943" w14:textId="77777777" w:rsidR="000E2D96" w:rsidRPr="000D66F8" w:rsidRDefault="000E2D96" w:rsidP="001225C2">
            <w:pPr>
              <w:rPr>
                <w:rFonts w:ascii="Verdana" w:eastAsia="Calibri" w:hAnsi="Verdana" w:cs="Arial"/>
                <w:sz w:val="16"/>
                <w:szCs w:val="16"/>
                <w:lang w:val="es-ES" w:eastAsia="es-ES"/>
              </w:rPr>
            </w:pPr>
            <w:r w:rsidRPr="000D66F8">
              <w:rPr>
                <w:rFonts w:ascii="Verdana"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0921210D" w14:textId="77777777" w:rsidR="000E2D96" w:rsidRPr="000D66F8" w:rsidRDefault="000E2D96" w:rsidP="001225C2">
            <w:pPr>
              <w:contextualSpacing/>
              <w:rPr>
                <w:rFonts w:ascii="Verdana" w:eastAsia="Calibri" w:hAnsi="Verdana" w:cs="Arial"/>
                <w:sz w:val="16"/>
                <w:szCs w:val="16"/>
                <w:lang w:val="pt-BR" w:eastAsia="es-ES"/>
              </w:rPr>
            </w:pPr>
            <w:r w:rsidRPr="000D66F8">
              <w:rPr>
                <w:rFonts w:ascii="Verdana" w:eastAsia="Calibri" w:hAnsi="Verdana" w:cs="Arial"/>
                <w:sz w:val="16"/>
                <w:szCs w:val="16"/>
                <w:lang w:val="pt-BR" w:eastAsia="es-ES"/>
              </w:rPr>
              <w:t xml:space="preserve">Carolina Quintero </w:t>
            </w:r>
            <w:proofErr w:type="spellStart"/>
            <w:r w:rsidRPr="000D66F8">
              <w:rPr>
                <w:rFonts w:ascii="Verdana" w:eastAsia="Calibri" w:hAnsi="Verdana" w:cs="Arial"/>
                <w:sz w:val="16"/>
                <w:szCs w:val="16"/>
                <w:lang w:val="pt-BR" w:eastAsia="es-ES"/>
              </w:rPr>
              <w:t>Gacharná</w:t>
            </w:r>
            <w:proofErr w:type="spellEnd"/>
          </w:p>
          <w:p w14:paraId="56FDA94E" w14:textId="77777777" w:rsidR="000E2D96" w:rsidRPr="000D66F8" w:rsidRDefault="000E2D96" w:rsidP="001225C2">
            <w:pPr>
              <w:rPr>
                <w:rFonts w:ascii="Verdana" w:eastAsia="Calibri" w:hAnsi="Verdana" w:cs="Arial"/>
                <w:sz w:val="16"/>
                <w:szCs w:val="16"/>
                <w:lang w:val="pt-BR" w:eastAsia="es-ES"/>
              </w:rPr>
            </w:pPr>
            <w:r w:rsidRPr="000D66F8">
              <w:rPr>
                <w:rFonts w:ascii="Verdana" w:eastAsia="Calibri" w:hAnsi="Verdana" w:cs="Arial"/>
                <w:sz w:val="16"/>
                <w:szCs w:val="16"/>
                <w:lang w:eastAsia="es-ES"/>
              </w:rPr>
              <w:t>Subdirectora</w:t>
            </w:r>
            <w:r w:rsidRPr="000D66F8">
              <w:rPr>
                <w:rFonts w:ascii="Verdana" w:eastAsia="Calibri" w:hAnsi="Verdana" w:cs="Arial"/>
                <w:sz w:val="16"/>
                <w:szCs w:val="16"/>
                <w:lang w:val="pt-BR" w:eastAsia="es-ES"/>
              </w:rPr>
              <w:t xml:space="preserve"> de Gestión Contratual ANCP – CCE</w:t>
            </w:r>
          </w:p>
        </w:tc>
      </w:tr>
      <w:bookmarkEnd w:id="0"/>
    </w:tbl>
    <w:p w14:paraId="3900974D" w14:textId="77777777" w:rsidR="003D5B0D" w:rsidRPr="00C5312F" w:rsidRDefault="003D5B0D" w:rsidP="00C5312F"/>
    <w:sectPr w:rsidR="003D5B0D" w:rsidRPr="00C5312F"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0123" w14:textId="77777777" w:rsidR="00D64681" w:rsidRDefault="00D64681" w:rsidP="004A1847">
      <w:pPr>
        <w:spacing w:after="0" w:line="240" w:lineRule="auto"/>
      </w:pPr>
      <w:r>
        <w:separator/>
      </w:r>
    </w:p>
  </w:endnote>
  <w:endnote w:type="continuationSeparator" w:id="0">
    <w:p w14:paraId="7C354995" w14:textId="77777777" w:rsidR="00D64681" w:rsidRDefault="00D64681" w:rsidP="004A1847">
      <w:pPr>
        <w:spacing w:after="0" w:line="240" w:lineRule="auto"/>
      </w:pPr>
      <w:r>
        <w:continuationSeparator/>
      </w:r>
    </w:p>
  </w:endnote>
  <w:endnote w:type="continuationNotice" w:id="1">
    <w:p w14:paraId="094D81C4" w14:textId="77777777" w:rsidR="00D64681" w:rsidRDefault="00D64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31FE" w14:textId="77777777" w:rsidR="00D64681" w:rsidRDefault="00D64681" w:rsidP="004A1847">
      <w:pPr>
        <w:spacing w:after="0" w:line="240" w:lineRule="auto"/>
      </w:pPr>
      <w:r>
        <w:separator/>
      </w:r>
    </w:p>
  </w:footnote>
  <w:footnote w:type="continuationSeparator" w:id="0">
    <w:p w14:paraId="3D1CF022" w14:textId="77777777" w:rsidR="00D64681" w:rsidRDefault="00D64681" w:rsidP="004A1847">
      <w:pPr>
        <w:spacing w:after="0" w:line="240" w:lineRule="auto"/>
      </w:pPr>
      <w:r>
        <w:continuationSeparator/>
      </w:r>
    </w:p>
  </w:footnote>
  <w:footnote w:type="continuationNotice" w:id="1">
    <w:p w14:paraId="00E9A072" w14:textId="77777777" w:rsidR="00D64681" w:rsidRDefault="00D64681">
      <w:pPr>
        <w:spacing w:after="0" w:line="240" w:lineRule="auto"/>
      </w:pPr>
    </w:p>
  </w:footnote>
  <w:footnote w:id="2">
    <w:p w14:paraId="4A400EDD" w14:textId="77777777" w:rsidR="000E2D96" w:rsidRDefault="000E2D96" w:rsidP="000E2D96">
      <w:pPr>
        <w:spacing w:line="240" w:lineRule="auto"/>
        <w:ind w:firstLine="707"/>
        <w:contextualSpacing/>
        <w:jc w:val="both"/>
        <w:rPr>
          <w:rFonts w:ascii="Verdana" w:hAnsi="Verdana" w:cs="Arial"/>
          <w:sz w:val="10"/>
          <w:szCs w:val="10"/>
        </w:rPr>
      </w:pPr>
      <w:r>
        <w:rPr>
          <w:rFonts w:ascii="Verdana" w:hAnsi="Verdana" w:cs="Arial"/>
          <w:sz w:val="10"/>
          <w:szCs w:val="10"/>
          <w:vertAlign w:val="superscript"/>
        </w:rPr>
        <w:footnoteRef/>
      </w:r>
      <w:r>
        <w:rPr>
          <w:rFonts w:ascii="Verdana" w:hAnsi="Verdana" w:cs="Arial"/>
          <w:position w:val="6"/>
          <w:sz w:val="10"/>
          <w:szCs w:val="10"/>
        </w:rPr>
        <w:t xml:space="preserve"> </w:t>
      </w:r>
      <w:r>
        <w:rPr>
          <w:rFonts w:ascii="Verdana" w:hAnsi="Verdana" w:cs="Arial"/>
          <w:sz w:val="10"/>
          <w:szCs w:val="10"/>
        </w:rPr>
        <w:t>DEIK ACOSTAMADIEDO, Carolina, Guía de Contratación Estatal: Deber de planeación y modalidades de selección, Buenos Aires, 2015, p. 59.</w:t>
      </w:r>
    </w:p>
    <w:p w14:paraId="168706DC" w14:textId="77777777" w:rsidR="000E2D96" w:rsidRDefault="000E2D96" w:rsidP="000E2D96">
      <w:pPr>
        <w:spacing w:line="240" w:lineRule="auto"/>
        <w:ind w:firstLine="707"/>
        <w:contextualSpacing/>
        <w:jc w:val="both"/>
        <w:rPr>
          <w:rFonts w:ascii="Calibri" w:hAnsi="Calibri"/>
        </w:rPr>
      </w:pPr>
    </w:p>
  </w:footnote>
  <w:footnote w:id="3">
    <w:p w14:paraId="551EDFD7" w14:textId="77777777" w:rsidR="000E2D96" w:rsidRPr="00D51AC4" w:rsidRDefault="000E2D96" w:rsidP="000E2D96">
      <w:pPr>
        <w:pStyle w:val="Textonotapie"/>
        <w:ind w:firstLine="708"/>
        <w:rPr>
          <w:rFonts w:ascii="Verdana" w:hAnsi="Verdana"/>
          <w:sz w:val="16"/>
          <w:szCs w:val="16"/>
          <w:lang w:val="es-CO"/>
        </w:rPr>
      </w:pPr>
      <w:r w:rsidRPr="00D51AC4">
        <w:rPr>
          <w:rStyle w:val="Refdenotaalpie"/>
          <w:rFonts w:ascii="Verdana" w:hAnsi="Verdana"/>
          <w:sz w:val="16"/>
          <w:szCs w:val="16"/>
        </w:rPr>
        <w:footnoteRef/>
      </w:r>
      <w:r w:rsidRPr="00D51AC4">
        <w:rPr>
          <w:rFonts w:ascii="Verdana" w:hAnsi="Verdana"/>
          <w:sz w:val="16"/>
          <w:szCs w:val="16"/>
        </w:rPr>
        <w:t>Decreto 1072 de 2015. Artículo 2.2.4.6.4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2C5DA8"/>
    <w:multiLevelType w:val="multilevel"/>
    <w:tmpl w:val="A4D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0F4636"/>
    <w:multiLevelType w:val="hybridMultilevel"/>
    <w:tmpl w:val="F83CD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22DA"/>
    <w:multiLevelType w:val="multilevel"/>
    <w:tmpl w:val="94A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E5F79"/>
    <w:multiLevelType w:val="hybridMultilevel"/>
    <w:tmpl w:val="C17AD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D97B18"/>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2"/>
  </w:num>
  <w:num w:numId="13" w16cid:durableId="1512908409">
    <w:abstractNumId w:val="5"/>
  </w:num>
  <w:num w:numId="14" w16cid:durableId="895897244">
    <w:abstractNumId w:val="18"/>
  </w:num>
  <w:num w:numId="15" w16cid:durableId="390349800">
    <w:abstractNumId w:val="14"/>
  </w:num>
  <w:num w:numId="16" w16cid:durableId="341274352">
    <w:abstractNumId w:val="0"/>
  </w:num>
  <w:num w:numId="17" w16cid:durableId="874542429">
    <w:abstractNumId w:val="12"/>
  </w:num>
  <w:num w:numId="18" w16cid:durableId="1947883881">
    <w:abstractNumId w:val="1"/>
  </w:num>
  <w:num w:numId="19" w16cid:durableId="1070037820">
    <w:abstractNumId w:val="13"/>
  </w:num>
  <w:num w:numId="20" w16cid:durableId="1272737127">
    <w:abstractNumId w:val="4"/>
  </w:num>
  <w:num w:numId="21" w16cid:durableId="9968863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Andrés Montenegro Siefken">
    <w15:presenceInfo w15:providerId="AD" w15:userId="S::richard.montenegro@colombiacompra.gov.co::da9fc3c1-3dbb-4f04-a7dd-1f2f42f56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B2837"/>
    <w:rsid w:val="000D0334"/>
    <w:rsid w:val="000E2D96"/>
    <w:rsid w:val="000F6486"/>
    <w:rsid w:val="00115A8E"/>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34F31"/>
    <w:rsid w:val="00343B3B"/>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F21C4"/>
    <w:rsid w:val="004F685F"/>
    <w:rsid w:val="005566E8"/>
    <w:rsid w:val="00574867"/>
    <w:rsid w:val="00591460"/>
    <w:rsid w:val="005B3816"/>
    <w:rsid w:val="005C3777"/>
    <w:rsid w:val="005C5CDC"/>
    <w:rsid w:val="005D476C"/>
    <w:rsid w:val="006219F8"/>
    <w:rsid w:val="00665D70"/>
    <w:rsid w:val="006900D9"/>
    <w:rsid w:val="00706C16"/>
    <w:rsid w:val="00725EB4"/>
    <w:rsid w:val="00756841"/>
    <w:rsid w:val="007649AB"/>
    <w:rsid w:val="00771D0C"/>
    <w:rsid w:val="007833AC"/>
    <w:rsid w:val="007B268C"/>
    <w:rsid w:val="007B7171"/>
    <w:rsid w:val="007C0C0F"/>
    <w:rsid w:val="007C3DC2"/>
    <w:rsid w:val="007E5497"/>
    <w:rsid w:val="007F4CA6"/>
    <w:rsid w:val="00806F5F"/>
    <w:rsid w:val="00820278"/>
    <w:rsid w:val="00867F95"/>
    <w:rsid w:val="008843B6"/>
    <w:rsid w:val="00891928"/>
    <w:rsid w:val="008A446D"/>
    <w:rsid w:val="008D180B"/>
    <w:rsid w:val="008F0EA7"/>
    <w:rsid w:val="00923EEF"/>
    <w:rsid w:val="0092423E"/>
    <w:rsid w:val="009419F9"/>
    <w:rsid w:val="0095685E"/>
    <w:rsid w:val="00961B09"/>
    <w:rsid w:val="00965334"/>
    <w:rsid w:val="0097093E"/>
    <w:rsid w:val="00972F24"/>
    <w:rsid w:val="009850A0"/>
    <w:rsid w:val="00986AC5"/>
    <w:rsid w:val="009A0DFA"/>
    <w:rsid w:val="009A460B"/>
    <w:rsid w:val="009B2D26"/>
    <w:rsid w:val="009C5DDB"/>
    <w:rsid w:val="009C71FA"/>
    <w:rsid w:val="009C72E7"/>
    <w:rsid w:val="009D3058"/>
    <w:rsid w:val="009F3A13"/>
    <w:rsid w:val="00A122D3"/>
    <w:rsid w:val="00A17F13"/>
    <w:rsid w:val="00A20739"/>
    <w:rsid w:val="00A33C78"/>
    <w:rsid w:val="00A54594"/>
    <w:rsid w:val="00AB0ADB"/>
    <w:rsid w:val="00AB2745"/>
    <w:rsid w:val="00B01B1A"/>
    <w:rsid w:val="00B66319"/>
    <w:rsid w:val="00B72CD3"/>
    <w:rsid w:val="00B72FFF"/>
    <w:rsid w:val="00BC3D36"/>
    <w:rsid w:val="00BD7F72"/>
    <w:rsid w:val="00BE57D7"/>
    <w:rsid w:val="00BF223D"/>
    <w:rsid w:val="00C04FB3"/>
    <w:rsid w:val="00C330EB"/>
    <w:rsid w:val="00C41061"/>
    <w:rsid w:val="00C5312F"/>
    <w:rsid w:val="00C754BE"/>
    <w:rsid w:val="00C76B1C"/>
    <w:rsid w:val="00CB6357"/>
    <w:rsid w:val="00CC1B26"/>
    <w:rsid w:val="00D423A2"/>
    <w:rsid w:val="00D520D8"/>
    <w:rsid w:val="00D63AC2"/>
    <w:rsid w:val="00D64681"/>
    <w:rsid w:val="00D7383B"/>
    <w:rsid w:val="00D97D3B"/>
    <w:rsid w:val="00DA231B"/>
    <w:rsid w:val="00DB688A"/>
    <w:rsid w:val="00DC39FC"/>
    <w:rsid w:val="00DF5254"/>
    <w:rsid w:val="00E16408"/>
    <w:rsid w:val="00E20894"/>
    <w:rsid w:val="00E20AE8"/>
    <w:rsid w:val="00E245AB"/>
    <w:rsid w:val="00E2764C"/>
    <w:rsid w:val="00E27F2E"/>
    <w:rsid w:val="00E50AFE"/>
    <w:rsid w:val="00E75C92"/>
    <w:rsid w:val="00E771DC"/>
    <w:rsid w:val="00E8772A"/>
    <w:rsid w:val="00E90F6B"/>
    <w:rsid w:val="00E92C27"/>
    <w:rsid w:val="00EA0E3D"/>
    <w:rsid w:val="00EC38A7"/>
    <w:rsid w:val="00ED1417"/>
    <w:rsid w:val="00ED7384"/>
    <w:rsid w:val="00EE1AA8"/>
    <w:rsid w:val="00F31EDC"/>
    <w:rsid w:val="00F33A41"/>
    <w:rsid w:val="00F462B3"/>
    <w:rsid w:val="00F5664F"/>
    <w:rsid w:val="00F666C4"/>
    <w:rsid w:val="00F76AFC"/>
    <w:rsid w:val="00FA47C0"/>
    <w:rsid w:val="00FB5DD1"/>
    <w:rsid w:val="00FC2B5D"/>
    <w:rsid w:val="00FF1449"/>
    <w:rsid w:val="020A42C3"/>
    <w:rsid w:val="04E4C0D7"/>
    <w:rsid w:val="052E4D81"/>
    <w:rsid w:val="06C95DD1"/>
    <w:rsid w:val="09BF6911"/>
    <w:rsid w:val="09D2BEE9"/>
    <w:rsid w:val="0B662E08"/>
    <w:rsid w:val="1101FC05"/>
    <w:rsid w:val="1416EC00"/>
    <w:rsid w:val="14745DBF"/>
    <w:rsid w:val="15039900"/>
    <w:rsid w:val="1572B2C7"/>
    <w:rsid w:val="19226BBF"/>
    <w:rsid w:val="19661CC9"/>
    <w:rsid w:val="196CB286"/>
    <w:rsid w:val="1D870E00"/>
    <w:rsid w:val="1F49E521"/>
    <w:rsid w:val="22A61551"/>
    <w:rsid w:val="24EABCCC"/>
    <w:rsid w:val="253265A0"/>
    <w:rsid w:val="26B263BF"/>
    <w:rsid w:val="26CAAFF9"/>
    <w:rsid w:val="26F6AE90"/>
    <w:rsid w:val="27A4E8EA"/>
    <w:rsid w:val="2E31680C"/>
    <w:rsid w:val="33C91722"/>
    <w:rsid w:val="356CC7C6"/>
    <w:rsid w:val="35C47563"/>
    <w:rsid w:val="369F8BE4"/>
    <w:rsid w:val="36EAAEF8"/>
    <w:rsid w:val="383A056D"/>
    <w:rsid w:val="38B9D56B"/>
    <w:rsid w:val="399E017D"/>
    <w:rsid w:val="39D49AD1"/>
    <w:rsid w:val="3DA50234"/>
    <w:rsid w:val="44A6BBBA"/>
    <w:rsid w:val="4AEC7229"/>
    <w:rsid w:val="4B04C257"/>
    <w:rsid w:val="4B10A1B9"/>
    <w:rsid w:val="4B304D45"/>
    <w:rsid w:val="4F998DC7"/>
    <w:rsid w:val="536413DA"/>
    <w:rsid w:val="541312CB"/>
    <w:rsid w:val="54E34D64"/>
    <w:rsid w:val="55C8A51A"/>
    <w:rsid w:val="570852C4"/>
    <w:rsid w:val="583A3E4C"/>
    <w:rsid w:val="58573BCC"/>
    <w:rsid w:val="58FEEB34"/>
    <w:rsid w:val="5B75D78F"/>
    <w:rsid w:val="5BC73282"/>
    <w:rsid w:val="5BFC6ED7"/>
    <w:rsid w:val="5C36A381"/>
    <w:rsid w:val="5FC68250"/>
    <w:rsid w:val="61515085"/>
    <w:rsid w:val="61A838D5"/>
    <w:rsid w:val="633E8ABF"/>
    <w:rsid w:val="64CA0EA7"/>
    <w:rsid w:val="64F95E87"/>
    <w:rsid w:val="670A9AB4"/>
    <w:rsid w:val="67E5BD39"/>
    <w:rsid w:val="692E35AA"/>
    <w:rsid w:val="74F1B9BE"/>
    <w:rsid w:val="75D78839"/>
    <w:rsid w:val="76640E6D"/>
    <w:rsid w:val="78226ED7"/>
    <w:rsid w:val="7A416F9D"/>
    <w:rsid w:val="7A5B6F97"/>
    <w:rsid w:val="7A76F62C"/>
    <w:rsid w:val="7A7D3874"/>
    <w:rsid w:val="7E8B4E25"/>
    <w:rsid w:val="7F448F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E2D96"/>
    <w:pPr>
      <w:spacing w:line="240" w:lineRule="exact"/>
    </w:pPr>
    <w:rPr>
      <w:vertAlign w:val="superscript"/>
    </w:rPr>
  </w:style>
  <w:style w:type="paragraph" w:styleId="Textocomentario">
    <w:name w:val="annotation text"/>
    <w:basedOn w:val="Normal"/>
    <w:link w:val="TextocomentarioCar"/>
    <w:uiPriority w:val="99"/>
    <w:semiHidden/>
    <w:unhideWhenUsed/>
    <w:rsid w:val="00A545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4594"/>
    <w:rPr>
      <w:sz w:val="20"/>
      <w:szCs w:val="20"/>
    </w:rPr>
  </w:style>
  <w:style w:type="character" w:styleId="Refdecomentario">
    <w:name w:val="annotation reference"/>
    <w:basedOn w:val="Fuentedeprrafopredeter"/>
    <w:uiPriority w:val="99"/>
    <w:semiHidden/>
    <w:unhideWhenUsed/>
    <w:rsid w:val="00A545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4474">
      <w:bodyDiv w:val="1"/>
      <w:marLeft w:val="0"/>
      <w:marRight w:val="0"/>
      <w:marTop w:val="0"/>
      <w:marBottom w:val="0"/>
      <w:divBdr>
        <w:top w:val="none" w:sz="0" w:space="0" w:color="auto"/>
        <w:left w:val="none" w:sz="0" w:space="0" w:color="auto"/>
        <w:bottom w:val="none" w:sz="0" w:space="0" w:color="auto"/>
        <w:right w:val="none" w:sz="0" w:space="0" w:color="auto"/>
      </w:divBdr>
      <w:divsChild>
        <w:div w:id="1583835992">
          <w:marLeft w:val="0"/>
          <w:marRight w:val="0"/>
          <w:marTop w:val="0"/>
          <w:marBottom w:val="160"/>
          <w:divBdr>
            <w:top w:val="none" w:sz="0" w:space="0" w:color="auto"/>
            <w:left w:val="none" w:sz="0" w:space="0" w:color="auto"/>
            <w:bottom w:val="none" w:sz="0" w:space="0" w:color="auto"/>
            <w:right w:val="none" w:sz="0" w:space="0" w:color="auto"/>
          </w:divBdr>
        </w:div>
        <w:div w:id="1790661073">
          <w:marLeft w:val="0"/>
          <w:marRight w:val="0"/>
          <w:marTop w:val="0"/>
          <w:marBottom w:val="0"/>
          <w:divBdr>
            <w:top w:val="none" w:sz="0" w:space="0" w:color="auto"/>
            <w:left w:val="none" w:sz="0" w:space="0" w:color="auto"/>
            <w:bottom w:val="none" w:sz="0" w:space="0" w:color="auto"/>
            <w:right w:val="none" w:sz="0" w:space="0" w:color="auto"/>
          </w:divBdr>
        </w:div>
        <w:div w:id="1792631044">
          <w:marLeft w:val="0"/>
          <w:marRight w:val="0"/>
          <w:marTop w:val="0"/>
          <w:marBottom w:val="0"/>
          <w:divBdr>
            <w:top w:val="none" w:sz="0" w:space="0" w:color="auto"/>
            <w:left w:val="none" w:sz="0" w:space="0" w:color="auto"/>
            <w:bottom w:val="none" w:sz="0" w:space="0" w:color="auto"/>
            <w:right w:val="none" w:sz="0" w:space="0" w:color="auto"/>
          </w:divBdr>
        </w:div>
      </w:divsChild>
    </w:div>
    <w:div w:id="517961944">
      <w:bodyDiv w:val="1"/>
      <w:marLeft w:val="0"/>
      <w:marRight w:val="0"/>
      <w:marTop w:val="0"/>
      <w:marBottom w:val="0"/>
      <w:divBdr>
        <w:top w:val="none" w:sz="0" w:space="0" w:color="auto"/>
        <w:left w:val="none" w:sz="0" w:space="0" w:color="auto"/>
        <w:bottom w:val="none" w:sz="0" w:space="0" w:color="auto"/>
        <w:right w:val="none" w:sz="0" w:space="0" w:color="auto"/>
      </w:divBdr>
      <w:divsChild>
        <w:div w:id="12464962">
          <w:marLeft w:val="0"/>
          <w:marRight w:val="0"/>
          <w:marTop w:val="0"/>
          <w:marBottom w:val="160"/>
          <w:divBdr>
            <w:top w:val="none" w:sz="0" w:space="0" w:color="auto"/>
            <w:left w:val="none" w:sz="0" w:space="0" w:color="auto"/>
            <w:bottom w:val="none" w:sz="0" w:space="0" w:color="auto"/>
            <w:right w:val="none" w:sz="0" w:space="0" w:color="auto"/>
          </w:divBdr>
        </w:div>
        <w:div w:id="806707974">
          <w:marLeft w:val="0"/>
          <w:marRight w:val="0"/>
          <w:marTop w:val="0"/>
          <w:marBottom w:val="0"/>
          <w:divBdr>
            <w:top w:val="none" w:sz="0" w:space="0" w:color="auto"/>
            <w:left w:val="none" w:sz="0" w:space="0" w:color="auto"/>
            <w:bottom w:val="none" w:sz="0" w:space="0" w:color="auto"/>
            <w:right w:val="none" w:sz="0" w:space="0" w:color="auto"/>
          </w:divBdr>
        </w:div>
        <w:div w:id="46224587">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yparra@corpoboyaca.gov.c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richard.montenegro%40colombiacompra.gov.co%7Cb18b651bca3a4eb8eab008dd269b400d%7C7b09041e245149d08cb179d5e3d8c1be%7C0%7C0%7C638709170416466026%7CUnknown%7CTWFpbGZsb3d8eyJFbXB0eU1hcGkiOnRydWUsIlYiOiIwLjAuMDAwMCIsIlAiOiJXaW4zMiIsIkFOIjoiTWFpbCIsIldUIjoyfQ%3D%3D%7C0%7C%7C%7C&amp;sdata=%2BOdijVEyredesPlav75b8Yo4YnjKVWzms0Opwqmm%2BdY%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2-documentos-tipo-para-los-procesos-de-seleccion-de-consultoria-de-obra-publica-de&amp;data=05%7C02%7Crichard.montenegro%40colombiacompra.gov.co%7Cb18b651bca3a4eb8eab008dd269b400d%7C7b09041e245149d08cb179d5e3d8c1be%7C0%7C0%7C638709170416448706%7CUnknown%7CTWFpbGZsb3d8eyJFbXB0eU1hcGkiOnRydWUsIlYiOiIwLjAuMDAwMCIsIlAiOiJXaW4zMiIsIkFOIjoiTWFpbCIsIldUIjoyfQ%3D%3D%7C0%7C%7C%7C&amp;sdata=J7jYxRvqtXURMUYso2%2FW5opKTyy8SRIzcc8j2xx%2F3VM%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richard.montenegro%40colombiacompra.gov.co%7Cb18b651bca3a4eb8eab008dd269b400d%7C7b09041e245149d08cb179d5e3d8c1be%7C0%7C0%7C638709170416424862%7CUnknown%7CTWFpbGZsb3d8eyJFbXB0eU1hcGkiOnRydWUsIlYiOiIwLjAuMDAwMCIsIlAiOiJXaW4zMiIsIkFOIjoiTWFpbCIsIldUIjoyfQ%3D%3D%7C0%7C%7C%7C&amp;sdata=Duuex4ducxENZJwMDF0P2HKH56rQbF5ipACR%2F%2FHt2vA%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67931A1-8F14-4223-9AA9-6B69DBA89A8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039CC10D-0264-43BD-8220-6F692B6B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3590</Words>
  <Characters>19750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2024-12-30T05:14:00Z</dcterms:created>
  <dcterms:modified xsi:type="dcterms:W3CDTF">2024-12-30T05:14:00Z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