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E6605" w14:textId="77777777" w:rsidR="00916064" w:rsidRPr="009E4BAB" w:rsidRDefault="00916064" w:rsidP="000124AA">
      <w:pPr>
        <w:spacing w:after="0" w:line="240" w:lineRule="auto"/>
        <w:jc w:val="both"/>
        <w:rPr>
          <w:rFonts w:ascii="Verdana" w:eastAsia="Geomanist Light" w:hAnsi="Verdana" w:cs="Arial"/>
          <w:color w:val="000000" w:themeColor="text1"/>
          <w:lang w:val="es-MX"/>
        </w:rPr>
      </w:pPr>
    </w:p>
    <w:p w14:paraId="00A4F291" w14:textId="77777777" w:rsidR="00916064" w:rsidRPr="009E4BAB" w:rsidRDefault="00916064" w:rsidP="00916064">
      <w:pPr>
        <w:spacing w:after="0" w:line="240" w:lineRule="auto"/>
        <w:jc w:val="both"/>
        <w:rPr>
          <w:rFonts w:ascii="Verdana" w:eastAsia="Calibri" w:hAnsi="Verdana" w:cs="Arial"/>
          <w:b/>
          <w:lang w:val="es-ES_tradnl"/>
        </w:rPr>
      </w:pPr>
      <w:r w:rsidRPr="009E4BAB">
        <w:rPr>
          <w:rFonts w:ascii="Verdana" w:eastAsia="Calibri" w:hAnsi="Verdana" w:cs="Arial"/>
          <w:b/>
          <w:lang w:val="es-ES_tradnl"/>
        </w:rPr>
        <w:t>SOCIEDADES NUEVAS ‒ Experiencia ‒ Inferior a tres a</w:t>
      </w:r>
      <w:r w:rsidRPr="009E4BAB">
        <w:rPr>
          <w:rFonts w:ascii="Verdana" w:eastAsia="Calibri" w:hAnsi="Verdana" w:cs="Century Gothic"/>
          <w:b/>
          <w:lang w:val="es-ES_tradnl"/>
        </w:rPr>
        <w:t>ñ</w:t>
      </w:r>
      <w:r w:rsidRPr="009E4BAB">
        <w:rPr>
          <w:rFonts w:ascii="Verdana" w:eastAsia="Calibri" w:hAnsi="Verdana" w:cs="Arial"/>
          <w:b/>
          <w:lang w:val="es-ES_tradnl"/>
        </w:rPr>
        <w:t>os ‒ Requisitos habilitantes ‒Desarrollo de la empresa</w:t>
      </w:r>
    </w:p>
    <w:p w14:paraId="52FA45F1" w14:textId="77777777" w:rsidR="00916064" w:rsidRPr="009E4BAB" w:rsidRDefault="00916064" w:rsidP="00916064">
      <w:pPr>
        <w:spacing w:after="0" w:line="240" w:lineRule="auto"/>
        <w:jc w:val="both"/>
        <w:rPr>
          <w:rFonts w:ascii="Verdana" w:eastAsia="Calibri" w:hAnsi="Verdana" w:cs="Arial"/>
          <w:bCs/>
          <w:lang w:val="es-ES_tradnl"/>
        </w:rPr>
      </w:pPr>
    </w:p>
    <w:p w14:paraId="665A2144" w14:textId="77777777" w:rsidR="00916064" w:rsidRPr="009E4BAB" w:rsidRDefault="00916064" w:rsidP="00916064">
      <w:pPr>
        <w:spacing w:after="0" w:line="240" w:lineRule="auto"/>
        <w:jc w:val="both"/>
        <w:rPr>
          <w:rFonts w:ascii="Verdana" w:eastAsia="Calibri" w:hAnsi="Verdana" w:cs="Arial"/>
          <w:bCs/>
          <w:lang w:val="es-ES_tradnl"/>
        </w:rPr>
      </w:pPr>
      <w:r w:rsidRPr="009E4BAB">
        <w:rPr>
          <w:rFonts w:ascii="Verdana" w:eastAsia="Calibri" w:hAnsi="Verdana" w:cs="Arial"/>
          <w:bCs/>
          <w:lang w:val="es-ES_tradnl"/>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w:t>
      </w:r>
    </w:p>
    <w:p w14:paraId="2ABB1688" w14:textId="77777777" w:rsidR="00916064" w:rsidRPr="009E4BAB" w:rsidRDefault="00916064" w:rsidP="00916064">
      <w:pPr>
        <w:spacing w:after="0" w:line="240" w:lineRule="auto"/>
        <w:jc w:val="both"/>
        <w:rPr>
          <w:rFonts w:ascii="Verdana" w:eastAsia="Calibri" w:hAnsi="Verdana" w:cs="Arial"/>
          <w:bCs/>
          <w:lang w:val="es-ES_tradnl"/>
        </w:rPr>
      </w:pPr>
      <w:r w:rsidRPr="009E4BAB">
        <w:rPr>
          <w:rFonts w:ascii="Verdana" w:eastAsia="Calibri" w:hAnsi="Verdana" w:cs="Arial"/>
          <w:bCs/>
          <w:lang w:val="es-ES_tradnl"/>
        </w:rPr>
        <w:t xml:space="preserve">[…] </w:t>
      </w:r>
    </w:p>
    <w:p w14:paraId="665C174D" w14:textId="77777777" w:rsidR="00916064" w:rsidRPr="009E4BAB" w:rsidRDefault="00916064" w:rsidP="00916064">
      <w:pPr>
        <w:spacing w:after="0" w:line="240" w:lineRule="auto"/>
        <w:jc w:val="both"/>
        <w:rPr>
          <w:rFonts w:ascii="Verdana" w:eastAsia="Calibri" w:hAnsi="Verdana" w:cs="Arial"/>
          <w:bCs/>
          <w:lang w:val="es-ES_tradnl"/>
        </w:rPr>
      </w:pPr>
      <w:r w:rsidRPr="009E4BAB">
        <w:rPr>
          <w:rFonts w:ascii="Verdana" w:eastAsia="Calibri" w:hAnsi="Verdana" w:cs="Arial"/>
          <w:bCs/>
          <w:lang w:val="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75F6D224" w14:textId="77777777" w:rsidR="00916064" w:rsidRPr="009E4BAB" w:rsidRDefault="00916064" w:rsidP="00916064">
      <w:pPr>
        <w:spacing w:after="0" w:line="240" w:lineRule="auto"/>
        <w:jc w:val="both"/>
        <w:rPr>
          <w:rFonts w:ascii="Verdana" w:eastAsia="Calibri" w:hAnsi="Verdana" w:cs="Arial"/>
          <w:bCs/>
          <w:lang w:val="es-ES_tradnl"/>
        </w:rPr>
      </w:pPr>
    </w:p>
    <w:p w14:paraId="18E8A1DF" w14:textId="77777777" w:rsidR="00916064" w:rsidRPr="009E4BAB" w:rsidRDefault="00916064" w:rsidP="00916064">
      <w:pPr>
        <w:spacing w:after="0" w:line="240" w:lineRule="auto"/>
        <w:jc w:val="both"/>
        <w:rPr>
          <w:rFonts w:ascii="Verdana" w:eastAsia="Calibri" w:hAnsi="Verdana" w:cs="Arial"/>
          <w:b/>
          <w:lang w:val="es-ES_tradnl" w:eastAsia="es-ES_tradnl"/>
        </w:rPr>
      </w:pPr>
      <w:r w:rsidRPr="009E4BAB">
        <w:rPr>
          <w:rFonts w:ascii="Verdana" w:eastAsia="Calibri" w:hAnsi="Verdana" w:cs="Arial"/>
          <w:b/>
          <w:lang w:val="es-ES_tradnl" w:eastAsia="es-ES_tradnl"/>
        </w:rPr>
        <w:t>EXPERIENCIA ‒ Conservaci</w:t>
      </w:r>
      <w:r w:rsidRPr="009E4BAB">
        <w:rPr>
          <w:rFonts w:ascii="Verdana" w:eastAsia="Calibri" w:hAnsi="Verdana" w:cs="Century Gothic"/>
          <w:b/>
          <w:lang w:val="es-ES_tradnl" w:eastAsia="es-ES_tradnl"/>
        </w:rPr>
        <w:t>ó</w:t>
      </w:r>
      <w:r w:rsidRPr="009E4BAB">
        <w:rPr>
          <w:rFonts w:ascii="Verdana" w:eastAsia="Calibri" w:hAnsi="Verdana" w:cs="Arial"/>
          <w:b/>
          <w:lang w:val="es-ES_tradnl" w:eastAsia="es-ES_tradnl"/>
        </w:rPr>
        <w:t>n ‒ Renovación RUP</w:t>
      </w:r>
    </w:p>
    <w:p w14:paraId="2F96A5FB" w14:textId="77777777" w:rsidR="00916064" w:rsidRPr="009E4BAB" w:rsidRDefault="00916064" w:rsidP="00916064">
      <w:pPr>
        <w:spacing w:after="0" w:line="240" w:lineRule="auto"/>
        <w:jc w:val="both"/>
        <w:rPr>
          <w:rFonts w:ascii="Verdana" w:eastAsia="Calibri" w:hAnsi="Verdana" w:cs="Arial"/>
          <w:bCs/>
          <w:lang w:val="es-ES_tradnl" w:eastAsia="es-ES_tradnl"/>
        </w:rPr>
      </w:pPr>
    </w:p>
    <w:p w14:paraId="416A49FA" w14:textId="77777777" w:rsidR="00916064" w:rsidRPr="009E4BAB" w:rsidRDefault="00916064" w:rsidP="00916064">
      <w:pPr>
        <w:spacing w:after="0" w:line="240" w:lineRule="auto"/>
        <w:jc w:val="both"/>
        <w:rPr>
          <w:rFonts w:ascii="Verdana" w:eastAsia="Calibri" w:hAnsi="Verdana" w:cs="Arial"/>
          <w:bCs/>
          <w:lang w:val="es-ES_tradnl"/>
        </w:rPr>
      </w:pPr>
      <w:r w:rsidRPr="009E4BAB">
        <w:rPr>
          <w:rFonts w:ascii="Verdana" w:eastAsia="Calibri" w:hAnsi="Verdana" w:cs="Arial"/>
          <w:bCs/>
          <w:lang w:val="es-ES_tradnl"/>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19A7BB80" w14:textId="77777777" w:rsidR="00916064" w:rsidRDefault="00916064" w:rsidP="000124AA">
      <w:pPr>
        <w:spacing w:after="0" w:line="240" w:lineRule="auto"/>
        <w:jc w:val="both"/>
        <w:rPr>
          <w:rFonts w:ascii="Verdana" w:eastAsia="Geomanist Light" w:hAnsi="Verdana" w:cs="Arial"/>
          <w:color w:val="000000" w:themeColor="text1"/>
          <w:lang w:val="es-MX"/>
        </w:rPr>
      </w:pPr>
    </w:p>
    <w:p w14:paraId="32635C2C" w14:textId="77777777" w:rsidR="00916064" w:rsidRDefault="00916064" w:rsidP="000124AA">
      <w:pPr>
        <w:spacing w:after="0" w:line="240" w:lineRule="auto"/>
        <w:jc w:val="both"/>
        <w:rPr>
          <w:rFonts w:ascii="Verdana" w:eastAsia="Geomanist Light" w:hAnsi="Verdana" w:cs="Arial"/>
          <w:color w:val="000000" w:themeColor="text1"/>
          <w:lang w:val="es-MX"/>
        </w:rPr>
      </w:pPr>
    </w:p>
    <w:p w14:paraId="1F769089" w14:textId="77777777" w:rsidR="00916064" w:rsidRDefault="00916064" w:rsidP="000124AA">
      <w:pPr>
        <w:spacing w:after="0" w:line="240" w:lineRule="auto"/>
        <w:jc w:val="both"/>
        <w:rPr>
          <w:rFonts w:ascii="Verdana" w:eastAsia="Geomanist Light" w:hAnsi="Verdana" w:cs="Arial"/>
          <w:color w:val="000000" w:themeColor="text1"/>
          <w:lang w:val="es-MX"/>
        </w:rPr>
      </w:pPr>
    </w:p>
    <w:p w14:paraId="10D34741" w14:textId="77777777" w:rsidR="00916064" w:rsidRDefault="00916064" w:rsidP="000124AA">
      <w:pPr>
        <w:spacing w:after="0" w:line="240" w:lineRule="auto"/>
        <w:jc w:val="both"/>
        <w:rPr>
          <w:rFonts w:ascii="Verdana" w:eastAsia="Geomanist Light" w:hAnsi="Verdana" w:cs="Arial"/>
          <w:color w:val="000000" w:themeColor="text1"/>
          <w:lang w:val="es-MX"/>
        </w:rPr>
      </w:pPr>
    </w:p>
    <w:p w14:paraId="6FA762E8" w14:textId="77777777" w:rsidR="00916064" w:rsidRDefault="00916064" w:rsidP="000124AA">
      <w:pPr>
        <w:spacing w:after="0" w:line="240" w:lineRule="auto"/>
        <w:jc w:val="both"/>
        <w:rPr>
          <w:rFonts w:ascii="Verdana" w:eastAsia="Geomanist Light" w:hAnsi="Verdana" w:cs="Arial"/>
          <w:color w:val="000000" w:themeColor="text1"/>
          <w:lang w:val="es-MX"/>
        </w:rPr>
      </w:pPr>
    </w:p>
    <w:p w14:paraId="6C74A285" w14:textId="77777777" w:rsidR="00916064" w:rsidRDefault="00916064" w:rsidP="000124AA">
      <w:pPr>
        <w:spacing w:after="0" w:line="240" w:lineRule="auto"/>
        <w:jc w:val="both"/>
        <w:rPr>
          <w:rFonts w:ascii="Verdana" w:eastAsia="Geomanist Light" w:hAnsi="Verdana" w:cs="Arial"/>
          <w:color w:val="000000" w:themeColor="text1"/>
          <w:lang w:val="es-MX"/>
        </w:rPr>
      </w:pPr>
    </w:p>
    <w:p w14:paraId="7617BBFF" w14:textId="77777777" w:rsidR="00916064" w:rsidRDefault="00916064" w:rsidP="000124AA">
      <w:pPr>
        <w:spacing w:after="0" w:line="240" w:lineRule="auto"/>
        <w:jc w:val="both"/>
        <w:rPr>
          <w:rFonts w:ascii="Verdana" w:eastAsia="Geomanist Light" w:hAnsi="Verdana" w:cs="Arial"/>
          <w:color w:val="000000" w:themeColor="text1"/>
          <w:lang w:val="es-MX"/>
        </w:rPr>
      </w:pPr>
    </w:p>
    <w:p w14:paraId="563240D2" w14:textId="77777777" w:rsidR="00916064" w:rsidRDefault="00916064" w:rsidP="000124AA">
      <w:pPr>
        <w:spacing w:after="0" w:line="240" w:lineRule="auto"/>
        <w:jc w:val="both"/>
        <w:rPr>
          <w:rFonts w:ascii="Verdana" w:eastAsia="Geomanist Light" w:hAnsi="Verdana" w:cs="Arial"/>
          <w:color w:val="000000" w:themeColor="text1"/>
          <w:lang w:val="es-MX"/>
        </w:rPr>
      </w:pPr>
    </w:p>
    <w:p w14:paraId="140BF92C" w14:textId="77777777" w:rsidR="00916064" w:rsidRDefault="00916064" w:rsidP="000124AA">
      <w:pPr>
        <w:spacing w:after="0" w:line="240" w:lineRule="auto"/>
        <w:jc w:val="both"/>
        <w:rPr>
          <w:rFonts w:ascii="Verdana" w:eastAsia="Geomanist Light" w:hAnsi="Verdana" w:cs="Arial"/>
          <w:color w:val="000000" w:themeColor="text1"/>
          <w:lang w:val="es-MX"/>
        </w:rPr>
      </w:pPr>
    </w:p>
    <w:p w14:paraId="2CA5FC33" w14:textId="77777777" w:rsidR="00916064" w:rsidRDefault="00916064" w:rsidP="000124AA">
      <w:pPr>
        <w:spacing w:after="0" w:line="240" w:lineRule="auto"/>
        <w:jc w:val="both"/>
        <w:rPr>
          <w:rFonts w:ascii="Verdana" w:eastAsia="Geomanist Light" w:hAnsi="Verdana" w:cs="Arial"/>
          <w:color w:val="000000" w:themeColor="text1"/>
          <w:lang w:val="es-MX"/>
        </w:rPr>
      </w:pPr>
    </w:p>
    <w:p w14:paraId="187D36E3" w14:textId="77777777" w:rsidR="00916064" w:rsidRDefault="00916064" w:rsidP="000124AA">
      <w:pPr>
        <w:spacing w:after="0" w:line="240" w:lineRule="auto"/>
        <w:jc w:val="both"/>
        <w:rPr>
          <w:rFonts w:ascii="Verdana" w:eastAsia="Geomanist Light" w:hAnsi="Verdana" w:cs="Arial"/>
          <w:color w:val="000000" w:themeColor="text1"/>
          <w:lang w:val="es-MX"/>
        </w:rPr>
      </w:pPr>
    </w:p>
    <w:p w14:paraId="5E951AD3" w14:textId="77777777" w:rsidR="00916064" w:rsidRDefault="00916064" w:rsidP="000124AA">
      <w:pPr>
        <w:spacing w:after="0" w:line="240" w:lineRule="auto"/>
        <w:jc w:val="both"/>
        <w:rPr>
          <w:rFonts w:ascii="Verdana" w:eastAsia="Geomanist Light" w:hAnsi="Verdana" w:cs="Arial"/>
          <w:color w:val="000000" w:themeColor="text1"/>
          <w:lang w:val="es-MX"/>
        </w:rPr>
      </w:pPr>
    </w:p>
    <w:p w14:paraId="2666ED55" w14:textId="78BBBE9B" w:rsidR="000124AA" w:rsidRPr="00DB30F3" w:rsidRDefault="000124AA" w:rsidP="000124AA">
      <w:pPr>
        <w:spacing w:after="0" w:line="240" w:lineRule="auto"/>
        <w:jc w:val="both"/>
        <w:rPr>
          <w:rFonts w:ascii="Verdana" w:eastAsia="Geomanist Light" w:hAnsi="Verdana" w:cs="Arial"/>
          <w:color w:val="000000" w:themeColor="text1"/>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[Mes.NombreCapitalizado] de [Año]</w:t>
      </w:r>
    </w:p>
    <w:p w14:paraId="55AB93EB" w14:textId="5663FAA6" w:rsidR="000124AA" w:rsidRPr="00593A5F" w:rsidRDefault="00916064" w:rsidP="000124AA">
      <w:pPr>
        <w:spacing w:after="0" w:line="240" w:lineRule="auto"/>
        <w:jc w:val="both"/>
        <w:rPr>
          <w:rFonts w:ascii="Verdana" w:eastAsia="Calibri" w:hAnsi="Verdana" w:cs="Arial"/>
          <w:color w:val="000000"/>
          <w:lang w:val="es-ES"/>
        </w:rPr>
      </w:pPr>
      <w:r w:rsidRPr="00916064">
        <w:rPr>
          <w:rFonts w:ascii="Verdana" w:eastAsia="Calibri" w:hAnsi="Verdana" w:cs="Arial"/>
          <w:lang w:val="es-ES" w:eastAsia="es-ES"/>
        </w:rPr>
        <w:drawing>
          <wp:anchor distT="0" distB="0" distL="114300" distR="114300" simplePos="0" relativeHeight="251658240" behindDoc="1" locked="0" layoutInCell="1" allowOverlap="1" wp14:anchorId="5963831D" wp14:editId="1C80FFA9">
            <wp:simplePos x="0" y="0"/>
            <wp:positionH relativeFrom="column">
              <wp:posOffset>3073086</wp:posOffset>
            </wp:positionH>
            <wp:positionV relativeFrom="paragraph">
              <wp:posOffset>143962</wp:posOffset>
            </wp:positionV>
            <wp:extent cx="3086100" cy="942975"/>
            <wp:effectExtent l="0" t="0" r="0" b="9525"/>
            <wp:wrapNone/>
            <wp:docPr id="201484829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48298"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086100" cy="942975"/>
                    </a:xfrm>
                    <a:prstGeom prst="rect">
                      <a:avLst/>
                    </a:prstGeom>
                  </pic:spPr>
                </pic:pic>
              </a:graphicData>
            </a:graphic>
            <wp14:sizeRelH relativeFrom="page">
              <wp14:pctWidth>0</wp14:pctWidth>
            </wp14:sizeRelH>
            <wp14:sizeRelV relativeFrom="page">
              <wp14:pctHeight>0</wp14:pctHeight>
            </wp14:sizeRelV>
          </wp:anchor>
        </w:drawing>
      </w:r>
    </w:p>
    <w:p w14:paraId="3256877F" w14:textId="77777777" w:rsidR="000124AA" w:rsidRDefault="000124AA" w:rsidP="000124AA">
      <w:pPr>
        <w:spacing w:after="0" w:line="240" w:lineRule="auto"/>
        <w:jc w:val="both"/>
        <w:rPr>
          <w:rFonts w:ascii="Verdana" w:eastAsia="Calibri" w:hAnsi="Verdana" w:cs="Arial"/>
          <w:lang w:val="es-ES" w:eastAsia="es-ES"/>
        </w:rPr>
      </w:pPr>
    </w:p>
    <w:p w14:paraId="3C98E6E8" w14:textId="22D4BD04" w:rsidR="000124AA" w:rsidRPr="00B046EA" w:rsidRDefault="000124AA" w:rsidP="000124AA">
      <w:pPr>
        <w:spacing w:after="0" w:line="240" w:lineRule="auto"/>
        <w:jc w:val="both"/>
        <w:rPr>
          <w:rFonts w:ascii="Verdana" w:eastAsia="Calibri" w:hAnsi="Verdana" w:cs="Arial"/>
          <w:lang w:val="es-ES" w:eastAsia="es-ES"/>
        </w:rPr>
      </w:pPr>
      <w:r w:rsidRPr="00B046EA">
        <w:rPr>
          <w:rFonts w:ascii="Verdana" w:eastAsia="Calibri" w:hAnsi="Verdana" w:cs="Arial"/>
          <w:lang w:val="es-ES" w:eastAsia="es-ES"/>
        </w:rPr>
        <w:t>Señor</w:t>
      </w:r>
      <w:r w:rsidR="00916064" w:rsidRPr="00916064">
        <w:rPr>
          <w:noProof/>
        </w:rPr>
        <w:t xml:space="preserve"> </w:t>
      </w:r>
    </w:p>
    <w:p w14:paraId="50DF2EF8" w14:textId="143A531D" w:rsidR="000124AA" w:rsidRPr="00B046EA" w:rsidRDefault="000124AA" w:rsidP="000124AA">
      <w:pPr>
        <w:spacing w:after="0" w:line="240" w:lineRule="auto"/>
        <w:rPr>
          <w:rFonts w:ascii="Verdana" w:hAnsi="Verdana"/>
          <w:b/>
          <w:bCs/>
        </w:rPr>
      </w:pPr>
      <w:r w:rsidRPr="00B046EA">
        <w:rPr>
          <w:rFonts w:ascii="Verdana" w:hAnsi="Verdana"/>
          <w:b/>
          <w:bCs/>
        </w:rPr>
        <w:t>Iván Darío Gutiérrez Cardozo</w:t>
      </w:r>
    </w:p>
    <w:p w14:paraId="1D19AE06" w14:textId="77777777" w:rsidR="000124AA" w:rsidRPr="00B046EA" w:rsidRDefault="000124AA" w:rsidP="000124AA">
      <w:pPr>
        <w:spacing w:after="0" w:line="240" w:lineRule="auto"/>
        <w:rPr>
          <w:rFonts w:ascii="Verdana" w:hAnsi="Verdana"/>
        </w:rPr>
      </w:pPr>
      <w:hyperlink r:id="rId11" w:history="1">
        <w:r w:rsidRPr="00B046EA">
          <w:rPr>
            <w:rStyle w:val="Hipervnculo"/>
            <w:rFonts w:ascii="Verdana" w:hAnsi="Verdana"/>
            <w:color w:val="auto"/>
          </w:rPr>
          <w:t>ivandariog@hotmail.com</w:t>
        </w:r>
      </w:hyperlink>
    </w:p>
    <w:p w14:paraId="7D35CC0E" w14:textId="77777777" w:rsidR="000124AA" w:rsidRPr="00B046EA" w:rsidRDefault="000124AA" w:rsidP="000124AA">
      <w:pPr>
        <w:spacing w:after="0" w:line="240" w:lineRule="auto"/>
        <w:rPr>
          <w:rFonts w:ascii="Verdana" w:eastAsia="Calibri" w:hAnsi="Verdana" w:cs="Arial"/>
          <w:bCs/>
          <w:lang w:val="es-ES_tradnl" w:eastAsia="es-ES_tradnl"/>
        </w:rPr>
      </w:pPr>
      <w:r w:rsidRPr="00B046EA">
        <w:rPr>
          <w:rFonts w:ascii="Verdana" w:eastAsia="Calibri" w:hAnsi="Verdana" w:cs="Arial"/>
          <w:bCs/>
          <w:lang w:val="es-ES_tradnl" w:eastAsia="es-ES_tradnl"/>
        </w:rPr>
        <w:t>Neiva, Huila</w:t>
      </w:r>
    </w:p>
    <w:p w14:paraId="13E237EA" w14:textId="77777777" w:rsidR="000124AA" w:rsidRDefault="000124AA" w:rsidP="000124AA">
      <w:pPr>
        <w:spacing w:after="0" w:line="240" w:lineRule="auto"/>
        <w:rPr>
          <w:rFonts w:ascii="Verdana" w:eastAsia="Calibri" w:hAnsi="Verdana" w:cs="Arial"/>
          <w:bCs/>
          <w:lang w:val="es-ES_tradnl" w:eastAsia="es-ES_tradnl"/>
        </w:rPr>
      </w:pPr>
    </w:p>
    <w:p w14:paraId="6887C52D" w14:textId="77777777" w:rsidR="000124AA" w:rsidRDefault="000124AA" w:rsidP="000124AA">
      <w:pPr>
        <w:spacing w:after="0" w:line="240" w:lineRule="auto"/>
        <w:rPr>
          <w:rFonts w:ascii="Verdana" w:eastAsia="Calibri" w:hAnsi="Verdana" w:cs="Arial"/>
          <w:bCs/>
          <w:lang w:val="es-ES_tradnl" w:eastAsia="es-ES_tradnl"/>
        </w:rPr>
      </w:pPr>
    </w:p>
    <w:p w14:paraId="3BA43FE4" w14:textId="77777777" w:rsidR="000124AA" w:rsidRPr="00593A5F" w:rsidRDefault="000124AA" w:rsidP="000124AA">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124AA" w:rsidRPr="00593A5F" w14:paraId="5A7276F9" w14:textId="77777777" w:rsidTr="0036270F">
        <w:trPr>
          <w:trHeight w:val="884"/>
        </w:trPr>
        <w:tc>
          <w:tcPr>
            <w:tcW w:w="2689" w:type="dxa"/>
          </w:tcPr>
          <w:p w14:paraId="2733E0ED" w14:textId="77777777" w:rsidR="000124AA" w:rsidRPr="00C00976" w:rsidRDefault="000124AA" w:rsidP="0036270F">
            <w:pPr>
              <w:jc w:val="both"/>
              <w:rPr>
                <w:rFonts w:ascii="Verdana" w:eastAsia="Calibri" w:hAnsi="Verdana" w:cs="Arial"/>
                <w:b/>
                <w:bCs/>
                <w:color w:val="7030A0"/>
                <w:lang w:val="es-ES_tradnl" w:eastAsia="es-ES_tradnl"/>
              </w:rPr>
            </w:pPr>
          </w:p>
        </w:tc>
        <w:tc>
          <w:tcPr>
            <w:tcW w:w="6100" w:type="dxa"/>
          </w:tcPr>
          <w:p w14:paraId="0C48A870" w14:textId="77777777" w:rsidR="000124AA" w:rsidRPr="007B60E9" w:rsidRDefault="000124AA" w:rsidP="0036270F">
            <w:pPr>
              <w:jc w:val="both"/>
              <w:rPr>
                <w:rFonts w:ascii="Verdana" w:eastAsia="Calibri" w:hAnsi="Verdana" w:cs="Arial"/>
                <w:b/>
                <w:bCs/>
                <w:color w:val="7030A0"/>
                <w:lang w:val="es-ES" w:eastAsia="es-ES"/>
              </w:rPr>
            </w:pPr>
            <w:r w:rsidRPr="00423EEA">
              <w:rPr>
                <w:rFonts w:ascii="Verdana" w:eastAsia="Calibri" w:hAnsi="Verdana" w:cs="Arial"/>
                <w:b/>
                <w:bCs/>
                <w:lang w:val="es-ES" w:eastAsia="es-ES"/>
              </w:rPr>
              <w:t>Concepto C-</w:t>
            </w:r>
            <w:r>
              <w:rPr>
                <w:rFonts w:ascii="Verdana" w:eastAsia="Calibri" w:hAnsi="Verdana" w:cs="Arial"/>
                <w:b/>
                <w:bCs/>
                <w:lang w:val="es-ES" w:eastAsia="es-ES"/>
              </w:rPr>
              <w:t>1006</w:t>
            </w:r>
            <w:r w:rsidRPr="00423EEA">
              <w:rPr>
                <w:rFonts w:ascii="Verdana" w:eastAsia="Calibri" w:hAnsi="Verdana" w:cs="Arial"/>
                <w:b/>
                <w:bCs/>
                <w:lang w:val="es-ES" w:eastAsia="es-ES"/>
              </w:rPr>
              <w:t xml:space="preserve"> de 2024</w:t>
            </w:r>
          </w:p>
        </w:tc>
      </w:tr>
      <w:tr w:rsidR="000124AA" w:rsidRPr="00593A5F" w14:paraId="06ADE9EC" w14:textId="77777777" w:rsidTr="0036270F">
        <w:trPr>
          <w:trHeight w:val="884"/>
        </w:trPr>
        <w:tc>
          <w:tcPr>
            <w:tcW w:w="2689" w:type="dxa"/>
          </w:tcPr>
          <w:p w14:paraId="744B27B0" w14:textId="77777777" w:rsidR="000124AA" w:rsidRPr="004B40A6" w:rsidRDefault="000124AA" w:rsidP="0036270F">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023E8719" w14:textId="71D764B1" w:rsidR="000124AA" w:rsidRPr="00593A5F" w:rsidRDefault="000124AA" w:rsidP="0036270F">
            <w:pPr>
              <w:jc w:val="both"/>
              <w:rPr>
                <w:rFonts w:ascii="Verdana" w:eastAsia="Calibri" w:hAnsi="Verdana" w:cs="Arial"/>
                <w:color w:val="000000"/>
                <w:lang w:val="es-ES_tradnl" w:eastAsia="es-ES_tradnl"/>
              </w:rPr>
            </w:pPr>
            <w:r w:rsidRPr="005821E0">
              <w:rPr>
                <w:rFonts w:ascii="Verdana" w:eastAsia="Calibri" w:hAnsi="Verdana" w:cs="Arial"/>
                <w:bCs/>
                <w:lang w:val="es-ES_tradnl"/>
              </w:rPr>
              <w:t xml:space="preserve">EXPERIENCIA – Transferencia – Accionistas, socios o constituyentes – Decreto 1082 de 2015 / EXPERIENCIA ‒ Conservación ‒ Renovación RUP ‒ Cesación efectos RUP / </w:t>
            </w:r>
            <w:r w:rsidRPr="003D43CF">
              <w:rPr>
                <w:rFonts w:ascii="Verdana" w:eastAsia="Calibri" w:hAnsi="Verdana" w:cs="Arial"/>
                <w:bCs/>
                <w:lang w:val="es-ES_tradnl"/>
              </w:rPr>
              <w:t xml:space="preserve">EXPERIENCIA – Transferencia – Perdida de la Experiencia de Accionistas, socios o constituyentes / </w:t>
            </w:r>
            <w:r w:rsidRPr="00AB711B">
              <w:rPr>
                <w:rFonts w:ascii="Verdana" w:eastAsia="Calibri" w:hAnsi="Verdana" w:cs="Arial"/>
                <w:bCs/>
                <w:lang w:val="es-ES_tradnl"/>
              </w:rPr>
              <w:t xml:space="preserve">DECRETO 1082 DE 2015 – Factor de </w:t>
            </w:r>
            <w:r>
              <w:rPr>
                <w:rFonts w:ascii="Verdana" w:eastAsia="Calibri" w:hAnsi="Verdana" w:cs="Arial"/>
                <w:bCs/>
                <w:lang w:val="es-ES_tradnl"/>
              </w:rPr>
              <w:t>e</w:t>
            </w:r>
            <w:r w:rsidRPr="00AB711B">
              <w:rPr>
                <w:rFonts w:ascii="Verdana" w:eastAsia="Calibri" w:hAnsi="Verdana" w:cs="Arial"/>
                <w:bCs/>
                <w:lang w:val="es-ES_tradnl"/>
              </w:rPr>
              <w:t xml:space="preserve">xperiencia – Tratamiento </w:t>
            </w:r>
            <w:r>
              <w:rPr>
                <w:rFonts w:ascii="Verdana" w:eastAsia="Calibri" w:hAnsi="Verdana" w:cs="Arial"/>
                <w:bCs/>
                <w:lang w:val="es-ES_tradnl"/>
              </w:rPr>
              <w:t>d</w:t>
            </w:r>
            <w:r w:rsidRPr="00AB711B">
              <w:rPr>
                <w:rFonts w:ascii="Verdana" w:eastAsia="Calibri" w:hAnsi="Verdana" w:cs="Arial"/>
                <w:bCs/>
                <w:lang w:val="es-ES_tradnl"/>
              </w:rPr>
              <w:t>iferencial</w:t>
            </w:r>
            <w:r>
              <w:rPr>
                <w:rFonts w:ascii="Verdana" w:eastAsia="Calibri" w:hAnsi="Verdana" w:cs="Arial"/>
                <w:bCs/>
                <w:lang w:val="es-ES_tradnl"/>
              </w:rPr>
              <w:t xml:space="preserve"> - S</w:t>
            </w:r>
            <w:r w:rsidRPr="00FE10F1">
              <w:rPr>
                <w:rFonts w:ascii="Verdana" w:eastAsia="Calibri" w:hAnsi="Verdana" w:cs="Arial"/>
                <w:bCs/>
                <w:lang w:val="es-ES_tradnl" w:eastAsia="es-ES_tradnl"/>
              </w:rPr>
              <w:t>ociedades nuevas ‒ Inferior a tres a</w:t>
            </w:r>
            <w:r w:rsidRPr="00FE10F1">
              <w:rPr>
                <w:rFonts w:ascii="Verdana" w:eastAsia="Calibri" w:hAnsi="Verdana" w:cs="Century Gothic"/>
                <w:bCs/>
                <w:lang w:val="es-ES_tradnl" w:eastAsia="es-ES_tradnl"/>
              </w:rPr>
              <w:t>ñ</w:t>
            </w:r>
            <w:r w:rsidRPr="00FE10F1">
              <w:rPr>
                <w:rFonts w:ascii="Verdana" w:eastAsia="Calibri" w:hAnsi="Verdana" w:cs="Arial"/>
                <w:bCs/>
                <w:lang w:val="es-ES_tradnl" w:eastAsia="es-ES_tradnl"/>
              </w:rPr>
              <w:t>os</w:t>
            </w:r>
          </w:p>
          <w:p w14:paraId="33D17CCF" w14:textId="77777777" w:rsidR="000124AA" w:rsidRPr="00FE10F1" w:rsidRDefault="000124AA" w:rsidP="0036270F">
            <w:pPr>
              <w:spacing w:line="276" w:lineRule="auto"/>
              <w:jc w:val="both"/>
              <w:rPr>
                <w:rFonts w:ascii="Verdana" w:eastAsia="Calibri" w:hAnsi="Verdana" w:cs="Arial"/>
              </w:rPr>
            </w:pPr>
          </w:p>
        </w:tc>
      </w:tr>
      <w:tr w:rsidR="000124AA" w:rsidRPr="00593A5F" w14:paraId="1568EC31" w14:textId="77777777" w:rsidTr="0036270F">
        <w:trPr>
          <w:trHeight w:val="89"/>
        </w:trPr>
        <w:tc>
          <w:tcPr>
            <w:tcW w:w="2689" w:type="dxa"/>
          </w:tcPr>
          <w:p w14:paraId="58F3A93F" w14:textId="77777777" w:rsidR="000124AA" w:rsidRPr="004B40A6" w:rsidRDefault="000124AA" w:rsidP="0036270F">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
          <w:p w14:paraId="16B0BDAA" w14:textId="73BE97ED" w:rsidR="000124AA" w:rsidRPr="00DA7E6E" w:rsidRDefault="000124AA" w:rsidP="0036270F">
            <w:pPr>
              <w:spacing w:line="276" w:lineRule="auto"/>
              <w:jc w:val="both"/>
              <w:rPr>
                <w:rFonts w:ascii="Verdana" w:hAnsi="Verdana" w:cs="Calibri"/>
              </w:rPr>
            </w:pPr>
            <w:r w:rsidRPr="00DA7E6E">
              <w:rPr>
                <w:rFonts w:ascii="Verdana" w:eastAsia="Calibri" w:hAnsi="Verdana" w:cs="Arial"/>
                <w:lang w:val="es-ES_tradnl" w:eastAsia="es-ES_tradnl"/>
              </w:rPr>
              <w:t xml:space="preserve">Respuesta a consulta con radicado No. </w:t>
            </w:r>
            <w:r w:rsidRPr="00DA7E6E">
              <w:rPr>
                <w:rFonts w:ascii="Verdana" w:hAnsi="Verdana" w:cs="Calibri"/>
              </w:rPr>
              <w:t>P20241216012576</w:t>
            </w:r>
          </w:p>
        </w:tc>
      </w:tr>
    </w:tbl>
    <w:p w14:paraId="7539C793" w14:textId="77777777" w:rsidR="000124AA" w:rsidRPr="00593A5F" w:rsidRDefault="000124AA" w:rsidP="000124AA">
      <w:pPr>
        <w:spacing w:after="0" w:line="240" w:lineRule="auto"/>
        <w:jc w:val="both"/>
        <w:rPr>
          <w:rFonts w:ascii="Verdana" w:eastAsia="Calibri" w:hAnsi="Verdana" w:cs="Arial"/>
          <w:color w:val="000000"/>
          <w:lang w:val="es-ES_tradnl" w:eastAsia="es-ES_tradnl"/>
        </w:rPr>
      </w:pPr>
    </w:p>
    <w:p w14:paraId="44AA3FF3" w14:textId="77777777" w:rsidR="000124AA" w:rsidRPr="004B40A6" w:rsidRDefault="000124AA" w:rsidP="000124AA">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Estimad</w:t>
      </w:r>
      <w:r>
        <w:rPr>
          <w:rFonts w:ascii="Verdana" w:eastAsia="Calibri" w:hAnsi="Verdana" w:cs="Arial"/>
          <w:lang w:val="es-ES" w:eastAsia="es-ES"/>
        </w:rPr>
        <w:t>o</w:t>
      </w:r>
      <w:r w:rsidRPr="004B40A6">
        <w:rPr>
          <w:rFonts w:ascii="Verdana" w:eastAsia="Calibri" w:hAnsi="Verdana" w:cs="Arial"/>
          <w:lang w:val="es-ES" w:eastAsia="es-ES"/>
        </w:rPr>
        <w:t xml:space="preserve"> señor</w:t>
      </w:r>
      <w:r>
        <w:rPr>
          <w:rFonts w:ascii="Verdana" w:eastAsia="Calibri" w:hAnsi="Verdana" w:cs="Arial"/>
          <w:lang w:val="es-ES" w:eastAsia="es-ES"/>
        </w:rPr>
        <w:t xml:space="preserve"> Gutiérrez</w:t>
      </w:r>
      <w:r w:rsidRPr="004B40A6">
        <w:rPr>
          <w:rFonts w:ascii="Verdana" w:eastAsia="Calibri" w:hAnsi="Verdana" w:cs="Arial"/>
          <w:lang w:val="es-ES" w:eastAsia="es-ES"/>
        </w:rPr>
        <w:t xml:space="preserve">: </w:t>
      </w:r>
    </w:p>
    <w:p w14:paraId="52641655" w14:textId="77777777" w:rsidR="000124AA" w:rsidRPr="004B40A6" w:rsidRDefault="000124AA" w:rsidP="000124AA">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64B9988A" w14:textId="77777777" w:rsidR="000124AA" w:rsidRDefault="000124AA" w:rsidP="000124AA">
      <w:pPr>
        <w:spacing w:after="0" w:line="276" w:lineRule="auto"/>
        <w:jc w:val="both"/>
        <w:rPr>
          <w:rFonts w:ascii="Verdana" w:eastAsia="Calibri" w:hAnsi="Verdana" w:cs="Arial"/>
          <w:lang w:val="es-ES" w:eastAsia="es-ES"/>
        </w:rPr>
      </w:pPr>
      <w:r w:rsidRPr="00F7454D">
        <w:rPr>
          <w:rFonts w:ascii="Verdana" w:eastAsia="Calibri" w:hAnsi="Verdana" w:cs="Arial"/>
          <w:lang w:val="es-ES" w:eastAsia="es-ES"/>
        </w:rPr>
        <w:t>En ejercicio de la competencia otorgada por los artículos 3, numeral 5º, y 11, numeral 8º, del Decreto Ley 4170 de 2011,</w:t>
      </w:r>
      <w:r w:rsidRPr="00F7454D">
        <w:rPr>
          <w:rFonts w:ascii="Verdana" w:eastAsia="Arial MT" w:hAnsi="Verdana" w:cs="Arial MT"/>
          <w:lang w:val="es-ES" w:eastAsia="es-ES"/>
        </w:rPr>
        <w:t xml:space="preserve"> </w:t>
      </w:r>
      <w:r w:rsidRPr="00F7454D">
        <w:rPr>
          <w:rFonts w:ascii="Verdana" w:hAnsi="Verdana" w:cs="Arial"/>
        </w:rPr>
        <w:t xml:space="preserve">así como lo establecido en el artículo 4 de la Resolución 1707 de 2018 expedida por esta Entidad, </w:t>
      </w:r>
      <w:r w:rsidRPr="00F7454D">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16</w:t>
      </w:r>
      <w:r w:rsidRPr="00F7454D">
        <w:rPr>
          <w:rFonts w:ascii="Verdana" w:eastAsia="Calibri" w:hAnsi="Verdana" w:cs="Arial"/>
          <w:lang w:val="es-ES" w:eastAsia="es-ES"/>
        </w:rPr>
        <w:t xml:space="preserve"> de </w:t>
      </w:r>
      <w:r>
        <w:rPr>
          <w:rFonts w:ascii="Verdana" w:eastAsia="Calibri" w:hAnsi="Verdana" w:cs="Arial"/>
          <w:lang w:val="es-ES" w:eastAsia="es-ES"/>
        </w:rPr>
        <w:t>diciembre</w:t>
      </w:r>
      <w:r w:rsidRPr="00F7454D">
        <w:rPr>
          <w:rFonts w:ascii="Verdana" w:eastAsia="Calibri" w:hAnsi="Verdana" w:cs="Arial"/>
          <w:lang w:val="es-ES" w:eastAsia="es-ES"/>
        </w:rPr>
        <w:t xml:space="preserve"> de 2024, en la cual manifiesta lo siguiente: </w:t>
      </w:r>
    </w:p>
    <w:p w14:paraId="3F1DC1EC" w14:textId="77777777" w:rsidR="000124AA" w:rsidRPr="00076878" w:rsidRDefault="000124AA" w:rsidP="000124AA">
      <w:pPr>
        <w:spacing w:after="0" w:line="276" w:lineRule="auto"/>
        <w:jc w:val="both"/>
        <w:rPr>
          <w:rFonts w:ascii="Verdana" w:eastAsia="Calibri" w:hAnsi="Verdana" w:cs="Arial"/>
          <w:lang w:val="es-ES" w:eastAsia="es-ES"/>
        </w:rPr>
      </w:pPr>
    </w:p>
    <w:p w14:paraId="73A541C3" w14:textId="77777777" w:rsidR="000124AA" w:rsidRDefault="000124AA" w:rsidP="000124AA">
      <w:pPr>
        <w:ind w:left="708"/>
        <w:jc w:val="both"/>
        <w:rPr>
          <w:rFonts w:ascii="Verdana" w:eastAsia="Century Gothic" w:hAnsi="Verdana" w:cs="Century Gothic"/>
          <w:lang w:val="es-ES"/>
        </w:rPr>
      </w:pPr>
      <w:bookmarkStart w:id="0" w:name="_Hlk95313578"/>
      <w:r w:rsidRPr="003879AC">
        <w:rPr>
          <w:rFonts w:ascii="Verdana" w:eastAsia="Century Gothic" w:hAnsi="Verdana" w:cs="Century Gothic"/>
          <w:i/>
          <w:iCs/>
          <w:sz w:val="21"/>
          <w:szCs w:val="21"/>
          <w:lang w:val="es-ES"/>
        </w:rPr>
        <w:t>“</w:t>
      </w:r>
      <w:bookmarkEnd w:id="0"/>
      <w:r>
        <w:rPr>
          <w:rFonts w:ascii="Verdana" w:eastAsia="Century Gothic" w:hAnsi="Verdana" w:cs="Century Gothic"/>
          <w:i/>
          <w:iCs/>
          <w:sz w:val="21"/>
          <w:szCs w:val="21"/>
          <w:lang w:val="es-ES"/>
        </w:rPr>
        <w:t>¿</w:t>
      </w:r>
      <w:r w:rsidRPr="00631098">
        <w:rPr>
          <w:rFonts w:ascii="Verdana" w:hAnsi="Verdana"/>
          <w:i/>
          <w:iCs/>
          <w:sz w:val="21"/>
          <w:szCs w:val="21"/>
        </w:rPr>
        <w:t>Que ocurre con la experiencia que los socios aportan, dentro de los tres primeros años de existencia de la empresa, cuando la persona jurídica a pesar de haber estado renovando oportunamente su RUP, por error o descuido deja vencer el termino de renovación oportuna, esto es, (los primero 5 días hábiles del mes de abril de cada año) y se enfrenta por esa razón a tramitar una nueva inscripción de su RUP, por haber perdido el mismo su vigencia?</w:t>
      </w:r>
      <w:r w:rsidRPr="003879AC">
        <w:rPr>
          <w:rFonts w:ascii="Verdana" w:hAnsi="Verdana"/>
          <w:i/>
          <w:iCs/>
          <w:sz w:val="21"/>
          <w:szCs w:val="21"/>
        </w:rPr>
        <w:t xml:space="preserve">? </w:t>
      </w:r>
      <w:r>
        <w:rPr>
          <w:rFonts w:ascii="Verdana" w:hAnsi="Verdana"/>
          <w:i/>
          <w:iCs/>
          <w:sz w:val="21"/>
          <w:szCs w:val="21"/>
        </w:rPr>
        <w:t>“SIC</w:t>
      </w:r>
      <w:r w:rsidRPr="003879AC">
        <w:rPr>
          <w:rFonts w:ascii="Verdana" w:eastAsia="Century Gothic" w:hAnsi="Verdana" w:cs="Century Gothic"/>
          <w:i/>
          <w:iCs/>
          <w:sz w:val="21"/>
          <w:szCs w:val="21"/>
          <w:lang w:val="es-ES"/>
        </w:rPr>
        <w:t>.</w:t>
      </w:r>
    </w:p>
    <w:p w14:paraId="25D8DD89" w14:textId="77777777" w:rsidR="000124AA" w:rsidRPr="00FE63FD" w:rsidRDefault="000124AA" w:rsidP="000124AA">
      <w:pPr>
        <w:spacing w:after="0" w:line="276" w:lineRule="auto"/>
        <w:jc w:val="both"/>
        <w:rPr>
          <w:rFonts w:ascii="Verdana" w:eastAsia="Century Gothic" w:hAnsi="Verdana" w:cs="Century Gothic"/>
          <w:lang w:val="es-ES"/>
        </w:rPr>
      </w:pPr>
    </w:p>
    <w:p w14:paraId="0BB7A8D0" w14:textId="77777777" w:rsidR="000124AA" w:rsidRDefault="000124AA" w:rsidP="000124AA">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w:t>
      </w:r>
      <w:r>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FD3F773" w14:textId="77777777" w:rsidR="000124AA" w:rsidRDefault="000124AA" w:rsidP="000124AA">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1C8BFFC" w14:textId="77777777" w:rsidR="000124AA" w:rsidRPr="00593A5F" w:rsidRDefault="000124AA" w:rsidP="000124AA">
      <w:pPr>
        <w:spacing w:after="0" w:line="276" w:lineRule="auto"/>
        <w:jc w:val="both"/>
        <w:rPr>
          <w:rFonts w:ascii="Verdana" w:eastAsia="Calibri" w:hAnsi="Verdana" w:cs="Arial"/>
          <w:color w:val="000000"/>
          <w:lang w:val="es-ES" w:eastAsia="es-ES"/>
        </w:rPr>
      </w:pPr>
    </w:p>
    <w:p w14:paraId="2D79EBC8" w14:textId="77777777" w:rsidR="000124AA" w:rsidRPr="00593A5F" w:rsidRDefault="000124AA" w:rsidP="000124A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9572B34" w14:textId="77777777" w:rsidR="000124AA" w:rsidRDefault="000124AA" w:rsidP="000124AA">
      <w:pPr>
        <w:spacing w:after="0" w:line="240" w:lineRule="auto"/>
        <w:ind w:right="709"/>
        <w:jc w:val="both"/>
        <w:rPr>
          <w:rFonts w:ascii="Verdana" w:eastAsia="Century Gothic" w:hAnsi="Verdana" w:cs="Century Gothic"/>
          <w:lang w:val="es-ES"/>
        </w:rPr>
      </w:pPr>
    </w:p>
    <w:p w14:paraId="602131AC" w14:textId="77777777" w:rsidR="000124AA" w:rsidRPr="006B1315" w:rsidRDefault="000124AA" w:rsidP="000124AA">
      <w:pPr>
        <w:jc w:val="both"/>
        <w:rPr>
          <w:rFonts w:ascii="Verdana" w:hAnsi="Verdana"/>
        </w:rPr>
      </w:pPr>
      <w:r w:rsidRPr="006B1315">
        <w:rPr>
          <w:rFonts w:ascii="Verdana" w:hAnsi="Verdana"/>
        </w:rPr>
        <w:t>De acuerdo con el contenido de su solicitud, esta Agencia resolverá el siguiente problema jurídico: ¿Qué sucede con la experiencia aportada por los socios de personas jurídicas con menos de tres años de constitución, cuando no se realiza la renovación del RUP a tiempo y se hace una nueva inscripción debido a que dicho documento perdió vigencia?</w:t>
      </w:r>
    </w:p>
    <w:p w14:paraId="747B6DC5" w14:textId="77777777" w:rsidR="000124AA" w:rsidRPr="00EE4272" w:rsidRDefault="000124AA" w:rsidP="000124AA">
      <w:pPr>
        <w:spacing w:after="0" w:line="276" w:lineRule="auto"/>
        <w:jc w:val="both"/>
        <w:rPr>
          <w:rFonts w:ascii="Verdana" w:eastAsia="Century Gothic" w:hAnsi="Verdana" w:cs="Century Gothic"/>
        </w:rPr>
      </w:pPr>
    </w:p>
    <w:p w14:paraId="3E2F1A0C" w14:textId="77777777" w:rsidR="000124AA" w:rsidRPr="00593A5F" w:rsidRDefault="000124AA" w:rsidP="000124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30072563" w14:textId="77777777" w:rsidR="000124AA" w:rsidRPr="00593A5F" w:rsidRDefault="000124AA" w:rsidP="000124A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124AA" w:rsidRPr="006B1315" w14:paraId="25BA00AD" w14:textId="77777777" w:rsidTr="0036270F">
        <w:tc>
          <w:tcPr>
            <w:tcW w:w="8828" w:type="dxa"/>
            <w:shd w:val="clear" w:color="auto" w:fill="auto"/>
          </w:tcPr>
          <w:p w14:paraId="1D321771" w14:textId="77777777" w:rsidR="000124AA" w:rsidRPr="006B1315" w:rsidRDefault="000124AA" w:rsidP="0005470B">
            <w:pPr>
              <w:spacing w:line="276" w:lineRule="auto"/>
              <w:jc w:val="both"/>
              <w:rPr>
                <w:rFonts w:ascii="Verdana" w:hAnsi="Verdana"/>
              </w:rPr>
            </w:pPr>
            <w:r w:rsidRPr="006B1315">
              <w:rPr>
                <w:rFonts w:ascii="Verdana" w:hAnsi="Verdana"/>
              </w:rPr>
              <w:t xml:space="preserve">Cuando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Lo anterior, tiene </w:t>
            </w:r>
            <w:r w:rsidRPr="006B1315">
              <w:rPr>
                <w:rFonts w:ascii="Verdana" w:hAnsi="Verdana"/>
              </w:rPr>
              <w:lastRenderedPageBreak/>
              <w:t>fundamento en la</w:t>
            </w:r>
            <w:r>
              <w:rPr>
                <w:rFonts w:ascii="Verdana" w:hAnsi="Verdana"/>
              </w:rPr>
              <w:t xml:space="preserve"> </w:t>
            </w:r>
            <w:r w:rsidRPr="005821E0">
              <w:rPr>
                <w:rFonts w:ascii="Verdana" w:hAnsi="Verdana"/>
              </w:rPr>
              <w:t>Circular Única de la Superintendencia de Industria y Comercio</w:t>
            </w:r>
            <w:r>
              <w:rPr>
                <w:rFonts w:ascii="Verdana" w:hAnsi="Verdana"/>
              </w:rPr>
              <w:t xml:space="preserve"> que</w:t>
            </w:r>
            <w:r w:rsidRPr="005821E0">
              <w:rPr>
                <w:rFonts w:ascii="Verdana" w:hAnsi="Verdana"/>
              </w:rPr>
              <w:t xml:space="preserve"> dispuso en el numeral 4.2</w:t>
            </w:r>
            <w:r w:rsidRPr="005821E0">
              <w:rPr>
                <w:rStyle w:val="Refdenotaalpie"/>
                <w:rFonts w:ascii="Verdana" w:hAnsi="Verdana"/>
              </w:rPr>
              <w:footnoteReference w:id="2"/>
            </w:r>
            <w:r w:rsidRPr="005821E0">
              <w:rPr>
                <w:rFonts w:ascii="Verdana" w:hAnsi="Verdana"/>
              </w:rPr>
              <w:t>, el procedimiento para llevar el registro único de proponentes.</w:t>
            </w:r>
            <w:r w:rsidRPr="005821E0">
              <w:rPr>
                <w:rStyle w:val="normaltextrun"/>
                <w:rFonts w:ascii="Verdana" w:hAnsi="Verdana" w:cs="Arial"/>
                <w:lang w:val="es-MX"/>
              </w:rPr>
              <w:t> </w:t>
            </w:r>
            <w:r w:rsidRPr="005821E0">
              <w:rPr>
                <w:rStyle w:val="eop"/>
                <w:rFonts w:ascii="Verdana" w:hAnsi="Verdana" w:cs="Arial"/>
              </w:rPr>
              <w:t> </w:t>
            </w:r>
            <w:r w:rsidRPr="006B1315">
              <w:rPr>
                <w:rFonts w:ascii="Verdana" w:hAnsi="Verdana"/>
              </w:rPr>
              <w:t xml:space="preserve"> </w:t>
            </w:r>
          </w:p>
        </w:tc>
      </w:tr>
    </w:tbl>
    <w:p w14:paraId="6BB8B048" w14:textId="77777777" w:rsidR="000124AA" w:rsidRPr="00593A5F" w:rsidRDefault="000124AA" w:rsidP="000124AA">
      <w:pPr>
        <w:tabs>
          <w:tab w:val="left" w:pos="142"/>
          <w:tab w:val="left" w:pos="284"/>
        </w:tabs>
        <w:spacing w:after="0" w:line="276" w:lineRule="auto"/>
        <w:jc w:val="both"/>
        <w:rPr>
          <w:rFonts w:ascii="Verdana" w:eastAsia="Century Gothic" w:hAnsi="Verdana" w:cs="Century Gothic"/>
          <w:b/>
          <w:bCs/>
          <w:lang w:val="es-ES"/>
        </w:rPr>
      </w:pPr>
    </w:p>
    <w:p w14:paraId="274FA648" w14:textId="77777777" w:rsidR="000124AA" w:rsidRPr="00593A5F" w:rsidRDefault="000124AA" w:rsidP="000124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5AACFD4" w14:textId="77777777" w:rsidR="000124AA" w:rsidRPr="00593A5F" w:rsidRDefault="000124AA" w:rsidP="000124AA">
      <w:pPr>
        <w:spacing w:after="0" w:line="276" w:lineRule="auto"/>
        <w:jc w:val="both"/>
        <w:rPr>
          <w:rFonts w:ascii="Verdana" w:eastAsia="Calibri" w:hAnsi="Verdana" w:cs="Arial"/>
          <w:color w:val="7030A0"/>
          <w:lang w:val="es-ES"/>
        </w:rPr>
      </w:pPr>
    </w:p>
    <w:p w14:paraId="74F3D047" w14:textId="77777777" w:rsidR="000124AA" w:rsidRDefault="000124AA" w:rsidP="000124AA">
      <w:pPr>
        <w:spacing w:after="0" w:line="276" w:lineRule="auto"/>
        <w:jc w:val="both"/>
        <w:rPr>
          <w:rFonts w:ascii="Verdana" w:eastAsia="Calibri" w:hAnsi="Verdana" w:cs="Arial"/>
          <w:lang w:val="es-ES"/>
        </w:rPr>
      </w:pPr>
      <w:r w:rsidRPr="00FB372A">
        <w:rPr>
          <w:rFonts w:ascii="Verdana" w:eastAsia="Calibri" w:hAnsi="Verdana" w:cs="Arial"/>
          <w:lang w:val="es-ES"/>
        </w:rPr>
        <w:t>Lo anterior se sustenta en las siguientes consideraciones:</w:t>
      </w:r>
    </w:p>
    <w:p w14:paraId="488A32F2" w14:textId="77777777" w:rsidR="000124AA" w:rsidRDefault="000124AA" w:rsidP="000124AA">
      <w:pPr>
        <w:spacing w:after="0" w:line="276" w:lineRule="auto"/>
        <w:jc w:val="both"/>
        <w:rPr>
          <w:rFonts w:ascii="Verdana" w:eastAsia="Calibri" w:hAnsi="Verdana" w:cs="Arial"/>
          <w:lang w:val="es-ES"/>
        </w:rPr>
      </w:pPr>
    </w:p>
    <w:p w14:paraId="78D15131" w14:textId="77777777" w:rsidR="000124AA" w:rsidRDefault="000124AA" w:rsidP="000124AA">
      <w:pPr>
        <w:spacing w:after="120" w:line="276" w:lineRule="auto"/>
        <w:jc w:val="both"/>
        <w:rPr>
          <w:rFonts w:ascii="Verdana" w:eastAsia="Calibri" w:hAnsi="Verdana" w:cs="Arial"/>
          <w:lang w:val="es-ES"/>
        </w:rPr>
      </w:pPr>
      <w:r>
        <w:rPr>
          <w:rFonts w:ascii="Verdana" w:eastAsia="Calibri" w:hAnsi="Verdana" w:cs="Arial"/>
          <w:lang w:val="es-ES"/>
        </w:rPr>
        <w:t>Dentro de l</w:t>
      </w:r>
      <w:r w:rsidRPr="00CB6B5F">
        <w:rPr>
          <w:rFonts w:ascii="Verdana" w:eastAsia="Calibri" w:hAnsi="Verdana" w:cs="Arial"/>
          <w:lang w:val="es-ES"/>
        </w:rPr>
        <w:t xml:space="preserve">os principales requisitos habilitantes que se utilizan en los Procesos de Contratación se destaca la experiencia, la cual debe ser entendida como el conocimiento del proponente derivado de su participación previa en actividades iguales o similares a las previstas en el objeto del contrato con contratantes públicos, privados, nacionales o extranjeros. La experiencia puede ser adquirida directamente de manera singularizada o en asocio con otras personas, como es el caso de los proponentes plurales, cuya experiencia no deja de ser personal, sino que, por tratarse de esquemas asociativos, se evalúa </w:t>
      </w:r>
      <w:r>
        <w:rPr>
          <w:rFonts w:ascii="Verdana" w:eastAsia="Calibri" w:hAnsi="Verdana" w:cs="Arial"/>
          <w:lang w:val="es-ES"/>
        </w:rPr>
        <w:t xml:space="preserve">conforme los requisitos previstos en el pliego de condiciones </w:t>
      </w:r>
      <w:r w:rsidRPr="00CB6B5F">
        <w:rPr>
          <w:rFonts w:ascii="Verdana" w:eastAsia="Calibri" w:hAnsi="Verdana" w:cs="Arial"/>
          <w:lang w:val="es-ES"/>
        </w:rPr>
        <w:t xml:space="preserve">de forma proporcional a la participación de los miembros en los respectivos consorcios y/o uniones temporales.  </w:t>
      </w:r>
    </w:p>
    <w:p w14:paraId="1124B87E" w14:textId="77777777" w:rsidR="000124AA" w:rsidRDefault="000124AA" w:rsidP="000124AA">
      <w:pPr>
        <w:spacing w:after="120" w:line="276" w:lineRule="auto"/>
        <w:ind w:firstLine="709"/>
        <w:jc w:val="both"/>
        <w:rPr>
          <w:rFonts w:ascii="Verdana" w:eastAsia="Calibri" w:hAnsi="Verdana" w:cs="Arial"/>
          <w:lang w:val="es-ES"/>
        </w:rPr>
      </w:pPr>
      <w:r w:rsidRPr="00CB6B5F">
        <w:rPr>
          <w:rFonts w:ascii="Verdana" w:eastAsia="Calibri" w:hAnsi="Verdana" w:cs="Arial"/>
          <w:lang w:val="es-ES"/>
        </w:rPr>
        <w:t xml:space="preserve">En el marco de la contratación pública, la experiencia del proponente se reviste de particular importancia, en la medida en que </w:t>
      </w:r>
      <w:r>
        <w:rPr>
          <w:rFonts w:ascii="Verdana" w:eastAsia="Calibri" w:hAnsi="Verdana" w:cs="Arial"/>
          <w:lang w:val="es-ES"/>
        </w:rPr>
        <w:t xml:space="preserve">con ello se </w:t>
      </w:r>
      <w:r w:rsidRPr="00CB6B5F">
        <w:rPr>
          <w:rFonts w:ascii="Verdana" w:eastAsia="Calibri" w:hAnsi="Verdana" w:cs="Arial"/>
          <w:lang w:val="es-ES"/>
        </w:rPr>
        <w:t>garantiza,</w:t>
      </w:r>
      <w:r>
        <w:rPr>
          <w:rFonts w:ascii="Verdana" w:eastAsia="Calibri" w:hAnsi="Verdana" w:cs="Arial"/>
          <w:lang w:val="es-ES"/>
        </w:rPr>
        <w:t xml:space="preserve"> el conocimiento en el desarrollo, ejecución del objeto, obligaciones contractuales, sus riesgos entre otras particularidades del futuro vinculo negocial, </w:t>
      </w:r>
      <w:r w:rsidRPr="00CB6B5F">
        <w:rPr>
          <w:rFonts w:ascii="Verdana" w:eastAsia="Calibri" w:hAnsi="Verdana" w:cs="Arial"/>
          <w:lang w:val="es-ES"/>
        </w:rPr>
        <w:t>en cierto grado</w:t>
      </w:r>
      <w:r>
        <w:rPr>
          <w:rFonts w:ascii="Verdana" w:eastAsia="Calibri" w:hAnsi="Verdana" w:cs="Arial"/>
          <w:lang w:val="es-ES"/>
        </w:rPr>
        <w:t xml:space="preserve"> busca garantizar</w:t>
      </w:r>
      <w:r w:rsidRPr="00CB6B5F">
        <w:rPr>
          <w:rFonts w:ascii="Verdana" w:eastAsia="Calibri" w:hAnsi="Verdana" w:cs="Arial"/>
          <w:lang w:val="es-ES"/>
        </w:rPr>
        <w:t>, que no habrá improvisación ni mayores costos por errores o dificultades originadas en realizar una actividad por primera vez.  Las Entidades Estatales contratantes, como responsables de la estructuración de los Procesos de Contratación, son autónomas para establecer los requisitos habilitantes de experiencia, de acuerdo con el estudio realizado en marco del análisis del sector</w:t>
      </w:r>
      <w:r>
        <w:rPr>
          <w:rStyle w:val="Refdenotaalpie"/>
          <w:rFonts w:ascii="Verdana" w:eastAsia="Calibri" w:hAnsi="Verdana" w:cs="Arial"/>
          <w:lang w:val="es-ES"/>
        </w:rPr>
        <w:footnoteReference w:id="3"/>
      </w:r>
      <w:r>
        <w:rPr>
          <w:rFonts w:ascii="Verdana" w:eastAsia="Calibri" w:hAnsi="Verdana" w:cs="Arial"/>
          <w:lang w:val="es-ES"/>
        </w:rPr>
        <w:t>.</w:t>
      </w:r>
    </w:p>
    <w:p w14:paraId="48C67EA2" w14:textId="77777777" w:rsidR="000124AA" w:rsidRPr="003C02EC" w:rsidRDefault="000124AA" w:rsidP="000124AA">
      <w:pPr>
        <w:spacing w:after="120" w:line="276" w:lineRule="auto"/>
        <w:ind w:firstLine="709"/>
        <w:jc w:val="both"/>
        <w:rPr>
          <w:rFonts w:ascii="Verdana" w:eastAsia="Arial" w:hAnsi="Verdana" w:cs="Arial"/>
        </w:rPr>
      </w:pPr>
      <w:r w:rsidRPr="009F23D3">
        <w:rPr>
          <w:rFonts w:ascii="Verdana" w:eastAsia="Arial" w:hAnsi="Verdana" w:cs="Arial"/>
        </w:rPr>
        <w:t xml:space="preserve">El artículo 5 de la Ley 1150 de 2007 dispone que la capacidad jurídica y las condiciones de experiencia, capacidad financiera y organización de los </w:t>
      </w:r>
      <w:r w:rsidRPr="009F23D3">
        <w:rPr>
          <w:rFonts w:ascii="Verdana" w:eastAsia="Arial" w:hAnsi="Verdana" w:cs="Arial"/>
        </w:rPr>
        <w:lastRenderedPageBreak/>
        <w:t>proponentes serán objeto de verificación por parte de las Entidades Estatales como requisitos habilitantes para participar en los procesos de selección y no otorgarán puntaje. Lo anterior con excepción de la selección de consultores mediante un concurso de méritos, donde es posible otorga</w:t>
      </w:r>
      <w:r>
        <w:rPr>
          <w:rFonts w:ascii="Verdana" w:eastAsia="Arial" w:hAnsi="Verdana" w:cs="Arial"/>
        </w:rPr>
        <w:t>r</w:t>
      </w:r>
      <w:r w:rsidRPr="009F23D3">
        <w:rPr>
          <w:rFonts w:ascii="Verdana" w:eastAsia="Arial" w:hAnsi="Verdana" w:cs="Arial"/>
        </w:rPr>
        <w:t xml:space="preserve"> puntaje al criterio de experiencia.</w:t>
      </w:r>
    </w:p>
    <w:p w14:paraId="01F4E3EC" w14:textId="77777777" w:rsidR="000124AA" w:rsidRPr="009F23D3" w:rsidRDefault="000124AA" w:rsidP="000124AA">
      <w:pPr>
        <w:spacing w:after="120" w:line="276" w:lineRule="auto"/>
        <w:ind w:firstLine="708"/>
        <w:jc w:val="both"/>
        <w:rPr>
          <w:rFonts w:ascii="Verdana" w:eastAsia="Calibri" w:hAnsi="Verdana" w:cs="Arial"/>
          <w:color w:val="000000" w:themeColor="text1"/>
        </w:rPr>
      </w:pPr>
      <w:r w:rsidRPr="009F23D3">
        <w:rPr>
          <w:rFonts w:ascii="Verdana" w:eastAsia="Calibri" w:hAnsi="Verdana" w:cs="Arial"/>
          <w:color w:val="000000" w:themeColor="text1"/>
        </w:rPr>
        <w:t>La experiencia que se deriva de los contratos que el proponente ha celebrado y ejecutado con diferentes contratantes, sin importar la naturaleza de estos, se verifica con el Registro Único de Proponentes –en adelante RUP–</w:t>
      </w:r>
      <w:r w:rsidRPr="009F23D3">
        <w:rPr>
          <w:rStyle w:val="Refdenotaalpie"/>
          <w:rFonts w:ascii="Verdana" w:eastAsia="Calibri" w:hAnsi="Verdana" w:cs="Arial"/>
          <w:color w:val="000000" w:themeColor="text1"/>
        </w:rPr>
        <w:footnoteReference w:id="4"/>
      </w:r>
      <w:r w:rsidRPr="009F23D3">
        <w:rPr>
          <w:rFonts w:ascii="Verdana" w:eastAsia="Calibri" w:hAnsi="Verdana" w:cs="Arial"/>
          <w:color w:val="000000" w:themeColor="text1"/>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9F23D3">
        <w:rPr>
          <w:rStyle w:val="Refdenotaalpie"/>
          <w:rFonts w:ascii="Verdana" w:eastAsia="Calibri" w:hAnsi="Verdana" w:cs="Arial"/>
          <w:color w:val="000000" w:themeColor="text1"/>
        </w:rPr>
        <w:footnoteReference w:id="5"/>
      </w:r>
      <w:r w:rsidRPr="009F23D3">
        <w:rPr>
          <w:rFonts w:ascii="Verdana" w:eastAsia="Calibri" w:hAnsi="Verdana" w:cs="Arial"/>
          <w:color w:val="000000" w:themeColor="text1"/>
        </w:rPr>
        <w:t>.</w:t>
      </w:r>
    </w:p>
    <w:p w14:paraId="2AD88AC2" w14:textId="77777777" w:rsidR="000124AA" w:rsidRDefault="000124AA" w:rsidP="000124AA">
      <w:pPr>
        <w:spacing w:after="120" w:line="276" w:lineRule="auto"/>
        <w:ind w:firstLine="708"/>
        <w:jc w:val="both"/>
        <w:rPr>
          <w:rFonts w:ascii="Verdana" w:eastAsia="Arial" w:hAnsi="Verdana" w:cs="Arial"/>
        </w:rPr>
      </w:pPr>
      <w:r w:rsidRPr="009F23D3">
        <w:rPr>
          <w:rFonts w:ascii="Verdana" w:eastAsia="Arial" w:hAnsi="Verdana" w:cs="Arial"/>
        </w:rPr>
        <w:t>Por otra parte, el artículo 6 de la Ley 1150 de 2007 señala que todas las personas naturales o jurídicas, nacionales o extranjeras, domiciliadas o con sucursal en Colombia, que aspiren celebrar contratos con las Entidades deberán estar inscritas en el RUP.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50500CE5" w14:textId="77777777" w:rsidR="000124AA" w:rsidRPr="00F734EB" w:rsidRDefault="000124AA" w:rsidP="000124AA">
      <w:pPr>
        <w:spacing w:after="120" w:line="276" w:lineRule="auto"/>
        <w:ind w:firstLine="708"/>
        <w:jc w:val="both"/>
        <w:rPr>
          <w:rFonts w:ascii="Verdana" w:eastAsia="Calibri" w:hAnsi="Verdana" w:cs="Arial"/>
        </w:rPr>
      </w:pPr>
      <w:r w:rsidRPr="00F734EB">
        <w:rPr>
          <w:rFonts w:ascii="Verdana" w:eastAsia="Calibri" w:hAnsi="Verdana" w:cs="Arial"/>
        </w:rPr>
        <w:lastRenderedPageBreak/>
        <w:t>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w:t>
      </w:r>
    </w:p>
    <w:p w14:paraId="16E933D9" w14:textId="77777777" w:rsidR="000124AA" w:rsidRPr="009F23D3" w:rsidRDefault="000124AA" w:rsidP="000124AA">
      <w:pPr>
        <w:spacing w:before="120" w:after="120" w:line="276" w:lineRule="auto"/>
        <w:ind w:firstLine="709"/>
        <w:jc w:val="both"/>
        <w:rPr>
          <w:rFonts w:ascii="Verdana" w:eastAsia="Calibri" w:hAnsi="Verdana" w:cs="Arial"/>
          <w:color w:val="000000" w:themeColor="text1"/>
        </w:rPr>
      </w:pPr>
      <w:r w:rsidRPr="009F23D3">
        <w:rPr>
          <w:rFonts w:ascii="Verdana" w:eastAsia="Calibri" w:hAnsi="Verdana" w:cs="Arial"/>
          <w:color w:val="000000" w:themeColor="text1"/>
        </w:rPr>
        <w:t>El numeral 2.1 del artículo 2.2.1.1.1.5.2 del Decreto 1082 de 2015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9F23D3">
        <w:rPr>
          <w:rFonts w:ascii="Verdana" w:eastAsia="Calibri" w:hAnsi="Verdana" w:cs="Arial"/>
          <w:color w:val="000000" w:themeColor="text1"/>
          <w:vertAlign w:val="superscript"/>
        </w:rPr>
        <w:footnoteReference w:id="6"/>
      </w:r>
      <w:r w:rsidRPr="009F23D3">
        <w:rPr>
          <w:rFonts w:ascii="Verdana" w:eastAsia="Calibri" w:hAnsi="Verdana" w:cs="Arial"/>
          <w:color w:val="000000" w:themeColor="text1"/>
        </w:rPr>
        <w:t>. De la misma forma, el numeral 2.5. ibidem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Pr="009F23D3">
        <w:rPr>
          <w:rFonts w:ascii="Verdana" w:eastAsia="Calibri" w:hAnsi="Verdana" w:cs="Arial"/>
          <w:color w:val="000000" w:themeColor="text1"/>
          <w:vertAlign w:val="superscript"/>
        </w:rPr>
        <w:footnoteReference w:id="7"/>
      </w:r>
      <w:r w:rsidRPr="009F23D3">
        <w:rPr>
          <w:rFonts w:ascii="Verdana" w:eastAsia="Calibri" w:hAnsi="Verdana" w:cs="Arial"/>
          <w:color w:val="000000" w:themeColor="text1"/>
        </w:rPr>
        <w:t>.</w:t>
      </w:r>
    </w:p>
    <w:p w14:paraId="0B76D3C4" w14:textId="77777777" w:rsidR="000124AA" w:rsidRDefault="000124AA" w:rsidP="000124AA">
      <w:pPr>
        <w:spacing w:before="120" w:after="120" w:line="276" w:lineRule="auto"/>
        <w:ind w:firstLine="709"/>
        <w:jc w:val="both"/>
        <w:rPr>
          <w:rFonts w:ascii="Verdana" w:eastAsia="Calibri" w:hAnsi="Verdana" w:cs="Arial"/>
          <w:color w:val="000000" w:themeColor="text1"/>
        </w:rPr>
      </w:pPr>
      <w:r w:rsidRPr="009F23D3">
        <w:rPr>
          <w:rFonts w:ascii="Verdana" w:eastAsia="Calibri" w:hAnsi="Verdana" w:cs="Arial"/>
          <w:color w:val="000000" w:themeColor="text1"/>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p>
    <w:p w14:paraId="68A6C810" w14:textId="77777777" w:rsidR="000124AA" w:rsidRPr="009F23D3" w:rsidRDefault="000124AA" w:rsidP="000124AA">
      <w:pPr>
        <w:spacing w:before="120" w:after="120" w:line="276" w:lineRule="auto"/>
        <w:ind w:firstLine="709"/>
        <w:jc w:val="both"/>
        <w:rPr>
          <w:rFonts w:ascii="Verdana" w:eastAsia="Calibri" w:hAnsi="Verdana" w:cs="Arial"/>
          <w:color w:val="000000" w:themeColor="text1"/>
        </w:rPr>
      </w:pPr>
      <w:r w:rsidRPr="009F23D3">
        <w:rPr>
          <w:rFonts w:ascii="Verdana" w:eastAsia="Calibri" w:hAnsi="Verdana" w:cs="Arial"/>
          <w:color w:val="000000" w:themeColor="text1"/>
        </w:rPr>
        <w:lastRenderedPageBreak/>
        <w:t>La parte final de ese numeral 2.5. indica que “Si la constitución del interesado es menor a tres (3) años, puede acreditar la experiencia de sus accionistas, socios o constituyentes”. 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w:t>
      </w:r>
      <w:r>
        <w:rPr>
          <w:rFonts w:ascii="Verdana" w:eastAsia="Calibri" w:hAnsi="Verdana" w:cs="Arial"/>
          <w:color w:val="000000" w:themeColor="text1"/>
        </w:rPr>
        <w:t xml:space="preserve"> entendiendo por supuesto que deben ostentar tal calidad al momento en que pretendan hacer uso de dicha facultad de acreditación de experiencia</w:t>
      </w:r>
      <w:r w:rsidRPr="009F23D3">
        <w:rPr>
          <w:rFonts w:ascii="Verdana" w:eastAsia="Calibri" w:hAnsi="Verdana" w:cs="Arial"/>
          <w:color w:val="000000" w:themeColor="text1"/>
        </w:rPr>
        <w:t>.</w:t>
      </w:r>
    </w:p>
    <w:p w14:paraId="6156010D" w14:textId="77777777" w:rsidR="000124AA" w:rsidRDefault="000124AA" w:rsidP="000124AA">
      <w:pPr>
        <w:spacing w:after="120" w:line="276" w:lineRule="auto"/>
        <w:ind w:firstLine="708"/>
        <w:jc w:val="both"/>
        <w:rPr>
          <w:rFonts w:ascii="Verdana" w:eastAsia="Calibri" w:hAnsi="Verdana" w:cs="Arial"/>
          <w:color w:val="000000" w:themeColor="text1"/>
        </w:rPr>
      </w:pPr>
      <w:r w:rsidRPr="009F23D3">
        <w:rPr>
          <w:rFonts w:ascii="Verdana" w:eastAsia="Calibri" w:hAnsi="Verdana" w:cs="Arial"/>
          <w:color w:val="000000" w:themeColor="text1"/>
        </w:rPr>
        <w:t>A pesar de que la experiencia es inherente a la persona que la ha obtenido, razón por la cual es, en principio, intransferible en virtud de su carácter personalísimo, por disposición legal o reglamentaria, casos excepcionales, como el descrito en el artículo mencionado, se aplica de otra manera. 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de esta forma promover el desarrollo de la empresa</w:t>
      </w:r>
      <w:r>
        <w:rPr>
          <w:rFonts w:ascii="Verdana" w:eastAsia="Calibri" w:hAnsi="Verdana" w:cs="Arial"/>
          <w:color w:val="000000" w:themeColor="text1"/>
        </w:rPr>
        <w:t>,</w:t>
      </w:r>
      <w:r w:rsidRPr="009F23D3">
        <w:rPr>
          <w:rFonts w:ascii="Verdana" w:eastAsia="Calibri" w:hAnsi="Verdana" w:cs="Arial"/>
          <w:color w:val="000000" w:themeColor="text1"/>
        </w:rPr>
        <w:t xml:space="preserve"> la pluralidad de oferentes en la contratación pública</w:t>
      </w:r>
      <w:r>
        <w:rPr>
          <w:rFonts w:ascii="Verdana" w:eastAsia="Calibri" w:hAnsi="Verdana" w:cs="Arial"/>
          <w:color w:val="000000" w:themeColor="text1"/>
        </w:rPr>
        <w:t xml:space="preserve"> y por supuesto que dicha experiencia transferida a la persona jurídica proponente va a garantizar en un momento dado, el cumplimiento del objeto y obligaciones contractuales</w:t>
      </w:r>
      <w:r w:rsidRPr="009F23D3">
        <w:rPr>
          <w:rFonts w:ascii="Verdana" w:eastAsia="Calibri" w:hAnsi="Verdana" w:cs="Arial"/>
          <w:color w:val="000000" w:themeColor="text1"/>
        </w:rPr>
        <w:t>.</w:t>
      </w:r>
    </w:p>
    <w:p w14:paraId="3B733780" w14:textId="77777777" w:rsidR="000124AA" w:rsidRPr="009F23D3" w:rsidRDefault="000124AA" w:rsidP="000124AA">
      <w:pPr>
        <w:spacing w:after="120" w:line="276" w:lineRule="auto"/>
        <w:ind w:firstLine="708"/>
        <w:jc w:val="both"/>
        <w:rPr>
          <w:rFonts w:ascii="Verdana" w:eastAsia="Times New Roman" w:hAnsi="Verdana" w:cs="Arial"/>
          <w:lang w:val="es-MX" w:eastAsia="es-ES_tradnl"/>
        </w:rPr>
      </w:pPr>
      <w:r w:rsidRPr="009F23D3">
        <w:rPr>
          <w:rFonts w:ascii="Verdana" w:eastAsia="Times New Roman" w:hAnsi="Verdana" w:cs="Arial"/>
          <w:lang w:val="es-MX" w:eastAsia="es-ES_tradnl"/>
        </w:rPr>
        <w:t xml:space="preserve">Sin embargo, debe aclararse que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w:t>
      </w:r>
      <w:r w:rsidRPr="009F23D3">
        <w:rPr>
          <w:rFonts w:ascii="Verdana" w:eastAsia="Times New Roman" w:hAnsi="Verdana" w:cs="Arial"/>
          <w:lang w:val="es-MX" w:eastAsia="es-ES_tradnl"/>
        </w:rPr>
        <w:lastRenderedPageBreak/>
        <w:t>en cuenta por las Entidades Estatales, y no debería ser utilizada por el proponente en procesos de contratación, ya que es inherente a la persona que la ha obtenido.</w:t>
      </w:r>
    </w:p>
    <w:p w14:paraId="76B0B52E" w14:textId="78056C77" w:rsidR="00746136" w:rsidRDefault="00BC5824" w:rsidP="001B0EB1">
      <w:pPr>
        <w:spacing w:after="120" w:line="276" w:lineRule="auto"/>
        <w:ind w:firstLine="708"/>
        <w:jc w:val="both"/>
        <w:rPr>
          <w:rFonts w:ascii="Verdana" w:hAnsi="Verdana"/>
        </w:rPr>
      </w:pPr>
      <w:bookmarkStart w:id="1" w:name="_Hlk186190776"/>
      <w:r>
        <w:rPr>
          <w:rFonts w:ascii="Verdana" w:hAnsi="Verdana"/>
        </w:rPr>
        <w:t>Finalmente</w:t>
      </w:r>
      <w:r w:rsidR="00215E9C">
        <w:rPr>
          <w:rFonts w:ascii="Verdana" w:hAnsi="Verdana"/>
        </w:rPr>
        <w:t>, c</w:t>
      </w:r>
      <w:r w:rsidR="000124AA" w:rsidRPr="00CD781B">
        <w:rPr>
          <w:rFonts w:ascii="Verdana" w:hAnsi="Verdana"/>
        </w:rPr>
        <w:t>uando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r w:rsidR="002914F7">
        <w:rPr>
          <w:rFonts w:ascii="Verdana" w:hAnsi="Verdana"/>
        </w:rPr>
        <w:t xml:space="preserve"> </w:t>
      </w:r>
      <w:r w:rsidR="00746136" w:rsidRPr="00F27502">
        <w:rPr>
          <w:rFonts w:ascii="Verdana" w:hAnsi="Verdana"/>
        </w:rPr>
        <w:t>Lo anterior, tiene fundamento en la Circular Única de la Superintendencia de Industria y Comercio, en el numeral 4.2, sobre el procedimiento para llevar el registro único de proponentes, que establece</w:t>
      </w:r>
      <w:r w:rsidR="001B0EB1" w:rsidRPr="00F27502">
        <w:rPr>
          <w:rFonts w:ascii="Verdana" w:hAnsi="Verdana"/>
        </w:rPr>
        <w:t>: “</w:t>
      </w:r>
      <w:r w:rsidR="00746136" w:rsidRPr="00F27502">
        <w:rPr>
          <w:rFonts w:ascii="Verdana" w:hAnsi="Verdana"/>
          <w:i/>
          <w:iCs/>
        </w:rPr>
        <w:t>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r w:rsidR="00746136" w:rsidRPr="00F27502">
        <w:rPr>
          <w:i/>
          <w:iCs/>
        </w:rPr>
        <w:t>.  </w:t>
      </w:r>
    </w:p>
    <w:bookmarkEnd w:id="1"/>
    <w:p w14:paraId="5F07D120" w14:textId="77777777" w:rsidR="000124AA" w:rsidRPr="009F23D3" w:rsidRDefault="000124AA" w:rsidP="000124AA">
      <w:pPr>
        <w:spacing w:after="120" w:line="276" w:lineRule="auto"/>
        <w:jc w:val="both"/>
        <w:rPr>
          <w:rFonts w:ascii="Arial" w:eastAsia="Calibri" w:hAnsi="Arial" w:cs="Arial"/>
          <w:color w:val="000000" w:themeColor="text1"/>
        </w:rPr>
      </w:pPr>
    </w:p>
    <w:p w14:paraId="49EEA80B" w14:textId="77777777" w:rsidR="000124AA" w:rsidRPr="00593A5F" w:rsidRDefault="000124AA" w:rsidP="000124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63B18BA8" w14:textId="77777777" w:rsidR="000124AA" w:rsidRPr="00593A5F" w:rsidRDefault="000124AA" w:rsidP="000124AA">
      <w:pPr>
        <w:widowControl w:val="0"/>
        <w:autoSpaceDE w:val="0"/>
        <w:autoSpaceDN w:val="0"/>
        <w:spacing w:after="0" w:line="276" w:lineRule="auto"/>
        <w:jc w:val="both"/>
        <w:rPr>
          <w:rFonts w:ascii="Verdana" w:hAnsi="Verdana" w:cs="Arial"/>
        </w:rPr>
      </w:pPr>
    </w:p>
    <w:tbl>
      <w:tblPr>
        <w:tblStyle w:val="Tablaconcuadrcula"/>
        <w:tblW w:w="8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124AA" w:rsidRPr="00593A5F" w14:paraId="1E4B325A" w14:textId="77777777" w:rsidTr="0036270F">
        <w:trPr>
          <w:trHeight w:val="870"/>
        </w:trPr>
        <w:tc>
          <w:tcPr>
            <w:tcW w:w="8647" w:type="dxa"/>
          </w:tcPr>
          <w:p w14:paraId="2D4787D2" w14:textId="77777777" w:rsidR="000124AA" w:rsidRPr="005215F8" w:rsidRDefault="000124AA" w:rsidP="000124AA">
            <w:pPr>
              <w:pStyle w:val="Prrafodelista"/>
              <w:numPr>
                <w:ilvl w:val="0"/>
                <w:numId w:val="17"/>
              </w:numPr>
              <w:spacing w:after="120" w:line="276" w:lineRule="auto"/>
              <w:jc w:val="both"/>
              <w:rPr>
                <w:rFonts w:ascii="Verdana" w:hAnsi="Verdana"/>
              </w:rPr>
            </w:pPr>
            <w:r w:rsidRPr="005215F8">
              <w:rPr>
                <w:rFonts w:ascii="Verdana" w:eastAsia="Arial" w:hAnsi="Verdana" w:cs="Arial"/>
              </w:rPr>
              <w:t>Ley 1150 de 2007 - Artículo 5, 6</w:t>
            </w:r>
            <w:r w:rsidRPr="005215F8">
              <w:rPr>
                <w:rFonts w:ascii="Verdana" w:hAnsi="Verdana"/>
              </w:rPr>
              <w:t xml:space="preserve"> </w:t>
            </w:r>
          </w:p>
          <w:p w14:paraId="2C324A53" w14:textId="77777777" w:rsidR="000124AA" w:rsidRPr="000F0A66" w:rsidRDefault="000124AA" w:rsidP="000124AA">
            <w:pPr>
              <w:pStyle w:val="Prrafodelista"/>
              <w:numPr>
                <w:ilvl w:val="0"/>
                <w:numId w:val="17"/>
              </w:numPr>
              <w:spacing w:after="120" w:line="276" w:lineRule="auto"/>
              <w:jc w:val="both"/>
              <w:rPr>
                <w:rFonts w:ascii="Verdana" w:eastAsia="Calibri" w:hAnsi="Verdana" w:cs="Arial"/>
                <w:color w:val="000000" w:themeColor="text1"/>
              </w:rPr>
            </w:pPr>
            <w:r w:rsidRPr="000F0A66">
              <w:rPr>
                <w:rFonts w:ascii="Verdana" w:hAnsi="Verdana"/>
              </w:rPr>
              <w:t>Decreto 1082 de 2015 - Artículo 2.2.1.1.1.6.2.</w:t>
            </w:r>
            <w:r w:rsidRPr="000F0A66">
              <w:rPr>
                <w:rFonts w:ascii="Verdana" w:hAnsi="Verdana" w:cs="Arial"/>
              </w:rPr>
              <w:t xml:space="preserve">; 2.2.1.1.1.5.3.; </w:t>
            </w:r>
            <w:r w:rsidRPr="000F0A66">
              <w:rPr>
                <w:rFonts w:ascii="Verdana" w:eastAsia="Calibri" w:hAnsi="Verdana" w:cs="Arial"/>
                <w:color w:val="000000" w:themeColor="text1"/>
              </w:rPr>
              <w:t xml:space="preserve">2.2.1.1.1.5.2 numeral 2.1, 2.5 </w:t>
            </w:r>
          </w:p>
          <w:p w14:paraId="205A0D20" w14:textId="77777777" w:rsidR="000124AA" w:rsidRPr="00B046EA" w:rsidRDefault="000124AA" w:rsidP="000124AA">
            <w:pPr>
              <w:pStyle w:val="Prrafodelista"/>
              <w:numPr>
                <w:ilvl w:val="0"/>
                <w:numId w:val="17"/>
              </w:numPr>
              <w:spacing w:after="120" w:line="276" w:lineRule="auto"/>
              <w:jc w:val="both"/>
            </w:pPr>
            <w:r w:rsidRPr="000F0A66">
              <w:rPr>
                <w:rFonts w:ascii="Verdana" w:hAnsi="Verdana"/>
              </w:rPr>
              <w:t xml:space="preserve">Circular Única de la Superintendencia de Industria y Comercio, en el numeral 4.2, </w:t>
            </w:r>
            <w:r>
              <w:rPr>
                <w:rFonts w:ascii="Verdana" w:hAnsi="Verdana"/>
              </w:rPr>
              <w:t>procedimiento</w:t>
            </w:r>
            <w:r w:rsidRPr="005821E0">
              <w:rPr>
                <w:rFonts w:ascii="Verdana" w:hAnsi="Verdana"/>
              </w:rPr>
              <w:t xml:space="preserve"> para llevar el registro único de proponentes.</w:t>
            </w:r>
            <w:r w:rsidRPr="005821E0">
              <w:rPr>
                <w:rStyle w:val="normaltextrun"/>
                <w:rFonts w:ascii="Verdana" w:hAnsi="Verdana" w:cs="Arial"/>
                <w:lang w:val="es-MX"/>
              </w:rPr>
              <w:t> </w:t>
            </w:r>
            <w:r w:rsidRPr="005821E0">
              <w:rPr>
                <w:rStyle w:val="eop"/>
                <w:rFonts w:ascii="Verdana" w:hAnsi="Verdana" w:cs="Arial"/>
              </w:rPr>
              <w:t> </w:t>
            </w:r>
            <w:r w:rsidRPr="006B1315">
              <w:rPr>
                <w:rFonts w:ascii="Verdana" w:hAnsi="Verdana"/>
              </w:rPr>
              <w:t xml:space="preserve"> </w:t>
            </w:r>
          </w:p>
          <w:p w14:paraId="39B6363A" w14:textId="77777777" w:rsidR="000124AA" w:rsidRPr="00D97499" w:rsidRDefault="000124AA" w:rsidP="000124AA">
            <w:pPr>
              <w:pStyle w:val="Prrafodelista"/>
              <w:numPr>
                <w:ilvl w:val="0"/>
                <w:numId w:val="17"/>
              </w:numPr>
              <w:spacing w:after="120" w:line="276" w:lineRule="auto"/>
              <w:jc w:val="both"/>
            </w:pPr>
            <w:r>
              <w:rPr>
                <w:rFonts w:ascii="Verdana" w:eastAsia="Arial" w:hAnsi="Verdana" w:cs="Arial"/>
              </w:rPr>
              <w:t>Agencia Nacional de Contratación Pública – Colombia Compra Eficiente: “</w:t>
            </w:r>
            <w:r w:rsidRPr="009F23D3">
              <w:rPr>
                <w:rFonts w:ascii="Verdana" w:eastAsia="Arial" w:hAnsi="Verdana" w:cs="Arial"/>
              </w:rPr>
              <w:t>Manual para determinar y verificar requisitos habilitantes en los procesos de contratación</w:t>
            </w:r>
            <w:r>
              <w:rPr>
                <w:rFonts w:ascii="Verdana" w:eastAsia="Arial" w:hAnsi="Verdana" w:cs="Arial"/>
              </w:rPr>
              <w:t xml:space="preserve">”. Disponible: </w:t>
            </w:r>
            <w:hyperlink r:id="rId12" w:history="1">
              <w:r w:rsidRPr="000633FE">
                <w:rPr>
                  <w:rStyle w:val="Hipervnculo"/>
                  <w:rFonts w:ascii="Verdana" w:eastAsia="Arial" w:hAnsi="Verdana" w:cs="Arial"/>
                </w:rPr>
                <w:t>Aquí</w:t>
              </w:r>
            </w:hyperlink>
            <w:r>
              <w:rPr>
                <w:rFonts w:ascii="Verdana" w:eastAsia="Arial" w:hAnsi="Verdana" w:cs="Arial"/>
              </w:rPr>
              <w:t xml:space="preserve"> </w:t>
            </w:r>
          </w:p>
        </w:tc>
      </w:tr>
    </w:tbl>
    <w:p w14:paraId="45D77405" w14:textId="77777777" w:rsidR="000124AA" w:rsidRPr="00593A5F" w:rsidRDefault="000124AA" w:rsidP="000124AA">
      <w:pPr>
        <w:widowControl w:val="0"/>
        <w:autoSpaceDE w:val="0"/>
        <w:autoSpaceDN w:val="0"/>
        <w:spacing w:after="0" w:line="276" w:lineRule="auto"/>
        <w:jc w:val="both"/>
        <w:rPr>
          <w:rFonts w:ascii="Verdana" w:hAnsi="Verdana" w:cs="Arial"/>
        </w:rPr>
      </w:pPr>
    </w:p>
    <w:p w14:paraId="758ACF09" w14:textId="77777777" w:rsidR="000124AA" w:rsidRPr="00593A5F" w:rsidRDefault="000124AA" w:rsidP="000124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93589B3" w14:textId="77777777" w:rsidR="000124AA" w:rsidRPr="00593A5F" w:rsidRDefault="000124AA" w:rsidP="000124AA">
      <w:pPr>
        <w:widowControl w:val="0"/>
        <w:autoSpaceDE w:val="0"/>
        <w:autoSpaceDN w:val="0"/>
        <w:spacing w:after="0" w:line="276" w:lineRule="auto"/>
        <w:jc w:val="both"/>
        <w:rPr>
          <w:rFonts w:ascii="Verdana" w:hAnsi="Verdana" w:cs="Arial"/>
        </w:rPr>
      </w:pPr>
    </w:p>
    <w:p w14:paraId="45F07490" w14:textId="41E25A52" w:rsidR="000124AA" w:rsidRPr="0015674B" w:rsidRDefault="000124AA" w:rsidP="000124AA">
      <w:pPr>
        <w:spacing w:after="120" w:line="276" w:lineRule="auto"/>
        <w:jc w:val="both"/>
        <w:rPr>
          <w:rFonts w:ascii="Verdana" w:hAnsi="Verdana" w:cs="Arial"/>
          <w:shd w:val="clear" w:color="auto" w:fill="FFFFFF"/>
        </w:rPr>
      </w:pPr>
      <w:r w:rsidRPr="009C0079">
        <w:rPr>
          <w:rFonts w:ascii="Verdana" w:hAnsi="Verdana" w:cs="Arial"/>
          <w:shd w:val="clear" w:color="auto" w:fill="FFFFFF"/>
        </w:rPr>
        <w:t xml:space="preserve">La Agencia Nacional de Contratación Pública – Colombia Compra Eficiente se pronunció sobre la acreditación de experiencia de socios por parte de sociedades con menos de tres años de constitución, en los conceptos </w:t>
      </w:r>
      <w:r w:rsidRPr="009C0079">
        <w:rPr>
          <w:rFonts w:ascii="Verdana" w:eastAsia="Arial MT" w:hAnsi="Verdana" w:cs="Arial"/>
          <w:lang w:val="es-ES"/>
        </w:rPr>
        <w:t xml:space="preserve">C-725 del 25 de enero </w:t>
      </w:r>
      <w:r w:rsidRPr="009C0079">
        <w:rPr>
          <w:rFonts w:ascii="Verdana" w:eastAsia="Arial MT" w:hAnsi="Verdana" w:cs="Arial"/>
          <w:lang w:val="es-ES"/>
        </w:rPr>
        <w:lastRenderedPageBreak/>
        <w:t xml:space="preserve">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 C-128 del 18 de mayo de 2023, C-146 de 13 de junio de 2023, C-261 del 13 de julio de 2023, C-466 del 01 de diciembre de 2023, </w:t>
      </w:r>
      <w:r>
        <w:rPr>
          <w:rFonts w:ascii="Verdana" w:eastAsia="Arial MT" w:hAnsi="Verdana" w:cs="Arial"/>
          <w:lang w:val="es-ES"/>
        </w:rPr>
        <w:t xml:space="preserve">C-088 de 2024 del 13 junio de 2024, </w:t>
      </w:r>
      <w:r w:rsidRPr="009C0079">
        <w:rPr>
          <w:rFonts w:ascii="Verdana" w:eastAsia="Arial MT" w:hAnsi="Verdana" w:cs="Arial"/>
          <w:lang w:val="es-ES"/>
        </w:rPr>
        <w:t>entre otros.</w:t>
      </w:r>
      <w:r w:rsidRPr="009C0079">
        <w:rPr>
          <w:rFonts w:ascii="Verdana" w:hAnsi="Verdana"/>
        </w:rPr>
        <w:t xml:space="preserve"> </w:t>
      </w:r>
      <w:r w:rsidRPr="009C007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9C0079">
          <w:rPr>
            <w:rStyle w:val="Hipervnculo"/>
            <w:rFonts w:ascii="Verdana" w:hAnsi="Verdana" w:cs="Arial"/>
            <w:shd w:val="clear" w:color="auto" w:fill="FFFFFF"/>
          </w:rPr>
          <w:t>https://relatoria.colombiacompra.gov.co/</w:t>
        </w:r>
      </w:hyperlink>
    </w:p>
    <w:p w14:paraId="51950E2A" w14:textId="77777777" w:rsidR="00416749" w:rsidRDefault="00416749" w:rsidP="000124AA">
      <w:pPr>
        <w:spacing w:after="0" w:line="276" w:lineRule="auto"/>
        <w:jc w:val="both"/>
        <w:rPr>
          <w:rFonts w:ascii="Verdana" w:hAnsi="Verdana" w:cs="Arial"/>
          <w:shd w:val="clear" w:color="auto" w:fill="FFFFFF"/>
        </w:rPr>
      </w:pPr>
    </w:p>
    <w:p w14:paraId="58379EAF" w14:textId="77777777" w:rsidR="00416749" w:rsidRDefault="00416749" w:rsidP="00416749">
      <w:pPr>
        <w:spacing w:after="0" w:line="276" w:lineRule="auto"/>
        <w:jc w:val="both"/>
        <w:rPr>
          <w:rFonts w:ascii="Verdana" w:hAnsi="Verdana" w:cs="Arial"/>
          <w:shd w:val="clear" w:color="auto" w:fill="FFFFFF"/>
        </w:rPr>
      </w:pPr>
      <w:r w:rsidRPr="00416749">
        <w:rPr>
          <w:rFonts w:ascii="Verdana" w:hAnsi="Verdana" w:cs="Arial"/>
          <w:shd w:val="clear" w:color="auto" w:fill="FFFFFF"/>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420D35DA" w14:textId="77777777" w:rsidR="00416749" w:rsidRPr="00416749" w:rsidRDefault="00416749" w:rsidP="00416749">
      <w:pPr>
        <w:spacing w:after="0" w:line="276" w:lineRule="auto"/>
        <w:jc w:val="both"/>
        <w:rPr>
          <w:rFonts w:ascii="Verdana" w:hAnsi="Verdana" w:cs="Arial"/>
          <w:shd w:val="clear" w:color="auto" w:fill="FFFFFF"/>
        </w:rPr>
      </w:pPr>
    </w:p>
    <w:p w14:paraId="68CF876C" w14:textId="77777777" w:rsidR="00416749" w:rsidRPr="00416749" w:rsidRDefault="00416749" w:rsidP="00416749">
      <w:pPr>
        <w:numPr>
          <w:ilvl w:val="0"/>
          <w:numId w:val="18"/>
        </w:numPr>
        <w:spacing w:after="0" w:line="276" w:lineRule="auto"/>
        <w:jc w:val="both"/>
        <w:rPr>
          <w:rFonts w:ascii="Verdana" w:hAnsi="Verdana" w:cs="Arial"/>
          <w:shd w:val="clear" w:color="auto" w:fill="FFFFFF"/>
        </w:rPr>
      </w:pPr>
      <w:r w:rsidRPr="00416749">
        <w:rPr>
          <w:rFonts w:ascii="Verdana" w:hAnsi="Verdana" w:cs="Arial"/>
          <w:b/>
          <w:bCs/>
          <w:shd w:val="clear" w:color="auto" w:fill="FFFFFF"/>
        </w:rPr>
        <w:t>Documentos tipo para los procesos de selección de interventoría de obra pública de infraestructura de transporte – versión 3: </w:t>
      </w:r>
      <w:hyperlink r:id="rId14" w:tgtFrame="_blank" w:tooltip="Dirección URL original: https://www.colombiacompra.gov.co/content/03-documentos-tipo-para-los-procesos-de-seleccion-de-interventoria-de-obra-publica-de. Haga clic o pulse si confía en este vínculo." w:history="1">
        <w:r w:rsidRPr="00416749">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7C8B30FE" w14:textId="77777777" w:rsidR="00416749" w:rsidRDefault="00416749" w:rsidP="00416749">
      <w:pPr>
        <w:numPr>
          <w:ilvl w:val="0"/>
          <w:numId w:val="18"/>
        </w:numPr>
        <w:spacing w:after="0" w:line="276" w:lineRule="auto"/>
        <w:jc w:val="both"/>
        <w:rPr>
          <w:rFonts w:ascii="Verdana" w:hAnsi="Verdana" w:cs="Arial"/>
          <w:shd w:val="clear" w:color="auto" w:fill="FFFFFF"/>
        </w:rPr>
      </w:pPr>
      <w:r w:rsidRPr="00416749">
        <w:rPr>
          <w:rFonts w:ascii="Verdana" w:hAnsi="Verdana" w:cs="Arial"/>
          <w:b/>
          <w:bCs/>
          <w:shd w:val="clear" w:color="auto" w:fill="FFFFFF"/>
        </w:rPr>
        <w:t>Documentos tipo para los procesos de selección de consultoría de obra pública de infraestructura de transporte – versión 2:</w:t>
      </w:r>
      <w:r w:rsidRPr="00416749">
        <w:rPr>
          <w:rFonts w:ascii="Verdana" w:hAnsi="Verdana" w:cs="Arial"/>
          <w:shd w:val="clear" w:color="auto" w:fill="FFFFFF"/>
        </w:rPr>
        <w:t> </w:t>
      </w:r>
      <w:hyperlink r:id="rId15" w:tgtFrame="_blank" w:tooltip="Dirección URL original: https://www.colombiacompra.gov.co/content/02-documentos-tipo-para-los-procesos-de-seleccion-de-consultoria-de-obra-publica-de. Haga clic o pulse si confía en este vínculo." w:history="1">
        <w:r w:rsidRPr="00416749">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61EF4ECC" w14:textId="77777777" w:rsidR="00416749" w:rsidRPr="00416749" w:rsidRDefault="00416749" w:rsidP="00416749">
      <w:pPr>
        <w:spacing w:after="0" w:line="276" w:lineRule="auto"/>
        <w:ind w:left="720"/>
        <w:jc w:val="both"/>
        <w:rPr>
          <w:rFonts w:ascii="Verdana" w:hAnsi="Verdana" w:cs="Arial"/>
          <w:shd w:val="clear" w:color="auto" w:fill="FFFFFF"/>
        </w:rPr>
      </w:pPr>
    </w:p>
    <w:p w14:paraId="02E37CA9" w14:textId="77777777" w:rsidR="00416749" w:rsidRPr="00416749" w:rsidRDefault="00416749" w:rsidP="00416749">
      <w:pPr>
        <w:spacing w:after="0" w:line="276" w:lineRule="auto"/>
        <w:jc w:val="both"/>
        <w:rPr>
          <w:rFonts w:ascii="Verdana" w:hAnsi="Verdana" w:cs="Arial"/>
          <w:shd w:val="clear" w:color="auto" w:fill="FFFFFF"/>
        </w:rPr>
      </w:pPr>
      <w:r w:rsidRPr="00416749">
        <w:rPr>
          <w:rFonts w:ascii="Verdana" w:hAnsi="Verdana" w:cs="Arial"/>
          <w:shd w:val="clear" w:color="auto" w:fill="FFFFFF"/>
        </w:rPr>
        <w:t>También, te contamos que ya publicamos </w:t>
      </w:r>
      <w:r w:rsidRPr="00416749">
        <w:rPr>
          <w:rFonts w:ascii="Verdana" w:hAnsi="Verdana" w:cs="Arial"/>
          <w:b/>
          <w:bCs/>
          <w:shd w:val="clear" w:color="auto" w:fill="FFFFFF"/>
        </w:rPr>
        <w:t>la nueva Guía de Contratación Pública Sostenible y Socialmente Responsable</w:t>
      </w:r>
      <w:r w:rsidRPr="00416749">
        <w:rPr>
          <w:rFonts w:ascii="Verdana" w:hAnsi="Verdana" w:cs="Arial"/>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6" w:tgtFrame="_blank" w:tooltip="Dirección URL original: https://www.colombiacompra.gov.co/manuales-guias-y-pliegos-tipo/manuales-y-guias/guia-de-contratacion-publica-sostenible-y-socialmente. Haga clic o pulse si confía en este vínculo." w:history="1">
        <w:r w:rsidRPr="00416749">
          <w:rPr>
            <w:rStyle w:val="Hipervnculo"/>
            <w:rFonts w:ascii="Verdana" w:hAnsi="Verdana" w:cs="Arial"/>
            <w:shd w:val="clear" w:color="auto" w:fill="FFFFFF"/>
          </w:rPr>
          <w:t xml:space="preserve">Guía de Contratación Pública Sostenible y Socialmente </w:t>
        </w:r>
        <w:r w:rsidRPr="00416749">
          <w:rPr>
            <w:rStyle w:val="Hipervnculo"/>
            <w:rFonts w:ascii="Verdana" w:hAnsi="Verdana" w:cs="Arial"/>
            <w:shd w:val="clear" w:color="auto" w:fill="FFFFFF"/>
          </w:rPr>
          <w:lastRenderedPageBreak/>
          <w:t>Responsable | Colombia Compra Eficiente | Agencia Nacional de Contratación Pública</w:t>
        </w:r>
      </w:hyperlink>
    </w:p>
    <w:p w14:paraId="54C9D547" w14:textId="77777777" w:rsidR="00416749" w:rsidRDefault="00416749" w:rsidP="000124AA">
      <w:pPr>
        <w:spacing w:after="0" w:line="276" w:lineRule="auto"/>
        <w:jc w:val="both"/>
        <w:rPr>
          <w:rFonts w:ascii="Verdana" w:hAnsi="Verdana" w:cs="Arial"/>
          <w:shd w:val="clear" w:color="auto" w:fill="FFFFFF"/>
        </w:rPr>
      </w:pPr>
    </w:p>
    <w:p w14:paraId="3C138C7C" w14:textId="77777777" w:rsidR="000124AA" w:rsidRPr="00881A59" w:rsidRDefault="000124AA" w:rsidP="000124AA">
      <w:pPr>
        <w:spacing w:after="0" w:line="240" w:lineRule="auto"/>
        <w:jc w:val="both"/>
        <w:rPr>
          <w:rFonts w:ascii="Verdana" w:hAnsi="Verdana" w:cs="Arial"/>
          <w:shd w:val="clear" w:color="auto" w:fill="FFFFFF"/>
        </w:rPr>
      </w:pPr>
    </w:p>
    <w:p w14:paraId="550157D9" w14:textId="77777777" w:rsidR="000124AA" w:rsidRPr="0011467B" w:rsidRDefault="000124AA" w:rsidP="000124AA">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2F9401C4" w14:textId="77777777" w:rsidR="000124AA" w:rsidRPr="0011467B" w:rsidRDefault="000124AA" w:rsidP="000124AA">
      <w:pPr>
        <w:spacing w:after="0" w:line="240" w:lineRule="auto"/>
        <w:jc w:val="both"/>
        <w:rPr>
          <w:rFonts w:ascii="Verdana" w:hAnsi="Verdana"/>
        </w:rPr>
      </w:pPr>
    </w:p>
    <w:p w14:paraId="5C147F30" w14:textId="77777777" w:rsidR="000124AA" w:rsidRPr="0011467B" w:rsidRDefault="000124AA" w:rsidP="000124AA">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19603D1D" w14:textId="77777777" w:rsidR="000124AA" w:rsidRPr="0011467B" w:rsidRDefault="000124AA" w:rsidP="000124AA">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1C1551DC" w14:textId="77777777" w:rsidR="000124AA" w:rsidRPr="0011467B" w:rsidRDefault="000124AA" w:rsidP="000124AA">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78F233F8" w14:textId="77777777" w:rsidR="000124AA" w:rsidRPr="0011467B" w:rsidRDefault="000124AA" w:rsidP="000124AA">
      <w:pPr>
        <w:spacing w:after="120" w:line="276" w:lineRule="auto"/>
        <w:jc w:val="both"/>
        <w:rPr>
          <w:rFonts w:ascii="Verdana" w:hAnsi="Verdana" w:cs="Arial"/>
          <w:lang w:val="es-ES"/>
        </w:rPr>
      </w:pPr>
    </w:p>
    <w:p w14:paraId="3F3F3AE0" w14:textId="4922A28B" w:rsidR="000124AA" w:rsidRPr="00022ABF" w:rsidRDefault="000124AA" w:rsidP="000124AA">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7C27006" w14:textId="77777777" w:rsidR="000124AA" w:rsidRPr="001B7C94" w:rsidRDefault="000124AA" w:rsidP="000124AA">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79508F69" w14:textId="77777777" w:rsidR="000124AA" w:rsidRDefault="000124AA" w:rsidP="000124AA">
      <w:pPr>
        <w:spacing w:line="276" w:lineRule="auto"/>
        <w:jc w:val="center"/>
        <w:rPr>
          <w:rFonts w:ascii="Verdana" w:hAnsi="Verdana" w:cs="Arial"/>
          <w:color w:val="000000"/>
          <w:lang w:val="es-ES_tradnl" w:eastAsia="es-CO"/>
        </w:rPr>
      </w:pPr>
    </w:p>
    <w:p w14:paraId="229AAB74" w14:textId="56397C0B" w:rsidR="000124AA" w:rsidRDefault="00916064" w:rsidP="000124AA">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0DA8241D" wp14:editId="067E35F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p w14:paraId="22B041CE" w14:textId="77777777" w:rsidR="000124AA" w:rsidRDefault="000124AA" w:rsidP="000124AA">
      <w:pPr>
        <w:spacing w:line="276" w:lineRule="auto"/>
        <w:rPr>
          <w:rFonts w:ascii="Verdana" w:hAnsi="Verdana" w:cs="Arial"/>
          <w:color w:val="000000"/>
          <w:lang w:val="es-ES_tradnl"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0124AA" w:rsidRPr="008F3D03" w14:paraId="18AEE6A3" w14:textId="77777777" w:rsidTr="0036270F">
        <w:trPr>
          <w:trHeight w:val="409"/>
        </w:trPr>
        <w:tc>
          <w:tcPr>
            <w:tcW w:w="913" w:type="dxa"/>
            <w:tcBorders>
              <w:top w:val="nil"/>
              <w:left w:val="nil"/>
              <w:bottom w:val="nil"/>
              <w:right w:val="nil"/>
            </w:tcBorders>
            <w:vAlign w:val="center"/>
            <w:hideMark/>
          </w:tcPr>
          <w:p w14:paraId="5ED94C4F" w14:textId="77777777" w:rsidR="000124AA" w:rsidRPr="008F3D03" w:rsidRDefault="000124AA" w:rsidP="0036270F">
            <w:pPr>
              <w:pStyle w:val="Sinespaciado"/>
              <w:rPr>
                <w:rFonts w:ascii="Verdana" w:hAnsi="Verdana"/>
                <w:sz w:val="16"/>
                <w:szCs w:val="16"/>
              </w:rPr>
            </w:pPr>
            <w:r w:rsidRPr="008F3D03">
              <w:rPr>
                <w:rFonts w:ascii="Verdana" w:hAnsi="Verdana"/>
                <w:sz w:val="16"/>
                <w:szCs w:val="16"/>
              </w:rPr>
              <w:t>Elaboró: </w:t>
            </w:r>
          </w:p>
        </w:tc>
        <w:tc>
          <w:tcPr>
            <w:tcW w:w="5525" w:type="dxa"/>
            <w:tcBorders>
              <w:top w:val="nil"/>
              <w:left w:val="nil"/>
              <w:bottom w:val="dotted" w:sz="6" w:space="0" w:color="7F7F7F" w:themeColor="text1" w:themeTint="80"/>
              <w:right w:val="nil"/>
            </w:tcBorders>
            <w:vAlign w:val="center"/>
            <w:hideMark/>
          </w:tcPr>
          <w:p w14:paraId="51514FAF" w14:textId="77777777" w:rsidR="000124AA" w:rsidRPr="008F3D03" w:rsidRDefault="000124AA" w:rsidP="0036270F">
            <w:pPr>
              <w:pStyle w:val="Sinespaciado"/>
              <w:rPr>
                <w:rFonts w:ascii="Verdana" w:hAnsi="Verdana"/>
                <w:sz w:val="16"/>
                <w:szCs w:val="16"/>
              </w:rPr>
            </w:pPr>
            <w:r w:rsidRPr="008F3D03">
              <w:rPr>
                <w:rFonts w:ascii="Verdana" w:hAnsi="Verdana"/>
                <w:sz w:val="16"/>
                <w:szCs w:val="16"/>
              </w:rPr>
              <w:t>Keila Margarita Reyes Cassiani</w:t>
            </w:r>
          </w:p>
          <w:p w14:paraId="376AD660" w14:textId="77777777" w:rsidR="000124AA" w:rsidRPr="008F3D03" w:rsidRDefault="000124AA" w:rsidP="0036270F">
            <w:pPr>
              <w:pStyle w:val="Sinespaciado"/>
              <w:rPr>
                <w:rFonts w:ascii="Verdana" w:hAnsi="Verdana"/>
                <w:sz w:val="16"/>
                <w:szCs w:val="16"/>
              </w:rPr>
            </w:pPr>
            <w:r w:rsidRPr="008F3D03">
              <w:rPr>
                <w:rFonts w:ascii="Verdana" w:hAnsi="Verdana"/>
                <w:sz w:val="16"/>
                <w:szCs w:val="16"/>
              </w:rPr>
              <w:t>Contratista de la Subdirección de Gestión Contractual</w:t>
            </w:r>
          </w:p>
        </w:tc>
      </w:tr>
      <w:tr w:rsidR="000124AA" w:rsidRPr="008F3D03" w14:paraId="180D2836" w14:textId="77777777" w:rsidTr="0036270F">
        <w:trPr>
          <w:trHeight w:val="409"/>
        </w:trPr>
        <w:tc>
          <w:tcPr>
            <w:tcW w:w="913" w:type="dxa"/>
            <w:tcBorders>
              <w:top w:val="nil"/>
              <w:left w:val="nil"/>
              <w:right w:val="nil"/>
            </w:tcBorders>
            <w:vAlign w:val="center"/>
          </w:tcPr>
          <w:p w14:paraId="08D2B2D1" w14:textId="77777777" w:rsidR="000124AA" w:rsidRPr="008F3D03" w:rsidRDefault="000124AA" w:rsidP="0036270F">
            <w:pPr>
              <w:pStyle w:val="Sinespaciado"/>
              <w:rPr>
                <w:rFonts w:ascii="Verdana" w:hAnsi="Verdana"/>
                <w:sz w:val="16"/>
                <w:szCs w:val="16"/>
              </w:rPr>
            </w:pPr>
            <w:r w:rsidRPr="008F3D03">
              <w:rPr>
                <w:rFonts w:ascii="Verdana" w:hAnsi="Verdana"/>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1622A6DD" w14:textId="77777777" w:rsidR="000124AA" w:rsidRPr="00DB79A9" w:rsidRDefault="000124AA" w:rsidP="0036270F">
            <w:pPr>
              <w:pStyle w:val="Sinespaciado"/>
              <w:rPr>
                <w:rFonts w:ascii="Verdana" w:hAnsi="Verdana"/>
                <w:sz w:val="16"/>
                <w:szCs w:val="16"/>
              </w:rPr>
            </w:pPr>
            <w:r w:rsidRPr="00DB79A9">
              <w:rPr>
                <w:rFonts w:ascii="Verdana" w:hAnsi="Verdana"/>
                <w:sz w:val="16"/>
                <w:szCs w:val="16"/>
              </w:rPr>
              <w:t>Ximena Ríos López</w:t>
            </w:r>
          </w:p>
          <w:p w14:paraId="4A6822D5" w14:textId="77777777" w:rsidR="000124AA" w:rsidRPr="008F3D03" w:rsidRDefault="000124AA" w:rsidP="0036270F">
            <w:pPr>
              <w:pStyle w:val="Sinespaciado"/>
            </w:pPr>
            <w:r w:rsidRPr="00DB79A9">
              <w:rPr>
                <w:rFonts w:ascii="Verdana" w:eastAsia="Arial" w:hAnsi="Verdana" w:cs="Arial"/>
                <w:color w:val="000000" w:themeColor="text1"/>
                <w:sz w:val="16"/>
                <w:szCs w:val="16"/>
                <w:lang w:val="es-CO"/>
              </w:rPr>
              <w:t xml:space="preserve">Gestor T1 </w:t>
            </w:r>
            <w:r>
              <w:rPr>
                <w:rFonts w:ascii="Verdana" w:eastAsia="Arial" w:hAnsi="Verdana" w:cs="Arial"/>
                <w:color w:val="000000" w:themeColor="text1"/>
                <w:sz w:val="16"/>
                <w:szCs w:val="16"/>
                <w:lang w:val="es-CO"/>
              </w:rPr>
              <w:t>-</w:t>
            </w:r>
            <w:r w:rsidRPr="00DB79A9">
              <w:rPr>
                <w:rFonts w:ascii="Verdana" w:eastAsia="Arial" w:hAnsi="Verdana" w:cs="Arial"/>
                <w:color w:val="000000" w:themeColor="text1"/>
                <w:sz w:val="16"/>
                <w:szCs w:val="16"/>
                <w:lang w:val="es-CO"/>
              </w:rPr>
              <w:t>G-11</w:t>
            </w:r>
            <w:r>
              <w:rPr>
                <w:rFonts w:ascii="Verdana" w:eastAsia="Arial" w:hAnsi="Verdana" w:cs="Arial"/>
                <w:color w:val="000000" w:themeColor="text1"/>
                <w:sz w:val="16"/>
                <w:szCs w:val="16"/>
                <w:lang w:val="es-CO"/>
              </w:rPr>
              <w:t xml:space="preserve"> </w:t>
            </w:r>
            <w:r w:rsidRPr="00DB79A9">
              <w:rPr>
                <w:rStyle w:val="normaltextrun"/>
                <w:rFonts w:ascii="Verdana" w:eastAsia="Arial" w:hAnsi="Verdana" w:cs="Arial"/>
                <w:color w:val="000000" w:themeColor="text1"/>
                <w:sz w:val="16"/>
                <w:szCs w:val="16"/>
              </w:rPr>
              <w:t>de la Subdirección de Gestión Contractual</w:t>
            </w:r>
          </w:p>
        </w:tc>
      </w:tr>
      <w:tr w:rsidR="000124AA" w:rsidRPr="008F3D03" w14:paraId="68FF47B2" w14:textId="77777777" w:rsidTr="0036270F">
        <w:trPr>
          <w:trHeight w:val="389"/>
        </w:trPr>
        <w:tc>
          <w:tcPr>
            <w:tcW w:w="913" w:type="dxa"/>
            <w:tcBorders>
              <w:top w:val="nil"/>
              <w:left w:val="nil"/>
              <w:bottom w:val="nil"/>
              <w:right w:val="nil"/>
            </w:tcBorders>
            <w:vAlign w:val="center"/>
            <w:hideMark/>
          </w:tcPr>
          <w:p w14:paraId="4BCC697F" w14:textId="77777777" w:rsidR="000124AA" w:rsidRPr="008F3D03" w:rsidRDefault="000124AA" w:rsidP="0036270F">
            <w:pPr>
              <w:pStyle w:val="Sinespaciado"/>
              <w:rPr>
                <w:rFonts w:ascii="Verdana" w:hAnsi="Verdana"/>
                <w:sz w:val="16"/>
                <w:szCs w:val="16"/>
              </w:rPr>
            </w:pPr>
            <w:r w:rsidRPr="008F3D03">
              <w:rPr>
                <w:rFonts w:ascii="Verdana" w:hAnsi="Verdana"/>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7BF80AB8" w14:textId="77777777" w:rsidR="000124AA" w:rsidRPr="008F3D03" w:rsidRDefault="000124AA" w:rsidP="0036270F">
            <w:pPr>
              <w:pStyle w:val="Sinespaciado"/>
              <w:rPr>
                <w:rFonts w:ascii="Verdana" w:eastAsia="Calibri" w:hAnsi="Verdana"/>
                <w:sz w:val="16"/>
                <w:szCs w:val="16"/>
                <w:lang w:val="pt-BR" w:eastAsia="es-ES"/>
              </w:rPr>
            </w:pPr>
            <w:r w:rsidRPr="008F3D03">
              <w:rPr>
                <w:rFonts w:ascii="Verdana" w:eastAsia="Calibri" w:hAnsi="Verdana"/>
                <w:sz w:val="16"/>
                <w:szCs w:val="16"/>
                <w:lang w:val="pt-BR" w:eastAsia="es-ES"/>
              </w:rPr>
              <w:t>Carolina Quintero Gacharná</w:t>
            </w:r>
          </w:p>
          <w:p w14:paraId="75C03006" w14:textId="77777777" w:rsidR="000124AA" w:rsidRPr="008F3D03" w:rsidRDefault="000124AA" w:rsidP="0036270F">
            <w:pPr>
              <w:pStyle w:val="Sinespaciado"/>
              <w:rPr>
                <w:rFonts w:ascii="Verdana" w:hAnsi="Verdana"/>
                <w:sz w:val="16"/>
                <w:szCs w:val="16"/>
              </w:rPr>
            </w:pPr>
            <w:r w:rsidRPr="008F3D03">
              <w:rPr>
                <w:rFonts w:ascii="Verdana" w:hAnsi="Verdana"/>
                <w:sz w:val="16"/>
                <w:szCs w:val="16"/>
              </w:rPr>
              <w:t>Subdirectora de Gestión Contractual ANCP – CCE</w:t>
            </w:r>
          </w:p>
        </w:tc>
      </w:tr>
    </w:tbl>
    <w:p w14:paraId="246E58B3" w14:textId="77777777" w:rsidR="000124AA" w:rsidRPr="00910315" w:rsidRDefault="000124AA" w:rsidP="000124AA"/>
    <w:p w14:paraId="384D871F" w14:textId="77777777" w:rsidR="000124AA" w:rsidRPr="00EB6735" w:rsidRDefault="000124AA" w:rsidP="000124AA"/>
    <w:p w14:paraId="3900974D" w14:textId="1C56FD48" w:rsidR="003D5B0D" w:rsidRPr="001347E2" w:rsidRDefault="003D5B0D" w:rsidP="001347E2"/>
    <w:sectPr w:rsidR="003D5B0D" w:rsidRPr="001347E2"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1B684" w14:textId="77777777" w:rsidR="00842C1A" w:rsidRDefault="00842C1A" w:rsidP="004A1847">
      <w:pPr>
        <w:spacing w:after="0" w:line="240" w:lineRule="auto"/>
      </w:pPr>
      <w:r>
        <w:separator/>
      </w:r>
    </w:p>
  </w:endnote>
  <w:endnote w:type="continuationSeparator" w:id="0">
    <w:p w14:paraId="4A32D97E" w14:textId="77777777" w:rsidR="00842C1A" w:rsidRDefault="00842C1A" w:rsidP="004A1847">
      <w:pPr>
        <w:spacing w:after="0" w:line="240" w:lineRule="auto"/>
      </w:pPr>
      <w:r>
        <w:continuationSeparator/>
      </w:r>
    </w:p>
  </w:endnote>
  <w:endnote w:type="continuationNotice" w:id="1">
    <w:p w14:paraId="5C94BF78" w14:textId="77777777" w:rsidR="00842C1A" w:rsidRDefault="00842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B2E3" w14:textId="77777777" w:rsidR="00842C1A" w:rsidRDefault="00842C1A" w:rsidP="004A1847">
      <w:pPr>
        <w:spacing w:after="0" w:line="240" w:lineRule="auto"/>
      </w:pPr>
      <w:r>
        <w:separator/>
      </w:r>
    </w:p>
  </w:footnote>
  <w:footnote w:type="continuationSeparator" w:id="0">
    <w:p w14:paraId="74232612" w14:textId="77777777" w:rsidR="00842C1A" w:rsidRDefault="00842C1A" w:rsidP="004A1847">
      <w:pPr>
        <w:spacing w:after="0" w:line="240" w:lineRule="auto"/>
      </w:pPr>
      <w:r>
        <w:continuationSeparator/>
      </w:r>
    </w:p>
  </w:footnote>
  <w:footnote w:type="continuationNotice" w:id="1">
    <w:p w14:paraId="3CE7D920" w14:textId="77777777" w:rsidR="00842C1A" w:rsidRDefault="00842C1A">
      <w:pPr>
        <w:spacing w:after="0" w:line="240" w:lineRule="auto"/>
      </w:pPr>
    </w:p>
  </w:footnote>
  <w:footnote w:id="2">
    <w:p w14:paraId="46208370" w14:textId="77777777" w:rsidR="000124AA" w:rsidRDefault="000124AA" w:rsidP="004E07EA">
      <w:pPr>
        <w:pStyle w:val="Textonotapie"/>
        <w:ind w:firstLine="708"/>
        <w:jc w:val="both"/>
        <w:rPr>
          <w:rFonts w:ascii="Verdana" w:hAnsi="Verdana"/>
          <w:sz w:val="16"/>
          <w:szCs w:val="16"/>
        </w:rPr>
      </w:pPr>
      <w:r w:rsidRPr="0047173C">
        <w:rPr>
          <w:rStyle w:val="Refdenotaalpie"/>
          <w:rFonts w:ascii="Verdana" w:hAnsi="Verdana"/>
          <w:sz w:val="16"/>
          <w:szCs w:val="16"/>
        </w:rPr>
        <w:footnoteRef/>
      </w:r>
      <w:r w:rsidRPr="0047173C">
        <w:rPr>
          <w:rFonts w:ascii="Verdana" w:hAnsi="Verdana"/>
          <w:sz w:val="16"/>
          <w:szCs w:val="16"/>
        </w:rPr>
        <w:t xml:space="preserve"> 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p w14:paraId="616065D7" w14:textId="77777777" w:rsidR="004E07EA" w:rsidRPr="0047173C" w:rsidRDefault="004E07EA" w:rsidP="000124AA">
      <w:pPr>
        <w:pStyle w:val="Textonotapie"/>
        <w:ind w:firstLine="300"/>
        <w:jc w:val="both"/>
        <w:rPr>
          <w:rFonts w:ascii="Verdana" w:hAnsi="Verdana"/>
          <w:sz w:val="16"/>
          <w:szCs w:val="16"/>
        </w:rPr>
      </w:pPr>
    </w:p>
  </w:footnote>
  <w:footnote w:id="3">
    <w:p w14:paraId="685F3C72" w14:textId="77777777" w:rsidR="000124AA" w:rsidRDefault="000124AA" w:rsidP="000124AA">
      <w:pPr>
        <w:pStyle w:val="Textonotapie"/>
        <w:ind w:firstLine="709"/>
      </w:pPr>
      <w:r>
        <w:rPr>
          <w:rStyle w:val="Refdenotaalpie"/>
        </w:rPr>
        <w:footnoteRef/>
      </w:r>
      <w:r>
        <w:t xml:space="preserve"> </w:t>
      </w:r>
      <w:r w:rsidRPr="00CB6B5F">
        <w:t>Decreto 1082 de 2015, artículo 2.2.1.1.1.6.2.</w:t>
      </w:r>
    </w:p>
    <w:p w14:paraId="289EDCAC" w14:textId="77777777" w:rsidR="000124AA" w:rsidRPr="00CB6B5F" w:rsidRDefault="000124AA" w:rsidP="000124AA">
      <w:pPr>
        <w:pStyle w:val="Textonotapie"/>
        <w:rPr>
          <w:lang w:val="es-ES"/>
        </w:rPr>
      </w:pPr>
    </w:p>
  </w:footnote>
  <w:footnote w:id="4">
    <w:p w14:paraId="7184849A" w14:textId="77777777" w:rsidR="000124AA" w:rsidRDefault="000124AA" w:rsidP="000124AA">
      <w:pPr>
        <w:pStyle w:val="Textonotapie"/>
        <w:ind w:firstLine="708"/>
        <w:jc w:val="both"/>
        <w:rPr>
          <w:rFonts w:ascii="Verdana" w:hAnsi="Verdana" w:cs="Arial"/>
          <w:sz w:val="16"/>
          <w:szCs w:val="16"/>
        </w:rPr>
      </w:pPr>
      <w:r w:rsidRPr="00DB6197">
        <w:rPr>
          <w:rStyle w:val="Refdenotaalpie"/>
          <w:rFonts w:ascii="Verdana" w:hAnsi="Verdana" w:cs="Arial"/>
          <w:sz w:val="16"/>
          <w:szCs w:val="16"/>
        </w:rPr>
        <w:footnoteRef/>
      </w:r>
      <w:r w:rsidRPr="00DB6197">
        <w:rPr>
          <w:rFonts w:ascii="Verdana" w:hAnsi="Verdana" w:cs="Arial"/>
          <w:sz w:val="16"/>
          <w:szCs w:val="16"/>
        </w:rPr>
        <w:t xml:space="preserve"> 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p w14:paraId="03E00B26" w14:textId="77777777" w:rsidR="000124AA" w:rsidRPr="00DB6197" w:rsidRDefault="000124AA" w:rsidP="000124AA">
      <w:pPr>
        <w:pStyle w:val="Textonotapie"/>
        <w:ind w:firstLine="708"/>
        <w:jc w:val="both"/>
        <w:rPr>
          <w:rFonts w:ascii="Verdana" w:hAnsi="Verdana" w:cs="Arial"/>
          <w:sz w:val="16"/>
          <w:szCs w:val="16"/>
        </w:rPr>
      </w:pPr>
    </w:p>
  </w:footnote>
  <w:footnote w:id="5">
    <w:p w14:paraId="45186661" w14:textId="77777777" w:rsidR="000124AA" w:rsidRPr="00DB6197" w:rsidRDefault="000124AA" w:rsidP="000124AA">
      <w:pPr>
        <w:pStyle w:val="Textonotapie"/>
        <w:ind w:firstLine="708"/>
        <w:jc w:val="both"/>
        <w:rPr>
          <w:rFonts w:ascii="Verdana" w:hAnsi="Verdana" w:cs="Arial"/>
          <w:sz w:val="16"/>
          <w:szCs w:val="16"/>
        </w:rPr>
      </w:pPr>
      <w:r w:rsidRPr="00DB6197">
        <w:rPr>
          <w:rStyle w:val="Refdenotaalpie"/>
          <w:rFonts w:ascii="Verdana" w:hAnsi="Verdana" w:cs="Arial"/>
          <w:sz w:val="16"/>
          <w:szCs w:val="16"/>
        </w:rPr>
        <w:footnoteRef/>
      </w:r>
      <w:r w:rsidRPr="00DB6197">
        <w:rPr>
          <w:rFonts w:ascii="Verdana" w:hAnsi="Verdana" w:cs="Arial"/>
          <w:sz w:val="16"/>
          <w:szCs w:val="16"/>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41C6C35" w14:textId="77777777" w:rsidR="000124AA" w:rsidRPr="000B0A23" w:rsidRDefault="000124AA" w:rsidP="000124AA">
      <w:pPr>
        <w:pStyle w:val="Textonotapie"/>
        <w:ind w:firstLine="708"/>
        <w:jc w:val="both"/>
        <w:rPr>
          <w:rFonts w:ascii="Arial" w:hAnsi="Arial" w:cs="Arial"/>
          <w:sz w:val="10"/>
          <w:szCs w:val="10"/>
          <w:lang w:val="es-CO"/>
        </w:rPr>
      </w:pPr>
    </w:p>
  </w:footnote>
  <w:footnote w:id="6">
    <w:p w14:paraId="61700658" w14:textId="77777777" w:rsidR="000124AA" w:rsidRPr="008E4E89" w:rsidRDefault="000124AA" w:rsidP="000124AA">
      <w:pPr>
        <w:pStyle w:val="Textonotapie"/>
        <w:ind w:firstLine="708"/>
        <w:jc w:val="both"/>
        <w:rPr>
          <w:rFonts w:ascii="Verdana" w:hAnsi="Verdana" w:cs="Arial"/>
          <w:sz w:val="16"/>
          <w:szCs w:val="16"/>
        </w:rPr>
      </w:pPr>
      <w:r w:rsidRPr="008E4E89">
        <w:rPr>
          <w:rStyle w:val="Refdenotaalpie"/>
          <w:rFonts w:ascii="Verdana" w:hAnsi="Verdana" w:cs="Arial"/>
          <w:sz w:val="16"/>
          <w:szCs w:val="16"/>
        </w:rPr>
        <w:footnoteRef/>
      </w:r>
      <w:r w:rsidRPr="008E4E89">
        <w:rPr>
          <w:rFonts w:ascii="Verdana" w:hAnsi="Verdana" w:cs="Arial"/>
          <w:sz w:val="16"/>
          <w:szCs w:val="16"/>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21B036B0" w14:textId="77777777" w:rsidR="000124AA" w:rsidRPr="008E4E89" w:rsidRDefault="000124AA" w:rsidP="000124AA">
      <w:pPr>
        <w:pStyle w:val="Textonotapie"/>
        <w:ind w:firstLine="708"/>
        <w:jc w:val="both"/>
        <w:rPr>
          <w:rFonts w:ascii="Verdana" w:hAnsi="Verdana" w:cs="Arial"/>
          <w:sz w:val="16"/>
          <w:szCs w:val="16"/>
        </w:rPr>
      </w:pPr>
      <w:r w:rsidRPr="008E4E89">
        <w:rPr>
          <w:rFonts w:ascii="Verdana" w:hAnsi="Verdana" w:cs="Arial"/>
          <w:sz w:val="16"/>
          <w:szCs w:val="16"/>
        </w:rPr>
        <w:t xml:space="preserve">[…] </w:t>
      </w:r>
    </w:p>
    <w:p w14:paraId="002EB3D1" w14:textId="77777777" w:rsidR="000124AA" w:rsidRPr="008E4E89" w:rsidRDefault="000124AA" w:rsidP="000124AA">
      <w:pPr>
        <w:pStyle w:val="Textonotapie"/>
        <w:ind w:firstLine="708"/>
        <w:jc w:val="both"/>
        <w:rPr>
          <w:rFonts w:ascii="Verdana" w:hAnsi="Verdana" w:cs="Arial"/>
          <w:sz w:val="16"/>
          <w:szCs w:val="16"/>
        </w:rPr>
      </w:pPr>
      <w:r w:rsidRPr="008E4E89">
        <w:rPr>
          <w:rFonts w:ascii="Verdana" w:hAnsi="Verdana" w:cs="Arial"/>
          <w:sz w:val="16"/>
          <w:szCs w:val="16"/>
        </w:rPr>
        <w:t>2.1. Bienes, obras y servicios que ofrecerá a las Entidades Estatales, identificados con el Clasificador de Bienes y Servicios en el tercer nivel”.</w:t>
      </w:r>
    </w:p>
  </w:footnote>
  <w:footnote w:id="7">
    <w:p w14:paraId="1AB4FD0B" w14:textId="77777777" w:rsidR="000124AA" w:rsidRPr="008E4E89" w:rsidRDefault="000124AA" w:rsidP="000124AA">
      <w:pPr>
        <w:pStyle w:val="Textonotapie"/>
        <w:jc w:val="both"/>
        <w:rPr>
          <w:rFonts w:ascii="Verdana" w:hAnsi="Verdana" w:cs="Arial"/>
          <w:sz w:val="16"/>
          <w:szCs w:val="16"/>
        </w:rPr>
      </w:pPr>
    </w:p>
    <w:p w14:paraId="2C5C579B" w14:textId="77777777" w:rsidR="000124AA" w:rsidRPr="008E4E89" w:rsidRDefault="000124AA" w:rsidP="000124AA">
      <w:pPr>
        <w:pStyle w:val="Textonotapie"/>
        <w:ind w:firstLine="708"/>
        <w:jc w:val="both"/>
        <w:rPr>
          <w:rFonts w:ascii="Verdana" w:hAnsi="Verdana" w:cs="Arial"/>
          <w:sz w:val="16"/>
          <w:szCs w:val="16"/>
        </w:rPr>
      </w:pPr>
      <w:r w:rsidRPr="008E4E89">
        <w:rPr>
          <w:rStyle w:val="Refdenotaalpie"/>
          <w:rFonts w:ascii="Verdana" w:hAnsi="Verdana" w:cs="Arial"/>
          <w:sz w:val="16"/>
          <w:szCs w:val="16"/>
        </w:rPr>
        <w:footnoteRef/>
      </w:r>
      <w:r w:rsidRPr="008E4E89">
        <w:rPr>
          <w:rFonts w:ascii="Verdana" w:hAnsi="Verdana" w:cs="Arial"/>
          <w:sz w:val="16"/>
          <w:szCs w:val="16"/>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D99978B" w14:textId="77777777" w:rsidR="000124AA" w:rsidRPr="008E4E89" w:rsidRDefault="000124AA" w:rsidP="000124AA">
      <w:pPr>
        <w:pStyle w:val="Textonotapie"/>
        <w:ind w:firstLine="708"/>
        <w:jc w:val="both"/>
        <w:rPr>
          <w:rFonts w:ascii="Verdana" w:hAnsi="Verdana" w:cs="Arial"/>
          <w:sz w:val="16"/>
          <w:szCs w:val="16"/>
        </w:rPr>
      </w:pPr>
      <w:r w:rsidRPr="008E4E89">
        <w:rPr>
          <w:rFonts w:ascii="Verdana" w:hAnsi="Verdana" w:cs="Arial"/>
          <w:sz w:val="16"/>
          <w:szCs w:val="16"/>
        </w:rPr>
        <w:t xml:space="preserve">[…] </w:t>
      </w:r>
    </w:p>
    <w:p w14:paraId="38579F37" w14:textId="77777777" w:rsidR="000124AA" w:rsidRPr="00BA6AAF" w:rsidRDefault="000124AA" w:rsidP="000124AA">
      <w:pPr>
        <w:pStyle w:val="Textonotapie"/>
        <w:ind w:firstLine="708"/>
        <w:jc w:val="both"/>
        <w:rPr>
          <w:rFonts w:ascii="Century Gothic" w:hAnsi="Century Gothic" w:cs="Arial"/>
          <w:sz w:val="18"/>
          <w:szCs w:val="18"/>
          <w:lang w:val="es-CO"/>
        </w:rPr>
      </w:pPr>
      <w:r w:rsidRPr="008E4E89">
        <w:rPr>
          <w:rFonts w:ascii="Verdana" w:hAnsi="Verdana" w:cs="Arial"/>
          <w:sz w:val="16"/>
          <w:szCs w:val="16"/>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981282A"/>
    <w:multiLevelType w:val="hybridMultilevel"/>
    <w:tmpl w:val="04129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7B2867"/>
    <w:multiLevelType w:val="multilevel"/>
    <w:tmpl w:val="4626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299261927">
    <w:abstractNumId w:val="0"/>
  </w:num>
  <w:num w:numId="17" w16cid:durableId="491801625">
    <w:abstractNumId w:val="3"/>
  </w:num>
  <w:num w:numId="18" w16cid:durableId="2015494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4AA"/>
    <w:rsid w:val="00016F78"/>
    <w:rsid w:val="00046945"/>
    <w:rsid w:val="0005470B"/>
    <w:rsid w:val="00061B2A"/>
    <w:rsid w:val="00082362"/>
    <w:rsid w:val="000A683E"/>
    <w:rsid w:val="000B19B9"/>
    <w:rsid w:val="000D0334"/>
    <w:rsid w:val="000F6486"/>
    <w:rsid w:val="00125105"/>
    <w:rsid w:val="00127233"/>
    <w:rsid w:val="001347E2"/>
    <w:rsid w:val="00147420"/>
    <w:rsid w:val="001511A0"/>
    <w:rsid w:val="001542FC"/>
    <w:rsid w:val="001B0EB1"/>
    <w:rsid w:val="001E4177"/>
    <w:rsid w:val="001F7DC6"/>
    <w:rsid w:val="00215E9C"/>
    <w:rsid w:val="00231D9C"/>
    <w:rsid w:val="00231DA6"/>
    <w:rsid w:val="002334A8"/>
    <w:rsid w:val="002421BB"/>
    <w:rsid w:val="0025796E"/>
    <w:rsid w:val="002707A2"/>
    <w:rsid w:val="002914F7"/>
    <w:rsid w:val="002951A0"/>
    <w:rsid w:val="002962BC"/>
    <w:rsid w:val="002A093D"/>
    <w:rsid w:val="002A0DD0"/>
    <w:rsid w:val="002A49AC"/>
    <w:rsid w:val="002A64FD"/>
    <w:rsid w:val="002C7A84"/>
    <w:rsid w:val="002E4FD9"/>
    <w:rsid w:val="00300F6E"/>
    <w:rsid w:val="00322A85"/>
    <w:rsid w:val="00324168"/>
    <w:rsid w:val="003448F4"/>
    <w:rsid w:val="0036270F"/>
    <w:rsid w:val="00370259"/>
    <w:rsid w:val="00374F5E"/>
    <w:rsid w:val="00377E3E"/>
    <w:rsid w:val="003A4713"/>
    <w:rsid w:val="003A779E"/>
    <w:rsid w:val="003D0F4D"/>
    <w:rsid w:val="003D5B0D"/>
    <w:rsid w:val="003E0499"/>
    <w:rsid w:val="003F3941"/>
    <w:rsid w:val="00406575"/>
    <w:rsid w:val="00414C74"/>
    <w:rsid w:val="00416749"/>
    <w:rsid w:val="0042722E"/>
    <w:rsid w:val="0044528D"/>
    <w:rsid w:val="004779CE"/>
    <w:rsid w:val="004A1847"/>
    <w:rsid w:val="004A305D"/>
    <w:rsid w:val="004B5173"/>
    <w:rsid w:val="004D15B7"/>
    <w:rsid w:val="004E07EA"/>
    <w:rsid w:val="004E3CF0"/>
    <w:rsid w:val="004F21C4"/>
    <w:rsid w:val="004F685F"/>
    <w:rsid w:val="00527CCB"/>
    <w:rsid w:val="00547CDB"/>
    <w:rsid w:val="005566E8"/>
    <w:rsid w:val="00574867"/>
    <w:rsid w:val="00591460"/>
    <w:rsid w:val="005B3816"/>
    <w:rsid w:val="005C122C"/>
    <w:rsid w:val="005C3777"/>
    <w:rsid w:val="005C5CDC"/>
    <w:rsid w:val="005D476C"/>
    <w:rsid w:val="006219F8"/>
    <w:rsid w:val="00623613"/>
    <w:rsid w:val="00665D70"/>
    <w:rsid w:val="006900D9"/>
    <w:rsid w:val="006F2632"/>
    <w:rsid w:val="00706C16"/>
    <w:rsid w:val="00746136"/>
    <w:rsid w:val="00756841"/>
    <w:rsid w:val="007649AB"/>
    <w:rsid w:val="00771D0C"/>
    <w:rsid w:val="007833AC"/>
    <w:rsid w:val="007B268C"/>
    <w:rsid w:val="007B7171"/>
    <w:rsid w:val="007C0C0F"/>
    <w:rsid w:val="007C3DC2"/>
    <w:rsid w:val="007E5497"/>
    <w:rsid w:val="00806F5F"/>
    <w:rsid w:val="00820278"/>
    <w:rsid w:val="00842C1A"/>
    <w:rsid w:val="00867F95"/>
    <w:rsid w:val="008843B6"/>
    <w:rsid w:val="00891928"/>
    <w:rsid w:val="008A446D"/>
    <w:rsid w:val="008B0159"/>
    <w:rsid w:val="008B5D3D"/>
    <w:rsid w:val="008D180B"/>
    <w:rsid w:val="008F0EA7"/>
    <w:rsid w:val="00907B86"/>
    <w:rsid w:val="00916064"/>
    <w:rsid w:val="00923EEF"/>
    <w:rsid w:val="009419F9"/>
    <w:rsid w:val="0095685E"/>
    <w:rsid w:val="00961B09"/>
    <w:rsid w:val="00965334"/>
    <w:rsid w:val="0097093E"/>
    <w:rsid w:val="00986AC5"/>
    <w:rsid w:val="009A0DFA"/>
    <w:rsid w:val="009B2D26"/>
    <w:rsid w:val="009C71FA"/>
    <w:rsid w:val="009C72E7"/>
    <w:rsid w:val="009D3058"/>
    <w:rsid w:val="009E4BAB"/>
    <w:rsid w:val="009F3A13"/>
    <w:rsid w:val="00A122D3"/>
    <w:rsid w:val="00A17F13"/>
    <w:rsid w:val="00A20739"/>
    <w:rsid w:val="00A33C78"/>
    <w:rsid w:val="00AB0ADB"/>
    <w:rsid w:val="00B01B1A"/>
    <w:rsid w:val="00B66319"/>
    <w:rsid w:val="00B72CD3"/>
    <w:rsid w:val="00B72FFF"/>
    <w:rsid w:val="00B9164B"/>
    <w:rsid w:val="00BA70BE"/>
    <w:rsid w:val="00BC3D36"/>
    <w:rsid w:val="00BC5824"/>
    <w:rsid w:val="00BD7F72"/>
    <w:rsid w:val="00C04FB3"/>
    <w:rsid w:val="00C330EB"/>
    <w:rsid w:val="00C41061"/>
    <w:rsid w:val="00C62579"/>
    <w:rsid w:val="00C64081"/>
    <w:rsid w:val="00C754BE"/>
    <w:rsid w:val="00C76B1C"/>
    <w:rsid w:val="00CB6357"/>
    <w:rsid w:val="00CC1B26"/>
    <w:rsid w:val="00CC776D"/>
    <w:rsid w:val="00CE5061"/>
    <w:rsid w:val="00CE6A6A"/>
    <w:rsid w:val="00D423A2"/>
    <w:rsid w:val="00D44260"/>
    <w:rsid w:val="00D50450"/>
    <w:rsid w:val="00D520D8"/>
    <w:rsid w:val="00D554D3"/>
    <w:rsid w:val="00D63AC2"/>
    <w:rsid w:val="00D7383B"/>
    <w:rsid w:val="00DA231B"/>
    <w:rsid w:val="00DA40D4"/>
    <w:rsid w:val="00DB3DB2"/>
    <w:rsid w:val="00DC39FC"/>
    <w:rsid w:val="00DE149F"/>
    <w:rsid w:val="00DF5254"/>
    <w:rsid w:val="00E06CFF"/>
    <w:rsid w:val="00E16408"/>
    <w:rsid w:val="00E20894"/>
    <w:rsid w:val="00E245AB"/>
    <w:rsid w:val="00E2764C"/>
    <w:rsid w:val="00E27F2E"/>
    <w:rsid w:val="00E50AFE"/>
    <w:rsid w:val="00E72E0F"/>
    <w:rsid w:val="00E75C92"/>
    <w:rsid w:val="00E771DC"/>
    <w:rsid w:val="00E8772A"/>
    <w:rsid w:val="00E90F6B"/>
    <w:rsid w:val="00E92C27"/>
    <w:rsid w:val="00EA0E3D"/>
    <w:rsid w:val="00EC38A7"/>
    <w:rsid w:val="00ED4CDE"/>
    <w:rsid w:val="00ED7384"/>
    <w:rsid w:val="00EE1AA8"/>
    <w:rsid w:val="00F31B4F"/>
    <w:rsid w:val="00F31EDC"/>
    <w:rsid w:val="00F4377B"/>
    <w:rsid w:val="00F462B3"/>
    <w:rsid w:val="00F5664F"/>
    <w:rsid w:val="00F666C4"/>
    <w:rsid w:val="00F76AFC"/>
    <w:rsid w:val="00FA47C0"/>
    <w:rsid w:val="00FB4B08"/>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964E235-3926-4C8A-BC8F-C89E4F44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124AA"/>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124AA"/>
    <w:rPr>
      <w:rFonts w:ascii="Geomanist Light" w:hAnsi="Geomanist Light"/>
      <w:lang w:val="es-ES"/>
    </w:rPr>
  </w:style>
  <w:style w:type="paragraph" w:styleId="Sinespaciado">
    <w:name w:val="No Spacing"/>
    <w:aliases w:val="No Indent"/>
    <w:uiPriority w:val="1"/>
    <w:qFormat/>
    <w:rsid w:val="000124AA"/>
    <w:pPr>
      <w:spacing w:after="0" w:line="240" w:lineRule="auto"/>
    </w:pPr>
    <w:rPr>
      <w:sz w:val="24"/>
      <w:lang w:val="es-MX"/>
    </w:rPr>
  </w:style>
  <w:style w:type="character" w:styleId="Refdecomentario">
    <w:name w:val="annotation reference"/>
    <w:basedOn w:val="Fuentedeprrafopredeter"/>
    <w:uiPriority w:val="99"/>
    <w:semiHidden/>
    <w:unhideWhenUsed/>
    <w:rsid w:val="004D15B7"/>
    <w:rPr>
      <w:sz w:val="16"/>
      <w:szCs w:val="16"/>
    </w:rPr>
  </w:style>
  <w:style w:type="paragraph" w:styleId="Textocomentario">
    <w:name w:val="annotation text"/>
    <w:basedOn w:val="Normal"/>
    <w:link w:val="TextocomentarioCar"/>
    <w:uiPriority w:val="99"/>
    <w:unhideWhenUsed/>
    <w:rsid w:val="004D15B7"/>
    <w:pPr>
      <w:spacing w:line="240" w:lineRule="auto"/>
    </w:pPr>
    <w:rPr>
      <w:sz w:val="20"/>
      <w:szCs w:val="20"/>
    </w:rPr>
  </w:style>
  <w:style w:type="character" w:customStyle="1" w:styleId="TextocomentarioCar">
    <w:name w:val="Texto comentario Car"/>
    <w:basedOn w:val="Fuentedeprrafopredeter"/>
    <w:link w:val="Textocomentario"/>
    <w:uiPriority w:val="99"/>
    <w:rsid w:val="004D15B7"/>
    <w:rPr>
      <w:sz w:val="20"/>
      <w:szCs w:val="20"/>
    </w:rPr>
  </w:style>
  <w:style w:type="paragraph" w:styleId="Asuntodelcomentario">
    <w:name w:val="annotation subject"/>
    <w:basedOn w:val="Textocomentario"/>
    <w:next w:val="Textocomentario"/>
    <w:link w:val="AsuntodelcomentarioCar"/>
    <w:uiPriority w:val="99"/>
    <w:semiHidden/>
    <w:unhideWhenUsed/>
    <w:rsid w:val="004D15B7"/>
    <w:rPr>
      <w:b/>
      <w:bCs/>
    </w:rPr>
  </w:style>
  <w:style w:type="character" w:customStyle="1" w:styleId="AsuntodelcomentarioCar">
    <w:name w:val="Asunto del comentario Car"/>
    <w:basedOn w:val="TextocomentarioCar"/>
    <w:link w:val="Asuntodelcomentario"/>
    <w:uiPriority w:val="99"/>
    <w:semiHidden/>
    <w:rsid w:val="004D15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2990">
      <w:bodyDiv w:val="1"/>
      <w:marLeft w:val="0"/>
      <w:marRight w:val="0"/>
      <w:marTop w:val="0"/>
      <w:marBottom w:val="0"/>
      <w:divBdr>
        <w:top w:val="none" w:sz="0" w:space="0" w:color="auto"/>
        <w:left w:val="none" w:sz="0" w:space="0" w:color="auto"/>
        <w:bottom w:val="none" w:sz="0" w:space="0" w:color="auto"/>
        <w:right w:val="none" w:sz="0" w:space="0" w:color="auto"/>
      </w:divBdr>
      <w:divsChild>
        <w:div w:id="279727771">
          <w:marLeft w:val="0"/>
          <w:marRight w:val="0"/>
          <w:marTop w:val="0"/>
          <w:marBottom w:val="160"/>
          <w:divBdr>
            <w:top w:val="none" w:sz="0" w:space="0" w:color="auto"/>
            <w:left w:val="none" w:sz="0" w:space="0" w:color="auto"/>
            <w:bottom w:val="none" w:sz="0" w:space="0" w:color="auto"/>
            <w:right w:val="none" w:sz="0" w:space="0" w:color="auto"/>
          </w:divBdr>
        </w:div>
        <w:div w:id="1725717016">
          <w:marLeft w:val="0"/>
          <w:marRight w:val="0"/>
          <w:marTop w:val="0"/>
          <w:marBottom w:val="0"/>
          <w:divBdr>
            <w:top w:val="none" w:sz="0" w:space="0" w:color="auto"/>
            <w:left w:val="none" w:sz="0" w:space="0" w:color="auto"/>
            <w:bottom w:val="none" w:sz="0" w:space="0" w:color="auto"/>
            <w:right w:val="none" w:sz="0" w:space="0" w:color="auto"/>
          </w:divBdr>
        </w:div>
        <w:div w:id="1929578120">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73605170">
      <w:bodyDiv w:val="1"/>
      <w:marLeft w:val="0"/>
      <w:marRight w:val="0"/>
      <w:marTop w:val="0"/>
      <w:marBottom w:val="0"/>
      <w:divBdr>
        <w:top w:val="none" w:sz="0" w:space="0" w:color="auto"/>
        <w:left w:val="none" w:sz="0" w:space="0" w:color="auto"/>
        <w:bottom w:val="none" w:sz="0" w:space="0" w:color="auto"/>
        <w:right w:val="none" w:sz="0" w:space="0" w:color="auto"/>
      </w:divBdr>
      <w:divsChild>
        <w:div w:id="91754192">
          <w:marLeft w:val="0"/>
          <w:marRight w:val="0"/>
          <w:marTop w:val="0"/>
          <w:marBottom w:val="160"/>
          <w:divBdr>
            <w:top w:val="none" w:sz="0" w:space="0" w:color="auto"/>
            <w:left w:val="none" w:sz="0" w:space="0" w:color="auto"/>
            <w:bottom w:val="none" w:sz="0" w:space="0" w:color="auto"/>
            <w:right w:val="none" w:sz="0" w:space="0" w:color="auto"/>
          </w:divBdr>
        </w:div>
        <w:div w:id="1873224417">
          <w:marLeft w:val="0"/>
          <w:marRight w:val="0"/>
          <w:marTop w:val="0"/>
          <w:marBottom w:val="0"/>
          <w:divBdr>
            <w:top w:val="none" w:sz="0" w:space="0" w:color="auto"/>
            <w:left w:val="none" w:sz="0" w:space="0" w:color="auto"/>
            <w:bottom w:val="none" w:sz="0" w:space="0" w:color="auto"/>
            <w:right w:val="none" w:sz="0" w:space="0" w:color="auto"/>
          </w:divBdr>
        </w:div>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lombiacompra.gov.co/manuales-guias-y-pliegos-tipo/manuales-y-guias/manual-para-determinar-y-verificar-los-requisito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manuales-guias-y-pliegos-tipo%2Fmanuales-y-guias%2Fguia-de-contratacion-publica-sostenible-y-socialmente&amp;data=05%7C02%7Ckeila.reyes%40colombiacompra.gov.co%7Cb18b651bca3a4eb8eab008dd269b400d%7C7b09041e245149d08cb179d5e3d8c1be%7C0%7C0%7C638709170413661192%7CUnknown%7CTWFpbGZsb3d8eyJFbXB0eU1hcGkiOnRydWUsIlYiOiIwLjAuMDAwMCIsIlAiOiJXaW4zMiIsIkFOIjoiTWFpbCIsIldUIjoyfQ%3D%3D%7C0%7C%7C%7C&amp;sdata=EzXDWj%2BjwYqLH62mm3pNXCgCTstvfZGFCR5OPD8s8ak%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vandariog@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2-documentos-tipo-para-los-procesos-de-seleccion-de-consultoria-de-obra-publica-de&amp;data=05%7C02%7Ckeila.reyes%40colombiacompra.gov.co%7Cb18b651bca3a4eb8eab008dd269b400d%7C7b09041e245149d08cb179d5e3d8c1be%7C0%7C0%7C638709170413646028%7CUnknown%7CTWFpbGZsb3d8eyJFbXB0eU1hcGkiOnRydWUsIlYiOiIwLjAuMDAwMCIsIlAiOiJXaW4zMiIsIkFOIjoiTWFpbCIsIldUIjoyfQ%3D%3D%7C0%7C%7C%7C&amp;sdata=8E1xtp2jVnnzmPkEF3xPTIeDt6kSmuEJj1F1kJKQ53U%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3-documentos-tipo-para-los-procesos-de-seleccion-de-interventoria-de-obra-publica-de&amp;data=05%7C02%7Ckeila.reyes%40colombiacompra.gov.co%7Cb18b651bca3a4eb8eab008dd269b400d%7C7b09041e245149d08cb179d5e3d8c1be%7C0%7C0%7C638709170413621677%7CUnknown%7CTWFpbGZsb3d8eyJFbXB0eU1hcGkiOnRydWUsIlYiOiIwLjAuMDAwMCIsIlAiOiJXaW4zMiIsIkFOIjoiTWFpbCIsIldUIjoyfQ%3D%3D%7C0%7C%7C%7C&amp;sdata=jkuR44StAzv0Yg%2BDOohataC9ufc2FDIqCSd8p5wErBw%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7BE2C-545D-492D-B698-F20A84A92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3363</Words>
  <Characters>18498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2023-01-10T18:18:00Z</cp:lastPrinted>
  <dcterms:created xsi:type="dcterms:W3CDTF">2024-12-29T15:02:00Z</dcterms:created>
  <dcterms:modified xsi:type="dcterms:W3CDTF">2024-12-30T18:17:00Z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