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D85E1" w14:textId="77777777" w:rsidR="0080463F" w:rsidRDefault="0080463F" w:rsidP="0080463F">
      <w:pPr>
        <w:spacing w:after="0" w:line="240" w:lineRule="auto"/>
        <w:jc w:val="both"/>
        <w:rPr>
          <w:rFonts w:ascii="Verdana" w:eastAsia="Geomanist Light" w:hAnsi="Verdana" w:cs="Arial"/>
          <w:b/>
          <w:bCs/>
          <w:lang w:val="es-ES_tradnl"/>
        </w:rPr>
      </w:pPr>
      <w:r>
        <w:rPr>
          <w:rFonts w:ascii="Verdana" w:eastAsia="Geomanist Light" w:hAnsi="Verdana" w:cs="Arial"/>
          <w:b/>
          <w:bCs/>
          <w:lang w:val="es-ES_tradnl"/>
        </w:rPr>
        <w:t xml:space="preserve">LEY DE EMPRENDIMIENTO – Ley 2069 de 2020 – Vigencia </w:t>
      </w:r>
    </w:p>
    <w:p w14:paraId="2AE60113" w14:textId="77777777" w:rsidR="0080463F" w:rsidRDefault="0080463F" w:rsidP="0080463F">
      <w:pPr>
        <w:spacing w:after="0" w:line="240" w:lineRule="auto"/>
        <w:jc w:val="both"/>
        <w:rPr>
          <w:rFonts w:ascii="Verdana" w:eastAsia="Geomanist Light" w:hAnsi="Verdana" w:cs="Arial"/>
          <w:b/>
          <w:bCs/>
          <w:lang w:val="es-ES_tradnl"/>
        </w:rPr>
      </w:pPr>
    </w:p>
    <w:p w14:paraId="54C404F3" w14:textId="45CCC05F" w:rsidR="0080463F" w:rsidRDefault="0080463F" w:rsidP="0080463F">
      <w:pPr>
        <w:spacing w:after="0" w:line="240" w:lineRule="auto"/>
        <w:jc w:val="both"/>
        <w:rPr>
          <w:rFonts w:ascii="Verdana" w:eastAsia="Geomanist Light" w:hAnsi="Verdana" w:cs="Arial"/>
          <w:lang w:val="es-ES_tradnl"/>
        </w:rPr>
      </w:pPr>
      <w:r>
        <w:rPr>
          <w:rFonts w:ascii="Verdana" w:eastAsia="Geomanist Light" w:hAnsi="Verdana" w:cs="Arial"/>
          <w:lang w:val="es-ES_tradnl"/>
        </w:rPr>
        <w:t>El 31 de diciembre de 2020 se expidió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ejerza la potestad reglamentaria del artículo 189.11 de la Cons</w:t>
      </w:r>
      <w:r w:rsidR="007846EA">
        <w:rPr>
          <w:rFonts w:ascii="Verdana" w:eastAsia="Geomanist Light" w:hAnsi="Verdana" w:cs="Arial"/>
          <w:lang w:val="es-ES_tradnl"/>
        </w:rPr>
        <w:t>t</w:t>
      </w:r>
      <w:r>
        <w:rPr>
          <w:rFonts w:ascii="Verdana" w:eastAsia="Geomanist Light" w:hAnsi="Verdana" w:cs="Arial"/>
          <w:lang w:val="es-ES_tradnl"/>
        </w:rPr>
        <w:t>itución Política para la cumplida ejecución de esta ley.</w:t>
      </w:r>
    </w:p>
    <w:p w14:paraId="7EFED051" w14:textId="77777777" w:rsidR="0080463F" w:rsidRDefault="0080463F" w:rsidP="0080463F">
      <w:pPr>
        <w:spacing w:after="0" w:line="240" w:lineRule="auto"/>
        <w:jc w:val="both"/>
        <w:rPr>
          <w:rFonts w:ascii="Verdana" w:eastAsia="Geomanist Light" w:hAnsi="Verdana" w:cs="Arial"/>
          <w:lang w:val="es-ES_tradnl"/>
        </w:rPr>
      </w:pPr>
    </w:p>
    <w:p w14:paraId="108A9ECD" w14:textId="77777777" w:rsidR="0080463F" w:rsidRDefault="0080463F" w:rsidP="0080463F">
      <w:pPr>
        <w:spacing w:after="0" w:line="240" w:lineRule="auto"/>
        <w:jc w:val="both"/>
        <w:rPr>
          <w:rFonts w:ascii="Verdana" w:eastAsia="Geomanist Light" w:hAnsi="Verdana" w:cs="Arial"/>
          <w:lang w:val="es-ES"/>
        </w:rPr>
      </w:pPr>
      <w:r>
        <w:rPr>
          <w:rFonts w:ascii="Verdana" w:eastAsia="Geomanist Light" w:hAnsi="Verdana" w:cs="Arial"/>
          <w:lang w:val="es-ES"/>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30FADD30" w14:textId="77777777" w:rsidR="0080463F" w:rsidRDefault="0080463F" w:rsidP="0080463F">
      <w:pPr>
        <w:spacing w:after="0" w:line="240" w:lineRule="auto"/>
        <w:jc w:val="both"/>
        <w:rPr>
          <w:rFonts w:ascii="Verdana" w:eastAsia="Geomanist Light" w:hAnsi="Verdana" w:cs="Arial"/>
          <w:lang w:val="es-ES_tradnl"/>
        </w:rPr>
      </w:pPr>
    </w:p>
    <w:p w14:paraId="2304558D" w14:textId="77777777" w:rsidR="0080463F" w:rsidRDefault="0080463F" w:rsidP="0080463F">
      <w:pPr>
        <w:spacing w:after="0" w:line="240" w:lineRule="auto"/>
        <w:jc w:val="both"/>
        <w:rPr>
          <w:rFonts w:ascii="Verdana" w:eastAsia="Geomanist Light" w:hAnsi="Verdana" w:cs="Arial"/>
          <w:b/>
          <w:bCs/>
          <w:lang w:val="es-ES_tradnl"/>
        </w:rPr>
      </w:pPr>
      <w:r>
        <w:rPr>
          <w:rFonts w:ascii="Verdana" w:eastAsia="Geomanist Light" w:hAnsi="Verdana" w:cs="Arial"/>
          <w:b/>
          <w:bCs/>
          <w:lang w:val="es-ES_tradnl"/>
        </w:rPr>
        <w:t xml:space="preserve">LEY 2069 DE 2020 – Artículos 31 y 32 – Criterios diferenciales - reglamentación </w:t>
      </w:r>
    </w:p>
    <w:p w14:paraId="7852D743" w14:textId="77777777" w:rsidR="0080463F" w:rsidRDefault="0080463F" w:rsidP="0080463F">
      <w:pPr>
        <w:spacing w:after="0" w:line="240" w:lineRule="auto"/>
        <w:jc w:val="both"/>
        <w:rPr>
          <w:rFonts w:ascii="Verdana" w:eastAsia="Geomanist Light" w:hAnsi="Verdana" w:cs="Arial"/>
          <w:b/>
          <w:bCs/>
          <w:lang w:val="es-ES_tradnl"/>
        </w:rPr>
      </w:pPr>
    </w:p>
    <w:p w14:paraId="1D192BC3" w14:textId="77777777" w:rsidR="0080463F" w:rsidRDefault="0080463F" w:rsidP="0080463F">
      <w:pPr>
        <w:spacing w:after="0" w:line="240" w:lineRule="auto"/>
        <w:jc w:val="both"/>
        <w:rPr>
          <w:rFonts w:ascii="Verdana" w:eastAsia="Geomanist Light" w:hAnsi="Verdana" w:cs="Arial"/>
        </w:rPr>
      </w:pPr>
      <w:r>
        <w:rPr>
          <w:rFonts w:ascii="Verdana" w:eastAsia="Geomanist Light" w:hAnsi="Verdana" w:cs="Arial"/>
        </w:rPr>
        <w:t xml:space="preserve">Los artículos 31 y 32 de la Ley 2069 de 2020, los cuales crean una serie de incentivos para las personas interesadas en celebrar contratos con el Estado. Por un lado, el artículo 31 introduce criterios diferenciales para el acceso de las MiPymes al sistema de compras y contratación pública, estableciendo que “Las Entidades Estatales de acuerdo con el análisis de Sector podrán incluir, en los Documentos del Proceso, requisitos diferenciales y puntajes adicionales, en función del tamaño empresarial para la promoción del acceso de las MIPYMES al mercado de Compras Públicas”.  </w:t>
      </w:r>
    </w:p>
    <w:p w14:paraId="69B0AC95" w14:textId="77777777" w:rsidR="0080463F" w:rsidRDefault="0080463F" w:rsidP="0080463F">
      <w:pPr>
        <w:spacing w:after="0" w:line="240" w:lineRule="auto"/>
        <w:jc w:val="both"/>
        <w:rPr>
          <w:rFonts w:ascii="Verdana" w:eastAsia="Geomanist Light" w:hAnsi="Verdana" w:cs="Arial"/>
        </w:rPr>
      </w:pPr>
    </w:p>
    <w:p w14:paraId="39D9BAAD" w14:textId="77777777" w:rsidR="0080463F" w:rsidRDefault="0080463F" w:rsidP="0080463F">
      <w:pPr>
        <w:spacing w:after="0" w:line="240" w:lineRule="auto"/>
        <w:jc w:val="both"/>
        <w:rPr>
          <w:rFonts w:ascii="Verdana" w:eastAsia="Geomanist Light" w:hAnsi="Verdana" w:cs="Arial"/>
        </w:rPr>
      </w:pPr>
      <w:r>
        <w:rPr>
          <w:rFonts w:ascii="Verdana" w:eastAsia="Geomanist Light" w:hAnsi="Verdana" w:cs="Arial"/>
        </w:rPr>
        <w:t xml:space="preserve">Además,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w:t>
      </w:r>
      <w:r>
        <w:rPr>
          <w:rFonts w:ascii="Verdana" w:eastAsia="Geomanist Light" w:hAnsi="Verdana" w:cs="Arial"/>
        </w:rPr>
        <w:lastRenderedPageBreak/>
        <w:t xml:space="preserve">otros Estados”. Es decir, esta norma requiere el desarrollo reglamentario como una condición previa para su aplicación. Por otra parte, el artículo 32 de la Ley 2069 de 2020 regula criterios diferenciales para los “emprendimientos y empresas de mujeres” en el sistema de compras y contratación pública. </w:t>
      </w:r>
    </w:p>
    <w:p w14:paraId="70DB63EC" w14:textId="77777777" w:rsidR="0080463F" w:rsidRDefault="0080463F" w:rsidP="0080463F">
      <w:pPr>
        <w:spacing w:after="0" w:line="240" w:lineRule="auto"/>
        <w:jc w:val="both"/>
        <w:rPr>
          <w:rFonts w:ascii="Verdana" w:eastAsia="Geomanist Light" w:hAnsi="Verdana" w:cs="Arial"/>
        </w:rPr>
      </w:pPr>
    </w:p>
    <w:p w14:paraId="2B955636" w14:textId="77777777" w:rsidR="0080463F" w:rsidRDefault="0080463F" w:rsidP="0080463F">
      <w:pPr>
        <w:spacing w:after="0" w:line="240" w:lineRule="auto"/>
        <w:jc w:val="both"/>
        <w:rPr>
          <w:rFonts w:ascii="Verdana" w:eastAsia="Geomanist Light" w:hAnsi="Verdana" w:cs="Arial"/>
        </w:rPr>
      </w:pPr>
      <w:r>
        <w:rPr>
          <w:rFonts w:ascii="Verdana" w:eastAsia="Geomanist Light" w:hAnsi="Verdana" w:cs="Arial"/>
        </w:rPr>
        <w:t>[…]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w:t>
      </w:r>
    </w:p>
    <w:p w14:paraId="1B192AAA" w14:textId="77777777" w:rsidR="0080463F" w:rsidRDefault="0080463F" w:rsidP="0080463F">
      <w:pPr>
        <w:spacing w:after="0" w:line="240" w:lineRule="auto"/>
        <w:jc w:val="both"/>
        <w:rPr>
          <w:rFonts w:ascii="Verdana" w:eastAsia="Geomanist Light" w:hAnsi="Verdana" w:cs="Arial"/>
          <w:b/>
          <w:bCs/>
        </w:rPr>
      </w:pPr>
    </w:p>
    <w:p w14:paraId="2F867574" w14:textId="77777777" w:rsidR="0080463F" w:rsidRDefault="0080463F" w:rsidP="0080463F">
      <w:pPr>
        <w:spacing w:after="0" w:line="240" w:lineRule="auto"/>
        <w:jc w:val="both"/>
        <w:rPr>
          <w:rFonts w:ascii="Verdana" w:eastAsia="Geomanist Light" w:hAnsi="Verdana" w:cs="Arial"/>
          <w:b/>
          <w:bCs/>
          <w:lang w:val="es-ES_tradnl"/>
        </w:rPr>
      </w:pPr>
      <w:r>
        <w:rPr>
          <w:rFonts w:ascii="Verdana" w:eastAsia="Geomanist Light" w:hAnsi="Verdana" w:cs="Arial"/>
          <w:b/>
          <w:bCs/>
          <w:lang w:val="es-ES_tradnl"/>
        </w:rPr>
        <w:t>MIPYMES – Criterios diferenciales – Decreto 1860 de 2021 – Contenido – Distinciones</w:t>
      </w:r>
    </w:p>
    <w:p w14:paraId="5454B7BC" w14:textId="77777777" w:rsidR="0080463F" w:rsidRDefault="0080463F" w:rsidP="0080463F">
      <w:pPr>
        <w:spacing w:after="0" w:line="240" w:lineRule="auto"/>
        <w:jc w:val="both"/>
        <w:rPr>
          <w:rFonts w:ascii="Verdana" w:eastAsia="Geomanist Light" w:hAnsi="Verdana" w:cs="Arial"/>
          <w:b/>
          <w:bCs/>
          <w:lang w:val="es-ES_tradnl"/>
        </w:rPr>
      </w:pPr>
    </w:p>
    <w:p w14:paraId="511983E8" w14:textId="77777777" w:rsidR="0080463F" w:rsidRDefault="0080463F" w:rsidP="0080463F">
      <w:pPr>
        <w:spacing w:after="0" w:line="240" w:lineRule="auto"/>
        <w:jc w:val="both"/>
        <w:rPr>
          <w:rFonts w:ascii="Verdana" w:eastAsia="Geomanist Light" w:hAnsi="Verdana" w:cs="Arial"/>
          <w:lang w:val="es-ES_tradnl"/>
        </w:rPr>
      </w:pPr>
      <w:r>
        <w:rPr>
          <w:rFonts w:ascii="Verdana" w:eastAsia="Geomanist Light" w:hAnsi="Verdana" w:cs="Arial"/>
          <w:lang w:val="es-ES_tradnl"/>
        </w:rPr>
        <w:t>El segundo inciso del artículo 12 de la Ley 1150 de 2007, modificado por el artículo 34 de la Ley 2069 de 2020, dispone que el reglamento podrá establecer condiciones preferenciales en favor de la oferta de bienes y servicios producidos por las MiPymes, respetando los montos y las condiciones contenidas en los compromisos internacionales vigentes, cuando sean aplicables”. En desarrollo de este enunciado normativo, el artículo 3 del Decreto 1860 de 2021 adicionó al Decreto 1082 de 2015 el artículo 2.2.1.2.4.2.18, […]</w:t>
      </w:r>
    </w:p>
    <w:p w14:paraId="5AE6489A" w14:textId="77777777" w:rsidR="0080463F" w:rsidRDefault="0080463F" w:rsidP="0080463F">
      <w:pPr>
        <w:spacing w:after="0" w:line="240" w:lineRule="auto"/>
        <w:jc w:val="both"/>
        <w:rPr>
          <w:rFonts w:ascii="Verdana" w:eastAsia="Geomanist Light" w:hAnsi="Verdana" w:cs="Arial"/>
          <w:lang w:val="es-ES_tradnl"/>
        </w:rPr>
      </w:pPr>
      <w:r>
        <w:rPr>
          <w:rFonts w:ascii="Verdana" w:eastAsia="Geomanist Light" w:hAnsi="Verdana" w:cs="Arial"/>
          <w:lang w:val="es-ES_tradnl"/>
        </w:rPr>
        <w:t>[…]</w:t>
      </w:r>
    </w:p>
    <w:p w14:paraId="4F7C164F" w14:textId="77777777" w:rsidR="0080463F" w:rsidRDefault="0080463F" w:rsidP="0080463F">
      <w:pPr>
        <w:spacing w:after="0" w:line="240" w:lineRule="auto"/>
        <w:jc w:val="both"/>
        <w:rPr>
          <w:rFonts w:ascii="Verdana" w:eastAsia="Geomanist Light" w:hAnsi="Verdana" w:cs="Arial"/>
          <w:lang w:val="es-ES"/>
        </w:rPr>
      </w:pPr>
      <w:r>
        <w:rPr>
          <w:rFonts w:ascii="Verdana" w:eastAsia="Geomanist Light" w:hAnsi="Verdana" w:cs="Arial"/>
          <w:lang w:val="es-ES"/>
        </w:rPr>
        <w:t xml:space="preserve">Se deben diferenciar, pues, dos circunstancias: i) una es la limitación de una convocatoria a MiPymes –regulada en los artículos 2.2.1.2.4.2.2. al 2.2.1.2.4.2.4. del Decreto 1082 de 2015, modificados por el artículo 5 del Decreto 1860 de 2021– y </w:t>
      </w:r>
      <w:proofErr w:type="spellStart"/>
      <w:r>
        <w:rPr>
          <w:rFonts w:ascii="Verdana" w:eastAsia="Geomanist Light" w:hAnsi="Verdana" w:cs="Arial"/>
          <w:lang w:val="es-ES"/>
        </w:rPr>
        <w:t>ii</w:t>
      </w:r>
      <w:proofErr w:type="spellEnd"/>
      <w:r>
        <w:rPr>
          <w:rFonts w:ascii="Verdana" w:eastAsia="Geomanist Light" w:hAnsi="Verdana" w:cs="Arial"/>
          <w:lang w:val="es-ES"/>
        </w:rPr>
        <w:t>) otra es el establecimiento de criterios diferenciales para MiPymes en el sistema de compras públicas –regido por el artículo 2.2.1.2.4.2.18., adicionado por el artículo 3 del Decreto 1860 de 2021–. Tanto es así que el parágrafo 3 del artículo 2.2.1.2.4.2.18. establece que “Lo previsto en esta norma […] no rige en las convocatorias limitadas que se realicen conforme a los artículos 2.2.1.2.4.2.2 y 2.2.1.2.4.2.3 de este Decreto”.</w:t>
      </w:r>
    </w:p>
    <w:p w14:paraId="6670B0C9" w14:textId="77777777" w:rsidR="0080463F" w:rsidRDefault="0080463F" w:rsidP="0080463F">
      <w:pPr>
        <w:spacing w:after="0" w:line="240" w:lineRule="auto"/>
        <w:jc w:val="both"/>
        <w:rPr>
          <w:rFonts w:ascii="Verdana" w:eastAsia="Geomanist Light" w:hAnsi="Verdana" w:cs="Arial"/>
          <w:lang w:val="es-ES_tradnl"/>
        </w:rPr>
      </w:pPr>
    </w:p>
    <w:p w14:paraId="0C3AF1EE" w14:textId="77777777" w:rsidR="0080463F" w:rsidRDefault="0080463F" w:rsidP="0080463F">
      <w:pPr>
        <w:spacing w:after="0" w:line="240" w:lineRule="auto"/>
        <w:jc w:val="both"/>
        <w:rPr>
          <w:rFonts w:ascii="Verdana" w:eastAsia="Geomanist Light" w:hAnsi="Verdana" w:cs="Arial"/>
          <w:lang w:val="es-ES"/>
        </w:rPr>
      </w:pPr>
      <w:r>
        <w:rPr>
          <w:rFonts w:ascii="Verdana" w:eastAsia="Geomanist Light" w:hAnsi="Verdana" w:cs="Arial"/>
          <w:lang w:val="es-ES"/>
        </w:rPr>
        <w:t xml:space="preserve">Pero lo anterior no significa que las entidades estatales no deban aplicar los criterios diferenciales para promover y facilitar la participación en los procedimientos de selección competitivos de las MiPymes domiciliadas en Colombia, o que deban esperar una reglamentación de los requisitos, pues el artículo 2.2.1.2.4.2.18. no supedita su eficacia a un desarrollo reglamentario posterior y además se remite expresamente a las normas que deben tenerse en cuenta. Por tanto, estos criterios diferenciales han de establecerse, de conformidad con mencionado artículo 2.2.1.2.4.2.18., el artículo 12, numeral 1, </w:t>
      </w:r>
      <w:r>
        <w:rPr>
          <w:rFonts w:ascii="Verdana" w:eastAsia="Geomanist Light" w:hAnsi="Verdana" w:cs="Arial"/>
          <w:lang w:val="es-ES"/>
        </w:rPr>
        <w:lastRenderedPageBreak/>
        <w:t>de la Ley 590 de 2000 y el artículo 2.2.1.13.2.2 del Decreto 1074 de 2015, Único Reglamentario del Sector Comercio, Industria y Turismo, o la norma que lo modifique, derogue o sustituya.</w:t>
      </w:r>
    </w:p>
    <w:p w14:paraId="4C5FE1F2" w14:textId="77777777" w:rsidR="0080463F" w:rsidRDefault="0080463F" w:rsidP="0080463F">
      <w:pPr>
        <w:spacing w:after="0" w:line="240" w:lineRule="auto"/>
        <w:jc w:val="both"/>
        <w:rPr>
          <w:rFonts w:ascii="Verdana" w:eastAsia="Geomanist Light" w:hAnsi="Verdana" w:cs="Arial"/>
          <w:lang w:val="es-ES_tradnl"/>
        </w:rPr>
      </w:pPr>
    </w:p>
    <w:p w14:paraId="156BDA62" w14:textId="77777777" w:rsidR="0080463F" w:rsidRDefault="0080463F" w:rsidP="0080463F">
      <w:pPr>
        <w:spacing w:after="0" w:line="240" w:lineRule="auto"/>
        <w:jc w:val="both"/>
        <w:rPr>
          <w:rFonts w:ascii="Verdana" w:eastAsia="Geomanist Light" w:hAnsi="Verdana" w:cs="Arial"/>
          <w:b/>
          <w:bCs/>
          <w:lang w:val="es-ES"/>
        </w:rPr>
      </w:pPr>
      <w:r>
        <w:rPr>
          <w:rFonts w:ascii="Verdana" w:eastAsia="Geomanist Light" w:hAnsi="Verdana" w:cs="Arial"/>
          <w:b/>
          <w:bCs/>
          <w:lang w:val="es-ES"/>
        </w:rPr>
        <w:t xml:space="preserve">ENTIDADES DE ECONOMÍA SOLIDARIA – Asimilación a </w:t>
      </w:r>
      <w:proofErr w:type="spellStart"/>
      <w:r>
        <w:rPr>
          <w:rFonts w:ascii="Verdana" w:eastAsia="Geomanist Light" w:hAnsi="Verdana" w:cs="Arial"/>
          <w:b/>
          <w:bCs/>
          <w:lang w:val="es-ES"/>
        </w:rPr>
        <w:t>Mipymes</w:t>
      </w:r>
      <w:proofErr w:type="spellEnd"/>
      <w:r>
        <w:rPr>
          <w:rFonts w:ascii="Verdana" w:eastAsia="Geomanist Light" w:hAnsi="Verdana" w:cs="Arial"/>
          <w:b/>
          <w:bCs/>
          <w:lang w:val="es-ES"/>
        </w:rPr>
        <w:t xml:space="preserve"> – Cooperativas – Asociaciones mutualistas – Demás entidades de economía solidaria – Ley 2069 – Participación en convocatorias limitadas </w:t>
      </w:r>
    </w:p>
    <w:p w14:paraId="65A5906E" w14:textId="77777777" w:rsidR="0080463F" w:rsidRDefault="0080463F" w:rsidP="0080463F">
      <w:pPr>
        <w:spacing w:after="0" w:line="240" w:lineRule="auto"/>
        <w:jc w:val="both"/>
        <w:rPr>
          <w:rFonts w:ascii="Verdana" w:eastAsia="Geomanist Light" w:hAnsi="Verdana" w:cs="Arial"/>
          <w:lang w:val="es-ES_tradnl"/>
        </w:rPr>
      </w:pPr>
    </w:p>
    <w:p w14:paraId="1BA2B9F5" w14:textId="77777777" w:rsidR="0080463F" w:rsidRDefault="0080463F" w:rsidP="0080463F">
      <w:pPr>
        <w:spacing w:after="0" w:line="240" w:lineRule="auto"/>
        <w:jc w:val="both"/>
        <w:rPr>
          <w:rFonts w:ascii="Verdana" w:eastAsia="Geomanist Light" w:hAnsi="Verdana" w:cs="Arial"/>
          <w:lang w:val="es-ES"/>
        </w:rPr>
      </w:pPr>
      <w:r>
        <w:rPr>
          <w:rFonts w:ascii="Verdana" w:eastAsia="Geomanist Light" w:hAnsi="Verdana" w:cs="Arial"/>
          <w:lang w:val="es-ES"/>
        </w:rPr>
        <w:t xml:space="preserve">[…] 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w:t>
      </w:r>
      <w:proofErr w:type="spellStart"/>
      <w:r>
        <w:rPr>
          <w:rFonts w:ascii="Verdana" w:eastAsia="Geomanist Light" w:hAnsi="Verdana" w:cs="Arial"/>
          <w:lang w:val="es-ES"/>
        </w:rPr>
        <w:t>Mipymes</w:t>
      </w:r>
      <w:proofErr w:type="spellEnd"/>
      <w:r>
        <w:rPr>
          <w:rFonts w:ascii="Verdana" w:eastAsia="Geomanist Light" w:hAnsi="Verdana" w:cs="Arial"/>
          <w:lang w:val="es-ES"/>
        </w:rPr>
        <w:t xml:space="preserve">, puedan participar en procesos de selección limitados a </w:t>
      </w:r>
      <w:proofErr w:type="spellStart"/>
      <w:r>
        <w:rPr>
          <w:rFonts w:ascii="Verdana" w:eastAsia="Geomanist Light" w:hAnsi="Verdana" w:cs="Arial"/>
          <w:lang w:val="es-ES"/>
        </w:rPr>
        <w:t>Mipymes</w:t>
      </w:r>
      <w:proofErr w:type="spellEnd"/>
      <w:r>
        <w:rPr>
          <w:rFonts w:ascii="Verdana" w:eastAsia="Geomanist Light" w:hAnsi="Verdana" w:cs="Arial"/>
          <w:lang w:val="es-ES"/>
        </w:rPr>
        <w:t xml:space="preserve">,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mutualistas, cooperativas y demás entidades de economía solidaria, que, en virtud de su tamaño empresarial sean consideradas como </w:t>
      </w:r>
      <w:proofErr w:type="spellStart"/>
      <w:r>
        <w:rPr>
          <w:rFonts w:ascii="Verdana" w:eastAsia="Geomanist Light" w:hAnsi="Verdana" w:cs="Arial"/>
          <w:lang w:val="es-ES"/>
        </w:rPr>
        <w:t>Mipymes</w:t>
      </w:r>
      <w:proofErr w:type="spellEnd"/>
      <w:r>
        <w:rPr>
          <w:rFonts w:ascii="Verdana" w:eastAsia="Geomanist Light" w:hAnsi="Verdana" w:cs="Arial"/>
          <w:lang w:val="es-ES"/>
        </w:rPr>
        <w:t xml:space="preserve">, podrán participar en las convocatorias limitadas a estas, pudiendo incluso manifestar su interés de participar en el proceso de selección de manera previa a la expedición de la resolución de apertura, a efectos de que se limite la participación. </w:t>
      </w:r>
    </w:p>
    <w:p w14:paraId="4CC4B85B" w14:textId="77777777" w:rsidR="0080463F" w:rsidRDefault="0080463F" w:rsidP="0080463F">
      <w:pPr>
        <w:spacing w:after="0" w:line="240" w:lineRule="auto"/>
        <w:jc w:val="both"/>
        <w:rPr>
          <w:rFonts w:ascii="Verdana" w:eastAsia="Geomanist Light" w:hAnsi="Verdana" w:cs="Arial"/>
          <w:lang w:val="es-ES"/>
        </w:rPr>
      </w:pPr>
      <w:r>
        <w:rPr>
          <w:rFonts w:ascii="Verdana" w:eastAsia="Geomanist Light" w:hAnsi="Verdana" w:cs="Arial"/>
          <w:lang w:val="es-ES"/>
        </w:rPr>
        <w:t xml:space="preserve">Lo anterior resulta armónico con lo establecido actualmente en el artículo 2.2.1.2.4.2.2. del Decreto 1082 de 2015, modificado por el Decreto 1860 de 2021, que regula las convocatorias limitadas a </w:t>
      </w:r>
      <w:proofErr w:type="spellStart"/>
      <w:r>
        <w:rPr>
          <w:rFonts w:ascii="Verdana" w:eastAsia="Geomanist Light" w:hAnsi="Verdana" w:cs="Arial"/>
          <w:lang w:val="es-ES"/>
        </w:rPr>
        <w:t>Mipyme</w:t>
      </w:r>
      <w:proofErr w:type="spellEnd"/>
      <w:r>
        <w:rPr>
          <w:rFonts w:ascii="Verdana" w:eastAsia="Geomanist Light" w:hAnsi="Verdana" w:cs="Arial"/>
          <w:lang w:val="es-ES"/>
        </w:rPr>
        <w:t xml:space="preserve">, de donde cabe destacar, específicamente, su parágrafo, el cual, retomando los términos empleados por el artículo 23 de la Ley 2069 de 2020, establece que: «Las cooperativas y demás entidades de economía solidaria, siempre que tengan la calidad de </w:t>
      </w:r>
      <w:proofErr w:type="spellStart"/>
      <w:r>
        <w:rPr>
          <w:rFonts w:ascii="Verdana" w:eastAsia="Geomanist Light" w:hAnsi="Verdana" w:cs="Arial"/>
          <w:lang w:val="es-ES"/>
        </w:rPr>
        <w:t>Mípyme</w:t>
      </w:r>
      <w:proofErr w:type="spellEnd"/>
      <w:r>
        <w:rPr>
          <w:rFonts w:ascii="Verdana" w:eastAsia="Geomanist Light" w:hAnsi="Verdana" w:cs="Arial"/>
          <w:lang w:val="es-ES"/>
        </w:rPr>
        <w:t xml:space="preserve">, podrán solicitar y participar en las convocatorias limitadas en las mismas condiciones dispuestas en el presente artículo». </w:t>
      </w:r>
    </w:p>
    <w:p w14:paraId="301A1BD7" w14:textId="77777777" w:rsidR="0080463F" w:rsidRDefault="0080463F" w:rsidP="0080463F">
      <w:pPr>
        <w:spacing w:after="0" w:line="240" w:lineRule="auto"/>
        <w:jc w:val="both"/>
        <w:rPr>
          <w:rFonts w:ascii="Verdana" w:eastAsia="Geomanist Light" w:hAnsi="Verdana" w:cs="Arial"/>
          <w:lang w:val="es-ES"/>
        </w:rPr>
      </w:pPr>
    </w:p>
    <w:p w14:paraId="31E1586C" w14:textId="060CB220" w:rsidR="0080463F" w:rsidRDefault="0080463F" w:rsidP="0080463F">
      <w:pPr>
        <w:spacing w:after="0" w:line="240" w:lineRule="auto"/>
        <w:jc w:val="both"/>
        <w:rPr>
          <w:rFonts w:ascii="Verdana" w:eastAsia="Geomanist Light" w:hAnsi="Verdana" w:cs="Arial"/>
          <w:lang w:val="es-ES"/>
        </w:rPr>
      </w:pPr>
      <w:r>
        <w:rPr>
          <w:rFonts w:ascii="Verdana" w:eastAsia="Geomanist Light" w:hAnsi="Verdana" w:cs="Arial"/>
          <w:lang w:val="es-ES"/>
        </w:rPr>
        <w:t xml:space="preserve">En este sentido, se advierte que el artículo 2.2.1.2.4.2.2. del Decreto 1082 de 2015, modificado por el Decreto 1860 de 2021 y el artículo 23 de la Ley 2069 de 2020 no asimilaron a todas las entidades sin ánimo de lucro –ESAL– a </w:t>
      </w:r>
      <w:proofErr w:type="spellStart"/>
      <w:r>
        <w:rPr>
          <w:rFonts w:ascii="Verdana" w:eastAsia="Geomanist Light" w:hAnsi="Verdana" w:cs="Arial"/>
          <w:lang w:val="es-ES"/>
        </w:rPr>
        <w:t>Mipymes</w:t>
      </w:r>
      <w:proofErr w:type="spellEnd"/>
      <w:r>
        <w:rPr>
          <w:rFonts w:ascii="Verdana" w:eastAsia="Geomanist Light" w:hAnsi="Verdana" w:cs="Arial"/>
          <w:lang w:val="es-ES"/>
        </w:rPr>
        <w:t xml:space="preserve"> (siempre que cumplan con los requisitos del tamaño empresarial), para efectos de la participación en convocatorias limitadas a </w:t>
      </w:r>
      <w:proofErr w:type="spellStart"/>
      <w:r>
        <w:rPr>
          <w:rFonts w:ascii="Verdana" w:eastAsia="Geomanist Light" w:hAnsi="Verdana" w:cs="Arial"/>
          <w:lang w:val="es-ES"/>
        </w:rPr>
        <w:t>Mipyme</w:t>
      </w:r>
      <w:proofErr w:type="spellEnd"/>
      <w:r>
        <w:rPr>
          <w:rFonts w:ascii="Verdana" w:eastAsia="Geomanist Light" w:hAnsi="Verdana" w:cs="Arial"/>
          <w:lang w:val="es-ES"/>
        </w:rPr>
        <w:t xml:space="preserve">, sino únicamente a las cooperativas y demás entidades de economía solidaria, en los términos del artículo 6 de la Ley 454 de 1998 –norma a la que remite el artículo 23 de la Ley de Emprendimiento–. En tal sentido, debe analizarse si la ESAL cumple con las características establecidas en dicho artículo, para considerarla una organización de economía solidaria. Además, debe tenerse en cuenta que la Ley 2143 de </w:t>
      </w:r>
      <w:r>
        <w:rPr>
          <w:rFonts w:ascii="Verdana" w:eastAsia="Geomanist Light" w:hAnsi="Verdana" w:cs="Arial"/>
          <w:lang w:val="es-ES"/>
        </w:rPr>
        <w:lastRenderedPageBreak/>
        <w:t>2021, expresamente, reconoce a las asociaciones mutualistas como empresas de economía solidaria.</w:t>
      </w:r>
    </w:p>
    <w:p w14:paraId="4656B9E1" w14:textId="77777777" w:rsidR="0080463F" w:rsidRDefault="0080463F" w:rsidP="00F4619C">
      <w:pPr>
        <w:spacing w:after="0" w:line="240" w:lineRule="auto"/>
        <w:jc w:val="both"/>
        <w:rPr>
          <w:rFonts w:ascii="Verdana" w:eastAsia="Geomanist Light" w:hAnsi="Verdana" w:cs="Arial"/>
          <w:color w:val="000000" w:themeColor="text1"/>
          <w:lang w:val="es-MX"/>
        </w:rPr>
      </w:pPr>
    </w:p>
    <w:p w14:paraId="2B3A5935" w14:textId="77777777" w:rsidR="0080463F" w:rsidRDefault="0080463F" w:rsidP="00F4619C">
      <w:pPr>
        <w:spacing w:after="0" w:line="240" w:lineRule="auto"/>
        <w:jc w:val="both"/>
        <w:rPr>
          <w:rFonts w:ascii="Verdana" w:eastAsia="Geomanist Light" w:hAnsi="Verdana" w:cs="Arial"/>
          <w:color w:val="000000" w:themeColor="text1"/>
          <w:lang w:val="es-MX"/>
        </w:rPr>
      </w:pPr>
    </w:p>
    <w:p w14:paraId="71E93A09" w14:textId="77777777" w:rsidR="0080463F" w:rsidRDefault="0080463F" w:rsidP="00F4619C">
      <w:pPr>
        <w:spacing w:after="0" w:line="240" w:lineRule="auto"/>
        <w:jc w:val="both"/>
        <w:rPr>
          <w:rFonts w:ascii="Verdana" w:eastAsia="Geomanist Light" w:hAnsi="Verdana" w:cs="Arial"/>
          <w:color w:val="000000" w:themeColor="text1"/>
          <w:lang w:val="es-MX"/>
        </w:rPr>
      </w:pPr>
    </w:p>
    <w:p w14:paraId="766A937A" w14:textId="77777777" w:rsidR="0080463F" w:rsidRDefault="0080463F" w:rsidP="00F4619C">
      <w:pPr>
        <w:spacing w:after="0" w:line="240" w:lineRule="auto"/>
        <w:jc w:val="both"/>
        <w:rPr>
          <w:rFonts w:ascii="Verdana" w:eastAsia="Geomanist Light" w:hAnsi="Verdana" w:cs="Arial"/>
          <w:color w:val="000000" w:themeColor="text1"/>
          <w:lang w:val="es-MX"/>
        </w:rPr>
      </w:pPr>
    </w:p>
    <w:p w14:paraId="6E5165A3" w14:textId="77777777" w:rsidR="0080463F" w:rsidRDefault="0080463F" w:rsidP="00F4619C">
      <w:pPr>
        <w:spacing w:after="0" w:line="240" w:lineRule="auto"/>
        <w:jc w:val="both"/>
        <w:rPr>
          <w:rFonts w:ascii="Verdana" w:eastAsia="Geomanist Light" w:hAnsi="Verdana" w:cs="Arial"/>
          <w:color w:val="000000" w:themeColor="text1"/>
          <w:lang w:val="es-MX"/>
        </w:rPr>
      </w:pPr>
    </w:p>
    <w:p w14:paraId="11BC75E7" w14:textId="77777777" w:rsidR="0080463F" w:rsidRDefault="0080463F" w:rsidP="00F4619C">
      <w:pPr>
        <w:spacing w:after="0" w:line="240" w:lineRule="auto"/>
        <w:jc w:val="both"/>
        <w:rPr>
          <w:rFonts w:ascii="Verdana" w:eastAsia="Geomanist Light" w:hAnsi="Verdana" w:cs="Arial"/>
          <w:color w:val="000000" w:themeColor="text1"/>
          <w:lang w:val="es-MX"/>
        </w:rPr>
      </w:pPr>
    </w:p>
    <w:p w14:paraId="5E20C20A" w14:textId="77777777" w:rsidR="0080463F" w:rsidRDefault="0080463F" w:rsidP="00F4619C">
      <w:pPr>
        <w:spacing w:after="0" w:line="240" w:lineRule="auto"/>
        <w:jc w:val="both"/>
        <w:rPr>
          <w:rFonts w:ascii="Verdana" w:eastAsia="Geomanist Light" w:hAnsi="Verdana" w:cs="Arial"/>
          <w:color w:val="000000" w:themeColor="text1"/>
          <w:lang w:val="es-MX"/>
        </w:rPr>
      </w:pPr>
    </w:p>
    <w:p w14:paraId="6826DBFA" w14:textId="77777777" w:rsidR="0080463F" w:rsidRDefault="0080463F" w:rsidP="00F4619C">
      <w:pPr>
        <w:spacing w:after="0" w:line="240" w:lineRule="auto"/>
        <w:jc w:val="both"/>
        <w:rPr>
          <w:rFonts w:ascii="Verdana" w:eastAsia="Geomanist Light" w:hAnsi="Verdana" w:cs="Arial"/>
          <w:color w:val="000000" w:themeColor="text1"/>
          <w:lang w:val="es-MX"/>
        </w:rPr>
      </w:pPr>
    </w:p>
    <w:p w14:paraId="52892505" w14:textId="77777777" w:rsidR="0080463F" w:rsidRDefault="0080463F" w:rsidP="00F4619C">
      <w:pPr>
        <w:spacing w:after="0" w:line="240" w:lineRule="auto"/>
        <w:jc w:val="both"/>
        <w:rPr>
          <w:rFonts w:ascii="Verdana" w:eastAsia="Geomanist Light" w:hAnsi="Verdana" w:cs="Arial"/>
          <w:color w:val="000000" w:themeColor="text1"/>
          <w:lang w:val="es-MX"/>
        </w:rPr>
      </w:pPr>
    </w:p>
    <w:p w14:paraId="1C1688DA" w14:textId="77777777" w:rsidR="0080463F" w:rsidRDefault="0080463F" w:rsidP="00F4619C">
      <w:pPr>
        <w:spacing w:after="0" w:line="240" w:lineRule="auto"/>
        <w:jc w:val="both"/>
        <w:rPr>
          <w:rFonts w:ascii="Verdana" w:eastAsia="Geomanist Light" w:hAnsi="Verdana" w:cs="Arial"/>
          <w:color w:val="000000" w:themeColor="text1"/>
          <w:lang w:val="es-MX"/>
        </w:rPr>
      </w:pPr>
    </w:p>
    <w:p w14:paraId="6309D3FA" w14:textId="77777777" w:rsidR="0080463F" w:rsidRDefault="0080463F" w:rsidP="00F4619C">
      <w:pPr>
        <w:spacing w:after="0" w:line="240" w:lineRule="auto"/>
        <w:jc w:val="both"/>
        <w:rPr>
          <w:rFonts w:ascii="Verdana" w:eastAsia="Geomanist Light" w:hAnsi="Verdana" w:cs="Arial"/>
          <w:color w:val="000000" w:themeColor="text1"/>
          <w:lang w:val="es-MX"/>
        </w:rPr>
      </w:pPr>
    </w:p>
    <w:p w14:paraId="66910BA1" w14:textId="77777777" w:rsidR="0080463F" w:rsidRDefault="0080463F" w:rsidP="00F4619C">
      <w:pPr>
        <w:spacing w:after="0" w:line="240" w:lineRule="auto"/>
        <w:jc w:val="both"/>
        <w:rPr>
          <w:rFonts w:ascii="Verdana" w:eastAsia="Geomanist Light" w:hAnsi="Verdana" w:cs="Arial"/>
          <w:color w:val="000000" w:themeColor="text1"/>
          <w:lang w:val="es-MX"/>
        </w:rPr>
      </w:pPr>
    </w:p>
    <w:p w14:paraId="4C7B99F0" w14:textId="77777777" w:rsidR="0080463F" w:rsidRDefault="0080463F" w:rsidP="00F4619C">
      <w:pPr>
        <w:spacing w:after="0" w:line="240" w:lineRule="auto"/>
        <w:jc w:val="both"/>
        <w:rPr>
          <w:rFonts w:ascii="Verdana" w:eastAsia="Geomanist Light" w:hAnsi="Verdana" w:cs="Arial"/>
          <w:color w:val="000000" w:themeColor="text1"/>
          <w:lang w:val="es-MX"/>
        </w:rPr>
      </w:pPr>
    </w:p>
    <w:p w14:paraId="2F8DA3AE" w14:textId="77777777" w:rsidR="0080463F" w:rsidRDefault="0080463F" w:rsidP="00F4619C">
      <w:pPr>
        <w:spacing w:after="0" w:line="240" w:lineRule="auto"/>
        <w:jc w:val="both"/>
        <w:rPr>
          <w:rFonts w:ascii="Verdana" w:eastAsia="Geomanist Light" w:hAnsi="Verdana" w:cs="Arial"/>
          <w:color w:val="000000" w:themeColor="text1"/>
          <w:lang w:val="es-MX"/>
        </w:rPr>
      </w:pPr>
    </w:p>
    <w:p w14:paraId="43575F1F" w14:textId="77777777" w:rsidR="0080463F" w:rsidRDefault="0080463F" w:rsidP="00F4619C">
      <w:pPr>
        <w:spacing w:after="0" w:line="240" w:lineRule="auto"/>
        <w:jc w:val="both"/>
        <w:rPr>
          <w:rFonts w:ascii="Verdana" w:eastAsia="Geomanist Light" w:hAnsi="Verdana" w:cs="Arial"/>
          <w:color w:val="000000" w:themeColor="text1"/>
          <w:lang w:val="es-MX"/>
        </w:rPr>
      </w:pPr>
    </w:p>
    <w:p w14:paraId="488FCD4F" w14:textId="77777777" w:rsidR="0080463F" w:rsidRDefault="0080463F" w:rsidP="00F4619C">
      <w:pPr>
        <w:spacing w:after="0" w:line="240" w:lineRule="auto"/>
        <w:jc w:val="both"/>
        <w:rPr>
          <w:rFonts w:ascii="Verdana" w:eastAsia="Geomanist Light" w:hAnsi="Verdana" w:cs="Arial"/>
          <w:color w:val="000000" w:themeColor="text1"/>
          <w:lang w:val="es-MX"/>
        </w:rPr>
      </w:pPr>
    </w:p>
    <w:p w14:paraId="35D049E8" w14:textId="77777777" w:rsidR="0080463F" w:rsidRDefault="0080463F" w:rsidP="00F4619C">
      <w:pPr>
        <w:spacing w:after="0" w:line="240" w:lineRule="auto"/>
        <w:jc w:val="both"/>
        <w:rPr>
          <w:rFonts w:ascii="Verdana" w:eastAsia="Geomanist Light" w:hAnsi="Verdana" w:cs="Arial"/>
          <w:color w:val="000000" w:themeColor="text1"/>
          <w:lang w:val="es-MX"/>
        </w:rPr>
      </w:pPr>
    </w:p>
    <w:p w14:paraId="08350579" w14:textId="77777777" w:rsidR="0080463F" w:rsidRDefault="0080463F" w:rsidP="00F4619C">
      <w:pPr>
        <w:spacing w:after="0" w:line="240" w:lineRule="auto"/>
        <w:jc w:val="both"/>
        <w:rPr>
          <w:rFonts w:ascii="Verdana" w:eastAsia="Geomanist Light" w:hAnsi="Verdana" w:cs="Arial"/>
          <w:color w:val="000000" w:themeColor="text1"/>
          <w:lang w:val="es-MX"/>
        </w:rPr>
      </w:pPr>
    </w:p>
    <w:p w14:paraId="5D5A1E4D" w14:textId="77777777" w:rsidR="0080463F" w:rsidRDefault="0080463F" w:rsidP="00F4619C">
      <w:pPr>
        <w:spacing w:after="0" w:line="240" w:lineRule="auto"/>
        <w:jc w:val="both"/>
        <w:rPr>
          <w:rFonts w:ascii="Verdana" w:eastAsia="Geomanist Light" w:hAnsi="Verdana" w:cs="Arial"/>
          <w:color w:val="000000" w:themeColor="text1"/>
          <w:lang w:val="es-MX"/>
        </w:rPr>
      </w:pPr>
    </w:p>
    <w:p w14:paraId="499B6B79" w14:textId="77777777" w:rsidR="0080463F" w:rsidRDefault="0080463F" w:rsidP="00F4619C">
      <w:pPr>
        <w:spacing w:after="0" w:line="240" w:lineRule="auto"/>
        <w:jc w:val="both"/>
        <w:rPr>
          <w:rFonts w:ascii="Verdana" w:eastAsia="Geomanist Light" w:hAnsi="Verdana" w:cs="Arial"/>
          <w:color w:val="000000" w:themeColor="text1"/>
          <w:lang w:val="es-MX"/>
        </w:rPr>
      </w:pPr>
    </w:p>
    <w:p w14:paraId="6D2D5059" w14:textId="77777777" w:rsidR="0080463F" w:rsidRDefault="0080463F" w:rsidP="00F4619C">
      <w:pPr>
        <w:spacing w:after="0" w:line="240" w:lineRule="auto"/>
        <w:jc w:val="both"/>
        <w:rPr>
          <w:rFonts w:ascii="Verdana" w:eastAsia="Geomanist Light" w:hAnsi="Verdana" w:cs="Arial"/>
          <w:color w:val="000000" w:themeColor="text1"/>
          <w:lang w:val="es-MX"/>
        </w:rPr>
      </w:pPr>
    </w:p>
    <w:p w14:paraId="36180A2D" w14:textId="77777777" w:rsidR="0080463F" w:rsidRDefault="0080463F" w:rsidP="00F4619C">
      <w:pPr>
        <w:spacing w:after="0" w:line="240" w:lineRule="auto"/>
        <w:jc w:val="both"/>
        <w:rPr>
          <w:rFonts w:ascii="Verdana" w:eastAsia="Geomanist Light" w:hAnsi="Verdana" w:cs="Arial"/>
          <w:color w:val="000000" w:themeColor="text1"/>
          <w:lang w:val="es-MX"/>
        </w:rPr>
      </w:pPr>
    </w:p>
    <w:p w14:paraId="07CA97B3" w14:textId="77777777" w:rsidR="0080463F" w:rsidRDefault="0080463F" w:rsidP="00F4619C">
      <w:pPr>
        <w:spacing w:after="0" w:line="240" w:lineRule="auto"/>
        <w:jc w:val="both"/>
        <w:rPr>
          <w:rFonts w:ascii="Verdana" w:eastAsia="Geomanist Light" w:hAnsi="Verdana" w:cs="Arial"/>
          <w:color w:val="000000" w:themeColor="text1"/>
          <w:lang w:val="es-MX"/>
        </w:rPr>
      </w:pPr>
    </w:p>
    <w:p w14:paraId="2FB49A7C" w14:textId="77777777" w:rsidR="0080463F" w:rsidRDefault="0080463F" w:rsidP="00F4619C">
      <w:pPr>
        <w:spacing w:after="0" w:line="240" w:lineRule="auto"/>
        <w:jc w:val="both"/>
        <w:rPr>
          <w:rFonts w:ascii="Verdana" w:eastAsia="Geomanist Light" w:hAnsi="Verdana" w:cs="Arial"/>
          <w:color w:val="000000" w:themeColor="text1"/>
          <w:lang w:val="es-MX"/>
        </w:rPr>
      </w:pPr>
    </w:p>
    <w:p w14:paraId="4D5EF051" w14:textId="77777777" w:rsidR="0080463F" w:rsidRDefault="0080463F" w:rsidP="00F4619C">
      <w:pPr>
        <w:spacing w:after="0" w:line="240" w:lineRule="auto"/>
        <w:jc w:val="both"/>
        <w:rPr>
          <w:rFonts w:ascii="Verdana" w:eastAsia="Geomanist Light" w:hAnsi="Verdana" w:cs="Arial"/>
          <w:color w:val="000000" w:themeColor="text1"/>
          <w:lang w:val="es-MX"/>
        </w:rPr>
      </w:pPr>
    </w:p>
    <w:p w14:paraId="0F483D51" w14:textId="77777777" w:rsidR="0080463F" w:rsidRDefault="0080463F" w:rsidP="00F4619C">
      <w:pPr>
        <w:spacing w:after="0" w:line="240" w:lineRule="auto"/>
        <w:jc w:val="both"/>
        <w:rPr>
          <w:rFonts w:ascii="Verdana" w:eastAsia="Geomanist Light" w:hAnsi="Verdana" w:cs="Arial"/>
          <w:color w:val="000000" w:themeColor="text1"/>
          <w:lang w:val="es-MX"/>
        </w:rPr>
      </w:pPr>
    </w:p>
    <w:p w14:paraId="7E2C8AE2" w14:textId="77777777" w:rsidR="0080463F" w:rsidRDefault="0080463F" w:rsidP="00F4619C">
      <w:pPr>
        <w:spacing w:after="0" w:line="240" w:lineRule="auto"/>
        <w:jc w:val="both"/>
        <w:rPr>
          <w:rFonts w:ascii="Verdana" w:eastAsia="Geomanist Light" w:hAnsi="Verdana" w:cs="Arial"/>
          <w:color w:val="000000" w:themeColor="text1"/>
          <w:lang w:val="es-MX"/>
        </w:rPr>
      </w:pPr>
    </w:p>
    <w:p w14:paraId="58FBE15C" w14:textId="77777777" w:rsidR="0080463F" w:rsidRDefault="0080463F" w:rsidP="00F4619C">
      <w:pPr>
        <w:spacing w:after="0" w:line="240" w:lineRule="auto"/>
        <w:jc w:val="both"/>
        <w:rPr>
          <w:rFonts w:ascii="Verdana" w:eastAsia="Geomanist Light" w:hAnsi="Verdana" w:cs="Arial"/>
          <w:color w:val="000000" w:themeColor="text1"/>
          <w:lang w:val="es-MX"/>
        </w:rPr>
      </w:pPr>
    </w:p>
    <w:p w14:paraId="1C6EBE24" w14:textId="77777777" w:rsidR="0080463F" w:rsidRDefault="0080463F" w:rsidP="00F4619C">
      <w:pPr>
        <w:spacing w:after="0" w:line="240" w:lineRule="auto"/>
        <w:jc w:val="both"/>
        <w:rPr>
          <w:rFonts w:ascii="Verdana" w:eastAsia="Geomanist Light" w:hAnsi="Verdana" w:cs="Arial"/>
          <w:color w:val="000000" w:themeColor="text1"/>
          <w:lang w:val="es-MX"/>
        </w:rPr>
      </w:pPr>
    </w:p>
    <w:p w14:paraId="787DD3BF" w14:textId="77777777" w:rsidR="0080463F" w:rsidRDefault="0080463F" w:rsidP="00F4619C">
      <w:pPr>
        <w:spacing w:after="0" w:line="240" w:lineRule="auto"/>
        <w:jc w:val="both"/>
        <w:rPr>
          <w:rFonts w:ascii="Verdana" w:eastAsia="Geomanist Light" w:hAnsi="Verdana" w:cs="Arial"/>
          <w:color w:val="000000" w:themeColor="text1"/>
          <w:lang w:val="es-MX"/>
        </w:rPr>
      </w:pPr>
    </w:p>
    <w:p w14:paraId="1023A693" w14:textId="77777777" w:rsidR="0080463F" w:rsidRDefault="0080463F" w:rsidP="00F4619C">
      <w:pPr>
        <w:spacing w:after="0" w:line="240" w:lineRule="auto"/>
        <w:jc w:val="both"/>
        <w:rPr>
          <w:rFonts w:ascii="Verdana" w:eastAsia="Geomanist Light" w:hAnsi="Verdana" w:cs="Arial"/>
          <w:color w:val="000000" w:themeColor="text1"/>
          <w:lang w:val="es-MX"/>
        </w:rPr>
      </w:pPr>
    </w:p>
    <w:p w14:paraId="74F39CEB" w14:textId="77777777" w:rsidR="0080463F" w:rsidRDefault="0080463F" w:rsidP="00F4619C">
      <w:pPr>
        <w:spacing w:after="0" w:line="240" w:lineRule="auto"/>
        <w:jc w:val="both"/>
        <w:rPr>
          <w:rFonts w:ascii="Verdana" w:eastAsia="Geomanist Light" w:hAnsi="Verdana" w:cs="Arial"/>
          <w:color w:val="000000" w:themeColor="text1"/>
          <w:lang w:val="es-MX"/>
        </w:rPr>
      </w:pPr>
    </w:p>
    <w:p w14:paraId="32AA4DF3" w14:textId="77777777" w:rsidR="0080463F" w:rsidRDefault="0080463F" w:rsidP="00F4619C">
      <w:pPr>
        <w:spacing w:after="0" w:line="240" w:lineRule="auto"/>
        <w:jc w:val="both"/>
        <w:rPr>
          <w:rFonts w:ascii="Verdana" w:eastAsia="Geomanist Light" w:hAnsi="Verdana" w:cs="Arial"/>
          <w:color w:val="000000" w:themeColor="text1"/>
          <w:lang w:val="es-MX"/>
        </w:rPr>
      </w:pPr>
    </w:p>
    <w:p w14:paraId="407C26A2" w14:textId="77777777" w:rsidR="0080463F" w:rsidRDefault="0080463F" w:rsidP="00F4619C">
      <w:pPr>
        <w:spacing w:after="0" w:line="240" w:lineRule="auto"/>
        <w:jc w:val="both"/>
        <w:rPr>
          <w:rFonts w:ascii="Verdana" w:eastAsia="Geomanist Light" w:hAnsi="Verdana" w:cs="Arial"/>
          <w:color w:val="000000" w:themeColor="text1"/>
          <w:lang w:val="es-MX"/>
        </w:rPr>
      </w:pPr>
    </w:p>
    <w:p w14:paraId="1CFD38B6" w14:textId="77777777" w:rsidR="0080463F" w:rsidRDefault="0080463F" w:rsidP="00F4619C">
      <w:pPr>
        <w:spacing w:after="0" w:line="240" w:lineRule="auto"/>
        <w:jc w:val="both"/>
        <w:rPr>
          <w:rFonts w:ascii="Verdana" w:eastAsia="Geomanist Light" w:hAnsi="Verdana" w:cs="Arial"/>
          <w:color w:val="000000" w:themeColor="text1"/>
          <w:lang w:val="es-MX"/>
        </w:rPr>
      </w:pPr>
    </w:p>
    <w:p w14:paraId="643E0C19" w14:textId="77777777" w:rsidR="0080463F" w:rsidRDefault="0080463F" w:rsidP="00F4619C">
      <w:pPr>
        <w:spacing w:after="0" w:line="240" w:lineRule="auto"/>
        <w:jc w:val="both"/>
        <w:rPr>
          <w:rFonts w:ascii="Verdana" w:eastAsia="Geomanist Light" w:hAnsi="Verdana" w:cs="Arial"/>
          <w:color w:val="000000" w:themeColor="text1"/>
          <w:lang w:val="es-MX"/>
        </w:rPr>
      </w:pPr>
    </w:p>
    <w:p w14:paraId="5F2F89D6" w14:textId="77777777" w:rsidR="0080463F" w:rsidRDefault="0080463F" w:rsidP="00F4619C">
      <w:pPr>
        <w:spacing w:after="0" w:line="240" w:lineRule="auto"/>
        <w:jc w:val="both"/>
        <w:rPr>
          <w:rFonts w:ascii="Verdana" w:eastAsia="Geomanist Light" w:hAnsi="Verdana" w:cs="Arial"/>
          <w:color w:val="000000" w:themeColor="text1"/>
          <w:lang w:val="es-MX"/>
        </w:rPr>
      </w:pPr>
    </w:p>
    <w:p w14:paraId="31079337" w14:textId="77777777" w:rsidR="0080463F" w:rsidRDefault="0080463F" w:rsidP="00F4619C">
      <w:pPr>
        <w:spacing w:after="0" w:line="240" w:lineRule="auto"/>
        <w:jc w:val="both"/>
        <w:rPr>
          <w:rFonts w:ascii="Verdana" w:eastAsia="Geomanist Light" w:hAnsi="Verdana" w:cs="Arial"/>
          <w:color w:val="000000" w:themeColor="text1"/>
          <w:lang w:val="es-MX"/>
        </w:rPr>
      </w:pPr>
    </w:p>
    <w:p w14:paraId="55CD5A91" w14:textId="77777777" w:rsidR="0080463F" w:rsidRDefault="0080463F" w:rsidP="00F4619C">
      <w:pPr>
        <w:spacing w:after="0" w:line="240" w:lineRule="auto"/>
        <w:jc w:val="both"/>
        <w:rPr>
          <w:rFonts w:ascii="Verdana" w:eastAsia="Geomanist Light" w:hAnsi="Verdana" w:cs="Arial"/>
          <w:color w:val="000000" w:themeColor="text1"/>
          <w:lang w:val="es-MX"/>
        </w:rPr>
      </w:pPr>
    </w:p>
    <w:p w14:paraId="372B1513" w14:textId="77777777" w:rsidR="0080463F" w:rsidRDefault="0080463F" w:rsidP="00F4619C">
      <w:pPr>
        <w:spacing w:after="0" w:line="240" w:lineRule="auto"/>
        <w:jc w:val="both"/>
        <w:rPr>
          <w:rFonts w:ascii="Verdana" w:eastAsia="Geomanist Light" w:hAnsi="Verdana" w:cs="Arial"/>
          <w:color w:val="000000" w:themeColor="text1"/>
          <w:lang w:val="es-MX"/>
        </w:rPr>
      </w:pPr>
    </w:p>
    <w:p w14:paraId="586DCDA4" w14:textId="77777777" w:rsidR="0080463F" w:rsidRDefault="0080463F" w:rsidP="00F4619C">
      <w:pPr>
        <w:spacing w:after="0" w:line="240" w:lineRule="auto"/>
        <w:jc w:val="both"/>
        <w:rPr>
          <w:rFonts w:ascii="Verdana" w:eastAsia="Geomanist Light" w:hAnsi="Verdana" w:cs="Arial"/>
          <w:color w:val="000000" w:themeColor="text1"/>
          <w:lang w:val="es-MX"/>
        </w:rPr>
      </w:pPr>
    </w:p>
    <w:p w14:paraId="5E4C6E24" w14:textId="74AAD301" w:rsidR="00F4619C" w:rsidRPr="00DB30F3" w:rsidRDefault="00F4619C" w:rsidP="00F4619C">
      <w:pPr>
        <w:spacing w:after="0" w:line="240" w:lineRule="auto"/>
        <w:jc w:val="both"/>
        <w:rPr>
          <w:rFonts w:ascii="Verdana" w:eastAsia="Geomanist Light" w:hAnsi="Verdana" w:cs="Arial"/>
          <w:color w:val="000000" w:themeColor="text1"/>
          <w:lang w:val="es-MX"/>
        </w:rPr>
      </w:pPr>
      <w:r w:rsidRPr="00593A5F">
        <w:rPr>
          <w:rFonts w:ascii="Verdana" w:eastAsia="Geomanist Light" w:hAnsi="Verdana" w:cs="Arial"/>
          <w:color w:val="000000" w:themeColor="text1"/>
          <w:lang w:val="es-MX"/>
        </w:rPr>
        <w:lastRenderedPageBreak/>
        <w:t>Bogotá D.C., </w:t>
      </w:r>
      <w:r w:rsidRPr="00593A5F">
        <w:rPr>
          <w:rFonts w:ascii="Verdana" w:eastAsia="Geomanist Light" w:hAnsi="Verdana" w:cs="Arial"/>
          <w:color w:val="201F1E"/>
          <w:lang w:val="es-MX"/>
        </w:rPr>
        <w:t>[Día] de [</w:t>
      </w:r>
      <w:proofErr w:type="spellStart"/>
      <w:r w:rsidRPr="00593A5F">
        <w:rPr>
          <w:rFonts w:ascii="Verdana" w:eastAsia="Geomanist Light" w:hAnsi="Verdana" w:cs="Arial"/>
          <w:color w:val="201F1E"/>
          <w:lang w:val="es-MX"/>
        </w:rPr>
        <w:t>Mes.NombreCapitalizado</w:t>
      </w:r>
      <w:proofErr w:type="spellEnd"/>
      <w:r w:rsidRPr="00593A5F">
        <w:rPr>
          <w:rFonts w:ascii="Verdana" w:eastAsia="Geomanist Light" w:hAnsi="Verdana" w:cs="Arial"/>
          <w:color w:val="201F1E"/>
          <w:lang w:val="es-MX"/>
        </w:rPr>
        <w:t>] de [Año]</w:t>
      </w:r>
    </w:p>
    <w:p w14:paraId="352A44CE" w14:textId="2C4015D8" w:rsidR="00F4619C" w:rsidRPr="00593A5F" w:rsidRDefault="00F4619C" w:rsidP="00F4619C">
      <w:pPr>
        <w:spacing w:after="0" w:line="240" w:lineRule="auto"/>
        <w:jc w:val="both"/>
        <w:rPr>
          <w:rFonts w:ascii="Verdana" w:eastAsia="Calibri" w:hAnsi="Verdana" w:cs="Arial"/>
          <w:color w:val="000000"/>
          <w:lang w:val="es-ES"/>
        </w:rPr>
      </w:pPr>
    </w:p>
    <w:p w14:paraId="319E51A1" w14:textId="4AD6BE1B" w:rsidR="00F4619C" w:rsidRDefault="000D236A" w:rsidP="00F4619C">
      <w:pPr>
        <w:spacing w:after="0" w:line="240" w:lineRule="auto"/>
        <w:jc w:val="both"/>
        <w:rPr>
          <w:rFonts w:ascii="Verdana" w:eastAsia="Calibri" w:hAnsi="Verdana" w:cs="Arial"/>
          <w:lang w:val="es-ES" w:eastAsia="es-ES"/>
        </w:rPr>
      </w:pPr>
      <w:r w:rsidRPr="000D236A">
        <w:rPr>
          <w:rFonts w:ascii="Verdana" w:hAnsi="Verdana"/>
          <w:noProof/>
        </w:rPr>
        <w:drawing>
          <wp:anchor distT="0" distB="0" distL="114300" distR="114300" simplePos="0" relativeHeight="251658240" behindDoc="0" locked="0" layoutInCell="1" allowOverlap="1" wp14:anchorId="7CD25CE1" wp14:editId="635AEF33">
            <wp:simplePos x="0" y="0"/>
            <wp:positionH relativeFrom="margin">
              <wp:posOffset>3101008</wp:posOffset>
            </wp:positionH>
            <wp:positionV relativeFrom="paragraph">
              <wp:posOffset>9939</wp:posOffset>
            </wp:positionV>
            <wp:extent cx="2496185" cy="7835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96185" cy="783590"/>
                    </a:xfrm>
                    <a:prstGeom prst="rect">
                      <a:avLst/>
                    </a:prstGeom>
                  </pic:spPr>
                </pic:pic>
              </a:graphicData>
            </a:graphic>
            <wp14:sizeRelH relativeFrom="margin">
              <wp14:pctWidth>0</wp14:pctWidth>
            </wp14:sizeRelH>
            <wp14:sizeRelV relativeFrom="margin">
              <wp14:pctHeight>0</wp14:pctHeight>
            </wp14:sizeRelV>
          </wp:anchor>
        </w:drawing>
      </w:r>
    </w:p>
    <w:p w14:paraId="21AE4935" w14:textId="1DFC12B9" w:rsidR="00F4619C" w:rsidRPr="00EA7B31" w:rsidRDefault="00F4619C" w:rsidP="00F4619C">
      <w:pPr>
        <w:spacing w:after="0" w:line="240" w:lineRule="auto"/>
        <w:jc w:val="both"/>
        <w:rPr>
          <w:rFonts w:ascii="Verdana" w:eastAsia="Calibri" w:hAnsi="Verdana" w:cs="Arial"/>
          <w:lang w:val="es-ES" w:eastAsia="es-ES"/>
        </w:rPr>
      </w:pPr>
      <w:r w:rsidRPr="00EA7B31">
        <w:rPr>
          <w:rFonts w:ascii="Verdana" w:eastAsia="Calibri" w:hAnsi="Verdana" w:cs="Arial"/>
          <w:lang w:val="es-ES" w:eastAsia="es-ES"/>
        </w:rPr>
        <w:t>Señor</w:t>
      </w:r>
    </w:p>
    <w:p w14:paraId="363B472D" w14:textId="1EEFA4D6" w:rsidR="00F4619C" w:rsidRPr="00EA7B31" w:rsidRDefault="00680F0D" w:rsidP="00F4619C">
      <w:pPr>
        <w:spacing w:after="0" w:line="240" w:lineRule="auto"/>
        <w:rPr>
          <w:rFonts w:ascii="Verdana" w:hAnsi="Verdana"/>
          <w:b/>
          <w:bCs/>
        </w:rPr>
      </w:pPr>
      <w:r w:rsidRPr="00EA7B31">
        <w:rPr>
          <w:rFonts w:ascii="Verdana" w:hAnsi="Verdana"/>
          <w:b/>
          <w:bCs/>
        </w:rPr>
        <w:t>Iván Darío Gutiérrez Cardozo</w:t>
      </w:r>
      <w:r w:rsidR="001C6282" w:rsidRPr="00EA7B31">
        <w:rPr>
          <w:rFonts w:ascii="Verdana" w:hAnsi="Verdana"/>
          <w:noProof/>
        </w:rPr>
        <w:t xml:space="preserve"> </w:t>
      </w:r>
    </w:p>
    <w:p w14:paraId="1B2669C8" w14:textId="447095CF" w:rsidR="00F4619C" w:rsidRPr="00EA7B31" w:rsidRDefault="00C422C1" w:rsidP="00F4619C">
      <w:pPr>
        <w:spacing w:after="0" w:line="240" w:lineRule="auto"/>
        <w:rPr>
          <w:rFonts w:ascii="Verdana" w:hAnsi="Verdana"/>
        </w:rPr>
      </w:pPr>
      <w:hyperlink r:id="rId12" w:history="1">
        <w:r w:rsidR="00680F0D" w:rsidRPr="00EA7B31">
          <w:rPr>
            <w:rStyle w:val="Hipervnculo"/>
            <w:rFonts w:ascii="Verdana" w:hAnsi="Verdana"/>
            <w:color w:val="auto"/>
            <w:u w:val="none"/>
          </w:rPr>
          <w:t>ivandariog@hotmail.com</w:t>
        </w:r>
      </w:hyperlink>
    </w:p>
    <w:p w14:paraId="2BB4EEBB" w14:textId="1431DCAE" w:rsidR="00F4619C" w:rsidRPr="00EA7B31" w:rsidRDefault="00680F0D" w:rsidP="00F4619C">
      <w:pPr>
        <w:spacing w:after="0" w:line="240" w:lineRule="auto"/>
        <w:rPr>
          <w:rFonts w:ascii="Verdana" w:eastAsia="Calibri" w:hAnsi="Verdana" w:cs="Arial"/>
          <w:bCs/>
          <w:lang w:val="es-ES_tradnl" w:eastAsia="es-ES_tradnl"/>
        </w:rPr>
      </w:pPr>
      <w:r w:rsidRPr="00EA7B31">
        <w:rPr>
          <w:rFonts w:ascii="Verdana" w:eastAsia="Calibri" w:hAnsi="Verdana" w:cs="Arial"/>
          <w:bCs/>
          <w:lang w:val="es-ES_tradnl" w:eastAsia="es-ES_tradnl"/>
        </w:rPr>
        <w:t>Neiva, Huila</w:t>
      </w:r>
    </w:p>
    <w:p w14:paraId="573743F0" w14:textId="568F199F" w:rsidR="00F4619C" w:rsidRDefault="00F4619C" w:rsidP="00F4619C">
      <w:pPr>
        <w:spacing w:after="0" w:line="240" w:lineRule="auto"/>
        <w:rPr>
          <w:rFonts w:ascii="Verdana" w:eastAsia="Calibri" w:hAnsi="Verdana" w:cs="Arial"/>
          <w:bCs/>
          <w:lang w:val="es-ES_tradnl" w:eastAsia="es-ES_tradnl"/>
        </w:rPr>
      </w:pPr>
    </w:p>
    <w:p w14:paraId="7E363D61" w14:textId="77777777" w:rsidR="00F4619C" w:rsidRPr="00593A5F" w:rsidRDefault="00F4619C" w:rsidP="00F4619C">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4619C" w:rsidRPr="00593A5F" w14:paraId="1A3EA567" w14:textId="77777777" w:rsidTr="003D0810">
        <w:trPr>
          <w:trHeight w:val="884"/>
        </w:trPr>
        <w:tc>
          <w:tcPr>
            <w:tcW w:w="2689" w:type="dxa"/>
          </w:tcPr>
          <w:p w14:paraId="01DDA15C" w14:textId="77777777" w:rsidR="00F4619C" w:rsidRPr="00C00976" w:rsidRDefault="00F4619C" w:rsidP="003D0810">
            <w:pPr>
              <w:jc w:val="both"/>
              <w:rPr>
                <w:rFonts w:ascii="Verdana" w:eastAsia="Calibri" w:hAnsi="Verdana" w:cs="Arial"/>
                <w:b/>
                <w:bCs/>
                <w:color w:val="7030A0"/>
                <w:lang w:val="es-ES_tradnl" w:eastAsia="es-ES_tradnl"/>
              </w:rPr>
            </w:pPr>
          </w:p>
        </w:tc>
        <w:tc>
          <w:tcPr>
            <w:tcW w:w="6100" w:type="dxa"/>
          </w:tcPr>
          <w:p w14:paraId="2E840849" w14:textId="41A93D97" w:rsidR="00F4619C" w:rsidRPr="007B60E9" w:rsidRDefault="00F4619C" w:rsidP="003D0810">
            <w:pPr>
              <w:jc w:val="both"/>
              <w:rPr>
                <w:rFonts w:ascii="Verdana" w:eastAsia="Calibri" w:hAnsi="Verdana" w:cs="Arial"/>
                <w:b/>
                <w:bCs/>
                <w:color w:val="7030A0"/>
                <w:lang w:val="es-ES" w:eastAsia="es-ES"/>
              </w:rPr>
            </w:pPr>
            <w:r w:rsidRPr="00423EEA">
              <w:rPr>
                <w:rFonts w:ascii="Verdana" w:eastAsia="Calibri" w:hAnsi="Verdana" w:cs="Arial"/>
                <w:b/>
                <w:bCs/>
                <w:lang w:val="es-ES" w:eastAsia="es-ES"/>
              </w:rPr>
              <w:t xml:space="preserve">Concepto </w:t>
            </w:r>
            <w:r w:rsidR="00680F0D">
              <w:rPr>
                <w:rFonts w:ascii="Verdana" w:eastAsia="Calibri" w:hAnsi="Verdana" w:cs="Arial"/>
                <w:b/>
                <w:bCs/>
                <w:lang w:val="es-ES" w:eastAsia="es-ES"/>
              </w:rPr>
              <w:t>C-1017</w:t>
            </w:r>
            <w:r w:rsidRPr="00423EEA">
              <w:rPr>
                <w:rFonts w:ascii="Verdana" w:eastAsia="Calibri" w:hAnsi="Verdana" w:cs="Arial"/>
                <w:b/>
                <w:bCs/>
                <w:lang w:val="es-ES" w:eastAsia="es-ES"/>
              </w:rPr>
              <w:t xml:space="preserve"> de 2024</w:t>
            </w:r>
          </w:p>
        </w:tc>
      </w:tr>
      <w:tr w:rsidR="00F4619C" w:rsidRPr="00593A5F" w14:paraId="2A7160D4" w14:textId="77777777" w:rsidTr="003D0810">
        <w:trPr>
          <w:trHeight w:val="884"/>
        </w:trPr>
        <w:tc>
          <w:tcPr>
            <w:tcW w:w="2689" w:type="dxa"/>
          </w:tcPr>
          <w:p w14:paraId="705C1278" w14:textId="77777777" w:rsidR="00F4619C" w:rsidRPr="004B40A6" w:rsidRDefault="00F4619C" w:rsidP="003D0810">
            <w:pPr>
              <w:jc w:val="both"/>
              <w:rPr>
                <w:rFonts w:ascii="Verdana" w:eastAsia="Calibri" w:hAnsi="Verdana" w:cs="Arial"/>
                <w:lang w:val="es-ES_tradnl" w:eastAsia="es-ES_tradnl"/>
              </w:rPr>
            </w:pPr>
            <w:r w:rsidRPr="004B40A6">
              <w:rPr>
                <w:rFonts w:ascii="Verdana" w:eastAsia="Calibri" w:hAnsi="Verdana" w:cs="Arial"/>
                <w:b/>
                <w:lang w:val="es-ES_tradnl" w:eastAsia="es-ES_tradnl"/>
              </w:rPr>
              <w:t>Temas:</w:t>
            </w:r>
            <w:r w:rsidRPr="004B40A6">
              <w:rPr>
                <w:rFonts w:ascii="Verdana" w:eastAsia="Calibri" w:hAnsi="Verdana" w:cs="Arial"/>
                <w:lang w:val="es-ES_tradnl" w:eastAsia="es-ES_tradnl"/>
              </w:rPr>
              <w:t xml:space="preserve">                   </w:t>
            </w:r>
          </w:p>
        </w:tc>
        <w:tc>
          <w:tcPr>
            <w:tcW w:w="6100" w:type="dxa"/>
          </w:tcPr>
          <w:p w14:paraId="173D6C53" w14:textId="3FFCB3BA" w:rsidR="00F4619C" w:rsidRPr="00E34739" w:rsidRDefault="00680F0D" w:rsidP="003D0810">
            <w:pPr>
              <w:spacing w:line="276" w:lineRule="auto"/>
              <w:jc w:val="both"/>
              <w:rPr>
                <w:rFonts w:ascii="Verdana" w:eastAsia="Calibri" w:hAnsi="Verdana" w:cs="Arial"/>
                <w:lang w:val="es-ES_tradnl"/>
              </w:rPr>
            </w:pPr>
            <w:r>
              <w:rPr>
                <w:rFonts w:ascii="Verdana" w:hAnsi="Verdana" w:cs="Arial"/>
                <w:bCs/>
                <w:lang w:val="es-ES_tradnl" w:eastAsia="es-ES"/>
              </w:rPr>
              <w:t xml:space="preserve">LEY 2069 DE 2020 – Finalidad / </w:t>
            </w:r>
            <w:r>
              <w:rPr>
                <w:rFonts w:ascii="Verdana" w:hAnsi="Verdana" w:cs="Arial"/>
                <w:bCs/>
                <w:lang w:eastAsia="es-ES"/>
              </w:rPr>
              <w:t xml:space="preserve">Ley </w:t>
            </w:r>
            <w:r>
              <w:rPr>
                <w:rFonts w:ascii="Verdana" w:hAnsi="Verdana" w:cs="Arial"/>
                <w:bCs/>
                <w:lang w:val="es-ES_tradnl" w:eastAsia="es-ES"/>
              </w:rPr>
              <w:t xml:space="preserve">2069 de 2020 – Artículo 31 / MIPYMES – Criterios diferenciales – Puntajes adicionales / MIPYMES – Explotación económica – Segmentos </w:t>
            </w:r>
            <w:r>
              <w:rPr>
                <w:rFonts w:cs="Arial"/>
                <w:bCs/>
                <w:lang w:val="es-ES_tradnl" w:eastAsia="es-ES"/>
              </w:rPr>
              <w:t xml:space="preserve">/ </w:t>
            </w:r>
            <w:r>
              <w:rPr>
                <w:rFonts w:ascii="Verdana" w:hAnsi="Verdana" w:cs="Arial"/>
                <w:bCs/>
                <w:lang w:val="es-ES_tradnl" w:eastAsia="es-ES"/>
              </w:rPr>
              <w:t xml:space="preserve">ESALES – Actividades sin fines de lucro / ENTIDADES DE ECONOMÍA SOLIDARIA – Asimilación a </w:t>
            </w:r>
            <w:proofErr w:type="spellStart"/>
            <w:r>
              <w:rPr>
                <w:rFonts w:ascii="Verdana" w:hAnsi="Verdana" w:cs="Arial"/>
                <w:bCs/>
                <w:lang w:val="es-ES_tradnl" w:eastAsia="es-ES"/>
              </w:rPr>
              <w:t>Mipymes</w:t>
            </w:r>
            <w:proofErr w:type="spellEnd"/>
          </w:p>
        </w:tc>
      </w:tr>
      <w:tr w:rsidR="00F4619C" w:rsidRPr="00593A5F" w14:paraId="4F91E4FD" w14:textId="77777777" w:rsidTr="003D0810">
        <w:trPr>
          <w:trHeight w:val="89"/>
        </w:trPr>
        <w:tc>
          <w:tcPr>
            <w:tcW w:w="2689" w:type="dxa"/>
          </w:tcPr>
          <w:p w14:paraId="5A9C7317" w14:textId="77777777" w:rsidR="00F4619C" w:rsidRPr="004B40A6" w:rsidRDefault="00F4619C" w:rsidP="003D0810">
            <w:pPr>
              <w:jc w:val="both"/>
              <w:rPr>
                <w:rFonts w:ascii="Verdana" w:eastAsia="Calibri" w:hAnsi="Verdana" w:cs="Arial"/>
                <w:b/>
                <w:lang w:val="es-ES_tradnl" w:eastAsia="es-ES_tradnl"/>
              </w:rPr>
            </w:pPr>
            <w:r w:rsidRPr="004B40A6">
              <w:rPr>
                <w:rFonts w:ascii="Verdana" w:eastAsia="Calibri" w:hAnsi="Verdana" w:cs="Arial"/>
                <w:b/>
                <w:lang w:val="es-ES_tradnl" w:eastAsia="es-ES_tradnl"/>
              </w:rPr>
              <w:t>Radicación:</w:t>
            </w:r>
            <w:r w:rsidRPr="004B40A6">
              <w:rPr>
                <w:rFonts w:ascii="Verdana" w:eastAsia="Calibri" w:hAnsi="Verdana" w:cs="Arial"/>
                <w:lang w:val="es-ES_tradnl" w:eastAsia="es-ES_tradnl"/>
              </w:rPr>
              <w:t xml:space="preserve">               </w:t>
            </w:r>
          </w:p>
        </w:tc>
        <w:tc>
          <w:tcPr>
            <w:tcW w:w="6100" w:type="dxa"/>
          </w:tcPr>
          <w:p w14:paraId="3EF81D89" w14:textId="1C579B76" w:rsidR="00F4619C" w:rsidRPr="00E56225" w:rsidRDefault="00F4619C" w:rsidP="003D0810">
            <w:pPr>
              <w:spacing w:line="276" w:lineRule="auto"/>
              <w:jc w:val="both"/>
              <w:rPr>
                <w:rFonts w:ascii="Verdana" w:hAnsi="Verdana" w:cs="Calibri"/>
              </w:rPr>
            </w:pPr>
            <w:r w:rsidRPr="004B40A6">
              <w:rPr>
                <w:rFonts w:ascii="Verdana" w:eastAsia="Calibri" w:hAnsi="Verdana" w:cs="Arial"/>
                <w:lang w:val="es-ES_tradnl" w:eastAsia="es-ES_tradnl"/>
              </w:rPr>
              <w:t xml:space="preserve">Respuesta a consulta con radicado No. </w:t>
            </w:r>
            <w:r w:rsidR="006C524E" w:rsidRPr="007F3331">
              <w:rPr>
                <w:rFonts w:ascii="Verdana" w:eastAsia="Calibri" w:hAnsi="Verdana" w:cs="Arial"/>
                <w:lang w:val="es-ES_tradnl" w:eastAsia="es-ES_tradnl"/>
              </w:rPr>
              <w:t>P20241218012645</w:t>
            </w:r>
          </w:p>
        </w:tc>
      </w:tr>
    </w:tbl>
    <w:p w14:paraId="2B0A9E0B" w14:textId="77777777" w:rsidR="00F4619C" w:rsidRPr="00593A5F" w:rsidRDefault="00F4619C" w:rsidP="00F4619C">
      <w:pPr>
        <w:spacing w:after="0" w:line="240" w:lineRule="auto"/>
        <w:jc w:val="both"/>
        <w:rPr>
          <w:rFonts w:ascii="Verdana" w:eastAsia="Calibri" w:hAnsi="Verdana" w:cs="Arial"/>
          <w:color w:val="000000"/>
          <w:lang w:val="es-ES_tradnl" w:eastAsia="es-ES_tradnl"/>
        </w:rPr>
      </w:pPr>
    </w:p>
    <w:p w14:paraId="515DE78F" w14:textId="77777777" w:rsidR="00F4619C" w:rsidRPr="00593A5F" w:rsidRDefault="00F4619C" w:rsidP="00F4619C">
      <w:pPr>
        <w:spacing w:after="0" w:line="240" w:lineRule="auto"/>
        <w:jc w:val="both"/>
        <w:rPr>
          <w:rFonts w:ascii="Verdana" w:eastAsia="Calibri" w:hAnsi="Verdana" w:cs="Arial"/>
          <w:color w:val="000000"/>
          <w:lang w:val="es-ES_tradnl" w:eastAsia="es-ES_tradnl"/>
        </w:rPr>
      </w:pPr>
    </w:p>
    <w:p w14:paraId="1A893171" w14:textId="6E425667" w:rsidR="00F4619C" w:rsidRPr="004B40A6" w:rsidRDefault="00F4619C" w:rsidP="00F4619C">
      <w:pPr>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Estimad</w:t>
      </w:r>
      <w:r w:rsidR="006C524E">
        <w:rPr>
          <w:rFonts w:ascii="Verdana" w:eastAsia="Calibri" w:hAnsi="Verdana" w:cs="Arial"/>
          <w:lang w:val="es-ES" w:eastAsia="es-ES"/>
        </w:rPr>
        <w:t>o</w:t>
      </w:r>
      <w:r w:rsidRPr="004B40A6">
        <w:rPr>
          <w:rFonts w:ascii="Verdana" w:eastAsia="Calibri" w:hAnsi="Verdana" w:cs="Arial"/>
          <w:lang w:val="es-ES" w:eastAsia="es-ES"/>
        </w:rPr>
        <w:t xml:space="preserve"> </w:t>
      </w:r>
      <w:r>
        <w:rPr>
          <w:rFonts w:ascii="Verdana" w:eastAsia="Calibri" w:hAnsi="Verdana" w:cs="Arial"/>
          <w:lang w:val="es-ES" w:eastAsia="es-ES"/>
        </w:rPr>
        <w:t xml:space="preserve">señor </w:t>
      </w:r>
      <w:r w:rsidR="006C524E">
        <w:rPr>
          <w:rFonts w:ascii="Verdana" w:eastAsia="Calibri" w:hAnsi="Verdana" w:cs="Arial"/>
          <w:lang w:val="es-ES" w:eastAsia="es-ES"/>
        </w:rPr>
        <w:t>Gutiérrez</w:t>
      </w:r>
      <w:r w:rsidRPr="004B40A6">
        <w:rPr>
          <w:rFonts w:ascii="Verdana" w:eastAsia="Calibri" w:hAnsi="Verdana" w:cs="Arial"/>
          <w:lang w:val="es-ES" w:eastAsia="es-ES"/>
        </w:rPr>
        <w:t xml:space="preserve">: </w:t>
      </w:r>
    </w:p>
    <w:p w14:paraId="1C3A8363" w14:textId="77777777" w:rsidR="00F4619C" w:rsidRPr="004B40A6" w:rsidRDefault="00F4619C" w:rsidP="00F4619C">
      <w:pPr>
        <w:tabs>
          <w:tab w:val="left" w:pos="3768"/>
        </w:tabs>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ab/>
      </w:r>
    </w:p>
    <w:p w14:paraId="0BCF1D72" w14:textId="5B426BB9" w:rsidR="00F4619C" w:rsidRDefault="00F4619C" w:rsidP="00F4619C">
      <w:pPr>
        <w:spacing w:after="0" w:line="276" w:lineRule="auto"/>
        <w:jc w:val="both"/>
        <w:rPr>
          <w:rFonts w:ascii="Verdana" w:eastAsia="Calibri" w:hAnsi="Verdana" w:cs="Arial"/>
          <w:lang w:val="es-ES" w:eastAsia="es-ES"/>
        </w:rPr>
      </w:pPr>
      <w:r w:rsidRPr="00F7454D">
        <w:rPr>
          <w:rFonts w:ascii="Verdana" w:eastAsia="Calibri" w:hAnsi="Verdana" w:cs="Arial"/>
          <w:lang w:val="es-ES" w:eastAsia="es-ES"/>
        </w:rPr>
        <w:t>En ejercicio de la competencia otorgada por los artículos 3, numeral 5º, y 11, numeral 8º, del Decreto Ley 4170 de 2011,</w:t>
      </w:r>
      <w:r w:rsidRPr="00F7454D">
        <w:rPr>
          <w:rFonts w:ascii="Verdana" w:eastAsia="Arial MT" w:hAnsi="Verdana" w:cs="Arial MT"/>
          <w:lang w:val="es-ES" w:eastAsia="es-ES"/>
        </w:rPr>
        <w:t xml:space="preserve"> </w:t>
      </w:r>
      <w:r w:rsidRPr="00F7454D">
        <w:rPr>
          <w:rFonts w:ascii="Verdana" w:hAnsi="Verdana" w:cs="Arial"/>
        </w:rPr>
        <w:t xml:space="preserve">así como lo establecido en el artículo 4 de la Resolución 1707 de 2018 expedida por esta Entidad, </w:t>
      </w:r>
      <w:r w:rsidRPr="00F7454D">
        <w:rPr>
          <w:rFonts w:ascii="Verdana" w:eastAsia="Calibri" w:hAnsi="Verdana" w:cs="Arial"/>
          <w:lang w:val="es-ES" w:eastAsia="es-ES"/>
        </w:rPr>
        <w:t xml:space="preserve">la Agencia Nacional de Contratación Pública –Colombia Compra Eficiente– responde su solicitud de consulta de fecha </w:t>
      </w:r>
      <w:r w:rsidR="006C524E">
        <w:rPr>
          <w:rFonts w:ascii="Verdana" w:eastAsia="Calibri" w:hAnsi="Verdana" w:cs="Arial"/>
          <w:lang w:val="es-ES" w:eastAsia="es-ES"/>
        </w:rPr>
        <w:t>18</w:t>
      </w:r>
      <w:r w:rsidRPr="00F7454D">
        <w:rPr>
          <w:rFonts w:ascii="Verdana" w:eastAsia="Calibri" w:hAnsi="Verdana" w:cs="Arial"/>
          <w:lang w:val="es-ES" w:eastAsia="es-ES"/>
        </w:rPr>
        <w:t xml:space="preserve"> de </w:t>
      </w:r>
      <w:r w:rsidR="007A17F5">
        <w:rPr>
          <w:rFonts w:ascii="Verdana" w:eastAsia="Calibri" w:hAnsi="Verdana" w:cs="Arial"/>
          <w:lang w:val="es-ES" w:eastAsia="es-ES"/>
        </w:rPr>
        <w:t>diciembre</w:t>
      </w:r>
      <w:r w:rsidRPr="00F7454D">
        <w:rPr>
          <w:rFonts w:ascii="Verdana" w:eastAsia="Calibri" w:hAnsi="Verdana" w:cs="Arial"/>
          <w:lang w:val="es-ES" w:eastAsia="es-ES"/>
        </w:rPr>
        <w:t xml:space="preserve"> de 2024, en la cual manifiesta lo siguiente: </w:t>
      </w:r>
    </w:p>
    <w:p w14:paraId="23A965E6" w14:textId="77777777" w:rsidR="00F4619C" w:rsidRPr="00076878" w:rsidRDefault="00F4619C" w:rsidP="00F4619C">
      <w:pPr>
        <w:spacing w:after="0" w:line="276" w:lineRule="auto"/>
        <w:jc w:val="both"/>
        <w:rPr>
          <w:rFonts w:ascii="Verdana" w:eastAsia="Calibri" w:hAnsi="Verdana" w:cs="Arial"/>
          <w:lang w:val="es-ES" w:eastAsia="es-ES"/>
        </w:rPr>
      </w:pPr>
    </w:p>
    <w:p w14:paraId="5BE7EAEE" w14:textId="13C56218" w:rsidR="006C524E" w:rsidRPr="006C524E" w:rsidRDefault="006C524E" w:rsidP="006C524E">
      <w:pPr>
        <w:spacing w:line="276" w:lineRule="auto"/>
        <w:jc w:val="both"/>
        <w:rPr>
          <w:rFonts w:ascii="Verdana" w:hAnsi="Verdana"/>
          <w:i/>
          <w:iCs/>
          <w:sz w:val="20"/>
          <w:szCs w:val="20"/>
        </w:rPr>
      </w:pPr>
      <w:r w:rsidRPr="006C524E">
        <w:rPr>
          <w:rFonts w:ascii="Verdana" w:hAnsi="Verdana" w:cs="Arial"/>
          <w:i/>
          <w:iCs/>
          <w:sz w:val="20"/>
          <w:szCs w:val="20"/>
        </w:rPr>
        <w:t>“E</w:t>
      </w:r>
      <w:r w:rsidRPr="006C524E">
        <w:rPr>
          <w:rFonts w:ascii="Verdana" w:hAnsi="Verdana"/>
          <w:i/>
          <w:iCs/>
          <w:sz w:val="20"/>
          <w:szCs w:val="20"/>
        </w:rPr>
        <w:t xml:space="preserve">n qué condiciones una </w:t>
      </w:r>
      <w:proofErr w:type="spellStart"/>
      <w:r w:rsidRPr="006C524E">
        <w:rPr>
          <w:rFonts w:ascii="Verdana" w:hAnsi="Verdana"/>
          <w:i/>
          <w:iCs/>
          <w:sz w:val="20"/>
          <w:szCs w:val="20"/>
        </w:rPr>
        <w:t>esal</w:t>
      </w:r>
      <w:proofErr w:type="spellEnd"/>
      <w:r w:rsidRPr="006C524E">
        <w:rPr>
          <w:rFonts w:ascii="Verdana" w:hAnsi="Verdana"/>
          <w:i/>
          <w:iCs/>
          <w:sz w:val="20"/>
          <w:szCs w:val="20"/>
        </w:rPr>
        <w:t xml:space="preserve"> o entidad sin ánimo de lucro, puede aplicar a la ponderación como </w:t>
      </w:r>
      <w:proofErr w:type="spellStart"/>
      <w:r w:rsidRPr="006C524E">
        <w:rPr>
          <w:rFonts w:ascii="Verdana" w:hAnsi="Verdana"/>
          <w:i/>
          <w:iCs/>
          <w:sz w:val="20"/>
          <w:szCs w:val="20"/>
        </w:rPr>
        <w:t>mipyme</w:t>
      </w:r>
      <w:proofErr w:type="spellEnd"/>
      <w:r w:rsidRPr="006C524E">
        <w:rPr>
          <w:rFonts w:ascii="Verdana" w:hAnsi="Verdana"/>
          <w:i/>
          <w:iCs/>
          <w:sz w:val="20"/>
          <w:szCs w:val="20"/>
        </w:rPr>
        <w:t xml:space="preserve">, puede una fundación, asociación o corporación aplicar al punto o ponderación como </w:t>
      </w:r>
      <w:proofErr w:type="spellStart"/>
      <w:r w:rsidRPr="006C524E">
        <w:rPr>
          <w:rFonts w:ascii="Verdana" w:hAnsi="Verdana"/>
          <w:i/>
          <w:iCs/>
          <w:sz w:val="20"/>
          <w:szCs w:val="20"/>
        </w:rPr>
        <w:t>mipyme</w:t>
      </w:r>
      <w:proofErr w:type="spellEnd"/>
      <w:r w:rsidRPr="006C524E">
        <w:rPr>
          <w:rFonts w:ascii="Verdana" w:hAnsi="Verdana"/>
          <w:i/>
          <w:iCs/>
          <w:sz w:val="20"/>
          <w:szCs w:val="20"/>
        </w:rPr>
        <w:t>”.</w:t>
      </w:r>
    </w:p>
    <w:p w14:paraId="55C3855C" w14:textId="77777777" w:rsidR="00F4619C" w:rsidRDefault="00F4619C" w:rsidP="00F4619C">
      <w:pPr>
        <w:spacing w:after="0" w:line="240" w:lineRule="auto"/>
        <w:ind w:right="709"/>
        <w:jc w:val="both"/>
        <w:rPr>
          <w:rFonts w:ascii="Verdana" w:eastAsia="Century Gothic" w:hAnsi="Verdana" w:cs="Century Gothic"/>
          <w:i/>
          <w:iCs/>
          <w:sz w:val="20"/>
          <w:szCs w:val="20"/>
          <w:lang w:val="es-ES"/>
        </w:rPr>
      </w:pPr>
    </w:p>
    <w:p w14:paraId="48DFFD41" w14:textId="77777777" w:rsidR="00F4619C" w:rsidRDefault="00F4619C" w:rsidP="00F4619C">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w:t>
      </w:r>
      <w:r>
        <w:rPr>
          <w:rFonts w:ascii="Verdana" w:eastAsia="Calibri" w:hAnsi="Verdana" w:cs="Arial"/>
          <w:color w:val="000000"/>
          <w:lang w:val="es-ES" w:eastAsia="es-ES"/>
        </w:rPr>
        <w:t>precisar</w:t>
      </w:r>
      <w:r w:rsidRPr="00593A5F">
        <w:rPr>
          <w:rFonts w:ascii="Verdana" w:eastAsia="Calibri" w:hAnsi="Verdana" w:cs="Arial"/>
          <w:color w:val="000000"/>
          <w:lang w:val="es-ES" w:eastAsia="es-ES"/>
        </w:rPr>
        <w:t xml:space="preserve">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593A5F">
        <w:rPr>
          <w:rFonts w:ascii="Verdana" w:eastAsia="Calibri" w:hAnsi="Verdana" w:cs="Arial"/>
          <w:color w:val="000000"/>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403707E" w14:textId="77777777" w:rsidR="00F4619C" w:rsidRDefault="00F4619C" w:rsidP="00F4619C">
      <w:pPr>
        <w:spacing w:after="0" w:line="276" w:lineRule="auto"/>
        <w:ind w:firstLine="709"/>
        <w:jc w:val="both"/>
        <w:rPr>
          <w:rFonts w:ascii="Verdana" w:eastAsia="Calibri" w:hAnsi="Verdana" w:cs="Arial"/>
          <w:lang w:val="es-ES" w:eastAsia="es-ES"/>
        </w:rPr>
      </w:pPr>
      <w:r w:rsidRPr="004B40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22FF6F5C" w14:textId="77777777" w:rsidR="00F4619C" w:rsidRPr="00593A5F" w:rsidRDefault="00F4619C" w:rsidP="00F4619C">
      <w:pPr>
        <w:spacing w:after="0" w:line="276" w:lineRule="auto"/>
        <w:jc w:val="both"/>
        <w:rPr>
          <w:rFonts w:ascii="Verdana" w:eastAsia="Calibri" w:hAnsi="Verdana" w:cs="Arial"/>
          <w:color w:val="000000"/>
          <w:lang w:val="es-ES" w:eastAsia="es-ES"/>
        </w:rPr>
      </w:pPr>
    </w:p>
    <w:p w14:paraId="3C5FF13E" w14:textId="77777777" w:rsidR="00F4619C" w:rsidRPr="00593A5F" w:rsidRDefault="00F4619C" w:rsidP="00F4619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7B6A2AD" w14:textId="77777777" w:rsidR="00F4619C" w:rsidRDefault="00F4619C" w:rsidP="00F4619C">
      <w:pPr>
        <w:spacing w:after="0" w:line="240" w:lineRule="auto"/>
        <w:ind w:right="709"/>
        <w:jc w:val="both"/>
        <w:rPr>
          <w:rFonts w:ascii="Verdana" w:eastAsia="Century Gothic" w:hAnsi="Verdana" w:cs="Century Gothic"/>
          <w:lang w:val="es-ES"/>
        </w:rPr>
      </w:pPr>
    </w:p>
    <w:p w14:paraId="448BA7CE" w14:textId="6595E5A9" w:rsidR="00F4619C" w:rsidRPr="006C524E" w:rsidRDefault="00F4619C" w:rsidP="006C524E">
      <w:pPr>
        <w:spacing w:line="276" w:lineRule="auto"/>
        <w:jc w:val="both"/>
        <w:rPr>
          <w:rFonts w:ascii="Verdana" w:hAnsi="Verdana"/>
          <w:b/>
          <w:bCs/>
        </w:rPr>
      </w:pPr>
      <w:r w:rsidRPr="00E03E8C">
        <w:rPr>
          <w:rFonts w:ascii="Verdana" w:hAnsi="Verdana"/>
        </w:rPr>
        <w:t xml:space="preserve">De acuerdo con el contenido de su solicitud, esta Agencia resolverá </w:t>
      </w:r>
      <w:r>
        <w:rPr>
          <w:rFonts w:ascii="Verdana" w:hAnsi="Verdana"/>
        </w:rPr>
        <w:t>el</w:t>
      </w:r>
      <w:r w:rsidRPr="00E03E8C">
        <w:rPr>
          <w:rFonts w:ascii="Verdana" w:hAnsi="Verdana"/>
        </w:rPr>
        <w:t xml:space="preserve"> siguiente problema jurídico: </w:t>
      </w:r>
      <w:proofErr w:type="gramStart"/>
      <w:r w:rsidR="006C524E" w:rsidRPr="006C524E">
        <w:rPr>
          <w:rFonts w:ascii="Verdana" w:eastAsia="Century Gothic" w:hAnsi="Verdana" w:cs="Century Gothic"/>
        </w:rPr>
        <w:t xml:space="preserve">¿Es posible que una entidad sin ánimo de lucro acceda al puntaje adicional para </w:t>
      </w:r>
      <w:proofErr w:type="spellStart"/>
      <w:r w:rsidR="006C524E" w:rsidRPr="006C524E">
        <w:rPr>
          <w:rFonts w:ascii="Verdana" w:eastAsia="Century Gothic" w:hAnsi="Verdana" w:cs="Century Gothic"/>
        </w:rPr>
        <w:t>Mipymes</w:t>
      </w:r>
      <w:proofErr w:type="spellEnd"/>
      <w:r w:rsidR="006C524E" w:rsidRPr="006C524E">
        <w:rPr>
          <w:rFonts w:ascii="Verdana" w:eastAsia="Century Gothic" w:hAnsi="Verdana" w:cs="Century Gothic"/>
        </w:rPr>
        <w:t xml:space="preserve"> contemplado en el artículo 2.</w:t>
      </w:r>
      <w:proofErr w:type="gramEnd"/>
      <w:r w:rsidR="006C524E" w:rsidRPr="006C524E">
        <w:rPr>
          <w:rFonts w:ascii="Verdana" w:eastAsia="Century Gothic" w:hAnsi="Verdana" w:cs="Century Gothic"/>
        </w:rPr>
        <w:t>2.1.2.4.2.18 del Decreto 1082 de 2015?</w:t>
      </w:r>
    </w:p>
    <w:p w14:paraId="3CB16553" w14:textId="77777777" w:rsidR="00F4619C" w:rsidRPr="00593A5F" w:rsidRDefault="00F4619C" w:rsidP="00F461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C88F2AC" w14:textId="77777777" w:rsidR="00F4619C" w:rsidRPr="00593A5F" w:rsidRDefault="00F4619C" w:rsidP="00F4619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4619C" w:rsidRPr="00593A5F" w14:paraId="17B97147" w14:textId="77777777" w:rsidTr="003D0810">
        <w:tc>
          <w:tcPr>
            <w:tcW w:w="8828" w:type="dxa"/>
            <w:shd w:val="clear" w:color="auto" w:fill="auto"/>
          </w:tcPr>
          <w:p w14:paraId="17EFBC3D" w14:textId="77777777" w:rsidR="008677C3" w:rsidRDefault="008677C3" w:rsidP="008677C3">
            <w:pPr>
              <w:spacing w:line="276" w:lineRule="auto"/>
              <w:jc w:val="both"/>
              <w:rPr>
                <w:rFonts w:ascii="Verdana" w:eastAsia="Century Gothic" w:hAnsi="Verdana" w:cs="Century Gothic"/>
              </w:rPr>
            </w:pPr>
            <w:r>
              <w:rPr>
                <w:rFonts w:ascii="Verdana" w:hAnsi="Verdana" w:cs="Arial"/>
                <w:lang w:val="es-ES_tradnl"/>
              </w:rPr>
              <w:t xml:space="preserve">Comoquiera que, por regla general, las entidades sin ánimo de lucro no desarrollan actividades de explotación económica conforme al artículo 2 de la Ley 590 del 2000, estas no son clasificadas como </w:t>
            </w:r>
            <w:proofErr w:type="spellStart"/>
            <w:r>
              <w:rPr>
                <w:rFonts w:ascii="Verdana" w:hAnsi="Verdana" w:cs="Arial"/>
                <w:lang w:val="es-ES_tradnl"/>
              </w:rPr>
              <w:t>Mipymes</w:t>
            </w:r>
            <w:proofErr w:type="spellEnd"/>
            <w:r>
              <w:rPr>
                <w:rFonts w:ascii="Verdana" w:hAnsi="Verdana" w:cs="Arial"/>
                <w:lang w:val="es-ES_tradnl"/>
              </w:rPr>
              <w:t xml:space="preserve"> de acuerdo con el artículo </w:t>
            </w:r>
            <w:r w:rsidRPr="007E2DF6">
              <w:rPr>
                <w:rFonts w:ascii="Verdana" w:hAnsi="Verdana" w:cs="Arial"/>
                <w:lang w:val="es-ES_tradnl"/>
              </w:rPr>
              <w:t>2.2.1.13.2.2 del Decreto 1074 de 2015</w:t>
            </w:r>
            <w:r>
              <w:rPr>
                <w:rFonts w:ascii="Verdana" w:hAnsi="Verdana" w:cs="Arial"/>
                <w:lang w:val="es-ES_tradnl"/>
              </w:rPr>
              <w:t xml:space="preserve">. En atención a esto, entidades sin ánimo de lucro como las fundaciones, corporaciones y asociaciones civiles, no pueden beneficiarse de los puntajes adicionales para </w:t>
            </w:r>
            <w:proofErr w:type="spellStart"/>
            <w:r>
              <w:rPr>
                <w:rFonts w:ascii="Verdana" w:hAnsi="Verdana" w:cs="Arial"/>
                <w:lang w:val="es-ES_tradnl"/>
              </w:rPr>
              <w:t>Mipymes</w:t>
            </w:r>
            <w:proofErr w:type="spellEnd"/>
            <w:r>
              <w:rPr>
                <w:rFonts w:ascii="Verdana" w:hAnsi="Verdana" w:cs="Arial"/>
                <w:lang w:val="es-ES_tradnl"/>
              </w:rPr>
              <w:t xml:space="preserve"> regulados por el</w:t>
            </w:r>
            <w:r>
              <w:rPr>
                <w:rFonts w:ascii="Verdana" w:eastAsia="Century Gothic" w:hAnsi="Verdana" w:cs="Century Gothic"/>
              </w:rPr>
              <w:t xml:space="preserve"> artículo </w:t>
            </w:r>
            <w:r w:rsidRPr="00065FED">
              <w:rPr>
                <w:rFonts w:ascii="Verdana" w:eastAsia="Century Gothic" w:hAnsi="Verdana" w:cs="Century Gothic"/>
              </w:rPr>
              <w:t>2.2.1.2.4.2.18</w:t>
            </w:r>
            <w:r>
              <w:rPr>
                <w:rFonts w:ascii="Verdana" w:eastAsia="Century Gothic" w:hAnsi="Verdana" w:cs="Century Gothic"/>
              </w:rPr>
              <w:t xml:space="preserve"> del Decreto 1082 de 2015.</w:t>
            </w:r>
          </w:p>
          <w:p w14:paraId="63153B76" w14:textId="77777777" w:rsidR="008677C3" w:rsidRDefault="008677C3" w:rsidP="008677C3">
            <w:pPr>
              <w:spacing w:line="276" w:lineRule="auto"/>
              <w:jc w:val="both"/>
              <w:rPr>
                <w:rFonts w:ascii="Verdana" w:eastAsia="Century Gothic" w:hAnsi="Verdana" w:cs="Century Gothic"/>
              </w:rPr>
            </w:pPr>
          </w:p>
          <w:p w14:paraId="761827BD" w14:textId="40970CC3" w:rsidR="00F4619C" w:rsidRPr="0015597A" w:rsidRDefault="008677C3" w:rsidP="008677C3">
            <w:pPr>
              <w:spacing w:after="120" w:line="276" w:lineRule="auto"/>
              <w:jc w:val="both"/>
              <w:rPr>
                <w:rFonts w:ascii="Verdana" w:hAnsi="Verdana" w:cs="Calibri"/>
                <w:color w:val="000000"/>
                <w:shd w:val="clear" w:color="auto" w:fill="FFFFFF"/>
              </w:rPr>
            </w:pPr>
            <w:r>
              <w:rPr>
                <w:rFonts w:ascii="Verdana" w:eastAsia="Century Gothic" w:hAnsi="Verdana" w:cs="Century Gothic"/>
              </w:rPr>
              <w:t xml:space="preserve">Sin perjuicio de lo anterior, en virtud de lo establecido en el artículo 23 de la Ley 2069 de 2020, las entidades sin ánimo de lucro que pertenecen a la economía solidaria si pueden acceder a estos puntajes, siempre que se ubiquen dentro del segmento de </w:t>
            </w:r>
            <w:proofErr w:type="spellStart"/>
            <w:r>
              <w:rPr>
                <w:rFonts w:ascii="Verdana" w:eastAsia="Century Gothic" w:hAnsi="Verdana" w:cs="Century Gothic"/>
              </w:rPr>
              <w:t>Mipymes</w:t>
            </w:r>
            <w:proofErr w:type="spellEnd"/>
            <w:r>
              <w:rPr>
                <w:rFonts w:ascii="Verdana" w:eastAsia="Century Gothic" w:hAnsi="Verdana" w:cs="Century Gothic"/>
              </w:rPr>
              <w:t xml:space="preserve"> de acuerdo con el artículo </w:t>
            </w:r>
            <w:r w:rsidRPr="007E2DF6">
              <w:rPr>
                <w:rFonts w:ascii="Verdana" w:hAnsi="Verdana" w:cs="Arial"/>
                <w:lang w:val="es-ES_tradnl"/>
              </w:rPr>
              <w:t>2.2.1.13.2.2</w:t>
            </w:r>
            <w:r>
              <w:rPr>
                <w:rFonts w:ascii="Verdana" w:hAnsi="Verdana" w:cs="Arial"/>
                <w:lang w:val="es-ES_tradnl"/>
              </w:rPr>
              <w:t xml:space="preserve"> del Decreto 1074 de 2015.</w:t>
            </w:r>
          </w:p>
        </w:tc>
      </w:tr>
    </w:tbl>
    <w:p w14:paraId="403B6EC2" w14:textId="77777777" w:rsidR="00F4619C" w:rsidRPr="00593A5F" w:rsidRDefault="00F4619C" w:rsidP="00F4619C">
      <w:pPr>
        <w:tabs>
          <w:tab w:val="left" w:pos="142"/>
          <w:tab w:val="left" w:pos="284"/>
        </w:tabs>
        <w:spacing w:after="0" w:line="276" w:lineRule="auto"/>
        <w:jc w:val="both"/>
        <w:rPr>
          <w:rFonts w:ascii="Verdana" w:eastAsia="Century Gothic" w:hAnsi="Verdana" w:cs="Century Gothic"/>
          <w:b/>
          <w:bCs/>
          <w:lang w:val="es-ES"/>
        </w:rPr>
      </w:pPr>
    </w:p>
    <w:p w14:paraId="4314EAA2" w14:textId="77777777" w:rsidR="00F4619C" w:rsidRPr="00593A5F" w:rsidRDefault="00F4619C" w:rsidP="00F461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lastRenderedPageBreak/>
        <w:t>Razones de la respuesta:</w:t>
      </w:r>
    </w:p>
    <w:p w14:paraId="147A20BF" w14:textId="77777777" w:rsidR="00F4619C" w:rsidRPr="00593A5F" w:rsidRDefault="00F4619C" w:rsidP="00F4619C">
      <w:pPr>
        <w:spacing w:after="0" w:line="276" w:lineRule="auto"/>
        <w:jc w:val="both"/>
        <w:rPr>
          <w:rFonts w:ascii="Verdana" w:eastAsia="Calibri" w:hAnsi="Verdana" w:cs="Arial"/>
          <w:color w:val="7030A0"/>
          <w:lang w:val="es-ES"/>
        </w:rPr>
      </w:pPr>
    </w:p>
    <w:p w14:paraId="2C46F556" w14:textId="77777777" w:rsidR="00F4619C" w:rsidRDefault="00F4619C" w:rsidP="00F4619C">
      <w:pPr>
        <w:spacing w:after="0" w:line="276" w:lineRule="auto"/>
        <w:jc w:val="both"/>
        <w:rPr>
          <w:rFonts w:ascii="Verdana" w:eastAsia="Calibri" w:hAnsi="Verdana" w:cs="Arial"/>
          <w:lang w:val="es-ES"/>
        </w:rPr>
      </w:pPr>
      <w:r w:rsidRPr="00FB372A">
        <w:rPr>
          <w:rFonts w:ascii="Verdana" w:eastAsia="Calibri" w:hAnsi="Verdana" w:cs="Arial"/>
          <w:lang w:val="es-ES"/>
        </w:rPr>
        <w:t>Lo anterior se sustenta en las siguientes consideraciones:</w:t>
      </w:r>
    </w:p>
    <w:p w14:paraId="52B5494D" w14:textId="372B4A56" w:rsidR="00F4619C" w:rsidRDefault="00F4619C" w:rsidP="008677C3">
      <w:pPr>
        <w:spacing w:after="120" w:line="276" w:lineRule="auto"/>
        <w:jc w:val="both"/>
        <w:rPr>
          <w:rFonts w:ascii="Verdana" w:eastAsia="Calibri" w:hAnsi="Verdana" w:cs="Arial"/>
          <w:lang w:val="es-ES"/>
        </w:rPr>
      </w:pPr>
    </w:p>
    <w:p w14:paraId="7BEF2211" w14:textId="77777777" w:rsidR="00855608" w:rsidRPr="0040650F" w:rsidRDefault="00855608" w:rsidP="0040650F">
      <w:pPr>
        <w:spacing w:after="120" w:line="276" w:lineRule="auto"/>
        <w:jc w:val="both"/>
        <w:rPr>
          <w:rFonts w:ascii="Verdana" w:hAnsi="Verdana"/>
        </w:rPr>
      </w:pPr>
      <w:r w:rsidRPr="0040650F">
        <w:rPr>
          <w:rFonts w:ascii="Verdana" w:hAnsi="Verdana"/>
        </w:rPr>
        <w:t>El 31 de diciembre de 2020 se promulgó la Ley 2069, “</w:t>
      </w:r>
      <w:r w:rsidRPr="0040650F">
        <w:rPr>
          <w:rFonts w:ascii="Verdana" w:hAnsi="Verdana"/>
          <w:i/>
          <w:iCs/>
        </w:rPr>
        <w:t>Por medio de la cual se impulsa el emprendimiento en Colombia</w:t>
      </w:r>
      <w:r w:rsidRPr="0040650F">
        <w:rPr>
          <w:rFonts w:ascii="Verdana" w:hAnsi="Verdana"/>
        </w:rPr>
        <w:t>”.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40650F">
        <w:rPr>
          <w:rFonts w:ascii="Verdana" w:hAnsi="Verdana" w:cs="Arial"/>
          <w:lang w:val="es-ES"/>
        </w:rPr>
        <w:t>Mipymes</w:t>
      </w:r>
      <w:proofErr w:type="spellEnd"/>
      <w:r w:rsidRPr="0040650F">
        <w:rPr>
          <w:rFonts w:ascii="Verdana" w:hAnsi="Verdana"/>
        </w:rPr>
        <w:t xml:space="preserve"> –, mediante la racionalización y simplificación de los trámites y tarifas</w:t>
      </w:r>
      <w:r w:rsidRPr="0040650F">
        <w:rPr>
          <w:rStyle w:val="Refdenotaalpie"/>
          <w:rFonts w:ascii="Verdana" w:hAnsi="Verdana"/>
        </w:rPr>
        <w:footnoteReference w:id="1"/>
      </w:r>
      <w:r w:rsidRPr="0040650F">
        <w:rPr>
          <w:rFonts w:ascii="Verdana" w:hAnsi="Verdana"/>
        </w:rPr>
        <w:t xml:space="preserve"> , así como incentivos a favor de aquellas dentro del sistema de compras y contratación pública</w:t>
      </w:r>
      <w:r w:rsidRPr="0040650F">
        <w:rPr>
          <w:rStyle w:val="Refdenotaalpie"/>
          <w:rFonts w:ascii="Verdana" w:hAnsi="Verdana"/>
        </w:rPr>
        <w:footnoteReference w:id="2"/>
      </w:r>
      <w:r w:rsidRPr="0040650F">
        <w:rPr>
          <w:rFonts w:ascii="Verdana" w:hAnsi="Verdana"/>
        </w:rPr>
        <w:t>.</w:t>
      </w:r>
    </w:p>
    <w:p w14:paraId="1FFADD17" w14:textId="77777777" w:rsidR="00855608" w:rsidRPr="0040650F" w:rsidRDefault="00855608" w:rsidP="0040650F">
      <w:pPr>
        <w:spacing w:after="120" w:line="276" w:lineRule="auto"/>
        <w:jc w:val="both"/>
        <w:rPr>
          <w:rFonts w:ascii="Verdana" w:hAnsi="Verdana"/>
        </w:rPr>
      </w:pPr>
      <w:r w:rsidRPr="0040650F">
        <w:rPr>
          <w:rFonts w:ascii="Verdana" w:hAnsi="Verdana"/>
        </w:rPr>
        <w:tab/>
        <w:t xml:space="preserve">En función de esta finalidad, el artículo 31 de la Ley 2069 de 2020 estableció que las entidades estatales de acuerdo con el análisis del sector deben implementar requisitos diferenciales y puntajes adicionales función del tamaño empresarial para la promoción del acceso de las </w:t>
      </w:r>
      <w:proofErr w:type="spellStart"/>
      <w:r w:rsidRPr="0040650F">
        <w:rPr>
          <w:rFonts w:ascii="Verdana" w:hAnsi="Verdana" w:cs="Arial"/>
          <w:lang w:val="es-ES"/>
        </w:rPr>
        <w:t>Mipyme</w:t>
      </w:r>
      <w:proofErr w:type="spellEnd"/>
      <w:r w:rsidRPr="0040650F">
        <w:rPr>
          <w:rFonts w:ascii="Verdana" w:hAnsi="Verdana"/>
        </w:rPr>
        <w:t xml:space="preserve"> al mercado de Compras Públicas. La aplicación de estos criterios, por disposición expresa del referido artículo, quedó condicionada por la expedición de su reglamentación. </w:t>
      </w:r>
    </w:p>
    <w:p w14:paraId="76007905" w14:textId="77777777" w:rsidR="00855608" w:rsidRPr="0040650F" w:rsidRDefault="00855608" w:rsidP="0040650F">
      <w:pPr>
        <w:spacing w:after="120" w:line="276" w:lineRule="auto"/>
        <w:jc w:val="both"/>
        <w:rPr>
          <w:rFonts w:ascii="Verdana" w:eastAsia="Arial" w:hAnsi="Verdana" w:cs="Arial"/>
          <w:lang w:eastAsia="es-MX"/>
        </w:rPr>
      </w:pPr>
      <w:r w:rsidRPr="0040650F">
        <w:rPr>
          <w:rFonts w:ascii="Verdana" w:hAnsi="Verdana"/>
        </w:rPr>
        <w:t xml:space="preserve"> </w:t>
      </w:r>
      <w:r w:rsidRPr="0040650F">
        <w:rPr>
          <w:rFonts w:ascii="Verdana" w:hAnsi="Verdana"/>
        </w:rPr>
        <w:tab/>
      </w:r>
      <w:r w:rsidRPr="0040650F">
        <w:rPr>
          <w:rFonts w:ascii="Verdana" w:eastAsia="Times New Roman" w:hAnsi="Verdana" w:cs="Arial"/>
          <w:color w:val="000000" w:themeColor="text1"/>
          <w:lang w:eastAsia="es-MX"/>
        </w:rPr>
        <w:t xml:space="preserve">El artículo 3 del Decreto 1860 de 2021, adicionó </w:t>
      </w:r>
      <w:r w:rsidRPr="0040650F">
        <w:rPr>
          <w:rFonts w:ascii="Verdana" w:eastAsia="Times New Roman" w:hAnsi="Verdana" w:cs="Arial"/>
          <w:bCs/>
          <w:color w:val="000000" w:themeColor="text1"/>
          <w:lang w:eastAsia="es-MX"/>
        </w:rPr>
        <w:t xml:space="preserve">el artículo 2.2.1.2.4.2.18 al </w:t>
      </w:r>
      <w:r w:rsidRPr="0040650F">
        <w:rPr>
          <w:rFonts w:ascii="Verdana" w:eastAsia="Times New Roman" w:hAnsi="Verdana" w:cs="Arial"/>
          <w:lang w:eastAsia="es-MX"/>
        </w:rPr>
        <w:t xml:space="preserve">Decreto 1082 de 2015 regulando los criterios diferenciales para </w:t>
      </w:r>
      <w:proofErr w:type="spellStart"/>
      <w:r w:rsidRPr="0040650F">
        <w:rPr>
          <w:rFonts w:ascii="Verdana" w:eastAsia="Times New Roman" w:hAnsi="Verdana" w:cs="Arial"/>
          <w:lang w:eastAsia="es-MX"/>
        </w:rPr>
        <w:t>Mipyme</w:t>
      </w:r>
      <w:proofErr w:type="spellEnd"/>
      <w:r w:rsidRPr="0040650F">
        <w:rPr>
          <w:rFonts w:ascii="Verdana" w:eastAsia="Times New Roman" w:hAnsi="Verdana" w:cs="Arial"/>
          <w:lang w:eastAsia="es-MX"/>
        </w:rPr>
        <w:t xml:space="preserve"> establecidos por el artículo 31 de la Ley 2069 de 2020. En virtud de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40650F">
        <w:rPr>
          <w:rFonts w:ascii="Verdana" w:eastAsia="Times New Roman" w:hAnsi="Verdana" w:cs="Arial"/>
          <w:lang w:eastAsia="es-MX"/>
        </w:rPr>
        <w:t>Mipyme</w:t>
      </w:r>
      <w:proofErr w:type="spellEnd"/>
      <w:r w:rsidRPr="0040650F">
        <w:rPr>
          <w:rFonts w:ascii="Verdana" w:eastAsia="Times New Roman" w:hAnsi="Verdana" w:cs="Arial"/>
          <w:lang w:eastAsia="es-MX"/>
        </w:rPr>
        <w:t xml:space="preserve"> domiciliadas en Colombia. </w:t>
      </w:r>
    </w:p>
    <w:p w14:paraId="0B2FA177" w14:textId="77777777" w:rsidR="00855608" w:rsidRPr="0040650F" w:rsidRDefault="00855608" w:rsidP="0040650F">
      <w:pPr>
        <w:spacing w:after="120" w:line="276" w:lineRule="auto"/>
        <w:jc w:val="both"/>
        <w:rPr>
          <w:rFonts w:ascii="Verdana" w:eastAsia="Times New Roman" w:hAnsi="Verdana" w:cs="Arial"/>
          <w:color w:val="000000" w:themeColor="text1"/>
          <w:lang w:eastAsia="es-MX"/>
        </w:rPr>
      </w:pPr>
      <w:r w:rsidRPr="0040650F">
        <w:rPr>
          <w:rFonts w:ascii="Verdana" w:eastAsia="Arial" w:hAnsi="Verdana" w:cs="Arial"/>
          <w:lang w:eastAsia="es-MX"/>
        </w:rPr>
        <w:tab/>
      </w:r>
      <w:r w:rsidRPr="0040650F">
        <w:rPr>
          <w:rFonts w:ascii="Verdana" w:eastAsia="Times New Roman" w:hAnsi="Verdana" w:cs="Arial"/>
          <w:lang w:eastAsia="es-MX"/>
        </w:rPr>
        <w:t xml:space="preserve">Estos criterios en favor de las </w:t>
      </w:r>
      <w:proofErr w:type="spellStart"/>
      <w:r w:rsidRPr="0040650F">
        <w:rPr>
          <w:rFonts w:ascii="Verdana" w:eastAsia="Times New Roman" w:hAnsi="Verdana" w:cs="Arial"/>
          <w:lang w:eastAsia="es-MX"/>
        </w:rPr>
        <w:t>Mipyme</w:t>
      </w:r>
      <w:proofErr w:type="spellEnd"/>
      <w:r w:rsidRPr="0040650F">
        <w:rPr>
          <w:rFonts w:ascii="Verdana" w:eastAsia="Times New Roman" w:hAnsi="Verdana" w:cs="Arial"/>
          <w:lang w:eastAsia="es-MX"/>
        </w:rPr>
        <w:t xml:space="preserve"> buscan reducir las asimetrías entre estas y las grandes empresas para vincularse como proveedoras al mercado de compras públicas y, en consecuencia, promover y facilitar la participación en los procedimientos de selección competitivos de las </w:t>
      </w:r>
      <w:proofErr w:type="spellStart"/>
      <w:r w:rsidRPr="0040650F">
        <w:rPr>
          <w:rFonts w:ascii="Verdana" w:eastAsia="Times New Roman" w:hAnsi="Verdana" w:cs="Arial"/>
          <w:lang w:eastAsia="es-MX"/>
        </w:rPr>
        <w:t>Mipyme</w:t>
      </w:r>
      <w:proofErr w:type="spellEnd"/>
      <w:r w:rsidRPr="0040650F">
        <w:rPr>
          <w:rFonts w:ascii="Verdana" w:eastAsia="Times New Roman" w:hAnsi="Verdana" w:cs="Arial"/>
          <w:lang w:eastAsia="es-MX"/>
        </w:rPr>
        <w:t xml:space="preserve"> domiciliadas en </w:t>
      </w:r>
      <w:r w:rsidRPr="0040650F">
        <w:rPr>
          <w:rFonts w:ascii="Verdana" w:eastAsia="Times New Roman" w:hAnsi="Verdana" w:cs="Arial"/>
          <w:lang w:eastAsia="es-MX"/>
        </w:rPr>
        <w:lastRenderedPageBreak/>
        <w:t xml:space="preserve">Colombia. Para estos efectos, el artículo 2.2.1.2.4.2.18 del Decreto 1082 de 2015 estableció que, según los resultados del análisis del sector, en función de los criterios de clasificación empresarial, los documentos del proceso deberán incorporar </w:t>
      </w:r>
      <w:r w:rsidRPr="0040650F">
        <w:rPr>
          <w:rFonts w:ascii="Verdana" w:eastAsia="Times New Roman" w:hAnsi="Verdana" w:cs="Arial"/>
          <w:color w:val="000000" w:themeColor="text1"/>
          <w:lang w:eastAsia="es-MX"/>
        </w:rPr>
        <w:t xml:space="preserve">requisitos habilitantes diferenciales relacionados con alguno o algunos de los siguientes aspectos: i) tiempo de experiencia, </w:t>
      </w:r>
      <w:proofErr w:type="spellStart"/>
      <w:r w:rsidRPr="0040650F">
        <w:rPr>
          <w:rFonts w:ascii="Verdana" w:eastAsia="Times New Roman" w:hAnsi="Verdana" w:cs="Arial"/>
          <w:color w:val="000000" w:themeColor="text1"/>
          <w:lang w:eastAsia="es-MX"/>
        </w:rPr>
        <w:t>ii</w:t>
      </w:r>
      <w:proofErr w:type="spellEnd"/>
      <w:r w:rsidRPr="0040650F">
        <w:rPr>
          <w:rFonts w:ascii="Verdana" w:eastAsia="Times New Roman" w:hAnsi="Verdana" w:cs="Arial"/>
          <w:color w:val="000000" w:themeColor="text1"/>
          <w:lang w:eastAsia="es-MX"/>
        </w:rPr>
        <w:t xml:space="preserve">) número de contratos para la acreditación de la experiencia, </w:t>
      </w:r>
      <w:proofErr w:type="spellStart"/>
      <w:r w:rsidRPr="0040650F">
        <w:rPr>
          <w:rFonts w:ascii="Verdana" w:eastAsia="Times New Roman" w:hAnsi="Verdana" w:cs="Arial"/>
          <w:color w:val="000000" w:themeColor="text1"/>
          <w:lang w:eastAsia="es-MX"/>
        </w:rPr>
        <w:t>iii</w:t>
      </w:r>
      <w:proofErr w:type="spellEnd"/>
      <w:r w:rsidRPr="0040650F">
        <w:rPr>
          <w:rFonts w:ascii="Verdana" w:eastAsia="Times New Roman" w:hAnsi="Verdana" w:cs="Arial"/>
          <w:color w:val="000000" w:themeColor="text1"/>
          <w:lang w:eastAsia="es-MX"/>
        </w:rPr>
        <w:t xml:space="preserve">) índices de capacidad financiera, </w:t>
      </w:r>
      <w:proofErr w:type="spellStart"/>
      <w:r w:rsidRPr="0040650F">
        <w:rPr>
          <w:rFonts w:ascii="Verdana" w:eastAsia="Times New Roman" w:hAnsi="Verdana" w:cs="Arial"/>
          <w:color w:val="000000" w:themeColor="text1"/>
          <w:lang w:eastAsia="es-MX"/>
        </w:rPr>
        <w:t>iv</w:t>
      </w:r>
      <w:proofErr w:type="spellEnd"/>
      <w:r w:rsidRPr="0040650F">
        <w:rPr>
          <w:rFonts w:ascii="Verdana" w:eastAsia="Times New Roman" w:hAnsi="Verdana" w:cs="Arial"/>
          <w:color w:val="000000" w:themeColor="text1"/>
          <w:lang w:eastAsia="es-MX"/>
        </w:rPr>
        <w:t>) índices de capacidad organizacional y v) valor de la garantía de seriedad de la oferta.</w:t>
      </w:r>
    </w:p>
    <w:p w14:paraId="3D521465" w14:textId="77777777" w:rsidR="00855608" w:rsidRPr="0040650F" w:rsidRDefault="00855608" w:rsidP="0040650F">
      <w:pPr>
        <w:spacing w:after="120" w:line="276" w:lineRule="auto"/>
        <w:ind w:firstLine="709"/>
        <w:jc w:val="both"/>
        <w:rPr>
          <w:rFonts w:ascii="Verdana" w:eastAsia="Times New Roman" w:hAnsi="Verdana" w:cs="Arial"/>
          <w:color w:val="000000" w:themeColor="text1"/>
          <w:lang w:eastAsia="es-MX"/>
        </w:rPr>
      </w:pPr>
      <w:r w:rsidRPr="0040650F">
        <w:rPr>
          <w:rFonts w:ascii="Verdana" w:eastAsia="Times New Roman" w:hAnsi="Verdana" w:cs="Arial"/>
          <w:color w:val="000000" w:themeColor="text1"/>
          <w:lang w:eastAsia="es-MX"/>
        </w:rPr>
        <w:t xml:space="preserve">Lo anterior significa que para la determinación de los criterios diferenciales para </w:t>
      </w:r>
      <w:proofErr w:type="spellStart"/>
      <w:r w:rsidRPr="0040650F">
        <w:rPr>
          <w:rFonts w:ascii="Verdana" w:eastAsia="Times New Roman" w:hAnsi="Verdana" w:cs="Arial"/>
          <w:color w:val="000000" w:themeColor="text1"/>
          <w:lang w:eastAsia="es-MX"/>
        </w:rPr>
        <w:t>Mipyme</w:t>
      </w:r>
      <w:proofErr w:type="spellEnd"/>
      <w:r w:rsidRPr="0040650F">
        <w:rPr>
          <w:rFonts w:ascii="Verdana" w:eastAsia="Times New Roman" w:hAnsi="Verdana" w:cs="Arial"/>
          <w:color w:val="000000" w:themeColor="text1"/>
          <w:lang w:eastAsia="es-MX"/>
        </w:rPr>
        <w:t xml:space="preserve">, las entidades podrán escoger uno o algunos de estos requisitos habilitantes, los cuales deberán fijarse respetando las condiciones habilitantes requeridas para el cumplimiento adecuado del contrato. En tal sentido, se establecerán condiciones más exigentes respecto a alguno o algunos de los criterios de participación antes enunciados frente a los demás proponentes que concurran al procedimiento de selección que no sean </w:t>
      </w:r>
      <w:proofErr w:type="spellStart"/>
      <w:r w:rsidRPr="0040650F">
        <w:rPr>
          <w:rFonts w:ascii="Verdana" w:eastAsia="Times New Roman" w:hAnsi="Verdana" w:cs="Arial"/>
          <w:color w:val="000000" w:themeColor="text1"/>
          <w:lang w:eastAsia="es-MX"/>
        </w:rPr>
        <w:t>Mipyme</w:t>
      </w:r>
      <w:proofErr w:type="spellEnd"/>
      <w:r w:rsidRPr="0040650F">
        <w:rPr>
          <w:rFonts w:ascii="Verdana" w:eastAsia="Times New Roman" w:hAnsi="Verdana" w:cs="Arial"/>
          <w:color w:val="000000" w:themeColor="text1"/>
          <w:lang w:eastAsia="es-MX"/>
        </w:rPr>
        <w:t>.</w:t>
      </w:r>
    </w:p>
    <w:p w14:paraId="10E52915" w14:textId="77777777" w:rsidR="00855608" w:rsidRPr="0040650F" w:rsidRDefault="00855608" w:rsidP="0040650F">
      <w:pPr>
        <w:spacing w:after="120" w:line="276" w:lineRule="auto"/>
        <w:ind w:firstLine="708"/>
        <w:jc w:val="both"/>
        <w:rPr>
          <w:rFonts w:ascii="Verdana" w:eastAsia="Times New Roman" w:hAnsi="Verdana" w:cs="Arial"/>
          <w:color w:val="000000" w:themeColor="text1"/>
          <w:lang w:eastAsia="es-MX"/>
        </w:rPr>
      </w:pPr>
      <w:r w:rsidRPr="0040650F">
        <w:rPr>
          <w:rFonts w:ascii="Verdana" w:eastAsia="Times New Roman" w:hAnsi="Verdana" w:cs="Arial"/>
          <w:lang w:eastAsia="es-MX"/>
        </w:rPr>
        <w:t>Asimismo, el decreto dispone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 Como se observa, se estableció un porcentaje techo para el respectivo puntaje adicional, lo que significa que las entidades pueden otorgar el puntaje máximo de hasta el cero punto veinticinco por ciento (0.25%) del valor total de los puntos establecidos o un puntaje menor; e</w:t>
      </w:r>
      <w:r w:rsidRPr="0040650F">
        <w:rPr>
          <w:rFonts w:ascii="Verdana" w:eastAsia="Times New Roman" w:hAnsi="Verdana" w:cs="Arial"/>
          <w:color w:val="000000" w:themeColor="text1"/>
          <w:lang w:eastAsia="es-MX"/>
        </w:rPr>
        <w:t xml:space="preserve">sto con el objeto de que la aplicación del incentivo no vaya en desmedro de la escogencia de la oferta más favorable para la entidad, conforme el deber de selección objetiva exige, por lo que el reglamento estimó como adecuado el porcentaje señalado. </w:t>
      </w:r>
    </w:p>
    <w:p w14:paraId="22EDAD17" w14:textId="77777777" w:rsidR="00855608" w:rsidRPr="0040650F" w:rsidRDefault="00855608" w:rsidP="0040650F">
      <w:pPr>
        <w:spacing w:after="120" w:line="276" w:lineRule="auto"/>
        <w:ind w:firstLine="708"/>
        <w:jc w:val="both"/>
        <w:rPr>
          <w:rFonts w:ascii="Verdana" w:eastAsia="Times New Roman" w:hAnsi="Verdana" w:cs="Arial"/>
          <w:color w:val="000000" w:themeColor="text1"/>
          <w:lang w:eastAsia="es-MX"/>
        </w:rPr>
      </w:pPr>
      <w:r w:rsidRPr="0040650F">
        <w:rPr>
          <w:rFonts w:ascii="Verdana" w:eastAsia="Times New Roman" w:hAnsi="Verdana" w:cs="Arial"/>
          <w:lang w:eastAsia="es-MX"/>
        </w:rPr>
        <w:t xml:space="preserve">En lo relativo a la aplicación de los criterios diferenciales y puntajes adicionales para proponentes plurales solo se aplicarán si por lo menos uno de los integrantes acredita la calidad de </w:t>
      </w:r>
      <w:proofErr w:type="spellStart"/>
      <w:r w:rsidRPr="0040650F">
        <w:rPr>
          <w:rFonts w:ascii="Verdana" w:eastAsia="Times New Roman" w:hAnsi="Verdana" w:cs="Arial"/>
          <w:lang w:eastAsia="es-MX"/>
        </w:rPr>
        <w:t>Mipyme</w:t>
      </w:r>
      <w:proofErr w:type="spellEnd"/>
      <w:r w:rsidRPr="0040650F">
        <w:rPr>
          <w:rFonts w:ascii="Verdana" w:eastAsia="Times New Roman" w:hAnsi="Verdana" w:cs="Arial"/>
          <w:lang w:eastAsia="es-MX"/>
        </w:rPr>
        <w:t xml:space="preserve"> y tiene una participación igual o superior al diez por ciento (10%) en el consorcio o en la unión temporal. Así mismo, de conformidad con el parágrafo 3 del artículo 2.2.1.2.4.2.18 del Decreto 1082 de 2015 los criterios diferenciales y puntajes adicionales en favor de las micro, pequeñas y medianas empresas no</w:t>
      </w:r>
      <w:r w:rsidRPr="0040650F">
        <w:rPr>
          <w:rFonts w:ascii="Verdana" w:eastAsia="Times New Roman" w:hAnsi="Verdana" w:cs="Arial"/>
          <w:color w:val="000000" w:themeColor="text1"/>
          <w:lang w:eastAsia="es-MX"/>
        </w:rPr>
        <w:t xml:space="preserve"> se aplicarán cuando se limiten las </w:t>
      </w:r>
      <w:r w:rsidRPr="0040650F">
        <w:rPr>
          <w:rFonts w:ascii="Verdana" w:eastAsia="Times New Roman" w:hAnsi="Verdana" w:cs="Arial"/>
          <w:color w:val="000000" w:themeColor="text1"/>
          <w:lang w:eastAsia="es-MX"/>
        </w:rPr>
        <w:lastRenderedPageBreak/>
        <w:t xml:space="preserve">convocatorias a </w:t>
      </w:r>
      <w:proofErr w:type="spellStart"/>
      <w:r w:rsidRPr="0040650F">
        <w:rPr>
          <w:rFonts w:ascii="Verdana" w:hAnsi="Verdana" w:cs="Arial"/>
          <w:lang w:val="es-ES"/>
        </w:rPr>
        <w:t>Mipyme</w:t>
      </w:r>
      <w:proofErr w:type="spellEnd"/>
      <w:r w:rsidRPr="0040650F">
        <w:rPr>
          <w:rFonts w:ascii="Verdana" w:eastAsia="Times New Roman" w:hAnsi="Verdana" w:cs="Arial"/>
          <w:color w:val="000000" w:themeColor="text1"/>
          <w:lang w:eastAsia="es-MX"/>
        </w:rPr>
        <w:t xml:space="preserve"> en los términos de los artículos 2.2.1.2.4.2.2 y 2.2.1.2.4.2.3 del Decreto 1082 de 2015.</w:t>
      </w:r>
    </w:p>
    <w:p w14:paraId="12CFA2AE" w14:textId="131604C1" w:rsidR="008677C3" w:rsidRPr="0040650F" w:rsidRDefault="00855608" w:rsidP="0040650F">
      <w:pPr>
        <w:spacing w:after="120" w:line="276" w:lineRule="auto"/>
        <w:ind w:firstLine="708"/>
        <w:jc w:val="both"/>
        <w:rPr>
          <w:rFonts w:ascii="Verdana" w:hAnsi="Verdana" w:cs="Arial"/>
          <w:lang w:val="es-ES_tradnl"/>
        </w:rPr>
      </w:pPr>
      <w:r w:rsidRPr="0040650F">
        <w:rPr>
          <w:rFonts w:ascii="Verdana" w:hAnsi="Verdana" w:cs="Arial"/>
          <w:lang w:val="es-ES_tradnl"/>
        </w:rPr>
        <w:t xml:space="preserve">Ahora bien, en la medida en que el puntaje regulado por el artículo </w:t>
      </w:r>
      <w:r w:rsidRPr="0040650F">
        <w:rPr>
          <w:rFonts w:ascii="Verdana" w:eastAsia="Times New Roman" w:hAnsi="Verdana" w:cs="Arial"/>
          <w:bCs/>
          <w:color w:val="000000" w:themeColor="text1"/>
          <w:lang w:eastAsia="es-MX"/>
        </w:rPr>
        <w:t xml:space="preserve">2.2.1.2.4.2.18 del Decreto 1082 de 2015, solo resulta aplicable a las </w:t>
      </w:r>
      <w:proofErr w:type="spellStart"/>
      <w:r w:rsidRPr="0040650F">
        <w:rPr>
          <w:rFonts w:ascii="Verdana" w:hAnsi="Verdana" w:cs="Arial"/>
          <w:lang w:val="es-ES"/>
        </w:rPr>
        <w:t>Mipymes</w:t>
      </w:r>
      <w:proofErr w:type="spellEnd"/>
      <w:r w:rsidRPr="0040650F">
        <w:rPr>
          <w:rFonts w:ascii="Verdana" w:eastAsia="Times New Roman" w:hAnsi="Verdana" w:cs="Arial"/>
          <w:bCs/>
          <w:color w:val="000000" w:themeColor="text1"/>
          <w:lang w:eastAsia="es-MX"/>
        </w:rPr>
        <w:t xml:space="preserve">, la posibilidad de que una ESAL acceda al mismo dependerá de que esta pueda ser considerada una </w:t>
      </w:r>
      <w:proofErr w:type="spellStart"/>
      <w:r w:rsidRPr="0040650F">
        <w:rPr>
          <w:rFonts w:ascii="Verdana" w:hAnsi="Verdana" w:cs="Arial"/>
          <w:lang w:val="es-ES"/>
        </w:rPr>
        <w:t>Mipyme</w:t>
      </w:r>
      <w:proofErr w:type="spellEnd"/>
      <w:r w:rsidRPr="0040650F">
        <w:rPr>
          <w:rFonts w:ascii="Verdana" w:eastAsia="Times New Roman" w:hAnsi="Verdana" w:cs="Arial"/>
          <w:bCs/>
          <w:color w:val="000000" w:themeColor="text1"/>
          <w:lang w:eastAsia="es-MX"/>
        </w:rPr>
        <w:t>, calidad que está ligada al desarrollo de actividad empresarial.  Al respecto, resulta pertinente traer a colación el</w:t>
      </w:r>
      <w:r w:rsidRPr="0040650F">
        <w:rPr>
          <w:rFonts w:ascii="Verdana" w:hAnsi="Verdana" w:cs="Arial"/>
          <w:lang w:val="es-ES_tradnl"/>
        </w:rPr>
        <w:t xml:space="preserve"> artículo 43 de la Ley 1450 de 2011 que modificó el artículo 2 de la Ley 590 de 2000, el cual define la empresa como toda unidad de explotación económica que realiza una persona natural o jurídica en actividades agropecuarias, industriales, comerciales o de servicios</w:t>
      </w:r>
      <w:r w:rsidRPr="0040650F">
        <w:rPr>
          <w:rStyle w:val="Refdenotaalpie"/>
          <w:rFonts w:ascii="Verdana" w:hAnsi="Verdana" w:cs="Arial"/>
          <w:lang w:val="es-ES_tradnl"/>
        </w:rPr>
        <w:footnoteReference w:id="3"/>
      </w:r>
      <w:r w:rsidRPr="0040650F">
        <w:rPr>
          <w:rFonts w:ascii="Verdana" w:hAnsi="Verdana" w:cs="Arial"/>
          <w:lang w:val="es-ES_tradnl"/>
        </w:rPr>
        <w:t>. Además, establece que estas se clasifican en micro, pequeña, mediana y gran empresa, de acuerdo con los criterios del número de trabajadores totales, el valor de ventas brutales anuales y el valor de activos totales. Ahora bien, el artículo 2.2.1.13.2.2. del Decreto 1074 de 2015, adicionado por el Decreto 957 de 2019, establece que:</w:t>
      </w:r>
    </w:p>
    <w:p w14:paraId="4C090F14" w14:textId="77777777" w:rsidR="00855608" w:rsidRPr="0040650F" w:rsidRDefault="00855608" w:rsidP="0040650F">
      <w:pPr>
        <w:spacing w:after="120" w:line="276" w:lineRule="auto"/>
        <w:ind w:firstLine="708"/>
        <w:jc w:val="both"/>
        <w:rPr>
          <w:rFonts w:ascii="Verdana" w:hAnsi="Verdana" w:cs="Arial"/>
          <w:lang w:val="es-ES_tradnl"/>
        </w:rPr>
      </w:pPr>
      <w:r w:rsidRPr="0040650F">
        <w:rPr>
          <w:rFonts w:ascii="Verdana" w:hAnsi="Verdana" w:cs="Arial"/>
          <w:lang w:val="es-ES_tradnl"/>
        </w:rPr>
        <w:t>i)La microempresa en el sector manufacturero, es “aquella cuyos ingresos por actividades ordinarias anuales sean inferiores o iguales a veintitrés mil quinientos sesenta y tres Unidades de Valor Tributario (23.563 UVT)”, en el sector servicios, la que sus “ingresos por actividades ordinarias anuales sean inferiores o iguales a treinta y dos mil novecientos ochenta y ocho Unidades de Valor Tributario (32.988 UVT)”, y en el sector comercio, la que sus “ingresos por actividades ordinarias anuales sean inferiores o iguales a cuarenta y cuatro mil setecientos sesenta y nueve Unidades de Valor Tributario (44.769 UVT)</w:t>
      </w:r>
    </w:p>
    <w:p w14:paraId="7DB4B694" w14:textId="77777777" w:rsidR="00EA7B31" w:rsidRPr="0040650F" w:rsidRDefault="00855608" w:rsidP="0040650F">
      <w:pPr>
        <w:spacing w:after="120" w:line="276" w:lineRule="auto"/>
        <w:ind w:firstLine="708"/>
        <w:jc w:val="both"/>
        <w:rPr>
          <w:rFonts w:ascii="Verdana" w:hAnsi="Verdana" w:cs="Arial"/>
          <w:lang w:val="es-ES"/>
        </w:rPr>
      </w:pPr>
      <w:proofErr w:type="spellStart"/>
      <w:r w:rsidRPr="0040650F">
        <w:rPr>
          <w:rFonts w:ascii="Verdana" w:hAnsi="Verdana" w:cs="Arial"/>
          <w:lang w:val="es-ES"/>
        </w:rPr>
        <w:t>ii</w:t>
      </w:r>
      <w:proofErr w:type="spellEnd"/>
      <w:r w:rsidRPr="0040650F">
        <w:rPr>
          <w:rFonts w:ascii="Verdana" w:hAnsi="Verdana" w:cs="Arial"/>
          <w:lang w:val="es-ES"/>
        </w:rPr>
        <w:t xml:space="preserve">)La pequeña empresa en el sector manufacturero, es aquella “cuyos ingresos por actividades ordinarias anuales sean superiores a veintitrés mil </w:t>
      </w:r>
      <w:r w:rsidRPr="0040650F">
        <w:rPr>
          <w:rFonts w:ascii="Verdana" w:hAnsi="Verdana" w:cs="Arial"/>
          <w:lang w:val="es-ES"/>
        </w:rPr>
        <w:lastRenderedPageBreak/>
        <w:t>quinientos sesenta y tres Unidades de Valor Tributario (23.563 UVT) e inferiores o iguales a doscientos cuatro mil novecientos  noventa y cinco Unidades de Valor Tributario (204.995 UVT)”; en el sector servicios, la que sus “ingresos por actividades ordinarias anuales sean superiores a treinta y dos mil novecientos ochenta y ocho Unidades de Valor Tributario (32.988 UVT) e inferiores o iguales a ciento treinta y un mil novecientos cincuenta y uno Unidades de Valor Tributario (131. 951 UVT)”; y en el sector comercio, la que sus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5C558F35" w14:textId="5AC975B0" w:rsidR="00855608" w:rsidRPr="0040650F" w:rsidRDefault="00855608" w:rsidP="0040650F">
      <w:pPr>
        <w:spacing w:after="120" w:line="276" w:lineRule="auto"/>
        <w:ind w:firstLine="708"/>
        <w:jc w:val="both"/>
        <w:rPr>
          <w:rFonts w:ascii="Verdana" w:hAnsi="Verdana" w:cs="Arial"/>
          <w:lang w:val="es-ES"/>
        </w:rPr>
      </w:pPr>
      <w:proofErr w:type="spellStart"/>
      <w:r w:rsidRPr="0040650F">
        <w:rPr>
          <w:rFonts w:ascii="Verdana" w:hAnsi="Verdana" w:cs="Arial"/>
          <w:lang w:val="es-ES"/>
        </w:rPr>
        <w:t>iii</w:t>
      </w:r>
      <w:proofErr w:type="spellEnd"/>
      <w:r w:rsidRPr="0040650F">
        <w:rPr>
          <w:rFonts w:ascii="Verdana" w:hAnsi="Verdana" w:cs="Arial"/>
          <w:lang w:val="es-ES"/>
        </w:rPr>
        <w:t>) La mediana empresa, en el sector manufacturero, es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 en el sector servicios, la que sus “ingresos por actividades ordinarias anuales sean superiores a ciento treinta y un mil novecientos cincuenta y un Unidades de Valor Tributario (131.951 UVT) e inferiores o iguales a cuatrocientos ochenta y tres mil treinta y cuatro Unidades de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r w:rsidRPr="0040650F">
        <w:rPr>
          <w:rStyle w:val="Refdenotaalpie"/>
          <w:rFonts w:ascii="Verdana" w:hAnsi="Verdana" w:cs="Arial"/>
          <w:lang w:val="es-ES"/>
        </w:rPr>
        <w:footnoteReference w:id="4"/>
      </w:r>
      <w:r w:rsidRPr="0040650F">
        <w:rPr>
          <w:rFonts w:ascii="Verdana" w:hAnsi="Verdana" w:cs="Arial"/>
          <w:lang w:val="es-ES"/>
        </w:rPr>
        <w:t>”.</w:t>
      </w:r>
    </w:p>
    <w:p w14:paraId="5963BF71" w14:textId="77777777" w:rsidR="00855608" w:rsidRPr="0040650F" w:rsidRDefault="00855608" w:rsidP="0040650F">
      <w:pPr>
        <w:spacing w:after="120" w:line="276" w:lineRule="auto"/>
        <w:ind w:firstLine="708"/>
        <w:jc w:val="both"/>
        <w:rPr>
          <w:rFonts w:ascii="Verdana" w:hAnsi="Verdana" w:cs="Arial"/>
          <w:lang w:val="es-ES"/>
        </w:rPr>
      </w:pPr>
      <w:r w:rsidRPr="0040650F">
        <w:rPr>
          <w:rFonts w:ascii="Verdana" w:hAnsi="Verdana" w:cs="Arial"/>
          <w:lang w:val="es-ES"/>
        </w:rPr>
        <w:t xml:space="preserve">En atención a lo dispuesto en el artículo el artículo 2 de la Ley 590 de 2000, modificado y lo reglamentado en el artículo </w:t>
      </w:r>
      <w:r w:rsidRPr="0040650F">
        <w:rPr>
          <w:rFonts w:ascii="Verdana" w:hAnsi="Verdana" w:cs="Arial"/>
          <w:lang w:val="es-ES_tradnl"/>
        </w:rPr>
        <w:t xml:space="preserve">artículo 2.2.1.13.2.2. del Decreto 1074 de 2015, </w:t>
      </w:r>
      <w:r w:rsidRPr="0040650F">
        <w:rPr>
          <w:rFonts w:ascii="Verdana" w:hAnsi="Verdana" w:cs="Arial"/>
          <w:lang w:val="es-ES"/>
        </w:rPr>
        <w:t xml:space="preserve">es claro que solo pueden ser consideradas </w:t>
      </w:r>
      <w:proofErr w:type="spellStart"/>
      <w:r w:rsidRPr="0040650F">
        <w:rPr>
          <w:rFonts w:ascii="Verdana" w:hAnsi="Verdana" w:cs="Arial"/>
          <w:lang w:val="es-ES"/>
        </w:rPr>
        <w:t>Mipymes</w:t>
      </w:r>
      <w:proofErr w:type="spellEnd"/>
      <w:r w:rsidRPr="0040650F">
        <w:rPr>
          <w:rFonts w:ascii="Verdana" w:hAnsi="Verdana" w:cs="Arial"/>
          <w:lang w:val="es-ES"/>
        </w:rPr>
        <w:t xml:space="preserve"> las empresas, entendidas estas como las unidades de explotación económica que buscan el reparto de utilidades entre los miembros de la empresa. De esta forma, en razón a que las ESAL no persiguen el reparto de utilidades entre sus miembros, en el entendido en que no tienen ánimo de lucro, y que su objeto está destinado a realizar actividades de interés general sin esperar a cambio un reparto de ganancia en proporción a sus utilidades, lo cierto es que estas no pueden acceder a los incentivos contractuales establecidos en favor de la </w:t>
      </w:r>
      <w:proofErr w:type="spellStart"/>
      <w:r w:rsidRPr="0040650F">
        <w:rPr>
          <w:rFonts w:ascii="Verdana" w:hAnsi="Verdana" w:cs="Arial"/>
          <w:lang w:val="es-ES"/>
        </w:rPr>
        <w:t>Mipymes</w:t>
      </w:r>
      <w:proofErr w:type="spellEnd"/>
      <w:r w:rsidRPr="0040650F">
        <w:rPr>
          <w:rFonts w:ascii="Verdana" w:hAnsi="Verdana" w:cs="Arial"/>
          <w:lang w:val="es-ES"/>
        </w:rPr>
        <w:t xml:space="preserve">, como, por ejemplo, el puntaje adicional establecido por el  </w:t>
      </w:r>
      <w:r w:rsidRPr="0040650F">
        <w:rPr>
          <w:rFonts w:ascii="Verdana" w:eastAsia="Times New Roman" w:hAnsi="Verdana" w:cs="Arial"/>
          <w:lang w:eastAsia="es-MX"/>
        </w:rPr>
        <w:t xml:space="preserve">artículo </w:t>
      </w:r>
      <w:r w:rsidRPr="0040650F">
        <w:rPr>
          <w:rFonts w:ascii="Verdana" w:eastAsia="Times New Roman" w:hAnsi="Verdana" w:cs="Arial"/>
          <w:lang w:eastAsia="es-MX"/>
        </w:rPr>
        <w:lastRenderedPageBreak/>
        <w:t xml:space="preserve">2.2.1.2.4.2.18 del Decreto 1082 de 2015. </w:t>
      </w:r>
      <w:r w:rsidRPr="0040650F">
        <w:rPr>
          <w:rFonts w:ascii="Verdana" w:hAnsi="Verdana" w:cs="Arial"/>
          <w:lang w:val="es-ES"/>
        </w:rPr>
        <w:t xml:space="preserve">Esto no significa que las ESAL no puedan participar en términos de igualdad con los demás oferentes, en los diferentes procesos contractuales que regula el Estatuto General de Contratación de la Administración Pública, salvo aquellos procesos contractuales limitados a </w:t>
      </w:r>
      <w:proofErr w:type="spellStart"/>
      <w:r w:rsidRPr="0040650F">
        <w:rPr>
          <w:rFonts w:ascii="Verdana" w:hAnsi="Verdana" w:cs="Arial"/>
          <w:lang w:val="es-ES"/>
        </w:rPr>
        <w:t>Mipymes</w:t>
      </w:r>
      <w:proofErr w:type="spellEnd"/>
      <w:r w:rsidRPr="0040650F">
        <w:rPr>
          <w:rFonts w:ascii="Verdana" w:hAnsi="Verdana" w:cs="Arial"/>
          <w:lang w:val="es-ES"/>
        </w:rPr>
        <w:t xml:space="preserve"> de conformidad con los artículos 2.2.1.2.4.2.2 y 2.2.1.2.4.2.3 del Decreto 1082 de 2015.</w:t>
      </w:r>
    </w:p>
    <w:p w14:paraId="4EC118D5" w14:textId="62B42E10" w:rsidR="00855608" w:rsidRPr="0040650F" w:rsidRDefault="00855608" w:rsidP="0040650F">
      <w:pPr>
        <w:spacing w:after="120" w:line="276" w:lineRule="auto"/>
        <w:ind w:firstLine="708"/>
        <w:jc w:val="both"/>
        <w:rPr>
          <w:rFonts w:ascii="Verdana" w:eastAsia="Times New Roman" w:hAnsi="Verdana" w:cs="Arial"/>
          <w:color w:val="000000" w:themeColor="text1"/>
          <w:lang w:eastAsia="es-MX"/>
        </w:rPr>
      </w:pPr>
      <w:r w:rsidRPr="0040650F">
        <w:rPr>
          <w:rFonts w:ascii="Verdana" w:hAnsi="Verdana"/>
          <w:lang w:val="es-ES"/>
        </w:rPr>
        <w:t xml:space="preserve">La anterior conclusión admite cierto matiz respecto de las entidades economía solidaria en virtud de lo establecido en el artículo 23 de la Ley 2069 de 2020. Dicha norma </w:t>
      </w:r>
      <w:r w:rsidRPr="0040650F">
        <w:rPr>
          <w:rFonts w:ascii="Verdana" w:eastAsia="Calibri" w:hAnsi="Verdana" w:cs="Arial"/>
          <w:color w:val="000000" w:themeColor="text1"/>
          <w:lang w:val="es-ES_tradnl"/>
        </w:rPr>
        <w:t xml:space="preserve">asimila a empresas a las </w:t>
      </w:r>
      <w:r w:rsidRPr="0040650F">
        <w:rPr>
          <w:rFonts w:ascii="Verdana" w:eastAsia="Calibri" w:hAnsi="Verdana" w:cs="Arial"/>
          <w:i/>
          <w:iCs/>
          <w:color w:val="000000" w:themeColor="text1"/>
          <w:lang w:val="es-ES_tradnl"/>
        </w:rPr>
        <w:t>entidades de economía solidaria</w:t>
      </w:r>
      <w:r w:rsidRPr="0040650F">
        <w:rPr>
          <w:rFonts w:ascii="Verdana" w:eastAsia="Calibri" w:hAnsi="Verdana" w:cs="Arial"/>
          <w:color w:val="000000" w:themeColor="text1"/>
          <w:lang w:val="es-ES_tradnl"/>
        </w:rPr>
        <w:t xml:space="preserve">, disponiendo además que estas deberán ser clasificadas como </w:t>
      </w:r>
      <w:proofErr w:type="spellStart"/>
      <w:r w:rsidRPr="0040650F">
        <w:rPr>
          <w:rFonts w:ascii="Verdana" w:eastAsia="Calibri" w:hAnsi="Verdana" w:cs="Arial"/>
          <w:color w:val="000000" w:themeColor="text1"/>
          <w:lang w:val="es-ES_tradnl"/>
        </w:rPr>
        <w:t>Mipymes</w:t>
      </w:r>
      <w:proofErr w:type="spellEnd"/>
      <w:r w:rsidRPr="0040650F">
        <w:rPr>
          <w:rFonts w:ascii="Verdana" w:eastAsia="Calibri" w:hAnsi="Verdana" w:cs="Arial"/>
          <w:color w:val="000000" w:themeColor="text1"/>
          <w:lang w:val="es-ES_tradnl"/>
        </w:rPr>
        <w:t>, de conformidad con el artículo 2 de la Ley 590 de 2000 y el Decreto 957 de 2019</w:t>
      </w:r>
      <w:r w:rsidRPr="0040650F">
        <w:rPr>
          <w:rStyle w:val="Refdenotaalpie"/>
          <w:rFonts w:ascii="Verdana" w:hAnsi="Verdana" w:cs="Arial"/>
          <w:color w:val="000000" w:themeColor="text1"/>
          <w:lang w:val="es-ES_tradnl"/>
        </w:rPr>
        <w:footnoteReference w:id="5"/>
      </w:r>
      <w:r w:rsidRPr="0040650F">
        <w:rPr>
          <w:rFonts w:ascii="Verdana" w:eastAsia="Calibri" w:hAnsi="Verdana" w:cs="Arial"/>
          <w:color w:val="000000" w:themeColor="text1"/>
          <w:lang w:val="es-ES_tradnl"/>
        </w:rPr>
        <w:t>. El principal efecto de esta norma es que, entidades que desarrollan actividades económicas sin fines lucrativos, como las cooperativas</w:t>
      </w:r>
      <w:r w:rsidRPr="0040650F">
        <w:rPr>
          <w:rStyle w:val="Refdenotaalpie"/>
          <w:rFonts w:ascii="Verdana" w:eastAsia="Calibri" w:hAnsi="Verdana" w:cs="Arial"/>
          <w:color w:val="000000" w:themeColor="text1"/>
          <w:lang w:val="es-ES_tradnl"/>
        </w:rPr>
        <w:footnoteReference w:id="6"/>
      </w:r>
      <w:r w:rsidRPr="0040650F">
        <w:rPr>
          <w:rFonts w:ascii="Verdana" w:eastAsia="Calibri" w:hAnsi="Verdana" w:cs="Arial"/>
          <w:color w:val="000000" w:themeColor="text1"/>
          <w:lang w:val="es-ES_tradnl"/>
        </w:rPr>
        <w:t>, asociaciones mutualistas</w:t>
      </w:r>
      <w:r w:rsidRPr="0040650F">
        <w:rPr>
          <w:rStyle w:val="Refdenotaalpie"/>
          <w:rFonts w:ascii="Verdana" w:eastAsia="Calibri" w:hAnsi="Verdana" w:cs="Arial"/>
          <w:color w:val="000000" w:themeColor="text1"/>
          <w:lang w:val="es-ES_tradnl"/>
        </w:rPr>
        <w:footnoteReference w:id="7"/>
      </w:r>
      <w:r w:rsidRPr="0040650F">
        <w:rPr>
          <w:rFonts w:ascii="Verdana" w:eastAsia="Calibri" w:hAnsi="Verdana" w:cs="Arial"/>
          <w:color w:val="000000" w:themeColor="text1"/>
          <w:lang w:val="es-ES_tradnl"/>
        </w:rPr>
        <w:t xml:space="preserve"> y las demás entidades de economía solidaria</w:t>
      </w:r>
      <w:r w:rsidRPr="0040650F">
        <w:rPr>
          <w:rStyle w:val="Refdenotaalpie"/>
          <w:rFonts w:ascii="Verdana" w:eastAsia="Calibri" w:hAnsi="Verdana" w:cs="Arial"/>
          <w:color w:val="000000" w:themeColor="text1"/>
          <w:lang w:val="es-ES_tradnl"/>
        </w:rPr>
        <w:footnoteReference w:id="8"/>
      </w:r>
      <w:r w:rsidRPr="0040650F">
        <w:rPr>
          <w:rFonts w:ascii="Verdana" w:eastAsia="Calibri" w:hAnsi="Verdana" w:cs="Arial"/>
          <w:color w:val="000000" w:themeColor="text1"/>
          <w:lang w:val="es-ES_tradnl"/>
        </w:rPr>
        <w:t xml:space="preserve">, al ser consideradas </w:t>
      </w:r>
      <w:r w:rsidRPr="0040650F">
        <w:rPr>
          <w:rFonts w:ascii="Verdana" w:eastAsia="Calibri" w:hAnsi="Verdana" w:cs="Arial"/>
          <w:color w:val="000000" w:themeColor="text1"/>
          <w:lang w:val="es-ES_tradnl"/>
        </w:rPr>
        <w:lastRenderedPageBreak/>
        <w:t xml:space="preserve">como </w:t>
      </w:r>
      <w:proofErr w:type="spellStart"/>
      <w:r w:rsidRPr="0040650F">
        <w:rPr>
          <w:rFonts w:ascii="Verdana" w:eastAsia="Calibri" w:hAnsi="Verdana" w:cs="Arial"/>
          <w:color w:val="000000" w:themeColor="text1"/>
          <w:lang w:val="es-ES_tradnl"/>
        </w:rPr>
        <w:t>Mipymes</w:t>
      </w:r>
      <w:proofErr w:type="spellEnd"/>
      <w:r w:rsidRPr="0040650F">
        <w:rPr>
          <w:rFonts w:ascii="Verdana" w:eastAsia="Calibri" w:hAnsi="Verdana" w:cs="Arial"/>
          <w:color w:val="000000" w:themeColor="text1"/>
          <w:lang w:val="es-ES_tradnl"/>
        </w:rPr>
        <w:t>, les son aplicables las prerrogativas establecidas en los artículos 31 de la Ley 2069 de 2020 y 2.2.1.2.4.2.18 del Decreto 1082 de 2015.</w:t>
      </w:r>
    </w:p>
    <w:p w14:paraId="3D93E330" w14:textId="77777777" w:rsidR="00D56920" w:rsidRPr="00304485" w:rsidRDefault="00D56920" w:rsidP="00F4619C">
      <w:pPr>
        <w:tabs>
          <w:tab w:val="left" w:pos="0"/>
        </w:tabs>
        <w:spacing w:before="120" w:after="0" w:line="276" w:lineRule="auto"/>
        <w:jc w:val="both"/>
        <w:rPr>
          <w:rFonts w:ascii="Verdana" w:hAnsi="Verdana" w:cs="Arial"/>
          <w:color w:val="000000" w:themeColor="text1"/>
        </w:rPr>
      </w:pPr>
    </w:p>
    <w:p w14:paraId="5367BD88" w14:textId="77777777" w:rsidR="00F4619C" w:rsidRPr="00593A5F" w:rsidRDefault="00F4619C" w:rsidP="00F461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DDEE49F" w14:textId="77777777" w:rsidR="00F4619C" w:rsidRPr="00593A5F" w:rsidRDefault="00F4619C" w:rsidP="00F4619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4619C" w:rsidRPr="00593A5F" w14:paraId="16C5E394" w14:textId="77777777" w:rsidTr="003D0810">
        <w:trPr>
          <w:trHeight w:val="870"/>
        </w:trPr>
        <w:tc>
          <w:tcPr>
            <w:tcW w:w="8647" w:type="dxa"/>
          </w:tcPr>
          <w:p w14:paraId="6F941638" w14:textId="77777777" w:rsidR="00EA7B31"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sidRPr="00A37605">
              <w:rPr>
                <w:rFonts w:ascii="Verdana" w:hAnsi="Verdana" w:cs="Arial"/>
              </w:rPr>
              <w:t>Ley 79 de 19</w:t>
            </w:r>
            <w:r>
              <w:rPr>
                <w:rFonts w:ascii="Verdana" w:hAnsi="Verdana" w:cs="Arial"/>
              </w:rPr>
              <w:t>8</w:t>
            </w:r>
            <w:r w:rsidRPr="00A37605">
              <w:rPr>
                <w:rFonts w:ascii="Verdana" w:hAnsi="Verdana" w:cs="Arial"/>
              </w:rPr>
              <w:t>8, artículo 4</w:t>
            </w:r>
            <w:r>
              <w:rPr>
                <w:rFonts w:ascii="Verdana" w:hAnsi="Verdana" w:cs="Arial"/>
              </w:rPr>
              <w:t>.</w:t>
            </w:r>
          </w:p>
          <w:p w14:paraId="1F255849" w14:textId="77777777" w:rsidR="00EA7B31"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Pr>
                <w:rFonts w:ascii="Verdana" w:hAnsi="Verdana" w:cs="Arial"/>
              </w:rPr>
              <w:t>Ley 454 de 1998, artículos 2 y 6.</w:t>
            </w:r>
          </w:p>
          <w:p w14:paraId="76B89865" w14:textId="77777777" w:rsidR="00EA7B31"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sidRPr="00A37605">
              <w:rPr>
                <w:rFonts w:ascii="Verdana" w:hAnsi="Verdana" w:cs="Arial"/>
              </w:rPr>
              <w:t>Ley 590 de 2000, artículo 2.</w:t>
            </w:r>
          </w:p>
          <w:p w14:paraId="22BB5D85" w14:textId="77777777" w:rsidR="00EA7B31" w:rsidRPr="00A37605"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sidRPr="00A37605">
              <w:rPr>
                <w:rFonts w:ascii="Verdana" w:hAnsi="Verdana" w:cs="Arial"/>
              </w:rPr>
              <w:t>Ley 1150 de 2007, artículo 12.</w:t>
            </w:r>
          </w:p>
          <w:p w14:paraId="08FF707E" w14:textId="77777777" w:rsidR="00EA7B31" w:rsidRPr="00A37605"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sidRPr="00A37605">
              <w:rPr>
                <w:rFonts w:ascii="Verdana" w:hAnsi="Verdana" w:cs="Arial"/>
              </w:rPr>
              <w:t>Ley 1450 de 2011, artículo 43.</w:t>
            </w:r>
          </w:p>
          <w:p w14:paraId="4A8B3597" w14:textId="77777777" w:rsidR="00EA7B31" w:rsidRPr="00A37605"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sidRPr="00A37605">
              <w:rPr>
                <w:rFonts w:ascii="Verdana" w:hAnsi="Verdana" w:cs="Arial"/>
              </w:rPr>
              <w:t>Ley 2069 de 2020, artículo 34, artículo 23, artículo 22.</w:t>
            </w:r>
          </w:p>
          <w:p w14:paraId="5993B4F3" w14:textId="77777777" w:rsidR="00EA7B31" w:rsidRPr="00A37605"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sidRPr="00A37605">
              <w:rPr>
                <w:rFonts w:ascii="Verdana" w:hAnsi="Verdana" w:cs="Arial"/>
              </w:rPr>
              <w:t>Ley 2143 de 2021</w:t>
            </w:r>
            <w:r>
              <w:rPr>
                <w:rFonts w:ascii="Verdana" w:hAnsi="Verdana" w:cs="Arial"/>
              </w:rPr>
              <w:t>, artículo 1.</w:t>
            </w:r>
          </w:p>
          <w:p w14:paraId="1291B8FA" w14:textId="77777777" w:rsidR="00EA7B31"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sidRPr="00A37605">
              <w:rPr>
                <w:rFonts w:ascii="Verdana" w:hAnsi="Verdana" w:cs="Arial"/>
              </w:rPr>
              <w:t>Decreto 1074 de 2015, artículo 2.2.1.13.2.2.</w:t>
            </w:r>
          </w:p>
          <w:p w14:paraId="7B721B78" w14:textId="77777777" w:rsidR="00EA7B31" w:rsidRPr="00A37605"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sidRPr="00A37605">
              <w:rPr>
                <w:rFonts w:ascii="Verdana" w:hAnsi="Verdana" w:cs="Arial"/>
              </w:rPr>
              <w:t>Decreto 1082 de 2015, artículo</w:t>
            </w:r>
            <w:r>
              <w:rPr>
                <w:rFonts w:ascii="Verdana" w:hAnsi="Verdana" w:cs="Arial"/>
              </w:rPr>
              <w:t>s</w:t>
            </w:r>
            <w:r w:rsidRPr="00A37605">
              <w:rPr>
                <w:rFonts w:ascii="Verdana" w:hAnsi="Verdana" w:cs="Arial"/>
              </w:rPr>
              <w:t xml:space="preserve"> 2.2.1.2.4.2.2, 2.2.1.2.4.2.3 </w:t>
            </w:r>
            <w:r>
              <w:rPr>
                <w:rFonts w:ascii="Verdana" w:hAnsi="Verdana" w:cs="Arial"/>
              </w:rPr>
              <w:t xml:space="preserve">y </w:t>
            </w:r>
            <w:r w:rsidRPr="007E2DF6">
              <w:rPr>
                <w:rFonts w:ascii="Verdana" w:eastAsia="Calibri" w:hAnsi="Verdana" w:cs="Arial"/>
                <w:color w:val="000000" w:themeColor="text1"/>
                <w:lang w:val="es-ES_tradnl"/>
              </w:rPr>
              <w:t>2.2.1.2.4.2.18</w:t>
            </w:r>
          </w:p>
          <w:p w14:paraId="1A7C2290" w14:textId="77777777" w:rsidR="00EA7B31"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sidRPr="00A37605">
              <w:rPr>
                <w:rFonts w:ascii="Verdana" w:hAnsi="Verdana" w:cs="Arial"/>
              </w:rPr>
              <w:t>Decreto 957 de 2019.</w:t>
            </w:r>
          </w:p>
          <w:p w14:paraId="0CB1A9A5" w14:textId="5DE0F74D" w:rsidR="00F4619C" w:rsidRPr="00EA7B31" w:rsidRDefault="00EA7B31" w:rsidP="00EA7B31">
            <w:pPr>
              <w:widowControl w:val="0"/>
              <w:numPr>
                <w:ilvl w:val="0"/>
                <w:numId w:val="20"/>
              </w:numPr>
              <w:autoSpaceDE w:val="0"/>
              <w:autoSpaceDN w:val="0"/>
              <w:spacing w:after="120" w:line="276" w:lineRule="auto"/>
              <w:ind w:left="714" w:hanging="357"/>
              <w:jc w:val="both"/>
              <w:rPr>
                <w:rFonts w:ascii="Verdana" w:hAnsi="Verdana" w:cs="Arial"/>
              </w:rPr>
            </w:pPr>
            <w:r w:rsidRPr="00EA7B31">
              <w:rPr>
                <w:rFonts w:ascii="Verdana" w:hAnsi="Verdana" w:cs="Arial"/>
              </w:rPr>
              <w:t>Decreto 1860 de 2021, artículo 3.</w:t>
            </w:r>
          </w:p>
        </w:tc>
      </w:tr>
    </w:tbl>
    <w:p w14:paraId="40B866ED" w14:textId="77777777" w:rsidR="00F4619C" w:rsidRPr="00593A5F" w:rsidRDefault="00F4619C" w:rsidP="00F4619C">
      <w:pPr>
        <w:widowControl w:val="0"/>
        <w:autoSpaceDE w:val="0"/>
        <w:autoSpaceDN w:val="0"/>
        <w:spacing w:after="0" w:line="276" w:lineRule="auto"/>
        <w:jc w:val="both"/>
        <w:rPr>
          <w:rFonts w:ascii="Verdana" w:hAnsi="Verdana" w:cs="Arial"/>
        </w:rPr>
      </w:pPr>
    </w:p>
    <w:p w14:paraId="7D517AD8" w14:textId="77777777" w:rsidR="00F4619C" w:rsidRPr="00593A5F" w:rsidRDefault="00F4619C" w:rsidP="00F461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9E2AE20" w14:textId="77777777" w:rsidR="00F4619C" w:rsidRPr="00593A5F" w:rsidRDefault="00F4619C" w:rsidP="00F4619C">
      <w:pPr>
        <w:widowControl w:val="0"/>
        <w:autoSpaceDE w:val="0"/>
        <w:autoSpaceDN w:val="0"/>
        <w:spacing w:after="0" w:line="276" w:lineRule="auto"/>
        <w:jc w:val="both"/>
        <w:rPr>
          <w:rFonts w:ascii="Verdana" w:hAnsi="Verdana" w:cs="Arial"/>
        </w:rPr>
      </w:pPr>
    </w:p>
    <w:p w14:paraId="483ECCA1" w14:textId="53DF9DBA" w:rsidR="00F4619C" w:rsidRDefault="00F4619C" w:rsidP="00F4619C">
      <w:pPr>
        <w:jc w:val="both"/>
        <w:rPr>
          <w:rFonts w:ascii="Verdana" w:hAnsi="Verdana" w:cs="Arial"/>
          <w:shd w:val="clear" w:color="auto" w:fill="FFFFFF"/>
        </w:rPr>
      </w:pPr>
      <w:r w:rsidRPr="00774100">
        <w:rPr>
          <w:rFonts w:ascii="Verdana" w:eastAsia="Calibri" w:hAnsi="Verdana" w:cs="Arial"/>
          <w:shd w:val="clear" w:color="auto" w:fill="FFFFFF"/>
          <w:lang w:val="es-ES"/>
        </w:rPr>
        <w:t xml:space="preserve">La Agencia Nacional de Contratación Pública − Colombia Compra Eficiente se pronunció </w:t>
      </w:r>
      <w:r w:rsidR="00EA7B31" w:rsidRPr="00A37605">
        <w:rPr>
          <w:rFonts w:ascii="Verdana" w:eastAsia="Calibri" w:hAnsi="Verdana" w:cs="Arial"/>
          <w:shd w:val="clear" w:color="auto" w:fill="FFFFFF"/>
        </w:rPr>
        <w:t>en diferentes conceptos sobre la participación de las entidades sin ánimo de lucro –desde ahora ESAL– en procesos contractuales limitados a MiPymes. Al respecto expidió el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C-160 del 20 de abril de 2021, C-474 del 26 de julio de 2022, C-020 del 14 de febrero de 2023, C-587 de septiembre de 2022</w:t>
      </w:r>
      <w:r w:rsidR="00EA7B31">
        <w:rPr>
          <w:rFonts w:ascii="Verdana" w:eastAsia="Calibri" w:hAnsi="Verdana" w:cs="Arial"/>
          <w:shd w:val="clear" w:color="auto" w:fill="FFFFFF"/>
        </w:rPr>
        <w:t>,</w:t>
      </w:r>
      <w:r w:rsidR="00EA7B31" w:rsidRPr="00A37605">
        <w:rPr>
          <w:rFonts w:ascii="Verdana" w:eastAsia="Calibri" w:hAnsi="Verdana" w:cs="Arial"/>
          <w:shd w:val="clear" w:color="auto" w:fill="FFFFFF"/>
        </w:rPr>
        <w:t xml:space="preserve"> C-094 de junio de 2024</w:t>
      </w:r>
      <w:r w:rsidR="00EA7B31">
        <w:rPr>
          <w:rFonts w:ascii="Verdana" w:eastAsia="Calibri" w:hAnsi="Verdana" w:cs="Arial"/>
          <w:shd w:val="clear" w:color="auto" w:fill="FFFFFF"/>
        </w:rPr>
        <w:t xml:space="preserve"> y C-206 de agosto de 2024</w:t>
      </w:r>
      <w:r w:rsidRPr="0038350D">
        <w:rPr>
          <w:rFonts w:ascii="Verdana" w:eastAsia="Calibri" w:hAnsi="Verdana" w:cs="Arial"/>
          <w:shd w:val="clear" w:color="auto" w:fill="FFFFFF"/>
          <w:lang w:val="es-ES"/>
        </w:rPr>
        <w:t>, entre otros</w:t>
      </w:r>
      <w:r>
        <w:rPr>
          <w:rFonts w:ascii="Verdana" w:eastAsia="Calibri" w:hAnsi="Verdana" w:cs="Arial"/>
          <w:shd w:val="clear" w:color="auto" w:fill="FFFFFF"/>
          <w:lang w:val="es-ES"/>
        </w:rPr>
        <w:t>.</w:t>
      </w:r>
      <w:r>
        <w:rPr>
          <w:rFonts w:ascii="Verdana" w:hAnsi="Verdana"/>
        </w:rPr>
        <w:t xml:space="preserve"> </w:t>
      </w:r>
      <w:r w:rsidRPr="005A267A">
        <w:rPr>
          <w:rFonts w:ascii="Verdana" w:hAnsi="Verdana" w:cs="Arial"/>
          <w:shd w:val="clear" w:color="auto" w:fill="FFFFFF"/>
        </w:rPr>
        <w:t xml:space="preserve">Estos y otros conceptos se encuentran disponibles para consulta en el Sistema de Relatoría de la Agencia, en el cual también podrás encontrar jurisprudencia del </w:t>
      </w:r>
      <w:r w:rsidRPr="005A267A">
        <w:rPr>
          <w:rFonts w:ascii="Verdana" w:hAnsi="Verdana" w:cs="Arial"/>
          <w:shd w:val="clear" w:color="auto" w:fill="FFFFFF"/>
        </w:rPr>
        <w:lastRenderedPageBreak/>
        <w:t>Consejo de Estado, laudos arbitrales y la normativa de la</w:t>
      </w:r>
      <w:r w:rsidRPr="005D1F62">
        <w:rPr>
          <w:rFonts w:ascii="Verdana" w:hAnsi="Verdana" w:cs="Arial"/>
          <w:shd w:val="clear" w:color="auto" w:fill="FFFFFF"/>
        </w:rPr>
        <w:t xml:space="preserve"> contratación concordada con la doctrina de la Subdirección de Gestión Contractual.</w:t>
      </w:r>
      <w:r>
        <w:rPr>
          <w:rFonts w:ascii="Verdana" w:hAnsi="Verdana" w:cs="Arial"/>
          <w:shd w:val="clear" w:color="auto" w:fill="FFFFFF"/>
        </w:rPr>
        <w:t xml:space="preserve"> </w:t>
      </w:r>
      <w:r w:rsidRPr="005D1F62">
        <w:rPr>
          <w:rFonts w:ascii="Verdana" w:hAnsi="Verdana" w:cs="Arial"/>
          <w:shd w:val="clear" w:color="auto" w:fill="FFFFFF"/>
        </w:rPr>
        <w:t>Accede a través del siguiente enlace: </w:t>
      </w:r>
      <w:hyperlink r:id="rId13" w:tgtFrame="_blank" w:tooltip="Dirección URL original: https://relatoria.colombiacompra.gov.co/. Haga clic o pulse si confía en este vínculo." w:history="1">
        <w:r w:rsidRPr="005D1F62">
          <w:rPr>
            <w:rStyle w:val="Hipervnculo"/>
            <w:rFonts w:ascii="Verdana" w:hAnsi="Verdana" w:cs="Arial"/>
            <w:shd w:val="clear" w:color="auto" w:fill="FFFFFF"/>
          </w:rPr>
          <w:t>https://relatoria.colombiacompra.gov.co/</w:t>
        </w:r>
      </w:hyperlink>
      <w:r w:rsidRPr="005D1F62">
        <w:rPr>
          <w:rFonts w:ascii="Verdana" w:hAnsi="Verdana" w:cs="Arial"/>
          <w:shd w:val="clear" w:color="auto" w:fill="FFFFFF"/>
        </w:rPr>
        <w:t>.</w:t>
      </w:r>
    </w:p>
    <w:p w14:paraId="2C3D0F83" w14:textId="3BF3AA14" w:rsidR="00F4619C" w:rsidRPr="00EA7B31" w:rsidRDefault="00F4619C" w:rsidP="00EA7B31">
      <w:pPr>
        <w:jc w:val="both"/>
        <w:rPr>
          <w:rStyle w:val="Hipervnculo"/>
          <w:rFonts w:ascii="Verdana" w:hAnsi="Verdana"/>
          <w:bdr w:val="none" w:sz="0" w:space="0" w:color="auto" w:frame="1"/>
        </w:rPr>
      </w:pPr>
      <w:r w:rsidRPr="00EA7B31">
        <w:rPr>
          <w:rFonts w:ascii="Verdana" w:hAnsi="Verdana"/>
          <w:color w:val="000000"/>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4" w:tgtFrame="_blank" w:tooltip="Dirección URL original: https://www.colombiacompra.gov.co/sites/cce_public/files/cce_documents/manual_para_el_manejo_de_acuerdos_comerciales_vf.pdf. Haga clic o pulse si confía en este vínculo." w:history="1">
        <w:r w:rsidRPr="00EA7B31">
          <w:rPr>
            <w:rStyle w:val="Hipervnculo"/>
            <w:rFonts w:ascii="Verdana" w:hAnsi="Verdana"/>
            <w:bdr w:val="none" w:sz="0" w:space="0" w:color="auto" w:frame="1"/>
          </w:rPr>
          <w:t>manual_para_el_manejo_de_acuerdos_comerciales_vf.pdf</w:t>
        </w:r>
      </w:hyperlink>
    </w:p>
    <w:p w14:paraId="368B962F" w14:textId="77777777" w:rsidR="00855608" w:rsidRPr="00EA7B31" w:rsidRDefault="00855608" w:rsidP="00EA7B31">
      <w:pPr>
        <w:shd w:val="clear" w:color="auto" w:fill="FFFFFF"/>
        <w:jc w:val="both"/>
        <w:textAlignment w:val="baseline"/>
        <w:rPr>
          <w:rFonts w:ascii="Verdana" w:hAnsi="Verdana"/>
          <w:color w:val="000000"/>
        </w:rPr>
      </w:pPr>
      <w:bookmarkStart w:id="0" w:name="_Hlk186457937"/>
      <w:bookmarkStart w:id="1" w:name="_GoBack"/>
      <w:r w:rsidRPr="00EA7B31">
        <w:rPr>
          <w:rFonts w:ascii="Verdana" w:hAnsi="Verdana"/>
          <w:color w:val="000000"/>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240D647D" w14:textId="77777777" w:rsidR="00855608" w:rsidRPr="00EA7B31" w:rsidRDefault="00855608" w:rsidP="00EA7B31">
      <w:pPr>
        <w:numPr>
          <w:ilvl w:val="0"/>
          <w:numId w:val="19"/>
        </w:numPr>
        <w:shd w:val="clear" w:color="auto" w:fill="FFFFFF"/>
        <w:spacing w:beforeAutospacing="1" w:after="0" w:afterAutospacing="1" w:line="240" w:lineRule="auto"/>
        <w:jc w:val="both"/>
        <w:textAlignment w:val="baseline"/>
        <w:rPr>
          <w:rFonts w:ascii="Verdana" w:hAnsi="Verdana" w:cs="Segoe UI"/>
          <w:color w:val="000000"/>
        </w:rPr>
      </w:pPr>
      <w:r w:rsidRPr="00EA7B31">
        <w:rPr>
          <w:rFonts w:ascii="Verdana" w:hAnsi="Verdana" w:cs="Segoe UI"/>
          <w:b/>
          <w:bCs/>
          <w:color w:val="000000"/>
        </w:rPr>
        <w:t>Documentos tipo para los procesos de selección de interventoría de obra pública de infraestructura de transporte – versión 3: </w:t>
      </w:r>
      <w:hyperlink r:id="rId15" w:tgtFrame="_blank" w:tooltip="Dirección URL original: https://www.colombiacompra.gov.co/content/03-documentos-tipo-para-los-procesos-de-seleccion-de-interventoria-de-obra-publica-de. Haga clic o pulse si confía en este vínculo." w:history="1">
        <w:r w:rsidRPr="00EA7B31">
          <w:rPr>
            <w:rStyle w:val="Hipervnculo"/>
            <w:rFonts w:ascii="Verdana" w:hAnsi="Verdana" w:cs="Segoe UI"/>
            <w:color w:val="467886"/>
            <w:bdr w:val="none" w:sz="0" w:space="0" w:color="auto" w:frame="1"/>
          </w:rPr>
          <w:t>03. Documentos tipo para los procesos de selección de interventoría de obra pública de infraestructura de transporte – versión 3 | Colombia Compra Eficiente | Agencia Nacional de Contratación Pública</w:t>
        </w:r>
      </w:hyperlink>
    </w:p>
    <w:p w14:paraId="30D4D9F7" w14:textId="77777777" w:rsidR="00855608" w:rsidRPr="00EA7B31" w:rsidRDefault="00855608" w:rsidP="00EA7B31">
      <w:pPr>
        <w:numPr>
          <w:ilvl w:val="0"/>
          <w:numId w:val="19"/>
        </w:numPr>
        <w:shd w:val="clear" w:color="auto" w:fill="FFFFFF"/>
        <w:spacing w:beforeAutospacing="1" w:after="0" w:afterAutospacing="1" w:line="240" w:lineRule="auto"/>
        <w:jc w:val="both"/>
        <w:textAlignment w:val="baseline"/>
        <w:rPr>
          <w:rFonts w:ascii="Verdana" w:hAnsi="Verdana" w:cs="Segoe UI"/>
          <w:color w:val="000000"/>
        </w:rPr>
      </w:pPr>
      <w:r w:rsidRPr="00EA7B31">
        <w:rPr>
          <w:rFonts w:ascii="Verdana" w:hAnsi="Verdana" w:cs="Segoe UI"/>
          <w:b/>
          <w:bCs/>
          <w:color w:val="000000"/>
        </w:rPr>
        <w:t>Documentos tipo para los procesos de selección de consultoría de obra pública de infraestructura de transporte – versión 2:</w:t>
      </w:r>
      <w:r w:rsidRPr="00EA7B31">
        <w:rPr>
          <w:rFonts w:ascii="Verdana" w:hAnsi="Verdana" w:cs="Segoe UI"/>
          <w:color w:val="000000"/>
        </w:rPr>
        <w:t> </w:t>
      </w:r>
      <w:hyperlink r:id="rId16" w:tgtFrame="_blank" w:tooltip="Dirección URL original: https://www.colombiacompra.gov.co/content/02-documentos-tipo-para-los-procesos-de-seleccion-de-consultoria-de-obra-publica-de. Haga clic o pulse si confía en este vínculo." w:history="1">
        <w:r w:rsidRPr="00EA7B31">
          <w:rPr>
            <w:rStyle w:val="Hipervnculo"/>
            <w:rFonts w:ascii="Verdana" w:hAnsi="Verdana" w:cs="Segoe UI"/>
            <w:color w:val="467886"/>
            <w:bdr w:val="none" w:sz="0" w:space="0" w:color="auto" w:frame="1"/>
          </w:rPr>
          <w:t>02. Documentos tipo para los procesos de selección de consultoría de obra pública de infraestructura de transporte – versión 2. | Colombia Compra Eficiente | Agencia Nacional de Contratación Pública</w:t>
        </w:r>
      </w:hyperlink>
    </w:p>
    <w:p w14:paraId="0DD08348" w14:textId="6ACCDBE0" w:rsidR="00855608" w:rsidRPr="00EA7B31" w:rsidRDefault="00855608" w:rsidP="00EA7B31">
      <w:pPr>
        <w:shd w:val="clear" w:color="auto" w:fill="FFFFFF"/>
        <w:jc w:val="both"/>
        <w:textAlignment w:val="baseline"/>
        <w:rPr>
          <w:rFonts w:ascii="Verdana" w:hAnsi="Verdana" w:cs="Times New Roman"/>
          <w:color w:val="242424"/>
        </w:rPr>
      </w:pPr>
      <w:r w:rsidRPr="00EA7B31">
        <w:rPr>
          <w:rFonts w:ascii="Verdana" w:hAnsi="Verdana"/>
          <w:color w:val="000000"/>
          <w:bdr w:val="none" w:sz="0" w:space="0" w:color="auto" w:frame="1"/>
        </w:rPr>
        <w:t>También, te contamos que ya publicamos </w:t>
      </w:r>
      <w:r w:rsidRPr="00EA7B31">
        <w:rPr>
          <w:rFonts w:ascii="Verdana" w:hAnsi="Verdana"/>
          <w:b/>
          <w:bCs/>
          <w:color w:val="000000"/>
          <w:bdr w:val="none" w:sz="0" w:space="0" w:color="auto" w:frame="1"/>
        </w:rPr>
        <w:t>la nueva Guía de Contratación Pública Sostenible y Socialmente Responsable</w:t>
      </w:r>
      <w:r w:rsidRPr="00EA7B31">
        <w:rPr>
          <w:rFonts w:ascii="Verdana" w:hAnsi="Verdana"/>
          <w:color w:val="000000"/>
          <w:bdr w:val="none" w:sz="0" w:space="0" w:color="auto" w:frame="1"/>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7" w:tgtFrame="_blank" w:tooltip="Dirección URL original: https://www.colombiacompra.gov.co/manuales-guias-y-pliegos-tipo/manuales-y-guias/guia-de-contratacion-publica-sostenible-y-socialmente. Haga clic o pulse si confía en este vínculo." w:history="1">
        <w:r w:rsidRPr="00EA7B31">
          <w:rPr>
            <w:rStyle w:val="Hipervnculo"/>
            <w:rFonts w:ascii="Verdana" w:hAnsi="Verdana"/>
            <w:color w:val="467886"/>
            <w:bdr w:val="none" w:sz="0" w:space="0" w:color="auto" w:frame="1"/>
          </w:rPr>
          <w:t>Guía de Contratación Pública Sostenible y Socialmente Responsable | Colombia Compra Eficiente | Agencia Nacional de Contratación Pública</w:t>
        </w:r>
      </w:hyperlink>
    </w:p>
    <w:p w14:paraId="3D88D1F5" w14:textId="4D0FE710" w:rsidR="00F4619C" w:rsidRPr="00EA7B31" w:rsidRDefault="00EA7B31" w:rsidP="00EA7B31">
      <w:pPr>
        <w:shd w:val="clear" w:color="auto" w:fill="FFFFFF"/>
        <w:jc w:val="both"/>
        <w:textAlignment w:val="baseline"/>
        <w:rPr>
          <w:rFonts w:ascii="Verdana" w:hAnsi="Verdana"/>
          <w:color w:val="242424"/>
        </w:rPr>
      </w:pPr>
      <w:r w:rsidRPr="00EA7B31">
        <w:rPr>
          <w:rFonts w:ascii="Verdana" w:hAnsi="Verdana"/>
          <w:color w:val="000000"/>
          <w:bdr w:val="none" w:sz="0" w:space="0" w:color="auto" w:frame="1"/>
        </w:rPr>
        <w:t>Además</w:t>
      </w:r>
      <w:r w:rsidR="00F4619C" w:rsidRPr="00EA7B31">
        <w:rPr>
          <w:rFonts w:ascii="Verdana" w:hAnsi="Verdana"/>
          <w:color w:val="000000"/>
          <w:bdr w:val="none" w:sz="0" w:space="0" w:color="auto" w:frame="1"/>
        </w:rPr>
        <w:t xml:space="preserve"> le invitamos a consultar las versiones V y VI de 2024 del Boletín de Relatoría de la Subdirección de Gestión Contractual relacionados con las guías de Plan Anual de Adquisiciones y la modalidad de selección de mínima cuantía, los cuales se pueden descargar en la página web de la Agencia: </w:t>
      </w:r>
      <w:hyperlink r:id="rId18" w:tgtFrame="_blank" w:tooltip="Dirección URL original: https://www.colombiacompra.gov.co/sala-de-prensa/boletin-digital. Haga clic o pulse si confía en este vínculo." w:history="1">
        <w:r w:rsidR="00F4619C" w:rsidRPr="00EA7B31">
          <w:rPr>
            <w:rStyle w:val="Hipervnculo"/>
            <w:rFonts w:ascii="Verdana" w:hAnsi="Verdana"/>
            <w:color w:val="467886"/>
            <w:bdr w:val="none" w:sz="0" w:space="0" w:color="auto" w:frame="1"/>
          </w:rPr>
          <w:t>https://www.colombiacompra.gov.co/sala-de-prensa/boletin-digital</w:t>
        </w:r>
      </w:hyperlink>
      <w:bookmarkEnd w:id="0"/>
      <w:bookmarkEnd w:id="1"/>
      <w:r w:rsidR="00F4619C" w:rsidRPr="00EA7B31">
        <w:rPr>
          <w:rFonts w:ascii="Verdana" w:hAnsi="Verdana"/>
          <w:color w:val="000000"/>
          <w:bdr w:val="none" w:sz="0" w:space="0" w:color="auto" w:frame="1"/>
        </w:rPr>
        <w:t>  </w:t>
      </w:r>
    </w:p>
    <w:p w14:paraId="44EB74C7" w14:textId="77777777" w:rsidR="00F4619C" w:rsidRDefault="00F4619C" w:rsidP="00F4619C">
      <w:pPr>
        <w:spacing w:after="0" w:line="240" w:lineRule="auto"/>
        <w:jc w:val="both"/>
        <w:rPr>
          <w:rFonts w:ascii="Verdana" w:hAnsi="Verdana"/>
        </w:rPr>
      </w:pPr>
      <w:r w:rsidRPr="003E2460">
        <w:rPr>
          <w:rFonts w:ascii="Verdana" w:hAnsi="Verdana"/>
        </w:rPr>
        <w:lastRenderedPageBreak/>
        <w:t>Por último, lo invitamos a seguirnos en las redes sociales en las cuales se difunde información institucional:</w:t>
      </w:r>
    </w:p>
    <w:p w14:paraId="17EBC8CB" w14:textId="77777777" w:rsidR="00F4619C" w:rsidRPr="003E2460" w:rsidRDefault="00F4619C" w:rsidP="00F4619C">
      <w:pPr>
        <w:spacing w:after="0" w:line="240" w:lineRule="auto"/>
        <w:jc w:val="both"/>
        <w:rPr>
          <w:rFonts w:ascii="Verdana" w:hAnsi="Verdana"/>
        </w:rPr>
      </w:pPr>
    </w:p>
    <w:p w14:paraId="4B82C6B2" w14:textId="77777777" w:rsidR="00F4619C" w:rsidRPr="003E2460" w:rsidRDefault="00F4619C" w:rsidP="00F4619C">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w:t>
      </w:r>
      <w:proofErr w:type="spellStart"/>
      <w:r w:rsidRPr="003E2460">
        <w:rPr>
          <w:rStyle w:val="Hipervnculo"/>
          <w:rFonts w:ascii="Verdana" w:hAnsi="Verdana"/>
          <w:color w:val="4472C4" w:themeColor="accent1"/>
        </w:rPr>
        <w:t>colombiacompra</w:t>
      </w:r>
      <w:proofErr w:type="spellEnd"/>
      <w:r w:rsidRPr="003E2460">
        <w:rPr>
          <w:rFonts w:ascii="Verdana" w:hAnsi="Verdana"/>
          <w:color w:val="4472C4" w:themeColor="accent1"/>
        </w:rPr>
        <w:t xml:space="preserve"> </w:t>
      </w:r>
    </w:p>
    <w:p w14:paraId="730D8848" w14:textId="77777777" w:rsidR="00F4619C" w:rsidRPr="003E2460" w:rsidRDefault="00F4619C" w:rsidP="00F4619C">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69322864" w14:textId="77777777" w:rsidR="00F4619C" w:rsidRPr="003E2460" w:rsidRDefault="00F4619C" w:rsidP="00F4619C">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w:t>
      </w:r>
      <w:proofErr w:type="spellStart"/>
      <w:r w:rsidRPr="003E2460">
        <w:rPr>
          <w:rStyle w:val="Hipervnculo"/>
          <w:rFonts w:ascii="Verdana" w:hAnsi="Verdana"/>
          <w:color w:val="4472C4" w:themeColor="accent1"/>
        </w:rPr>
        <w:t>colombiacompraeficiente_cce</w:t>
      </w:r>
      <w:proofErr w:type="spellEnd"/>
    </w:p>
    <w:p w14:paraId="44447672" w14:textId="77777777" w:rsidR="00F4619C" w:rsidRPr="00593A5F" w:rsidRDefault="00F4619C" w:rsidP="00F4619C">
      <w:pPr>
        <w:widowControl w:val="0"/>
        <w:autoSpaceDE w:val="0"/>
        <w:autoSpaceDN w:val="0"/>
        <w:spacing w:after="0" w:line="276" w:lineRule="auto"/>
        <w:jc w:val="both"/>
        <w:rPr>
          <w:rFonts w:ascii="Verdana" w:hAnsi="Verdana" w:cs="Arial"/>
        </w:rPr>
      </w:pPr>
    </w:p>
    <w:p w14:paraId="1180BF65" w14:textId="77777777" w:rsidR="00F4619C" w:rsidRPr="00593A5F" w:rsidRDefault="00F4619C" w:rsidP="00F4619C">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33B4037" w14:textId="77777777" w:rsidR="00F4619C" w:rsidRPr="00593A5F" w:rsidRDefault="00F4619C" w:rsidP="00F4619C">
      <w:pPr>
        <w:widowControl w:val="0"/>
        <w:autoSpaceDE w:val="0"/>
        <w:autoSpaceDN w:val="0"/>
        <w:spacing w:after="0" w:line="276" w:lineRule="auto"/>
        <w:jc w:val="both"/>
        <w:rPr>
          <w:rFonts w:ascii="Verdana" w:hAnsi="Verdana" w:cs="Arial"/>
        </w:rPr>
      </w:pPr>
    </w:p>
    <w:p w14:paraId="631B2C22" w14:textId="77777777" w:rsidR="00F4619C" w:rsidRPr="00593A5F" w:rsidRDefault="00F4619C" w:rsidP="00F4619C">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2479105C" w14:textId="77777777" w:rsidR="00F4619C" w:rsidRDefault="00F4619C" w:rsidP="00F4619C">
      <w:pPr>
        <w:spacing w:line="276" w:lineRule="auto"/>
        <w:jc w:val="center"/>
        <w:rPr>
          <w:rFonts w:ascii="Verdana" w:hAnsi="Verdana" w:cs="Arial"/>
          <w:color w:val="000000"/>
          <w:lang w:val="es-ES_tradnl" w:eastAsia="es-CO"/>
        </w:rPr>
      </w:pPr>
    </w:p>
    <w:p w14:paraId="53756480" w14:textId="2A48D611" w:rsidR="00F4619C" w:rsidRDefault="000D236A" w:rsidP="00F4619C">
      <w:pPr>
        <w:spacing w:line="276" w:lineRule="auto"/>
        <w:jc w:val="center"/>
        <w:rPr>
          <w:rFonts w:ascii="Verdana" w:hAnsi="Verdana" w:cs="Arial"/>
          <w:color w:val="000000"/>
          <w:lang w:val="es-ES_tradnl" w:eastAsia="es-CO"/>
        </w:rPr>
      </w:pPr>
      <w:r>
        <w:rPr>
          <w:noProof/>
        </w:rPr>
        <w:drawing>
          <wp:inline distT="0" distB="0" distL="0" distR="0" wp14:anchorId="47491361" wp14:editId="59795BD6">
            <wp:extent cx="3771429" cy="1400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1429" cy="1400000"/>
                    </a:xfrm>
                    <a:prstGeom prst="rect">
                      <a:avLst/>
                    </a:prstGeom>
                  </pic:spPr>
                </pic:pic>
              </a:graphicData>
            </a:graphic>
          </wp:inline>
        </w:drawing>
      </w:r>
    </w:p>
    <w:p w14:paraId="599D5C7D" w14:textId="77777777" w:rsidR="00F4619C" w:rsidRDefault="00F4619C" w:rsidP="00F4619C">
      <w:pPr>
        <w:spacing w:line="276" w:lineRule="auto"/>
        <w:rPr>
          <w:rFonts w:ascii="Verdana" w:hAnsi="Verdana" w:cs="Arial"/>
          <w:color w:val="000000"/>
          <w:lang w:val="es-ES_tradnl" w:eastAsia="es-CO"/>
        </w:rPr>
      </w:pPr>
    </w:p>
    <w:p w14:paraId="05956178" w14:textId="77777777" w:rsidR="00F4619C" w:rsidRDefault="00F4619C" w:rsidP="00F4619C">
      <w:pPr>
        <w:spacing w:line="276" w:lineRule="auto"/>
        <w:rPr>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4619C" w:rsidRPr="00593A5F" w14:paraId="63E40ABC" w14:textId="77777777" w:rsidTr="003D0810">
        <w:trPr>
          <w:trHeight w:val="315"/>
        </w:trPr>
        <w:tc>
          <w:tcPr>
            <w:tcW w:w="893" w:type="dxa"/>
            <w:vAlign w:val="center"/>
            <w:hideMark/>
          </w:tcPr>
          <w:p w14:paraId="4EC8DB5C" w14:textId="77777777" w:rsidR="00F4619C" w:rsidRPr="003751C7" w:rsidRDefault="00F4619C" w:rsidP="003D0810">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A943D0E" w14:textId="77777777" w:rsidR="00F4619C" w:rsidRPr="00E1151D" w:rsidRDefault="00F4619C" w:rsidP="003D0810">
            <w:pPr>
              <w:contextualSpacing/>
              <w:rPr>
                <w:rFonts w:ascii="Verdana" w:eastAsia="Arial" w:hAnsi="Verdana" w:cs="Arial"/>
                <w:sz w:val="16"/>
                <w:szCs w:val="16"/>
              </w:rPr>
            </w:pPr>
            <w:r w:rsidRPr="00E1151D">
              <w:rPr>
                <w:rStyle w:val="normaltextrun"/>
                <w:rFonts w:ascii="Verdana" w:hAnsi="Verdana"/>
                <w:sz w:val="16"/>
                <w:szCs w:val="16"/>
              </w:rPr>
              <w:t>Sergio Andrés Rivera Cano</w:t>
            </w:r>
          </w:p>
          <w:p w14:paraId="73F6F363" w14:textId="77777777" w:rsidR="00F4619C" w:rsidRPr="003751C7" w:rsidRDefault="00F4619C" w:rsidP="003D0810">
            <w:pPr>
              <w:contextualSpacing/>
              <w:rPr>
                <w:rFonts w:ascii="Verdana" w:eastAsia="Arial" w:hAnsi="Verdana" w:cs="Arial"/>
                <w:sz w:val="16"/>
                <w:szCs w:val="16"/>
              </w:rPr>
            </w:pPr>
            <w:r w:rsidRPr="00E1151D">
              <w:rPr>
                <w:rStyle w:val="normaltextrun"/>
                <w:rFonts w:ascii="Verdana" w:eastAsia="Arial" w:hAnsi="Verdana" w:cs="Arial"/>
                <w:sz w:val="16"/>
                <w:szCs w:val="16"/>
              </w:rPr>
              <w:t>Contratista de la Subdirección de Gestión Contractual</w:t>
            </w:r>
          </w:p>
        </w:tc>
      </w:tr>
      <w:tr w:rsidR="00F4619C" w:rsidRPr="00593A5F" w14:paraId="5CE9C73B" w14:textId="77777777" w:rsidTr="003D0810">
        <w:trPr>
          <w:trHeight w:val="330"/>
        </w:trPr>
        <w:tc>
          <w:tcPr>
            <w:tcW w:w="893" w:type="dxa"/>
            <w:vAlign w:val="center"/>
            <w:hideMark/>
          </w:tcPr>
          <w:p w14:paraId="3E7CAC2F" w14:textId="77777777" w:rsidR="00F4619C" w:rsidRPr="003751C7" w:rsidRDefault="00F4619C" w:rsidP="003D0810">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FE65167" w14:textId="35F6423B" w:rsidR="00F4619C" w:rsidRPr="0078388D" w:rsidRDefault="008677C3" w:rsidP="003D0810">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Ximena Ríos López</w:t>
            </w:r>
          </w:p>
          <w:p w14:paraId="51CDBD73" w14:textId="4EF53916" w:rsidR="00F4619C" w:rsidRPr="003751C7" w:rsidRDefault="008677C3" w:rsidP="003D0810">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 xml:space="preserve">Gestor T1-11 </w:t>
            </w:r>
            <w:r w:rsidR="00F4619C">
              <w:rPr>
                <w:rStyle w:val="normaltextrun"/>
                <w:rFonts w:ascii="Verdana" w:hAnsi="Verdana" w:cs="Arial"/>
                <w:sz w:val="16"/>
                <w:szCs w:val="16"/>
                <w:lang w:val="es-ES"/>
              </w:rPr>
              <w:t>de la</w:t>
            </w:r>
            <w:r w:rsidR="00F4619C" w:rsidRPr="0078388D">
              <w:rPr>
                <w:rStyle w:val="normaltextrun"/>
                <w:rFonts w:ascii="Verdana" w:hAnsi="Verdana" w:cs="Arial"/>
                <w:sz w:val="16"/>
                <w:szCs w:val="16"/>
                <w:lang w:val="es-ES"/>
              </w:rPr>
              <w:t xml:space="preserve"> Subdirección de Gestión Contractual</w:t>
            </w:r>
          </w:p>
        </w:tc>
      </w:tr>
      <w:tr w:rsidR="00F4619C" w:rsidRPr="00593A5F" w14:paraId="73DB3F1F" w14:textId="77777777" w:rsidTr="003D0810">
        <w:trPr>
          <w:trHeight w:val="300"/>
        </w:trPr>
        <w:tc>
          <w:tcPr>
            <w:tcW w:w="893" w:type="dxa"/>
            <w:vAlign w:val="center"/>
          </w:tcPr>
          <w:p w14:paraId="0F8D1633" w14:textId="77777777" w:rsidR="00F4619C" w:rsidRPr="003751C7" w:rsidRDefault="00F4619C" w:rsidP="003D0810">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2996E5B" w14:textId="77777777" w:rsidR="00F4619C" w:rsidRPr="003751C7" w:rsidRDefault="00F4619C" w:rsidP="003D0810">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432B6C01" w14:textId="77777777" w:rsidR="00F4619C" w:rsidRPr="003751C7" w:rsidRDefault="00F4619C" w:rsidP="003D0810">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w:t>
            </w:r>
            <w:proofErr w:type="spellStart"/>
            <w:r w:rsidRPr="003751C7">
              <w:rPr>
                <w:rFonts w:ascii="Verdana" w:eastAsia="Calibri" w:hAnsi="Verdana" w:cs="Arial"/>
                <w:sz w:val="16"/>
                <w:szCs w:val="16"/>
                <w:lang w:val="pt-BR" w:eastAsia="es-ES"/>
              </w:rPr>
              <w:t>Gestión</w:t>
            </w:r>
            <w:proofErr w:type="spellEnd"/>
            <w:r w:rsidRPr="003751C7">
              <w:rPr>
                <w:rFonts w:ascii="Verdana" w:eastAsia="Calibri" w:hAnsi="Verdana" w:cs="Arial"/>
                <w:sz w:val="16"/>
                <w:szCs w:val="16"/>
                <w:lang w:val="pt-BR" w:eastAsia="es-ES"/>
              </w:rPr>
              <w:t xml:space="preserve">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3D118385" w14:textId="77777777" w:rsidR="00F4619C" w:rsidRPr="00910315" w:rsidRDefault="00F4619C" w:rsidP="00F4619C"/>
    <w:p w14:paraId="3900974D" w14:textId="77777777" w:rsidR="003D5B0D" w:rsidRPr="00F4619C" w:rsidRDefault="003D5B0D" w:rsidP="00F4619C"/>
    <w:sectPr w:rsidR="003D5B0D" w:rsidRPr="00F4619C"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74FF1" w14:textId="77777777" w:rsidR="00C422C1" w:rsidRDefault="00C422C1" w:rsidP="004A1847">
      <w:pPr>
        <w:spacing w:after="0" w:line="240" w:lineRule="auto"/>
      </w:pPr>
      <w:r>
        <w:separator/>
      </w:r>
    </w:p>
  </w:endnote>
  <w:endnote w:type="continuationSeparator" w:id="0">
    <w:p w14:paraId="16A34346" w14:textId="77777777" w:rsidR="00C422C1" w:rsidRDefault="00C422C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41694" w14:textId="77777777" w:rsidR="00C422C1" w:rsidRDefault="00C422C1" w:rsidP="004A1847">
      <w:pPr>
        <w:spacing w:after="0" w:line="240" w:lineRule="auto"/>
      </w:pPr>
      <w:r>
        <w:separator/>
      </w:r>
    </w:p>
  </w:footnote>
  <w:footnote w:type="continuationSeparator" w:id="0">
    <w:p w14:paraId="33912FCE" w14:textId="77777777" w:rsidR="00C422C1" w:rsidRDefault="00C422C1" w:rsidP="004A1847">
      <w:pPr>
        <w:spacing w:after="0" w:line="240" w:lineRule="auto"/>
      </w:pPr>
      <w:r>
        <w:continuationSeparator/>
      </w:r>
    </w:p>
  </w:footnote>
  <w:footnote w:id="1">
    <w:p w14:paraId="4CDBAECA" w14:textId="77777777" w:rsidR="00855608" w:rsidRPr="00311100" w:rsidRDefault="00855608" w:rsidP="00855608">
      <w:pPr>
        <w:pStyle w:val="Textonotapie"/>
        <w:ind w:firstLine="708"/>
        <w:rPr>
          <w:rFonts w:ascii="Verdana" w:hAnsi="Verdana"/>
          <w:sz w:val="16"/>
          <w:szCs w:val="16"/>
        </w:rPr>
      </w:pPr>
      <w:r w:rsidRPr="00311100">
        <w:rPr>
          <w:rStyle w:val="Refdenotaalpie"/>
          <w:rFonts w:ascii="Verdana" w:hAnsi="Verdana"/>
          <w:sz w:val="16"/>
          <w:szCs w:val="16"/>
        </w:rPr>
        <w:footnoteRef/>
      </w:r>
      <w:r w:rsidRPr="00311100">
        <w:rPr>
          <w:rFonts w:ascii="Verdana" w:hAnsi="Verdana"/>
          <w:sz w:val="16"/>
          <w:szCs w:val="16"/>
        </w:rPr>
        <w:t xml:space="preserve"> Ley 2069 de 2020, Artículos 2 al 29</w:t>
      </w:r>
    </w:p>
    <w:p w14:paraId="22CD633C" w14:textId="77777777" w:rsidR="00855608" w:rsidRPr="00311100" w:rsidRDefault="00855608" w:rsidP="00855608">
      <w:pPr>
        <w:pStyle w:val="Textonotapie"/>
        <w:ind w:firstLine="708"/>
        <w:rPr>
          <w:rFonts w:ascii="Verdana" w:hAnsi="Verdana"/>
          <w:sz w:val="16"/>
          <w:szCs w:val="16"/>
          <w:lang w:val="es-CO"/>
        </w:rPr>
      </w:pPr>
    </w:p>
  </w:footnote>
  <w:footnote w:id="2">
    <w:p w14:paraId="3C64C532" w14:textId="77777777" w:rsidR="00855608" w:rsidRPr="00311100" w:rsidRDefault="00855608" w:rsidP="00855608">
      <w:pPr>
        <w:pStyle w:val="Textonotapie"/>
        <w:ind w:firstLine="708"/>
        <w:rPr>
          <w:rFonts w:ascii="Verdana" w:hAnsi="Verdana"/>
          <w:sz w:val="16"/>
          <w:szCs w:val="16"/>
          <w:lang w:val="es-CO"/>
        </w:rPr>
      </w:pPr>
      <w:r w:rsidRPr="00311100">
        <w:rPr>
          <w:rStyle w:val="Refdenotaalpie"/>
          <w:rFonts w:ascii="Verdana" w:hAnsi="Verdana"/>
          <w:sz w:val="16"/>
          <w:szCs w:val="16"/>
        </w:rPr>
        <w:footnoteRef/>
      </w:r>
      <w:r w:rsidRPr="00311100">
        <w:rPr>
          <w:rFonts w:ascii="Verdana" w:hAnsi="Verdana"/>
          <w:sz w:val="16"/>
          <w:szCs w:val="16"/>
        </w:rPr>
        <w:t xml:space="preserve"> Ley 2069 de 2020, Artículos 30 al 36</w:t>
      </w:r>
    </w:p>
  </w:footnote>
  <w:footnote w:id="3">
    <w:p w14:paraId="00EDE530" w14:textId="77777777" w:rsidR="00855608" w:rsidRPr="00415EE7" w:rsidRDefault="00855608" w:rsidP="00855608">
      <w:pPr>
        <w:pStyle w:val="Textonotapie"/>
        <w:ind w:firstLine="709"/>
        <w:jc w:val="both"/>
        <w:rPr>
          <w:rFonts w:ascii="Verdana" w:hAnsi="Verdana"/>
          <w:sz w:val="16"/>
          <w:szCs w:val="16"/>
        </w:rPr>
      </w:pPr>
      <w:r w:rsidRPr="008922D1">
        <w:rPr>
          <w:rStyle w:val="Refdenotaalpie"/>
          <w:rFonts w:ascii="Verdana" w:hAnsi="Verdana" w:cs="Arial"/>
          <w:sz w:val="12"/>
          <w:szCs w:val="12"/>
        </w:rPr>
        <w:footnoteRef/>
      </w:r>
      <w:r w:rsidRPr="008922D1">
        <w:rPr>
          <w:rFonts w:ascii="Verdana" w:hAnsi="Verdana" w:cs="Arial"/>
          <w:sz w:val="12"/>
          <w:szCs w:val="12"/>
        </w:rPr>
        <w:t xml:space="preserve"> </w:t>
      </w:r>
      <w:r w:rsidRPr="00415EE7">
        <w:rPr>
          <w:rFonts w:ascii="Verdana" w:hAnsi="Verdana"/>
          <w:sz w:val="16"/>
          <w:szCs w:val="16"/>
        </w:rPr>
        <w:t xml:space="preserve">Ley 1450 de 2011: “Artículo 43. Definiciones de tamaño empresarial. El artículo 2° de la Ley 590 de 2000, quedará así: </w:t>
      </w:r>
    </w:p>
    <w:p w14:paraId="417E03A2" w14:textId="77777777" w:rsidR="00855608" w:rsidRPr="00415EE7" w:rsidRDefault="00855608" w:rsidP="00855608">
      <w:pPr>
        <w:pStyle w:val="Textonotapie"/>
        <w:ind w:firstLine="709"/>
        <w:jc w:val="both"/>
        <w:rPr>
          <w:rFonts w:ascii="Verdana" w:hAnsi="Verdana"/>
          <w:sz w:val="16"/>
          <w:szCs w:val="16"/>
        </w:rPr>
      </w:pPr>
      <w:r w:rsidRPr="00415EE7">
        <w:rPr>
          <w:rFonts w:ascii="Verdana" w:hAnsi="Verdana" w:cs="Arial"/>
          <w:sz w:val="16"/>
          <w:szCs w:val="16"/>
        </w:rPr>
        <w:t>"</w:t>
      </w:r>
      <w:r w:rsidRPr="00415EE7">
        <w:rPr>
          <w:rFonts w:ascii="Verdana" w:hAnsi="Verdana"/>
          <w:sz w:val="16"/>
          <w:szCs w:val="16"/>
        </w:rPr>
        <w:t>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14:paraId="1A5E233D" w14:textId="77777777" w:rsidR="00855608" w:rsidRPr="00415EE7" w:rsidRDefault="00855608" w:rsidP="00855608">
      <w:pPr>
        <w:pStyle w:val="Textonotapie"/>
        <w:ind w:firstLine="709"/>
        <w:jc w:val="both"/>
        <w:rPr>
          <w:rFonts w:ascii="Verdana" w:hAnsi="Verdana"/>
          <w:sz w:val="16"/>
          <w:szCs w:val="16"/>
        </w:rPr>
      </w:pPr>
      <w:r w:rsidRPr="00415EE7">
        <w:rPr>
          <w:rFonts w:ascii="Verdana" w:hAnsi="Verdana"/>
          <w:sz w:val="16"/>
          <w:szCs w:val="16"/>
        </w:rPr>
        <w:t xml:space="preserve">“1. Número de trabajadores totales. </w:t>
      </w:r>
    </w:p>
    <w:p w14:paraId="287AA1BF" w14:textId="77777777" w:rsidR="00855608" w:rsidRPr="00415EE7" w:rsidRDefault="00855608" w:rsidP="00855608">
      <w:pPr>
        <w:pStyle w:val="Textonotapie"/>
        <w:ind w:firstLine="709"/>
        <w:jc w:val="both"/>
        <w:rPr>
          <w:rFonts w:ascii="Verdana" w:hAnsi="Verdana"/>
          <w:sz w:val="16"/>
          <w:szCs w:val="16"/>
        </w:rPr>
      </w:pPr>
      <w:r w:rsidRPr="00415EE7">
        <w:rPr>
          <w:rFonts w:ascii="Verdana" w:hAnsi="Verdana"/>
          <w:sz w:val="16"/>
          <w:szCs w:val="16"/>
        </w:rPr>
        <w:t xml:space="preserve">2. Valor de ventas brutas anuales. </w:t>
      </w:r>
    </w:p>
    <w:p w14:paraId="039BD3EA" w14:textId="77777777" w:rsidR="00855608" w:rsidRPr="00415EE7" w:rsidRDefault="00855608" w:rsidP="00855608">
      <w:pPr>
        <w:pStyle w:val="Textonotapie"/>
        <w:ind w:firstLine="709"/>
        <w:jc w:val="both"/>
        <w:rPr>
          <w:rFonts w:ascii="Verdana" w:hAnsi="Verdana"/>
          <w:sz w:val="16"/>
          <w:szCs w:val="16"/>
        </w:rPr>
      </w:pPr>
      <w:r w:rsidRPr="00415EE7">
        <w:rPr>
          <w:rFonts w:ascii="Verdana" w:hAnsi="Verdana"/>
          <w:sz w:val="16"/>
          <w:szCs w:val="16"/>
        </w:rPr>
        <w:t xml:space="preserve">3. Valor activos totales. </w:t>
      </w:r>
    </w:p>
    <w:p w14:paraId="0C1D5BFA" w14:textId="77777777" w:rsidR="00855608" w:rsidRPr="00415EE7" w:rsidRDefault="00855608" w:rsidP="00855608">
      <w:pPr>
        <w:pStyle w:val="Textonotapie"/>
        <w:ind w:firstLine="709"/>
        <w:jc w:val="both"/>
        <w:rPr>
          <w:rFonts w:ascii="Verdana" w:hAnsi="Verdana"/>
          <w:sz w:val="16"/>
          <w:szCs w:val="16"/>
        </w:rPr>
      </w:pPr>
      <w:r w:rsidRPr="00415EE7">
        <w:rPr>
          <w:rFonts w:ascii="Verdana" w:hAnsi="Verdana"/>
          <w:sz w:val="16"/>
          <w:szCs w:val="16"/>
        </w:rPr>
        <w:t xml:space="preserve">Para efectos de los beneficios otorgados por el Gobierno nacional a las micro, pequeñas y medianas empresas el criterio determinante será el valor de ventas brutas anuales. </w:t>
      </w:r>
    </w:p>
    <w:p w14:paraId="5D5E407D" w14:textId="77777777" w:rsidR="00855608" w:rsidRPr="00415EE7" w:rsidRDefault="00855608" w:rsidP="00855608">
      <w:pPr>
        <w:pStyle w:val="Textonotapie"/>
        <w:ind w:firstLine="709"/>
        <w:jc w:val="both"/>
        <w:rPr>
          <w:rFonts w:ascii="Verdana" w:hAnsi="Verdana"/>
          <w:sz w:val="16"/>
          <w:szCs w:val="16"/>
        </w:rPr>
      </w:pPr>
      <w:r w:rsidRPr="00415EE7">
        <w:rPr>
          <w:rFonts w:ascii="Verdana" w:hAnsi="Verdana"/>
          <w:sz w:val="16"/>
          <w:szCs w:val="16"/>
        </w:rPr>
        <w:t xml:space="preserve">Parágrafo 1°. El Gobierno Nacional reglamentará los rangos que aplicarán para los tres criterios e incluirá especificidades sectoriales en los casos que considere necesario. </w:t>
      </w:r>
    </w:p>
    <w:p w14:paraId="03DCDDDF" w14:textId="77777777" w:rsidR="00855608" w:rsidRPr="008922D1" w:rsidRDefault="00855608" w:rsidP="00855608">
      <w:pPr>
        <w:pStyle w:val="Textonotapie"/>
        <w:ind w:firstLine="709"/>
        <w:jc w:val="both"/>
        <w:rPr>
          <w:rFonts w:ascii="Verdana" w:hAnsi="Verdana"/>
          <w:sz w:val="16"/>
          <w:szCs w:val="16"/>
        </w:rPr>
      </w:pPr>
      <w:r w:rsidRPr="00415EE7">
        <w:rPr>
          <w:rFonts w:ascii="Verdana" w:hAnsi="Verdana"/>
          <w:sz w:val="16"/>
          <w:szCs w:val="16"/>
        </w:rPr>
        <w:t>Parágrafo 2°. Las definiciones contenidas en el artículo 2° de la Ley 590 de 2000 continuarán vigentes hasta tanto entren a regir las normas reglamentarias que profiera el Gobierno Nacional en desarrollo de lo previsto en el presente artículo</w:t>
      </w:r>
      <w:r w:rsidRPr="00415EE7">
        <w:rPr>
          <w:rFonts w:ascii="Verdana" w:hAnsi="Verdana" w:cs="Arial"/>
          <w:sz w:val="16"/>
          <w:szCs w:val="16"/>
        </w:rPr>
        <w:t>”.</w:t>
      </w:r>
    </w:p>
  </w:footnote>
  <w:footnote w:id="4">
    <w:p w14:paraId="3557F7C0" w14:textId="77777777" w:rsidR="00855608" w:rsidRPr="00311100" w:rsidRDefault="00855608" w:rsidP="00855608">
      <w:pPr>
        <w:pStyle w:val="Textonotapie"/>
        <w:ind w:firstLine="708"/>
        <w:rPr>
          <w:rFonts w:ascii="Verdana" w:hAnsi="Verdana" w:cs="Arial"/>
          <w:sz w:val="16"/>
          <w:szCs w:val="16"/>
          <w:lang w:val="es-ES"/>
        </w:rPr>
      </w:pPr>
      <w:r w:rsidRPr="00311100">
        <w:rPr>
          <w:rStyle w:val="Refdenotaalpie"/>
          <w:rFonts w:ascii="Verdana" w:hAnsi="Verdana" w:cs="Arial"/>
          <w:sz w:val="16"/>
          <w:szCs w:val="16"/>
        </w:rPr>
        <w:footnoteRef/>
      </w:r>
      <w:r w:rsidRPr="00311100">
        <w:rPr>
          <w:rFonts w:ascii="Verdana" w:hAnsi="Verdana" w:cs="Arial"/>
          <w:sz w:val="16"/>
          <w:szCs w:val="16"/>
        </w:rPr>
        <w:t xml:space="preserve"> </w:t>
      </w:r>
      <w:r w:rsidRPr="00311100">
        <w:rPr>
          <w:rFonts w:ascii="Verdana" w:hAnsi="Verdana"/>
          <w:sz w:val="16"/>
          <w:szCs w:val="16"/>
        </w:rPr>
        <w:t>Artículo 2.2.1.13.2.2. del Decreto 1074 de 2015, adicionado por el Decreto 957 de 2019.</w:t>
      </w:r>
    </w:p>
  </w:footnote>
  <w:footnote w:id="5">
    <w:p w14:paraId="0AC855B9" w14:textId="77777777" w:rsidR="00855608" w:rsidRPr="00415EE7" w:rsidRDefault="00855608" w:rsidP="00855608">
      <w:pPr>
        <w:pStyle w:val="Textonotapie"/>
        <w:ind w:firstLine="709"/>
        <w:jc w:val="both"/>
        <w:rPr>
          <w:rFonts w:ascii="Verdana" w:hAnsi="Verdana" w:cs="Arial"/>
          <w:sz w:val="16"/>
          <w:szCs w:val="16"/>
          <w:lang w:val="es-CO"/>
        </w:rPr>
      </w:pPr>
      <w:r w:rsidRPr="00415EE7">
        <w:rPr>
          <w:rStyle w:val="Refdenotaalpie"/>
          <w:rFonts w:ascii="Verdana" w:hAnsi="Verdana" w:cs="Arial"/>
          <w:sz w:val="16"/>
          <w:szCs w:val="16"/>
        </w:rPr>
        <w:footnoteRef/>
      </w:r>
      <w:r w:rsidRPr="00415EE7">
        <w:rPr>
          <w:rFonts w:ascii="Verdana" w:hAnsi="Verdana" w:cs="Arial"/>
          <w:sz w:val="16"/>
          <w:szCs w:val="16"/>
        </w:rPr>
        <w:t xml:space="preserve"> Ley 2069 de 2020: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 w:id="6">
    <w:p w14:paraId="428D4CEF" w14:textId="77777777" w:rsidR="00855608" w:rsidRPr="00311100" w:rsidRDefault="00855608" w:rsidP="00855608">
      <w:pPr>
        <w:pStyle w:val="Textonotapie"/>
        <w:ind w:firstLine="708"/>
        <w:rPr>
          <w:rFonts w:ascii="Verdana" w:hAnsi="Verdana"/>
          <w:sz w:val="16"/>
          <w:szCs w:val="16"/>
        </w:rPr>
      </w:pPr>
    </w:p>
    <w:p w14:paraId="41CD458A" w14:textId="77777777" w:rsidR="00855608" w:rsidRPr="00311100" w:rsidRDefault="00855608" w:rsidP="00855608">
      <w:pPr>
        <w:pStyle w:val="Textonotapie"/>
        <w:ind w:firstLine="708"/>
        <w:jc w:val="both"/>
        <w:rPr>
          <w:rFonts w:ascii="Verdana" w:hAnsi="Verdana"/>
          <w:sz w:val="16"/>
          <w:szCs w:val="16"/>
        </w:rPr>
      </w:pPr>
      <w:r w:rsidRPr="00311100">
        <w:rPr>
          <w:rStyle w:val="Refdenotaalpie"/>
          <w:rFonts w:ascii="Verdana" w:hAnsi="Verdana"/>
          <w:sz w:val="16"/>
          <w:szCs w:val="16"/>
        </w:rPr>
        <w:footnoteRef/>
      </w:r>
      <w:r w:rsidRPr="00311100">
        <w:rPr>
          <w:rFonts w:ascii="Verdana" w:hAnsi="Verdana"/>
          <w:sz w:val="16"/>
          <w:szCs w:val="16"/>
        </w:rPr>
        <w:t xml:space="preserve"> </w:t>
      </w:r>
      <w:r w:rsidRPr="00311100">
        <w:rPr>
          <w:rFonts w:ascii="Verdana" w:eastAsia="Calibri" w:hAnsi="Verdana" w:cs="Arial"/>
          <w:color w:val="000000" w:themeColor="text1"/>
          <w:sz w:val="16"/>
          <w:szCs w:val="16"/>
          <w:lang w:val="es-ES_tradnl"/>
        </w:rPr>
        <w:t>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r w:rsidRPr="00311100">
        <w:rPr>
          <w:rFonts w:ascii="Verdana" w:hAnsi="Verdana"/>
          <w:sz w:val="16"/>
          <w:szCs w:val="16"/>
        </w:rPr>
        <w:t xml:space="preserve"> </w:t>
      </w:r>
    </w:p>
  </w:footnote>
  <w:footnote w:id="7">
    <w:p w14:paraId="7AF19B5E" w14:textId="77777777" w:rsidR="00855608" w:rsidRPr="00311100" w:rsidRDefault="00855608" w:rsidP="00855608">
      <w:pPr>
        <w:pStyle w:val="Textonotapie"/>
        <w:ind w:firstLine="708"/>
        <w:rPr>
          <w:rFonts w:ascii="Verdana" w:hAnsi="Verdana"/>
          <w:sz w:val="16"/>
          <w:szCs w:val="16"/>
        </w:rPr>
      </w:pPr>
    </w:p>
    <w:p w14:paraId="21E255FE" w14:textId="77777777" w:rsidR="00855608" w:rsidRPr="00311100" w:rsidRDefault="00855608" w:rsidP="00855608">
      <w:pPr>
        <w:spacing w:after="0" w:line="240" w:lineRule="auto"/>
        <w:ind w:firstLine="708"/>
        <w:jc w:val="both"/>
        <w:rPr>
          <w:rFonts w:ascii="Verdana" w:hAnsi="Verdana" w:cs="Arial"/>
          <w:color w:val="000000" w:themeColor="text1"/>
          <w:sz w:val="16"/>
          <w:szCs w:val="16"/>
          <w:lang w:val="es-ES_tradnl"/>
        </w:rPr>
      </w:pPr>
      <w:r w:rsidRPr="00311100">
        <w:rPr>
          <w:rStyle w:val="Refdenotaalpie"/>
          <w:rFonts w:ascii="Verdana" w:hAnsi="Verdana"/>
          <w:sz w:val="16"/>
          <w:szCs w:val="16"/>
        </w:rPr>
        <w:footnoteRef/>
      </w:r>
      <w:r w:rsidRPr="00311100">
        <w:rPr>
          <w:rFonts w:ascii="Verdana" w:hAnsi="Verdana"/>
          <w:sz w:val="16"/>
          <w:szCs w:val="16"/>
        </w:rPr>
        <w:t xml:space="preserve">  </w:t>
      </w:r>
      <w:r w:rsidRPr="00311100">
        <w:rPr>
          <w:rFonts w:ascii="Verdana" w:hAnsi="Verdana" w:cs="Arial"/>
          <w:color w:val="000000" w:themeColor="text1"/>
          <w:sz w:val="16"/>
          <w:szCs w:val="16"/>
          <w:lang w:val="es-ES_tradnl"/>
        </w:rPr>
        <w:t>E</w:t>
      </w:r>
      <w:r w:rsidRPr="00311100">
        <w:rPr>
          <w:rFonts w:ascii="Verdana" w:eastAsia="Calibri" w:hAnsi="Verdana" w:cs="Arial"/>
          <w:color w:val="000000" w:themeColor="text1"/>
          <w:sz w:val="16"/>
          <w:szCs w:val="16"/>
          <w:lang w:val="es-ES_tradnl"/>
        </w:rPr>
        <w:t xml:space="preserve">l artículo 2 de la Ley 2143 de 2021 establece la naturaleza </w:t>
      </w:r>
      <w:r w:rsidRPr="00C057A0">
        <w:rPr>
          <w:rFonts w:ascii="Verdana" w:eastAsia="Calibri" w:hAnsi="Verdana" w:cs="Arial"/>
          <w:color w:val="000000" w:themeColor="text1"/>
          <w:sz w:val="16"/>
          <w:szCs w:val="16"/>
          <w:lang w:val="es-ES_tradnl"/>
        </w:rPr>
        <w:t>jurídica</w:t>
      </w:r>
      <w:r w:rsidRPr="00311100">
        <w:rPr>
          <w:rFonts w:ascii="Verdana" w:eastAsia="Calibri" w:hAnsi="Verdana" w:cs="Arial"/>
          <w:color w:val="000000" w:themeColor="text1"/>
          <w:sz w:val="16"/>
          <w:szCs w:val="16"/>
          <w:lang w:val="es-ES_tradnl"/>
        </w:rPr>
        <w:t xml:space="preserve"> de las asociaciones mutualistas, estableciendo que:</w:t>
      </w:r>
      <w:r w:rsidRPr="00311100">
        <w:rPr>
          <w:rFonts w:ascii="Verdana" w:hAnsi="Verdana" w:cs="Arial"/>
          <w:color w:val="000000" w:themeColor="text1"/>
          <w:sz w:val="16"/>
          <w:szCs w:val="16"/>
          <w:lang w:val="es-ES_tradnl"/>
        </w:rPr>
        <w:t xml:space="preserve"> </w:t>
      </w:r>
      <w:r w:rsidRPr="00311100">
        <w:rPr>
          <w:rFonts w:ascii="Verdana" w:hAnsi="Verdana" w:cs="Arial"/>
          <w:i/>
          <w:iCs/>
          <w:color w:val="000000" w:themeColor="text1"/>
          <w:sz w:val="16"/>
          <w:szCs w:val="16"/>
          <w:lang w:val="es-ES_tradnl"/>
        </w:rPr>
        <w:t>“Las asociaciones mutualistas son empresas de economía solidaria, de derecho privado, cuya naturaleza es sin ánimo de lucro</w:t>
      </w:r>
      <w:r w:rsidRPr="00311100">
        <w:rPr>
          <w:rFonts w:ascii="Verdana" w:hAnsi="Verdana" w:cs="Arial"/>
          <w:color w:val="000000" w:themeColor="text1"/>
          <w:sz w:val="16"/>
          <w:szCs w:val="16"/>
          <w:lang w:val="es-ES_tradnl"/>
        </w:rPr>
        <w:t xml:space="preserve">, inspiradas en la solidaridad, con fines de interés social, constituidas libre y democráticamente por la asociación de personas naturales, personas jurídicas sin ánimo de lucro, o la mezcla de las anteriores, que se comprometen a realizar contribuciones al fondo social mutual, con el objeto de ayudarse mutuamente para la satisfacción de sus necesidades y de la comunidad en general, siempre en razón del interés social o del bienestar colectivo. </w:t>
      </w:r>
    </w:p>
    <w:p w14:paraId="0309BA08" w14:textId="77777777" w:rsidR="00855608" w:rsidRPr="00311100" w:rsidRDefault="00855608" w:rsidP="00855608">
      <w:pPr>
        <w:spacing w:after="0" w:line="240" w:lineRule="auto"/>
        <w:ind w:firstLine="708"/>
        <w:jc w:val="both"/>
        <w:rPr>
          <w:rFonts w:ascii="Verdana" w:eastAsia="Calibri" w:hAnsi="Verdana" w:cs="Arial"/>
          <w:color w:val="000000" w:themeColor="text1"/>
          <w:sz w:val="16"/>
          <w:szCs w:val="16"/>
          <w:lang w:val="es-ES_tradnl"/>
        </w:rPr>
      </w:pPr>
      <w:r w:rsidRPr="00311100">
        <w:rPr>
          <w:rFonts w:ascii="Verdana" w:hAnsi="Verdana" w:cs="Arial"/>
          <w:color w:val="000000" w:themeColor="text1"/>
          <w:sz w:val="16"/>
          <w:szCs w:val="16"/>
          <w:lang w:val="es-ES_tradnl"/>
        </w:rPr>
        <w:t>Las asociaciones mutualistas podrán realizar todo tipo de actividades relacionadas con la previsión, la promoción, la protección social, así como constituir y organizar emprendimientos asociativos para la producción de bienes y otros servicios buscando el mejoramiento económico, cultural y social de sus asociados y la comunidad”</w:t>
      </w:r>
      <w:r w:rsidRPr="00311100">
        <w:rPr>
          <w:rFonts w:ascii="Verdana" w:eastAsia="Calibri" w:hAnsi="Verdana" w:cs="Arial"/>
          <w:color w:val="000000" w:themeColor="text1"/>
          <w:sz w:val="16"/>
          <w:szCs w:val="16"/>
          <w:lang w:val="es-ES_tradnl"/>
        </w:rPr>
        <w:t>.</w:t>
      </w:r>
    </w:p>
    <w:p w14:paraId="273286B2" w14:textId="77777777" w:rsidR="00855608" w:rsidRPr="00311100" w:rsidRDefault="00855608" w:rsidP="00855608">
      <w:pPr>
        <w:pStyle w:val="Textonotapie"/>
        <w:ind w:firstLine="708"/>
        <w:rPr>
          <w:rFonts w:ascii="Verdana" w:hAnsi="Verdana"/>
          <w:sz w:val="16"/>
          <w:szCs w:val="16"/>
          <w:lang w:val="es-ES_tradnl"/>
        </w:rPr>
      </w:pPr>
    </w:p>
  </w:footnote>
  <w:footnote w:id="8">
    <w:p w14:paraId="58662093" w14:textId="77777777" w:rsidR="00855608" w:rsidRPr="00311100" w:rsidRDefault="00855608" w:rsidP="00855608">
      <w:pPr>
        <w:pStyle w:val="Textonotapie"/>
        <w:ind w:firstLine="708"/>
        <w:jc w:val="both"/>
        <w:rPr>
          <w:rFonts w:ascii="Verdana" w:hAnsi="Verdana"/>
          <w:sz w:val="16"/>
          <w:szCs w:val="16"/>
        </w:rPr>
      </w:pPr>
      <w:r w:rsidRPr="00311100">
        <w:rPr>
          <w:rStyle w:val="Refdenotaalpie"/>
          <w:rFonts w:ascii="Verdana" w:hAnsi="Verdana"/>
          <w:sz w:val="16"/>
          <w:szCs w:val="16"/>
        </w:rPr>
        <w:footnoteRef/>
      </w:r>
      <w:r w:rsidRPr="00311100">
        <w:rPr>
          <w:rFonts w:ascii="Verdana" w:hAnsi="Verdana"/>
          <w:sz w:val="16"/>
          <w:szCs w:val="16"/>
        </w:rPr>
        <w:t xml:space="preserve"> El artículo 2 de la Ley 454 de 1998 define a la economía solidaría como el</w:t>
      </w:r>
      <w:r w:rsidRPr="00311100">
        <w:rPr>
          <w:rFonts w:ascii="Verdana" w:hAnsi="Verdana"/>
          <w:sz w:val="16"/>
          <w:szCs w:val="16"/>
          <w:lang w:val="es-CO"/>
        </w:rPr>
        <w:t xml:space="preserve"> “</w:t>
      </w:r>
      <w:r>
        <w:rPr>
          <w:rFonts w:ascii="Verdana" w:hAnsi="Verdana"/>
          <w:sz w:val="16"/>
          <w:szCs w:val="16"/>
          <w:lang w:val="es-CO"/>
        </w:rPr>
        <w:t>(</w:t>
      </w:r>
      <w:r w:rsidRPr="00311100">
        <w:rPr>
          <w:rFonts w:ascii="Verdana" w:hAnsi="Verdana"/>
          <w:sz w:val="16"/>
          <w:szCs w:val="16"/>
          <w:lang w:val="es-CO"/>
        </w:rPr>
        <w:t>…</w:t>
      </w:r>
      <w:r>
        <w:rPr>
          <w:rFonts w:ascii="Verdana" w:hAnsi="Verdana"/>
          <w:sz w:val="16"/>
          <w:szCs w:val="16"/>
          <w:lang w:val="es-CO"/>
        </w:rPr>
        <w:t>)</w:t>
      </w:r>
      <w:r w:rsidRPr="00311100">
        <w:rPr>
          <w:rFonts w:ascii="Verdana" w:hAnsi="Verdana"/>
          <w:sz w:val="16"/>
          <w:szCs w:val="16"/>
          <w:lang w:val="es-CO"/>
        </w:rPr>
        <w:t xml:space="preserve">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 En concordancia con esto, el artículo 6 de dicha ley caracteriza a las organizaciones de economía solidaria estableciendo que estas son “</w:t>
      </w:r>
      <w:r>
        <w:rPr>
          <w:rFonts w:ascii="Verdana" w:hAnsi="Verdana"/>
          <w:sz w:val="16"/>
          <w:szCs w:val="16"/>
          <w:lang w:val="es-CO"/>
        </w:rPr>
        <w:t>(</w:t>
      </w:r>
      <w:r w:rsidRPr="00311100">
        <w:rPr>
          <w:rFonts w:ascii="Verdana" w:hAnsi="Verdana"/>
          <w:sz w:val="16"/>
          <w:szCs w:val="16"/>
          <w:lang w:val="es-CO"/>
        </w:rPr>
        <w:t>…</w:t>
      </w:r>
      <w:r>
        <w:rPr>
          <w:rFonts w:ascii="Verdana" w:hAnsi="Verdana"/>
          <w:sz w:val="16"/>
          <w:szCs w:val="16"/>
          <w:lang w:val="es-CO"/>
        </w:rPr>
        <w:t>)</w:t>
      </w:r>
      <w:r w:rsidRPr="00311100">
        <w:rPr>
          <w:rFonts w:ascii="Verdana" w:hAnsi="Verdana"/>
          <w:sz w:val="16"/>
          <w:szCs w:val="16"/>
          <w:lang w:val="es-CO"/>
        </w:rPr>
        <w:t xml:space="preserve">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w:t>
      </w:r>
      <w:r>
        <w:rPr>
          <w:rFonts w:ascii="Verdana" w:hAnsi="Verdana"/>
          <w:sz w:val="16"/>
          <w:szCs w:val="16"/>
          <w:lang w:val="es-CO"/>
        </w:rPr>
        <w:t>(</w:t>
      </w:r>
      <w:r w:rsidRPr="00311100">
        <w:rPr>
          <w:rFonts w:ascii="Verdana" w:hAnsi="Verdana"/>
          <w:sz w:val="16"/>
          <w:szCs w:val="16"/>
          <w:lang w:val="es-CO"/>
        </w:rPr>
        <w:t>…</w:t>
      </w:r>
      <w:r>
        <w:rPr>
          <w:rFonts w:ascii="Verdana" w:hAnsi="Verdana"/>
          <w:sz w:val="16"/>
          <w:szCs w:val="16"/>
          <w:lang w:val="es-CO"/>
        </w:rPr>
        <w:t>)</w:t>
      </w:r>
      <w:r w:rsidRPr="00311100">
        <w:rPr>
          <w:rFonts w:ascii="Verdana" w:hAnsi="Verdan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4pt;height:14.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6F022D9"/>
    <w:multiLevelType w:val="hybridMultilevel"/>
    <w:tmpl w:val="EDA4693E"/>
    <w:lvl w:ilvl="0" w:tplc="405EC3D8">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BB1505"/>
    <w:multiLevelType w:val="multilevel"/>
    <w:tmpl w:val="0B14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num>
  <w:num w:numId="7">
    <w:abstractNumId w:val="7"/>
  </w:num>
  <w:num w:numId="8">
    <w:abstractNumId w:val="14"/>
  </w:num>
  <w:num w:numId="9">
    <w:abstractNumId w:val="9"/>
  </w:num>
  <w:num w:numId="10">
    <w:abstractNumId w:val="13"/>
  </w:num>
  <w:num w:numId="11">
    <w:abstractNumId w:val="10"/>
  </w:num>
  <w:num w:numId="12">
    <w:abstractNumId w:val="1"/>
  </w:num>
  <w:num w:numId="13">
    <w:abstractNumId w:val="4"/>
  </w:num>
  <w:num w:numId="14">
    <w:abstractNumId w:val="17"/>
  </w:num>
  <w:num w:numId="15">
    <w:abstractNumId w:val="12"/>
  </w:num>
  <w:num w:numId="16">
    <w:abstractNumId w:val="0"/>
  </w:num>
  <w:num w:numId="17">
    <w:abstractNumId w:val="11"/>
  </w:num>
  <w:num w:numId="18">
    <w:abstractNumId w:val="3"/>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73FDF"/>
    <w:rsid w:val="00082362"/>
    <w:rsid w:val="0009132B"/>
    <w:rsid w:val="00092080"/>
    <w:rsid w:val="000A683E"/>
    <w:rsid w:val="000B19B9"/>
    <w:rsid w:val="000D0334"/>
    <w:rsid w:val="000D236A"/>
    <w:rsid w:val="000F6486"/>
    <w:rsid w:val="00125105"/>
    <w:rsid w:val="00127233"/>
    <w:rsid w:val="001511A0"/>
    <w:rsid w:val="00152814"/>
    <w:rsid w:val="0015597A"/>
    <w:rsid w:val="001C6282"/>
    <w:rsid w:val="001E4177"/>
    <w:rsid w:val="001F7DC6"/>
    <w:rsid w:val="002421BB"/>
    <w:rsid w:val="0025796E"/>
    <w:rsid w:val="002707A2"/>
    <w:rsid w:val="002951A0"/>
    <w:rsid w:val="002962BC"/>
    <w:rsid w:val="002A093D"/>
    <w:rsid w:val="002A0DD0"/>
    <w:rsid w:val="002A49AC"/>
    <w:rsid w:val="002A64FD"/>
    <w:rsid w:val="002C7A84"/>
    <w:rsid w:val="002D1340"/>
    <w:rsid w:val="002E4FD9"/>
    <w:rsid w:val="002F2390"/>
    <w:rsid w:val="00312A32"/>
    <w:rsid w:val="00322A85"/>
    <w:rsid w:val="00324168"/>
    <w:rsid w:val="00334C61"/>
    <w:rsid w:val="00343C7E"/>
    <w:rsid w:val="003448F4"/>
    <w:rsid w:val="00374F5E"/>
    <w:rsid w:val="00377E3E"/>
    <w:rsid w:val="003A779E"/>
    <w:rsid w:val="003D0F4D"/>
    <w:rsid w:val="003D5B0D"/>
    <w:rsid w:val="003E0499"/>
    <w:rsid w:val="003E3D0D"/>
    <w:rsid w:val="003F3941"/>
    <w:rsid w:val="0040650F"/>
    <w:rsid w:val="00406575"/>
    <w:rsid w:val="00414C74"/>
    <w:rsid w:val="0042722E"/>
    <w:rsid w:val="0044528D"/>
    <w:rsid w:val="00457285"/>
    <w:rsid w:val="004A1847"/>
    <w:rsid w:val="004A305D"/>
    <w:rsid w:val="004F21C4"/>
    <w:rsid w:val="004F685F"/>
    <w:rsid w:val="005566E8"/>
    <w:rsid w:val="00574867"/>
    <w:rsid w:val="00591460"/>
    <w:rsid w:val="005A2A40"/>
    <w:rsid w:val="005B3816"/>
    <w:rsid w:val="005C16B7"/>
    <w:rsid w:val="005C3777"/>
    <w:rsid w:val="005C5CDC"/>
    <w:rsid w:val="005D476C"/>
    <w:rsid w:val="006219F8"/>
    <w:rsid w:val="00665D70"/>
    <w:rsid w:val="00680F0D"/>
    <w:rsid w:val="00684CB1"/>
    <w:rsid w:val="006900D9"/>
    <w:rsid w:val="006C524E"/>
    <w:rsid w:val="00706C16"/>
    <w:rsid w:val="00756841"/>
    <w:rsid w:val="007649AB"/>
    <w:rsid w:val="00771D0C"/>
    <w:rsid w:val="00774ACC"/>
    <w:rsid w:val="007833AC"/>
    <w:rsid w:val="007846EA"/>
    <w:rsid w:val="007A17F5"/>
    <w:rsid w:val="007B06F5"/>
    <w:rsid w:val="007B268C"/>
    <w:rsid w:val="007B7171"/>
    <w:rsid w:val="007C0C0F"/>
    <w:rsid w:val="007C3DC2"/>
    <w:rsid w:val="007E5497"/>
    <w:rsid w:val="0080463F"/>
    <w:rsid w:val="00806F5F"/>
    <w:rsid w:val="00820278"/>
    <w:rsid w:val="00855608"/>
    <w:rsid w:val="00862E6E"/>
    <w:rsid w:val="008677C3"/>
    <w:rsid w:val="00867F95"/>
    <w:rsid w:val="008843B6"/>
    <w:rsid w:val="00891928"/>
    <w:rsid w:val="008A446D"/>
    <w:rsid w:val="008D031A"/>
    <w:rsid w:val="008D180B"/>
    <w:rsid w:val="008F0EA7"/>
    <w:rsid w:val="00923EEF"/>
    <w:rsid w:val="009419F9"/>
    <w:rsid w:val="0095685E"/>
    <w:rsid w:val="00961B09"/>
    <w:rsid w:val="00965334"/>
    <w:rsid w:val="0097093E"/>
    <w:rsid w:val="00986623"/>
    <w:rsid w:val="00986AC5"/>
    <w:rsid w:val="009A0DFA"/>
    <w:rsid w:val="009B2D26"/>
    <w:rsid w:val="009C71FA"/>
    <w:rsid w:val="009C72E7"/>
    <w:rsid w:val="009D3058"/>
    <w:rsid w:val="009F3A13"/>
    <w:rsid w:val="00A122D3"/>
    <w:rsid w:val="00A17F13"/>
    <w:rsid w:val="00A20739"/>
    <w:rsid w:val="00A25A76"/>
    <w:rsid w:val="00A33C78"/>
    <w:rsid w:val="00AB0ADB"/>
    <w:rsid w:val="00B01B1A"/>
    <w:rsid w:val="00B0334B"/>
    <w:rsid w:val="00B1437D"/>
    <w:rsid w:val="00B523E8"/>
    <w:rsid w:val="00B66319"/>
    <w:rsid w:val="00B72CD3"/>
    <w:rsid w:val="00B72FFF"/>
    <w:rsid w:val="00B7626D"/>
    <w:rsid w:val="00BC3D36"/>
    <w:rsid w:val="00BD7F72"/>
    <w:rsid w:val="00C04FB3"/>
    <w:rsid w:val="00C330EB"/>
    <w:rsid w:val="00C41061"/>
    <w:rsid w:val="00C422C1"/>
    <w:rsid w:val="00C5267C"/>
    <w:rsid w:val="00C55F09"/>
    <w:rsid w:val="00C754BE"/>
    <w:rsid w:val="00C76B1C"/>
    <w:rsid w:val="00C973BC"/>
    <w:rsid w:val="00CB6357"/>
    <w:rsid w:val="00CC1B26"/>
    <w:rsid w:val="00CF3E55"/>
    <w:rsid w:val="00D00C5C"/>
    <w:rsid w:val="00D20F28"/>
    <w:rsid w:val="00D423A2"/>
    <w:rsid w:val="00D520D8"/>
    <w:rsid w:val="00D56920"/>
    <w:rsid w:val="00D63AC2"/>
    <w:rsid w:val="00D7383B"/>
    <w:rsid w:val="00DA231B"/>
    <w:rsid w:val="00DC39FC"/>
    <w:rsid w:val="00DC58BB"/>
    <w:rsid w:val="00DF5254"/>
    <w:rsid w:val="00E16408"/>
    <w:rsid w:val="00E20894"/>
    <w:rsid w:val="00E245AB"/>
    <w:rsid w:val="00E2764C"/>
    <w:rsid w:val="00E27F2E"/>
    <w:rsid w:val="00E50AFE"/>
    <w:rsid w:val="00E75C92"/>
    <w:rsid w:val="00E771DC"/>
    <w:rsid w:val="00E8772A"/>
    <w:rsid w:val="00E90F6B"/>
    <w:rsid w:val="00E92C27"/>
    <w:rsid w:val="00EA0E3D"/>
    <w:rsid w:val="00EA7B31"/>
    <w:rsid w:val="00EC38A7"/>
    <w:rsid w:val="00ED7384"/>
    <w:rsid w:val="00EE1AA8"/>
    <w:rsid w:val="00F05EEC"/>
    <w:rsid w:val="00F31EDC"/>
    <w:rsid w:val="00F4619C"/>
    <w:rsid w:val="00F462B3"/>
    <w:rsid w:val="00F51D78"/>
    <w:rsid w:val="00F5664F"/>
    <w:rsid w:val="00F666C4"/>
    <w:rsid w:val="00F76AFC"/>
    <w:rsid w:val="00F93A6A"/>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F4619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4619C"/>
    <w:rPr>
      <w:rFonts w:ascii="Geomanist Light" w:hAnsi="Geomanist Light"/>
      <w:lang w:val="es-ES"/>
    </w:rPr>
  </w:style>
  <w:style w:type="character" w:styleId="Textoennegrita">
    <w:name w:val="Strong"/>
    <w:basedOn w:val="Fuentedeprrafopredeter"/>
    <w:uiPriority w:val="22"/>
    <w:qFormat/>
    <w:rsid w:val="00F4619C"/>
    <w:rPr>
      <w:b/>
      <w:bCs/>
    </w:rPr>
  </w:style>
  <w:style w:type="character" w:styleId="nfasis">
    <w:name w:val="Emphasis"/>
    <w:basedOn w:val="Fuentedeprrafopredeter"/>
    <w:uiPriority w:val="20"/>
    <w:qFormat/>
    <w:rsid w:val="00F4619C"/>
    <w:rPr>
      <w:i/>
      <w:iCs/>
    </w:rPr>
  </w:style>
  <w:style w:type="character" w:customStyle="1" w:styleId="NormalWebCar">
    <w:name w:val="Normal (Web) Car"/>
    <w:link w:val="NormalWeb"/>
    <w:uiPriority w:val="99"/>
    <w:rsid w:val="00F4619C"/>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152814"/>
    <w:rPr>
      <w:sz w:val="16"/>
      <w:szCs w:val="16"/>
    </w:rPr>
  </w:style>
  <w:style w:type="paragraph" w:styleId="Textocomentario">
    <w:name w:val="annotation text"/>
    <w:basedOn w:val="Normal"/>
    <w:link w:val="TextocomentarioCar"/>
    <w:uiPriority w:val="99"/>
    <w:semiHidden/>
    <w:unhideWhenUsed/>
    <w:rsid w:val="00152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2814"/>
    <w:rPr>
      <w:sz w:val="20"/>
      <w:szCs w:val="20"/>
    </w:rPr>
  </w:style>
  <w:style w:type="paragraph" w:styleId="Asuntodelcomentario">
    <w:name w:val="annotation subject"/>
    <w:basedOn w:val="Textocomentario"/>
    <w:next w:val="Textocomentario"/>
    <w:link w:val="AsuntodelcomentarioCar"/>
    <w:uiPriority w:val="99"/>
    <w:semiHidden/>
    <w:unhideWhenUsed/>
    <w:rsid w:val="00152814"/>
    <w:rPr>
      <w:b/>
      <w:bCs/>
    </w:rPr>
  </w:style>
  <w:style w:type="character" w:customStyle="1" w:styleId="AsuntodelcomentarioCar">
    <w:name w:val="Asunto del comentario Car"/>
    <w:basedOn w:val="TextocomentarioCar"/>
    <w:link w:val="Asuntodelcomentario"/>
    <w:uiPriority w:val="99"/>
    <w:semiHidden/>
    <w:rsid w:val="00152814"/>
    <w:rPr>
      <w:b/>
      <w:bCs/>
      <w:sz w:val="20"/>
      <w:szCs w:val="20"/>
    </w:rPr>
  </w:style>
  <w:style w:type="paragraph" w:styleId="Textodeglobo">
    <w:name w:val="Balloon Text"/>
    <w:basedOn w:val="Normal"/>
    <w:link w:val="TextodegloboCar"/>
    <w:uiPriority w:val="99"/>
    <w:semiHidden/>
    <w:unhideWhenUsed/>
    <w:rsid w:val="00334C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5712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49501526">
      <w:bodyDiv w:val="1"/>
      <w:marLeft w:val="0"/>
      <w:marRight w:val="0"/>
      <w:marTop w:val="0"/>
      <w:marBottom w:val="0"/>
      <w:divBdr>
        <w:top w:val="none" w:sz="0" w:space="0" w:color="auto"/>
        <w:left w:val="none" w:sz="0" w:space="0" w:color="auto"/>
        <w:bottom w:val="none" w:sz="0" w:space="0" w:color="auto"/>
        <w:right w:val="none" w:sz="0" w:space="0" w:color="auto"/>
      </w:divBdr>
      <w:divsChild>
        <w:div w:id="1916667692">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684281618">
      <w:bodyDiv w:val="1"/>
      <w:marLeft w:val="0"/>
      <w:marRight w:val="0"/>
      <w:marTop w:val="0"/>
      <w:marBottom w:val="0"/>
      <w:divBdr>
        <w:top w:val="none" w:sz="0" w:space="0" w:color="auto"/>
        <w:left w:val="none" w:sz="0" w:space="0" w:color="auto"/>
        <w:bottom w:val="none" w:sz="0" w:space="0" w:color="auto"/>
        <w:right w:val="none" w:sz="0" w:space="0" w:color="auto"/>
      </w:divBdr>
      <w:divsChild>
        <w:div w:id="383914784">
          <w:marLeft w:val="0"/>
          <w:marRight w:val="0"/>
          <w:marTop w:val="0"/>
          <w:marBottom w:val="160"/>
          <w:divBdr>
            <w:top w:val="none" w:sz="0" w:space="0" w:color="auto"/>
            <w:left w:val="none" w:sz="0" w:space="0" w:color="auto"/>
            <w:bottom w:val="none" w:sz="0" w:space="0" w:color="auto"/>
            <w:right w:val="none" w:sz="0" w:space="0" w:color="auto"/>
          </w:divBdr>
        </w:div>
        <w:div w:id="1346253783">
          <w:marLeft w:val="0"/>
          <w:marRight w:val="0"/>
          <w:marTop w:val="0"/>
          <w:marBottom w:val="0"/>
          <w:divBdr>
            <w:top w:val="none" w:sz="0" w:space="0" w:color="auto"/>
            <w:left w:val="none" w:sz="0" w:space="0" w:color="auto"/>
            <w:bottom w:val="none" w:sz="0" w:space="0" w:color="auto"/>
            <w:right w:val="none" w:sz="0" w:space="0" w:color="auto"/>
          </w:divBdr>
        </w:div>
        <w:div w:id="1176269030">
          <w:marLeft w:val="0"/>
          <w:marRight w:val="0"/>
          <w:marTop w:val="0"/>
          <w:marBottom w:val="0"/>
          <w:divBdr>
            <w:top w:val="none" w:sz="0" w:space="0" w:color="auto"/>
            <w:left w:val="none" w:sz="0" w:space="0" w:color="auto"/>
            <w:bottom w:val="none" w:sz="0" w:space="0" w:color="auto"/>
            <w:right w:val="none" w:sz="0" w:space="0" w:color="auto"/>
          </w:divBdr>
        </w:div>
      </w:divsChild>
    </w:div>
    <w:div w:id="1791585565">
      <w:bodyDiv w:val="1"/>
      <w:marLeft w:val="0"/>
      <w:marRight w:val="0"/>
      <w:marTop w:val="0"/>
      <w:marBottom w:val="0"/>
      <w:divBdr>
        <w:top w:val="none" w:sz="0" w:space="0" w:color="auto"/>
        <w:left w:val="none" w:sz="0" w:space="0" w:color="auto"/>
        <w:bottom w:val="none" w:sz="0" w:space="0" w:color="auto"/>
        <w:right w:val="none" w:sz="0" w:space="0" w:color="auto"/>
      </w:divBdr>
      <w:divsChild>
        <w:div w:id="2055081744">
          <w:marLeft w:val="0"/>
          <w:marRight w:val="0"/>
          <w:marTop w:val="0"/>
          <w:marBottom w:val="0"/>
          <w:divBdr>
            <w:top w:val="none" w:sz="0" w:space="0" w:color="auto"/>
            <w:left w:val="none" w:sz="0" w:space="0" w:color="auto"/>
            <w:bottom w:val="none" w:sz="0" w:space="0" w:color="auto"/>
            <w:right w:val="none" w:sz="0" w:space="0" w:color="auto"/>
          </w:divBdr>
        </w:div>
      </w:divsChild>
    </w:div>
    <w:div w:id="199106032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jose.garcia%40colombiacompra.gov.co%7C5aad36a736844ec87b2108dcc1fa4639%7C7b09041e245149d08cb179d5e3d8c1be%7C0%7C0%7C638598527919569564%7CUnknown%7CTWFpbGZsb3d8eyJWIjoiMC4wLjAwMDAiLCJQIjoiV2luMzIiLCJBTiI6Ik1haWwiLCJXVCI6Mn0%3D%7C0%7C%7C%7C&amp;sdata=dxd5A4gL5eWAFf8ZLcaVWYdH0y65hi6R6J0wtaeazGQ%3D&amp;reserved=0" TargetMode="External"/><Relationship Id="rId18" Type="http://schemas.openxmlformats.org/officeDocument/2006/relationships/hyperlink" Target="https://nam02.safelinks.protection.outlook.com/?url=https%3A%2F%2Fwww.colombiacompra.gov.co%2Fsala-de-prensa%2Fboletin-digital&amp;data=05%7C02%7Csergio.rivera%40colombiacompra.gov.co%7C096eca3fdcca424ff1c708dcf932f947%7C7b09041e245149d08cb179d5e3d8c1be%7C0%7C0%7C638659244553971823%7CUnknown%7CTWFpbGZsb3d8eyJWIjoiMC4wLjAwMDAiLCJQIjoiV2luMzIiLCJBTiI6Ik1haWwiLCJXVCI6Mn0%3D%7C0%7C%7C%7C&amp;sdata=YW4blgNg37XDmE%2B6SKIl9zpbMXronWkhLhJ1GT27zZo%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vandariog@hotmail.com" TargetMode="External"/><Relationship Id="rId17" Type="http://schemas.openxmlformats.org/officeDocument/2006/relationships/hyperlink" Target="https://nam02.safelinks.protection.outlook.com/?url=https%3A%2F%2Fwww.colombiacompra.gov.co%2Fmanuales-guias-y-pliegos-tipo%2Fmanuales-y-guias%2Fguia-de-contratacion-publica-sostenible-y-socialmente&amp;data=05%7C02%7Csergio.rivera%40colombiacompra.gov.co%7Cb18b651bca3a4eb8eab008dd269b400d%7C7b09041e245149d08cb179d5e3d8c1be%7C0%7C0%7C638709170413851604%7CUnknown%7CTWFpbGZsb3d8eyJFbXB0eU1hcGkiOnRydWUsIlYiOiIwLjAuMDAwMCIsIlAiOiJXaW4zMiIsIkFOIjoiTWFpbCIsIldUIjoyfQ%3D%3D%7C0%7C%7C%7C&amp;sdata=lfRqgt0B5FJPc%2BJXBfSinJ%2BV9cT6cwXkbzEy4ovk8M4%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02-documentos-tipo-para-los-procesos-de-seleccion-de-consultoria-de-obra-publica-de&amp;data=05%7C02%7Csergio.rivera%40colombiacompra.gov.co%7Cb18b651bca3a4eb8eab008dd269b400d%7C7b09041e245149d08cb179d5e3d8c1be%7C0%7C0%7C638709170413833010%7CUnknown%7CTWFpbGZsb3d8eyJFbXB0eU1hcGkiOnRydWUsIlYiOiIwLjAuMDAwMCIsIlAiOiJXaW4zMiIsIkFOIjoiTWFpbCIsIldUIjoyfQ%3D%3D%7C0%7C%7C%7C&amp;sdata=i%2B4LtzeVfFYcvaYfonoL0qzu%2FNB7AukngdEmaOOxX6Y%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content%2F03-documentos-tipo-para-los-procesos-de-seleccion-de-interventoria-de-obra-publica-de&amp;data=05%7C02%7Csergio.rivera%40colombiacompra.gov.co%7Cb18b651bca3a4eb8eab008dd269b400d%7C7b09041e245149d08cb179d5e3d8c1be%7C0%7C0%7C638709170413812221%7CUnknown%7CTWFpbGZsb3d8eyJFbXB0eU1hcGkiOnRydWUsIlYiOiIwLjAuMDAwMCIsIlAiOiJXaW4zMiIsIkFOIjoiTWFpbCIsIldUIjoyfQ%3D%3D%7C0%7C%7C%7C&amp;sdata=BKv3Ffdi%2Bjq7ZWrU271FXg7J%2BjFFFpi7hu%2BGLdJ92YA%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sergio.rivera%40colombiacompra.gov.co%7C6192b0470d324981a09708dd0a6c28db%7C7b09041e245149d08cb179d5e3d8c1be%7C0%7C0%7C638678181873303083%7CUnknown%7CTWFpbGZsb3d8eyJFbXB0eU1hcGkiOnRydWUsIlYiOiIwLjAuMDAwMCIsIlAiOiJXaW4zMiIsIkFOIjoiTWFpbCIsIldUIjoyfQ%3D%3D%7C0%7C%7C%7C&amp;sdata=RZ8UGZwZz1u6P2uX7%2FCr73boVT1JLXCwE20Uk3OdT6E%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5899AB07-3B8C-46E1-BF9A-1A6D6823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4.xml><?xml version="1.0" encoding="utf-8"?>
<ds:datastoreItem xmlns:ds="http://schemas.openxmlformats.org/officeDocument/2006/customXml" ds:itemID="{44B1AD62-6DB5-46DB-AFE0-A59B2ACD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4897</Words>
  <Characters>26935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5</cp:revision>
  <cp:lastPrinted>2023-01-10T21:18:00Z</cp:lastPrinted>
  <dcterms:created xsi:type="dcterms:W3CDTF">2024-12-27T22:17:00Z</dcterms:created>
  <dcterms:modified xsi:type="dcterms:W3CDTF">2024-12-30T19:15:00Z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