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4DE7" w14:textId="77777777" w:rsidR="00030701" w:rsidRPr="00030701" w:rsidRDefault="00030701">
      <w:pPr>
        <w:rPr>
          <w:rFonts w:ascii="Verdana" w:hAnsi="Verdana"/>
          <w:b/>
          <w:bCs/>
          <w:szCs w:val="20"/>
          <w:lang w:val="es-ES_tradnl"/>
        </w:rPr>
      </w:pPr>
      <w:bookmarkStart w:id="0" w:name="_Hlk143780582"/>
      <w:bookmarkStart w:id="1" w:name="_GoBack"/>
      <w:bookmarkEnd w:id="1"/>
      <w:r w:rsidRPr="00030701">
        <w:rPr>
          <w:rFonts w:ascii="Verdana" w:hAnsi="Verdana"/>
          <w:b/>
          <w:bCs/>
          <w:szCs w:val="20"/>
          <w:lang w:val="es-ES_tradnl"/>
        </w:rPr>
        <w:t>SOCIEDADES DE MEJORAS PUBLICAS-naturaleza-fines-contratación</w:t>
      </w:r>
    </w:p>
    <w:p w14:paraId="493B93D2" w14:textId="77777777" w:rsidR="00030701" w:rsidRPr="00030701" w:rsidRDefault="00030701" w:rsidP="00030701">
      <w:pPr>
        <w:tabs>
          <w:tab w:val="left" w:pos="709"/>
        </w:tabs>
        <w:spacing w:after="0" w:line="254" w:lineRule="auto"/>
        <w:jc w:val="both"/>
        <w:rPr>
          <w:rFonts w:ascii="Verdana" w:eastAsia="Calibri" w:hAnsi="Verdana" w:cs="Times New Roman"/>
          <w:sz w:val="20"/>
        </w:rPr>
      </w:pPr>
      <w:r w:rsidRPr="00030701">
        <w:rPr>
          <w:rFonts w:ascii="Verdana" w:eastAsia="Calibri" w:hAnsi="Verdana" w:cs="Times New Roman"/>
          <w:sz w:val="20"/>
        </w:rPr>
        <w:t>(…)</w:t>
      </w:r>
    </w:p>
    <w:p w14:paraId="5933C9DB" w14:textId="713CCB07" w:rsidR="00030701" w:rsidRPr="00030701" w:rsidRDefault="00030701" w:rsidP="00030701">
      <w:pPr>
        <w:tabs>
          <w:tab w:val="left" w:pos="709"/>
        </w:tabs>
        <w:spacing w:after="0" w:line="254" w:lineRule="auto"/>
        <w:jc w:val="both"/>
        <w:rPr>
          <w:rFonts w:ascii="Verdana" w:hAnsi="Verdana" w:cs="Arial"/>
          <w:b/>
          <w:bCs/>
          <w:color w:val="000000"/>
          <w:sz w:val="20"/>
        </w:rPr>
      </w:pPr>
      <w:r w:rsidRPr="00030701">
        <w:rPr>
          <w:rFonts w:ascii="Verdana" w:eastAsia="Calibri" w:hAnsi="Verdana" w:cs="Times New Roman"/>
          <w:sz w:val="20"/>
        </w:rPr>
        <w:t xml:space="preserve">para el legislador fue primordial determinar que estas sociedades de mejoras </w:t>
      </w:r>
      <w:r w:rsidRPr="00030701">
        <w:rPr>
          <w:rFonts w:ascii="Verdana" w:eastAsia="Calibri" w:hAnsi="Verdana" w:cs="Times New Roman"/>
          <w:sz w:val="20"/>
        </w:rPr>
        <w:t>públicas</w:t>
      </w:r>
      <w:r w:rsidRPr="00030701">
        <w:rPr>
          <w:rFonts w:ascii="Verdana" w:eastAsia="Calibri" w:hAnsi="Verdana" w:cs="Times New Roman"/>
          <w:sz w:val="20"/>
        </w:rPr>
        <w:t xml:space="preserve"> pudiesen celebrar contratos con entidades públicas y privadas del orden nacional, departamental y municipal a efectos de desarrollar programas y actividades de interés comunitario, pero no definió un régimen particular para la celebración de los contratos por parte de las entidades </w:t>
      </w:r>
      <w:r w:rsidRPr="00030701">
        <w:rPr>
          <w:rFonts w:ascii="Verdana" w:eastAsia="Calibri" w:hAnsi="Verdana" w:cs="Times New Roman"/>
          <w:sz w:val="20"/>
        </w:rPr>
        <w:t>públicas</w:t>
      </w:r>
      <w:r w:rsidRPr="00030701">
        <w:rPr>
          <w:rFonts w:ascii="Verdana" w:eastAsia="Calibri" w:hAnsi="Verdana" w:cs="Times New Roman"/>
          <w:sz w:val="20"/>
        </w:rPr>
        <w:t xml:space="preserve"> con este tipo de entidades.</w:t>
      </w:r>
      <w:r w:rsidRPr="00030701">
        <w:rPr>
          <w:rFonts w:ascii="Verdana" w:eastAsia="Calibri" w:hAnsi="Verdana" w:cs="Times New Roman"/>
          <w:sz w:val="20"/>
        </w:rPr>
        <w:t xml:space="preserve"> (…)</w:t>
      </w:r>
    </w:p>
    <w:p w14:paraId="42F3F67E" w14:textId="77777777" w:rsidR="00030701" w:rsidRDefault="00030701">
      <w:pPr>
        <w:rPr>
          <w:rFonts w:ascii="Verdana" w:hAnsi="Verdana"/>
          <w:bCs/>
          <w:sz w:val="20"/>
          <w:szCs w:val="20"/>
          <w:lang w:val="es-ES_tradnl"/>
        </w:rPr>
      </w:pPr>
    </w:p>
    <w:p w14:paraId="6424475E" w14:textId="77777777" w:rsidR="00030701" w:rsidRPr="00030701" w:rsidRDefault="00030701">
      <w:pPr>
        <w:rPr>
          <w:rFonts w:ascii="Verdana" w:hAnsi="Verdana"/>
          <w:b/>
          <w:bCs/>
          <w:szCs w:val="20"/>
          <w:lang w:val="es-ES_tradnl"/>
        </w:rPr>
      </w:pPr>
      <w:r w:rsidRPr="00030701">
        <w:rPr>
          <w:rFonts w:ascii="Verdana" w:hAnsi="Verdana"/>
          <w:b/>
          <w:bCs/>
          <w:szCs w:val="20"/>
          <w:lang w:val="es-ES_tradnl"/>
        </w:rPr>
        <w:t>ACTO ADMINISTRATIVO JUSTIFICACIÓN CONTRATACIÓN DIRECTA- Fundamento</w:t>
      </w:r>
    </w:p>
    <w:p w14:paraId="07D8AB5E" w14:textId="40198DE2" w:rsidR="00030701" w:rsidRPr="00030701" w:rsidRDefault="00030701" w:rsidP="00030701">
      <w:pPr>
        <w:tabs>
          <w:tab w:val="left" w:pos="709"/>
        </w:tabs>
        <w:spacing w:after="0" w:line="254" w:lineRule="auto"/>
        <w:jc w:val="both"/>
        <w:rPr>
          <w:rFonts w:ascii="Verdana" w:eastAsia="Calibri" w:hAnsi="Verdana" w:cs="Times New Roman"/>
          <w:sz w:val="20"/>
        </w:rPr>
      </w:pPr>
      <w:r w:rsidRPr="00030701">
        <w:rPr>
          <w:rFonts w:ascii="Verdana" w:eastAsia="Calibri" w:hAnsi="Verdana" w:cs="Times New Roman"/>
          <w:sz w:val="20"/>
        </w:rPr>
        <w:t xml:space="preserve">(…) </w:t>
      </w:r>
      <w:r w:rsidRPr="00030701">
        <w:rPr>
          <w:rFonts w:ascii="Verdana" w:eastAsia="Calibri" w:hAnsi="Verdana" w:cs="Times New Roman"/>
          <w:sz w:val="20"/>
        </w:rPr>
        <w:t xml:space="preserve">Frente a lo cual las entidades sometidas al EGCAP deberán dar cumplimiento a este al momento de pretender celebrar contratos con este tipo de entidades y en caso de optar con la modalidad de contratación directa contemplada en el numeral 4 del artículo 2 de la Ley 1150 de 2007, se deberá tener en cuenta la expedición del  acto administrativo de justificación de contratación directa que se encuentra contemplada en el artículo 2.2.1.2.1.4.1. </w:t>
      </w:r>
      <w:r w:rsidRPr="00030701" w:rsidDel="009369FC">
        <w:rPr>
          <w:rFonts w:ascii="Verdana" w:eastAsia="Calibri" w:hAnsi="Verdana" w:cs="Times New Roman"/>
          <w:sz w:val="20"/>
        </w:rPr>
        <w:t xml:space="preserve">del Decreto 1082 de 2015, </w:t>
      </w:r>
      <w:r w:rsidRPr="00030701">
        <w:rPr>
          <w:rFonts w:ascii="Verdana" w:eastAsia="Calibri" w:hAnsi="Verdana" w:cs="Times New Roman"/>
          <w:sz w:val="20"/>
        </w:rPr>
        <w:t xml:space="preserve">en el cual establece lo referente al Acto administrativo de justificación de contratación directa. </w:t>
      </w:r>
      <w:r w:rsidRPr="00030701">
        <w:rPr>
          <w:rFonts w:ascii="Verdana" w:eastAsia="Calibri" w:hAnsi="Verdana" w:cs="Times New Roman"/>
          <w:sz w:val="20"/>
        </w:rPr>
        <w:t>(…)</w:t>
      </w:r>
    </w:p>
    <w:p w14:paraId="195B37AF" w14:textId="2F64E4BB" w:rsidR="00030701" w:rsidRPr="00030701" w:rsidRDefault="00030701" w:rsidP="00030701">
      <w:pPr>
        <w:tabs>
          <w:tab w:val="left" w:pos="709"/>
        </w:tabs>
        <w:spacing w:after="0" w:line="254" w:lineRule="auto"/>
        <w:jc w:val="both"/>
        <w:rPr>
          <w:rFonts w:ascii="Verdana" w:eastAsia="Calibri" w:hAnsi="Verdana" w:cs="Times New Roman"/>
          <w:sz w:val="20"/>
        </w:rPr>
      </w:pPr>
    </w:p>
    <w:p w14:paraId="4CA7944D" w14:textId="53F13AEB" w:rsidR="00030701" w:rsidRPr="00030701" w:rsidRDefault="00030701" w:rsidP="00030701">
      <w:pPr>
        <w:tabs>
          <w:tab w:val="left" w:pos="709"/>
        </w:tabs>
        <w:spacing w:after="0" w:line="254" w:lineRule="auto"/>
        <w:jc w:val="both"/>
        <w:rPr>
          <w:rFonts w:ascii="Verdana" w:eastAsia="Calibri" w:hAnsi="Verdana" w:cs="Times New Roman"/>
          <w:sz w:val="20"/>
        </w:rPr>
      </w:pPr>
      <w:r w:rsidRPr="00030701">
        <w:rPr>
          <w:rFonts w:ascii="Verdana" w:eastAsia="Calibri" w:hAnsi="Verdana" w:cs="Times New Roman"/>
          <w:sz w:val="20"/>
        </w:rPr>
        <w:t>(…)</w:t>
      </w:r>
    </w:p>
    <w:p w14:paraId="39CD4C50" w14:textId="5E2FC327" w:rsidR="00030701" w:rsidRPr="00030701" w:rsidRDefault="00030701" w:rsidP="00030701">
      <w:pPr>
        <w:tabs>
          <w:tab w:val="left" w:pos="709"/>
        </w:tabs>
        <w:spacing w:after="0" w:line="254" w:lineRule="auto"/>
        <w:jc w:val="both"/>
        <w:rPr>
          <w:rFonts w:ascii="Verdana" w:eastAsia="Calibri" w:hAnsi="Verdana" w:cs="Times New Roman"/>
          <w:sz w:val="20"/>
        </w:rPr>
      </w:pPr>
      <w:r w:rsidRPr="00030701">
        <w:rPr>
          <w:rFonts w:ascii="Verdana" w:eastAsia="Calibri" w:hAnsi="Verdana" w:cs="Times New Roman"/>
          <w:sz w:val="20"/>
        </w:rPr>
        <w:t>De lo establecido en el inciso inicial, se evidencia que el acto administrativo de justificación de contratación directa deberá ser expedido para llevar a cabo la celebración de contratos en atención a la modalidad de contratación establecida en el numeral 4 del artículo 2 de la Ley 1150 de 2007, excepto para los contratos de prestación de servicios profesionales y de apoyo a la gestión, los contratos de empréstito y los contratos interadministrativos que celebre el Ministerio de Hacienda y Crédito Público con el Banco de la República.</w:t>
      </w:r>
    </w:p>
    <w:p w14:paraId="04D2E026" w14:textId="77777777" w:rsidR="00030701" w:rsidRDefault="00030701">
      <w:pPr>
        <w:rPr>
          <w:rFonts w:ascii="Verdana" w:hAnsi="Verdana"/>
          <w:bCs/>
          <w:sz w:val="20"/>
          <w:szCs w:val="20"/>
          <w:lang w:val="es-ES_tradnl"/>
        </w:rPr>
      </w:pPr>
    </w:p>
    <w:p w14:paraId="2BE8C39C" w14:textId="77777777" w:rsidR="00BE27BE" w:rsidRDefault="00030701">
      <w:pPr>
        <w:rPr>
          <w:rFonts w:ascii="Verdana" w:hAnsi="Verdana"/>
          <w:b/>
          <w:sz w:val="24"/>
        </w:rPr>
      </w:pPr>
      <w:r w:rsidRPr="00030701">
        <w:rPr>
          <w:rFonts w:ascii="Verdana" w:hAnsi="Verdana"/>
          <w:b/>
          <w:bCs/>
          <w:szCs w:val="20"/>
          <w:lang w:val="es-ES_tradnl"/>
        </w:rPr>
        <w:t>COSTOS DIRECTOS-Autonomía</w:t>
      </w:r>
      <w:r w:rsidRPr="00030701">
        <w:rPr>
          <w:rFonts w:ascii="Verdana" w:hAnsi="Verdana"/>
          <w:b/>
          <w:sz w:val="24"/>
        </w:rPr>
        <w:t xml:space="preserve"> </w:t>
      </w:r>
    </w:p>
    <w:p w14:paraId="2287300F" w14:textId="77777777" w:rsidR="00BE27BE" w:rsidRPr="00BE27BE" w:rsidRDefault="00BE27BE" w:rsidP="00BE27BE">
      <w:pPr>
        <w:tabs>
          <w:tab w:val="left" w:pos="709"/>
        </w:tabs>
        <w:spacing w:after="0" w:line="254" w:lineRule="auto"/>
        <w:jc w:val="both"/>
        <w:rPr>
          <w:rFonts w:ascii="Verdana" w:eastAsia="Calibri" w:hAnsi="Verdana" w:cs="Times New Roman"/>
          <w:sz w:val="20"/>
        </w:rPr>
      </w:pPr>
      <w:r w:rsidRPr="00BE27BE">
        <w:rPr>
          <w:rFonts w:ascii="Verdana" w:eastAsia="Calibri" w:hAnsi="Verdana" w:cs="Times New Roman"/>
          <w:sz w:val="20"/>
        </w:rPr>
        <w:t xml:space="preserve">En consecuencia, tanto las entidades sometidas al Estatuto General de Contratación de la Administración Pública-EGCAP-, como las excluidas de este –es decir, las que tienen un régimen especial– gozan de autonomía para configurar el precio y para establecer el sistema de pago más apropiado para satisfacer los fines de la contratación, respetando los límites previstos en el ordenamiento. </w:t>
      </w:r>
    </w:p>
    <w:p w14:paraId="7C7CFBC0" w14:textId="6FB272BE" w:rsidR="00030701" w:rsidRPr="00030701" w:rsidRDefault="00030701">
      <w:pPr>
        <w:rPr>
          <w:rFonts w:ascii="Verdana" w:hAnsi="Verdana"/>
          <w:b/>
        </w:rPr>
      </w:pPr>
      <w:r w:rsidRPr="00030701">
        <w:rPr>
          <w:rFonts w:ascii="Verdana" w:hAnsi="Verdana"/>
          <w:b/>
        </w:rPr>
        <w:br w:type="page"/>
      </w:r>
    </w:p>
    <w:p w14:paraId="3FE2184B" w14:textId="31C20D17" w:rsidR="004352BC" w:rsidRPr="004352BC" w:rsidRDefault="004352BC" w:rsidP="004352BC">
      <w:pPr>
        <w:spacing w:after="0" w:line="256" w:lineRule="auto"/>
        <w:rPr>
          <w:rFonts w:ascii="Verdana" w:hAnsi="Verdana"/>
        </w:rPr>
      </w:pPr>
      <w:r w:rsidRPr="004352BC">
        <w:rPr>
          <w:rFonts w:ascii="Verdana" w:hAnsi="Verdana"/>
        </w:rPr>
        <w:lastRenderedPageBreak/>
        <w:t xml:space="preserve">Bogotá D.C., </w:t>
      </w:r>
      <w:r w:rsidR="002670BD">
        <w:rPr>
          <w:rFonts w:ascii="Verdana" w:hAnsi="Verdana"/>
        </w:rPr>
        <w:t>28 de Noviembre de 2024</w:t>
      </w:r>
      <w:r w:rsidRPr="004352BC">
        <w:rPr>
          <w:rFonts w:ascii="Verdana" w:hAnsi="Verdana"/>
        </w:rPr>
        <w:tab/>
      </w:r>
    </w:p>
    <w:p w14:paraId="5FCADBF9" w14:textId="3ACAC046" w:rsidR="004352BC" w:rsidRDefault="004352BC" w:rsidP="004352BC">
      <w:pPr>
        <w:spacing w:after="0" w:line="256" w:lineRule="auto"/>
        <w:rPr>
          <w:rFonts w:ascii="Verdana" w:hAnsi="Verdana"/>
        </w:rPr>
      </w:pPr>
    </w:p>
    <w:p w14:paraId="0F3F20CA" w14:textId="5B1EFE15" w:rsidR="00030701" w:rsidRPr="004352BC" w:rsidRDefault="00030701" w:rsidP="00030701">
      <w:pPr>
        <w:spacing w:after="0" w:line="256" w:lineRule="auto"/>
        <w:jc w:val="right"/>
        <w:rPr>
          <w:rFonts w:ascii="Verdana" w:hAnsi="Verdana"/>
        </w:rPr>
      </w:pPr>
      <w:r w:rsidRPr="00030701">
        <w:rPr>
          <w:rFonts w:ascii="Verdana" w:hAnsi="Verdana"/>
        </w:rPr>
        <w:drawing>
          <wp:inline distT="0" distB="0" distL="0" distR="0" wp14:anchorId="4F063F8C" wp14:editId="69A1F776">
            <wp:extent cx="2701768" cy="801214"/>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8214" cy="809057"/>
                    </a:xfrm>
                    <a:prstGeom prst="rect">
                      <a:avLst/>
                    </a:prstGeom>
                  </pic:spPr>
                </pic:pic>
              </a:graphicData>
            </a:graphic>
          </wp:inline>
        </w:drawing>
      </w:r>
    </w:p>
    <w:p w14:paraId="67AB299E" w14:textId="77777777" w:rsidR="004352BC" w:rsidRPr="004352BC" w:rsidRDefault="004352BC" w:rsidP="004352BC">
      <w:pPr>
        <w:spacing w:after="0" w:line="254" w:lineRule="auto"/>
        <w:rPr>
          <w:rFonts w:ascii="Verdana" w:eastAsia="Calibri" w:hAnsi="Verdana" w:cs="Times New Roman"/>
          <w:lang w:val="es-MX"/>
        </w:rPr>
      </w:pPr>
      <w:r w:rsidRPr="004352BC">
        <w:rPr>
          <w:rFonts w:ascii="Verdana" w:eastAsia="Calibri" w:hAnsi="Verdana" w:cs="Times New Roman"/>
          <w:lang w:val="es-MX"/>
        </w:rPr>
        <w:t>Señor</w:t>
      </w:r>
    </w:p>
    <w:p w14:paraId="2C687DB3" w14:textId="2BC66176" w:rsidR="004352BC" w:rsidRPr="004352BC" w:rsidRDefault="002F6FAE" w:rsidP="004352BC">
      <w:pPr>
        <w:spacing w:after="0" w:line="254" w:lineRule="auto"/>
        <w:rPr>
          <w:rFonts w:ascii="Verdana" w:eastAsia="Calibri" w:hAnsi="Verdana" w:cs="Times New Roman"/>
        </w:rPr>
      </w:pPr>
      <w:r w:rsidRPr="004A068F">
        <w:rPr>
          <w:rFonts w:ascii="Verdana" w:eastAsia="Calibri" w:hAnsi="Verdana" w:cs="Times New Roman"/>
          <w:b/>
        </w:rPr>
        <w:t>Gustavo Adolfo Pineda Aguirre</w:t>
      </w:r>
      <w:r w:rsidR="004352BC" w:rsidRPr="004352BC">
        <w:rPr>
          <w:rFonts w:ascii="Verdana" w:eastAsia="Calibri" w:hAnsi="Verdana" w:cs="Times New Roman"/>
          <w:b/>
        </w:rPr>
        <w:tab/>
      </w:r>
      <w:r w:rsidR="004352BC" w:rsidRPr="004352BC">
        <w:rPr>
          <w:rFonts w:ascii="Verdana" w:eastAsia="Calibri" w:hAnsi="Verdana" w:cs="Times New Roman"/>
          <w:bCs/>
        </w:rPr>
        <w:br/>
      </w:r>
      <w:r w:rsidR="004A068F" w:rsidRPr="004A068F">
        <w:rPr>
          <w:rFonts w:ascii="Verdana" w:eastAsia="Calibri" w:hAnsi="Verdana" w:cs="Times New Roman"/>
        </w:rPr>
        <w:t>juridicaespecializada@hotmail.com</w:t>
      </w:r>
    </w:p>
    <w:p w14:paraId="3FAAF3B3" w14:textId="71B68878" w:rsidR="004352BC" w:rsidRPr="004352BC" w:rsidRDefault="004031A6" w:rsidP="004352BC">
      <w:pPr>
        <w:spacing w:after="0" w:line="254" w:lineRule="auto"/>
        <w:rPr>
          <w:rFonts w:ascii="Verdana" w:eastAsia="Calibri" w:hAnsi="Verdana" w:cs="Times New Roman"/>
        </w:rPr>
      </w:pPr>
      <w:r>
        <w:rPr>
          <w:rFonts w:ascii="Verdana" w:eastAsia="Calibri" w:hAnsi="Verdana" w:cs="Times New Roman"/>
        </w:rPr>
        <w:t>Armenia</w:t>
      </w:r>
      <w:r w:rsidR="004352BC" w:rsidRPr="004352BC">
        <w:rPr>
          <w:rFonts w:ascii="Verdana" w:eastAsia="Calibri" w:hAnsi="Verdana" w:cs="Times New Roman"/>
        </w:rPr>
        <w:t xml:space="preserve">, </w:t>
      </w:r>
      <w:r>
        <w:rPr>
          <w:rFonts w:ascii="Verdana" w:eastAsia="Calibri" w:hAnsi="Verdana" w:cs="Times New Roman"/>
        </w:rPr>
        <w:t xml:space="preserve">Quindío </w:t>
      </w:r>
    </w:p>
    <w:p w14:paraId="1C53F24C" w14:textId="77777777" w:rsidR="004352BC" w:rsidRPr="004352BC" w:rsidRDefault="004352BC" w:rsidP="004352BC">
      <w:pPr>
        <w:spacing w:after="0" w:line="254" w:lineRule="auto"/>
        <w:rPr>
          <w:rFonts w:ascii="Verdana" w:eastAsia="Calibri" w:hAnsi="Verdana" w:cs="Times New Roman"/>
        </w:rPr>
      </w:pPr>
    </w:p>
    <w:p w14:paraId="5B830009" w14:textId="25F3439A" w:rsidR="004352BC" w:rsidRPr="004352BC" w:rsidRDefault="004352BC" w:rsidP="004352BC">
      <w:pPr>
        <w:spacing w:after="0" w:line="254" w:lineRule="auto"/>
        <w:ind w:left="2124" w:firstLine="708"/>
        <w:rPr>
          <w:rFonts w:ascii="Verdana" w:eastAsia="Calibri" w:hAnsi="Verdana" w:cs="Times New Roman"/>
          <w:b/>
          <w:bCs/>
          <w:lang w:val="es-ES"/>
        </w:rPr>
      </w:pPr>
      <w:r w:rsidRPr="004352BC">
        <w:rPr>
          <w:rFonts w:ascii="Verdana" w:eastAsia="Calibri" w:hAnsi="Verdana" w:cs="Times New Roman"/>
          <w:b/>
          <w:bCs/>
          <w:lang w:val="es-ES"/>
        </w:rPr>
        <w:t>Concepto C–</w:t>
      </w:r>
      <w:r w:rsidR="00910420">
        <w:rPr>
          <w:rFonts w:ascii="Verdana" w:eastAsia="Calibri" w:hAnsi="Verdana" w:cs="Times New Roman"/>
          <w:b/>
          <w:bCs/>
          <w:lang w:val="es-ES"/>
        </w:rPr>
        <w:t>550</w:t>
      </w:r>
      <w:r w:rsidRPr="004352BC">
        <w:rPr>
          <w:rFonts w:ascii="Verdana" w:eastAsia="Calibri" w:hAnsi="Verdana" w:cs="Times New Roman"/>
          <w:b/>
          <w:bCs/>
          <w:lang w:val="es-ES"/>
        </w:rPr>
        <w:t xml:space="preserve"> de 2024</w:t>
      </w:r>
    </w:p>
    <w:p w14:paraId="4BA53C79" w14:textId="77777777" w:rsidR="004352BC" w:rsidRPr="004352BC" w:rsidRDefault="004352BC" w:rsidP="004352BC">
      <w:pPr>
        <w:spacing w:after="0" w:line="254"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4352BC" w:rsidRPr="004352BC" w14:paraId="27CC75AF" w14:textId="77777777" w:rsidTr="004352BC">
        <w:trPr>
          <w:trHeight w:val="884"/>
        </w:trPr>
        <w:tc>
          <w:tcPr>
            <w:tcW w:w="2685" w:type="dxa"/>
            <w:hideMark/>
          </w:tcPr>
          <w:p w14:paraId="1D0DDAAE" w14:textId="77777777" w:rsidR="004352BC" w:rsidRPr="004352BC" w:rsidRDefault="004352BC" w:rsidP="004352BC">
            <w:pPr>
              <w:spacing w:line="254" w:lineRule="auto"/>
              <w:rPr>
                <w:rFonts w:ascii="Verdana" w:hAnsi="Verdana"/>
                <w:lang w:val="es-ES_tradnl"/>
              </w:rPr>
            </w:pPr>
            <w:r w:rsidRPr="004352BC">
              <w:rPr>
                <w:rFonts w:ascii="Verdana" w:hAnsi="Verdana"/>
                <w:lang w:val="es-ES_tradnl"/>
              </w:rPr>
              <w:t xml:space="preserve">Temas:                   </w:t>
            </w:r>
          </w:p>
        </w:tc>
        <w:tc>
          <w:tcPr>
            <w:tcW w:w="6241" w:type="dxa"/>
            <w:hideMark/>
          </w:tcPr>
          <w:p w14:paraId="378B0E31" w14:textId="4F406C28" w:rsidR="004352BC" w:rsidRPr="004352BC" w:rsidRDefault="00B64307" w:rsidP="000B345C">
            <w:pPr>
              <w:spacing w:line="276" w:lineRule="auto"/>
              <w:ind w:right="984"/>
              <w:jc w:val="both"/>
              <w:rPr>
                <w:rFonts w:ascii="Verdana" w:hAnsi="Verdana"/>
                <w:bCs/>
                <w:lang w:val="es-ES_tradnl"/>
              </w:rPr>
            </w:pPr>
            <w:r w:rsidRPr="000B345C">
              <w:rPr>
                <w:rFonts w:ascii="Verdana" w:hAnsi="Verdana"/>
                <w:bCs/>
                <w:sz w:val="20"/>
                <w:szCs w:val="20"/>
                <w:lang w:val="es-ES_tradnl"/>
              </w:rPr>
              <w:t>SOCIEDADES DE MEJORAS PUBLICAS-</w:t>
            </w:r>
            <w:r w:rsidR="00831823" w:rsidRPr="000B345C">
              <w:rPr>
                <w:rFonts w:ascii="Verdana" w:hAnsi="Verdana"/>
                <w:bCs/>
                <w:sz w:val="20"/>
                <w:szCs w:val="20"/>
                <w:lang w:val="es-ES_tradnl"/>
              </w:rPr>
              <w:t>n</w:t>
            </w:r>
            <w:r w:rsidRPr="000B345C">
              <w:rPr>
                <w:rFonts w:ascii="Verdana" w:hAnsi="Verdana"/>
                <w:bCs/>
                <w:sz w:val="20"/>
                <w:szCs w:val="20"/>
                <w:lang w:val="es-ES_tradnl"/>
              </w:rPr>
              <w:t>aturaleza-</w:t>
            </w:r>
            <w:r w:rsidR="00831823" w:rsidRPr="000B345C">
              <w:rPr>
                <w:rFonts w:ascii="Verdana" w:hAnsi="Verdana"/>
                <w:bCs/>
                <w:sz w:val="20"/>
                <w:szCs w:val="20"/>
                <w:lang w:val="es-ES_tradnl"/>
              </w:rPr>
              <w:t>fines-</w:t>
            </w:r>
            <w:r w:rsidR="000A18D7" w:rsidRPr="000B345C">
              <w:rPr>
                <w:rFonts w:ascii="Verdana" w:hAnsi="Verdana"/>
                <w:bCs/>
                <w:sz w:val="20"/>
                <w:szCs w:val="20"/>
                <w:lang w:val="es-ES_tradnl"/>
              </w:rPr>
              <w:t>contratación/</w:t>
            </w:r>
            <w:r w:rsidR="000B345C" w:rsidRPr="000B345C">
              <w:rPr>
                <w:rFonts w:ascii="Verdana" w:hAnsi="Verdana"/>
                <w:bCs/>
                <w:sz w:val="20"/>
                <w:szCs w:val="20"/>
                <w:lang w:val="es-ES_tradnl"/>
              </w:rPr>
              <w:t>ACTO</w:t>
            </w:r>
            <w:r w:rsidR="000B345C">
              <w:rPr>
                <w:rFonts w:ascii="Verdana" w:hAnsi="Verdana"/>
                <w:bCs/>
                <w:sz w:val="20"/>
                <w:szCs w:val="20"/>
                <w:lang w:val="es-ES_tradnl"/>
              </w:rPr>
              <w:t xml:space="preserve"> </w:t>
            </w:r>
            <w:r w:rsidR="000B345C" w:rsidRPr="000B345C">
              <w:rPr>
                <w:rFonts w:ascii="Verdana" w:hAnsi="Verdana"/>
                <w:bCs/>
                <w:sz w:val="20"/>
                <w:szCs w:val="20"/>
                <w:lang w:val="es-ES_tradnl"/>
              </w:rPr>
              <w:t>ADMINISTRATIVO JUSTIFICACIÓN CONTRATACIÓN DIRECTA- Fundamento</w:t>
            </w:r>
            <w:r w:rsidR="000B345C">
              <w:rPr>
                <w:rFonts w:ascii="Verdana" w:hAnsi="Verdana"/>
                <w:bCs/>
                <w:sz w:val="20"/>
                <w:szCs w:val="20"/>
                <w:lang w:val="es-ES_tradnl"/>
              </w:rPr>
              <w:t>/COSTOS DIRECTOS-Autonomía</w:t>
            </w:r>
          </w:p>
        </w:tc>
        <w:tc>
          <w:tcPr>
            <w:tcW w:w="6237" w:type="dxa"/>
          </w:tcPr>
          <w:p w14:paraId="6CAC447E" w14:textId="2EDB5F83" w:rsidR="004352BC" w:rsidRPr="004352BC" w:rsidRDefault="004352BC" w:rsidP="000A18D7">
            <w:pPr>
              <w:spacing w:line="254" w:lineRule="auto"/>
              <w:ind w:right="1692"/>
              <w:rPr>
                <w:rFonts w:ascii="Verdana" w:hAnsi="Verdana"/>
                <w:lang w:val="es-ES"/>
              </w:rPr>
            </w:pPr>
          </w:p>
        </w:tc>
      </w:tr>
      <w:tr w:rsidR="004352BC" w:rsidRPr="004352BC" w14:paraId="339B4B2A" w14:textId="77777777" w:rsidTr="004352BC">
        <w:tc>
          <w:tcPr>
            <w:tcW w:w="2685" w:type="dxa"/>
          </w:tcPr>
          <w:p w14:paraId="69CB813B" w14:textId="77777777" w:rsidR="004352BC" w:rsidRPr="004352BC" w:rsidRDefault="004352BC" w:rsidP="004352BC">
            <w:pPr>
              <w:spacing w:line="254" w:lineRule="auto"/>
              <w:rPr>
                <w:rFonts w:ascii="Verdana" w:hAnsi="Verdana"/>
                <w:lang w:val="es-ES_tradnl"/>
              </w:rPr>
            </w:pPr>
          </w:p>
          <w:p w14:paraId="3F29994A" w14:textId="77777777" w:rsidR="004352BC" w:rsidRPr="004352BC" w:rsidRDefault="004352BC" w:rsidP="004352BC">
            <w:pPr>
              <w:spacing w:line="254" w:lineRule="auto"/>
              <w:rPr>
                <w:rFonts w:ascii="Verdana" w:hAnsi="Verdana"/>
                <w:lang w:val="es-ES_tradnl"/>
              </w:rPr>
            </w:pPr>
            <w:r w:rsidRPr="004352BC">
              <w:rPr>
                <w:rFonts w:ascii="Verdana" w:hAnsi="Verdana"/>
                <w:lang w:val="es-ES_tradnl"/>
              </w:rPr>
              <w:t xml:space="preserve">Radicación:               </w:t>
            </w:r>
          </w:p>
        </w:tc>
        <w:tc>
          <w:tcPr>
            <w:tcW w:w="6241" w:type="dxa"/>
          </w:tcPr>
          <w:p w14:paraId="39EA7217" w14:textId="77777777" w:rsidR="004352BC" w:rsidRPr="004352BC" w:rsidRDefault="004352BC" w:rsidP="004352BC">
            <w:pPr>
              <w:spacing w:line="254" w:lineRule="auto"/>
              <w:rPr>
                <w:rFonts w:ascii="Verdana" w:hAnsi="Verdana"/>
                <w:lang w:val="es-ES_tradnl"/>
              </w:rPr>
            </w:pPr>
          </w:p>
          <w:p w14:paraId="7227BDC2" w14:textId="1D37882A" w:rsidR="004352BC" w:rsidRPr="004352BC" w:rsidRDefault="004352BC" w:rsidP="004352BC">
            <w:pPr>
              <w:spacing w:line="254" w:lineRule="auto"/>
              <w:rPr>
                <w:rFonts w:ascii="Verdana" w:hAnsi="Verdana"/>
                <w:lang w:val="es-ES_tradnl"/>
              </w:rPr>
            </w:pPr>
            <w:r w:rsidRPr="004352BC">
              <w:rPr>
                <w:rFonts w:ascii="Verdana" w:hAnsi="Verdana"/>
                <w:lang w:val="es-ES_tradnl"/>
              </w:rPr>
              <w:t xml:space="preserve">Respuesta a consulta con radicado No. </w:t>
            </w:r>
            <w:r w:rsidR="00FF1C70" w:rsidRPr="00FF1C70">
              <w:rPr>
                <w:rFonts w:ascii="Verdana" w:hAnsi="Verdana"/>
                <w:lang w:val="es-ES_tradnl"/>
              </w:rPr>
              <w:t>P20241017010564</w:t>
            </w:r>
          </w:p>
        </w:tc>
        <w:tc>
          <w:tcPr>
            <w:tcW w:w="6237" w:type="dxa"/>
          </w:tcPr>
          <w:p w14:paraId="79A7C0C5" w14:textId="77777777" w:rsidR="004352BC" w:rsidRPr="004352BC" w:rsidRDefault="004352BC" w:rsidP="004352BC">
            <w:pPr>
              <w:spacing w:line="254" w:lineRule="auto"/>
              <w:rPr>
                <w:rFonts w:ascii="Verdana" w:hAnsi="Verdana"/>
                <w:lang w:val="es-ES_tradnl"/>
              </w:rPr>
            </w:pPr>
          </w:p>
        </w:tc>
      </w:tr>
    </w:tbl>
    <w:p w14:paraId="679F5F00" w14:textId="77777777" w:rsidR="004352BC" w:rsidRPr="004352BC" w:rsidRDefault="004352BC" w:rsidP="004352BC">
      <w:pPr>
        <w:spacing w:after="0" w:line="254" w:lineRule="auto"/>
        <w:rPr>
          <w:rFonts w:ascii="Verdana" w:eastAsia="Calibri" w:hAnsi="Verdana" w:cs="Times New Roman"/>
          <w:lang w:val="es-ES_tradnl"/>
        </w:rPr>
      </w:pPr>
    </w:p>
    <w:p w14:paraId="680C6D8C" w14:textId="77777777" w:rsidR="004352BC" w:rsidRPr="004352BC" w:rsidRDefault="004352BC" w:rsidP="004352BC">
      <w:pPr>
        <w:spacing w:after="0" w:line="254" w:lineRule="auto"/>
        <w:rPr>
          <w:rFonts w:ascii="Verdana" w:eastAsia="Calibri" w:hAnsi="Verdana" w:cs="Times New Roman"/>
          <w:lang w:val="es-ES"/>
        </w:rPr>
      </w:pPr>
      <w:r w:rsidRPr="004352BC">
        <w:rPr>
          <w:rFonts w:ascii="Verdana" w:eastAsia="Calibri" w:hAnsi="Verdana" w:cs="Times New Roman"/>
          <w:lang w:val="es-ES"/>
        </w:rPr>
        <w:t xml:space="preserve">Estimado señor William: </w:t>
      </w:r>
    </w:p>
    <w:p w14:paraId="3FD378F0" w14:textId="77777777" w:rsidR="004352BC" w:rsidRPr="004352BC" w:rsidRDefault="004352BC" w:rsidP="004352BC">
      <w:pPr>
        <w:spacing w:after="0" w:line="254" w:lineRule="auto"/>
        <w:rPr>
          <w:rFonts w:ascii="Verdana" w:eastAsia="Calibri" w:hAnsi="Verdana" w:cs="Times New Roman"/>
          <w:lang w:val="es-ES"/>
        </w:rPr>
      </w:pPr>
    </w:p>
    <w:p w14:paraId="2ED36A4D" w14:textId="77777777" w:rsidR="004352BC" w:rsidRPr="004352BC" w:rsidRDefault="004352BC" w:rsidP="004352BC">
      <w:pPr>
        <w:spacing w:after="120" w:line="254" w:lineRule="auto"/>
        <w:jc w:val="both"/>
        <w:rPr>
          <w:rFonts w:ascii="Verdana" w:eastAsia="Calibri" w:hAnsi="Verdana" w:cs="Times New Roman"/>
          <w:lang w:val="es-ES"/>
        </w:rPr>
      </w:pPr>
      <w:r w:rsidRPr="004352BC">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12 de septiembre de 2024. </w:t>
      </w:r>
    </w:p>
    <w:p w14:paraId="7FA1E103" w14:textId="60CAFDE5" w:rsidR="004352BC" w:rsidRPr="004352BC" w:rsidRDefault="004352BC" w:rsidP="004352BC">
      <w:pPr>
        <w:spacing w:after="120" w:line="254" w:lineRule="auto"/>
        <w:ind w:firstLine="708"/>
        <w:jc w:val="both"/>
        <w:rPr>
          <w:rFonts w:ascii="Verdana" w:eastAsia="Calibri" w:hAnsi="Verdana" w:cs="Times New Roman"/>
          <w:i/>
          <w:iCs/>
        </w:rPr>
      </w:pPr>
      <w:r w:rsidRPr="004352BC">
        <w:rPr>
          <w:rFonts w:ascii="Verdana" w:eastAsia="Calibri" w:hAnsi="Verdana" w:cs="Times New Roman"/>
          <w:lang w:val="es-ES"/>
        </w:rPr>
        <w:t xml:space="preserve">En dicha petición usted </w:t>
      </w:r>
      <w:r w:rsidR="00170E34">
        <w:rPr>
          <w:rFonts w:ascii="Verdana" w:eastAsia="Calibri" w:hAnsi="Verdana" w:cs="Times New Roman"/>
          <w:lang w:val="es-ES"/>
        </w:rPr>
        <w:t>precisa</w:t>
      </w:r>
      <w:r w:rsidRPr="004352BC">
        <w:rPr>
          <w:rFonts w:ascii="Verdana" w:eastAsia="Calibri" w:hAnsi="Verdana" w:cs="Times New Roman"/>
          <w:lang w:val="es-ES"/>
        </w:rPr>
        <w:t xml:space="preserve">: </w:t>
      </w:r>
      <w:r w:rsidRPr="004352BC">
        <w:rPr>
          <w:rFonts w:ascii="Verdana" w:eastAsia="Calibri" w:hAnsi="Verdana" w:cs="Times New Roman"/>
          <w:i/>
          <w:iCs/>
          <w:lang w:val="es-ES"/>
        </w:rPr>
        <w:t>“(…)</w:t>
      </w:r>
      <w:r w:rsidRPr="004352BC">
        <w:rPr>
          <w:rFonts w:ascii="Verdana" w:eastAsia="Calibri" w:hAnsi="Verdana" w:cs="Times New Roman"/>
          <w:i/>
          <w:iCs/>
        </w:rPr>
        <w:t xml:space="preserve"> </w:t>
      </w:r>
      <w:r w:rsidR="002D46D8" w:rsidRPr="002D46D8">
        <w:rPr>
          <w:rFonts w:ascii="Verdana" w:eastAsia="Calibri" w:hAnsi="Verdana" w:cs="Times New Roman"/>
          <w:i/>
          <w:iCs/>
        </w:rPr>
        <w:t xml:space="preserve">Mediante la Ley 1217 de 2008, dictan normas para la modernización de las sociedades de mejoras públicas (en adelante SMP), siendo entidades privadas, de utilidad común, sin ánimo de lucro. El artículo 9 ibidem, establece “celebrarán contratos con entidades públicas y privadas del orden nacional, departamental y municipal con el fin de desarrollar programas y actividades de interés comunitario acorde con su objeto social”. CCE en la circular externa del año 2019, numeral 16.1 establece que no es aplicable el Decreto 092 de 2017, a las contrataciones con una norma especial que las regula, citando el caso de las SMP -artículo 9 ibidem-. CCE en respuesta a consulta # 4201713000003252 confirma que se trata de la autorización del legislador para celebrar directamente contratos con las SMP. Por tanto se consulta: 1) Para la contratación directa con SMP se requiere acto de justificación </w:t>
      </w:r>
      <w:r w:rsidR="002D46D8" w:rsidRPr="002D46D8">
        <w:rPr>
          <w:rFonts w:ascii="Verdana" w:eastAsia="Calibri" w:hAnsi="Verdana" w:cs="Times New Roman"/>
          <w:i/>
          <w:iCs/>
        </w:rPr>
        <w:lastRenderedPageBreak/>
        <w:t>de contratación directa y estudios previos? 2) es posible pactar costos indirectos de administración?</w:t>
      </w:r>
      <w:r w:rsidRPr="004352BC">
        <w:rPr>
          <w:rFonts w:ascii="Verdana" w:eastAsia="Calibri" w:hAnsi="Verdana" w:cs="Times New Roman"/>
          <w:i/>
          <w:iCs/>
        </w:rPr>
        <w:t xml:space="preserve"> (…)”.</w:t>
      </w:r>
    </w:p>
    <w:p w14:paraId="00423684" w14:textId="77777777" w:rsidR="004352BC" w:rsidRPr="004352BC" w:rsidRDefault="004352BC" w:rsidP="004352BC">
      <w:pPr>
        <w:spacing w:after="120" w:line="254" w:lineRule="auto"/>
        <w:ind w:firstLine="709"/>
        <w:jc w:val="both"/>
        <w:rPr>
          <w:rFonts w:ascii="Verdana" w:eastAsia="Calibri" w:hAnsi="Verdana" w:cs="Times New Roman"/>
          <w:lang w:val="es-ES"/>
        </w:rPr>
      </w:pPr>
      <w:r w:rsidRPr="004352BC">
        <w:rPr>
          <w:rFonts w:ascii="Verdana" w:eastAsia="Calibri" w:hAnsi="Verdana"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07321456" w14:textId="77777777" w:rsidR="004352BC" w:rsidRPr="004352BC" w:rsidRDefault="004352BC" w:rsidP="004352BC">
      <w:pPr>
        <w:spacing w:after="0" w:line="254" w:lineRule="auto"/>
        <w:ind w:firstLine="708"/>
        <w:jc w:val="both"/>
        <w:rPr>
          <w:rFonts w:ascii="Verdana" w:eastAsia="Calibri" w:hAnsi="Verdana" w:cs="Times New Roman"/>
          <w:lang w:val="es-ES"/>
        </w:rPr>
      </w:pPr>
      <w:r w:rsidRPr="004352BC">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2742EB6E" w14:textId="77777777" w:rsidR="004352BC" w:rsidRPr="004352BC" w:rsidRDefault="004352BC" w:rsidP="004352BC">
      <w:pPr>
        <w:spacing w:after="0" w:line="254" w:lineRule="auto"/>
        <w:rPr>
          <w:rFonts w:ascii="Verdana" w:eastAsia="Calibri" w:hAnsi="Verdana" w:cs="Times New Roman"/>
          <w:lang w:val="es-ES"/>
        </w:rPr>
      </w:pPr>
    </w:p>
    <w:p w14:paraId="4D4EA80D" w14:textId="77777777" w:rsidR="004352BC" w:rsidRPr="004352BC" w:rsidRDefault="004352BC" w:rsidP="004352BC">
      <w:pPr>
        <w:numPr>
          <w:ilvl w:val="0"/>
          <w:numId w:val="16"/>
        </w:numPr>
        <w:spacing w:after="0" w:line="254" w:lineRule="auto"/>
        <w:ind w:left="0" w:firstLine="0"/>
        <w:rPr>
          <w:rFonts w:ascii="Verdana" w:eastAsia="Calibri" w:hAnsi="Verdana" w:cs="Times New Roman"/>
          <w:b/>
          <w:bCs/>
          <w:lang w:val="es-ES"/>
        </w:rPr>
      </w:pPr>
      <w:r w:rsidRPr="004352BC">
        <w:rPr>
          <w:rFonts w:ascii="Verdana" w:eastAsia="Calibri" w:hAnsi="Verdana" w:cs="Times New Roman"/>
          <w:b/>
          <w:bCs/>
          <w:lang w:val="es-ES"/>
        </w:rPr>
        <w:t>Problema planteado:</w:t>
      </w:r>
    </w:p>
    <w:p w14:paraId="5D91E827" w14:textId="77777777" w:rsidR="004352BC" w:rsidRPr="004352BC" w:rsidRDefault="004352BC" w:rsidP="004352BC">
      <w:pPr>
        <w:spacing w:after="0" w:line="254" w:lineRule="auto"/>
        <w:rPr>
          <w:rFonts w:ascii="Verdana" w:eastAsia="Calibri" w:hAnsi="Verdana" w:cs="Times New Roman"/>
        </w:rPr>
      </w:pPr>
    </w:p>
    <w:p w14:paraId="03A15C49" w14:textId="20796691" w:rsidR="004352BC" w:rsidRDefault="004352BC" w:rsidP="003A452F">
      <w:pPr>
        <w:spacing w:after="0" w:line="254" w:lineRule="auto"/>
        <w:jc w:val="both"/>
        <w:rPr>
          <w:rFonts w:ascii="Verdana" w:eastAsia="Calibri" w:hAnsi="Verdana" w:cs="Times New Roman"/>
        </w:rPr>
      </w:pPr>
      <w:r w:rsidRPr="004352BC">
        <w:rPr>
          <w:rFonts w:ascii="Verdana" w:eastAsia="Calibri" w:hAnsi="Verdana" w:cs="Times New Roman"/>
        </w:rPr>
        <w:t>De acuerdo con el contenido de su solicitud, esta Agencia resolverá los siguientes problemas jurídicos</w:t>
      </w:r>
      <w:r w:rsidRPr="00716EE8">
        <w:rPr>
          <w:rFonts w:ascii="Verdana" w:eastAsia="Calibri" w:hAnsi="Verdana" w:cs="Times New Roman"/>
        </w:rPr>
        <w:t xml:space="preserve">: i) </w:t>
      </w:r>
      <w:r w:rsidR="00B52F7C" w:rsidRPr="00716EE8">
        <w:rPr>
          <w:rFonts w:ascii="Verdana" w:eastAsia="Calibri" w:hAnsi="Verdana" w:cs="Times New Roman"/>
        </w:rPr>
        <w:t xml:space="preserve">¿Se requiere el </w:t>
      </w:r>
      <w:r w:rsidR="00B41CBA" w:rsidRPr="00716EE8">
        <w:rPr>
          <w:rFonts w:ascii="Verdana" w:eastAsia="Calibri" w:hAnsi="Verdana" w:cs="Times New Roman"/>
        </w:rPr>
        <w:t>acto de justificación y estudios previos</w:t>
      </w:r>
      <w:r w:rsidR="00B52F7C" w:rsidRPr="00716EE8">
        <w:rPr>
          <w:rFonts w:ascii="Verdana" w:eastAsia="Calibri" w:hAnsi="Verdana" w:cs="Times New Roman"/>
        </w:rPr>
        <w:t xml:space="preserve"> </w:t>
      </w:r>
      <w:r w:rsidR="002F09C2">
        <w:rPr>
          <w:rFonts w:ascii="Verdana" w:eastAsia="Calibri" w:hAnsi="Verdana" w:cs="Times New Roman"/>
        </w:rPr>
        <w:t xml:space="preserve">contemplados en el Decreto 1082 del 2015 </w:t>
      </w:r>
      <w:r w:rsidR="00B52F7C" w:rsidRPr="00716EE8">
        <w:rPr>
          <w:rFonts w:ascii="Verdana" w:eastAsia="Calibri" w:hAnsi="Verdana" w:cs="Times New Roman"/>
        </w:rPr>
        <w:t xml:space="preserve">para </w:t>
      </w:r>
      <w:r w:rsidR="00843712">
        <w:rPr>
          <w:rFonts w:ascii="Verdana" w:eastAsia="Calibri" w:hAnsi="Verdana" w:cs="Times New Roman"/>
        </w:rPr>
        <w:t xml:space="preserve">efectuar contratación directa </w:t>
      </w:r>
      <w:r w:rsidR="00B52F7C" w:rsidRPr="00716EE8">
        <w:rPr>
          <w:rFonts w:ascii="Verdana" w:eastAsia="Calibri" w:hAnsi="Verdana" w:cs="Times New Roman"/>
        </w:rPr>
        <w:t xml:space="preserve">con las sociedades de mejoras </w:t>
      </w:r>
      <w:r w:rsidR="00B52F7C" w:rsidRPr="00716EE8" w:rsidDel="00A82234">
        <w:rPr>
          <w:rFonts w:ascii="Verdana" w:eastAsia="Calibri" w:hAnsi="Verdana" w:cs="Times New Roman"/>
        </w:rPr>
        <w:t>publicas</w:t>
      </w:r>
      <w:r w:rsidR="00B41CBA" w:rsidRPr="00716EE8" w:rsidDel="00A82234">
        <w:rPr>
          <w:rFonts w:ascii="Verdana" w:eastAsia="Calibri" w:hAnsi="Verdana" w:cs="Times New Roman"/>
        </w:rPr>
        <w:t>?</w:t>
      </w:r>
      <w:r w:rsidR="003A452F" w:rsidRPr="00716EE8" w:rsidDel="00A82234">
        <w:rPr>
          <w:rFonts w:ascii="Verdana" w:eastAsia="Calibri" w:hAnsi="Verdana" w:cs="Times New Roman"/>
        </w:rPr>
        <w:t>,</w:t>
      </w:r>
      <w:r w:rsidR="00A82234" w:rsidRPr="00716EE8">
        <w:rPr>
          <w:rFonts w:ascii="Verdana" w:eastAsia="Calibri" w:hAnsi="Verdana" w:cs="Times New Roman"/>
        </w:rPr>
        <w:t xml:space="preserve"> y</w:t>
      </w:r>
      <w:r w:rsidR="003A452F" w:rsidRPr="00716EE8">
        <w:rPr>
          <w:rFonts w:ascii="Verdana" w:eastAsia="Calibri" w:hAnsi="Verdana" w:cs="Times New Roman"/>
        </w:rPr>
        <w:t xml:space="preserve"> </w:t>
      </w:r>
      <w:proofErr w:type="spellStart"/>
      <w:r w:rsidR="003A452F" w:rsidRPr="00716EE8">
        <w:rPr>
          <w:rFonts w:ascii="Verdana" w:eastAsia="Calibri" w:hAnsi="Verdana" w:cs="Times New Roman"/>
        </w:rPr>
        <w:t>ii</w:t>
      </w:r>
      <w:proofErr w:type="spellEnd"/>
      <w:r w:rsidR="003A452F" w:rsidRPr="00716EE8">
        <w:rPr>
          <w:rFonts w:ascii="Verdana" w:eastAsia="Calibri" w:hAnsi="Verdana" w:cs="Times New Roman"/>
        </w:rPr>
        <w:t>)</w:t>
      </w:r>
      <w:r w:rsidR="00B41CBA" w:rsidRPr="00716EE8">
        <w:rPr>
          <w:rFonts w:ascii="Verdana" w:eastAsia="Calibri" w:hAnsi="Verdana" w:cs="Times New Roman"/>
        </w:rPr>
        <w:t xml:space="preserve"> </w:t>
      </w:r>
      <w:r w:rsidR="00A82234">
        <w:rPr>
          <w:rFonts w:ascii="Verdana" w:eastAsia="Calibri" w:hAnsi="Verdana" w:cs="Times New Roman"/>
        </w:rPr>
        <w:t>¿E</w:t>
      </w:r>
      <w:r w:rsidR="00B41CBA" w:rsidRPr="00716EE8">
        <w:rPr>
          <w:rFonts w:ascii="Verdana" w:eastAsia="Calibri" w:hAnsi="Verdana" w:cs="Times New Roman"/>
        </w:rPr>
        <w:t>s posible pactar costos indirectos de administración</w:t>
      </w:r>
      <w:r w:rsidR="003A452F" w:rsidRPr="00716EE8">
        <w:rPr>
          <w:rFonts w:ascii="Verdana" w:eastAsia="Calibri" w:hAnsi="Verdana" w:cs="Times New Roman"/>
        </w:rPr>
        <w:t xml:space="preserve"> en un contrato celebrado con las sociedades de mejoras publicas?</w:t>
      </w:r>
    </w:p>
    <w:p w14:paraId="28FDBF19" w14:textId="77777777" w:rsidR="003A452F" w:rsidRPr="004352BC" w:rsidRDefault="003A452F" w:rsidP="003A452F">
      <w:pPr>
        <w:spacing w:after="0" w:line="254" w:lineRule="auto"/>
        <w:jc w:val="both"/>
        <w:rPr>
          <w:rFonts w:ascii="Verdana" w:eastAsia="Calibri" w:hAnsi="Verdana" w:cs="Times New Roman"/>
        </w:rPr>
      </w:pPr>
    </w:p>
    <w:p w14:paraId="605E0461" w14:textId="77777777" w:rsidR="004352BC" w:rsidRPr="004352BC" w:rsidRDefault="004352BC" w:rsidP="004352BC">
      <w:pPr>
        <w:numPr>
          <w:ilvl w:val="0"/>
          <w:numId w:val="16"/>
        </w:numPr>
        <w:spacing w:after="0" w:line="254" w:lineRule="auto"/>
        <w:ind w:left="0" w:firstLine="0"/>
        <w:rPr>
          <w:rFonts w:ascii="Verdana" w:eastAsia="Calibri" w:hAnsi="Verdana" w:cs="Times New Roman"/>
          <w:b/>
          <w:bCs/>
          <w:lang w:val="es-ES"/>
        </w:rPr>
      </w:pPr>
      <w:r w:rsidRPr="004352BC">
        <w:rPr>
          <w:rFonts w:ascii="Verdana" w:eastAsia="Calibri" w:hAnsi="Verdana" w:cs="Times New Roman"/>
          <w:b/>
          <w:bCs/>
          <w:lang w:val="es-ES"/>
        </w:rPr>
        <w:t>Respuesta:</w:t>
      </w:r>
    </w:p>
    <w:p w14:paraId="11DAEF5B" w14:textId="77777777" w:rsidR="004352BC" w:rsidRPr="004352BC" w:rsidRDefault="004352BC" w:rsidP="004352BC">
      <w:pPr>
        <w:spacing w:after="0" w:line="254" w:lineRule="auto"/>
        <w:rPr>
          <w:rFonts w:ascii="Verdana" w:eastAsia="Calibri" w:hAnsi="Verdana" w:cs="Times New Roman"/>
          <w:b/>
          <w:bCs/>
          <w:lang w:val="es-ES"/>
        </w:rPr>
      </w:pPr>
    </w:p>
    <w:p w14:paraId="1E95989D" w14:textId="77777777" w:rsidR="004117C3" w:rsidRDefault="004352BC" w:rsidP="00D919B2">
      <w:pPr>
        <w:tabs>
          <w:tab w:val="left" w:pos="567"/>
        </w:tabs>
        <w:spacing w:after="120" w:line="254" w:lineRule="auto"/>
        <w:jc w:val="both"/>
        <w:rPr>
          <w:rFonts w:ascii="Verdana" w:eastAsia="Calibri" w:hAnsi="Verdana" w:cs="Times New Roman"/>
          <w:lang w:val="es-ES"/>
        </w:rPr>
      </w:pPr>
      <w:r w:rsidRPr="008D4A7D">
        <w:rPr>
          <w:rFonts w:ascii="Verdana" w:eastAsia="Calibri" w:hAnsi="Verdana" w:cs="Times New Roman"/>
          <w:i/>
          <w:iCs/>
          <w:lang w:val="es-ES"/>
        </w:rPr>
        <w:t>En primer lugar,</w:t>
      </w:r>
      <w:r w:rsidRPr="008D4A7D">
        <w:rPr>
          <w:rFonts w:ascii="Verdana" w:eastAsia="Calibri" w:hAnsi="Verdana" w:cs="Times New Roman"/>
          <w:lang w:val="es-ES"/>
        </w:rPr>
        <w:t xml:space="preserve"> se debe </w:t>
      </w:r>
      <w:r w:rsidR="00761DCB" w:rsidRPr="008D4A7D">
        <w:rPr>
          <w:rFonts w:ascii="Verdana" w:eastAsia="Calibri" w:hAnsi="Verdana" w:cs="Times New Roman"/>
          <w:lang w:val="es-ES"/>
        </w:rPr>
        <w:t xml:space="preserve">indicar </w:t>
      </w:r>
      <w:r w:rsidR="008D4A7D" w:rsidRPr="008D4A7D">
        <w:rPr>
          <w:rFonts w:ascii="Verdana" w:eastAsia="Calibri" w:hAnsi="Verdana" w:cs="Times New Roman"/>
          <w:lang w:val="es-ES"/>
        </w:rPr>
        <w:t>que,</w:t>
      </w:r>
      <w:r w:rsidR="00761DCB" w:rsidRPr="008D4A7D">
        <w:rPr>
          <w:rFonts w:ascii="Verdana" w:eastAsia="Calibri" w:hAnsi="Verdana" w:cs="Times New Roman"/>
          <w:lang w:val="es-ES"/>
        </w:rPr>
        <w:t xml:space="preserve"> para la celebración de los contratos con las sociedades de mejoras </w:t>
      </w:r>
      <w:r w:rsidR="008D4A7D" w:rsidRPr="008D4A7D">
        <w:rPr>
          <w:rFonts w:ascii="Verdana" w:eastAsia="Calibri" w:hAnsi="Verdana" w:cs="Times New Roman"/>
          <w:lang w:val="es-ES"/>
        </w:rPr>
        <w:t>públicas</w:t>
      </w:r>
      <w:r w:rsidR="00761DCB" w:rsidRPr="008D4A7D">
        <w:rPr>
          <w:rFonts w:ascii="Verdana" w:eastAsia="Calibri" w:hAnsi="Verdana" w:cs="Times New Roman"/>
          <w:lang w:val="es-ES"/>
        </w:rPr>
        <w:t xml:space="preserve">, el legislador no estableció un régimen particular para las entidades </w:t>
      </w:r>
      <w:r w:rsidR="008D4A7D">
        <w:rPr>
          <w:rFonts w:ascii="Verdana" w:eastAsia="Calibri" w:hAnsi="Verdana" w:cs="Times New Roman"/>
          <w:lang w:val="es-ES"/>
        </w:rPr>
        <w:t xml:space="preserve">públicas, por </w:t>
      </w:r>
      <w:r w:rsidR="0063407B">
        <w:rPr>
          <w:rFonts w:ascii="Verdana" w:eastAsia="Calibri" w:hAnsi="Verdana" w:cs="Times New Roman"/>
          <w:lang w:val="es-ES"/>
        </w:rPr>
        <w:t>tanto,</w:t>
      </w:r>
      <w:r w:rsidR="008D4A7D">
        <w:rPr>
          <w:rFonts w:ascii="Verdana" w:eastAsia="Calibri" w:hAnsi="Verdana" w:cs="Times New Roman"/>
          <w:lang w:val="es-ES"/>
        </w:rPr>
        <w:t xml:space="preserve"> se deberá dar cumplimiento a </w:t>
      </w:r>
      <w:r w:rsidR="0063407B">
        <w:rPr>
          <w:rFonts w:ascii="Verdana" w:eastAsia="Calibri" w:hAnsi="Verdana" w:cs="Times New Roman"/>
          <w:lang w:val="es-ES"/>
        </w:rPr>
        <w:t xml:space="preserve">lo </w:t>
      </w:r>
      <w:r w:rsidR="008D4A7D">
        <w:rPr>
          <w:rFonts w:ascii="Verdana" w:eastAsia="Calibri" w:hAnsi="Verdana" w:cs="Times New Roman"/>
          <w:lang w:val="es-ES"/>
        </w:rPr>
        <w:t>establecido en el</w:t>
      </w:r>
      <w:r w:rsidR="00761DCB" w:rsidRPr="008D4A7D">
        <w:rPr>
          <w:rFonts w:ascii="Verdana" w:eastAsia="Calibri" w:hAnsi="Verdana" w:cs="Times New Roman"/>
          <w:lang w:val="es-ES"/>
        </w:rPr>
        <w:t xml:space="preserve"> Estatuto General de Contratación de la Administración Pública-</w:t>
      </w:r>
      <w:r w:rsidR="008D4A7D" w:rsidRPr="008D4A7D">
        <w:rPr>
          <w:rFonts w:ascii="Verdana" w:eastAsia="Calibri" w:hAnsi="Verdana" w:cs="Times New Roman"/>
          <w:lang w:val="es-ES"/>
        </w:rPr>
        <w:t>EGCAP-</w:t>
      </w:r>
      <w:r w:rsidRPr="008D4A7D">
        <w:rPr>
          <w:rFonts w:ascii="Verdana" w:eastAsia="Times New Roman" w:hAnsi="Verdana" w:cs="Arial"/>
          <w:lang w:val="es-ES" w:eastAsia="es-ES_tradnl"/>
        </w:rPr>
        <w:t xml:space="preserve"> </w:t>
      </w:r>
      <w:r w:rsidR="008D4A7D">
        <w:rPr>
          <w:rFonts w:ascii="Verdana" w:eastAsia="Times New Roman" w:hAnsi="Verdana" w:cs="Arial"/>
          <w:lang w:val="es-ES" w:eastAsia="es-ES_tradnl"/>
        </w:rPr>
        <w:t xml:space="preserve">para la celebración de contratos con el objeto de </w:t>
      </w:r>
      <w:r w:rsidR="00654400">
        <w:rPr>
          <w:rFonts w:ascii="Verdana" w:eastAsia="Calibri" w:hAnsi="Verdana" w:cs="Times New Roman"/>
          <w:lang w:val="es-ES"/>
        </w:rPr>
        <w:t>desarrollar programas y actividades de interés comunitari</w:t>
      </w:r>
      <w:r w:rsidR="00C147F2">
        <w:rPr>
          <w:rFonts w:ascii="Verdana" w:eastAsia="Calibri" w:hAnsi="Verdana" w:cs="Times New Roman"/>
          <w:lang w:val="es-ES"/>
        </w:rPr>
        <w:t xml:space="preserve">o que es el objeto de las actividades a ejecutar con este tipo de entidades. </w:t>
      </w:r>
    </w:p>
    <w:p w14:paraId="0E56D084" w14:textId="7155E249" w:rsidR="000233A3" w:rsidRDefault="004117C3" w:rsidP="00D919B2">
      <w:pPr>
        <w:tabs>
          <w:tab w:val="left" w:pos="567"/>
        </w:tabs>
        <w:spacing w:after="120" w:line="254" w:lineRule="auto"/>
        <w:jc w:val="both"/>
        <w:rPr>
          <w:rFonts w:ascii="Verdana" w:eastAsia="Calibri" w:hAnsi="Verdana" w:cs="Times New Roman"/>
        </w:rPr>
      </w:pPr>
      <w:r>
        <w:rPr>
          <w:rFonts w:ascii="Verdana" w:eastAsia="Calibri" w:hAnsi="Verdana" w:cs="Times New Roman"/>
          <w:lang w:val="es-ES"/>
        </w:rPr>
        <w:lastRenderedPageBreak/>
        <w:tab/>
      </w:r>
      <w:r w:rsidR="00A70B42">
        <w:rPr>
          <w:rFonts w:ascii="Verdana" w:eastAsia="Calibri" w:hAnsi="Verdana" w:cs="Times New Roman"/>
          <w:lang w:val="es-ES"/>
        </w:rPr>
        <w:t xml:space="preserve">Pues </w:t>
      </w:r>
      <w:r w:rsidR="00A12116">
        <w:rPr>
          <w:rFonts w:ascii="Verdana" w:eastAsia="Calibri" w:hAnsi="Verdana" w:cs="Times New Roman"/>
          <w:lang w:val="es-ES"/>
        </w:rPr>
        <w:t>bien,</w:t>
      </w:r>
      <w:r w:rsidR="00A70B42">
        <w:rPr>
          <w:rFonts w:ascii="Verdana" w:eastAsia="Calibri" w:hAnsi="Verdana" w:cs="Times New Roman"/>
          <w:lang w:val="es-ES"/>
        </w:rPr>
        <w:t xml:space="preserve"> de manera precisa se indica que en caso de </w:t>
      </w:r>
      <w:r w:rsidR="00E44E28">
        <w:rPr>
          <w:rFonts w:ascii="Verdana" w:eastAsia="Calibri" w:hAnsi="Verdana" w:cs="Times New Roman"/>
          <w:lang w:val="es-ES"/>
        </w:rPr>
        <w:t xml:space="preserve">que la Entidad Contratante </w:t>
      </w:r>
      <w:r w:rsidR="00BA6FEB">
        <w:rPr>
          <w:rFonts w:ascii="Verdana" w:eastAsia="Calibri" w:hAnsi="Verdana" w:cs="Times New Roman"/>
          <w:lang w:val="es-ES"/>
        </w:rPr>
        <w:t>acuda</w:t>
      </w:r>
      <w:r w:rsidR="00A70B42" w:rsidDel="00E44E28">
        <w:rPr>
          <w:rFonts w:ascii="Verdana" w:eastAsia="Calibri" w:hAnsi="Verdana" w:cs="Times New Roman"/>
          <w:lang w:val="es-ES"/>
        </w:rPr>
        <w:t xml:space="preserve"> </w:t>
      </w:r>
      <w:r w:rsidR="00A70B42">
        <w:rPr>
          <w:rFonts w:ascii="Verdana" w:eastAsia="Calibri" w:hAnsi="Verdana" w:cs="Times New Roman"/>
          <w:lang w:val="es-ES"/>
        </w:rPr>
        <w:t xml:space="preserve">a la </w:t>
      </w:r>
      <w:r w:rsidR="00A12116">
        <w:rPr>
          <w:rFonts w:ascii="Verdana" w:eastAsia="Calibri" w:hAnsi="Verdana" w:cs="Times New Roman"/>
          <w:lang w:val="es-ES"/>
        </w:rPr>
        <w:t xml:space="preserve">modalidad de contratación directa contemplada en el numeral 4 del artículo 2 de la Ley 1150 de 2007, </w:t>
      </w:r>
      <w:r w:rsidR="00CA06A6">
        <w:rPr>
          <w:rFonts w:ascii="Verdana" w:eastAsia="Calibri" w:hAnsi="Verdana" w:cs="Times New Roman"/>
          <w:lang w:val="es-ES"/>
        </w:rPr>
        <w:t xml:space="preserve">para la celebración de contratos con las Sociedades de mejoras Públicas, </w:t>
      </w:r>
      <w:r w:rsidR="00A12116">
        <w:rPr>
          <w:rFonts w:ascii="Verdana" w:eastAsia="Calibri" w:hAnsi="Verdana" w:cs="Times New Roman"/>
          <w:lang w:val="es-ES"/>
        </w:rPr>
        <w:t xml:space="preserve">se deberá tener en cuenta </w:t>
      </w:r>
      <w:r w:rsidR="00EB7EE2">
        <w:rPr>
          <w:rFonts w:ascii="Verdana" w:eastAsia="Calibri" w:hAnsi="Verdana" w:cs="Times New Roman"/>
          <w:lang w:val="es-ES"/>
        </w:rPr>
        <w:t>la expedición del</w:t>
      </w:r>
      <w:r w:rsidR="00EB7EE2" w:rsidDel="00EB7EE2">
        <w:rPr>
          <w:rFonts w:ascii="Verdana" w:eastAsia="Calibri" w:hAnsi="Verdana" w:cs="Times New Roman"/>
          <w:lang w:val="es-ES"/>
        </w:rPr>
        <w:t xml:space="preserve"> </w:t>
      </w:r>
      <w:r w:rsidR="000233A3" w:rsidRPr="00137F70">
        <w:rPr>
          <w:rFonts w:ascii="Verdana" w:eastAsia="Calibri" w:hAnsi="Verdana" w:cs="Times New Roman"/>
          <w:color w:val="000000" w:themeColor="text1"/>
          <w:lang w:val="es-ES"/>
        </w:rPr>
        <w:t xml:space="preserve">acto administrativo de justificación de contratación directa que se encuentra en el artículo </w:t>
      </w:r>
      <w:r w:rsidR="000233A3" w:rsidRPr="00137F70">
        <w:rPr>
          <w:rFonts w:ascii="Verdana" w:eastAsia="Calibri" w:hAnsi="Verdana" w:cs="Times New Roman"/>
        </w:rPr>
        <w:t xml:space="preserve">2.2.1.2.1.4.1. del Decreto 1082 de 2015, </w:t>
      </w:r>
      <w:r w:rsidR="00957363">
        <w:rPr>
          <w:rFonts w:ascii="Verdana" w:eastAsia="Calibri" w:hAnsi="Verdana" w:cs="Times New Roman"/>
        </w:rPr>
        <w:t>y cuya excepción solo aplica</w:t>
      </w:r>
      <w:r w:rsidR="00CF09A6">
        <w:rPr>
          <w:rFonts w:ascii="Verdana" w:eastAsia="Calibri" w:hAnsi="Verdana" w:cs="Times New Roman"/>
        </w:rPr>
        <w:t xml:space="preserve"> </w:t>
      </w:r>
      <w:r w:rsidR="009D706F">
        <w:rPr>
          <w:rFonts w:ascii="Verdana" w:eastAsia="Calibri" w:hAnsi="Verdana" w:cs="Times New Roman"/>
        </w:rPr>
        <w:t>para los contratos de prestación de servicios profesionales y de apoyo a la gestión</w:t>
      </w:r>
      <w:r w:rsidR="00CF09A6">
        <w:rPr>
          <w:rFonts w:ascii="Verdana" w:eastAsia="Calibri" w:hAnsi="Verdana" w:cs="Times New Roman"/>
        </w:rPr>
        <w:t>.</w:t>
      </w:r>
      <w:r w:rsidR="009D706F">
        <w:rPr>
          <w:rFonts w:ascii="Verdana" w:eastAsia="Calibri" w:hAnsi="Verdana" w:cs="Times New Roman"/>
        </w:rPr>
        <w:t xml:space="preserve"> </w:t>
      </w:r>
    </w:p>
    <w:p w14:paraId="0F8F1451" w14:textId="0034681B" w:rsidR="0030499F" w:rsidRDefault="008759C8" w:rsidP="00D919B2">
      <w:pPr>
        <w:tabs>
          <w:tab w:val="left" w:pos="567"/>
        </w:tabs>
        <w:spacing w:after="120" w:line="254" w:lineRule="auto"/>
        <w:jc w:val="both"/>
        <w:rPr>
          <w:rFonts w:ascii="Verdana" w:eastAsia="Calibri" w:hAnsi="Verdana" w:cs="Times New Roman"/>
        </w:rPr>
      </w:pPr>
      <w:r>
        <w:rPr>
          <w:rFonts w:ascii="Verdana" w:eastAsia="Calibri" w:hAnsi="Verdana" w:cs="Times New Roman"/>
        </w:rPr>
        <w:t xml:space="preserve">En </w:t>
      </w:r>
      <w:r>
        <w:rPr>
          <w:rFonts w:ascii="Verdana" w:eastAsia="Calibri" w:hAnsi="Verdana" w:cs="Times New Roman"/>
          <w:i/>
          <w:iCs/>
        </w:rPr>
        <w:t xml:space="preserve">segundo lugar, </w:t>
      </w:r>
      <w:r>
        <w:rPr>
          <w:rFonts w:ascii="Verdana" w:eastAsia="Calibri" w:hAnsi="Verdana" w:cs="Times New Roman"/>
        </w:rPr>
        <w:t>es pertinente indicar que l</w:t>
      </w:r>
      <w:r w:rsidRPr="0094625B">
        <w:rPr>
          <w:rFonts w:ascii="Verdana" w:eastAsia="Calibri" w:hAnsi="Verdana" w:cs="Times New Roman"/>
        </w:rPr>
        <w:t>as entidades sometidas al</w:t>
      </w:r>
      <w:r>
        <w:rPr>
          <w:rFonts w:ascii="Verdana" w:eastAsia="Calibri" w:hAnsi="Verdana" w:cs="Times New Roman"/>
        </w:rPr>
        <w:t xml:space="preserve"> EGCAP</w:t>
      </w:r>
      <w:r w:rsidRPr="0094625B">
        <w:rPr>
          <w:rFonts w:ascii="Verdana" w:eastAsia="Calibri" w:hAnsi="Verdana" w:cs="Times New Roman"/>
        </w:rPr>
        <w:t>, gozan de autonomía para configurar el precio y para establecer el sistema de pago más apropiado para satisfacer los fines de la contratación, respetando los límites previstos en el ordenamiento</w:t>
      </w:r>
      <w:r>
        <w:rPr>
          <w:rFonts w:ascii="Verdana" w:eastAsia="Calibri" w:hAnsi="Verdana" w:cs="Times New Roman"/>
        </w:rPr>
        <w:t xml:space="preserve"> jurídi</w:t>
      </w:r>
      <w:r w:rsidR="00B32A95">
        <w:rPr>
          <w:rFonts w:ascii="Verdana" w:eastAsia="Calibri" w:hAnsi="Verdana" w:cs="Times New Roman"/>
        </w:rPr>
        <w:t>co</w:t>
      </w:r>
      <w:r w:rsidR="00011090">
        <w:rPr>
          <w:rFonts w:ascii="Verdana" w:eastAsia="Calibri" w:hAnsi="Verdana" w:cs="Times New Roman"/>
        </w:rPr>
        <w:t xml:space="preserve">, por lo no existe una determinación </w:t>
      </w:r>
      <w:r w:rsidR="004A47B1">
        <w:rPr>
          <w:rFonts w:ascii="Verdana" w:eastAsia="Calibri" w:hAnsi="Verdana" w:cs="Times New Roman"/>
        </w:rPr>
        <w:t xml:space="preserve">y procedencia de la configuración del precio </w:t>
      </w:r>
      <w:r w:rsidR="00011090">
        <w:rPr>
          <w:rFonts w:ascii="Verdana" w:eastAsia="Calibri" w:hAnsi="Verdana" w:cs="Times New Roman"/>
        </w:rPr>
        <w:t>respecto a las tipologías contractuales</w:t>
      </w:r>
      <w:r w:rsidR="004A47B1">
        <w:rPr>
          <w:rFonts w:ascii="Verdana" w:eastAsia="Calibri" w:hAnsi="Verdana" w:cs="Times New Roman"/>
        </w:rPr>
        <w:t xml:space="preserve"> </w:t>
      </w:r>
      <w:r w:rsidR="0030499F">
        <w:rPr>
          <w:rFonts w:ascii="Verdana" w:eastAsia="Calibri" w:hAnsi="Verdana" w:cs="Times New Roman"/>
        </w:rPr>
        <w:t xml:space="preserve">establecidas en el EGCAP o las que en virtud de la remisión al ordenamiento civil o privado puedan celebrar las entidades. </w:t>
      </w:r>
    </w:p>
    <w:p w14:paraId="6865F4D9" w14:textId="77777777" w:rsidR="002026F8" w:rsidRPr="008216B6" w:rsidRDefault="002026F8" w:rsidP="002026F8">
      <w:pPr>
        <w:tabs>
          <w:tab w:val="left" w:pos="709"/>
        </w:tabs>
        <w:spacing w:after="0" w:line="254" w:lineRule="auto"/>
        <w:jc w:val="both"/>
        <w:rPr>
          <w:rFonts w:ascii="Verdana" w:eastAsia="Calibri" w:hAnsi="Verdana" w:cs="Times New Roman"/>
        </w:rPr>
      </w:pPr>
      <w:r>
        <w:rPr>
          <w:rFonts w:ascii="Verdana" w:eastAsia="Calibri" w:hAnsi="Verdana" w:cs="Times New Roman"/>
        </w:rPr>
        <w:t xml:space="preserve">Por lo cual le corresponde a cada Entidad Contratante en sus documentos precontractuales establecer el </w:t>
      </w:r>
      <w:r w:rsidRPr="008216B6">
        <w:rPr>
          <w:rFonts w:ascii="Verdana" w:eastAsia="Calibri" w:hAnsi="Verdana" w:cs="Times New Roman"/>
        </w:rPr>
        <w:t>cálculo del AIU</w:t>
      </w:r>
      <w:r>
        <w:rPr>
          <w:rFonts w:ascii="Verdana" w:eastAsia="Calibri" w:hAnsi="Verdana" w:cs="Times New Roman"/>
        </w:rPr>
        <w:t xml:space="preserve"> conforme a los principios de economía, eficiencia y transparencia</w:t>
      </w:r>
      <w:r w:rsidRPr="008216B6">
        <w:rPr>
          <w:rFonts w:ascii="Verdana" w:eastAsia="Calibri" w:hAnsi="Verdana" w:cs="Times New Roman"/>
        </w:rPr>
        <w:t xml:space="preserve">, </w:t>
      </w:r>
      <w:r>
        <w:rPr>
          <w:rFonts w:ascii="Verdana" w:eastAsia="Calibri" w:hAnsi="Verdana" w:cs="Times New Roman"/>
        </w:rPr>
        <w:t xml:space="preserve">pues este </w:t>
      </w:r>
      <w:r w:rsidRPr="008216B6">
        <w:rPr>
          <w:rFonts w:ascii="Verdana" w:eastAsia="Calibri" w:hAnsi="Verdana" w:cs="Times New Roman"/>
        </w:rPr>
        <w:t>obedece exclusivamente a un análisis detallado que hacen tanto entidades, como  proveedores</w:t>
      </w:r>
      <w:r>
        <w:rPr>
          <w:rFonts w:ascii="Verdana" w:eastAsia="Calibri" w:hAnsi="Verdana" w:cs="Times New Roman"/>
        </w:rPr>
        <w:t xml:space="preserve"> y contratistas</w:t>
      </w:r>
      <w:r w:rsidRPr="008216B6">
        <w:rPr>
          <w:rFonts w:ascii="Verdana" w:eastAsia="Calibri" w:hAnsi="Verdana" w:cs="Times New Roman"/>
        </w:rPr>
        <w:t>, de acuerdo con las condiciones particulares del proyecto o negocio</w:t>
      </w:r>
      <w:r>
        <w:rPr>
          <w:rFonts w:ascii="Verdana" w:eastAsia="Calibri" w:hAnsi="Verdana" w:cs="Times New Roman"/>
        </w:rPr>
        <w:t xml:space="preserve"> </w:t>
      </w:r>
      <w:r w:rsidRPr="008216B6">
        <w:rPr>
          <w:rFonts w:ascii="Verdana" w:eastAsia="Calibri" w:hAnsi="Verdana" w:cs="Times New Roman"/>
        </w:rPr>
        <w:t xml:space="preserve">basados en </w:t>
      </w:r>
      <w:proofErr w:type="spellStart"/>
      <w:r>
        <w:rPr>
          <w:rFonts w:ascii="Verdana" w:eastAsia="Calibri" w:hAnsi="Verdana" w:cs="Times New Roman"/>
        </w:rPr>
        <w:t>en</w:t>
      </w:r>
      <w:proofErr w:type="spellEnd"/>
      <w:r>
        <w:rPr>
          <w:rFonts w:ascii="Verdana" w:eastAsia="Calibri" w:hAnsi="Verdana" w:cs="Times New Roman"/>
        </w:rPr>
        <w:t xml:space="preserve"> estudios de mercados y </w:t>
      </w:r>
      <w:r w:rsidRPr="008216B6">
        <w:rPr>
          <w:rFonts w:ascii="Verdana" w:eastAsia="Calibri" w:hAnsi="Verdana" w:cs="Times New Roman"/>
        </w:rPr>
        <w:t xml:space="preserve"> experiencia. </w:t>
      </w:r>
    </w:p>
    <w:p w14:paraId="3A68E7FE" w14:textId="77777777" w:rsidR="002026F8" w:rsidRPr="0030499F" w:rsidRDefault="002026F8" w:rsidP="00D919B2">
      <w:pPr>
        <w:tabs>
          <w:tab w:val="left" w:pos="567"/>
        </w:tabs>
        <w:spacing w:after="120" w:line="254" w:lineRule="auto"/>
        <w:jc w:val="both"/>
        <w:rPr>
          <w:rFonts w:ascii="Verdana" w:eastAsia="Calibri" w:hAnsi="Verdana" w:cs="Times New Roman"/>
        </w:rPr>
      </w:pPr>
    </w:p>
    <w:p w14:paraId="25D7C1F8" w14:textId="77777777" w:rsidR="004352BC" w:rsidRPr="004352BC" w:rsidRDefault="004352BC" w:rsidP="00D919B2">
      <w:pPr>
        <w:numPr>
          <w:ilvl w:val="0"/>
          <w:numId w:val="16"/>
        </w:numPr>
        <w:spacing w:after="0" w:line="254" w:lineRule="auto"/>
        <w:ind w:left="0" w:firstLine="0"/>
        <w:rPr>
          <w:rFonts w:ascii="Verdana" w:eastAsia="Calibri" w:hAnsi="Verdana" w:cs="Times New Roman"/>
          <w:b/>
          <w:bCs/>
          <w:lang w:val="es-ES"/>
        </w:rPr>
      </w:pPr>
      <w:r w:rsidRPr="004352BC">
        <w:rPr>
          <w:rFonts w:ascii="Verdana" w:eastAsia="Calibri" w:hAnsi="Verdana" w:cs="Times New Roman"/>
          <w:lang w:val="es-MX"/>
        </w:rPr>
        <w:t xml:space="preserve"> </w:t>
      </w:r>
      <w:r w:rsidRPr="004352BC">
        <w:rPr>
          <w:rFonts w:ascii="Verdana" w:eastAsia="Calibri" w:hAnsi="Verdana" w:cs="Times New Roman"/>
          <w:b/>
          <w:bCs/>
          <w:lang w:val="es-ES"/>
        </w:rPr>
        <w:t>Razones de la respuesta:</w:t>
      </w:r>
    </w:p>
    <w:p w14:paraId="613906B5" w14:textId="77777777" w:rsidR="004352BC" w:rsidRPr="004352BC" w:rsidRDefault="004352BC" w:rsidP="004352BC">
      <w:pPr>
        <w:spacing w:after="0" w:line="254" w:lineRule="auto"/>
        <w:rPr>
          <w:rFonts w:ascii="Verdana" w:eastAsia="Calibri" w:hAnsi="Verdana" w:cs="Times New Roman"/>
          <w:b/>
          <w:bCs/>
          <w:lang w:val="es-ES"/>
        </w:rPr>
      </w:pPr>
    </w:p>
    <w:p w14:paraId="63C32FC2" w14:textId="77777777" w:rsidR="004352BC" w:rsidRPr="004352BC" w:rsidRDefault="004352BC" w:rsidP="004352BC">
      <w:pPr>
        <w:spacing w:after="0" w:line="276" w:lineRule="auto"/>
        <w:jc w:val="both"/>
        <w:rPr>
          <w:rFonts w:ascii="Verdana" w:eastAsia="Calibri" w:hAnsi="Verdana" w:cs="Arial"/>
          <w:lang w:val="es-ES"/>
        </w:rPr>
      </w:pPr>
      <w:r w:rsidRPr="004352BC">
        <w:rPr>
          <w:rFonts w:ascii="Verdana" w:eastAsia="Calibri" w:hAnsi="Verdana" w:cs="Arial"/>
          <w:lang w:val="es-ES"/>
        </w:rPr>
        <w:t xml:space="preserve">Lo anterior se sustenta en las siguientes consideraciones: </w:t>
      </w:r>
    </w:p>
    <w:p w14:paraId="520C15CB" w14:textId="77777777" w:rsidR="004352BC" w:rsidRPr="004352BC" w:rsidRDefault="004352BC" w:rsidP="004352BC">
      <w:pPr>
        <w:spacing w:after="0" w:line="276" w:lineRule="auto"/>
        <w:jc w:val="both"/>
        <w:rPr>
          <w:rFonts w:ascii="Verdana" w:eastAsia="Calibri" w:hAnsi="Verdana" w:cs="Arial"/>
          <w:lang w:val="es-ES"/>
        </w:rPr>
      </w:pPr>
    </w:p>
    <w:p w14:paraId="34ACF14D" w14:textId="105F2E9F" w:rsidR="004352BC" w:rsidRPr="00B650B9" w:rsidRDefault="00B650B9" w:rsidP="00B650B9">
      <w:pPr>
        <w:tabs>
          <w:tab w:val="left" w:pos="709"/>
        </w:tabs>
        <w:spacing w:after="0" w:line="252" w:lineRule="auto"/>
        <w:jc w:val="both"/>
        <w:rPr>
          <w:rFonts w:ascii="Verdana" w:eastAsia="Calibri" w:hAnsi="Verdana" w:cs="Arial"/>
          <w:color w:val="000000"/>
        </w:rPr>
      </w:pPr>
      <w:r>
        <w:rPr>
          <w:rFonts w:ascii="Verdana" w:eastAsia="Calibri" w:hAnsi="Verdana" w:cs="Arial"/>
          <w:color w:val="000000"/>
        </w:rPr>
        <w:tab/>
      </w:r>
      <w:r w:rsidR="004352BC" w:rsidRPr="00B650B9">
        <w:rPr>
          <w:rFonts w:ascii="Verdana" w:eastAsia="Calibri" w:hAnsi="Verdana" w:cs="Arial"/>
          <w:color w:val="000000"/>
        </w:rPr>
        <w:t>En primer lugar</w:t>
      </w:r>
      <w:r w:rsidR="007131C9" w:rsidRPr="00B650B9">
        <w:rPr>
          <w:rFonts w:ascii="Verdana" w:eastAsia="Calibri" w:hAnsi="Verdana" w:cs="Arial"/>
          <w:color w:val="000000"/>
        </w:rPr>
        <w:t>,</w:t>
      </w:r>
      <w:r w:rsidR="001D617B" w:rsidRPr="00B650B9">
        <w:rPr>
          <w:rFonts w:ascii="Verdana" w:eastAsia="Calibri" w:hAnsi="Verdana" w:cs="Arial"/>
          <w:color w:val="000000"/>
        </w:rPr>
        <w:t xml:space="preserve"> se abordará lo referente al</w:t>
      </w:r>
      <w:r w:rsidR="004352BC" w:rsidRPr="00B650B9">
        <w:rPr>
          <w:rFonts w:ascii="Verdana" w:eastAsia="Calibri" w:hAnsi="Verdana" w:cs="Arial"/>
          <w:color w:val="000000"/>
        </w:rPr>
        <w:t xml:space="preserve"> </w:t>
      </w:r>
      <w:r w:rsidR="001D617B" w:rsidRPr="00B650B9">
        <w:rPr>
          <w:rFonts w:ascii="Verdana" w:eastAsia="Calibri" w:hAnsi="Verdana" w:cs="Arial"/>
          <w:color w:val="000000"/>
        </w:rPr>
        <w:t xml:space="preserve">régimen de contratación </w:t>
      </w:r>
      <w:r w:rsidR="00C81BB7" w:rsidRPr="00B650B9">
        <w:rPr>
          <w:rFonts w:ascii="Verdana" w:eastAsia="Calibri" w:hAnsi="Verdana" w:cs="Arial"/>
          <w:color w:val="000000"/>
        </w:rPr>
        <w:t>que aplica</w:t>
      </w:r>
      <w:r w:rsidR="001D617B" w:rsidRPr="00B650B9">
        <w:rPr>
          <w:rFonts w:ascii="Verdana" w:eastAsia="Calibri" w:hAnsi="Verdana" w:cs="Arial"/>
          <w:color w:val="000000"/>
        </w:rPr>
        <w:t xml:space="preserve"> para los contratos celebrados con las sociedades de mejoras </w:t>
      </w:r>
      <w:r w:rsidR="00C81BB7" w:rsidRPr="00B650B9">
        <w:rPr>
          <w:rFonts w:ascii="Verdana" w:eastAsia="Calibri" w:hAnsi="Verdana" w:cs="Arial"/>
          <w:color w:val="000000"/>
        </w:rPr>
        <w:t>públicas</w:t>
      </w:r>
      <w:r w:rsidR="00F33BE9" w:rsidRPr="00B650B9">
        <w:rPr>
          <w:rFonts w:ascii="Verdana" w:eastAsia="Calibri" w:hAnsi="Verdana" w:cs="Arial"/>
          <w:color w:val="000000"/>
        </w:rPr>
        <w:t>, para lo cual es necesario acudir a lo establecido en la L</w:t>
      </w:r>
      <w:r w:rsidR="001E6F52" w:rsidRPr="00B650B9">
        <w:rPr>
          <w:rFonts w:ascii="Verdana" w:eastAsia="Calibri" w:hAnsi="Verdana" w:cs="Arial"/>
          <w:color w:val="000000"/>
        </w:rPr>
        <w:t xml:space="preserve">ey </w:t>
      </w:r>
      <w:r w:rsidR="00932E75" w:rsidRPr="00B650B9">
        <w:rPr>
          <w:rFonts w:ascii="Verdana" w:eastAsia="Calibri" w:hAnsi="Verdana" w:cs="Arial"/>
          <w:color w:val="000000"/>
        </w:rPr>
        <w:t>1217 de 2008</w:t>
      </w:r>
      <w:r w:rsidR="008032DB" w:rsidRPr="00B650B9">
        <w:rPr>
          <w:rFonts w:ascii="Verdana" w:eastAsia="Calibri" w:hAnsi="Verdana" w:cs="Arial"/>
          <w:color w:val="000000"/>
        </w:rPr>
        <w:t>-</w:t>
      </w:r>
      <w:r w:rsidR="008032DB" w:rsidRPr="008032DB">
        <w:t xml:space="preserve"> </w:t>
      </w:r>
      <w:r w:rsidR="008032DB" w:rsidRPr="00B650B9">
        <w:rPr>
          <w:rFonts w:ascii="Verdana" w:eastAsia="Calibri" w:hAnsi="Verdana" w:cs="Arial"/>
          <w:i/>
          <w:iCs/>
          <w:color w:val="000000"/>
        </w:rPr>
        <w:t>por medio de la cual se dictan normas para la regulación y modernización de las sociedades de mejoras públicas</w:t>
      </w:r>
      <w:r w:rsidR="008032DB" w:rsidRPr="00B650B9">
        <w:rPr>
          <w:rFonts w:ascii="Verdana" w:eastAsia="Calibri" w:hAnsi="Verdana" w:cs="Arial"/>
          <w:color w:val="000000"/>
        </w:rPr>
        <w:t>-</w:t>
      </w:r>
      <w:r w:rsidR="00FF327D" w:rsidRPr="00B650B9">
        <w:rPr>
          <w:rFonts w:ascii="Verdana" w:eastAsia="Calibri" w:hAnsi="Verdana" w:cs="Arial"/>
          <w:color w:val="000000"/>
        </w:rPr>
        <w:t xml:space="preserve"> en particular lo señalado en el artículo 2 que fija la naturaleza jurídica de este tipo de personas jurídicas de la siguiente manera: </w:t>
      </w:r>
    </w:p>
    <w:p w14:paraId="62656EFA" w14:textId="77777777" w:rsidR="00FF327D" w:rsidRDefault="00FF327D" w:rsidP="00FB6A8B">
      <w:pPr>
        <w:tabs>
          <w:tab w:val="left" w:pos="709"/>
        </w:tabs>
        <w:spacing w:after="0" w:line="252" w:lineRule="auto"/>
        <w:contextualSpacing/>
        <w:jc w:val="both"/>
        <w:rPr>
          <w:rFonts w:ascii="Verdana" w:eastAsia="Calibri" w:hAnsi="Verdana" w:cs="Arial"/>
          <w:color w:val="000000"/>
          <w:lang w:val="es-ES"/>
        </w:rPr>
      </w:pPr>
    </w:p>
    <w:p w14:paraId="41C08C6E" w14:textId="40328E99" w:rsidR="00BD5A11" w:rsidRPr="00BD5A11" w:rsidRDefault="00BD5A11" w:rsidP="00BD5A11">
      <w:pPr>
        <w:tabs>
          <w:tab w:val="left" w:pos="709"/>
        </w:tabs>
        <w:spacing w:after="0" w:line="240" w:lineRule="auto"/>
        <w:ind w:left="567" w:right="900"/>
        <w:contextualSpacing/>
        <w:jc w:val="both"/>
        <w:rPr>
          <w:rFonts w:ascii="Verdana" w:eastAsia="Calibri" w:hAnsi="Verdana" w:cs="Arial"/>
          <w:color w:val="000000"/>
        </w:rPr>
      </w:pPr>
      <w:r w:rsidRPr="00BD5A11">
        <w:rPr>
          <w:rFonts w:ascii="Verdana" w:eastAsia="Calibri" w:hAnsi="Verdana" w:cs="Arial"/>
          <w:color w:val="000000"/>
        </w:rPr>
        <w:t>(…)</w:t>
      </w:r>
    </w:p>
    <w:p w14:paraId="283DDA14" w14:textId="77777777" w:rsidR="00BD5A11" w:rsidRDefault="00BD5A11" w:rsidP="00BD5A11">
      <w:pPr>
        <w:tabs>
          <w:tab w:val="left" w:pos="709"/>
        </w:tabs>
        <w:spacing w:after="0" w:line="240" w:lineRule="auto"/>
        <w:ind w:left="567" w:right="900"/>
        <w:contextualSpacing/>
        <w:jc w:val="both"/>
        <w:rPr>
          <w:rFonts w:ascii="Verdana" w:eastAsia="Calibri" w:hAnsi="Verdana" w:cs="Arial"/>
          <w:color w:val="000000"/>
          <w:sz w:val="20"/>
          <w:szCs w:val="20"/>
        </w:rPr>
      </w:pPr>
      <w:r w:rsidRPr="00BD5A11">
        <w:rPr>
          <w:rFonts w:ascii="Verdana" w:eastAsia="Calibri" w:hAnsi="Verdana" w:cs="Arial"/>
          <w:color w:val="000000"/>
          <w:sz w:val="20"/>
          <w:szCs w:val="20"/>
        </w:rPr>
        <w:t xml:space="preserve">Las Sociedades de Mejoras Públicas son entidades de carácter privado, de utilidad común, sin ánimo de lucro, con personería jurídica, patrimonio propio y autonomía administrativa; ejercen sus funciones como consultoras de la administración municipal en defensa del espacio público, del medio ambiente y del patrimonio cultural e incentivan la promoción y </w:t>
      </w:r>
      <w:r w:rsidRPr="00BD5A11">
        <w:rPr>
          <w:rFonts w:ascii="Verdana" w:eastAsia="Calibri" w:hAnsi="Verdana" w:cs="Arial"/>
          <w:color w:val="000000"/>
          <w:sz w:val="20"/>
          <w:szCs w:val="20"/>
        </w:rPr>
        <w:lastRenderedPageBreak/>
        <w:t>conformación de una conciencia cívica que garantice el desarrollo armónico de las ciudades y poblaciones.</w:t>
      </w:r>
    </w:p>
    <w:p w14:paraId="5A9E5BD0" w14:textId="28FDB60D" w:rsidR="00BD5A11" w:rsidRPr="00BD5A11" w:rsidRDefault="00BD5A11" w:rsidP="00BD5A11">
      <w:pPr>
        <w:tabs>
          <w:tab w:val="left" w:pos="709"/>
        </w:tabs>
        <w:spacing w:after="0" w:line="240" w:lineRule="auto"/>
        <w:ind w:left="567" w:right="900"/>
        <w:contextualSpacing/>
        <w:jc w:val="both"/>
        <w:rPr>
          <w:rFonts w:ascii="Verdana" w:eastAsia="Calibri" w:hAnsi="Verdana" w:cs="Arial"/>
          <w:color w:val="000000"/>
        </w:rPr>
      </w:pPr>
      <w:r w:rsidRPr="00BD5A11">
        <w:rPr>
          <w:rFonts w:ascii="Verdana" w:eastAsia="Calibri" w:hAnsi="Verdana" w:cs="Arial"/>
          <w:color w:val="000000"/>
        </w:rPr>
        <w:t>(…)</w:t>
      </w:r>
    </w:p>
    <w:p w14:paraId="34386AFD" w14:textId="77777777" w:rsidR="00BD5A11" w:rsidRDefault="00BD5A11" w:rsidP="00FB6A8B">
      <w:pPr>
        <w:tabs>
          <w:tab w:val="left" w:pos="709"/>
        </w:tabs>
        <w:spacing w:after="0" w:line="252" w:lineRule="auto"/>
        <w:contextualSpacing/>
        <w:jc w:val="both"/>
        <w:rPr>
          <w:rFonts w:ascii="Verdana" w:eastAsia="Calibri" w:hAnsi="Verdana" w:cs="Arial"/>
          <w:color w:val="000000"/>
          <w:lang w:val="es-ES"/>
        </w:rPr>
      </w:pPr>
    </w:p>
    <w:p w14:paraId="05EF862E" w14:textId="3A5A203F" w:rsidR="007131C9" w:rsidRPr="00834BAD" w:rsidRDefault="000677E4" w:rsidP="00834BAD">
      <w:pPr>
        <w:tabs>
          <w:tab w:val="left" w:pos="709"/>
        </w:tabs>
        <w:spacing w:after="0" w:line="252" w:lineRule="auto"/>
        <w:jc w:val="both"/>
        <w:rPr>
          <w:rFonts w:ascii="Verdana" w:eastAsia="Calibri" w:hAnsi="Verdana" w:cs="Arial"/>
          <w:color w:val="000000"/>
        </w:rPr>
      </w:pPr>
      <w:r w:rsidRPr="00834BAD">
        <w:rPr>
          <w:rFonts w:ascii="Verdana" w:eastAsia="Calibri" w:hAnsi="Verdana" w:cs="Arial"/>
          <w:color w:val="000000"/>
        </w:rPr>
        <w:t xml:space="preserve">De lo anterior, se encuentra que estas entidades son de carácter privado, sin animo de lucro, y que tienen </w:t>
      </w:r>
      <w:r w:rsidR="00F408C3" w:rsidRPr="00834BAD">
        <w:rPr>
          <w:rFonts w:ascii="Verdana" w:eastAsia="Calibri" w:hAnsi="Verdana" w:cs="Arial"/>
          <w:color w:val="000000"/>
        </w:rPr>
        <w:t>funciones como consultoras de la administración en la d</w:t>
      </w:r>
      <w:r w:rsidR="00452F42" w:rsidRPr="00834BAD">
        <w:rPr>
          <w:rFonts w:ascii="Verdana" w:eastAsia="Calibri" w:hAnsi="Verdana" w:cs="Arial"/>
          <w:color w:val="000000"/>
        </w:rPr>
        <w:t xml:space="preserve">efensa de diferentes componentes como el espacio </w:t>
      </w:r>
      <w:r w:rsidR="00723F4E" w:rsidRPr="00834BAD">
        <w:rPr>
          <w:rFonts w:ascii="Verdana" w:eastAsia="Calibri" w:hAnsi="Verdana" w:cs="Arial"/>
          <w:color w:val="000000"/>
        </w:rPr>
        <w:t>público</w:t>
      </w:r>
      <w:r w:rsidR="00452F42" w:rsidRPr="00834BAD">
        <w:rPr>
          <w:rFonts w:ascii="Verdana" w:eastAsia="Calibri" w:hAnsi="Verdana" w:cs="Arial"/>
          <w:color w:val="000000"/>
        </w:rPr>
        <w:t>, medio ambiente entre otros</w:t>
      </w:r>
      <w:r w:rsidR="00723F4E" w:rsidRPr="00834BAD">
        <w:rPr>
          <w:rFonts w:ascii="Verdana" w:eastAsia="Calibri" w:hAnsi="Verdana" w:cs="Arial"/>
          <w:color w:val="000000"/>
        </w:rPr>
        <w:t xml:space="preserve">; a su vez en el artículo 4 SIC, se determinan los fines de este tipo de entidades de la siguiente manera: </w:t>
      </w:r>
    </w:p>
    <w:p w14:paraId="7C647146" w14:textId="77777777" w:rsidR="00723F4E" w:rsidRPr="00FF20ED" w:rsidRDefault="00723F4E" w:rsidP="00FF20ED">
      <w:pPr>
        <w:tabs>
          <w:tab w:val="left" w:pos="709"/>
        </w:tabs>
        <w:spacing w:after="0" w:line="240" w:lineRule="auto"/>
        <w:ind w:left="567" w:right="900"/>
        <w:contextualSpacing/>
        <w:jc w:val="both"/>
        <w:rPr>
          <w:rFonts w:ascii="Verdana" w:eastAsia="Calibri" w:hAnsi="Verdana" w:cs="Arial"/>
          <w:color w:val="000000"/>
          <w:sz w:val="20"/>
          <w:szCs w:val="20"/>
        </w:rPr>
      </w:pPr>
    </w:p>
    <w:p w14:paraId="43CAC5B5" w14:textId="77777777" w:rsidR="00FF20ED" w:rsidRPr="00BD5A11" w:rsidRDefault="00FF20ED" w:rsidP="00FF20ED">
      <w:pPr>
        <w:tabs>
          <w:tab w:val="left" w:pos="709"/>
        </w:tabs>
        <w:spacing w:after="0" w:line="240" w:lineRule="auto"/>
        <w:ind w:left="567" w:right="900"/>
        <w:contextualSpacing/>
        <w:jc w:val="both"/>
        <w:rPr>
          <w:rFonts w:ascii="Verdana" w:eastAsia="Calibri" w:hAnsi="Verdana" w:cs="Arial"/>
          <w:color w:val="000000"/>
        </w:rPr>
      </w:pPr>
      <w:r w:rsidRPr="00BD5A11">
        <w:rPr>
          <w:rFonts w:ascii="Verdana" w:eastAsia="Calibri" w:hAnsi="Verdana" w:cs="Arial"/>
          <w:color w:val="000000"/>
        </w:rPr>
        <w:t>(…)</w:t>
      </w:r>
    </w:p>
    <w:p w14:paraId="0E82B1AD" w14:textId="4431E4B2" w:rsidR="00723F4E" w:rsidRDefault="00FF20ED" w:rsidP="00FF20ED">
      <w:pPr>
        <w:tabs>
          <w:tab w:val="left" w:pos="709"/>
        </w:tabs>
        <w:spacing w:after="0" w:line="240" w:lineRule="auto"/>
        <w:ind w:left="567" w:right="900"/>
        <w:contextualSpacing/>
        <w:jc w:val="both"/>
        <w:rPr>
          <w:rFonts w:ascii="Verdana" w:eastAsia="Calibri" w:hAnsi="Verdana" w:cs="Arial"/>
          <w:color w:val="000000"/>
          <w:sz w:val="20"/>
          <w:szCs w:val="20"/>
        </w:rPr>
      </w:pPr>
      <w:r w:rsidRPr="00FF20ED">
        <w:rPr>
          <w:rFonts w:ascii="Verdana" w:eastAsia="Calibri" w:hAnsi="Verdana" w:cs="Arial"/>
          <w:color w:val="000000"/>
          <w:sz w:val="20"/>
          <w:szCs w:val="20"/>
        </w:rPr>
        <w:t>Las Sociedades de Mejoras Públicas, en desarrollo de su objeto social propenden por el respeto y la formación de cultura ciudadana, el fomento de valores y de hechos de paz, la protección y administración del patrimonio cultural colombiano, y la gestión de proyectos para el embellecimiento de las ciudades y el mejoramiento de la calidad de vida de sus habitantes. Para el cumplimiento de sus fines podrá constituir veedurías ciudadanas conforme a lo preceptuado en el artículo 2º de la Ley 850 de 2003. Así mismo, podrán participar en lo pertinente de la Ley 388 de 1997, Ley 614 de 2000, Ley 810 de 2003 y 902 de 2004. </w:t>
      </w:r>
    </w:p>
    <w:p w14:paraId="2E5B3528" w14:textId="77777777" w:rsidR="00FF20ED" w:rsidRPr="00BD5A11" w:rsidRDefault="00FF20ED" w:rsidP="00FF20ED">
      <w:pPr>
        <w:tabs>
          <w:tab w:val="left" w:pos="709"/>
        </w:tabs>
        <w:spacing w:after="0" w:line="240" w:lineRule="auto"/>
        <w:ind w:left="567" w:right="900"/>
        <w:contextualSpacing/>
        <w:jc w:val="both"/>
        <w:rPr>
          <w:rFonts w:ascii="Verdana" w:eastAsia="Calibri" w:hAnsi="Verdana" w:cs="Arial"/>
          <w:color w:val="000000"/>
        </w:rPr>
      </w:pPr>
      <w:r w:rsidRPr="00BD5A11">
        <w:rPr>
          <w:rFonts w:ascii="Verdana" w:eastAsia="Calibri" w:hAnsi="Verdana" w:cs="Arial"/>
          <w:color w:val="000000"/>
        </w:rPr>
        <w:t>(…)</w:t>
      </w:r>
    </w:p>
    <w:p w14:paraId="431C43A0" w14:textId="77777777" w:rsidR="00FF20ED" w:rsidRDefault="00FF20ED" w:rsidP="00FF20ED">
      <w:pPr>
        <w:tabs>
          <w:tab w:val="left" w:pos="709"/>
        </w:tabs>
        <w:spacing w:after="0" w:line="240" w:lineRule="auto"/>
        <w:ind w:left="567" w:right="900"/>
        <w:contextualSpacing/>
        <w:jc w:val="both"/>
        <w:rPr>
          <w:rFonts w:ascii="Verdana" w:eastAsia="Calibri" w:hAnsi="Verdana" w:cs="Arial"/>
          <w:color w:val="000000"/>
          <w:sz w:val="20"/>
          <w:szCs w:val="20"/>
        </w:rPr>
      </w:pPr>
    </w:p>
    <w:p w14:paraId="5CF327E8" w14:textId="77777777" w:rsidR="00B650B9" w:rsidRPr="00834BAD" w:rsidRDefault="00FE176A" w:rsidP="00834BAD">
      <w:pPr>
        <w:tabs>
          <w:tab w:val="left" w:pos="709"/>
        </w:tabs>
        <w:spacing w:after="0" w:line="254" w:lineRule="auto"/>
        <w:jc w:val="both"/>
        <w:rPr>
          <w:rFonts w:ascii="Verdana" w:hAnsi="Verdana" w:cs="Arial"/>
          <w:b/>
          <w:bCs/>
          <w:color w:val="000000"/>
        </w:rPr>
      </w:pPr>
      <w:r w:rsidRPr="00834BAD">
        <w:rPr>
          <w:rFonts w:ascii="Verdana" w:eastAsia="Calibri" w:hAnsi="Verdana" w:cs="Times New Roman"/>
        </w:rPr>
        <w:t xml:space="preserve">Pues bien, para el legislador fue primordial </w:t>
      </w:r>
      <w:r w:rsidR="00FB6095" w:rsidRPr="00834BAD">
        <w:rPr>
          <w:rFonts w:ascii="Verdana" w:eastAsia="Calibri" w:hAnsi="Verdana" w:cs="Times New Roman"/>
        </w:rPr>
        <w:t xml:space="preserve">determinar que estas sociedades de mejoras publicas pudiesen celebrar contratos con </w:t>
      </w:r>
      <w:r w:rsidR="007B69BE" w:rsidRPr="00834BAD">
        <w:rPr>
          <w:rFonts w:ascii="Verdana" w:eastAsia="Calibri" w:hAnsi="Verdana" w:cs="Times New Roman"/>
        </w:rPr>
        <w:t xml:space="preserve">entidades </w:t>
      </w:r>
      <w:r w:rsidR="007316A2" w:rsidRPr="00834BAD">
        <w:rPr>
          <w:rFonts w:ascii="Verdana" w:eastAsia="Calibri" w:hAnsi="Verdana" w:cs="Times New Roman"/>
        </w:rPr>
        <w:t>públicas</w:t>
      </w:r>
      <w:r w:rsidR="007B69BE" w:rsidRPr="00834BAD">
        <w:rPr>
          <w:rFonts w:ascii="Verdana" w:eastAsia="Calibri" w:hAnsi="Verdana" w:cs="Times New Roman"/>
        </w:rPr>
        <w:t xml:space="preserve"> y privadas del orden nacional, departamental y municipal a efectos de </w:t>
      </w:r>
      <w:r w:rsidR="00D86816" w:rsidRPr="00834BAD">
        <w:rPr>
          <w:rFonts w:ascii="Verdana" w:eastAsia="Calibri" w:hAnsi="Verdana" w:cs="Times New Roman"/>
        </w:rPr>
        <w:t>desarrollar programas y actividades de interés comunitario</w:t>
      </w:r>
      <w:r w:rsidR="00D86816">
        <w:rPr>
          <w:rStyle w:val="Refdenotaalpie"/>
          <w:rFonts w:ascii="Verdana" w:eastAsia="Calibri" w:hAnsi="Verdana" w:cs="Times New Roman"/>
        </w:rPr>
        <w:footnoteReference w:id="2"/>
      </w:r>
      <w:r w:rsidR="00CC14C7" w:rsidRPr="00834BAD">
        <w:rPr>
          <w:rFonts w:ascii="Verdana" w:eastAsia="Calibri" w:hAnsi="Verdana" w:cs="Times New Roman"/>
        </w:rPr>
        <w:t xml:space="preserve">, pero no definió un régimen particular para la celebración de los contratos por parte de las entidades publicas </w:t>
      </w:r>
      <w:r w:rsidR="00E10A06" w:rsidRPr="00834BAD">
        <w:rPr>
          <w:rFonts w:ascii="Verdana" w:eastAsia="Calibri" w:hAnsi="Verdana" w:cs="Times New Roman"/>
        </w:rPr>
        <w:t>con este tipo de entidades</w:t>
      </w:r>
      <w:r w:rsidR="00B650B9" w:rsidRPr="00834BAD">
        <w:rPr>
          <w:rFonts w:ascii="Verdana" w:eastAsia="Calibri" w:hAnsi="Verdana" w:cs="Times New Roman"/>
        </w:rPr>
        <w:t>.</w:t>
      </w:r>
    </w:p>
    <w:p w14:paraId="264F875F" w14:textId="77777777" w:rsidR="00B650B9" w:rsidRPr="00B650B9" w:rsidRDefault="00B650B9" w:rsidP="00B650B9">
      <w:pPr>
        <w:pStyle w:val="Prrafodelista"/>
        <w:tabs>
          <w:tab w:val="left" w:pos="709"/>
        </w:tabs>
        <w:spacing w:after="0" w:line="254" w:lineRule="auto"/>
        <w:jc w:val="both"/>
        <w:rPr>
          <w:rFonts w:ascii="Verdana" w:hAnsi="Verdana" w:cs="Arial"/>
          <w:b/>
          <w:bCs/>
          <w:color w:val="000000"/>
        </w:rPr>
      </w:pPr>
    </w:p>
    <w:p w14:paraId="1BFE40D1" w14:textId="76DEA08F" w:rsidR="00F0124F" w:rsidRPr="00834BAD" w:rsidRDefault="00B650B9" w:rsidP="00834BAD">
      <w:pPr>
        <w:tabs>
          <w:tab w:val="left" w:pos="709"/>
        </w:tabs>
        <w:spacing w:after="0" w:line="254" w:lineRule="auto"/>
        <w:jc w:val="both"/>
        <w:rPr>
          <w:rStyle w:val="Textoennegrita"/>
          <w:rFonts w:ascii="Verdana" w:hAnsi="Verdana" w:cs="Arial"/>
          <w:color w:val="000000"/>
        </w:rPr>
      </w:pPr>
      <w:r w:rsidRPr="00834BAD">
        <w:rPr>
          <w:rFonts w:ascii="Verdana" w:eastAsia="Calibri" w:hAnsi="Verdana" w:cs="Times New Roman"/>
        </w:rPr>
        <w:t>F</w:t>
      </w:r>
      <w:r w:rsidR="00E10A06" w:rsidRPr="00834BAD">
        <w:rPr>
          <w:rFonts w:ascii="Verdana" w:eastAsia="Calibri" w:hAnsi="Verdana" w:cs="Times New Roman"/>
        </w:rPr>
        <w:t>rente a lo cual las entidades</w:t>
      </w:r>
      <w:r w:rsidR="00D84AD5" w:rsidRPr="00834BAD">
        <w:rPr>
          <w:rFonts w:ascii="Verdana" w:eastAsia="Calibri" w:hAnsi="Verdana" w:cs="Times New Roman"/>
        </w:rPr>
        <w:t xml:space="preserve"> sometidas</w:t>
      </w:r>
      <w:r w:rsidR="00FB37E7" w:rsidRPr="00834BAD">
        <w:rPr>
          <w:rFonts w:ascii="Verdana" w:eastAsia="Calibri" w:hAnsi="Verdana" w:cs="Times New Roman"/>
        </w:rPr>
        <w:t xml:space="preserve"> </w:t>
      </w:r>
      <w:r w:rsidR="00D84AD5" w:rsidRPr="00834BAD">
        <w:rPr>
          <w:rFonts w:ascii="Verdana" w:eastAsia="Calibri" w:hAnsi="Verdana" w:cs="Times New Roman"/>
        </w:rPr>
        <w:t xml:space="preserve">al </w:t>
      </w:r>
      <w:r w:rsidR="00761DCB" w:rsidRPr="00834BAD">
        <w:rPr>
          <w:rFonts w:ascii="Verdana" w:eastAsia="Calibri" w:hAnsi="Verdana" w:cs="Times New Roman"/>
        </w:rPr>
        <w:t>E</w:t>
      </w:r>
      <w:r w:rsidR="00D84AD5" w:rsidRPr="00834BAD">
        <w:rPr>
          <w:rFonts w:ascii="Verdana" w:eastAsia="Calibri" w:hAnsi="Verdana" w:cs="Times New Roman"/>
        </w:rPr>
        <w:t>GCAP</w:t>
      </w:r>
      <w:r w:rsidR="00761DCB" w:rsidRPr="00834BAD">
        <w:rPr>
          <w:rFonts w:ascii="Verdana" w:eastAsia="Calibri" w:hAnsi="Verdana" w:cs="Times New Roman"/>
        </w:rPr>
        <w:t xml:space="preserve"> </w:t>
      </w:r>
      <w:r w:rsidR="00D84AD5" w:rsidRPr="00834BAD">
        <w:rPr>
          <w:rFonts w:ascii="Verdana" w:eastAsia="Calibri" w:hAnsi="Verdana" w:cs="Times New Roman"/>
        </w:rPr>
        <w:t xml:space="preserve">deberán dar cumplimiento </w:t>
      </w:r>
      <w:r w:rsidR="00B83864" w:rsidRPr="00834BAD">
        <w:rPr>
          <w:rFonts w:ascii="Verdana" w:eastAsia="Calibri" w:hAnsi="Verdana" w:cs="Times New Roman"/>
        </w:rPr>
        <w:t xml:space="preserve">a este al momento de pretender celebrar </w:t>
      </w:r>
      <w:r w:rsidR="00360B6F" w:rsidRPr="00834BAD">
        <w:rPr>
          <w:rFonts w:ascii="Verdana" w:eastAsia="Calibri" w:hAnsi="Verdana" w:cs="Times New Roman"/>
        </w:rPr>
        <w:t>contratos con este tipo de entidades</w:t>
      </w:r>
      <w:r w:rsidR="00617E28" w:rsidRPr="00834BAD">
        <w:rPr>
          <w:rFonts w:ascii="Verdana" w:eastAsia="Calibri" w:hAnsi="Verdana" w:cs="Times New Roman"/>
        </w:rPr>
        <w:t xml:space="preserve"> y en caso de optar con la </w:t>
      </w:r>
      <w:r w:rsidR="008F2CB1" w:rsidRPr="00834BAD">
        <w:rPr>
          <w:rFonts w:ascii="Verdana" w:eastAsia="Calibri" w:hAnsi="Verdana" w:cs="Times New Roman"/>
        </w:rPr>
        <w:t xml:space="preserve">modalidad de contratación directa contemplada en el numeral 4 del artículo 2 de la Ley 1150 de 2007, </w:t>
      </w:r>
      <w:r w:rsidR="002220AA" w:rsidRPr="00834BAD">
        <w:rPr>
          <w:rFonts w:ascii="Verdana" w:eastAsia="Calibri" w:hAnsi="Verdana" w:cs="Times New Roman"/>
        </w:rPr>
        <w:t xml:space="preserve">se deberá tener en cuenta la expedición del </w:t>
      </w:r>
      <w:r w:rsidR="002220AA" w:rsidRPr="00834BAD">
        <w:rPr>
          <w:rFonts w:ascii="Verdana" w:eastAsia="Calibri" w:hAnsi="Verdana" w:cs="Times New Roman"/>
          <w:color w:val="000000" w:themeColor="text1"/>
        </w:rPr>
        <w:t xml:space="preserve"> acto administrativo de justificación de contratación directa que se encuentra contemplada en el artículo </w:t>
      </w:r>
      <w:r w:rsidR="002220AA" w:rsidRPr="00834BAD">
        <w:rPr>
          <w:rFonts w:ascii="Verdana" w:eastAsia="Calibri" w:hAnsi="Verdana" w:cs="Times New Roman"/>
        </w:rPr>
        <w:t xml:space="preserve">2.2.1.2.1.4.1. </w:t>
      </w:r>
      <w:r w:rsidR="00F0124F" w:rsidRPr="00834BAD" w:rsidDel="009369FC">
        <w:rPr>
          <w:rFonts w:ascii="Verdana" w:eastAsia="Calibri" w:hAnsi="Verdana" w:cs="Times New Roman"/>
        </w:rPr>
        <w:t xml:space="preserve">del Decreto 1082 de 2015, </w:t>
      </w:r>
      <w:r w:rsidR="00C84C61" w:rsidRPr="00834BAD">
        <w:rPr>
          <w:rStyle w:val="Textoennegrita"/>
          <w:rFonts w:ascii="Verdana" w:hAnsi="Verdana" w:cs="Arial"/>
          <w:b w:val="0"/>
          <w:bCs w:val="0"/>
          <w:color w:val="000000"/>
        </w:rPr>
        <w:t xml:space="preserve">en el cual </w:t>
      </w:r>
      <w:r w:rsidR="00F0124F" w:rsidRPr="00834BAD">
        <w:rPr>
          <w:rStyle w:val="Textoennegrita"/>
          <w:rFonts w:ascii="Verdana" w:hAnsi="Verdana" w:cs="Arial"/>
          <w:b w:val="0"/>
          <w:bCs w:val="0"/>
          <w:color w:val="000000"/>
        </w:rPr>
        <w:t>establece lo referente al Acto administrativo de justificación de contratación directa, en los siguientes términos:</w:t>
      </w:r>
      <w:r w:rsidR="00F0124F" w:rsidRPr="00834BAD">
        <w:rPr>
          <w:rStyle w:val="Textoennegrita"/>
          <w:rFonts w:ascii="Verdana" w:hAnsi="Verdana" w:cs="Arial"/>
          <w:color w:val="000000"/>
        </w:rPr>
        <w:t xml:space="preserve"> </w:t>
      </w:r>
    </w:p>
    <w:p w14:paraId="71298EA2" w14:textId="77777777" w:rsidR="0063407B" w:rsidRPr="008F2CB1" w:rsidRDefault="0063407B" w:rsidP="008F2CB1">
      <w:pPr>
        <w:tabs>
          <w:tab w:val="left" w:pos="709"/>
        </w:tabs>
        <w:spacing w:after="0" w:line="254" w:lineRule="auto"/>
        <w:contextualSpacing/>
        <w:jc w:val="both"/>
        <w:rPr>
          <w:rStyle w:val="Textoennegrita"/>
          <w:rFonts w:ascii="Verdana" w:eastAsia="Calibri" w:hAnsi="Verdana" w:cs="Times New Roman"/>
          <w:b w:val="0"/>
          <w:bCs w:val="0"/>
          <w:lang w:val="es-ES"/>
        </w:rPr>
      </w:pPr>
    </w:p>
    <w:p w14:paraId="04095D02"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1"/>
          <w:szCs w:val="21"/>
        </w:rPr>
        <w:t xml:space="preserve">(…) </w:t>
      </w:r>
      <w:r w:rsidRPr="00137F70">
        <w:rPr>
          <w:rFonts w:ascii="Verdana" w:hAnsi="Verdana" w:cs="Arial"/>
          <w:color w:val="000000"/>
          <w:sz w:val="20"/>
          <w:szCs w:val="21"/>
        </w:rPr>
        <w:t>La Entidad Estatal debe señalar en un acto administrativo la justificación para contratar bajo la modalidad de contratación directa, el cual debe contener: </w:t>
      </w:r>
    </w:p>
    <w:p w14:paraId="7641C959"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54D6614E"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lastRenderedPageBreak/>
        <w:t>1. La causal que invoca para contratar directamente. </w:t>
      </w:r>
    </w:p>
    <w:p w14:paraId="3F5FBE7C"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571B6A05"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2. El objeto del contrato. </w:t>
      </w:r>
    </w:p>
    <w:p w14:paraId="51BF2CE3"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2E29EFF6"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3. El presupuesto para la contratación y las condiciones que exigirá al contratista. </w:t>
      </w:r>
    </w:p>
    <w:p w14:paraId="19E76EA3"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5E8C1484"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4. El lugar en el cual los interesados pueden consultar los estudios y documentos previos. </w:t>
      </w:r>
    </w:p>
    <w:p w14:paraId="3EFBF9B9"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0"/>
          <w:szCs w:val="21"/>
        </w:rPr>
      </w:pPr>
      <w:r w:rsidRPr="00137F70">
        <w:rPr>
          <w:rFonts w:ascii="Verdana" w:hAnsi="Verdana" w:cs="Arial"/>
          <w:color w:val="000000"/>
          <w:sz w:val="20"/>
          <w:szCs w:val="21"/>
        </w:rPr>
        <w:t>  </w:t>
      </w:r>
    </w:p>
    <w:p w14:paraId="63A80C04" w14:textId="77777777" w:rsidR="00F0124F" w:rsidRPr="00137F70" w:rsidRDefault="00F0124F" w:rsidP="00F0124F">
      <w:pPr>
        <w:pStyle w:val="NormalWeb"/>
        <w:spacing w:before="0" w:beforeAutospacing="0" w:after="0" w:afterAutospacing="0"/>
        <w:ind w:left="567" w:right="1183"/>
        <w:jc w:val="both"/>
        <w:rPr>
          <w:rFonts w:ascii="Verdana" w:hAnsi="Verdana" w:cs="Arial"/>
          <w:color w:val="000000"/>
          <w:sz w:val="21"/>
          <w:szCs w:val="21"/>
        </w:rPr>
      </w:pPr>
      <w:r w:rsidRPr="00137F70">
        <w:rPr>
          <w:rFonts w:ascii="Verdana" w:hAnsi="Verdana" w:cs="Arial"/>
          <w:color w:val="000000"/>
          <w:sz w:val="20"/>
          <w:szCs w:val="21"/>
        </w:rPr>
        <w:t>Este acto administrativo no es necesario cuando el contrato a celebrar es de prestación de servicios profesionales y de apoyo a la gestión, y para los contratos de que tratan los literales (a) y (b) del artículo 2.2.1.2.1.4.3 del presente decreto</w:t>
      </w:r>
      <w:r w:rsidRPr="00137F70">
        <w:rPr>
          <w:rFonts w:ascii="Verdana" w:hAnsi="Verdana" w:cs="Arial"/>
          <w:color w:val="000000"/>
          <w:sz w:val="21"/>
          <w:szCs w:val="21"/>
        </w:rPr>
        <w:t>. </w:t>
      </w:r>
    </w:p>
    <w:p w14:paraId="40E1DF2D" w14:textId="77777777" w:rsidR="00F0124F" w:rsidRPr="00137F70" w:rsidRDefault="00F0124F" w:rsidP="00F0124F">
      <w:pPr>
        <w:spacing w:after="120" w:line="276" w:lineRule="auto"/>
        <w:ind w:firstLine="709"/>
        <w:jc w:val="both"/>
        <w:rPr>
          <w:rFonts w:ascii="Verdana" w:eastAsia="Times New Roman" w:hAnsi="Verdana" w:cs="Arial"/>
          <w:lang w:eastAsia="es-ES_tradnl"/>
        </w:rPr>
      </w:pPr>
    </w:p>
    <w:p w14:paraId="48A8D6D9" w14:textId="77777777" w:rsidR="00B650B9" w:rsidRPr="00834BAD" w:rsidRDefault="00F0124F" w:rsidP="00834BAD">
      <w:pPr>
        <w:tabs>
          <w:tab w:val="left" w:pos="709"/>
        </w:tabs>
        <w:spacing w:after="0" w:line="254" w:lineRule="auto"/>
        <w:jc w:val="both"/>
        <w:rPr>
          <w:rFonts w:ascii="Verdana" w:eastAsia="Calibri" w:hAnsi="Verdana" w:cs="Times New Roman"/>
        </w:rPr>
      </w:pPr>
      <w:r w:rsidRPr="00834BAD">
        <w:rPr>
          <w:rFonts w:ascii="Verdana" w:eastAsia="Calibri" w:hAnsi="Verdana" w:cs="Times New Roman"/>
        </w:rPr>
        <w:t>De lo establecido en el inciso inicial, se evidencia que el acto administrativo de justificación de contratación directa deberá ser expedido para llevar a cabo la celebración de contratos en atención a la modalidad de contratación establecida en el numeral 4 del artículo 2 de la Ley 1150 de 2007</w:t>
      </w:r>
      <w:r w:rsidRPr="00B650B9">
        <w:footnoteReference w:id="3"/>
      </w:r>
      <w:r w:rsidRPr="00834BAD">
        <w:rPr>
          <w:rFonts w:ascii="Verdana" w:eastAsia="Calibri" w:hAnsi="Verdana" w:cs="Times New Roman"/>
        </w:rPr>
        <w:t>, excepto para los contratos de prestación de servicios profesionales y de apoyo a la gestión, los contratos de empréstito y los contratos interadministrativos que celebre el Ministerio de Hacienda y Crédito Público con el Banco de la República</w:t>
      </w:r>
      <w:r w:rsidR="00B650B9" w:rsidRPr="00834BAD">
        <w:rPr>
          <w:rFonts w:ascii="Verdana" w:eastAsia="Calibri" w:hAnsi="Verdana" w:cs="Times New Roman"/>
        </w:rPr>
        <w:t>.</w:t>
      </w:r>
    </w:p>
    <w:p w14:paraId="1440575B" w14:textId="77777777" w:rsidR="00B650B9" w:rsidRDefault="00B650B9" w:rsidP="00B650B9">
      <w:pPr>
        <w:pStyle w:val="Prrafodelista"/>
        <w:tabs>
          <w:tab w:val="left" w:pos="709"/>
        </w:tabs>
        <w:spacing w:after="0" w:line="254" w:lineRule="auto"/>
        <w:jc w:val="both"/>
        <w:rPr>
          <w:rFonts w:ascii="Verdana" w:eastAsia="Calibri" w:hAnsi="Verdana" w:cs="Times New Roman"/>
        </w:rPr>
      </w:pPr>
    </w:p>
    <w:p w14:paraId="25687AD5" w14:textId="668CE004" w:rsidR="00522868" w:rsidRDefault="006605FA" w:rsidP="00522868">
      <w:pPr>
        <w:tabs>
          <w:tab w:val="left" w:pos="709"/>
        </w:tabs>
        <w:spacing w:after="0" w:line="254" w:lineRule="auto"/>
        <w:contextualSpacing/>
        <w:jc w:val="both"/>
        <w:rPr>
          <w:rFonts w:ascii="Verdana" w:hAnsi="Verdana" w:cs="Arial"/>
          <w:bCs/>
          <w:lang w:val="es-ES_tradnl"/>
        </w:rPr>
      </w:pPr>
      <w:r>
        <w:rPr>
          <w:rFonts w:ascii="Verdana" w:eastAsia="Calibri" w:hAnsi="Verdana" w:cs="Times New Roman"/>
          <w:lang w:val="es-ES"/>
        </w:rPr>
        <w:tab/>
      </w:r>
      <w:r w:rsidR="00FB6A8B">
        <w:rPr>
          <w:rFonts w:ascii="Verdana" w:eastAsia="Calibri" w:hAnsi="Verdana" w:cs="Times New Roman"/>
          <w:lang w:val="es-ES"/>
        </w:rPr>
        <w:t xml:space="preserve">En segundo </w:t>
      </w:r>
      <w:r w:rsidR="00AA14AC">
        <w:rPr>
          <w:rFonts w:ascii="Verdana" w:eastAsia="Calibri" w:hAnsi="Verdana" w:cs="Times New Roman"/>
          <w:lang w:val="es-ES"/>
        </w:rPr>
        <w:t>lugar,</w:t>
      </w:r>
      <w:r w:rsidR="00FB6A8B">
        <w:rPr>
          <w:rFonts w:ascii="Verdana" w:eastAsia="Calibri" w:hAnsi="Verdana" w:cs="Times New Roman"/>
          <w:lang w:val="es-ES"/>
        </w:rPr>
        <w:t xml:space="preserve"> </w:t>
      </w:r>
      <w:r w:rsidR="00522868" w:rsidRPr="00415BB3">
        <w:rPr>
          <w:rFonts w:ascii="Verdana" w:eastAsia="Calibri" w:hAnsi="Verdana" w:cs="Times New Roman"/>
          <w:lang w:val="es-ES"/>
        </w:rPr>
        <w:t xml:space="preserve">frente al segundo interrogante planteado, es menester señalar que </w:t>
      </w:r>
      <w:r w:rsidR="00522868" w:rsidRPr="00E6018D">
        <w:rPr>
          <w:rFonts w:ascii="Verdana" w:hAnsi="Verdana" w:cs="Arial"/>
          <w:bCs/>
          <w:lang w:val="es-ES_tradnl"/>
        </w:rPr>
        <w:t xml:space="preserve">desde la etapa de planeación, en la fase precontractual, las entidades estatales deben </w:t>
      </w:r>
      <w:r w:rsidR="00522868">
        <w:rPr>
          <w:rFonts w:ascii="Verdana" w:hAnsi="Verdana" w:cs="Arial"/>
          <w:bCs/>
          <w:lang w:val="es-ES_tradnl"/>
        </w:rPr>
        <w:t>estimar</w:t>
      </w:r>
      <w:r w:rsidR="00522868" w:rsidRPr="00E6018D">
        <w:rPr>
          <w:rFonts w:ascii="Verdana" w:hAnsi="Verdana" w:cs="Arial"/>
          <w:bCs/>
          <w:lang w:val="es-ES_tradnl"/>
        </w:rPr>
        <w:t xml:space="preserve"> el presupuesto oficial</w:t>
      </w:r>
      <w:r w:rsidR="00522868">
        <w:rPr>
          <w:rFonts w:ascii="Verdana" w:hAnsi="Verdana" w:cs="Arial"/>
          <w:bCs/>
          <w:lang w:val="es-ES_tradnl"/>
        </w:rPr>
        <w:t xml:space="preserve"> en la maduración de la necesidad y posterior calcular el valor exacto</w:t>
      </w:r>
      <w:r w:rsidR="00522868" w:rsidRPr="00E6018D">
        <w:rPr>
          <w:rFonts w:ascii="Verdana" w:hAnsi="Verdana" w:cs="Arial"/>
          <w:bCs/>
          <w:lang w:val="es-ES_tradnl"/>
        </w:rPr>
        <w:t>, mediante la realización del análisis del sector –que incluye el estudio del mercado–</w:t>
      </w:r>
      <w:r w:rsidR="00522868">
        <w:rPr>
          <w:rFonts w:ascii="Verdana" w:hAnsi="Verdana" w:cs="Arial"/>
          <w:bCs/>
          <w:lang w:val="es-ES_tradnl"/>
        </w:rPr>
        <w:t>.</w:t>
      </w:r>
      <w:r w:rsidR="00522868" w:rsidRPr="00E6018D">
        <w:rPr>
          <w:rFonts w:ascii="Verdana" w:hAnsi="Verdana" w:cs="Arial"/>
          <w:bCs/>
          <w:lang w:val="es-ES_tradnl"/>
        </w:rPr>
        <w:t xml:space="preserve"> </w:t>
      </w:r>
      <w:r w:rsidR="00522868">
        <w:rPr>
          <w:rFonts w:ascii="Verdana" w:hAnsi="Verdana" w:cs="Arial"/>
          <w:bCs/>
          <w:lang w:val="es-ES_tradnl"/>
        </w:rPr>
        <w:t>En este análisis integral</w:t>
      </w:r>
      <w:r w:rsidR="00522868" w:rsidRPr="00E6018D">
        <w:rPr>
          <w:rFonts w:ascii="Verdana" w:hAnsi="Verdana" w:cs="Arial"/>
          <w:bCs/>
          <w:lang w:val="es-ES_tradnl"/>
        </w:rPr>
        <w:t xml:space="preserve"> </w:t>
      </w:r>
      <w:r w:rsidR="00522868" w:rsidRPr="00E6018D">
        <w:rPr>
          <w:rFonts w:ascii="Verdana" w:hAnsi="Verdana" w:cs="Arial"/>
          <w:bCs/>
          <w:lang w:val="es-ES_tradnl"/>
        </w:rPr>
        <w:lastRenderedPageBreak/>
        <w:t>definir</w:t>
      </w:r>
      <w:r w:rsidR="00522868">
        <w:rPr>
          <w:rFonts w:ascii="Verdana" w:hAnsi="Verdana" w:cs="Arial"/>
          <w:bCs/>
          <w:lang w:val="es-ES_tradnl"/>
        </w:rPr>
        <w:t>án</w:t>
      </w:r>
      <w:r w:rsidR="00522868" w:rsidRPr="00E6018D">
        <w:rPr>
          <w:rFonts w:ascii="Verdana" w:hAnsi="Verdana" w:cs="Arial"/>
          <w:bCs/>
          <w:lang w:val="es-ES_tradnl"/>
        </w:rPr>
        <w:t xml:space="preserve"> la metodología con la cual estructurarán el precio </w:t>
      </w:r>
      <w:r w:rsidR="00522868">
        <w:rPr>
          <w:rFonts w:ascii="Verdana" w:hAnsi="Verdana" w:cs="Arial"/>
          <w:bCs/>
          <w:lang w:val="es-ES_tradnl"/>
        </w:rPr>
        <w:t xml:space="preserve">definitivo </w:t>
      </w:r>
      <w:r w:rsidR="00522868" w:rsidRPr="00E6018D">
        <w:rPr>
          <w:rFonts w:ascii="Verdana" w:hAnsi="Verdana" w:cs="Arial"/>
          <w:bCs/>
          <w:lang w:val="es-ES_tradnl"/>
        </w:rPr>
        <w:t>del contrato</w:t>
      </w:r>
      <w:r w:rsidR="00522868">
        <w:rPr>
          <w:rFonts w:ascii="Verdana" w:hAnsi="Verdana" w:cs="Arial"/>
          <w:bCs/>
          <w:lang w:val="es-ES_tradnl"/>
        </w:rPr>
        <w:t xml:space="preserve"> o convenio</w:t>
      </w:r>
      <w:r w:rsidR="00522868" w:rsidRPr="00E6018D">
        <w:rPr>
          <w:rFonts w:ascii="Verdana" w:hAnsi="Verdana" w:cs="Arial"/>
          <w:bCs/>
          <w:lang w:val="es-ES_tradnl"/>
        </w:rPr>
        <w:t>.</w:t>
      </w:r>
      <w:r w:rsidR="00E3523B">
        <w:rPr>
          <w:rFonts w:ascii="Verdana" w:hAnsi="Verdana" w:cs="Arial"/>
          <w:bCs/>
          <w:lang w:val="es-ES_tradnl"/>
        </w:rPr>
        <w:t xml:space="preserve"> </w:t>
      </w:r>
      <w:r w:rsidR="00522868" w:rsidRPr="00E6018D">
        <w:rPr>
          <w:rFonts w:ascii="Verdana" w:hAnsi="Verdana" w:cs="Arial"/>
          <w:bCs/>
          <w:lang w:val="es-ES_tradnl"/>
        </w:rPr>
        <w:t>Dicho de otro modo, hace</w:t>
      </w:r>
      <w:r w:rsidR="00522868">
        <w:rPr>
          <w:rFonts w:ascii="Verdana" w:hAnsi="Verdana" w:cs="Arial"/>
          <w:bCs/>
          <w:lang w:val="es-ES_tradnl"/>
        </w:rPr>
        <w:t>n</w:t>
      </w:r>
      <w:r w:rsidR="00522868" w:rsidRPr="00E6018D">
        <w:rPr>
          <w:rFonts w:ascii="Verdana" w:hAnsi="Verdana" w:cs="Arial"/>
          <w:bCs/>
          <w:lang w:val="es-ES_tradnl"/>
        </w:rPr>
        <w:t xml:space="preserve"> parte de</w:t>
      </w:r>
      <w:r w:rsidR="00522868">
        <w:rPr>
          <w:rFonts w:ascii="Verdana" w:hAnsi="Verdana" w:cs="Arial"/>
          <w:bCs/>
          <w:lang w:val="es-ES_tradnl"/>
        </w:rPr>
        <w:t xml:space="preserve">l análisis del sector y de los </w:t>
      </w:r>
      <w:r w:rsidR="00522868" w:rsidRPr="00E6018D">
        <w:rPr>
          <w:rFonts w:ascii="Verdana" w:hAnsi="Verdana" w:cs="Arial"/>
          <w:bCs/>
          <w:lang w:val="es-ES_tradnl"/>
        </w:rPr>
        <w:t>estudios previos</w:t>
      </w:r>
      <w:r w:rsidR="00522868">
        <w:rPr>
          <w:rFonts w:ascii="Verdana" w:hAnsi="Verdana" w:cs="Arial"/>
          <w:bCs/>
          <w:lang w:val="es-ES_tradnl"/>
        </w:rPr>
        <w:t>,</w:t>
      </w:r>
      <w:r w:rsidR="00522868" w:rsidRPr="00E6018D">
        <w:rPr>
          <w:rFonts w:ascii="Verdana" w:hAnsi="Verdana" w:cs="Arial"/>
          <w:bCs/>
          <w:lang w:val="es-ES_tradnl"/>
        </w:rPr>
        <w:t xml:space="preserve"> la definición del esquema que la Administración usará para estipular </w:t>
      </w:r>
      <w:r w:rsidR="00522868">
        <w:rPr>
          <w:rFonts w:ascii="Verdana" w:hAnsi="Verdana" w:cs="Arial"/>
          <w:bCs/>
          <w:lang w:val="es-ES_tradnl"/>
        </w:rPr>
        <w:t>los costos directos e indirectos</w:t>
      </w:r>
      <w:r w:rsidR="00522868" w:rsidRPr="00E6018D">
        <w:rPr>
          <w:rFonts w:ascii="Verdana" w:hAnsi="Verdana" w:cs="Arial"/>
          <w:bCs/>
          <w:lang w:val="es-ES_tradnl"/>
        </w:rPr>
        <w:t xml:space="preserve">. </w:t>
      </w:r>
    </w:p>
    <w:p w14:paraId="343D15CC" w14:textId="77777777" w:rsidR="00522868" w:rsidRDefault="00522868" w:rsidP="00522868">
      <w:pPr>
        <w:tabs>
          <w:tab w:val="left" w:pos="709"/>
        </w:tabs>
        <w:spacing w:after="0" w:line="254" w:lineRule="auto"/>
        <w:contextualSpacing/>
        <w:jc w:val="both"/>
        <w:rPr>
          <w:rFonts w:ascii="Verdana" w:hAnsi="Verdana" w:cs="Arial"/>
          <w:bCs/>
          <w:lang w:val="es-ES_tradnl"/>
        </w:rPr>
      </w:pPr>
    </w:p>
    <w:p w14:paraId="2679F37A" w14:textId="77777777" w:rsidR="00522868" w:rsidRDefault="00522868" w:rsidP="00522868">
      <w:pPr>
        <w:tabs>
          <w:tab w:val="left" w:pos="709"/>
        </w:tabs>
        <w:spacing w:after="0" w:line="254" w:lineRule="auto"/>
        <w:contextualSpacing/>
        <w:jc w:val="both"/>
        <w:rPr>
          <w:rFonts w:ascii="Verdana" w:hAnsi="Verdana" w:cs="Arial"/>
          <w:bCs/>
          <w:lang w:val="es-ES_tradnl"/>
        </w:rPr>
      </w:pPr>
      <w:r>
        <w:rPr>
          <w:rFonts w:ascii="Verdana" w:hAnsi="Verdana" w:cs="Arial"/>
          <w:bCs/>
          <w:lang w:val="es-ES_tradnl"/>
        </w:rPr>
        <w:tab/>
        <w:t>La metodología</w:t>
      </w:r>
      <w:r w:rsidRPr="00E6018D">
        <w:rPr>
          <w:rFonts w:ascii="Verdana" w:hAnsi="Verdana" w:cs="Arial"/>
          <w:bCs/>
          <w:lang w:val="es-ES_tradnl"/>
        </w:rPr>
        <w:t xml:space="preserve"> </w:t>
      </w:r>
      <w:r>
        <w:rPr>
          <w:rFonts w:ascii="Verdana" w:hAnsi="Verdana" w:cs="Arial"/>
          <w:bCs/>
          <w:lang w:val="es-ES_tradnl"/>
        </w:rPr>
        <w:t>para definir los costos directos e indirectos</w:t>
      </w:r>
      <w:r w:rsidRPr="00E6018D">
        <w:rPr>
          <w:rFonts w:ascii="Verdana" w:hAnsi="Verdana" w:cs="Arial"/>
          <w:bCs/>
          <w:lang w:val="es-ES_tradnl"/>
        </w:rPr>
        <w:t xml:space="preserve"> depende</w:t>
      </w:r>
      <w:r>
        <w:rPr>
          <w:rFonts w:ascii="Verdana" w:hAnsi="Verdana" w:cs="Arial"/>
          <w:bCs/>
          <w:lang w:val="es-ES_tradnl"/>
        </w:rPr>
        <w:t>n</w:t>
      </w:r>
      <w:r w:rsidRPr="00E6018D">
        <w:rPr>
          <w:rFonts w:ascii="Verdana" w:hAnsi="Verdana" w:cs="Arial"/>
          <w:bCs/>
          <w:lang w:val="es-ES_tradnl"/>
        </w:rPr>
        <w:t xml:space="preserve"> del tipo de contrato</w:t>
      </w:r>
      <w:r>
        <w:rPr>
          <w:rFonts w:ascii="Verdana" w:hAnsi="Verdana" w:cs="Arial"/>
          <w:bCs/>
          <w:lang w:val="es-ES_tradnl"/>
        </w:rPr>
        <w:t xml:space="preserve"> o convenio, de la conveniencia del objeto a contratar y de la naturaleza jurídica de la entidad contratante. Conforme a lo anterior,</w:t>
      </w:r>
      <w:r w:rsidRPr="00E6018D">
        <w:rPr>
          <w:rFonts w:ascii="Verdana" w:hAnsi="Verdana" w:cs="Arial"/>
          <w:bCs/>
          <w:lang w:val="es-ES_tradnl"/>
        </w:rPr>
        <w:t xml:space="preserve"> </w:t>
      </w:r>
      <w:r>
        <w:rPr>
          <w:rFonts w:ascii="Verdana" w:hAnsi="Verdana" w:cs="Arial"/>
          <w:bCs/>
          <w:lang w:val="es-ES_tradnl"/>
        </w:rPr>
        <w:t>no existe una única metodología</w:t>
      </w:r>
      <w:r w:rsidRPr="00E6018D">
        <w:rPr>
          <w:rStyle w:val="Refdenotaalpie"/>
          <w:rFonts w:ascii="Verdana" w:hAnsi="Verdana" w:cs="Arial"/>
          <w:bCs/>
          <w:lang w:val="es-ES_tradnl"/>
        </w:rPr>
        <w:footnoteReference w:id="4"/>
      </w:r>
      <w:r w:rsidRPr="00E6018D">
        <w:rPr>
          <w:rFonts w:ascii="Verdana" w:hAnsi="Verdana" w:cs="Arial"/>
          <w:bCs/>
          <w:lang w:val="es-ES_tradnl"/>
        </w:rPr>
        <w:t xml:space="preserve">. Así las cosas, no hay una sola metodología para </w:t>
      </w:r>
      <w:r>
        <w:rPr>
          <w:rFonts w:ascii="Verdana" w:hAnsi="Verdana" w:cs="Arial"/>
          <w:bCs/>
          <w:lang w:val="es-ES_tradnl"/>
        </w:rPr>
        <w:t>estimar</w:t>
      </w:r>
      <w:r w:rsidRPr="00E6018D">
        <w:rPr>
          <w:rFonts w:ascii="Verdana" w:hAnsi="Verdana" w:cs="Arial"/>
          <w:bCs/>
          <w:lang w:val="es-ES_tradnl"/>
        </w:rPr>
        <w:t xml:space="preserve"> el precio y, en gran medida, la manera de hacerlo ha obedecido a la costumbre mercantil y a la influencia de disciplinas técnicas, como la ingeniería o la administración de empresas, en la contratación estatal.</w:t>
      </w:r>
      <w:r>
        <w:rPr>
          <w:rStyle w:val="Refdenotaalpie"/>
          <w:rFonts w:ascii="Verdana" w:eastAsia="Calibri" w:hAnsi="Verdana" w:cs="Times New Roman"/>
          <w:lang w:val="es-ES"/>
        </w:rPr>
        <w:footnoteReference w:id="5"/>
      </w:r>
    </w:p>
    <w:p w14:paraId="5705F23D" w14:textId="77777777" w:rsidR="000F04DF" w:rsidRPr="00E6018D" w:rsidRDefault="000F04DF" w:rsidP="00522868">
      <w:pPr>
        <w:tabs>
          <w:tab w:val="left" w:pos="709"/>
        </w:tabs>
        <w:spacing w:after="0" w:line="254" w:lineRule="auto"/>
        <w:contextualSpacing/>
        <w:jc w:val="both"/>
        <w:rPr>
          <w:rFonts w:ascii="Verdana" w:hAnsi="Verdana" w:cs="Arial"/>
          <w:bCs/>
          <w:lang w:val="es-ES_tradnl"/>
        </w:rPr>
      </w:pPr>
    </w:p>
    <w:p w14:paraId="24455359" w14:textId="7C19FBBC" w:rsidR="006605FA" w:rsidRPr="00E3523B" w:rsidRDefault="0052487C" w:rsidP="00E3523B">
      <w:pPr>
        <w:tabs>
          <w:tab w:val="left" w:pos="709"/>
        </w:tabs>
        <w:spacing w:after="0" w:line="254" w:lineRule="auto"/>
        <w:jc w:val="both"/>
        <w:rPr>
          <w:rFonts w:ascii="Verdana" w:eastAsia="Calibri" w:hAnsi="Verdana" w:cs="Times New Roman"/>
        </w:rPr>
      </w:pPr>
      <w:r w:rsidRPr="00E6018D">
        <w:rPr>
          <w:rFonts w:ascii="Verdana" w:eastAsia="Calibri" w:hAnsi="Verdana" w:cs="Times New Roman"/>
        </w:rPr>
        <w:t>En ese orden de ideas, en la estructuración</w:t>
      </w:r>
      <w:r>
        <w:rPr>
          <w:rFonts w:ascii="Verdana" w:eastAsia="Calibri" w:hAnsi="Verdana" w:cs="Times New Roman"/>
        </w:rPr>
        <w:t xml:space="preserve"> financiera</w:t>
      </w:r>
      <w:r w:rsidRPr="00E6018D">
        <w:rPr>
          <w:rFonts w:ascii="Verdana" w:eastAsia="Calibri" w:hAnsi="Verdana" w:cs="Times New Roman"/>
        </w:rPr>
        <w:t xml:space="preserve"> de los procesos </w:t>
      </w:r>
      <w:r>
        <w:rPr>
          <w:rFonts w:ascii="Verdana" w:eastAsia="Calibri" w:hAnsi="Verdana" w:cs="Times New Roman"/>
        </w:rPr>
        <w:t>contractuales, la entidad estatal  aborda</w:t>
      </w:r>
      <w:r w:rsidRPr="00E6018D">
        <w:rPr>
          <w:rFonts w:ascii="Verdana" w:eastAsia="Calibri" w:hAnsi="Verdana" w:cs="Times New Roman"/>
        </w:rPr>
        <w:t xml:space="preserve">  </w:t>
      </w:r>
      <w:r w:rsidR="006605FA" w:rsidRPr="00E3523B">
        <w:rPr>
          <w:rFonts w:ascii="Verdana" w:eastAsia="Calibri" w:hAnsi="Verdana" w:cs="Times New Roman"/>
        </w:rPr>
        <w:t>componentes: a) Costo directos, el cual se refiere a todos aquellos costos que están relacionados directamente con el objeto del contrato y b) Costos Indirectos</w:t>
      </w:r>
      <w:r w:rsidR="006605FA" w:rsidRPr="006605FA">
        <w:rPr>
          <w:vertAlign w:val="superscript"/>
        </w:rPr>
        <w:footnoteReference w:id="6"/>
      </w:r>
      <w:r w:rsidR="006605FA" w:rsidRPr="00E3523B">
        <w:rPr>
          <w:rFonts w:ascii="Verdana" w:eastAsia="Calibri" w:hAnsi="Verdana" w:cs="Times New Roman"/>
        </w:rPr>
        <w:t xml:space="preserve">, esto incluye el AIU que corresponde a la Administración, los Imprevistos y la Utilidad del proyecto, este concepto, generalmente se establece </w:t>
      </w:r>
      <w:r w:rsidR="00A77E0E" w:rsidRPr="00E3523B">
        <w:rPr>
          <w:rFonts w:ascii="Verdana" w:eastAsia="Calibri" w:hAnsi="Verdana" w:cs="Times New Roman"/>
        </w:rPr>
        <w:t>generalmente como</w:t>
      </w:r>
      <w:r w:rsidR="006605FA" w:rsidRPr="00E3523B">
        <w:rPr>
          <w:rFonts w:ascii="Verdana" w:eastAsia="Calibri" w:hAnsi="Verdana" w:cs="Times New Roman"/>
        </w:rPr>
        <w:t xml:space="preserve"> un porcentaje del costo directo de la obra. </w:t>
      </w:r>
    </w:p>
    <w:p w14:paraId="168D74AE" w14:textId="47A2DE09" w:rsidR="006605FA" w:rsidRDefault="006605FA" w:rsidP="006605FA">
      <w:pPr>
        <w:tabs>
          <w:tab w:val="left" w:pos="709"/>
        </w:tabs>
        <w:spacing w:after="0" w:line="254" w:lineRule="auto"/>
        <w:ind w:left="709" w:firstLine="3"/>
        <w:contextualSpacing/>
        <w:jc w:val="both"/>
        <w:rPr>
          <w:rFonts w:ascii="Verdana" w:eastAsia="Calibri" w:hAnsi="Verdana" w:cs="Times New Roman"/>
        </w:rPr>
      </w:pPr>
    </w:p>
    <w:p w14:paraId="7343AD62" w14:textId="13ACFF32" w:rsidR="00B42B71" w:rsidRDefault="006605FA" w:rsidP="00B42B71">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 xml:space="preserve">Los costos directos, son configurados a partir de los Análisis de Precios Unitarios (APU), que se elaboran sobre cada ítem del presupuesto del proyecto, por las cantidades o magnitudes de obra, que generalmente salen de los planos, </w:t>
      </w:r>
      <w:r w:rsidRPr="00E3523B">
        <w:rPr>
          <w:rFonts w:ascii="Verdana" w:eastAsia="Calibri" w:hAnsi="Verdana" w:cs="Times New Roman"/>
        </w:rPr>
        <w:lastRenderedPageBreak/>
        <w:t>especificaciones y documentos técnicos del proyecto y su por su correspondiente unidad de medida. En consecuencia, su valor total será la sumatoria de cada uno de estos ítems.</w:t>
      </w:r>
    </w:p>
    <w:p w14:paraId="1CF19D66" w14:textId="77777777" w:rsidR="00B42B71" w:rsidRPr="00E3523B" w:rsidRDefault="00B42B71" w:rsidP="00E3523B">
      <w:pPr>
        <w:tabs>
          <w:tab w:val="left" w:pos="709"/>
        </w:tabs>
        <w:spacing w:after="0" w:line="254" w:lineRule="auto"/>
        <w:jc w:val="both"/>
        <w:rPr>
          <w:rFonts w:ascii="Verdana" w:eastAsia="Calibri" w:hAnsi="Verdana" w:cs="Times New Roman"/>
        </w:rPr>
      </w:pPr>
    </w:p>
    <w:p w14:paraId="6B7A8F84" w14:textId="1EF5BC6D" w:rsidR="006605FA" w:rsidRPr="00E3523B" w:rsidRDefault="006605FA" w:rsidP="00E3523B">
      <w:pPr>
        <w:tabs>
          <w:tab w:val="left" w:pos="709"/>
        </w:tabs>
        <w:spacing w:after="0" w:line="254" w:lineRule="auto"/>
        <w:jc w:val="both"/>
        <w:rPr>
          <w:rFonts w:ascii="Verdana" w:eastAsia="Calibri" w:hAnsi="Verdana" w:cs="Times New Roman"/>
          <w:i/>
        </w:rPr>
      </w:pPr>
      <w:r w:rsidRPr="00E3523B">
        <w:rPr>
          <w:rFonts w:ascii="Verdana" w:eastAsia="Calibri" w:hAnsi="Verdana" w:cs="Times New Roman"/>
        </w:rPr>
        <w:t>Por otro lado, el porcentaje de AIU puede variar según la naturaleza del proyecto, su complejidad y otros factores relevantes, como la administración, que incluye la cantidad del recurso humano, las instalaciones, los impuestos y los gastos generales, entre otros aspectos. Adicionalmente se consideran unos imprevistos y las ganancias o utilidad del Contratista.</w:t>
      </w:r>
      <w:r w:rsidRPr="00E3523B">
        <w:rPr>
          <w:rFonts w:ascii="Verdana" w:eastAsia="Calibri" w:hAnsi="Verdana" w:cs="Times New Roman"/>
          <w:i/>
        </w:rPr>
        <w:t xml:space="preserve"> </w:t>
      </w:r>
    </w:p>
    <w:p w14:paraId="571561E6" w14:textId="77777777" w:rsidR="006605FA" w:rsidRDefault="006605FA" w:rsidP="006605FA">
      <w:pPr>
        <w:tabs>
          <w:tab w:val="left" w:pos="709"/>
        </w:tabs>
        <w:spacing w:after="0" w:line="254" w:lineRule="auto"/>
        <w:ind w:left="709" w:hanging="567"/>
        <w:contextualSpacing/>
        <w:jc w:val="both"/>
        <w:rPr>
          <w:rFonts w:ascii="Verdana" w:eastAsia="Calibri" w:hAnsi="Verdana" w:cs="Times New Roman"/>
        </w:rPr>
      </w:pPr>
    </w:p>
    <w:p w14:paraId="57E0BB9B" w14:textId="5403CF7E" w:rsidR="006605FA" w:rsidRPr="00E3523B" w:rsidRDefault="006605FA"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En este sentido, se puede indicar que el cálculo del AIU, obedece exclusivamente a un análisis detallado que hacen tanto entidades, como contratistas y proveedores, de acuerdo con las condiciones particulares del proyecto o negocio, así como basados en la experiencia que tienen y en términos de administración pública, adicionalmente en los principios de economía y transparencia</w:t>
      </w:r>
      <w:r w:rsidR="00A77E0E" w:rsidRPr="00E3523B">
        <w:rPr>
          <w:rFonts w:ascii="Verdana" w:eastAsia="Calibri" w:hAnsi="Verdana" w:cs="Times New Roman"/>
        </w:rPr>
        <w:t xml:space="preserve">. </w:t>
      </w:r>
    </w:p>
    <w:p w14:paraId="274145C1" w14:textId="77777777" w:rsidR="00A77E0E" w:rsidRPr="00A77E0E" w:rsidRDefault="00A77E0E" w:rsidP="00A77E0E">
      <w:pPr>
        <w:pStyle w:val="Prrafodelista"/>
        <w:rPr>
          <w:rFonts w:ascii="Verdana" w:eastAsia="Calibri" w:hAnsi="Verdana" w:cs="Times New Roman"/>
        </w:rPr>
      </w:pPr>
    </w:p>
    <w:p w14:paraId="21C6C786" w14:textId="07BE5733" w:rsidR="00AE6DBE" w:rsidRPr="00E3523B" w:rsidRDefault="008408E7"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 xml:space="preserve">De lo anterior, es preciso acudir a lo señalado por parte del Consejo de Estado, al hacer mención </w:t>
      </w:r>
      <w:r w:rsidR="00337649" w:rsidRPr="00E3523B">
        <w:rPr>
          <w:rFonts w:ascii="Verdana" w:eastAsia="Calibri" w:hAnsi="Verdana" w:cs="Times New Roman"/>
        </w:rPr>
        <w:t>de</w:t>
      </w:r>
      <w:r w:rsidRPr="00E3523B">
        <w:rPr>
          <w:rFonts w:ascii="Verdana" w:eastAsia="Calibri" w:hAnsi="Verdana" w:cs="Times New Roman"/>
        </w:rPr>
        <w:t xml:space="preserve"> la figura del AIU,</w:t>
      </w:r>
      <w:r w:rsidR="00406DE3" w:rsidRPr="00E3523B">
        <w:rPr>
          <w:rFonts w:ascii="Verdana" w:eastAsia="Calibri" w:hAnsi="Verdana" w:cs="Times New Roman"/>
        </w:rPr>
        <w:t xml:space="preserve"> aclarando que no existe una definición dentro del ordenamiento jurídico colombiano vigente, </w:t>
      </w:r>
      <w:r w:rsidR="00AE6DBE" w:rsidRPr="00E3523B">
        <w:rPr>
          <w:rFonts w:ascii="Verdana" w:eastAsia="Calibri" w:hAnsi="Verdana" w:cs="Times New Roman"/>
        </w:rPr>
        <w:t>pero hay elementos que permiten identificar los términos de la siguiente manera:</w:t>
      </w:r>
    </w:p>
    <w:p w14:paraId="61E11B8C" w14:textId="77777777" w:rsidR="00AE6DBE" w:rsidRPr="00AE6DBE" w:rsidRDefault="00AE6DBE" w:rsidP="00AE6DBE">
      <w:pPr>
        <w:pStyle w:val="Prrafodelista"/>
        <w:rPr>
          <w:rFonts w:ascii="Verdana" w:eastAsia="Calibri" w:hAnsi="Verdana" w:cs="Times New Roman"/>
        </w:rPr>
      </w:pPr>
    </w:p>
    <w:p w14:paraId="5B7B85D3" w14:textId="36A106C9" w:rsidR="008408E7" w:rsidRDefault="00EF45D5" w:rsidP="00EF45D5">
      <w:pPr>
        <w:pStyle w:val="Prrafodelista"/>
        <w:tabs>
          <w:tab w:val="left" w:pos="709"/>
        </w:tabs>
        <w:spacing w:after="0" w:line="240" w:lineRule="auto"/>
        <w:ind w:left="709"/>
        <w:jc w:val="both"/>
        <w:rPr>
          <w:rFonts w:ascii="Verdana" w:eastAsia="Calibri" w:hAnsi="Verdana" w:cs="Times New Roman"/>
        </w:rPr>
      </w:pPr>
      <w:r w:rsidRPr="00EF45D5">
        <w:rPr>
          <w:rFonts w:ascii="Verdana" w:eastAsia="Calibri" w:hAnsi="Verdana" w:cs="Times New Roman"/>
          <w:sz w:val="20"/>
          <w:szCs w:val="20"/>
        </w:rPr>
        <w:t>“</w:t>
      </w:r>
      <w:r>
        <w:rPr>
          <w:rFonts w:ascii="Verdana" w:eastAsia="Calibri" w:hAnsi="Verdana" w:cs="Times New Roman"/>
          <w:sz w:val="20"/>
          <w:szCs w:val="20"/>
        </w:rPr>
        <w:t>(</w:t>
      </w:r>
      <w:r w:rsidRPr="00EF45D5">
        <w:rPr>
          <w:rFonts w:ascii="Verdana" w:eastAsia="Calibri" w:hAnsi="Verdana" w:cs="Times New Roman"/>
          <w:sz w:val="20"/>
          <w:szCs w:val="20"/>
        </w:rPr>
        <w:t>…</w:t>
      </w:r>
      <w:r>
        <w:rPr>
          <w:rFonts w:ascii="Verdana" w:eastAsia="Calibri" w:hAnsi="Verdana" w:cs="Times New Roman"/>
          <w:sz w:val="20"/>
          <w:szCs w:val="20"/>
        </w:rPr>
        <w:t>)</w:t>
      </w:r>
      <w:r w:rsidRPr="00EF45D5">
        <w:rPr>
          <w:rFonts w:ascii="Verdana" w:eastAsia="Calibri" w:hAnsi="Verdana" w:cs="Times New Roman"/>
          <w:sz w:val="20"/>
          <w:szCs w:val="20"/>
        </w:rPr>
        <w:t xml:space="preserve"> el AIU propuesto para el contrato, corresponde a:  i) los costos de administración o costos indirectos para la operación del contrato, tales como los gastos de disponibilidad de la organización del contratista, esto es: A;  </w:t>
      </w:r>
      <w:proofErr w:type="spellStart"/>
      <w:r w:rsidRPr="00EF45D5">
        <w:rPr>
          <w:rFonts w:ascii="Verdana" w:eastAsia="Calibri" w:hAnsi="Verdana" w:cs="Times New Roman"/>
          <w:sz w:val="20"/>
          <w:szCs w:val="20"/>
        </w:rPr>
        <w:t>ii</w:t>
      </w:r>
      <w:proofErr w:type="spellEnd"/>
      <w:r w:rsidRPr="00EF45D5">
        <w:rPr>
          <w:rFonts w:ascii="Verdana" w:eastAsia="Calibri" w:hAnsi="Verdana" w:cs="Times New Roman"/>
          <w:sz w:val="20"/>
          <w:szCs w:val="20"/>
        </w:rPr>
        <w:t xml:space="preserve">) los imprevistos, que es el porcentaje destinado a cubrir los gastos con los que no se contaba y que se presenten durante la ejecución del contrato, esto es, el </w:t>
      </w:r>
      <w:proofErr w:type="spellStart"/>
      <w:r w:rsidRPr="00EF45D5">
        <w:rPr>
          <w:rFonts w:ascii="Verdana" w:eastAsia="Calibri" w:hAnsi="Verdana" w:cs="Times New Roman"/>
          <w:sz w:val="20"/>
          <w:szCs w:val="20"/>
        </w:rPr>
        <w:t>álea</w:t>
      </w:r>
      <w:proofErr w:type="spellEnd"/>
      <w:r w:rsidRPr="00EF45D5">
        <w:rPr>
          <w:rFonts w:ascii="Verdana" w:eastAsia="Calibri" w:hAnsi="Verdana" w:cs="Times New Roman"/>
          <w:sz w:val="20"/>
          <w:szCs w:val="20"/>
        </w:rPr>
        <w:t xml:space="preserve"> normal del contrato: I;  </w:t>
      </w:r>
      <w:proofErr w:type="spellStart"/>
      <w:r w:rsidRPr="00EF45D5">
        <w:rPr>
          <w:rFonts w:ascii="Verdana" w:eastAsia="Calibri" w:hAnsi="Verdana" w:cs="Times New Roman"/>
          <w:sz w:val="20"/>
          <w:szCs w:val="20"/>
        </w:rPr>
        <w:t>iii</w:t>
      </w:r>
      <w:proofErr w:type="spellEnd"/>
      <w:r w:rsidRPr="00EF45D5">
        <w:rPr>
          <w:rFonts w:ascii="Verdana" w:eastAsia="Calibri" w:hAnsi="Verdana" w:cs="Times New Roman"/>
          <w:sz w:val="20"/>
          <w:szCs w:val="20"/>
        </w:rPr>
        <w:t>) la utilidad o el beneficio económico que pretende percibir el contratista por la ejecución del contrato, esto es: U.  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Pr>
          <w:rFonts w:ascii="Verdana" w:eastAsia="Calibri" w:hAnsi="Verdana" w:cs="Times New Roman"/>
        </w:rPr>
        <w:t>”</w:t>
      </w:r>
      <w:r w:rsidRPr="00EF45D5">
        <w:rPr>
          <w:rFonts w:ascii="Verdana" w:eastAsia="Calibri" w:hAnsi="Verdana" w:cs="Times New Roman"/>
        </w:rPr>
        <w:t xml:space="preserve">. </w:t>
      </w:r>
      <w:r w:rsidR="008408E7">
        <w:rPr>
          <w:rFonts w:ascii="Verdana" w:eastAsia="Calibri" w:hAnsi="Verdana" w:cs="Times New Roman"/>
        </w:rPr>
        <w:t xml:space="preserve"> </w:t>
      </w:r>
    </w:p>
    <w:p w14:paraId="15E35670" w14:textId="77777777" w:rsidR="00957EE0" w:rsidRDefault="00957EE0" w:rsidP="008408E7">
      <w:pPr>
        <w:pStyle w:val="Prrafodelista"/>
        <w:rPr>
          <w:rFonts w:ascii="Verdana" w:eastAsia="Calibri" w:hAnsi="Verdana" w:cs="Times New Roman"/>
        </w:rPr>
      </w:pPr>
    </w:p>
    <w:p w14:paraId="43CF9F40" w14:textId="1F135BE2" w:rsidR="00417C89" w:rsidRPr="00E3523B" w:rsidRDefault="00DC129F"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A su turno, la Sala de Consulta y Servicio Civil del Consejo de Estado sostuvo en conc</w:t>
      </w:r>
      <w:r w:rsidR="00957EE0">
        <w:rPr>
          <w:rFonts w:ascii="Verdana" w:eastAsia="Calibri" w:hAnsi="Verdana" w:cs="Times New Roman"/>
        </w:rPr>
        <w:t>e</w:t>
      </w:r>
      <w:r w:rsidRPr="00E3523B">
        <w:rPr>
          <w:rFonts w:ascii="Verdana" w:eastAsia="Calibri" w:hAnsi="Verdana" w:cs="Times New Roman"/>
        </w:rPr>
        <w:t>pto del 5 de septiembre de 2018</w:t>
      </w:r>
      <w:r w:rsidR="008962B5">
        <w:rPr>
          <w:rStyle w:val="Refdenotaalpie"/>
          <w:rFonts w:ascii="Verdana" w:eastAsia="Calibri" w:hAnsi="Verdana" w:cs="Times New Roman"/>
        </w:rPr>
        <w:footnoteReference w:id="7"/>
      </w:r>
      <w:r w:rsidRPr="00E3523B">
        <w:rPr>
          <w:rFonts w:ascii="Verdana" w:eastAsia="Calibri" w:hAnsi="Verdana" w:cs="Times New Roman"/>
        </w:rPr>
        <w:t xml:space="preserve"> que “el concepto del A.I.U. comprende la Administración (costos indirectos) imprevistos y utilidades, y en algunos </w:t>
      </w:r>
      <w:r w:rsidRPr="00E3523B">
        <w:rPr>
          <w:rFonts w:ascii="Verdana" w:eastAsia="Calibri" w:hAnsi="Verdana" w:cs="Times New Roman"/>
        </w:rPr>
        <w:lastRenderedPageBreak/>
        <w:t>contratos</w:t>
      </w:r>
      <w:r w:rsidR="0094625B" w:rsidRPr="00E3523B">
        <w:rPr>
          <w:rFonts w:ascii="Verdana" w:eastAsia="Calibri" w:hAnsi="Verdana" w:cs="Times New Roman"/>
        </w:rPr>
        <w:t xml:space="preserve"> este valor aparece cuantificado en forma independiente al valor de la obra y como un porcentaje de la misma</w:t>
      </w:r>
      <w:r w:rsidR="00062750">
        <w:rPr>
          <w:rStyle w:val="Refdenotaalpie"/>
          <w:rFonts w:ascii="Verdana" w:eastAsia="Calibri" w:hAnsi="Verdana" w:cs="Times New Roman"/>
        </w:rPr>
        <w:footnoteReference w:id="8"/>
      </w:r>
      <w:r w:rsidR="0094625B" w:rsidRPr="00E3523B">
        <w:rPr>
          <w:rFonts w:ascii="Verdana" w:eastAsia="Calibri" w:hAnsi="Verdana" w:cs="Times New Roman"/>
        </w:rPr>
        <w:t>, sin perjuicio que en otros contratos este valor no aparezca discriminado y se incorpore en el valor de los precios unitarios”</w:t>
      </w:r>
      <w:r w:rsidR="00417C89">
        <w:rPr>
          <w:rStyle w:val="Refdenotaalpie"/>
          <w:rFonts w:ascii="Verdana" w:eastAsia="Calibri" w:hAnsi="Verdana" w:cs="Times New Roman"/>
        </w:rPr>
        <w:footnoteReference w:id="9"/>
      </w:r>
      <w:r w:rsidR="0094625B" w:rsidRPr="00E3523B">
        <w:rPr>
          <w:rFonts w:ascii="Verdana" w:eastAsia="Calibri" w:hAnsi="Verdana" w:cs="Times New Roman"/>
        </w:rPr>
        <w:t>.</w:t>
      </w:r>
    </w:p>
    <w:p w14:paraId="62BF8617" w14:textId="6887FBB1" w:rsidR="00417C89" w:rsidRDefault="0094625B" w:rsidP="00417C89">
      <w:pPr>
        <w:pStyle w:val="Prrafodelista"/>
        <w:tabs>
          <w:tab w:val="left" w:pos="709"/>
        </w:tabs>
        <w:spacing w:after="0" w:line="254" w:lineRule="auto"/>
        <w:ind w:left="709"/>
        <w:jc w:val="both"/>
        <w:rPr>
          <w:rFonts w:ascii="Verdana" w:eastAsia="Calibri" w:hAnsi="Verdana" w:cs="Times New Roman"/>
        </w:rPr>
      </w:pPr>
      <w:r w:rsidRPr="0094625B">
        <w:rPr>
          <w:rFonts w:ascii="Verdana" w:eastAsia="Calibri" w:hAnsi="Verdana" w:cs="Times New Roman"/>
        </w:rPr>
        <w:t xml:space="preserve"> </w:t>
      </w:r>
    </w:p>
    <w:p w14:paraId="0CFF7F62" w14:textId="2C23E345" w:rsidR="00B61AD8" w:rsidRPr="00E3523B" w:rsidRDefault="0094625B"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00B61AD8" w:rsidRPr="00E3523B">
        <w:rPr>
          <w:rFonts w:ascii="Verdana" w:eastAsia="Calibri" w:hAnsi="Verdana" w:cs="Times New Roman"/>
        </w:rPr>
        <w:t>(</w:t>
      </w:r>
      <w:r w:rsidRPr="00E3523B">
        <w:rPr>
          <w:rFonts w:ascii="Verdana" w:eastAsia="Calibri" w:hAnsi="Verdana" w:cs="Times New Roman"/>
        </w:rPr>
        <w:t>…</w:t>
      </w:r>
      <w:r w:rsidR="00B61AD8" w:rsidRPr="00E3523B">
        <w:rPr>
          <w:rFonts w:ascii="Verdana" w:eastAsia="Calibri" w:hAnsi="Verdana" w:cs="Times New Roman"/>
        </w:rPr>
        <w:t>)</w:t>
      </w:r>
      <w:r w:rsidRPr="00E3523B">
        <w:rPr>
          <w:rFonts w:ascii="Verdana" w:eastAsia="Calibri" w:hAnsi="Verdana" w:cs="Times New Roman"/>
        </w:rPr>
        <w:t>”</w:t>
      </w:r>
      <w:r w:rsidR="00B61AD8">
        <w:rPr>
          <w:rStyle w:val="Refdenotaalpie"/>
          <w:rFonts w:ascii="Verdana" w:eastAsia="Calibri" w:hAnsi="Verdana" w:cs="Times New Roman"/>
        </w:rPr>
        <w:footnoteReference w:id="10"/>
      </w:r>
      <w:r w:rsidRPr="00E3523B">
        <w:rPr>
          <w:rFonts w:ascii="Verdana" w:eastAsia="Calibri" w:hAnsi="Verdana" w:cs="Times New Roman"/>
        </w:rPr>
        <w:t>.</w:t>
      </w:r>
    </w:p>
    <w:p w14:paraId="40C68B79" w14:textId="77777777" w:rsidR="00B61AD8" w:rsidRPr="00B61AD8" w:rsidRDefault="00B61AD8" w:rsidP="00B61AD8">
      <w:pPr>
        <w:pStyle w:val="Prrafodelista"/>
        <w:rPr>
          <w:rFonts w:ascii="Verdana" w:eastAsia="Calibri" w:hAnsi="Verdana" w:cs="Times New Roman"/>
        </w:rPr>
      </w:pPr>
    </w:p>
    <w:p w14:paraId="196BBBFB" w14:textId="739607E6" w:rsidR="00737CF5" w:rsidRPr="00E3523B" w:rsidRDefault="0094625B"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De otro lado, quien define el valor de cada letra –AIU– es el proponente, pues goza de libertad empresarial para hacerlo en la elaboración de su oferta.</w:t>
      </w:r>
      <w:r w:rsidR="00737CF5">
        <w:rPr>
          <w:rStyle w:val="Refdenotaalpie"/>
          <w:rFonts w:ascii="Verdana" w:eastAsia="Calibri" w:hAnsi="Verdana" w:cs="Times New Roman"/>
        </w:rPr>
        <w:footnoteReference w:id="11"/>
      </w:r>
      <w:r w:rsidRPr="00E3523B">
        <w:rPr>
          <w:rFonts w:ascii="Verdana" w:eastAsia="Calibri" w:hAnsi="Verdana" w:cs="Times New Roman"/>
        </w:rPr>
        <w:t xml:space="preserve"> </w:t>
      </w:r>
    </w:p>
    <w:p w14:paraId="551740EF" w14:textId="77777777" w:rsidR="00737CF5" w:rsidRPr="00737CF5" w:rsidRDefault="00737CF5" w:rsidP="00737CF5">
      <w:pPr>
        <w:pStyle w:val="Prrafodelista"/>
        <w:rPr>
          <w:rFonts w:ascii="Verdana" w:eastAsia="Calibri" w:hAnsi="Verdana" w:cs="Times New Roman"/>
        </w:rPr>
      </w:pPr>
    </w:p>
    <w:p w14:paraId="1DAF0ADC" w14:textId="77777777" w:rsidR="00A71C07" w:rsidRPr="00E3523B" w:rsidRDefault="0094625B"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En consecuencia, tanto las entidades sometidas al Estatuto General de Contratación de la Administración Pública</w:t>
      </w:r>
      <w:r w:rsidR="00A71C07" w:rsidRPr="00E3523B">
        <w:rPr>
          <w:rFonts w:ascii="Verdana" w:eastAsia="Calibri" w:hAnsi="Verdana" w:cs="Times New Roman"/>
        </w:rPr>
        <w:t>-EGCAP-</w:t>
      </w:r>
      <w:r w:rsidRPr="00E3523B">
        <w:rPr>
          <w:rFonts w:ascii="Verdana" w:eastAsia="Calibri" w:hAnsi="Verdana" w:cs="Times New Roman"/>
        </w:rPr>
        <w:t xml:space="preserve">, como las excluidas de este –es decir, las que tienen un régimen especial– gozan de autonomía para configurar el precio y para establecer el sistema de pago más apropiado para satisfacer los fines de la contratación, respetando los límites previstos en el ordenamiento. </w:t>
      </w:r>
    </w:p>
    <w:p w14:paraId="77AC7C80" w14:textId="77777777" w:rsidR="00A71C07" w:rsidRPr="00A71C07" w:rsidRDefault="00A71C07" w:rsidP="00E3523B">
      <w:pPr>
        <w:tabs>
          <w:tab w:val="left" w:pos="709"/>
        </w:tabs>
        <w:spacing w:after="0" w:line="254" w:lineRule="auto"/>
        <w:jc w:val="both"/>
        <w:rPr>
          <w:rFonts w:ascii="Verdana" w:eastAsia="Calibri" w:hAnsi="Verdana" w:cs="Times New Roman"/>
        </w:rPr>
      </w:pPr>
    </w:p>
    <w:p w14:paraId="21C19AC0" w14:textId="0F20C82F" w:rsidR="0094625B" w:rsidRPr="00E3523B" w:rsidRDefault="0094625B"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lastRenderedPageBreak/>
        <w:t>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Lo anterior en armonía con la garantía de los principios de la función administrativa y de la gestión fiscal, dentro de los cuales se halla el principio de economía, postulado que exige la optimización de los recursos públicos.</w:t>
      </w:r>
    </w:p>
    <w:p w14:paraId="0310358D" w14:textId="77777777" w:rsidR="002670BD" w:rsidRDefault="002670BD" w:rsidP="00E3523B">
      <w:pPr>
        <w:tabs>
          <w:tab w:val="left" w:pos="709"/>
        </w:tabs>
        <w:spacing w:after="0" w:line="254" w:lineRule="auto"/>
        <w:jc w:val="both"/>
        <w:rPr>
          <w:rFonts w:ascii="Verdana" w:eastAsia="Calibri" w:hAnsi="Verdana" w:cs="Times New Roman"/>
        </w:rPr>
      </w:pPr>
    </w:p>
    <w:p w14:paraId="66E1D162" w14:textId="2B01E739" w:rsidR="00B122B9" w:rsidRPr="00E3523B" w:rsidRDefault="00B122B9" w:rsidP="00E3523B">
      <w:pPr>
        <w:tabs>
          <w:tab w:val="left" w:pos="709"/>
        </w:tabs>
        <w:spacing w:after="0" w:line="254" w:lineRule="auto"/>
        <w:jc w:val="both"/>
        <w:rPr>
          <w:rFonts w:ascii="Verdana" w:eastAsia="Calibri" w:hAnsi="Verdana" w:cs="Times New Roman"/>
        </w:rPr>
      </w:pPr>
      <w:r w:rsidRPr="00E3523B">
        <w:rPr>
          <w:rFonts w:ascii="Verdana" w:eastAsia="Calibri" w:hAnsi="Verdana" w:cs="Times New Roman"/>
        </w:rPr>
        <w:t xml:space="preserve">Por lo cual le corresponde a cada Entidad Contratante en sus documentos precontractuales establecer el cálculo del AIU conforme a los principios de economía, eficiencia y transparencia, pues este obedece exclusivamente a un análisis detallado que hacen tanto entidades, como  proveedores y contratistas, de acuerdo con las condiciones particulares del proyecto o negocio basados en estudios de mercados y  experiencia. </w:t>
      </w:r>
    </w:p>
    <w:p w14:paraId="6095CB6A" w14:textId="77777777" w:rsidR="008408E7" w:rsidRPr="008408E7" w:rsidRDefault="008408E7" w:rsidP="008408E7">
      <w:pPr>
        <w:tabs>
          <w:tab w:val="left" w:pos="709"/>
        </w:tabs>
        <w:spacing w:after="0" w:line="254" w:lineRule="auto"/>
        <w:jc w:val="both"/>
        <w:rPr>
          <w:rFonts w:ascii="Verdana" w:eastAsia="Calibri" w:hAnsi="Verdana" w:cs="Times New Roman"/>
        </w:rPr>
      </w:pPr>
    </w:p>
    <w:p w14:paraId="611FDABE" w14:textId="77777777" w:rsidR="004352BC" w:rsidRPr="004352BC" w:rsidRDefault="004352BC" w:rsidP="004352BC">
      <w:pPr>
        <w:numPr>
          <w:ilvl w:val="0"/>
          <w:numId w:val="16"/>
        </w:numPr>
        <w:spacing w:after="0" w:line="254" w:lineRule="auto"/>
        <w:ind w:left="0" w:firstLine="0"/>
        <w:rPr>
          <w:rFonts w:ascii="Verdana" w:eastAsia="Calibri" w:hAnsi="Verdana" w:cs="Times New Roman"/>
          <w:b/>
          <w:bCs/>
          <w:lang w:val="es-ES"/>
        </w:rPr>
      </w:pPr>
      <w:r w:rsidRPr="004352BC">
        <w:rPr>
          <w:rFonts w:ascii="Verdana" w:eastAsia="Calibri" w:hAnsi="Verdana" w:cs="Times New Roman"/>
          <w:b/>
          <w:bCs/>
          <w:lang w:val="es-ES"/>
        </w:rPr>
        <w:t>Referencias normativas, jurisprudenciales y otras fuentes:</w:t>
      </w:r>
    </w:p>
    <w:p w14:paraId="0B52E1B9" w14:textId="77777777" w:rsidR="009B345C" w:rsidRPr="004352BC" w:rsidRDefault="009B345C" w:rsidP="004352BC">
      <w:pPr>
        <w:spacing w:after="0" w:line="254" w:lineRule="auto"/>
        <w:rPr>
          <w:rFonts w:ascii="Verdana" w:eastAsia="Calibri" w:hAnsi="Verdana" w:cs="Times New Roman"/>
          <w:bCs/>
          <w:lang w:val="es-ES_tradnl"/>
        </w:rPr>
      </w:pPr>
    </w:p>
    <w:p w14:paraId="09DA86BC" w14:textId="69D6E7B2" w:rsidR="004352BC" w:rsidRDefault="00FE0BC6" w:rsidP="004352BC">
      <w:pPr>
        <w:numPr>
          <w:ilvl w:val="0"/>
          <w:numId w:val="22"/>
        </w:numPr>
        <w:spacing w:after="0" w:line="254" w:lineRule="auto"/>
        <w:rPr>
          <w:rFonts w:ascii="Verdana" w:eastAsia="Calibri" w:hAnsi="Verdana" w:cs="Times New Roman"/>
          <w:lang w:val="es-ES_tradnl"/>
        </w:rPr>
      </w:pPr>
      <w:r>
        <w:rPr>
          <w:rFonts w:ascii="Verdana" w:eastAsia="Calibri" w:hAnsi="Verdana" w:cs="Times New Roman"/>
          <w:lang w:val="es-ES_tradnl"/>
        </w:rPr>
        <w:t>Ley 1217 de 2008, artículo 2, artículo 4, articulo 9.</w:t>
      </w:r>
      <w:r w:rsidR="004352BC" w:rsidRPr="004352BC">
        <w:rPr>
          <w:rFonts w:ascii="Verdana" w:eastAsia="Calibri" w:hAnsi="Verdana" w:cs="Times New Roman"/>
          <w:lang w:val="es-ES_tradnl"/>
        </w:rPr>
        <w:t xml:space="preserve"> Disponible en: </w:t>
      </w:r>
      <w:hyperlink r:id="rId12" w:history="1">
        <w:r w:rsidR="00FC16A6" w:rsidRPr="001B3C6A">
          <w:rPr>
            <w:rStyle w:val="Hipervnculo"/>
            <w:rFonts w:ascii="Verdana" w:eastAsia="Calibri" w:hAnsi="Verdana" w:cs="Times New Roman"/>
            <w:lang w:val="es-ES_tradnl"/>
          </w:rPr>
          <w:t>https://www.suin-juriscol.gov.co/viewDocument.asp?ruta=Leyes/1675649</w:t>
        </w:r>
      </w:hyperlink>
    </w:p>
    <w:p w14:paraId="13F549BF" w14:textId="77777777" w:rsidR="004352BC" w:rsidRPr="004352BC" w:rsidRDefault="004352BC" w:rsidP="004352BC">
      <w:pPr>
        <w:spacing w:after="0" w:line="254" w:lineRule="auto"/>
        <w:rPr>
          <w:rFonts w:ascii="Verdana" w:eastAsia="Calibri" w:hAnsi="Verdana" w:cs="Times New Roman"/>
          <w:highlight w:val="yellow"/>
          <w:lang w:val="es-ES_tradnl"/>
        </w:rPr>
      </w:pPr>
    </w:p>
    <w:p w14:paraId="441AD384" w14:textId="246831CC" w:rsidR="004352BC" w:rsidRPr="004352BC" w:rsidRDefault="004352BC" w:rsidP="004352BC">
      <w:pPr>
        <w:numPr>
          <w:ilvl w:val="0"/>
          <w:numId w:val="22"/>
        </w:numPr>
        <w:spacing w:after="0" w:line="254" w:lineRule="auto"/>
        <w:rPr>
          <w:rFonts w:ascii="Verdana" w:eastAsia="Calibri" w:hAnsi="Verdana" w:cs="Times New Roman"/>
          <w:lang w:val="es-ES_tradnl"/>
        </w:rPr>
      </w:pPr>
      <w:r w:rsidRPr="004352BC">
        <w:rPr>
          <w:rFonts w:ascii="Verdana" w:eastAsia="Calibri" w:hAnsi="Verdana" w:cs="Times New Roman"/>
          <w:lang w:val="es-ES_tradnl"/>
        </w:rPr>
        <w:t>Ley 1150 de 2007, artículo 2</w:t>
      </w:r>
      <w:r w:rsidR="0015752C">
        <w:rPr>
          <w:rFonts w:ascii="Verdana" w:eastAsia="Calibri" w:hAnsi="Verdana" w:cs="Times New Roman"/>
          <w:lang w:val="es-ES_tradnl"/>
        </w:rPr>
        <w:t xml:space="preserve">. </w:t>
      </w:r>
      <w:r w:rsidRPr="004352BC">
        <w:rPr>
          <w:rFonts w:ascii="Verdana" w:eastAsia="Calibri" w:hAnsi="Verdana" w:cs="Times New Roman"/>
          <w:lang w:val="es-ES_tradnl"/>
        </w:rPr>
        <w:t xml:space="preserve">Disponible en: </w:t>
      </w:r>
      <w:hyperlink r:id="rId13" w:history="1">
        <w:r w:rsidRPr="004352BC">
          <w:rPr>
            <w:rFonts w:ascii="Verdana" w:eastAsia="Calibri" w:hAnsi="Verdana" w:cs="Times New Roman"/>
            <w:color w:val="0000FF"/>
            <w:u w:val="single"/>
            <w:lang w:val="es-ES_tradnl"/>
          </w:rPr>
          <w:t>https://relatoria.colombiacompra.gov.co/normativa/ley-1150-de-2007/</w:t>
        </w:r>
      </w:hyperlink>
    </w:p>
    <w:p w14:paraId="54315275" w14:textId="77777777" w:rsidR="004352BC" w:rsidRPr="004352BC" w:rsidRDefault="004352BC" w:rsidP="004352BC">
      <w:pPr>
        <w:spacing w:after="0" w:line="254" w:lineRule="auto"/>
        <w:ind w:left="720"/>
        <w:rPr>
          <w:rFonts w:ascii="Verdana" w:eastAsia="Calibri" w:hAnsi="Verdana" w:cs="Times New Roman"/>
          <w:highlight w:val="yellow"/>
          <w:lang w:val="es-ES_tradnl"/>
        </w:rPr>
      </w:pPr>
    </w:p>
    <w:p w14:paraId="033534BD" w14:textId="1EA31F49" w:rsidR="004352BC" w:rsidRPr="009B345C" w:rsidRDefault="004352BC" w:rsidP="004352BC">
      <w:pPr>
        <w:numPr>
          <w:ilvl w:val="0"/>
          <w:numId w:val="22"/>
        </w:numPr>
        <w:spacing w:after="0" w:line="254" w:lineRule="auto"/>
        <w:rPr>
          <w:rFonts w:ascii="Verdana" w:eastAsia="Calibri" w:hAnsi="Verdana" w:cs="Times New Roman"/>
          <w:lang w:val="es-ES_tradnl"/>
        </w:rPr>
      </w:pPr>
      <w:r w:rsidRPr="004352BC">
        <w:rPr>
          <w:rFonts w:ascii="Verdana" w:eastAsia="Calibri" w:hAnsi="Verdana" w:cs="Times New Roman"/>
          <w:lang w:val="es-ES"/>
        </w:rPr>
        <w:t xml:space="preserve">Decreto 1082 de 2015, artículo </w:t>
      </w:r>
      <w:r w:rsidR="0015752C" w:rsidRPr="00137F70">
        <w:rPr>
          <w:rFonts w:ascii="Verdana" w:hAnsi="Verdana" w:cs="Arial"/>
          <w:color w:val="000000"/>
          <w:sz w:val="20"/>
          <w:szCs w:val="21"/>
        </w:rPr>
        <w:t>2.2.1.2.1.4.3</w:t>
      </w:r>
      <w:r w:rsidR="0015752C">
        <w:rPr>
          <w:rFonts w:ascii="Verdana" w:hAnsi="Verdana" w:cs="Arial"/>
          <w:color w:val="000000"/>
          <w:sz w:val="20"/>
          <w:szCs w:val="21"/>
        </w:rPr>
        <w:t xml:space="preserve">. </w:t>
      </w:r>
      <w:r w:rsidRPr="004352BC">
        <w:rPr>
          <w:rFonts w:ascii="Verdana" w:eastAsia="Calibri" w:hAnsi="Verdana" w:cs="Times New Roman"/>
          <w:lang w:val="es-ES"/>
        </w:rPr>
        <w:t xml:space="preserve">Disponible en: </w:t>
      </w:r>
      <w:hyperlink r:id="rId14" w:history="1">
        <w:r w:rsidRPr="004352BC">
          <w:rPr>
            <w:rFonts w:ascii="Verdana" w:eastAsia="Calibri" w:hAnsi="Verdana" w:cs="Times New Roman"/>
            <w:color w:val="0000FF"/>
            <w:u w:val="single"/>
            <w:lang w:val="es-ES"/>
          </w:rPr>
          <w:t>https://relatoria.colombiacompra.gov.co/normativa/decreto-1082-de-2015/</w:t>
        </w:r>
      </w:hyperlink>
    </w:p>
    <w:p w14:paraId="0EC70709" w14:textId="77777777" w:rsidR="004352BC" w:rsidRPr="004352BC" w:rsidRDefault="004352BC" w:rsidP="004352BC">
      <w:pPr>
        <w:spacing w:line="256" w:lineRule="auto"/>
        <w:ind w:left="720"/>
        <w:contextualSpacing/>
        <w:rPr>
          <w:rFonts w:ascii="Verdana" w:hAnsi="Verdana"/>
          <w:lang w:val="es-ES_tradnl"/>
        </w:rPr>
      </w:pPr>
    </w:p>
    <w:p w14:paraId="04659C2C" w14:textId="77777777" w:rsidR="004352BC" w:rsidRPr="004352BC" w:rsidRDefault="004352BC" w:rsidP="004352BC">
      <w:pPr>
        <w:numPr>
          <w:ilvl w:val="0"/>
          <w:numId w:val="16"/>
        </w:numPr>
        <w:spacing w:after="0" w:line="254" w:lineRule="auto"/>
        <w:ind w:left="0" w:firstLine="0"/>
        <w:rPr>
          <w:rFonts w:ascii="Verdana" w:eastAsia="Calibri" w:hAnsi="Verdana" w:cs="Times New Roman"/>
          <w:b/>
          <w:bCs/>
          <w:lang w:val="es-ES"/>
        </w:rPr>
      </w:pPr>
      <w:r w:rsidRPr="004352BC">
        <w:rPr>
          <w:rFonts w:ascii="Verdana" w:eastAsia="Calibri" w:hAnsi="Verdana" w:cs="Times New Roman"/>
          <w:b/>
          <w:bCs/>
          <w:lang w:val="es-ES"/>
        </w:rPr>
        <w:t>Doctrina de la Agencia Nacional de Contratación Pública:</w:t>
      </w:r>
    </w:p>
    <w:p w14:paraId="4924E46E" w14:textId="77777777" w:rsidR="004352BC" w:rsidRPr="004352BC" w:rsidRDefault="004352BC" w:rsidP="004352BC">
      <w:pPr>
        <w:spacing w:after="0" w:line="254" w:lineRule="auto"/>
        <w:rPr>
          <w:rFonts w:ascii="Verdana" w:eastAsia="Calibri" w:hAnsi="Verdana" w:cs="Times New Roman"/>
          <w:lang w:val="es-ES"/>
        </w:rPr>
      </w:pPr>
    </w:p>
    <w:p w14:paraId="244ADF3A" w14:textId="4F3BA419" w:rsidR="00ED55C0" w:rsidRPr="00ED55C0" w:rsidRDefault="004352BC" w:rsidP="00ED55C0">
      <w:pPr>
        <w:widowControl w:val="0"/>
        <w:autoSpaceDE w:val="0"/>
        <w:autoSpaceDN w:val="0"/>
        <w:spacing w:after="0" w:line="276" w:lineRule="auto"/>
        <w:jc w:val="both"/>
        <w:rPr>
          <w:rFonts w:ascii="Verdana" w:eastAsia="Calibri" w:hAnsi="Verdana" w:cs="Arial"/>
          <w:shd w:val="clear" w:color="auto" w:fill="FFFFFF"/>
          <w:lang w:val="es-ES"/>
        </w:rPr>
      </w:pPr>
      <w:r w:rsidRPr="00E577EE">
        <w:rPr>
          <w:rFonts w:ascii="Verdana" w:eastAsia="Calibri" w:hAnsi="Verdana" w:cs="Arial"/>
          <w:shd w:val="clear" w:color="auto" w:fill="FFFFFF"/>
        </w:rPr>
        <w:t xml:space="preserve">Agencia Nacional de Contratación Pública – Colombia Compra Eficiente </w:t>
      </w:r>
      <w:r w:rsidR="00E577EE">
        <w:rPr>
          <w:rFonts w:ascii="Verdana" w:eastAsia="Calibri" w:hAnsi="Verdana" w:cs="Arial"/>
          <w:shd w:val="clear" w:color="auto" w:fill="FFFFFF"/>
        </w:rPr>
        <w:t xml:space="preserve">respecto a la figura de sociedades de mejoras </w:t>
      </w:r>
      <w:r w:rsidR="007E0983">
        <w:rPr>
          <w:rFonts w:ascii="Verdana" w:eastAsia="Calibri" w:hAnsi="Verdana" w:cs="Arial"/>
          <w:shd w:val="clear" w:color="auto" w:fill="FFFFFF"/>
        </w:rPr>
        <w:t>públicas</w:t>
      </w:r>
      <w:r w:rsidR="00E577EE">
        <w:rPr>
          <w:rFonts w:ascii="Verdana" w:eastAsia="Calibri" w:hAnsi="Verdana" w:cs="Arial"/>
          <w:shd w:val="clear" w:color="auto" w:fill="FFFFFF"/>
        </w:rPr>
        <w:t xml:space="preserve"> se refirió en el concepto</w:t>
      </w:r>
      <w:r w:rsidR="00783846">
        <w:rPr>
          <w:rFonts w:ascii="Verdana" w:eastAsia="Calibri" w:hAnsi="Verdana" w:cs="Arial"/>
          <w:shd w:val="clear" w:color="auto" w:fill="FFFFFF"/>
        </w:rPr>
        <w:t xml:space="preserve"> </w:t>
      </w:r>
      <w:r w:rsidR="00783846" w:rsidRPr="00783846">
        <w:rPr>
          <w:rFonts w:ascii="Verdana" w:eastAsia="Calibri" w:hAnsi="Verdana" w:cs="Arial"/>
          <w:shd w:val="clear" w:color="auto" w:fill="FFFFFF"/>
        </w:rPr>
        <w:t>4201713000003252 de 28 de diciembre de 2017</w:t>
      </w:r>
      <w:r w:rsidR="00783846">
        <w:rPr>
          <w:rFonts w:ascii="Verdana" w:eastAsia="Calibri" w:hAnsi="Verdana" w:cs="Arial"/>
          <w:shd w:val="clear" w:color="auto" w:fill="FFFFFF"/>
        </w:rPr>
        <w:t xml:space="preserve">, </w:t>
      </w:r>
      <w:r w:rsidR="007E0983">
        <w:rPr>
          <w:rFonts w:ascii="Verdana" w:eastAsia="Calibri" w:hAnsi="Verdana" w:cs="Arial"/>
          <w:shd w:val="clear" w:color="auto" w:fill="FFFFFF"/>
        </w:rPr>
        <w:t xml:space="preserve">respecto al acto administrativo de justificación de contratación directa se refirió en el concepto </w:t>
      </w:r>
      <w:r w:rsidR="00F468C1">
        <w:rPr>
          <w:rFonts w:ascii="Verdana" w:eastAsia="Calibri" w:hAnsi="Verdana" w:cs="Arial"/>
          <w:shd w:val="clear" w:color="auto" w:fill="FFFFFF"/>
        </w:rPr>
        <w:t xml:space="preserve">C-590 </w:t>
      </w:r>
      <w:r w:rsidR="009A65E9">
        <w:rPr>
          <w:rFonts w:ascii="Verdana" w:eastAsia="Calibri" w:hAnsi="Verdana" w:cs="Arial"/>
          <w:shd w:val="clear" w:color="auto" w:fill="FFFFFF"/>
        </w:rPr>
        <w:t xml:space="preserve">del 18 de octubre de 2024 </w:t>
      </w:r>
      <w:r w:rsidR="00ED55C0" w:rsidRPr="00E577EE">
        <w:rPr>
          <w:rFonts w:ascii="Verdana" w:eastAsia="Calibri" w:hAnsi="Verdana" w:cs="Arial"/>
          <w:shd w:val="clear" w:color="auto" w:fill="FFFFFF"/>
          <w:lang w:val="es-ES"/>
        </w:rPr>
        <w:t xml:space="preserve">y </w:t>
      </w:r>
      <w:r w:rsidR="00CA1447" w:rsidRPr="00E577EE">
        <w:rPr>
          <w:rFonts w:ascii="Verdana" w:eastAsia="Calibri" w:hAnsi="Verdana" w:cs="Arial"/>
          <w:shd w:val="clear" w:color="auto" w:fill="FFFFFF"/>
          <w:lang w:val="es-ES"/>
        </w:rPr>
        <w:t xml:space="preserve">en los </w:t>
      </w:r>
      <w:r w:rsidR="00ED55C0" w:rsidRPr="00E577EE">
        <w:rPr>
          <w:rFonts w:ascii="Verdana" w:eastAsia="Calibri" w:hAnsi="Verdana" w:cs="Arial"/>
          <w:shd w:val="clear" w:color="auto" w:fill="FFFFFF"/>
          <w:lang w:val="es-ES"/>
        </w:rPr>
        <w:t>Concepto</w:t>
      </w:r>
      <w:r w:rsidR="00CA1447" w:rsidRPr="00E577EE">
        <w:rPr>
          <w:rFonts w:ascii="Verdana" w:eastAsia="Calibri" w:hAnsi="Verdana" w:cs="Arial"/>
          <w:shd w:val="clear" w:color="auto" w:fill="FFFFFF"/>
          <w:lang w:val="es-ES"/>
        </w:rPr>
        <w:t xml:space="preserve">s </w:t>
      </w:r>
      <w:r w:rsidR="00ED55C0" w:rsidRPr="00E577EE">
        <w:rPr>
          <w:rFonts w:ascii="Verdana" w:eastAsia="Calibri" w:hAnsi="Verdana" w:cs="Arial"/>
          <w:shd w:val="clear" w:color="auto" w:fill="FFFFFF"/>
          <w:lang w:val="es-ES"/>
        </w:rPr>
        <w:t>C-401 del 27 de septiembre de 2023</w:t>
      </w:r>
      <w:r w:rsidR="00CA1447" w:rsidRPr="00E577EE">
        <w:rPr>
          <w:rFonts w:ascii="Verdana" w:eastAsia="Calibri" w:hAnsi="Verdana" w:cs="Arial"/>
          <w:shd w:val="clear" w:color="auto" w:fill="FFFFFF"/>
          <w:lang w:val="es-ES"/>
        </w:rPr>
        <w:t xml:space="preserve"> y C-153 d</w:t>
      </w:r>
      <w:r w:rsidR="00A00805" w:rsidRPr="00E577EE">
        <w:rPr>
          <w:rFonts w:ascii="Verdana" w:eastAsia="Calibri" w:hAnsi="Verdana" w:cs="Arial"/>
          <w:shd w:val="clear" w:color="auto" w:fill="FFFFFF"/>
          <w:lang w:val="es-ES"/>
        </w:rPr>
        <w:t>el 12 de julio de 2024</w:t>
      </w:r>
      <w:r w:rsidR="00ED55C0" w:rsidRPr="00E577EE">
        <w:rPr>
          <w:rFonts w:ascii="Verdana" w:eastAsia="Calibri" w:hAnsi="Verdana" w:cs="Arial"/>
          <w:shd w:val="clear" w:color="auto" w:fill="FFFFFF"/>
          <w:lang w:val="es-ES"/>
        </w:rPr>
        <w:t>, se pronunció sobre el concepto de costos indirectos</w:t>
      </w:r>
      <w:r w:rsidR="00ED55C0" w:rsidRPr="00ED55C0">
        <w:rPr>
          <w:rFonts w:ascii="Verdana" w:eastAsia="Calibri" w:hAnsi="Verdana" w:cs="Arial"/>
          <w:shd w:val="clear" w:color="auto" w:fill="FFFFFF"/>
          <w:lang w:val="es-ES"/>
        </w:rPr>
        <w:t xml:space="preserve">. </w:t>
      </w:r>
    </w:p>
    <w:p w14:paraId="73054236" w14:textId="6762848B" w:rsidR="00B36CC0" w:rsidRDefault="00B36CC0" w:rsidP="004352BC">
      <w:pPr>
        <w:widowControl w:val="0"/>
        <w:autoSpaceDE w:val="0"/>
        <w:autoSpaceDN w:val="0"/>
        <w:spacing w:after="0" w:line="276" w:lineRule="auto"/>
        <w:jc w:val="both"/>
        <w:rPr>
          <w:rFonts w:ascii="Verdana" w:eastAsia="Calibri" w:hAnsi="Verdana" w:cs="Arial"/>
          <w:highlight w:val="yellow"/>
          <w:shd w:val="clear" w:color="auto" w:fill="FFFFFF"/>
        </w:rPr>
      </w:pPr>
    </w:p>
    <w:p w14:paraId="460E9770" w14:textId="77777777" w:rsidR="00087862" w:rsidRDefault="00087862" w:rsidP="00087862">
      <w:pPr>
        <w:widowControl w:val="0"/>
        <w:autoSpaceDE w:val="0"/>
        <w:autoSpaceDN w:val="0"/>
        <w:spacing w:after="0" w:line="276" w:lineRule="auto"/>
        <w:jc w:val="both"/>
        <w:rPr>
          <w:rFonts w:ascii="Verdana" w:hAnsi="Verdana"/>
        </w:rPr>
      </w:pPr>
      <w:r w:rsidRPr="00842F09">
        <w:rPr>
          <w:rFonts w:ascii="Verdana" w:hAnsi="Verdana" w:cs="Arial"/>
          <w:shd w:val="clear" w:color="auto" w:fill="FFFFFF"/>
        </w:rPr>
        <w:lastRenderedPageBreak/>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42F09">
        <w:rPr>
          <w:rFonts w:ascii="Verdana" w:hAnsi="Verdana"/>
        </w:rPr>
        <w:t>, accede a través del siguiente enlace:</w:t>
      </w:r>
    </w:p>
    <w:p w14:paraId="38D47D01" w14:textId="77777777" w:rsidR="00087862" w:rsidRPr="00842F09" w:rsidRDefault="00CD7CBF" w:rsidP="00087862">
      <w:pPr>
        <w:widowControl w:val="0"/>
        <w:autoSpaceDE w:val="0"/>
        <w:autoSpaceDN w:val="0"/>
        <w:spacing w:after="0" w:line="276" w:lineRule="auto"/>
        <w:jc w:val="both"/>
        <w:rPr>
          <w:rStyle w:val="normaltextrun"/>
          <w:rFonts w:ascii="Verdana" w:hAnsi="Verdana"/>
        </w:rPr>
      </w:pPr>
      <w:hyperlink r:id="rId15" w:history="1">
        <w:r w:rsidR="00087862" w:rsidRPr="00842F09">
          <w:rPr>
            <w:rStyle w:val="Hipervnculo"/>
            <w:rFonts w:ascii="Verdana" w:hAnsi="Verdana" w:cs="Arial"/>
            <w:shd w:val="clear" w:color="auto" w:fill="FFFFFF"/>
            <w:lang w:val="es-ES"/>
          </w:rPr>
          <w:t>https://relatoria.colombiacompra.gov.co/busqueda/conceptos</w:t>
        </w:r>
      </w:hyperlink>
      <w:r w:rsidR="00087862" w:rsidRPr="00842F09">
        <w:rPr>
          <w:rStyle w:val="normaltextrun"/>
          <w:rFonts w:ascii="Verdana" w:hAnsi="Verdana" w:cs="Arial"/>
          <w:shd w:val="clear" w:color="auto" w:fill="FFFFFF"/>
        </w:rPr>
        <w:t xml:space="preserve">. </w:t>
      </w:r>
    </w:p>
    <w:p w14:paraId="7EE2A295" w14:textId="77777777" w:rsidR="004352BC" w:rsidRDefault="004352BC" w:rsidP="004352BC">
      <w:pPr>
        <w:spacing w:after="0" w:line="254" w:lineRule="auto"/>
        <w:jc w:val="both"/>
        <w:rPr>
          <w:rFonts w:ascii="Verdana" w:eastAsia="Calibri" w:hAnsi="Verdana" w:cs="Times New Roman"/>
        </w:rPr>
      </w:pPr>
    </w:p>
    <w:p w14:paraId="795B3D36" w14:textId="77777777" w:rsidR="00A40981" w:rsidRDefault="00A40981" w:rsidP="00A40981">
      <w:pPr>
        <w:spacing w:after="0" w:line="254" w:lineRule="auto"/>
        <w:jc w:val="both"/>
        <w:rPr>
          <w:rFonts w:ascii="Verdana" w:eastAsia="Calibri" w:hAnsi="Verdana" w:cs="Times New Roman"/>
        </w:rPr>
      </w:pPr>
      <w:r w:rsidRPr="00945B82">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3C483428" w14:textId="2086376F" w:rsidR="00A40981" w:rsidRDefault="00CD7CBF" w:rsidP="00A40981">
      <w:pPr>
        <w:spacing w:after="0" w:line="254" w:lineRule="auto"/>
        <w:jc w:val="both"/>
        <w:rPr>
          <w:rStyle w:val="Hipervnculo"/>
          <w:rFonts w:ascii="Verdana" w:eastAsia="Calibri" w:hAnsi="Verdana" w:cs="Times New Roman"/>
        </w:rPr>
      </w:pPr>
      <w:hyperlink r:id="rId16" w:tgtFrame="_blank" w:tooltip="Dirección URL original: https://www.colombiacompra.gov.co/sites/cce_public/files/cce_documents/manual_para_el_manejo_de_acuerdos_comerciales_vf.pdf. Haga clic o pulse si confía en este vínculo." w:history="1">
        <w:r w:rsidR="00A40981" w:rsidRPr="00945B82">
          <w:rPr>
            <w:rStyle w:val="Hipervnculo"/>
            <w:rFonts w:ascii="Verdana" w:eastAsia="Calibri" w:hAnsi="Verdana" w:cs="Times New Roman"/>
          </w:rPr>
          <w:t>manual_para_el_manejo_de_acuerdos_comerciales_vf.pdf</w:t>
        </w:r>
      </w:hyperlink>
    </w:p>
    <w:p w14:paraId="580951B3" w14:textId="77777777" w:rsidR="0073779C" w:rsidRPr="00945B82" w:rsidRDefault="0073779C" w:rsidP="00A40981">
      <w:pPr>
        <w:spacing w:after="0" w:line="254" w:lineRule="auto"/>
        <w:jc w:val="both"/>
        <w:rPr>
          <w:rFonts w:ascii="Verdana" w:eastAsia="Calibri" w:hAnsi="Verdana" w:cs="Times New Roman"/>
        </w:rPr>
      </w:pPr>
    </w:p>
    <w:p w14:paraId="3905BFF8" w14:textId="77777777" w:rsidR="00A40981" w:rsidRDefault="00A40981" w:rsidP="00A40981">
      <w:pPr>
        <w:spacing w:after="0" w:line="254" w:lineRule="auto"/>
        <w:jc w:val="both"/>
        <w:rPr>
          <w:rFonts w:ascii="Verdana" w:eastAsia="Calibri" w:hAnsi="Verdana" w:cs="Times New Roman"/>
        </w:rPr>
      </w:pPr>
    </w:p>
    <w:p w14:paraId="2CA253FA" w14:textId="77777777" w:rsidR="00A40981" w:rsidRDefault="00A40981" w:rsidP="00A40981">
      <w:pPr>
        <w:spacing w:after="0" w:line="254" w:lineRule="auto"/>
        <w:jc w:val="both"/>
        <w:rPr>
          <w:rFonts w:ascii="Verdana" w:eastAsia="Calibri" w:hAnsi="Verdana" w:cs="Times New Roman"/>
        </w:rPr>
      </w:pPr>
      <w:r w:rsidRPr="00945B82">
        <w:rPr>
          <w:rFonts w:ascii="Verdana" w:eastAsia="Calibri" w:hAnsi="Verdana"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945B82">
        <w:rPr>
          <w:rFonts w:ascii="Verdana" w:eastAsia="Calibri" w:hAnsi="Verdana" w:cs="Times New Roman"/>
          <w:b/>
          <w:bCs/>
        </w:rPr>
        <w:t> </w:t>
      </w:r>
      <w:r w:rsidRPr="00945B82">
        <w:rPr>
          <w:rFonts w:ascii="Verdana" w:eastAsia="Calibri" w:hAnsi="Verdana" w:cs="Times New Roman"/>
        </w:rPr>
        <w:t>a través de estos enlaces:</w:t>
      </w:r>
    </w:p>
    <w:p w14:paraId="6A7C7137" w14:textId="78901897" w:rsidR="00A40981" w:rsidRPr="00945B82" w:rsidRDefault="00A40981" w:rsidP="00A40981">
      <w:pPr>
        <w:spacing w:after="0" w:line="254" w:lineRule="auto"/>
        <w:jc w:val="both"/>
        <w:rPr>
          <w:rFonts w:ascii="Verdana" w:eastAsia="Calibri" w:hAnsi="Verdana" w:cs="Times New Roman"/>
        </w:rPr>
      </w:pPr>
    </w:p>
    <w:p w14:paraId="4B0C4D85" w14:textId="77777777" w:rsidR="0073779C" w:rsidRPr="00945B82" w:rsidRDefault="0073779C" w:rsidP="00A40981">
      <w:pPr>
        <w:spacing w:after="0" w:line="254" w:lineRule="auto"/>
        <w:jc w:val="both"/>
        <w:rPr>
          <w:rFonts w:ascii="Verdana" w:eastAsia="Calibri" w:hAnsi="Verdana" w:cs="Times New Roman"/>
        </w:rPr>
      </w:pPr>
    </w:p>
    <w:p w14:paraId="43102B30" w14:textId="77777777" w:rsidR="00A40981" w:rsidRPr="00945B82" w:rsidRDefault="00A40981" w:rsidP="00A40981">
      <w:pPr>
        <w:numPr>
          <w:ilvl w:val="0"/>
          <w:numId w:val="26"/>
        </w:numPr>
        <w:spacing w:after="0" w:line="254" w:lineRule="auto"/>
        <w:rPr>
          <w:rFonts w:ascii="Verdana" w:eastAsia="Calibri" w:hAnsi="Verdana" w:cs="Times New Roman"/>
        </w:rPr>
      </w:pPr>
      <w:r w:rsidRPr="00945B82">
        <w:rPr>
          <w:rFonts w:ascii="Verdana" w:eastAsia="Calibri" w:hAnsi="Verdana" w:cs="Times New Roman"/>
        </w:rPr>
        <w:t>Enlace página ANCP-CCE: </w:t>
      </w:r>
      <w:hyperlink r:id="rId17" w:tgtFrame="_blank" w:tooltip="Dirección URL original: https://www.colombiacompra.gov.co/content/convocatorias. Haga clic o pulse si confía en este vínculo." w:history="1">
        <w:r w:rsidRPr="00945B82">
          <w:rPr>
            <w:rStyle w:val="Hipervnculo"/>
            <w:rFonts w:ascii="Verdana" w:eastAsia="Calibri" w:hAnsi="Verdana" w:cs="Times New Roman"/>
          </w:rPr>
          <w:t>https://www.colombiacompra.gov.co/content/convocatorias</w:t>
        </w:r>
      </w:hyperlink>
    </w:p>
    <w:p w14:paraId="5E55B2F7" w14:textId="77777777" w:rsidR="00A40981" w:rsidRPr="00E3523B" w:rsidRDefault="00A40981" w:rsidP="00A40981">
      <w:pPr>
        <w:numPr>
          <w:ilvl w:val="0"/>
          <w:numId w:val="26"/>
        </w:numPr>
        <w:spacing w:after="0" w:line="254" w:lineRule="auto"/>
        <w:rPr>
          <w:rFonts w:ascii="Verdana" w:eastAsia="Calibri" w:hAnsi="Verdana" w:cs="Times New Roman"/>
          <w:lang w:val="en-US"/>
        </w:rPr>
      </w:pPr>
      <w:r w:rsidRPr="00E3523B">
        <w:rPr>
          <w:rFonts w:ascii="Verdana" w:eastAsia="Calibri" w:hAnsi="Verdana" w:cs="Times New Roman"/>
          <w:lang w:val="en-US"/>
        </w:rPr>
        <w:t>Enlace SUCOP:  </w:t>
      </w:r>
      <w:hyperlink r:id="rId18" w:tgtFrame="_blank" w:tooltip="Dirección URL original: https://www.sucop.gov.co/entidades/colombiacompra/Normativa?IDNorma=19201. Haga clic o pulse si confía en este vínculo." w:history="1">
        <w:r w:rsidRPr="00E3523B">
          <w:rPr>
            <w:rStyle w:val="Hipervnculo"/>
            <w:rFonts w:ascii="Verdana" w:eastAsia="Calibri" w:hAnsi="Verdana" w:cs="Times New Roman"/>
            <w:lang w:val="en-US"/>
          </w:rPr>
          <w:t>https://www.sucop.gov.co/entidades/colombiacompra/Normativa?IDNorma=19201</w:t>
        </w:r>
      </w:hyperlink>
    </w:p>
    <w:p w14:paraId="18BFA877" w14:textId="3206BA1D" w:rsidR="00A40981" w:rsidRDefault="00A40981" w:rsidP="00A40981">
      <w:pPr>
        <w:spacing w:after="0" w:line="254" w:lineRule="auto"/>
        <w:rPr>
          <w:rFonts w:ascii="Verdana" w:eastAsia="Calibri" w:hAnsi="Verdana" w:cs="Times New Roman"/>
          <w:lang w:val="en-US"/>
        </w:rPr>
      </w:pPr>
      <w:r w:rsidRPr="00E3523B">
        <w:rPr>
          <w:rFonts w:ascii="Verdana" w:eastAsia="Calibri" w:hAnsi="Verdana" w:cs="Times New Roman"/>
          <w:lang w:val="en-US"/>
        </w:rPr>
        <w:t> </w:t>
      </w:r>
    </w:p>
    <w:p w14:paraId="471EB95C" w14:textId="77777777" w:rsidR="0073779C" w:rsidRPr="00E3523B" w:rsidRDefault="0073779C" w:rsidP="00A40981">
      <w:pPr>
        <w:spacing w:after="0" w:line="254" w:lineRule="auto"/>
        <w:rPr>
          <w:rFonts w:ascii="Verdana" w:eastAsia="Calibri" w:hAnsi="Verdana" w:cs="Times New Roman"/>
          <w:lang w:val="en-US"/>
        </w:rPr>
      </w:pPr>
    </w:p>
    <w:p w14:paraId="0BAEA4F1" w14:textId="77777777" w:rsidR="00A40981" w:rsidRPr="00945B82" w:rsidRDefault="00A40981" w:rsidP="00A40981">
      <w:pPr>
        <w:spacing w:after="0" w:line="254" w:lineRule="auto"/>
        <w:jc w:val="both"/>
        <w:rPr>
          <w:rFonts w:ascii="Verdana" w:eastAsia="Calibri" w:hAnsi="Verdana" w:cs="Times New Roman"/>
        </w:rPr>
      </w:pPr>
      <w:r w:rsidRPr="00945B82">
        <w:rPr>
          <w:rFonts w:ascii="Verdana" w:eastAsia="Calibri" w:hAnsi="Verdana"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945B82">
          <w:rPr>
            <w:rStyle w:val="Hipervnculo"/>
            <w:rFonts w:ascii="Verdana" w:eastAsia="Calibri" w:hAnsi="Verdana" w:cs="Times New Roman"/>
          </w:rPr>
          <w:t>https://www.colombiacompra.gov.co/sala-de-prensa/boletin-digital</w:t>
        </w:r>
      </w:hyperlink>
      <w:r w:rsidRPr="00945B82">
        <w:rPr>
          <w:rFonts w:ascii="Verdana" w:eastAsia="Calibri" w:hAnsi="Verdana" w:cs="Times New Roman"/>
        </w:rPr>
        <w:t> ".</w:t>
      </w:r>
    </w:p>
    <w:p w14:paraId="45FA5E82" w14:textId="00B9DB90" w:rsidR="00A40981" w:rsidRPr="00842F09" w:rsidRDefault="00A40981" w:rsidP="00A40981">
      <w:pPr>
        <w:spacing w:after="0" w:line="254" w:lineRule="auto"/>
        <w:rPr>
          <w:rFonts w:ascii="Verdana" w:eastAsia="Calibri" w:hAnsi="Verdana" w:cs="Times New Roman"/>
        </w:rPr>
      </w:pPr>
    </w:p>
    <w:p w14:paraId="7528CE52" w14:textId="77777777" w:rsidR="0073779C" w:rsidRPr="00842F09" w:rsidRDefault="0073779C" w:rsidP="00A40981">
      <w:pPr>
        <w:spacing w:after="0" w:line="254" w:lineRule="auto"/>
        <w:rPr>
          <w:rFonts w:ascii="Verdana" w:eastAsia="Calibri" w:hAnsi="Verdana" w:cs="Times New Roman"/>
        </w:rPr>
      </w:pPr>
    </w:p>
    <w:p w14:paraId="31087A78" w14:textId="77777777" w:rsidR="00A40981" w:rsidRPr="00842F09" w:rsidRDefault="00A40981" w:rsidP="00A40981">
      <w:pPr>
        <w:spacing w:after="0" w:line="254" w:lineRule="auto"/>
        <w:rPr>
          <w:rFonts w:ascii="Verdana" w:eastAsia="Calibri" w:hAnsi="Verdana" w:cs="Times New Roman"/>
        </w:rPr>
      </w:pPr>
      <w:r w:rsidRPr="00842F09">
        <w:rPr>
          <w:rFonts w:ascii="Verdana" w:eastAsia="Calibri" w:hAnsi="Verdana" w:cs="Times New Roman"/>
        </w:rPr>
        <w:t xml:space="preserve">Por último, lo invitamos a seguirnos en las redes sociales en las cuales se difunde información institucional: </w:t>
      </w:r>
    </w:p>
    <w:p w14:paraId="2D4F0DE2" w14:textId="77777777" w:rsidR="00A40981" w:rsidRPr="00842F09" w:rsidRDefault="00A40981" w:rsidP="00A40981">
      <w:pPr>
        <w:spacing w:after="0" w:line="254" w:lineRule="auto"/>
        <w:rPr>
          <w:rFonts w:ascii="Verdana" w:eastAsia="Calibri" w:hAnsi="Verdana" w:cs="Times New Roman"/>
        </w:rPr>
      </w:pPr>
    </w:p>
    <w:p w14:paraId="4CD46B19" w14:textId="77777777" w:rsidR="00A40981" w:rsidRPr="00842F09" w:rsidRDefault="00A40981" w:rsidP="00A40981">
      <w:pPr>
        <w:spacing w:after="0" w:line="254" w:lineRule="auto"/>
        <w:rPr>
          <w:rFonts w:ascii="Verdana" w:eastAsia="Calibri" w:hAnsi="Verdana" w:cs="Times New Roman"/>
        </w:rPr>
      </w:pPr>
      <w:r w:rsidRPr="00842F09">
        <w:rPr>
          <w:rFonts w:ascii="Verdana" w:eastAsia="Calibri" w:hAnsi="Verdana" w:cs="Times New Roman"/>
        </w:rPr>
        <w:t xml:space="preserve">Twitter: </w:t>
      </w:r>
      <w:r w:rsidRPr="00842F09">
        <w:rPr>
          <w:rFonts w:ascii="Verdana" w:eastAsia="Calibri" w:hAnsi="Verdana" w:cs="Times New Roman"/>
          <w:u w:val="single"/>
        </w:rPr>
        <w:t>@colombiacompra</w:t>
      </w:r>
      <w:r w:rsidRPr="00842F09">
        <w:rPr>
          <w:rFonts w:ascii="Verdana" w:eastAsia="Calibri" w:hAnsi="Verdana" w:cs="Times New Roman"/>
        </w:rPr>
        <w:t xml:space="preserve"> </w:t>
      </w:r>
    </w:p>
    <w:p w14:paraId="0C1D6950" w14:textId="77777777" w:rsidR="00A40981" w:rsidRPr="00842F09" w:rsidRDefault="00A40981" w:rsidP="00A40981">
      <w:pPr>
        <w:spacing w:after="0" w:line="254" w:lineRule="auto"/>
        <w:rPr>
          <w:rFonts w:ascii="Verdana" w:eastAsia="Calibri" w:hAnsi="Verdana" w:cs="Times New Roman"/>
        </w:rPr>
      </w:pPr>
      <w:r w:rsidRPr="00842F09">
        <w:rPr>
          <w:rFonts w:ascii="Verdana" w:eastAsia="Calibri" w:hAnsi="Verdana" w:cs="Times New Roman"/>
        </w:rPr>
        <w:t xml:space="preserve">Facebook: </w:t>
      </w:r>
      <w:proofErr w:type="spellStart"/>
      <w:r w:rsidRPr="00842F09">
        <w:rPr>
          <w:rFonts w:ascii="Verdana" w:eastAsia="Calibri" w:hAnsi="Verdana" w:cs="Times New Roman"/>
          <w:u w:val="single"/>
        </w:rPr>
        <w:t>ColombiaCompraEficiente</w:t>
      </w:r>
      <w:proofErr w:type="spellEnd"/>
    </w:p>
    <w:p w14:paraId="5F5DE3A0" w14:textId="77777777" w:rsidR="00A40981" w:rsidRPr="00842F09" w:rsidRDefault="00A40981" w:rsidP="00A40981">
      <w:pPr>
        <w:spacing w:after="0" w:line="254" w:lineRule="auto"/>
        <w:rPr>
          <w:rFonts w:ascii="Verdana" w:eastAsia="Calibri" w:hAnsi="Verdana" w:cs="Times New Roman"/>
          <w:u w:val="single"/>
        </w:rPr>
      </w:pPr>
      <w:r w:rsidRPr="00842F09">
        <w:rPr>
          <w:rFonts w:ascii="Verdana" w:eastAsia="Calibri" w:hAnsi="Verdana" w:cs="Times New Roman"/>
        </w:rPr>
        <w:t xml:space="preserve">LinkedIn: </w:t>
      </w:r>
      <w:r w:rsidRPr="00842F09">
        <w:rPr>
          <w:rFonts w:ascii="Verdana" w:eastAsia="Calibri" w:hAnsi="Verdana" w:cs="Times New Roman"/>
          <w:u w:val="single"/>
        </w:rPr>
        <w:t>Agencia Nacional de Contratación Pública - Colombia Compra Eficiente</w:t>
      </w:r>
      <w:r w:rsidRPr="00842F09">
        <w:rPr>
          <w:rFonts w:ascii="Verdana" w:eastAsia="Calibri" w:hAnsi="Verdana" w:cs="Times New Roman"/>
        </w:rPr>
        <w:t xml:space="preserve"> Instagram: </w:t>
      </w:r>
      <w:r w:rsidRPr="00842F09">
        <w:rPr>
          <w:rFonts w:ascii="Verdana" w:eastAsia="Calibri" w:hAnsi="Verdana" w:cs="Times New Roman"/>
          <w:u w:val="single"/>
        </w:rPr>
        <w:t>@colombiacompraeficiente_cce</w:t>
      </w:r>
    </w:p>
    <w:p w14:paraId="2FF2487E" w14:textId="77777777" w:rsidR="00A40981" w:rsidRPr="00842F09" w:rsidRDefault="00A40981" w:rsidP="00A40981">
      <w:pPr>
        <w:spacing w:after="0" w:line="254" w:lineRule="auto"/>
        <w:rPr>
          <w:rFonts w:ascii="Verdana" w:eastAsia="Calibri" w:hAnsi="Verdana" w:cs="Times New Roman"/>
          <w:b/>
          <w:bCs/>
        </w:rPr>
      </w:pPr>
    </w:p>
    <w:p w14:paraId="7CD3DBAB" w14:textId="77777777" w:rsidR="00A40981" w:rsidRPr="00842F09" w:rsidRDefault="00A40981" w:rsidP="00A40981">
      <w:pPr>
        <w:spacing w:after="0" w:line="254" w:lineRule="auto"/>
        <w:jc w:val="both"/>
        <w:rPr>
          <w:rFonts w:ascii="Verdana" w:eastAsia="Calibri" w:hAnsi="Verdana" w:cs="Times New Roman"/>
          <w:lang w:val="es-ES_tradnl"/>
        </w:rPr>
      </w:pPr>
      <w:r w:rsidRPr="00842F09">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7841BD3" w14:textId="77777777" w:rsidR="004352BC" w:rsidRPr="004352BC" w:rsidRDefault="004352BC" w:rsidP="004352BC">
      <w:pPr>
        <w:spacing w:after="0" w:line="254" w:lineRule="auto"/>
        <w:jc w:val="both"/>
        <w:rPr>
          <w:rFonts w:ascii="Verdana" w:eastAsia="Calibri" w:hAnsi="Verdana" w:cs="Times New Roman"/>
        </w:rPr>
      </w:pPr>
      <w:r w:rsidRPr="004352BC">
        <w:rPr>
          <w:rFonts w:ascii="Verdana" w:eastAsia="Calibri" w:hAnsi="Verdana" w:cs="Times New Roman"/>
        </w:rPr>
        <w:t>Atentamente,</w:t>
      </w:r>
    </w:p>
    <w:p w14:paraId="022C5B94" w14:textId="118CB1FB" w:rsidR="004352BC" w:rsidRPr="004352BC" w:rsidRDefault="00BB55F7" w:rsidP="004352BC">
      <w:pPr>
        <w:spacing w:after="0" w:line="254" w:lineRule="auto"/>
        <w:jc w:val="center"/>
        <w:rPr>
          <w:rFonts w:ascii="Verdana" w:eastAsia="Calibri" w:hAnsi="Verdana" w:cs="Times New Roman"/>
          <w:lang w:val="es-ES"/>
        </w:rPr>
      </w:pPr>
      <w:r>
        <w:rPr>
          <w:noProof/>
        </w:rPr>
        <w:drawing>
          <wp:inline distT="0" distB="0" distL="0" distR="0" wp14:anchorId="5D949D35" wp14:editId="295FEED8">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0"/>
                    <a:stretch>
                      <a:fillRect/>
                    </a:stretch>
                  </pic:blipFill>
                  <pic:spPr>
                    <a:xfrm>
                      <a:off x="0" y="0"/>
                      <a:ext cx="3771900" cy="1400175"/>
                    </a:xfrm>
                    <a:prstGeom prst="rect">
                      <a:avLst/>
                    </a:prstGeom>
                  </pic:spPr>
                </pic:pic>
              </a:graphicData>
            </a:graphic>
          </wp:inline>
        </w:drawing>
      </w:r>
    </w:p>
    <w:p w14:paraId="7AC1DBC8" w14:textId="77777777" w:rsidR="004352BC" w:rsidRPr="004352BC" w:rsidRDefault="004352BC" w:rsidP="004352BC">
      <w:pPr>
        <w:spacing w:after="0" w:line="254" w:lineRule="auto"/>
        <w:jc w:val="center"/>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352BC" w:rsidRPr="004352BC" w14:paraId="040093E3" w14:textId="77777777" w:rsidTr="004352BC">
        <w:trPr>
          <w:trHeight w:val="409"/>
        </w:trPr>
        <w:tc>
          <w:tcPr>
            <w:tcW w:w="817" w:type="dxa"/>
            <w:tcBorders>
              <w:top w:val="nil"/>
              <w:left w:val="nil"/>
              <w:bottom w:val="nil"/>
              <w:right w:val="nil"/>
            </w:tcBorders>
            <w:vAlign w:val="center"/>
            <w:hideMark/>
          </w:tcPr>
          <w:p w14:paraId="7A198F80"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41A31E68"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Gustavo Hinestroza Martínez</w:t>
            </w:r>
          </w:p>
          <w:p w14:paraId="29D24DD4"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Contratista de la Subdirección de Gestión Contractual</w:t>
            </w:r>
          </w:p>
        </w:tc>
      </w:tr>
      <w:tr w:rsidR="004352BC" w:rsidRPr="004352BC" w14:paraId="78BF0471" w14:textId="77777777" w:rsidTr="004352BC">
        <w:trPr>
          <w:trHeight w:val="409"/>
        </w:trPr>
        <w:tc>
          <w:tcPr>
            <w:tcW w:w="817" w:type="dxa"/>
            <w:tcBorders>
              <w:top w:val="nil"/>
              <w:left w:val="nil"/>
              <w:bottom w:val="nil"/>
              <w:right w:val="nil"/>
            </w:tcBorders>
            <w:vAlign w:val="center"/>
            <w:hideMark/>
          </w:tcPr>
          <w:p w14:paraId="25362516"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37CCEEF"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Cielo Victoria González Meza</w:t>
            </w:r>
          </w:p>
          <w:p w14:paraId="561B84B5" w14:textId="77777777" w:rsidR="004352BC" w:rsidRPr="004352BC" w:rsidRDefault="004352BC" w:rsidP="004352BC">
            <w:pPr>
              <w:spacing w:after="0" w:line="254" w:lineRule="auto"/>
              <w:rPr>
                <w:rFonts w:ascii="Verdana" w:eastAsia="Calibri" w:hAnsi="Verdana" w:cs="Times New Roman"/>
                <w:sz w:val="14"/>
                <w:szCs w:val="14"/>
                <w:highlight w:val="yellow"/>
              </w:rPr>
            </w:pPr>
            <w:r w:rsidRPr="004352BC">
              <w:rPr>
                <w:rFonts w:ascii="Verdana" w:eastAsia="Calibri" w:hAnsi="Verdana" w:cs="Times New Roman"/>
                <w:sz w:val="14"/>
                <w:szCs w:val="14"/>
              </w:rPr>
              <w:t>Contratista de la Subdirección de Gestión Contractual</w:t>
            </w:r>
          </w:p>
        </w:tc>
      </w:tr>
      <w:tr w:rsidR="004352BC" w:rsidRPr="004352BC" w14:paraId="18B3713B" w14:textId="77777777" w:rsidTr="004352BC">
        <w:trPr>
          <w:trHeight w:val="389"/>
        </w:trPr>
        <w:tc>
          <w:tcPr>
            <w:tcW w:w="817" w:type="dxa"/>
            <w:tcBorders>
              <w:top w:val="nil"/>
              <w:left w:val="nil"/>
              <w:bottom w:val="nil"/>
              <w:right w:val="nil"/>
            </w:tcBorders>
            <w:vAlign w:val="center"/>
            <w:hideMark/>
          </w:tcPr>
          <w:p w14:paraId="531A6A72"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77279F2"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Carolina Quintero Gacharná</w:t>
            </w:r>
          </w:p>
          <w:p w14:paraId="3DBD0D49" w14:textId="77777777" w:rsidR="004352BC" w:rsidRPr="004352BC" w:rsidRDefault="004352BC" w:rsidP="004352BC">
            <w:pPr>
              <w:spacing w:after="0" w:line="254" w:lineRule="auto"/>
              <w:rPr>
                <w:rFonts w:ascii="Verdana" w:eastAsia="Calibri" w:hAnsi="Verdana" w:cs="Times New Roman"/>
                <w:sz w:val="14"/>
                <w:szCs w:val="14"/>
              </w:rPr>
            </w:pPr>
            <w:r w:rsidRPr="004352BC">
              <w:rPr>
                <w:rFonts w:ascii="Verdana" w:eastAsia="Calibri" w:hAnsi="Verdana" w:cs="Times New Roman"/>
                <w:sz w:val="14"/>
                <w:szCs w:val="14"/>
              </w:rPr>
              <w:t>Subdirectora de Gestión Contractual ANCP – CCE</w:t>
            </w:r>
          </w:p>
        </w:tc>
      </w:tr>
      <w:bookmarkEnd w:id="0"/>
    </w:tbl>
    <w:p w14:paraId="370B9164" w14:textId="77777777" w:rsidR="004352BC" w:rsidRPr="004352BC" w:rsidRDefault="004352BC" w:rsidP="004352BC">
      <w:pPr>
        <w:spacing w:line="256" w:lineRule="auto"/>
        <w:rPr>
          <w:rFonts w:ascii="Calibri" w:eastAsia="Calibri" w:hAnsi="Calibri" w:cs="Times New Roman"/>
        </w:rPr>
      </w:pPr>
    </w:p>
    <w:p w14:paraId="0F293BF4" w14:textId="7BBFAB11" w:rsidR="00127233" w:rsidRPr="004352BC" w:rsidRDefault="00127233" w:rsidP="004352BC"/>
    <w:sectPr w:rsidR="00127233" w:rsidRPr="004352BC"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39B3" w14:textId="77777777" w:rsidR="00CD7CBF" w:rsidRDefault="00CD7CBF" w:rsidP="004A1847">
      <w:pPr>
        <w:spacing w:after="0" w:line="240" w:lineRule="auto"/>
      </w:pPr>
      <w:r>
        <w:separator/>
      </w:r>
    </w:p>
  </w:endnote>
  <w:endnote w:type="continuationSeparator" w:id="0">
    <w:p w14:paraId="02D1C11B" w14:textId="77777777" w:rsidR="00CD7CBF" w:rsidRDefault="00CD7CBF" w:rsidP="004A1847">
      <w:pPr>
        <w:spacing w:after="0" w:line="240" w:lineRule="auto"/>
      </w:pPr>
      <w:r>
        <w:continuationSeparator/>
      </w:r>
    </w:p>
  </w:endnote>
  <w:endnote w:type="continuationNotice" w:id="1">
    <w:p w14:paraId="7DCBAD28" w14:textId="77777777" w:rsidR="00CD7CBF" w:rsidRDefault="00CD7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E2F6F" w14:textId="77777777" w:rsidR="00CD7CBF" w:rsidRDefault="00CD7CBF" w:rsidP="004A1847">
      <w:pPr>
        <w:spacing w:after="0" w:line="240" w:lineRule="auto"/>
      </w:pPr>
      <w:r>
        <w:separator/>
      </w:r>
    </w:p>
  </w:footnote>
  <w:footnote w:type="continuationSeparator" w:id="0">
    <w:p w14:paraId="3F6762B3" w14:textId="77777777" w:rsidR="00CD7CBF" w:rsidRDefault="00CD7CBF" w:rsidP="004A1847">
      <w:pPr>
        <w:spacing w:after="0" w:line="240" w:lineRule="auto"/>
      </w:pPr>
      <w:r>
        <w:continuationSeparator/>
      </w:r>
    </w:p>
  </w:footnote>
  <w:footnote w:type="continuationNotice" w:id="1">
    <w:p w14:paraId="164C3CD2" w14:textId="77777777" w:rsidR="00CD7CBF" w:rsidRDefault="00CD7CBF">
      <w:pPr>
        <w:spacing w:after="0" w:line="240" w:lineRule="auto"/>
      </w:pPr>
    </w:p>
  </w:footnote>
  <w:footnote w:id="2">
    <w:p w14:paraId="0F47CE36" w14:textId="1AD72802" w:rsidR="00D86816" w:rsidRDefault="00D86816" w:rsidP="00D86816">
      <w:pPr>
        <w:pStyle w:val="Textonotapie"/>
        <w:ind w:firstLine="707"/>
      </w:pPr>
      <w:r>
        <w:rPr>
          <w:rStyle w:val="Refdenotaalpie"/>
        </w:rPr>
        <w:footnoteRef/>
      </w:r>
      <w:r>
        <w:t xml:space="preserve">  </w:t>
      </w:r>
      <w:r w:rsidR="00C85EFA" w:rsidRPr="0073779C">
        <w:rPr>
          <w:rFonts w:ascii="Verdana" w:hAnsi="Verdana"/>
          <w:sz w:val="16"/>
          <w:szCs w:val="16"/>
        </w:rPr>
        <w:t>Ley 1217 de 2018. Artículo 9.</w:t>
      </w:r>
    </w:p>
  </w:footnote>
  <w:footnote w:id="3">
    <w:p w14:paraId="6F6F5E94" w14:textId="77777777" w:rsidR="00F0124F" w:rsidRPr="00FA50B4" w:rsidRDefault="00F0124F" w:rsidP="00F0124F">
      <w:pPr>
        <w:pStyle w:val="Textonotapie"/>
        <w:ind w:firstLine="708"/>
        <w:jc w:val="both"/>
        <w:rPr>
          <w:lang w:val="es-ES"/>
        </w:rPr>
      </w:pPr>
      <w:r>
        <w:rPr>
          <w:rStyle w:val="Refdenotaalpie"/>
        </w:rPr>
        <w:footnoteRef/>
      </w:r>
      <w:r>
        <w:t xml:space="preserve"> </w:t>
      </w:r>
      <w:r w:rsidRPr="0073779C">
        <w:rPr>
          <w:rFonts w:ascii="Verdana" w:hAnsi="Verdana"/>
          <w:sz w:val="16"/>
          <w:szCs w:val="16"/>
        </w:rPr>
        <w:t>La modalidad de selección de contratación directa, solamente procederá en los siguientes casos: a) Urgencia manifiesta; b) Contratación de empréstitos; c) Contratos interadministrativos, d) La contratación de bienes y servicios en el sector Defensa y en el Departamento Administrativo de Seguridad, DAS, que necesiten reserva para su adquisición; e) Los contratos para el desarrollo de actividades científicas y tecnológicas; f) Los contratos de encargo fiduciario, g) Cuando no exista pluralidad de oferentes en el mercado; h) Para la prestación de servicios profesionales y de apoyo a la gestión, o para la ejecución de trabajos artísticos que sólo puedan encomendarse a determinadas personas naturales; i) El arrendamiento o adquisición de inmuebles. j) La contratación de bienes y servicios de la Dirección Nacional de Inteligencia (DNI), que requieran reserva para su adquisición. k) La selección de peritos expertos o asesores técnicos para presentar o contradecir el dictamen pericial en procesos judiciales. l) Los contratos o convenios que las entidades estatales suscriban con los Cabildos Indígenas, m) Los contratos que las entidades estatales suscriban con los consejos comunitarios de las comunidades negras, regulados por la Ley 70 de 1993, n) Los contratos que las entidades estatales suscriban con las organizaciones de base de personas pertenecientes a poblaciones afrocolombianas, raizales y palenqueras o con las demás formas y expresiones organizativas, 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w:t>
      </w:r>
      <w:r w:rsidRPr="00FA50B4">
        <w:rPr>
          <w:rFonts w:ascii="Verdana" w:hAnsi="Verdana"/>
          <w:sz w:val="14"/>
          <w:szCs w:val="14"/>
        </w:rPr>
        <w:t xml:space="preserve">  </w:t>
      </w:r>
    </w:p>
  </w:footnote>
  <w:footnote w:id="4">
    <w:p w14:paraId="1A007BD8" w14:textId="77777777" w:rsidR="00522868" w:rsidRPr="0073779C" w:rsidRDefault="00522868" w:rsidP="00522868">
      <w:pPr>
        <w:pStyle w:val="Textonotapie"/>
        <w:ind w:firstLine="709"/>
        <w:jc w:val="both"/>
        <w:rPr>
          <w:rFonts w:ascii="Verdana" w:hAnsi="Verdana"/>
          <w:sz w:val="16"/>
          <w:szCs w:val="16"/>
        </w:rPr>
      </w:pPr>
      <w:r w:rsidRPr="00536784">
        <w:rPr>
          <w:rStyle w:val="Refdenotaalpie"/>
          <w:rFonts w:ascii="Arial" w:hAnsi="Arial" w:cs="Arial"/>
          <w:sz w:val="19"/>
          <w:szCs w:val="19"/>
        </w:rPr>
        <w:footnoteRef/>
      </w:r>
      <w:r w:rsidRPr="00536784">
        <w:rPr>
          <w:rFonts w:ascii="Arial" w:hAnsi="Arial" w:cs="Arial"/>
          <w:sz w:val="19"/>
          <w:szCs w:val="19"/>
        </w:rPr>
        <w:t xml:space="preserve"> </w:t>
      </w:r>
      <w:r w:rsidRPr="00536784">
        <w:rPr>
          <w:rFonts w:ascii="Arial" w:hAnsi="Arial" w:cs="Arial"/>
          <w:sz w:val="19"/>
          <w:szCs w:val="19"/>
          <w:lang w:val="es-ES"/>
        </w:rPr>
        <w:t>«</w:t>
      </w:r>
      <w:r w:rsidRPr="0073779C">
        <w:rPr>
          <w:rFonts w:ascii="Verdana" w:hAnsi="Verdana"/>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1F9BCF68" w14:textId="77777777" w:rsidR="00522868" w:rsidRPr="0073779C" w:rsidRDefault="00522868" w:rsidP="00522868">
      <w:pPr>
        <w:pStyle w:val="Textonotapie"/>
        <w:ind w:firstLine="709"/>
        <w:jc w:val="both"/>
        <w:rPr>
          <w:rFonts w:ascii="Verdana" w:hAnsi="Verdana"/>
          <w:sz w:val="16"/>
          <w:szCs w:val="16"/>
        </w:rPr>
      </w:pPr>
      <w:r w:rsidRPr="0073779C">
        <w:rPr>
          <w:rFonts w:ascii="Verdana" w:hAnsi="Verdana"/>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5">
    <w:p w14:paraId="763589C7" w14:textId="01520B66" w:rsidR="00522868" w:rsidRPr="008620B7" w:rsidRDefault="00522868" w:rsidP="0073779C">
      <w:pPr>
        <w:rPr>
          <w:lang w:val="es-ES"/>
        </w:rPr>
      </w:pPr>
      <w:r w:rsidRPr="0073779C">
        <w:rPr>
          <w:rFonts w:ascii="Verdana" w:hAnsi="Verdana"/>
          <w:sz w:val="16"/>
          <w:szCs w:val="16"/>
          <w:lang w:val="es-MX"/>
        </w:rPr>
        <w:footnoteRef/>
      </w:r>
      <w:r w:rsidRPr="0073779C">
        <w:rPr>
          <w:rFonts w:ascii="Verdana" w:hAnsi="Verdana"/>
          <w:sz w:val="16"/>
          <w:szCs w:val="16"/>
          <w:lang w:val="es-MX"/>
        </w:rPr>
        <w:t xml:space="preserve"> Concepto C ─ 030 de 2021 Expedido por la ANCP-CCE</w:t>
      </w:r>
      <w:r w:rsidR="0073779C">
        <w:rPr>
          <w:rFonts w:ascii="Verdana" w:hAnsi="Verdana"/>
          <w:sz w:val="16"/>
          <w:szCs w:val="16"/>
          <w:lang w:val="es-MX"/>
        </w:rPr>
        <w:t>.</w:t>
      </w:r>
    </w:p>
  </w:footnote>
  <w:footnote w:id="6">
    <w:p w14:paraId="3FF5627F" w14:textId="77777777" w:rsidR="006605FA" w:rsidRPr="008962B5" w:rsidRDefault="006605FA" w:rsidP="006605FA">
      <w:pPr>
        <w:pStyle w:val="Textonotapie"/>
        <w:ind w:firstLine="707"/>
        <w:rPr>
          <w:rFonts w:ascii="Verdana" w:hAnsi="Verdana"/>
          <w:sz w:val="16"/>
          <w:szCs w:val="16"/>
        </w:rPr>
      </w:pPr>
    </w:p>
    <w:p w14:paraId="43D06E7D" w14:textId="77777777" w:rsidR="006605FA" w:rsidRPr="008962B5" w:rsidRDefault="006605FA" w:rsidP="006605FA">
      <w:pPr>
        <w:pStyle w:val="Textonotapie"/>
        <w:ind w:firstLine="707"/>
        <w:rPr>
          <w:rFonts w:ascii="Verdana" w:hAnsi="Verdana"/>
          <w:sz w:val="16"/>
          <w:szCs w:val="16"/>
        </w:rPr>
      </w:pPr>
      <w:r w:rsidRPr="008962B5">
        <w:rPr>
          <w:rStyle w:val="Refdenotaalpie"/>
          <w:rFonts w:ascii="Verdana" w:hAnsi="Verdana"/>
          <w:sz w:val="16"/>
          <w:szCs w:val="16"/>
        </w:rPr>
        <w:footnoteRef/>
      </w:r>
      <w:r w:rsidRPr="008962B5">
        <w:rPr>
          <w:rFonts w:ascii="Verdana" w:hAnsi="Verdana"/>
          <w:sz w:val="16"/>
          <w:szCs w:val="16"/>
        </w:rPr>
        <w:t xml:space="preserve"> Para ampliar la definición, se puede consultar Concepto C-401 del 27 de septiembre de 2023.</w:t>
      </w:r>
    </w:p>
  </w:footnote>
  <w:footnote w:id="7">
    <w:p w14:paraId="5348C10D" w14:textId="619BA63F" w:rsidR="008962B5" w:rsidRPr="0073779C" w:rsidRDefault="008962B5" w:rsidP="008962B5">
      <w:pPr>
        <w:pStyle w:val="Textonotapie"/>
        <w:ind w:firstLine="707"/>
        <w:rPr>
          <w:rFonts w:ascii="Verdana" w:hAnsi="Verdana"/>
          <w:sz w:val="16"/>
          <w:szCs w:val="16"/>
        </w:rPr>
      </w:pPr>
      <w:r w:rsidRPr="008962B5">
        <w:rPr>
          <w:rStyle w:val="Refdenotaalpie"/>
          <w:rFonts w:ascii="Verdana" w:hAnsi="Verdana"/>
        </w:rPr>
        <w:footnoteRef/>
      </w:r>
      <w:r w:rsidRPr="008962B5">
        <w:rPr>
          <w:rFonts w:ascii="Verdana" w:hAnsi="Verdana"/>
        </w:rPr>
        <w:t xml:space="preserve"> </w:t>
      </w:r>
      <w:r w:rsidRPr="008962B5">
        <w:rPr>
          <w:rFonts w:ascii="Verdana" w:hAnsi="Verdana"/>
          <w:sz w:val="16"/>
          <w:szCs w:val="16"/>
        </w:rPr>
        <w:t>CONSEJO DE ESTADO. Sección Tercera. Subsección B. Sentencia del 14 de octubre de 2011. Exp. 20811, C.P. Ruth Stella Correa Palacio.</w:t>
      </w:r>
    </w:p>
  </w:footnote>
  <w:footnote w:id="8">
    <w:p w14:paraId="33CD7377" w14:textId="77777777" w:rsidR="00062750" w:rsidRDefault="00062750" w:rsidP="00062750">
      <w:pPr>
        <w:pStyle w:val="Textonotapie"/>
        <w:ind w:firstLine="707"/>
      </w:pPr>
    </w:p>
    <w:p w14:paraId="4B617FC3" w14:textId="6A3683CB" w:rsidR="00062750" w:rsidRPr="0073779C" w:rsidRDefault="00062750" w:rsidP="00062750">
      <w:pPr>
        <w:pStyle w:val="Textonotapie"/>
        <w:ind w:firstLine="707"/>
        <w:jc w:val="both"/>
        <w:rPr>
          <w:rFonts w:ascii="Verdana" w:hAnsi="Verdana"/>
          <w:sz w:val="16"/>
          <w:szCs w:val="16"/>
        </w:rPr>
      </w:pPr>
      <w:r>
        <w:rPr>
          <w:rStyle w:val="Refdenotaalpie"/>
        </w:rPr>
        <w:footnoteRef/>
      </w:r>
      <w:r>
        <w:t xml:space="preserve"> </w:t>
      </w:r>
      <w:r w:rsidRPr="00062750">
        <w:rPr>
          <w:rFonts w:ascii="Verdana" w:hAnsi="Verdana"/>
          <w:sz w:val="16"/>
          <w:szCs w:val="16"/>
        </w:rPr>
        <w:t>“Los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footnote>
  <w:footnote w:id="9">
    <w:p w14:paraId="7EB779A4" w14:textId="77777777" w:rsidR="00417C89" w:rsidRDefault="00417C89" w:rsidP="00417C89">
      <w:pPr>
        <w:pStyle w:val="Textonotapie"/>
        <w:ind w:firstLine="707"/>
      </w:pPr>
    </w:p>
    <w:p w14:paraId="637F169D" w14:textId="36D981B1" w:rsidR="00417C89" w:rsidRDefault="00417C89" w:rsidP="00417C89">
      <w:pPr>
        <w:pStyle w:val="Textonotapie"/>
        <w:ind w:firstLine="707"/>
        <w:jc w:val="both"/>
      </w:pPr>
      <w:r>
        <w:rPr>
          <w:rStyle w:val="Refdenotaalpie"/>
        </w:rPr>
        <w:footnoteRef/>
      </w:r>
      <w:r>
        <w:t xml:space="preserve"> </w:t>
      </w:r>
      <w:r w:rsidRPr="00417C89">
        <w:rPr>
          <w:rFonts w:ascii="Verdana" w:hAnsi="Verdana"/>
          <w:sz w:val="16"/>
          <w:szCs w:val="16"/>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417C89">
        <w:t xml:space="preserve">  </w:t>
      </w:r>
    </w:p>
  </w:footnote>
  <w:footnote w:id="10">
    <w:p w14:paraId="664B851C" w14:textId="77777777" w:rsidR="00B61AD8" w:rsidRDefault="00B61AD8">
      <w:pPr>
        <w:pStyle w:val="Textonotapie"/>
      </w:pPr>
    </w:p>
    <w:p w14:paraId="760B25AE" w14:textId="487AAE53" w:rsidR="00B61AD8" w:rsidRDefault="00B61AD8" w:rsidP="00B61AD8">
      <w:pPr>
        <w:pStyle w:val="Textonotapie"/>
        <w:ind w:firstLine="707"/>
      </w:pPr>
      <w:r w:rsidRPr="009E2B38">
        <w:rPr>
          <w:rStyle w:val="Refdenotaalpie"/>
        </w:rPr>
        <w:footnoteRef/>
      </w:r>
      <w:r w:rsidRPr="009E2B38">
        <w:t xml:space="preserve"> </w:t>
      </w:r>
      <w:r w:rsidR="008F7E5D" w:rsidRPr="00E3523B">
        <w:t>MARÍN</w:t>
      </w:r>
      <w:r w:rsidR="008F7E5D" w:rsidRPr="009E2B38">
        <w:t>,</w:t>
      </w:r>
      <w:r w:rsidR="008F7E5D" w:rsidRPr="008F7E5D">
        <w:t xml:space="preserve"> Op. Cit., pp. 64-65.</w:t>
      </w:r>
    </w:p>
  </w:footnote>
  <w:footnote w:id="11">
    <w:p w14:paraId="57773691" w14:textId="77777777" w:rsidR="00737CF5" w:rsidRDefault="00737CF5" w:rsidP="00737CF5">
      <w:pPr>
        <w:pStyle w:val="Textonotapie"/>
        <w:ind w:firstLine="707"/>
      </w:pPr>
    </w:p>
    <w:p w14:paraId="5DBA0574" w14:textId="6D5556B4" w:rsidR="00737CF5" w:rsidRDefault="00737CF5" w:rsidP="00737CF5">
      <w:pPr>
        <w:pStyle w:val="Textonotapie"/>
        <w:ind w:firstLine="707"/>
      </w:pPr>
      <w:r>
        <w:rPr>
          <w:rStyle w:val="Refdenotaalpie"/>
        </w:rPr>
        <w:footnoteRef/>
      </w:r>
      <w:r>
        <w:t xml:space="preserve"> </w:t>
      </w:r>
      <w:r w:rsidRPr="00737CF5">
        <w:t>Ibíd., p.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7pt;height:11.7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5413"/>
    <w:multiLevelType w:val="hybridMultilevel"/>
    <w:tmpl w:val="54A0E896"/>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21096"/>
    <w:multiLevelType w:val="hybridMultilevel"/>
    <w:tmpl w:val="1892D88C"/>
    <w:lvl w:ilvl="0" w:tplc="240A0001">
      <w:start w:val="1"/>
      <w:numFmt w:val="bullet"/>
      <w:lvlText w:val=""/>
      <w:lvlJc w:val="left"/>
      <w:pPr>
        <w:ind w:left="801" w:hanging="360"/>
      </w:pPr>
      <w:rPr>
        <w:rFonts w:ascii="Symbol" w:hAnsi="Symbol" w:hint="default"/>
      </w:rPr>
    </w:lvl>
    <w:lvl w:ilvl="1" w:tplc="240A0003" w:tentative="1">
      <w:start w:val="1"/>
      <w:numFmt w:val="bullet"/>
      <w:lvlText w:val="o"/>
      <w:lvlJc w:val="left"/>
      <w:pPr>
        <w:ind w:left="1521" w:hanging="360"/>
      </w:pPr>
      <w:rPr>
        <w:rFonts w:ascii="Courier New" w:hAnsi="Courier New" w:cs="Courier New" w:hint="default"/>
      </w:rPr>
    </w:lvl>
    <w:lvl w:ilvl="2" w:tplc="240A0005" w:tentative="1">
      <w:start w:val="1"/>
      <w:numFmt w:val="bullet"/>
      <w:lvlText w:val=""/>
      <w:lvlJc w:val="left"/>
      <w:pPr>
        <w:ind w:left="2241" w:hanging="360"/>
      </w:pPr>
      <w:rPr>
        <w:rFonts w:ascii="Wingdings" w:hAnsi="Wingdings" w:hint="default"/>
      </w:rPr>
    </w:lvl>
    <w:lvl w:ilvl="3" w:tplc="240A0001" w:tentative="1">
      <w:start w:val="1"/>
      <w:numFmt w:val="bullet"/>
      <w:lvlText w:val=""/>
      <w:lvlJc w:val="left"/>
      <w:pPr>
        <w:ind w:left="2961" w:hanging="360"/>
      </w:pPr>
      <w:rPr>
        <w:rFonts w:ascii="Symbol" w:hAnsi="Symbol" w:hint="default"/>
      </w:rPr>
    </w:lvl>
    <w:lvl w:ilvl="4" w:tplc="240A0003" w:tentative="1">
      <w:start w:val="1"/>
      <w:numFmt w:val="bullet"/>
      <w:lvlText w:val="o"/>
      <w:lvlJc w:val="left"/>
      <w:pPr>
        <w:ind w:left="3681" w:hanging="360"/>
      </w:pPr>
      <w:rPr>
        <w:rFonts w:ascii="Courier New" w:hAnsi="Courier New" w:cs="Courier New" w:hint="default"/>
      </w:rPr>
    </w:lvl>
    <w:lvl w:ilvl="5" w:tplc="240A0005" w:tentative="1">
      <w:start w:val="1"/>
      <w:numFmt w:val="bullet"/>
      <w:lvlText w:val=""/>
      <w:lvlJc w:val="left"/>
      <w:pPr>
        <w:ind w:left="4401" w:hanging="360"/>
      </w:pPr>
      <w:rPr>
        <w:rFonts w:ascii="Wingdings" w:hAnsi="Wingdings" w:hint="default"/>
      </w:rPr>
    </w:lvl>
    <w:lvl w:ilvl="6" w:tplc="240A0001" w:tentative="1">
      <w:start w:val="1"/>
      <w:numFmt w:val="bullet"/>
      <w:lvlText w:val=""/>
      <w:lvlJc w:val="left"/>
      <w:pPr>
        <w:ind w:left="5121" w:hanging="360"/>
      </w:pPr>
      <w:rPr>
        <w:rFonts w:ascii="Symbol" w:hAnsi="Symbol" w:hint="default"/>
      </w:rPr>
    </w:lvl>
    <w:lvl w:ilvl="7" w:tplc="240A0003" w:tentative="1">
      <w:start w:val="1"/>
      <w:numFmt w:val="bullet"/>
      <w:lvlText w:val="o"/>
      <w:lvlJc w:val="left"/>
      <w:pPr>
        <w:ind w:left="5841" w:hanging="360"/>
      </w:pPr>
      <w:rPr>
        <w:rFonts w:ascii="Courier New" w:hAnsi="Courier New" w:cs="Courier New" w:hint="default"/>
      </w:rPr>
    </w:lvl>
    <w:lvl w:ilvl="8" w:tplc="240A0005" w:tentative="1">
      <w:start w:val="1"/>
      <w:numFmt w:val="bullet"/>
      <w:lvlText w:val=""/>
      <w:lvlJc w:val="left"/>
      <w:pPr>
        <w:ind w:left="6561" w:hanging="360"/>
      </w:pPr>
      <w:rPr>
        <w:rFonts w:ascii="Wingdings" w:hAnsi="Wingding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C141E"/>
    <w:multiLevelType w:val="hybridMultilevel"/>
    <w:tmpl w:val="9AB0CA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FA5644D"/>
    <w:multiLevelType w:val="hybridMultilevel"/>
    <w:tmpl w:val="05CA8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DC0906"/>
    <w:multiLevelType w:val="hybridMultilevel"/>
    <w:tmpl w:val="62303AC0"/>
    <w:lvl w:ilvl="0" w:tplc="252445BC">
      <w:start w:val="1"/>
      <w:numFmt w:val="upperLetter"/>
      <w:lvlText w:val="%1."/>
      <w:lvlJc w:val="left"/>
      <w:pPr>
        <w:ind w:left="720" w:hanging="360"/>
      </w:pPr>
      <w:rPr>
        <w:rFonts w:ascii="Arial" w:hAnsi="Arial" w:cs="Arial" w:hint="default"/>
        <w:b w:val="0"/>
        <w:bCs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F4728FC"/>
    <w:multiLevelType w:val="hybridMultilevel"/>
    <w:tmpl w:val="FD84509C"/>
    <w:lvl w:ilvl="0" w:tplc="240A0001">
      <w:start w:val="1"/>
      <w:numFmt w:val="bullet"/>
      <w:lvlText w:val=""/>
      <w:lvlJc w:val="left"/>
      <w:pPr>
        <w:ind w:left="1430" w:hanging="360"/>
      </w:pPr>
      <w:rPr>
        <w:rFonts w:ascii="Symbol" w:hAnsi="Symbo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16" w15:restartNumberingAfterBreak="0">
    <w:nsid w:val="505F0A4C"/>
    <w:multiLevelType w:val="hybridMultilevel"/>
    <w:tmpl w:val="48A449B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7"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6124B7B"/>
    <w:multiLevelType w:val="multilevel"/>
    <w:tmpl w:val="8FDE9E50"/>
    <w:lvl w:ilvl="0">
      <w:start w:val="1"/>
      <w:numFmt w:val="decimal"/>
      <w:lvlText w:val="%1."/>
      <w:lvlJc w:val="left"/>
      <w:pPr>
        <w:ind w:left="720" w:hanging="360"/>
      </w:pPr>
    </w:lvl>
    <w:lvl w:ilvl="1">
      <w:start w:val="1"/>
      <w:numFmt w:val="decimal"/>
      <w:isLgl/>
      <w:lvlText w:val="%1.%2."/>
      <w:lvlJc w:val="left"/>
      <w:pPr>
        <w:ind w:left="720" w:hanging="360"/>
      </w:pPr>
      <w:rPr>
        <w:rFonts w:eastAsia="Calibri"/>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7"/>
  </w:num>
  <w:num w:numId="8">
    <w:abstractNumId w:val="22"/>
  </w:num>
  <w:num w:numId="9">
    <w:abstractNumId w:val="10"/>
  </w:num>
  <w:num w:numId="10">
    <w:abstractNumId w:val="21"/>
  </w:num>
  <w:num w:numId="11">
    <w:abstractNumId w:val="11"/>
  </w:num>
  <w:num w:numId="12">
    <w:abstractNumId w:val="1"/>
  </w:num>
  <w:num w:numId="13">
    <w:abstractNumId w:val="3"/>
  </w:num>
  <w:num w:numId="14">
    <w:abstractNumId w:val="24"/>
  </w:num>
  <w:num w:numId="15">
    <w:abstractNumId w:val="19"/>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12"/>
  </w:num>
  <w:num w:numId="24">
    <w:abstractNumId w:val="9"/>
  </w:num>
  <w:num w:numId="25">
    <w:abstractNumId w:val="5"/>
  </w:num>
  <w:num w:numId="26">
    <w:abstractNumId w:val="4"/>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F31"/>
    <w:rsid w:val="00011090"/>
    <w:rsid w:val="000233A3"/>
    <w:rsid w:val="00030701"/>
    <w:rsid w:val="00061B2A"/>
    <w:rsid w:val="00062750"/>
    <w:rsid w:val="000677E4"/>
    <w:rsid w:val="000748A5"/>
    <w:rsid w:val="00082362"/>
    <w:rsid w:val="00087862"/>
    <w:rsid w:val="000A18D7"/>
    <w:rsid w:val="000A683E"/>
    <w:rsid w:val="000B19B9"/>
    <w:rsid w:val="000B345C"/>
    <w:rsid w:val="000D0334"/>
    <w:rsid w:val="000D7F87"/>
    <w:rsid w:val="000F04DF"/>
    <w:rsid w:val="000F6486"/>
    <w:rsid w:val="000F710F"/>
    <w:rsid w:val="0011021C"/>
    <w:rsid w:val="00116ACF"/>
    <w:rsid w:val="00125105"/>
    <w:rsid w:val="00127233"/>
    <w:rsid w:val="00145323"/>
    <w:rsid w:val="00152441"/>
    <w:rsid w:val="0015752C"/>
    <w:rsid w:val="00157A5E"/>
    <w:rsid w:val="00162BBF"/>
    <w:rsid w:val="00170E34"/>
    <w:rsid w:val="00197C57"/>
    <w:rsid w:val="001B6EC4"/>
    <w:rsid w:val="001B6F99"/>
    <w:rsid w:val="001D617B"/>
    <w:rsid w:val="001E4177"/>
    <w:rsid w:val="001E6F52"/>
    <w:rsid w:val="001F7DC6"/>
    <w:rsid w:val="002026F8"/>
    <w:rsid w:val="002220AA"/>
    <w:rsid w:val="00236B8E"/>
    <w:rsid w:val="002421BB"/>
    <w:rsid w:val="0025796E"/>
    <w:rsid w:val="002670BD"/>
    <w:rsid w:val="002707A2"/>
    <w:rsid w:val="002951A0"/>
    <w:rsid w:val="002962BC"/>
    <w:rsid w:val="002A093D"/>
    <w:rsid w:val="002A0DD0"/>
    <w:rsid w:val="002A49AC"/>
    <w:rsid w:val="002A64FD"/>
    <w:rsid w:val="002B5203"/>
    <w:rsid w:val="002C2EB5"/>
    <w:rsid w:val="002C7A84"/>
    <w:rsid w:val="002D46D8"/>
    <w:rsid w:val="002E4FD9"/>
    <w:rsid w:val="002F09C2"/>
    <w:rsid w:val="002F6FAE"/>
    <w:rsid w:val="0030499F"/>
    <w:rsid w:val="00322A85"/>
    <w:rsid w:val="00324168"/>
    <w:rsid w:val="00337649"/>
    <w:rsid w:val="003448F4"/>
    <w:rsid w:val="00344A7E"/>
    <w:rsid w:val="00360B6F"/>
    <w:rsid w:val="00374F5E"/>
    <w:rsid w:val="00377E3E"/>
    <w:rsid w:val="0039363B"/>
    <w:rsid w:val="003A26D1"/>
    <w:rsid w:val="003A452F"/>
    <w:rsid w:val="003A779E"/>
    <w:rsid w:val="003C35E9"/>
    <w:rsid w:val="003D0F4D"/>
    <w:rsid w:val="003D2076"/>
    <w:rsid w:val="003D5B0D"/>
    <w:rsid w:val="003E0499"/>
    <w:rsid w:val="003F3941"/>
    <w:rsid w:val="004031A6"/>
    <w:rsid w:val="00406575"/>
    <w:rsid w:val="00406DE3"/>
    <w:rsid w:val="004117C3"/>
    <w:rsid w:val="00417C89"/>
    <w:rsid w:val="0042722E"/>
    <w:rsid w:val="00433F39"/>
    <w:rsid w:val="004352BC"/>
    <w:rsid w:val="0044528D"/>
    <w:rsid w:val="00452F42"/>
    <w:rsid w:val="004A068F"/>
    <w:rsid w:val="004A1847"/>
    <w:rsid w:val="004A305D"/>
    <w:rsid w:val="004A47B1"/>
    <w:rsid w:val="004D7CBB"/>
    <w:rsid w:val="004E5824"/>
    <w:rsid w:val="004F15F1"/>
    <w:rsid w:val="004F21C4"/>
    <w:rsid w:val="004F685F"/>
    <w:rsid w:val="00522868"/>
    <w:rsid w:val="0052487C"/>
    <w:rsid w:val="00532708"/>
    <w:rsid w:val="005566E8"/>
    <w:rsid w:val="00574867"/>
    <w:rsid w:val="00591460"/>
    <w:rsid w:val="00592628"/>
    <w:rsid w:val="005C3777"/>
    <w:rsid w:val="005C5CDC"/>
    <w:rsid w:val="005D476C"/>
    <w:rsid w:val="00601B07"/>
    <w:rsid w:val="00607542"/>
    <w:rsid w:val="00610812"/>
    <w:rsid w:val="00617E28"/>
    <w:rsid w:val="006219F8"/>
    <w:rsid w:val="00625C6C"/>
    <w:rsid w:val="00630264"/>
    <w:rsid w:val="0063407B"/>
    <w:rsid w:val="00650FF7"/>
    <w:rsid w:val="00654400"/>
    <w:rsid w:val="006605FA"/>
    <w:rsid w:val="00665D70"/>
    <w:rsid w:val="00671DAC"/>
    <w:rsid w:val="006900D9"/>
    <w:rsid w:val="006B12F4"/>
    <w:rsid w:val="006D12F8"/>
    <w:rsid w:val="00706C16"/>
    <w:rsid w:val="007131C9"/>
    <w:rsid w:val="00716EE8"/>
    <w:rsid w:val="00723F4E"/>
    <w:rsid w:val="007316A2"/>
    <w:rsid w:val="0073779C"/>
    <w:rsid w:val="00737CF5"/>
    <w:rsid w:val="00756841"/>
    <w:rsid w:val="00761DCB"/>
    <w:rsid w:val="007649AB"/>
    <w:rsid w:val="00771D0C"/>
    <w:rsid w:val="00776415"/>
    <w:rsid w:val="007833AC"/>
    <w:rsid w:val="00783846"/>
    <w:rsid w:val="007B268C"/>
    <w:rsid w:val="007B69BE"/>
    <w:rsid w:val="007B7171"/>
    <w:rsid w:val="007C0C0F"/>
    <w:rsid w:val="007C3DC2"/>
    <w:rsid w:val="007E0983"/>
    <w:rsid w:val="007E5497"/>
    <w:rsid w:val="007F1B5B"/>
    <w:rsid w:val="0080250D"/>
    <w:rsid w:val="008032DB"/>
    <w:rsid w:val="00806F5F"/>
    <w:rsid w:val="00820278"/>
    <w:rsid w:val="00823764"/>
    <w:rsid w:val="0082691D"/>
    <w:rsid w:val="00831823"/>
    <w:rsid w:val="00834BAD"/>
    <w:rsid w:val="008408E7"/>
    <w:rsid w:val="00843712"/>
    <w:rsid w:val="00857D2B"/>
    <w:rsid w:val="008759C8"/>
    <w:rsid w:val="008843B6"/>
    <w:rsid w:val="00891928"/>
    <w:rsid w:val="008962B5"/>
    <w:rsid w:val="008A37DE"/>
    <w:rsid w:val="008A446D"/>
    <w:rsid w:val="008D042B"/>
    <w:rsid w:val="008D180B"/>
    <w:rsid w:val="008D4A7D"/>
    <w:rsid w:val="008F0EA7"/>
    <w:rsid w:val="008F2CB1"/>
    <w:rsid w:val="008F7E5D"/>
    <w:rsid w:val="00910420"/>
    <w:rsid w:val="00923EEF"/>
    <w:rsid w:val="009272E5"/>
    <w:rsid w:val="00932E75"/>
    <w:rsid w:val="009369FC"/>
    <w:rsid w:val="009419F9"/>
    <w:rsid w:val="0094625B"/>
    <w:rsid w:val="0095685E"/>
    <w:rsid w:val="00957363"/>
    <w:rsid w:val="00957EE0"/>
    <w:rsid w:val="00961B09"/>
    <w:rsid w:val="00965334"/>
    <w:rsid w:val="0097093E"/>
    <w:rsid w:val="009A0DFA"/>
    <w:rsid w:val="009A65E9"/>
    <w:rsid w:val="009B2D26"/>
    <w:rsid w:val="009B345C"/>
    <w:rsid w:val="009C71FA"/>
    <w:rsid w:val="009C72E7"/>
    <w:rsid w:val="009D3058"/>
    <w:rsid w:val="009D706F"/>
    <w:rsid w:val="009E2B38"/>
    <w:rsid w:val="009F3A13"/>
    <w:rsid w:val="009F60D4"/>
    <w:rsid w:val="00A00805"/>
    <w:rsid w:val="00A12116"/>
    <w:rsid w:val="00A122D3"/>
    <w:rsid w:val="00A17F13"/>
    <w:rsid w:val="00A20739"/>
    <w:rsid w:val="00A33C78"/>
    <w:rsid w:val="00A377F3"/>
    <w:rsid w:val="00A40981"/>
    <w:rsid w:val="00A46C41"/>
    <w:rsid w:val="00A70B42"/>
    <w:rsid w:val="00A71C07"/>
    <w:rsid w:val="00A77E0E"/>
    <w:rsid w:val="00A82234"/>
    <w:rsid w:val="00AA14AC"/>
    <w:rsid w:val="00AB0ADB"/>
    <w:rsid w:val="00AD35AB"/>
    <w:rsid w:val="00AE6DBE"/>
    <w:rsid w:val="00B01B1A"/>
    <w:rsid w:val="00B02605"/>
    <w:rsid w:val="00B122B9"/>
    <w:rsid w:val="00B32A95"/>
    <w:rsid w:val="00B36CC0"/>
    <w:rsid w:val="00B41CBA"/>
    <w:rsid w:val="00B42B71"/>
    <w:rsid w:val="00B46B17"/>
    <w:rsid w:val="00B52F7C"/>
    <w:rsid w:val="00B56B4E"/>
    <w:rsid w:val="00B61AD8"/>
    <w:rsid w:val="00B64307"/>
    <w:rsid w:val="00B650B9"/>
    <w:rsid w:val="00B72CD3"/>
    <w:rsid w:val="00B72FFF"/>
    <w:rsid w:val="00B83864"/>
    <w:rsid w:val="00BA6FEB"/>
    <w:rsid w:val="00BA7F1C"/>
    <w:rsid w:val="00BB55F7"/>
    <w:rsid w:val="00BC3D36"/>
    <w:rsid w:val="00BD5A11"/>
    <w:rsid w:val="00BD7F72"/>
    <w:rsid w:val="00BE27AD"/>
    <w:rsid w:val="00BE27BE"/>
    <w:rsid w:val="00C04FB3"/>
    <w:rsid w:val="00C147F2"/>
    <w:rsid w:val="00C330EB"/>
    <w:rsid w:val="00C754BE"/>
    <w:rsid w:val="00C755FD"/>
    <w:rsid w:val="00C76B1C"/>
    <w:rsid w:val="00C81BB7"/>
    <w:rsid w:val="00C84C61"/>
    <w:rsid w:val="00C85EFA"/>
    <w:rsid w:val="00CA06A6"/>
    <w:rsid w:val="00CA1447"/>
    <w:rsid w:val="00CA5AA8"/>
    <w:rsid w:val="00CB5A78"/>
    <w:rsid w:val="00CB6357"/>
    <w:rsid w:val="00CC14C7"/>
    <w:rsid w:val="00CC1B26"/>
    <w:rsid w:val="00CD7CBF"/>
    <w:rsid w:val="00CF09A6"/>
    <w:rsid w:val="00D423A2"/>
    <w:rsid w:val="00D520D8"/>
    <w:rsid w:val="00D63AC2"/>
    <w:rsid w:val="00D7383B"/>
    <w:rsid w:val="00D81E11"/>
    <w:rsid w:val="00D84AD5"/>
    <w:rsid w:val="00D86816"/>
    <w:rsid w:val="00D919B2"/>
    <w:rsid w:val="00DA231B"/>
    <w:rsid w:val="00DA23A0"/>
    <w:rsid w:val="00DC129F"/>
    <w:rsid w:val="00DC39FC"/>
    <w:rsid w:val="00DD0540"/>
    <w:rsid w:val="00DE3293"/>
    <w:rsid w:val="00DF5254"/>
    <w:rsid w:val="00E10A06"/>
    <w:rsid w:val="00E16408"/>
    <w:rsid w:val="00E20894"/>
    <w:rsid w:val="00E245AB"/>
    <w:rsid w:val="00E2764C"/>
    <w:rsid w:val="00E27F2E"/>
    <w:rsid w:val="00E32F47"/>
    <w:rsid w:val="00E3523B"/>
    <w:rsid w:val="00E413EA"/>
    <w:rsid w:val="00E44E28"/>
    <w:rsid w:val="00E50AFE"/>
    <w:rsid w:val="00E577EE"/>
    <w:rsid w:val="00E75C92"/>
    <w:rsid w:val="00E771DC"/>
    <w:rsid w:val="00E8772A"/>
    <w:rsid w:val="00E90F6B"/>
    <w:rsid w:val="00E92C27"/>
    <w:rsid w:val="00E948B8"/>
    <w:rsid w:val="00EA0E3D"/>
    <w:rsid w:val="00EB7EE2"/>
    <w:rsid w:val="00EC38A7"/>
    <w:rsid w:val="00ED55C0"/>
    <w:rsid w:val="00EE1AA8"/>
    <w:rsid w:val="00EF45D5"/>
    <w:rsid w:val="00F0124F"/>
    <w:rsid w:val="00F31EDC"/>
    <w:rsid w:val="00F33BE9"/>
    <w:rsid w:val="00F408C3"/>
    <w:rsid w:val="00F433F8"/>
    <w:rsid w:val="00F462B3"/>
    <w:rsid w:val="00F468C1"/>
    <w:rsid w:val="00F5664F"/>
    <w:rsid w:val="00F65C91"/>
    <w:rsid w:val="00F666C4"/>
    <w:rsid w:val="00F76AFC"/>
    <w:rsid w:val="00F95E4E"/>
    <w:rsid w:val="00FA47C0"/>
    <w:rsid w:val="00FB37E7"/>
    <w:rsid w:val="00FB5DD1"/>
    <w:rsid w:val="00FB6095"/>
    <w:rsid w:val="00FB6A8B"/>
    <w:rsid w:val="00FC16A6"/>
    <w:rsid w:val="00FC2B5D"/>
    <w:rsid w:val="00FE0BC6"/>
    <w:rsid w:val="00FE176A"/>
    <w:rsid w:val="00FE2001"/>
    <w:rsid w:val="00FF1449"/>
    <w:rsid w:val="00FF1C70"/>
    <w:rsid w:val="00FF20ED"/>
    <w:rsid w:val="00FF327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0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uiPriority w:val="1"/>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352BC"/>
    <w:pPr>
      <w:spacing w:after="0" w:line="240" w:lineRule="exact"/>
    </w:pPr>
    <w:rPr>
      <w:vertAlign w:val="superscript"/>
    </w:rPr>
  </w:style>
  <w:style w:type="table" w:customStyle="1" w:styleId="Tablaconcuadrcula1">
    <w:name w:val="Tabla con cuadrícula1"/>
    <w:basedOn w:val="Tablanormal"/>
    <w:uiPriority w:val="39"/>
    <w:qFormat/>
    <w:rsid w:val="004352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0124F"/>
    <w:rPr>
      <w:b/>
      <w:bCs/>
    </w:rPr>
  </w:style>
  <w:style w:type="character" w:styleId="Refdecomentario">
    <w:name w:val="annotation reference"/>
    <w:basedOn w:val="Fuentedeprrafopredeter"/>
    <w:uiPriority w:val="99"/>
    <w:semiHidden/>
    <w:unhideWhenUsed/>
    <w:rsid w:val="00AD35AB"/>
    <w:rPr>
      <w:sz w:val="16"/>
      <w:szCs w:val="16"/>
    </w:rPr>
  </w:style>
  <w:style w:type="paragraph" w:styleId="Textocomentario">
    <w:name w:val="annotation text"/>
    <w:basedOn w:val="Normal"/>
    <w:link w:val="TextocomentarioCar"/>
    <w:uiPriority w:val="99"/>
    <w:semiHidden/>
    <w:unhideWhenUsed/>
    <w:rsid w:val="00AD3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35AB"/>
    <w:rPr>
      <w:sz w:val="20"/>
      <w:szCs w:val="20"/>
    </w:rPr>
  </w:style>
  <w:style w:type="paragraph" w:styleId="Asuntodelcomentario">
    <w:name w:val="annotation subject"/>
    <w:basedOn w:val="Textocomentario"/>
    <w:next w:val="Textocomentario"/>
    <w:link w:val="AsuntodelcomentarioCar"/>
    <w:uiPriority w:val="99"/>
    <w:semiHidden/>
    <w:unhideWhenUsed/>
    <w:rsid w:val="00AD35AB"/>
    <w:rPr>
      <w:b/>
      <w:bCs/>
    </w:rPr>
  </w:style>
  <w:style w:type="character" w:customStyle="1" w:styleId="AsuntodelcomentarioCar">
    <w:name w:val="Asunto del comentario Car"/>
    <w:basedOn w:val="TextocomentarioCar"/>
    <w:link w:val="Asuntodelcomentario"/>
    <w:uiPriority w:val="99"/>
    <w:semiHidden/>
    <w:rsid w:val="00AD35AB"/>
    <w:rPr>
      <w:b/>
      <w:bCs/>
      <w:sz w:val="20"/>
      <w:szCs w:val="20"/>
    </w:rPr>
  </w:style>
  <w:style w:type="paragraph" w:styleId="Textodeglobo">
    <w:name w:val="Balloon Text"/>
    <w:basedOn w:val="Normal"/>
    <w:link w:val="TextodegloboCar"/>
    <w:uiPriority w:val="99"/>
    <w:semiHidden/>
    <w:unhideWhenUsed/>
    <w:rsid w:val="007764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2587301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56556217">
      <w:bodyDiv w:val="1"/>
      <w:marLeft w:val="0"/>
      <w:marRight w:val="0"/>
      <w:marTop w:val="0"/>
      <w:marBottom w:val="0"/>
      <w:divBdr>
        <w:top w:val="none" w:sz="0" w:space="0" w:color="auto"/>
        <w:left w:val="none" w:sz="0" w:space="0" w:color="auto"/>
        <w:bottom w:val="none" w:sz="0" w:space="0" w:color="auto"/>
        <w:right w:val="none" w:sz="0" w:space="0" w:color="auto"/>
      </w:divBdr>
    </w:div>
    <w:div w:id="758984028">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82461714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2342425">
      <w:bodyDiv w:val="1"/>
      <w:marLeft w:val="0"/>
      <w:marRight w:val="0"/>
      <w:marTop w:val="0"/>
      <w:marBottom w:val="0"/>
      <w:divBdr>
        <w:top w:val="none" w:sz="0" w:space="0" w:color="auto"/>
        <w:left w:val="none" w:sz="0" w:space="0" w:color="auto"/>
        <w:bottom w:val="none" w:sz="0" w:space="0" w:color="auto"/>
        <w:right w:val="none" w:sz="0" w:space="0" w:color="auto"/>
      </w:divBdr>
    </w:div>
    <w:div w:id="2052344699">
      <w:bodyDiv w:val="1"/>
      <w:marLeft w:val="0"/>
      <w:marRight w:val="0"/>
      <w:marTop w:val="0"/>
      <w:marBottom w:val="0"/>
      <w:divBdr>
        <w:top w:val="none" w:sz="0" w:space="0" w:color="auto"/>
        <w:left w:val="none" w:sz="0" w:space="0" w:color="auto"/>
        <w:bottom w:val="none" w:sz="0" w:space="0" w:color="auto"/>
        <w:right w:val="none" w:sz="0" w:space="0" w:color="auto"/>
      </w:divBdr>
    </w:div>
    <w:div w:id="211420584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uin-juriscol.gov.co/viewDocument.asp?ruta=Leyes/1675649" TargetMode="External"/><Relationship Id="rId17"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2D17B91-8629-465A-8094-7489BDB64529}"/>
</file>

<file path=customXml/itemProps4.xml><?xml version="1.0" encoding="utf-8"?>
<ds:datastoreItem xmlns:ds="http://schemas.openxmlformats.org/officeDocument/2006/customXml" ds:itemID="{F664FB40-3F72-4D3B-84AE-CF2CD7C6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3936</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25535</CharactersWithSpaces>
  <SharedDoc>false</SharedDoc>
  <HLinks>
    <vt:vector size="48" baseType="variant">
      <vt:variant>
        <vt:i4>7602273</vt:i4>
      </vt:variant>
      <vt:variant>
        <vt:i4>21</vt:i4>
      </vt:variant>
      <vt:variant>
        <vt:i4>0</vt:i4>
      </vt:variant>
      <vt:variant>
        <vt:i4>5</vt:i4>
      </vt:variant>
      <vt:variant>
        <vt:lpwstr>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vt:lpwstr>
      </vt:variant>
      <vt:variant>
        <vt:lpwstr/>
      </vt:variant>
      <vt:variant>
        <vt:i4>7471218</vt:i4>
      </vt:variant>
      <vt:variant>
        <vt:i4>18</vt:i4>
      </vt:variant>
      <vt:variant>
        <vt:i4>0</vt:i4>
      </vt:variant>
      <vt:variant>
        <vt:i4>5</vt:i4>
      </vt:variant>
      <vt:variant>
        <vt:lpwstr>https://relatoria.colombiacompra.gov.co/busqueda/conceptos</vt:lpwstr>
      </vt:variant>
      <vt:variant>
        <vt:lpwstr/>
      </vt:variant>
      <vt:variant>
        <vt:i4>131160</vt:i4>
      </vt:variant>
      <vt:variant>
        <vt:i4>15</vt:i4>
      </vt:variant>
      <vt:variant>
        <vt:i4>0</vt:i4>
      </vt:variant>
      <vt:variant>
        <vt:i4>5</vt:i4>
      </vt:variant>
      <vt:variant>
        <vt:lpwstr>https://www.colombiacompra.gov.co/content/07-documento-tipo-de-concurso-de-meritos-para-contratar-la-interventoria-de-obras-publicas</vt:lpwstr>
      </vt:variant>
      <vt:variant>
        <vt:lpwstr/>
      </vt:variant>
      <vt:variant>
        <vt:i4>3276916</vt:i4>
      </vt:variant>
      <vt:variant>
        <vt:i4>12</vt:i4>
      </vt:variant>
      <vt:variant>
        <vt:i4>0</vt:i4>
      </vt:variant>
      <vt:variant>
        <vt:i4>5</vt:i4>
      </vt:variant>
      <vt:variant>
        <vt:lpwstr>https://relatoria.colombiacompra.gov.co/normativa/decreto-1082-de-2015/</vt:lpwstr>
      </vt:variant>
      <vt:variant>
        <vt:lpwstr/>
      </vt:variant>
      <vt:variant>
        <vt:i4>3473504</vt:i4>
      </vt:variant>
      <vt:variant>
        <vt:i4>9</vt:i4>
      </vt:variant>
      <vt:variant>
        <vt:i4>0</vt:i4>
      </vt:variant>
      <vt:variant>
        <vt:i4>5</vt:i4>
      </vt:variant>
      <vt:variant>
        <vt:lpwstr>https://relatoria.colombiacompra.gov.co/normativa/ley-1150-de-2007/</vt:lpwstr>
      </vt:variant>
      <vt:variant>
        <vt:lpwstr/>
      </vt:variant>
      <vt:variant>
        <vt:i4>589910</vt:i4>
      </vt:variant>
      <vt:variant>
        <vt:i4>6</vt:i4>
      </vt:variant>
      <vt:variant>
        <vt:i4>0</vt:i4>
      </vt:variant>
      <vt:variant>
        <vt:i4>5</vt:i4>
      </vt:variant>
      <vt:variant>
        <vt:lpwstr>https://relatoria.colombiacompra.gov.co/normativa/ley-80-de-1993/</vt:lpwstr>
      </vt:variant>
      <vt:variant>
        <vt:lpwstr/>
      </vt:variant>
      <vt:variant>
        <vt:i4>983131</vt:i4>
      </vt:variant>
      <vt:variant>
        <vt:i4>3</vt:i4>
      </vt:variant>
      <vt:variant>
        <vt:i4>0</vt:i4>
      </vt:variant>
      <vt:variant>
        <vt:i4>5</vt:i4>
      </vt:variant>
      <vt:variant>
        <vt:lpwstr>https://www.superfinanciera.gov.co/publicacion/60819</vt:lpwstr>
      </vt:variant>
      <vt:variant>
        <vt:lpwstr/>
      </vt:variant>
      <vt:variant>
        <vt:i4>6946858</vt:i4>
      </vt:variant>
      <vt:variant>
        <vt:i4>0</vt:i4>
      </vt:variant>
      <vt:variant>
        <vt:i4>0</vt:i4>
      </vt:variant>
      <vt:variant>
        <vt:i4>5</vt:i4>
      </vt:variant>
      <vt:variant>
        <vt:lpwstr>https://www.corteconstitucional.gov.co/relatoria/2019/C-602-19.htm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6</cp:revision>
  <cp:lastPrinted>2023-01-10T21:18:00Z</cp:lastPrinted>
  <dcterms:created xsi:type="dcterms:W3CDTF">2024-11-28T15:21:00Z</dcterms:created>
  <dcterms:modified xsi:type="dcterms:W3CDTF">2024-11-28T17:07:00Z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