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3C63A" w14:textId="77777777" w:rsidR="00B67B2D" w:rsidRDefault="008C0246" w:rsidP="00B67B2D">
      <w:pPr>
        <w:spacing w:after="0" w:line="240" w:lineRule="auto"/>
        <w:jc w:val="both"/>
        <w:rPr>
          <w:rFonts w:ascii="Century Gothic" w:eastAsia="Calibri" w:hAnsi="Century Gothic" w:cs="Arial"/>
          <w:b/>
          <w:sz w:val="20"/>
          <w:szCs w:val="20"/>
          <w:lang w:val="es-ES_tradnl"/>
        </w:rPr>
      </w:pPr>
      <w:commentRangeStart w:id="0"/>
      <w:commentRangeEnd w:id="0"/>
      <w:r>
        <w:rPr>
          <w:rStyle w:val="Refdecomentario"/>
        </w:rPr>
        <w:commentReference w:id="0"/>
      </w:r>
      <w:r w:rsidR="00B67B2D" w:rsidRPr="00B67B2D">
        <w:rPr>
          <w:rFonts w:ascii="Century Gothic" w:eastAsia="Calibri" w:hAnsi="Century Gothic" w:cs="Arial"/>
          <w:b/>
          <w:sz w:val="20"/>
          <w:szCs w:val="20"/>
          <w:lang w:val="es-ES_tradnl"/>
        </w:rPr>
        <w:t xml:space="preserve"> </w:t>
      </w:r>
    </w:p>
    <w:p w14:paraId="13CA2EF3" w14:textId="3DEF7838" w:rsidR="00B67B2D" w:rsidRPr="00075DF9" w:rsidRDefault="00B67B2D" w:rsidP="00B67B2D">
      <w:pPr>
        <w:spacing w:after="0" w:line="240" w:lineRule="auto"/>
        <w:jc w:val="both"/>
        <w:rPr>
          <w:rFonts w:ascii="Verdana" w:eastAsia="Calibri" w:hAnsi="Verdana" w:cs="Arial"/>
          <w:b/>
          <w:lang w:val="es-ES_tradnl"/>
        </w:rPr>
      </w:pPr>
      <w:r w:rsidRPr="00075DF9">
        <w:rPr>
          <w:rFonts w:ascii="Verdana" w:eastAsia="Calibri" w:hAnsi="Verdana" w:cs="Arial"/>
          <w:b/>
          <w:lang w:val="es-ES_tradnl"/>
        </w:rPr>
        <w:t>SOCIEDADES NUEVAS ‒ Experiencia ‒ Inferior a tres a</w:t>
      </w:r>
      <w:r w:rsidRPr="00075DF9">
        <w:rPr>
          <w:rFonts w:ascii="Verdana" w:eastAsia="Calibri" w:hAnsi="Verdana" w:cs="Century Gothic"/>
          <w:b/>
          <w:lang w:val="es-ES_tradnl"/>
        </w:rPr>
        <w:t>ñ</w:t>
      </w:r>
      <w:r w:rsidRPr="00075DF9">
        <w:rPr>
          <w:rFonts w:ascii="Verdana" w:eastAsia="Calibri" w:hAnsi="Verdana" w:cs="Arial"/>
          <w:b/>
          <w:lang w:val="es-ES_tradnl"/>
        </w:rPr>
        <w:t>os ‒ Requisitos habilitantes ‒Desarrollo de la empresa</w:t>
      </w:r>
    </w:p>
    <w:p w14:paraId="4E77E391" w14:textId="77777777" w:rsidR="00B67B2D" w:rsidRPr="00075DF9" w:rsidRDefault="00B67B2D" w:rsidP="00B67B2D">
      <w:pPr>
        <w:spacing w:after="0" w:line="240" w:lineRule="auto"/>
        <w:jc w:val="both"/>
        <w:rPr>
          <w:rFonts w:ascii="Verdana" w:eastAsia="Calibri" w:hAnsi="Verdana" w:cs="Arial"/>
          <w:bCs/>
          <w:lang w:val="es-ES_tradnl"/>
        </w:rPr>
      </w:pPr>
    </w:p>
    <w:p w14:paraId="68620080" w14:textId="77777777" w:rsidR="00B67B2D" w:rsidRPr="00075DF9" w:rsidRDefault="00B67B2D" w:rsidP="00B67B2D">
      <w:pPr>
        <w:spacing w:after="0" w:line="240" w:lineRule="auto"/>
        <w:jc w:val="both"/>
        <w:rPr>
          <w:rFonts w:ascii="Verdana" w:eastAsia="Calibri" w:hAnsi="Verdana" w:cs="Arial"/>
          <w:bCs/>
          <w:sz w:val="20"/>
          <w:szCs w:val="20"/>
          <w:lang w:val="es-ES_tradnl"/>
        </w:rPr>
      </w:pPr>
      <w:r w:rsidRPr="00075DF9">
        <w:rPr>
          <w:rFonts w:ascii="Verdana" w:eastAsia="Calibri" w:hAnsi="Verdana" w:cs="Arial"/>
          <w:bCs/>
          <w:sz w:val="20"/>
          <w:szCs w:val="20"/>
          <w:lang w:val="es-ES_tradnl"/>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 </w:t>
      </w:r>
    </w:p>
    <w:p w14:paraId="12BA0BA4" w14:textId="77777777" w:rsidR="00B67B2D" w:rsidRPr="00075DF9" w:rsidRDefault="00B67B2D" w:rsidP="00B67B2D">
      <w:pPr>
        <w:spacing w:after="0" w:line="240" w:lineRule="auto"/>
        <w:jc w:val="both"/>
        <w:rPr>
          <w:rFonts w:ascii="Verdana" w:eastAsia="Calibri" w:hAnsi="Verdana" w:cs="Arial"/>
          <w:bCs/>
          <w:sz w:val="20"/>
          <w:szCs w:val="20"/>
          <w:lang w:val="es-ES_tradnl"/>
        </w:rPr>
      </w:pPr>
      <w:r w:rsidRPr="00075DF9">
        <w:rPr>
          <w:rFonts w:ascii="Verdana" w:eastAsia="Calibri" w:hAnsi="Verdana" w:cs="Arial"/>
          <w:bCs/>
          <w:sz w:val="20"/>
          <w:szCs w:val="20"/>
          <w:lang w:val="es-ES_tradnl"/>
        </w:rPr>
        <w:t xml:space="preserve">[…] </w:t>
      </w:r>
    </w:p>
    <w:p w14:paraId="74E49A10" w14:textId="1A778F74" w:rsidR="00EB6735" w:rsidRPr="00075DF9" w:rsidRDefault="00B67B2D" w:rsidP="00B67B2D">
      <w:pPr>
        <w:spacing w:after="0" w:line="240" w:lineRule="auto"/>
        <w:jc w:val="both"/>
        <w:rPr>
          <w:rFonts w:ascii="Verdana" w:eastAsia="Calibri" w:hAnsi="Verdana" w:cs="Arial"/>
          <w:bCs/>
          <w:sz w:val="20"/>
          <w:szCs w:val="20"/>
          <w:lang w:val="es-ES_tradnl"/>
        </w:rPr>
      </w:pPr>
      <w:r w:rsidRPr="00075DF9">
        <w:rPr>
          <w:rFonts w:ascii="Verdana" w:eastAsia="Calibri" w:hAnsi="Verdana" w:cs="Arial"/>
          <w:bCs/>
          <w:sz w:val="20"/>
          <w:szCs w:val="20"/>
          <w:lang w:val="es-ES_tradn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77C70B89" w14:textId="2A128207" w:rsidR="00B67B2D" w:rsidRPr="00075DF9" w:rsidRDefault="00B67B2D" w:rsidP="00B67B2D">
      <w:pPr>
        <w:spacing w:after="0" w:line="240" w:lineRule="auto"/>
        <w:jc w:val="both"/>
        <w:rPr>
          <w:rFonts w:ascii="Verdana" w:eastAsia="Calibri" w:hAnsi="Verdana" w:cs="Arial"/>
          <w:bCs/>
          <w:lang w:val="es-ES_tradnl"/>
        </w:rPr>
      </w:pPr>
    </w:p>
    <w:p w14:paraId="231318BE" w14:textId="75E4D117" w:rsidR="00B67B2D" w:rsidRPr="00075DF9" w:rsidRDefault="00B67B2D" w:rsidP="00B67B2D">
      <w:pPr>
        <w:spacing w:after="0" w:line="240" w:lineRule="auto"/>
        <w:jc w:val="both"/>
        <w:rPr>
          <w:rFonts w:ascii="Verdana" w:eastAsia="Calibri" w:hAnsi="Verdana" w:cs="Arial"/>
          <w:b/>
          <w:lang w:val="es-ES_tradnl" w:eastAsia="es-ES_tradnl"/>
        </w:rPr>
      </w:pPr>
      <w:r w:rsidRPr="00075DF9">
        <w:rPr>
          <w:rFonts w:ascii="Verdana" w:eastAsia="Calibri" w:hAnsi="Verdana" w:cs="Arial"/>
          <w:b/>
          <w:lang w:val="es-ES_tradnl" w:eastAsia="es-ES_tradnl"/>
        </w:rPr>
        <w:t>EXPERIENCIA ‒ Conservaci</w:t>
      </w:r>
      <w:r w:rsidRPr="00075DF9">
        <w:rPr>
          <w:rFonts w:ascii="Verdana" w:eastAsia="Calibri" w:hAnsi="Verdana" w:cs="Century Gothic"/>
          <w:b/>
          <w:lang w:val="es-ES_tradnl" w:eastAsia="es-ES_tradnl"/>
        </w:rPr>
        <w:t>ó</w:t>
      </w:r>
      <w:r w:rsidRPr="00075DF9">
        <w:rPr>
          <w:rFonts w:ascii="Verdana" w:eastAsia="Calibri" w:hAnsi="Verdana" w:cs="Arial"/>
          <w:b/>
          <w:lang w:val="es-ES_tradnl" w:eastAsia="es-ES_tradnl"/>
        </w:rPr>
        <w:t>n ‒ Renovación RUP</w:t>
      </w:r>
    </w:p>
    <w:p w14:paraId="09DAEAD6" w14:textId="2E6FC8F1" w:rsidR="00B67B2D" w:rsidRPr="00075DF9" w:rsidRDefault="00B67B2D" w:rsidP="00B67B2D">
      <w:pPr>
        <w:spacing w:after="0" w:line="240" w:lineRule="auto"/>
        <w:jc w:val="both"/>
        <w:rPr>
          <w:rFonts w:ascii="Verdana" w:eastAsia="Calibri" w:hAnsi="Verdana" w:cs="Arial"/>
          <w:bCs/>
          <w:lang w:val="es-ES_tradnl" w:eastAsia="es-ES_tradnl"/>
        </w:rPr>
      </w:pPr>
    </w:p>
    <w:p w14:paraId="117C9E0B" w14:textId="76477C52" w:rsidR="00B67B2D" w:rsidRPr="00075DF9" w:rsidRDefault="00B67B2D" w:rsidP="00B67B2D">
      <w:pPr>
        <w:spacing w:after="0" w:line="240" w:lineRule="auto"/>
        <w:jc w:val="both"/>
        <w:rPr>
          <w:rFonts w:ascii="Verdana" w:eastAsia="Calibri" w:hAnsi="Verdana" w:cs="Arial"/>
          <w:bCs/>
          <w:sz w:val="20"/>
          <w:szCs w:val="20"/>
          <w:lang w:val="es-ES_tradnl"/>
        </w:rPr>
      </w:pPr>
      <w:r w:rsidRPr="00075DF9">
        <w:rPr>
          <w:rFonts w:ascii="Verdana" w:eastAsia="Calibri" w:hAnsi="Verdana" w:cs="Arial"/>
          <w:bCs/>
          <w:sz w:val="20"/>
          <w:szCs w:val="20"/>
          <w:lang w:val="es-ES_tradnl"/>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2F794309" w14:textId="5A0D83D0" w:rsidR="00B67B2D" w:rsidRPr="00075DF9" w:rsidRDefault="00B67B2D" w:rsidP="00B67B2D">
      <w:pPr>
        <w:spacing w:after="0" w:line="240" w:lineRule="auto"/>
        <w:jc w:val="both"/>
        <w:rPr>
          <w:rFonts w:ascii="Verdana" w:eastAsia="Calibri" w:hAnsi="Verdana" w:cs="Arial"/>
          <w:bCs/>
          <w:lang w:val="es-ES_tradnl"/>
        </w:rPr>
      </w:pPr>
    </w:p>
    <w:p w14:paraId="7135EA0A" w14:textId="77777777" w:rsidR="00B67B2D" w:rsidRPr="00075DF9" w:rsidRDefault="00B67B2D" w:rsidP="00B67B2D">
      <w:pPr>
        <w:spacing w:after="0" w:line="240" w:lineRule="auto"/>
        <w:jc w:val="both"/>
        <w:rPr>
          <w:rFonts w:ascii="Verdana" w:eastAsia="Calibri" w:hAnsi="Verdana" w:cs="Arial"/>
          <w:b/>
          <w:lang w:val="es-ES_tradnl"/>
        </w:rPr>
      </w:pPr>
      <w:r w:rsidRPr="00075DF9">
        <w:rPr>
          <w:rFonts w:ascii="Verdana" w:eastAsia="Calibri" w:hAnsi="Verdana" w:cs="Arial"/>
          <w:b/>
          <w:lang w:val="es-ES_tradnl"/>
        </w:rPr>
        <w:t>EXPERIENCIA – Retiro del socio − Sociedades – Menor a 3 años de constitución</w:t>
      </w:r>
    </w:p>
    <w:p w14:paraId="3C607D1D" w14:textId="77777777" w:rsidR="00B67B2D" w:rsidRPr="00075DF9" w:rsidRDefault="00B67B2D" w:rsidP="00B67B2D">
      <w:pPr>
        <w:spacing w:after="0" w:line="240" w:lineRule="auto"/>
        <w:jc w:val="both"/>
        <w:rPr>
          <w:rFonts w:ascii="Verdana" w:eastAsia="Calibri" w:hAnsi="Verdana" w:cs="Arial"/>
          <w:bCs/>
          <w:lang w:val="es-ES_tradnl"/>
        </w:rPr>
      </w:pPr>
    </w:p>
    <w:p w14:paraId="5386B0B5" w14:textId="5CACA88F" w:rsidR="00B67B2D" w:rsidRPr="00075DF9" w:rsidRDefault="00B67B2D" w:rsidP="00B67B2D">
      <w:pPr>
        <w:spacing w:after="0" w:line="240" w:lineRule="auto"/>
        <w:jc w:val="both"/>
        <w:rPr>
          <w:rFonts w:ascii="Verdana" w:eastAsia="Geomanist Light" w:hAnsi="Verdana" w:cs="Arial"/>
          <w:color w:val="000000" w:themeColor="text1"/>
          <w:sz w:val="20"/>
          <w:szCs w:val="20"/>
          <w:lang w:val="es-MX"/>
        </w:rPr>
      </w:pPr>
      <w:r w:rsidRPr="00075DF9">
        <w:rPr>
          <w:rFonts w:ascii="Verdana" w:eastAsia="Calibri" w:hAnsi="Verdana" w:cs="Arial"/>
          <w:bCs/>
          <w:sz w:val="20"/>
          <w:szCs w:val="20"/>
          <w:lang w:val="es-ES_tradnl"/>
        </w:rPr>
        <w:t>El Decreto 1082 de 2015 es claro en indicar que una sociedad con menos de tres años de constituida puede aportar la experiencia de sus accionistas, socios o constituyentes, de modo que si se pierde esta calidad, como sucedería cuando un socio se retira por venta o cesión de su participación y pierde su calidad de socio, con el fin de evitar prácticas corruptivas o que atenten contra la transparencia en la contratación estatal,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38CC0A16" w14:textId="04BF8358" w:rsidR="00B67B2D" w:rsidRDefault="00B67B2D" w:rsidP="00EB6735">
      <w:pPr>
        <w:spacing w:after="0" w:line="240" w:lineRule="auto"/>
        <w:jc w:val="both"/>
        <w:rPr>
          <w:rFonts w:ascii="Verdana" w:eastAsia="Geomanist Light" w:hAnsi="Verdana" w:cs="Arial"/>
          <w:color w:val="000000" w:themeColor="text1"/>
          <w:lang w:val="es-MX"/>
        </w:rPr>
      </w:pPr>
    </w:p>
    <w:p w14:paraId="421E6D2F" w14:textId="244F6FFB" w:rsidR="00B67B2D" w:rsidRDefault="00B67B2D" w:rsidP="00EB6735">
      <w:pPr>
        <w:spacing w:after="0" w:line="240" w:lineRule="auto"/>
        <w:jc w:val="both"/>
        <w:rPr>
          <w:rFonts w:ascii="Verdana" w:eastAsia="Geomanist Light" w:hAnsi="Verdana" w:cs="Arial"/>
          <w:color w:val="000000" w:themeColor="text1"/>
          <w:lang w:val="es-MX"/>
        </w:rPr>
      </w:pPr>
    </w:p>
    <w:p w14:paraId="1687A3BD" w14:textId="6CA13BEF" w:rsidR="00B67B2D" w:rsidRDefault="00B67B2D" w:rsidP="00EB6735">
      <w:pPr>
        <w:spacing w:after="0" w:line="240" w:lineRule="auto"/>
        <w:jc w:val="both"/>
        <w:rPr>
          <w:rFonts w:ascii="Verdana" w:eastAsia="Geomanist Light" w:hAnsi="Verdana" w:cs="Arial"/>
          <w:color w:val="000000" w:themeColor="text1"/>
          <w:lang w:val="es-MX"/>
        </w:rPr>
      </w:pPr>
    </w:p>
    <w:p w14:paraId="00853B76" w14:textId="1246C642" w:rsidR="00B67B2D" w:rsidRDefault="00B67B2D" w:rsidP="00EB6735">
      <w:pPr>
        <w:spacing w:after="0" w:line="240" w:lineRule="auto"/>
        <w:jc w:val="both"/>
        <w:rPr>
          <w:rFonts w:ascii="Verdana" w:eastAsia="Geomanist Light" w:hAnsi="Verdana" w:cs="Arial"/>
          <w:color w:val="000000" w:themeColor="text1"/>
          <w:lang w:val="es-MX"/>
        </w:rPr>
      </w:pPr>
    </w:p>
    <w:p w14:paraId="57305699" w14:textId="77777777" w:rsidR="00B67B2D" w:rsidRDefault="00B67B2D" w:rsidP="00EB6735">
      <w:pPr>
        <w:spacing w:after="0" w:line="240" w:lineRule="auto"/>
        <w:jc w:val="both"/>
        <w:rPr>
          <w:rFonts w:ascii="Verdana" w:eastAsia="Geomanist Light" w:hAnsi="Verdana" w:cs="Arial"/>
          <w:color w:val="000000" w:themeColor="text1"/>
          <w:lang w:val="es-MX"/>
        </w:rPr>
      </w:pPr>
    </w:p>
    <w:p w14:paraId="611514FA" w14:textId="62D3DD7B" w:rsidR="00EB6735" w:rsidRPr="00DB30F3" w:rsidRDefault="00EB6735" w:rsidP="00EB6735">
      <w:pPr>
        <w:spacing w:after="0" w:line="240" w:lineRule="auto"/>
        <w:jc w:val="both"/>
        <w:rPr>
          <w:rFonts w:ascii="Verdana" w:eastAsia="Geomanist Light" w:hAnsi="Verdana" w:cs="Arial"/>
          <w:color w:val="000000" w:themeColor="text1"/>
          <w:lang w:val="es-MX"/>
        </w:rPr>
      </w:pPr>
      <w:r w:rsidRPr="00593A5F">
        <w:rPr>
          <w:rFonts w:ascii="Verdana" w:eastAsia="Geomanist Light" w:hAnsi="Verdana" w:cs="Arial"/>
          <w:color w:val="000000" w:themeColor="text1"/>
          <w:lang w:val="es-MX"/>
        </w:rPr>
        <w:t>Bogotá D.C., </w:t>
      </w:r>
      <w:r w:rsidRPr="00593A5F">
        <w:rPr>
          <w:rFonts w:ascii="Verdana" w:eastAsia="Geomanist Light" w:hAnsi="Verdana" w:cs="Arial"/>
          <w:color w:val="201F1E"/>
          <w:lang w:val="es-MX"/>
        </w:rPr>
        <w:t>[Día] de [</w:t>
      </w:r>
      <w:proofErr w:type="spellStart"/>
      <w:r w:rsidRPr="00593A5F">
        <w:rPr>
          <w:rFonts w:ascii="Verdana" w:eastAsia="Geomanist Light" w:hAnsi="Verdana" w:cs="Arial"/>
          <w:color w:val="201F1E"/>
          <w:lang w:val="es-MX"/>
        </w:rPr>
        <w:t>Mes.NombreCapitalizado</w:t>
      </w:r>
      <w:proofErr w:type="spellEnd"/>
      <w:r w:rsidRPr="00593A5F">
        <w:rPr>
          <w:rFonts w:ascii="Verdana" w:eastAsia="Geomanist Light" w:hAnsi="Verdana" w:cs="Arial"/>
          <w:color w:val="201F1E"/>
          <w:lang w:val="es-MX"/>
        </w:rPr>
        <w:t>] de [Año]</w:t>
      </w:r>
    </w:p>
    <w:p w14:paraId="00D298B6" w14:textId="6C24E135" w:rsidR="00EB6735" w:rsidRPr="00593A5F" w:rsidRDefault="00EB6735" w:rsidP="00EB6735">
      <w:pPr>
        <w:spacing w:after="0" w:line="240" w:lineRule="auto"/>
        <w:jc w:val="both"/>
        <w:rPr>
          <w:rFonts w:ascii="Verdana" w:eastAsia="Calibri" w:hAnsi="Verdana" w:cs="Arial"/>
          <w:color w:val="000000"/>
          <w:lang w:val="es-ES"/>
        </w:rPr>
      </w:pPr>
    </w:p>
    <w:p w14:paraId="2A392216" w14:textId="609A3567" w:rsidR="00EB6735" w:rsidRDefault="00403CDF" w:rsidP="00EB6735">
      <w:pPr>
        <w:spacing w:after="0" w:line="240" w:lineRule="auto"/>
        <w:jc w:val="both"/>
        <w:rPr>
          <w:rFonts w:ascii="Verdana" w:eastAsia="Calibri" w:hAnsi="Verdana" w:cs="Arial"/>
          <w:lang w:val="es-ES" w:eastAsia="es-ES"/>
        </w:rPr>
      </w:pPr>
      <w:r w:rsidRPr="00403CDF">
        <w:rPr>
          <w:rFonts w:ascii="Verdana" w:hAnsi="Verdana"/>
          <w:b/>
          <w:bCs/>
        </w:rPr>
        <w:drawing>
          <wp:anchor distT="0" distB="0" distL="114300" distR="114300" simplePos="0" relativeHeight="251660288" behindDoc="1" locked="0" layoutInCell="1" allowOverlap="1" wp14:anchorId="1E64BE1A" wp14:editId="493E1B3F">
            <wp:simplePos x="0" y="0"/>
            <wp:positionH relativeFrom="margin">
              <wp:align>right</wp:align>
            </wp:positionH>
            <wp:positionV relativeFrom="paragraph">
              <wp:posOffset>6267</wp:posOffset>
            </wp:positionV>
            <wp:extent cx="2814320" cy="723569"/>
            <wp:effectExtent l="0" t="0" r="508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23717" cy="725985"/>
                    </a:xfrm>
                    <a:prstGeom prst="rect">
                      <a:avLst/>
                    </a:prstGeom>
                  </pic:spPr>
                </pic:pic>
              </a:graphicData>
            </a:graphic>
            <wp14:sizeRelH relativeFrom="margin">
              <wp14:pctWidth>0</wp14:pctWidth>
            </wp14:sizeRelH>
            <wp14:sizeRelV relativeFrom="margin">
              <wp14:pctHeight>0</wp14:pctHeight>
            </wp14:sizeRelV>
          </wp:anchor>
        </w:drawing>
      </w:r>
    </w:p>
    <w:p w14:paraId="6CDD60A9" w14:textId="4CB70BE5" w:rsidR="00EB6735" w:rsidRPr="003879AC" w:rsidRDefault="00EB6735" w:rsidP="00EB6735">
      <w:pPr>
        <w:spacing w:after="0" w:line="240" w:lineRule="auto"/>
        <w:jc w:val="both"/>
        <w:rPr>
          <w:rFonts w:ascii="Verdana" w:eastAsia="Calibri" w:hAnsi="Verdana" w:cs="Arial"/>
          <w:lang w:val="es-ES" w:eastAsia="es-ES"/>
        </w:rPr>
      </w:pPr>
      <w:r w:rsidRPr="003879AC">
        <w:rPr>
          <w:rFonts w:ascii="Verdana" w:eastAsia="Calibri" w:hAnsi="Verdana" w:cs="Arial"/>
          <w:lang w:val="es-ES" w:eastAsia="es-ES"/>
        </w:rPr>
        <w:t>Señor</w:t>
      </w:r>
    </w:p>
    <w:p w14:paraId="03D2215B" w14:textId="58954BE6" w:rsidR="00EB6735" w:rsidRPr="00CA0F62" w:rsidRDefault="00EB6735" w:rsidP="00EB6735">
      <w:pPr>
        <w:spacing w:after="0" w:line="240" w:lineRule="auto"/>
        <w:rPr>
          <w:rFonts w:ascii="Verdana" w:hAnsi="Verdana"/>
          <w:b/>
          <w:bCs/>
        </w:rPr>
      </w:pPr>
      <w:r w:rsidRPr="00CA0F62">
        <w:rPr>
          <w:rFonts w:ascii="Verdana" w:hAnsi="Verdana"/>
          <w:b/>
          <w:bCs/>
        </w:rPr>
        <w:t>G</w:t>
      </w:r>
      <w:r>
        <w:rPr>
          <w:rFonts w:ascii="Verdana" w:hAnsi="Verdana"/>
          <w:b/>
          <w:bCs/>
        </w:rPr>
        <w:t>ustavo</w:t>
      </w:r>
      <w:r w:rsidRPr="00CA0F62">
        <w:rPr>
          <w:rFonts w:ascii="Verdana" w:hAnsi="Verdana"/>
          <w:b/>
          <w:bCs/>
        </w:rPr>
        <w:t xml:space="preserve"> A</w:t>
      </w:r>
      <w:r>
        <w:rPr>
          <w:rFonts w:ascii="Verdana" w:hAnsi="Verdana"/>
          <w:b/>
          <w:bCs/>
        </w:rPr>
        <w:t>dolfo</w:t>
      </w:r>
      <w:r w:rsidRPr="00CA0F62">
        <w:rPr>
          <w:rFonts w:ascii="Verdana" w:hAnsi="Verdana"/>
          <w:b/>
          <w:bCs/>
        </w:rPr>
        <w:t xml:space="preserve"> P</w:t>
      </w:r>
      <w:r>
        <w:rPr>
          <w:rFonts w:ascii="Verdana" w:hAnsi="Verdana"/>
          <w:b/>
          <w:bCs/>
        </w:rPr>
        <w:t>atarroyo</w:t>
      </w:r>
      <w:r w:rsidRPr="00CA0F62">
        <w:rPr>
          <w:rFonts w:ascii="Verdana" w:hAnsi="Verdana"/>
          <w:b/>
          <w:bCs/>
        </w:rPr>
        <w:t xml:space="preserve"> C</w:t>
      </w:r>
      <w:r>
        <w:rPr>
          <w:rFonts w:ascii="Verdana" w:hAnsi="Verdana"/>
          <w:b/>
          <w:bCs/>
        </w:rPr>
        <w:t>ubides</w:t>
      </w:r>
      <w:r w:rsidRPr="00CA0F62">
        <w:rPr>
          <w:rFonts w:ascii="Verdana" w:hAnsi="Verdana"/>
          <w:b/>
          <w:bCs/>
        </w:rPr>
        <w:t xml:space="preserve"> </w:t>
      </w:r>
    </w:p>
    <w:p w14:paraId="2F5655C9" w14:textId="3D46CFAF" w:rsidR="00EB6735" w:rsidRPr="003879AC" w:rsidRDefault="00CF6189" w:rsidP="00EB6735">
      <w:pPr>
        <w:spacing w:after="0" w:line="240" w:lineRule="auto"/>
        <w:rPr>
          <w:rFonts w:ascii="Verdana" w:hAnsi="Verdana"/>
        </w:rPr>
      </w:pPr>
      <w:hyperlink r:id="rId15" w:history="1">
        <w:r w:rsidR="00EB6735" w:rsidRPr="003879AC">
          <w:rPr>
            <w:rStyle w:val="Hipervnculo"/>
            <w:rFonts w:ascii="Verdana" w:hAnsi="Verdana"/>
            <w:color w:val="auto"/>
            <w:u w:val="none"/>
          </w:rPr>
          <w:t>gustavopatarroyo@hotmail.com</w:t>
        </w:r>
      </w:hyperlink>
    </w:p>
    <w:p w14:paraId="1E25BC90" w14:textId="77777777" w:rsidR="00EB6735" w:rsidRPr="003879AC" w:rsidRDefault="00EB6735" w:rsidP="00EB6735">
      <w:pPr>
        <w:spacing w:after="0" w:line="240" w:lineRule="auto"/>
        <w:rPr>
          <w:rFonts w:ascii="Verdana" w:eastAsia="Calibri" w:hAnsi="Verdana" w:cs="Arial"/>
          <w:bCs/>
          <w:lang w:val="es-ES_tradnl" w:eastAsia="es-ES_tradnl"/>
        </w:rPr>
      </w:pPr>
      <w:r w:rsidRPr="003879AC">
        <w:rPr>
          <w:rFonts w:ascii="Verdana" w:eastAsia="Calibri" w:hAnsi="Verdana" w:cs="Arial"/>
          <w:bCs/>
          <w:lang w:val="es-ES_tradnl" w:eastAsia="es-ES_tradnl"/>
        </w:rPr>
        <w:t>Ibagué, Tolima</w:t>
      </w:r>
    </w:p>
    <w:p w14:paraId="28BFB129" w14:textId="77777777" w:rsidR="00EB6735" w:rsidRDefault="00EB6735" w:rsidP="00EB6735">
      <w:pPr>
        <w:spacing w:after="0" w:line="240" w:lineRule="auto"/>
        <w:rPr>
          <w:rFonts w:ascii="Verdana" w:eastAsia="Calibri" w:hAnsi="Verdana" w:cs="Arial"/>
          <w:bCs/>
          <w:lang w:val="es-ES_tradnl" w:eastAsia="es-ES_tradnl"/>
        </w:rPr>
      </w:pPr>
    </w:p>
    <w:p w14:paraId="5CFC4B5C" w14:textId="77777777" w:rsidR="00EB6735" w:rsidRDefault="00EB6735" w:rsidP="00EB6735">
      <w:pPr>
        <w:spacing w:after="0" w:line="240" w:lineRule="auto"/>
        <w:rPr>
          <w:rFonts w:ascii="Verdana" w:eastAsia="Calibri" w:hAnsi="Verdana" w:cs="Arial"/>
          <w:bCs/>
          <w:lang w:val="es-ES_tradnl" w:eastAsia="es-ES_tradnl"/>
        </w:rPr>
      </w:pPr>
    </w:p>
    <w:p w14:paraId="55E3DD9D" w14:textId="77777777" w:rsidR="00EB6735" w:rsidRPr="00593A5F" w:rsidRDefault="00EB6735" w:rsidP="00EB673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B6735" w:rsidRPr="00593A5F" w14:paraId="61229256" w14:textId="77777777" w:rsidTr="00A22AF0">
        <w:trPr>
          <w:trHeight w:val="884"/>
        </w:trPr>
        <w:tc>
          <w:tcPr>
            <w:tcW w:w="2689" w:type="dxa"/>
          </w:tcPr>
          <w:p w14:paraId="21B9BE08" w14:textId="77777777" w:rsidR="00EB6735" w:rsidRPr="00C00976" w:rsidRDefault="00EB6735" w:rsidP="00A22AF0">
            <w:pPr>
              <w:jc w:val="both"/>
              <w:rPr>
                <w:rFonts w:ascii="Verdana" w:eastAsia="Calibri" w:hAnsi="Verdana" w:cs="Arial"/>
                <w:b/>
                <w:bCs/>
                <w:color w:val="7030A0"/>
                <w:lang w:val="es-ES_tradnl" w:eastAsia="es-ES_tradnl"/>
              </w:rPr>
            </w:pPr>
          </w:p>
        </w:tc>
        <w:tc>
          <w:tcPr>
            <w:tcW w:w="6100" w:type="dxa"/>
          </w:tcPr>
          <w:p w14:paraId="6DBC0541" w14:textId="77777777" w:rsidR="00EB6735" w:rsidRPr="007B60E9" w:rsidRDefault="00EB6735" w:rsidP="00A22AF0">
            <w:pPr>
              <w:jc w:val="both"/>
              <w:rPr>
                <w:rFonts w:ascii="Verdana" w:eastAsia="Calibri" w:hAnsi="Verdana" w:cs="Arial"/>
                <w:b/>
                <w:bCs/>
                <w:color w:val="7030A0"/>
                <w:lang w:val="es-ES" w:eastAsia="es-ES"/>
              </w:rPr>
            </w:pPr>
            <w:r w:rsidRPr="00423EEA">
              <w:rPr>
                <w:rFonts w:ascii="Verdana" w:eastAsia="Calibri" w:hAnsi="Verdana" w:cs="Arial"/>
                <w:b/>
                <w:bCs/>
                <w:lang w:val="es-ES" w:eastAsia="es-ES"/>
              </w:rPr>
              <w:t>Concepto C-</w:t>
            </w:r>
            <w:r>
              <w:rPr>
                <w:rFonts w:ascii="Verdana" w:eastAsia="Calibri" w:hAnsi="Verdana" w:cs="Arial"/>
                <w:b/>
                <w:bCs/>
                <w:lang w:val="es-ES" w:eastAsia="es-ES"/>
              </w:rPr>
              <w:t>593</w:t>
            </w:r>
            <w:r w:rsidRPr="00423EEA">
              <w:rPr>
                <w:rFonts w:ascii="Verdana" w:eastAsia="Calibri" w:hAnsi="Verdana" w:cs="Arial"/>
                <w:b/>
                <w:bCs/>
                <w:lang w:val="es-ES" w:eastAsia="es-ES"/>
              </w:rPr>
              <w:t xml:space="preserve"> de 2024</w:t>
            </w:r>
          </w:p>
        </w:tc>
      </w:tr>
      <w:tr w:rsidR="00EB6735" w:rsidRPr="00593A5F" w14:paraId="353FDAFF" w14:textId="77777777" w:rsidTr="00A22AF0">
        <w:trPr>
          <w:trHeight w:val="884"/>
        </w:trPr>
        <w:tc>
          <w:tcPr>
            <w:tcW w:w="2689" w:type="dxa"/>
          </w:tcPr>
          <w:p w14:paraId="0654D3AC" w14:textId="77777777" w:rsidR="00EB6735" w:rsidRPr="004B40A6" w:rsidRDefault="00EB6735" w:rsidP="00A22AF0">
            <w:pPr>
              <w:jc w:val="both"/>
              <w:rPr>
                <w:rFonts w:ascii="Verdana" w:eastAsia="Calibri" w:hAnsi="Verdana" w:cs="Arial"/>
                <w:lang w:val="es-ES_tradnl" w:eastAsia="es-ES_tradnl"/>
              </w:rPr>
            </w:pPr>
            <w:r w:rsidRPr="004B40A6">
              <w:rPr>
                <w:rFonts w:ascii="Verdana" w:eastAsia="Calibri" w:hAnsi="Verdana" w:cs="Arial"/>
                <w:b/>
                <w:lang w:val="es-ES_tradnl" w:eastAsia="es-ES_tradnl"/>
              </w:rPr>
              <w:t>Temas:</w:t>
            </w:r>
            <w:r w:rsidRPr="004B40A6">
              <w:rPr>
                <w:rFonts w:ascii="Verdana" w:eastAsia="Calibri" w:hAnsi="Verdana" w:cs="Arial"/>
                <w:lang w:val="es-ES_tradnl" w:eastAsia="es-ES_tradnl"/>
              </w:rPr>
              <w:t xml:space="preserve">                   </w:t>
            </w:r>
          </w:p>
        </w:tc>
        <w:tc>
          <w:tcPr>
            <w:tcW w:w="6100" w:type="dxa"/>
          </w:tcPr>
          <w:p w14:paraId="7F492C92" w14:textId="5DA2703E" w:rsidR="00EB6735" w:rsidRPr="00FE10F1" w:rsidRDefault="00EB6735" w:rsidP="00A22AF0">
            <w:pPr>
              <w:spacing w:line="276" w:lineRule="auto"/>
              <w:jc w:val="both"/>
              <w:rPr>
                <w:rFonts w:ascii="Verdana" w:eastAsia="Calibri" w:hAnsi="Verdana" w:cs="Arial"/>
              </w:rPr>
            </w:pPr>
            <w:r w:rsidRPr="00FE10F1">
              <w:rPr>
                <w:rFonts w:ascii="Verdana" w:eastAsia="Calibri" w:hAnsi="Verdana" w:cs="Arial"/>
                <w:bCs/>
                <w:lang w:val="es-ES_tradnl" w:eastAsia="es-ES_tradnl"/>
              </w:rPr>
              <w:t>SOCIEDADES NUEVAS ‒ Experiencia ‒ Inferior a tres a</w:t>
            </w:r>
            <w:r w:rsidRPr="00FE10F1">
              <w:rPr>
                <w:rFonts w:ascii="Verdana" w:eastAsia="Calibri" w:hAnsi="Verdana" w:cs="Century Gothic"/>
                <w:bCs/>
                <w:lang w:val="es-ES_tradnl" w:eastAsia="es-ES_tradnl"/>
              </w:rPr>
              <w:t>ñ</w:t>
            </w:r>
            <w:r w:rsidRPr="00FE10F1">
              <w:rPr>
                <w:rFonts w:ascii="Verdana" w:eastAsia="Calibri" w:hAnsi="Verdana" w:cs="Arial"/>
                <w:bCs/>
                <w:lang w:val="es-ES_tradnl" w:eastAsia="es-ES_tradnl"/>
              </w:rPr>
              <w:t>os ‒ Requisitos habilitantes / EXPERIENCIA ‒ Conservaci</w:t>
            </w:r>
            <w:r w:rsidRPr="00FE10F1">
              <w:rPr>
                <w:rFonts w:ascii="Verdana" w:eastAsia="Calibri" w:hAnsi="Verdana" w:cs="Century Gothic"/>
                <w:bCs/>
                <w:lang w:val="es-ES_tradnl" w:eastAsia="es-ES_tradnl"/>
              </w:rPr>
              <w:t>ó</w:t>
            </w:r>
            <w:r w:rsidRPr="00FE10F1">
              <w:rPr>
                <w:rFonts w:ascii="Verdana" w:eastAsia="Calibri" w:hAnsi="Verdana" w:cs="Arial"/>
                <w:bCs/>
                <w:lang w:val="es-ES_tradnl" w:eastAsia="es-ES_tradnl"/>
              </w:rPr>
              <w:t>n</w:t>
            </w:r>
            <w:r w:rsidR="00B67B2D">
              <w:rPr>
                <w:rFonts w:ascii="Verdana" w:eastAsia="Calibri" w:hAnsi="Verdana" w:cs="Arial"/>
                <w:bCs/>
                <w:lang w:val="es-ES_tradnl" w:eastAsia="es-ES_tradnl"/>
              </w:rPr>
              <w:t xml:space="preserve"> </w:t>
            </w:r>
            <w:r w:rsidR="00B67B2D" w:rsidRPr="00FE10F1">
              <w:rPr>
                <w:rFonts w:ascii="Verdana" w:eastAsia="Calibri" w:hAnsi="Verdana" w:cs="Arial"/>
                <w:bCs/>
                <w:lang w:val="es-ES_tradnl" w:eastAsia="es-ES_tradnl"/>
              </w:rPr>
              <w:t>‒</w:t>
            </w:r>
            <w:r w:rsidR="00B67B2D">
              <w:rPr>
                <w:rFonts w:ascii="Verdana" w:eastAsia="Calibri" w:hAnsi="Verdana" w:cs="Arial"/>
                <w:bCs/>
                <w:lang w:val="es-ES_tradnl" w:eastAsia="es-ES_tradnl"/>
              </w:rPr>
              <w:t xml:space="preserve"> Renovación RUP</w:t>
            </w:r>
            <w:r w:rsidRPr="00FE10F1">
              <w:rPr>
                <w:rFonts w:ascii="Verdana" w:eastAsia="Calibri" w:hAnsi="Verdana" w:cs="Arial"/>
                <w:bCs/>
                <w:lang w:val="es-ES_tradnl" w:eastAsia="es-ES_tradnl"/>
              </w:rPr>
              <w:t xml:space="preserve"> / EXPERIENCIA </w:t>
            </w:r>
            <w:r w:rsidRPr="00FE10F1">
              <w:rPr>
                <w:rFonts w:ascii="Verdana" w:eastAsia="Calibri" w:hAnsi="Verdana" w:cs="Century Gothic"/>
                <w:bCs/>
                <w:lang w:val="es-ES_tradnl" w:eastAsia="es-ES_tradnl"/>
              </w:rPr>
              <w:t>–</w:t>
            </w:r>
            <w:r w:rsidRPr="00FE10F1">
              <w:rPr>
                <w:rFonts w:ascii="Verdana" w:eastAsia="Calibri" w:hAnsi="Verdana" w:cs="Arial"/>
                <w:bCs/>
                <w:lang w:val="es-ES_tradnl" w:eastAsia="es-ES_tradnl"/>
              </w:rPr>
              <w:t xml:space="preserve"> Retiro del socio </w:t>
            </w:r>
            <w:r w:rsidRPr="00FE10F1">
              <w:rPr>
                <w:rFonts w:ascii="Verdana" w:eastAsia="Calibri" w:hAnsi="Verdana" w:cs="Century Gothic"/>
                <w:bCs/>
                <w:lang w:val="es-ES_tradnl" w:eastAsia="es-ES_tradnl"/>
              </w:rPr>
              <w:t>−</w:t>
            </w:r>
            <w:r w:rsidRPr="00FE10F1">
              <w:rPr>
                <w:rFonts w:ascii="Verdana" w:eastAsia="Calibri" w:hAnsi="Verdana" w:cs="Arial"/>
                <w:bCs/>
                <w:lang w:val="es-ES_tradnl" w:eastAsia="es-ES_tradnl"/>
              </w:rPr>
              <w:t xml:space="preserve"> Sociedades </w:t>
            </w:r>
            <w:r w:rsidRPr="00FE10F1">
              <w:rPr>
                <w:rFonts w:ascii="Verdana" w:eastAsia="Calibri" w:hAnsi="Verdana" w:cs="Century Gothic"/>
                <w:bCs/>
                <w:lang w:val="es-ES_tradnl" w:eastAsia="es-ES_tradnl"/>
              </w:rPr>
              <w:t>–</w:t>
            </w:r>
            <w:r w:rsidRPr="00FE10F1">
              <w:rPr>
                <w:rFonts w:ascii="Verdana" w:eastAsia="Calibri" w:hAnsi="Verdana" w:cs="Arial"/>
                <w:bCs/>
                <w:lang w:val="es-ES_tradnl" w:eastAsia="es-ES_tradnl"/>
              </w:rPr>
              <w:t xml:space="preserve"> Menor a 3 a</w:t>
            </w:r>
            <w:r w:rsidRPr="00FE10F1">
              <w:rPr>
                <w:rFonts w:ascii="Verdana" w:eastAsia="Calibri" w:hAnsi="Verdana" w:cs="Century Gothic"/>
                <w:bCs/>
                <w:lang w:val="es-ES_tradnl" w:eastAsia="es-ES_tradnl"/>
              </w:rPr>
              <w:t>ñ</w:t>
            </w:r>
            <w:r w:rsidRPr="00FE10F1">
              <w:rPr>
                <w:rFonts w:ascii="Verdana" w:eastAsia="Calibri" w:hAnsi="Verdana" w:cs="Arial"/>
                <w:bCs/>
                <w:lang w:val="es-ES_tradnl" w:eastAsia="es-ES_tradnl"/>
              </w:rPr>
              <w:t>os de constituci</w:t>
            </w:r>
            <w:r w:rsidRPr="00FE10F1">
              <w:rPr>
                <w:rFonts w:ascii="Verdana" w:eastAsia="Calibri" w:hAnsi="Verdana" w:cs="Century Gothic"/>
                <w:bCs/>
                <w:lang w:val="es-ES_tradnl" w:eastAsia="es-ES_tradnl"/>
              </w:rPr>
              <w:t>ó</w:t>
            </w:r>
            <w:r w:rsidRPr="00FE10F1">
              <w:rPr>
                <w:rFonts w:ascii="Verdana" w:eastAsia="Calibri" w:hAnsi="Verdana" w:cs="Arial"/>
                <w:bCs/>
                <w:lang w:val="es-ES_tradnl" w:eastAsia="es-ES_tradnl"/>
              </w:rPr>
              <w:t xml:space="preserve">n </w:t>
            </w:r>
          </w:p>
        </w:tc>
      </w:tr>
      <w:tr w:rsidR="00EB6735" w:rsidRPr="00593A5F" w14:paraId="12B4019F" w14:textId="77777777" w:rsidTr="00A22AF0">
        <w:trPr>
          <w:trHeight w:val="89"/>
        </w:trPr>
        <w:tc>
          <w:tcPr>
            <w:tcW w:w="2689" w:type="dxa"/>
          </w:tcPr>
          <w:p w14:paraId="6DC12926" w14:textId="77777777" w:rsidR="00EB6735" w:rsidRPr="004B40A6" w:rsidRDefault="00EB6735" w:rsidP="00A22AF0">
            <w:pPr>
              <w:jc w:val="both"/>
              <w:rPr>
                <w:rFonts w:ascii="Verdana" w:eastAsia="Calibri" w:hAnsi="Verdana" w:cs="Arial"/>
                <w:b/>
                <w:lang w:val="es-ES_tradnl" w:eastAsia="es-ES_tradnl"/>
              </w:rPr>
            </w:pPr>
            <w:r w:rsidRPr="004B40A6">
              <w:rPr>
                <w:rFonts w:ascii="Verdana" w:eastAsia="Calibri" w:hAnsi="Verdana" w:cs="Arial"/>
                <w:b/>
                <w:lang w:val="es-ES_tradnl" w:eastAsia="es-ES_tradnl"/>
              </w:rPr>
              <w:t>Radicación:</w:t>
            </w:r>
            <w:r w:rsidRPr="004B40A6">
              <w:rPr>
                <w:rFonts w:ascii="Verdana" w:eastAsia="Calibri" w:hAnsi="Verdana" w:cs="Arial"/>
                <w:lang w:val="es-ES_tradnl" w:eastAsia="es-ES_tradnl"/>
              </w:rPr>
              <w:t xml:space="preserve">               </w:t>
            </w:r>
          </w:p>
        </w:tc>
        <w:tc>
          <w:tcPr>
            <w:tcW w:w="6100" w:type="dxa"/>
          </w:tcPr>
          <w:p w14:paraId="26547FB5" w14:textId="77777777" w:rsidR="00EB6735" w:rsidRPr="00E56225" w:rsidRDefault="00EB6735" w:rsidP="00A22AF0">
            <w:pPr>
              <w:spacing w:line="276" w:lineRule="auto"/>
              <w:jc w:val="both"/>
              <w:rPr>
                <w:rFonts w:ascii="Verdana" w:hAnsi="Verdana" w:cs="Calibri"/>
              </w:rPr>
            </w:pPr>
            <w:r w:rsidRPr="004B40A6">
              <w:rPr>
                <w:rFonts w:ascii="Verdana" w:eastAsia="Calibri" w:hAnsi="Verdana" w:cs="Arial"/>
                <w:lang w:val="es-ES_tradnl" w:eastAsia="es-ES_tradnl"/>
              </w:rPr>
              <w:t xml:space="preserve">Respuesta a consulta con radicado No. </w:t>
            </w:r>
            <w:r w:rsidRPr="003879AC">
              <w:rPr>
                <w:rFonts w:ascii="Verdana" w:hAnsi="Verdana" w:cs="Calibri"/>
              </w:rPr>
              <w:t>P20241119011660</w:t>
            </w:r>
          </w:p>
        </w:tc>
      </w:tr>
    </w:tbl>
    <w:p w14:paraId="1EAEF373" w14:textId="77777777" w:rsidR="00EB6735" w:rsidRPr="00593A5F" w:rsidRDefault="00EB6735" w:rsidP="00EB6735">
      <w:pPr>
        <w:spacing w:after="0" w:line="240" w:lineRule="auto"/>
        <w:jc w:val="both"/>
        <w:rPr>
          <w:rFonts w:ascii="Verdana" w:eastAsia="Calibri" w:hAnsi="Verdana" w:cs="Arial"/>
          <w:color w:val="000000"/>
          <w:lang w:val="es-ES_tradnl" w:eastAsia="es-ES_tradnl"/>
        </w:rPr>
      </w:pPr>
    </w:p>
    <w:p w14:paraId="38BE4F94" w14:textId="77777777" w:rsidR="00EB6735" w:rsidRPr="00593A5F" w:rsidRDefault="00EB6735" w:rsidP="00EB6735">
      <w:pPr>
        <w:spacing w:after="0" w:line="240" w:lineRule="auto"/>
        <w:jc w:val="both"/>
        <w:rPr>
          <w:rFonts w:ascii="Verdana" w:eastAsia="Calibri" w:hAnsi="Verdana" w:cs="Arial"/>
          <w:color w:val="000000"/>
          <w:lang w:val="es-ES_tradnl" w:eastAsia="es-ES_tradnl"/>
        </w:rPr>
      </w:pPr>
    </w:p>
    <w:p w14:paraId="77FFC192" w14:textId="77777777" w:rsidR="00EB6735" w:rsidRPr="004B40A6" w:rsidRDefault="00EB6735" w:rsidP="00EB6735">
      <w:pPr>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Estimad</w:t>
      </w:r>
      <w:r>
        <w:rPr>
          <w:rFonts w:ascii="Verdana" w:eastAsia="Calibri" w:hAnsi="Verdana" w:cs="Arial"/>
          <w:lang w:val="es-ES" w:eastAsia="es-ES"/>
        </w:rPr>
        <w:t>o</w:t>
      </w:r>
      <w:r w:rsidRPr="004B40A6">
        <w:rPr>
          <w:rFonts w:ascii="Verdana" w:eastAsia="Calibri" w:hAnsi="Verdana" w:cs="Arial"/>
          <w:lang w:val="es-ES" w:eastAsia="es-ES"/>
        </w:rPr>
        <w:t xml:space="preserve"> señor</w:t>
      </w:r>
      <w:r>
        <w:rPr>
          <w:rFonts w:ascii="Verdana" w:eastAsia="Calibri" w:hAnsi="Verdana" w:cs="Arial"/>
          <w:lang w:val="es-ES" w:eastAsia="es-ES"/>
        </w:rPr>
        <w:t xml:space="preserve"> Patarroyo</w:t>
      </w:r>
      <w:r w:rsidRPr="004B40A6">
        <w:rPr>
          <w:rFonts w:ascii="Verdana" w:eastAsia="Calibri" w:hAnsi="Verdana" w:cs="Arial"/>
          <w:lang w:val="es-ES" w:eastAsia="es-ES"/>
        </w:rPr>
        <w:t xml:space="preserve">: </w:t>
      </w:r>
    </w:p>
    <w:p w14:paraId="29B1F1F4" w14:textId="77777777" w:rsidR="00EB6735" w:rsidRPr="004B40A6" w:rsidRDefault="00EB6735" w:rsidP="00EB6735">
      <w:pPr>
        <w:tabs>
          <w:tab w:val="left" w:pos="3768"/>
        </w:tabs>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ab/>
      </w:r>
    </w:p>
    <w:p w14:paraId="2A9BF77B" w14:textId="00498D96" w:rsidR="00EB6735" w:rsidRDefault="00EB6735" w:rsidP="00EB6735">
      <w:pPr>
        <w:spacing w:after="0" w:line="276" w:lineRule="auto"/>
        <w:jc w:val="both"/>
        <w:rPr>
          <w:rFonts w:ascii="Verdana" w:eastAsia="Calibri" w:hAnsi="Verdana" w:cs="Arial"/>
          <w:lang w:val="es-ES" w:eastAsia="es-ES"/>
        </w:rPr>
      </w:pPr>
      <w:r w:rsidRPr="00F7454D">
        <w:rPr>
          <w:rFonts w:ascii="Verdana" w:eastAsia="Calibri" w:hAnsi="Verdana" w:cs="Arial"/>
          <w:lang w:val="es-ES" w:eastAsia="es-ES"/>
        </w:rPr>
        <w:t>En ejercicio de la competencia otorgada por los artículos 3, numeral 5º, y 11, numeral 8º, del Decreto Ley 4170 de 2011,</w:t>
      </w:r>
      <w:r w:rsidRPr="00F7454D">
        <w:rPr>
          <w:rFonts w:ascii="Verdana" w:eastAsia="Arial MT" w:hAnsi="Verdana" w:cs="Arial MT"/>
          <w:lang w:val="es-ES" w:eastAsia="es-ES"/>
        </w:rPr>
        <w:t xml:space="preserve"> </w:t>
      </w:r>
      <w:r w:rsidRPr="00F7454D">
        <w:rPr>
          <w:rFonts w:ascii="Verdana" w:hAnsi="Verdana" w:cs="Arial"/>
        </w:rPr>
        <w:t xml:space="preserve">así como lo establecido en el artículo 4 de la Resolución 1707 de 2018 expedida por esta Entidad, </w:t>
      </w:r>
      <w:r w:rsidRPr="00F7454D">
        <w:rPr>
          <w:rFonts w:ascii="Verdana" w:eastAsia="Calibri" w:hAnsi="Verdana" w:cs="Arial"/>
          <w:lang w:val="es-ES" w:eastAsia="es-ES"/>
        </w:rPr>
        <w:t xml:space="preserve">la Agencia Nacional de Contratación Pública – Colombia Compra Eficiente– responde su solicitud de consulta de fecha </w:t>
      </w:r>
      <w:r w:rsidR="00917617">
        <w:rPr>
          <w:rFonts w:ascii="Verdana" w:eastAsia="Calibri" w:hAnsi="Verdana" w:cs="Arial"/>
          <w:lang w:val="es-ES" w:eastAsia="es-ES"/>
        </w:rPr>
        <w:t>19</w:t>
      </w:r>
      <w:r w:rsidRPr="00F7454D">
        <w:rPr>
          <w:rFonts w:ascii="Verdana" w:eastAsia="Calibri" w:hAnsi="Verdana" w:cs="Arial"/>
          <w:lang w:val="es-ES" w:eastAsia="es-ES"/>
        </w:rPr>
        <w:t xml:space="preserve"> de </w:t>
      </w:r>
      <w:r w:rsidR="00917617">
        <w:rPr>
          <w:rFonts w:ascii="Verdana" w:eastAsia="Calibri" w:hAnsi="Verdana" w:cs="Arial"/>
          <w:lang w:val="es-ES" w:eastAsia="es-ES"/>
        </w:rPr>
        <w:t>noviembre</w:t>
      </w:r>
      <w:r w:rsidRPr="00F7454D">
        <w:rPr>
          <w:rFonts w:ascii="Verdana" w:eastAsia="Calibri" w:hAnsi="Verdana" w:cs="Arial"/>
          <w:lang w:val="es-ES" w:eastAsia="es-ES"/>
        </w:rPr>
        <w:t xml:space="preserve"> de 2024, en la cual manifiesta lo siguiente: </w:t>
      </w:r>
    </w:p>
    <w:p w14:paraId="3C71FB5B" w14:textId="77777777" w:rsidR="00EB6735" w:rsidRPr="00076878" w:rsidRDefault="00EB6735" w:rsidP="00EB6735">
      <w:pPr>
        <w:spacing w:after="0" w:line="276" w:lineRule="auto"/>
        <w:jc w:val="both"/>
        <w:rPr>
          <w:rFonts w:ascii="Verdana" w:eastAsia="Calibri" w:hAnsi="Verdana" w:cs="Arial"/>
          <w:lang w:val="es-ES" w:eastAsia="es-ES"/>
        </w:rPr>
      </w:pPr>
    </w:p>
    <w:p w14:paraId="7BC4AB72" w14:textId="77777777" w:rsidR="00EB6735" w:rsidRDefault="00EB6735" w:rsidP="00EB6735">
      <w:pPr>
        <w:spacing w:after="0" w:line="276" w:lineRule="auto"/>
        <w:jc w:val="both"/>
        <w:rPr>
          <w:rFonts w:ascii="Verdana" w:eastAsia="Century Gothic" w:hAnsi="Verdana" w:cs="Century Gothic"/>
          <w:lang w:val="es-ES"/>
        </w:rPr>
      </w:pPr>
      <w:bookmarkStart w:id="1" w:name="_Hlk95313578"/>
      <w:r w:rsidRPr="003879AC">
        <w:rPr>
          <w:rFonts w:ascii="Verdana" w:eastAsia="Century Gothic" w:hAnsi="Verdana" w:cs="Century Gothic"/>
          <w:i/>
          <w:iCs/>
          <w:sz w:val="21"/>
          <w:szCs w:val="21"/>
          <w:lang w:val="es-ES"/>
        </w:rPr>
        <w:t>“</w:t>
      </w:r>
      <w:bookmarkEnd w:id="1"/>
      <w:r w:rsidRPr="003879AC">
        <w:rPr>
          <w:rFonts w:ascii="Verdana" w:hAnsi="Verdana"/>
          <w:i/>
          <w:iCs/>
          <w:sz w:val="21"/>
          <w:szCs w:val="21"/>
        </w:rPr>
        <w:t>si uno de los socios (no controlante) de la persona jurídica que aporto la experiencia como persona natural, y se retira de la persona jurídica, esa experiencia aportada del socio que se retira, pierde la experiencia la persona jurídica?”</w:t>
      </w:r>
      <w:r w:rsidRPr="003879AC">
        <w:rPr>
          <w:rFonts w:ascii="Verdana" w:eastAsia="Century Gothic" w:hAnsi="Verdana" w:cs="Century Gothic"/>
          <w:i/>
          <w:iCs/>
          <w:sz w:val="21"/>
          <w:szCs w:val="21"/>
          <w:lang w:val="es-ES"/>
        </w:rPr>
        <w:t>.</w:t>
      </w:r>
    </w:p>
    <w:p w14:paraId="42F22901" w14:textId="77777777" w:rsidR="00EB6735" w:rsidRPr="00FE63FD" w:rsidRDefault="00EB6735" w:rsidP="00EB6735">
      <w:pPr>
        <w:spacing w:after="0" w:line="276" w:lineRule="auto"/>
        <w:jc w:val="both"/>
        <w:rPr>
          <w:rFonts w:ascii="Verdana" w:eastAsia="Century Gothic" w:hAnsi="Verdana" w:cs="Century Gothic"/>
          <w:lang w:val="es-ES"/>
        </w:rPr>
      </w:pPr>
    </w:p>
    <w:p w14:paraId="5F1BD71D" w14:textId="77777777" w:rsidR="00EB6735" w:rsidRDefault="00EB6735" w:rsidP="00EB6735">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w:t>
      </w:r>
      <w:r>
        <w:rPr>
          <w:rFonts w:ascii="Verdana" w:eastAsia="Calibri" w:hAnsi="Verdana" w:cs="Arial"/>
          <w:color w:val="000000"/>
          <w:lang w:val="es-ES" w:eastAsia="es-ES"/>
        </w:rPr>
        <w:t>precisar</w:t>
      </w:r>
      <w:r w:rsidRPr="00593A5F">
        <w:rPr>
          <w:rFonts w:ascii="Verdana" w:eastAsia="Calibri" w:hAnsi="Verdana" w:cs="Arial"/>
          <w:color w:val="000000"/>
          <w:lang w:val="es-ES" w:eastAsia="es-ES"/>
        </w:rPr>
        <w:t xml:space="preserve">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w:t>
      </w:r>
      <w:r w:rsidRPr="00593A5F">
        <w:rPr>
          <w:rFonts w:ascii="Verdana" w:eastAsia="Calibri" w:hAnsi="Verdana" w:cs="Arial"/>
          <w:color w:val="000000"/>
          <w:lang w:val="es-ES" w:eastAsia="es-ES"/>
        </w:rPr>
        <w:lastRenderedPageBreak/>
        <w:t xml:space="preserve">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4A1865E0" w14:textId="77777777" w:rsidR="00EB6735" w:rsidRDefault="00EB6735" w:rsidP="00EB6735">
      <w:pPr>
        <w:spacing w:after="0" w:line="276" w:lineRule="auto"/>
        <w:ind w:firstLine="709"/>
        <w:jc w:val="both"/>
        <w:rPr>
          <w:rFonts w:ascii="Verdana" w:eastAsia="Calibri" w:hAnsi="Verdana" w:cs="Arial"/>
          <w:lang w:val="es-ES" w:eastAsia="es-ES"/>
        </w:rPr>
      </w:pPr>
      <w:r w:rsidRPr="004B40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25092342" w14:textId="77777777" w:rsidR="00EB6735" w:rsidRPr="00593A5F" w:rsidRDefault="00EB6735" w:rsidP="00EB6735">
      <w:pPr>
        <w:spacing w:after="0" w:line="276" w:lineRule="auto"/>
        <w:jc w:val="both"/>
        <w:rPr>
          <w:rFonts w:ascii="Verdana" w:eastAsia="Calibri" w:hAnsi="Verdana" w:cs="Arial"/>
          <w:color w:val="000000"/>
          <w:lang w:val="es-ES" w:eastAsia="es-ES"/>
        </w:rPr>
      </w:pPr>
    </w:p>
    <w:p w14:paraId="6A9A6F7E" w14:textId="77777777" w:rsidR="00EB6735" w:rsidRPr="00593A5F" w:rsidRDefault="00EB6735" w:rsidP="00EB673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1B430C8" w14:textId="77777777" w:rsidR="00EB6735" w:rsidRDefault="00EB6735" w:rsidP="00EB6735">
      <w:pPr>
        <w:spacing w:after="0" w:line="240" w:lineRule="auto"/>
        <w:ind w:right="709"/>
        <w:jc w:val="both"/>
        <w:rPr>
          <w:rFonts w:ascii="Verdana" w:eastAsia="Century Gothic" w:hAnsi="Verdana" w:cs="Century Gothic"/>
          <w:lang w:val="es-ES"/>
        </w:rPr>
      </w:pPr>
    </w:p>
    <w:p w14:paraId="38C033BC" w14:textId="77777777" w:rsidR="00EB6735" w:rsidRDefault="00EB6735" w:rsidP="00EB6735">
      <w:pPr>
        <w:spacing w:after="0" w:line="276" w:lineRule="auto"/>
        <w:jc w:val="both"/>
        <w:rPr>
          <w:rFonts w:ascii="Verdana" w:eastAsia="Century Gothic" w:hAnsi="Verdana" w:cs="Century Gothic"/>
          <w:lang w:val="es-ES"/>
        </w:rPr>
      </w:pPr>
      <w:r w:rsidRPr="00E03E8C">
        <w:rPr>
          <w:rFonts w:ascii="Verdana" w:hAnsi="Verdana"/>
        </w:rPr>
        <w:t xml:space="preserve">De acuerdo con el contenido de su solicitud, esta Agencia resolverá el siguiente problema jurídico: </w:t>
      </w:r>
      <w:r w:rsidRPr="00B86979">
        <w:rPr>
          <w:rFonts w:ascii="Verdana" w:eastAsia="Calibri" w:hAnsi="Verdana" w:cs="Arial"/>
        </w:rPr>
        <w:t>¿Es posible que una persona jurídica pueda seguir acreditando la experiencia de un socio, accionista o constituyente que ya no hace parte de la sociedad?</w:t>
      </w:r>
    </w:p>
    <w:p w14:paraId="408D8D49" w14:textId="77777777" w:rsidR="00EB6735" w:rsidRPr="00EE4272" w:rsidRDefault="00EB6735" w:rsidP="00EB6735">
      <w:pPr>
        <w:spacing w:after="0" w:line="276" w:lineRule="auto"/>
        <w:jc w:val="both"/>
        <w:rPr>
          <w:rFonts w:ascii="Verdana" w:eastAsia="Century Gothic" w:hAnsi="Verdana" w:cs="Century Gothic"/>
        </w:rPr>
      </w:pPr>
    </w:p>
    <w:p w14:paraId="11720922" w14:textId="77777777" w:rsidR="00EB6735" w:rsidRPr="00593A5F" w:rsidRDefault="00EB6735" w:rsidP="00EB673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ED50822" w14:textId="77777777" w:rsidR="00EB6735" w:rsidRPr="00593A5F" w:rsidRDefault="00EB6735" w:rsidP="00EB673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B6735" w:rsidRPr="00593A5F" w14:paraId="29AAC0F9" w14:textId="77777777" w:rsidTr="00A22AF0">
        <w:tc>
          <w:tcPr>
            <w:tcW w:w="8828" w:type="dxa"/>
            <w:shd w:val="clear" w:color="auto" w:fill="auto"/>
          </w:tcPr>
          <w:p w14:paraId="2DA5F5B1" w14:textId="4FB4804F" w:rsidR="00EB6735" w:rsidRPr="00270947" w:rsidRDefault="008C0246" w:rsidP="00A22AF0">
            <w:pPr>
              <w:jc w:val="both"/>
              <w:rPr>
                <w:rFonts w:ascii="Verdana" w:eastAsia="Calibri" w:hAnsi="Verdana" w:cs="Arial"/>
                <w:bCs/>
                <w:lang w:val="es-ES_tradnl"/>
              </w:rPr>
            </w:pPr>
            <w:r>
              <w:rPr>
                <w:rFonts w:ascii="Verdana" w:hAnsi="Verdana"/>
              </w:rPr>
              <w:t>E</w:t>
            </w:r>
            <w:r w:rsidR="00EB6735" w:rsidRPr="00270947">
              <w:rPr>
                <w:rFonts w:ascii="Verdana" w:eastAsia="Calibri" w:hAnsi="Verdana" w:cs="Arial"/>
                <w:bCs/>
                <w:lang w:val="es-ES_tradnl"/>
              </w:rPr>
              <w:t xml:space="preserve">l </w:t>
            </w:r>
            <w:r w:rsidRPr="008C0246">
              <w:rPr>
                <w:rFonts w:ascii="Verdana" w:eastAsia="Calibri" w:hAnsi="Verdana" w:cs="Arial"/>
                <w:bCs/>
              </w:rPr>
              <w:t xml:space="preserve">numeral 2.5 del artículo 2.2.1.1.1.5.2 </w:t>
            </w:r>
            <w:r>
              <w:rPr>
                <w:rFonts w:ascii="Verdana" w:eastAsia="Calibri" w:hAnsi="Verdana" w:cs="Arial"/>
                <w:bCs/>
              </w:rPr>
              <w:t xml:space="preserve">del </w:t>
            </w:r>
            <w:r w:rsidR="00EB6735" w:rsidRPr="00270947">
              <w:rPr>
                <w:rFonts w:ascii="Verdana" w:eastAsia="Calibri" w:hAnsi="Verdana" w:cs="Arial"/>
                <w:bCs/>
                <w:lang w:val="es-ES_tradnl"/>
              </w:rPr>
              <w:t>Decreto 1082 de 2015</w:t>
            </w:r>
            <w:r w:rsidR="00EB6735">
              <w:rPr>
                <w:rFonts w:ascii="Verdana" w:eastAsia="Calibri" w:hAnsi="Verdana" w:cs="Arial"/>
                <w:bCs/>
                <w:lang w:val="es-ES_tradnl"/>
              </w:rPr>
              <w:t>,</w:t>
            </w:r>
            <w:r w:rsidR="00EB6735" w:rsidRPr="00270947">
              <w:rPr>
                <w:rFonts w:ascii="Verdana" w:eastAsia="Calibri" w:hAnsi="Verdana" w:cs="Arial"/>
                <w:bCs/>
                <w:lang w:val="es-ES_tradnl"/>
              </w:rPr>
              <w:t xml:space="preserve"> es claro en indicar que una sociedad con menos de tres años de constituida puede aportar la experiencia de sus accionistas, socios o constituyentes</w:t>
            </w:r>
            <w:r>
              <w:rPr>
                <w:rFonts w:ascii="Verdana" w:eastAsia="Calibri" w:hAnsi="Verdana" w:cs="Arial"/>
                <w:bCs/>
                <w:lang w:val="es-ES_tradnl"/>
              </w:rPr>
              <w:t>;</w:t>
            </w:r>
            <w:r w:rsidR="00EB6735" w:rsidRPr="00270947">
              <w:rPr>
                <w:rFonts w:ascii="Verdana" w:eastAsia="Calibri" w:hAnsi="Verdana" w:cs="Arial"/>
                <w:bCs/>
                <w:lang w:val="es-ES_tradnl"/>
              </w:rPr>
              <w:t xml:space="preserve"> de modo que si se pierde esta calidad, como sucedería cuando un socio se retira por venta o cesión de su participación y pierde su calidad de socio, con el fin de evitar prácticas corruptivas o que atenten contra la transparencia en la Contratación Estatal, la experiencia aportada por quien se retira</w:t>
            </w:r>
            <w:r w:rsidR="00EB6735" w:rsidRPr="00270947">
              <w:rPr>
                <w:rFonts w:ascii="Verdana" w:hAnsi="Verdana" w:cs="Arial"/>
                <w:shd w:val="clear" w:color="auto" w:fill="FFFFFF"/>
              </w:rPr>
              <w:t>,</w:t>
            </w:r>
            <w:r w:rsidR="00EB6735" w:rsidRPr="00270947">
              <w:rPr>
                <w:rFonts w:ascii="Verdana" w:eastAsia="Calibri" w:hAnsi="Verdana" w:cs="Arial"/>
                <w:bCs/>
                <w:lang w:val="es-ES_tradnl"/>
              </w:rPr>
              <w:t xml:space="preserve"> no deberá ser tenida en cuenta por las Entidades Estatales, y no debería ser utilizada por el proponente en Procesos de Contratación, ya que es inherente a la persona que la ha obtenido. En consecuencia, el proponente </w:t>
            </w:r>
            <w:r>
              <w:rPr>
                <w:rFonts w:ascii="Verdana" w:eastAsia="Calibri" w:hAnsi="Verdana" w:cs="Arial"/>
                <w:bCs/>
                <w:lang w:val="es-ES_tradnl"/>
              </w:rPr>
              <w:t xml:space="preserve">que se encuentre en dicha situación, </w:t>
            </w:r>
            <w:r w:rsidR="00EB6735" w:rsidRPr="00270947">
              <w:rPr>
                <w:rFonts w:ascii="Verdana" w:eastAsia="Calibri" w:hAnsi="Verdana" w:cs="Arial"/>
                <w:bCs/>
                <w:lang w:val="es-ES_tradnl"/>
              </w:rPr>
              <w:t>debería actualizar la experiencia en el RUP</w:t>
            </w:r>
            <w:r>
              <w:rPr>
                <w:rFonts w:ascii="Verdana" w:eastAsia="Calibri" w:hAnsi="Verdana" w:cs="Arial"/>
                <w:bCs/>
                <w:lang w:val="es-ES_tradnl"/>
              </w:rPr>
              <w:t>, así como en el certificado de existencia y representación legal informando de tal retiro</w:t>
            </w:r>
            <w:r w:rsidR="00EB6735" w:rsidRPr="00270947">
              <w:rPr>
                <w:rFonts w:ascii="Verdana" w:eastAsia="Calibri" w:hAnsi="Verdana" w:cs="Arial"/>
                <w:bCs/>
                <w:lang w:val="es-ES_tradnl"/>
              </w:rPr>
              <w:t>, actuando de buena f</w:t>
            </w:r>
            <w:r w:rsidR="00EB6735">
              <w:rPr>
                <w:rFonts w:ascii="Verdana" w:eastAsia="Calibri" w:hAnsi="Verdana" w:cs="Arial"/>
                <w:bCs/>
                <w:lang w:val="es-ES_tradnl"/>
              </w:rPr>
              <w:t>e</w:t>
            </w:r>
            <w:r w:rsidR="00EB6735" w:rsidRPr="00270947">
              <w:rPr>
                <w:rFonts w:ascii="Verdana" w:eastAsia="Calibri" w:hAnsi="Verdana" w:cs="Arial"/>
                <w:bCs/>
                <w:lang w:val="es-ES_tradnl"/>
              </w:rPr>
              <w:t xml:space="preserve"> en el Proceso de Contratación.</w:t>
            </w:r>
          </w:p>
          <w:p w14:paraId="52CF4C02" w14:textId="77777777" w:rsidR="00EB6735" w:rsidRPr="00270947" w:rsidRDefault="00EB6735" w:rsidP="00A22AF0">
            <w:pPr>
              <w:jc w:val="both"/>
              <w:rPr>
                <w:rFonts w:ascii="Century Gothic" w:eastAsia="Calibri" w:hAnsi="Century Gothic" w:cs="Arial"/>
                <w:bCs/>
                <w:sz w:val="20"/>
                <w:szCs w:val="20"/>
                <w:lang w:val="es-ES_tradnl"/>
              </w:rPr>
            </w:pPr>
          </w:p>
          <w:p w14:paraId="75A3D838" w14:textId="6210B94B" w:rsidR="00EB6735" w:rsidRPr="00270947" w:rsidRDefault="00EB6735" w:rsidP="00A22AF0">
            <w:pPr>
              <w:spacing w:after="120" w:line="276" w:lineRule="auto"/>
              <w:ind w:firstLine="709"/>
              <w:jc w:val="both"/>
              <w:rPr>
                <w:rFonts w:ascii="Verdana" w:hAnsi="Verdana"/>
              </w:rPr>
            </w:pPr>
            <w:r w:rsidRPr="00270947">
              <w:rPr>
                <w:rFonts w:ascii="Verdana" w:hAnsi="Verdana"/>
                <w:iCs/>
              </w:rPr>
              <w:t xml:space="preserve">Por consiguiente, </w:t>
            </w:r>
            <w:r w:rsidRPr="00270947">
              <w:rPr>
                <w:rFonts w:ascii="Verdana" w:hAnsi="Verdana" w:cs="Arial"/>
                <w:shd w:val="clear" w:color="auto" w:fill="FFFFFF"/>
              </w:rPr>
              <w:t xml:space="preserve">si el socio que aporta la experiencia luego se retira </w:t>
            </w:r>
            <w:r>
              <w:rPr>
                <w:rFonts w:ascii="Verdana" w:hAnsi="Verdana" w:cs="Arial"/>
                <w:shd w:val="clear" w:color="auto" w:fill="FFFFFF"/>
              </w:rPr>
              <w:t>-</w:t>
            </w:r>
            <w:r w:rsidRPr="00270947">
              <w:rPr>
                <w:rFonts w:ascii="Verdana" w:hAnsi="Verdana" w:cs="Arial"/>
                <w:shd w:val="clear" w:color="auto" w:fill="FFFFFF"/>
              </w:rPr>
              <w:t xml:space="preserve">por venta o cesión de su participación- y pierde su calidad de socio, entonces, la experiencia aportada por quien se retira </w:t>
            </w:r>
            <w:r w:rsidR="008C0246">
              <w:rPr>
                <w:rFonts w:ascii="Verdana" w:hAnsi="Verdana" w:cs="Arial"/>
                <w:shd w:val="clear" w:color="auto" w:fill="FFFFFF"/>
              </w:rPr>
              <w:t>-</w:t>
            </w:r>
            <w:r w:rsidR="008C0246" w:rsidRPr="008C0246">
              <w:rPr>
                <w:rFonts w:ascii="Verdana" w:hAnsi="Verdana" w:cs="Arial"/>
                <w:shd w:val="clear" w:color="auto" w:fill="FFFFFF"/>
              </w:rPr>
              <w:t xml:space="preserve">dado que ya no se cumple el </w:t>
            </w:r>
            <w:r w:rsidR="008C0246" w:rsidRPr="008C0246">
              <w:rPr>
                <w:rFonts w:ascii="Verdana" w:hAnsi="Verdana" w:cs="Arial"/>
                <w:shd w:val="clear" w:color="auto" w:fill="FFFFFF"/>
              </w:rPr>
              <w:lastRenderedPageBreak/>
              <w:t>requisito legal de que el socio forme parte de ella</w:t>
            </w:r>
            <w:r w:rsidR="008C0246">
              <w:rPr>
                <w:rFonts w:ascii="Verdana" w:hAnsi="Verdana" w:cs="Arial"/>
                <w:shd w:val="clear" w:color="auto" w:fill="FFFFFF"/>
              </w:rPr>
              <w:t xml:space="preserve">- </w:t>
            </w:r>
            <w:r w:rsidRPr="00270947">
              <w:rPr>
                <w:rFonts w:ascii="Verdana" w:hAnsi="Verdana" w:cs="Arial"/>
                <w:shd w:val="clear" w:color="auto" w:fill="FFFFFF"/>
              </w:rPr>
              <w:t>no podrá ser tenida en cuenta por las Entidades Estatales en los procesos de c</w:t>
            </w:r>
            <w:r>
              <w:rPr>
                <w:rFonts w:ascii="Verdana" w:hAnsi="Verdana" w:cs="Arial"/>
                <w:shd w:val="clear" w:color="auto" w:fill="FFFFFF"/>
              </w:rPr>
              <w:t>ontratación</w:t>
            </w:r>
            <w:r w:rsidRPr="00270947">
              <w:rPr>
                <w:rFonts w:ascii="Verdana" w:hAnsi="Verdana" w:cs="Arial"/>
                <w:shd w:val="clear" w:color="auto" w:fill="FFFFFF"/>
              </w:rPr>
              <w:t>.</w:t>
            </w:r>
          </w:p>
        </w:tc>
      </w:tr>
    </w:tbl>
    <w:p w14:paraId="2AC8099C" w14:textId="77777777" w:rsidR="00EB6735" w:rsidRPr="00593A5F" w:rsidRDefault="00EB6735" w:rsidP="00EB6735">
      <w:pPr>
        <w:tabs>
          <w:tab w:val="left" w:pos="142"/>
          <w:tab w:val="left" w:pos="284"/>
        </w:tabs>
        <w:spacing w:after="0" w:line="276" w:lineRule="auto"/>
        <w:jc w:val="both"/>
        <w:rPr>
          <w:rFonts w:ascii="Verdana" w:eastAsia="Century Gothic" w:hAnsi="Verdana" w:cs="Century Gothic"/>
          <w:b/>
          <w:bCs/>
          <w:lang w:val="es-ES"/>
        </w:rPr>
      </w:pPr>
    </w:p>
    <w:p w14:paraId="5725697B" w14:textId="77777777" w:rsidR="00EB6735" w:rsidRPr="00593A5F" w:rsidRDefault="00EB6735" w:rsidP="00EB673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514C7C48" w14:textId="77777777" w:rsidR="00EB6735" w:rsidRPr="00593A5F" w:rsidRDefault="00EB6735" w:rsidP="00EB6735">
      <w:pPr>
        <w:spacing w:after="0" w:line="276" w:lineRule="auto"/>
        <w:jc w:val="both"/>
        <w:rPr>
          <w:rFonts w:ascii="Verdana" w:eastAsia="Calibri" w:hAnsi="Verdana" w:cs="Arial"/>
          <w:color w:val="7030A0"/>
          <w:lang w:val="es-ES"/>
        </w:rPr>
      </w:pPr>
    </w:p>
    <w:p w14:paraId="7E48C5DF" w14:textId="77777777" w:rsidR="00EB6735" w:rsidRDefault="00EB6735" w:rsidP="00EB6735">
      <w:pPr>
        <w:spacing w:after="0" w:line="276" w:lineRule="auto"/>
        <w:jc w:val="both"/>
        <w:rPr>
          <w:rFonts w:ascii="Verdana" w:eastAsia="Calibri" w:hAnsi="Verdana" w:cs="Arial"/>
          <w:lang w:val="es-ES"/>
        </w:rPr>
      </w:pPr>
      <w:r w:rsidRPr="00FB372A">
        <w:rPr>
          <w:rFonts w:ascii="Verdana" w:eastAsia="Calibri" w:hAnsi="Verdana" w:cs="Arial"/>
          <w:lang w:val="es-ES"/>
        </w:rPr>
        <w:t>Lo anterior se sustenta en las siguientes consideraciones:</w:t>
      </w:r>
    </w:p>
    <w:p w14:paraId="48DBF58C" w14:textId="77777777" w:rsidR="00EB6735" w:rsidRDefault="00EB6735" w:rsidP="00EB6735">
      <w:pPr>
        <w:spacing w:after="0" w:line="276" w:lineRule="auto"/>
        <w:jc w:val="both"/>
        <w:rPr>
          <w:rFonts w:ascii="Verdana" w:eastAsia="Calibri" w:hAnsi="Verdana" w:cs="Arial"/>
          <w:lang w:val="es-ES"/>
        </w:rPr>
      </w:pPr>
    </w:p>
    <w:p w14:paraId="3967C750" w14:textId="6D0032A1" w:rsidR="00EB6735" w:rsidRDefault="00184E2C" w:rsidP="00EB6735">
      <w:pPr>
        <w:spacing w:after="120" w:line="276" w:lineRule="auto"/>
        <w:jc w:val="both"/>
        <w:rPr>
          <w:rFonts w:ascii="Verdana" w:eastAsia="Calibri" w:hAnsi="Verdana" w:cs="Arial"/>
          <w:lang w:val="es-ES"/>
        </w:rPr>
      </w:pPr>
      <w:r>
        <w:rPr>
          <w:rFonts w:ascii="Verdana" w:eastAsia="Calibri" w:hAnsi="Verdana" w:cs="Arial"/>
          <w:lang w:val="es-ES"/>
        </w:rPr>
        <w:t>Dentro de l</w:t>
      </w:r>
      <w:r w:rsidR="00EB6735" w:rsidRPr="00CB6B5F">
        <w:rPr>
          <w:rFonts w:ascii="Verdana" w:eastAsia="Calibri" w:hAnsi="Verdana" w:cs="Arial"/>
          <w:lang w:val="es-ES"/>
        </w:rPr>
        <w:t xml:space="preserve">os principales requisitos habilitantes que se utilizan en los Procesos de Contratación se destaca la experiencia, la cual debe ser entendida como el conocimiento del proponente derivado de su participación previa en actividades iguales o similares a las previstas en el objeto del contrato con contratantes públicos, privados, nacionales o extranjeros. La experiencia puede ser adquirida directamente de manera singularizada o en asocio con otras personas, como es el caso de los proponentes plurales, cuya experiencia no deja de ser personal, sino que, por tratarse de esquemas asociativos, se evalúa </w:t>
      </w:r>
      <w:r>
        <w:rPr>
          <w:rFonts w:ascii="Verdana" w:eastAsia="Calibri" w:hAnsi="Verdana" w:cs="Arial"/>
          <w:lang w:val="es-ES"/>
        </w:rPr>
        <w:t xml:space="preserve">conforme los requisitos previstos en el </w:t>
      </w:r>
      <w:r w:rsidR="00075DF9">
        <w:rPr>
          <w:rFonts w:ascii="Verdana" w:eastAsia="Calibri" w:hAnsi="Verdana" w:cs="Arial"/>
          <w:lang w:val="es-ES"/>
        </w:rPr>
        <w:t>pliego</w:t>
      </w:r>
      <w:r>
        <w:rPr>
          <w:rFonts w:ascii="Verdana" w:eastAsia="Calibri" w:hAnsi="Verdana" w:cs="Arial"/>
          <w:lang w:val="es-ES"/>
        </w:rPr>
        <w:t xml:space="preserve"> de condiciones </w:t>
      </w:r>
      <w:r w:rsidR="00EB6735" w:rsidRPr="00CB6B5F">
        <w:rPr>
          <w:rFonts w:ascii="Verdana" w:eastAsia="Calibri" w:hAnsi="Verdana" w:cs="Arial"/>
          <w:lang w:val="es-ES"/>
        </w:rPr>
        <w:t xml:space="preserve">de forma proporcional a la participación de los miembros en los respectivos consorcios y/o uniones temporales.  </w:t>
      </w:r>
    </w:p>
    <w:p w14:paraId="5D561E87" w14:textId="506B83D5" w:rsidR="00EB6735" w:rsidRDefault="00EB6735" w:rsidP="00EB6735">
      <w:pPr>
        <w:spacing w:after="120" w:line="276" w:lineRule="auto"/>
        <w:ind w:firstLine="709"/>
        <w:jc w:val="both"/>
        <w:rPr>
          <w:rFonts w:ascii="Verdana" w:eastAsia="Calibri" w:hAnsi="Verdana" w:cs="Arial"/>
          <w:lang w:val="es-ES"/>
        </w:rPr>
      </w:pPr>
      <w:r w:rsidRPr="00CB6B5F">
        <w:rPr>
          <w:rFonts w:ascii="Verdana" w:eastAsia="Calibri" w:hAnsi="Verdana" w:cs="Arial"/>
          <w:lang w:val="es-ES"/>
        </w:rPr>
        <w:t xml:space="preserve">En el marco de la contratación pública, la experiencia del proponente se reviste de particular importancia, en la medida en que </w:t>
      </w:r>
      <w:r w:rsidR="006E014C">
        <w:rPr>
          <w:rFonts w:ascii="Verdana" w:eastAsia="Calibri" w:hAnsi="Verdana" w:cs="Arial"/>
          <w:lang w:val="es-ES"/>
        </w:rPr>
        <w:t xml:space="preserve">con ello se </w:t>
      </w:r>
      <w:r w:rsidRPr="00CB6B5F">
        <w:rPr>
          <w:rFonts w:ascii="Verdana" w:eastAsia="Calibri" w:hAnsi="Verdana" w:cs="Arial"/>
          <w:lang w:val="es-ES"/>
        </w:rPr>
        <w:t>garantiza,</w:t>
      </w:r>
      <w:r w:rsidR="006E014C">
        <w:rPr>
          <w:rFonts w:ascii="Verdana" w:eastAsia="Calibri" w:hAnsi="Verdana" w:cs="Arial"/>
          <w:lang w:val="es-ES"/>
        </w:rPr>
        <w:t xml:space="preserve"> el conocimiento en el desarrollo, ejecución del objeto</w:t>
      </w:r>
      <w:r w:rsidR="009770FB">
        <w:rPr>
          <w:rFonts w:ascii="Verdana" w:eastAsia="Calibri" w:hAnsi="Verdana" w:cs="Arial"/>
          <w:lang w:val="es-ES"/>
        </w:rPr>
        <w:t xml:space="preserve">, </w:t>
      </w:r>
      <w:r w:rsidR="006E014C">
        <w:rPr>
          <w:rFonts w:ascii="Verdana" w:eastAsia="Calibri" w:hAnsi="Verdana" w:cs="Arial"/>
          <w:lang w:val="es-ES"/>
        </w:rPr>
        <w:t>obligaciones contra</w:t>
      </w:r>
      <w:r w:rsidR="009770FB">
        <w:rPr>
          <w:rFonts w:ascii="Verdana" w:eastAsia="Calibri" w:hAnsi="Verdana" w:cs="Arial"/>
          <w:lang w:val="es-ES"/>
        </w:rPr>
        <w:t>ctuales</w:t>
      </w:r>
      <w:r w:rsidR="006E014C">
        <w:rPr>
          <w:rFonts w:ascii="Verdana" w:eastAsia="Calibri" w:hAnsi="Verdana" w:cs="Arial"/>
          <w:lang w:val="es-ES"/>
        </w:rPr>
        <w:t xml:space="preserve">, sus riesgos entre otras particularidades del futuro vinculo </w:t>
      </w:r>
      <w:r w:rsidR="00075DF9">
        <w:rPr>
          <w:rFonts w:ascii="Verdana" w:eastAsia="Calibri" w:hAnsi="Verdana" w:cs="Arial"/>
          <w:lang w:val="es-ES"/>
        </w:rPr>
        <w:t xml:space="preserve">negocial, </w:t>
      </w:r>
      <w:r w:rsidR="00075DF9" w:rsidRPr="00CB6B5F">
        <w:rPr>
          <w:rFonts w:ascii="Verdana" w:eastAsia="Calibri" w:hAnsi="Verdana" w:cs="Arial"/>
          <w:lang w:val="es-ES"/>
        </w:rPr>
        <w:t>en</w:t>
      </w:r>
      <w:r w:rsidRPr="00CB6B5F">
        <w:rPr>
          <w:rFonts w:ascii="Verdana" w:eastAsia="Calibri" w:hAnsi="Verdana" w:cs="Arial"/>
          <w:lang w:val="es-ES"/>
        </w:rPr>
        <w:t xml:space="preserve"> cierto grado</w:t>
      </w:r>
      <w:r w:rsidR="006E014C">
        <w:rPr>
          <w:rFonts w:ascii="Verdana" w:eastAsia="Calibri" w:hAnsi="Verdana" w:cs="Arial"/>
          <w:lang w:val="es-ES"/>
        </w:rPr>
        <w:t xml:space="preserve"> busca garantizar</w:t>
      </w:r>
      <w:r w:rsidRPr="00CB6B5F">
        <w:rPr>
          <w:rFonts w:ascii="Verdana" w:eastAsia="Calibri" w:hAnsi="Verdana" w:cs="Arial"/>
          <w:lang w:val="es-ES"/>
        </w:rPr>
        <w:t>, que no habrá improvisación ni mayores costos por errores o dificultades originadas en realizar una actividad por primera vez.  Las Entidades Estatales contratantes, como responsables de la estructuración de los Procesos de Contratación, son autónomas para establecer los requisitos habilitantes de experiencia, de acuerdo con el estudio realizado en marco del análisis del sector</w:t>
      </w:r>
      <w:r>
        <w:rPr>
          <w:rStyle w:val="Refdenotaalpie"/>
          <w:rFonts w:ascii="Verdana" w:eastAsia="Calibri" w:hAnsi="Verdana" w:cs="Arial"/>
          <w:lang w:val="es-ES"/>
        </w:rPr>
        <w:footnoteReference w:id="1"/>
      </w:r>
      <w:r>
        <w:rPr>
          <w:rFonts w:ascii="Verdana" w:eastAsia="Calibri" w:hAnsi="Verdana" w:cs="Arial"/>
          <w:lang w:val="es-ES"/>
        </w:rPr>
        <w:t>.</w:t>
      </w:r>
    </w:p>
    <w:p w14:paraId="4BDE1269" w14:textId="354B329A" w:rsidR="00EB6735" w:rsidRPr="003C02EC" w:rsidRDefault="00EB6735" w:rsidP="00EB6735">
      <w:pPr>
        <w:spacing w:after="120" w:line="276" w:lineRule="auto"/>
        <w:ind w:firstLine="709"/>
        <w:jc w:val="both"/>
        <w:rPr>
          <w:rFonts w:ascii="Verdana" w:eastAsia="Arial" w:hAnsi="Verdana" w:cs="Arial"/>
        </w:rPr>
      </w:pPr>
      <w:r w:rsidRPr="009F23D3">
        <w:rPr>
          <w:rFonts w:ascii="Verdana" w:eastAsia="Arial" w:hAnsi="Verdana" w:cs="Arial"/>
        </w:rPr>
        <w:t>El artículo 5 de la Ley 1150 de 2007 dispone que la capacidad jurídica y las condiciones de experiencia, capacidad financiera y organización de los proponentes serán objeto de verificación por parte de las Entidades Estatales como requisitos habilitantes para participar en los procesos de selección y no otorgarán puntaje. Lo anterior con excepción de la selección de consultores mediante un concurso de méritos, donde es posible otorga</w:t>
      </w:r>
      <w:r w:rsidR="009770FB">
        <w:rPr>
          <w:rFonts w:ascii="Verdana" w:eastAsia="Arial" w:hAnsi="Verdana" w:cs="Arial"/>
        </w:rPr>
        <w:t>r</w:t>
      </w:r>
      <w:r w:rsidRPr="009F23D3">
        <w:rPr>
          <w:rFonts w:ascii="Verdana" w:eastAsia="Arial" w:hAnsi="Verdana" w:cs="Arial"/>
        </w:rPr>
        <w:t xml:space="preserve"> puntaje al criterio de experiencia.</w:t>
      </w:r>
    </w:p>
    <w:p w14:paraId="2175192B" w14:textId="77777777" w:rsidR="00EB6735" w:rsidRPr="009F23D3" w:rsidRDefault="00EB6735" w:rsidP="00EB6735">
      <w:pPr>
        <w:spacing w:after="120" w:line="276" w:lineRule="auto"/>
        <w:ind w:firstLine="708"/>
        <w:jc w:val="both"/>
        <w:rPr>
          <w:rFonts w:ascii="Verdana" w:eastAsia="Calibri" w:hAnsi="Verdana" w:cs="Arial"/>
          <w:color w:val="000000" w:themeColor="text1"/>
        </w:rPr>
      </w:pPr>
      <w:r w:rsidRPr="009F23D3">
        <w:rPr>
          <w:rFonts w:ascii="Verdana" w:eastAsia="Calibri" w:hAnsi="Verdana" w:cs="Arial"/>
          <w:color w:val="000000" w:themeColor="text1"/>
        </w:rPr>
        <w:lastRenderedPageBreak/>
        <w:t>La experiencia que se deriva de los contratos que el proponente ha celebrado y ejecutado con diferentes contratantes, sin importar la naturaleza de estos, se verifica con el Registro Único de Proponentes –en adelante RUP–</w:t>
      </w:r>
      <w:r w:rsidRPr="009F23D3">
        <w:rPr>
          <w:rStyle w:val="Refdenotaalpie"/>
          <w:rFonts w:ascii="Verdana" w:eastAsia="Calibri" w:hAnsi="Verdana" w:cs="Arial"/>
          <w:color w:val="000000" w:themeColor="text1"/>
        </w:rPr>
        <w:footnoteReference w:id="2"/>
      </w:r>
      <w:r w:rsidRPr="009F23D3">
        <w:rPr>
          <w:rFonts w:ascii="Verdana" w:eastAsia="Calibri" w:hAnsi="Verdana" w:cs="Arial"/>
          <w:color w:val="000000" w:themeColor="text1"/>
        </w:rPr>
        <w:t>, cuando este certificado sea exigible de acuerdo con la ley. En este registro constan los requisitos habilitantes que se evalúan exclusivamente con este documento, que es plena prueba, sin que la entidad o el proponente puedan solicitar o aportar otra documentación</w:t>
      </w:r>
      <w:r w:rsidRPr="009F23D3">
        <w:rPr>
          <w:rStyle w:val="Refdenotaalpie"/>
          <w:rFonts w:ascii="Verdana" w:eastAsia="Calibri" w:hAnsi="Verdana" w:cs="Arial"/>
          <w:color w:val="000000" w:themeColor="text1"/>
        </w:rPr>
        <w:footnoteReference w:id="3"/>
      </w:r>
      <w:r w:rsidRPr="009F23D3">
        <w:rPr>
          <w:rFonts w:ascii="Verdana" w:eastAsia="Calibri" w:hAnsi="Verdana" w:cs="Arial"/>
          <w:color w:val="000000" w:themeColor="text1"/>
        </w:rPr>
        <w:t>.</w:t>
      </w:r>
    </w:p>
    <w:p w14:paraId="245343FD" w14:textId="77777777" w:rsidR="00EB6735" w:rsidRDefault="00EB6735" w:rsidP="00EB6735">
      <w:pPr>
        <w:spacing w:after="120" w:line="276" w:lineRule="auto"/>
        <w:ind w:firstLine="708"/>
        <w:jc w:val="both"/>
        <w:rPr>
          <w:rFonts w:ascii="Verdana" w:eastAsia="Arial" w:hAnsi="Verdana" w:cs="Arial"/>
        </w:rPr>
      </w:pPr>
      <w:r w:rsidRPr="009F23D3">
        <w:rPr>
          <w:rFonts w:ascii="Verdana" w:eastAsia="Arial" w:hAnsi="Verdana" w:cs="Arial"/>
        </w:rPr>
        <w:t>Por otra parte, el artículo 6 de la Ley 1150 de 2007 señala que todas las personas naturales o jurídicas, nacionales o extranjeras, domiciliadas o con sucursal en Colombia, que aspiren celebrar contratos con las Entidades deberán estar inscritas en el RUP.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296411AF" w14:textId="77777777" w:rsidR="00EB6735" w:rsidRPr="00F734EB" w:rsidRDefault="00EB6735" w:rsidP="00EB6735">
      <w:pPr>
        <w:spacing w:after="120" w:line="276" w:lineRule="auto"/>
        <w:ind w:firstLine="708"/>
        <w:jc w:val="both"/>
        <w:rPr>
          <w:rFonts w:ascii="Verdana" w:eastAsia="Calibri" w:hAnsi="Verdana" w:cs="Arial"/>
        </w:rPr>
      </w:pPr>
      <w:r w:rsidRPr="00F734EB">
        <w:rPr>
          <w:rFonts w:ascii="Verdana" w:eastAsia="Calibri" w:hAnsi="Verdana" w:cs="Arial"/>
        </w:rPr>
        <w:t>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w:t>
      </w:r>
    </w:p>
    <w:p w14:paraId="15773FA9" w14:textId="77777777" w:rsidR="00B70413" w:rsidRDefault="00B70413" w:rsidP="00EB6735">
      <w:pPr>
        <w:spacing w:before="120" w:after="120" w:line="276" w:lineRule="auto"/>
        <w:ind w:firstLine="709"/>
        <w:jc w:val="both"/>
        <w:rPr>
          <w:rFonts w:ascii="Verdana" w:eastAsia="Calibri" w:hAnsi="Verdana" w:cs="Arial"/>
          <w:color w:val="000000" w:themeColor="text1"/>
        </w:rPr>
      </w:pPr>
    </w:p>
    <w:p w14:paraId="7F073911" w14:textId="01AE441A" w:rsidR="00EB6735" w:rsidRPr="009F23D3" w:rsidRDefault="00EB6735" w:rsidP="00EB6735">
      <w:pPr>
        <w:spacing w:before="120" w:after="120" w:line="276" w:lineRule="auto"/>
        <w:ind w:firstLine="709"/>
        <w:jc w:val="both"/>
        <w:rPr>
          <w:rFonts w:ascii="Verdana" w:eastAsia="Calibri" w:hAnsi="Verdana" w:cs="Arial"/>
          <w:color w:val="000000" w:themeColor="text1"/>
        </w:rPr>
      </w:pPr>
      <w:r w:rsidRPr="009F23D3">
        <w:rPr>
          <w:rFonts w:ascii="Verdana" w:eastAsia="Calibri" w:hAnsi="Verdana" w:cs="Arial"/>
          <w:color w:val="000000" w:themeColor="text1"/>
        </w:rPr>
        <w:lastRenderedPageBreak/>
        <w:t>El numeral 2.1 del artículo 2.2.1.1.1.5.2 del Decreto 1082 de 2015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9F23D3">
        <w:rPr>
          <w:rFonts w:ascii="Verdana" w:eastAsia="Calibri" w:hAnsi="Verdana" w:cs="Arial"/>
          <w:color w:val="000000" w:themeColor="text1"/>
          <w:vertAlign w:val="superscript"/>
        </w:rPr>
        <w:footnoteReference w:id="4"/>
      </w:r>
      <w:r w:rsidRPr="009F23D3">
        <w:rPr>
          <w:rFonts w:ascii="Verdana" w:eastAsia="Calibri" w:hAnsi="Verdana" w:cs="Arial"/>
          <w:color w:val="000000" w:themeColor="text1"/>
        </w:rPr>
        <w:t>. De la misma forma, el numeral 2.5. ibidem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r w:rsidRPr="009F23D3">
        <w:rPr>
          <w:rFonts w:ascii="Verdana" w:eastAsia="Calibri" w:hAnsi="Verdana" w:cs="Arial"/>
          <w:color w:val="000000" w:themeColor="text1"/>
          <w:vertAlign w:val="superscript"/>
        </w:rPr>
        <w:footnoteReference w:id="5"/>
      </w:r>
      <w:r w:rsidRPr="009F23D3">
        <w:rPr>
          <w:rFonts w:ascii="Verdana" w:eastAsia="Calibri" w:hAnsi="Verdana" w:cs="Arial"/>
          <w:color w:val="000000" w:themeColor="text1"/>
        </w:rPr>
        <w:t>.</w:t>
      </w:r>
    </w:p>
    <w:p w14:paraId="1C41FDBB" w14:textId="77777777" w:rsidR="00B70413" w:rsidRDefault="00EB6735" w:rsidP="00EB6735">
      <w:pPr>
        <w:spacing w:before="120" w:after="120" w:line="276" w:lineRule="auto"/>
        <w:ind w:firstLine="709"/>
        <w:jc w:val="both"/>
        <w:rPr>
          <w:rFonts w:ascii="Verdana" w:eastAsia="Calibri" w:hAnsi="Verdana" w:cs="Arial"/>
          <w:color w:val="000000" w:themeColor="text1"/>
        </w:rPr>
      </w:pPr>
      <w:r w:rsidRPr="009F23D3">
        <w:rPr>
          <w:rFonts w:ascii="Verdana" w:eastAsia="Calibri" w:hAnsi="Verdana" w:cs="Arial"/>
          <w:color w:val="000000" w:themeColor="text1"/>
        </w:rPr>
        <w:t xml:space="preserve">El interesado debe indicar en cada certificado, o en cada copia de los contratos, los bienes, obras y servicios a los cuales corresponde la experiencia que pretende acreditar, identificándolos con el Clasificador de Bienes y Servicios, en el tercer nivel. </w:t>
      </w:r>
    </w:p>
    <w:p w14:paraId="532540DA" w14:textId="65B66334" w:rsidR="00EB6735" w:rsidRPr="009F23D3" w:rsidRDefault="00EB6735" w:rsidP="00EB6735">
      <w:pPr>
        <w:spacing w:before="120" w:after="120" w:line="276" w:lineRule="auto"/>
        <w:ind w:firstLine="709"/>
        <w:jc w:val="both"/>
        <w:rPr>
          <w:rFonts w:ascii="Verdana" w:eastAsia="Calibri" w:hAnsi="Verdana" w:cs="Arial"/>
          <w:color w:val="000000" w:themeColor="text1"/>
        </w:rPr>
      </w:pPr>
      <w:r w:rsidRPr="009F23D3">
        <w:rPr>
          <w:rFonts w:ascii="Verdana" w:eastAsia="Calibri" w:hAnsi="Verdana" w:cs="Arial"/>
          <w:color w:val="000000" w:themeColor="text1"/>
        </w:rPr>
        <w:t xml:space="preserve">La parte final de ese numeral 2.5. indica que “Si la constitución del interesado es menor a tres (3) años, puede acreditar la experiencia de sus accionistas, socios o constituyentes”. De este modo, se evidencia que, la parte final del numeral 2.5 del artículo citado incluye una medida diferenciada para las personas jurídicas cuya constitución sea menor a tres (3) años al momento del registro. Esta prerrogativa, que puede entenderse como una medida de fomento a la participación de pequeños oferentes en la contratación estatal, permite que las sociedades relativamente nuevas ─con menos de tres (3) años de constitución─ puedan acreditar como experiencia en el RUP la de sus accionistas, </w:t>
      </w:r>
      <w:r w:rsidRPr="009F23D3">
        <w:rPr>
          <w:rFonts w:ascii="Verdana" w:eastAsia="Calibri" w:hAnsi="Verdana" w:cs="Arial"/>
          <w:color w:val="000000" w:themeColor="text1"/>
        </w:rPr>
        <w:lastRenderedPageBreak/>
        <w:t>socios o constituyentes</w:t>
      </w:r>
      <w:r w:rsidR="00B70413">
        <w:rPr>
          <w:rFonts w:ascii="Verdana" w:eastAsia="Calibri" w:hAnsi="Verdana" w:cs="Arial"/>
          <w:color w:val="000000" w:themeColor="text1"/>
        </w:rPr>
        <w:t xml:space="preserve"> entendiendo por supuesto que deben ostentar tal calidad al momento en que pretendan hacer uso de dicha facultad de acreditación de experiencia</w:t>
      </w:r>
      <w:r w:rsidRPr="009F23D3">
        <w:rPr>
          <w:rFonts w:ascii="Verdana" w:eastAsia="Calibri" w:hAnsi="Verdana" w:cs="Arial"/>
          <w:color w:val="000000" w:themeColor="text1"/>
        </w:rPr>
        <w:t>.</w:t>
      </w:r>
    </w:p>
    <w:p w14:paraId="5735D8D0" w14:textId="739CEB3E" w:rsidR="00EB6735" w:rsidRDefault="00EB6735" w:rsidP="00EB6735">
      <w:pPr>
        <w:spacing w:after="120" w:line="276" w:lineRule="auto"/>
        <w:ind w:firstLine="708"/>
        <w:jc w:val="both"/>
        <w:rPr>
          <w:rFonts w:ascii="Verdana" w:eastAsia="Calibri" w:hAnsi="Verdana" w:cs="Arial"/>
          <w:color w:val="000000" w:themeColor="text1"/>
        </w:rPr>
      </w:pPr>
      <w:r w:rsidRPr="009F23D3">
        <w:rPr>
          <w:rFonts w:ascii="Verdana" w:eastAsia="Calibri" w:hAnsi="Verdana" w:cs="Arial"/>
          <w:color w:val="000000" w:themeColor="text1"/>
        </w:rPr>
        <w:t>A pesar de que la experiencia es inherente a la persona que la ha obtenido, razón por la cual es, en principio, intransferible en virtud de su carácter personalísimo, por disposición legal o reglamentaria, casos excepcionales, como el descrito en el artículo mencionado, se aplica de otra manera. 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puntuales que establezcan las Entidades Estatales en sus procesos de contratación, de esta forma promover el desarrollo de la empresa</w:t>
      </w:r>
      <w:r w:rsidR="00B70413">
        <w:rPr>
          <w:rFonts w:ascii="Verdana" w:eastAsia="Calibri" w:hAnsi="Verdana" w:cs="Arial"/>
          <w:color w:val="000000" w:themeColor="text1"/>
        </w:rPr>
        <w:t>,</w:t>
      </w:r>
      <w:r w:rsidRPr="009F23D3">
        <w:rPr>
          <w:rFonts w:ascii="Verdana" w:eastAsia="Calibri" w:hAnsi="Verdana" w:cs="Arial"/>
          <w:color w:val="000000" w:themeColor="text1"/>
        </w:rPr>
        <w:t xml:space="preserve"> la pluralidad de oferentes en la contratación pública</w:t>
      </w:r>
      <w:r w:rsidR="00B70413">
        <w:rPr>
          <w:rFonts w:ascii="Verdana" w:eastAsia="Calibri" w:hAnsi="Verdana" w:cs="Arial"/>
          <w:color w:val="000000" w:themeColor="text1"/>
        </w:rPr>
        <w:t xml:space="preserve"> y por supuesto que dicha experiencia transferida a la persona jurídica proponente va a garantizar en un momento dado, el cumplimiento del objeto y obligaciones contractuales</w:t>
      </w:r>
      <w:r w:rsidRPr="009F23D3">
        <w:rPr>
          <w:rFonts w:ascii="Verdana" w:eastAsia="Calibri" w:hAnsi="Verdana" w:cs="Arial"/>
          <w:color w:val="000000" w:themeColor="text1"/>
        </w:rPr>
        <w:t>.</w:t>
      </w:r>
    </w:p>
    <w:p w14:paraId="47CB99CD" w14:textId="77777777" w:rsidR="00EB6735" w:rsidRPr="009F23D3" w:rsidRDefault="00EB6735" w:rsidP="00EB6735">
      <w:pPr>
        <w:spacing w:after="120" w:line="276" w:lineRule="auto"/>
        <w:ind w:firstLine="708"/>
        <w:jc w:val="both"/>
        <w:rPr>
          <w:rFonts w:ascii="Verdana" w:eastAsia="Times New Roman" w:hAnsi="Verdana" w:cs="Arial"/>
          <w:lang w:val="es-MX" w:eastAsia="es-ES_tradnl"/>
        </w:rPr>
      </w:pPr>
      <w:r w:rsidRPr="009F23D3">
        <w:rPr>
          <w:rFonts w:ascii="Verdana" w:eastAsia="Times New Roman" w:hAnsi="Verdana" w:cs="Arial"/>
          <w:lang w:val="es-MX" w:eastAsia="es-ES_tradnl"/>
        </w:rPr>
        <w:t>Sin embargo, debe aclararse que el Decreto 1082 de 2015 sólo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aceptable que la sociedad acredite la experiencia aportada por dicha persona. Esta interpretación, además, se impone en atención al fin de evitar prácticas corruptas o que atenten contra la transparencia en la contratación estatal, por lo que la experiencia aportada por quien se retira no deberá tenerse en cuenta por las Entidades Estatales, y no debería ser utilizada por el proponente en procesos de contratación, ya que es inherente a la persona que la ha obtenido.</w:t>
      </w:r>
    </w:p>
    <w:p w14:paraId="68D81913" w14:textId="77777777" w:rsidR="00EB6735" w:rsidRDefault="00EB6735" w:rsidP="00EB6735">
      <w:pPr>
        <w:spacing w:after="120" w:line="276" w:lineRule="auto"/>
        <w:ind w:firstLine="708"/>
        <w:jc w:val="both"/>
        <w:rPr>
          <w:rFonts w:ascii="Verdana" w:eastAsia="Times New Roman" w:hAnsi="Verdana" w:cs="Arial"/>
          <w:lang w:val="es-MX" w:eastAsia="es-ES_tradnl"/>
        </w:rPr>
      </w:pPr>
      <w:r w:rsidRPr="009F23D3">
        <w:rPr>
          <w:rFonts w:ascii="Verdana" w:eastAsia="Times New Roman" w:hAnsi="Verdana" w:cs="Arial"/>
          <w:lang w:val="es-MX" w:eastAsia="es-ES_tradnl"/>
        </w:rPr>
        <w:t>En ese contexto,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3C66CAF1" w14:textId="77777777" w:rsidR="00B70413" w:rsidRDefault="00B70413" w:rsidP="00B70413">
      <w:pPr>
        <w:spacing w:after="120" w:line="276" w:lineRule="auto"/>
        <w:ind w:firstLine="708"/>
        <w:jc w:val="both"/>
        <w:rPr>
          <w:rFonts w:ascii="Verdana" w:eastAsia="Calibri" w:hAnsi="Verdana" w:cs="Arial"/>
          <w:color w:val="000000" w:themeColor="text1"/>
        </w:rPr>
      </w:pPr>
    </w:p>
    <w:p w14:paraId="4C050921" w14:textId="77777777" w:rsidR="00B70413" w:rsidRDefault="00B70413" w:rsidP="00B70413">
      <w:pPr>
        <w:spacing w:after="120" w:line="276" w:lineRule="auto"/>
        <w:ind w:firstLine="708"/>
        <w:jc w:val="both"/>
        <w:rPr>
          <w:rFonts w:ascii="Verdana" w:eastAsia="Calibri" w:hAnsi="Verdana" w:cs="Arial"/>
          <w:color w:val="000000" w:themeColor="text1"/>
        </w:rPr>
      </w:pPr>
    </w:p>
    <w:p w14:paraId="10D11C01" w14:textId="2C9AFEEC" w:rsidR="00B70413" w:rsidRDefault="00B70413" w:rsidP="00E56489">
      <w:pPr>
        <w:spacing w:after="120" w:line="276" w:lineRule="auto"/>
        <w:ind w:firstLine="708"/>
        <w:jc w:val="both"/>
        <w:rPr>
          <w:rFonts w:ascii="Verdana" w:eastAsia="Calibri" w:hAnsi="Verdana" w:cs="Arial"/>
          <w:color w:val="000000" w:themeColor="text1"/>
        </w:rPr>
      </w:pPr>
      <w:r>
        <w:rPr>
          <w:rFonts w:ascii="Verdana" w:eastAsia="Calibri" w:hAnsi="Verdana" w:cs="Arial"/>
          <w:color w:val="000000" w:themeColor="text1"/>
        </w:rPr>
        <w:lastRenderedPageBreak/>
        <w:t>Así las cosas, es imperativo que l</w:t>
      </w:r>
      <w:r w:rsidRPr="00B70413">
        <w:rPr>
          <w:rFonts w:ascii="Verdana" w:eastAsia="Calibri" w:hAnsi="Verdana" w:cs="Arial"/>
          <w:color w:val="000000" w:themeColor="text1"/>
        </w:rPr>
        <w:t>a sociedad manten</w:t>
      </w:r>
      <w:r w:rsidR="00E56489">
        <w:rPr>
          <w:rFonts w:ascii="Verdana" w:eastAsia="Calibri" w:hAnsi="Verdana" w:cs="Arial"/>
          <w:color w:val="000000" w:themeColor="text1"/>
        </w:rPr>
        <w:t>ga</w:t>
      </w:r>
      <w:r w:rsidRPr="00B70413">
        <w:rPr>
          <w:rFonts w:ascii="Verdana" w:eastAsia="Calibri" w:hAnsi="Verdana" w:cs="Arial"/>
          <w:color w:val="000000" w:themeColor="text1"/>
        </w:rPr>
        <w:t xml:space="preserve"> actualizada la información registrada en el RUP, incluyendo los cambios en su composición societaria</w:t>
      </w:r>
      <w:r w:rsidR="00E56489">
        <w:rPr>
          <w:rFonts w:ascii="Verdana" w:eastAsia="Calibri" w:hAnsi="Verdana" w:cs="Arial"/>
          <w:color w:val="000000" w:themeColor="text1"/>
        </w:rPr>
        <w:t>,</w:t>
      </w:r>
      <w:r w:rsidRPr="00B70413">
        <w:rPr>
          <w:rFonts w:ascii="Verdana" w:eastAsia="Calibri" w:hAnsi="Verdana" w:cs="Arial"/>
          <w:color w:val="000000" w:themeColor="text1"/>
        </w:rPr>
        <w:t xml:space="preserve"> ya que el requisito normativo </w:t>
      </w:r>
      <w:r w:rsidR="00E56489">
        <w:rPr>
          <w:rFonts w:ascii="Verdana" w:eastAsia="Calibri" w:hAnsi="Verdana" w:cs="Arial"/>
          <w:color w:val="000000" w:themeColor="text1"/>
        </w:rPr>
        <w:t xml:space="preserve">en cuestión </w:t>
      </w:r>
      <w:r w:rsidRPr="00B70413">
        <w:rPr>
          <w:rFonts w:ascii="Verdana" w:eastAsia="Calibri" w:hAnsi="Verdana" w:cs="Arial"/>
          <w:color w:val="000000" w:themeColor="text1"/>
        </w:rPr>
        <w:t>se fundamenta en que los socios aporten su experiencia mientras conserven tal calidad.</w:t>
      </w:r>
    </w:p>
    <w:p w14:paraId="4546D24E" w14:textId="4B3379B6" w:rsidR="00EB6735" w:rsidRPr="009F23D3" w:rsidRDefault="00EB6735" w:rsidP="00EB6735">
      <w:pPr>
        <w:spacing w:after="120" w:line="276" w:lineRule="auto"/>
        <w:ind w:firstLine="708"/>
        <w:jc w:val="both"/>
        <w:rPr>
          <w:rFonts w:ascii="Verdana" w:eastAsia="Calibri" w:hAnsi="Verdana" w:cs="Arial"/>
          <w:color w:val="000000" w:themeColor="text1"/>
        </w:rPr>
      </w:pPr>
      <w:r>
        <w:rPr>
          <w:rFonts w:ascii="Verdana" w:eastAsia="Calibri" w:hAnsi="Verdana" w:cs="Arial"/>
          <w:color w:val="000000" w:themeColor="text1"/>
        </w:rPr>
        <w:t>Finalmente</w:t>
      </w:r>
      <w:r w:rsidRPr="00CB6B5F">
        <w:rPr>
          <w:rFonts w:ascii="Verdana" w:eastAsia="Calibri" w:hAnsi="Verdana" w:cs="Arial"/>
          <w:color w:val="000000" w:themeColor="text1"/>
        </w:rPr>
        <w:t xml:space="preserve">, se resalta que las entidades estatales son autónomas en la estructuración de sus procedimientos contractuales, por lo cual en sus pliegos de condiciones pueden establecer las reglas de acreditación de la experiencia de los proponentes plurales, siempre que esta sea proporcional a la de sus integrantes.   </w:t>
      </w:r>
    </w:p>
    <w:p w14:paraId="48FEE376" w14:textId="77777777" w:rsidR="00EB6735" w:rsidRPr="009F23D3" w:rsidRDefault="00EB6735" w:rsidP="00EB6735">
      <w:pPr>
        <w:spacing w:after="120" w:line="276" w:lineRule="auto"/>
        <w:jc w:val="both"/>
        <w:rPr>
          <w:rFonts w:ascii="Arial" w:eastAsia="Calibri" w:hAnsi="Arial" w:cs="Arial"/>
          <w:color w:val="000000" w:themeColor="text1"/>
        </w:rPr>
      </w:pPr>
    </w:p>
    <w:p w14:paraId="7568F9A2" w14:textId="77777777" w:rsidR="00EB6735" w:rsidRPr="00593A5F" w:rsidRDefault="00EB6735" w:rsidP="00EB673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73DBEE6" w14:textId="77777777" w:rsidR="00EB6735" w:rsidRPr="00593A5F" w:rsidRDefault="00EB6735" w:rsidP="00EB673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B6735" w:rsidRPr="00593A5F" w14:paraId="0850C05B" w14:textId="77777777" w:rsidTr="00A22AF0">
        <w:trPr>
          <w:trHeight w:val="870"/>
        </w:trPr>
        <w:tc>
          <w:tcPr>
            <w:tcW w:w="8647" w:type="dxa"/>
          </w:tcPr>
          <w:p w14:paraId="76D171EA" w14:textId="77777777" w:rsidR="00EB6735" w:rsidRPr="005215F8" w:rsidRDefault="00EB6735" w:rsidP="00EB6735">
            <w:pPr>
              <w:pStyle w:val="Prrafodelista"/>
              <w:numPr>
                <w:ilvl w:val="0"/>
                <w:numId w:val="17"/>
              </w:numPr>
              <w:spacing w:after="120" w:line="276" w:lineRule="auto"/>
              <w:ind w:left="714" w:hanging="357"/>
              <w:jc w:val="both"/>
              <w:rPr>
                <w:rFonts w:ascii="Verdana" w:hAnsi="Verdana"/>
              </w:rPr>
            </w:pPr>
            <w:r w:rsidRPr="005215F8">
              <w:rPr>
                <w:rFonts w:ascii="Verdana" w:eastAsia="Arial" w:hAnsi="Verdana" w:cs="Arial"/>
              </w:rPr>
              <w:t>Ley 1150 de 2007 - Artículo 5, 6</w:t>
            </w:r>
            <w:r w:rsidRPr="005215F8">
              <w:rPr>
                <w:rFonts w:ascii="Verdana" w:hAnsi="Verdana"/>
              </w:rPr>
              <w:t xml:space="preserve"> </w:t>
            </w:r>
          </w:p>
          <w:p w14:paraId="5C0C2195" w14:textId="77777777" w:rsidR="00EB6735" w:rsidRPr="000633FE" w:rsidRDefault="00EB6735" w:rsidP="00EB6735">
            <w:pPr>
              <w:pStyle w:val="Prrafodelista"/>
              <w:numPr>
                <w:ilvl w:val="0"/>
                <w:numId w:val="17"/>
              </w:numPr>
              <w:spacing w:after="120" w:line="276" w:lineRule="auto"/>
              <w:ind w:left="714" w:hanging="357"/>
              <w:jc w:val="both"/>
            </w:pPr>
            <w:r w:rsidRPr="005215F8">
              <w:rPr>
                <w:rFonts w:ascii="Verdana" w:hAnsi="Verdana"/>
              </w:rPr>
              <w:t>Decreto 1082 de 2015 - Artículo 2.2.1.1.1.6.2.</w:t>
            </w:r>
            <w:r w:rsidRPr="005215F8">
              <w:rPr>
                <w:rFonts w:ascii="Verdana" w:hAnsi="Verdana" w:cs="Arial"/>
              </w:rPr>
              <w:t xml:space="preserve">; 2.2.1.1.1.5.3.; </w:t>
            </w:r>
            <w:r w:rsidRPr="005215F8">
              <w:rPr>
                <w:rFonts w:ascii="Verdana" w:eastAsia="Calibri" w:hAnsi="Verdana" w:cs="Arial"/>
                <w:color w:val="000000" w:themeColor="text1"/>
              </w:rPr>
              <w:t>2.2.1.1.1.5.2 numeral 2.1, 2.5</w:t>
            </w:r>
          </w:p>
          <w:p w14:paraId="58712978" w14:textId="77777777" w:rsidR="00EB6735" w:rsidRPr="00D97499" w:rsidRDefault="00EB6735" w:rsidP="00EB6735">
            <w:pPr>
              <w:pStyle w:val="Prrafodelista"/>
              <w:numPr>
                <w:ilvl w:val="0"/>
                <w:numId w:val="17"/>
              </w:numPr>
              <w:spacing w:after="120" w:line="276" w:lineRule="auto"/>
              <w:ind w:left="714" w:hanging="357"/>
              <w:jc w:val="both"/>
            </w:pPr>
            <w:r>
              <w:rPr>
                <w:rFonts w:ascii="Verdana" w:eastAsia="Arial" w:hAnsi="Verdana" w:cs="Arial"/>
              </w:rPr>
              <w:t>Agencia Nacional de Contratación Pública – Colombia Compra Eficiente: “</w:t>
            </w:r>
            <w:r w:rsidRPr="009F23D3">
              <w:rPr>
                <w:rFonts w:ascii="Verdana" w:eastAsia="Arial" w:hAnsi="Verdana" w:cs="Arial"/>
              </w:rPr>
              <w:t>Manual para determinar y verificar requisitos habilitantes en los procesos de contratación</w:t>
            </w:r>
            <w:r>
              <w:rPr>
                <w:rFonts w:ascii="Verdana" w:eastAsia="Arial" w:hAnsi="Verdana" w:cs="Arial"/>
              </w:rPr>
              <w:t xml:space="preserve">”. Disponible: </w:t>
            </w:r>
            <w:hyperlink r:id="rId16" w:history="1">
              <w:r w:rsidRPr="000633FE">
                <w:rPr>
                  <w:rStyle w:val="Hipervnculo"/>
                  <w:rFonts w:ascii="Verdana" w:eastAsia="Arial" w:hAnsi="Verdana" w:cs="Arial"/>
                </w:rPr>
                <w:t>Aquí</w:t>
              </w:r>
            </w:hyperlink>
            <w:r>
              <w:rPr>
                <w:rFonts w:ascii="Verdana" w:eastAsia="Arial" w:hAnsi="Verdana" w:cs="Arial"/>
              </w:rPr>
              <w:t xml:space="preserve"> </w:t>
            </w:r>
          </w:p>
        </w:tc>
      </w:tr>
    </w:tbl>
    <w:p w14:paraId="754E9F5A" w14:textId="77777777" w:rsidR="00EB6735" w:rsidRPr="00593A5F" w:rsidRDefault="00EB6735" w:rsidP="00EB6735">
      <w:pPr>
        <w:widowControl w:val="0"/>
        <w:autoSpaceDE w:val="0"/>
        <w:autoSpaceDN w:val="0"/>
        <w:spacing w:after="0" w:line="276" w:lineRule="auto"/>
        <w:jc w:val="both"/>
        <w:rPr>
          <w:rFonts w:ascii="Verdana" w:hAnsi="Verdana" w:cs="Arial"/>
        </w:rPr>
      </w:pPr>
    </w:p>
    <w:p w14:paraId="42668E64" w14:textId="77777777" w:rsidR="00EB6735" w:rsidRPr="00593A5F" w:rsidRDefault="00EB6735" w:rsidP="00EB673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737157C9" w14:textId="77777777" w:rsidR="00EB6735" w:rsidRPr="00593A5F" w:rsidRDefault="00EB6735" w:rsidP="00EB6735">
      <w:pPr>
        <w:widowControl w:val="0"/>
        <w:autoSpaceDE w:val="0"/>
        <w:autoSpaceDN w:val="0"/>
        <w:spacing w:after="0" w:line="276" w:lineRule="auto"/>
        <w:jc w:val="both"/>
        <w:rPr>
          <w:rFonts w:ascii="Verdana" w:hAnsi="Verdana" w:cs="Arial"/>
        </w:rPr>
      </w:pPr>
    </w:p>
    <w:p w14:paraId="5E41A278" w14:textId="2452DB94" w:rsidR="00EB6735" w:rsidRDefault="00EB6735" w:rsidP="00EB6735">
      <w:pPr>
        <w:spacing w:after="120" w:line="276" w:lineRule="auto"/>
        <w:jc w:val="both"/>
        <w:rPr>
          <w:rFonts w:ascii="Verdana" w:hAnsi="Verdana" w:cs="Arial"/>
          <w:shd w:val="clear" w:color="auto" w:fill="FFFFFF"/>
        </w:rPr>
      </w:pPr>
      <w:r w:rsidRPr="009C0079">
        <w:rPr>
          <w:rFonts w:ascii="Verdana" w:hAnsi="Verdana" w:cs="Arial"/>
          <w:shd w:val="clear" w:color="auto" w:fill="FFFFFF"/>
        </w:rPr>
        <w:t xml:space="preserve">La Agencia Nacional de Contratación Pública – Colombia Compra Eficiente, se pronunció sobre la acreditación de experiencia de socios por parte de sociedades con menos de tres años de constitución, en los conceptos </w:t>
      </w:r>
      <w:r w:rsidRPr="009C0079">
        <w:rPr>
          <w:rFonts w:ascii="Verdana" w:eastAsia="Arial MT" w:hAnsi="Verdana" w:cs="Arial"/>
          <w:lang w:val="es-ES"/>
        </w:rPr>
        <w:t xml:space="preserve">C-725 del 25 de enero 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 C-128 del 18 de mayo de 2023, C-146 de 13 de junio de 2023, C-261 del 13 de julio de 2023, C-466 del 01 de diciembre de 2023, </w:t>
      </w:r>
      <w:r w:rsidR="00DC11BA">
        <w:rPr>
          <w:rFonts w:ascii="Verdana" w:eastAsia="Arial MT" w:hAnsi="Verdana" w:cs="Arial"/>
          <w:lang w:val="es-ES"/>
        </w:rPr>
        <w:t>C-088 de 2024</w:t>
      </w:r>
      <w:r w:rsidR="00660EE4">
        <w:rPr>
          <w:rFonts w:ascii="Verdana" w:eastAsia="Arial MT" w:hAnsi="Verdana" w:cs="Arial"/>
          <w:lang w:val="es-ES"/>
        </w:rPr>
        <w:t xml:space="preserve"> del 13 junio de 2024</w:t>
      </w:r>
      <w:r w:rsidR="00DC11BA">
        <w:rPr>
          <w:rFonts w:ascii="Verdana" w:eastAsia="Arial MT" w:hAnsi="Verdana" w:cs="Arial"/>
          <w:lang w:val="es-ES"/>
        </w:rPr>
        <w:t xml:space="preserve">, </w:t>
      </w:r>
      <w:r w:rsidRPr="009C0079">
        <w:rPr>
          <w:rFonts w:ascii="Verdana" w:eastAsia="Arial MT" w:hAnsi="Verdana" w:cs="Arial"/>
          <w:lang w:val="es-ES"/>
        </w:rPr>
        <w:t>entre otros.</w:t>
      </w:r>
      <w:r w:rsidRPr="009C0079">
        <w:rPr>
          <w:rFonts w:ascii="Verdana" w:hAnsi="Verdana"/>
        </w:rPr>
        <w:t xml:space="preserve"> </w:t>
      </w:r>
      <w:r w:rsidRPr="009C0079">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7" w:tgtFrame="_blank" w:tooltip="Dirección URL original: https://relatoria.colombiacompra.gov.co/. Haga clic o pulse si confía en este vínculo." w:history="1">
        <w:r w:rsidRPr="009C0079">
          <w:rPr>
            <w:rStyle w:val="Hipervnculo"/>
            <w:rFonts w:ascii="Verdana" w:hAnsi="Verdana" w:cs="Arial"/>
            <w:shd w:val="clear" w:color="auto" w:fill="FFFFFF"/>
          </w:rPr>
          <w:t>https://relatoria.colombiacompra.gov.co/</w:t>
        </w:r>
      </w:hyperlink>
      <w:r w:rsidRPr="009C0079">
        <w:rPr>
          <w:rFonts w:ascii="Verdana" w:hAnsi="Verdana" w:cs="Arial"/>
          <w:shd w:val="clear" w:color="auto" w:fill="FFFFFF"/>
        </w:rPr>
        <w:t>.</w:t>
      </w:r>
    </w:p>
    <w:p w14:paraId="5042A337" w14:textId="77777777" w:rsidR="00DC11BA" w:rsidRDefault="00DC11BA" w:rsidP="00EB6735">
      <w:pPr>
        <w:shd w:val="clear" w:color="auto" w:fill="FFFFFF"/>
        <w:spacing w:after="120" w:line="276" w:lineRule="auto"/>
        <w:jc w:val="both"/>
        <w:textAlignment w:val="baseline"/>
        <w:rPr>
          <w:rFonts w:ascii="Verdana" w:hAnsi="Verdana"/>
          <w:color w:val="000000"/>
        </w:rPr>
      </w:pPr>
    </w:p>
    <w:p w14:paraId="1702B787" w14:textId="0EEDB4ED" w:rsidR="00EB6735" w:rsidRPr="009C0079" w:rsidRDefault="00EB6735" w:rsidP="00EB6735">
      <w:pPr>
        <w:shd w:val="clear" w:color="auto" w:fill="FFFFFF"/>
        <w:spacing w:after="120" w:line="276" w:lineRule="auto"/>
        <w:jc w:val="both"/>
        <w:textAlignment w:val="baseline"/>
        <w:rPr>
          <w:rFonts w:ascii="Verdana" w:hAnsi="Verdana"/>
          <w:color w:val="000000"/>
        </w:rPr>
      </w:pPr>
      <w:r w:rsidRPr="009C0079">
        <w:rPr>
          <w:rFonts w:ascii="Verdana" w:hAnsi="Verdana"/>
          <w:color w:val="000000"/>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8" w:tgtFrame="_blank" w:tooltip="Dirección URL original: https://www.colombiacompra.gov.co/sites/cce_public/files/cce_documents/manual_para_el_manejo_de_acuerdos_comerciales_vf.pdf. Haga clic o pulse si confía en este vínculo." w:history="1">
        <w:r w:rsidRPr="009C0079">
          <w:rPr>
            <w:rStyle w:val="Hipervnculo"/>
            <w:rFonts w:ascii="Verdana" w:hAnsi="Verdana"/>
            <w:bdr w:val="none" w:sz="0" w:space="0" w:color="auto" w:frame="1"/>
          </w:rPr>
          <w:t>manual_para_el_manejo_de_acuerdos_comerciales_vf.pdf</w:t>
        </w:r>
      </w:hyperlink>
    </w:p>
    <w:p w14:paraId="3A2833B2" w14:textId="77777777" w:rsidR="00DC11BA" w:rsidRDefault="00DC11BA" w:rsidP="00EB6735">
      <w:pPr>
        <w:shd w:val="clear" w:color="auto" w:fill="FFFFFF"/>
        <w:spacing w:after="120" w:line="276" w:lineRule="auto"/>
        <w:jc w:val="both"/>
        <w:textAlignment w:val="baseline"/>
        <w:rPr>
          <w:rFonts w:ascii="Verdana" w:hAnsi="Verdana"/>
          <w:color w:val="000000"/>
        </w:rPr>
      </w:pPr>
    </w:p>
    <w:p w14:paraId="5E477907" w14:textId="225F395C" w:rsidR="00EB6735" w:rsidRPr="009C0079" w:rsidRDefault="00EB6735" w:rsidP="00EB6735">
      <w:pPr>
        <w:shd w:val="clear" w:color="auto" w:fill="FFFFFF"/>
        <w:spacing w:after="120" w:line="276" w:lineRule="auto"/>
        <w:jc w:val="both"/>
        <w:textAlignment w:val="baseline"/>
        <w:rPr>
          <w:rFonts w:ascii="Verdana" w:hAnsi="Verdana"/>
          <w:color w:val="000000"/>
        </w:rPr>
      </w:pPr>
      <w:r w:rsidRPr="009C0079">
        <w:rPr>
          <w:rFonts w:ascii="Verdana" w:hAnsi="Verdana"/>
          <w:color w:val="000000"/>
        </w:rPr>
        <w:t>De otra parte, te contamos que ya publicamos el borrador de la nueva Guía para Incentivar la Participación de Mujeres en el Sistema de Compras y Contratación Pública. Conoce el documento y realiza tus comentarios hasta el 2 de diciembre de 2024</w:t>
      </w:r>
      <w:r w:rsidRPr="009C0079">
        <w:rPr>
          <w:rFonts w:ascii="Verdana" w:hAnsi="Verdana"/>
          <w:b/>
          <w:bCs/>
          <w:color w:val="000000"/>
        </w:rPr>
        <w:t> </w:t>
      </w:r>
      <w:r w:rsidRPr="009C0079">
        <w:rPr>
          <w:rFonts w:ascii="Verdana" w:hAnsi="Verdana"/>
          <w:color w:val="000000"/>
        </w:rPr>
        <w:t>a través de estos enlaces:</w:t>
      </w:r>
    </w:p>
    <w:p w14:paraId="76FAEA37" w14:textId="77777777" w:rsidR="00EB6735" w:rsidRPr="009C0079" w:rsidRDefault="00EB6735" w:rsidP="00EB6735">
      <w:pPr>
        <w:numPr>
          <w:ilvl w:val="0"/>
          <w:numId w:val="18"/>
        </w:numPr>
        <w:shd w:val="clear" w:color="auto" w:fill="FFFFFF"/>
        <w:spacing w:after="120" w:line="276" w:lineRule="auto"/>
        <w:jc w:val="both"/>
        <w:rPr>
          <w:rFonts w:ascii="Verdana" w:hAnsi="Verdana" w:cs="Segoe UI"/>
          <w:color w:val="000000"/>
        </w:rPr>
      </w:pPr>
      <w:r w:rsidRPr="009C0079">
        <w:rPr>
          <w:rFonts w:ascii="Verdana" w:hAnsi="Verdana" w:cs="Segoe UI"/>
          <w:color w:val="000000"/>
        </w:rPr>
        <w:t>Enlace página ANCP-CCE: </w:t>
      </w:r>
      <w:hyperlink r:id="rId19" w:tgtFrame="_blank" w:tooltip="Dirección URL original: https://www.colombiacompra.gov.co/content/convocatorias. Haga clic o pulse si confía en este vínculo." w:history="1">
        <w:r w:rsidRPr="009C0079">
          <w:rPr>
            <w:rStyle w:val="Hipervnculo"/>
            <w:rFonts w:ascii="Verdana" w:hAnsi="Verdana" w:cs="Segoe UI"/>
            <w:bdr w:val="none" w:sz="0" w:space="0" w:color="auto" w:frame="1"/>
          </w:rPr>
          <w:t>https://www.colombiacompra.gov.co/content/convocatorias</w:t>
        </w:r>
      </w:hyperlink>
    </w:p>
    <w:p w14:paraId="12F836AC" w14:textId="77777777" w:rsidR="00EB6735" w:rsidRPr="009C0079" w:rsidRDefault="00EB6735" w:rsidP="00EB6735">
      <w:pPr>
        <w:numPr>
          <w:ilvl w:val="0"/>
          <w:numId w:val="18"/>
        </w:numPr>
        <w:shd w:val="clear" w:color="auto" w:fill="FFFFFF"/>
        <w:spacing w:after="120" w:line="276" w:lineRule="auto"/>
        <w:jc w:val="both"/>
        <w:rPr>
          <w:rFonts w:ascii="Verdana" w:hAnsi="Verdana" w:cs="Segoe UI"/>
          <w:color w:val="000000"/>
        </w:rPr>
      </w:pPr>
      <w:r w:rsidRPr="009C0079">
        <w:rPr>
          <w:rFonts w:ascii="Verdana" w:hAnsi="Verdana" w:cs="Segoe UI"/>
          <w:color w:val="000000"/>
        </w:rPr>
        <w:t>Enlace SUCOP:  </w:t>
      </w:r>
      <w:hyperlink r:id="rId20" w:tgtFrame="_blank" w:tooltip="Dirección URL original: https://www.sucop.gov.co/entidades/colombiacompra/Normativa?IDNorma=19201. Haga clic o pulse si confía en este vínculo." w:history="1">
        <w:r w:rsidRPr="009C0079">
          <w:rPr>
            <w:rStyle w:val="Hipervnculo"/>
            <w:rFonts w:ascii="Verdana" w:hAnsi="Verdana" w:cs="Segoe UI"/>
            <w:bdr w:val="none" w:sz="0" w:space="0" w:color="auto" w:frame="1"/>
          </w:rPr>
          <w:t>https://www.sucop.gov.co/entidades/colombiacompra/Normativa?IDNorma=19201</w:t>
        </w:r>
      </w:hyperlink>
    </w:p>
    <w:p w14:paraId="591A756D" w14:textId="77777777" w:rsidR="00DC11BA" w:rsidRDefault="00DC11BA" w:rsidP="00EB6735">
      <w:pPr>
        <w:shd w:val="clear" w:color="auto" w:fill="FFFFFF"/>
        <w:spacing w:after="120" w:line="276" w:lineRule="auto"/>
        <w:textAlignment w:val="baseline"/>
        <w:rPr>
          <w:rFonts w:ascii="Verdana" w:hAnsi="Verdana"/>
          <w:color w:val="000000"/>
        </w:rPr>
      </w:pPr>
    </w:p>
    <w:p w14:paraId="18D665C9" w14:textId="47AD667C" w:rsidR="00DC11BA" w:rsidRPr="00075DF9" w:rsidRDefault="00EB6735" w:rsidP="00075DF9">
      <w:pPr>
        <w:shd w:val="clear" w:color="auto" w:fill="FFFFFF"/>
        <w:spacing w:after="120" w:line="276" w:lineRule="auto"/>
        <w:jc w:val="both"/>
        <w:textAlignment w:val="baseline"/>
        <w:rPr>
          <w:rFonts w:ascii="Aptos" w:hAnsi="Aptos" w:cs="Times New Roman"/>
          <w:color w:val="000000"/>
        </w:rPr>
      </w:pPr>
      <w:r w:rsidRPr="009C0079">
        <w:rPr>
          <w:rFonts w:ascii="Verdana" w:hAnsi="Verdana"/>
          <w:color w:val="000000"/>
        </w:rPr>
        <w:t>También le invitamos a consultar la versión VII  de 2024 , del Boletín de Relatoría de la Subdirección de Gestión Contractual relacionado con las ASOCIACIONES PÚBLICO POPULARES, el cual se puede descargar en la página web de la  Agencia: </w:t>
      </w:r>
      <w:hyperlink r:id="rId21" w:tgtFrame="_blank" w:tooltip="Dirección URL original: https://www.colombiacompra.gov.co/sala-de-prensa/boletin-digital. Haga clic o pulse si confía en este vínculo." w:history="1">
        <w:r w:rsidRPr="009C0079">
          <w:rPr>
            <w:rStyle w:val="Hipervnculo"/>
            <w:rFonts w:ascii="Verdana" w:hAnsi="Verdana"/>
            <w:bdr w:val="none" w:sz="0" w:space="0" w:color="auto" w:frame="1"/>
          </w:rPr>
          <w:t>https://www.colombiacompra.gov.co/sala-de-prensa/boletin-digital</w:t>
        </w:r>
      </w:hyperlink>
      <w:r w:rsidRPr="009C0079">
        <w:rPr>
          <w:rFonts w:ascii="Verdana" w:hAnsi="Verdana"/>
          <w:color w:val="000000"/>
        </w:rPr>
        <w:t>.</w:t>
      </w:r>
    </w:p>
    <w:p w14:paraId="1F0C6AC5" w14:textId="6241704C" w:rsidR="00EB6735" w:rsidRPr="003E2460" w:rsidRDefault="00EB6735" w:rsidP="00EB6735">
      <w:pPr>
        <w:spacing w:after="120" w:line="276" w:lineRule="auto"/>
        <w:jc w:val="both"/>
        <w:rPr>
          <w:rFonts w:ascii="Verdana" w:hAnsi="Verdana"/>
        </w:rPr>
      </w:pPr>
      <w:r w:rsidRPr="003E2460">
        <w:rPr>
          <w:rFonts w:ascii="Verdana" w:hAnsi="Verdana"/>
        </w:rPr>
        <w:t>Por último, lo invitamos a seguirnos en las redes sociales en las cuales se difunde información institucional:</w:t>
      </w:r>
    </w:p>
    <w:p w14:paraId="3A68C635" w14:textId="77777777" w:rsidR="00EB6735" w:rsidRPr="003E2460" w:rsidRDefault="00EB6735" w:rsidP="00EB6735">
      <w:pPr>
        <w:spacing w:after="0" w:line="276"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w:t>
      </w:r>
      <w:proofErr w:type="spellStart"/>
      <w:r w:rsidRPr="003E2460">
        <w:rPr>
          <w:rStyle w:val="Hipervnculo"/>
          <w:rFonts w:ascii="Verdana" w:hAnsi="Verdana"/>
          <w:color w:val="4472C4" w:themeColor="accent1"/>
        </w:rPr>
        <w:t>colombiacompra</w:t>
      </w:r>
      <w:proofErr w:type="spellEnd"/>
      <w:r w:rsidRPr="003E2460">
        <w:rPr>
          <w:rFonts w:ascii="Verdana" w:hAnsi="Verdana"/>
          <w:color w:val="4472C4" w:themeColor="accent1"/>
        </w:rPr>
        <w:t xml:space="preserve"> </w:t>
      </w:r>
    </w:p>
    <w:p w14:paraId="6088B366" w14:textId="77777777" w:rsidR="00EB6735" w:rsidRPr="003E2460" w:rsidRDefault="00EB6735" w:rsidP="00EB6735">
      <w:pPr>
        <w:spacing w:after="0" w:line="276"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77572937" w14:textId="77777777" w:rsidR="00EB6735" w:rsidRPr="003E2460" w:rsidRDefault="00EB6735" w:rsidP="00EB6735">
      <w:pPr>
        <w:spacing w:after="0" w:line="276"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w:t>
      </w:r>
      <w:proofErr w:type="spellStart"/>
      <w:r w:rsidRPr="003E2460">
        <w:rPr>
          <w:rStyle w:val="Hipervnculo"/>
          <w:rFonts w:ascii="Verdana" w:hAnsi="Verdana"/>
          <w:color w:val="4472C4" w:themeColor="accent1"/>
        </w:rPr>
        <w:t>colombiacompraeficiente_cce</w:t>
      </w:r>
      <w:proofErr w:type="spellEnd"/>
    </w:p>
    <w:p w14:paraId="129AB47A" w14:textId="77777777" w:rsidR="00075DF9" w:rsidRDefault="00075DF9" w:rsidP="00EB6735">
      <w:pPr>
        <w:widowControl w:val="0"/>
        <w:autoSpaceDE w:val="0"/>
        <w:autoSpaceDN w:val="0"/>
        <w:spacing w:after="120" w:line="276" w:lineRule="auto"/>
        <w:jc w:val="both"/>
        <w:rPr>
          <w:rFonts w:ascii="Verdana" w:hAnsi="Verdana" w:cs="Arial"/>
        </w:rPr>
      </w:pPr>
    </w:p>
    <w:p w14:paraId="3D93C9BC" w14:textId="037DF7DE" w:rsidR="00EB6735" w:rsidRPr="00593A5F" w:rsidRDefault="00EB6735" w:rsidP="00EB6735">
      <w:pPr>
        <w:widowControl w:val="0"/>
        <w:autoSpaceDE w:val="0"/>
        <w:autoSpaceDN w:val="0"/>
        <w:spacing w:after="12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9AF031E" w14:textId="77777777" w:rsidR="00EB6735" w:rsidRPr="00593A5F" w:rsidRDefault="00EB6735" w:rsidP="00EB6735">
      <w:pPr>
        <w:widowControl w:val="0"/>
        <w:autoSpaceDE w:val="0"/>
        <w:autoSpaceDN w:val="0"/>
        <w:spacing w:after="120" w:line="276" w:lineRule="auto"/>
        <w:jc w:val="both"/>
        <w:rPr>
          <w:rFonts w:ascii="Verdana" w:hAnsi="Verdana" w:cs="Arial"/>
        </w:rPr>
      </w:pPr>
    </w:p>
    <w:p w14:paraId="7A177D39" w14:textId="77777777" w:rsidR="00EB6735" w:rsidRPr="00593A5F" w:rsidRDefault="00EB6735" w:rsidP="00EB6735">
      <w:pPr>
        <w:spacing w:after="120" w:line="276"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22BE00D" w14:textId="77777777" w:rsidR="00EB6735" w:rsidRDefault="00EB6735" w:rsidP="00EB6735">
      <w:pPr>
        <w:spacing w:line="276" w:lineRule="auto"/>
        <w:jc w:val="center"/>
        <w:rPr>
          <w:rFonts w:ascii="Verdana" w:hAnsi="Verdana" w:cs="Arial"/>
          <w:color w:val="000000"/>
          <w:lang w:val="es-ES_tradnl" w:eastAsia="es-CO"/>
        </w:rPr>
      </w:pPr>
    </w:p>
    <w:p w14:paraId="183F45BE" w14:textId="5568C7E0" w:rsidR="00EB6735" w:rsidRDefault="00403CDF" w:rsidP="00EB6735">
      <w:pPr>
        <w:spacing w:line="276" w:lineRule="auto"/>
        <w:jc w:val="center"/>
        <w:rPr>
          <w:rFonts w:ascii="Verdana" w:hAnsi="Verdana" w:cs="Arial"/>
          <w:color w:val="000000"/>
          <w:lang w:val="es-ES_tradnl" w:eastAsia="es-CO"/>
        </w:rPr>
      </w:pPr>
      <w:r>
        <w:rPr>
          <w:noProof/>
        </w:rPr>
        <w:drawing>
          <wp:inline distT="0" distB="0" distL="0" distR="0" wp14:anchorId="2FC8B099" wp14:editId="412BAE5B">
            <wp:extent cx="3771429" cy="1400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71429" cy="1400000"/>
                    </a:xfrm>
                    <a:prstGeom prst="rect">
                      <a:avLst/>
                    </a:prstGeom>
                  </pic:spPr>
                </pic:pic>
              </a:graphicData>
            </a:graphic>
          </wp:inline>
        </w:drawing>
      </w:r>
    </w:p>
    <w:p w14:paraId="1B4A9E41" w14:textId="77777777" w:rsidR="00EB6735" w:rsidRDefault="00EB6735" w:rsidP="00403CDF">
      <w:pPr>
        <w:spacing w:line="276" w:lineRule="auto"/>
        <w:rPr>
          <w:rFonts w:ascii="Verdana" w:hAnsi="Verdana" w:cs="Arial"/>
          <w:color w:val="000000"/>
          <w:lang w:val="es-ES_tradnl" w:eastAsia="es-CO"/>
        </w:rPr>
      </w:pPr>
      <w:bookmarkStart w:id="2" w:name="_GoBack"/>
      <w:bookmarkEnd w:id="2"/>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B6735" w:rsidRPr="00593A5F" w14:paraId="1675DC87" w14:textId="77777777" w:rsidTr="00A22AF0">
        <w:trPr>
          <w:trHeight w:val="315"/>
        </w:trPr>
        <w:tc>
          <w:tcPr>
            <w:tcW w:w="893" w:type="dxa"/>
            <w:vAlign w:val="center"/>
            <w:hideMark/>
          </w:tcPr>
          <w:p w14:paraId="18A5D91D" w14:textId="77777777" w:rsidR="00EB6735" w:rsidRPr="003751C7" w:rsidRDefault="00EB6735" w:rsidP="00A22AF0">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D86FB89" w14:textId="77777777" w:rsidR="00EB6735" w:rsidRPr="00E1151D" w:rsidRDefault="00EB6735" w:rsidP="00A22AF0">
            <w:pPr>
              <w:contextualSpacing/>
              <w:rPr>
                <w:rFonts w:ascii="Verdana" w:eastAsia="Arial" w:hAnsi="Verdana" w:cs="Arial"/>
                <w:sz w:val="16"/>
                <w:szCs w:val="16"/>
              </w:rPr>
            </w:pPr>
            <w:r w:rsidRPr="00E1151D">
              <w:rPr>
                <w:rStyle w:val="normaltextrun"/>
                <w:rFonts w:ascii="Verdana" w:hAnsi="Verdana"/>
                <w:sz w:val="16"/>
                <w:szCs w:val="16"/>
              </w:rPr>
              <w:t>Sergio Andrés Rivera Cano</w:t>
            </w:r>
          </w:p>
          <w:p w14:paraId="2E6C93FB" w14:textId="77777777" w:rsidR="00EB6735" w:rsidRPr="003751C7" w:rsidRDefault="00EB6735" w:rsidP="00A22AF0">
            <w:pPr>
              <w:contextualSpacing/>
              <w:rPr>
                <w:rFonts w:ascii="Verdana" w:eastAsia="Arial" w:hAnsi="Verdana" w:cs="Arial"/>
                <w:sz w:val="16"/>
                <w:szCs w:val="16"/>
              </w:rPr>
            </w:pPr>
            <w:r w:rsidRPr="00E1151D">
              <w:rPr>
                <w:rStyle w:val="normaltextrun"/>
                <w:rFonts w:ascii="Verdana" w:eastAsia="Arial" w:hAnsi="Verdana" w:cs="Arial"/>
                <w:sz w:val="16"/>
                <w:szCs w:val="16"/>
              </w:rPr>
              <w:t>Contratista de la Subdirección de Gestión Contractual</w:t>
            </w:r>
          </w:p>
        </w:tc>
      </w:tr>
      <w:tr w:rsidR="00EB6735" w:rsidRPr="00593A5F" w14:paraId="32122838" w14:textId="77777777" w:rsidTr="00A22AF0">
        <w:trPr>
          <w:trHeight w:val="330"/>
        </w:trPr>
        <w:tc>
          <w:tcPr>
            <w:tcW w:w="893" w:type="dxa"/>
            <w:vAlign w:val="center"/>
            <w:hideMark/>
          </w:tcPr>
          <w:p w14:paraId="4299E070" w14:textId="77777777" w:rsidR="00EB6735" w:rsidRPr="003751C7" w:rsidRDefault="00EB6735" w:rsidP="00A22AF0">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44407C6" w14:textId="77777777" w:rsidR="00EB6735" w:rsidRPr="0078388D" w:rsidRDefault="00EB6735" w:rsidP="00A22AF0">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 xml:space="preserve">Juan Carlos González Vásquez  </w:t>
            </w:r>
          </w:p>
          <w:p w14:paraId="60EAFDA9" w14:textId="77777777" w:rsidR="00EB6735" w:rsidRPr="003751C7" w:rsidRDefault="00EB6735" w:rsidP="00A22AF0">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Contratista</w:t>
            </w:r>
            <w:r w:rsidRPr="0078388D">
              <w:rPr>
                <w:rStyle w:val="normaltextrun"/>
                <w:rFonts w:ascii="Verdana" w:hAnsi="Verdana" w:cs="Arial"/>
                <w:sz w:val="16"/>
                <w:szCs w:val="16"/>
                <w:lang w:val="es-ES"/>
              </w:rPr>
              <w:t xml:space="preserve"> de la Subdirección de Gestión Contractual</w:t>
            </w:r>
          </w:p>
        </w:tc>
      </w:tr>
      <w:tr w:rsidR="00EB6735" w:rsidRPr="00593A5F" w14:paraId="0457621E" w14:textId="77777777" w:rsidTr="00A22AF0">
        <w:trPr>
          <w:trHeight w:val="300"/>
        </w:trPr>
        <w:tc>
          <w:tcPr>
            <w:tcW w:w="893" w:type="dxa"/>
            <w:vAlign w:val="center"/>
          </w:tcPr>
          <w:p w14:paraId="7D9DAE6D" w14:textId="77777777" w:rsidR="00EB6735" w:rsidRPr="003751C7" w:rsidRDefault="00EB6735" w:rsidP="00A22AF0">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53993BF" w14:textId="77777777" w:rsidR="00EB6735" w:rsidRPr="003751C7" w:rsidRDefault="00EB6735" w:rsidP="00A22AF0">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2CE5BB83" w14:textId="77777777" w:rsidR="00EB6735" w:rsidRPr="003751C7" w:rsidRDefault="00EB6735" w:rsidP="00A22AF0">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w:t>
            </w:r>
            <w:proofErr w:type="spellStart"/>
            <w:r w:rsidRPr="003751C7">
              <w:rPr>
                <w:rFonts w:ascii="Verdana" w:eastAsia="Calibri" w:hAnsi="Verdana" w:cs="Arial"/>
                <w:sz w:val="16"/>
                <w:szCs w:val="16"/>
                <w:lang w:val="pt-BR" w:eastAsia="es-ES"/>
              </w:rPr>
              <w:t>Gestión</w:t>
            </w:r>
            <w:proofErr w:type="spellEnd"/>
            <w:r w:rsidRPr="003751C7">
              <w:rPr>
                <w:rFonts w:ascii="Verdana" w:eastAsia="Calibri" w:hAnsi="Verdana" w:cs="Arial"/>
                <w:sz w:val="16"/>
                <w:szCs w:val="16"/>
                <w:lang w:val="pt-BR" w:eastAsia="es-ES"/>
              </w:rPr>
              <w:t xml:space="preserve">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275BBDFD" w14:textId="77777777" w:rsidR="00EB6735" w:rsidRPr="00910315" w:rsidRDefault="00EB6735" w:rsidP="00EB6735"/>
    <w:p w14:paraId="3900974D" w14:textId="77777777" w:rsidR="003D5B0D" w:rsidRPr="00EB6735" w:rsidRDefault="003D5B0D" w:rsidP="00EB6735"/>
    <w:sectPr w:rsidR="003D5B0D" w:rsidRPr="00EB6735" w:rsidSect="007C0C0F">
      <w:headerReference w:type="default" r:id="rId23"/>
      <w:footerReference w:type="default" r:id="rId24"/>
      <w:pgSz w:w="12240" w:h="15840" w:code="1"/>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uan carlos" w:date="2024-12-06T15:11:00Z" w:initials="Jc">
    <w:p w14:paraId="5D2C5C11" w14:textId="77777777" w:rsidR="008C0246" w:rsidRDefault="008C0246" w:rsidP="008C0246">
      <w:pPr>
        <w:pStyle w:val="Textocomentario"/>
      </w:pPr>
      <w:r>
        <w:rPr>
          <w:rStyle w:val="Refdecomentario"/>
        </w:rPr>
        <w:annotationRef/>
      </w:r>
      <w:r>
        <w:t>FALTA EL RESUMEN CON EL DESCRIPTOR Y RESTRICTORES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2C5C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9A1160E" w16cex:dateUtc="2024-12-0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2C5C11" w16cid:durableId="59A116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6F90A" w14:textId="77777777" w:rsidR="00CF6189" w:rsidRDefault="00CF6189" w:rsidP="004A1847">
      <w:pPr>
        <w:spacing w:after="0" w:line="240" w:lineRule="auto"/>
      </w:pPr>
      <w:r>
        <w:separator/>
      </w:r>
    </w:p>
  </w:endnote>
  <w:endnote w:type="continuationSeparator" w:id="0">
    <w:p w14:paraId="38B55DEB" w14:textId="77777777" w:rsidR="00CF6189" w:rsidRDefault="00CF618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ptos">
    <w:altName w:val="Calibri"/>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277A1" w14:textId="77777777" w:rsidR="00CF6189" w:rsidRDefault="00CF6189" w:rsidP="004A1847">
      <w:pPr>
        <w:spacing w:after="0" w:line="240" w:lineRule="auto"/>
      </w:pPr>
      <w:r>
        <w:separator/>
      </w:r>
    </w:p>
  </w:footnote>
  <w:footnote w:type="continuationSeparator" w:id="0">
    <w:p w14:paraId="2C97448D" w14:textId="77777777" w:rsidR="00CF6189" w:rsidRDefault="00CF6189" w:rsidP="004A1847">
      <w:pPr>
        <w:spacing w:after="0" w:line="240" w:lineRule="auto"/>
      </w:pPr>
      <w:r>
        <w:continuationSeparator/>
      </w:r>
    </w:p>
  </w:footnote>
  <w:footnote w:id="1">
    <w:p w14:paraId="4C87128B" w14:textId="77777777" w:rsidR="00EB6735" w:rsidRDefault="00EB6735" w:rsidP="00EB6735">
      <w:pPr>
        <w:pStyle w:val="Textonotapie"/>
        <w:ind w:firstLine="709"/>
      </w:pPr>
      <w:r>
        <w:rPr>
          <w:rStyle w:val="Refdenotaalpie"/>
        </w:rPr>
        <w:footnoteRef/>
      </w:r>
      <w:r>
        <w:t xml:space="preserve"> </w:t>
      </w:r>
      <w:r w:rsidRPr="00CB6B5F">
        <w:t>Decreto 1082 de 2015, artículo 2.2.1.1.1.6.2.</w:t>
      </w:r>
    </w:p>
    <w:p w14:paraId="74DF4239" w14:textId="77777777" w:rsidR="00EB6735" w:rsidRPr="00CB6B5F" w:rsidRDefault="00EB6735" w:rsidP="00EB6735">
      <w:pPr>
        <w:pStyle w:val="Textonotapie"/>
        <w:rPr>
          <w:lang w:val="es-ES"/>
        </w:rPr>
      </w:pPr>
    </w:p>
  </w:footnote>
  <w:footnote w:id="2">
    <w:p w14:paraId="33FC7BD8" w14:textId="77777777" w:rsidR="00EB6735" w:rsidRDefault="00EB6735" w:rsidP="00EB6735">
      <w:pPr>
        <w:pStyle w:val="Textonotapie"/>
        <w:ind w:firstLine="708"/>
        <w:jc w:val="both"/>
        <w:rPr>
          <w:rFonts w:ascii="Verdana" w:hAnsi="Verdana" w:cs="Arial"/>
          <w:sz w:val="16"/>
          <w:szCs w:val="16"/>
        </w:rPr>
      </w:pPr>
      <w:r w:rsidRPr="00DB6197">
        <w:rPr>
          <w:rStyle w:val="Refdenotaalpie"/>
          <w:rFonts w:ascii="Verdana" w:hAnsi="Verdana" w:cs="Arial"/>
          <w:sz w:val="16"/>
          <w:szCs w:val="16"/>
        </w:rPr>
        <w:footnoteRef/>
      </w:r>
      <w:r w:rsidRPr="00DB6197">
        <w:rPr>
          <w:rFonts w:ascii="Verdana" w:hAnsi="Verdana" w:cs="Arial"/>
          <w:sz w:val="16"/>
          <w:szCs w:val="16"/>
        </w:rPr>
        <w:t xml:space="preserve"> Decreto 1082 de 2015: “Artículo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 a las Entidades Estatales, identificados con el Clasificador de Bienes y Servicios en el tercer nivel y su valor expresado en SMMLV. [...]”.</w:t>
      </w:r>
    </w:p>
    <w:p w14:paraId="7827E01D" w14:textId="77777777" w:rsidR="00EB6735" w:rsidRPr="00DB6197" w:rsidRDefault="00EB6735" w:rsidP="00EB6735">
      <w:pPr>
        <w:pStyle w:val="Textonotapie"/>
        <w:ind w:firstLine="708"/>
        <w:jc w:val="both"/>
        <w:rPr>
          <w:rFonts w:ascii="Verdana" w:hAnsi="Verdana" w:cs="Arial"/>
          <w:sz w:val="16"/>
          <w:szCs w:val="16"/>
        </w:rPr>
      </w:pPr>
    </w:p>
  </w:footnote>
  <w:footnote w:id="3">
    <w:p w14:paraId="2CCD9FCA" w14:textId="77777777" w:rsidR="00EB6735" w:rsidRPr="00DB6197" w:rsidRDefault="00EB6735" w:rsidP="00EB6735">
      <w:pPr>
        <w:pStyle w:val="Textonotapie"/>
        <w:ind w:firstLine="708"/>
        <w:jc w:val="both"/>
        <w:rPr>
          <w:rFonts w:ascii="Verdana" w:hAnsi="Verdana" w:cs="Arial"/>
          <w:sz w:val="16"/>
          <w:szCs w:val="16"/>
        </w:rPr>
      </w:pPr>
      <w:r w:rsidRPr="00DB6197">
        <w:rPr>
          <w:rStyle w:val="Refdenotaalpie"/>
          <w:rFonts w:ascii="Verdana" w:hAnsi="Verdana" w:cs="Arial"/>
          <w:sz w:val="16"/>
          <w:szCs w:val="16"/>
        </w:rPr>
        <w:footnoteRef/>
      </w:r>
      <w:r w:rsidRPr="00DB6197">
        <w:rPr>
          <w:rFonts w:ascii="Verdana" w:hAnsi="Verdana" w:cs="Arial"/>
          <w:sz w:val="16"/>
          <w:szCs w:val="16"/>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6777C78C" w14:textId="77777777" w:rsidR="00EB6735" w:rsidRPr="000B0A23" w:rsidRDefault="00EB6735" w:rsidP="00EB6735">
      <w:pPr>
        <w:pStyle w:val="Textonotapie"/>
        <w:ind w:firstLine="708"/>
        <w:jc w:val="both"/>
        <w:rPr>
          <w:rFonts w:ascii="Arial" w:hAnsi="Arial" w:cs="Arial"/>
          <w:sz w:val="10"/>
          <w:szCs w:val="10"/>
          <w:lang w:val="es-CO"/>
        </w:rPr>
      </w:pPr>
    </w:p>
  </w:footnote>
  <w:footnote w:id="4">
    <w:p w14:paraId="792F246A" w14:textId="77777777" w:rsidR="00EB6735" w:rsidRPr="008E4E89" w:rsidRDefault="00EB6735" w:rsidP="00EB6735">
      <w:pPr>
        <w:pStyle w:val="Textonotapie"/>
        <w:ind w:firstLine="708"/>
        <w:jc w:val="both"/>
        <w:rPr>
          <w:rFonts w:ascii="Verdana" w:hAnsi="Verdana" w:cs="Arial"/>
          <w:sz w:val="16"/>
          <w:szCs w:val="16"/>
        </w:rPr>
      </w:pPr>
      <w:r w:rsidRPr="008E4E89">
        <w:rPr>
          <w:rStyle w:val="Refdenotaalpie"/>
          <w:rFonts w:ascii="Verdana" w:hAnsi="Verdana" w:cs="Arial"/>
          <w:sz w:val="16"/>
          <w:szCs w:val="16"/>
        </w:rPr>
        <w:footnoteRef/>
      </w:r>
      <w:r w:rsidRPr="008E4E89">
        <w:rPr>
          <w:rFonts w:ascii="Verdana" w:hAnsi="Verdana" w:cs="Arial"/>
          <w:sz w:val="16"/>
          <w:szCs w:val="16"/>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2094FF8E" w14:textId="77777777" w:rsidR="00EB6735" w:rsidRPr="008E4E89" w:rsidRDefault="00EB6735" w:rsidP="00EB6735">
      <w:pPr>
        <w:pStyle w:val="Textonotapie"/>
        <w:ind w:firstLine="708"/>
        <w:jc w:val="both"/>
        <w:rPr>
          <w:rFonts w:ascii="Verdana" w:hAnsi="Verdana" w:cs="Arial"/>
          <w:sz w:val="16"/>
          <w:szCs w:val="16"/>
        </w:rPr>
      </w:pPr>
      <w:r w:rsidRPr="008E4E89">
        <w:rPr>
          <w:rFonts w:ascii="Verdana" w:hAnsi="Verdana" w:cs="Arial"/>
          <w:sz w:val="16"/>
          <w:szCs w:val="16"/>
        </w:rPr>
        <w:t xml:space="preserve">[…] </w:t>
      </w:r>
    </w:p>
    <w:p w14:paraId="0F1CA69B" w14:textId="77777777" w:rsidR="00EB6735" w:rsidRPr="008E4E89" w:rsidRDefault="00EB6735" w:rsidP="00EB6735">
      <w:pPr>
        <w:pStyle w:val="Textonotapie"/>
        <w:ind w:firstLine="708"/>
        <w:jc w:val="both"/>
        <w:rPr>
          <w:rFonts w:ascii="Verdana" w:hAnsi="Verdana" w:cs="Arial"/>
          <w:sz w:val="16"/>
          <w:szCs w:val="16"/>
        </w:rPr>
      </w:pPr>
      <w:r w:rsidRPr="008E4E89">
        <w:rPr>
          <w:rFonts w:ascii="Verdana" w:hAnsi="Verdana" w:cs="Arial"/>
          <w:sz w:val="16"/>
          <w:szCs w:val="16"/>
        </w:rPr>
        <w:t>2.1. Bienes, obras y servicios que ofrecerá a las Entidades Estatales, identificados con el Clasificador de Bienes y Servicios en el tercer nivel”.</w:t>
      </w:r>
    </w:p>
  </w:footnote>
  <w:footnote w:id="5">
    <w:p w14:paraId="59304EBD" w14:textId="77777777" w:rsidR="00EB6735" w:rsidRPr="008E4E89" w:rsidRDefault="00EB6735" w:rsidP="00EB6735">
      <w:pPr>
        <w:pStyle w:val="Textonotapie"/>
        <w:jc w:val="both"/>
        <w:rPr>
          <w:rFonts w:ascii="Verdana" w:hAnsi="Verdana" w:cs="Arial"/>
          <w:sz w:val="16"/>
          <w:szCs w:val="16"/>
        </w:rPr>
      </w:pPr>
    </w:p>
    <w:p w14:paraId="2D499EF9" w14:textId="77777777" w:rsidR="00EB6735" w:rsidRPr="008E4E89" w:rsidRDefault="00EB6735" w:rsidP="00EB6735">
      <w:pPr>
        <w:pStyle w:val="Textonotapie"/>
        <w:ind w:firstLine="708"/>
        <w:jc w:val="both"/>
        <w:rPr>
          <w:rFonts w:ascii="Verdana" w:hAnsi="Verdana" w:cs="Arial"/>
          <w:sz w:val="16"/>
          <w:szCs w:val="16"/>
        </w:rPr>
      </w:pPr>
      <w:r w:rsidRPr="008E4E89">
        <w:rPr>
          <w:rStyle w:val="Refdenotaalpie"/>
          <w:rFonts w:ascii="Verdana" w:hAnsi="Verdana" w:cs="Arial"/>
          <w:sz w:val="16"/>
          <w:szCs w:val="16"/>
        </w:rPr>
        <w:footnoteRef/>
      </w:r>
      <w:r w:rsidRPr="008E4E89">
        <w:rPr>
          <w:rFonts w:ascii="Verdana" w:hAnsi="Verdana" w:cs="Arial"/>
          <w:sz w:val="16"/>
          <w:szCs w:val="16"/>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C648906" w14:textId="77777777" w:rsidR="00EB6735" w:rsidRPr="008E4E89" w:rsidRDefault="00EB6735" w:rsidP="00EB6735">
      <w:pPr>
        <w:pStyle w:val="Textonotapie"/>
        <w:ind w:firstLine="708"/>
        <w:jc w:val="both"/>
        <w:rPr>
          <w:rFonts w:ascii="Verdana" w:hAnsi="Verdana" w:cs="Arial"/>
          <w:sz w:val="16"/>
          <w:szCs w:val="16"/>
        </w:rPr>
      </w:pPr>
      <w:r w:rsidRPr="008E4E89">
        <w:rPr>
          <w:rFonts w:ascii="Verdana" w:hAnsi="Verdana" w:cs="Arial"/>
          <w:sz w:val="16"/>
          <w:szCs w:val="16"/>
        </w:rPr>
        <w:t xml:space="preserve">[…] </w:t>
      </w:r>
    </w:p>
    <w:p w14:paraId="37E9B1D4" w14:textId="77777777" w:rsidR="00EB6735" w:rsidRPr="00BA6AAF" w:rsidRDefault="00EB6735" w:rsidP="00EB6735">
      <w:pPr>
        <w:pStyle w:val="Textonotapie"/>
        <w:ind w:firstLine="708"/>
        <w:jc w:val="both"/>
        <w:rPr>
          <w:rFonts w:ascii="Century Gothic" w:hAnsi="Century Gothic" w:cs="Arial"/>
          <w:sz w:val="18"/>
          <w:szCs w:val="18"/>
          <w:lang w:val="es-CO"/>
        </w:rPr>
      </w:pPr>
      <w:r w:rsidRPr="008E4E89">
        <w:rPr>
          <w:rFonts w:ascii="Verdana" w:hAnsi="Verdana" w:cs="Arial"/>
          <w:sz w:val="16"/>
          <w:szCs w:val="16"/>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E18350A" w14:textId="1B936E40" w:rsidR="004A305D" w:rsidRDefault="004A305D" w:rsidP="00B01B1A">
    <w:pPr>
      <w:spacing w:after="0" w:line="120" w:lineRule="auto"/>
      <w:rPr>
        <w:rFonts w:ascii="Century Gothic" w:eastAsia="Geo" w:hAnsi="Century Gothic" w:cs="Geo"/>
        <w:sz w:val="16"/>
        <w:szCs w:val="16"/>
        <w:lang w:eastAsia="es-CO"/>
      </w:rPr>
    </w:pPr>
  </w:p>
  <w:p w14:paraId="01F951F7" w14:textId="77777777" w:rsidR="00EB6735" w:rsidRPr="004A305D" w:rsidRDefault="00EB6735"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0E8165E"/>
    <w:multiLevelType w:val="multilevel"/>
    <w:tmpl w:val="B024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320E89"/>
    <w:multiLevelType w:val="hybridMultilevel"/>
    <w:tmpl w:val="41C0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6C4E7F"/>
    <w:multiLevelType w:val="multilevel"/>
    <w:tmpl w:val="674A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6"/>
  </w:num>
  <w:num w:numId="8">
    <w:abstractNumId w:val="13"/>
  </w:num>
  <w:num w:numId="9">
    <w:abstractNumId w:val="8"/>
  </w:num>
  <w:num w:numId="10">
    <w:abstractNumId w:val="12"/>
  </w:num>
  <w:num w:numId="11">
    <w:abstractNumId w:val="9"/>
  </w:num>
  <w:num w:numId="12">
    <w:abstractNumId w:val="1"/>
  </w:num>
  <w:num w:numId="13">
    <w:abstractNumId w:val="4"/>
  </w:num>
  <w:num w:numId="14">
    <w:abstractNumId w:val="15"/>
  </w:num>
  <w:num w:numId="15">
    <w:abstractNumId w:val="11"/>
  </w:num>
  <w:num w:numId="16">
    <w:abstractNumId w:val="0"/>
  </w:num>
  <w:num w:numId="17">
    <w:abstractNumId w:val="10"/>
  </w:num>
  <w:num w:numId="18">
    <w:abstractNumId w:val="1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an carlos">
    <w15:presenceInfo w15:providerId="Windows Live" w15:userId="c3236b727039a3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666BB"/>
    <w:rsid w:val="00075DF9"/>
    <w:rsid w:val="00082362"/>
    <w:rsid w:val="000A683E"/>
    <w:rsid w:val="000B19B9"/>
    <w:rsid w:val="000D0334"/>
    <w:rsid w:val="000E5621"/>
    <w:rsid w:val="000F6486"/>
    <w:rsid w:val="00125105"/>
    <w:rsid w:val="00127233"/>
    <w:rsid w:val="001511A0"/>
    <w:rsid w:val="00184E2C"/>
    <w:rsid w:val="001E4177"/>
    <w:rsid w:val="001F7DC6"/>
    <w:rsid w:val="002421BB"/>
    <w:rsid w:val="002561F9"/>
    <w:rsid w:val="0025796E"/>
    <w:rsid w:val="002707A2"/>
    <w:rsid w:val="002951A0"/>
    <w:rsid w:val="002962BC"/>
    <w:rsid w:val="002A093D"/>
    <w:rsid w:val="002A0DD0"/>
    <w:rsid w:val="002A49AC"/>
    <w:rsid w:val="002A5652"/>
    <w:rsid w:val="002A64FD"/>
    <w:rsid w:val="002C7A84"/>
    <w:rsid w:val="002E4FD9"/>
    <w:rsid w:val="00322A85"/>
    <w:rsid w:val="00324168"/>
    <w:rsid w:val="003448F4"/>
    <w:rsid w:val="00374F5E"/>
    <w:rsid w:val="00377E3E"/>
    <w:rsid w:val="003A779E"/>
    <w:rsid w:val="003D0F4D"/>
    <w:rsid w:val="003D5B0D"/>
    <w:rsid w:val="003E0499"/>
    <w:rsid w:val="003F3941"/>
    <w:rsid w:val="00403CDF"/>
    <w:rsid w:val="00406575"/>
    <w:rsid w:val="00414C74"/>
    <w:rsid w:val="0042722E"/>
    <w:rsid w:val="0044528D"/>
    <w:rsid w:val="004A1847"/>
    <w:rsid w:val="004A305D"/>
    <w:rsid w:val="004F21C4"/>
    <w:rsid w:val="004F685F"/>
    <w:rsid w:val="005566E8"/>
    <w:rsid w:val="00574867"/>
    <w:rsid w:val="00591460"/>
    <w:rsid w:val="005B3816"/>
    <w:rsid w:val="005C3777"/>
    <w:rsid w:val="005C5CDC"/>
    <w:rsid w:val="005D476C"/>
    <w:rsid w:val="006219F8"/>
    <w:rsid w:val="00660EE4"/>
    <w:rsid w:val="00665D70"/>
    <w:rsid w:val="006900D9"/>
    <w:rsid w:val="006E014C"/>
    <w:rsid w:val="00706C16"/>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C0246"/>
    <w:rsid w:val="008D180B"/>
    <w:rsid w:val="008F0EA7"/>
    <w:rsid w:val="00917617"/>
    <w:rsid w:val="00923EEF"/>
    <w:rsid w:val="009419F9"/>
    <w:rsid w:val="009443CB"/>
    <w:rsid w:val="0095685E"/>
    <w:rsid w:val="00961B09"/>
    <w:rsid w:val="00965334"/>
    <w:rsid w:val="0097093E"/>
    <w:rsid w:val="009770FB"/>
    <w:rsid w:val="00986AC5"/>
    <w:rsid w:val="009A0DFA"/>
    <w:rsid w:val="009B2D26"/>
    <w:rsid w:val="009C71FA"/>
    <w:rsid w:val="009C72E7"/>
    <w:rsid w:val="009D3058"/>
    <w:rsid w:val="009F3A13"/>
    <w:rsid w:val="00A122D3"/>
    <w:rsid w:val="00A17F13"/>
    <w:rsid w:val="00A20739"/>
    <w:rsid w:val="00A33C78"/>
    <w:rsid w:val="00AB0ADB"/>
    <w:rsid w:val="00B01B1A"/>
    <w:rsid w:val="00B66319"/>
    <w:rsid w:val="00B67B2D"/>
    <w:rsid w:val="00B70413"/>
    <w:rsid w:val="00B72CD3"/>
    <w:rsid w:val="00B72FFF"/>
    <w:rsid w:val="00BC3D36"/>
    <w:rsid w:val="00BD7F72"/>
    <w:rsid w:val="00C04FB3"/>
    <w:rsid w:val="00C330EB"/>
    <w:rsid w:val="00C41061"/>
    <w:rsid w:val="00C754BE"/>
    <w:rsid w:val="00C76B1C"/>
    <w:rsid w:val="00CB6357"/>
    <w:rsid w:val="00CC1B26"/>
    <w:rsid w:val="00CF6189"/>
    <w:rsid w:val="00D423A2"/>
    <w:rsid w:val="00D520D8"/>
    <w:rsid w:val="00D63AC2"/>
    <w:rsid w:val="00D7383B"/>
    <w:rsid w:val="00DA231B"/>
    <w:rsid w:val="00DC11BA"/>
    <w:rsid w:val="00DC39FC"/>
    <w:rsid w:val="00DF5254"/>
    <w:rsid w:val="00E16408"/>
    <w:rsid w:val="00E20894"/>
    <w:rsid w:val="00E245AB"/>
    <w:rsid w:val="00E2764C"/>
    <w:rsid w:val="00E27F2E"/>
    <w:rsid w:val="00E50AFE"/>
    <w:rsid w:val="00E56489"/>
    <w:rsid w:val="00E65D64"/>
    <w:rsid w:val="00E75C92"/>
    <w:rsid w:val="00E771DC"/>
    <w:rsid w:val="00E8772A"/>
    <w:rsid w:val="00E90F6B"/>
    <w:rsid w:val="00E92C27"/>
    <w:rsid w:val="00EA0E3D"/>
    <w:rsid w:val="00EB6735"/>
    <w:rsid w:val="00EC38A7"/>
    <w:rsid w:val="00ED7384"/>
    <w:rsid w:val="00EE1AA8"/>
    <w:rsid w:val="00F31EDC"/>
    <w:rsid w:val="00F462B3"/>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B673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B6735"/>
    <w:rPr>
      <w:rFonts w:ascii="Geomanist Light" w:hAnsi="Geomanist Light"/>
      <w:lang w:val="es-ES"/>
    </w:rPr>
  </w:style>
  <w:style w:type="character" w:styleId="Refdecomentario">
    <w:name w:val="annotation reference"/>
    <w:basedOn w:val="Fuentedeprrafopredeter"/>
    <w:uiPriority w:val="99"/>
    <w:semiHidden/>
    <w:unhideWhenUsed/>
    <w:rsid w:val="008C0246"/>
    <w:rPr>
      <w:sz w:val="16"/>
      <w:szCs w:val="16"/>
    </w:rPr>
  </w:style>
  <w:style w:type="paragraph" w:styleId="Textocomentario">
    <w:name w:val="annotation text"/>
    <w:basedOn w:val="Normal"/>
    <w:link w:val="TextocomentarioCar"/>
    <w:uiPriority w:val="99"/>
    <w:unhideWhenUsed/>
    <w:rsid w:val="008C0246"/>
    <w:pPr>
      <w:spacing w:line="240" w:lineRule="auto"/>
    </w:pPr>
    <w:rPr>
      <w:sz w:val="20"/>
      <w:szCs w:val="20"/>
    </w:rPr>
  </w:style>
  <w:style w:type="character" w:customStyle="1" w:styleId="TextocomentarioCar">
    <w:name w:val="Texto comentario Car"/>
    <w:basedOn w:val="Fuentedeprrafopredeter"/>
    <w:link w:val="Textocomentario"/>
    <w:uiPriority w:val="99"/>
    <w:rsid w:val="008C0246"/>
    <w:rPr>
      <w:sz w:val="20"/>
      <w:szCs w:val="20"/>
    </w:rPr>
  </w:style>
  <w:style w:type="paragraph" w:styleId="Asuntodelcomentario">
    <w:name w:val="annotation subject"/>
    <w:basedOn w:val="Textocomentario"/>
    <w:next w:val="Textocomentario"/>
    <w:link w:val="AsuntodelcomentarioCar"/>
    <w:uiPriority w:val="99"/>
    <w:semiHidden/>
    <w:unhideWhenUsed/>
    <w:rsid w:val="008C0246"/>
    <w:rPr>
      <w:b/>
      <w:bCs/>
    </w:rPr>
  </w:style>
  <w:style w:type="character" w:customStyle="1" w:styleId="AsuntodelcomentarioCar">
    <w:name w:val="Asunto del comentario Car"/>
    <w:basedOn w:val="TextocomentarioCar"/>
    <w:link w:val="Asuntodelcomentario"/>
    <w:uiPriority w:val="99"/>
    <w:semiHidden/>
    <w:rsid w:val="008C0246"/>
    <w:rPr>
      <w:b/>
      <w:bCs/>
      <w:sz w:val="20"/>
      <w:szCs w:val="20"/>
    </w:rPr>
  </w:style>
  <w:style w:type="paragraph" w:styleId="Textodeglobo">
    <w:name w:val="Balloon Text"/>
    <w:basedOn w:val="Normal"/>
    <w:link w:val="TextodegloboCar"/>
    <w:uiPriority w:val="99"/>
    <w:semiHidden/>
    <w:unhideWhenUsed/>
    <w:rsid w:val="00B67B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7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531333539">
      <w:bodyDiv w:val="1"/>
      <w:marLeft w:val="0"/>
      <w:marRight w:val="0"/>
      <w:marTop w:val="0"/>
      <w:marBottom w:val="0"/>
      <w:divBdr>
        <w:top w:val="none" w:sz="0" w:space="0" w:color="auto"/>
        <w:left w:val="none" w:sz="0" w:space="0" w:color="auto"/>
        <w:bottom w:val="none" w:sz="0" w:space="0" w:color="auto"/>
        <w:right w:val="none" w:sz="0" w:space="0" w:color="auto"/>
      </w:divBdr>
    </w:div>
    <w:div w:id="1691641885">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nam02.safelinks.protection.outlook.com/?url=https%3A%2F%2Fwww.colombiacompra.gov.co%2Fsites%2Fcce_public%2Ffiles%2Fcce_documents%2Fmanual_para_el_manejo_de_acuerdos_comerciales_vf.pdf&amp;data=05%7C02%7Csergio.rivera%40colombiacompra.gov.co%7C6192b0470d324981a09708dd0a6c28db%7C7b09041e245149d08cb179d5e3d8c1be%7C0%7C0%7C638678181873303083%7CUnknown%7CTWFpbGZsb3d8eyJFbXB0eU1hcGkiOnRydWUsIlYiOiIwLjAuMDAwMCIsIlAiOiJXaW4zMiIsIkFOIjoiTWFpbCIsIldUIjoyfQ%3D%3D%7C0%7C%7C%7C&amp;sdata=RZ8UGZwZz1u6P2uX7%2FCr73boVT1JLXCwE20Uk3OdT6E%3D&amp;reserved=0"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ala-de-prensa%2Fboletin-digital&amp;data=05%7C02%7Csergio.rivera%40colombiacompra.gov.co%7C6192b0470d324981a09708dd0a6c28db%7C7b09041e245149d08cb179d5e3d8c1be%7C0%7C0%7C638678181873382281%7CUnknown%7CTWFpbGZsb3d8eyJFbXB0eU1hcGkiOnRydWUsIlYiOiIwLjAuMDAwMCIsIlAiOiJXaW4zMiIsIkFOIjoiTWFpbCIsIldUIjoyfQ%3D%3D%7C0%7C%7C%7C&amp;sdata=CW60pRIxS2dVemwf442%2FFVWPXnCoQzCuGkyxL9CMKxg%3D&amp;reserved=0"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nam02.safelinks.protection.outlook.com/?url=https%3A%2F%2Frelatoria.colombiacompra.gov.co%2F&amp;data=05%7C02%7Cjose.garcia%40colombiacompra.gov.co%7C5aad36a736844ec87b2108dcc1fa4639%7C7b09041e245149d08cb179d5e3d8c1be%7C0%7C0%7C638598527919569564%7CUnknown%7CTWFpbGZsb3d8eyJWIjoiMC4wLjAwMDAiLCJQIjoiV2luMzIiLCJBTiI6Ik1haWwiLCJXVCI6Mn0%3D%7C0%7C%7C%7C&amp;sdata=dxd5A4gL5eWAFf8ZLcaVWYdH0y65hi6R6J0wtaeazGQ%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lombiacompra.gov.co/manuales-guias-y-pliegos-tipo/manuales-y-guias/manual-para-determinar-y-verificar-los-requisitos" TargetMode="External"/><Relationship Id="rId20" Type="http://schemas.openxmlformats.org/officeDocument/2006/relationships/hyperlink" Target="https://nam02.safelinks.protection.outlook.com/?url=https%3A%2F%2Fwww.sucop.gov.co%2Fentidades%2Fcolombiacompra%2FNormativa%3FIDNorma%3D19201&amp;data=05%7C02%7Csergio.rivera%40colombiacompra.gov.co%7C6192b0470d324981a09708dd0a6c28db%7C7b09041e245149d08cb179d5e3d8c1be%7C0%7C0%7C638678181873361743%7CUnknown%7CTWFpbGZsb3d8eyJFbXB0eU1hcGkiOnRydWUsIlYiOiIwLjAuMDAwMCIsIlAiOiJXaW4zMiIsIkFOIjoiTWFpbCIsIldUIjoyfQ%3D%3D%7C0%7C%7C%7C&amp;sdata=jmHlshqBHszG%2BpiQnfn8VKpuZRMeLqWjJd8TvEbRK5k%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gustavopatarroyo@hotmail.com" TargetMode="Externa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s://nam02.safelinks.protection.outlook.com/?url=https%3A%2F%2Fwww.colombiacompra.gov.co%2Fcontent%2Fconvocatorias&amp;data=05%7C02%7Csergio.rivera%40colombiacompra.gov.co%7C6192b0470d324981a09708dd0a6c28db%7C7b09041e245149d08cb179d5e3d8c1be%7C0%7C0%7C638678181873337319%7CUnknown%7CTWFpbGZsb3d8eyJFbXB0eU1hcGkiOnRydWUsIlYiOiIwLjAuMDAwMCIsIlAiOiJXaW4zMiIsIkFOIjoiTWFpbCIsIldUIjoyfQ%3D%3D%7C0%7C%7C%7C&amp;sdata=PNKmlPlGeZoexk0hjD3B1sgky%2BteJjgJlJZdolLSvtA%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D07D7CEB-F95D-4C0E-9D62-48F4DAA4D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3481</Words>
  <Characters>19149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13</cp:revision>
  <cp:lastPrinted>2023-01-10T21:18:00Z</cp:lastPrinted>
  <dcterms:created xsi:type="dcterms:W3CDTF">2024-11-19T22:25:00Z</dcterms:created>
  <dcterms:modified xsi:type="dcterms:W3CDTF">2024-12-11T23:13:00Z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