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5DFFF" w14:textId="68DF9B07" w:rsidR="002C18E4" w:rsidRDefault="002C18E4" w:rsidP="002C18E4">
      <w:pPr>
        <w:jc w:val="both"/>
        <w:rPr>
          <w:rFonts w:ascii="Verdana" w:eastAsia="Calibri" w:hAnsi="Verdana" w:cs="Arial"/>
          <w:sz w:val="20"/>
          <w:szCs w:val="20"/>
          <w:lang w:val="es-ES" w:eastAsia="es-ES"/>
        </w:rPr>
      </w:pPr>
      <w:r w:rsidRPr="002C18E4">
        <w:rPr>
          <w:rFonts w:ascii="Verdana" w:eastAsia="Calibri" w:hAnsi="Verdana" w:cs="Arial"/>
          <w:b/>
          <w:bCs/>
          <w:sz w:val="20"/>
          <w:szCs w:val="20"/>
          <w:lang w:val="es-ES" w:eastAsia="es-ES"/>
        </w:rPr>
        <w:t>LEY DE GARANTÍAS ELECTORALES ─ Prohibición artículo 33 – Prohibición parágrafo artículo 38</w:t>
      </w:r>
      <w:r w:rsidRPr="002C18E4">
        <w:rPr>
          <w:rFonts w:ascii="Verdana" w:eastAsia="Calibri" w:hAnsi="Verdana" w:cs="Arial"/>
          <w:sz w:val="20"/>
          <w:szCs w:val="20"/>
          <w:lang w:val="es-ES" w:eastAsia="es-ES"/>
        </w:rPr>
        <w:t xml:space="preserve"> </w:t>
      </w:r>
    </w:p>
    <w:p w14:paraId="164528FC" w14:textId="77777777" w:rsidR="002C18E4" w:rsidRPr="002C18E4" w:rsidRDefault="002C18E4" w:rsidP="002C18E4">
      <w:pPr>
        <w:spacing w:after="0" w:line="240" w:lineRule="auto"/>
        <w:jc w:val="both"/>
        <w:rPr>
          <w:rFonts w:ascii="Verdana" w:eastAsia="Calibri" w:hAnsi="Verdana" w:cs="Arial"/>
          <w:sz w:val="20"/>
          <w:szCs w:val="20"/>
          <w:lang w:val="es-ES" w:eastAsia="es-ES"/>
        </w:rPr>
      </w:pPr>
    </w:p>
    <w:p w14:paraId="47D2B866" w14:textId="1FF6BEEF" w:rsidR="002C18E4" w:rsidRDefault="002C18E4" w:rsidP="002C18E4">
      <w:pPr>
        <w:jc w:val="both"/>
        <w:rPr>
          <w:rFonts w:ascii="Verdana" w:eastAsia="Calibri" w:hAnsi="Verdana" w:cs="Arial"/>
          <w:sz w:val="20"/>
          <w:szCs w:val="20"/>
          <w:lang w:val="es-MX"/>
        </w:rPr>
      </w:pPr>
      <w:r w:rsidRPr="002C18E4">
        <w:rPr>
          <w:rFonts w:ascii="Verdana" w:eastAsia="Calibri" w:hAnsi="Verdana" w:cs="Arial"/>
          <w:sz w:val="20"/>
          <w:szCs w:val="20"/>
        </w:rPr>
        <w:t xml:space="preserve">El artículo 33 de la Ley 996 de 2005 –restricciones a la contratación pública– establece una prohibición que impide </w:t>
      </w:r>
      <w:r w:rsidRPr="002C18E4">
        <w:rPr>
          <w:rFonts w:ascii="Verdana" w:eastAsia="Calibri" w:hAnsi="Verdana" w:cs="Arial"/>
          <w:bCs/>
          <w:sz w:val="20"/>
          <w:szCs w:val="20"/>
        </w:rPr>
        <w:t xml:space="preserve">“[…] </w:t>
      </w:r>
      <w:r w:rsidRPr="002C18E4">
        <w:rPr>
          <w:rFonts w:ascii="Verdana" w:eastAsia="Calibri" w:hAnsi="Verdana" w:cs="Arial"/>
          <w:sz w:val="20"/>
          <w:szCs w:val="20"/>
        </w:rPr>
        <w:t>la contratación directa por parte de todos los entes del Estado</w:t>
      </w:r>
      <w:r w:rsidRPr="002C18E4">
        <w:rPr>
          <w:rFonts w:ascii="Verdana" w:eastAsia="Calibri" w:hAnsi="Verdana" w:cs="Arial"/>
          <w:bCs/>
          <w:sz w:val="20"/>
          <w:szCs w:val="20"/>
        </w:rPr>
        <w:t>”</w:t>
      </w:r>
      <w:r w:rsidRPr="002C18E4">
        <w:rPr>
          <w:rFonts w:ascii="Verdana" w:eastAsia="Calibri" w:hAnsi="Verdana" w:cs="Arial"/>
          <w:sz w:val="20"/>
          <w:szCs w:val="20"/>
        </w:rPr>
        <w:t xml:space="preserve"> durante los cuatro (4) meses anteriores a las elecciones presidenciales, salvo “</w:t>
      </w:r>
      <w:r w:rsidRPr="002C18E4">
        <w:rPr>
          <w:rFonts w:ascii="Verdana" w:eastAsia="Calibri" w:hAnsi="Verdana" w:cs="Arial"/>
          <w:bCs/>
          <w:sz w:val="20"/>
          <w:szCs w:val="20"/>
        </w:rPr>
        <w:t xml:space="preserve">[…] </w:t>
      </w:r>
      <w:r w:rsidRPr="002C18E4">
        <w:rPr>
          <w:rFonts w:ascii="Verdana" w:eastAsia="Calibri" w:hAnsi="Verdana" w:cs="Arial"/>
          <w:sz w:val="20"/>
          <w:szCs w:val="20"/>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w:t>
      </w:r>
      <w:proofErr w:type="spellStart"/>
      <w:r w:rsidRPr="002C18E4">
        <w:rPr>
          <w:rFonts w:ascii="Verdana" w:eastAsia="Calibri" w:hAnsi="Verdana" w:cs="Arial"/>
          <w:sz w:val="20"/>
          <w:szCs w:val="20"/>
        </w:rPr>
        <w:t>hospitalarias</w:t>
      </w:r>
      <w:r w:rsidRPr="002C18E4">
        <w:rPr>
          <w:rFonts w:ascii="Verdana" w:eastAsia="Calibri" w:hAnsi="Verdana" w:cs="Arial"/>
          <w:bCs/>
          <w:sz w:val="20"/>
          <w:szCs w:val="20"/>
        </w:rPr>
        <w:t>”</w:t>
      </w:r>
      <w:r w:rsidRPr="002C18E4">
        <w:rPr>
          <w:rFonts w:ascii="Verdana" w:eastAsia="Calibri" w:hAnsi="Verdana" w:cs="Arial"/>
          <w:sz w:val="20"/>
          <w:szCs w:val="20"/>
        </w:rPr>
        <w:t>.Por</w:t>
      </w:r>
      <w:proofErr w:type="spellEnd"/>
      <w:r w:rsidRPr="002C18E4">
        <w:rPr>
          <w:rFonts w:ascii="Verdana" w:eastAsia="Calibri" w:hAnsi="Verdana" w:cs="Arial"/>
          <w:sz w:val="20"/>
          <w:szCs w:val="20"/>
        </w:rPr>
        <w:t xml:space="preserve">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2C18E4">
        <w:rPr>
          <w:rFonts w:ascii="Verdana" w:eastAsia="Calibri" w:hAnsi="Verdana" w:cs="Arial"/>
          <w:bCs/>
          <w:sz w:val="20"/>
          <w:szCs w:val="20"/>
        </w:rPr>
        <w:t xml:space="preserve">“[…] </w:t>
      </w:r>
      <w:r w:rsidRPr="002C18E4">
        <w:rPr>
          <w:rFonts w:ascii="Verdana" w:eastAsia="Calibri" w:hAnsi="Verdana" w:cs="Arial"/>
          <w:sz w:val="20"/>
          <w:szCs w:val="20"/>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0A4BFB5C" w14:textId="77777777" w:rsidR="002C18E4" w:rsidRPr="002C18E4" w:rsidRDefault="002C18E4" w:rsidP="002C18E4">
      <w:pPr>
        <w:spacing w:after="0" w:line="240" w:lineRule="auto"/>
        <w:jc w:val="both"/>
        <w:rPr>
          <w:rFonts w:ascii="Verdana" w:eastAsia="Calibri" w:hAnsi="Verdana" w:cs="Arial"/>
          <w:sz w:val="20"/>
          <w:szCs w:val="20"/>
          <w:lang w:val="es-ES" w:eastAsia="es-ES"/>
        </w:rPr>
      </w:pPr>
    </w:p>
    <w:p w14:paraId="128A7FA5" w14:textId="79F90B86" w:rsidR="002C18E4" w:rsidRPr="002C18E4" w:rsidRDefault="002C18E4" w:rsidP="002C18E4">
      <w:pPr>
        <w:spacing w:after="0" w:line="240" w:lineRule="auto"/>
        <w:jc w:val="both"/>
        <w:rPr>
          <w:rFonts w:ascii="Verdana" w:eastAsia="Calibri" w:hAnsi="Verdana" w:cs="Arial"/>
          <w:b/>
          <w:bCs/>
          <w:sz w:val="20"/>
          <w:szCs w:val="20"/>
          <w:lang w:val="es-ES" w:eastAsia="es-ES"/>
        </w:rPr>
      </w:pPr>
      <w:r w:rsidRPr="002C18E4">
        <w:rPr>
          <w:rFonts w:ascii="Verdana" w:eastAsia="Calibri" w:hAnsi="Verdana" w:cs="Arial"/>
          <w:b/>
          <w:bCs/>
          <w:sz w:val="20"/>
          <w:szCs w:val="20"/>
          <w:lang w:val="es-ES" w:eastAsia="es-ES"/>
        </w:rPr>
        <w:t xml:space="preserve">NULIDAD ABSOLUTA DEL CONTRATO ESTATAL – Normativa – Causales – Celebración de contratos contra expresa prohibición legal </w:t>
      </w:r>
    </w:p>
    <w:p w14:paraId="562C7457" w14:textId="77777777" w:rsidR="00BC3DBC" w:rsidRPr="002C18E4" w:rsidRDefault="00BC3DBC" w:rsidP="002C18E4">
      <w:pPr>
        <w:spacing w:after="0" w:line="240" w:lineRule="auto"/>
        <w:rPr>
          <w:rFonts w:ascii="Verdana" w:eastAsia="Geomanist Light" w:hAnsi="Verdana" w:cs="Arial"/>
          <w:color w:val="000000" w:themeColor="text1"/>
          <w:sz w:val="20"/>
          <w:szCs w:val="20"/>
          <w:lang w:val="es-ES"/>
        </w:rPr>
      </w:pPr>
    </w:p>
    <w:p w14:paraId="0D61CF35" w14:textId="52C50027" w:rsidR="002C18E4" w:rsidRPr="002C18E4" w:rsidRDefault="002C18E4" w:rsidP="002C18E4">
      <w:pPr>
        <w:spacing w:after="0" w:line="240" w:lineRule="auto"/>
        <w:jc w:val="both"/>
        <w:rPr>
          <w:rFonts w:ascii="Verdana" w:eastAsia="Geomanist Light" w:hAnsi="Verdana" w:cs="Arial"/>
          <w:color w:val="000000" w:themeColor="text1"/>
          <w:sz w:val="20"/>
          <w:szCs w:val="20"/>
          <w:lang w:val="es-MX"/>
        </w:rPr>
      </w:pPr>
      <w:r w:rsidRPr="002C18E4">
        <w:rPr>
          <w:rFonts w:ascii="Verdana" w:hAnsi="Verdana" w:cs="Arial"/>
          <w:sz w:val="20"/>
          <w:szCs w:val="20"/>
        </w:rPr>
        <w:t xml:space="preserve">Teniendo en cuenta el alcance de </w:t>
      </w:r>
      <w:r w:rsidRPr="002C18E4">
        <w:rPr>
          <w:rFonts w:ascii="Verdana" w:hAnsi="Verdana" w:cs="Arial"/>
          <w:sz w:val="20"/>
          <w:szCs w:val="20"/>
          <w:lang w:eastAsia="es-ES_tradnl"/>
        </w:rPr>
        <w:t xml:space="preserve">las prohibiciones establecidas en la Ley de Garantías, así como el </w:t>
      </w:r>
      <w:r w:rsidRPr="002C18E4">
        <w:rPr>
          <w:rFonts w:ascii="Verdana" w:hAnsi="Verdana" w:cs="Arial"/>
          <w:sz w:val="20"/>
          <w:szCs w:val="20"/>
          <w:lang w:eastAsia="es-ES_tradnl"/>
        </w:rPr>
        <w:t>origen</w:t>
      </w:r>
      <w:r w:rsidRPr="002C18E4">
        <w:rPr>
          <w:rFonts w:ascii="Verdana" w:hAnsi="Verdana" w:cs="Arial"/>
          <w:i/>
          <w:iCs/>
          <w:sz w:val="20"/>
          <w:szCs w:val="20"/>
          <w:lang w:eastAsia="es-ES_tradnl"/>
        </w:rPr>
        <w:t xml:space="preserve"> </w:t>
      </w:r>
      <w:r w:rsidRPr="002C18E4">
        <w:rPr>
          <w:rFonts w:ascii="Verdana" w:eastAsia="Calibri" w:hAnsi="Verdana" w:cs="Arial"/>
          <w:bCs/>
          <w:sz w:val="20"/>
          <w:szCs w:val="20"/>
        </w:rPr>
        <w:t>constitucional</w:t>
      </w:r>
      <w:r w:rsidRPr="002C18E4">
        <w:rPr>
          <w:rFonts w:ascii="Verdana" w:eastAsia="Calibri" w:hAnsi="Verdana" w:cs="Arial"/>
          <w:bCs/>
          <w:sz w:val="20"/>
          <w:szCs w:val="20"/>
        </w:rPr>
        <w:t xml:space="preserve"> y legal de las mismas, es posible, es posible concluir entonces que, </w:t>
      </w:r>
      <w:r w:rsidRPr="002C18E4">
        <w:rPr>
          <w:rFonts w:ascii="Verdana" w:eastAsia="Calibri" w:hAnsi="Verdana" w:cs="Arial"/>
          <w:sz w:val="20"/>
          <w:szCs w:val="20"/>
        </w:rPr>
        <w:t>celebrar contratos estatales durante los periodos prelectorales en los que rigen las restricciones contractuales que establece la Ley 966 de 2005 en su artículo 33 y en el parágrafo del artículo 38, puede dar lugar a la nulidad absoluta del contrato. Esto comoquiera que, se según lo dispuesto en el artículo 44, numeral 2 de la Ley 80 de 1993, los contratos estatales son absolutamente nulos cuando se celebren contra expresa prohibición constitucional o legal. En esta hipótesis además podría considerarse afectado unos de los elementos esenciales del negocio jurídico como el objeto, el cual, al haber celebrado en contra de la ley, podría ser considerado ilícito.</w:t>
      </w:r>
    </w:p>
    <w:p w14:paraId="2D50DF12" w14:textId="77777777" w:rsidR="002C18E4" w:rsidRPr="002C18E4" w:rsidRDefault="002C18E4" w:rsidP="002C18E4">
      <w:pPr>
        <w:spacing w:after="0" w:line="240" w:lineRule="auto"/>
        <w:rPr>
          <w:rFonts w:ascii="Verdana" w:eastAsia="Geomanist Light" w:hAnsi="Verdana" w:cs="Arial"/>
          <w:color w:val="000000" w:themeColor="text1"/>
          <w:sz w:val="20"/>
          <w:szCs w:val="20"/>
          <w:lang w:val="es-MX"/>
        </w:rPr>
      </w:pPr>
    </w:p>
    <w:p w14:paraId="5524D5D7" w14:textId="77777777" w:rsidR="002C18E4" w:rsidRDefault="002C18E4" w:rsidP="00BC3DBC">
      <w:pPr>
        <w:spacing w:after="0" w:line="240" w:lineRule="auto"/>
        <w:rPr>
          <w:rFonts w:ascii="Verdana" w:eastAsia="Geomanist Light" w:hAnsi="Verdana" w:cs="Arial"/>
          <w:color w:val="000000" w:themeColor="text1"/>
          <w:lang w:val="es-MX"/>
        </w:rPr>
      </w:pPr>
    </w:p>
    <w:p w14:paraId="22B82EC7" w14:textId="77777777" w:rsidR="002C18E4" w:rsidRDefault="002C18E4" w:rsidP="00BC3DBC">
      <w:pPr>
        <w:spacing w:after="0" w:line="240" w:lineRule="auto"/>
        <w:rPr>
          <w:rFonts w:ascii="Verdana" w:eastAsia="Geomanist Light" w:hAnsi="Verdana" w:cs="Arial"/>
          <w:color w:val="000000" w:themeColor="text1"/>
          <w:lang w:val="es-MX"/>
        </w:rPr>
      </w:pPr>
    </w:p>
    <w:p w14:paraId="580F5030" w14:textId="77777777" w:rsidR="002C18E4" w:rsidRDefault="002C18E4" w:rsidP="00BC3DBC">
      <w:pPr>
        <w:spacing w:after="0" w:line="240" w:lineRule="auto"/>
        <w:rPr>
          <w:rFonts w:ascii="Verdana" w:eastAsia="Geomanist Light" w:hAnsi="Verdana" w:cs="Arial"/>
          <w:color w:val="000000" w:themeColor="text1"/>
          <w:lang w:val="es-MX"/>
        </w:rPr>
      </w:pPr>
    </w:p>
    <w:p w14:paraId="0D8E8F23" w14:textId="77777777" w:rsidR="002C18E4" w:rsidRDefault="002C18E4" w:rsidP="00BC3DBC">
      <w:pPr>
        <w:spacing w:after="0" w:line="240" w:lineRule="auto"/>
        <w:rPr>
          <w:rFonts w:ascii="Verdana" w:eastAsia="Geomanist Light" w:hAnsi="Verdana" w:cs="Arial"/>
          <w:color w:val="000000" w:themeColor="text1"/>
          <w:lang w:val="es-MX"/>
        </w:rPr>
      </w:pPr>
    </w:p>
    <w:p w14:paraId="33987159" w14:textId="77777777" w:rsidR="002C18E4" w:rsidRDefault="002C18E4" w:rsidP="00BC3DBC">
      <w:pPr>
        <w:spacing w:after="0" w:line="240" w:lineRule="auto"/>
        <w:rPr>
          <w:rFonts w:ascii="Verdana" w:eastAsia="Geomanist Light" w:hAnsi="Verdana" w:cs="Arial"/>
          <w:color w:val="000000" w:themeColor="text1"/>
          <w:lang w:val="es-MX"/>
        </w:rPr>
      </w:pPr>
    </w:p>
    <w:p w14:paraId="32D79E0A" w14:textId="77777777" w:rsidR="002C18E4" w:rsidRDefault="002C18E4" w:rsidP="00BC3DBC">
      <w:pPr>
        <w:spacing w:after="0" w:line="240" w:lineRule="auto"/>
        <w:rPr>
          <w:rFonts w:ascii="Verdana" w:eastAsia="Geomanist Light" w:hAnsi="Verdana" w:cs="Arial"/>
          <w:color w:val="000000" w:themeColor="text1"/>
          <w:lang w:val="es-MX"/>
        </w:rPr>
      </w:pPr>
    </w:p>
    <w:p w14:paraId="33E162B0" w14:textId="77777777" w:rsidR="002C18E4" w:rsidRDefault="002C18E4" w:rsidP="00BC3DBC">
      <w:pPr>
        <w:spacing w:after="0" w:line="240" w:lineRule="auto"/>
        <w:rPr>
          <w:rFonts w:ascii="Verdana" w:eastAsia="Geomanist Light" w:hAnsi="Verdana" w:cs="Arial"/>
          <w:color w:val="000000" w:themeColor="text1"/>
          <w:lang w:val="es-MX"/>
        </w:rPr>
      </w:pPr>
    </w:p>
    <w:p w14:paraId="0B35DF33" w14:textId="77777777" w:rsidR="002C18E4" w:rsidRDefault="002C18E4" w:rsidP="00BC3DBC">
      <w:pPr>
        <w:spacing w:after="0" w:line="240" w:lineRule="auto"/>
        <w:rPr>
          <w:rFonts w:ascii="Verdana" w:eastAsia="Geomanist Light" w:hAnsi="Verdana" w:cs="Arial"/>
          <w:color w:val="000000" w:themeColor="text1"/>
          <w:lang w:val="es-MX"/>
        </w:rPr>
      </w:pPr>
    </w:p>
    <w:p w14:paraId="6BA958F0" w14:textId="77777777" w:rsidR="002C18E4" w:rsidRDefault="002C18E4" w:rsidP="00BC3DBC">
      <w:pPr>
        <w:spacing w:after="0" w:line="240" w:lineRule="auto"/>
        <w:rPr>
          <w:rFonts w:ascii="Verdana" w:eastAsia="Geomanist Light" w:hAnsi="Verdana" w:cs="Arial"/>
          <w:color w:val="000000" w:themeColor="text1"/>
          <w:lang w:val="es-MX"/>
        </w:rPr>
      </w:pPr>
    </w:p>
    <w:p w14:paraId="7258F0DE" w14:textId="77777777" w:rsidR="002C18E4" w:rsidRDefault="002C18E4" w:rsidP="00BC3DBC">
      <w:pPr>
        <w:spacing w:after="0" w:line="240" w:lineRule="auto"/>
        <w:rPr>
          <w:rFonts w:ascii="Verdana" w:eastAsia="Geomanist Light" w:hAnsi="Verdana" w:cs="Arial"/>
          <w:color w:val="000000" w:themeColor="text1"/>
          <w:lang w:val="es-MX"/>
        </w:rPr>
      </w:pPr>
    </w:p>
    <w:p w14:paraId="5A0A41AA" w14:textId="77777777" w:rsidR="002C18E4" w:rsidRDefault="002C18E4" w:rsidP="00BC3DBC">
      <w:pPr>
        <w:spacing w:after="0" w:line="240" w:lineRule="auto"/>
        <w:rPr>
          <w:rFonts w:ascii="Verdana" w:eastAsia="Geomanist Light" w:hAnsi="Verdana" w:cs="Arial"/>
          <w:color w:val="000000" w:themeColor="text1"/>
          <w:lang w:val="es-MX"/>
        </w:rPr>
      </w:pPr>
    </w:p>
    <w:p w14:paraId="0277FFE1" w14:textId="61AD5456" w:rsidR="00BC3DBC" w:rsidRPr="00CF64C0" w:rsidRDefault="00BC3DBC" w:rsidP="00BC3DBC">
      <w:pPr>
        <w:spacing w:after="0" w:line="240" w:lineRule="auto"/>
        <w:rPr>
          <w:rFonts w:ascii="Verdana" w:eastAsia="Geomanist Light" w:hAnsi="Verdana" w:cs="Arial"/>
          <w:color w:val="201F1E"/>
          <w:lang w:val="es-MX"/>
        </w:rPr>
      </w:pPr>
      <w:r w:rsidRPr="00CF64C0">
        <w:rPr>
          <w:rFonts w:ascii="Verdana" w:eastAsia="Geomanist Light" w:hAnsi="Verdana" w:cs="Arial"/>
          <w:color w:val="000000" w:themeColor="text1"/>
          <w:lang w:val="es-MX"/>
        </w:rPr>
        <w:t>Bogotá D.C., </w:t>
      </w:r>
      <w:r w:rsidR="002C18E4">
        <w:rPr>
          <w:rFonts w:ascii="Verdana" w:eastAsia="Geomanist Light" w:hAnsi="Verdana" w:cs="Arial"/>
          <w:color w:val="201F1E"/>
          <w:lang w:val="es-MX"/>
        </w:rPr>
        <w:t>30</w:t>
      </w:r>
      <w:r w:rsidRPr="00CF64C0">
        <w:rPr>
          <w:rFonts w:ascii="Verdana" w:eastAsia="Geomanist Light" w:hAnsi="Verdana" w:cs="Arial"/>
          <w:color w:val="201F1E"/>
          <w:lang w:val="es-MX"/>
        </w:rPr>
        <w:t xml:space="preserve"> de </w:t>
      </w:r>
      <w:r w:rsidR="002C18E4">
        <w:rPr>
          <w:rFonts w:ascii="Verdana" w:eastAsia="Geomanist Light" w:hAnsi="Verdana" w:cs="Arial"/>
          <w:color w:val="201F1E"/>
          <w:lang w:val="es-MX"/>
        </w:rPr>
        <w:t>diciembre</w:t>
      </w:r>
      <w:r w:rsidRPr="00CF64C0">
        <w:rPr>
          <w:rFonts w:ascii="Verdana" w:eastAsia="Geomanist Light" w:hAnsi="Verdana" w:cs="Arial"/>
          <w:color w:val="201F1E"/>
          <w:lang w:val="es-MX"/>
        </w:rPr>
        <w:t xml:space="preserve"> de </w:t>
      </w:r>
      <w:r w:rsidR="002C18E4">
        <w:rPr>
          <w:rFonts w:ascii="Verdana" w:eastAsia="Geomanist Light" w:hAnsi="Verdana" w:cs="Arial"/>
          <w:color w:val="201F1E"/>
          <w:lang w:val="es-MX"/>
        </w:rPr>
        <w:t>2024</w:t>
      </w:r>
    </w:p>
    <w:p w14:paraId="50A01F26" w14:textId="77777777" w:rsidR="00BC3DBC" w:rsidRPr="00CF64C0" w:rsidRDefault="00BC3DBC" w:rsidP="00BC3DBC">
      <w:pPr>
        <w:spacing w:after="0" w:line="240" w:lineRule="auto"/>
        <w:jc w:val="both"/>
        <w:rPr>
          <w:rFonts w:ascii="Verdana" w:eastAsia="Calibri" w:hAnsi="Verdana" w:cs="Arial"/>
          <w:color w:val="000000"/>
          <w:lang w:val="es-ES"/>
        </w:rPr>
      </w:pPr>
    </w:p>
    <w:p w14:paraId="29D7C86E" w14:textId="402293C0" w:rsidR="00BC3DBC" w:rsidRPr="00C60A85" w:rsidRDefault="002C18E4" w:rsidP="002C18E4">
      <w:pPr>
        <w:spacing w:after="0" w:line="240" w:lineRule="auto"/>
        <w:ind w:left="4248"/>
        <w:jc w:val="both"/>
        <w:rPr>
          <w:rFonts w:ascii="Verdana" w:eastAsia="Calibri" w:hAnsi="Verdana" w:cs="Arial"/>
          <w:color w:val="000000"/>
          <w:lang w:val="es-ES"/>
        </w:rPr>
      </w:pPr>
      <w:r w:rsidRPr="002C18E4">
        <w:rPr>
          <w:rFonts w:ascii="Verdana" w:eastAsia="Calibri" w:hAnsi="Verdana" w:cs="Arial"/>
          <w:color w:val="000000"/>
          <w:lang w:val="es-ES"/>
        </w:rPr>
        <w:drawing>
          <wp:inline distT="0" distB="0" distL="0" distR="0" wp14:anchorId="098B0FE2" wp14:editId="17AB6920">
            <wp:extent cx="2371725" cy="906268"/>
            <wp:effectExtent l="0" t="0" r="0" b="8255"/>
            <wp:docPr id="517888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8836" name=""/>
                    <pic:cNvPicPr/>
                  </pic:nvPicPr>
                  <pic:blipFill>
                    <a:blip r:embed="rId10"/>
                    <a:stretch>
                      <a:fillRect/>
                    </a:stretch>
                  </pic:blipFill>
                  <pic:spPr>
                    <a:xfrm>
                      <a:off x="0" y="0"/>
                      <a:ext cx="2393266" cy="914499"/>
                    </a:xfrm>
                    <a:prstGeom prst="rect">
                      <a:avLst/>
                    </a:prstGeom>
                  </pic:spPr>
                </pic:pic>
              </a:graphicData>
            </a:graphic>
          </wp:inline>
        </w:drawing>
      </w:r>
    </w:p>
    <w:p w14:paraId="5630E359" w14:textId="77777777" w:rsidR="00BC3DBC" w:rsidRPr="00C60A85" w:rsidRDefault="00BC3DBC" w:rsidP="00BC3DBC">
      <w:pPr>
        <w:spacing w:after="0" w:line="276" w:lineRule="auto"/>
        <w:jc w:val="both"/>
        <w:rPr>
          <w:rFonts w:ascii="Verdana" w:eastAsia="Calibri" w:hAnsi="Verdana" w:cs="Arial"/>
          <w:lang w:val="es-ES" w:eastAsia="es-ES"/>
        </w:rPr>
      </w:pPr>
      <w:r w:rsidRPr="00C60A85">
        <w:rPr>
          <w:rFonts w:ascii="Verdana" w:eastAsia="Calibri" w:hAnsi="Verdana" w:cs="Arial"/>
          <w:lang w:val="es-ES" w:eastAsia="es-ES"/>
        </w:rPr>
        <w:t>Doctor</w:t>
      </w:r>
    </w:p>
    <w:p w14:paraId="2C8EC0CC" w14:textId="77777777" w:rsidR="00BC3DBC" w:rsidRPr="00C60A85" w:rsidRDefault="00BC3DBC" w:rsidP="00BC3DBC">
      <w:pPr>
        <w:spacing w:after="0" w:line="276" w:lineRule="auto"/>
        <w:rPr>
          <w:rFonts w:ascii="Verdana" w:eastAsia="Calibri" w:hAnsi="Verdana" w:cs="Arial"/>
          <w:b/>
          <w:bCs/>
          <w:lang w:eastAsia="es-ES_tradnl"/>
        </w:rPr>
      </w:pPr>
      <w:r w:rsidRPr="00C60A85">
        <w:rPr>
          <w:rFonts w:ascii="Verdana" w:eastAsia="Calibri" w:hAnsi="Verdana" w:cs="Arial"/>
          <w:b/>
          <w:bCs/>
          <w:lang w:eastAsia="es-ES_tradnl"/>
        </w:rPr>
        <w:t xml:space="preserve">JUAN ENRIQUE BAHAMON PORTELA </w:t>
      </w:r>
    </w:p>
    <w:p w14:paraId="7B87286C" w14:textId="77777777" w:rsidR="00BC3DBC" w:rsidRPr="00C60A85" w:rsidRDefault="00BC3DBC" w:rsidP="00BC3DBC">
      <w:pPr>
        <w:spacing w:after="0" w:line="276" w:lineRule="auto"/>
        <w:rPr>
          <w:rFonts w:ascii="Verdana" w:eastAsia="Calibri" w:hAnsi="Verdana" w:cs="Arial"/>
          <w:b/>
          <w:bCs/>
          <w:lang w:eastAsia="es-ES"/>
        </w:rPr>
      </w:pPr>
      <w:r w:rsidRPr="00C60A85">
        <w:rPr>
          <w:rFonts w:ascii="Verdana" w:eastAsia="Calibri" w:hAnsi="Verdana" w:cs="Arial"/>
          <w:b/>
          <w:bCs/>
          <w:lang w:eastAsia="es-ES"/>
        </w:rPr>
        <w:t xml:space="preserve">Concejal municipio de Prado Tolima </w:t>
      </w:r>
    </w:p>
    <w:p w14:paraId="0B26C108" w14:textId="77777777" w:rsidR="00BC3DBC" w:rsidRPr="00C60A85" w:rsidRDefault="00BC3DBC" w:rsidP="00BC3DBC">
      <w:pPr>
        <w:spacing w:after="0" w:line="276" w:lineRule="auto"/>
        <w:rPr>
          <w:rFonts w:ascii="Verdana" w:hAnsi="Verdana"/>
        </w:rPr>
      </w:pPr>
      <w:hyperlink r:id="rId11" w:history="1">
        <w:r w:rsidRPr="00BD0E96">
          <w:rPr>
            <w:rStyle w:val="Hipervnculo"/>
            <w:rFonts w:ascii="Verdana" w:hAnsi="Verdana"/>
          </w:rPr>
          <w:t>juanch1446@hotmail.com</w:t>
        </w:r>
      </w:hyperlink>
      <w:r>
        <w:rPr>
          <w:rFonts w:ascii="Verdana" w:hAnsi="Verdana"/>
        </w:rPr>
        <w:t xml:space="preserve">; </w:t>
      </w:r>
    </w:p>
    <w:p w14:paraId="68C804E1" w14:textId="77777777" w:rsidR="00BC3DBC" w:rsidRPr="00895FEF" w:rsidRDefault="00BC3DBC" w:rsidP="00BC3DBC">
      <w:pPr>
        <w:spacing w:after="0" w:line="276" w:lineRule="auto"/>
        <w:rPr>
          <w:rFonts w:ascii="Verdana" w:eastAsia="Calibri" w:hAnsi="Verdana" w:cs="Arial"/>
          <w:b/>
          <w:bCs/>
          <w:lang w:val="es-ES" w:eastAsia="es-ES"/>
        </w:rPr>
      </w:pPr>
      <w:r w:rsidRPr="00895FEF">
        <w:rPr>
          <w:rFonts w:ascii="Verdana" w:eastAsia="Calibri" w:hAnsi="Verdana" w:cs="Arial"/>
          <w:lang w:val="es-ES" w:eastAsia="es-ES"/>
        </w:rPr>
        <w:t>Bogotá D.C.</w:t>
      </w:r>
      <w:r w:rsidRPr="00534DBD">
        <w:rPr>
          <w:rStyle w:val="Refdecomentario"/>
          <w:rFonts w:ascii="Verdana" w:hAnsi="Verdana"/>
        </w:rPr>
        <w:t xml:space="preserve"> </w:t>
      </w:r>
    </w:p>
    <w:p w14:paraId="5C7015AF" w14:textId="77777777" w:rsidR="00BC3DBC" w:rsidRPr="00593A5F" w:rsidRDefault="00BC3DBC" w:rsidP="00BC3DBC">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BC3DBC" w:rsidRPr="001D6EB3" w14:paraId="76CC5315" w14:textId="77777777" w:rsidTr="00E818A6">
        <w:trPr>
          <w:trHeight w:val="884"/>
        </w:trPr>
        <w:tc>
          <w:tcPr>
            <w:tcW w:w="2689" w:type="dxa"/>
          </w:tcPr>
          <w:p w14:paraId="52FCD4A2" w14:textId="77777777" w:rsidR="00BC3DBC" w:rsidRPr="001D6EB3" w:rsidRDefault="00BC3DBC" w:rsidP="00E818A6">
            <w:pPr>
              <w:jc w:val="both"/>
              <w:rPr>
                <w:rFonts w:ascii="Verdana" w:eastAsia="Calibri" w:hAnsi="Verdana" w:cs="Arial"/>
                <w:b/>
                <w:bCs/>
                <w:lang w:val="es-ES_tradnl" w:eastAsia="es-ES_tradnl"/>
              </w:rPr>
            </w:pPr>
          </w:p>
        </w:tc>
        <w:tc>
          <w:tcPr>
            <w:tcW w:w="6100" w:type="dxa"/>
          </w:tcPr>
          <w:p w14:paraId="48762092" w14:textId="77777777" w:rsidR="00BC3DBC" w:rsidRPr="001D6EB3" w:rsidRDefault="00BC3DBC" w:rsidP="00E818A6">
            <w:pPr>
              <w:jc w:val="both"/>
              <w:rPr>
                <w:rFonts w:ascii="Verdana" w:eastAsia="Calibri" w:hAnsi="Verdana" w:cs="Arial"/>
                <w:b/>
                <w:bCs/>
                <w:lang w:val="es-ES" w:eastAsia="es-ES"/>
              </w:rPr>
            </w:pPr>
            <w:r w:rsidRPr="001D6EB3">
              <w:rPr>
                <w:rFonts w:ascii="Verdana" w:eastAsia="Calibri" w:hAnsi="Verdana" w:cs="Arial"/>
                <w:b/>
                <w:bCs/>
                <w:lang w:val="es-ES" w:eastAsia="es-ES"/>
              </w:rPr>
              <w:t>Concepto C-</w:t>
            </w:r>
            <w:r>
              <w:rPr>
                <w:rFonts w:ascii="Verdana" w:eastAsia="Calibri" w:hAnsi="Verdana" w:cs="Arial"/>
                <w:b/>
                <w:bCs/>
                <w:lang w:val="es-ES" w:eastAsia="es-ES"/>
              </w:rPr>
              <w:t>606</w:t>
            </w:r>
            <w:r w:rsidRPr="001D6EB3">
              <w:rPr>
                <w:rFonts w:ascii="Verdana" w:eastAsia="Calibri" w:hAnsi="Verdana" w:cs="Arial"/>
                <w:b/>
                <w:bCs/>
                <w:lang w:val="es-ES" w:eastAsia="es-ES"/>
              </w:rPr>
              <w:t xml:space="preserve"> de 2024</w:t>
            </w:r>
          </w:p>
        </w:tc>
      </w:tr>
      <w:tr w:rsidR="00BC3DBC" w:rsidRPr="001D6EB3" w14:paraId="65905CCB" w14:textId="77777777" w:rsidTr="00E818A6">
        <w:trPr>
          <w:trHeight w:val="2797"/>
        </w:trPr>
        <w:tc>
          <w:tcPr>
            <w:tcW w:w="2689" w:type="dxa"/>
          </w:tcPr>
          <w:p w14:paraId="179C48DD" w14:textId="77777777" w:rsidR="00BC3DBC" w:rsidRPr="001D6EB3" w:rsidRDefault="00BC3DBC" w:rsidP="00E818A6">
            <w:pPr>
              <w:jc w:val="both"/>
              <w:rPr>
                <w:rFonts w:ascii="Verdana" w:eastAsia="Calibri" w:hAnsi="Verdana" w:cs="Arial"/>
                <w:lang w:val="es-ES_tradnl" w:eastAsia="es-ES_tradnl"/>
              </w:rPr>
            </w:pPr>
            <w:r w:rsidRPr="001D6EB3">
              <w:rPr>
                <w:rFonts w:ascii="Verdana" w:eastAsia="Calibri" w:hAnsi="Verdana" w:cs="Arial"/>
                <w:b/>
                <w:lang w:val="es-ES_tradnl" w:eastAsia="es-ES_tradnl"/>
              </w:rPr>
              <w:t>Temas:</w:t>
            </w:r>
            <w:r w:rsidRPr="001D6EB3">
              <w:rPr>
                <w:rFonts w:ascii="Verdana" w:eastAsia="Calibri" w:hAnsi="Verdana" w:cs="Arial"/>
                <w:lang w:val="es-ES_tradnl" w:eastAsia="es-ES_tradnl"/>
              </w:rPr>
              <w:t xml:space="preserve">                   </w:t>
            </w:r>
          </w:p>
        </w:tc>
        <w:tc>
          <w:tcPr>
            <w:tcW w:w="6100" w:type="dxa"/>
          </w:tcPr>
          <w:p w14:paraId="61A4000E" w14:textId="77777777" w:rsidR="00BC3DBC" w:rsidRPr="001D6EB3" w:rsidRDefault="00BC3DBC" w:rsidP="00E818A6">
            <w:pPr>
              <w:spacing w:line="276" w:lineRule="auto"/>
              <w:jc w:val="both"/>
              <w:rPr>
                <w:rFonts w:ascii="Verdana" w:eastAsia="Calibri" w:hAnsi="Verdana" w:cs="Arial"/>
                <w:lang w:val="es-ES" w:eastAsia="es-ES"/>
              </w:rPr>
            </w:pPr>
            <w:r w:rsidRPr="001D6EB3">
              <w:rPr>
                <w:rFonts w:ascii="Verdana" w:eastAsia="Calibri" w:hAnsi="Verdana" w:cs="Arial"/>
                <w:lang w:val="es-ES" w:eastAsia="es-ES"/>
              </w:rPr>
              <w:t>LEY DE GARANTÍAS ELECTORALES – Finalidad / LEY DE GARANTÍAS ELECTORALES ‒ Restricciones ‒ Contratación ‒ Tipos de elección / LEY DE GARANTÍAS ELECTORALES ‒ Prohibiciones ‒ Ámbito temporal / LEY DE GARANTÍAS ELECTORALES ─ Prohibición artículo 33 – Prohibición parágrafo artículo 38</w:t>
            </w:r>
            <w:r>
              <w:rPr>
                <w:rFonts w:ascii="Verdana" w:eastAsia="Calibri" w:hAnsi="Verdana" w:cs="Arial"/>
                <w:lang w:val="es-ES" w:eastAsia="es-ES"/>
              </w:rPr>
              <w:t xml:space="preserve"> / NULIDAD ABSOLUTA DEL CONTRATO ESTATAL – Normativa – Causales – Celebración de contratos contra expresa prohibición legal </w:t>
            </w:r>
          </w:p>
          <w:p w14:paraId="6BA2F4A5" w14:textId="77777777" w:rsidR="00BC3DBC" w:rsidRPr="001D6EB3" w:rsidRDefault="00BC3DBC" w:rsidP="00E818A6">
            <w:pPr>
              <w:spacing w:line="276" w:lineRule="auto"/>
              <w:jc w:val="both"/>
              <w:rPr>
                <w:rFonts w:ascii="Verdana" w:eastAsia="Calibri" w:hAnsi="Verdana" w:cs="Arial"/>
                <w:lang w:val="es-ES" w:eastAsia="es-ES"/>
              </w:rPr>
            </w:pPr>
          </w:p>
        </w:tc>
      </w:tr>
      <w:tr w:rsidR="00BC3DBC" w:rsidRPr="001D6EB3" w14:paraId="22F3C091" w14:textId="77777777" w:rsidTr="00E818A6">
        <w:tc>
          <w:tcPr>
            <w:tcW w:w="2689" w:type="dxa"/>
          </w:tcPr>
          <w:p w14:paraId="6E44C583" w14:textId="77777777" w:rsidR="00BC3DBC" w:rsidRPr="001D6EB3" w:rsidRDefault="00BC3DBC" w:rsidP="00E818A6">
            <w:pPr>
              <w:jc w:val="both"/>
              <w:rPr>
                <w:rFonts w:ascii="Verdana" w:eastAsia="Calibri" w:hAnsi="Verdana" w:cs="Arial"/>
                <w:b/>
                <w:lang w:val="es-ES_tradnl" w:eastAsia="es-ES_tradnl"/>
              </w:rPr>
            </w:pPr>
            <w:r w:rsidRPr="001D6EB3">
              <w:rPr>
                <w:rFonts w:ascii="Verdana" w:eastAsia="Calibri" w:hAnsi="Verdana" w:cs="Arial"/>
                <w:b/>
                <w:lang w:val="es-ES_tradnl" w:eastAsia="es-ES_tradnl"/>
              </w:rPr>
              <w:t>Radicación:</w:t>
            </w:r>
            <w:r w:rsidRPr="001D6EB3">
              <w:rPr>
                <w:rFonts w:ascii="Verdana" w:eastAsia="Calibri" w:hAnsi="Verdana" w:cs="Arial"/>
                <w:lang w:val="es-ES_tradnl" w:eastAsia="es-ES_tradnl"/>
              </w:rPr>
              <w:t xml:space="preserve">               </w:t>
            </w:r>
          </w:p>
        </w:tc>
        <w:tc>
          <w:tcPr>
            <w:tcW w:w="6100" w:type="dxa"/>
          </w:tcPr>
          <w:p w14:paraId="5F5A36C3" w14:textId="77777777" w:rsidR="00BC3DBC" w:rsidRPr="001D6EB3" w:rsidRDefault="00BC3DBC" w:rsidP="00E818A6">
            <w:pPr>
              <w:jc w:val="both"/>
              <w:rPr>
                <w:rFonts w:ascii="Verdana" w:eastAsia="Calibri" w:hAnsi="Verdana" w:cs="Arial"/>
                <w:lang w:val="es-ES_tradnl" w:eastAsia="es-ES_tradnl"/>
              </w:rPr>
            </w:pPr>
            <w:r w:rsidRPr="001D6EB3">
              <w:rPr>
                <w:rFonts w:ascii="Verdana" w:eastAsia="Calibri" w:hAnsi="Verdana" w:cs="Arial"/>
                <w:lang w:val="es-ES_tradnl" w:eastAsia="es-ES_tradnl"/>
              </w:rPr>
              <w:t xml:space="preserve">Respuesta a consulta con radicado No. </w:t>
            </w:r>
            <w:r w:rsidRPr="00C60A85">
              <w:rPr>
                <w:rFonts w:ascii="Verdana" w:eastAsia="Calibri" w:hAnsi="Verdana" w:cs="Arial"/>
                <w:b/>
                <w:bCs/>
                <w:lang w:val="es-ES_tradnl" w:eastAsia="es-ES_tradnl"/>
              </w:rPr>
              <w:t>P20241125011860</w:t>
            </w:r>
          </w:p>
        </w:tc>
      </w:tr>
    </w:tbl>
    <w:p w14:paraId="7C2F3976" w14:textId="77777777" w:rsidR="00BC3DBC" w:rsidRPr="001D6EB3" w:rsidRDefault="00BC3DBC" w:rsidP="00BC3DBC">
      <w:pPr>
        <w:spacing w:after="0" w:line="240" w:lineRule="auto"/>
        <w:jc w:val="both"/>
        <w:rPr>
          <w:rFonts w:ascii="Verdana" w:eastAsia="Calibri" w:hAnsi="Verdana" w:cs="Arial"/>
          <w:lang w:val="es-ES_tradnl" w:eastAsia="es-ES_tradnl"/>
        </w:rPr>
      </w:pPr>
    </w:p>
    <w:p w14:paraId="3ABC6C50" w14:textId="77777777" w:rsidR="00BC3DBC" w:rsidRPr="001D6EB3" w:rsidRDefault="00BC3DBC" w:rsidP="00BC3DBC">
      <w:pPr>
        <w:spacing w:after="0" w:line="240" w:lineRule="auto"/>
        <w:jc w:val="both"/>
        <w:rPr>
          <w:rFonts w:ascii="Verdana" w:eastAsia="Calibri" w:hAnsi="Verdana" w:cs="Arial"/>
          <w:lang w:val="es-ES_tradnl" w:eastAsia="es-ES_tradnl"/>
        </w:rPr>
      </w:pPr>
    </w:p>
    <w:p w14:paraId="69940A0F" w14:textId="77777777" w:rsidR="00BC3DBC" w:rsidRPr="001D6EB3" w:rsidRDefault="00BC3DBC" w:rsidP="00BC3DBC">
      <w:pPr>
        <w:spacing w:after="0" w:line="276" w:lineRule="auto"/>
        <w:jc w:val="both"/>
        <w:rPr>
          <w:rFonts w:ascii="Verdana" w:eastAsia="Calibri" w:hAnsi="Verdana" w:cs="Arial"/>
          <w:lang w:val="es-ES" w:eastAsia="es-ES"/>
        </w:rPr>
      </w:pPr>
      <w:r w:rsidRPr="001D6EB3">
        <w:rPr>
          <w:rFonts w:ascii="Verdana" w:eastAsia="Calibri" w:hAnsi="Verdana" w:cs="Arial"/>
          <w:lang w:val="es-ES" w:eastAsia="es-ES"/>
        </w:rPr>
        <w:t>Estimad</w:t>
      </w:r>
      <w:r>
        <w:rPr>
          <w:rFonts w:ascii="Verdana" w:eastAsia="Calibri" w:hAnsi="Verdana" w:cs="Arial"/>
          <w:lang w:val="es-ES" w:eastAsia="es-ES"/>
        </w:rPr>
        <w:t xml:space="preserve">o Doctor </w:t>
      </w:r>
      <w:proofErr w:type="spellStart"/>
      <w:r>
        <w:rPr>
          <w:rFonts w:ascii="Verdana" w:eastAsia="Calibri" w:hAnsi="Verdana" w:cs="Arial"/>
          <w:lang w:val="es-ES" w:eastAsia="es-ES"/>
        </w:rPr>
        <w:t>Bahamon</w:t>
      </w:r>
      <w:proofErr w:type="spellEnd"/>
      <w:r w:rsidRPr="001D6EB3">
        <w:rPr>
          <w:rFonts w:ascii="Verdana" w:eastAsia="Calibri" w:hAnsi="Verdana" w:cs="Arial"/>
          <w:lang w:val="es-ES" w:eastAsia="es-ES"/>
        </w:rPr>
        <w:t xml:space="preserve">: </w:t>
      </w:r>
    </w:p>
    <w:p w14:paraId="6F52C8D9" w14:textId="77777777" w:rsidR="00BC3DBC" w:rsidRPr="001D6EB3" w:rsidRDefault="00BC3DBC" w:rsidP="00BC3DBC">
      <w:pPr>
        <w:tabs>
          <w:tab w:val="left" w:pos="3768"/>
        </w:tabs>
        <w:spacing w:after="0" w:line="276" w:lineRule="auto"/>
        <w:jc w:val="both"/>
        <w:rPr>
          <w:rFonts w:ascii="Verdana" w:eastAsia="Calibri" w:hAnsi="Verdana" w:cs="Arial"/>
          <w:lang w:val="es-ES" w:eastAsia="es-ES"/>
        </w:rPr>
      </w:pPr>
      <w:r w:rsidRPr="001D6EB3">
        <w:rPr>
          <w:rFonts w:ascii="Verdana" w:eastAsia="Calibri" w:hAnsi="Verdana" w:cs="Arial"/>
          <w:lang w:val="es-ES" w:eastAsia="es-ES"/>
        </w:rPr>
        <w:tab/>
      </w:r>
    </w:p>
    <w:p w14:paraId="55F02025" w14:textId="77777777" w:rsidR="00BC3DBC" w:rsidRPr="001D6EB3" w:rsidRDefault="00BC3DBC" w:rsidP="00BC3DBC">
      <w:pPr>
        <w:spacing w:after="0" w:line="276" w:lineRule="auto"/>
        <w:jc w:val="both"/>
        <w:rPr>
          <w:rFonts w:ascii="Verdana" w:eastAsia="Calibri" w:hAnsi="Verdana" w:cs="Arial"/>
          <w:lang w:val="es-ES" w:eastAsia="es-ES"/>
        </w:rPr>
      </w:pPr>
      <w:r w:rsidRPr="001D6EB3">
        <w:rPr>
          <w:rFonts w:ascii="Verdana" w:eastAsia="Calibri" w:hAnsi="Verdana" w:cs="Arial"/>
          <w:lang w:val="es-ES" w:eastAsia="es-ES"/>
        </w:rPr>
        <w:t>En ejercicio de la competencia otorgada por los artículos 3, numeral 5º, y 11, numeral 8º, del Decreto Ley 4170 de 2011,</w:t>
      </w:r>
      <w:r w:rsidRPr="001D6EB3">
        <w:rPr>
          <w:rFonts w:ascii="Verdana" w:eastAsia="Arial MT" w:hAnsi="Verdana" w:cs="Arial MT"/>
          <w:lang w:val="es-ES" w:eastAsia="es-ES"/>
        </w:rPr>
        <w:t xml:space="preserve"> </w:t>
      </w:r>
      <w:r w:rsidRPr="001D6EB3">
        <w:rPr>
          <w:rFonts w:ascii="Verdana" w:hAnsi="Verdana" w:cs="Arial"/>
        </w:rPr>
        <w:t xml:space="preserve">así como lo establecido en el artículo 4 de la Resolución 1707 de 2018 expedida por esta Entidad, </w:t>
      </w:r>
      <w:r w:rsidRPr="001D6EB3">
        <w:rPr>
          <w:rFonts w:ascii="Verdana" w:eastAsia="Calibri" w:hAnsi="Verdana" w:cs="Arial"/>
          <w:lang w:val="es-ES" w:eastAsia="es-ES"/>
        </w:rPr>
        <w:t xml:space="preserve">la Agencia Nacional de Contratación Pública – Colombia Compra Eficiente– responde su solicitud de consulta de fecha 25 de </w:t>
      </w:r>
      <w:r>
        <w:rPr>
          <w:rFonts w:ascii="Verdana" w:eastAsia="Calibri" w:hAnsi="Verdana" w:cs="Arial"/>
          <w:lang w:val="es-ES" w:eastAsia="es-ES"/>
        </w:rPr>
        <w:t>noviembre</w:t>
      </w:r>
      <w:r w:rsidRPr="001D6EB3">
        <w:rPr>
          <w:rFonts w:ascii="Verdana" w:eastAsia="Calibri" w:hAnsi="Verdana" w:cs="Arial"/>
          <w:lang w:val="es-ES" w:eastAsia="es-ES"/>
        </w:rPr>
        <w:t xml:space="preserve"> de 2024, en la cual manifiesta lo siguiente: </w:t>
      </w:r>
    </w:p>
    <w:p w14:paraId="780E1A42" w14:textId="77777777" w:rsidR="00BC3DBC" w:rsidRPr="001D6EB3" w:rsidRDefault="00BC3DBC" w:rsidP="00BC3DBC">
      <w:pPr>
        <w:pStyle w:val="Prrafodelista"/>
        <w:tabs>
          <w:tab w:val="left" w:pos="142"/>
          <w:tab w:val="left" w:pos="284"/>
        </w:tabs>
        <w:spacing w:after="0" w:line="276" w:lineRule="auto"/>
        <w:ind w:left="0"/>
        <w:jc w:val="both"/>
        <w:rPr>
          <w:rFonts w:ascii="Verdana" w:eastAsia="Century Gothic" w:hAnsi="Verdana" w:cs="Century Gothic"/>
          <w:b/>
          <w:bCs/>
        </w:rPr>
      </w:pPr>
    </w:p>
    <w:p w14:paraId="5012489E" w14:textId="77777777" w:rsidR="00BC3DBC" w:rsidRPr="00C60A85" w:rsidRDefault="00BC3DBC" w:rsidP="00BC3DBC">
      <w:pPr>
        <w:spacing w:after="0" w:line="240" w:lineRule="auto"/>
        <w:ind w:left="709" w:right="709"/>
        <w:jc w:val="both"/>
        <w:rPr>
          <w:rFonts w:ascii="Verdana" w:hAnsi="Verdana" w:cs="Arial"/>
          <w:i/>
          <w:iCs/>
          <w:sz w:val="21"/>
          <w:szCs w:val="21"/>
          <w:shd w:val="clear" w:color="auto" w:fill="FFFFFF"/>
        </w:rPr>
      </w:pPr>
      <w:bookmarkStart w:id="0" w:name="_Hlk95313578"/>
      <w:r w:rsidRPr="00C60A85">
        <w:rPr>
          <w:rFonts w:ascii="Verdana" w:eastAsia="Century Gothic" w:hAnsi="Verdana" w:cs="Century Gothic"/>
          <w:i/>
          <w:iCs/>
          <w:sz w:val="21"/>
          <w:szCs w:val="21"/>
          <w:lang w:val="es-ES"/>
        </w:rPr>
        <w:lastRenderedPageBreak/>
        <w:t>“</w:t>
      </w:r>
      <w:r w:rsidRPr="00C60A85">
        <w:rPr>
          <w:rFonts w:ascii="Verdana" w:hAnsi="Verdana" w:cs="Arial"/>
          <w:i/>
          <w:iCs/>
          <w:sz w:val="21"/>
          <w:szCs w:val="21"/>
          <w:shd w:val="clear" w:color="auto" w:fill="FFFFFF"/>
        </w:rPr>
        <w:t xml:space="preserve">¿Puede un empleado contratado por entidades públicas como la </w:t>
      </w:r>
      <w:r w:rsidRPr="00C60A85">
        <w:rPr>
          <w:rFonts w:ascii="Verdana" w:hAnsi="Verdana" w:cs="Arial"/>
          <w:b/>
          <w:bCs/>
          <w:i/>
          <w:iCs/>
          <w:sz w:val="21"/>
          <w:szCs w:val="21"/>
          <w:shd w:val="clear" w:color="auto" w:fill="FFFFFF"/>
        </w:rPr>
        <w:t xml:space="preserve">SFDA </w:t>
      </w:r>
      <w:r w:rsidRPr="00C60A85">
        <w:rPr>
          <w:rFonts w:ascii="Verdana" w:hAnsi="Verdana" w:cs="Arial"/>
          <w:i/>
          <w:iCs/>
          <w:sz w:val="21"/>
          <w:szCs w:val="21"/>
          <w:shd w:val="clear" w:color="auto" w:fill="FFFFFF"/>
        </w:rPr>
        <w:t xml:space="preserve">(SOCIEDAD FIDUCIARIA DE DESARROLLO AGROPECUARIO S.A.) o la </w:t>
      </w:r>
      <w:r w:rsidRPr="00C60A85">
        <w:rPr>
          <w:rFonts w:ascii="Verdana" w:hAnsi="Verdana" w:cs="Arial"/>
          <w:b/>
          <w:bCs/>
          <w:i/>
          <w:iCs/>
          <w:sz w:val="21"/>
          <w:szCs w:val="21"/>
          <w:shd w:val="clear" w:color="auto" w:fill="FFFFFF"/>
        </w:rPr>
        <w:t xml:space="preserve">ANSV </w:t>
      </w:r>
      <w:r w:rsidRPr="00C60A85">
        <w:rPr>
          <w:rFonts w:ascii="Verdana" w:hAnsi="Verdana" w:cs="Arial"/>
          <w:i/>
          <w:iCs/>
          <w:sz w:val="21"/>
          <w:szCs w:val="21"/>
          <w:shd w:val="clear" w:color="auto" w:fill="FFFFFF"/>
        </w:rPr>
        <w:t xml:space="preserve">(AGENCIA NACIONAL DE SEGURIDAD VIAL) participar en elección políticas, a pesar del contrato estar con un domicilio en Bogotá, es de conocimiento de que la entidad es de orden nacional y cuenta con injerencia en todo el país? </w:t>
      </w:r>
    </w:p>
    <w:p w14:paraId="6878ABF0" w14:textId="77777777" w:rsidR="00BC3DBC" w:rsidRPr="00C60A85" w:rsidRDefault="00BC3DBC" w:rsidP="00BC3DBC">
      <w:pPr>
        <w:spacing w:after="0" w:line="240" w:lineRule="auto"/>
        <w:ind w:left="709" w:right="709"/>
        <w:jc w:val="both"/>
        <w:rPr>
          <w:rFonts w:ascii="Verdana" w:hAnsi="Verdana" w:cs="Arial"/>
          <w:i/>
          <w:iCs/>
          <w:sz w:val="21"/>
          <w:szCs w:val="21"/>
          <w:shd w:val="clear" w:color="auto" w:fill="FFFFFF"/>
        </w:rPr>
      </w:pPr>
    </w:p>
    <w:p w14:paraId="78690E85" w14:textId="77777777" w:rsidR="00BC3DBC" w:rsidRPr="00C60A85" w:rsidRDefault="00BC3DBC" w:rsidP="00BC3DBC">
      <w:pPr>
        <w:spacing w:after="0" w:line="240" w:lineRule="auto"/>
        <w:ind w:left="709" w:right="709"/>
        <w:jc w:val="both"/>
        <w:rPr>
          <w:rFonts w:ascii="Verdana" w:hAnsi="Verdana" w:cs="Arial"/>
          <w:i/>
          <w:iCs/>
          <w:sz w:val="21"/>
          <w:szCs w:val="21"/>
          <w:shd w:val="clear" w:color="auto" w:fill="FFFFFF"/>
        </w:rPr>
      </w:pPr>
      <w:r w:rsidRPr="00C60A85">
        <w:rPr>
          <w:rFonts w:ascii="Verdana" w:hAnsi="Verdana" w:cs="Arial"/>
          <w:i/>
          <w:iCs/>
          <w:sz w:val="21"/>
          <w:szCs w:val="21"/>
          <w:shd w:val="clear" w:color="auto" w:fill="FFFFFF"/>
        </w:rPr>
        <w:t xml:space="preserve">¿Es posible que un funcionario contratado por entidades públicas como la </w:t>
      </w:r>
      <w:r w:rsidRPr="00C60A85">
        <w:rPr>
          <w:rFonts w:ascii="Verdana" w:hAnsi="Verdana" w:cs="Arial"/>
          <w:b/>
          <w:bCs/>
          <w:i/>
          <w:iCs/>
          <w:sz w:val="21"/>
          <w:szCs w:val="21"/>
          <w:shd w:val="clear" w:color="auto" w:fill="FFFFFF"/>
        </w:rPr>
        <w:t xml:space="preserve">SFDA </w:t>
      </w:r>
      <w:r w:rsidRPr="00C60A85">
        <w:rPr>
          <w:rFonts w:ascii="Verdana" w:hAnsi="Verdana" w:cs="Arial"/>
          <w:i/>
          <w:iCs/>
          <w:sz w:val="21"/>
          <w:szCs w:val="21"/>
          <w:shd w:val="clear" w:color="auto" w:fill="FFFFFF"/>
        </w:rPr>
        <w:t xml:space="preserve">(SOCIEDAD FIDUCIARIA DE DESARROLLO AGROPECUARIO S.A.) o la </w:t>
      </w:r>
      <w:r w:rsidRPr="00C60A85">
        <w:rPr>
          <w:rFonts w:ascii="Verdana" w:hAnsi="Verdana" w:cs="Arial"/>
          <w:b/>
          <w:bCs/>
          <w:i/>
          <w:iCs/>
          <w:sz w:val="21"/>
          <w:szCs w:val="21"/>
          <w:shd w:val="clear" w:color="auto" w:fill="FFFFFF"/>
        </w:rPr>
        <w:t xml:space="preserve">ANSV </w:t>
      </w:r>
      <w:r w:rsidRPr="00C60A85">
        <w:rPr>
          <w:rFonts w:ascii="Verdana" w:hAnsi="Verdana" w:cs="Arial"/>
          <w:i/>
          <w:iCs/>
          <w:sz w:val="21"/>
          <w:szCs w:val="21"/>
          <w:shd w:val="clear" w:color="auto" w:fill="FFFFFF"/>
        </w:rPr>
        <w:t xml:space="preserve">(AGENCIA NACIONAL DE SEGURIDAD VIAL) continúe en su cargo durante el periodo electoral si su contrato vence después de las </w:t>
      </w:r>
      <w:proofErr w:type="gramStart"/>
      <w:r w:rsidRPr="00C60A85">
        <w:rPr>
          <w:rFonts w:ascii="Verdana" w:hAnsi="Verdana" w:cs="Arial"/>
          <w:i/>
          <w:iCs/>
          <w:sz w:val="21"/>
          <w:szCs w:val="21"/>
          <w:shd w:val="clear" w:color="auto" w:fill="FFFFFF"/>
        </w:rPr>
        <w:t>elecciones?.</w:t>
      </w:r>
      <w:proofErr w:type="gramEnd"/>
    </w:p>
    <w:p w14:paraId="715EF994" w14:textId="77777777" w:rsidR="00BC3DBC" w:rsidRPr="00C60A85" w:rsidRDefault="00BC3DBC" w:rsidP="00BC3DBC">
      <w:pPr>
        <w:spacing w:after="0" w:line="240" w:lineRule="auto"/>
        <w:ind w:left="709" w:right="709"/>
        <w:jc w:val="both"/>
        <w:rPr>
          <w:rFonts w:ascii="Verdana" w:eastAsia="Century Gothic" w:hAnsi="Verdana" w:cs="Century Gothic"/>
          <w:i/>
          <w:iCs/>
          <w:sz w:val="21"/>
          <w:szCs w:val="21"/>
        </w:rPr>
      </w:pPr>
    </w:p>
    <w:p w14:paraId="639986F1" w14:textId="77777777" w:rsidR="00BC3DBC" w:rsidRPr="00C60A85" w:rsidRDefault="00BC3DBC" w:rsidP="00BC3DBC">
      <w:pPr>
        <w:spacing w:after="0" w:line="240" w:lineRule="auto"/>
        <w:ind w:left="709" w:right="709"/>
        <w:jc w:val="both"/>
        <w:rPr>
          <w:rFonts w:ascii="Verdana" w:eastAsia="Century Gothic" w:hAnsi="Verdana" w:cs="Century Gothic"/>
          <w:i/>
          <w:iCs/>
          <w:sz w:val="21"/>
          <w:szCs w:val="21"/>
        </w:rPr>
      </w:pPr>
      <w:r w:rsidRPr="00C60A85">
        <w:rPr>
          <w:rFonts w:ascii="Verdana" w:eastAsia="Century Gothic" w:hAnsi="Verdana" w:cs="Century Gothic"/>
          <w:i/>
          <w:iCs/>
          <w:sz w:val="21"/>
          <w:szCs w:val="21"/>
        </w:rPr>
        <w:t xml:space="preserve">¿Existen restricciones o limitaciones legales que puedan afectar la continuidad de un contrato en una entidad pública cuando hay elecciones próximas? </w:t>
      </w:r>
    </w:p>
    <w:p w14:paraId="13DAC636" w14:textId="77777777" w:rsidR="00BC3DBC" w:rsidRPr="00C60A85" w:rsidRDefault="00BC3DBC" w:rsidP="00BC3DBC">
      <w:pPr>
        <w:spacing w:after="0" w:line="240" w:lineRule="auto"/>
        <w:ind w:left="709" w:right="709"/>
        <w:jc w:val="both"/>
        <w:rPr>
          <w:rFonts w:ascii="Verdana" w:eastAsia="Century Gothic" w:hAnsi="Verdana" w:cs="Century Gothic"/>
          <w:i/>
          <w:iCs/>
          <w:sz w:val="21"/>
          <w:szCs w:val="21"/>
        </w:rPr>
      </w:pPr>
    </w:p>
    <w:p w14:paraId="4AF2C65B" w14:textId="77777777" w:rsidR="00BC3DBC" w:rsidRPr="00C60A85" w:rsidRDefault="00BC3DBC" w:rsidP="00BC3DBC">
      <w:pPr>
        <w:spacing w:after="0" w:line="240" w:lineRule="auto"/>
        <w:ind w:left="709" w:right="709"/>
        <w:jc w:val="both"/>
        <w:rPr>
          <w:rFonts w:ascii="Verdana" w:eastAsia="Century Gothic" w:hAnsi="Verdana" w:cs="Century Gothic"/>
          <w:i/>
          <w:iCs/>
          <w:sz w:val="21"/>
          <w:szCs w:val="21"/>
        </w:rPr>
      </w:pPr>
      <w:r w:rsidRPr="00C60A85">
        <w:rPr>
          <w:rFonts w:ascii="Verdana" w:eastAsia="Century Gothic" w:hAnsi="Verdana" w:cs="Century Gothic"/>
          <w:i/>
          <w:iCs/>
          <w:sz w:val="21"/>
          <w:szCs w:val="21"/>
        </w:rPr>
        <w:t xml:space="preserve">¿Qué medidas o requisitos se aplican a los funcionarios contratados por entidades del Estado en periodo electoral, especialmente si están vinculados a actividades que puedan influir en los comicios? </w:t>
      </w:r>
    </w:p>
    <w:p w14:paraId="5EB06880" w14:textId="77777777" w:rsidR="00BC3DBC" w:rsidRPr="00C60A85" w:rsidRDefault="00BC3DBC" w:rsidP="00BC3DBC">
      <w:pPr>
        <w:spacing w:after="0" w:line="240" w:lineRule="auto"/>
        <w:ind w:left="709" w:right="709"/>
        <w:jc w:val="both"/>
        <w:rPr>
          <w:rFonts w:ascii="Verdana" w:eastAsia="Century Gothic" w:hAnsi="Verdana" w:cs="Century Gothic"/>
          <w:i/>
          <w:iCs/>
          <w:sz w:val="21"/>
          <w:szCs w:val="21"/>
        </w:rPr>
      </w:pPr>
    </w:p>
    <w:p w14:paraId="30A5CF5E" w14:textId="77777777" w:rsidR="00BC3DBC" w:rsidRPr="00C60A85" w:rsidRDefault="00BC3DBC" w:rsidP="00BC3DBC">
      <w:pPr>
        <w:spacing w:after="0" w:line="240" w:lineRule="auto"/>
        <w:ind w:left="709" w:right="709"/>
        <w:jc w:val="both"/>
        <w:rPr>
          <w:rFonts w:ascii="Verdana" w:eastAsia="Century Gothic" w:hAnsi="Verdana" w:cs="Century Gothic"/>
          <w:i/>
          <w:iCs/>
          <w:sz w:val="21"/>
          <w:szCs w:val="21"/>
        </w:rPr>
      </w:pPr>
      <w:r w:rsidRPr="00C60A85">
        <w:rPr>
          <w:rFonts w:ascii="Verdana" w:eastAsia="Century Gothic" w:hAnsi="Verdana" w:cs="Century Gothic"/>
          <w:i/>
          <w:iCs/>
          <w:sz w:val="21"/>
          <w:szCs w:val="21"/>
        </w:rPr>
        <w:t>¿Qué procedimiento se sigue para la renovación o terminación anticipada de un contrato público si se encuentra cerca de un periodo electoral, y cuál sería el impacto si el contrato no se renueva antes de las elecciones</w:t>
      </w:r>
      <w:bookmarkEnd w:id="0"/>
      <w:r w:rsidRPr="00C60A85">
        <w:rPr>
          <w:rFonts w:ascii="Verdana" w:eastAsia="Century Gothic" w:hAnsi="Verdana" w:cs="Century Gothic"/>
          <w:i/>
          <w:iCs/>
          <w:sz w:val="21"/>
          <w:szCs w:val="21"/>
        </w:rPr>
        <w:t>?”</w:t>
      </w:r>
    </w:p>
    <w:p w14:paraId="64110CF5" w14:textId="77777777" w:rsidR="00BC3DBC" w:rsidRPr="00C60A85" w:rsidRDefault="00BC3DBC" w:rsidP="00BC3DBC">
      <w:pPr>
        <w:spacing w:after="0" w:line="240" w:lineRule="auto"/>
        <w:ind w:left="709" w:right="709"/>
        <w:jc w:val="both"/>
        <w:rPr>
          <w:rFonts w:ascii="Verdana" w:eastAsia="Century Gothic" w:hAnsi="Verdana" w:cs="Century Gothic"/>
          <w:b/>
          <w:bCs/>
          <w:i/>
          <w:iCs/>
          <w:sz w:val="21"/>
          <w:szCs w:val="21"/>
        </w:rPr>
      </w:pPr>
    </w:p>
    <w:p w14:paraId="7D2AFB9A" w14:textId="77777777" w:rsidR="00BC3DBC" w:rsidRDefault="00BC3DBC" w:rsidP="00BC3DBC">
      <w:pPr>
        <w:spacing w:after="120" w:line="276" w:lineRule="auto"/>
        <w:ind w:firstLine="709"/>
        <w:jc w:val="both"/>
        <w:rPr>
          <w:rFonts w:ascii="Verdana" w:eastAsia="Calibri" w:hAnsi="Verdana" w:cs="Arial"/>
          <w:szCs w:val="24"/>
          <w:lang w:val="es-ES" w:eastAsia="es-ES_tradnl"/>
        </w:rPr>
      </w:pPr>
      <w:r w:rsidRPr="001D6EB3">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r>
        <w:rPr>
          <w:rFonts w:ascii="Verdana" w:eastAsia="Calibri" w:hAnsi="Verdana" w:cs="Arial"/>
          <w:lang w:val="es-ES" w:eastAsia="es-ES"/>
        </w:rPr>
        <w:t xml:space="preserve"> Adicionalmente, es importante tener en cuenta que el artículo 226, numeral 3 de la Ley 1564 de 2012, establece</w:t>
      </w:r>
      <w:r>
        <w:rPr>
          <w:rFonts w:ascii="Verdana" w:eastAsia="Calibri" w:hAnsi="Verdana" w:cs="Arial"/>
          <w:szCs w:val="24"/>
          <w:lang w:val="es-ES" w:eastAsia="es-ES_tradnl"/>
        </w:rPr>
        <w:t xml:space="preserve"> n</w:t>
      </w:r>
      <w:r w:rsidRPr="009551A6">
        <w:rPr>
          <w:rFonts w:ascii="Verdana" w:eastAsia="Calibri" w:hAnsi="Verdana" w:cs="Arial"/>
          <w:szCs w:val="24"/>
          <w:lang w:val="es-ES" w:eastAsia="es-ES_tradnl"/>
        </w:rPr>
        <w:t>o serán admisibles los dictámenes periciales que versen sobre puntos de derecho</w:t>
      </w:r>
      <w:r>
        <w:rPr>
          <w:rFonts w:ascii="Verdana" w:eastAsia="Calibri" w:hAnsi="Verdana" w:cs="Arial"/>
          <w:szCs w:val="24"/>
          <w:lang w:val="es-ES" w:eastAsia="es-ES_tradnl"/>
        </w:rPr>
        <w:t xml:space="preserve">. </w:t>
      </w:r>
    </w:p>
    <w:p w14:paraId="750332A9" w14:textId="77777777" w:rsidR="00BC3DBC" w:rsidRPr="001D6EB3" w:rsidRDefault="00BC3DBC" w:rsidP="00BC3DBC">
      <w:pPr>
        <w:spacing w:after="0" w:line="276" w:lineRule="auto"/>
        <w:ind w:firstLine="709"/>
        <w:jc w:val="both"/>
        <w:rPr>
          <w:rFonts w:ascii="Verdana" w:eastAsia="Calibri" w:hAnsi="Verdana" w:cs="Arial"/>
          <w:lang w:val="es-ES" w:eastAsia="es-ES"/>
        </w:rPr>
      </w:pPr>
      <w:r>
        <w:rPr>
          <w:rFonts w:ascii="Verdana" w:eastAsia="Calibri" w:hAnsi="Verdana" w:cs="Arial"/>
          <w:szCs w:val="24"/>
          <w:lang w:val="es-ES" w:eastAsia="es-ES_tradnl"/>
        </w:rPr>
        <w:lastRenderedPageBreak/>
        <w:t>C</w:t>
      </w:r>
      <w:r w:rsidRPr="001D6EB3">
        <w:rPr>
          <w:rFonts w:ascii="Verdana" w:eastAsia="Calibri" w:hAnsi="Verdana" w:cs="Arial"/>
          <w:lang w:val="es-ES" w:eastAsia="es-ES"/>
        </w:rPr>
        <w:t>onforme lo expuesto, en aras de satisfacer el derecho fundamental de petición se resolverá su consulta dentro de los límites de la referida competencia consultiva, esto es, haciendo abstracción de las circunstancias particulares y concretas mencionadas en su petición, haciendo unas consideraciones sobre las normas generales relacionadas con el problema jurídico de su consulta</w:t>
      </w:r>
      <w:r>
        <w:rPr>
          <w:rFonts w:ascii="Verdana" w:eastAsia="Calibri" w:hAnsi="Verdana" w:cs="Arial"/>
          <w:lang w:val="es-ES" w:eastAsia="es-ES"/>
        </w:rPr>
        <w:t xml:space="preserve">, por lo que manifestado en este concepto pueda ser tomado como un pronunciamiento sobre las circunstancias particulares de la investigación mencionada en la petición.  </w:t>
      </w:r>
      <w:r w:rsidRPr="001D6EB3">
        <w:rPr>
          <w:rFonts w:ascii="Verdana" w:eastAsia="Calibri" w:hAnsi="Verdana" w:cs="Arial"/>
          <w:lang w:val="es-ES" w:eastAsia="es-ES"/>
        </w:rPr>
        <w:t xml:space="preserve"> </w:t>
      </w:r>
    </w:p>
    <w:p w14:paraId="16BB7702" w14:textId="77777777" w:rsidR="00BC3DBC" w:rsidRPr="001D6EB3" w:rsidRDefault="00BC3DBC" w:rsidP="00BC3DBC">
      <w:pPr>
        <w:spacing w:after="0" w:line="276" w:lineRule="auto"/>
        <w:ind w:firstLine="709"/>
        <w:jc w:val="both"/>
        <w:rPr>
          <w:rFonts w:ascii="Verdana" w:eastAsia="Calibri" w:hAnsi="Verdana" w:cs="Arial"/>
          <w:lang w:val="es-ES" w:eastAsia="es-ES"/>
        </w:rPr>
      </w:pPr>
    </w:p>
    <w:p w14:paraId="30D133B6" w14:textId="77777777" w:rsidR="00BC3DBC" w:rsidRPr="001D6EB3" w:rsidRDefault="00BC3DBC" w:rsidP="00BC3DBC">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D6EB3">
        <w:rPr>
          <w:rFonts w:ascii="Verdana" w:eastAsia="Century Gothic" w:hAnsi="Verdana" w:cs="Century Gothic"/>
          <w:b/>
          <w:bCs/>
        </w:rPr>
        <w:t>Problema planteado:</w:t>
      </w:r>
    </w:p>
    <w:p w14:paraId="64B9987E" w14:textId="77777777" w:rsidR="00BC3DBC" w:rsidRPr="001D6EB3" w:rsidRDefault="00BC3DBC" w:rsidP="00BC3DBC">
      <w:pPr>
        <w:tabs>
          <w:tab w:val="left" w:pos="426"/>
        </w:tabs>
        <w:spacing w:after="0" w:line="276" w:lineRule="auto"/>
        <w:jc w:val="both"/>
        <w:rPr>
          <w:rFonts w:ascii="Verdana" w:eastAsia="Century Gothic" w:hAnsi="Verdana" w:cs="Century Gothic"/>
          <w:lang w:val="es-ES"/>
        </w:rPr>
      </w:pPr>
    </w:p>
    <w:p w14:paraId="3F1C0FA3" w14:textId="77777777" w:rsidR="00BC3DBC" w:rsidRPr="001D6EB3" w:rsidRDefault="00BC3DBC" w:rsidP="00BC3DBC">
      <w:pPr>
        <w:spacing w:after="0" w:line="276" w:lineRule="auto"/>
        <w:jc w:val="both"/>
        <w:rPr>
          <w:rFonts w:ascii="Verdana" w:eastAsia="Century Gothic" w:hAnsi="Verdana" w:cs="Century Gothic"/>
        </w:rPr>
      </w:pPr>
      <w:r w:rsidRPr="001D6EB3">
        <w:rPr>
          <w:rFonts w:ascii="Verdana" w:eastAsia="Century Gothic" w:hAnsi="Verdana" w:cs="Century Gothic"/>
        </w:rPr>
        <w:t xml:space="preserve">De acuerdo con el contenido de su solicitud, esta Agencia resolverá el siguiente problema jurídico: </w:t>
      </w:r>
      <w:r>
        <w:rPr>
          <w:rFonts w:ascii="Verdana" w:eastAsia="Century Gothic" w:hAnsi="Verdana" w:cs="Century Gothic"/>
        </w:rPr>
        <w:t>¿</w:t>
      </w:r>
      <w:r w:rsidRPr="009B452D">
        <w:rPr>
          <w:rFonts w:ascii="Verdana" w:eastAsia="Century Gothic" w:hAnsi="Verdana" w:cs="Century Gothic"/>
        </w:rPr>
        <w:t>Qué restricciones existen para celebrar y ejecutar contratos de prestación de servicios durante el periodo electoral, y cuáles son las implicaciones de los artículos 33 y 38 de la Ley 996 de 2005?</w:t>
      </w:r>
    </w:p>
    <w:p w14:paraId="3290AF57" w14:textId="77777777" w:rsidR="00BC3DBC" w:rsidRDefault="00BC3DBC" w:rsidP="00BC3DBC">
      <w:pPr>
        <w:rPr>
          <w:rFonts w:ascii="Verdana" w:eastAsia="Century Gothic" w:hAnsi="Verdana" w:cs="Century Gothic"/>
          <w:b/>
          <w:bCs/>
          <w:lang w:val="es-ES"/>
        </w:rPr>
      </w:pPr>
    </w:p>
    <w:p w14:paraId="73A36F40" w14:textId="77777777" w:rsidR="00BC3DBC" w:rsidRPr="001D6EB3" w:rsidRDefault="00BC3DBC" w:rsidP="00BC3DB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D6EB3">
        <w:rPr>
          <w:rFonts w:ascii="Verdana" w:eastAsia="Century Gothic" w:hAnsi="Verdana" w:cs="Century Gothic"/>
          <w:b/>
          <w:bCs/>
        </w:rPr>
        <w:t>Respuesta:</w:t>
      </w:r>
    </w:p>
    <w:p w14:paraId="5FEFD180" w14:textId="77777777" w:rsidR="00BC3DBC" w:rsidRPr="001D6EB3" w:rsidRDefault="00BC3DBC" w:rsidP="00BC3DB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C3DBC" w:rsidRPr="001D6EB3" w14:paraId="0E2C1758" w14:textId="77777777" w:rsidTr="00E818A6">
        <w:tc>
          <w:tcPr>
            <w:tcW w:w="8828" w:type="dxa"/>
            <w:shd w:val="clear" w:color="auto" w:fill="auto"/>
          </w:tcPr>
          <w:p w14:paraId="0E450108" w14:textId="19EE0883" w:rsidR="00BC3DBC" w:rsidRDefault="00BC3DBC" w:rsidP="00E818A6">
            <w:pPr>
              <w:spacing w:line="276" w:lineRule="auto"/>
              <w:jc w:val="both"/>
              <w:rPr>
                <w:rFonts w:ascii="Verdana" w:hAnsi="Verdana" w:cs="Arial"/>
              </w:rPr>
            </w:pPr>
            <w:r w:rsidRPr="000D66F8">
              <w:rPr>
                <w:rFonts w:ascii="Verdana" w:eastAsia="Calibri" w:hAnsi="Verdana" w:cs="Arial"/>
                <w:lang w:val="es-ES"/>
              </w:rPr>
              <w:t xml:space="preserve">Como primera medida, esta Agencia quiere esclarecer que </w:t>
            </w:r>
            <w:r w:rsidRPr="000D66F8">
              <w:rPr>
                <w:rFonts w:ascii="Verdana" w:hAnsi="Verdana" w:cs="Arial"/>
              </w:rPr>
              <w:t xml:space="preserve">la competencia de esta Entidad se fija con límites claros, con el objeto de evitar que actúe como una instancia de validación de las actuaciones de las Entidades sujetas a la </w:t>
            </w:r>
            <w:bookmarkStart w:id="1" w:name="_Hlk183972912"/>
            <w:r w:rsidRPr="000D66F8">
              <w:rPr>
                <w:rFonts w:ascii="Verdana" w:hAnsi="Verdana" w:cs="Arial"/>
              </w:rPr>
              <w:t xml:space="preserve">Ley 80 de 1993 </w:t>
            </w:r>
            <w:bookmarkEnd w:id="1"/>
            <w:r w:rsidRPr="000D66F8">
              <w:rPr>
                <w:rFonts w:ascii="Verdana" w:hAnsi="Verdana" w:cs="Arial"/>
              </w:rPr>
              <w:t>o de los demás participantes de la contratación pública. Esta competencia de interpretación de normas generales, por definición, no puede extenderse a la resolución de controversias, ni a brindar asesorías sobre casos puntuales. En ese sentido, la solución de estos temas corresponde a la Entidad que adelanta el procedimiento de selección y, en caso de conflicto, a las autoridades judiciales, fiscales y disciplinarias.</w:t>
            </w:r>
          </w:p>
          <w:p w14:paraId="0845481B" w14:textId="77777777" w:rsidR="00BC3DBC" w:rsidRDefault="00BC3DBC" w:rsidP="00E818A6">
            <w:pPr>
              <w:spacing w:line="276" w:lineRule="auto"/>
              <w:jc w:val="both"/>
              <w:rPr>
                <w:rFonts w:ascii="Verdana" w:eastAsia="Calibri" w:hAnsi="Verdana" w:cs="Arial"/>
                <w:lang w:val="es-ES"/>
              </w:rPr>
            </w:pPr>
          </w:p>
          <w:p w14:paraId="64EBF020" w14:textId="64579B37" w:rsidR="00BC3DBC" w:rsidRDefault="00BC3DBC" w:rsidP="00E818A6">
            <w:pPr>
              <w:spacing w:line="276" w:lineRule="auto"/>
              <w:jc w:val="both"/>
              <w:rPr>
                <w:rFonts w:ascii="Verdana" w:eastAsia="Calibri" w:hAnsi="Verdana" w:cs="Arial"/>
                <w:lang w:val="es-ES"/>
              </w:rPr>
            </w:pPr>
            <w:r>
              <w:rPr>
                <w:rFonts w:ascii="Verdana" w:eastAsia="Calibri" w:hAnsi="Verdana" w:cs="Arial"/>
                <w:lang w:val="es-ES"/>
              </w:rPr>
              <w:t xml:space="preserve">Ahora bien, una vez analizado su solicitud, se requiere aclarar que los servidores públicos pueden estar vinculados a la administración de varias maneras, </w:t>
            </w:r>
            <w:r w:rsidR="223D3F9D" w:rsidRPr="705CC0DD">
              <w:rPr>
                <w:rFonts w:ascii="Verdana" w:eastAsia="Calibri" w:hAnsi="Verdana" w:cs="Arial"/>
                <w:lang w:val="es-ES"/>
              </w:rPr>
              <w:t xml:space="preserve">así por ejemplo, </w:t>
            </w:r>
            <w:r>
              <w:rPr>
                <w:rFonts w:ascii="Verdana" w:eastAsia="Calibri" w:hAnsi="Verdana" w:cs="Arial"/>
                <w:lang w:val="es-ES"/>
              </w:rPr>
              <w:t xml:space="preserve">los funcionarios públicos </w:t>
            </w:r>
            <w:r w:rsidR="3946A92B" w:rsidRPr="705CC0DD">
              <w:rPr>
                <w:rFonts w:ascii="Verdana" w:eastAsia="Calibri" w:hAnsi="Verdana" w:cs="Arial"/>
                <w:lang w:val="es-ES"/>
              </w:rPr>
              <w:t xml:space="preserve">lo están </w:t>
            </w:r>
            <w:r>
              <w:rPr>
                <w:rFonts w:ascii="Verdana" w:eastAsia="Calibri" w:hAnsi="Verdana" w:cs="Arial"/>
                <w:lang w:val="es-ES"/>
              </w:rPr>
              <w:t xml:space="preserve">mediante </w:t>
            </w:r>
            <w:r w:rsidR="51EB682E" w:rsidRPr="705CC0DD">
              <w:rPr>
                <w:rFonts w:ascii="Verdana" w:eastAsia="Calibri" w:hAnsi="Verdana" w:cs="Arial"/>
                <w:lang w:val="es-ES"/>
              </w:rPr>
              <w:t xml:space="preserve">una vinculación </w:t>
            </w:r>
            <w:r w:rsidR="01F8599D" w:rsidRPr="705CC0DD">
              <w:rPr>
                <w:rFonts w:ascii="Verdana" w:eastAsia="Calibri" w:hAnsi="Verdana" w:cs="Arial"/>
                <w:lang w:val="es-ES"/>
              </w:rPr>
              <w:t>legal</w:t>
            </w:r>
            <w:r w:rsidR="51EB682E" w:rsidRPr="705CC0DD">
              <w:rPr>
                <w:rFonts w:ascii="Verdana" w:eastAsia="Calibri" w:hAnsi="Verdana" w:cs="Arial"/>
                <w:lang w:val="es-ES"/>
              </w:rPr>
              <w:t xml:space="preserve"> </w:t>
            </w:r>
            <w:r>
              <w:rPr>
                <w:rFonts w:ascii="Verdana" w:eastAsia="Calibri" w:hAnsi="Verdana" w:cs="Arial"/>
                <w:lang w:val="es-ES"/>
              </w:rPr>
              <w:t xml:space="preserve">o </w:t>
            </w:r>
            <w:r w:rsidR="75493863" w:rsidRPr="705CC0DD">
              <w:rPr>
                <w:rFonts w:ascii="Verdana" w:eastAsia="Calibri" w:hAnsi="Verdana" w:cs="Arial"/>
                <w:lang w:val="es-ES"/>
              </w:rPr>
              <w:t>reglamentaria, situación</w:t>
            </w:r>
            <w:r>
              <w:rPr>
                <w:rFonts w:ascii="Verdana" w:eastAsia="Calibri" w:hAnsi="Verdana" w:cs="Arial"/>
                <w:lang w:val="es-ES"/>
              </w:rPr>
              <w:t xml:space="preserve"> diferente a los </w:t>
            </w:r>
            <w:r w:rsidR="458516CE" w:rsidRPr="705CC0DD">
              <w:rPr>
                <w:rFonts w:ascii="Verdana" w:eastAsia="Calibri" w:hAnsi="Verdana" w:cs="Arial"/>
                <w:lang w:val="es-ES"/>
              </w:rPr>
              <w:t>contra</w:t>
            </w:r>
            <w:r w:rsidR="06874162" w:rsidRPr="705CC0DD">
              <w:rPr>
                <w:rFonts w:ascii="Verdana" w:eastAsia="Calibri" w:hAnsi="Verdana" w:cs="Arial"/>
                <w:lang w:val="es-ES"/>
              </w:rPr>
              <w:t>tistas</w:t>
            </w:r>
            <w:r w:rsidR="458516CE" w:rsidRPr="705CC0DD">
              <w:rPr>
                <w:rFonts w:ascii="Verdana" w:eastAsia="Calibri" w:hAnsi="Verdana" w:cs="Arial"/>
                <w:lang w:val="es-ES"/>
              </w:rPr>
              <w:t xml:space="preserve"> cuya </w:t>
            </w:r>
            <w:r w:rsidR="76A41FBF" w:rsidRPr="705CC0DD">
              <w:rPr>
                <w:rFonts w:ascii="Verdana" w:eastAsia="Calibri" w:hAnsi="Verdana" w:cs="Arial"/>
                <w:lang w:val="es-ES"/>
              </w:rPr>
              <w:t>vinculación</w:t>
            </w:r>
            <w:r w:rsidR="458516CE" w:rsidRPr="705CC0DD">
              <w:rPr>
                <w:rFonts w:ascii="Verdana" w:eastAsia="Calibri" w:hAnsi="Verdana" w:cs="Arial"/>
                <w:lang w:val="es-ES"/>
              </w:rPr>
              <w:t xml:space="preserve"> es netamente de origen contractual</w:t>
            </w:r>
            <w:r w:rsidR="0F89D196" w:rsidRPr="705CC0DD">
              <w:rPr>
                <w:rFonts w:ascii="Verdana" w:eastAsia="Calibri" w:hAnsi="Verdana" w:cs="Arial"/>
                <w:lang w:val="es-ES"/>
              </w:rPr>
              <w:t xml:space="preserve"> a través de</w:t>
            </w:r>
            <w:r w:rsidR="458516CE" w:rsidRPr="705CC0DD">
              <w:rPr>
                <w:rFonts w:ascii="Verdana" w:eastAsia="Calibri" w:hAnsi="Verdana" w:cs="Arial"/>
                <w:lang w:val="es-ES"/>
              </w:rPr>
              <w:t xml:space="preserve"> </w:t>
            </w:r>
            <w:r>
              <w:rPr>
                <w:rFonts w:ascii="Verdana" w:eastAsia="Calibri" w:hAnsi="Verdana" w:cs="Arial"/>
                <w:lang w:val="es-ES"/>
              </w:rPr>
              <w:t xml:space="preserve">contratos de prestación de </w:t>
            </w:r>
            <w:r w:rsidRPr="705CC0DD">
              <w:rPr>
                <w:rFonts w:ascii="Verdana" w:eastAsia="Calibri" w:hAnsi="Verdana" w:cs="Arial"/>
                <w:lang w:val="es-ES"/>
              </w:rPr>
              <w:t>servicio</w:t>
            </w:r>
            <w:r w:rsidR="5AEA75F7" w:rsidRPr="705CC0DD">
              <w:rPr>
                <w:rFonts w:ascii="Verdana" w:eastAsia="Calibri" w:hAnsi="Verdana" w:cs="Arial"/>
                <w:lang w:val="es-ES"/>
              </w:rPr>
              <w:t>s</w:t>
            </w:r>
            <w:r>
              <w:rPr>
                <w:rFonts w:ascii="Verdana" w:eastAsia="Calibri" w:hAnsi="Verdana" w:cs="Arial"/>
                <w:lang w:val="es-ES"/>
              </w:rPr>
              <w:t xml:space="preserve"> que en ningún momento generan </w:t>
            </w:r>
            <w:r w:rsidR="1D9ED352" w:rsidRPr="705CC0DD">
              <w:rPr>
                <w:rFonts w:ascii="Verdana" w:eastAsia="Calibri" w:hAnsi="Verdana" w:cs="Arial"/>
                <w:lang w:val="es-ES"/>
              </w:rPr>
              <w:t xml:space="preserve">subordinación ni un </w:t>
            </w:r>
            <w:proofErr w:type="spellStart"/>
            <w:r w:rsidR="1D9ED352" w:rsidRPr="705CC0DD">
              <w:rPr>
                <w:rFonts w:ascii="Verdana" w:eastAsia="Calibri" w:hAnsi="Verdana" w:cs="Arial"/>
                <w:lang w:val="es-ES"/>
              </w:rPr>
              <w:t>vinculo</w:t>
            </w:r>
            <w:proofErr w:type="spellEnd"/>
            <w:r w:rsidR="1D9ED352" w:rsidRPr="705CC0DD">
              <w:rPr>
                <w:rFonts w:ascii="Verdana" w:eastAsia="Calibri" w:hAnsi="Verdana" w:cs="Arial"/>
                <w:lang w:val="es-ES"/>
              </w:rPr>
              <w:t xml:space="preserve"> laboral o prestacional</w:t>
            </w:r>
            <w:r>
              <w:rPr>
                <w:rFonts w:ascii="Verdana" w:eastAsia="Calibri" w:hAnsi="Verdana" w:cs="Arial"/>
                <w:lang w:val="es-ES"/>
              </w:rPr>
              <w:t xml:space="preserve">. </w:t>
            </w:r>
          </w:p>
          <w:p w14:paraId="4A67DDEE" w14:textId="77777777" w:rsidR="00BC3DBC" w:rsidRDefault="00BC3DBC" w:rsidP="00E818A6">
            <w:pPr>
              <w:spacing w:line="276" w:lineRule="auto"/>
              <w:jc w:val="both"/>
              <w:rPr>
                <w:rFonts w:ascii="Verdana" w:eastAsia="Calibri" w:hAnsi="Verdana" w:cs="Arial"/>
                <w:lang w:val="es-ES"/>
              </w:rPr>
            </w:pPr>
          </w:p>
          <w:p w14:paraId="0DB9D94B" w14:textId="3218AB19" w:rsidR="00BC3DBC" w:rsidRDefault="00BC3DBC" w:rsidP="00E818A6">
            <w:pPr>
              <w:spacing w:line="276" w:lineRule="auto"/>
              <w:jc w:val="both"/>
              <w:rPr>
                <w:rFonts w:ascii="Verdana" w:eastAsia="Calibri" w:hAnsi="Verdana" w:cs="Arial"/>
                <w:lang w:val="es-ES"/>
              </w:rPr>
            </w:pPr>
            <w:r>
              <w:rPr>
                <w:rFonts w:ascii="Verdana" w:eastAsia="Calibri" w:hAnsi="Verdana" w:cs="Arial"/>
                <w:lang w:val="es-ES"/>
              </w:rPr>
              <w:lastRenderedPageBreak/>
              <w:t xml:space="preserve">Aclarado lo anterior, </w:t>
            </w:r>
            <w:r w:rsidR="3CAA8F82" w:rsidRPr="705CC0DD">
              <w:rPr>
                <w:rFonts w:ascii="Verdana" w:eastAsia="Calibri" w:hAnsi="Verdana" w:cs="Arial"/>
                <w:lang w:val="es-ES"/>
              </w:rPr>
              <w:t>vemos como</w:t>
            </w:r>
            <w:r>
              <w:rPr>
                <w:rFonts w:ascii="Verdana" w:eastAsia="Calibri" w:hAnsi="Verdana" w:cs="Arial"/>
                <w:lang w:val="es-ES"/>
              </w:rPr>
              <w:t xml:space="preserve"> el </w:t>
            </w:r>
            <w:proofErr w:type="spellStart"/>
            <w:r>
              <w:rPr>
                <w:rFonts w:ascii="Verdana" w:eastAsia="Calibri" w:hAnsi="Verdana" w:cs="Arial"/>
                <w:lang w:val="es-ES"/>
              </w:rPr>
              <w:t>articulo</w:t>
            </w:r>
            <w:proofErr w:type="spellEnd"/>
            <w:r>
              <w:rPr>
                <w:rFonts w:ascii="Verdana" w:eastAsia="Calibri" w:hAnsi="Verdana" w:cs="Arial"/>
                <w:lang w:val="es-ES"/>
              </w:rPr>
              <w:t xml:space="preserve"> 33 de la ley 966 de 2005 establece una prohibición en la celebración de contratos estatales bajo la modalidad de contratación directa durante los 4 meses anteriores a la celebración de la elección presidencial y hasta la celebración de la segunda vuelta, en el caso que ocurra. </w:t>
            </w:r>
          </w:p>
          <w:p w14:paraId="2DD1BFF4" w14:textId="77777777" w:rsidR="00BC3DBC" w:rsidRDefault="00BC3DBC" w:rsidP="00E818A6">
            <w:pPr>
              <w:spacing w:line="276" w:lineRule="auto"/>
              <w:jc w:val="both"/>
              <w:rPr>
                <w:rFonts w:ascii="Verdana" w:eastAsia="Calibri" w:hAnsi="Verdana" w:cs="Arial"/>
                <w:lang w:val="es-ES"/>
              </w:rPr>
            </w:pPr>
          </w:p>
          <w:p w14:paraId="62BDC5D6" w14:textId="260610D0" w:rsidR="00BC3DBC" w:rsidRDefault="00BC3DBC" w:rsidP="00E818A6">
            <w:pPr>
              <w:spacing w:line="276" w:lineRule="auto"/>
              <w:jc w:val="both"/>
              <w:rPr>
                <w:rFonts w:ascii="Verdana" w:eastAsia="Calibri" w:hAnsi="Verdana" w:cs="Arial"/>
              </w:rPr>
            </w:pPr>
            <w:r w:rsidRPr="009B452D">
              <w:rPr>
                <w:rFonts w:ascii="Verdana" w:eastAsia="Calibri" w:hAnsi="Verdana" w:cs="Arial"/>
              </w:rPr>
              <w:t>El artículo 38 de la Ley 996 de 2005 establece de manera taxativa las prohibiciones para los servidores públicos</w:t>
            </w:r>
            <w:r w:rsidR="200378E1" w:rsidRPr="705CC0DD">
              <w:rPr>
                <w:rFonts w:ascii="Verdana" w:eastAsia="Calibri" w:hAnsi="Verdana" w:cs="Arial"/>
              </w:rPr>
              <w:t xml:space="preserve"> en vigencia de la denominada ley de garantías electorales</w:t>
            </w:r>
            <w:r w:rsidRPr="705CC0DD">
              <w:rPr>
                <w:rFonts w:ascii="Verdana" w:eastAsia="Calibri" w:hAnsi="Verdana" w:cs="Arial"/>
              </w:rPr>
              <w:t>.</w:t>
            </w:r>
            <w:r w:rsidRPr="009B452D">
              <w:rPr>
                <w:rFonts w:ascii="Verdana" w:eastAsia="Calibri" w:hAnsi="Verdana" w:cs="Arial"/>
              </w:rPr>
              <w:t xml:space="preserve"> En consecuencia, se debe determinar legalmente </w:t>
            </w:r>
            <w:r w:rsidR="3781B96E" w:rsidRPr="705CC0DD">
              <w:rPr>
                <w:rFonts w:ascii="Verdana" w:eastAsia="Calibri" w:hAnsi="Verdana" w:cs="Arial"/>
              </w:rPr>
              <w:t xml:space="preserve">para cada caso específico la ocurrencia o no de </w:t>
            </w:r>
            <w:r w:rsidRPr="009B452D">
              <w:rPr>
                <w:rFonts w:ascii="Verdana" w:eastAsia="Calibri" w:hAnsi="Verdana" w:cs="Arial"/>
              </w:rPr>
              <w:t>alguna de dichas prohibiciones al servidor público que las infrinja.</w:t>
            </w:r>
          </w:p>
          <w:p w14:paraId="255B868C" w14:textId="77777777" w:rsidR="00BC3DBC" w:rsidRPr="009B452D" w:rsidRDefault="00BC3DBC" w:rsidP="00E818A6">
            <w:pPr>
              <w:spacing w:line="276" w:lineRule="auto"/>
              <w:jc w:val="both"/>
              <w:rPr>
                <w:rFonts w:ascii="Verdana" w:eastAsia="Calibri" w:hAnsi="Verdana" w:cs="Arial"/>
              </w:rPr>
            </w:pPr>
          </w:p>
          <w:p w14:paraId="5C636252" w14:textId="5A7AFDD3" w:rsidR="00BC3DBC" w:rsidRDefault="00BC3DBC" w:rsidP="00E818A6">
            <w:pPr>
              <w:spacing w:line="276" w:lineRule="auto"/>
              <w:jc w:val="both"/>
              <w:rPr>
                <w:rFonts w:ascii="Verdana" w:eastAsia="Calibri" w:hAnsi="Verdana" w:cs="Arial"/>
              </w:rPr>
            </w:pPr>
            <w:r w:rsidRPr="009B452D">
              <w:rPr>
                <w:rFonts w:ascii="Verdana" w:eastAsia="Calibri" w:hAnsi="Verdana" w:cs="Arial"/>
              </w:rPr>
              <w:t xml:space="preserve">Por otro lado, la celebración de contratos estatales durante los períodos preelectorales, en los cuales rigen las restricciones contractuales establecidas por el artículo 33 de la Ley 996 de 2005 y el parágrafo del artículo 38, </w:t>
            </w:r>
            <w:r w:rsidR="359BCA7C" w:rsidRPr="705CC0DD">
              <w:rPr>
                <w:rFonts w:ascii="Verdana" w:eastAsia="Calibri" w:hAnsi="Verdana" w:cs="Arial"/>
              </w:rPr>
              <w:t xml:space="preserve">genera sanciones de tipo disciplinario y las demás establecidas en la </w:t>
            </w:r>
            <w:proofErr w:type="gramStart"/>
            <w:r w:rsidR="359BCA7C" w:rsidRPr="705CC0DD">
              <w:rPr>
                <w:rFonts w:ascii="Verdana" w:eastAsia="Calibri" w:hAnsi="Verdana" w:cs="Arial"/>
              </w:rPr>
              <w:t>ley.</w:t>
            </w:r>
            <w:r w:rsidRPr="009B452D">
              <w:rPr>
                <w:rFonts w:ascii="Verdana" w:eastAsia="Calibri" w:hAnsi="Verdana" w:cs="Arial"/>
              </w:rPr>
              <w:t>.</w:t>
            </w:r>
            <w:proofErr w:type="gramEnd"/>
            <w:r w:rsidRPr="705CC0DD">
              <w:rPr>
                <w:rFonts w:ascii="Verdana" w:eastAsia="Calibri" w:hAnsi="Verdana" w:cs="Arial"/>
              </w:rPr>
              <w:t xml:space="preserve"> </w:t>
            </w:r>
            <w:r w:rsidR="4C6EA60E" w:rsidRPr="705CC0DD">
              <w:rPr>
                <w:rFonts w:ascii="Verdana" w:eastAsia="Calibri" w:hAnsi="Verdana" w:cs="Arial"/>
              </w:rPr>
              <w:t>Resulta de la mayor importancia tener en cuenta que s</w:t>
            </w:r>
            <w:r w:rsidRPr="009B452D">
              <w:rPr>
                <w:rFonts w:ascii="Verdana" w:eastAsia="Calibri" w:hAnsi="Verdana" w:cs="Arial"/>
              </w:rPr>
              <w:t xml:space="preserve">egún el artículo 44, numeral 2, de la Ley 80 de 1993, los contratos estatales son absolutamente nulos cuando se celebren en contravención a una prohibición expresa de carácter constitucional o legal. </w:t>
            </w:r>
          </w:p>
          <w:p w14:paraId="292ACBDD" w14:textId="77777777" w:rsidR="00CB2B4C" w:rsidRDefault="00BC3DBC" w:rsidP="00E818A6">
            <w:pPr>
              <w:spacing w:line="276" w:lineRule="auto"/>
              <w:jc w:val="both"/>
              <w:rPr>
                <w:rFonts w:ascii="Verdana" w:eastAsia="Calibri" w:hAnsi="Verdana" w:cs="Arial"/>
              </w:rPr>
            </w:pPr>
            <w:r>
              <w:rPr>
                <w:rFonts w:ascii="Verdana" w:eastAsia="Calibri" w:hAnsi="Verdana" w:cs="Arial"/>
              </w:rPr>
              <w:t xml:space="preserve">Vale mencionar, que </w:t>
            </w:r>
            <w:r w:rsidRPr="0052333F">
              <w:rPr>
                <w:rFonts w:ascii="Verdana" w:eastAsia="Calibri" w:hAnsi="Verdana" w:cs="Arial"/>
              </w:rPr>
              <w:t xml:space="preserve">La Procuraduría General de la Nación, a través de </w:t>
            </w:r>
            <w:r w:rsidR="75DBF9FF" w:rsidRPr="705CC0DD">
              <w:rPr>
                <w:rFonts w:ascii="Verdana" w:eastAsia="Calibri" w:hAnsi="Verdana" w:cs="Arial"/>
              </w:rPr>
              <w:t xml:space="preserve">varias </w:t>
            </w:r>
            <w:r w:rsidRPr="705CC0DD">
              <w:rPr>
                <w:rFonts w:ascii="Verdana" w:eastAsia="Calibri" w:hAnsi="Verdana" w:cs="Arial"/>
              </w:rPr>
              <w:t>Directiva</w:t>
            </w:r>
            <w:r w:rsidR="3C548349" w:rsidRPr="705CC0DD">
              <w:rPr>
                <w:rFonts w:ascii="Verdana" w:eastAsia="Calibri" w:hAnsi="Verdana" w:cs="Arial"/>
              </w:rPr>
              <w:t>s expedidas previamente a la entrada en vigencia de la denominad</w:t>
            </w:r>
            <w:r w:rsidR="0064768B">
              <w:rPr>
                <w:rFonts w:ascii="Verdana" w:eastAsia="Calibri" w:hAnsi="Verdana" w:cs="Arial"/>
              </w:rPr>
              <w:t>a</w:t>
            </w:r>
            <w:r w:rsidR="3C548349" w:rsidRPr="705CC0DD">
              <w:rPr>
                <w:rFonts w:ascii="Verdana" w:eastAsia="Calibri" w:hAnsi="Verdana" w:cs="Arial"/>
              </w:rPr>
              <w:t xml:space="preserve"> ley de garantías electorales,</w:t>
            </w:r>
            <w:r w:rsidR="0064768B">
              <w:rPr>
                <w:rFonts w:ascii="Verdana" w:eastAsia="Calibri" w:hAnsi="Verdana" w:cs="Arial"/>
              </w:rPr>
              <w:t xml:space="preserve"> y posteriormente, </w:t>
            </w:r>
            <w:r w:rsidR="3C548349" w:rsidRPr="705CC0DD">
              <w:rPr>
                <w:rFonts w:ascii="Verdana" w:eastAsia="Calibri" w:hAnsi="Verdana" w:cs="Arial"/>
              </w:rPr>
              <w:t xml:space="preserve"> entre ellas la contenida en la numero</w:t>
            </w:r>
            <w:r w:rsidRPr="0052333F">
              <w:rPr>
                <w:rFonts w:ascii="Verdana" w:eastAsia="Calibri" w:hAnsi="Verdana" w:cs="Arial"/>
              </w:rPr>
              <w:t xml:space="preserve"> 010 de 2023, dirigida a gobernadores, alcaldes, secretarios, gerentes, directores y ordenadores del gasto en entidades descentralizadas del orden municipal, departamental y distrital, ha instado a los servidores públicos a </w:t>
            </w:r>
            <w:r w:rsidR="00B83B45">
              <w:rPr>
                <w:rFonts w:ascii="Verdana" w:eastAsia="Calibri" w:hAnsi="Verdana" w:cs="Arial"/>
              </w:rPr>
              <w:t>dar cumplimiento</w:t>
            </w:r>
            <w:r w:rsidR="003D2E20">
              <w:rPr>
                <w:rFonts w:ascii="Verdana" w:eastAsia="Calibri" w:hAnsi="Verdana" w:cs="Arial"/>
              </w:rPr>
              <w:t xml:space="preserve"> de las disposiciones previstas </w:t>
            </w:r>
            <w:r w:rsidR="004D7122">
              <w:rPr>
                <w:rFonts w:ascii="Verdana" w:eastAsia="Calibri" w:hAnsi="Verdana" w:cs="Arial"/>
              </w:rPr>
              <w:t>en el titulo III de la ley 996 de 2005</w:t>
            </w:r>
            <w:r w:rsidR="00685A5C">
              <w:rPr>
                <w:rFonts w:ascii="Verdana" w:eastAsia="Calibri" w:hAnsi="Verdana" w:cs="Arial"/>
              </w:rPr>
              <w:t xml:space="preserve">, especialmente en lo relacionado con participación en </w:t>
            </w:r>
            <w:r w:rsidR="009C1A65">
              <w:rPr>
                <w:rFonts w:ascii="Verdana" w:eastAsia="Calibri" w:hAnsi="Verdana" w:cs="Arial"/>
              </w:rPr>
              <w:t>política de los servidores públicos</w:t>
            </w:r>
            <w:r w:rsidR="00FB5FEF">
              <w:rPr>
                <w:rFonts w:ascii="Verdana" w:eastAsia="Calibri" w:hAnsi="Verdana" w:cs="Arial"/>
              </w:rPr>
              <w:t xml:space="preserve"> y a la observancia del principio de planeación</w:t>
            </w:r>
            <w:r w:rsidR="00CB2B4C">
              <w:rPr>
                <w:rFonts w:ascii="Verdana" w:eastAsia="Calibri" w:hAnsi="Verdana" w:cs="Arial"/>
              </w:rPr>
              <w:t>.</w:t>
            </w:r>
          </w:p>
          <w:p w14:paraId="35D4DB6B" w14:textId="456AB190" w:rsidR="00BC3DBC" w:rsidRDefault="00BC3DBC" w:rsidP="00E818A6">
            <w:pPr>
              <w:spacing w:line="276" w:lineRule="auto"/>
              <w:jc w:val="both"/>
              <w:rPr>
                <w:rFonts w:ascii="Verdana" w:eastAsia="Calibri" w:hAnsi="Verdana" w:cs="Arial"/>
              </w:rPr>
            </w:pPr>
            <w:r w:rsidRPr="0052333F">
              <w:rPr>
                <w:rFonts w:ascii="Verdana" w:eastAsia="Calibri" w:hAnsi="Verdana" w:cs="Arial"/>
              </w:rPr>
              <w:t xml:space="preserve"> </w:t>
            </w:r>
          </w:p>
          <w:p w14:paraId="41F27981" w14:textId="77777777" w:rsidR="00BC3DBC" w:rsidRPr="009B452D" w:rsidRDefault="00BC3DBC" w:rsidP="00E818A6">
            <w:pPr>
              <w:spacing w:line="276" w:lineRule="auto"/>
              <w:jc w:val="both"/>
              <w:rPr>
                <w:rFonts w:ascii="Verdana" w:eastAsia="Calibri" w:hAnsi="Verdana" w:cs="Arial"/>
              </w:rPr>
            </w:pPr>
            <w:r>
              <w:rPr>
                <w:rFonts w:ascii="Verdana" w:eastAsia="Calibri" w:hAnsi="Verdana" w:cs="Arial"/>
              </w:rPr>
              <w:t xml:space="preserve">Lo anterior, </w:t>
            </w:r>
            <w:r w:rsidRPr="0052333F">
              <w:rPr>
                <w:rFonts w:ascii="Verdana" w:eastAsia="Calibri" w:hAnsi="Verdana" w:cs="Arial"/>
              </w:rPr>
              <w:t>está alineado con las buenas prácticas contractuales y los principios de la contratación estatal, como la transparencia, la legalidad y la eficiencia, garantizando que la gestión pública se realice dentro del marco normativo y con responsabilidad</w:t>
            </w:r>
            <w:r>
              <w:rPr>
                <w:rFonts w:ascii="Verdana" w:eastAsia="Calibri" w:hAnsi="Verdana" w:cs="Arial"/>
              </w:rPr>
              <w:t>, en aras de no afectar las resultas transparentes de una elección popular</w:t>
            </w:r>
            <w:r w:rsidRPr="0052333F">
              <w:rPr>
                <w:rFonts w:ascii="Verdana" w:eastAsia="Calibri" w:hAnsi="Verdana" w:cs="Arial"/>
              </w:rPr>
              <w:t>.</w:t>
            </w:r>
          </w:p>
        </w:tc>
      </w:tr>
    </w:tbl>
    <w:p w14:paraId="4C883767" w14:textId="77777777" w:rsidR="00BC3DBC" w:rsidRPr="009B452D" w:rsidRDefault="00BC3DBC" w:rsidP="00BC3DBC">
      <w:pPr>
        <w:tabs>
          <w:tab w:val="left" w:pos="142"/>
          <w:tab w:val="left" w:pos="284"/>
        </w:tabs>
        <w:spacing w:after="0" w:line="276" w:lineRule="auto"/>
        <w:jc w:val="both"/>
        <w:rPr>
          <w:rFonts w:ascii="Verdana" w:eastAsia="Century Gothic" w:hAnsi="Verdana" w:cs="Century Gothic"/>
          <w:b/>
          <w:bCs/>
        </w:rPr>
      </w:pPr>
    </w:p>
    <w:p w14:paraId="20C2393F" w14:textId="77777777" w:rsidR="00BC3DBC" w:rsidRPr="001D6EB3" w:rsidRDefault="00BC3DBC" w:rsidP="00BC3DB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D6EB3">
        <w:rPr>
          <w:rFonts w:ascii="Verdana" w:eastAsia="Century Gothic" w:hAnsi="Verdana" w:cs="Century Gothic"/>
          <w:b/>
          <w:bCs/>
        </w:rPr>
        <w:t>Razones de la respuesta:</w:t>
      </w:r>
    </w:p>
    <w:p w14:paraId="561ADCA9" w14:textId="77777777" w:rsidR="00BC3DBC" w:rsidRPr="001D6EB3" w:rsidRDefault="00BC3DBC" w:rsidP="00BC3DBC">
      <w:pPr>
        <w:spacing w:after="0" w:line="276" w:lineRule="auto"/>
        <w:jc w:val="both"/>
        <w:rPr>
          <w:rFonts w:ascii="Verdana" w:eastAsia="Calibri" w:hAnsi="Verdana" w:cs="Arial"/>
          <w:lang w:val="es-ES"/>
        </w:rPr>
      </w:pPr>
    </w:p>
    <w:p w14:paraId="5F9010C4" w14:textId="77777777" w:rsidR="00BC3DBC" w:rsidRPr="001D6EB3" w:rsidRDefault="00BC3DBC" w:rsidP="00BC3DBC">
      <w:pPr>
        <w:spacing w:after="0" w:line="276" w:lineRule="auto"/>
        <w:jc w:val="both"/>
        <w:rPr>
          <w:rFonts w:ascii="Verdana" w:eastAsia="Calibri" w:hAnsi="Verdana" w:cs="Arial"/>
          <w:lang w:val="es-ES"/>
        </w:rPr>
      </w:pPr>
      <w:r w:rsidRPr="001D6EB3">
        <w:rPr>
          <w:rFonts w:ascii="Verdana" w:eastAsia="Calibri" w:hAnsi="Verdana" w:cs="Arial"/>
          <w:lang w:val="es-ES"/>
        </w:rPr>
        <w:t xml:space="preserve">Lo anterior se sustenta en las siguientes consideraciones: </w:t>
      </w:r>
    </w:p>
    <w:p w14:paraId="34E01315" w14:textId="77777777" w:rsidR="00BC3DBC" w:rsidRPr="001D6EB3" w:rsidRDefault="00BC3DBC" w:rsidP="00BC3DBC">
      <w:pPr>
        <w:spacing w:after="0" w:line="276" w:lineRule="auto"/>
        <w:jc w:val="both"/>
        <w:rPr>
          <w:rFonts w:ascii="Verdana" w:eastAsia="Calibri" w:hAnsi="Verdana" w:cs="Arial"/>
          <w:lang w:val="es-ES"/>
        </w:rPr>
      </w:pPr>
    </w:p>
    <w:p w14:paraId="1348EB57" w14:textId="77777777" w:rsidR="00BC3DBC" w:rsidRPr="00534DBD" w:rsidRDefault="00BC3DBC" w:rsidP="00BC3DBC">
      <w:pPr>
        <w:pStyle w:val="Prrafodelista"/>
        <w:numPr>
          <w:ilvl w:val="0"/>
          <w:numId w:val="17"/>
        </w:numPr>
        <w:tabs>
          <w:tab w:val="left" w:pos="426"/>
        </w:tabs>
        <w:spacing w:after="120" w:line="276" w:lineRule="auto"/>
        <w:jc w:val="both"/>
        <w:rPr>
          <w:rFonts w:ascii="Verdana" w:eastAsia="Calibri" w:hAnsi="Verdana" w:cs="Arial"/>
          <w:bCs/>
          <w:lang w:val="es-CO"/>
        </w:rPr>
      </w:pPr>
      <w:bookmarkStart w:id="2" w:name="_Hlk88117457"/>
      <w:r w:rsidRPr="001D6EB3">
        <w:rPr>
          <w:rFonts w:ascii="Verdana" w:hAnsi="Verdana" w:cs="Arial"/>
          <w:bCs/>
          <w:lang w:eastAsia="es-CO"/>
        </w:rPr>
        <w:t>La Ley 996 de 2005</w:t>
      </w:r>
      <w:r w:rsidRPr="001D6EB3">
        <w:rPr>
          <w:rFonts w:ascii="Verdana" w:hAnsi="Verdana" w:cs="Arial"/>
          <w:b/>
          <w:lang w:eastAsia="es-CO"/>
        </w:rPr>
        <w:t xml:space="preserve"> </w:t>
      </w:r>
      <w:r w:rsidRPr="001D6EB3">
        <w:rPr>
          <w:rFonts w:ascii="Verdana" w:eastAsia="Calibri" w:hAnsi="Verdana" w:cs="Arial"/>
          <w:bCs/>
        </w:rPr>
        <w:t>“</w:t>
      </w:r>
      <w:r w:rsidRPr="001D6EB3">
        <w:rPr>
          <w:rStyle w:val="Textoennegrita"/>
          <w:rFonts w:ascii="Verdana" w:hAnsi="Verdana" w:cs="Arial"/>
          <w:shd w:val="clear" w:color="auto" w:fill="FFFFFF"/>
        </w:rPr>
        <w:t xml:space="preserve">Por medio de la cual se reglamenta la elección de </w:t>
      </w:r>
      <w:proofErr w:type="gramStart"/>
      <w:r w:rsidRPr="001D6EB3">
        <w:rPr>
          <w:rStyle w:val="Textoennegrita"/>
          <w:rFonts w:ascii="Verdana" w:hAnsi="Verdana" w:cs="Arial"/>
          <w:shd w:val="clear" w:color="auto" w:fill="FFFFFF"/>
        </w:rPr>
        <w:t>Presidente</w:t>
      </w:r>
      <w:proofErr w:type="gramEnd"/>
      <w:r w:rsidRPr="001D6EB3">
        <w:rPr>
          <w:rStyle w:val="Textoennegrita"/>
          <w:rFonts w:ascii="Verdana" w:hAnsi="Verdana" w:cs="Arial"/>
          <w:shd w:val="clear" w:color="auto" w:fill="FFFFFF"/>
        </w:rPr>
        <w:t xml:space="preserve"> de la República, de conformidad con el artículo 152 literal f) de la Constitución Política de Colombia, y de acuerdo con lo establecido en el Acto Legislativo 02 de 2004, y se dictan otras disposiciones</w:t>
      </w:r>
      <w:r w:rsidRPr="001D6EB3">
        <w:rPr>
          <w:rFonts w:ascii="Verdana" w:eastAsia="Calibri" w:hAnsi="Verdana" w:cs="Arial"/>
          <w:bCs/>
        </w:rPr>
        <w:t>”,</w:t>
      </w:r>
      <w:r w:rsidRPr="001D6EB3">
        <w:rPr>
          <w:rStyle w:val="Textoennegrita"/>
          <w:rFonts w:ascii="Verdana" w:hAnsi="Verdana" w:cs="Arial"/>
          <w:shd w:val="clear" w:color="auto" w:fill="FFFFFF"/>
        </w:rPr>
        <w:t xml:space="preserve"> </w:t>
      </w:r>
      <w:r w:rsidRPr="001D6EB3">
        <w:rPr>
          <w:rFonts w:ascii="Verdana" w:hAnsi="Verdana" w:cs="Arial"/>
          <w:bCs/>
          <w:lang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w:t>
      </w:r>
      <w:r w:rsidRPr="001D6EB3">
        <w:rPr>
          <w:rFonts w:ascii="Verdana" w:eastAsia="Calibri" w:hAnsi="Verdana" w:cs="Arial"/>
          <w:noProof/>
          <w:lang w:val="es-ES_tradnl"/>
        </w:rPr>
        <w:t xml:space="preserve"> </w:t>
      </w:r>
      <w:bookmarkEnd w:id="2"/>
    </w:p>
    <w:p w14:paraId="6F7932DB" w14:textId="77777777" w:rsidR="00BC3DBC" w:rsidRPr="001D6EB3" w:rsidRDefault="00BC3DBC" w:rsidP="00BC3DBC">
      <w:pPr>
        <w:pStyle w:val="Prrafodelista"/>
        <w:tabs>
          <w:tab w:val="left" w:pos="426"/>
        </w:tabs>
        <w:spacing w:after="120" w:line="276" w:lineRule="auto"/>
        <w:jc w:val="both"/>
        <w:rPr>
          <w:rFonts w:ascii="Verdana" w:eastAsia="Calibri" w:hAnsi="Verdana" w:cs="Arial"/>
          <w:bCs/>
          <w:lang w:val="es-CO"/>
        </w:rPr>
      </w:pPr>
    </w:p>
    <w:p w14:paraId="17A0FBFD" w14:textId="77777777" w:rsidR="00BC3DBC" w:rsidRPr="00271C62" w:rsidRDefault="00BC3DBC" w:rsidP="00BC3DBC">
      <w:pPr>
        <w:pStyle w:val="Prrafodelista"/>
        <w:numPr>
          <w:ilvl w:val="0"/>
          <w:numId w:val="17"/>
        </w:numPr>
        <w:tabs>
          <w:tab w:val="left" w:pos="426"/>
        </w:tabs>
        <w:spacing w:after="120" w:line="276" w:lineRule="auto"/>
        <w:jc w:val="both"/>
        <w:rPr>
          <w:rFonts w:ascii="Verdana" w:hAnsi="Verdana" w:cs="Arial"/>
          <w:lang w:eastAsia="es-CO"/>
        </w:rPr>
      </w:pPr>
      <w:r w:rsidRPr="001D6EB3">
        <w:rPr>
          <w:rFonts w:ascii="Verdana" w:hAnsi="Verdana" w:cs="Arial"/>
          <w:bCs/>
          <w:lang w:eastAsia="es-CO"/>
        </w:rPr>
        <w:t>La Corte Constitucional –en la Sentencia C-1153 de 2005– estableció, en relación con la Ley de Garantías Electorales, la definición de esta como una guía para el ejercicio equitativo y transparente de la democracia representativa, es decir, ha de contemplarse como un estatuto que lleva consigo el fin de asegurar que la contienda democrática se cumpla en condiciones igualitarias y transparentes para todos los electores, otorgando una relevancia garantista a la neutralidad de los servidores públicos que encargados de organizar y supervisar la contienda, y al acceso igualitario a los canales de comunicación. Todo esto en pro de estimular que sean las propuestas e ideas las que conduzcan al poder, en vez del musculo económico de quienes se disputan las elecciones.</w:t>
      </w:r>
    </w:p>
    <w:p w14:paraId="15EFD947" w14:textId="77777777" w:rsidR="00BC3DBC" w:rsidRPr="001D6EB3" w:rsidRDefault="00BC3DBC" w:rsidP="00BC3DBC">
      <w:pPr>
        <w:pStyle w:val="Prrafodelista"/>
        <w:tabs>
          <w:tab w:val="left" w:pos="426"/>
        </w:tabs>
        <w:spacing w:after="120" w:line="276" w:lineRule="auto"/>
        <w:jc w:val="both"/>
        <w:rPr>
          <w:rFonts w:ascii="Verdana" w:hAnsi="Verdana" w:cs="Arial"/>
          <w:lang w:eastAsia="es-CO"/>
        </w:rPr>
      </w:pPr>
    </w:p>
    <w:p w14:paraId="2D6F2D65" w14:textId="77777777" w:rsidR="00BC3DBC" w:rsidRPr="00534DBD" w:rsidRDefault="00BC3DBC" w:rsidP="00BC3DBC">
      <w:pPr>
        <w:pStyle w:val="Prrafodelista"/>
        <w:numPr>
          <w:ilvl w:val="0"/>
          <w:numId w:val="17"/>
        </w:numPr>
        <w:spacing w:line="276" w:lineRule="auto"/>
        <w:jc w:val="both"/>
        <w:rPr>
          <w:rFonts w:ascii="Verdana" w:hAnsi="Verdana" w:cs="Arial"/>
          <w:bCs/>
          <w:lang w:eastAsia="es-CO"/>
        </w:rPr>
      </w:pPr>
      <w:bookmarkStart w:id="3" w:name="_Hlk80948265"/>
      <w:r w:rsidRPr="001D6EB3">
        <w:rPr>
          <w:rFonts w:ascii="Verdana" w:hAnsi="Verdana" w:cs="Arial"/>
          <w:bCs/>
          <w:lang w:eastAsia="es-CO"/>
        </w:rPr>
        <w:t>Varias de las disposiciones de la Ley 996 de 2005, al contener normas prohibitivas, no admiten una interpretación amplia, sino que deben interpretarse restrictivamente.</w:t>
      </w:r>
      <w:bookmarkEnd w:id="3"/>
      <w:r w:rsidRPr="001D6EB3">
        <w:rPr>
          <w:rFonts w:ascii="Verdana" w:hAnsi="Verdana" w:cs="Arial"/>
          <w:bCs/>
          <w:lang w:eastAsia="es-CO"/>
        </w:rPr>
        <w:t xml:space="preserve"> En efecto, lo anterior fue indicado por la Sala de Consulta y Servicio Civil del Consejo de Estado, al precisar que, en tanto estas prohibiciones que limitan la libertad y los derechos de las personas, </w:t>
      </w:r>
      <w:r w:rsidRPr="001D6EB3">
        <w:rPr>
          <w:rFonts w:ascii="Verdana" w:hAnsi="Verdana" w:cs="Arial"/>
          <w:bCs/>
          <w:i/>
          <w:iCs/>
          <w:lang w:eastAsia="es-CO"/>
        </w:rPr>
        <w:t xml:space="preserve">“[…] son de origen constitucional y legal; la tipificación de sus causas, vigencia, naturaleza y efectos es rígida y taxativa; y su aplicación es restrictiva, de manera que excluye la analogía </w:t>
      </w:r>
      <w:proofErr w:type="spellStart"/>
      <w:r w:rsidRPr="001D6EB3">
        <w:rPr>
          <w:rFonts w:ascii="Verdana" w:hAnsi="Verdana" w:cs="Arial"/>
          <w:bCs/>
          <w:i/>
          <w:iCs/>
          <w:lang w:eastAsia="es-CO"/>
        </w:rPr>
        <w:t>legis</w:t>
      </w:r>
      <w:proofErr w:type="spellEnd"/>
      <w:r w:rsidRPr="001D6EB3">
        <w:rPr>
          <w:rFonts w:ascii="Verdana" w:hAnsi="Verdana" w:cs="Arial"/>
          <w:bCs/>
          <w:i/>
          <w:iCs/>
          <w:lang w:eastAsia="es-CO"/>
        </w:rPr>
        <w:t xml:space="preserve"> o iuris y la </w:t>
      </w:r>
      <w:r w:rsidRPr="001D6EB3">
        <w:rPr>
          <w:rFonts w:ascii="Verdana" w:hAnsi="Verdana" w:cs="Arial"/>
          <w:bCs/>
          <w:i/>
          <w:iCs/>
          <w:lang w:eastAsia="es-CO"/>
        </w:rPr>
        <w:lastRenderedPageBreak/>
        <w:t>interpretación extensiva. […] La jurisprudencia de la Corte Constitucional</w:t>
      </w:r>
      <w:r w:rsidRPr="001D6EB3">
        <w:rPr>
          <w:rStyle w:val="Refdenotaalpie"/>
          <w:rFonts w:ascii="Verdana" w:hAnsi="Verdana" w:cs="Arial"/>
          <w:bCs/>
          <w:i/>
          <w:iCs/>
          <w:lang w:eastAsia="es-CO"/>
        </w:rPr>
        <w:footnoteReference w:id="2"/>
      </w:r>
      <w:r w:rsidRPr="001D6EB3">
        <w:rPr>
          <w:rFonts w:ascii="Verdana" w:hAnsi="Verdana" w:cs="Arial"/>
          <w:bCs/>
          <w:i/>
          <w:iCs/>
          <w:lang w:eastAsia="es-CO"/>
        </w:rPr>
        <w:t> y del Consejo de Estado</w:t>
      </w:r>
      <w:r w:rsidRPr="001D6EB3">
        <w:rPr>
          <w:rStyle w:val="Refdenotaalpie"/>
          <w:rFonts w:ascii="Verdana" w:hAnsi="Verdana" w:cs="Arial"/>
          <w:bCs/>
          <w:i/>
          <w:iCs/>
          <w:lang w:eastAsia="es-CO"/>
        </w:rPr>
        <w:footnoteReference w:id="3"/>
      </w:r>
      <w:r w:rsidRPr="001D6EB3">
        <w:rPr>
          <w:rFonts w:ascii="Verdana" w:hAnsi="Verdana" w:cs="Arial"/>
          <w:bCs/>
          <w:i/>
          <w:iCs/>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Pr>
          <w:rFonts w:ascii="Verdana" w:hAnsi="Verdana" w:cs="Arial"/>
          <w:bCs/>
          <w:i/>
          <w:iCs/>
          <w:lang w:eastAsia="es-CO"/>
        </w:rPr>
        <w:t>”</w:t>
      </w:r>
      <w:r w:rsidRPr="001D6EB3">
        <w:rPr>
          <w:rStyle w:val="Refdenotaalpie"/>
          <w:rFonts w:ascii="Verdana" w:hAnsi="Verdana" w:cs="Arial"/>
          <w:bCs/>
          <w:i/>
          <w:iCs/>
          <w:lang w:eastAsia="es-CO"/>
        </w:rPr>
        <w:footnoteReference w:id="4"/>
      </w:r>
      <w:r w:rsidRPr="001D6EB3">
        <w:rPr>
          <w:rFonts w:ascii="Verdana" w:hAnsi="Verdana" w:cs="Arial"/>
          <w:bCs/>
          <w:i/>
          <w:iCs/>
          <w:lang w:eastAsia="es-CO"/>
        </w:rPr>
        <w:t>.</w:t>
      </w:r>
    </w:p>
    <w:p w14:paraId="1D2D42CD" w14:textId="77777777" w:rsidR="00BC3DBC" w:rsidRPr="001D6EB3" w:rsidRDefault="00BC3DBC" w:rsidP="00BC3DBC">
      <w:pPr>
        <w:pStyle w:val="Prrafodelista"/>
        <w:spacing w:line="276" w:lineRule="auto"/>
        <w:jc w:val="both"/>
        <w:rPr>
          <w:rFonts w:ascii="Verdana" w:hAnsi="Verdana" w:cs="Arial"/>
          <w:bCs/>
          <w:lang w:eastAsia="es-CO"/>
        </w:rPr>
      </w:pPr>
    </w:p>
    <w:p w14:paraId="6C687468" w14:textId="77777777" w:rsidR="00BC3DBC" w:rsidRDefault="00BC3DBC" w:rsidP="00BC3DBC">
      <w:pPr>
        <w:pStyle w:val="Prrafodelista"/>
        <w:widowControl w:val="0"/>
        <w:numPr>
          <w:ilvl w:val="0"/>
          <w:numId w:val="17"/>
        </w:numPr>
        <w:autoSpaceDE w:val="0"/>
        <w:autoSpaceDN w:val="0"/>
        <w:spacing w:line="276" w:lineRule="auto"/>
        <w:ind w:right="113"/>
        <w:jc w:val="both"/>
        <w:rPr>
          <w:rFonts w:ascii="Verdana" w:eastAsia="Arial" w:hAnsi="Verdana" w:cs="Arial"/>
          <w:lang w:eastAsia="es-ES" w:bidi="es-ES"/>
        </w:rPr>
      </w:pPr>
      <w:r w:rsidRPr="001D6EB3">
        <w:rPr>
          <w:rFonts w:ascii="Verdana" w:eastAsia="Arial" w:hAnsi="Verdana" w:cs="Arial"/>
          <w:lang w:eastAsia="es-ES" w:bidi="es-ES"/>
        </w:rPr>
        <w:t>De conformidad con lo anterior, es claro que la Ley de Garantías Electorales, para el cumplimiento de los objetivos que dieron lugar a su expedición, consagró prohibiciones dirigidas a los servidores públicos. No obstante, debe aclararse que estas disposiciones se dirigen a dos tipos de campañas electorales claramente diferenciadas: las presidenciales y las demás que se adelanten para la elección de los demás cargos de elección popular, tanto a nivel nacional como territorial.</w:t>
      </w:r>
    </w:p>
    <w:p w14:paraId="7E46B3FC" w14:textId="77777777" w:rsidR="00BC3DBC" w:rsidRPr="001D6EB3" w:rsidRDefault="00BC3DBC" w:rsidP="00BC3DBC">
      <w:pPr>
        <w:pStyle w:val="Prrafodelista"/>
        <w:widowControl w:val="0"/>
        <w:autoSpaceDE w:val="0"/>
        <w:autoSpaceDN w:val="0"/>
        <w:spacing w:line="276" w:lineRule="auto"/>
        <w:ind w:right="113"/>
        <w:jc w:val="both"/>
        <w:rPr>
          <w:rFonts w:ascii="Verdana" w:eastAsia="Arial" w:hAnsi="Verdana" w:cs="Arial"/>
          <w:lang w:eastAsia="es-ES" w:bidi="es-ES"/>
        </w:rPr>
      </w:pPr>
    </w:p>
    <w:p w14:paraId="7973D4A3" w14:textId="77777777" w:rsidR="00BC3DBC" w:rsidRPr="00534DBD" w:rsidRDefault="00BC3DBC" w:rsidP="00BC3DBC">
      <w:pPr>
        <w:pStyle w:val="Prrafodelista"/>
        <w:widowControl w:val="0"/>
        <w:numPr>
          <w:ilvl w:val="0"/>
          <w:numId w:val="17"/>
        </w:numPr>
        <w:autoSpaceDE w:val="0"/>
        <w:autoSpaceDN w:val="0"/>
        <w:spacing w:line="276" w:lineRule="auto"/>
        <w:ind w:right="113"/>
        <w:jc w:val="both"/>
        <w:rPr>
          <w:rFonts w:ascii="Verdana" w:eastAsia="Arial" w:hAnsi="Verdana" w:cs="Arial"/>
          <w:lang w:eastAsia="es-ES" w:bidi="es-ES"/>
        </w:rPr>
      </w:pPr>
      <w:r w:rsidRPr="001D6EB3">
        <w:rPr>
          <w:rFonts w:ascii="Verdana" w:eastAsia="Calibri" w:hAnsi="Verdana" w:cs="Arial"/>
        </w:rPr>
        <w:t xml:space="preserve">El artículo 33 de la Ley 996 de 2005 –restricciones a la contratación pública– establece una prohibición que impide </w:t>
      </w:r>
      <w:r w:rsidRPr="001D6EB3">
        <w:rPr>
          <w:rFonts w:ascii="Verdana" w:eastAsia="Calibri" w:hAnsi="Verdana" w:cs="Arial"/>
          <w:bCs/>
        </w:rPr>
        <w:t xml:space="preserve">“[…] </w:t>
      </w:r>
      <w:r w:rsidRPr="001D6EB3">
        <w:rPr>
          <w:rFonts w:ascii="Verdana" w:eastAsia="Calibri" w:hAnsi="Verdana" w:cs="Arial"/>
        </w:rPr>
        <w:t>la contratación directa por parte de todos los entes del Estado</w:t>
      </w:r>
      <w:r w:rsidRPr="001D6EB3">
        <w:rPr>
          <w:rFonts w:ascii="Verdana" w:eastAsia="Calibri" w:hAnsi="Verdana" w:cs="Arial"/>
          <w:bCs/>
        </w:rPr>
        <w:t>”</w:t>
      </w:r>
      <w:r w:rsidRPr="001D6EB3">
        <w:rPr>
          <w:rFonts w:ascii="Verdana" w:eastAsia="Calibri" w:hAnsi="Verdana" w:cs="Arial"/>
        </w:rPr>
        <w:t xml:space="preserve"> durante los cuatro (4) meses anteriores a las elecciones presidenciales, salvo </w:t>
      </w:r>
      <w:r>
        <w:rPr>
          <w:rFonts w:ascii="Verdana" w:eastAsia="Calibri" w:hAnsi="Verdana" w:cs="Arial"/>
        </w:rPr>
        <w:t>“</w:t>
      </w:r>
      <w:r w:rsidRPr="00534DBD">
        <w:rPr>
          <w:rFonts w:ascii="Verdana" w:eastAsia="Calibri" w:hAnsi="Verdana" w:cs="Arial"/>
          <w:bCs/>
        </w:rPr>
        <w:t xml:space="preserve">[…] </w:t>
      </w:r>
      <w:r w:rsidRPr="00534DBD">
        <w:rPr>
          <w:rFonts w:ascii="Verdana" w:eastAsia="Calibri" w:hAnsi="Verdana" w:cs="Arial"/>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w:t>
      </w:r>
      <w:r w:rsidRPr="00534DBD">
        <w:rPr>
          <w:rFonts w:ascii="Verdana" w:eastAsia="Calibri" w:hAnsi="Verdana" w:cs="Arial"/>
        </w:rPr>
        <w:lastRenderedPageBreak/>
        <w:t>caso de que hayan sido objeto de atentados, acciones terroristas, desastres naturales o casos de fuerza mayor, y los que deban realizar las entidades sanitarias y hospitalarias</w:t>
      </w:r>
      <w:r w:rsidRPr="00534DBD">
        <w:rPr>
          <w:rFonts w:ascii="Verdana" w:eastAsia="Calibri" w:hAnsi="Verdana" w:cs="Arial"/>
          <w:bCs/>
        </w:rPr>
        <w:t>”</w:t>
      </w:r>
      <w:r w:rsidRPr="001D6EB3">
        <w:rPr>
          <w:bCs/>
          <w:vertAlign w:val="superscript"/>
        </w:rPr>
        <w:footnoteReference w:id="5"/>
      </w:r>
      <w:r w:rsidRPr="00534DBD">
        <w:rPr>
          <w:rFonts w:ascii="Verdana" w:eastAsia="Calibri" w:hAnsi="Verdana" w:cs="Arial"/>
        </w:rPr>
        <w:t xml:space="preserve">.Por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Pr>
          <w:rFonts w:ascii="Verdana" w:eastAsia="Calibri" w:hAnsi="Verdana" w:cs="Arial"/>
          <w:bCs/>
        </w:rPr>
        <w:t>“</w:t>
      </w:r>
      <w:r w:rsidRPr="00534DBD">
        <w:rPr>
          <w:rFonts w:ascii="Verdana" w:eastAsia="Calibri" w:hAnsi="Verdana" w:cs="Arial"/>
          <w:bCs/>
        </w:rPr>
        <w:t xml:space="preserve">[…] </w:t>
      </w:r>
      <w:r w:rsidRPr="00534DBD">
        <w:rPr>
          <w:rFonts w:ascii="Verdana" w:eastAsia="Calibri" w:hAnsi="Verdana"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34DBD">
        <w:rPr>
          <w:rFonts w:ascii="Verdana" w:eastAsia="Calibri" w:hAnsi="Verdana" w:cs="Arial"/>
          <w:bCs/>
        </w:rPr>
        <w:t>”</w:t>
      </w:r>
      <w:r w:rsidRPr="001D6EB3">
        <w:rPr>
          <w:bCs/>
          <w:vertAlign w:val="superscript"/>
        </w:rPr>
        <w:footnoteReference w:id="6"/>
      </w:r>
      <w:r w:rsidRPr="00534DBD">
        <w:rPr>
          <w:rFonts w:ascii="Verdana" w:eastAsia="Calibri" w:hAnsi="Verdana" w:cs="Arial"/>
          <w:lang w:val="es-MX"/>
        </w:rPr>
        <w:t>.</w:t>
      </w:r>
    </w:p>
    <w:p w14:paraId="6BB1686C" w14:textId="77777777" w:rsidR="00BC3DBC" w:rsidRPr="00534DBD" w:rsidRDefault="00BC3DBC" w:rsidP="00BC3DBC">
      <w:pPr>
        <w:pStyle w:val="Prrafodelista"/>
        <w:widowControl w:val="0"/>
        <w:autoSpaceDE w:val="0"/>
        <w:autoSpaceDN w:val="0"/>
        <w:spacing w:line="276" w:lineRule="auto"/>
        <w:ind w:right="113"/>
        <w:jc w:val="both"/>
        <w:rPr>
          <w:rFonts w:ascii="Verdana" w:eastAsia="Arial" w:hAnsi="Verdana" w:cs="Arial"/>
          <w:lang w:eastAsia="es-ES" w:bidi="es-ES"/>
        </w:rPr>
      </w:pPr>
    </w:p>
    <w:p w14:paraId="0FFFF724" w14:textId="77777777" w:rsidR="00BC3DBC" w:rsidRDefault="00BC3DBC" w:rsidP="00BC3DBC">
      <w:pPr>
        <w:pStyle w:val="Prrafodelista"/>
        <w:spacing w:after="0" w:line="276" w:lineRule="auto"/>
        <w:jc w:val="both"/>
        <w:rPr>
          <w:rFonts w:ascii="Verdana" w:eastAsia="Calibri" w:hAnsi="Verdana" w:cs="Arial"/>
        </w:rPr>
      </w:pPr>
      <w:r w:rsidRPr="009E793B">
        <w:rPr>
          <w:rFonts w:ascii="Verdana" w:hAnsi="Verdana" w:cs="Arial"/>
        </w:rPr>
        <w:t xml:space="preserve">Precisado el alcance de las mencionadas restricciones, para responder su consulta es necesario advertir que, el artículo 44 de la Ley 80 de 1993 establece que los contratos estatales son considerados absolutamente nulos </w:t>
      </w:r>
      <w:r w:rsidRPr="009E793B">
        <w:rPr>
          <w:rFonts w:ascii="Verdana" w:hAnsi="Verdana" w:cs="Arial"/>
          <w:i/>
          <w:iCs/>
        </w:rPr>
        <w:t>“en los casos previstos en el derecho común y además”</w:t>
      </w:r>
      <w:r w:rsidRPr="009E793B">
        <w:rPr>
          <w:rFonts w:ascii="Verdana" w:hAnsi="Verdana" w:cs="Arial"/>
        </w:rPr>
        <w:t>, y las causales consagradas en dicho artículo. El numeral 2 de esta disposición establece que será nulo los contratos estatales cuando</w:t>
      </w:r>
      <w:r w:rsidRPr="009E793B">
        <w:rPr>
          <w:rFonts w:ascii="Verdana" w:hAnsi="Verdana" w:cs="Arial"/>
          <w:i/>
          <w:iCs/>
        </w:rPr>
        <w:t xml:space="preserve"> “Se celebren contra expresa prohibición constitucional o legal”</w:t>
      </w:r>
      <w:r w:rsidRPr="009E793B">
        <w:rPr>
          <w:rFonts w:ascii="Verdana" w:hAnsi="Verdana" w:cs="Arial"/>
        </w:rPr>
        <w:t xml:space="preserve">. En estos caso, de conformidad con el artículo 45 </w:t>
      </w:r>
      <w:proofErr w:type="spellStart"/>
      <w:r w:rsidRPr="009E793B">
        <w:rPr>
          <w:rFonts w:ascii="Verdana" w:hAnsi="Verdana" w:cs="Arial"/>
          <w:i/>
          <w:iCs/>
        </w:rPr>
        <w:t>ibídem</w:t>
      </w:r>
      <w:proofErr w:type="spellEnd"/>
      <w:r w:rsidRPr="009E793B">
        <w:rPr>
          <w:rFonts w:ascii="Verdana" w:hAnsi="Verdana" w:cs="Arial"/>
        </w:rPr>
        <w:t xml:space="preserve">, la configuración de la causal de numeral </w:t>
      </w:r>
      <w:proofErr w:type="gramStart"/>
      <w:r w:rsidRPr="009E793B">
        <w:rPr>
          <w:rFonts w:ascii="Verdana" w:hAnsi="Verdana" w:cs="Arial"/>
        </w:rPr>
        <w:t>2  supone</w:t>
      </w:r>
      <w:proofErr w:type="gramEnd"/>
      <w:r w:rsidRPr="009E793B">
        <w:rPr>
          <w:rFonts w:ascii="Verdana" w:hAnsi="Verdana" w:cs="Arial"/>
        </w:rPr>
        <w:t xml:space="preserve"> que </w:t>
      </w:r>
      <w:r w:rsidRPr="009E793B">
        <w:rPr>
          <w:rFonts w:ascii="Verdana" w:hAnsi="Verdana" w:cs="Arial"/>
          <w:i/>
          <w:iCs/>
        </w:rPr>
        <w:t>“[…] el jefe o representante legal de la entidad respectiva deberá dar por terminado el contrato mediante acto administrativo debidamente motivado y ordenará su liquidación en el estado en que se encuentre”.</w:t>
      </w:r>
      <w:r>
        <w:rPr>
          <w:rFonts w:ascii="Verdana" w:hAnsi="Verdana" w:cs="Arial"/>
          <w:i/>
          <w:iCs/>
        </w:rPr>
        <w:t xml:space="preserve"> </w:t>
      </w:r>
      <w:r w:rsidRPr="009E793B">
        <w:rPr>
          <w:rFonts w:ascii="Verdana" w:eastAsia="Calibri" w:hAnsi="Verdana" w:cs="Arial"/>
        </w:rPr>
        <w:t xml:space="preserve">En esta hipótesis además también puede considerarse que se afecta uno de los elementos esenciales del contrato </w:t>
      </w:r>
      <w:r w:rsidRPr="009E793B">
        <w:rPr>
          <w:rFonts w:ascii="Verdana" w:eastAsia="Calibri" w:hAnsi="Verdana" w:cs="Arial"/>
        </w:rPr>
        <w:lastRenderedPageBreak/>
        <w:t xml:space="preserve">como lo es el objeto, el cual al ser celebrado en contravención a una prohibición expresa, queda </w:t>
      </w:r>
      <w:proofErr w:type="spellStart"/>
      <w:r w:rsidRPr="009E793B">
        <w:rPr>
          <w:rFonts w:ascii="Verdana" w:eastAsia="Calibri" w:hAnsi="Verdana" w:cs="Arial"/>
        </w:rPr>
        <w:t>vicidado</w:t>
      </w:r>
      <w:proofErr w:type="spellEnd"/>
      <w:r w:rsidRPr="009E793B">
        <w:rPr>
          <w:rFonts w:ascii="Verdana" w:eastAsia="Calibri" w:hAnsi="Verdana" w:cs="Arial"/>
        </w:rPr>
        <w:t xml:space="preserve"> de ilicitud. Al respecto, la Sección Tercera del Consejo de Estado ha indicado:</w:t>
      </w:r>
    </w:p>
    <w:p w14:paraId="69B8D5F3" w14:textId="77777777" w:rsidR="00BC3DBC" w:rsidRPr="00534DBD" w:rsidRDefault="00BC3DBC" w:rsidP="00BC3DBC">
      <w:pPr>
        <w:spacing w:after="0" w:line="276" w:lineRule="auto"/>
        <w:ind w:left="993"/>
        <w:jc w:val="both"/>
        <w:rPr>
          <w:rFonts w:ascii="Verdana" w:eastAsia="Calibri" w:hAnsi="Verdana" w:cs="Arial"/>
          <w:sz w:val="20"/>
          <w:szCs w:val="20"/>
        </w:rPr>
      </w:pPr>
    </w:p>
    <w:p w14:paraId="72F4BC1E" w14:textId="77777777" w:rsidR="00BC3DBC" w:rsidRPr="00534DBD" w:rsidRDefault="00BC3DBC" w:rsidP="00BC3DBC">
      <w:pPr>
        <w:spacing w:after="0" w:line="276" w:lineRule="auto"/>
        <w:ind w:left="993" w:right="709"/>
        <w:jc w:val="both"/>
        <w:rPr>
          <w:rFonts w:ascii="Verdana" w:eastAsia="Calibri" w:hAnsi="Verdana" w:cs="Arial"/>
          <w:i/>
          <w:iCs/>
          <w:sz w:val="20"/>
          <w:szCs w:val="20"/>
        </w:rPr>
      </w:pPr>
      <w:r w:rsidRPr="00534DBD">
        <w:rPr>
          <w:rFonts w:ascii="Verdana" w:hAnsi="Verdana" w:cs="Arial"/>
          <w:i/>
          <w:iCs/>
          <w:sz w:val="20"/>
          <w:szCs w:val="20"/>
        </w:rPr>
        <w:t>“</w:t>
      </w:r>
      <w:r w:rsidRPr="00F8061F">
        <w:rPr>
          <w:rFonts w:ascii="Verdana" w:hAnsi="Verdana" w:cs="Arial"/>
          <w:i/>
          <w:iCs/>
          <w:sz w:val="20"/>
          <w:szCs w:val="20"/>
        </w:rPr>
        <w:t>[…]</w:t>
      </w:r>
      <w:r>
        <w:rPr>
          <w:rFonts w:ascii="Verdana" w:eastAsia="Calibri" w:hAnsi="Verdana" w:cs="Arial"/>
          <w:i/>
          <w:iCs/>
          <w:sz w:val="20"/>
          <w:szCs w:val="20"/>
        </w:rPr>
        <w:t xml:space="preserve"> </w:t>
      </w:r>
      <w:r w:rsidRPr="00534DBD">
        <w:rPr>
          <w:rFonts w:ascii="Verdana" w:eastAsia="Calibri" w:hAnsi="Verdana" w:cs="Arial"/>
          <w:i/>
          <w:iCs/>
          <w:sz w:val="20"/>
          <w:szCs w:val="20"/>
        </w:rPr>
        <w:t>los artículos 6º y 1519 del Código Civil son las normas básicas sobre el objeto ilícito como causal de nulidad absoluta al prever respectivamente que “… en materia civil son nulos los actos ejecutados contra expresa prohibición de la ley, si en ella misma no se dispone otra cosa…” y que “hay un objeto ilícito en todo lo que contraviene al derecho público de la nación…”, lo que se traduce en que los artículos 1521, 1523 y 1741 del Código Civil y el artículo 899 del Código de Comercio son solamente aplicaciones concretas de ellos y por consiguiente toda violación a un mandato imperativo o a una prohibición de la ley, comporta un vicio que genera nulidad absoluta si, por supuesto, ella no consagra una sanción diferente. Y es que las normas imperativas no son solamente aquellas que prohíben sino también las que mandan u ordenan y por ende la transgresión del orden público se presenta cuando se viola la que prohíbe así como cuando no se observa o se desatiende la que ordena, casos todos estos que conducen a una nulidad absoluta por objeto ilícito […]”</w:t>
      </w:r>
      <w:r w:rsidRPr="00534DBD">
        <w:rPr>
          <w:rStyle w:val="Refdenotaalpie"/>
          <w:rFonts w:ascii="Verdana" w:hAnsi="Verdana" w:cs="Arial"/>
          <w:sz w:val="20"/>
          <w:szCs w:val="20"/>
        </w:rPr>
        <w:t xml:space="preserve"> </w:t>
      </w:r>
      <w:r w:rsidRPr="00534DBD">
        <w:rPr>
          <w:rStyle w:val="Refdenotaalpie"/>
          <w:rFonts w:ascii="Verdana" w:hAnsi="Verdana" w:cs="Arial"/>
          <w:sz w:val="20"/>
          <w:szCs w:val="20"/>
        </w:rPr>
        <w:footnoteReference w:id="7"/>
      </w:r>
    </w:p>
    <w:p w14:paraId="31E1B9DE" w14:textId="77777777" w:rsidR="00BC3DBC" w:rsidRPr="001D6EB3" w:rsidRDefault="00BC3DBC" w:rsidP="00BC3DBC">
      <w:pPr>
        <w:spacing w:after="0" w:line="276" w:lineRule="auto"/>
        <w:jc w:val="both"/>
        <w:rPr>
          <w:rFonts w:ascii="Verdana" w:hAnsi="Verdana" w:cs="Arial"/>
        </w:rPr>
      </w:pPr>
    </w:p>
    <w:p w14:paraId="3BA453F0" w14:textId="77777777" w:rsidR="00BC3DBC" w:rsidRPr="00600949" w:rsidRDefault="00BC3DBC" w:rsidP="00BC3DBC">
      <w:pPr>
        <w:pStyle w:val="Prrafodelista"/>
        <w:numPr>
          <w:ilvl w:val="0"/>
          <w:numId w:val="17"/>
        </w:numPr>
        <w:spacing w:after="0" w:line="276" w:lineRule="auto"/>
        <w:jc w:val="both"/>
        <w:rPr>
          <w:rFonts w:ascii="Verdana" w:eastAsia="Calibri" w:hAnsi="Verdana" w:cs="Arial"/>
        </w:rPr>
      </w:pPr>
      <w:r w:rsidRPr="001D6EB3">
        <w:rPr>
          <w:rFonts w:ascii="Verdana" w:hAnsi="Verdana" w:cs="Arial"/>
        </w:rPr>
        <w:t xml:space="preserve">Teniendo en cuenta el </w:t>
      </w:r>
      <w:r>
        <w:rPr>
          <w:rFonts w:ascii="Verdana" w:hAnsi="Verdana" w:cs="Arial"/>
        </w:rPr>
        <w:t>alcance</w:t>
      </w:r>
      <w:r w:rsidRPr="001D6EB3">
        <w:rPr>
          <w:rFonts w:ascii="Verdana" w:hAnsi="Verdana" w:cs="Arial"/>
        </w:rPr>
        <w:t xml:space="preserve"> de </w:t>
      </w:r>
      <w:r w:rsidRPr="00534DBD">
        <w:rPr>
          <w:rFonts w:ascii="Verdana" w:hAnsi="Verdana" w:cs="Arial"/>
          <w:lang w:eastAsia="es-ES_tradnl"/>
        </w:rPr>
        <w:t>las prohibiciones establecidas en la Ley de Garantías</w:t>
      </w:r>
      <w:r>
        <w:rPr>
          <w:rFonts w:ascii="Verdana" w:hAnsi="Verdana" w:cs="Arial"/>
          <w:lang w:eastAsia="es-ES_tradnl"/>
        </w:rPr>
        <w:t xml:space="preserve">, así como el </w:t>
      </w:r>
      <w:proofErr w:type="gramStart"/>
      <w:r>
        <w:rPr>
          <w:rFonts w:ascii="Verdana" w:hAnsi="Verdana" w:cs="Arial"/>
          <w:lang w:eastAsia="es-ES_tradnl"/>
        </w:rPr>
        <w:t>origen</w:t>
      </w:r>
      <w:r w:rsidRPr="001D6EB3">
        <w:rPr>
          <w:rFonts w:ascii="Verdana" w:hAnsi="Verdana" w:cs="Arial"/>
          <w:i/>
          <w:iCs/>
          <w:lang w:eastAsia="es-ES_tradnl"/>
        </w:rPr>
        <w:t xml:space="preserve"> </w:t>
      </w:r>
      <w:r w:rsidRPr="001D6EB3">
        <w:rPr>
          <w:rFonts w:ascii="Verdana" w:eastAsia="Calibri" w:hAnsi="Verdana" w:cs="Arial"/>
          <w:bCs/>
        </w:rPr>
        <w:t xml:space="preserve"> constitucional</w:t>
      </w:r>
      <w:proofErr w:type="gramEnd"/>
      <w:r w:rsidRPr="001D6EB3">
        <w:rPr>
          <w:rFonts w:ascii="Verdana" w:eastAsia="Calibri" w:hAnsi="Verdana" w:cs="Arial"/>
          <w:bCs/>
        </w:rPr>
        <w:t xml:space="preserve"> y legal</w:t>
      </w:r>
      <w:r>
        <w:rPr>
          <w:rFonts w:ascii="Verdana" w:eastAsia="Calibri" w:hAnsi="Verdana" w:cs="Arial"/>
          <w:bCs/>
        </w:rPr>
        <w:t xml:space="preserve"> de las mismas</w:t>
      </w:r>
      <w:r w:rsidRPr="001D6EB3">
        <w:rPr>
          <w:rFonts w:ascii="Verdana" w:eastAsia="Calibri" w:hAnsi="Verdana" w:cs="Arial"/>
          <w:bCs/>
        </w:rPr>
        <w:t xml:space="preserve">, </w:t>
      </w:r>
      <w:r>
        <w:rPr>
          <w:rFonts w:ascii="Verdana" w:eastAsia="Calibri" w:hAnsi="Verdana" w:cs="Arial"/>
          <w:bCs/>
        </w:rPr>
        <w:t xml:space="preserve">es posible, es posible concluir entonces que, </w:t>
      </w:r>
      <w:r>
        <w:rPr>
          <w:rFonts w:ascii="Verdana" w:eastAsia="Calibri" w:hAnsi="Verdana" w:cs="Arial"/>
        </w:rPr>
        <w:t>celebrar contratos estatales durante los periodos prelectorales en los que rigen las restricciones contractuales que establece la Ley 966 de 2005 en su artículo 33 y en el parágrafo del artículo 38, puede dar lugar a la nulidad absoluta del contrato. Esto comoquiera que, se según lo dispuesto en el artículo 44, numeral 2 de la Ley 80 de 1993, los contratos estatales son absolutamente nulos cuando</w:t>
      </w:r>
      <w:r w:rsidRPr="00190AB0">
        <w:rPr>
          <w:rFonts w:ascii="Verdana" w:eastAsia="Calibri" w:hAnsi="Verdana" w:cs="Arial"/>
        </w:rPr>
        <w:t xml:space="preserve"> </w:t>
      </w:r>
      <w:r w:rsidRPr="00534DBD">
        <w:rPr>
          <w:rFonts w:ascii="Verdana" w:eastAsia="Calibri" w:hAnsi="Verdana" w:cs="Arial"/>
        </w:rPr>
        <w:t>se celebren contra expresa prohibición constitucional o legal</w:t>
      </w:r>
      <w:r>
        <w:rPr>
          <w:rFonts w:ascii="Verdana" w:eastAsia="Calibri" w:hAnsi="Verdana" w:cs="Arial"/>
        </w:rPr>
        <w:t xml:space="preserve">. En esta hipótesis además podría considerarse afectado unos de los elementos esenciales del negocio jurídico como el objeto, el cual, al haber celebrado en contra de la ley, podría ser considerado ilícito. </w:t>
      </w:r>
    </w:p>
    <w:p w14:paraId="2A34F34F" w14:textId="77777777" w:rsidR="00BC3DBC" w:rsidRPr="001D6EB3" w:rsidRDefault="00BC3DBC" w:rsidP="00BC3DBC">
      <w:pPr>
        <w:pStyle w:val="Prrafodelista"/>
        <w:spacing w:after="0" w:line="276" w:lineRule="auto"/>
        <w:ind w:left="709"/>
        <w:jc w:val="both"/>
        <w:rPr>
          <w:rFonts w:ascii="Verdana" w:hAnsi="Verdana" w:cs="Arial"/>
        </w:rPr>
      </w:pPr>
    </w:p>
    <w:p w14:paraId="4C66DE5D" w14:textId="77777777" w:rsidR="00BC3DBC" w:rsidRPr="001D6EB3" w:rsidRDefault="00BC3DBC" w:rsidP="00BC3DB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D6EB3">
        <w:rPr>
          <w:rFonts w:ascii="Verdana" w:eastAsia="Century Gothic" w:hAnsi="Verdana" w:cs="Century Gothic"/>
          <w:b/>
          <w:bCs/>
        </w:rPr>
        <w:t>Referencias normativas, jurisprudenciales y otras fuentes:</w:t>
      </w:r>
    </w:p>
    <w:p w14:paraId="216D6643" w14:textId="77777777" w:rsidR="00BC3DBC" w:rsidRPr="001D6EB3" w:rsidRDefault="00BC3DBC" w:rsidP="00BC3DBC">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BC3DBC" w:rsidRPr="001D6EB3" w14:paraId="2D79859B" w14:textId="77777777" w:rsidTr="00E818A6">
        <w:trPr>
          <w:trHeight w:val="870"/>
        </w:trPr>
        <w:tc>
          <w:tcPr>
            <w:tcW w:w="8647" w:type="dxa"/>
          </w:tcPr>
          <w:p w14:paraId="7CF8CEF6" w14:textId="77777777" w:rsidR="00BC3DBC" w:rsidRPr="0059003F" w:rsidRDefault="00BC3DBC" w:rsidP="00E818A6">
            <w:pPr>
              <w:pStyle w:val="Prrafodelista"/>
              <w:widowControl w:val="0"/>
              <w:numPr>
                <w:ilvl w:val="0"/>
                <w:numId w:val="18"/>
              </w:numPr>
              <w:tabs>
                <w:tab w:val="left" w:pos="8419"/>
              </w:tabs>
              <w:autoSpaceDE w:val="0"/>
              <w:autoSpaceDN w:val="0"/>
              <w:spacing w:after="120" w:line="276" w:lineRule="auto"/>
              <w:contextualSpacing w:val="0"/>
              <w:jc w:val="both"/>
              <w:rPr>
                <w:rFonts w:ascii="Verdana" w:hAnsi="Verdana" w:cs="Arial"/>
              </w:rPr>
            </w:pPr>
            <w:r w:rsidRPr="0059003F">
              <w:rPr>
                <w:rFonts w:ascii="Verdana" w:hAnsi="Verdana" w:cs="Arial"/>
              </w:rPr>
              <w:t>Ley 80 de 1993, artículos 44 numeral 2, y 45.</w:t>
            </w:r>
          </w:p>
          <w:p w14:paraId="70289D2A" w14:textId="77777777" w:rsidR="00BC3DBC" w:rsidRPr="0059003F" w:rsidRDefault="00BC3DBC" w:rsidP="00E818A6">
            <w:pPr>
              <w:pStyle w:val="Prrafodelista"/>
              <w:widowControl w:val="0"/>
              <w:numPr>
                <w:ilvl w:val="0"/>
                <w:numId w:val="18"/>
              </w:numPr>
              <w:autoSpaceDE w:val="0"/>
              <w:autoSpaceDN w:val="0"/>
              <w:spacing w:after="120" w:line="276" w:lineRule="auto"/>
              <w:contextualSpacing w:val="0"/>
              <w:jc w:val="both"/>
              <w:rPr>
                <w:rFonts w:ascii="Verdana" w:hAnsi="Verdana" w:cs="Arial"/>
                <w:lang w:val="es-CO"/>
              </w:rPr>
            </w:pPr>
            <w:r w:rsidRPr="0059003F">
              <w:rPr>
                <w:rFonts w:ascii="Verdana" w:eastAsia="Calibri" w:hAnsi="Verdana" w:cs="Arial"/>
              </w:rPr>
              <w:t>Ley 1564 de 2012, artículo 226.</w:t>
            </w:r>
          </w:p>
          <w:p w14:paraId="61224061" w14:textId="77777777" w:rsidR="00BC3DBC" w:rsidRPr="0059003F" w:rsidRDefault="00BC3DBC" w:rsidP="00E818A6">
            <w:pPr>
              <w:pStyle w:val="Prrafodelista"/>
              <w:widowControl w:val="0"/>
              <w:numPr>
                <w:ilvl w:val="0"/>
                <w:numId w:val="18"/>
              </w:numPr>
              <w:tabs>
                <w:tab w:val="left" w:pos="8419"/>
              </w:tabs>
              <w:autoSpaceDE w:val="0"/>
              <w:autoSpaceDN w:val="0"/>
              <w:spacing w:after="120" w:line="276" w:lineRule="auto"/>
              <w:contextualSpacing w:val="0"/>
              <w:jc w:val="both"/>
              <w:rPr>
                <w:rFonts w:ascii="Verdana" w:hAnsi="Verdana" w:cs="Arial"/>
              </w:rPr>
            </w:pPr>
            <w:r w:rsidRPr="0059003F">
              <w:rPr>
                <w:rFonts w:ascii="Verdana" w:hAnsi="Verdana" w:cs="Arial"/>
                <w:bCs/>
                <w:lang w:eastAsia="es-CO"/>
              </w:rPr>
              <w:t>Ley 996 de 2005, artículos 33 y 38 parágrafo.</w:t>
            </w:r>
          </w:p>
          <w:p w14:paraId="7A0CA745" w14:textId="77777777" w:rsidR="00BC3DBC" w:rsidRPr="0059003F" w:rsidRDefault="00BC3DBC" w:rsidP="00E818A6">
            <w:pPr>
              <w:pStyle w:val="Prrafodelista"/>
              <w:widowControl w:val="0"/>
              <w:numPr>
                <w:ilvl w:val="0"/>
                <w:numId w:val="18"/>
              </w:numPr>
              <w:tabs>
                <w:tab w:val="left" w:pos="8419"/>
              </w:tabs>
              <w:autoSpaceDE w:val="0"/>
              <w:autoSpaceDN w:val="0"/>
              <w:spacing w:after="120" w:line="276" w:lineRule="auto"/>
              <w:contextualSpacing w:val="0"/>
              <w:jc w:val="both"/>
              <w:rPr>
                <w:rFonts w:ascii="Verdana" w:hAnsi="Verdana" w:cs="Arial"/>
              </w:rPr>
            </w:pPr>
            <w:r w:rsidRPr="0059003F">
              <w:rPr>
                <w:rFonts w:ascii="Verdana" w:hAnsi="Verdana" w:cs="Arial"/>
              </w:rPr>
              <w:t xml:space="preserve">Consejo de Estado, Sala de Consulta y Servicio Civil, </w:t>
            </w:r>
            <w:r>
              <w:rPr>
                <w:rFonts w:ascii="Verdana" w:hAnsi="Verdana" w:cs="Arial"/>
              </w:rPr>
              <w:t>C</w:t>
            </w:r>
            <w:r w:rsidRPr="0059003F">
              <w:rPr>
                <w:rFonts w:ascii="Verdana" w:hAnsi="Verdana" w:cs="Arial"/>
              </w:rPr>
              <w:t xml:space="preserve">oncepto de 24 de julio de 2013, </w:t>
            </w:r>
            <w:proofErr w:type="spellStart"/>
            <w:r w:rsidRPr="0059003F">
              <w:rPr>
                <w:rFonts w:ascii="Verdana" w:hAnsi="Verdana" w:cs="Arial"/>
              </w:rPr>
              <w:t>Exp</w:t>
            </w:r>
            <w:proofErr w:type="spellEnd"/>
            <w:r w:rsidRPr="0059003F">
              <w:rPr>
                <w:rFonts w:ascii="Verdana" w:hAnsi="Verdana" w:cs="Arial"/>
              </w:rPr>
              <w:t xml:space="preserve">. No. 2166, C.P. Álvaro </w:t>
            </w:r>
            <w:proofErr w:type="spellStart"/>
            <w:r w:rsidRPr="0059003F">
              <w:rPr>
                <w:rFonts w:ascii="Verdana" w:hAnsi="Verdana" w:cs="Arial"/>
              </w:rPr>
              <w:t>Namén</w:t>
            </w:r>
            <w:proofErr w:type="spellEnd"/>
            <w:r w:rsidRPr="0059003F">
              <w:rPr>
                <w:rFonts w:ascii="Verdana" w:hAnsi="Verdana" w:cs="Arial"/>
              </w:rPr>
              <w:t xml:space="preserve"> Vargas. </w:t>
            </w:r>
          </w:p>
          <w:p w14:paraId="527A00B2" w14:textId="77777777" w:rsidR="00BC3DBC" w:rsidRPr="00774985" w:rsidRDefault="00BC3DBC" w:rsidP="00E818A6">
            <w:pPr>
              <w:pStyle w:val="Prrafodelista"/>
              <w:widowControl w:val="0"/>
              <w:numPr>
                <w:ilvl w:val="0"/>
                <w:numId w:val="18"/>
              </w:numPr>
              <w:tabs>
                <w:tab w:val="left" w:pos="8419"/>
              </w:tabs>
              <w:autoSpaceDE w:val="0"/>
              <w:autoSpaceDN w:val="0"/>
              <w:spacing w:after="120" w:line="276" w:lineRule="auto"/>
              <w:contextualSpacing w:val="0"/>
              <w:jc w:val="both"/>
              <w:rPr>
                <w:rFonts w:ascii="Verdana" w:hAnsi="Verdana" w:cs="Arial"/>
              </w:rPr>
            </w:pPr>
            <w:r w:rsidRPr="0059003F">
              <w:rPr>
                <w:rFonts w:ascii="Verdana" w:hAnsi="Verdana" w:cs="Arial"/>
              </w:rPr>
              <w:t xml:space="preserve">Consejo de Estado, Sección Tercera, Subsección C, Sentencia del 20 de octubre de 2014, </w:t>
            </w:r>
            <w:proofErr w:type="spellStart"/>
            <w:r w:rsidRPr="0059003F">
              <w:rPr>
                <w:rFonts w:ascii="Verdana" w:hAnsi="Verdana" w:cs="Arial"/>
              </w:rPr>
              <w:t>Exp</w:t>
            </w:r>
            <w:proofErr w:type="spellEnd"/>
            <w:r w:rsidRPr="0059003F">
              <w:rPr>
                <w:rFonts w:ascii="Verdana" w:hAnsi="Verdana" w:cs="Arial"/>
              </w:rPr>
              <w:t xml:space="preserve">. No. 24809, C.P. Jaime Orlando Santofimio Gamboa. Disponible en: </w:t>
            </w:r>
            <w:hyperlink r:id="rId12" w:history="1">
              <w:r w:rsidRPr="0059003F">
                <w:rPr>
                  <w:rStyle w:val="Hipervnculo"/>
                  <w:rFonts w:ascii="Verdana" w:hAnsi="Verdana" w:cs="Arial"/>
                </w:rPr>
                <w:t>https://relatoria.colombiacompra.gov.co/providencias/66001-23-31-000-1999-00435-01_24809_a/</w:t>
              </w:r>
            </w:hyperlink>
            <w:r>
              <w:rPr>
                <w:rFonts w:ascii="Verdana" w:hAnsi="Verdana" w:cs="Arial"/>
              </w:rPr>
              <w:t xml:space="preserve"> </w:t>
            </w:r>
          </w:p>
        </w:tc>
      </w:tr>
    </w:tbl>
    <w:p w14:paraId="2A075617" w14:textId="77777777" w:rsidR="00BC3DBC" w:rsidRPr="001D6EB3" w:rsidRDefault="00BC3DBC" w:rsidP="00BC3DBC">
      <w:pPr>
        <w:widowControl w:val="0"/>
        <w:autoSpaceDE w:val="0"/>
        <w:autoSpaceDN w:val="0"/>
        <w:spacing w:after="0" w:line="276" w:lineRule="auto"/>
        <w:jc w:val="both"/>
        <w:rPr>
          <w:rFonts w:ascii="Verdana" w:hAnsi="Verdana" w:cs="Arial"/>
        </w:rPr>
      </w:pPr>
    </w:p>
    <w:p w14:paraId="767E6E78" w14:textId="77777777" w:rsidR="00BC3DBC" w:rsidRPr="001D6EB3" w:rsidRDefault="00BC3DBC" w:rsidP="00BC3DB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D6EB3">
        <w:rPr>
          <w:rFonts w:ascii="Verdana" w:eastAsia="Century Gothic" w:hAnsi="Verdana" w:cs="Century Gothic"/>
          <w:b/>
          <w:bCs/>
        </w:rPr>
        <w:t>Doctrina de la Agencia Nacional de Contratación Pública:</w:t>
      </w:r>
    </w:p>
    <w:p w14:paraId="6B60E1AF" w14:textId="77777777" w:rsidR="00BC3DBC" w:rsidRPr="001D6EB3" w:rsidRDefault="00BC3DBC" w:rsidP="00BC3DBC">
      <w:pPr>
        <w:widowControl w:val="0"/>
        <w:autoSpaceDE w:val="0"/>
        <w:autoSpaceDN w:val="0"/>
        <w:spacing w:after="0" w:line="276" w:lineRule="auto"/>
        <w:jc w:val="both"/>
        <w:rPr>
          <w:rFonts w:ascii="Verdana" w:hAnsi="Verdana" w:cs="Arial"/>
        </w:rPr>
      </w:pPr>
    </w:p>
    <w:p w14:paraId="7EBEEC95" w14:textId="77777777" w:rsidR="00BC3DBC" w:rsidRDefault="00BC3DBC" w:rsidP="00BC3DBC">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1D6EB3">
        <w:rPr>
          <w:rStyle w:val="normaltextrun"/>
          <w:rFonts w:ascii="Verdana" w:hAnsi="Verdana" w:cs="Arial"/>
          <w:shd w:val="clear" w:color="auto" w:fill="FFFFFF"/>
          <w:lang w:val="es-ES"/>
        </w:rPr>
        <w:t>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C-439 del 27 de agosto de 2021, C-456 del 3 de septiembre, C-481 del 9 de septiembre de 2021, C- 528 del 27 de septiembre de 2021, C-550 del 5 de octubre de 2021 y C-523 del 10 de octubre de 2021, C-606 del 28 de octubre de 2021 y C-614 del 2 de noviembre de 2021, C-636 del 16 de noviembre de 2021, 681 del 7 de diciembre de 2021 y C-686 del 21 de diciembre de 2021. En particular, en el concepto C-697 del 3 de enero de 2022 se estudió la finalidad y restricciones establecidas en la Ley de Garantías Electorales. Es</w:t>
      </w:r>
      <w:r w:rsidRPr="001D6EB3">
        <w:rPr>
          <w:rFonts w:ascii="Verdana" w:hAnsi="Verdana"/>
        </w:rPr>
        <w:t>tos y otros conceptos se encuentran disponibles para consulta en el Sistema de relatoría de la Agencia, al cual se puede acceder a través del siguiente enlace:</w:t>
      </w:r>
      <w:r w:rsidRPr="001D6EB3">
        <w:rPr>
          <w:rStyle w:val="normaltextrun"/>
          <w:rFonts w:ascii="Verdana" w:hAnsi="Verdana" w:cs="Arial"/>
          <w:shd w:val="clear" w:color="auto" w:fill="FFFFFF"/>
          <w:lang w:val="es-ES"/>
        </w:rPr>
        <w:t xml:space="preserve"> </w:t>
      </w:r>
      <w:hyperlink r:id="rId13" w:history="1">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lang w:val="es-ES"/>
        </w:rPr>
        <w:t xml:space="preserve">. </w:t>
      </w:r>
    </w:p>
    <w:p w14:paraId="7D8713A0" w14:textId="77777777" w:rsidR="00BC3DBC" w:rsidRDefault="00BC3DBC" w:rsidP="00BC3DBC">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4208D8EF" w14:textId="77777777" w:rsidR="00BC3DBC" w:rsidRDefault="00BC3DBC" w:rsidP="00BC3DBC">
      <w:pPr>
        <w:widowControl w:val="0"/>
        <w:autoSpaceDE w:val="0"/>
        <w:autoSpaceDN w:val="0"/>
        <w:spacing w:after="0" w:line="276" w:lineRule="auto"/>
        <w:jc w:val="both"/>
        <w:rPr>
          <w:rStyle w:val="normaltextrun"/>
          <w:rFonts w:ascii="Verdana" w:hAnsi="Verdana" w:cs="Arial"/>
          <w:color w:val="FF0000"/>
          <w:shd w:val="clear" w:color="auto" w:fill="FFFFFF"/>
          <w:lang w:val="es-ES"/>
        </w:rPr>
      </w:pPr>
      <w:r>
        <w:rPr>
          <w:rStyle w:val="normaltextrun"/>
          <w:rFonts w:ascii="Verdana" w:hAnsi="Verdana" w:cs="Arial"/>
          <w:color w:val="000000" w:themeColor="text1"/>
          <w:shd w:val="clear" w:color="auto" w:fill="FFFFFF"/>
          <w:lang w:val="es-ES"/>
        </w:rPr>
        <w:t xml:space="preserve">De otra parte, </w:t>
      </w:r>
      <w:r w:rsidRPr="00985B04">
        <w:rPr>
          <w:rStyle w:val="normaltextrun"/>
          <w:rFonts w:ascii="Verdana" w:hAnsi="Verdana" w:cs="Arial"/>
          <w:color w:val="000000" w:themeColor="text1"/>
          <w:shd w:val="clear" w:color="auto" w:fill="FFFFFF"/>
          <w:lang w:val="es-ES"/>
        </w:rPr>
        <w:t>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4" w:history="1">
        <w:r w:rsidRPr="003705EA">
          <w:rPr>
            <w:rStyle w:val="Hipervnculo"/>
            <w:rFonts w:ascii="Verdana" w:hAnsi="Verdana" w:cs="Arial"/>
            <w:shd w:val="clear" w:color="auto" w:fill="FFFFFF"/>
            <w:lang w:val="es-ES"/>
          </w:rPr>
          <w:t>https://www.colombiacompra.gov.co/sala-de-prensa/boletin-digital</w:t>
        </w:r>
      </w:hyperlink>
      <w:r>
        <w:rPr>
          <w:rStyle w:val="Hipervnculo"/>
          <w:rFonts w:ascii="Verdana" w:hAnsi="Verdana" w:cs="Arial"/>
          <w:shd w:val="clear" w:color="auto" w:fill="FFFFFF"/>
          <w:lang w:val="es-ES"/>
        </w:rPr>
        <w:t xml:space="preserve"> .</w:t>
      </w:r>
      <w:r>
        <w:rPr>
          <w:rStyle w:val="normaltextrun"/>
          <w:rFonts w:ascii="Verdana" w:hAnsi="Verdana" w:cs="Arial"/>
          <w:color w:val="FF0000"/>
          <w:shd w:val="clear" w:color="auto" w:fill="FFFFFF"/>
          <w:lang w:val="es-ES"/>
        </w:rPr>
        <w:t xml:space="preserve"> </w:t>
      </w:r>
      <w:r w:rsidRPr="00534DBD">
        <w:rPr>
          <w:rStyle w:val="normaltextrun"/>
          <w:rFonts w:ascii="Verdana" w:hAnsi="Verdana" w:cs="Arial"/>
          <w:shd w:val="clear" w:color="auto" w:fill="FFFFFF"/>
          <w:lang w:val="es-ES"/>
        </w:rPr>
        <w:t>También</w:t>
      </w:r>
      <w:r w:rsidRPr="0059003F">
        <w:rPr>
          <w:rStyle w:val="normaltextrun"/>
          <w:rFonts w:ascii="Verdana" w:hAnsi="Verdana" w:cs="Arial"/>
          <w:shd w:val="clear" w:color="auto" w:fill="FFFFFF"/>
          <w:lang w:val="es-ES"/>
        </w:rPr>
        <w:t xml:space="preserve"> </w:t>
      </w:r>
      <w:r w:rsidRPr="001D6EB3">
        <w:rPr>
          <w:rStyle w:val="normaltextrun"/>
          <w:rFonts w:ascii="Verdana" w:hAnsi="Verdana" w:cs="Arial"/>
          <w:shd w:val="clear" w:color="auto" w:fill="FFFFFF"/>
          <w:lang w:val="es-ES"/>
        </w:rPr>
        <w:t>los invitamos a participar con sus observaciones a</w:t>
      </w:r>
      <w:r>
        <w:rPr>
          <w:rStyle w:val="normaltextrun"/>
          <w:rFonts w:ascii="Verdana" w:hAnsi="Verdana" w:cs="Arial"/>
          <w:shd w:val="clear" w:color="auto" w:fill="FFFFFF"/>
          <w:lang w:val="es-ES"/>
        </w:rPr>
        <w:t xml:space="preserve"> los</w:t>
      </w:r>
      <w:r w:rsidRPr="001D6EB3">
        <w:rPr>
          <w:rStyle w:val="normaltextrun"/>
          <w:rFonts w:ascii="Verdana" w:hAnsi="Verdana" w:cs="Arial"/>
          <w:shd w:val="clear" w:color="auto" w:fill="FFFFFF"/>
          <w:lang w:val="es-ES"/>
        </w:rPr>
        <w:t xml:space="preserve"> borrador</w:t>
      </w:r>
      <w:r>
        <w:rPr>
          <w:rStyle w:val="normaltextrun"/>
          <w:rFonts w:ascii="Verdana" w:hAnsi="Verdana" w:cs="Arial"/>
          <w:shd w:val="clear" w:color="auto" w:fill="FFFFFF"/>
          <w:lang w:val="es-ES"/>
        </w:rPr>
        <w:t>es</w:t>
      </w:r>
      <w:r w:rsidRPr="001D6EB3">
        <w:rPr>
          <w:rStyle w:val="normaltextrun"/>
          <w:rFonts w:ascii="Verdana" w:hAnsi="Verdana" w:cs="Arial"/>
          <w:shd w:val="clear" w:color="auto" w:fill="FFFFFF"/>
          <w:lang w:val="es-ES"/>
        </w:rPr>
        <w:t xml:space="preserve"> de los documentos tipo del sector de </w:t>
      </w:r>
      <w:r>
        <w:rPr>
          <w:rStyle w:val="normaltextrun"/>
          <w:rFonts w:ascii="Verdana" w:hAnsi="Verdana" w:cs="Arial"/>
          <w:shd w:val="clear" w:color="auto" w:fill="FFFFFF"/>
          <w:lang w:val="es-ES"/>
        </w:rPr>
        <w:t>i</w:t>
      </w:r>
      <w:r w:rsidRPr="001D6EB3">
        <w:rPr>
          <w:rStyle w:val="normaltextrun"/>
          <w:rFonts w:ascii="Verdana" w:hAnsi="Verdana" w:cs="Arial"/>
          <w:shd w:val="clear" w:color="auto" w:fill="FFFFFF"/>
          <w:lang w:val="es-ES"/>
        </w:rPr>
        <w:t xml:space="preserve">nfraestructura de </w:t>
      </w:r>
      <w:r>
        <w:rPr>
          <w:rStyle w:val="normaltextrun"/>
          <w:rFonts w:ascii="Verdana" w:hAnsi="Verdana" w:cs="Arial"/>
          <w:shd w:val="clear" w:color="auto" w:fill="FFFFFF"/>
          <w:lang w:val="es-ES"/>
        </w:rPr>
        <w:t>t</w:t>
      </w:r>
      <w:r w:rsidRPr="001D6EB3">
        <w:rPr>
          <w:rStyle w:val="normaltextrun"/>
          <w:rFonts w:ascii="Verdana" w:hAnsi="Verdana" w:cs="Arial"/>
          <w:shd w:val="clear" w:color="auto" w:fill="FFFFFF"/>
          <w:lang w:val="es-ES"/>
        </w:rPr>
        <w:t xml:space="preserve">ransporte, </w:t>
      </w:r>
      <w:r>
        <w:rPr>
          <w:rStyle w:val="normaltextrun"/>
          <w:rFonts w:ascii="Verdana" w:hAnsi="Verdana" w:cs="Arial"/>
          <w:shd w:val="clear" w:color="auto" w:fill="FFFFFF"/>
          <w:lang w:val="es-ES"/>
        </w:rPr>
        <w:t xml:space="preserve">para la contratación de obras públicas en </w:t>
      </w:r>
      <w:r w:rsidRPr="001D6EB3">
        <w:rPr>
          <w:rStyle w:val="normaltextrun"/>
          <w:rFonts w:ascii="Verdana" w:hAnsi="Verdana" w:cs="Arial"/>
          <w:shd w:val="clear" w:color="auto" w:fill="FFFFFF"/>
          <w:lang w:val="es-ES"/>
        </w:rPr>
        <w:t>las modalidades de licitación pública, selección abreviada de menor cuantía y mínima cuantía</w:t>
      </w:r>
      <w:r>
        <w:rPr>
          <w:rStyle w:val="normaltextrun"/>
          <w:rFonts w:ascii="Verdana" w:hAnsi="Verdana" w:cs="Arial"/>
          <w:shd w:val="clear" w:color="auto" w:fill="FFFFFF"/>
          <w:lang w:val="es-ES"/>
        </w:rPr>
        <w:t xml:space="preserve">. Estos documentos estarán disponibles para recibir sus observaciones hasta el 12 de julio de </w:t>
      </w:r>
      <w:proofErr w:type="gramStart"/>
      <w:r>
        <w:rPr>
          <w:rStyle w:val="normaltextrun"/>
          <w:rFonts w:ascii="Verdana" w:hAnsi="Verdana" w:cs="Arial"/>
          <w:shd w:val="clear" w:color="auto" w:fill="FFFFFF"/>
          <w:lang w:val="es-ES"/>
        </w:rPr>
        <w:t xml:space="preserve">20245 </w:t>
      </w:r>
      <w:r w:rsidRPr="001D6EB3">
        <w:rPr>
          <w:rStyle w:val="normaltextrun"/>
          <w:rFonts w:ascii="Verdana" w:hAnsi="Verdana" w:cs="Arial"/>
          <w:shd w:val="clear" w:color="auto" w:fill="FFFFFF"/>
          <w:lang w:val="es-ES"/>
        </w:rPr>
        <w:t xml:space="preserve"> en</w:t>
      </w:r>
      <w:proofErr w:type="gramEnd"/>
      <w:r w:rsidRPr="001D6EB3">
        <w:rPr>
          <w:rStyle w:val="normaltextrun"/>
          <w:rFonts w:ascii="Verdana" w:hAnsi="Verdana" w:cs="Arial"/>
          <w:shd w:val="clear" w:color="auto" w:fill="FFFFFF"/>
          <w:lang w:val="es-ES"/>
        </w:rPr>
        <w:t xml:space="preserve"> la página web de la </w:t>
      </w:r>
      <w:r>
        <w:rPr>
          <w:rStyle w:val="normaltextrun"/>
          <w:rFonts w:ascii="Verdana" w:hAnsi="Verdana" w:cs="Arial"/>
          <w:shd w:val="clear" w:color="auto" w:fill="FFFFFF"/>
          <w:lang w:val="es-ES"/>
        </w:rPr>
        <w:t>A</w:t>
      </w:r>
      <w:r w:rsidRPr="001D6EB3">
        <w:rPr>
          <w:rStyle w:val="normaltextrun"/>
          <w:rFonts w:ascii="Verdana" w:hAnsi="Verdana" w:cs="Arial"/>
          <w:shd w:val="clear" w:color="auto" w:fill="FFFFFF"/>
          <w:lang w:val="es-ES"/>
        </w:rPr>
        <w:t>gencia</w:t>
      </w:r>
      <w:r>
        <w:rPr>
          <w:rStyle w:val="normaltextrun"/>
          <w:rFonts w:ascii="Verdana" w:hAnsi="Verdana" w:cs="Arial"/>
          <w:shd w:val="clear" w:color="auto" w:fill="FFFFFF"/>
          <w:lang w:val="es-ES"/>
        </w:rPr>
        <w:t>, a la cual puede acceder mediante el</w:t>
      </w:r>
      <w:r w:rsidRPr="001D6EB3">
        <w:rPr>
          <w:rStyle w:val="normaltextrun"/>
          <w:rFonts w:ascii="Verdana" w:hAnsi="Verdana" w:cs="Arial"/>
          <w:shd w:val="clear" w:color="auto" w:fill="FFFFFF"/>
          <w:lang w:val="es-ES"/>
        </w:rPr>
        <w:t xml:space="preserve"> siguiente enlace: </w:t>
      </w:r>
      <w:hyperlink r:id="rId15" w:history="1">
        <w:r w:rsidRPr="000B34B1">
          <w:rPr>
            <w:rStyle w:val="Hipervnculo"/>
            <w:rFonts w:ascii="Verdana" w:hAnsi="Verdana" w:cs="Arial"/>
            <w:shd w:val="clear" w:color="auto" w:fill="FFFFFF"/>
            <w:lang w:val="es-ES"/>
          </w:rPr>
          <w:t>https://www.colombiacompra.gov.co/documentos-tipo/documentos-tipo</w:t>
        </w:r>
      </w:hyperlink>
      <w:r>
        <w:rPr>
          <w:rStyle w:val="normaltextrun"/>
          <w:rFonts w:ascii="Verdana" w:hAnsi="Verdana" w:cs="Arial"/>
          <w:color w:val="FF0000"/>
          <w:shd w:val="clear" w:color="auto" w:fill="FFFFFF"/>
          <w:lang w:val="es-ES"/>
        </w:rPr>
        <w:t xml:space="preserve"> </w:t>
      </w:r>
    </w:p>
    <w:p w14:paraId="687733BF" w14:textId="77777777" w:rsidR="00BC3DBC" w:rsidRDefault="00BC3DBC" w:rsidP="00BC3DBC">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400907F2" w14:textId="77777777" w:rsidR="00BC3DBC" w:rsidRDefault="00BC3DBC" w:rsidP="00BC3DBC">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3582956C" w14:textId="77777777" w:rsidR="00BC3DBC" w:rsidRPr="003E2460" w:rsidRDefault="00BC3DBC" w:rsidP="00BC3DBC">
      <w:pPr>
        <w:spacing w:after="0" w:line="240" w:lineRule="auto"/>
        <w:jc w:val="both"/>
        <w:rPr>
          <w:rFonts w:ascii="Verdana" w:hAnsi="Verdana"/>
        </w:rPr>
      </w:pPr>
    </w:p>
    <w:p w14:paraId="6DAB2726" w14:textId="77777777" w:rsidR="00BC3DBC" w:rsidRPr="003E2460" w:rsidRDefault="00BC3DBC" w:rsidP="00BC3DBC">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5A09D19E" w14:textId="77777777" w:rsidR="00BC3DBC" w:rsidRPr="003E2460" w:rsidRDefault="00BC3DBC" w:rsidP="00BC3DBC">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45BB7B21" w14:textId="77777777" w:rsidR="00BC3DBC" w:rsidRPr="003E2460" w:rsidRDefault="00BC3DBC" w:rsidP="00BC3DBC">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446F8DEF" w14:textId="77777777" w:rsidR="00BC3DBC" w:rsidRPr="00593A5F" w:rsidRDefault="00BC3DBC" w:rsidP="00BC3DBC">
      <w:pPr>
        <w:widowControl w:val="0"/>
        <w:autoSpaceDE w:val="0"/>
        <w:autoSpaceDN w:val="0"/>
        <w:spacing w:after="0" w:line="276" w:lineRule="auto"/>
        <w:jc w:val="both"/>
        <w:rPr>
          <w:rFonts w:ascii="Verdana" w:hAnsi="Verdana" w:cs="Arial"/>
        </w:rPr>
      </w:pPr>
    </w:p>
    <w:p w14:paraId="06A4E7B7" w14:textId="77777777" w:rsidR="00BC3DBC" w:rsidRPr="00593A5F" w:rsidRDefault="00BC3DBC" w:rsidP="00BC3DBC">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F59FB71" w14:textId="77777777" w:rsidR="00BC3DBC" w:rsidRPr="00593A5F" w:rsidRDefault="00BC3DBC" w:rsidP="00BC3DBC">
      <w:pPr>
        <w:widowControl w:val="0"/>
        <w:autoSpaceDE w:val="0"/>
        <w:autoSpaceDN w:val="0"/>
        <w:spacing w:after="0" w:line="276" w:lineRule="auto"/>
        <w:jc w:val="both"/>
        <w:rPr>
          <w:rFonts w:ascii="Verdana" w:hAnsi="Verdana" w:cs="Arial"/>
        </w:rPr>
      </w:pPr>
    </w:p>
    <w:p w14:paraId="3A102572" w14:textId="77777777" w:rsidR="00BC3DBC" w:rsidRPr="00593A5F" w:rsidRDefault="00BC3DBC" w:rsidP="00BC3DBC">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187968F3" w14:textId="7084847B" w:rsidR="00BC3DBC" w:rsidRPr="00593A5F" w:rsidRDefault="002C18E4" w:rsidP="00BC3DBC">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26DB649C" wp14:editId="49AF8D50">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BC3DBC" w:rsidRPr="001D6EB3" w14:paraId="32A7A192" w14:textId="77777777" w:rsidTr="00E818A6">
        <w:trPr>
          <w:trHeight w:val="315"/>
        </w:trPr>
        <w:tc>
          <w:tcPr>
            <w:tcW w:w="893" w:type="dxa"/>
            <w:vAlign w:val="center"/>
            <w:hideMark/>
          </w:tcPr>
          <w:p w14:paraId="04BBE04A" w14:textId="77777777" w:rsidR="00BC3DBC" w:rsidRPr="001D6EB3" w:rsidRDefault="00BC3DBC" w:rsidP="00E818A6">
            <w:pPr>
              <w:contextualSpacing/>
              <w:rPr>
                <w:rFonts w:ascii="Verdana" w:hAnsi="Verdana" w:cs="Arial"/>
                <w:sz w:val="16"/>
                <w:szCs w:val="16"/>
                <w:lang w:val="es-ES" w:eastAsia="es-ES"/>
              </w:rPr>
            </w:pPr>
            <w:r w:rsidRPr="001D6EB3">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698183A" w14:textId="77777777" w:rsidR="00BC3DBC" w:rsidRPr="00816126" w:rsidRDefault="00BC3DBC" w:rsidP="00E818A6">
            <w:pPr>
              <w:contextualSpacing/>
              <w:rPr>
                <w:rStyle w:val="normaltextrun"/>
                <w:rFonts w:ascii="Verdana" w:eastAsia="Times New Roman" w:hAnsi="Verdana" w:cs="Arial"/>
                <w:sz w:val="16"/>
                <w:szCs w:val="16"/>
                <w:lang w:val="es-ES" w:eastAsia="es-CO"/>
              </w:rPr>
            </w:pPr>
            <w:r w:rsidRPr="00816126">
              <w:rPr>
                <w:rStyle w:val="normaltextrun"/>
                <w:rFonts w:ascii="Verdana" w:eastAsia="Times New Roman" w:hAnsi="Verdana" w:cs="Arial"/>
                <w:sz w:val="16"/>
                <w:szCs w:val="16"/>
                <w:lang w:val="es-ES" w:eastAsia="es-CO"/>
              </w:rPr>
              <w:t>Richard Andrés Montenegro Siefken</w:t>
            </w:r>
          </w:p>
          <w:p w14:paraId="03E63C65" w14:textId="77777777" w:rsidR="00BC3DBC" w:rsidRPr="001D6EB3" w:rsidRDefault="00BC3DBC" w:rsidP="00E818A6">
            <w:pPr>
              <w:contextualSpacing/>
              <w:rPr>
                <w:rFonts w:ascii="Verdana" w:eastAsia="Arial" w:hAnsi="Verdana" w:cs="Arial"/>
                <w:sz w:val="16"/>
                <w:szCs w:val="16"/>
              </w:rPr>
            </w:pPr>
            <w:r>
              <w:rPr>
                <w:rStyle w:val="normaltextrun"/>
                <w:rFonts w:ascii="Verdana" w:eastAsia="Arial" w:hAnsi="Verdana" w:cs="Arial"/>
                <w:sz w:val="16"/>
                <w:szCs w:val="16"/>
              </w:rPr>
              <w:t>Contratista</w:t>
            </w:r>
            <w:r w:rsidRPr="001D6EB3">
              <w:rPr>
                <w:rStyle w:val="normaltextrun"/>
                <w:rFonts w:ascii="Verdana" w:eastAsia="Arial" w:hAnsi="Verdana" w:cs="Arial"/>
                <w:sz w:val="16"/>
                <w:szCs w:val="16"/>
              </w:rPr>
              <w:t xml:space="preserve"> de la Subdirección de Gestión Contractual</w:t>
            </w:r>
          </w:p>
        </w:tc>
      </w:tr>
      <w:tr w:rsidR="00BC3DBC" w:rsidRPr="001D6EB3" w14:paraId="1B4845DB" w14:textId="77777777" w:rsidTr="00E818A6">
        <w:trPr>
          <w:trHeight w:val="330"/>
        </w:trPr>
        <w:tc>
          <w:tcPr>
            <w:tcW w:w="893" w:type="dxa"/>
            <w:vAlign w:val="center"/>
            <w:hideMark/>
          </w:tcPr>
          <w:p w14:paraId="63EE1E53" w14:textId="77777777" w:rsidR="00BC3DBC" w:rsidRPr="001D6EB3" w:rsidRDefault="00BC3DBC" w:rsidP="00E818A6">
            <w:pPr>
              <w:contextualSpacing/>
              <w:rPr>
                <w:rFonts w:ascii="Verdana" w:hAnsi="Verdana" w:cs="Arial"/>
                <w:sz w:val="16"/>
                <w:szCs w:val="16"/>
                <w:lang w:val="es-ES" w:eastAsia="es-ES"/>
              </w:rPr>
            </w:pPr>
            <w:r w:rsidRPr="001D6EB3">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10E5083" w14:textId="77777777" w:rsidR="00BC3DBC" w:rsidRPr="001D6EB3" w:rsidRDefault="00BC3DBC" w:rsidP="00E818A6">
            <w:pPr>
              <w:pStyle w:val="paragraph"/>
              <w:spacing w:after="0"/>
              <w:contextualSpacing/>
              <w:textAlignment w:val="baseline"/>
              <w:rPr>
                <w:rStyle w:val="normaltextrun"/>
                <w:rFonts w:ascii="Verdana" w:hAnsi="Verdana" w:cs="Arial"/>
                <w:sz w:val="16"/>
                <w:szCs w:val="16"/>
                <w:lang w:val="es-ES"/>
              </w:rPr>
            </w:pPr>
            <w:r>
              <w:rPr>
                <w:rStyle w:val="normaltextrun"/>
                <w:rFonts w:ascii="Verdana" w:hAnsi="Verdana" w:cs="Arial"/>
                <w:sz w:val="16"/>
                <w:szCs w:val="16"/>
                <w:lang w:val="es-ES"/>
              </w:rPr>
              <w:t>Juan Carlos González Vázquez</w:t>
            </w:r>
          </w:p>
          <w:p w14:paraId="5D337CD1" w14:textId="77777777" w:rsidR="00BC3DBC" w:rsidRPr="001D6EB3" w:rsidRDefault="00BC3DBC" w:rsidP="00E818A6">
            <w:pPr>
              <w:pStyle w:val="paragraph"/>
              <w:spacing w:before="0" w:beforeAutospacing="0" w:after="0" w:afterAutospacing="0"/>
              <w:contextualSpacing/>
              <w:textAlignment w:val="baseline"/>
              <w:rPr>
                <w:rFonts w:ascii="Verdana" w:hAnsi="Verdana" w:cs="Segoe UI"/>
                <w:sz w:val="16"/>
                <w:szCs w:val="16"/>
              </w:rPr>
            </w:pPr>
            <w:r>
              <w:rPr>
                <w:rStyle w:val="normaltextrun"/>
                <w:rFonts w:ascii="Verdana" w:hAnsi="Verdana" w:cs="Arial"/>
                <w:sz w:val="16"/>
                <w:szCs w:val="16"/>
                <w:lang w:val="es-ES"/>
              </w:rPr>
              <w:t>Contratista</w:t>
            </w:r>
            <w:r w:rsidRPr="001D6EB3">
              <w:rPr>
                <w:rStyle w:val="normaltextrun"/>
                <w:rFonts w:ascii="Verdana" w:hAnsi="Verdana" w:cs="Arial"/>
                <w:sz w:val="16"/>
                <w:szCs w:val="16"/>
                <w:lang w:val="es-ES"/>
              </w:rPr>
              <w:t xml:space="preserve"> de la Subdirección de Gestión Contractual</w:t>
            </w:r>
          </w:p>
        </w:tc>
      </w:tr>
      <w:tr w:rsidR="00BC3DBC" w:rsidRPr="001D6EB3" w14:paraId="0D57DB17" w14:textId="77777777" w:rsidTr="00E818A6">
        <w:trPr>
          <w:trHeight w:val="300"/>
        </w:trPr>
        <w:tc>
          <w:tcPr>
            <w:tcW w:w="893" w:type="dxa"/>
            <w:vAlign w:val="center"/>
          </w:tcPr>
          <w:p w14:paraId="3EAC9390" w14:textId="77777777" w:rsidR="00BC3DBC" w:rsidRPr="001D6EB3" w:rsidRDefault="00BC3DBC" w:rsidP="00E818A6">
            <w:pPr>
              <w:contextualSpacing/>
              <w:rPr>
                <w:rFonts w:ascii="Verdana" w:hAnsi="Verdana" w:cs="Arial"/>
                <w:sz w:val="16"/>
                <w:szCs w:val="16"/>
                <w:lang w:val="es-ES" w:eastAsia="es-ES"/>
              </w:rPr>
            </w:pPr>
            <w:r w:rsidRPr="001D6EB3">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DA5CD35" w14:textId="77777777" w:rsidR="00BC3DBC" w:rsidRPr="001D6EB3" w:rsidRDefault="00BC3DBC" w:rsidP="00E818A6">
            <w:pPr>
              <w:contextualSpacing/>
              <w:rPr>
                <w:rFonts w:ascii="Verdana" w:eastAsia="Calibri" w:hAnsi="Verdana" w:cs="Arial"/>
                <w:sz w:val="16"/>
                <w:szCs w:val="16"/>
                <w:lang w:val="pt-BR" w:eastAsia="es-ES"/>
              </w:rPr>
            </w:pPr>
            <w:r w:rsidRPr="001D6EB3">
              <w:rPr>
                <w:rFonts w:ascii="Verdana" w:eastAsia="Calibri" w:hAnsi="Verdana" w:cs="Arial"/>
                <w:sz w:val="16"/>
                <w:szCs w:val="16"/>
                <w:lang w:val="pt-BR" w:eastAsia="es-ES"/>
              </w:rPr>
              <w:t xml:space="preserve">Carolina Quintero </w:t>
            </w:r>
            <w:proofErr w:type="spellStart"/>
            <w:r w:rsidRPr="001D6EB3">
              <w:rPr>
                <w:rFonts w:ascii="Verdana" w:eastAsia="Calibri" w:hAnsi="Verdana" w:cs="Arial"/>
                <w:sz w:val="16"/>
                <w:szCs w:val="16"/>
                <w:lang w:val="pt-BR" w:eastAsia="es-ES"/>
              </w:rPr>
              <w:t>Gacharná</w:t>
            </w:r>
            <w:proofErr w:type="spellEnd"/>
          </w:p>
          <w:p w14:paraId="5CBE588C" w14:textId="77777777" w:rsidR="00BC3DBC" w:rsidRPr="001D6EB3" w:rsidRDefault="00BC3DBC" w:rsidP="00E818A6">
            <w:pPr>
              <w:contextualSpacing/>
              <w:rPr>
                <w:rFonts w:ascii="Verdana" w:eastAsia="Calibri" w:hAnsi="Verdana" w:cs="Arial"/>
                <w:sz w:val="16"/>
                <w:szCs w:val="16"/>
                <w:lang w:val="pt-BR" w:eastAsia="es-ES"/>
              </w:rPr>
            </w:pPr>
            <w:r w:rsidRPr="001D6EB3">
              <w:rPr>
                <w:rFonts w:ascii="Verdana" w:eastAsia="Calibri" w:hAnsi="Verdana" w:cs="Arial"/>
                <w:sz w:val="16"/>
                <w:szCs w:val="16"/>
                <w:lang w:eastAsia="es-ES"/>
              </w:rPr>
              <w:t>Subdirectora</w:t>
            </w:r>
            <w:r w:rsidRPr="001D6EB3">
              <w:rPr>
                <w:rFonts w:ascii="Verdana" w:eastAsia="Calibri" w:hAnsi="Verdana" w:cs="Arial"/>
                <w:sz w:val="16"/>
                <w:szCs w:val="16"/>
                <w:lang w:val="pt-BR" w:eastAsia="es-ES"/>
              </w:rPr>
              <w:t xml:space="preserve"> de Gestión </w:t>
            </w:r>
            <w:proofErr w:type="spellStart"/>
            <w:r w:rsidRPr="001D6EB3">
              <w:rPr>
                <w:rFonts w:ascii="Verdana" w:eastAsia="Calibri" w:hAnsi="Verdana" w:cs="Arial"/>
                <w:sz w:val="16"/>
                <w:szCs w:val="16"/>
                <w:lang w:val="pt-BR" w:eastAsia="es-ES"/>
              </w:rPr>
              <w:t>Contractual</w:t>
            </w:r>
            <w:proofErr w:type="spellEnd"/>
            <w:r w:rsidRPr="001D6EB3">
              <w:rPr>
                <w:rFonts w:ascii="Verdana" w:eastAsia="Calibri" w:hAnsi="Verdana" w:cs="Arial"/>
                <w:sz w:val="16"/>
                <w:szCs w:val="16"/>
                <w:lang w:val="pt-BR" w:eastAsia="es-ES"/>
              </w:rPr>
              <w:t xml:space="preserve"> ANCP – CCE</w:t>
            </w:r>
          </w:p>
        </w:tc>
      </w:tr>
    </w:tbl>
    <w:p w14:paraId="7E7CA7DD" w14:textId="77777777" w:rsidR="00BC3DBC" w:rsidRPr="001D6EB3" w:rsidRDefault="00BC3DBC" w:rsidP="00BC3DBC">
      <w:pPr>
        <w:spacing w:after="0" w:line="240" w:lineRule="auto"/>
        <w:rPr>
          <w:rFonts w:ascii="Verdana" w:eastAsia="Times New Roman" w:hAnsi="Verdana" w:cs="Arial"/>
          <w:sz w:val="24"/>
          <w:szCs w:val="24"/>
          <w:lang w:eastAsia="es-ES"/>
        </w:rPr>
      </w:pPr>
    </w:p>
    <w:p w14:paraId="3900974D" w14:textId="77777777" w:rsidR="003D5B0D" w:rsidRPr="00A34552" w:rsidRDefault="003D5B0D" w:rsidP="00A34552"/>
    <w:sectPr w:rsidR="003D5B0D" w:rsidRPr="00A34552"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F05D0" w14:textId="77777777" w:rsidR="002743C8" w:rsidRDefault="002743C8" w:rsidP="004A1847">
      <w:pPr>
        <w:spacing w:after="0" w:line="240" w:lineRule="auto"/>
      </w:pPr>
      <w:r>
        <w:separator/>
      </w:r>
    </w:p>
  </w:endnote>
  <w:endnote w:type="continuationSeparator" w:id="0">
    <w:p w14:paraId="2EE2EB61" w14:textId="77777777" w:rsidR="002743C8" w:rsidRDefault="002743C8" w:rsidP="004A1847">
      <w:pPr>
        <w:spacing w:after="0" w:line="240" w:lineRule="auto"/>
      </w:pPr>
      <w:r>
        <w:continuationSeparator/>
      </w:r>
    </w:p>
  </w:endnote>
  <w:endnote w:type="continuationNotice" w:id="1">
    <w:p w14:paraId="2CBB205A" w14:textId="77777777" w:rsidR="002743C8" w:rsidRDefault="002743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410C5" w14:textId="77777777" w:rsidR="002743C8" w:rsidRDefault="002743C8" w:rsidP="004A1847">
      <w:pPr>
        <w:spacing w:after="0" w:line="240" w:lineRule="auto"/>
      </w:pPr>
      <w:r>
        <w:separator/>
      </w:r>
    </w:p>
  </w:footnote>
  <w:footnote w:type="continuationSeparator" w:id="0">
    <w:p w14:paraId="6BA7DDE3" w14:textId="77777777" w:rsidR="002743C8" w:rsidRDefault="002743C8" w:rsidP="004A1847">
      <w:pPr>
        <w:spacing w:after="0" w:line="240" w:lineRule="auto"/>
      </w:pPr>
      <w:r>
        <w:continuationSeparator/>
      </w:r>
    </w:p>
  </w:footnote>
  <w:footnote w:type="continuationNotice" w:id="1">
    <w:p w14:paraId="4A759126" w14:textId="77777777" w:rsidR="002743C8" w:rsidRDefault="002743C8">
      <w:pPr>
        <w:spacing w:after="0" w:line="240" w:lineRule="auto"/>
      </w:pPr>
    </w:p>
  </w:footnote>
  <w:footnote w:id="2">
    <w:p w14:paraId="1F92E396" w14:textId="77777777" w:rsidR="00BC3DBC" w:rsidRPr="00895FEF" w:rsidRDefault="00BC3DBC" w:rsidP="00BC3DBC">
      <w:pPr>
        <w:pStyle w:val="Textonotapie"/>
        <w:ind w:firstLine="709"/>
        <w:jc w:val="both"/>
        <w:rPr>
          <w:rFonts w:ascii="Verdana" w:hAnsi="Verdana" w:cs="Arial"/>
          <w:sz w:val="16"/>
          <w:szCs w:val="16"/>
        </w:rPr>
      </w:pPr>
      <w:r w:rsidRPr="00895FEF">
        <w:rPr>
          <w:rStyle w:val="Refdenotaalpie"/>
          <w:rFonts w:ascii="Verdana" w:hAnsi="Verdana" w:cs="Arial"/>
          <w:sz w:val="16"/>
          <w:szCs w:val="16"/>
        </w:rPr>
        <w:footnoteRef/>
      </w:r>
      <w:r w:rsidRPr="00895FEF">
        <w:rPr>
          <w:rFonts w:ascii="Verdana" w:hAnsi="Verdana"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3">
    <w:p w14:paraId="6131BDB2" w14:textId="77777777" w:rsidR="00BC3DBC" w:rsidRPr="00895FEF" w:rsidRDefault="00BC3DBC" w:rsidP="00BC3DBC">
      <w:pPr>
        <w:pStyle w:val="Textonotapie"/>
        <w:jc w:val="both"/>
        <w:rPr>
          <w:rFonts w:ascii="Verdana" w:hAnsi="Verdana" w:cs="Arial"/>
          <w:sz w:val="16"/>
          <w:szCs w:val="16"/>
          <w:lang w:val="es-CO"/>
        </w:rPr>
      </w:pPr>
    </w:p>
    <w:p w14:paraId="4C473097" w14:textId="77777777" w:rsidR="00BC3DBC" w:rsidRDefault="00BC3DBC" w:rsidP="00BC3DBC">
      <w:pPr>
        <w:pStyle w:val="Textonotapie"/>
        <w:ind w:firstLine="709"/>
        <w:jc w:val="both"/>
        <w:rPr>
          <w:rFonts w:ascii="Verdana" w:hAnsi="Verdana" w:cs="Arial"/>
          <w:sz w:val="16"/>
          <w:szCs w:val="16"/>
          <w:lang w:val="es-CO"/>
        </w:rPr>
      </w:pPr>
      <w:r w:rsidRPr="00895FEF">
        <w:rPr>
          <w:rStyle w:val="Refdenotaalpie"/>
          <w:rFonts w:ascii="Verdana" w:hAnsi="Verdana" w:cs="Arial"/>
          <w:sz w:val="16"/>
          <w:szCs w:val="16"/>
        </w:rPr>
        <w:footnoteRef/>
      </w:r>
      <w:r w:rsidRPr="00895FEF">
        <w:rPr>
          <w:rFonts w:ascii="Verdana" w:hAnsi="Verdana" w:cs="Arial"/>
          <w:sz w:val="16"/>
          <w:szCs w:val="16"/>
          <w:lang w:val="es-CO"/>
        </w:rPr>
        <w:t xml:space="preserve"> Consejo de Estado, ,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621FE79F" w14:textId="77777777" w:rsidR="00BC3DBC" w:rsidRPr="00895FEF" w:rsidRDefault="00BC3DBC" w:rsidP="00BC3DBC">
      <w:pPr>
        <w:pStyle w:val="Textonotapie"/>
        <w:ind w:firstLine="709"/>
        <w:jc w:val="both"/>
        <w:rPr>
          <w:rFonts w:ascii="Verdana" w:hAnsi="Verdana" w:cs="Arial"/>
          <w:sz w:val="16"/>
          <w:szCs w:val="16"/>
          <w:lang w:val="es-CO"/>
        </w:rPr>
      </w:pPr>
    </w:p>
  </w:footnote>
  <w:footnote w:id="4">
    <w:p w14:paraId="7D05A5A3" w14:textId="77777777" w:rsidR="00BC3DBC" w:rsidRPr="00895FEF" w:rsidRDefault="00BC3DBC" w:rsidP="00BC3DBC">
      <w:pPr>
        <w:pStyle w:val="Textonotapie"/>
        <w:ind w:firstLine="709"/>
        <w:jc w:val="both"/>
        <w:rPr>
          <w:rFonts w:ascii="Verdana" w:hAnsi="Verdana" w:cs="Arial"/>
          <w:sz w:val="16"/>
          <w:szCs w:val="16"/>
        </w:rPr>
      </w:pPr>
      <w:r w:rsidRPr="00895FEF">
        <w:rPr>
          <w:rStyle w:val="Refdenotaalpie"/>
          <w:rFonts w:ascii="Verdana" w:hAnsi="Verdana" w:cs="Arial"/>
          <w:sz w:val="16"/>
          <w:szCs w:val="16"/>
        </w:rPr>
        <w:footnoteRef/>
      </w:r>
      <w:r w:rsidRPr="00895FEF">
        <w:rPr>
          <w:rFonts w:ascii="Verdana" w:hAnsi="Verdana" w:cs="Arial"/>
          <w:sz w:val="16"/>
          <w:szCs w:val="16"/>
        </w:rPr>
        <w:t xml:space="preserve"> Consejo de Estado, Sala de Consulta y Servicio Civil de fecha 24 de julio de 2013, radicado 2166, C</w:t>
      </w:r>
      <w:r>
        <w:rPr>
          <w:rFonts w:ascii="Verdana" w:hAnsi="Verdana" w:cs="Arial"/>
          <w:sz w:val="16"/>
          <w:szCs w:val="16"/>
        </w:rPr>
        <w:t>.</w:t>
      </w:r>
      <w:r w:rsidRPr="00895FEF">
        <w:rPr>
          <w:rFonts w:ascii="Verdana" w:hAnsi="Verdana" w:cs="Arial"/>
          <w:sz w:val="16"/>
          <w:szCs w:val="16"/>
        </w:rPr>
        <w:t>P</w:t>
      </w:r>
      <w:r>
        <w:rPr>
          <w:rFonts w:ascii="Verdana" w:hAnsi="Verdana" w:cs="Arial"/>
          <w:sz w:val="16"/>
          <w:szCs w:val="16"/>
        </w:rPr>
        <w:t>.</w:t>
      </w:r>
      <w:r w:rsidRPr="00895FEF">
        <w:rPr>
          <w:rFonts w:ascii="Verdana" w:hAnsi="Verdana" w:cs="Arial"/>
          <w:sz w:val="16"/>
          <w:szCs w:val="16"/>
        </w:rPr>
        <w:t xml:space="preserve"> Álvaro Namén Vargas.  </w:t>
      </w:r>
    </w:p>
  </w:footnote>
  <w:footnote w:id="5">
    <w:p w14:paraId="5CB0471D" w14:textId="77777777" w:rsidR="00BC3DBC" w:rsidRPr="00895FEF" w:rsidRDefault="00BC3DBC" w:rsidP="00BC3DBC">
      <w:pPr>
        <w:spacing w:after="0" w:line="240" w:lineRule="auto"/>
        <w:ind w:firstLine="709"/>
        <w:jc w:val="both"/>
        <w:rPr>
          <w:rFonts w:ascii="Verdana" w:hAnsi="Verdana" w:cs="Arial"/>
          <w:sz w:val="16"/>
          <w:szCs w:val="16"/>
        </w:rPr>
      </w:pPr>
      <w:r w:rsidRPr="00895FEF">
        <w:rPr>
          <w:rStyle w:val="Refdenotaalpie"/>
          <w:rFonts w:ascii="Verdana" w:hAnsi="Verdana" w:cs="Arial"/>
          <w:sz w:val="16"/>
          <w:szCs w:val="16"/>
        </w:rPr>
        <w:footnoteRef/>
      </w:r>
      <w:r w:rsidRPr="00895FEF">
        <w:rPr>
          <w:rFonts w:ascii="Verdana" w:hAnsi="Verdana" w:cs="Arial"/>
          <w:sz w:val="16"/>
          <w:szCs w:val="16"/>
        </w:rPr>
        <w:t xml:space="preserve"> </w:t>
      </w:r>
      <w:bookmarkStart w:id="4" w:name="33"/>
      <w:r w:rsidRPr="00895FEF">
        <w:rPr>
          <w:rFonts w:ascii="Verdana" w:eastAsia="Calibri" w:hAnsi="Verdana" w:cs="Arial"/>
          <w:bCs/>
          <w:color w:val="000000"/>
          <w:sz w:val="16"/>
          <w:szCs w:val="16"/>
        </w:rPr>
        <w:t>“</w:t>
      </w:r>
      <w:r w:rsidRPr="00895FEF">
        <w:rPr>
          <w:rFonts w:ascii="Verdana" w:hAnsi="Verdana" w:cs="Arial"/>
          <w:sz w:val="16"/>
          <w:szCs w:val="16"/>
        </w:rPr>
        <w:t>Artículo 33. Restricciones a la contratación pública.</w:t>
      </w:r>
      <w:bookmarkEnd w:id="4"/>
      <w:r w:rsidRPr="00895FEF">
        <w:rPr>
          <w:rFonts w:ascii="Verdana" w:hAnsi="Verdana" w:cs="Arial"/>
          <w:sz w:val="16"/>
          <w:szCs w:val="16"/>
        </w:rPr>
        <w:t> Durante los cuatro (4) meses anteriores a la elección presidencial y hasta la realización de la elección en la segunda vuelta, si fuere el caso, queda prohibida la contratación directa por parte de todos los entes del Estado.</w:t>
      </w:r>
    </w:p>
    <w:p w14:paraId="71A508C3" w14:textId="77777777" w:rsidR="00BC3DBC" w:rsidRDefault="00BC3DBC" w:rsidP="00BC3DBC">
      <w:pPr>
        <w:spacing w:after="0" w:line="240" w:lineRule="auto"/>
        <w:ind w:firstLine="709"/>
        <w:jc w:val="both"/>
        <w:rPr>
          <w:rFonts w:ascii="Verdana" w:hAnsi="Verdana" w:cs="Arial"/>
          <w:sz w:val="16"/>
          <w:szCs w:val="16"/>
        </w:rPr>
      </w:pPr>
      <w:r w:rsidRPr="00895FEF">
        <w:rPr>
          <w:rFonts w:ascii="Verdana" w:eastAsia="Calibri" w:hAnsi="Verdana" w:cs="Arial"/>
          <w:bCs/>
          <w:color w:val="000000"/>
          <w:sz w:val="16"/>
          <w:szCs w:val="16"/>
        </w:rPr>
        <w:t>“</w:t>
      </w:r>
      <w:r w:rsidRPr="00895FEF">
        <w:rPr>
          <w:rFonts w:ascii="Verdana" w:hAnsi="Verdana" w:cs="Arial"/>
          <w:sz w:val="16"/>
          <w:szCs w:val="16"/>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95FEF">
        <w:rPr>
          <w:rFonts w:ascii="Verdana" w:eastAsia="Calibri" w:hAnsi="Verdana" w:cs="Arial"/>
          <w:bCs/>
          <w:color w:val="000000"/>
          <w:sz w:val="16"/>
          <w:szCs w:val="16"/>
        </w:rPr>
        <w:t>”</w:t>
      </w:r>
      <w:r w:rsidRPr="00895FEF">
        <w:rPr>
          <w:rFonts w:ascii="Verdana" w:hAnsi="Verdana" w:cs="Arial"/>
          <w:sz w:val="16"/>
          <w:szCs w:val="16"/>
        </w:rPr>
        <w:t>.</w:t>
      </w:r>
    </w:p>
    <w:p w14:paraId="634E09E3" w14:textId="77777777" w:rsidR="00BC3DBC" w:rsidRPr="00895FEF" w:rsidRDefault="00BC3DBC" w:rsidP="00BC3DBC">
      <w:pPr>
        <w:spacing w:after="0" w:line="240" w:lineRule="auto"/>
        <w:ind w:firstLine="709"/>
        <w:jc w:val="both"/>
        <w:rPr>
          <w:rFonts w:ascii="Verdana" w:hAnsi="Verdana" w:cs="Arial"/>
          <w:sz w:val="16"/>
          <w:szCs w:val="16"/>
        </w:rPr>
      </w:pPr>
    </w:p>
  </w:footnote>
  <w:footnote w:id="6">
    <w:p w14:paraId="43DE3CC8" w14:textId="77777777" w:rsidR="00BC3DBC" w:rsidRPr="00895FEF" w:rsidRDefault="00BC3DBC" w:rsidP="00BC3DBC">
      <w:pPr>
        <w:pStyle w:val="NormalWeb"/>
        <w:spacing w:before="0" w:beforeAutospacing="0" w:after="0" w:afterAutospacing="0"/>
        <w:ind w:firstLine="709"/>
        <w:jc w:val="both"/>
        <w:rPr>
          <w:rFonts w:ascii="Verdana" w:hAnsi="Verdana" w:cs="Arial"/>
          <w:sz w:val="16"/>
          <w:szCs w:val="16"/>
          <w:lang w:val="es-MX"/>
        </w:rPr>
      </w:pPr>
      <w:r w:rsidRPr="00895FEF">
        <w:rPr>
          <w:rStyle w:val="Refdenotaalpie"/>
          <w:rFonts w:ascii="Verdana" w:hAnsi="Verdana" w:cs="Arial"/>
          <w:sz w:val="16"/>
          <w:szCs w:val="16"/>
        </w:rPr>
        <w:footnoteRef/>
      </w:r>
      <w:r w:rsidRPr="00895FEF">
        <w:rPr>
          <w:rFonts w:ascii="Verdana" w:hAnsi="Verdana" w:cs="Arial"/>
          <w:sz w:val="16"/>
          <w:szCs w:val="16"/>
        </w:rPr>
        <w:t xml:space="preserve"> </w:t>
      </w:r>
      <w:r w:rsidRPr="00895FEF">
        <w:rPr>
          <w:rFonts w:ascii="Verdana" w:eastAsia="Calibri" w:hAnsi="Verdana" w:cs="Arial"/>
          <w:bCs/>
          <w:color w:val="000000"/>
          <w:sz w:val="16"/>
          <w:szCs w:val="16"/>
        </w:rPr>
        <w:t>“</w:t>
      </w:r>
      <w:r w:rsidRPr="00895FEF">
        <w:rPr>
          <w:rFonts w:ascii="Verdana" w:hAnsi="Verdana" w:cs="Arial"/>
          <w:sz w:val="16"/>
          <w:szCs w:val="16"/>
          <w:lang w:val="es-MX"/>
        </w:rPr>
        <w:t>Artículo 38. Prohibiciones para los servidores públicos. A los empleados del Estado les está prohibido:</w:t>
      </w:r>
      <w:r>
        <w:rPr>
          <w:rFonts w:ascii="Verdana" w:hAnsi="Verdana" w:cs="Arial"/>
          <w:sz w:val="16"/>
          <w:szCs w:val="16"/>
          <w:lang w:val="es-MX"/>
        </w:rPr>
        <w:t xml:space="preserve"> </w:t>
      </w:r>
      <w:r w:rsidRPr="00895FEF">
        <w:rPr>
          <w:rFonts w:ascii="Verdana" w:hAnsi="Verdana" w:cs="Arial"/>
          <w:sz w:val="16"/>
          <w:szCs w:val="16"/>
          <w:lang w:val="es-MX"/>
        </w:rPr>
        <w:t xml:space="preserve"> […]</w:t>
      </w:r>
    </w:p>
    <w:p w14:paraId="3FCE8D0A" w14:textId="77777777" w:rsidR="00BC3DBC" w:rsidRPr="00895FEF" w:rsidRDefault="00BC3DBC" w:rsidP="00BC3DBC">
      <w:pPr>
        <w:pStyle w:val="NormalWeb"/>
        <w:spacing w:before="0" w:beforeAutospacing="0" w:after="0" w:afterAutospacing="0"/>
        <w:ind w:firstLine="709"/>
        <w:jc w:val="both"/>
        <w:rPr>
          <w:rFonts w:ascii="Verdana" w:hAnsi="Verdana" w:cs="Arial"/>
          <w:sz w:val="16"/>
          <w:szCs w:val="16"/>
          <w:lang w:val="es-MX"/>
        </w:rPr>
      </w:pPr>
      <w:r w:rsidRPr="00895FEF">
        <w:rPr>
          <w:rStyle w:val="baj"/>
          <w:rFonts w:ascii="Verdana" w:hAnsi="Verdana" w:cs="Arial"/>
          <w:sz w:val="16"/>
          <w:szCs w:val="16"/>
          <w:lang w:val="es-MX"/>
        </w:rPr>
        <w:t>Parágrafo.</w:t>
      </w:r>
      <w:r w:rsidRPr="00895FEF">
        <w:rPr>
          <w:rFonts w:ascii="Verdana" w:hAnsi="Verdana"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95FEF">
        <w:rPr>
          <w:rFonts w:ascii="Verdana" w:eastAsia="Calibri" w:hAnsi="Verdana" w:cs="Arial"/>
          <w:bCs/>
          <w:color w:val="000000"/>
          <w:sz w:val="16"/>
          <w:szCs w:val="16"/>
        </w:rPr>
        <w:t>”</w:t>
      </w:r>
      <w:r w:rsidRPr="00895FEF">
        <w:rPr>
          <w:rFonts w:ascii="Verdana" w:hAnsi="Verdana" w:cs="Arial"/>
          <w:sz w:val="16"/>
          <w:szCs w:val="16"/>
          <w:lang w:val="es-MX"/>
        </w:rPr>
        <w:t>.</w:t>
      </w:r>
    </w:p>
  </w:footnote>
  <w:footnote w:id="7">
    <w:p w14:paraId="72057DF0" w14:textId="77777777" w:rsidR="00BC3DBC" w:rsidRPr="00895FEF" w:rsidRDefault="00BC3DBC" w:rsidP="00BC3DBC">
      <w:pPr>
        <w:pStyle w:val="Textonotapie"/>
        <w:ind w:firstLine="708"/>
        <w:jc w:val="both"/>
        <w:rPr>
          <w:rFonts w:ascii="Verdana" w:hAnsi="Verdana"/>
          <w:sz w:val="16"/>
          <w:szCs w:val="16"/>
          <w:lang w:val="es-CO"/>
        </w:rPr>
      </w:pPr>
      <w:r w:rsidRPr="00895FEF">
        <w:rPr>
          <w:rStyle w:val="Refdenotaalpie"/>
          <w:rFonts w:ascii="Verdana" w:hAnsi="Verdana"/>
          <w:sz w:val="16"/>
          <w:szCs w:val="16"/>
        </w:rPr>
        <w:footnoteRef/>
      </w:r>
      <w:r w:rsidRPr="00895FEF">
        <w:rPr>
          <w:rFonts w:ascii="Verdana" w:hAnsi="Verdana"/>
          <w:sz w:val="16"/>
          <w:szCs w:val="16"/>
        </w:rPr>
        <w:t xml:space="preserve"> </w:t>
      </w:r>
      <w:r w:rsidRPr="00534DBD">
        <w:rPr>
          <w:rFonts w:ascii="Verdana" w:hAnsi="Verdana" w:cs="Arial"/>
          <w:sz w:val="16"/>
          <w:szCs w:val="16"/>
        </w:rPr>
        <w:t xml:space="preserve">Consejo de Estado, Sección Tercera, Subsección C, Sentencia del 20 de octubre de 2014, Exp. No. 24809, C.P. Jaime Orlando Santofimio Gamboa.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92209491">
    <w:abstractNumId w:val="5"/>
  </w:num>
  <w:num w:numId="18" w16cid:durableId="679089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E557F"/>
    <w:rsid w:val="000F6486"/>
    <w:rsid w:val="00125105"/>
    <w:rsid w:val="00127233"/>
    <w:rsid w:val="001511A0"/>
    <w:rsid w:val="00165241"/>
    <w:rsid w:val="001E4177"/>
    <w:rsid w:val="001F4856"/>
    <w:rsid w:val="001F7DC6"/>
    <w:rsid w:val="00212B6F"/>
    <w:rsid w:val="002421BB"/>
    <w:rsid w:val="0025796E"/>
    <w:rsid w:val="002707A2"/>
    <w:rsid w:val="002743C8"/>
    <w:rsid w:val="002951A0"/>
    <w:rsid w:val="002962BC"/>
    <w:rsid w:val="002A093D"/>
    <w:rsid w:val="002A0DD0"/>
    <w:rsid w:val="002A49AC"/>
    <w:rsid w:val="002A64FD"/>
    <w:rsid w:val="002C18E4"/>
    <w:rsid w:val="002C7A84"/>
    <w:rsid w:val="002E4FD9"/>
    <w:rsid w:val="00322A85"/>
    <w:rsid w:val="00324168"/>
    <w:rsid w:val="003448F4"/>
    <w:rsid w:val="00374F5E"/>
    <w:rsid w:val="00377E3E"/>
    <w:rsid w:val="003A779E"/>
    <w:rsid w:val="003D0F4D"/>
    <w:rsid w:val="003D2E20"/>
    <w:rsid w:val="003D5B0D"/>
    <w:rsid w:val="003E0499"/>
    <w:rsid w:val="003F3941"/>
    <w:rsid w:val="003F3F66"/>
    <w:rsid w:val="00406575"/>
    <w:rsid w:val="00414C74"/>
    <w:rsid w:val="0042722E"/>
    <w:rsid w:val="0044528D"/>
    <w:rsid w:val="004A1847"/>
    <w:rsid w:val="004A305D"/>
    <w:rsid w:val="004D7122"/>
    <w:rsid w:val="004F21C4"/>
    <w:rsid w:val="004F685F"/>
    <w:rsid w:val="005566E8"/>
    <w:rsid w:val="00574867"/>
    <w:rsid w:val="00591460"/>
    <w:rsid w:val="005B3816"/>
    <w:rsid w:val="005C3777"/>
    <w:rsid w:val="005C5CDC"/>
    <w:rsid w:val="005D476C"/>
    <w:rsid w:val="005D5A8E"/>
    <w:rsid w:val="006219F8"/>
    <w:rsid w:val="00643C97"/>
    <w:rsid w:val="0064768B"/>
    <w:rsid w:val="00665D70"/>
    <w:rsid w:val="00685A5C"/>
    <w:rsid w:val="006900D9"/>
    <w:rsid w:val="006E0F81"/>
    <w:rsid w:val="00704C46"/>
    <w:rsid w:val="00706C16"/>
    <w:rsid w:val="00756841"/>
    <w:rsid w:val="00756D10"/>
    <w:rsid w:val="007649AB"/>
    <w:rsid w:val="00771D0C"/>
    <w:rsid w:val="007833AC"/>
    <w:rsid w:val="007A121C"/>
    <w:rsid w:val="007B268C"/>
    <w:rsid w:val="007B7171"/>
    <w:rsid w:val="007C0C0F"/>
    <w:rsid w:val="007C3DC2"/>
    <w:rsid w:val="007E5497"/>
    <w:rsid w:val="00806F5F"/>
    <w:rsid w:val="00820278"/>
    <w:rsid w:val="00867F95"/>
    <w:rsid w:val="008843B6"/>
    <w:rsid w:val="00891928"/>
    <w:rsid w:val="008A446D"/>
    <w:rsid w:val="008D180B"/>
    <w:rsid w:val="008F0EA7"/>
    <w:rsid w:val="008F2888"/>
    <w:rsid w:val="00923EEF"/>
    <w:rsid w:val="009419F9"/>
    <w:rsid w:val="0095685E"/>
    <w:rsid w:val="00961B09"/>
    <w:rsid w:val="00965334"/>
    <w:rsid w:val="0097093E"/>
    <w:rsid w:val="00986AC5"/>
    <w:rsid w:val="009A0DFA"/>
    <w:rsid w:val="009B2D26"/>
    <w:rsid w:val="009C1A65"/>
    <w:rsid w:val="009C4BB6"/>
    <w:rsid w:val="009C5DDB"/>
    <w:rsid w:val="009C71FA"/>
    <w:rsid w:val="009C72E7"/>
    <w:rsid w:val="009D3058"/>
    <w:rsid w:val="009F3A13"/>
    <w:rsid w:val="00A122D3"/>
    <w:rsid w:val="00A17F13"/>
    <w:rsid w:val="00A20739"/>
    <w:rsid w:val="00A33C78"/>
    <w:rsid w:val="00A34552"/>
    <w:rsid w:val="00AB0ADB"/>
    <w:rsid w:val="00B01B1A"/>
    <w:rsid w:val="00B130FB"/>
    <w:rsid w:val="00B66319"/>
    <w:rsid w:val="00B72CD3"/>
    <w:rsid w:val="00B72FFF"/>
    <w:rsid w:val="00B83B45"/>
    <w:rsid w:val="00B84A74"/>
    <w:rsid w:val="00BC3D36"/>
    <w:rsid w:val="00BC3DBC"/>
    <w:rsid w:val="00BC4D54"/>
    <w:rsid w:val="00BD7F72"/>
    <w:rsid w:val="00C04FB3"/>
    <w:rsid w:val="00C330EB"/>
    <w:rsid w:val="00C41061"/>
    <w:rsid w:val="00C754BE"/>
    <w:rsid w:val="00C76B1C"/>
    <w:rsid w:val="00CB2B4C"/>
    <w:rsid w:val="00CB6357"/>
    <w:rsid w:val="00CC1B26"/>
    <w:rsid w:val="00CE753F"/>
    <w:rsid w:val="00D423A2"/>
    <w:rsid w:val="00D520D8"/>
    <w:rsid w:val="00D63AC2"/>
    <w:rsid w:val="00D7383B"/>
    <w:rsid w:val="00D867A8"/>
    <w:rsid w:val="00DA231B"/>
    <w:rsid w:val="00DC39FC"/>
    <w:rsid w:val="00DF5254"/>
    <w:rsid w:val="00E16408"/>
    <w:rsid w:val="00E20894"/>
    <w:rsid w:val="00E245AB"/>
    <w:rsid w:val="00E2764C"/>
    <w:rsid w:val="00E27F2E"/>
    <w:rsid w:val="00E41813"/>
    <w:rsid w:val="00E50AFE"/>
    <w:rsid w:val="00E75C92"/>
    <w:rsid w:val="00E771DC"/>
    <w:rsid w:val="00E8772A"/>
    <w:rsid w:val="00E90F6B"/>
    <w:rsid w:val="00E92C27"/>
    <w:rsid w:val="00E97610"/>
    <w:rsid w:val="00EA0E3D"/>
    <w:rsid w:val="00EC38A7"/>
    <w:rsid w:val="00ED7384"/>
    <w:rsid w:val="00EE1AA8"/>
    <w:rsid w:val="00F31EDC"/>
    <w:rsid w:val="00F462B3"/>
    <w:rsid w:val="00F5664F"/>
    <w:rsid w:val="00F666C4"/>
    <w:rsid w:val="00F76AFC"/>
    <w:rsid w:val="00FA47C0"/>
    <w:rsid w:val="00FB5DD1"/>
    <w:rsid w:val="00FB5FEF"/>
    <w:rsid w:val="00FC2B5D"/>
    <w:rsid w:val="00FF1449"/>
    <w:rsid w:val="01F8599D"/>
    <w:rsid w:val="02DED504"/>
    <w:rsid w:val="06874162"/>
    <w:rsid w:val="07BE0DD6"/>
    <w:rsid w:val="080AEAD8"/>
    <w:rsid w:val="0E0C685D"/>
    <w:rsid w:val="0F89D196"/>
    <w:rsid w:val="1345B9D7"/>
    <w:rsid w:val="1B164F0B"/>
    <w:rsid w:val="1C55ECDE"/>
    <w:rsid w:val="1D9ED352"/>
    <w:rsid w:val="1DB9A63F"/>
    <w:rsid w:val="200378E1"/>
    <w:rsid w:val="223D3F9D"/>
    <w:rsid w:val="359BCA7C"/>
    <w:rsid w:val="35D70CB4"/>
    <w:rsid w:val="3781B96E"/>
    <w:rsid w:val="38E7AA46"/>
    <w:rsid w:val="3946A92B"/>
    <w:rsid w:val="3C548349"/>
    <w:rsid w:val="3CAA8F82"/>
    <w:rsid w:val="404A3C23"/>
    <w:rsid w:val="42B937D1"/>
    <w:rsid w:val="458516CE"/>
    <w:rsid w:val="4C6EA60E"/>
    <w:rsid w:val="4FBE2A03"/>
    <w:rsid w:val="51EB682E"/>
    <w:rsid w:val="5767992E"/>
    <w:rsid w:val="5AEA75F7"/>
    <w:rsid w:val="5C364D49"/>
    <w:rsid w:val="6206B671"/>
    <w:rsid w:val="639F6D5E"/>
    <w:rsid w:val="641B8A3C"/>
    <w:rsid w:val="6C2BAEEE"/>
    <w:rsid w:val="705CC0DD"/>
    <w:rsid w:val="75493863"/>
    <w:rsid w:val="75DBF9FF"/>
    <w:rsid w:val="76A41F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756D10"/>
    <w:pPr>
      <w:spacing w:line="240" w:lineRule="exact"/>
    </w:pPr>
    <w:rPr>
      <w:vertAlign w:val="superscript"/>
    </w:rPr>
  </w:style>
  <w:style w:type="character" w:styleId="Refdecomentario">
    <w:name w:val="annotation reference"/>
    <w:basedOn w:val="Fuentedeprrafopredeter"/>
    <w:uiPriority w:val="99"/>
    <w:semiHidden/>
    <w:unhideWhenUsed/>
    <w:rsid w:val="00756D10"/>
    <w:rPr>
      <w:sz w:val="16"/>
      <w:szCs w:val="16"/>
    </w:rPr>
  </w:style>
  <w:style w:type="character" w:styleId="Textoennegrita">
    <w:name w:val="Strong"/>
    <w:basedOn w:val="Fuentedeprrafopredeter"/>
    <w:uiPriority w:val="22"/>
    <w:qFormat/>
    <w:rsid w:val="00756D10"/>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56D10"/>
    <w:rPr>
      <w:rFonts w:ascii="Geomanist Light" w:hAnsi="Geomanist Light"/>
      <w:lang w:val="es-ES"/>
    </w:rPr>
  </w:style>
  <w:style w:type="character" w:customStyle="1" w:styleId="NormalWebCar">
    <w:name w:val="Normal (Web) Car"/>
    <w:link w:val="NormalWeb"/>
    <w:uiPriority w:val="99"/>
    <w:rsid w:val="00756D10"/>
    <w:rPr>
      <w:rFonts w:ascii="Times New Roman" w:eastAsia="Times New Roman" w:hAnsi="Times New Roman" w:cs="Times New Roman"/>
      <w:sz w:val="24"/>
      <w:szCs w:val="24"/>
      <w:lang w:eastAsia="es-CO"/>
    </w:rPr>
  </w:style>
  <w:style w:type="character" w:customStyle="1" w:styleId="baj">
    <w:name w:val="b_aj"/>
    <w:basedOn w:val="Fuentedeprrafopredeter"/>
    <w:rsid w:val="00756D10"/>
  </w:style>
  <w:style w:type="paragraph" w:styleId="Textocomentario">
    <w:name w:val="annotation text"/>
    <w:basedOn w:val="Normal"/>
    <w:link w:val="TextocomentarioCar"/>
    <w:uiPriority w:val="99"/>
    <w:unhideWhenUsed/>
    <w:rsid w:val="00704C46"/>
    <w:pPr>
      <w:spacing w:line="240" w:lineRule="auto"/>
    </w:pPr>
    <w:rPr>
      <w:sz w:val="20"/>
      <w:szCs w:val="20"/>
    </w:rPr>
  </w:style>
  <w:style w:type="character" w:customStyle="1" w:styleId="TextocomentarioCar">
    <w:name w:val="Texto comentario Car"/>
    <w:basedOn w:val="Fuentedeprrafopredeter"/>
    <w:link w:val="Textocomentario"/>
    <w:uiPriority w:val="99"/>
    <w:rsid w:val="00704C46"/>
    <w:rPr>
      <w:sz w:val="20"/>
      <w:szCs w:val="20"/>
    </w:rPr>
  </w:style>
  <w:style w:type="paragraph" w:styleId="Asuntodelcomentario">
    <w:name w:val="annotation subject"/>
    <w:basedOn w:val="Textocomentario"/>
    <w:next w:val="Textocomentario"/>
    <w:link w:val="AsuntodelcomentarioCar"/>
    <w:uiPriority w:val="99"/>
    <w:semiHidden/>
    <w:unhideWhenUsed/>
    <w:rsid w:val="008F2888"/>
    <w:rPr>
      <w:b/>
      <w:bCs/>
    </w:rPr>
  </w:style>
  <w:style w:type="character" w:customStyle="1" w:styleId="AsuntodelcomentarioCar">
    <w:name w:val="Asunto del comentario Car"/>
    <w:basedOn w:val="TextocomentarioCar"/>
    <w:link w:val="Asuntodelcomentario"/>
    <w:uiPriority w:val="99"/>
    <w:semiHidden/>
    <w:rsid w:val="008F28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providencias/66001-23-31-000-1999-00435-01_24809_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anch1446@hotmail.com" TargetMode="External"/><Relationship Id="rId5" Type="http://schemas.openxmlformats.org/officeDocument/2006/relationships/styles" Target="styles.xml"/><Relationship Id="rId15" Type="http://schemas.openxmlformats.org/officeDocument/2006/relationships/hyperlink" Target="https://www.colombiacompra.gov.co/documentos-tipo/documentos-tipo"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ala-de-prensa/boletin-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F9E5E-7CC2-4171-9D31-C3BF484C32EA}"/>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3401</Words>
  <Characters>18706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2</cp:revision>
  <cp:lastPrinted>2023-01-10T21:18:00Z</cp:lastPrinted>
  <dcterms:created xsi:type="dcterms:W3CDTF">2024-12-31T03:55:00Z</dcterms:created>
  <dcterms:modified xsi:type="dcterms:W3CDTF">2024-12-31T03:55:00Z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