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C4E93" w14:textId="77777777" w:rsidR="00485E57" w:rsidRPr="00485E57" w:rsidRDefault="00485E57" w:rsidP="00485E57">
      <w:pPr>
        <w:spacing w:after="0" w:line="240" w:lineRule="auto"/>
        <w:contextualSpacing/>
        <w:jc w:val="both"/>
        <w:rPr>
          <w:rFonts w:ascii="Verdana" w:eastAsia="Yu Gothic UI Semibold" w:hAnsi="Verdana" w:cs="Arial"/>
          <w:b/>
          <w:bCs/>
          <w:color w:val="000000" w:themeColor="text1"/>
          <w:lang w:val="es-MX"/>
        </w:rPr>
      </w:pPr>
      <w:bookmarkStart w:id="0" w:name="_Hlk181166109"/>
      <w:bookmarkStart w:id="1" w:name="_Hlk143780582"/>
      <w:r w:rsidRPr="00485E57">
        <w:rPr>
          <w:rFonts w:ascii="Verdana" w:eastAsia="Yu Gothic UI Semibold" w:hAnsi="Verdana" w:cs="Arial"/>
          <w:b/>
          <w:bCs/>
          <w:color w:val="000000" w:themeColor="text1"/>
          <w:lang w:val="es-MX"/>
        </w:rPr>
        <w:t xml:space="preserve">CONTRATOS DE PRESTACIÓN DE SERVICIOS </w:t>
      </w:r>
      <w:bookmarkStart w:id="2" w:name="_Hlk134189711"/>
      <w:r w:rsidRPr="00485E57">
        <w:rPr>
          <w:rFonts w:ascii="Verdana" w:eastAsia="Yu Gothic UI Semibold" w:hAnsi="Verdana" w:cs="Arial"/>
          <w:b/>
          <w:bCs/>
          <w:color w:val="000000" w:themeColor="text1"/>
          <w:lang w:val="es-MX"/>
        </w:rPr>
        <w:t>–</w:t>
      </w:r>
      <w:bookmarkEnd w:id="2"/>
      <w:r w:rsidRPr="00485E57">
        <w:rPr>
          <w:rFonts w:ascii="Verdana" w:eastAsia="Yu Gothic UI Semibold" w:hAnsi="Verdana" w:cs="Arial"/>
          <w:b/>
          <w:bCs/>
          <w:color w:val="000000" w:themeColor="text1"/>
          <w:lang w:val="es-MX"/>
        </w:rPr>
        <w:t xml:space="preserve"> Generalidades – Requisitos y límites para su celebración</w:t>
      </w:r>
    </w:p>
    <w:p w14:paraId="153F5BCF" w14:textId="77777777" w:rsidR="00485E57" w:rsidRPr="00485E57" w:rsidRDefault="00485E57" w:rsidP="00485E57">
      <w:pPr>
        <w:spacing w:after="0" w:line="240" w:lineRule="auto"/>
        <w:jc w:val="both"/>
        <w:rPr>
          <w:rFonts w:ascii="Verdana" w:eastAsia="Times New Roman" w:hAnsi="Verdana" w:cs="Arial"/>
          <w:bCs/>
          <w:lang w:val="es-MX" w:eastAsia="es-ES_tradnl"/>
        </w:rPr>
      </w:pPr>
    </w:p>
    <w:p w14:paraId="3AB1D816" w14:textId="77777777" w:rsidR="00485E57" w:rsidRPr="000F4F5B" w:rsidRDefault="00485E57" w:rsidP="00485E57">
      <w:pPr>
        <w:spacing w:after="0" w:line="240" w:lineRule="auto"/>
        <w:jc w:val="both"/>
        <w:rPr>
          <w:rFonts w:ascii="Verdana" w:eastAsia="Times New Roman" w:hAnsi="Verdana" w:cs="Arial"/>
          <w:bCs/>
          <w:sz w:val="20"/>
          <w:szCs w:val="20"/>
          <w:lang w:eastAsia="es-ES_tradnl"/>
        </w:rPr>
      </w:pPr>
      <w:r w:rsidRPr="000F4F5B">
        <w:rPr>
          <w:rFonts w:ascii="Verdana" w:eastAsia="Times New Roman" w:hAnsi="Verdana" w:cs="Arial"/>
          <w:color w:val="000000" w:themeColor="text1"/>
          <w:sz w:val="20"/>
          <w:szCs w:val="20"/>
          <w:lang w:val="es-MX" w:eastAsia="es-CO"/>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0F4F5B">
        <w:rPr>
          <w:rFonts w:ascii="Verdana" w:eastAsia="Calibri" w:hAnsi="Verdana" w:cs="Arial"/>
          <w:color w:val="000000" w:themeColor="text1"/>
          <w:sz w:val="20"/>
          <w:szCs w:val="20"/>
          <w:lang w:val="es-ES_tradnl" w:eastAsia="es-CO"/>
        </w:rPr>
        <w:t xml:space="preserve"> La celebración de dicho contrato debe efectuarse a través de la modalidad de contratación directa.</w:t>
      </w:r>
    </w:p>
    <w:p w14:paraId="53BB8D32" w14:textId="77777777" w:rsidR="00485E57" w:rsidRPr="00485E57" w:rsidRDefault="00485E57" w:rsidP="00485E57">
      <w:pPr>
        <w:spacing w:after="0" w:line="240" w:lineRule="auto"/>
        <w:jc w:val="both"/>
        <w:rPr>
          <w:rFonts w:ascii="Verdana" w:eastAsia="Times New Roman" w:hAnsi="Verdana" w:cs="Arial"/>
          <w:highlight w:val="yellow"/>
          <w:lang w:val="es-ES_tradnl" w:eastAsia="es-ES_tradnl"/>
        </w:rPr>
      </w:pPr>
      <w:bookmarkStart w:id="3" w:name="_Hlk134190527"/>
    </w:p>
    <w:p w14:paraId="5D24A2C2" w14:textId="77777777" w:rsidR="00485E57" w:rsidRPr="00485E57" w:rsidRDefault="00485E57" w:rsidP="00485E57">
      <w:pPr>
        <w:spacing w:after="0" w:line="240" w:lineRule="auto"/>
        <w:jc w:val="both"/>
        <w:rPr>
          <w:rFonts w:ascii="Verdana" w:eastAsia="Times New Roman" w:hAnsi="Verdana" w:cs="Arial"/>
          <w:b/>
          <w:bCs/>
          <w:color w:val="000000"/>
          <w:lang w:val="es-ES_tradnl" w:eastAsia="es-ES_tradnl"/>
        </w:rPr>
      </w:pPr>
      <w:r w:rsidRPr="00485E57">
        <w:rPr>
          <w:rFonts w:ascii="Verdana" w:eastAsia="Times New Roman" w:hAnsi="Verdana" w:cs="Arial"/>
          <w:b/>
          <w:bCs/>
          <w:lang w:val="es-ES_tradnl" w:eastAsia="es-ES_tradnl"/>
        </w:rPr>
        <w:t xml:space="preserve">CONTRATOS DE PRESTACIÓN DE SERVICIOS PROFESIONALES Y DE APOYO A LA GESTIÓN </w:t>
      </w:r>
      <w:r w:rsidRPr="00485E57">
        <w:rPr>
          <w:rFonts w:ascii="Verdana" w:eastAsia="Yu Gothic UI Semibold" w:hAnsi="Verdana" w:cs="Arial"/>
          <w:b/>
          <w:bCs/>
          <w:color w:val="000000" w:themeColor="text1"/>
          <w:lang w:val="es-MX"/>
        </w:rPr>
        <w:t xml:space="preserve">– </w:t>
      </w:r>
      <w:r w:rsidRPr="00485E57">
        <w:rPr>
          <w:rFonts w:ascii="Verdana" w:eastAsia="Times New Roman" w:hAnsi="Verdana" w:cs="Arial"/>
          <w:b/>
          <w:bCs/>
          <w:color w:val="000000"/>
          <w:lang w:val="es-ES_tradnl" w:eastAsia="es-ES_tradnl"/>
        </w:rPr>
        <w:t>Posibilidad de celebrar varios contratos con la misma entidad estatal de forma simultánea</w:t>
      </w:r>
    </w:p>
    <w:bookmarkEnd w:id="3"/>
    <w:p w14:paraId="6184E662" w14:textId="77777777" w:rsidR="00485E57" w:rsidRPr="00485E57" w:rsidRDefault="00485E57" w:rsidP="00485E57">
      <w:pPr>
        <w:spacing w:after="0" w:line="240" w:lineRule="auto"/>
        <w:jc w:val="both"/>
        <w:rPr>
          <w:rFonts w:ascii="Verdana" w:eastAsia="Times New Roman" w:hAnsi="Verdana" w:cs="Arial"/>
          <w:lang w:val="es-ES_tradnl" w:eastAsia="es-ES_tradnl"/>
        </w:rPr>
      </w:pPr>
    </w:p>
    <w:p w14:paraId="42872BBF" w14:textId="77777777" w:rsidR="00485E57" w:rsidRPr="000F4F5B" w:rsidRDefault="00485E57" w:rsidP="00485E57">
      <w:pPr>
        <w:spacing w:after="0" w:line="240" w:lineRule="auto"/>
        <w:contextualSpacing/>
        <w:jc w:val="both"/>
        <w:rPr>
          <w:rFonts w:ascii="Verdana" w:eastAsia="Times New Roman" w:hAnsi="Verdana" w:cs="Arial"/>
          <w:sz w:val="20"/>
          <w:szCs w:val="20"/>
          <w:lang w:eastAsia="es-CO"/>
        </w:rPr>
      </w:pPr>
      <w:r w:rsidRPr="000F4F5B">
        <w:rPr>
          <w:rFonts w:ascii="Verdana" w:eastAsia="Times New Roman" w:hAnsi="Verdana" w:cs="Arial"/>
          <w:sz w:val="20"/>
          <w:szCs w:val="20"/>
          <w:lang w:eastAsia="es-CO"/>
        </w:rPr>
        <w:t>(…) no existe inhabilidad, incompatibilidad o prohibición alguna de otra naturaleza para que una entidad estatal celebre dos o más contratos de prestación de servicios profesionales con una misma persona, así dichos contratos coexistan en el tiempo. Ello, por cuanto, como ya se señaló, las inhabilidades e incompatibilidades, al ser limitaciones a la capacidad contractual que afectan derechos como la libre concurrencia o la libertad de ejercicio de la profesión u oficio, es decir, al ser enunciados normativos gravosos, deben interpretarse de forma restrictiva. Esto supone que su aplicación no admite una interpretación amplia, extensiva o analógica.</w:t>
      </w:r>
    </w:p>
    <w:p w14:paraId="56A618AD" w14:textId="77777777" w:rsidR="00485E57" w:rsidRPr="000F4F5B" w:rsidRDefault="00485E57" w:rsidP="00485E57">
      <w:pPr>
        <w:spacing w:after="0" w:line="240" w:lineRule="auto"/>
        <w:contextualSpacing/>
        <w:jc w:val="both"/>
        <w:rPr>
          <w:rFonts w:ascii="Verdana" w:eastAsia="Times New Roman" w:hAnsi="Verdana" w:cs="Arial"/>
          <w:sz w:val="20"/>
          <w:szCs w:val="20"/>
          <w:lang w:eastAsia="es-CO"/>
        </w:rPr>
      </w:pPr>
    </w:p>
    <w:p w14:paraId="3D0D79F7" w14:textId="77777777" w:rsidR="00485E57" w:rsidRPr="000F4F5B" w:rsidRDefault="00485E57" w:rsidP="00485E57">
      <w:pPr>
        <w:spacing w:after="0" w:line="240" w:lineRule="auto"/>
        <w:contextualSpacing/>
        <w:jc w:val="both"/>
        <w:rPr>
          <w:rFonts w:ascii="Verdana" w:eastAsia="Times New Roman" w:hAnsi="Verdana" w:cs="Arial"/>
          <w:sz w:val="20"/>
          <w:szCs w:val="20"/>
          <w:lang w:eastAsia="es-CO"/>
        </w:rPr>
      </w:pPr>
      <w:r w:rsidRPr="000F4F5B">
        <w:rPr>
          <w:rFonts w:ascii="Verdana" w:eastAsia="Times New Roman" w:hAnsi="Verdana" w:cs="Arial"/>
          <w:sz w:val="20"/>
          <w:szCs w:val="20"/>
          <w:lang w:eastAsia="es-CO"/>
        </w:rPr>
        <w:t>(…)</w:t>
      </w:r>
    </w:p>
    <w:p w14:paraId="490CDFC2" w14:textId="77777777" w:rsidR="00485E57" w:rsidRPr="000F4F5B" w:rsidRDefault="00485E57" w:rsidP="00485E57">
      <w:pPr>
        <w:spacing w:after="0" w:line="240" w:lineRule="auto"/>
        <w:contextualSpacing/>
        <w:jc w:val="both"/>
        <w:rPr>
          <w:rFonts w:ascii="Verdana" w:eastAsia="Times New Roman" w:hAnsi="Verdana" w:cs="Arial"/>
          <w:sz w:val="20"/>
          <w:szCs w:val="20"/>
          <w:lang w:eastAsia="es-CO"/>
        </w:rPr>
      </w:pPr>
    </w:p>
    <w:p w14:paraId="0DF0E5F4" w14:textId="05C5B281" w:rsidR="00485E57" w:rsidRPr="000F4F5B" w:rsidRDefault="00485E57" w:rsidP="00485E57">
      <w:pPr>
        <w:spacing w:after="0" w:line="240" w:lineRule="auto"/>
        <w:contextualSpacing/>
        <w:jc w:val="both"/>
        <w:rPr>
          <w:rFonts w:ascii="Verdana" w:eastAsia="Times New Roman" w:hAnsi="Verdana" w:cs="Arial"/>
          <w:sz w:val="20"/>
          <w:szCs w:val="20"/>
          <w:lang w:eastAsia="es-CO"/>
        </w:rPr>
      </w:pPr>
      <w:r w:rsidRPr="000F4F5B">
        <w:rPr>
          <w:rFonts w:ascii="Verdana" w:eastAsia="Times New Roman" w:hAnsi="Verdana" w:cs="Arial"/>
          <w:sz w:val="20"/>
          <w:szCs w:val="20"/>
          <w:lang w:eastAsia="es-CO"/>
        </w:rPr>
        <w:t>Tratándose de contratos de prestación de servicios de apoyo a la gestión, debe tomarse en consideración que la Directiva Presidencial No. 2 del 30 de marzo de 2023 dispuso dejar sin efectos las medidas establecidas, entre otras, en la Directiva Presidencial No. 08 del 17 de septiembre de 2022, hasta tanto el Gobierno Nacional expida nuevas directrices en materia de gasto, austeridad y eficiencia del Estado conforme a la reglamentación recientemente expedida para la vigencia 2023. (…) Al haberse dejado sin efectos la disposición anteriormente citada, en la actualidad no se encuentra vigente la restricción consistente en la celebración de más de un contrato de prestación de servicios de apoyo a la gestión allí contenida, la cual, en todo caso, había sido objeto de una medida cautelar de suspensión provisional decretada por parte del Consejo de Estado -Sala de lo Contencioso Administrativo, Sección Tercera, Subsección A- en providencia del 22 de febrero de 2023</w:t>
      </w:r>
      <w:r w:rsidR="000F4F5B">
        <w:rPr>
          <w:rFonts w:ascii="Verdana" w:eastAsia="Times New Roman" w:hAnsi="Verdana" w:cs="Arial"/>
          <w:sz w:val="20"/>
          <w:szCs w:val="20"/>
          <w:lang w:eastAsia="es-CO"/>
        </w:rPr>
        <w:t>.</w:t>
      </w:r>
    </w:p>
    <w:p w14:paraId="72BC8C23" w14:textId="77777777" w:rsidR="00485E57" w:rsidRPr="00485E57" w:rsidRDefault="00485E57" w:rsidP="00485E57">
      <w:pPr>
        <w:tabs>
          <w:tab w:val="left" w:pos="0"/>
        </w:tabs>
        <w:spacing w:line="276" w:lineRule="auto"/>
        <w:jc w:val="both"/>
        <w:rPr>
          <w:rFonts w:ascii="Verdana" w:hAnsi="Verdana" w:cs="Arial"/>
          <w:b/>
          <w:lang w:val="es-ES" w:eastAsia="es-ES"/>
        </w:rPr>
      </w:pPr>
    </w:p>
    <w:p w14:paraId="465906D6" w14:textId="77777777" w:rsidR="00485E57" w:rsidRPr="00485E57" w:rsidRDefault="00485E57" w:rsidP="00485E57">
      <w:pPr>
        <w:tabs>
          <w:tab w:val="left" w:pos="0"/>
        </w:tabs>
        <w:spacing w:line="276" w:lineRule="auto"/>
        <w:jc w:val="both"/>
        <w:rPr>
          <w:rFonts w:ascii="Verdana" w:eastAsia="Calibri" w:hAnsi="Verdana" w:cs="Arial"/>
          <w:b/>
          <w:lang w:val="es-ES"/>
        </w:rPr>
      </w:pPr>
      <w:r w:rsidRPr="00485E57">
        <w:rPr>
          <w:rFonts w:ascii="Verdana" w:hAnsi="Verdana" w:cs="Arial"/>
          <w:b/>
          <w:lang w:val="es-ES" w:eastAsia="es-ES"/>
        </w:rPr>
        <w:t>CONTRATOS DE PRESTACIÓN DE SERVICIOS – Simultáneos</w:t>
      </w:r>
    </w:p>
    <w:p w14:paraId="60681DC7" w14:textId="77777777" w:rsidR="00485E57" w:rsidRPr="000F4F5B" w:rsidRDefault="00485E57" w:rsidP="00485E57">
      <w:pPr>
        <w:pStyle w:val="Textoindependiente"/>
        <w:spacing w:line="240" w:lineRule="auto"/>
        <w:contextualSpacing/>
        <w:rPr>
          <w:rFonts w:ascii="Verdana" w:eastAsia="Calibri" w:hAnsi="Verdana"/>
          <w:bCs/>
          <w:sz w:val="20"/>
          <w:szCs w:val="20"/>
        </w:rPr>
      </w:pPr>
      <w:r w:rsidRPr="000F4F5B">
        <w:rPr>
          <w:rFonts w:ascii="Verdana" w:eastAsia="Calibri" w:hAnsi="Verdana"/>
          <w:bCs/>
          <w:sz w:val="20"/>
          <w:szCs w:val="20"/>
        </w:rPr>
        <w:t xml:space="preserve">[…] </w:t>
      </w:r>
      <w:r w:rsidRPr="000F4F5B">
        <w:rPr>
          <w:rFonts w:ascii="Verdana" w:hAnsi="Verdana"/>
          <w:bCs/>
          <w:color w:val="000000" w:themeColor="text1"/>
          <w:sz w:val="20"/>
          <w:szCs w:val="20"/>
        </w:rPr>
        <w:t xml:space="preserve">los contratistas de prestación de servicios se encuentran por fuera del ámbito de aplicación el artículo 128 de la Constitución, al no ser titulares de un empleo público, lo que supone que es perfectamente válido que una persona suscriba varios contratos de prestación de servicios con el Estado, no existiendo una disposición que así lo prohíba.  </w:t>
      </w:r>
      <w:r w:rsidRPr="000F4F5B">
        <w:rPr>
          <w:rFonts w:ascii="Verdana" w:eastAsia="Calibri" w:hAnsi="Verdana"/>
          <w:bCs/>
          <w:sz w:val="20"/>
          <w:szCs w:val="20"/>
        </w:rPr>
        <w:lastRenderedPageBreak/>
        <w:t>Esto por supuesto dependerá de que, el contratista no se encuentre incurso en alguna otra causal de inhabilidad o incompatibilidad con las entidades públicas, en las condiciones explicadas.</w:t>
      </w:r>
    </w:p>
    <w:p w14:paraId="05AAD8F8" w14:textId="77777777" w:rsidR="00485E57" w:rsidRPr="000F4F5B" w:rsidRDefault="00485E57" w:rsidP="00485E57">
      <w:pPr>
        <w:pStyle w:val="Textoindependiente"/>
        <w:spacing w:line="240" w:lineRule="auto"/>
        <w:contextualSpacing/>
        <w:rPr>
          <w:rFonts w:ascii="Verdana" w:eastAsia="Calibri" w:hAnsi="Verdana"/>
          <w:bCs/>
          <w:sz w:val="20"/>
          <w:szCs w:val="20"/>
        </w:rPr>
      </w:pPr>
    </w:p>
    <w:p w14:paraId="154B3390" w14:textId="77777777" w:rsidR="00485E57" w:rsidRPr="000F4F5B" w:rsidRDefault="00485E57" w:rsidP="00485E57">
      <w:pPr>
        <w:spacing w:after="0" w:line="240" w:lineRule="auto"/>
        <w:contextualSpacing/>
        <w:jc w:val="both"/>
        <w:rPr>
          <w:rFonts w:ascii="Arial" w:eastAsia="Calibri" w:hAnsi="Arial" w:cs="Arial"/>
          <w:bCs/>
          <w:sz w:val="20"/>
          <w:szCs w:val="20"/>
        </w:rPr>
      </w:pPr>
      <w:r w:rsidRPr="000F4F5B">
        <w:rPr>
          <w:rFonts w:ascii="Verdana" w:eastAsia="Calibri" w:hAnsi="Verdana" w:cs="Arial"/>
          <w:bCs/>
          <w:sz w:val="20"/>
          <w:szCs w:val="20"/>
        </w:rPr>
        <w:t>Sin perjuicio de lo anterior, en eventos como que es materia de consulta, es necesario tener en cuenta, dos aspectos adicionales. Por un lado, en el marco de un contrato de prestación de servicios con una entidad estatal podría pactarse una cláusula de exclusividad. Si bien este compromiso vendría a ser un elemento accidental del contrato, en virtud de este acuerdo, una de las partes de un contrato se obliga respecto a la otra a realizar, de manera exclusiva, las prestaciones objeto de este.  En este sentido, si, por ejemplo, en un contrato de prestación de servicios se pacta una cláusula de exclusividad a favor de la entidad contratante, el contratista se estaría obligando, so pena de incumplimiento, a no celebrar contratos de la misma naturaleza con otras personas de derecho público o privado, dependiendo del alcance la cláusula.</w:t>
      </w:r>
    </w:p>
    <w:p w14:paraId="56B2AEDD" w14:textId="77777777" w:rsidR="00485E57" w:rsidRPr="00485E57" w:rsidRDefault="00485E57" w:rsidP="00485E57">
      <w:pPr>
        <w:spacing w:after="0" w:line="240" w:lineRule="auto"/>
        <w:jc w:val="both"/>
        <w:rPr>
          <w:rFonts w:ascii="Verdana" w:eastAsia="Geomanist Light" w:hAnsi="Verdana" w:cs="Arial"/>
          <w:b/>
          <w:bCs/>
          <w:color w:val="000000" w:themeColor="text1"/>
          <w:lang w:val="es-ES"/>
        </w:rPr>
      </w:pPr>
    </w:p>
    <w:p w14:paraId="659DAA98" w14:textId="77777777" w:rsidR="00A71FA6" w:rsidRPr="00A71FA6" w:rsidRDefault="00A71FA6" w:rsidP="00A71FA6">
      <w:pPr>
        <w:spacing w:after="0" w:line="240" w:lineRule="auto"/>
        <w:jc w:val="both"/>
        <w:rPr>
          <w:rFonts w:ascii="Verdana" w:eastAsia="Geomanist Light" w:hAnsi="Verdana" w:cs="Arial"/>
          <w:b/>
          <w:bCs/>
          <w:color w:val="000000" w:themeColor="text1"/>
          <w:lang w:val="es-MX"/>
        </w:rPr>
      </w:pPr>
      <w:r w:rsidRPr="00A71FA6">
        <w:rPr>
          <w:rFonts w:ascii="Verdana" w:eastAsia="Geomanist Light" w:hAnsi="Verdana" w:cs="Arial"/>
          <w:b/>
          <w:bCs/>
          <w:color w:val="000000" w:themeColor="text1"/>
          <w:lang w:val="es-MX"/>
        </w:rPr>
        <w:t xml:space="preserve">REGÍMEN ESPECIAL – Manual de contratación – Régimen de Contratación   </w:t>
      </w:r>
    </w:p>
    <w:p w14:paraId="6CA676C3" w14:textId="77777777" w:rsidR="00A71FA6" w:rsidRPr="00A71FA6" w:rsidRDefault="00A71FA6" w:rsidP="00A71FA6">
      <w:pPr>
        <w:spacing w:after="0" w:line="240" w:lineRule="auto"/>
        <w:jc w:val="both"/>
        <w:rPr>
          <w:rFonts w:ascii="Verdana" w:eastAsia="Geomanist Light" w:hAnsi="Verdana" w:cs="Arial"/>
          <w:color w:val="000000" w:themeColor="text1"/>
          <w:lang w:val="es-MX"/>
        </w:rPr>
      </w:pPr>
      <w:r w:rsidRPr="00A71FA6">
        <w:rPr>
          <w:rFonts w:ascii="Verdana" w:eastAsia="Geomanist Light" w:hAnsi="Verdana" w:cs="Arial"/>
          <w:color w:val="000000" w:themeColor="text1"/>
          <w:lang w:val="es-MX"/>
        </w:rPr>
        <w:t xml:space="preserve"> </w:t>
      </w:r>
    </w:p>
    <w:p w14:paraId="4927061C" w14:textId="77777777" w:rsidR="00A71FA6" w:rsidRPr="000F4F5B" w:rsidRDefault="00A71FA6" w:rsidP="00A71FA6">
      <w:pPr>
        <w:spacing w:after="0" w:line="240" w:lineRule="auto"/>
        <w:jc w:val="both"/>
        <w:rPr>
          <w:rFonts w:ascii="Verdana" w:eastAsia="Geomanist Light" w:hAnsi="Verdana" w:cs="Arial"/>
          <w:color w:val="000000" w:themeColor="text1"/>
          <w:sz w:val="20"/>
          <w:szCs w:val="20"/>
          <w:lang w:val="es-MX"/>
        </w:rPr>
      </w:pPr>
      <w:r w:rsidRPr="000F4F5B">
        <w:rPr>
          <w:rFonts w:ascii="Verdana" w:eastAsia="Geomanist Light" w:hAnsi="Verdana" w:cs="Arial"/>
          <w:color w:val="000000" w:themeColor="text1"/>
          <w:sz w:val="20"/>
          <w:szCs w:val="20"/>
          <w:lang w:val="es-MX"/>
        </w:rPr>
        <w:t>[…] en el ordenamiento jurídico colombiano cuando se piensa en los regímenes especiales de contratación, por regla general, hace referencia al régimen de determinadas Entidades Estatales. Tal sería el caso de las Empresas de Servicios Públicos Domiciliarios, de conformidad con el artículo 31 de la Ley 142 de 1994, de las entidades indicadas en el artículo 14 de la Ley 1150 de 2007, y de las universidades estatales u oficiales, según el artículo 93 de la Ley 30 de 1993. Esta afirmación, sin embargo, no pretende desconocer que dicho régimen especial se otorga justamente en consideración al especial tipo de actividades desplegadas por estas entidades.</w:t>
      </w:r>
    </w:p>
    <w:p w14:paraId="79222FF8" w14:textId="77777777" w:rsidR="00A71FA6" w:rsidRPr="000F4F5B" w:rsidRDefault="00A71FA6" w:rsidP="00A71FA6">
      <w:pPr>
        <w:spacing w:after="0" w:line="240" w:lineRule="auto"/>
        <w:jc w:val="both"/>
        <w:rPr>
          <w:rFonts w:ascii="Verdana" w:eastAsia="Geomanist Light" w:hAnsi="Verdana" w:cs="Arial"/>
          <w:color w:val="000000" w:themeColor="text1"/>
          <w:sz w:val="20"/>
          <w:szCs w:val="20"/>
          <w:lang w:val="es-MX"/>
        </w:rPr>
      </w:pPr>
      <w:r w:rsidRPr="000F4F5B">
        <w:rPr>
          <w:rFonts w:ascii="Verdana" w:eastAsia="Geomanist Light" w:hAnsi="Verdana" w:cs="Arial"/>
          <w:color w:val="000000" w:themeColor="text1"/>
          <w:sz w:val="20"/>
          <w:szCs w:val="20"/>
          <w:lang w:val="es-MX"/>
        </w:rPr>
        <w:t xml:space="preserve"> </w:t>
      </w:r>
    </w:p>
    <w:p w14:paraId="2F972818" w14:textId="77777777" w:rsidR="00A71FA6" w:rsidRPr="000F4F5B" w:rsidRDefault="00A71FA6" w:rsidP="00A71FA6">
      <w:pPr>
        <w:spacing w:after="0" w:line="240" w:lineRule="auto"/>
        <w:jc w:val="both"/>
        <w:rPr>
          <w:rFonts w:ascii="Verdana" w:eastAsia="Geomanist Light" w:hAnsi="Verdana" w:cs="Arial"/>
          <w:color w:val="000000" w:themeColor="text1"/>
          <w:sz w:val="20"/>
          <w:szCs w:val="20"/>
          <w:lang w:val="es-MX"/>
        </w:rPr>
      </w:pPr>
      <w:r w:rsidRPr="000F4F5B">
        <w:rPr>
          <w:rFonts w:ascii="Verdana" w:eastAsia="Geomanist Light" w:hAnsi="Verdana" w:cs="Arial"/>
          <w:color w:val="000000" w:themeColor="text1"/>
          <w:sz w:val="20"/>
          <w:szCs w:val="20"/>
          <w:lang w:val="es-MX"/>
        </w:rPr>
        <w:t xml:space="preserve">Ahora bien, los regímenes especiales en el ordenamiento colombiano no se dan exclusivamente en atención a cierto tipo de sujetos (como las Empresas Industriales y Comerciales del Estado, las Sociedades de Economía Mixta, las Empresas de Servicios Públicos, entre otras), sino también para cierto tipo de objetos. Este es el caso del régimen jurídico establecido en el artículo 66 de la Ley 1523 de 2012 – al cual hace referencia en su consulta –, que establece un régimen especial de derecho privado </w:t>
      </w:r>
      <w:proofErr w:type="gramStart"/>
      <w:r w:rsidRPr="000F4F5B">
        <w:rPr>
          <w:rFonts w:ascii="Verdana" w:eastAsia="Geomanist Light" w:hAnsi="Verdana" w:cs="Arial"/>
          <w:color w:val="000000" w:themeColor="text1"/>
          <w:sz w:val="20"/>
          <w:szCs w:val="20"/>
          <w:lang w:val="es-MX"/>
        </w:rPr>
        <w:t>en razón de</w:t>
      </w:r>
      <w:proofErr w:type="gramEnd"/>
      <w:r w:rsidRPr="000F4F5B">
        <w:rPr>
          <w:rFonts w:ascii="Verdana" w:eastAsia="Geomanist Light" w:hAnsi="Verdana" w:cs="Arial"/>
          <w:color w:val="000000" w:themeColor="text1"/>
          <w:sz w:val="20"/>
          <w:szCs w:val="20"/>
          <w:lang w:val="es-MX"/>
        </w:rPr>
        <w:t xml:space="preserve"> la especial consideración que merece el objeto a contratar. Otro ejemplo en este sentido se puede encontrar en el Decreto 544 de 2020 que estableció un régimen de contratación sometido al derecho privado, que no se rige por el EGCAP, para los contratos que “tengan por objeto la adquisición en el mercado internacional de los elementos que a continuación se indican”.</w:t>
      </w:r>
    </w:p>
    <w:p w14:paraId="54E9E2E1" w14:textId="77777777" w:rsidR="00A71FA6" w:rsidRPr="000F4F5B" w:rsidRDefault="00A71FA6" w:rsidP="00A71FA6">
      <w:pPr>
        <w:spacing w:after="0" w:line="240" w:lineRule="auto"/>
        <w:jc w:val="both"/>
        <w:rPr>
          <w:rFonts w:ascii="Verdana" w:eastAsia="Geomanist Light" w:hAnsi="Verdana" w:cs="Arial"/>
          <w:color w:val="000000" w:themeColor="text1"/>
          <w:sz w:val="20"/>
          <w:szCs w:val="20"/>
          <w:lang w:val="es-MX"/>
        </w:rPr>
      </w:pPr>
      <w:r w:rsidRPr="000F4F5B">
        <w:rPr>
          <w:rFonts w:ascii="Verdana" w:eastAsia="Geomanist Light" w:hAnsi="Verdana" w:cs="Arial"/>
          <w:color w:val="000000" w:themeColor="text1"/>
          <w:sz w:val="20"/>
          <w:szCs w:val="20"/>
          <w:lang w:val="es-MX"/>
        </w:rPr>
        <w:t xml:space="preserve"> </w:t>
      </w:r>
    </w:p>
    <w:p w14:paraId="2BB1BA7D" w14:textId="77777777" w:rsidR="00A71FA6" w:rsidRPr="000F4F5B" w:rsidRDefault="00A71FA6" w:rsidP="00A71FA6">
      <w:pPr>
        <w:spacing w:after="0" w:line="240" w:lineRule="auto"/>
        <w:jc w:val="both"/>
        <w:rPr>
          <w:rFonts w:ascii="Verdana" w:eastAsia="Geomanist Light" w:hAnsi="Verdana" w:cs="Arial"/>
          <w:color w:val="000000" w:themeColor="text1"/>
          <w:sz w:val="20"/>
          <w:szCs w:val="20"/>
          <w:lang w:val="es-MX"/>
        </w:rPr>
      </w:pPr>
      <w:r w:rsidRPr="000F4F5B">
        <w:rPr>
          <w:rFonts w:ascii="Verdana" w:eastAsia="Geomanist Light" w:hAnsi="Verdana" w:cs="Arial"/>
          <w:color w:val="000000" w:themeColor="text1"/>
          <w:sz w:val="20"/>
          <w:szCs w:val="20"/>
          <w:lang w:val="es-MX"/>
        </w:rPr>
        <w:t>Cuando se declare la situación de desastre o la situación de calamidad pública, las instituciones mencionadas antes son las únicas excluidas de la Ley 80 de 1993; las demás siguen cubiertas por el EGCAP, como es el caso de los ministerios, todas las entidades descentralizadas por servicios del orden nacional y territorial, las demás ramas del poder público, los órganos autónomos y, en general, casi todas las instituciones públicas del país.</w:t>
      </w:r>
    </w:p>
    <w:p w14:paraId="69FF8DD7" w14:textId="77777777" w:rsidR="00A71FA6" w:rsidRPr="000F4F5B" w:rsidRDefault="00A71FA6" w:rsidP="00A71FA6">
      <w:pPr>
        <w:spacing w:after="0" w:line="240" w:lineRule="auto"/>
        <w:jc w:val="both"/>
        <w:rPr>
          <w:rFonts w:ascii="Verdana" w:eastAsia="Geomanist Light" w:hAnsi="Verdana" w:cs="Arial"/>
          <w:color w:val="000000" w:themeColor="text1"/>
          <w:sz w:val="20"/>
          <w:szCs w:val="20"/>
          <w:lang w:val="es-MX"/>
        </w:rPr>
      </w:pPr>
    </w:p>
    <w:p w14:paraId="5C4C24B3" w14:textId="77777777" w:rsidR="00A71FA6" w:rsidRPr="000F4F5B" w:rsidRDefault="00A71FA6" w:rsidP="00A71FA6">
      <w:pPr>
        <w:spacing w:after="0" w:line="240" w:lineRule="auto"/>
        <w:jc w:val="both"/>
        <w:rPr>
          <w:rFonts w:ascii="Verdana" w:eastAsia="Geomanist Light" w:hAnsi="Verdana" w:cs="Arial"/>
          <w:color w:val="000000" w:themeColor="text1"/>
          <w:sz w:val="20"/>
          <w:szCs w:val="20"/>
          <w:lang w:val="es-MX"/>
        </w:rPr>
      </w:pPr>
      <w:r w:rsidRPr="000F4F5B">
        <w:rPr>
          <w:rFonts w:ascii="Verdana" w:eastAsia="Geomanist Light" w:hAnsi="Verdana" w:cs="Arial"/>
          <w:color w:val="000000" w:themeColor="text1"/>
          <w:sz w:val="20"/>
          <w:szCs w:val="20"/>
          <w:lang w:val="es-MX"/>
        </w:rPr>
        <w:t xml:space="preserve">Además, según el parágrafo del mismo artículo, solo los contratos celebrados por las entidades territoriales se someten al control fiscal, con independencia de que sean </w:t>
      </w:r>
      <w:r w:rsidRPr="000F4F5B">
        <w:rPr>
          <w:rFonts w:ascii="Verdana" w:eastAsia="Geomanist Light" w:hAnsi="Verdana" w:cs="Arial"/>
          <w:color w:val="000000" w:themeColor="text1"/>
          <w:sz w:val="20"/>
          <w:szCs w:val="20"/>
          <w:lang w:val="es-MX"/>
        </w:rPr>
        <w:lastRenderedPageBreak/>
        <w:t>producto de la contratación directa; razón por la cual también recae sobre aquellos que son resultado de procesos de selección competitivos.</w:t>
      </w:r>
    </w:p>
    <w:p w14:paraId="1FEB4102" w14:textId="77777777" w:rsidR="00485E57" w:rsidRPr="00485E57" w:rsidRDefault="00485E57" w:rsidP="00485E57">
      <w:pPr>
        <w:spacing w:after="0" w:line="240" w:lineRule="auto"/>
        <w:rPr>
          <w:rFonts w:ascii="Verdana" w:eastAsia="Geomanist Light" w:hAnsi="Verdana" w:cs="Arial"/>
          <w:color w:val="000000" w:themeColor="text1"/>
          <w:lang w:val="es-MX"/>
        </w:rPr>
      </w:pPr>
    </w:p>
    <w:p w14:paraId="739E1FA3" w14:textId="77777777" w:rsidR="00503C19" w:rsidRPr="00485E57" w:rsidRDefault="00503C19" w:rsidP="00503C19">
      <w:pPr>
        <w:spacing w:after="0" w:line="240" w:lineRule="auto"/>
        <w:rPr>
          <w:rFonts w:ascii="Verdana" w:eastAsia="Geomanist Light" w:hAnsi="Verdana" w:cs="Arial"/>
          <w:color w:val="000000" w:themeColor="text1"/>
          <w:lang w:val="es-MX"/>
        </w:rPr>
      </w:pPr>
    </w:p>
    <w:p w14:paraId="1430A93A" w14:textId="77777777" w:rsidR="00503C19" w:rsidRPr="00485E57" w:rsidRDefault="00503C19" w:rsidP="00503C19">
      <w:pPr>
        <w:spacing w:after="0" w:line="240" w:lineRule="auto"/>
        <w:rPr>
          <w:rFonts w:ascii="Verdana" w:eastAsia="Geomanist Light" w:hAnsi="Verdana" w:cs="Arial"/>
          <w:color w:val="000000" w:themeColor="text1"/>
          <w:lang w:val="es-MX"/>
        </w:rPr>
      </w:pPr>
    </w:p>
    <w:p w14:paraId="29D8D709" w14:textId="77777777" w:rsidR="00503C19" w:rsidRPr="00485E57" w:rsidRDefault="00503C19" w:rsidP="00503C19">
      <w:pPr>
        <w:spacing w:after="0" w:line="240" w:lineRule="auto"/>
        <w:rPr>
          <w:rFonts w:ascii="Verdana" w:eastAsia="Geomanist Light" w:hAnsi="Verdana" w:cs="Arial"/>
          <w:color w:val="000000" w:themeColor="text1"/>
          <w:lang w:val="es-MX"/>
        </w:rPr>
      </w:pPr>
    </w:p>
    <w:bookmarkEnd w:id="0"/>
    <w:p w14:paraId="7EBE3A40" w14:textId="77777777" w:rsidR="00503C19" w:rsidRPr="00485E57" w:rsidRDefault="00503C19" w:rsidP="00503C19">
      <w:pPr>
        <w:spacing w:after="0" w:line="240" w:lineRule="auto"/>
        <w:rPr>
          <w:rFonts w:ascii="Verdana" w:eastAsia="Geomanist Light" w:hAnsi="Verdana" w:cs="Arial"/>
          <w:color w:val="000000" w:themeColor="text1"/>
          <w:lang w:val="es-MX"/>
        </w:rPr>
      </w:pPr>
    </w:p>
    <w:p w14:paraId="62CD9C1D" w14:textId="77777777" w:rsidR="00503C19" w:rsidRPr="00485E57" w:rsidRDefault="00503C19" w:rsidP="00503C19">
      <w:pPr>
        <w:spacing w:after="0" w:line="240" w:lineRule="auto"/>
        <w:rPr>
          <w:rFonts w:ascii="Verdana" w:eastAsia="Geomanist Light" w:hAnsi="Verdana" w:cs="Arial"/>
          <w:color w:val="000000" w:themeColor="text1"/>
          <w:lang w:val="es-MX"/>
        </w:rPr>
      </w:pPr>
    </w:p>
    <w:p w14:paraId="04EAEFE9"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44027C49"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2E66D0AA"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395FE2EC"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2E91576B"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18D37BFD"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044863C4"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68281B49"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65ABAB7D"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05DED0CD" w14:textId="77777777" w:rsidR="00503C19" w:rsidRPr="00542ED3" w:rsidRDefault="00503C19" w:rsidP="00503C19">
      <w:pPr>
        <w:spacing w:after="0" w:line="240" w:lineRule="auto"/>
        <w:rPr>
          <w:rFonts w:ascii="Verdana" w:eastAsia="Geomanist Light" w:hAnsi="Verdana" w:cs="Arial"/>
          <w:color w:val="000000" w:themeColor="text1"/>
          <w:lang w:val="es-MX"/>
        </w:rPr>
      </w:pPr>
    </w:p>
    <w:p w14:paraId="4FFCFBA6" w14:textId="77777777" w:rsidR="00503C19" w:rsidRPr="00542ED3" w:rsidRDefault="00503C19" w:rsidP="00503C19">
      <w:pPr>
        <w:rPr>
          <w:rFonts w:ascii="Verdana" w:eastAsia="Geomanist Light" w:hAnsi="Verdana" w:cs="Arial"/>
          <w:color w:val="000000" w:themeColor="text1"/>
          <w:lang w:val="es-MX"/>
        </w:rPr>
      </w:pPr>
      <w:r>
        <w:rPr>
          <w:rFonts w:ascii="Verdana" w:eastAsia="Geomanist Light" w:hAnsi="Verdana" w:cs="Arial"/>
          <w:color w:val="000000" w:themeColor="text1"/>
          <w:lang w:val="es-MX"/>
        </w:rPr>
        <w:br w:type="page"/>
      </w:r>
    </w:p>
    <w:p w14:paraId="61B7AFE9" w14:textId="75CDAEBB" w:rsidR="007E4284" w:rsidRDefault="00E245AB" w:rsidP="00E245AB">
      <w:pPr>
        <w:spacing w:after="0"/>
        <w:rPr>
          <w:rFonts w:ascii="Verdana" w:hAnsi="Verdana"/>
        </w:rPr>
      </w:pPr>
      <w:bookmarkStart w:id="4" w:name="_Hlk181166130"/>
      <w:r w:rsidRPr="0044528D">
        <w:rPr>
          <w:rFonts w:ascii="Verdana" w:hAnsi="Verdana"/>
        </w:rPr>
        <w:lastRenderedPageBreak/>
        <w:t xml:space="preserve">Bogotá D.C., </w:t>
      </w:r>
      <w:r w:rsidR="002A32B7">
        <w:rPr>
          <w:rFonts w:ascii="Verdana" w:hAnsi="Verdana"/>
        </w:rPr>
        <w:t>08 de noviembre de 2024</w:t>
      </w:r>
    </w:p>
    <w:bookmarkEnd w:id="4"/>
    <w:p w14:paraId="79BAB92E" w14:textId="77777777" w:rsidR="007E4284" w:rsidRDefault="007E4284" w:rsidP="00E245AB">
      <w:pPr>
        <w:spacing w:after="0"/>
        <w:rPr>
          <w:rFonts w:ascii="Verdana" w:hAnsi="Verdana"/>
        </w:rPr>
      </w:pPr>
    </w:p>
    <w:p w14:paraId="59DC7E7A" w14:textId="2A135B6F" w:rsidR="007E4284" w:rsidRDefault="007E4284" w:rsidP="002A32B7">
      <w:pPr>
        <w:spacing w:after="0"/>
        <w:jc w:val="right"/>
        <w:rPr>
          <w:rFonts w:ascii="Verdana" w:hAnsi="Verdana"/>
        </w:rPr>
      </w:pPr>
      <w:bookmarkStart w:id="5" w:name="_Hlk180638295"/>
    </w:p>
    <w:p w14:paraId="6C9B9129" w14:textId="43A7707D" w:rsidR="002A32B7" w:rsidRDefault="000F4F5B" w:rsidP="00E245AB">
      <w:pPr>
        <w:spacing w:after="0"/>
        <w:rPr>
          <w:rFonts w:ascii="Verdana" w:hAnsi="Verdana"/>
        </w:rPr>
      </w:pPr>
      <w:r>
        <w:rPr>
          <w:rFonts w:ascii="Verdana" w:hAnsi="Verdana"/>
          <w:noProof/>
        </w:rPr>
        <w:drawing>
          <wp:anchor distT="0" distB="0" distL="114300" distR="114300" simplePos="0" relativeHeight="251658240" behindDoc="0" locked="0" layoutInCell="1" allowOverlap="1" wp14:anchorId="5F1CA376" wp14:editId="75F822F6">
            <wp:simplePos x="0" y="0"/>
            <wp:positionH relativeFrom="column">
              <wp:posOffset>3245154</wp:posOffset>
            </wp:positionH>
            <wp:positionV relativeFrom="paragraph">
              <wp:posOffset>172388</wp:posOffset>
            </wp:positionV>
            <wp:extent cx="2714625" cy="847725"/>
            <wp:effectExtent l="0" t="0" r="9525" b="9525"/>
            <wp:wrapSquare wrapText="bothSides"/>
            <wp:docPr id="18887305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14625" cy="847725"/>
                    </a:xfrm>
                    <a:prstGeom prst="rect">
                      <a:avLst/>
                    </a:prstGeom>
                    <a:noFill/>
                    <a:ln>
                      <a:noFill/>
                    </a:ln>
                  </pic:spPr>
                </pic:pic>
              </a:graphicData>
            </a:graphic>
          </wp:anchor>
        </w:drawing>
      </w:r>
    </w:p>
    <w:p w14:paraId="3579AEEF" w14:textId="77777777" w:rsidR="002A32B7" w:rsidRDefault="002A32B7" w:rsidP="00E245AB">
      <w:pPr>
        <w:spacing w:after="0"/>
        <w:rPr>
          <w:rFonts w:ascii="Verdana" w:hAnsi="Verdana"/>
        </w:rPr>
      </w:pPr>
    </w:p>
    <w:p w14:paraId="7AED0527" w14:textId="482FC90B" w:rsidR="007E4284" w:rsidRPr="00560511" w:rsidRDefault="007E4284" w:rsidP="007E4284">
      <w:pPr>
        <w:spacing w:after="0" w:line="240" w:lineRule="auto"/>
        <w:jc w:val="both"/>
        <w:rPr>
          <w:rFonts w:ascii="Verdana" w:eastAsia="Calibri" w:hAnsi="Verdana" w:cs="Arial"/>
          <w:lang w:eastAsia="es-ES"/>
        </w:rPr>
      </w:pPr>
      <w:bookmarkStart w:id="6" w:name="_Hlk181166167"/>
      <w:r w:rsidRPr="00560511">
        <w:rPr>
          <w:rFonts w:ascii="Verdana" w:eastAsia="Calibri" w:hAnsi="Verdana" w:cs="Arial"/>
          <w:lang w:eastAsia="es-ES"/>
        </w:rPr>
        <w:t>Señor</w:t>
      </w:r>
    </w:p>
    <w:p w14:paraId="0F233846" w14:textId="77777777" w:rsidR="00F03026" w:rsidRDefault="00F03026" w:rsidP="007E4284">
      <w:pPr>
        <w:spacing w:after="0" w:line="240" w:lineRule="auto"/>
        <w:rPr>
          <w:rFonts w:ascii="Verdana" w:eastAsia="Calibri" w:hAnsi="Verdana" w:cs="Arial"/>
          <w:b/>
          <w:bCs/>
          <w:lang w:eastAsia="es-ES_tradnl"/>
        </w:rPr>
      </w:pPr>
      <w:r w:rsidRPr="00F03026">
        <w:rPr>
          <w:rFonts w:ascii="Verdana" w:eastAsia="Calibri" w:hAnsi="Verdana" w:cs="Arial"/>
          <w:b/>
          <w:bCs/>
          <w:lang w:eastAsia="es-ES_tradnl"/>
        </w:rPr>
        <w:t>HERMAN AUGUSTO GUARUMO VARGAS</w:t>
      </w:r>
    </w:p>
    <w:p w14:paraId="14E74FC4" w14:textId="2AD381B1" w:rsidR="00303188" w:rsidRPr="00C36081" w:rsidRDefault="00C36081" w:rsidP="007E4284">
      <w:pPr>
        <w:spacing w:after="0" w:line="240" w:lineRule="auto"/>
        <w:rPr>
          <w:rFonts w:ascii="Verdana" w:hAnsi="Verdana"/>
        </w:rPr>
      </w:pPr>
      <w:r w:rsidRPr="00C36081">
        <w:rPr>
          <w:rFonts w:ascii="Verdana" w:hAnsi="Verdana"/>
        </w:rPr>
        <w:t>valeria.poveda1@gmail.com</w:t>
      </w:r>
    </w:p>
    <w:p w14:paraId="1458EAD2" w14:textId="35298530" w:rsidR="007E4284" w:rsidRPr="00B96799" w:rsidRDefault="007E4284" w:rsidP="007E4284">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323534CF" w14:textId="77777777" w:rsidR="007E4284" w:rsidRPr="00593A5F" w:rsidRDefault="007E4284" w:rsidP="007E4284">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E4284" w:rsidRPr="00593A5F" w14:paraId="7B89B37C" w14:textId="77777777" w:rsidTr="00847DDA">
        <w:trPr>
          <w:trHeight w:val="884"/>
        </w:trPr>
        <w:tc>
          <w:tcPr>
            <w:tcW w:w="2410" w:type="dxa"/>
          </w:tcPr>
          <w:p w14:paraId="3E37BDB8" w14:textId="77777777" w:rsidR="007E4284" w:rsidRPr="00E5644F" w:rsidRDefault="007E4284">
            <w:pPr>
              <w:jc w:val="both"/>
              <w:rPr>
                <w:rFonts w:ascii="Verdana" w:eastAsia="Calibri" w:hAnsi="Verdana" w:cs="Arial"/>
                <w:b/>
                <w:bCs/>
                <w:color w:val="7030A0"/>
                <w:lang w:val="es-ES_tradnl" w:eastAsia="es-ES_tradnl"/>
              </w:rPr>
            </w:pPr>
          </w:p>
        </w:tc>
        <w:tc>
          <w:tcPr>
            <w:tcW w:w="6804" w:type="dxa"/>
            <w:gridSpan w:val="2"/>
          </w:tcPr>
          <w:p w14:paraId="7B76117C" w14:textId="099349F9" w:rsidR="007E4284" w:rsidRPr="00E5644F" w:rsidRDefault="007E4284">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Concepto C-</w:t>
            </w:r>
            <w:r w:rsidR="00D57942">
              <w:rPr>
                <w:rFonts w:ascii="Verdana" w:eastAsia="Calibri" w:hAnsi="Verdana" w:cs="Arial"/>
                <w:b/>
                <w:bCs/>
                <w:lang w:val="es-ES" w:eastAsia="es-ES"/>
              </w:rPr>
              <w:t>6</w:t>
            </w:r>
            <w:r w:rsidR="00B1120D">
              <w:rPr>
                <w:rFonts w:ascii="Verdana" w:eastAsia="Calibri" w:hAnsi="Verdana" w:cs="Arial"/>
                <w:b/>
                <w:bCs/>
                <w:lang w:val="es-ES" w:eastAsia="es-ES"/>
              </w:rPr>
              <w:t>60</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2024</w:t>
            </w:r>
          </w:p>
        </w:tc>
      </w:tr>
      <w:tr w:rsidR="007E4284" w:rsidRPr="00593A5F" w14:paraId="2C0FD36D" w14:textId="77777777" w:rsidTr="00847DDA">
        <w:trPr>
          <w:trHeight w:val="884"/>
        </w:trPr>
        <w:tc>
          <w:tcPr>
            <w:tcW w:w="2410" w:type="dxa"/>
          </w:tcPr>
          <w:p w14:paraId="6CB79C8C" w14:textId="77777777" w:rsidR="007E4284" w:rsidRPr="00593A5F" w:rsidRDefault="007E42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57B6A811" w14:textId="5AD805A3" w:rsidR="0057363F" w:rsidRDefault="00485E57">
            <w:pPr>
              <w:spacing w:line="276" w:lineRule="auto"/>
              <w:jc w:val="both"/>
              <w:rPr>
                <w:rFonts w:ascii="Verdana" w:hAnsi="Verdana" w:cs="Arial"/>
                <w:lang w:val="es-ES" w:eastAsia="es-ES"/>
              </w:rPr>
            </w:pPr>
            <w:r w:rsidRPr="00F649A2">
              <w:rPr>
                <w:rFonts w:ascii="Verdana" w:eastAsia="Yu Gothic UI Semibold" w:hAnsi="Verdana" w:cs="Arial"/>
                <w:color w:val="000000" w:themeColor="text1"/>
                <w:lang w:val="es-MX"/>
              </w:rPr>
              <w:t xml:space="preserve">CONTRATOS DE PRESTACIÓN DE SERVICIOS – Generalidades – Requisitos y límites para su celebración / </w:t>
            </w:r>
            <w:r w:rsidRPr="00F649A2">
              <w:rPr>
                <w:rFonts w:ascii="Verdana" w:eastAsia="Times New Roman" w:hAnsi="Verdana" w:cs="Arial"/>
                <w:lang w:val="es-ES_tradnl" w:eastAsia="es-ES_tradnl"/>
              </w:rPr>
              <w:t xml:space="preserve">CONTRATOS DE PRESTACIÓN DE SERVICIOS PROFESIONALES Y DE APOYO A LA GESTIÓN </w:t>
            </w:r>
            <w:r w:rsidRPr="00F649A2">
              <w:rPr>
                <w:rFonts w:ascii="Verdana" w:eastAsia="Yu Gothic UI Semibold" w:hAnsi="Verdana" w:cs="Arial"/>
                <w:color w:val="000000" w:themeColor="text1"/>
                <w:lang w:val="es-MX"/>
              </w:rPr>
              <w:t xml:space="preserve">– </w:t>
            </w:r>
            <w:r w:rsidRPr="00F649A2">
              <w:rPr>
                <w:rFonts w:ascii="Verdana" w:eastAsia="Times New Roman" w:hAnsi="Verdana" w:cs="Arial"/>
                <w:color w:val="000000"/>
                <w:lang w:val="es-ES_tradnl" w:eastAsia="es-ES_tradnl"/>
              </w:rPr>
              <w:t xml:space="preserve">Posibilidad de celebrar varios contratos con la misma entidad estatal de forma simultánea / </w:t>
            </w:r>
            <w:r w:rsidRPr="00F649A2">
              <w:rPr>
                <w:rFonts w:ascii="Verdana" w:hAnsi="Verdana" w:cs="Arial"/>
                <w:lang w:val="es-ES" w:eastAsia="es-ES"/>
              </w:rPr>
              <w:t>CONTRATOS DE PRESTACIÓN DE SERVICIOS – Simultáneos</w:t>
            </w:r>
            <w:r w:rsidR="00A71FA6">
              <w:rPr>
                <w:rFonts w:ascii="Verdana" w:hAnsi="Verdana" w:cs="Arial"/>
                <w:lang w:val="es-ES" w:eastAsia="es-ES"/>
              </w:rPr>
              <w:t xml:space="preserve"> /</w:t>
            </w:r>
            <w:r w:rsidR="00A71FA6" w:rsidRPr="000D5EF1">
              <w:rPr>
                <w:rFonts w:ascii="Verdana" w:eastAsia="Calibri" w:hAnsi="Verdana" w:cs="Arial"/>
                <w:bCs/>
                <w:color w:val="000000" w:themeColor="text1"/>
                <w:lang w:val="es-MX" w:eastAsia="es-ES"/>
              </w:rPr>
              <w:t xml:space="preserve"> ENTIDADES DE R</w:t>
            </w:r>
            <w:r w:rsidR="00A71FA6">
              <w:rPr>
                <w:rFonts w:ascii="Verdana" w:eastAsia="Calibri" w:hAnsi="Verdana" w:cs="Arial"/>
                <w:bCs/>
                <w:color w:val="000000" w:themeColor="text1"/>
                <w:lang w:val="es-MX" w:eastAsia="es-ES"/>
              </w:rPr>
              <w:t>É</w:t>
            </w:r>
            <w:r w:rsidR="00A71FA6" w:rsidRPr="000D5EF1">
              <w:rPr>
                <w:rFonts w:ascii="Verdana" w:eastAsia="Calibri" w:hAnsi="Verdana" w:cs="Arial"/>
                <w:bCs/>
                <w:color w:val="000000" w:themeColor="text1"/>
                <w:lang w:val="es-MX" w:eastAsia="es-ES"/>
              </w:rPr>
              <w:t>GIMEN ESPECIAL</w:t>
            </w:r>
            <w:r w:rsidR="00A71FA6">
              <w:rPr>
                <w:rFonts w:ascii="Verdana" w:eastAsia="Calibri" w:hAnsi="Verdana" w:cs="Arial"/>
                <w:bCs/>
                <w:color w:val="000000" w:themeColor="text1"/>
                <w:lang w:val="es-MX" w:eastAsia="es-ES"/>
              </w:rPr>
              <w:t xml:space="preserve"> </w:t>
            </w:r>
            <w:r w:rsidR="00A71FA6" w:rsidRPr="000D5EF1">
              <w:rPr>
                <w:rFonts w:ascii="Verdana" w:eastAsia="Calibri" w:hAnsi="Verdana" w:cs="Arial"/>
                <w:bCs/>
                <w:color w:val="000000" w:themeColor="text1"/>
                <w:lang w:val="es-MX" w:eastAsia="es-ES"/>
              </w:rPr>
              <w:t>– Manual de contratación – Régimen de contratación – Autonomía contractual</w:t>
            </w:r>
          </w:p>
          <w:p w14:paraId="4D3602A2" w14:textId="0EAA4570" w:rsidR="00485E57" w:rsidRPr="00E6165F" w:rsidRDefault="00485E57">
            <w:pPr>
              <w:spacing w:line="276" w:lineRule="auto"/>
              <w:jc w:val="both"/>
              <w:rPr>
                <w:rFonts w:ascii="Verdana" w:eastAsia="Calibri" w:hAnsi="Verdana" w:cs="Arial"/>
                <w:lang w:val="es-ES" w:eastAsia="es-ES"/>
              </w:rPr>
            </w:pPr>
          </w:p>
        </w:tc>
      </w:tr>
      <w:tr w:rsidR="007E4284" w:rsidRPr="00593A5F" w14:paraId="614F6563" w14:textId="77777777" w:rsidTr="00847DDA">
        <w:tc>
          <w:tcPr>
            <w:tcW w:w="2410" w:type="dxa"/>
          </w:tcPr>
          <w:p w14:paraId="762EB684" w14:textId="77777777" w:rsidR="007E4284" w:rsidRPr="006730E9" w:rsidRDefault="007E42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91CCF73" w14:textId="475A5018" w:rsidR="007E4284" w:rsidRPr="006730E9" w:rsidRDefault="007E42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91453F" w:rsidRPr="0091453F">
              <w:rPr>
                <w:rFonts w:ascii="Verdana" w:eastAsia="Calibri" w:hAnsi="Verdana" w:cs="Arial"/>
                <w:lang w:val="es-ES_tradnl" w:eastAsia="es-ES_tradnl"/>
              </w:rPr>
              <w:t>P20240925009805</w:t>
            </w:r>
          </w:p>
        </w:tc>
      </w:tr>
      <w:tr w:rsidR="00847DDA" w:rsidRPr="00DB23D2" w14:paraId="04974AB6" w14:textId="77777777" w:rsidTr="00847DDA">
        <w:trPr>
          <w:gridAfter w:val="1"/>
          <w:wAfter w:w="336" w:type="dxa"/>
          <w:trHeight w:val="233"/>
        </w:trPr>
        <w:tc>
          <w:tcPr>
            <w:tcW w:w="8878" w:type="dxa"/>
            <w:gridSpan w:val="2"/>
          </w:tcPr>
          <w:p w14:paraId="0EE1B988" w14:textId="1E9A67DE" w:rsidR="00847DDA" w:rsidRPr="00DB23D2" w:rsidRDefault="00847DDA" w:rsidP="00F945CE">
            <w:pPr>
              <w:spacing w:after="120" w:line="276" w:lineRule="auto"/>
              <w:jc w:val="both"/>
              <w:rPr>
                <w:rFonts w:ascii="Verdana" w:eastAsia="Calibri" w:hAnsi="Verdana" w:cs="Arial"/>
                <w:lang w:val="es-ES_tradnl" w:eastAsia="es-ES"/>
              </w:rPr>
            </w:pPr>
          </w:p>
        </w:tc>
      </w:tr>
    </w:tbl>
    <w:p w14:paraId="506DCE70" w14:textId="0A74BD4B" w:rsidR="007E4284" w:rsidRPr="006730E9" w:rsidRDefault="007E4284" w:rsidP="007E428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485E57">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 xml:space="preserve">señor </w:t>
      </w:r>
      <w:r w:rsidR="00485E57">
        <w:rPr>
          <w:rFonts w:ascii="Verdana" w:eastAsia="Calibri" w:hAnsi="Verdana" w:cs="Arial"/>
          <w:lang w:val="es-ES" w:eastAsia="es-ES"/>
        </w:rPr>
        <w:t>Guarumo</w:t>
      </w:r>
      <w:r>
        <w:rPr>
          <w:rFonts w:ascii="Verdana" w:eastAsia="Calibri" w:hAnsi="Verdana" w:cs="Arial"/>
          <w:lang w:val="es-ES" w:eastAsia="es-ES"/>
        </w:rPr>
        <w:t>;</w:t>
      </w:r>
      <w:r w:rsidRPr="006730E9">
        <w:rPr>
          <w:rFonts w:ascii="Verdana" w:eastAsia="Calibri" w:hAnsi="Verdana" w:cs="Arial"/>
          <w:lang w:val="es-ES" w:eastAsia="es-ES"/>
        </w:rPr>
        <w:t xml:space="preserve"> </w:t>
      </w:r>
    </w:p>
    <w:p w14:paraId="1F9587AA" w14:textId="77777777" w:rsidR="007E4284" w:rsidRDefault="007E4284" w:rsidP="007E428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824A97" w14:textId="6A3E2FFF" w:rsidR="007E4284" w:rsidRPr="006730E9" w:rsidRDefault="007E4284" w:rsidP="007E428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D57942">
        <w:rPr>
          <w:rFonts w:ascii="Verdana" w:eastAsia="Calibri" w:hAnsi="Verdana" w:cs="Arial"/>
          <w:lang w:val="es-ES" w:eastAsia="es-ES"/>
        </w:rPr>
        <w:t xml:space="preserve">y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sidR="00263A88">
        <w:rPr>
          <w:rFonts w:ascii="Verdana" w:eastAsia="Calibri" w:hAnsi="Verdana" w:cs="Arial"/>
          <w:lang w:val="es-ES" w:eastAsia="es-ES"/>
        </w:rPr>
        <w:t>1</w:t>
      </w:r>
      <w:r w:rsidR="00C36081">
        <w:rPr>
          <w:rFonts w:ascii="Verdana" w:eastAsia="Calibri" w:hAnsi="Verdana" w:cs="Arial"/>
          <w:lang w:val="es-ES" w:eastAsia="es-ES"/>
        </w:rPr>
        <w:t>7</w:t>
      </w:r>
      <w:r w:rsidRPr="00E5644F">
        <w:rPr>
          <w:rFonts w:ascii="Verdana" w:eastAsia="Calibri" w:hAnsi="Verdana" w:cs="Arial"/>
          <w:lang w:val="es-ES" w:eastAsia="es-ES"/>
        </w:rPr>
        <w:t xml:space="preserve"> de </w:t>
      </w:r>
      <w:r w:rsidR="00263A88">
        <w:rPr>
          <w:rFonts w:ascii="Verdana" w:eastAsia="Calibri" w:hAnsi="Verdana" w:cs="Arial"/>
          <w:lang w:val="es-ES" w:eastAsia="es-ES"/>
        </w:rPr>
        <w:t>septiembre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0F7467CA" w14:textId="77777777" w:rsidR="007E4284" w:rsidRPr="00326382" w:rsidRDefault="007E4284" w:rsidP="007E4284">
      <w:pPr>
        <w:spacing w:after="0" w:line="240" w:lineRule="auto"/>
        <w:ind w:left="709" w:right="709"/>
        <w:jc w:val="both"/>
        <w:rPr>
          <w:rFonts w:ascii="Verdana" w:hAnsi="Verdana" w:cs="Arial"/>
          <w:sz w:val="20"/>
          <w:szCs w:val="20"/>
          <w:shd w:val="clear" w:color="auto" w:fill="FFFFFF"/>
        </w:rPr>
      </w:pPr>
      <w:bookmarkStart w:id="7" w:name="_Hlk95313578"/>
    </w:p>
    <w:bookmarkEnd w:id="7"/>
    <w:p w14:paraId="0823F0C1" w14:textId="77777777" w:rsidR="00F365E7" w:rsidRDefault="007E4284" w:rsidP="00F365E7">
      <w:pPr>
        <w:pStyle w:val="Prrafodelista"/>
        <w:tabs>
          <w:tab w:val="left" w:pos="142"/>
          <w:tab w:val="left" w:pos="284"/>
        </w:tabs>
        <w:ind w:left="425" w:right="1185"/>
        <w:jc w:val="both"/>
        <w:rPr>
          <w:rFonts w:ascii="Verdana" w:eastAsia="Century Gothic" w:hAnsi="Verdana" w:cs="Century Gothic"/>
          <w:i/>
          <w:iCs/>
          <w:lang w:val="es-CO"/>
        </w:rPr>
      </w:pPr>
      <w:r w:rsidRPr="00263A88">
        <w:rPr>
          <w:rFonts w:ascii="Verdana" w:eastAsia="Century Gothic" w:hAnsi="Verdana" w:cs="Century Gothic"/>
          <w:i/>
          <w:iCs/>
          <w:lang w:val="es-CO"/>
        </w:rPr>
        <w:t>(…)</w:t>
      </w:r>
      <w:r w:rsidR="00D15311">
        <w:rPr>
          <w:rFonts w:ascii="Verdana" w:eastAsia="Century Gothic" w:hAnsi="Verdana" w:cs="Century Gothic"/>
          <w:i/>
          <w:iCs/>
          <w:lang w:val="es-CO"/>
        </w:rPr>
        <w:t xml:space="preserve"> </w:t>
      </w:r>
      <w:r w:rsidR="00F365E7">
        <w:rPr>
          <w:rFonts w:ascii="Verdana" w:eastAsia="Century Gothic" w:hAnsi="Verdana" w:cs="Century Gothic"/>
          <w:i/>
          <w:iCs/>
          <w:lang w:val="es-CO"/>
        </w:rPr>
        <w:t xml:space="preserve"> </w:t>
      </w:r>
      <w:r w:rsidR="00F365E7" w:rsidRPr="00F365E7">
        <w:rPr>
          <w:rFonts w:ascii="Verdana" w:eastAsia="Century Gothic" w:hAnsi="Verdana" w:cs="Century Gothic"/>
          <w:i/>
          <w:iCs/>
          <w:lang w:val="es-CO"/>
        </w:rPr>
        <w:t xml:space="preserve"> se emita concepto jurídico sobre cada una de las siguientes consultas: </w:t>
      </w:r>
    </w:p>
    <w:p w14:paraId="257CCBEC" w14:textId="77777777" w:rsidR="00F365E7" w:rsidRDefault="00F365E7" w:rsidP="00F365E7">
      <w:pPr>
        <w:pStyle w:val="Prrafodelista"/>
        <w:tabs>
          <w:tab w:val="left" w:pos="142"/>
          <w:tab w:val="left" w:pos="284"/>
        </w:tabs>
        <w:ind w:left="425" w:right="1185"/>
        <w:jc w:val="both"/>
        <w:rPr>
          <w:rFonts w:ascii="Verdana" w:eastAsia="Century Gothic" w:hAnsi="Verdana" w:cs="Century Gothic"/>
          <w:i/>
          <w:iCs/>
          <w:lang w:val="es-CO"/>
        </w:rPr>
      </w:pPr>
    </w:p>
    <w:p w14:paraId="1798B413" w14:textId="280D49B3" w:rsidR="00F365E7" w:rsidRPr="00F365E7" w:rsidRDefault="00F365E7" w:rsidP="00F365E7">
      <w:pPr>
        <w:pStyle w:val="Prrafodelista"/>
        <w:tabs>
          <w:tab w:val="left" w:pos="142"/>
          <w:tab w:val="left" w:pos="284"/>
        </w:tabs>
        <w:ind w:left="425" w:right="1185"/>
        <w:jc w:val="both"/>
        <w:rPr>
          <w:rFonts w:ascii="Verdana" w:eastAsia="Century Gothic" w:hAnsi="Verdana" w:cs="Century Gothic"/>
          <w:i/>
          <w:iCs/>
          <w:lang w:val="es-CO"/>
        </w:rPr>
      </w:pPr>
      <w:proofErr w:type="gramStart"/>
      <w:r>
        <w:rPr>
          <w:rFonts w:ascii="Verdana" w:eastAsia="Century Gothic" w:hAnsi="Verdana" w:cs="Century Gothic"/>
          <w:i/>
          <w:iCs/>
          <w:lang w:val="es-CO"/>
        </w:rPr>
        <w:t>1.</w:t>
      </w:r>
      <w:r w:rsidRPr="00F365E7">
        <w:rPr>
          <w:rFonts w:ascii="Verdana" w:eastAsia="Century Gothic" w:hAnsi="Verdana" w:cs="Century Gothic"/>
          <w:i/>
          <w:iCs/>
          <w:lang w:val="es-CO"/>
        </w:rPr>
        <w:t>¿</w:t>
      </w:r>
      <w:proofErr w:type="gramEnd"/>
      <w:r w:rsidRPr="00F365E7">
        <w:rPr>
          <w:rFonts w:ascii="Verdana" w:eastAsia="Century Gothic" w:hAnsi="Verdana" w:cs="Century Gothic"/>
          <w:i/>
          <w:iCs/>
          <w:lang w:val="es-CO"/>
        </w:rPr>
        <w:t xml:space="preserve">Existe alguna prohibición legal para que una persona natural o jurídica tenga simultáneamente dos o más contratos (con objetos distintos) con una misma entidad pública? De ser así, por favor indicar la norma que lo prohíbe. </w:t>
      </w:r>
    </w:p>
    <w:p w14:paraId="5EFF5CA0" w14:textId="77777777" w:rsidR="00F365E7" w:rsidRDefault="00F365E7" w:rsidP="00F365E7">
      <w:pPr>
        <w:tabs>
          <w:tab w:val="left" w:pos="142"/>
          <w:tab w:val="left" w:pos="284"/>
        </w:tabs>
        <w:ind w:left="426" w:right="1185"/>
        <w:jc w:val="both"/>
        <w:rPr>
          <w:rFonts w:ascii="Verdana" w:eastAsia="Century Gothic" w:hAnsi="Verdana" w:cs="Century Gothic"/>
          <w:i/>
          <w:iCs/>
        </w:rPr>
      </w:pPr>
      <w:proofErr w:type="gramStart"/>
      <w:r>
        <w:rPr>
          <w:rFonts w:ascii="Verdana" w:eastAsia="Century Gothic" w:hAnsi="Verdana" w:cs="Century Gothic"/>
          <w:i/>
          <w:iCs/>
        </w:rPr>
        <w:lastRenderedPageBreak/>
        <w:t>2.</w:t>
      </w:r>
      <w:r w:rsidRPr="00F365E7">
        <w:rPr>
          <w:rFonts w:ascii="Verdana" w:eastAsia="Century Gothic" w:hAnsi="Verdana" w:cs="Century Gothic"/>
          <w:i/>
          <w:iCs/>
        </w:rPr>
        <w:t>¿</w:t>
      </w:r>
      <w:proofErr w:type="gramEnd"/>
      <w:r w:rsidRPr="00F365E7">
        <w:rPr>
          <w:rFonts w:ascii="Verdana" w:eastAsia="Century Gothic" w:hAnsi="Verdana" w:cs="Century Gothic"/>
          <w:i/>
          <w:iCs/>
        </w:rPr>
        <w:t xml:space="preserve">Existe alguna violación al ordenamiento jurídico en el caso hipotético en el que, en una misma entidad, de manera simultánea, una persona jurídica y uno de sus socios o el representante legal hayan suscrito contratos con objetos distintos? De ser así, por favor indicar la norma que lo prohíbe. </w:t>
      </w:r>
    </w:p>
    <w:p w14:paraId="4D5DD7E8" w14:textId="77777777" w:rsidR="00971A5E" w:rsidRDefault="00F365E7" w:rsidP="00971A5E">
      <w:pPr>
        <w:tabs>
          <w:tab w:val="left" w:pos="142"/>
          <w:tab w:val="left" w:pos="284"/>
        </w:tabs>
        <w:ind w:left="426" w:right="1185"/>
        <w:jc w:val="both"/>
        <w:rPr>
          <w:rFonts w:ascii="Verdana" w:eastAsia="Century Gothic" w:hAnsi="Verdana" w:cs="Century Gothic"/>
          <w:i/>
          <w:iCs/>
        </w:rPr>
      </w:pPr>
      <w:r>
        <w:rPr>
          <w:rFonts w:ascii="Verdana" w:eastAsia="Century Gothic" w:hAnsi="Verdana" w:cs="Century Gothic"/>
          <w:i/>
          <w:iCs/>
        </w:rPr>
        <w:t xml:space="preserve">3. </w:t>
      </w:r>
      <w:r w:rsidRPr="00F365E7">
        <w:rPr>
          <w:rFonts w:ascii="Verdana" w:eastAsia="Century Gothic" w:hAnsi="Verdana" w:cs="Century Gothic"/>
          <w:i/>
          <w:iCs/>
        </w:rPr>
        <w:t xml:space="preserve">¿Existe alguna distinción si los casos hipotéticos de las preguntas 1 y 2 ocurren en entidades de régimen especial o en universidades públicas? De ser así, por favor indicar las normas aplicables. </w:t>
      </w:r>
    </w:p>
    <w:p w14:paraId="7FBE5731" w14:textId="3F9EE256" w:rsidR="007E4284" w:rsidRPr="00F365E7" w:rsidRDefault="00F365E7" w:rsidP="00971A5E">
      <w:pPr>
        <w:tabs>
          <w:tab w:val="left" w:pos="142"/>
          <w:tab w:val="left" w:pos="284"/>
        </w:tabs>
        <w:ind w:left="426" w:right="1185"/>
        <w:jc w:val="both"/>
        <w:rPr>
          <w:rFonts w:ascii="Verdana" w:eastAsia="Century Gothic" w:hAnsi="Verdana" w:cs="Century Gothic"/>
          <w:i/>
          <w:iCs/>
        </w:rPr>
      </w:pPr>
      <w:r w:rsidRPr="00F365E7">
        <w:rPr>
          <w:rFonts w:ascii="Verdana" w:eastAsia="Century Gothic" w:hAnsi="Verdana" w:cs="Century Gothic"/>
          <w:i/>
          <w:iCs/>
        </w:rPr>
        <w:t xml:space="preserve"> </w:t>
      </w:r>
      <w:r w:rsidR="00D15311" w:rsidRPr="00F365E7">
        <w:rPr>
          <w:rFonts w:ascii="Verdana" w:eastAsia="Century Gothic" w:hAnsi="Verdana" w:cs="Century Gothic"/>
          <w:i/>
          <w:iCs/>
        </w:rPr>
        <w:t>(…)</w:t>
      </w:r>
    </w:p>
    <w:p w14:paraId="6AAFAC65" w14:textId="77777777" w:rsidR="00D209FA" w:rsidRDefault="00D209FA" w:rsidP="00D1531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2A463E1B" w14:textId="1B8C6D33" w:rsidR="007E4284" w:rsidRPr="00593A5F" w:rsidRDefault="007E4284" w:rsidP="007E42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3C967C0" w14:textId="77777777" w:rsidR="007E4284" w:rsidRPr="00593A5F" w:rsidRDefault="007E4284" w:rsidP="007E4284">
      <w:pPr>
        <w:tabs>
          <w:tab w:val="left" w:pos="426"/>
        </w:tabs>
        <w:spacing w:after="0" w:line="276" w:lineRule="auto"/>
        <w:jc w:val="both"/>
        <w:rPr>
          <w:rFonts w:ascii="Verdana" w:eastAsia="Century Gothic" w:hAnsi="Verdana" w:cs="Century Gothic"/>
          <w:lang w:val="es-ES"/>
        </w:rPr>
      </w:pPr>
    </w:p>
    <w:p w14:paraId="660759A1" w14:textId="0224FD2C" w:rsidR="00727DDD" w:rsidRPr="00727DDD" w:rsidRDefault="00ED23CC" w:rsidP="00ED23CC">
      <w:pPr>
        <w:pStyle w:val="Prrafodelista"/>
        <w:ind w:left="0" w:right="49"/>
        <w:jc w:val="both"/>
        <w:rPr>
          <w:rFonts w:ascii="Verdana" w:eastAsia="Century Gothic" w:hAnsi="Verdana" w:cs="Century Gothic"/>
          <w:i/>
          <w:iCs/>
        </w:rPr>
      </w:pPr>
      <w:r w:rsidRPr="005A7AF3">
        <w:rPr>
          <w:rFonts w:ascii="Verdana" w:eastAsia="Century Gothic" w:hAnsi="Verdana" w:cs="Century Gothic"/>
          <w:i/>
          <w:iCs/>
        </w:rPr>
        <w:t>De acuerdo con el contenido de su solicitud, esta Agencia resolverá</w:t>
      </w:r>
      <w:r w:rsidR="00F365E7">
        <w:rPr>
          <w:rFonts w:ascii="Verdana" w:eastAsia="Century Gothic" w:hAnsi="Verdana" w:cs="Century Gothic"/>
          <w:i/>
          <w:iCs/>
        </w:rPr>
        <w:t xml:space="preserve"> los</w:t>
      </w:r>
      <w:r w:rsidR="00C85952">
        <w:rPr>
          <w:rFonts w:ascii="Verdana" w:eastAsia="Century Gothic" w:hAnsi="Verdana" w:cs="Century Gothic"/>
          <w:i/>
          <w:iCs/>
        </w:rPr>
        <w:t xml:space="preserve"> </w:t>
      </w:r>
      <w:r w:rsidRPr="005A7AF3">
        <w:rPr>
          <w:rFonts w:ascii="Verdana" w:eastAsia="Century Gothic" w:hAnsi="Verdana" w:cs="Century Gothic"/>
          <w:i/>
          <w:iCs/>
        </w:rPr>
        <w:t>siguiente</w:t>
      </w:r>
      <w:r w:rsidR="00F365E7">
        <w:rPr>
          <w:rFonts w:ascii="Verdana" w:eastAsia="Century Gothic" w:hAnsi="Verdana" w:cs="Century Gothic"/>
          <w:i/>
          <w:iCs/>
        </w:rPr>
        <w:t>s</w:t>
      </w:r>
      <w:r w:rsidRPr="005A7AF3">
        <w:rPr>
          <w:rFonts w:ascii="Verdana" w:eastAsia="Century Gothic" w:hAnsi="Verdana" w:cs="Century Gothic"/>
          <w:i/>
          <w:iCs/>
        </w:rPr>
        <w:t xml:space="preserve"> problema</w:t>
      </w:r>
      <w:r w:rsidR="00F365E7">
        <w:rPr>
          <w:rFonts w:ascii="Verdana" w:eastAsia="Century Gothic" w:hAnsi="Verdana" w:cs="Century Gothic"/>
          <w:i/>
          <w:iCs/>
        </w:rPr>
        <w:t>s</w:t>
      </w:r>
      <w:r w:rsidRPr="005A7AF3">
        <w:rPr>
          <w:rFonts w:ascii="Verdana" w:eastAsia="Century Gothic" w:hAnsi="Verdana" w:cs="Century Gothic"/>
          <w:i/>
          <w:iCs/>
        </w:rPr>
        <w:t xml:space="preserve"> jurídico</w:t>
      </w:r>
      <w:r w:rsidR="00F365E7">
        <w:rPr>
          <w:rFonts w:ascii="Verdana" w:eastAsia="Century Gothic" w:hAnsi="Verdana" w:cs="Century Gothic"/>
          <w:i/>
          <w:iCs/>
        </w:rPr>
        <w:t>s</w:t>
      </w:r>
      <w:r w:rsidRPr="005A7AF3">
        <w:rPr>
          <w:rFonts w:ascii="Verdana" w:eastAsia="Century Gothic" w:hAnsi="Verdana" w:cs="Century Gothic"/>
          <w:i/>
          <w:iCs/>
        </w:rPr>
        <w:t>:</w:t>
      </w:r>
      <w:r w:rsidR="008A3D98">
        <w:rPr>
          <w:rFonts w:ascii="Verdana" w:eastAsia="Century Gothic" w:hAnsi="Verdana" w:cs="Century Gothic"/>
          <w:i/>
          <w:iCs/>
        </w:rPr>
        <w:t xml:space="preserve"> </w:t>
      </w:r>
      <w:r w:rsidR="00DA020C" w:rsidRPr="00F365E7">
        <w:rPr>
          <w:rFonts w:ascii="Verdana" w:eastAsia="Century Gothic" w:hAnsi="Verdana" w:cs="Century Gothic"/>
          <w:i/>
          <w:iCs/>
        </w:rPr>
        <w:t>¿</w:t>
      </w:r>
      <w:r w:rsidR="00F365E7" w:rsidRPr="00F365E7">
        <w:rPr>
          <w:rFonts w:ascii="Verdana" w:eastAsia="Century Gothic" w:hAnsi="Verdana" w:cs="Century Gothic"/>
          <w:i/>
          <w:iCs/>
        </w:rPr>
        <w:t>Las personas naturales o jurídicas pueden celebrar simultáneamente varios contratos de prestación de servicios con la misma entidad pública</w:t>
      </w:r>
      <w:r w:rsidR="00DD23CA" w:rsidRPr="00F365E7">
        <w:rPr>
          <w:rFonts w:ascii="Verdana" w:eastAsia="Century Gothic" w:hAnsi="Verdana" w:cs="Century Gothic"/>
          <w:i/>
          <w:iCs/>
        </w:rPr>
        <w:t>?</w:t>
      </w:r>
      <w:r w:rsidR="00F365E7">
        <w:rPr>
          <w:rFonts w:ascii="Verdana" w:eastAsia="Century Gothic" w:hAnsi="Verdana" w:cs="Century Gothic"/>
          <w:i/>
          <w:iCs/>
        </w:rPr>
        <w:t xml:space="preserve"> ¿Cómo aplica esta misma situación para el caso de contratos suscritos con </w:t>
      </w:r>
      <w:r w:rsidR="00F365E7" w:rsidRPr="00F365E7">
        <w:rPr>
          <w:rFonts w:ascii="Verdana" w:eastAsia="Century Gothic" w:hAnsi="Verdana" w:cs="Century Gothic"/>
          <w:i/>
          <w:iCs/>
        </w:rPr>
        <w:t>en entidades de régimen especial o en universidades públicas?</w:t>
      </w:r>
    </w:p>
    <w:p w14:paraId="45F0EEA0" w14:textId="77777777" w:rsidR="007E4284" w:rsidRPr="001B53B7" w:rsidRDefault="007E4284" w:rsidP="007E4284">
      <w:pPr>
        <w:pStyle w:val="Prrafodelista"/>
        <w:spacing w:after="0" w:line="276" w:lineRule="auto"/>
        <w:ind w:left="426" w:right="1041"/>
        <w:jc w:val="both"/>
        <w:rPr>
          <w:rFonts w:ascii="Verdana" w:eastAsia="Calibri" w:hAnsi="Verdana" w:cs="Arial"/>
          <w:color w:val="7030A0"/>
        </w:rPr>
      </w:pPr>
    </w:p>
    <w:p w14:paraId="46FF434C" w14:textId="77777777" w:rsidR="007E4284" w:rsidRPr="00593A5F" w:rsidRDefault="007E4284" w:rsidP="007E42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9C585E9" w14:textId="77777777" w:rsidR="007E4284" w:rsidRPr="00593A5F" w:rsidRDefault="007E4284" w:rsidP="007E428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E4284" w:rsidRPr="00593A5F" w14:paraId="17A28E7E" w14:textId="77777777">
        <w:tc>
          <w:tcPr>
            <w:tcW w:w="8828" w:type="dxa"/>
          </w:tcPr>
          <w:p w14:paraId="078A8C7F" w14:textId="18D34770" w:rsidR="00AA20D5" w:rsidRPr="00AA20D5" w:rsidRDefault="00AA20D5" w:rsidP="00AA20D5">
            <w:pPr>
              <w:spacing w:after="120" w:line="276" w:lineRule="auto"/>
              <w:jc w:val="both"/>
              <w:rPr>
                <w:rFonts w:ascii="Verdana" w:hAnsi="Verdana" w:cs="Arial"/>
                <w:bCs/>
                <w:color w:val="000000" w:themeColor="text1"/>
              </w:rPr>
            </w:pPr>
            <w:r w:rsidRPr="00AA20D5">
              <w:rPr>
                <w:rFonts w:ascii="Verdana" w:hAnsi="Verdana" w:cs="Arial"/>
                <w:bCs/>
                <w:color w:val="000000" w:themeColor="text1"/>
              </w:rPr>
              <w:t>Es viable afirmar que no existe prohibición legal o constitucional que limite el número de contratos de prestación de servicios que una persona puede celebrar o ejecutar de manera simultánea. En ese sentido, no existiendo ninguna limitación al respecto, una persona puede celebrar y ejecutar tantos contratos como le sea posible ejecutar y cumplir a cabalidad.</w:t>
            </w:r>
          </w:p>
          <w:p w14:paraId="5571699E" w14:textId="7C685BC4" w:rsidR="00AA20D5" w:rsidRDefault="00AA20D5" w:rsidP="00AA20D5">
            <w:pPr>
              <w:spacing w:after="120" w:line="276" w:lineRule="auto"/>
              <w:jc w:val="both"/>
              <w:rPr>
                <w:rFonts w:ascii="Verdana" w:hAnsi="Verdana" w:cs="Arial"/>
                <w:bCs/>
                <w:color w:val="000000" w:themeColor="text1"/>
              </w:rPr>
            </w:pPr>
            <w:r w:rsidRPr="00AA20D5">
              <w:rPr>
                <w:rFonts w:ascii="Verdana" w:hAnsi="Verdana" w:cs="Arial"/>
                <w:bCs/>
                <w:color w:val="000000" w:themeColor="text1"/>
              </w:rPr>
              <w:t>Es decir, que no existe inhabilidad alguna para que quien ha suscrito un contrato, pueda simultáneamente suscribir otro contrato estatal con la misma u otra entidad pública</w:t>
            </w:r>
          </w:p>
          <w:p w14:paraId="754CBCBD" w14:textId="6DBE80B7" w:rsidR="00DA020C" w:rsidRDefault="00E80A1B" w:rsidP="00E80A1B">
            <w:pPr>
              <w:spacing w:after="120" w:line="276" w:lineRule="auto"/>
              <w:jc w:val="both"/>
              <w:rPr>
                <w:rFonts w:ascii="Verdana" w:hAnsi="Verdana" w:cs="Arial"/>
              </w:rPr>
            </w:pPr>
            <w:r>
              <w:rPr>
                <w:rFonts w:ascii="Verdana" w:hAnsi="Verdana" w:cs="Arial"/>
              </w:rPr>
              <w:t>Sin perjuicio de lo anterior</w:t>
            </w:r>
            <w:r w:rsidRPr="00250FB3">
              <w:rPr>
                <w:rFonts w:ascii="Verdana" w:hAnsi="Verdana" w:cs="Arial"/>
              </w:rPr>
              <w:t>, el Decreto 1068 de 2015</w:t>
            </w:r>
            <w:r>
              <w:rPr>
                <w:rFonts w:ascii="Verdana" w:hAnsi="Verdana" w:cs="Arial"/>
              </w:rPr>
              <w:t xml:space="preserve"> en su último </w:t>
            </w:r>
            <w:r w:rsidRPr="00250FB3">
              <w:rPr>
                <w:rFonts w:ascii="Verdana" w:hAnsi="Verdana" w:cs="Arial"/>
              </w:rPr>
              <w:t xml:space="preserve">inciso </w:t>
            </w:r>
            <w:r>
              <w:rPr>
                <w:rFonts w:ascii="Verdana" w:hAnsi="Verdana" w:cs="Arial"/>
              </w:rPr>
              <w:t>en su</w:t>
            </w:r>
            <w:r w:rsidRPr="00250FB3">
              <w:rPr>
                <w:rFonts w:ascii="Verdana" w:hAnsi="Verdana" w:cs="Arial"/>
              </w:rPr>
              <w:t xml:space="preserve"> artículo 2.8.4.4.5</w:t>
            </w:r>
            <w:r>
              <w:rPr>
                <w:rFonts w:ascii="Verdana" w:hAnsi="Verdana" w:cs="Arial"/>
              </w:rPr>
              <w:t xml:space="preserve"> </w:t>
            </w:r>
            <w:r w:rsidRPr="00250FB3">
              <w:rPr>
                <w:rFonts w:ascii="Verdana" w:hAnsi="Verdana" w:cs="Arial"/>
              </w:rPr>
              <w:t xml:space="preserve">dispone que no </w:t>
            </w:r>
            <w:r w:rsidRPr="00B14A36">
              <w:rPr>
                <w:rFonts w:ascii="Verdana" w:hAnsi="Verdana" w:cs="Arial"/>
              </w:rPr>
              <w:t xml:space="preserve">se podrán celebrar estos contratos cuando existan relaciones contractuales vigentes con objeto igual al del contrato que se pretende suscribir, salvo autorización expresa del jefe del respectivo órgano, ente o entidad contratante. Esta autorización estará precedida de la </w:t>
            </w:r>
            <w:r w:rsidRPr="00B14A36">
              <w:rPr>
                <w:rFonts w:ascii="Verdana" w:hAnsi="Verdana" w:cs="Arial"/>
              </w:rPr>
              <w:lastRenderedPageBreak/>
              <w:t>sustentación sobre las especiales características y necesidades técnicas de las contrataciones a realizar.</w:t>
            </w:r>
          </w:p>
          <w:p w14:paraId="1F42F7CA" w14:textId="7AEDC39D" w:rsidR="00694654" w:rsidRDefault="000528E8" w:rsidP="00831CDD">
            <w:pPr>
              <w:spacing w:after="120" w:line="276" w:lineRule="auto"/>
              <w:jc w:val="both"/>
              <w:rPr>
                <w:rFonts w:ascii="Verdana" w:hAnsi="Verdana" w:cs="Arial"/>
                <w:bCs/>
                <w:color w:val="000000" w:themeColor="text1"/>
              </w:rPr>
            </w:pPr>
            <w:r>
              <w:rPr>
                <w:rFonts w:ascii="Verdana" w:eastAsia="Calibri" w:hAnsi="Verdana" w:cs="Arial"/>
                <w:color w:val="000000" w:themeColor="text1"/>
              </w:rPr>
              <w:t>Por su parte en lo relacionado con las u</w:t>
            </w:r>
            <w:r w:rsidRPr="004A0EC8">
              <w:rPr>
                <w:rFonts w:ascii="Verdana" w:eastAsia="Calibri" w:hAnsi="Verdana" w:cs="Arial"/>
                <w:color w:val="000000" w:themeColor="text1"/>
              </w:rPr>
              <w:t>niversi</w:t>
            </w:r>
            <w:r>
              <w:rPr>
                <w:rFonts w:ascii="Verdana" w:eastAsia="Calibri" w:hAnsi="Verdana" w:cs="Arial"/>
                <w:color w:val="000000" w:themeColor="text1"/>
              </w:rPr>
              <w:t xml:space="preserve">dades públicas, es de precisar que estos </w:t>
            </w:r>
            <w:r w:rsidRPr="004A0EC8">
              <w:rPr>
                <w:rFonts w:ascii="Verdana" w:eastAsia="Calibri" w:hAnsi="Verdana" w:cs="Arial"/>
                <w:color w:val="000000" w:themeColor="text1"/>
              </w:rPr>
              <w:t xml:space="preserve">son </w:t>
            </w:r>
            <w:r>
              <w:rPr>
                <w:rFonts w:ascii="Verdana" w:eastAsia="Calibri" w:hAnsi="Verdana" w:cs="Arial"/>
                <w:color w:val="000000" w:themeColor="text1"/>
              </w:rPr>
              <w:t xml:space="preserve">entes </w:t>
            </w:r>
            <w:r w:rsidRPr="004A0EC8">
              <w:rPr>
                <w:rFonts w:ascii="Verdana" w:eastAsia="Calibri" w:hAnsi="Verdana" w:cs="Arial"/>
                <w:color w:val="000000" w:themeColor="text1"/>
              </w:rPr>
              <w:t>autónomos</w:t>
            </w:r>
            <w:r>
              <w:rPr>
                <w:rFonts w:ascii="Verdana" w:eastAsia="Calibri" w:hAnsi="Verdana" w:cs="Arial"/>
                <w:color w:val="000000" w:themeColor="text1"/>
              </w:rPr>
              <w:t xml:space="preserve">, </w:t>
            </w:r>
            <w:r w:rsidRPr="004A0EC8">
              <w:rPr>
                <w:rFonts w:ascii="Verdana" w:eastAsia="Calibri" w:hAnsi="Verdana" w:cs="Arial"/>
                <w:color w:val="000000" w:themeColor="text1"/>
              </w:rPr>
              <w:t>adscritos al Ministerio de Educación Nacional en lo que se refiere a las políticas y la planificación del sector educativo</w:t>
            </w:r>
            <w:r>
              <w:rPr>
                <w:rFonts w:ascii="Verdana" w:eastAsia="Calibri" w:hAnsi="Verdana" w:cs="Arial"/>
                <w:color w:val="000000" w:themeColor="text1"/>
              </w:rPr>
              <w:t>, sujetas a un régimen de contratación especial</w:t>
            </w:r>
            <w:r w:rsidRPr="004A0EC8">
              <w:rPr>
                <w:rFonts w:ascii="Verdana" w:eastAsia="Calibri" w:hAnsi="Verdana" w:cs="Arial"/>
                <w:color w:val="000000" w:themeColor="text1"/>
              </w:rPr>
              <w:t xml:space="preserve">. </w:t>
            </w:r>
            <w:r>
              <w:rPr>
                <w:rFonts w:ascii="Verdana" w:eastAsia="Calibri" w:hAnsi="Verdana" w:cs="Arial"/>
                <w:color w:val="000000" w:themeColor="text1"/>
              </w:rPr>
              <w:t>De conformidad con estas normas, los contratos que celebren estas entidades se</w:t>
            </w:r>
            <w:r w:rsidRPr="00EF453D">
              <w:rPr>
                <w:rFonts w:ascii="Verdana" w:eastAsia="Calibri" w:hAnsi="Verdana" w:cs="Arial"/>
                <w:color w:val="000000" w:themeColor="text1"/>
              </w:rPr>
              <w:t> regirán por las normas del derecho privado y sus efectos estarán sujetos a las normas civiles y comerciales</w:t>
            </w:r>
            <w:r w:rsidR="00AA20D5">
              <w:rPr>
                <w:rFonts w:ascii="Verdana" w:eastAsia="Calibri" w:hAnsi="Verdana" w:cs="Arial"/>
                <w:color w:val="000000" w:themeColor="text1"/>
              </w:rPr>
              <w:t>.</w:t>
            </w:r>
          </w:p>
          <w:p w14:paraId="1B25E3D8" w14:textId="3050A793" w:rsidR="00694654" w:rsidRPr="00D31048" w:rsidRDefault="000528E8" w:rsidP="00131873">
            <w:pPr>
              <w:spacing w:after="120" w:line="276" w:lineRule="auto"/>
              <w:jc w:val="both"/>
              <w:rPr>
                <w:rFonts w:ascii="Verdana" w:eastAsia="Calibri" w:hAnsi="Verdana" w:cs="Arial"/>
              </w:rPr>
            </w:pPr>
            <w:r>
              <w:rPr>
                <w:rFonts w:ascii="Verdana" w:eastAsia="Calibri" w:hAnsi="Verdana" w:cs="Arial"/>
              </w:rPr>
              <w:t xml:space="preserve">Asi las cosas, </w:t>
            </w:r>
            <w:r w:rsidR="00D17438">
              <w:rPr>
                <w:rFonts w:ascii="Verdana" w:eastAsia="Calibri" w:hAnsi="Verdana" w:cs="Arial"/>
              </w:rPr>
              <w:t>l</w:t>
            </w:r>
            <w:r w:rsidRPr="001322CA">
              <w:rPr>
                <w:rFonts w:ascii="Verdana" w:eastAsia="Calibri" w:hAnsi="Verdana" w:cs="Arial"/>
              </w:rPr>
              <w:t xml:space="preserve">as entidades de régimen especial están facultadas para adoptar sus propias normativas en materia de contratación, </w:t>
            </w:r>
            <w:r w:rsidR="00AA20D5">
              <w:rPr>
                <w:rFonts w:ascii="Verdana" w:eastAsia="Calibri" w:hAnsi="Verdana" w:cs="Arial"/>
              </w:rPr>
              <w:t xml:space="preserve">a través de sus manuales de contratación, </w:t>
            </w:r>
            <w:r w:rsidRPr="001322CA">
              <w:rPr>
                <w:rFonts w:ascii="Verdana" w:eastAsia="Calibri" w:hAnsi="Verdana" w:cs="Arial"/>
              </w:rPr>
              <w:t>dentro del marco que les otorgan sus leyes especiales y su norma de creación. No obstante, de conformidad con lo establecido en artículo 13 de la Ley 1150 de 2007, las entidades estatales que cuenten con un régimen contractual excepcional al del EGCAP, esto es, regímenes especiales, “aplicarán en desarrollo de su actividad contractual […] los principios de la función administrativa y de la gestión fiscal […] y estarán sometidas al régimen de inhabilidades e incompatibilidades previsto legalmente para la contratación estatal”.</w:t>
            </w:r>
          </w:p>
        </w:tc>
      </w:tr>
      <w:tr w:rsidR="007E4284" w:rsidRPr="00593A5F" w14:paraId="2A7558CB" w14:textId="77777777">
        <w:tc>
          <w:tcPr>
            <w:tcW w:w="8828" w:type="dxa"/>
          </w:tcPr>
          <w:p w14:paraId="52413404" w14:textId="77777777" w:rsidR="007E4284" w:rsidRPr="002973E9" w:rsidRDefault="007E4284">
            <w:pPr>
              <w:spacing w:line="276" w:lineRule="auto"/>
              <w:jc w:val="both"/>
              <w:rPr>
                <w:rFonts w:ascii="Verdana" w:eastAsia="Calibri" w:hAnsi="Verdana" w:cs="Arial"/>
                <w:lang w:val="es-ES"/>
              </w:rPr>
            </w:pPr>
          </w:p>
        </w:tc>
      </w:tr>
    </w:tbl>
    <w:p w14:paraId="72DC2754" w14:textId="77777777" w:rsidR="007E4284" w:rsidRDefault="007E4284" w:rsidP="007E4284">
      <w:pPr>
        <w:tabs>
          <w:tab w:val="left" w:pos="142"/>
          <w:tab w:val="left" w:pos="284"/>
        </w:tabs>
        <w:spacing w:after="0" w:line="276" w:lineRule="auto"/>
        <w:jc w:val="both"/>
        <w:rPr>
          <w:rFonts w:ascii="Verdana" w:eastAsia="Century Gothic" w:hAnsi="Verdana" w:cs="Century Gothic"/>
          <w:b/>
          <w:bCs/>
          <w:lang w:val="es-ES"/>
        </w:rPr>
      </w:pPr>
    </w:p>
    <w:p w14:paraId="02DDBB94" w14:textId="77777777" w:rsidR="007E4284" w:rsidRPr="00593A5F" w:rsidRDefault="007E4284" w:rsidP="007E42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F71CC33" w14:textId="77777777" w:rsidR="007E4284" w:rsidRPr="00593A5F" w:rsidRDefault="007E4284" w:rsidP="007E4284">
      <w:pPr>
        <w:spacing w:after="0" w:line="276" w:lineRule="auto"/>
        <w:jc w:val="both"/>
        <w:rPr>
          <w:rFonts w:ascii="Verdana" w:eastAsia="Calibri" w:hAnsi="Verdana" w:cs="Arial"/>
          <w:color w:val="7030A0"/>
          <w:lang w:val="es-ES"/>
        </w:rPr>
      </w:pPr>
    </w:p>
    <w:p w14:paraId="1895D779" w14:textId="77777777" w:rsidR="00503C19" w:rsidRPr="00542ED3" w:rsidRDefault="00503C19" w:rsidP="00503C19">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4777FA19" w14:textId="77777777" w:rsidR="00503C19" w:rsidRPr="00542ED3" w:rsidRDefault="00503C19" w:rsidP="00503C19">
      <w:pPr>
        <w:spacing w:after="0" w:line="276" w:lineRule="auto"/>
        <w:jc w:val="both"/>
        <w:rPr>
          <w:rFonts w:ascii="Verdana" w:eastAsia="Calibri" w:hAnsi="Verdana" w:cs="Arial"/>
          <w:lang w:val="es-ES"/>
        </w:rPr>
      </w:pPr>
    </w:p>
    <w:p w14:paraId="49ABD97F" w14:textId="77777777" w:rsidR="001E1142" w:rsidRDefault="001E1142" w:rsidP="001E1142">
      <w:pPr>
        <w:pStyle w:val="Prrafodelista"/>
        <w:numPr>
          <w:ilvl w:val="0"/>
          <w:numId w:val="30"/>
        </w:numPr>
        <w:spacing w:after="0" w:line="276" w:lineRule="auto"/>
        <w:jc w:val="both"/>
        <w:rPr>
          <w:rFonts w:ascii="Verdana" w:hAnsi="Verdana" w:cs="Arial"/>
          <w:color w:val="000000" w:themeColor="text1"/>
          <w:lang w:val="es-ES_tradnl"/>
        </w:rPr>
      </w:pPr>
      <w:r w:rsidRPr="00A871DB">
        <w:rPr>
          <w:rFonts w:ascii="Verdana" w:hAnsi="Verdana" w:cs="Arial"/>
          <w:color w:val="000000" w:themeColor="text1"/>
          <w:lang w:val="es-ES_tradn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60C3A930" w14:textId="77777777" w:rsidR="001E1142" w:rsidRPr="00A871DB" w:rsidRDefault="001E1142" w:rsidP="001E1142">
      <w:pPr>
        <w:pStyle w:val="Prrafodelista"/>
        <w:spacing w:after="0" w:line="276" w:lineRule="auto"/>
        <w:ind w:left="709"/>
        <w:jc w:val="both"/>
        <w:rPr>
          <w:rFonts w:ascii="Verdana" w:hAnsi="Verdana" w:cs="Arial"/>
          <w:color w:val="000000" w:themeColor="text1"/>
          <w:lang w:val="es-ES_tradnl"/>
        </w:rPr>
      </w:pPr>
    </w:p>
    <w:p w14:paraId="4D3E7E4A" w14:textId="77777777" w:rsidR="001E1142" w:rsidRPr="00A871DB" w:rsidRDefault="001E1142" w:rsidP="001E1142">
      <w:pPr>
        <w:spacing w:after="0" w:line="240" w:lineRule="auto"/>
        <w:ind w:left="1134" w:right="758"/>
        <w:jc w:val="both"/>
        <w:rPr>
          <w:rFonts w:ascii="Verdana" w:eastAsia="Calibri" w:hAnsi="Verdana" w:cs="Arial"/>
          <w:i/>
          <w:iCs/>
          <w:color w:val="000000" w:themeColor="text1"/>
          <w:sz w:val="20"/>
          <w:szCs w:val="20"/>
          <w:lang w:val="es-ES_tradnl"/>
        </w:rPr>
      </w:pPr>
      <w:r w:rsidRPr="00A871DB">
        <w:rPr>
          <w:rFonts w:ascii="Verdana" w:eastAsia="Calibri" w:hAnsi="Verdana" w:cs="Arial"/>
          <w:i/>
          <w:iCs/>
          <w:color w:val="000000" w:themeColor="text1"/>
          <w:sz w:val="20"/>
          <w:szCs w:val="20"/>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17FAD47" w14:textId="77777777" w:rsidR="001E1142" w:rsidRPr="002A41F1" w:rsidRDefault="001E1142" w:rsidP="001E1142">
      <w:pPr>
        <w:spacing w:after="0" w:line="240" w:lineRule="auto"/>
        <w:ind w:left="1134" w:right="758"/>
        <w:jc w:val="both"/>
        <w:rPr>
          <w:rFonts w:ascii="Verdana" w:eastAsia="Calibri" w:hAnsi="Verdana" w:cs="Arial"/>
          <w:color w:val="000000" w:themeColor="text1"/>
          <w:sz w:val="20"/>
          <w:szCs w:val="20"/>
          <w:lang w:val="es-ES_tradnl"/>
        </w:rPr>
      </w:pPr>
      <w:r w:rsidRPr="00A871DB">
        <w:rPr>
          <w:rFonts w:ascii="Verdana" w:eastAsia="Calibri" w:hAnsi="Verdana" w:cs="Arial"/>
          <w:i/>
          <w:iCs/>
          <w:color w:val="000000" w:themeColor="text1"/>
          <w:sz w:val="20"/>
          <w:szCs w:val="20"/>
          <w:lang w:val="es-ES_tradnl"/>
        </w:rPr>
        <w:lastRenderedPageBreak/>
        <w:t>En ningún caso estos contratos generan relación laboral ni prestaciones sociales y se celebrarán por el término estrictamente indispensable.”</w:t>
      </w:r>
    </w:p>
    <w:p w14:paraId="4A27792C" w14:textId="77777777" w:rsidR="001E1142" w:rsidRPr="00303EFF" w:rsidRDefault="001E1142" w:rsidP="001E1142">
      <w:pPr>
        <w:spacing w:after="0" w:line="240" w:lineRule="auto"/>
        <w:ind w:left="709" w:right="709"/>
        <w:jc w:val="both"/>
        <w:rPr>
          <w:rFonts w:ascii="Verdana" w:eastAsia="Calibri" w:hAnsi="Verdana" w:cs="Arial"/>
          <w:color w:val="000000" w:themeColor="text1"/>
          <w:sz w:val="20"/>
          <w:szCs w:val="20"/>
          <w:lang w:val="es-ES_tradnl"/>
        </w:rPr>
      </w:pPr>
    </w:p>
    <w:p w14:paraId="67607AE7" w14:textId="77777777" w:rsidR="001E1142" w:rsidRPr="003B5A77" w:rsidRDefault="001E1142" w:rsidP="34880372">
      <w:pPr>
        <w:pStyle w:val="Prrafodelista"/>
        <w:numPr>
          <w:ilvl w:val="0"/>
          <w:numId w:val="30"/>
        </w:numPr>
        <w:spacing w:after="0" w:line="240" w:lineRule="auto"/>
        <w:jc w:val="both"/>
        <w:rPr>
          <w:rFonts w:ascii="Verdana" w:hAnsi="Verdana" w:cs="Arial"/>
          <w:color w:val="000000" w:themeColor="text1"/>
        </w:rPr>
      </w:pPr>
      <w:r w:rsidRPr="34880372">
        <w:rPr>
          <w:rFonts w:ascii="Verdana" w:hAnsi="Verdana" w:cs="Arial"/>
          <w:color w:val="000000" w:themeColor="text1"/>
        </w:rPr>
        <w:t>De otro lado, la celebración de dicho contrato se debe efectuar a través de la modalidad de la contratación directa. Así lo prevé el artículo 2, numeral 4º, literal h) de la Ley 1150 de 2007, que dispone:</w:t>
      </w:r>
    </w:p>
    <w:p w14:paraId="7B57DBA9" w14:textId="77777777" w:rsidR="001E1142" w:rsidRPr="00B67542" w:rsidRDefault="001E1142" w:rsidP="001E1142">
      <w:pPr>
        <w:spacing w:after="0" w:line="240" w:lineRule="auto"/>
        <w:ind w:left="352"/>
        <w:jc w:val="both"/>
        <w:rPr>
          <w:rFonts w:ascii="Verdana" w:hAnsi="Verdana" w:cs="Arial"/>
          <w:color w:val="000000" w:themeColor="text1"/>
          <w:lang w:val="es-ES_tradnl"/>
        </w:rPr>
      </w:pPr>
    </w:p>
    <w:p w14:paraId="7492EA3D" w14:textId="77777777" w:rsidR="001E1142" w:rsidRDefault="001E1142" w:rsidP="34880372">
      <w:pPr>
        <w:spacing w:after="0" w:line="240" w:lineRule="auto"/>
        <w:ind w:left="1134" w:right="900"/>
        <w:jc w:val="both"/>
        <w:rPr>
          <w:rFonts w:ascii="Verdana" w:eastAsia="Calibri" w:hAnsi="Verdana" w:cs="Arial"/>
          <w:i/>
          <w:iCs/>
          <w:color w:val="000000" w:themeColor="text1"/>
          <w:sz w:val="20"/>
          <w:szCs w:val="20"/>
          <w:lang w:val="es-ES"/>
        </w:rPr>
      </w:pPr>
      <w:r w:rsidRPr="34880372">
        <w:rPr>
          <w:rFonts w:ascii="Verdana" w:eastAsia="Calibri" w:hAnsi="Verdana" w:cs="Arial"/>
          <w:i/>
          <w:iCs/>
          <w:color w:val="000000" w:themeColor="text1"/>
          <w:sz w:val="20"/>
          <w:szCs w:val="20"/>
          <w:lang w:val="es-ES"/>
        </w:rPr>
        <w:t xml:space="preserve">“Contratación directa. La modalidad de selección de contratación </w:t>
      </w:r>
      <w:proofErr w:type="gramStart"/>
      <w:r w:rsidRPr="34880372">
        <w:rPr>
          <w:rFonts w:ascii="Verdana" w:eastAsia="Calibri" w:hAnsi="Verdana" w:cs="Arial"/>
          <w:i/>
          <w:iCs/>
          <w:color w:val="000000" w:themeColor="text1"/>
          <w:sz w:val="20"/>
          <w:szCs w:val="20"/>
          <w:lang w:val="es-ES"/>
        </w:rPr>
        <w:t>directa,</w:t>
      </w:r>
      <w:proofErr w:type="gramEnd"/>
      <w:r w:rsidRPr="34880372">
        <w:rPr>
          <w:rFonts w:ascii="Verdana" w:eastAsia="Calibri" w:hAnsi="Verdana" w:cs="Arial"/>
          <w:i/>
          <w:iCs/>
          <w:color w:val="000000" w:themeColor="text1"/>
          <w:sz w:val="20"/>
          <w:szCs w:val="20"/>
          <w:lang w:val="es-ES"/>
        </w:rPr>
        <w:t xml:space="preserve"> solamente procederá en los siguientes casos:</w:t>
      </w:r>
    </w:p>
    <w:p w14:paraId="43310C23" w14:textId="77777777" w:rsidR="001E1142" w:rsidRPr="003B5A77" w:rsidRDefault="001E1142" w:rsidP="001E1142">
      <w:pPr>
        <w:spacing w:after="0" w:line="240" w:lineRule="auto"/>
        <w:ind w:left="1134" w:right="900"/>
        <w:jc w:val="both"/>
        <w:rPr>
          <w:rFonts w:ascii="Verdana" w:eastAsia="Calibri" w:hAnsi="Verdana" w:cs="Arial"/>
          <w:i/>
          <w:iCs/>
          <w:color w:val="000000" w:themeColor="text1"/>
          <w:sz w:val="20"/>
          <w:szCs w:val="20"/>
          <w:lang w:val="es-ES_tradnl"/>
        </w:rPr>
      </w:pPr>
    </w:p>
    <w:p w14:paraId="4BAB7CCC" w14:textId="77777777" w:rsidR="001E1142" w:rsidRDefault="001E1142" w:rsidP="001E1142">
      <w:pPr>
        <w:spacing w:after="0" w:line="240" w:lineRule="auto"/>
        <w:ind w:left="1134" w:right="900"/>
        <w:jc w:val="both"/>
        <w:rPr>
          <w:rFonts w:ascii="Verdana" w:eastAsia="Calibri" w:hAnsi="Verdana" w:cs="Arial"/>
          <w:i/>
          <w:iCs/>
          <w:color w:val="000000" w:themeColor="text1"/>
          <w:sz w:val="20"/>
          <w:szCs w:val="20"/>
          <w:lang w:val="es-ES_tradnl"/>
        </w:rPr>
      </w:pPr>
      <w:r w:rsidRPr="003B5A77">
        <w:rPr>
          <w:rFonts w:ascii="Verdana" w:eastAsia="Calibri" w:hAnsi="Verdana" w:cs="Arial"/>
          <w:i/>
          <w:iCs/>
          <w:color w:val="000000" w:themeColor="text1"/>
          <w:sz w:val="20"/>
          <w:szCs w:val="20"/>
          <w:lang w:val="es-ES_tradnl"/>
        </w:rPr>
        <w:t>h) Para la prestación de servicios profesionales y de apoyo a la gestión, o para la ejecución de trabajos artísticos que sólo puedan encomendarse a determinadas personas naturales;”</w:t>
      </w:r>
    </w:p>
    <w:p w14:paraId="0CDF6F09" w14:textId="77777777" w:rsidR="001E1142" w:rsidRPr="00B67542" w:rsidRDefault="001E1142" w:rsidP="001E1142">
      <w:pPr>
        <w:spacing w:after="0" w:line="240" w:lineRule="auto"/>
        <w:ind w:left="709"/>
        <w:jc w:val="both"/>
        <w:rPr>
          <w:rFonts w:ascii="Verdana" w:eastAsia="Calibri" w:hAnsi="Verdana" w:cs="Arial"/>
          <w:color w:val="000000" w:themeColor="text1"/>
          <w:lang w:val="es-ES_tradnl"/>
        </w:rPr>
      </w:pPr>
    </w:p>
    <w:p w14:paraId="72B36656" w14:textId="77777777" w:rsidR="001E1142" w:rsidRDefault="001E1142" w:rsidP="001E1142">
      <w:pPr>
        <w:pStyle w:val="Prrafodelista"/>
        <w:numPr>
          <w:ilvl w:val="0"/>
          <w:numId w:val="30"/>
        </w:numPr>
        <w:spacing w:after="0" w:line="240" w:lineRule="auto"/>
        <w:jc w:val="both"/>
        <w:rPr>
          <w:rFonts w:ascii="Verdana" w:hAnsi="Verdana" w:cs="Arial"/>
          <w:color w:val="000000" w:themeColor="text1"/>
          <w:lang w:val="es-ES_tradnl"/>
        </w:rPr>
      </w:pPr>
      <w:r w:rsidRPr="003B5A77">
        <w:rPr>
          <w:rFonts w:ascii="Verdana" w:hAnsi="Verdana" w:cs="Arial"/>
          <w:color w:val="000000" w:themeColor="text1"/>
          <w:lang w:val="es-ES_tradnl"/>
        </w:rPr>
        <w:t>A partir de estos enunciados normativos de carácter legal y reglamentario, que complementan su regulación, y de los pronunciamientos judiciales más destacados sobre el tema, es posible señalar las siguientes características del contrato de prestación de servicios profesionales:</w:t>
      </w:r>
    </w:p>
    <w:p w14:paraId="6769E8AD" w14:textId="77777777" w:rsidR="001E1142" w:rsidRPr="003B5A77" w:rsidRDefault="001E1142" w:rsidP="001E1142">
      <w:pPr>
        <w:pStyle w:val="Prrafodelista"/>
        <w:spacing w:after="0" w:line="240" w:lineRule="auto"/>
        <w:jc w:val="both"/>
        <w:rPr>
          <w:rFonts w:ascii="Verdana" w:hAnsi="Verdana" w:cs="Arial"/>
          <w:color w:val="000000" w:themeColor="text1"/>
          <w:lang w:val="es-ES_tradnl"/>
        </w:rPr>
      </w:pPr>
    </w:p>
    <w:p w14:paraId="6510235D" w14:textId="77777777" w:rsidR="001E1142" w:rsidRPr="00D01138" w:rsidRDefault="001E1142" w:rsidP="001E1142">
      <w:pPr>
        <w:spacing w:after="0" w:line="240" w:lineRule="auto"/>
        <w:ind w:left="709"/>
        <w:jc w:val="both"/>
        <w:rPr>
          <w:rFonts w:ascii="Verdana" w:hAnsi="Verdana" w:cs="Arial"/>
          <w:color w:val="000000" w:themeColor="text1"/>
          <w:lang w:val="es-ES_tradnl"/>
        </w:rPr>
      </w:pPr>
      <w:r w:rsidRPr="00D01138">
        <w:rPr>
          <w:rFonts w:ascii="Verdana" w:hAnsi="Verdana" w:cs="Arial"/>
          <w:color w:val="000000" w:themeColor="text1"/>
          <w:lang w:val="es-ES_tradnl"/>
        </w:rPr>
        <w:t>I) Solo puede celebrarse para realizar “actividades relacionadas con la administración o funcionamiento de la entidad”, es decir, que hagan parte de su giro ordinario o quehacer cotidiano.</w:t>
      </w:r>
    </w:p>
    <w:p w14:paraId="3729A3EB" w14:textId="77777777" w:rsidR="001E1142" w:rsidRPr="00D01138" w:rsidRDefault="001E1142" w:rsidP="001E1142">
      <w:pPr>
        <w:spacing w:after="0" w:line="240" w:lineRule="auto"/>
        <w:ind w:left="709"/>
        <w:jc w:val="both"/>
        <w:rPr>
          <w:rFonts w:ascii="Verdana" w:hAnsi="Verdana" w:cs="Arial"/>
          <w:color w:val="000000" w:themeColor="text1"/>
          <w:lang w:val="es-ES_tradnl"/>
        </w:rPr>
      </w:pPr>
    </w:p>
    <w:p w14:paraId="53822EE2" w14:textId="77777777" w:rsidR="001E1142" w:rsidRPr="00D01138" w:rsidRDefault="001E1142" w:rsidP="34880372">
      <w:pPr>
        <w:spacing w:after="0" w:line="240" w:lineRule="auto"/>
        <w:ind w:left="709"/>
        <w:jc w:val="both"/>
        <w:rPr>
          <w:rFonts w:ascii="Verdana" w:hAnsi="Verdana" w:cs="Arial"/>
          <w:color w:val="000000" w:themeColor="text1"/>
          <w:lang w:val="es-ES"/>
        </w:rPr>
      </w:pPr>
      <w:r w:rsidRPr="34880372">
        <w:rPr>
          <w:rFonts w:ascii="Verdana" w:hAnsi="Verdana" w:cs="Arial"/>
          <w:color w:val="000000" w:themeColor="text1"/>
          <w:lang w:val="es-ES"/>
        </w:rPr>
        <w:t>II)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444D7D00" w14:textId="77777777" w:rsidR="001E1142" w:rsidRPr="00D01138" w:rsidRDefault="001E1142" w:rsidP="001E1142">
      <w:pPr>
        <w:spacing w:after="0" w:line="240" w:lineRule="auto"/>
        <w:ind w:left="709"/>
        <w:jc w:val="both"/>
        <w:rPr>
          <w:rFonts w:ascii="Verdana" w:hAnsi="Verdana" w:cs="Arial"/>
          <w:color w:val="000000" w:themeColor="text1"/>
          <w:lang w:val="es-ES_tradnl"/>
        </w:rPr>
      </w:pPr>
    </w:p>
    <w:p w14:paraId="6BC14E3A" w14:textId="77777777" w:rsidR="001E1142" w:rsidRPr="00D01138" w:rsidRDefault="001E1142" w:rsidP="34880372">
      <w:pPr>
        <w:spacing w:after="0" w:line="240" w:lineRule="auto"/>
        <w:ind w:left="709"/>
        <w:jc w:val="both"/>
        <w:rPr>
          <w:rFonts w:ascii="Verdana" w:hAnsi="Verdana" w:cs="Arial"/>
          <w:color w:val="000000" w:themeColor="text1"/>
          <w:lang w:val="es-ES"/>
        </w:rPr>
      </w:pPr>
      <w:r w:rsidRPr="34880372">
        <w:rPr>
          <w:rFonts w:ascii="Verdana" w:hAnsi="Verdana" w:cs="Arial"/>
          <w:color w:val="000000" w:themeColor="text1"/>
          <w:lang w:val="es-ES"/>
        </w:rPr>
        <w:t>III) Si bien se celebran para obtener la prestación personal de un servicio, se diferencian del contrato de trabajo</w:t>
      </w:r>
      <w:r w:rsidRPr="34880372">
        <w:rPr>
          <w:rStyle w:val="Refdenotaalpie"/>
          <w:rFonts w:ascii="Verdana" w:hAnsi="Verdana" w:cs="Arial"/>
          <w:color w:val="000000" w:themeColor="text1"/>
          <w:lang w:val="es-ES"/>
        </w:rPr>
        <w:footnoteReference w:id="1"/>
      </w:r>
      <w:r w:rsidRPr="34880372">
        <w:rPr>
          <w:rFonts w:ascii="Verdana" w:hAnsi="Verdana" w:cs="Arial"/>
          <w:color w:val="000000" w:themeColor="text1"/>
          <w:lang w:val="es-ES"/>
        </w:rPr>
        <w:t xml:space="preserve"> en que quien celebra el contrato de prestación de servicios profesionales debe mantener autonomía e independencia en la ejecución de la labor, lo que significa que no puede </w:t>
      </w:r>
      <w:r w:rsidRPr="34880372">
        <w:rPr>
          <w:rFonts w:ascii="Verdana" w:hAnsi="Verdana" w:cs="Arial"/>
          <w:color w:val="000000" w:themeColor="text1"/>
          <w:lang w:val="es-ES"/>
        </w:rPr>
        <w:lastRenderedPageBreak/>
        <w:t>existir la subordinación y dependencia,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34880372">
        <w:rPr>
          <w:rStyle w:val="Refdenotaalpie"/>
          <w:rFonts w:ascii="Verdana" w:hAnsi="Verdana" w:cs="Arial"/>
          <w:color w:val="000000" w:themeColor="text1"/>
          <w:lang w:val="es-ES"/>
        </w:rPr>
        <w:footnoteReference w:id="2"/>
      </w:r>
      <w:r w:rsidRPr="34880372">
        <w:rPr>
          <w:rFonts w:ascii="Verdana" w:hAnsi="Verdana" w:cs="Arial"/>
          <w:color w:val="000000" w:themeColor="text1"/>
          <w:lang w:val="es-ES"/>
        </w:rPr>
        <w:t>. Pero es posible que, a pesar de este mandato deontológico, en la práctica surja la relación laboral, pues, como se sabe, el contrato de trabajo es un contrato realidad,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34880372">
        <w:rPr>
          <w:rStyle w:val="Refdenotaalpie"/>
          <w:rFonts w:ascii="Verdana" w:hAnsi="Verdana" w:cs="Arial"/>
          <w:color w:val="000000" w:themeColor="text1"/>
          <w:lang w:val="es-ES"/>
        </w:rPr>
        <w:footnoteReference w:id="3"/>
      </w:r>
      <w:r w:rsidRPr="34880372">
        <w:rPr>
          <w:rFonts w:ascii="Verdana" w:hAnsi="Verdana" w:cs="Arial"/>
          <w:color w:val="000000" w:themeColor="text1"/>
          <w:lang w:val="es-ES"/>
        </w:rPr>
        <w:t>.</w:t>
      </w:r>
    </w:p>
    <w:p w14:paraId="71E2F01E" w14:textId="77777777" w:rsidR="001E1142" w:rsidRPr="00810952" w:rsidRDefault="001E1142" w:rsidP="001E1142">
      <w:pPr>
        <w:spacing w:after="0" w:line="240" w:lineRule="auto"/>
        <w:ind w:left="709"/>
        <w:jc w:val="both"/>
        <w:rPr>
          <w:rFonts w:ascii="Arial" w:hAnsi="Arial" w:cs="Arial"/>
          <w:color w:val="000000" w:themeColor="text1"/>
          <w:lang w:val="es-ES_tradnl"/>
        </w:rPr>
      </w:pPr>
    </w:p>
    <w:p w14:paraId="2A22A237" w14:textId="77777777" w:rsidR="001E1142" w:rsidRPr="008017F9" w:rsidRDefault="001E1142" w:rsidP="001E1142">
      <w:pPr>
        <w:spacing w:line="240" w:lineRule="auto"/>
        <w:ind w:left="709"/>
        <w:jc w:val="both"/>
        <w:rPr>
          <w:rFonts w:ascii="Verdana" w:hAnsi="Verdana" w:cs="Arial"/>
          <w:color w:val="000000" w:themeColor="text1"/>
          <w:lang w:val="es-ES_tradnl"/>
        </w:rPr>
      </w:pPr>
      <w:r>
        <w:rPr>
          <w:rFonts w:ascii="Verdana" w:hAnsi="Verdana" w:cs="Arial"/>
          <w:color w:val="000000" w:themeColor="text1"/>
          <w:lang w:val="es-ES_tradnl"/>
        </w:rPr>
        <w:t>IV</w:t>
      </w:r>
      <w:r w:rsidRPr="008017F9">
        <w:rPr>
          <w:rFonts w:ascii="Verdana" w:hAnsi="Verdana" w:cs="Arial"/>
          <w:color w:val="000000" w:themeColor="text1"/>
          <w:lang w:val="es-ES_tradnl"/>
        </w:rPr>
        <w:t>) Deben ser temporales. Así lo señaló la Corte Constitucional en la misma providencia a la que se aludió previamente, expresando que:</w:t>
      </w:r>
    </w:p>
    <w:p w14:paraId="0DB5E071" w14:textId="77777777" w:rsidR="001E1142" w:rsidRPr="00D01138" w:rsidRDefault="001E1142" w:rsidP="001E1142">
      <w:pPr>
        <w:spacing w:after="0" w:line="240" w:lineRule="auto"/>
        <w:ind w:left="1276" w:right="709"/>
        <w:jc w:val="both"/>
        <w:rPr>
          <w:rFonts w:ascii="Verdana" w:eastAsia="Calibri" w:hAnsi="Verdana" w:cs="Arial"/>
          <w:i/>
          <w:iCs/>
          <w:color w:val="000000" w:themeColor="text1"/>
          <w:sz w:val="20"/>
          <w:szCs w:val="20"/>
          <w:lang w:val="es-ES_tradnl"/>
        </w:rPr>
      </w:pPr>
      <w:r w:rsidRPr="00D01138">
        <w:rPr>
          <w:rFonts w:ascii="Verdana" w:eastAsia="Calibri" w:hAnsi="Verdana" w:cs="Arial"/>
          <w:i/>
          <w:iCs/>
          <w:color w:val="000000" w:themeColor="text1"/>
          <w:sz w:val="20"/>
          <w:szCs w:val="20"/>
          <w:lang w:val="es-ES_tradnl"/>
        </w:rPr>
        <w:t>«</w:t>
      </w:r>
      <w:r w:rsidRPr="00D01138">
        <w:rPr>
          <w:rFonts w:ascii="Verdana" w:hAnsi="Verdana" w:cs="Arial"/>
          <w:i/>
          <w:iCs/>
          <w:color w:val="000000" w:themeColor="text1"/>
          <w:sz w:val="20"/>
          <w:szCs w:val="20"/>
          <w:lang w:val="es-ES_tradnl"/>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w:t>
      </w:r>
      <w:r w:rsidRPr="00D01138">
        <w:rPr>
          <w:rFonts w:ascii="Verdana" w:hAnsi="Verdana" w:cs="Arial"/>
          <w:i/>
          <w:iCs/>
          <w:color w:val="000000" w:themeColor="text1"/>
          <w:sz w:val="20"/>
          <w:szCs w:val="20"/>
          <w:lang w:val="es-ES_tradnl"/>
        </w:rPr>
        <w:lastRenderedPageBreak/>
        <w:t>en la respectiva planta y previstos sus emolumentos en el presupuesto correspondiente.</w:t>
      </w:r>
      <w:r w:rsidRPr="00D01138">
        <w:rPr>
          <w:rFonts w:ascii="Verdana" w:eastAsia="Calibri" w:hAnsi="Verdana" w:cs="Arial"/>
          <w:i/>
          <w:iCs/>
          <w:color w:val="000000" w:themeColor="text1"/>
          <w:sz w:val="20"/>
          <w:szCs w:val="20"/>
          <w:lang w:val="es-ES_tradnl"/>
        </w:rPr>
        <w:t>»</w:t>
      </w:r>
      <w:r w:rsidRPr="00D01138">
        <w:rPr>
          <w:rStyle w:val="Refdenotaalpie"/>
          <w:rFonts w:ascii="Verdana" w:hAnsi="Verdana" w:cs="Arial"/>
          <w:i/>
          <w:iCs/>
          <w:color w:val="000000" w:themeColor="text1"/>
          <w:sz w:val="20"/>
          <w:szCs w:val="20"/>
          <w:lang w:val="es-ES_tradnl"/>
        </w:rPr>
        <w:footnoteReference w:id="4"/>
      </w:r>
    </w:p>
    <w:p w14:paraId="156FF4F8" w14:textId="77777777" w:rsidR="001E1142" w:rsidRPr="00B14A36" w:rsidRDefault="001E1142" w:rsidP="001E1142">
      <w:pPr>
        <w:spacing w:after="0" w:line="240" w:lineRule="auto"/>
        <w:ind w:left="709" w:right="709"/>
        <w:jc w:val="both"/>
        <w:rPr>
          <w:rFonts w:ascii="Verdana" w:hAnsi="Verdana" w:cs="Arial"/>
          <w:color w:val="000000" w:themeColor="text1"/>
          <w:sz w:val="20"/>
          <w:szCs w:val="20"/>
          <w:lang w:val="es-ES_tradnl"/>
        </w:rPr>
      </w:pPr>
    </w:p>
    <w:p w14:paraId="03157E20" w14:textId="77777777" w:rsidR="001E1142" w:rsidRPr="00B14A36" w:rsidRDefault="001E1142" w:rsidP="001E1142">
      <w:pPr>
        <w:spacing w:line="240" w:lineRule="auto"/>
        <w:ind w:left="709"/>
        <w:jc w:val="both"/>
        <w:rPr>
          <w:rFonts w:ascii="Verdana" w:eastAsia="Calibri" w:hAnsi="Verdana" w:cs="Arial"/>
          <w:color w:val="000000" w:themeColor="text1"/>
          <w:sz w:val="20"/>
          <w:szCs w:val="20"/>
          <w:lang w:val="es-ES_tradnl"/>
        </w:rPr>
      </w:pPr>
      <w:r w:rsidRPr="008017F9">
        <w:rPr>
          <w:rFonts w:ascii="Verdana" w:hAnsi="Verdana" w:cs="Arial"/>
          <w:color w:val="000000" w:themeColor="text1"/>
          <w:lang w:val="es-ES_tradnl"/>
        </w:rPr>
        <w:t xml:space="preserve">v) Los contratos de prestación de servicios profesionales hacen parte del género denominado </w:t>
      </w:r>
      <w:r w:rsidRPr="008017F9">
        <w:rPr>
          <w:rFonts w:ascii="Verdana" w:hAnsi="Verdana" w:cs="Arial"/>
          <w:i/>
          <w:color w:val="000000" w:themeColor="text1"/>
          <w:lang w:val="es-ES_tradnl"/>
        </w:rPr>
        <w:t>contratos de prestación de servicios</w:t>
      </w:r>
      <w:r w:rsidRPr="008017F9">
        <w:rPr>
          <w:rFonts w:ascii="Verdana" w:hAnsi="Verdana" w:cs="Arial"/>
          <w:color w:val="000000" w:themeColor="text1"/>
          <w:lang w:val="es-ES_tradnl"/>
        </w:rPr>
        <w:t>, dentro del cual también se ubican, como especies, los contratos de prestación de servicios de apoyo a la gestión y los contratos de prestación de servicios artísticos que solo pueden encomendarse a determinadas personas naturales</w:t>
      </w:r>
      <w:r w:rsidRPr="008017F9">
        <w:rPr>
          <w:rStyle w:val="Refdenotaalpie"/>
          <w:rFonts w:ascii="Verdana" w:hAnsi="Verdana" w:cs="Arial"/>
          <w:color w:val="000000" w:themeColor="text1"/>
          <w:lang w:val="es-ES_tradnl"/>
        </w:rPr>
        <w:footnoteReference w:id="5"/>
      </w:r>
      <w:r w:rsidRPr="008017F9">
        <w:rPr>
          <w:rFonts w:ascii="Verdana" w:hAnsi="Verdana" w:cs="Arial"/>
          <w:color w:val="000000" w:themeColor="text1"/>
          <w:lang w:val="es-ES_tradnl"/>
        </w:rPr>
        <w:t>.</w:t>
      </w:r>
    </w:p>
    <w:p w14:paraId="6A9455A8" w14:textId="77777777" w:rsidR="001E1142" w:rsidRPr="008017F9" w:rsidRDefault="001E1142" w:rsidP="001E1142">
      <w:pPr>
        <w:spacing w:line="240" w:lineRule="auto"/>
        <w:ind w:left="709"/>
        <w:jc w:val="both"/>
        <w:rPr>
          <w:rFonts w:ascii="Verdana" w:hAnsi="Verdana" w:cs="Arial"/>
          <w:color w:val="000000" w:themeColor="text1"/>
          <w:lang w:val="es-ES_tradnl"/>
        </w:rPr>
      </w:pPr>
      <w:r>
        <w:rPr>
          <w:rFonts w:ascii="Verdana" w:hAnsi="Verdana" w:cs="Arial"/>
          <w:color w:val="000000" w:themeColor="text1"/>
          <w:lang w:val="es-ES_tradnl"/>
        </w:rPr>
        <w:t>VI</w:t>
      </w:r>
      <w:r w:rsidRPr="008017F9">
        <w:rPr>
          <w:rFonts w:ascii="Verdana" w:hAnsi="Verdana" w:cs="Arial"/>
          <w:color w:val="000000" w:themeColor="text1"/>
          <w:lang w:val="es-ES_tradnl"/>
        </w:rPr>
        <w:t>) Su celebración debe realizarse a través de la modalidad de contratación directa, independientemente de la cuantía y del tipo de servicio profesional</w:t>
      </w:r>
      <w:r>
        <w:rPr>
          <w:rFonts w:ascii="Verdana" w:hAnsi="Verdana" w:cs="Arial"/>
          <w:color w:val="000000" w:themeColor="text1"/>
          <w:lang w:val="es-ES_tradnl"/>
        </w:rPr>
        <w:t>.</w:t>
      </w:r>
    </w:p>
    <w:p w14:paraId="57A70B8A" w14:textId="77777777" w:rsidR="001E1142" w:rsidRPr="008017F9" w:rsidRDefault="001E1142" w:rsidP="001E1142">
      <w:pPr>
        <w:spacing w:before="120" w:after="120" w:line="240" w:lineRule="auto"/>
        <w:ind w:left="709"/>
        <w:jc w:val="both"/>
        <w:rPr>
          <w:rFonts w:ascii="Verdana" w:hAnsi="Verdana" w:cs="Arial"/>
          <w:color w:val="000000" w:themeColor="text1"/>
          <w:lang w:val="es-ES_tradnl"/>
        </w:rPr>
      </w:pPr>
      <w:r>
        <w:rPr>
          <w:rFonts w:ascii="Verdana" w:hAnsi="Verdana" w:cs="Arial"/>
          <w:color w:val="000000" w:themeColor="text1"/>
          <w:lang w:val="es-ES_tradnl"/>
        </w:rPr>
        <w:t>VII</w:t>
      </w:r>
      <w:r w:rsidRPr="008017F9">
        <w:rPr>
          <w:rFonts w:ascii="Verdana" w:hAnsi="Verdana" w:cs="Arial"/>
          <w:color w:val="000000" w:themeColor="text1"/>
          <w:lang w:val="es-ES_tradnl"/>
        </w:rPr>
        <w:t>) Para su celebración no se requiere la expedición del acto administrativo de justificación de la contratación directa</w:t>
      </w:r>
      <w:r w:rsidRPr="008017F9">
        <w:rPr>
          <w:rStyle w:val="Refdenotaalpie"/>
          <w:rFonts w:ascii="Verdana" w:hAnsi="Verdana" w:cs="Arial"/>
          <w:color w:val="000000" w:themeColor="text1"/>
          <w:lang w:val="es-ES_tradnl"/>
        </w:rPr>
        <w:footnoteReference w:id="6"/>
      </w:r>
      <w:r w:rsidRPr="008017F9">
        <w:rPr>
          <w:rFonts w:ascii="Verdana" w:hAnsi="Verdana" w:cs="Arial"/>
          <w:color w:val="000000" w:themeColor="text1"/>
          <w:lang w:val="es-ES_tradnl"/>
        </w:rPr>
        <w:t xml:space="preserve">. </w:t>
      </w:r>
    </w:p>
    <w:p w14:paraId="3E728121" w14:textId="77777777" w:rsidR="001E1142" w:rsidRPr="008017F9" w:rsidRDefault="001E1142" w:rsidP="34880372">
      <w:pPr>
        <w:spacing w:before="120" w:after="120" w:line="240" w:lineRule="auto"/>
        <w:ind w:left="709"/>
        <w:jc w:val="both"/>
        <w:rPr>
          <w:rFonts w:ascii="Verdana" w:hAnsi="Verdana" w:cs="Arial"/>
          <w:color w:val="000000" w:themeColor="text1"/>
          <w:lang w:val="es-ES"/>
        </w:rPr>
      </w:pPr>
      <w:r w:rsidRPr="34880372">
        <w:rPr>
          <w:rFonts w:ascii="Verdana" w:hAnsi="Verdana" w:cs="Arial"/>
          <w:color w:val="000000" w:themeColor="text1"/>
          <w:lang w:val="es-ES"/>
        </w:rPr>
        <w:t>VIII) Admiten el pacto de cláusulas excepcionales. Es decir, en los contratos de prestación de servicios profesionales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34880372">
        <w:rPr>
          <w:rStyle w:val="Refdenotaalpie"/>
          <w:rFonts w:ascii="Verdana" w:hAnsi="Verdana" w:cs="Arial"/>
          <w:color w:val="000000" w:themeColor="text1"/>
          <w:lang w:val="es-ES"/>
        </w:rPr>
        <w:footnoteReference w:id="7"/>
      </w:r>
      <w:r w:rsidRPr="34880372">
        <w:rPr>
          <w:rFonts w:ascii="Verdana" w:hAnsi="Verdana" w:cs="Arial"/>
          <w:color w:val="000000" w:themeColor="text1"/>
          <w:lang w:val="es-ES"/>
        </w:rPr>
        <w:t>.</w:t>
      </w:r>
    </w:p>
    <w:p w14:paraId="49D09A37" w14:textId="77777777" w:rsidR="001E1142" w:rsidRDefault="001E1142" w:rsidP="001E1142">
      <w:pPr>
        <w:spacing w:before="120" w:after="120" w:line="240" w:lineRule="auto"/>
        <w:ind w:left="709"/>
        <w:jc w:val="both"/>
        <w:rPr>
          <w:rFonts w:ascii="Verdana" w:hAnsi="Verdana" w:cs="Arial"/>
          <w:color w:val="000000" w:themeColor="text1"/>
          <w:lang w:val="es-ES_tradnl"/>
        </w:rPr>
      </w:pPr>
      <w:r>
        <w:rPr>
          <w:rFonts w:ascii="Verdana" w:hAnsi="Verdana" w:cs="Arial"/>
          <w:color w:val="000000" w:themeColor="text1"/>
          <w:lang w:val="es-ES_tradnl"/>
        </w:rPr>
        <w:t>IX</w:t>
      </w:r>
      <w:r w:rsidRPr="008017F9">
        <w:rPr>
          <w:rFonts w:ascii="Verdana" w:hAnsi="Verdana" w:cs="Arial"/>
          <w:color w:val="000000" w:themeColor="text1"/>
          <w:lang w:val="es-ES_tradnl"/>
        </w:rPr>
        <w:t>) En ellos no es obligatoria la liquidación, pues así lo estableció el artículo 217 del Decreto 019 de 2012, que modificó el artículo 60 de la Ley 80 de 1993</w:t>
      </w:r>
      <w:r w:rsidRPr="008017F9">
        <w:rPr>
          <w:rStyle w:val="Refdenotaalpie"/>
          <w:rFonts w:ascii="Verdana" w:hAnsi="Verdana" w:cs="Arial"/>
          <w:color w:val="000000" w:themeColor="text1"/>
          <w:lang w:val="es-ES_tradnl"/>
        </w:rPr>
        <w:footnoteReference w:id="8"/>
      </w:r>
      <w:r w:rsidRPr="008017F9">
        <w:rPr>
          <w:rFonts w:ascii="Verdana" w:hAnsi="Verdana" w:cs="Arial"/>
          <w:color w:val="000000" w:themeColor="text1"/>
          <w:lang w:val="es-ES_tradnl"/>
        </w:rPr>
        <w:t>.</w:t>
      </w:r>
    </w:p>
    <w:p w14:paraId="62B917E7" w14:textId="77777777" w:rsidR="001E1142" w:rsidRPr="008017F9" w:rsidRDefault="001E1142" w:rsidP="001E1142">
      <w:pPr>
        <w:spacing w:before="120" w:after="120" w:line="240" w:lineRule="auto"/>
        <w:ind w:left="709"/>
        <w:jc w:val="both"/>
        <w:rPr>
          <w:rFonts w:ascii="Verdana" w:hAnsi="Verdana" w:cs="Arial"/>
          <w:color w:val="000000" w:themeColor="text1"/>
          <w:lang w:val="es-ES_tradnl"/>
        </w:rPr>
      </w:pPr>
      <w:r>
        <w:rPr>
          <w:rFonts w:ascii="Verdana" w:hAnsi="Verdana" w:cs="Arial"/>
          <w:color w:val="000000" w:themeColor="text1"/>
          <w:lang w:val="es-ES_tradnl"/>
        </w:rPr>
        <w:lastRenderedPageBreak/>
        <w:t>X</w:t>
      </w:r>
      <w:r w:rsidRPr="008017F9">
        <w:rPr>
          <w:rFonts w:ascii="Verdana" w:hAnsi="Verdana" w:cs="Arial"/>
          <w:color w:val="000000" w:themeColor="text1"/>
          <w:lang w:val="es-ES_tradnl"/>
        </w:rPr>
        <w:t>) Para su celebración no se requiere inscripción en el Registro Único de Proponentes (RUP), según lo prevé el artículo 6 de la Ley 1150 de 2007</w:t>
      </w:r>
      <w:r w:rsidRPr="008017F9">
        <w:rPr>
          <w:rStyle w:val="Refdenotaalpie"/>
          <w:rFonts w:ascii="Verdana" w:hAnsi="Verdana" w:cs="Arial"/>
          <w:color w:val="000000" w:themeColor="text1"/>
          <w:lang w:val="es-ES_tradnl"/>
        </w:rPr>
        <w:footnoteReference w:id="9"/>
      </w:r>
      <w:r w:rsidRPr="008017F9">
        <w:rPr>
          <w:rFonts w:ascii="Verdana" w:hAnsi="Verdana" w:cs="Arial"/>
          <w:color w:val="000000" w:themeColor="text1"/>
          <w:lang w:val="es-ES_tradnl"/>
        </w:rPr>
        <w:t>.</w:t>
      </w:r>
    </w:p>
    <w:p w14:paraId="71D6F6A5" w14:textId="77777777" w:rsidR="001E1142" w:rsidRDefault="001E1142" w:rsidP="001E1142">
      <w:pPr>
        <w:pStyle w:val="Prrafodelista"/>
        <w:spacing w:line="240" w:lineRule="auto"/>
        <w:ind w:left="709"/>
        <w:jc w:val="both"/>
        <w:rPr>
          <w:rFonts w:ascii="Verdana" w:hAnsi="Verdana" w:cs="Arial"/>
          <w:color w:val="000000" w:themeColor="text1"/>
          <w:lang w:val="es-ES_tradnl"/>
        </w:rPr>
      </w:pPr>
      <w:r>
        <w:rPr>
          <w:rFonts w:ascii="Verdana" w:hAnsi="Verdana" w:cs="Arial"/>
          <w:color w:val="000000" w:themeColor="text1"/>
          <w:lang w:val="es-ES_tradnl"/>
        </w:rPr>
        <w:t>XI</w:t>
      </w:r>
      <w:r w:rsidRPr="008017F9">
        <w:rPr>
          <w:rFonts w:ascii="Verdana" w:hAnsi="Verdana" w:cs="Arial"/>
          <w:color w:val="000000" w:themeColor="text1"/>
          <w:lang w:val="es-ES_tradnl"/>
        </w:rPr>
        <w:t>) En ellos no son necesarias las garantías</w:t>
      </w:r>
      <w:r w:rsidRPr="008017F9">
        <w:rPr>
          <w:rStyle w:val="Refdenotaalpie"/>
          <w:rFonts w:ascii="Verdana" w:hAnsi="Verdana" w:cs="Arial"/>
          <w:color w:val="000000" w:themeColor="text1"/>
          <w:lang w:val="es-ES_tradnl"/>
        </w:rPr>
        <w:footnoteReference w:id="10"/>
      </w:r>
      <w:r w:rsidRPr="008017F9">
        <w:rPr>
          <w:rFonts w:ascii="Verdana" w:hAnsi="Verdana" w:cs="Arial"/>
          <w:color w:val="000000" w:themeColor="text1"/>
          <w:lang w:val="es-ES_tradnl"/>
        </w:rPr>
        <w:t>.</w:t>
      </w:r>
    </w:p>
    <w:p w14:paraId="1DF44FB5" w14:textId="77777777" w:rsidR="0066197B" w:rsidRDefault="0066197B" w:rsidP="001E1142">
      <w:pPr>
        <w:pStyle w:val="Prrafodelista"/>
        <w:spacing w:line="240" w:lineRule="auto"/>
        <w:ind w:left="709"/>
        <w:jc w:val="both"/>
        <w:rPr>
          <w:rFonts w:ascii="Verdana" w:hAnsi="Verdana" w:cs="Arial"/>
          <w:color w:val="000000" w:themeColor="text1"/>
          <w:lang w:val="es-ES_tradnl"/>
        </w:rPr>
      </w:pPr>
    </w:p>
    <w:p w14:paraId="2F9762E6" w14:textId="519CC76D" w:rsidR="001E1142" w:rsidRPr="00616D4E" w:rsidRDefault="001E1142" w:rsidP="001E1142">
      <w:pPr>
        <w:pStyle w:val="Prrafodelista"/>
        <w:numPr>
          <w:ilvl w:val="0"/>
          <w:numId w:val="30"/>
        </w:numPr>
        <w:spacing w:after="0" w:line="240" w:lineRule="auto"/>
        <w:jc w:val="both"/>
        <w:rPr>
          <w:rFonts w:ascii="Verdana" w:hAnsi="Verdana" w:cs="Arial"/>
          <w:color w:val="000000" w:themeColor="text1"/>
          <w:lang w:val="es-ES_tradnl"/>
        </w:rPr>
      </w:pPr>
      <w:r w:rsidRPr="00616D4E">
        <w:rPr>
          <w:rFonts w:ascii="Verdana" w:eastAsia="Yu Gothic UI Semibold" w:hAnsi="Verdana" w:cs="Arial"/>
          <w:color w:val="000000"/>
          <w:lang w:val="es-ES_tradnl"/>
        </w:rPr>
        <w:t xml:space="preserve">En este punto, </w:t>
      </w:r>
      <w:r w:rsidRPr="00616D4E">
        <w:rPr>
          <w:rStyle w:val="normaltextrun"/>
          <w:rFonts w:ascii="Verdana" w:hAnsi="Verdana" w:cs="Arial"/>
          <w:color w:val="000000"/>
        </w:rPr>
        <w:t>analizados los requisitos y límites de los contratos de prestación de servicios profesionales, se concluye que es posible celebrar dos o más contratos de prestación de servicios profesionales con el mismo objeto por parte de una entidad. Pero, para que ello sea viable deben cumplirse los requisitos mencionados anteriormente, pues se recuerda que la celebración del contrato de prestación de servicios profesionales con una persona natural es </w:t>
      </w:r>
      <w:r w:rsidRPr="00616D4E">
        <w:rPr>
          <w:rStyle w:val="normaltextrun"/>
          <w:rFonts w:ascii="Verdana" w:hAnsi="Verdana" w:cs="Arial"/>
          <w:i/>
          <w:iCs/>
          <w:color w:val="000000"/>
        </w:rPr>
        <w:t>excepcional</w:t>
      </w:r>
      <w:r w:rsidRPr="00616D4E">
        <w:rPr>
          <w:rStyle w:val="normaltextrun"/>
          <w:rFonts w:ascii="Verdana" w:hAnsi="Verdana" w:cs="Arial"/>
          <w:color w:val="000000"/>
        </w:rPr>
        <w:t>, ya que solo es admisible cuando las «actividades no puedan realizarse con personal de planta o requieran conocimientos</w:t>
      </w:r>
      <w:r w:rsidR="000178A7">
        <w:rPr>
          <w:rStyle w:val="normaltextrun"/>
          <w:rFonts w:ascii="Verdana" w:hAnsi="Verdana" w:cs="Arial"/>
          <w:color w:val="000000"/>
        </w:rPr>
        <w:t xml:space="preserve"> </w:t>
      </w:r>
      <w:r w:rsidRPr="00616D4E">
        <w:rPr>
          <w:rStyle w:val="normaltextrun"/>
          <w:rFonts w:ascii="Verdana" w:hAnsi="Verdana" w:cs="Arial"/>
          <w:color w:val="000000"/>
        </w:rPr>
        <w:t>especializados», lo cual debe justificarse satisfactoriamente en los estudios previos. Además, dicho contrato debe ser </w:t>
      </w:r>
      <w:r w:rsidRPr="00616D4E">
        <w:rPr>
          <w:rStyle w:val="normaltextrun"/>
          <w:rFonts w:ascii="Verdana" w:hAnsi="Verdana" w:cs="Arial"/>
          <w:i/>
          <w:iCs/>
          <w:color w:val="000000"/>
        </w:rPr>
        <w:t>temporal</w:t>
      </w:r>
      <w:r w:rsidRPr="00616D4E">
        <w:rPr>
          <w:rStyle w:val="normaltextrun"/>
          <w:rFonts w:ascii="Verdana" w:hAnsi="Verdana" w:cs="Arial"/>
          <w:color w:val="000000"/>
        </w:rPr>
        <w:t> y no puede servir para la creación de nóminas paralelas</w:t>
      </w:r>
      <w:r w:rsidRPr="00616D4E">
        <w:rPr>
          <w:rStyle w:val="superscript"/>
          <w:rFonts w:ascii="Verdana" w:hAnsi="Verdana" w:cs="Arial"/>
          <w:color w:val="000000"/>
          <w:vertAlign w:val="superscript"/>
        </w:rPr>
        <w:t>13</w:t>
      </w:r>
      <w:r w:rsidRPr="00616D4E">
        <w:rPr>
          <w:rStyle w:val="normaltextrun"/>
          <w:rFonts w:ascii="Verdana" w:hAnsi="Verdana" w:cs="Arial"/>
          <w:color w:val="000000"/>
        </w:rPr>
        <w:t>.</w:t>
      </w:r>
    </w:p>
    <w:p w14:paraId="5DB9DA62" w14:textId="77777777" w:rsidR="001E1142" w:rsidRDefault="001E1142" w:rsidP="001E1142">
      <w:pPr>
        <w:pStyle w:val="Prrafodelista"/>
        <w:spacing w:line="276" w:lineRule="auto"/>
        <w:jc w:val="both"/>
        <w:rPr>
          <w:rFonts w:ascii="Verdana" w:hAnsi="Verdana" w:cs="Arial"/>
          <w:color w:val="000000" w:themeColor="text1"/>
          <w:lang w:val="es-ES_tradnl"/>
        </w:rPr>
      </w:pPr>
    </w:p>
    <w:p w14:paraId="3DFBD0B8" w14:textId="776BD075" w:rsidR="001E1142" w:rsidRDefault="001E1142" w:rsidP="001E1142">
      <w:pPr>
        <w:pStyle w:val="Prrafodelista"/>
        <w:numPr>
          <w:ilvl w:val="0"/>
          <w:numId w:val="30"/>
        </w:numPr>
        <w:spacing w:after="120" w:line="276" w:lineRule="auto"/>
        <w:jc w:val="both"/>
        <w:rPr>
          <w:rFonts w:ascii="Verdana" w:eastAsia="Calibri" w:hAnsi="Verdana" w:cs="Arial"/>
        </w:rPr>
      </w:pPr>
      <w:bookmarkStart w:id="8" w:name="_Hlk69116337"/>
      <w:r w:rsidRPr="00B14A36">
        <w:rPr>
          <w:rFonts w:ascii="Verdana" w:eastAsia="Calibri" w:hAnsi="Verdana" w:cs="Arial"/>
        </w:rPr>
        <w:t xml:space="preserve">El último inciso del artículo 2.8.4.4.5 del Decreto 1068 de 2015 establece una prohibición general, de conformidad con la cual no es posible que se celebren contratos de prestación de servicios con objeto similar a otros que se encuentren vigentes. La excepción a esta prohibición general está condicionada a la existencia de una autorización expresa por parte del </w:t>
      </w:r>
      <w:r w:rsidR="00971A5E">
        <w:rPr>
          <w:rFonts w:ascii="Verdana" w:eastAsia="Calibri" w:hAnsi="Verdana" w:cs="Arial"/>
        </w:rPr>
        <w:t>“</w:t>
      </w:r>
      <w:r w:rsidRPr="00B14A36">
        <w:rPr>
          <w:rFonts w:ascii="Verdana" w:eastAsia="Calibri" w:hAnsi="Verdana" w:cs="Arial"/>
        </w:rPr>
        <w:t>jefe del respectivo órgano, ente o entidad contratante</w:t>
      </w:r>
      <w:r w:rsidR="00971A5E">
        <w:rPr>
          <w:rFonts w:ascii="Verdana" w:eastAsia="Calibri" w:hAnsi="Verdana" w:cs="Arial"/>
        </w:rPr>
        <w:t>”</w:t>
      </w:r>
      <w:r w:rsidRPr="00B14A36">
        <w:rPr>
          <w:rFonts w:ascii="Verdana" w:eastAsia="Calibri" w:hAnsi="Verdana" w:cs="Arial"/>
        </w:rPr>
        <w:t>.</w:t>
      </w:r>
      <w:bookmarkEnd w:id="8"/>
    </w:p>
    <w:p w14:paraId="00830B00" w14:textId="77777777" w:rsidR="001E1142" w:rsidRPr="00616D4E" w:rsidRDefault="001E1142" w:rsidP="001E1142">
      <w:pPr>
        <w:pStyle w:val="Prrafodelista"/>
        <w:rPr>
          <w:rFonts w:ascii="Verdana" w:eastAsia="Calibri" w:hAnsi="Verdana" w:cs="Arial"/>
        </w:rPr>
      </w:pPr>
    </w:p>
    <w:p w14:paraId="3E499E8C" w14:textId="77777777" w:rsidR="001E1142" w:rsidRPr="00616D4E" w:rsidRDefault="001E1142" w:rsidP="001E1142">
      <w:pPr>
        <w:pStyle w:val="Prrafodelista"/>
        <w:numPr>
          <w:ilvl w:val="0"/>
          <w:numId w:val="30"/>
        </w:numPr>
        <w:spacing w:after="120" w:line="276" w:lineRule="auto"/>
        <w:jc w:val="both"/>
        <w:rPr>
          <w:rFonts w:ascii="Verdana" w:eastAsia="Calibri" w:hAnsi="Verdana" w:cs="Arial"/>
        </w:rPr>
      </w:pPr>
      <w:r w:rsidRPr="00616D4E">
        <w:rPr>
          <w:rFonts w:ascii="Verdana" w:eastAsia="Calibri" w:hAnsi="Verdana" w:cs="Arial"/>
        </w:rPr>
        <w:t>Ahora bien, cuando la norma se refiere al jefe del respectivo órgano, ente o entidad, alude al representante legal de la misma. Es decir, alude a quien detenta el más alto cargo de dirección en la respectiva entidad, por ejemplo, el gobernador, el alcalde, el director de departamento administrativo, el superintendente y, por supuesto, el ministro, en el caso puntual de los ministerios, de conformidad con los literales a), b) y c) del numeral 3 del artículo 11 de la Ley 80 de 1993</w:t>
      </w:r>
      <w:r w:rsidRPr="00616D4E">
        <w:rPr>
          <w:rFonts w:ascii="Verdana" w:hAnsi="Verdana"/>
        </w:rPr>
        <w:t>.</w:t>
      </w:r>
    </w:p>
    <w:p w14:paraId="29542665" w14:textId="77777777" w:rsidR="001E1142" w:rsidRPr="00616D4E" w:rsidRDefault="001E1142" w:rsidP="001E1142">
      <w:pPr>
        <w:pStyle w:val="Prrafodelista"/>
        <w:rPr>
          <w:rFonts w:ascii="Verdana" w:eastAsia="Calibri" w:hAnsi="Verdana" w:cs="Arial"/>
        </w:rPr>
      </w:pPr>
    </w:p>
    <w:p w14:paraId="0525DA63" w14:textId="12542AE8" w:rsidR="00B52870" w:rsidRDefault="00A71FA6" w:rsidP="00B52870">
      <w:pPr>
        <w:pStyle w:val="Prrafodelista"/>
        <w:numPr>
          <w:ilvl w:val="0"/>
          <w:numId w:val="30"/>
        </w:numPr>
        <w:spacing w:after="120" w:line="276" w:lineRule="auto"/>
        <w:jc w:val="both"/>
        <w:rPr>
          <w:rFonts w:ascii="Verdana" w:eastAsia="Calibri" w:hAnsi="Verdana" w:cs="Arial"/>
        </w:rPr>
      </w:pPr>
      <w:r>
        <w:rPr>
          <w:rFonts w:ascii="Verdana" w:eastAsia="Calibri" w:hAnsi="Verdana" w:cs="Arial"/>
        </w:rPr>
        <w:lastRenderedPageBreak/>
        <w:t>Asi las cosas,</w:t>
      </w:r>
      <w:r w:rsidR="001E1142" w:rsidRPr="00616D4E">
        <w:rPr>
          <w:rFonts w:ascii="Verdana" w:eastAsia="Calibri" w:hAnsi="Verdana" w:cs="Arial"/>
        </w:rPr>
        <w:t xml:space="preserve"> cuando el artículo 2.8.4.4.5 del Decreto 1068 de 2015 establece que no se podrán suscribir contratos de prestación de servicios con el mismo objeto de otros que se encuentren vigentes en la misma entidad, salvo autorización expresa del jefe de la entidad, se refiere al representante legal de la misma.</w:t>
      </w:r>
    </w:p>
    <w:p w14:paraId="1837B9CB" w14:textId="77777777" w:rsidR="00B52870" w:rsidRPr="00B52870" w:rsidRDefault="00B52870" w:rsidP="00B52870">
      <w:pPr>
        <w:pStyle w:val="Prrafodelista"/>
        <w:rPr>
          <w:rFonts w:ascii="Verdana" w:eastAsia="Calibri" w:hAnsi="Verdana" w:cs="Arial"/>
          <w:color w:val="000000"/>
          <w:kern w:val="2"/>
          <w:lang w:val="es-ES_tradnl"/>
          <w14:ligatures w14:val="standardContextual"/>
        </w:rPr>
      </w:pPr>
    </w:p>
    <w:p w14:paraId="45D50B3C" w14:textId="06489A08" w:rsidR="00B52870" w:rsidRPr="00B52870" w:rsidRDefault="00971A5E" w:rsidP="00B52870">
      <w:pPr>
        <w:pStyle w:val="Prrafodelista"/>
        <w:numPr>
          <w:ilvl w:val="0"/>
          <w:numId w:val="30"/>
        </w:numPr>
        <w:spacing w:after="120" w:line="276" w:lineRule="auto"/>
        <w:jc w:val="both"/>
        <w:rPr>
          <w:rFonts w:ascii="Verdana" w:eastAsia="Calibri" w:hAnsi="Verdana" w:cs="Arial"/>
        </w:rPr>
      </w:pPr>
      <w:r w:rsidRPr="00B52870">
        <w:rPr>
          <w:rFonts w:ascii="Verdana" w:eastAsia="Calibri" w:hAnsi="Verdana" w:cs="Arial"/>
          <w:color w:val="000000"/>
          <w:kern w:val="2"/>
          <w:lang w:val="es-ES_tradnl"/>
          <w14:ligatures w14:val="standardContextual"/>
        </w:rPr>
        <w:t xml:space="preserve">Por otra </w:t>
      </w:r>
      <w:r w:rsidR="00960D42" w:rsidRPr="00B52870">
        <w:rPr>
          <w:rFonts w:ascii="Verdana" w:eastAsia="Calibri" w:hAnsi="Verdana" w:cs="Arial"/>
          <w:color w:val="000000"/>
          <w:kern w:val="2"/>
          <w:lang w:val="es-ES_tradnl"/>
          <w14:ligatures w14:val="standardContextual"/>
        </w:rPr>
        <w:t>parte,</w:t>
      </w:r>
      <w:r w:rsidRPr="00B52870">
        <w:rPr>
          <w:rFonts w:ascii="Verdana" w:eastAsia="Calibri" w:hAnsi="Verdana" w:cs="Arial"/>
          <w:color w:val="000000"/>
          <w:kern w:val="2"/>
          <w:lang w:val="es-ES_tradnl"/>
          <w14:ligatures w14:val="standardContextual"/>
        </w:rPr>
        <w:t xml:space="preserve"> y en relación con las entidades de régimen especial </w:t>
      </w:r>
      <w:r w:rsidR="00B52870" w:rsidRPr="00B52870">
        <w:rPr>
          <w:rFonts w:ascii="Verdana" w:eastAsia="Calibri" w:hAnsi="Verdana" w:cs="Arial"/>
          <w:color w:val="000000"/>
          <w:kern w:val="2"/>
          <w:lang w:val="es-ES_tradnl"/>
          <w14:ligatures w14:val="standardContextual"/>
        </w:rPr>
        <w:t>es de precisar que</w:t>
      </w:r>
      <w:r w:rsidRPr="00B52870">
        <w:rPr>
          <w:rFonts w:ascii="Verdana" w:eastAsia="Calibri" w:hAnsi="Verdana" w:cs="Arial"/>
          <w:color w:val="000000"/>
          <w:kern w:val="2"/>
          <w:lang w:val="es-ES_tradnl"/>
          <w14:ligatures w14:val="standardContextual"/>
        </w:rPr>
        <w:t xml:space="preserv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w:t>
      </w:r>
      <w:r w:rsidRPr="00B52870">
        <w:rPr>
          <w:rFonts w:ascii="Verdana" w:eastAsia="Calibri" w:hAnsi="Verdana" w:cs="Arial"/>
          <w:i/>
          <w:iCs/>
          <w:color w:val="000000"/>
          <w:kern w:val="2"/>
          <w:lang w:val="es-ES_tradnl"/>
          <w14:ligatures w14:val="standardContextual"/>
        </w:rPr>
        <w:t>las normas de creación de las entidades de régimen especial y en sus manuales de contratación</w:t>
      </w:r>
      <w:r w:rsidRPr="00B52870">
        <w:rPr>
          <w:rFonts w:ascii="Verdana" w:eastAsia="Calibri" w:hAnsi="Verdana" w:cs="Arial"/>
          <w:color w:val="000000"/>
          <w:kern w:val="2"/>
          <w:lang w:val="es-ES_tradnl"/>
          <w14:ligatures w14:val="standardContextual"/>
        </w:rPr>
        <w:t xml:space="preserve">. </w:t>
      </w:r>
    </w:p>
    <w:p w14:paraId="191CE95F" w14:textId="77777777" w:rsidR="00B52870" w:rsidRPr="00B52870" w:rsidRDefault="00B52870" w:rsidP="00B52870">
      <w:pPr>
        <w:pStyle w:val="Prrafodelista"/>
        <w:rPr>
          <w:rFonts w:ascii="Verdana" w:eastAsia="Aptos" w:hAnsi="Verdana" w:cs="Arial"/>
          <w:bCs/>
          <w:kern w:val="2"/>
          <w14:ligatures w14:val="standardContextual"/>
        </w:rPr>
      </w:pPr>
    </w:p>
    <w:p w14:paraId="10D16FE2" w14:textId="77777777" w:rsidR="00B52870" w:rsidRPr="00B52870" w:rsidRDefault="00971A5E" w:rsidP="00B52870">
      <w:pPr>
        <w:pStyle w:val="Prrafodelista"/>
        <w:numPr>
          <w:ilvl w:val="0"/>
          <w:numId w:val="30"/>
        </w:numPr>
        <w:spacing w:after="120" w:line="276" w:lineRule="auto"/>
        <w:jc w:val="both"/>
        <w:rPr>
          <w:rFonts w:ascii="Verdana" w:eastAsia="Calibri" w:hAnsi="Verdana" w:cs="Arial"/>
        </w:rPr>
      </w:pPr>
      <w:r w:rsidRPr="00B52870">
        <w:rPr>
          <w:rFonts w:ascii="Verdana" w:eastAsia="Aptos" w:hAnsi="Verdana" w:cs="Arial"/>
          <w:bCs/>
          <w:kern w:val="2"/>
          <w14:ligatures w14:val="standardContextual"/>
        </w:rPr>
        <w:t>El régimen de derecho privado que, por regla general, caracteriza a los regímenes especiales no significa que no existan “dosis” de derecho público administrativo que tienen como fin último garantizar que los regímenes especiales de contratación también se ordenan hacia la consecución de los fines del Estado.</w:t>
      </w:r>
    </w:p>
    <w:p w14:paraId="4DBDE553" w14:textId="77777777" w:rsidR="00B52870" w:rsidRPr="00B52870" w:rsidRDefault="00B52870" w:rsidP="00B52870">
      <w:pPr>
        <w:pStyle w:val="Prrafodelista"/>
        <w:rPr>
          <w:rFonts w:ascii="Verdana" w:eastAsia="Aptos" w:hAnsi="Verdana" w:cs="Arial"/>
          <w:bCs/>
          <w:kern w:val="2"/>
          <w14:ligatures w14:val="standardContextual"/>
        </w:rPr>
      </w:pPr>
    </w:p>
    <w:p w14:paraId="2801D209" w14:textId="5FF338A8" w:rsidR="00971A5E" w:rsidRPr="00B52870" w:rsidRDefault="00971A5E" w:rsidP="00B52870">
      <w:pPr>
        <w:pStyle w:val="Prrafodelista"/>
        <w:numPr>
          <w:ilvl w:val="0"/>
          <w:numId w:val="30"/>
        </w:numPr>
        <w:spacing w:after="120" w:line="276" w:lineRule="auto"/>
        <w:jc w:val="both"/>
        <w:rPr>
          <w:rFonts w:ascii="Verdana" w:eastAsia="Calibri" w:hAnsi="Verdana" w:cs="Arial"/>
        </w:rPr>
      </w:pPr>
      <w:r w:rsidRPr="00B52870">
        <w:rPr>
          <w:rFonts w:ascii="Verdana" w:eastAsia="Aptos" w:hAnsi="Verdana" w:cs="Arial"/>
          <w:bCs/>
          <w:kern w:val="2"/>
          <w14:ligatures w14:val="standardContextual"/>
        </w:rPr>
        <w:t>Estas “dosis” 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que preceptúa lo siguiente:</w:t>
      </w:r>
    </w:p>
    <w:p w14:paraId="68E37AA2" w14:textId="77777777" w:rsidR="00971A5E" w:rsidRPr="000215A4" w:rsidRDefault="00971A5E" w:rsidP="00971A5E">
      <w:pPr>
        <w:spacing w:after="120" w:line="276" w:lineRule="auto"/>
        <w:ind w:firstLine="680"/>
        <w:jc w:val="both"/>
        <w:rPr>
          <w:rFonts w:ascii="Verdana" w:eastAsia="Aptos" w:hAnsi="Verdana" w:cs="Arial"/>
          <w:bCs/>
          <w:kern w:val="2"/>
          <w:lang w:val="es-ES"/>
          <w14:ligatures w14:val="standardContextual"/>
        </w:rPr>
      </w:pPr>
    </w:p>
    <w:p w14:paraId="79E4911C" w14:textId="77777777" w:rsidR="00971A5E" w:rsidRDefault="00971A5E" w:rsidP="00B52870">
      <w:pPr>
        <w:spacing w:after="120" w:line="240" w:lineRule="auto"/>
        <w:ind w:left="1134" w:right="709"/>
        <w:jc w:val="both"/>
        <w:rPr>
          <w:rFonts w:ascii="Verdana" w:eastAsia="Aptos" w:hAnsi="Verdana" w:cs="Arial"/>
          <w:bCs/>
          <w:kern w:val="2"/>
          <w:sz w:val="20"/>
          <w:szCs w:val="20"/>
          <w:lang w:val="es-ES_tradnl"/>
          <w14:ligatures w14:val="standardContextual"/>
        </w:rPr>
      </w:pPr>
      <w:r w:rsidRPr="000215A4">
        <w:rPr>
          <w:rFonts w:ascii="Verdana" w:eastAsia="Aptos" w:hAnsi="Verdana" w:cs="Arial"/>
          <w:bCs/>
          <w:kern w:val="2"/>
          <w:sz w:val="20"/>
          <w:szCs w:val="20"/>
          <w:lang w:val="es-ES_tradnl"/>
          <w14:ligatures w14:val="standardContextual"/>
        </w:rPr>
        <w:t>“Artículo 13. 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0215A4">
          <w:rPr>
            <w:rFonts w:ascii="Verdana" w:eastAsia="Aptos" w:hAnsi="Verdana" w:cs="Arial"/>
            <w:bCs/>
            <w:kern w:val="2"/>
            <w:sz w:val="20"/>
            <w:szCs w:val="20"/>
            <w:lang w:val="es-ES_tradnl"/>
            <w14:ligatures w14:val="standardContextual"/>
          </w:rPr>
          <w:t>209</w:t>
        </w:r>
      </w:hyperlink>
      <w:r w:rsidRPr="000215A4">
        <w:rPr>
          <w:rFonts w:ascii="Verdana" w:eastAsia="Aptos" w:hAnsi="Verdana" w:cs="Arial"/>
          <w:bCs/>
          <w:kern w:val="2"/>
          <w:sz w:val="20"/>
          <w:szCs w:val="20"/>
          <w:lang w:val="es-ES_tradnl"/>
          <w14:ligatures w14:val="standardContextual"/>
        </w:rPr>
        <w:t> y </w:t>
      </w:r>
      <w:hyperlink r:id="rId13" w:anchor="267" w:history="1">
        <w:r w:rsidRPr="000215A4">
          <w:rPr>
            <w:rFonts w:ascii="Verdana" w:eastAsia="Aptos" w:hAnsi="Verdana" w:cs="Arial"/>
            <w:bCs/>
            <w:kern w:val="2"/>
            <w:sz w:val="20"/>
            <w:szCs w:val="20"/>
            <w:lang w:val="es-ES_tradnl"/>
            <w14:ligatures w14:val="standardContextual"/>
          </w:rPr>
          <w:t>267</w:t>
        </w:r>
      </w:hyperlink>
      <w:r w:rsidRPr="000215A4">
        <w:rPr>
          <w:rFonts w:ascii="Verdana" w:eastAsia="Aptos" w:hAnsi="Verdana" w:cs="Arial"/>
          <w:bCs/>
          <w:kern w:val="2"/>
          <w:sz w:val="20"/>
          <w:szCs w:val="20"/>
          <w:lang w:val="es-ES_tradnl"/>
          <w14:ligatures w14:val="standardContextual"/>
        </w:rPr>
        <w:t> de la Constitución Política, respectivamente según sea el caso y estarán sometidas al régimen de inhabilidades e incompatibilidades previsto legalmente para la contratación estatal.”</w:t>
      </w:r>
    </w:p>
    <w:p w14:paraId="509FCD77" w14:textId="77777777" w:rsidR="00971A5E" w:rsidRPr="000215A4" w:rsidRDefault="00971A5E" w:rsidP="00971A5E">
      <w:pPr>
        <w:spacing w:after="120" w:line="240" w:lineRule="auto"/>
        <w:ind w:left="709" w:right="709"/>
        <w:jc w:val="both"/>
        <w:rPr>
          <w:rFonts w:ascii="Verdana" w:eastAsia="Aptos" w:hAnsi="Verdana" w:cs="Arial"/>
          <w:bCs/>
          <w:kern w:val="2"/>
          <w:sz w:val="20"/>
          <w:szCs w:val="20"/>
          <w:lang w:val="es-ES_tradnl"/>
          <w14:ligatures w14:val="standardContextual"/>
        </w:rPr>
      </w:pPr>
    </w:p>
    <w:p w14:paraId="1E4C34C1" w14:textId="77777777" w:rsidR="00B52870" w:rsidRDefault="00971A5E" w:rsidP="00B52870">
      <w:pPr>
        <w:pStyle w:val="Prrafodelista"/>
        <w:numPr>
          <w:ilvl w:val="0"/>
          <w:numId w:val="39"/>
        </w:numPr>
        <w:spacing w:after="120" w:line="276" w:lineRule="auto"/>
        <w:jc w:val="both"/>
        <w:rPr>
          <w:rFonts w:ascii="Verdana" w:eastAsia="Aptos" w:hAnsi="Verdana" w:cs="Arial"/>
          <w:bCs/>
          <w:kern w:val="2"/>
          <w14:ligatures w14:val="standardContextual"/>
        </w:rPr>
      </w:pPr>
      <w:r w:rsidRPr="00B52870">
        <w:rPr>
          <w:rFonts w:ascii="Verdana" w:eastAsia="Aptos" w:hAnsi="Verdana" w:cs="Arial"/>
          <w:bCs/>
          <w:kern w:val="2"/>
          <w14:ligatures w14:val="standardContextual"/>
        </w:rPr>
        <w:lastRenderedPageBreak/>
        <w:t>De conformidad con lo establecido en este artículo, las entidades estatales que cuenten con un régimen contractual excepcional al del EGCAP, esto es, regímenes especiales, “aplicarán en desarrollo de su actividad contractual […] los principios de la función administrativa y de la gestión fiscal […] y estarán sometidas al régimen de inhabilidades e incompatibilidades previsto legalmente para la contratación estatal”. La interpretación más adecuada de esta disposición implica admitir que su ámbito de aplicación ampara los supuestos de las entidades que tienen, como regla general, un régimen especial de contratación como cuando la entidad tenga un régimen especial solamente para cierto tipo de contratos, como es el supuesto del artículo 66 de la Ley 1523 de 2012.</w:t>
      </w:r>
    </w:p>
    <w:p w14:paraId="4D00D887" w14:textId="347F9A38" w:rsidR="00B52870" w:rsidRPr="00B52870" w:rsidRDefault="00971A5E" w:rsidP="00B52870">
      <w:pPr>
        <w:pStyle w:val="Prrafodelista"/>
        <w:spacing w:after="120" w:line="276" w:lineRule="auto"/>
        <w:jc w:val="both"/>
        <w:rPr>
          <w:rFonts w:ascii="Verdana" w:eastAsia="Aptos" w:hAnsi="Verdana" w:cs="Arial"/>
          <w:bCs/>
          <w:kern w:val="2"/>
          <w14:ligatures w14:val="standardContextual"/>
        </w:rPr>
      </w:pPr>
      <w:r w:rsidRPr="00B52870">
        <w:rPr>
          <w:rFonts w:ascii="Verdana" w:eastAsia="Aptos" w:hAnsi="Verdana" w:cs="Arial"/>
          <w:kern w:val="2"/>
          <w:lang w:val="es-MX"/>
          <w14:ligatures w14:val="standardContextual"/>
        </w:rPr>
        <w:t xml:space="preserve"> </w:t>
      </w:r>
    </w:p>
    <w:p w14:paraId="63BBFCEF" w14:textId="77777777" w:rsidR="00B52870" w:rsidRPr="00B52870" w:rsidRDefault="00971A5E" w:rsidP="00B52870">
      <w:pPr>
        <w:pStyle w:val="Prrafodelista"/>
        <w:numPr>
          <w:ilvl w:val="0"/>
          <w:numId w:val="39"/>
        </w:numPr>
        <w:spacing w:after="120" w:line="276" w:lineRule="auto"/>
        <w:jc w:val="both"/>
        <w:rPr>
          <w:rFonts w:ascii="Verdana" w:eastAsia="Aptos" w:hAnsi="Verdana" w:cs="Arial"/>
          <w:bCs/>
          <w:kern w:val="2"/>
          <w14:ligatures w14:val="standardContextual"/>
        </w:rPr>
      </w:pPr>
      <w:r w:rsidRPr="00B52870">
        <w:rPr>
          <w:rFonts w:ascii="Verdana" w:eastAsia="Aptos" w:hAnsi="Verdana" w:cs="Arial"/>
          <w:kern w:val="2"/>
          <w14:ligatures w14:val="standardContextual"/>
        </w:rPr>
        <w:t xml:space="preserve">En este sentido, las entidades con régimen especial están facultadas legalmente para desarrollar su actividad contractual con base en normas diferentes al EGCAP. Las normas precisas en materia contractual que deben aplicar estas entidades están determinadas por el instrumento normativo que se crea para el régimen especial, pero por regla general se trata del derecho privado, con los matices provenientes del derecho público. </w:t>
      </w:r>
    </w:p>
    <w:p w14:paraId="3DE33A56" w14:textId="77777777" w:rsidR="00B52870" w:rsidRPr="00B52870" w:rsidRDefault="00B52870" w:rsidP="00B52870">
      <w:pPr>
        <w:pStyle w:val="Prrafodelista"/>
        <w:rPr>
          <w:rFonts w:ascii="Verdana" w:eastAsia="Aptos" w:hAnsi="Verdana" w:cs="Arial"/>
          <w:kern w:val="2"/>
          <w:lang w:val="es-ES_tradnl"/>
          <w14:ligatures w14:val="standardContextual"/>
        </w:rPr>
      </w:pPr>
    </w:p>
    <w:p w14:paraId="57B0B803" w14:textId="14E30177" w:rsidR="00971A5E" w:rsidRPr="00B52870" w:rsidRDefault="00971A5E" w:rsidP="00B52870">
      <w:pPr>
        <w:pStyle w:val="Prrafodelista"/>
        <w:numPr>
          <w:ilvl w:val="0"/>
          <w:numId w:val="39"/>
        </w:numPr>
        <w:spacing w:after="120" w:line="276" w:lineRule="auto"/>
        <w:jc w:val="both"/>
        <w:rPr>
          <w:rFonts w:ascii="Verdana" w:eastAsia="Aptos" w:hAnsi="Verdana" w:cs="Arial"/>
          <w:bCs/>
          <w:kern w:val="2"/>
          <w14:ligatures w14:val="standardContextual"/>
        </w:rPr>
      </w:pPr>
      <w:r w:rsidRPr="00B52870">
        <w:rPr>
          <w:rFonts w:ascii="Verdana" w:eastAsia="Aptos" w:hAnsi="Verdana" w:cs="Arial"/>
          <w:kern w:val="2"/>
          <w:lang w:val="es-ES_tradnl"/>
          <w14:ligatures w14:val="standardContextual"/>
        </w:rPr>
        <w:t>Lo anterior es reafirmado por el Consejo de Estado en el caso particular de los manuales de contratación, que contiene algunas reglas que deben seguir las entidades con régimen especial en su actividad contractual:</w:t>
      </w:r>
    </w:p>
    <w:p w14:paraId="31903AE2" w14:textId="77777777" w:rsidR="00971A5E" w:rsidRPr="000215A4" w:rsidRDefault="00971A5E" w:rsidP="00B52870">
      <w:pPr>
        <w:spacing w:after="120" w:line="240" w:lineRule="auto"/>
        <w:ind w:left="1134" w:right="709"/>
        <w:jc w:val="both"/>
        <w:rPr>
          <w:rFonts w:ascii="Verdana" w:eastAsia="Aptos" w:hAnsi="Verdana" w:cs="Arial"/>
          <w:bCs/>
          <w:kern w:val="2"/>
          <w:sz w:val="20"/>
          <w:szCs w:val="20"/>
          <w:lang w:val="es-ES_tradnl"/>
          <w14:ligatures w14:val="standardContextual"/>
        </w:rPr>
      </w:pPr>
      <w:r w:rsidRPr="000215A4">
        <w:rPr>
          <w:rFonts w:ascii="Verdana" w:eastAsia="Aptos" w:hAnsi="Verdana" w:cs="Arial"/>
          <w:bCs/>
          <w:kern w:val="2"/>
          <w:sz w:val="20"/>
          <w:szCs w:val="20"/>
          <w:lang w:val="es-ES_tradnl"/>
          <w14:ligatures w14:val="standardContextua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52FCA3F" w14:textId="77777777" w:rsidR="00971A5E" w:rsidRDefault="00971A5E" w:rsidP="00B52870">
      <w:pPr>
        <w:spacing w:after="120" w:line="240" w:lineRule="auto"/>
        <w:ind w:left="1134" w:right="709"/>
        <w:jc w:val="both"/>
        <w:rPr>
          <w:rFonts w:ascii="Verdana" w:eastAsia="Aptos" w:hAnsi="Verdana" w:cs="Arial"/>
          <w:kern w:val="2"/>
          <w:sz w:val="20"/>
          <w:szCs w:val="20"/>
          <w:vertAlign w:val="superscript"/>
          <w:lang w:val="es-ES"/>
          <w14:ligatures w14:val="standardContextual"/>
        </w:rPr>
      </w:pPr>
      <w:r w:rsidRPr="000215A4">
        <w:rPr>
          <w:rFonts w:ascii="Verdana" w:eastAsia="Aptos" w:hAnsi="Verdana" w:cs="Arial"/>
          <w:kern w:val="2"/>
          <w:sz w:val="20"/>
          <w:szCs w:val="20"/>
          <w:lang w:val="es-ES"/>
          <w14:ligatures w14:val="standardContextual"/>
        </w:rPr>
        <w:t xml:space="preserve">La Sala entiende que el régimen preponderante domina y aporta el gran volumen de normas contractuales y que el régimen inspirador influye y ayuda a </w:t>
      </w:r>
      <w:proofErr w:type="gramStart"/>
      <w:r w:rsidRPr="000215A4">
        <w:rPr>
          <w:rFonts w:ascii="Verdana" w:eastAsia="Aptos" w:hAnsi="Verdana" w:cs="Arial"/>
          <w:kern w:val="2"/>
          <w:sz w:val="20"/>
          <w:szCs w:val="20"/>
          <w:lang w:val="es-ES"/>
          <w14:ligatures w14:val="standardContextual"/>
        </w:rPr>
        <w:t>interpretar</w:t>
      </w:r>
      <w:proofErr w:type="gramEnd"/>
      <w:r w:rsidRPr="000215A4">
        <w:rPr>
          <w:rFonts w:ascii="Verdana" w:eastAsia="Aptos" w:hAnsi="Verdana" w:cs="Arial"/>
          <w:kern w:val="2"/>
          <w:sz w:val="20"/>
          <w:szCs w:val="20"/>
          <w:lang w:val="es-ES"/>
          <w14:ligatures w14:val="standardContextual"/>
        </w:rPr>
        <w:t xml:space="preserve"> pero también transforma parte de esas instituciones, porque se suma a ellas, lo que no siempre se logra conservando intacta la institución privada sino introduciéndole modificaciones”</w:t>
      </w:r>
      <w:r w:rsidRPr="000215A4">
        <w:rPr>
          <w:rFonts w:ascii="Verdana" w:eastAsia="Aptos" w:hAnsi="Verdana" w:cs="Arial"/>
          <w:kern w:val="2"/>
          <w:sz w:val="20"/>
          <w:szCs w:val="20"/>
          <w:vertAlign w:val="superscript"/>
          <w:lang w:val="es-ES"/>
          <w14:ligatures w14:val="standardContextual"/>
        </w:rPr>
        <w:footnoteReference w:id="11"/>
      </w:r>
      <w:r w:rsidRPr="000215A4">
        <w:rPr>
          <w:rFonts w:ascii="Verdana" w:eastAsia="Aptos" w:hAnsi="Verdana" w:cs="Arial"/>
          <w:kern w:val="2"/>
          <w:sz w:val="20"/>
          <w:szCs w:val="20"/>
          <w:vertAlign w:val="superscript"/>
          <w:lang w:val="es-ES"/>
          <w14:ligatures w14:val="standardContextual"/>
        </w:rPr>
        <w:t>.</w:t>
      </w:r>
    </w:p>
    <w:p w14:paraId="6BFC706C" w14:textId="77777777" w:rsidR="00960D42" w:rsidRPr="000215A4" w:rsidRDefault="00960D42" w:rsidP="00B52870">
      <w:pPr>
        <w:spacing w:after="120" w:line="240" w:lineRule="auto"/>
        <w:ind w:left="1134" w:right="709"/>
        <w:jc w:val="both"/>
        <w:rPr>
          <w:rFonts w:ascii="Verdana" w:eastAsia="Aptos" w:hAnsi="Verdana" w:cs="Arial"/>
          <w:kern w:val="2"/>
          <w:sz w:val="20"/>
          <w:szCs w:val="20"/>
          <w:lang w:val="es-ES"/>
          <w14:ligatures w14:val="standardContextual"/>
        </w:rPr>
      </w:pPr>
    </w:p>
    <w:p w14:paraId="156E73B5" w14:textId="77777777" w:rsidR="00971A5E" w:rsidRDefault="00971A5E" w:rsidP="00B52870">
      <w:pPr>
        <w:pStyle w:val="Prrafodelista"/>
        <w:numPr>
          <w:ilvl w:val="0"/>
          <w:numId w:val="40"/>
        </w:numPr>
        <w:spacing w:after="120" w:line="276" w:lineRule="auto"/>
        <w:jc w:val="both"/>
        <w:rPr>
          <w:rFonts w:ascii="Verdana" w:eastAsia="Aptos" w:hAnsi="Verdana" w:cs="Arial"/>
          <w:kern w:val="2"/>
          <w:lang w:val="es-ES_tradnl"/>
          <w14:ligatures w14:val="standardContextual"/>
        </w:rPr>
      </w:pPr>
      <w:r w:rsidRPr="00B52870">
        <w:rPr>
          <w:rFonts w:ascii="Verdana" w:eastAsia="Aptos" w:hAnsi="Verdana" w:cs="Arial"/>
          <w:kern w:val="2"/>
          <w:lang w:val="es-ES_tradnl"/>
          <w14:ligatures w14:val="standardContextual"/>
        </w:rPr>
        <w:lastRenderedPageBreak/>
        <w:t>Sobre este punto particular es preciso destacar que las entidades estatales sometidas a regímenes especiales tienen la libertad de configuración del contenido del manual de contratación. Esta libertad se deriva del principio de autonomía de la voluntad reconocida a estas entidades, que les permite establecer la manera en que adelantarán sus procesos de contratación</w:t>
      </w:r>
      <w:r w:rsidRPr="000215A4">
        <w:rPr>
          <w:vertAlign w:val="superscript"/>
        </w:rPr>
        <w:footnoteReference w:id="12"/>
      </w:r>
      <w:r w:rsidRPr="00B52870">
        <w:rPr>
          <w:rFonts w:ascii="Verdana" w:eastAsia="Aptos" w:hAnsi="Verdana" w:cs="Arial"/>
          <w:kern w:val="2"/>
          <w:lang w:val="es-ES_tradnl"/>
          <w14:ligatures w14:val="standardContextual"/>
        </w:rPr>
        <w:t>. Ahora bien, dicha libertad es similar a la reconocida a los particulares por el derecho privado, pero no es idéntica a aquella, en la medida en que encuentra importantes limitantes, algunos de los cuales fueron previamente expuestos.</w:t>
      </w:r>
    </w:p>
    <w:p w14:paraId="5F5611F7" w14:textId="77777777" w:rsidR="00B52870" w:rsidRPr="00B52870" w:rsidRDefault="00B52870" w:rsidP="00B52870">
      <w:pPr>
        <w:pStyle w:val="Prrafodelista"/>
        <w:spacing w:after="120" w:line="276" w:lineRule="auto"/>
        <w:jc w:val="both"/>
        <w:rPr>
          <w:rFonts w:ascii="Verdana" w:eastAsia="Aptos" w:hAnsi="Verdana" w:cs="Arial"/>
          <w:kern w:val="2"/>
          <w:lang w:val="es-ES_tradnl"/>
          <w14:ligatures w14:val="standardContextual"/>
        </w:rPr>
      </w:pPr>
    </w:p>
    <w:p w14:paraId="77608A0C" w14:textId="77777777" w:rsidR="00B52870" w:rsidRDefault="00971A5E" w:rsidP="00B52870">
      <w:pPr>
        <w:pStyle w:val="Prrafodelista"/>
        <w:numPr>
          <w:ilvl w:val="0"/>
          <w:numId w:val="40"/>
        </w:numPr>
        <w:spacing w:after="120" w:line="276" w:lineRule="auto"/>
        <w:jc w:val="both"/>
        <w:rPr>
          <w:rFonts w:ascii="Verdana" w:eastAsia="Aptos" w:hAnsi="Verdana" w:cs="Arial"/>
          <w:kern w:val="2"/>
          <w14:ligatures w14:val="standardContextual"/>
        </w:rPr>
      </w:pPr>
      <w:r w:rsidRPr="00B52870">
        <w:rPr>
          <w:rFonts w:ascii="Verdana" w:eastAsia="Aptos" w:hAnsi="Verdana" w:cs="Arial"/>
          <w:kern w:val="2"/>
          <w14:ligatures w14:val="standardContextual"/>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en las reglas diseñadas por la entidad se deben indicar cuáles son sus procedimientos de selección y una descripción de cada uno de ellos, al igual que las etapas que los componen, los cuales deben estar alineados con la garantía de los principios de la función administrativa</w:t>
      </w:r>
      <w:r w:rsidRPr="000215A4">
        <w:rPr>
          <w:vertAlign w:val="superscript"/>
        </w:rPr>
        <w:footnoteReference w:id="13"/>
      </w:r>
      <w:r w:rsidRPr="00B52870">
        <w:rPr>
          <w:rFonts w:ascii="Verdana" w:eastAsia="Aptos" w:hAnsi="Verdana" w:cs="Arial"/>
          <w:kern w:val="2"/>
          <w14:ligatures w14:val="standardContextual"/>
        </w:rPr>
        <w:t xml:space="preserve">. </w:t>
      </w:r>
    </w:p>
    <w:p w14:paraId="4D9CDDA1" w14:textId="77777777" w:rsidR="00B52870" w:rsidRPr="00B52870" w:rsidRDefault="00B52870" w:rsidP="00B52870">
      <w:pPr>
        <w:pStyle w:val="Prrafodelista"/>
        <w:rPr>
          <w:rFonts w:ascii="Verdana" w:eastAsia="Aptos" w:hAnsi="Verdana" w:cs="Arial"/>
          <w:kern w:val="2"/>
          <w14:ligatures w14:val="standardContextual"/>
        </w:rPr>
      </w:pPr>
    </w:p>
    <w:p w14:paraId="355ABEBD" w14:textId="456076F7" w:rsidR="0066197B" w:rsidRDefault="00971A5E" w:rsidP="0066197B">
      <w:pPr>
        <w:pStyle w:val="Prrafodelista"/>
        <w:numPr>
          <w:ilvl w:val="0"/>
          <w:numId w:val="40"/>
        </w:numPr>
        <w:spacing w:after="120" w:line="276" w:lineRule="auto"/>
        <w:jc w:val="both"/>
        <w:rPr>
          <w:rFonts w:ascii="Verdana" w:eastAsia="Aptos" w:hAnsi="Verdana" w:cs="Arial"/>
          <w:kern w:val="2"/>
          <w14:ligatures w14:val="standardContextual"/>
        </w:rPr>
      </w:pPr>
      <w:r w:rsidRPr="00B52870">
        <w:rPr>
          <w:rFonts w:ascii="Verdana" w:eastAsia="Aptos" w:hAnsi="Verdana" w:cs="Arial"/>
          <w:kern w:val="2"/>
          <w14:ligatures w14:val="standardContextual"/>
        </w:rPr>
        <w:t xml:space="preserve">De esta forma, 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w:t>
      </w:r>
      <w:r w:rsidRPr="00B52870">
        <w:rPr>
          <w:rFonts w:ascii="Verdana" w:eastAsia="Aptos" w:hAnsi="Verdana" w:cs="Arial"/>
          <w:i/>
          <w:kern w:val="2"/>
          <w14:ligatures w14:val="standardContextual"/>
        </w:rPr>
        <w:t>inderogabilidad singular del reglamento</w:t>
      </w:r>
      <w:r w:rsidRPr="000215A4">
        <w:rPr>
          <w:i/>
          <w:vertAlign w:val="superscript"/>
        </w:rPr>
        <w:footnoteReference w:id="14"/>
      </w:r>
      <w:r w:rsidRPr="00B52870">
        <w:rPr>
          <w:rFonts w:ascii="Verdana" w:eastAsia="Aptos" w:hAnsi="Verdana" w:cs="Arial"/>
          <w:kern w:val="2"/>
          <w14:ligatures w14:val="standardContextual"/>
        </w:rPr>
        <w:t xml:space="preserve">. En tal </w:t>
      </w:r>
      <w:r w:rsidRPr="00B52870">
        <w:rPr>
          <w:rFonts w:ascii="Verdana" w:eastAsia="Aptos" w:hAnsi="Verdana" w:cs="Arial"/>
          <w:kern w:val="2"/>
          <w14:ligatures w14:val="standardContextual"/>
        </w:rPr>
        <w:lastRenderedPageBreak/>
        <w:t>sentido, su contenido vincula a la propia entidad que lo expidió y no puede desconocerlo a su capricho en casos específicos; sin perjuicio de la posibilidad de expedir un nuevo manual o de modificar el existente.</w:t>
      </w:r>
    </w:p>
    <w:p w14:paraId="1AE618DD" w14:textId="77777777" w:rsidR="0066197B" w:rsidRPr="0066197B" w:rsidRDefault="0066197B" w:rsidP="0066197B">
      <w:pPr>
        <w:spacing w:after="120" w:line="276" w:lineRule="auto"/>
        <w:jc w:val="both"/>
        <w:rPr>
          <w:rFonts w:ascii="Verdana" w:eastAsia="Aptos" w:hAnsi="Verdana" w:cs="Arial"/>
          <w:kern w:val="2"/>
          <w14:ligatures w14:val="standardContextual"/>
        </w:rPr>
      </w:pPr>
    </w:p>
    <w:p w14:paraId="73252D5E" w14:textId="77777777" w:rsidR="00B52870" w:rsidRDefault="00971A5E" w:rsidP="11532AB5">
      <w:pPr>
        <w:pStyle w:val="Prrafodelista"/>
        <w:numPr>
          <w:ilvl w:val="0"/>
          <w:numId w:val="40"/>
        </w:numPr>
        <w:spacing w:after="120" w:line="276" w:lineRule="auto"/>
        <w:jc w:val="both"/>
        <w:rPr>
          <w:rFonts w:ascii="Verdana" w:eastAsia="Aptos" w:hAnsi="Verdana" w:cs="Arial"/>
          <w:kern w:val="2"/>
          <w14:ligatures w14:val="standardContextual"/>
        </w:rPr>
      </w:pPr>
      <w:r w:rsidRPr="11532AB5">
        <w:rPr>
          <w:rFonts w:ascii="Verdana" w:eastAsia="Aptos" w:hAnsi="Verdana" w:cs="Arial"/>
          <w:kern w:val="2"/>
          <w14:ligatures w14:val="standardContextua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744A6B87" w14:textId="77777777" w:rsidR="00B52870" w:rsidRPr="00B52870" w:rsidRDefault="00B52870" w:rsidP="00B52870">
      <w:pPr>
        <w:pStyle w:val="Prrafodelista"/>
        <w:rPr>
          <w:rFonts w:ascii="Verdana" w:eastAsia="Aptos" w:hAnsi="Verdana" w:cs="Arial"/>
          <w:kern w:val="2"/>
          <w14:ligatures w14:val="standardContextual"/>
        </w:rPr>
      </w:pPr>
    </w:p>
    <w:p w14:paraId="110C79F8" w14:textId="77777777" w:rsidR="00B52870" w:rsidRPr="00B52870" w:rsidRDefault="00971A5E" w:rsidP="00B52870">
      <w:pPr>
        <w:pStyle w:val="Prrafodelista"/>
        <w:numPr>
          <w:ilvl w:val="0"/>
          <w:numId w:val="40"/>
        </w:numPr>
        <w:spacing w:after="120" w:line="276" w:lineRule="auto"/>
        <w:jc w:val="both"/>
        <w:rPr>
          <w:rFonts w:ascii="Verdana" w:eastAsia="Aptos" w:hAnsi="Verdana" w:cs="Arial"/>
          <w:kern w:val="2"/>
          <w:lang w:val="es-ES_tradnl"/>
          <w14:ligatures w14:val="standardContextual"/>
        </w:rPr>
      </w:pPr>
      <w:r w:rsidRPr="00B52870">
        <w:rPr>
          <w:rFonts w:ascii="Verdana" w:eastAsia="Aptos" w:hAnsi="Verdana" w:cs="Arial"/>
          <w:kern w:val="2"/>
          <w14:ligatures w14:val="standardContextual"/>
        </w:rPr>
        <w:t xml:space="preserve">De otro lado, existen ciertos contenidos determinados por el ordenamiento que no pueden ser modificados por los manuales internos, por tratarse de asuntos con reserva de ley. En este sentido, </w:t>
      </w:r>
      <w:r w:rsidRPr="00960D42">
        <w:rPr>
          <w:rFonts w:ascii="Verdana" w:eastAsia="Aptos" w:hAnsi="Verdana" w:cs="Arial"/>
          <w:kern w:val="2"/>
          <w14:ligatures w14:val="standardContextual"/>
        </w:rPr>
        <w:t>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w:t>
      </w:r>
      <w:r w:rsidRPr="00B52870">
        <w:rPr>
          <w:rFonts w:ascii="Verdana" w:eastAsia="Aptos" w:hAnsi="Verdana" w:cs="Arial"/>
          <w:kern w:val="2"/>
          <w14:ligatures w14:val="standardContextual"/>
        </w:rPr>
        <w:t xml:space="preserve"> En efecto, estos contenidos no pueden ser regulados o modificados por los manuales de contratación, ya que se trata de aspectos con reserva de ley o con congelación en el rango de nivel legal, por lo que un acto administrativo no podría alterarlos</w:t>
      </w:r>
      <w:r w:rsidRPr="000215A4">
        <w:rPr>
          <w:vertAlign w:val="superscript"/>
        </w:rPr>
        <w:footnoteReference w:id="15"/>
      </w:r>
      <w:r w:rsidRPr="00B52870">
        <w:rPr>
          <w:rFonts w:ascii="Verdana" w:eastAsia="Aptos" w:hAnsi="Verdana" w:cs="Arial"/>
          <w:kern w:val="2"/>
          <w14:ligatures w14:val="standardContextual"/>
        </w:rPr>
        <w:t>.</w:t>
      </w:r>
    </w:p>
    <w:p w14:paraId="26AFCAA1" w14:textId="77777777" w:rsidR="00B52870" w:rsidRPr="00B52870" w:rsidRDefault="00B52870" w:rsidP="00B52870">
      <w:pPr>
        <w:pStyle w:val="Prrafodelista"/>
        <w:rPr>
          <w:rFonts w:ascii="Verdana" w:eastAsia="Aptos" w:hAnsi="Verdana" w:cs="Arial"/>
          <w:kern w:val="2"/>
          <w:lang w:val="es-ES_tradnl"/>
          <w14:ligatures w14:val="standardContextual"/>
        </w:rPr>
      </w:pPr>
    </w:p>
    <w:p w14:paraId="6419918C" w14:textId="7D53C07D" w:rsidR="00971A5E" w:rsidRPr="00B52870" w:rsidRDefault="00971A5E" w:rsidP="00B52870">
      <w:pPr>
        <w:pStyle w:val="Prrafodelista"/>
        <w:numPr>
          <w:ilvl w:val="0"/>
          <w:numId w:val="40"/>
        </w:numPr>
        <w:spacing w:after="120" w:line="276" w:lineRule="auto"/>
        <w:jc w:val="both"/>
        <w:rPr>
          <w:rFonts w:ascii="Verdana" w:eastAsia="Aptos" w:hAnsi="Verdana" w:cs="Arial"/>
          <w:kern w:val="2"/>
          <w:lang w:val="es-ES_tradnl"/>
          <w14:ligatures w14:val="standardContextual"/>
        </w:rPr>
      </w:pPr>
      <w:r w:rsidRPr="00B52870">
        <w:rPr>
          <w:rFonts w:ascii="Verdana" w:eastAsia="Aptos" w:hAnsi="Verdana" w:cs="Arial"/>
          <w:kern w:val="2"/>
          <w:lang w:val="es-ES_tradnl"/>
          <w14:ligatures w14:val="standardContextual"/>
        </w:rPr>
        <w:t xml:space="preserve">Sin perjuicio de lo anterior, existen múltiples contenidos que pueden ser objeto de regulación en el manual de contratación, por hacer parte del ámbito de configuración en desarrollo de su autonomía contractual que no riñe con la ley, como sería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 por ser desarrollo de su autonomía en la configuración de </w:t>
      </w:r>
      <w:r w:rsidRPr="00B52870">
        <w:rPr>
          <w:rFonts w:ascii="Verdana" w:eastAsia="Aptos" w:hAnsi="Verdana" w:cs="Arial"/>
          <w:kern w:val="2"/>
          <w:lang w:val="es-ES_tradnl"/>
          <w14:ligatures w14:val="standardContextual"/>
        </w:rPr>
        <w:lastRenderedPageBreak/>
        <w:t>su actividad contractual, que no desconocen los requisitos o parámetros establecidos en la Constitución o la ley.</w:t>
      </w:r>
    </w:p>
    <w:p w14:paraId="09552D20" w14:textId="77777777" w:rsidR="00971A5E" w:rsidRDefault="00971A5E" w:rsidP="00971A5E">
      <w:pPr>
        <w:pStyle w:val="Prrafodelista"/>
        <w:spacing w:after="120" w:line="276" w:lineRule="auto"/>
        <w:jc w:val="both"/>
        <w:rPr>
          <w:rFonts w:ascii="Verdana" w:eastAsia="Calibri" w:hAnsi="Verdana" w:cs="Arial"/>
        </w:rPr>
      </w:pPr>
    </w:p>
    <w:p w14:paraId="5D0FD0EE" w14:textId="46DECE51" w:rsidR="00971A5E" w:rsidRDefault="00960D42" w:rsidP="00960D42">
      <w:pPr>
        <w:pStyle w:val="Prrafodelista"/>
        <w:numPr>
          <w:ilvl w:val="0"/>
          <w:numId w:val="40"/>
        </w:numPr>
        <w:spacing w:after="120" w:line="276" w:lineRule="auto"/>
        <w:jc w:val="both"/>
        <w:rPr>
          <w:rFonts w:ascii="Verdana" w:eastAsia="Calibri" w:hAnsi="Verdana" w:cs="Arial"/>
        </w:rPr>
      </w:pPr>
      <w:r w:rsidRPr="00971A5E">
        <w:rPr>
          <w:rFonts w:ascii="Verdana" w:eastAsia="Calibri" w:hAnsi="Verdana" w:cs="Arial"/>
        </w:rPr>
        <w:t>Asi las cosas, en</w:t>
      </w:r>
      <w:r>
        <w:rPr>
          <w:rFonts w:ascii="Verdana" w:eastAsia="Calibri" w:hAnsi="Verdana" w:cs="Arial"/>
        </w:rPr>
        <w:t xml:space="preserve"> relación con su consulta, la entidad sujeta a régimen especial, en desarrollo d</w:t>
      </w:r>
      <w:r w:rsidRPr="001322CA">
        <w:rPr>
          <w:rFonts w:ascii="Verdana" w:eastAsia="Calibri" w:hAnsi="Verdana" w:cs="Arial"/>
        </w:rPr>
        <w:t>el principio de responsabilidad que rige la contratación estatal</w:t>
      </w:r>
      <w:r>
        <w:rPr>
          <w:rFonts w:ascii="Verdana" w:eastAsia="Calibri" w:hAnsi="Verdana" w:cs="Arial"/>
        </w:rPr>
        <w:t xml:space="preserve">, deberá consultar su </w:t>
      </w:r>
      <w:r w:rsidRPr="001322CA">
        <w:rPr>
          <w:rFonts w:ascii="Verdana" w:eastAsia="Calibri" w:hAnsi="Verdana" w:cs="Arial"/>
        </w:rPr>
        <w:t>manual de contratación</w:t>
      </w:r>
      <w:r>
        <w:rPr>
          <w:rFonts w:ascii="Verdana" w:eastAsia="Calibri" w:hAnsi="Verdana" w:cs="Arial"/>
        </w:rPr>
        <w:t xml:space="preserve"> para de esta manera </w:t>
      </w:r>
      <w:r w:rsidRPr="00131873">
        <w:rPr>
          <w:rFonts w:ascii="Verdana" w:eastAsia="Calibri" w:hAnsi="Verdana" w:cs="Arial"/>
        </w:rPr>
        <w:t xml:space="preserve">establecer </w:t>
      </w:r>
      <w:r>
        <w:rPr>
          <w:rFonts w:ascii="Verdana" w:eastAsia="Calibri" w:hAnsi="Verdana" w:cs="Arial"/>
        </w:rPr>
        <w:t xml:space="preserve">si existe alguna limitación frente a la posibilidad que </w:t>
      </w:r>
      <w:r w:rsidRPr="00AA20D5">
        <w:rPr>
          <w:rFonts w:ascii="Verdana" w:hAnsi="Verdana" w:cs="Arial"/>
          <w:bCs/>
          <w:color w:val="000000" w:themeColor="text1"/>
        </w:rPr>
        <w:t>una persona pued</w:t>
      </w:r>
      <w:r>
        <w:rPr>
          <w:rFonts w:ascii="Verdana" w:hAnsi="Verdana" w:cs="Arial"/>
          <w:bCs/>
          <w:color w:val="000000" w:themeColor="text1"/>
        </w:rPr>
        <w:t>a</w:t>
      </w:r>
      <w:r w:rsidRPr="00AA20D5">
        <w:rPr>
          <w:rFonts w:ascii="Verdana" w:hAnsi="Verdana" w:cs="Arial"/>
          <w:bCs/>
          <w:color w:val="000000" w:themeColor="text1"/>
        </w:rPr>
        <w:t xml:space="preserve"> celebrar y ejecutar</w:t>
      </w:r>
      <w:r>
        <w:rPr>
          <w:rFonts w:ascii="Verdana" w:hAnsi="Verdana" w:cs="Arial"/>
          <w:bCs/>
          <w:color w:val="000000" w:themeColor="text1"/>
        </w:rPr>
        <w:t xml:space="preserve"> </w:t>
      </w:r>
      <w:r w:rsidRPr="00131873">
        <w:rPr>
          <w:rFonts w:ascii="Verdana" w:eastAsia="Century Gothic" w:hAnsi="Verdana" w:cs="Century Gothic"/>
        </w:rPr>
        <w:t>simultáneamente varios contratos de prestación de servicios con la entidad</w:t>
      </w:r>
      <w:r>
        <w:rPr>
          <w:rFonts w:ascii="Verdana" w:eastAsia="Century Gothic" w:hAnsi="Verdana" w:cs="Century Gothic"/>
        </w:rPr>
        <w:t>.</w:t>
      </w:r>
    </w:p>
    <w:p w14:paraId="27355FBD" w14:textId="2F677D48" w:rsidR="007E4284" w:rsidRPr="00593A5F" w:rsidRDefault="007E4284" w:rsidP="001F1804">
      <w:pPr>
        <w:spacing w:after="120" w:line="276" w:lineRule="auto"/>
        <w:ind w:firstLine="142"/>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5A6AF20" w14:textId="77777777" w:rsidR="007E4284" w:rsidRPr="00593A5F" w:rsidRDefault="007E4284" w:rsidP="007E428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E4284" w:rsidRPr="00593A5F" w14:paraId="5A2D1EE2" w14:textId="77777777">
        <w:trPr>
          <w:trHeight w:val="870"/>
        </w:trPr>
        <w:tc>
          <w:tcPr>
            <w:tcW w:w="8647" w:type="dxa"/>
          </w:tcPr>
          <w:p w14:paraId="6995479D" w14:textId="77777777" w:rsidR="0088719E" w:rsidRPr="00EE5688" w:rsidRDefault="0088719E" w:rsidP="009F0C3C">
            <w:pPr>
              <w:pStyle w:val="Prrafodelista"/>
              <w:widowControl w:val="0"/>
              <w:numPr>
                <w:ilvl w:val="0"/>
                <w:numId w:val="18"/>
              </w:numPr>
              <w:autoSpaceDE w:val="0"/>
              <w:autoSpaceDN w:val="0"/>
              <w:spacing w:line="360" w:lineRule="auto"/>
              <w:ind w:left="714" w:hanging="357"/>
              <w:jc w:val="both"/>
              <w:rPr>
                <w:rFonts w:ascii="Verdana" w:hAnsi="Verdana" w:cs="Arial"/>
                <w:color w:val="000000" w:themeColor="text1"/>
                <w:lang w:val="es-CO"/>
              </w:rPr>
            </w:pPr>
            <w:r w:rsidRPr="00477779">
              <w:rPr>
                <w:rFonts w:ascii="Verdana" w:eastAsia="Aptos" w:hAnsi="Verdana" w:cs="Arial"/>
                <w:bCs/>
                <w:kern w:val="2"/>
                <w:lang w:val="es-ES_tradnl"/>
                <w14:ligatures w14:val="standardContextual"/>
              </w:rPr>
              <w:t>Constitución Política, artículos </w:t>
            </w:r>
            <w:hyperlink r:id="rId14" w:anchor="209" w:history="1">
              <w:r w:rsidRPr="00477779">
                <w:rPr>
                  <w:rFonts w:ascii="Verdana" w:eastAsia="Aptos" w:hAnsi="Verdana" w:cs="Arial"/>
                  <w:bCs/>
                  <w:kern w:val="2"/>
                  <w:lang w:val="es-ES_tradnl"/>
                  <w14:ligatures w14:val="standardContextual"/>
                </w:rPr>
                <w:t>209</w:t>
              </w:r>
            </w:hyperlink>
            <w:r w:rsidRPr="00477779">
              <w:rPr>
                <w:rFonts w:ascii="Verdana" w:eastAsia="Aptos" w:hAnsi="Verdana" w:cs="Arial"/>
                <w:bCs/>
                <w:kern w:val="2"/>
                <w:lang w:val="es-ES_tradnl"/>
                <w14:ligatures w14:val="standardContextual"/>
              </w:rPr>
              <w:t xml:space="preserve">, </w:t>
            </w:r>
            <w:hyperlink r:id="rId15" w:anchor="267" w:history="1">
              <w:r w:rsidRPr="00477779">
                <w:rPr>
                  <w:rFonts w:ascii="Verdana" w:eastAsia="Aptos" w:hAnsi="Verdana" w:cs="Arial"/>
                  <w:bCs/>
                  <w:kern w:val="2"/>
                  <w:lang w:val="es-ES_tradnl"/>
                  <w14:ligatures w14:val="standardContextual"/>
                </w:rPr>
                <w:t>267</w:t>
              </w:r>
            </w:hyperlink>
            <w:r w:rsidRPr="00477779">
              <w:rPr>
                <w:rFonts w:ascii="Verdana" w:eastAsia="Aptos" w:hAnsi="Verdana" w:cs="Arial"/>
                <w:bCs/>
                <w:kern w:val="2"/>
                <w:lang w:val="es-ES_tradnl"/>
                <w14:ligatures w14:val="standardContextual"/>
              </w:rPr>
              <w:t>.</w:t>
            </w:r>
          </w:p>
          <w:p w14:paraId="1EE93E29" w14:textId="77777777" w:rsidR="0088719E" w:rsidRPr="00EE5688" w:rsidRDefault="0088719E" w:rsidP="009F0C3C">
            <w:pPr>
              <w:pStyle w:val="Prrafodelista"/>
              <w:numPr>
                <w:ilvl w:val="0"/>
                <w:numId w:val="18"/>
              </w:numPr>
              <w:spacing w:line="360" w:lineRule="auto"/>
              <w:ind w:left="714" w:hanging="357"/>
              <w:rPr>
                <w:rFonts w:ascii="Verdana" w:hAnsi="Verdana" w:cs="Arial"/>
                <w:color w:val="000000" w:themeColor="text1"/>
              </w:rPr>
            </w:pPr>
            <w:r w:rsidRPr="00EE5688">
              <w:rPr>
                <w:rFonts w:ascii="Verdana" w:hAnsi="Verdana" w:cs="Arial"/>
                <w:color w:val="000000" w:themeColor="text1"/>
              </w:rPr>
              <w:t>Ley 78 de 1931.</w:t>
            </w:r>
          </w:p>
          <w:p w14:paraId="397F0859" w14:textId="77777777" w:rsidR="009063E3" w:rsidRDefault="009063E3" w:rsidP="009F0C3C">
            <w:pPr>
              <w:widowControl w:val="0"/>
              <w:numPr>
                <w:ilvl w:val="0"/>
                <w:numId w:val="18"/>
              </w:numPr>
              <w:autoSpaceDE w:val="0"/>
              <w:autoSpaceDN w:val="0"/>
              <w:spacing w:line="360" w:lineRule="auto"/>
              <w:ind w:left="714" w:hanging="357"/>
              <w:contextualSpacing/>
              <w:jc w:val="both"/>
              <w:rPr>
                <w:rFonts w:ascii="Verdana" w:eastAsia="Calibri" w:hAnsi="Verdana" w:cs="Arial"/>
                <w:lang w:val="es-ES_tradnl"/>
              </w:rPr>
            </w:pPr>
            <w:r w:rsidRPr="00CA0AC1">
              <w:rPr>
                <w:rFonts w:ascii="Verdana" w:eastAsia="Calibri" w:hAnsi="Verdana" w:cs="Arial"/>
                <w:lang w:val="es-ES_tradnl"/>
              </w:rPr>
              <w:t>Ley 80 de 1993, artículo 32.</w:t>
            </w:r>
          </w:p>
          <w:p w14:paraId="29B5640D" w14:textId="77777777" w:rsidR="0088719E" w:rsidRPr="00EE5688" w:rsidRDefault="0088719E" w:rsidP="009F0C3C">
            <w:pPr>
              <w:pStyle w:val="Prrafodelista"/>
              <w:widowControl w:val="0"/>
              <w:numPr>
                <w:ilvl w:val="0"/>
                <w:numId w:val="18"/>
              </w:numPr>
              <w:autoSpaceDE w:val="0"/>
              <w:autoSpaceDN w:val="0"/>
              <w:spacing w:line="360" w:lineRule="auto"/>
              <w:ind w:left="714" w:hanging="357"/>
              <w:jc w:val="both"/>
              <w:rPr>
                <w:rFonts w:ascii="Verdana" w:hAnsi="Verdana" w:cs="Arial"/>
                <w:color w:val="000000" w:themeColor="text1"/>
              </w:rPr>
            </w:pPr>
            <w:r w:rsidRPr="000215A4">
              <w:rPr>
                <w:rFonts w:ascii="Verdana" w:eastAsia="Aptos" w:hAnsi="Verdana" w:cs="Arial"/>
                <w:bCs/>
                <w:kern w:val="2"/>
                <w14:ligatures w14:val="standardContextual"/>
              </w:rPr>
              <w:t>Ley 1150 de 2007</w:t>
            </w:r>
            <w:r>
              <w:rPr>
                <w:rFonts w:ascii="Verdana" w:eastAsia="Aptos" w:hAnsi="Verdana" w:cs="Arial"/>
                <w:bCs/>
                <w:kern w:val="2"/>
                <w14:ligatures w14:val="standardContextual"/>
              </w:rPr>
              <w:t>,</w:t>
            </w:r>
            <w:r w:rsidRPr="000215A4">
              <w:rPr>
                <w:rFonts w:ascii="Verdana" w:eastAsia="Aptos" w:hAnsi="Verdana" w:cs="Arial"/>
                <w:bCs/>
                <w:kern w:val="2"/>
                <w14:ligatures w14:val="standardContextual"/>
              </w:rPr>
              <w:t xml:space="preserve"> artículo 13</w:t>
            </w:r>
            <w:r>
              <w:rPr>
                <w:rFonts w:ascii="Verdana" w:eastAsia="Aptos" w:hAnsi="Verdana" w:cs="Arial"/>
                <w:bCs/>
                <w:kern w:val="2"/>
                <w14:ligatures w14:val="standardContextual"/>
              </w:rPr>
              <w:t>.</w:t>
            </w:r>
          </w:p>
          <w:p w14:paraId="663B3ACE" w14:textId="77777777" w:rsidR="0088719E" w:rsidRPr="00742684" w:rsidRDefault="0088719E" w:rsidP="009F0C3C">
            <w:pPr>
              <w:pStyle w:val="Prrafodelista"/>
              <w:widowControl w:val="0"/>
              <w:numPr>
                <w:ilvl w:val="0"/>
                <w:numId w:val="18"/>
              </w:numPr>
              <w:autoSpaceDE w:val="0"/>
              <w:autoSpaceDN w:val="0"/>
              <w:spacing w:line="360" w:lineRule="auto"/>
              <w:ind w:left="714" w:hanging="357"/>
              <w:jc w:val="both"/>
              <w:rPr>
                <w:rFonts w:ascii="Verdana" w:hAnsi="Verdana" w:cs="Arial"/>
                <w:color w:val="000000" w:themeColor="text1"/>
              </w:rPr>
            </w:pPr>
            <w:r w:rsidRPr="000215A4">
              <w:rPr>
                <w:rFonts w:ascii="Verdana" w:eastAsia="Calibri" w:hAnsi="Verdana" w:cs="Arial"/>
                <w:lang w:val="es-MX"/>
              </w:rPr>
              <w:t>Ley 1474 de 2011</w:t>
            </w:r>
            <w:r>
              <w:rPr>
                <w:rFonts w:ascii="Verdana" w:eastAsia="Calibri" w:hAnsi="Verdana" w:cs="Arial"/>
                <w:lang w:val="es-MX"/>
              </w:rPr>
              <w:t>, artículo 83.</w:t>
            </w:r>
          </w:p>
          <w:p w14:paraId="701DBBB2" w14:textId="77777777" w:rsidR="0088719E" w:rsidRDefault="0088719E" w:rsidP="009F0C3C">
            <w:pPr>
              <w:pStyle w:val="Prrafodelista"/>
              <w:widowControl w:val="0"/>
              <w:numPr>
                <w:ilvl w:val="0"/>
                <w:numId w:val="18"/>
              </w:numPr>
              <w:autoSpaceDE w:val="0"/>
              <w:autoSpaceDN w:val="0"/>
              <w:spacing w:line="360" w:lineRule="auto"/>
              <w:ind w:left="714" w:hanging="357"/>
              <w:jc w:val="both"/>
              <w:rPr>
                <w:rFonts w:ascii="Verdana" w:hAnsi="Verdana" w:cs="Arial"/>
                <w:color w:val="000000" w:themeColor="text1"/>
              </w:rPr>
            </w:pPr>
            <w:r>
              <w:rPr>
                <w:rFonts w:ascii="Verdana" w:hAnsi="Verdana" w:cs="Arial"/>
                <w:color w:val="000000" w:themeColor="text1"/>
              </w:rPr>
              <w:t>Decreto 1068 de 2015.</w:t>
            </w:r>
          </w:p>
          <w:p w14:paraId="3FB67CFF" w14:textId="77777777" w:rsidR="0088719E" w:rsidRDefault="0088719E" w:rsidP="009F0C3C">
            <w:pPr>
              <w:pStyle w:val="Prrafodelista"/>
              <w:widowControl w:val="0"/>
              <w:numPr>
                <w:ilvl w:val="0"/>
                <w:numId w:val="18"/>
              </w:numPr>
              <w:autoSpaceDE w:val="0"/>
              <w:autoSpaceDN w:val="0"/>
              <w:spacing w:line="360" w:lineRule="auto"/>
              <w:ind w:left="714" w:hanging="357"/>
              <w:jc w:val="both"/>
              <w:rPr>
                <w:rFonts w:ascii="Verdana" w:hAnsi="Verdana" w:cs="Arial"/>
                <w:color w:val="000000" w:themeColor="text1"/>
              </w:rPr>
            </w:pPr>
            <w:r>
              <w:rPr>
                <w:rFonts w:ascii="Verdana" w:hAnsi="Verdana" w:cs="Arial"/>
                <w:color w:val="000000" w:themeColor="text1"/>
              </w:rPr>
              <w:t>Decreto 1082 de 2015.</w:t>
            </w:r>
          </w:p>
          <w:p w14:paraId="7112E112" w14:textId="77777777" w:rsidR="0088719E" w:rsidRPr="006E36AD" w:rsidRDefault="0088719E" w:rsidP="009F0C3C">
            <w:pPr>
              <w:pStyle w:val="Prrafodelista"/>
              <w:widowControl w:val="0"/>
              <w:numPr>
                <w:ilvl w:val="0"/>
                <w:numId w:val="18"/>
              </w:numPr>
              <w:autoSpaceDE w:val="0"/>
              <w:autoSpaceDN w:val="0"/>
              <w:spacing w:after="120" w:line="276" w:lineRule="auto"/>
              <w:ind w:left="714" w:hanging="357"/>
              <w:jc w:val="both"/>
              <w:rPr>
                <w:rFonts w:ascii="Verdana" w:hAnsi="Verdana" w:cs="Arial"/>
                <w:color w:val="000000" w:themeColor="text1"/>
              </w:rPr>
            </w:pPr>
            <w:r w:rsidRPr="00F50708">
              <w:rPr>
                <w:rFonts w:ascii="Verdana" w:eastAsia="Calibri" w:hAnsi="Verdana" w:cs="Arial"/>
                <w:bCs/>
                <w:color w:val="000000"/>
                <w:lang w:val="es-ES_tradnl"/>
              </w:rPr>
              <w:t xml:space="preserve">Consejo De Estado. Sección Tercera. Subsección A. Sentencia del 24 de octubre de 2016. </w:t>
            </w:r>
            <w:proofErr w:type="spellStart"/>
            <w:r w:rsidRPr="00F50708">
              <w:rPr>
                <w:rFonts w:ascii="Verdana" w:eastAsia="Calibri" w:hAnsi="Verdana" w:cs="Arial"/>
                <w:bCs/>
                <w:color w:val="000000"/>
                <w:lang w:val="es-ES_tradnl"/>
              </w:rPr>
              <w:t>Exp</w:t>
            </w:r>
            <w:proofErr w:type="spellEnd"/>
            <w:r w:rsidRPr="00F50708">
              <w:rPr>
                <w:rFonts w:ascii="Verdana" w:eastAsia="Calibri" w:hAnsi="Verdana" w:cs="Arial"/>
                <w:bCs/>
                <w:color w:val="000000"/>
                <w:lang w:val="es-ES_tradnl"/>
              </w:rPr>
              <w:t>. 45.607.</w:t>
            </w:r>
            <w:r>
              <w:rPr>
                <w:rFonts w:ascii="Verdana" w:eastAsia="Calibri" w:hAnsi="Verdana" w:cs="Arial"/>
                <w:bCs/>
                <w:color w:val="000000"/>
                <w:lang w:val="es-ES_tradnl"/>
              </w:rPr>
              <w:t xml:space="preserve"> </w:t>
            </w:r>
            <w:r w:rsidRPr="0071522B">
              <w:rPr>
                <w:rFonts w:ascii="Verdana" w:hAnsi="Verdana" w:cs="Arial"/>
              </w:rPr>
              <w:t>Consejera Ponente:</w:t>
            </w:r>
            <w:r w:rsidRPr="003925AF">
              <w:rPr>
                <w:rFonts w:ascii="Verdana" w:eastAsia="Calibri" w:hAnsi="Verdana" w:cs="Arial"/>
                <w:bCs/>
                <w:color w:val="000000"/>
                <w:lang w:val="es-ES_tradnl"/>
              </w:rPr>
              <w:t xml:space="preserve"> Marta Nubia Velásquez</w:t>
            </w:r>
            <w:r w:rsidRPr="003630B0">
              <w:rPr>
                <w:rFonts w:ascii="Century Gothic" w:eastAsia="Calibri" w:hAnsi="Century Gothic" w:cs="Arial"/>
                <w:bCs/>
                <w:color w:val="000000"/>
                <w:sz w:val="12"/>
                <w:szCs w:val="12"/>
                <w:lang w:val="es-ES_tradnl"/>
              </w:rPr>
              <w:t xml:space="preserve"> </w:t>
            </w:r>
            <w:r w:rsidRPr="003925AF">
              <w:rPr>
                <w:rFonts w:ascii="Verdana" w:eastAsia="Calibri" w:hAnsi="Verdana" w:cs="Arial"/>
                <w:bCs/>
                <w:color w:val="000000"/>
                <w:lang w:val="es-ES_tradnl"/>
              </w:rPr>
              <w:t>Rico</w:t>
            </w:r>
            <w:r>
              <w:rPr>
                <w:rFonts w:ascii="Verdana" w:eastAsia="Calibri" w:hAnsi="Verdana" w:cs="Arial"/>
                <w:bCs/>
                <w:color w:val="000000"/>
                <w:lang w:val="es-ES_tradnl"/>
              </w:rPr>
              <w:t>.</w:t>
            </w:r>
          </w:p>
          <w:p w14:paraId="24AA9DE7" w14:textId="77777777" w:rsidR="006E36AD" w:rsidRDefault="006E36AD" w:rsidP="009F0C3C">
            <w:pPr>
              <w:pStyle w:val="Prrafodelista"/>
              <w:widowControl w:val="0"/>
              <w:numPr>
                <w:ilvl w:val="0"/>
                <w:numId w:val="18"/>
              </w:numPr>
              <w:autoSpaceDE w:val="0"/>
              <w:autoSpaceDN w:val="0"/>
              <w:spacing w:after="120" w:line="276" w:lineRule="auto"/>
              <w:ind w:left="714" w:hanging="357"/>
              <w:jc w:val="both"/>
              <w:rPr>
                <w:rFonts w:ascii="Verdana" w:hAnsi="Verdana" w:cs="Arial"/>
                <w:color w:val="000000" w:themeColor="text1"/>
              </w:rPr>
            </w:pPr>
            <w:r w:rsidRPr="006E36AD">
              <w:rPr>
                <w:rFonts w:ascii="Verdana" w:hAnsi="Verdana" w:cs="Arial"/>
                <w:color w:val="000000" w:themeColor="text1"/>
              </w:rPr>
              <w:t>Corte Constitucional - Sentencia C-154 de 1997.</w:t>
            </w:r>
          </w:p>
          <w:p w14:paraId="2D88ED39" w14:textId="0700F62E" w:rsidR="006E36AD" w:rsidRPr="006E36AD" w:rsidRDefault="006E36AD" w:rsidP="009F0C3C">
            <w:pPr>
              <w:pStyle w:val="Prrafodelista"/>
              <w:widowControl w:val="0"/>
              <w:numPr>
                <w:ilvl w:val="0"/>
                <w:numId w:val="18"/>
              </w:numPr>
              <w:autoSpaceDE w:val="0"/>
              <w:autoSpaceDN w:val="0"/>
              <w:spacing w:after="120" w:line="276" w:lineRule="auto"/>
              <w:ind w:left="714" w:hanging="357"/>
              <w:jc w:val="both"/>
              <w:rPr>
                <w:rFonts w:ascii="Verdana" w:hAnsi="Verdana" w:cs="Arial"/>
                <w:color w:val="000000" w:themeColor="text1"/>
              </w:rPr>
            </w:pPr>
            <w:r w:rsidRPr="006E36AD">
              <w:rPr>
                <w:rFonts w:ascii="Verdana" w:hAnsi="Verdana" w:cs="Arial"/>
                <w:color w:val="000000" w:themeColor="text1"/>
              </w:rPr>
              <w:t>Consejo de Estado. Sección Tercera. Subsección C. Sentencia del 2 de diciembre de 2013.</w:t>
            </w:r>
          </w:p>
          <w:p w14:paraId="08DB2528" w14:textId="6043E6CD" w:rsidR="009063E3" w:rsidRPr="000D446F" w:rsidRDefault="006E36AD" w:rsidP="009F0C3C">
            <w:pPr>
              <w:pStyle w:val="Prrafodelista"/>
              <w:widowControl w:val="0"/>
              <w:numPr>
                <w:ilvl w:val="0"/>
                <w:numId w:val="18"/>
              </w:numPr>
              <w:autoSpaceDE w:val="0"/>
              <w:autoSpaceDN w:val="0"/>
              <w:spacing w:line="360" w:lineRule="auto"/>
              <w:ind w:left="714" w:hanging="357"/>
              <w:contextualSpacing w:val="0"/>
              <w:jc w:val="both"/>
              <w:rPr>
                <w:rFonts w:ascii="Verdana" w:hAnsi="Verdana" w:cs="Arial"/>
              </w:rPr>
            </w:pPr>
            <w:r w:rsidRPr="009F0C3C">
              <w:rPr>
                <w:rFonts w:ascii="Verdana" w:hAnsi="Verdana" w:cs="Arial"/>
                <w:color w:val="000000" w:themeColor="text1"/>
              </w:rPr>
              <w:t>Sala de Consulta y Servicio Civil del Consejo de Estado - Concepto No 1.344.</w:t>
            </w:r>
          </w:p>
        </w:tc>
      </w:tr>
    </w:tbl>
    <w:p w14:paraId="1006BC84" w14:textId="77777777" w:rsidR="007E4284" w:rsidRPr="00593A5F" w:rsidRDefault="007E4284" w:rsidP="007E4284">
      <w:pPr>
        <w:widowControl w:val="0"/>
        <w:autoSpaceDE w:val="0"/>
        <w:autoSpaceDN w:val="0"/>
        <w:spacing w:after="0" w:line="276" w:lineRule="auto"/>
        <w:jc w:val="both"/>
        <w:rPr>
          <w:rFonts w:ascii="Verdana" w:hAnsi="Verdana" w:cs="Arial"/>
        </w:rPr>
      </w:pPr>
    </w:p>
    <w:p w14:paraId="6D7AC375" w14:textId="77777777" w:rsidR="007E4284" w:rsidRPr="00593A5F" w:rsidRDefault="007E4284" w:rsidP="007E42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9A93F7D" w14:textId="77777777" w:rsidR="007E4284" w:rsidRDefault="007E4284" w:rsidP="007E4284">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7B272CC4" w14:textId="73F3E12D" w:rsidR="009F0C3C" w:rsidRDefault="009F0C3C" w:rsidP="00503C19">
      <w:pPr>
        <w:widowControl w:val="0"/>
        <w:autoSpaceDE w:val="0"/>
        <w:autoSpaceDN w:val="0"/>
        <w:spacing w:after="0" w:line="276" w:lineRule="auto"/>
        <w:jc w:val="both"/>
        <w:rPr>
          <w:rStyle w:val="normaltextrun"/>
          <w:rFonts w:ascii="Verdana" w:hAnsi="Verdana" w:cs="Arial"/>
          <w:shd w:val="clear" w:color="auto" w:fill="FFFFFF"/>
          <w:lang w:val="es-ES"/>
        </w:rPr>
      </w:pPr>
      <w:r w:rsidRPr="009F0C3C">
        <w:rPr>
          <w:rStyle w:val="normaltextrun"/>
          <w:rFonts w:ascii="Verdana" w:hAnsi="Verdana" w:cs="Arial"/>
          <w:shd w:val="clear" w:color="auto" w:fill="FFFFFF"/>
          <w:lang w:val="es-ES"/>
        </w:rPr>
        <w:t xml:space="preserve">Sobre la simultaneidad del contrato de prestación de servicios esta Subdirección en los conceptos C-024 de 2022, C-103 de 2023, C-286 de 2023 </w:t>
      </w:r>
      <w:r>
        <w:rPr>
          <w:rStyle w:val="normaltextrun"/>
          <w:rFonts w:ascii="Verdana" w:hAnsi="Verdana" w:cs="Arial"/>
          <w:shd w:val="clear" w:color="auto" w:fill="FFFFFF"/>
          <w:lang w:val="es-ES"/>
        </w:rPr>
        <w:t xml:space="preserve">y C-327 de 2024 y C-351 de 2024 </w:t>
      </w:r>
      <w:r w:rsidRPr="009F0C3C">
        <w:rPr>
          <w:rStyle w:val="normaltextrun"/>
          <w:rFonts w:ascii="Verdana" w:hAnsi="Verdana" w:cs="Arial"/>
          <w:shd w:val="clear" w:color="auto" w:fill="FFFFFF"/>
          <w:lang w:val="es-ES"/>
        </w:rPr>
        <w:t>se estudió el contrato de prestación de servicios, requisitos, límites para su celebración y la posibilidad de suscribir contratos de prestación de servicios simultáneos con entidades estatales</w:t>
      </w:r>
      <w:r>
        <w:rPr>
          <w:rStyle w:val="normaltextrun"/>
          <w:rFonts w:ascii="Verdana" w:hAnsi="Verdana" w:cs="Arial"/>
          <w:shd w:val="clear" w:color="auto" w:fill="FFFFFF"/>
          <w:lang w:val="es-ES"/>
        </w:rPr>
        <w:t>.</w:t>
      </w:r>
    </w:p>
    <w:p w14:paraId="33A4E44B" w14:textId="77777777" w:rsidR="009F0C3C" w:rsidRDefault="009F0C3C" w:rsidP="00503C19">
      <w:pPr>
        <w:widowControl w:val="0"/>
        <w:autoSpaceDE w:val="0"/>
        <w:autoSpaceDN w:val="0"/>
        <w:spacing w:after="0" w:line="276" w:lineRule="auto"/>
        <w:jc w:val="both"/>
        <w:rPr>
          <w:rStyle w:val="normaltextrun"/>
          <w:rFonts w:ascii="Verdana" w:hAnsi="Verdana" w:cs="Arial"/>
          <w:shd w:val="clear" w:color="auto" w:fill="FFFFFF"/>
          <w:lang w:val="es-ES"/>
        </w:rPr>
      </w:pPr>
    </w:p>
    <w:p w14:paraId="611B55F9" w14:textId="7FEA1094" w:rsidR="009063E3" w:rsidRDefault="009063E3" w:rsidP="00503C19">
      <w:pPr>
        <w:widowControl w:val="0"/>
        <w:autoSpaceDE w:val="0"/>
        <w:autoSpaceDN w:val="0"/>
        <w:spacing w:after="0" w:line="276" w:lineRule="auto"/>
        <w:jc w:val="both"/>
        <w:rPr>
          <w:rFonts w:ascii="Verdana" w:eastAsia="Calibri" w:hAnsi="Verdana" w:cs="Arial"/>
          <w:lang w:eastAsia="es-ES"/>
        </w:rPr>
      </w:pPr>
      <w:r w:rsidRPr="00CA0AC1">
        <w:rPr>
          <w:rFonts w:ascii="Verdana" w:eastAsia="Calibri" w:hAnsi="Verdana" w:cs="Arial"/>
          <w:shd w:val="clear" w:color="auto" w:fill="FFFFFF"/>
          <w:lang w:val="es-ES_tradnl"/>
        </w:rPr>
        <w:lastRenderedPageBreak/>
        <w:t xml:space="preserve">También, esta Agencia </w:t>
      </w:r>
      <w:r w:rsidR="00A71FA6" w:rsidRPr="00C658C3">
        <w:rPr>
          <w:rFonts w:ascii="Verdana" w:hAnsi="Verdana" w:cs="Arial"/>
          <w:color w:val="000000" w:themeColor="text1"/>
          <w:shd w:val="clear" w:color="auto" w:fill="FFFFFF"/>
        </w:rPr>
        <w:t>ha estudiado regímenes especiales en la contratación estatal</w:t>
      </w:r>
      <w:r w:rsidR="00A71FA6" w:rsidRPr="00C658C3" w:rsidDel="007849D3">
        <w:rPr>
          <w:rFonts w:ascii="Verdana" w:hAnsi="Verdana" w:cs="Arial"/>
          <w:color w:val="000000" w:themeColor="text1"/>
          <w:shd w:val="clear" w:color="auto" w:fill="FFFFFF"/>
        </w:rPr>
        <w:t xml:space="preserve"> </w:t>
      </w:r>
      <w:r w:rsidR="00A71FA6" w:rsidRPr="00C658C3">
        <w:rPr>
          <w:rFonts w:ascii="Verdana" w:hAnsi="Verdana" w:cs="Arial"/>
          <w:color w:val="000000" w:themeColor="text1"/>
          <w:shd w:val="clear" w:color="auto" w:fill="FFFFFF"/>
        </w:rPr>
        <w:t xml:space="preserve">en los conceptos con radicados 2201913000007228 de 30 de septiembre de 2019, 2201913000007955 24 de octubre de 2019, 2201913000009314 17 de diciembre de 2020, 2201913000009591 24 de diciembre de 2019, 2201913000009469 20 de diciembre de 2019, CU-003 del 15 de enero de 2020, C-079 de 5 de febrero de 2020, C-027 del 13 de febrero de 2020, C-179 del 16 de marzo de 2020, C-168 de 31 de marzo de 2020, C-362 del 03 de julio de 2020, C-658 de 2020, C-741 del 29 de noviembre del 2022, C-343 del 26 de octubre del 2023 y C-038 del 23 de abril de 2024. </w:t>
      </w:r>
      <w:r w:rsidR="00A71FA6">
        <w:rPr>
          <w:rFonts w:ascii="Verdana" w:hAnsi="Verdana" w:cs="Arial"/>
          <w:color w:val="000000" w:themeColor="text1"/>
          <w:shd w:val="clear" w:color="auto" w:fill="FFFFFF"/>
          <w:lang w:val="es-ES"/>
        </w:rPr>
        <w:t xml:space="preserve">También </w:t>
      </w:r>
      <w:r w:rsidR="00A71FA6" w:rsidRPr="00BB2E1F">
        <w:rPr>
          <w:rFonts w:ascii="Verdana" w:hAnsi="Verdana" w:cs="Arial"/>
          <w:color w:val="000000" w:themeColor="text1"/>
          <w:shd w:val="clear" w:color="auto" w:fill="FFFFFF"/>
          <w:lang w:val="es-ES"/>
        </w:rPr>
        <w:t xml:space="preserve">se ha pronunciado sobre la obligación de controlar y vigilar la ejecución de los contratos estatales, en los conceptos con 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w:t>
      </w:r>
      <w:r w:rsidR="00A71FA6">
        <w:rPr>
          <w:rFonts w:ascii="Verdana" w:hAnsi="Verdana" w:cs="Arial"/>
          <w:color w:val="000000" w:themeColor="text1"/>
          <w:shd w:val="clear" w:color="auto" w:fill="FFFFFF"/>
          <w:lang w:val="es-ES"/>
        </w:rPr>
        <w:t>C</w:t>
      </w:r>
      <w:r w:rsidR="00A71FA6" w:rsidRPr="00BB2E1F">
        <w:rPr>
          <w:rFonts w:ascii="Verdana" w:hAnsi="Verdana" w:cs="Arial"/>
          <w:color w:val="000000" w:themeColor="text1"/>
          <w:shd w:val="clear" w:color="auto" w:fill="FFFFFF"/>
          <w:lang w:val="es-ES"/>
        </w:rPr>
        <w:t>-679 de 24 de octubre de 2022, C-818 del 28 de noviembre de 2022, C-830 de 28 de noviembre de 2022, C-800 de 29 de noviembre de 2022, C-930 de 30 de diciembre de 2022, C-932 de 30 de diciembre de 2022, C-975 de 8 de marzo de 2032, C-191 de 27 de abril de 2023</w:t>
      </w:r>
      <w:r w:rsidR="00A71FA6">
        <w:rPr>
          <w:rFonts w:ascii="Verdana" w:hAnsi="Verdana" w:cs="Arial"/>
          <w:color w:val="000000" w:themeColor="text1"/>
          <w:shd w:val="clear" w:color="auto" w:fill="FFFFFF"/>
          <w:lang w:val="es-ES"/>
        </w:rPr>
        <w:t>, C-089 de 2024 de 17 de julio de 2024, C-255 de 14 de agosto de 2024, C-419 del 12 de septiembre de 2024</w:t>
      </w:r>
      <w:r w:rsidR="00A71FA6" w:rsidRPr="00BB2E1F">
        <w:rPr>
          <w:rFonts w:ascii="Verdana" w:hAnsi="Verdana" w:cs="Arial"/>
          <w:color w:val="000000" w:themeColor="text1"/>
          <w:shd w:val="clear" w:color="auto" w:fill="FFFFFF"/>
          <w:vertAlign w:val="superscript"/>
          <w:lang w:val="es-ES"/>
        </w:rPr>
        <w:footnoteReference w:id="16"/>
      </w:r>
      <w:r w:rsidR="00A71FA6" w:rsidRPr="00BB2E1F">
        <w:rPr>
          <w:rFonts w:ascii="Verdana" w:hAnsi="Verdana" w:cs="Arial"/>
          <w:color w:val="000000" w:themeColor="text1"/>
          <w:shd w:val="clear" w:color="auto" w:fill="FFFFFF"/>
          <w:lang w:val="es-ES"/>
        </w:rPr>
        <w:t>.</w:t>
      </w:r>
    </w:p>
    <w:p w14:paraId="4B13D71C" w14:textId="77777777" w:rsidR="009063E3" w:rsidRDefault="009063E3" w:rsidP="00503C19">
      <w:pPr>
        <w:widowControl w:val="0"/>
        <w:autoSpaceDE w:val="0"/>
        <w:autoSpaceDN w:val="0"/>
        <w:spacing w:after="0" w:line="276" w:lineRule="auto"/>
        <w:jc w:val="both"/>
        <w:rPr>
          <w:rFonts w:ascii="Verdana" w:eastAsia="Calibri" w:hAnsi="Verdana" w:cs="Arial"/>
          <w:lang w:eastAsia="es-ES"/>
        </w:rPr>
      </w:pPr>
    </w:p>
    <w:p w14:paraId="6B8834D6" w14:textId="50138FF6" w:rsidR="007E4284" w:rsidRDefault="007E4284" w:rsidP="007E4284">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7"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635FD400" w14:textId="77777777" w:rsidR="007E4284" w:rsidRDefault="007E4284" w:rsidP="007E428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BBAB127" w14:textId="5739C5F0" w:rsidR="007E4284" w:rsidRDefault="007E4284" w:rsidP="00C36081">
      <w:pPr>
        <w:widowControl w:val="0"/>
        <w:autoSpaceDE w:val="0"/>
        <w:autoSpaceDN w:val="0"/>
        <w:spacing w:after="0" w:line="276" w:lineRule="auto"/>
        <w:jc w:val="both"/>
      </w:pPr>
      <w:r w:rsidRPr="00985B04">
        <w:rPr>
          <w:rStyle w:val="normaltextrun"/>
          <w:rFonts w:ascii="Verdana" w:hAnsi="Verdana" w:cs="Arial"/>
          <w:color w:val="000000" w:themeColor="text1"/>
          <w:shd w:val="clear" w:color="auto" w:fill="FFFFFF"/>
          <w:lang w:val="es-ES"/>
        </w:rPr>
        <w:t>También le invitamos a consultar la</w:t>
      </w:r>
      <w:r w:rsidR="00C36081">
        <w:rPr>
          <w:rStyle w:val="normaltextrun"/>
          <w:rFonts w:ascii="Verdana" w:hAnsi="Verdana" w:cs="Arial"/>
          <w:color w:val="000000" w:themeColor="text1"/>
          <w:shd w:val="clear" w:color="auto" w:fill="FFFFFF"/>
          <w:lang w:val="es-ES"/>
        </w:rPr>
        <w:t xml:space="preserve"> </w:t>
      </w:r>
      <w:r w:rsidR="00C36081" w:rsidRPr="00985B04">
        <w:rPr>
          <w:rStyle w:val="normaltextrun"/>
          <w:rFonts w:ascii="Verdana" w:hAnsi="Verdana" w:cs="Arial"/>
          <w:color w:val="000000" w:themeColor="text1"/>
          <w:shd w:val="clear" w:color="auto" w:fill="FFFFFF"/>
          <w:lang w:val="es-ES"/>
        </w:rPr>
        <w:t>versión</w:t>
      </w:r>
      <w:r w:rsidRPr="00985B04">
        <w:rPr>
          <w:rStyle w:val="normaltextrun"/>
          <w:rFonts w:ascii="Verdana" w:hAnsi="Verdana" w:cs="Arial"/>
          <w:color w:val="000000" w:themeColor="text1"/>
          <w:shd w:val="clear" w:color="auto" w:fill="FFFFFF"/>
          <w:lang w:val="es-ES"/>
        </w:rPr>
        <w:t xml:space="preserve"> </w:t>
      </w:r>
      <w:r w:rsidR="00C36081">
        <w:rPr>
          <w:rStyle w:val="normaltextrun"/>
          <w:rFonts w:ascii="Verdana" w:hAnsi="Verdana" w:cs="Arial"/>
          <w:color w:val="000000" w:themeColor="text1"/>
          <w:shd w:val="clear" w:color="auto" w:fill="FFFFFF"/>
          <w:lang w:val="es-ES"/>
        </w:rPr>
        <w:t>IV</w:t>
      </w:r>
      <w:r w:rsidRPr="00985B04">
        <w:rPr>
          <w:rStyle w:val="normaltextrun"/>
          <w:rFonts w:ascii="Verdana" w:hAnsi="Verdana" w:cs="Arial"/>
          <w:color w:val="000000" w:themeColor="text1"/>
          <w:shd w:val="clear" w:color="auto" w:fill="FFFFFF"/>
          <w:lang w:val="es-ES"/>
        </w:rPr>
        <w:t xml:space="preserve"> de 2024 del Boletín de Relatoría de la Subdirección de Gestión Contractual, las cuales puede descargar en la </w:t>
      </w:r>
      <w:r w:rsidRPr="00985B04">
        <w:rPr>
          <w:rStyle w:val="normaltextrun"/>
          <w:rFonts w:ascii="Verdana" w:hAnsi="Verdana" w:cs="Arial"/>
          <w:color w:val="000000" w:themeColor="text1"/>
          <w:shd w:val="clear" w:color="auto" w:fill="FFFFFF"/>
          <w:lang w:val="es-ES"/>
        </w:rPr>
        <w:lastRenderedPageBreak/>
        <w:t>página web de la Agencia:</w:t>
      </w:r>
      <w:r>
        <w:rPr>
          <w:rStyle w:val="normaltextrun"/>
          <w:rFonts w:ascii="Verdana" w:hAnsi="Verdana" w:cs="Arial"/>
          <w:color w:val="FF0000"/>
          <w:shd w:val="clear" w:color="auto" w:fill="FFFFFF"/>
          <w:lang w:val="es-ES"/>
        </w:rPr>
        <w:t xml:space="preserve"> </w:t>
      </w:r>
      <w:hyperlink r:id="rId18" w:history="1">
        <w:r w:rsidR="00503C19" w:rsidRPr="008E0FA3">
          <w:rPr>
            <w:rStyle w:val="Hipervnculo"/>
            <w:rFonts w:ascii="Verdana" w:hAnsi="Verdana"/>
          </w:rPr>
          <w:t>https://www.colombiacompra.gov.co/sala-de-prensa/boletin-digital/boletin-de-relatoria-2024-vi-modalidad-de-seleccion-de-seleccion-de</w:t>
        </w:r>
      </w:hyperlink>
      <w:r w:rsidR="00503C19">
        <w:rPr>
          <w:rFonts w:ascii="Verdana" w:hAnsi="Verdana"/>
        </w:rPr>
        <w:t xml:space="preserve"> </w:t>
      </w:r>
      <w:r w:rsidR="00C36081">
        <w:t xml:space="preserve"> </w:t>
      </w:r>
      <w:r w:rsidR="00503C19">
        <w:t xml:space="preserve"> </w:t>
      </w:r>
    </w:p>
    <w:p w14:paraId="76A349AD" w14:textId="77777777" w:rsidR="00C36081" w:rsidRDefault="00C36081" w:rsidP="00C36081">
      <w:pPr>
        <w:widowControl w:val="0"/>
        <w:autoSpaceDE w:val="0"/>
        <w:autoSpaceDN w:val="0"/>
        <w:spacing w:after="0" w:line="276" w:lineRule="auto"/>
        <w:jc w:val="both"/>
        <w:rPr>
          <w:rFonts w:ascii="Verdana" w:hAnsi="Verdana"/>
        </w:rPr>
      </w:pPr>
    </w:p>
    <w:p w14:paraId="542B0167"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10E1BD43" w14:textId="77777777" w:rsidR="007E4284" w:rsidRPr="003E2460" w:rsidRDefault="007E4284" w:rsidP="007E4284">
      <w:pPr>
        <w:spacing w:after="0" w:line="240" w:lineRule="auto"/>
        <w:jc w:val="both"/>
        <w:rPr>
          <w:rFonts w:ascii="Verdana" w:hAnsi="Verdana"/>
        </w:rPr>
      </w:pPr>
    </w:p>
    <w:p w14:paraId="3F267BF2"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426DCD21"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09633924"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3E93DEDD" w14:textId="77777777" w:rsidR="007E4284" w:rsidRPr="00593A5F" w:rsidRDefault="007E4284" w:rsidP="007E4284">
      <w:pPr>
        <w:widowControl w:val="0"/>
        <w:autoSpaceDE w:val="0"/>
        <w:autoSpaceDN w:val="0"/>
        <w:spacing w:after="0" w:line="276" w:lineRule="auto"/>
        <w:jc w:val="both"/>
        <w:rPr>
          <w:rFonts w:ascii="Verdana" w:hAnsi="Verdana" w:cs="Arial"/>
        </w:rPr>
      </w:pPr>
    </w:p>
    <w:p w14:paraId="49D99462" w14:textId="77777777" w:rsidR="007E4284" w:rsidRPr="00593A5F" w:rsidRDefault="007E4284" w:rsidP="007E428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B1E541C" w14:textId="77777777" w:rsidR="007E4284" w:rsidRPr="00593A5F" w:rsidRDefault="007E4284" w:rsidP="007E4284">
      <w:pPr>
        <w:widowControl w:val="0"/>
        <w:autoSpaceDE w:val="0"/>
        <w:autoSpaceDN w:val="0"/>
        <w:spacing w:after="0" w:line="276" w:lineRule="auto"/>
        <w:jc w:val="both"/>
        <w:rPr>
          <w:rFonts w:ascii="Verdana" w:hAnsi="Verdana" w:cs="Arial"/>
        </w:rPr>
      </w:pPr>
    </w:p>
    <w:p w14:paraId="158D8E37" w14:textId="2B66A31E" w:rsidR="007E4284" w:rsidRPr="00593A5F" w:rsidRDefault="007E4284" w:rsidP="007E428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29597DD" w14:textId="7658720A" w:rsidR="007E4284" w:rsidRDefault="007E4284" w:rsidP="007E4284">
      <w:pPr>
        <w:spacing w:line="276" w:lineRule="auto"/>
        <w:jc w:val="center"/>
        <w:rPr>
          <w:rFonts w:ascii="Verdana" w:hAnsi="Verdana"/>
          <w:noProof/>
        </w:rPr>
      </w:pPr>
    </w:p>
    <w:p w14:paraId="68F593D9" w14:textId="69992C8E" w:rsidR="00B1120D" w:rsidRDefault="00D67212" w:rsidP="00D67212">
      <w:pPr>
        <w:spacing w:line="276" w:lineRule="auto"/>
        <w:jc w:val="center"/>
        <w:rPr>
          <w:rFonts w:ascii="Verdana" w:hAnsi="Verdana"/>
          <w:noProof/>
          <w:color w:val="000000"/>
        </w:rPr>
      </w:pPr>
      <w:r>
        <w:rPr>
          <w:noProof/>
        </w:rPr>
        <w:drawing>
          <wp:inline distT="0" distB="0" distL="0" distR="0" wp14:anchorId="5D966AC2" wp14:editId="73C5F6FE">
            <wp:extent cx="3771429" cy="1400000"/>
            <wp:effectExtent l="0" t="0" r="635" b="0"/>
            <wp:docPr id="17984774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77487" name="Imagen 1" descr="Texto&#10;&#10;El contenido generado por IA puede ser incorrecto."/>
                    <pic:cNvPicPr/>
                  </pic:nvPicPr>
                  <pic:blipFill>
                    <a:blip r:embed="rId19"/>
                    <a:stretch>
                      <a:fillRect/>
                    </a:stretch>
                  </pic:blipFill>
                  <pic:spPr>
                    <a:xfrm>
                      <a:off x="0" y="0"/>
                      <a:ext cx="3771429" cy="1400000"/>
                    </a:xfrm>
                    <a:prstGeom prst="rect">
                      <a:avLst/>
                    </a:prstGeom>
                  </pic:spPr>
                </pic:pic>
              </a:graphicData>
            </a:graphic>
          </wp:inline>
        </w:drawing>
      </w:r>
    </w:p>
    <w:p w14:paraId="1D17C4B0" w14:textId="77777777" w:rsidR="00B1120D" w:rsidRPr="00593A5F" w:rsidRDefault="00B1120D" w:rsidP="007E4284">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E4284" w:rsidRPr="00593A5F" w14:paraId="10E97FCB" w14:textId="77777777">
        <w:trPr>
          <w:trHeight w:val="315"/>
        </w:trPr>
        <w:tc>
          <w:tcPr>
            <w:tcW w:w="893" w:type="dxa"/>
            <w:vAlign w:val="center"/>
            <w:hideMark/>
          </w:tcPr>
          <w:p w14:paraId="6FEFE8DA"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1C4DEDE" w14:textId="77777777" w:rsidR="007E4284" w:rsidRPr="00BE4B85" w:rsidRDefault="007E4284">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58A6C53C" w14:textId="77777777" w:rsidR="007E4284" w:rsidRPr="00BE4B85" w:rsidRDefault="007E4284">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7E4284" w:rsidRPr="00593A5F" w14:paraId="060045CC" w14:textId="77777777">
        <w:trPr>
          <w:trHeight w:val="330"/>
        </w:trPr>
        <w:tc>
          <w:tcPr>
            <w:tcW w:w="893" w:type="dxa"/>
            <w:vAlign w:val="center"/>
            <w:hideMark/>
          </w:tcPr>
          <w:p w14:paraId="68D83EEC"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F2DC12" w14:textId="411B8752" w:rsidR="007E4284" w:rsidRPr="0031103E" w:rsidRDefault="00694654">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 xml:space="preserve">Adriana López </w:t>
            </w:r>
          </w:p>
          <w:p w14:paraId="61F16D70" w14:textId="77777777" w:rsidR="007E4284" w:rsidRPr="00BE4B85" w:rsidRDefault="007E4284">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7E4284" w:rsidRPr="00593A5F" w14:paraId="06EB7A78" w14:textId="77777777">
        <w:trPr>
          <w:trHeight w:val="300"/>
        </w:trPr>
        <w:tc>
          <w:tcPr>
            <w:tcW w:w="893" w:type="dxa"/>
            <w:vAlign w:val="center"/>
          </w:tcPr>
          <w:p w14:paraId="538249FF"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5D9FE4" w14:textId="77777777" w:rsidR="007E4284" w:rsidRPr="00BE4B85" w:rsidRDefault="007E4284">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Carolina Quintero Gacharná</w:t>
            </w:r>
          </w:p>
          <w:p w14:paraId="4ACBC904" w14:textId="77777777" w:rsidR="007E4284" w:rsidRPr="00BE4B85" w:rsidRDefault="007E4284">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Contractual ANCP – CCE</w:t>
            </w:r>
          </w:p>
        </w:tc>
      </w:tr>
      <w:bookmarkEnd w:id="1"/>
      <w:bookmarkEnd w:id="5"/>
      <w:bookmarkEnd w:id="6"/>
    </w:tbl>
    <w:p w14:paraId="12C6032C" w14:textId="77777777" w:rsidR="007E4284" w:rsidRPr="00593A5F" w:rsidRDefault="007E4284" w:rsidP="00D963EA">
      <w:pPr>
        <w:spacing w:after="0" w:line="240" w:lineRule="auto"/>
        <w:rPr>
          <w:rFonts w:ascii="Verdana" w:eastAsia="Times New Roman" w:hAnsi="Verdana" w:cs="Arial"/>
          <w:sz w:val="24"/>
          <w:szCs w:val="24"/>
          <w:lang w:eastAsia="es-ES"/>
        </w:rPr>
      </w:pPr>
    </w:p>
    <w:sectPr w:rsidR="007E4284" w:rsidRPr="00593A5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8C3A6" w14:textId="77777777" w:rsidR="004C03DF" w:rsidRDefault="004C03DF" w:rsidP="004A1847">
      <w:pPr>
        <w:spacing w:after="0" w:line="240" w:lineRule="auto"/>
      </w:pPr>
      <w:r>
        <w:separator/>
      </w:r>
    </w:p>
  </w:endnote>
  <w:endnote w:type="continuationSeparator" w:id="0">
    <w:p w14:paraId="4F3C136D" w14:textId="77777777" w:rsidR="004C03DF" w:rsidRDefault="004C03D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EDF545" w14:textId="77777777" w:rsidR="004C03DF" w:rsidRDefault="004C03DF" w:rsidP="004A1847">
      <w:pPr>
        <w:spacing w:after="0" w:line="240" w:lineRule="auto"/>
      </w:pPr>
      <w:r>
        <w:separator/>
      </w:r>
    </w:p>
  </w:footnote>
  <w:footnote w:type="continuationSeparator" w:id="0">
    <w:p w14:paraId="115F48EC" w14:textId="77777777" w:rsidR="004C03DF" w:rsidRDefault="004C03DF" w:rsidP="004A1847">
      <w:pPr>
        <w:spacing w:after="0" w:line="240" w:lineRule="auto"/>
      </w:pPr>
      <w:r>
        <w:continuationSeparator/>
      </w:r>
    </w:p>
  </w:footnote>
  <w:footnote w:id="1">
    <w:p w14:paraId="08077E44" w14:textId="77777777" w:rsidR="001E1142" w:rsidRPr="001E1142" w:rsidRDefault="001E1142" w:rsidP="001E1142">
      <w:pPr>
        <w:pStyle w:val="Textonotapie"/>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2DEE31DD" w14:textId="448BE0A8" w:rsidR="001E1142" w:rsidRPr="004C4C02" w:rsidRDefault="001E1142" w:rsidP="00A71FA6">
      <w:pPr>
        <w:pStyle w:val="Textonotapie"/>
        <w:jc w:val="both"/>
        <w:rPr>
          <w:rFonts w:ascii="Arial" w:hAnsi="Arial" w:cs="Arial"/>
          <w:color w:val="000000" w:themeColor="text1"/>
          <w:sz w:val="19"/>
          <w:szCs w:val="19"/>
          <w:lang w:val="es-ES"/>
        </w:rPr>
      </w:pPr>
      <w:r w:rsidRPr="001E1142">
        <w:rPr>
          <w:rFonts w:ascii="Verdana" w:hAnsi="Verdana" w:cs="Arial"/>
          <w:color w:val="000000" w:themeColor="text1"/>
          <w:sz w:val="12"/>
          <w:szCs w:val="12"/>
          <w:lang w:val="es-ES"/>
        </w:rPr>
        <w:t>»2. Quien presta el servicio se denomina trabajador, quien lo recibe y remunera, empleador, y la remuneración, cualquiera que sea su forma, salario».</w:t>
      </w:r>
    </w:p>
  </w:footnote>
  <w:footnote w:id="2">
    <w:p w14:paraId="25FBA488" w14:textId="77777777" w:rsidR="001E1142" w:rsidRPr="001E1142" w:rsidRDefault="001E1142" w:rsidP="001E1142">
      <w:pPr>
        <w:pStyle w:val="Textonotapie"/>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41E3C68E" w14:textId="77777777" w:rsidR="001E1142" w:rsidRPr="001E1142" w:rsidRDefault="001E1142" w:rsidP="001E1142">
      <w:pPr>
        <w:pStyle w:val="Textonotapie"/>
        <w:jc w:val="both"/>
        <w:rPr>
          <w:rFonts w:ascii="Verdana" w:hAnsi="Verdana" w:cs="Arial"/>
          <w:color w:val="000000" w:themeColor="text1"/>
          <w:sz w:val="12"/>
          <w:szCs w:val="12"/>
          <w:lang w:val="es-ES"/>
        </w:rPr>
      </w:pPr>
      <w:proofErr w:type="gramStart"/>
      <w:r w:rsidRPr="001E1142">
        <w:rPr>
          <w:rFonts w:ascii="Verdana" w:hAnsi="Verdana" w:cs="Arial"/>
          <w:color w:val="000000" w:themeColor="text1"/>
          <w:sz w:val="12"/>
          <w:szCs w:val="12"/>
          <w:lang w:val="es-ES"/>
        </w:rPr>
        <w:t>»Los</w:t>
      </w:r>
      <w:proofErr w:type="gramEnd"/>
      <w:r w:rsidRPr="001E1142">
        <w:rPr>
          <w:rFonts w:ascii="Verdana" w:hAnsi="Verdana" w:cs="Arial"/>
          <w:color w:val="000000" w:themeColor="text1"/>
          <w:sz w:val="12"/>
          <w:szCs w:val="12"/>
          <w:lang w:val="es-ES"/>
        </w:rPr>
        <w:t xml:space="preserve">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A45048F" w14:textId="77777777" w:rsidR="001E1142" w:rsidRPr="001E1142" w:rsidRDefault="001E1142" w:rsidP="001E1142">
      <w:pPr>
        <w:pStyle w:val="Textonotapie"/>
        <w:jc w:val="both"/>
        <w:rPr>
          <w:rFonts w:ascii="Verdana" w:hAnsi="Verdana" w:cs="Arial"/>
          <w:color w:val="000000" w:themeColor="text1"/>
          <w:sz w:val="12"/>
          <w:szCs w:val="12"/>
          <w:lang w:val="es-ES"/>
        </w:rPr>
      </w:pPr>
      <w:proofErr w:type="gramStart"/>
      <w:r w:rsidRPr="001E1142">
        <w:rPr>
          <w:rFonts w:ascii="Verdana" w:hAnsi="Verdana" w:cs="Arial"/>
          <w:color w:val="000000" w:themeColor="text1"/>
          <w:sz w:val="12"/>
          <w:szCs w:val="12"/>
          <w:lang w:val="es-ES"/>
        </w:rPr>
        <w:t>»El</w:t>
      </w:r>
      <w:proofErr w:type="gramEnd"/>
      <w:r w:rsidRPr="001E1142">
        <w:rPr>
          <w:rFonts w:ascii="Verdana" w:hAnsi="Verdana" w:cs="Arial"/>
          <w:color w:val="000000" w:themeColor="text1"/>
          <w:sz w:val="12"/>
          <w:szCs w:val="12"/>
          <w:lang w:val="es-ES"/>
        </w:rPr>
        <w:t xml:space="preserve"> Gobierno nacional reglamentará el mecanismo para realizar la mensualización de que trata el presente </w:t>
      </w:r>
      <w:proofErr w:type="gramStart"/>
      <w:r w:rsidRPr="001E1142">
        <w:rPr>
          <w:rFonts w:ascii="Verdana" w:hAnsi="Verdana" w:cs="Arial"/>
          <w:color w:val="000000" w:themeColor="text1"/>
          <w:sz w:val="12"/>
          <w:szCs w:val="12"/>
          <w:lang w:val="es-ES"/>
        </w:rPr>
        <w:t>artículo.[</w:t>
      </w:r>
      <w:proofErr w:type="gramEnd"/>
      <w:r w:rsidRPr="001E1142">
        <w:rPr>
          <w:rFonts w:ascii="Verdana" w:hAnsi="Verdana" w:cs="Arial"/>
          <w:color w:val="000000" w:themeColor="text1"/>
          <w:sz w:val="12"/>
          <w:szCs w:val="12"/>
          <w:lang w:val="es-ES"/>
        </w:rPr>
        <w:t>…]».</w:t>
      </w:r>
    </w:p>
  </w:footnote>
  <w:footnote w:id="3">
    <w:p w14:paraId="24CCCD06" w14:textId="77777777" w:rsidR="001E1142" w:rsidRPr="001E1142" w:rsidRDefault="001E1142" w:rsidP="001E1142">
      <w:pPr>
        <w:pStyle w:val="Textonotapie"/>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Corte Constitucional. Sentencia C-154 de 1997. Magistrado Ponente: Hernando Herrera Vergara.</w:t>
      </w:r>
    </w:p>
    <w:p w14:paraId="5FE2284F" w14:textId="77777777" w:rsidR="001E1142" w:rsidRPr="001E1142" w:rsidRDefault="001E1142" w:rsidP="001E1142">
      <w:pPr>
        <w:pStyle w:val="Textonotapie"/>
        <w:jc w:val="both"/>
        <w:rPr>
          <w:rFonts w:ascii="Verdana" w:hAnsi="Verdana" w:cs="Arial"/>
          <w:color w:val="000000" w:themeColor="text1"/>
          <w:sz w:val="12"/>
          <w:szCs w:val="12"/>
          <w:lang w:val="es-ES"/>
        </w:rPr>
      </w:pPr>
    </w:p>
  </w:footnote>
  <w:footnote w:id="4">
    <w:p w14:paraId="02314355"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Ibíd.</w:t>
      </w:r>
    </w:p>
    <w:p w14:paraId="36F0C52F" w14:textId="77777777" w:rsidR="001E1142" w:rsidRPr="004C4C02" w:rsidRDefault="001E1142" w:rsidP="00971A5E">
      <w:pPr>
        <w:pStyle w:val="Textonotapie"/>
        <w:ind w:firstLine="709"/>
        <w:contextualSpacing/>
        <w:jc w:val="both"/>
        <w:rPr>
          <w:rFonts w:ascii="Arial" w:hAnsi="Arial" w:cs="Arial"/>
          <w:color w:val="000000" w:themeColor="text1"/>
          <w:sz w:val="19"/>
          <w:szCs w:val="19"/>
          <w:lang w:val="es-ES"/>
        </w:rPr>
      </w:pPr>
    </w:p>
  </w:footnote>
  <w:footnote w:id="5">
    <w:p w14:paraId="4DC9637C"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1FA5A7F"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p>
    <w:p w14:paraId="3C6E9ACB"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proofErr w:type="gramStart"/>
      <w:r w:rsidRPr="001E1142">
        <w:rPr>
          <w:rFonts w:ascii="Verdana" w:hAnsi="Verdana" w:cs="Arial"/>
          <w:color w:val="000000" w:themeColor="text1"/>
          <w:sz w:val="12"/>
          <w:szCs w:val="12"/>
          <w:lang w:val="es-ES"/>
        </w:rPr>
        <w:t>»Los</w:t>
      </w:r>
      <w:proofErr w:type="gramEnd"/>
      <w:r w:rsidRPr="001E1142">
        <w:rPr>
          <w:rFonts w:ascii="Verdana" w:hAnsi="Verdana" w:cs="Arial"/>
          <w:color w:val="000000" w:themeColor="text1"/>
          <w:sz w:val="12"/>
          <w:szCs w:val="12"/>
          <w:lang w:val="es-ES"/>
        </w:rPr>
        <w:t xml:space="preserve">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A3543B8"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proofErr w:type="gramStart"/>
      <w:r w:rsidRPr="001E1142">
        <w:rPr>
          <w:rFonts w:ascii="Verdana" w:hAnsi="Verdana" w:cs="Arial"/>
          <w:color w:val="000000" w:themeColor="text1"/>
          <w:sz w:val="12"/>
          <w:szCs w:val="12"/>
          <w:lang w:val="es-ES"/>
        </w:rPr>
        <w:t>»La</w:t>
      </w:r>
      <w:proofErr w:type="gramEnd"/>
      <w:r w:rsidRPr="001E1142">
        <w:rPr>
          <w:rFonts w:ascii="Verdana" w:hAnsi="Verdana" w:cs="Arial"/>
          <w:color w:val="000000" w:themeColor="text1"/>
          <w:sz w:val="12"/>
          <w:szCs w:val="12"/>
          <w:lang w:val="es-ES"/>
        </w:rPr>
        <w:t xml:space="preserve"> Entidad Estatal, para la contratación de trabajos artísticos que solamente puedan en­comendarse a determinadas personas naturales, debe justificar esta situación en los estudios y documentos previos».</w:t>
      </w:r>
    </w:p>
  </w:footnote>
  <w:footnote w:id="6">
    <w:p w14:paraId="6873F236"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Así lo prevé el artículo 2.2.1.2.1.4.1. del Decreto 1082 de 2015: «La Entidad Estatal debe señalar en un acto administrativo la justificación para contratar bajo la modalidad de contratación directa, el cual debe contener:</w:t>
      </w:r>
    </w:p>
    <w:p w14:paraId="431FF1EF"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»1. La causal que invoca para contratar directamente.</w:t>
      </w:r>
    </w:p>
    <w:p w14:paraId="3B914261"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»2. El objeto del contrato.</w:t>
      </w:r>
    </w:p>
    <w:p w14:paraId="4EAC53EF"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»3. El presupuesto para la contratación y las condiciones que exigirá al contratista.</w:t>
      </w:r>
    </w:p>
    <w:p w14:paraId="441CE9B7"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»4. El lugar en el cual los interesados pueden consultar los estudios y documentos previos.</w:t>
      </w:r>
    </w:p>
    <w:p w14:paraId="243EEEEB"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proofErr w:type="gramStart"/>
      <w:r w:rsidRPr="001E1142">
        <w:rPr>
          <w:rFonts w:ascii="Verdana" w:hAnsi="Verdana" w:cs="Arial"/>
          <w:color w:val="000000" w:themeColor="text1"/>
          <w:sz w:val="12"/>
          <w:szCs w:val="12"/>
          <w:lang w:val="es-ES"/>
        </w:rPr>
        <w:t>»Este</w:t>
      </w:r>
      <w:proofErr w:type="gramEnd"/>
      <w:r w:rsidRPr="001E1142">
        <w:rPr>
          <w:rFonts w:ascii="Verdana" w:hAnsi="Verdana" w:cs="Arial"/>
          <w:color w:val="000000" w:themeColor="text1"/>
          <w:sz w:val="12"/>
          <w:szCs w:val="12"/>
          <w:lang w:val="es-ES"/>
        </w:rPr>
        <w:t xml:space="preserve"> acto administrativo no es necesario cuando el contrato a celebrar es de prestación de servicios profesionales y de apoyo a la gestión, y para los contratos de que tratan los literales (a) y (b) del artículo 2.2.1.2.1.4.3 del presente decreto».</w:t>
      </w:r>
    </w:p>
    <w:p w14:paraId="1D607441" w14:textId="77777777" w:rsidR="001E1142" w:rsidRPr="001E1142" w:rsidRDefault="001E1142" w:rsidP="00971A5E">
      <w:pPr>
        <w:pStyle w:val="Textonotapie"/>
        <w:contextualSpacing/>
        <w:jc w:val="both"/>
        <w:rPr>
          <w:rFonts w:ascii="Arial" w:hAnsi="Arial" w:cs="Arial"/>
          <w:color w:val="000000" w:themeColor="text1"/>
          <w:sz w:val="12"/>
          <w:szCs w:val="12"/>
          <w:lang w:val="es-ES"/>
        </w:rPr>
      </w:pPr>
    </w:p>
  </w:footnote>
  <w:footnote w:id="7">
    <w:p w14:paraId="1858B503"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Esta norma expresa: «</w:t>
      </w:r>
      <w:r w:rsidRPr="001E1142">
        <w:rPr>
          <w:rFonts w:ascii="Verdana" w:hAnsi="Verdana" w:cs="Arial"/>
          <w:color w:val="000000" w:themeColor="text1"/>
          <w:sz w:val="12"/>
          <w:szCs w:val="12"/>
        </w:rPr>
        <w:t>P</w:t>
      </w:r>
      <w:r w:rsidRPr="001E1142">
        <w:rPr>
          <w:rFonts w:ascii="Verdana" w:hAnsi="Verdana" w:cs="Arial"/>
          <w:color w:val="000000" w:themeColor="text1"/>
          <w:sz w:val="12"/>
          <w:szCs w:val="12"/>
          <w:lang w:val="es-ES"/>
        </w:rPr>
        <w:t>ara el cumplimiento de los fines de la contratación, las entidades estatales al celebrar un contrato:</w:t>
      </w:r>
    </w:p>
    <w:p w14:paraId="1E24EDF0"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w:t>
      </w:r>
    </w:p>
    <w:p w14:paraId="09C8CC5C"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proofErr w:type="gramStart"/>
      <w:r w:rsidRPr="001E1142">
        <w:rPr>
          <w:rFonts w:ascii="Verdana" w:hAnsi="Verdana" w:cs="Arial"/>
          <w:color w:val="000000" w:themeColor="text1"/>
          <w:sz w:val="12"/>
          <w:szCs w:val="12"/>
          <w:lang w:val="es-ES"/>
        </w:rPr>
        <w:t>»2o.</w:t>
      </w:r>
      <w:proofErr w:type="gramEnd"/>
      <w:r w:rsidRPr="001E1142">
        <w:rPr>
          <w:rFonts w:ascii="Verdana" w:hAnsi="Verdana" w:cs="Arial"/>
          <w:color w:val="000000" w:themeColor="text1"/>
          <w:sz w:val="12"/>
          <w:szCs w:val="12"/>
          <w:lang w:val="es-ES"/>
        </w:rPr>
        <w:t xml:space="preserve">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7754936D" w14:textId="77777777" w:rsidR="001E1142" w:rsidRPr="001E1142" w:rsidRDefault="001E1142" w:rsidP="00971A5E">
      <w:pPr>
        <w:pStyle w:val="Textonotapie"/>
        <w:contextualSpacing/>
        <w:jc w:val="both"/>
        <w:rPr>
          <w:rFonts w:ascii="Verdana" w:hAnsi="Verdana" w:cs="Arial"/>
          <w:color w:val="000000" w:themeColor="text1"/>
          <w:sz w:val="12"/>
          <w:szCs w:val="12"/>
          <w:lang w:val="es-ES"/>
        </w:rPr>
      </w:pPr>
      <w:proofErr w:type="gramStart"/>
      <w:r w:rsidRPr="001E1142">
        <w:rPr>
          <w:rFonts w:ascii="Verdana" w:hAnsi="Verdana" w:cs="Arial"/>
          <w:color w:val="000000" w:themeColor="text1"/>
          <w:sz w:val="12"/>
          <w:szCs w:val="12"/>
          <w:lang w:val="es-ES"/>
        </w:rPr>
        <w:t>»Las</w:t>
      </w:r>
      <w:proofErr w:type="gramEnd"/>
      <w:r w:rsidRPr="001E1142">
        <w:rPr>
          <w:rFonts w:ascii="Verdana" w:hAnsi="Verdana" w:cs="Arial"/>
          <w:color w:val="000000" w:themeColor="text1"/>
          <w:sz w:val="12"/>
          <w:szCs w:val="12"/>
          <w:lang w:val="es-ES"/>
        </w:rPr>
        <w:t xml:space="preserve"> entidades estatales podrán pactar estas cláusulas en los contratos de suministro y de prestación de </w:t>
      </w:r>
      <w:proofErr w:type="gramStart"/>
      <w:r w:rsidRPr="001E1142">
        <w:rPr>
          <w:rFonts w:ascii="Verdana" w:hAnsi="Verdana" w:cs="Arial"/>
          <w:color w:val="000000" w:themeColor="text1"/>
          <w:sz w:val="12"/>
          <w:szCs w:val="12"/>
          <w:lang w:val="es-ES"/>
        </w:rPr>
        <w:t>servicios.[</w:t>
      </w:r>
      <w:proofErr w:type="gramEnd"/>
      <w:r w:rsidRPr="001E1142">
        <w:rPr>
          <w:rFonts w:ascii="Verdana" w:hAnsi="Verdana" w:cs="Arial"/>
          <w:color w:val="000000" w:themeColor="text1"/>
          <w:sz w:val="12"/>
          <w:szCs w:val="12"/>
          <w:lang w:val="es-ES"/>
        </w:rPr>
        <w:t>…]».</w:t>
      </w:r>
    </w:p>
    <w:p w14:paraId="02A8AAAC" w14:textId="77777777" w:rsidR="001E1142" w:rsidRPr="001E1142" w:rsidRDefault="001E1142" w:rsidP="001E1142">
      <w:pPr>
        <w:pStyle w:val="Textonotapie"/>
        <w:jc w:val="both"/>
        <w:rPr>
          <w:rFonts w:ascii="Verdana" w:hAnsi="Verdana" w:cs="Arial"/>
          <w:color w:val="000000" w:themeColor="text1"/>
          <w:sz w:val="12"/>
          <w:szCs w:val="12"/>
          <w:lang w:val="es-ES"/>
        </w:rPr>
      </w:pPr>
    </w:p>
  </w:footnote>
  <w:footnote w:id="8">
    <w:p w14:paraId="1BA83585" w14:textId="77777777" w:rsidR="001E1142" w:rsidRPr="001E1142" w:rsidRDefault="001E1142" w:rsidP="001E1142">
      <w:pPr>
        <w:pStyle w:val="Textonotapie"/>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La norma dispone: «La liquidación a que se refiere el presente artículo no será obligatoria en los contratos de prestación de servicios profesionales y de apoyo a la gestión».</w:t>
      </w:r>
    </w:p>
    <w:p w14:paraId="1F19E92A" w14:textId="77777777" w:rsidR="001E1142" w:rsidRPr="001E1142" w:rsidRDefault="001E1142" w:rsidP="001E1142">
      <w:pPr>
        <w:pStyle w:val="Textonotapie"/>
        <w:jc w:val="both"/>
        <w:rPr>
          <w:rFonts w:ascii="Arial" w:hAnsi="Arial" w:cs="Arial"/>
          <w:color w:val="000000" w:themeColor="text1"/>
          <w:sz w:val="12"/>
          <w:szCs w:val="12"/>
          <w:lang w:val="es-ES"/>
        </w:rPr>
      </w:pPr>
    </w:p>
  </w:footnote>
  <w:footnote w:id="9">
    <w:p w14:paraId="4012C36E" w14:textId="77777777" w:rsidR="001E1142" w:rsidRPr="001E1142" w:rsidRDefault="001E1142" w:rsidP="001E1142">
      <w:pPr>
        <w:pStyle w:val="Textonotapie"/>
        <w:jc w:val="both"/>
        <w:rPr>
          <w:rFonts w:ascii="Verdana" w:hAnsi="Verdana" w:cs="Arial"/>
          <w:color w:val="000000" w:themeColor="text1"/>
          <w:sz w:val="12"/>
          <w:szCs w:val="12"/>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AE01E44" w14:textId="77777777" w:rsidR="001E1142" w:rsidRPr="001E1142" w:rsidRDefault="001E1142" w:rsidP="001E1142">
      <w:pPr>
        <w:pStyle w:val="Textonotapie"/>
        <w:jc w:val="both"/>
        <w:rPr>
          <w:rFonts w:ascii="Verdana" w:hAnsi="Verdana" w:cs="Arial"/>
          <w:color w:val="000000" w:themeColor="text1"/>
          <w:sz w:val="12"/>
          <w:szCs w:val="12"/>
        </w:rPr>
      </w:pPr>
      <w:r w:rsidRPr="001E1142">
        <w:rPr>
          <w:rFonts w:ascii="Verdana" w:hAnsi="Verdana" w:cs="Arial"/>
          <w:color w:val="000000" w:themeColor="text1"/>
          <w:sz w:val="12"/>
          <w:szCs w:val="12"/>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2F5DF3B" w14:textId="77777777" w:rsidR="001E1142" w:rsidRPr="001E1142" w:rsidRDefault="001E1142" w:rsidP="001E1142">
      <w:pPr>
        <w:pStyle w:val="Textonotapie"/>
        <w:jc w:val="both"/>
        <w:rPr>
          <w:rFonts w:ascii="Verdana" w:hAnsi="Verdana" w:cs="Arial"/>
          <w:color w:val="000000" w:themeColor="text1"/>
          <w:sz w:val="12"/>
          <w:szCs w:val="12"/>
        </w:rPr>
      </w:pPr>
      <w:r w:rsidRPr="001E1142">
        <w:rPr>
          <w:rFonts w:ascii="Verdana" w:hAnsi="Verdana" w:cs="Arial"/>
          <w:color w:val="000000" w:themeColor="text1"/>
          <w:sz w:val="12"/>
          <w:szCs w:val="12"/>
        </w:rPr>
        <w:t>[…]».</w:t>
      </w:r>
    </w:p>
    <w:p w14:paraId="5D81D40A" w14:textId="77777777" w:rsidR="001E1142" w:rsidRPr="00616D4E" w:rsidRDefault="001E1142" w:rsidP="001E1142">
      <w:pPr>
        <w:pStyle w:val="Textonotapie"/>
        <w:ind w:firstLine="709"/>
        <w:jc w:val="both"/>
        <w:rPr>
          <w:rFonts w:ascii="Verdana" w:hAnsi="Verdana" w:cs="Arial"/>
          <w:color w:val="000000" w:themeColor="text1"/>
          <w:sz w:val="11"/>
          <w:szCs w:val="11"/>
          <w:lang w:val="es-ES"/>
        </w:rPr>
      </w:pPr>
    </w:p>
  </w:footnote>
  <w:footnote w:id="10">
    <w:p w14:paraId="58B07C57" w14:textId="77777777" w:rsidR="001E1142" w:rsidRPr="001E1142" w:rsidRDefault="001E1142" w:rsidP="001E1142">
      <w:pPr>
        <w:pStyle w:val="Textonotapie"/>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059F075A" w14:textId="77777777" w:rsidR="001E1142" w:rsidRPr="004C4C02" w:rsidRDefault="001E1142" w:rsidP="001E1142">
      <w:pPr>
        <w:pStyle w:val="Textonotapie"/>
        <w:ind w:firstLine="709"/>
        <w:jc w:val="both"/>
        <w:rPr>
          <w:rFonts w:ascii="Arial" w:hAnsi="Arial" w:cs="Arial"/>
          <w:color w:val="000000" w:themeColor="text1"/>
          <w:sz w:val="19"/>
          <w:szCs w:val="19"/>
          <w:lang w:val="es-ES"/>
        </w:rPr>
      </w:pPr>
    </w:p>
  </w:footnote>
  <w:footnote w:id="11">
    <w:p w14:paraId="43F1909C" w14:textId="77777777" w:rsidR="00971A5E" w:rsidRPr="00B52870" w:rsidRDefault="00971A5E" w:rsidP="00B52870">
      <w:pPr>
        <w:pStyle w:val="Textonotapie"/>
        <w:jc w:val="both"/>
        <w:rPr>
          <w:rFonts w:ascii="Verdana" w:hAnsi="Verdana" w:cs="Arial"/>
          <w:color w:val="000000"/>
          <w:sz w:val="12"/>
          <w:szCs w:val="12"/>
        </w:rPr>
      </w:pPr>
      <w:r w:rsidRPr="00B52870">
        <w:rPr>
          <w:rStyle w:val="Refdenotaalpie"/>
          <w:rFonts w:ascii="Verdana" w:hAnsi="Verdana" w:cs="Arial"/>
          <w:color w:val="000000"/>
          <w:sz w:val="12"/>
          <w:szCs w:val="12"/>
        </w:rPr>
        <w:footnoteRef/>
      </w:r>
      <w:r w:rsidRPr="00B52870">
        <w:rPr>
          <w:rFonts w:ascii="Verdana" w:hAnsi="Verdana" w:cs="Arial"/>
          <w:color w:val="000000"/>
          <w:sz w:val="12"/>
          <w:szCs w:val="12"/>
        </w:rPr>
        <w:t xml:space="preserve"> </w:t>
      </w:r>
      <w:r w:rsidRPr="00B52870">
        <w:rPr>
          <w:rFonts w:ascii="Verdana" w:eastAsia="Calibri" w:hAnsi="Verdana" w:cs="Arial"/>
          <w:bCs/>
          <w:color w:val="000000"/>
          <w:sz w:val="12"/>
          <w:szCs w:val="12"/>
          <w:lang w:val="es-ES_tradnl"/>
        </w:rPr>
        <w:t>CONSEJO DE ESTADO. Sección Tercera. Subsección A. Sentencia del 24 de octubre de 2016. Exp. 45.607. C.P. Marta Nubia Velásquez Rico.</w:t>
      </w:r>
    </w:p>
    <w:p w14:paraId="254587F7" w14:textId="77777777" w:rsidR="00971A5E" w:rsidRPr="00B52870" w:rsidRDefault="00971A5E" w:rsidP="00B52870">
      <w:pPr>
        <w:pStyle w:val="Textonotapie"/>
        <w:jc w:val="both"/>
        <w:rPr>
          <w:rFonts w:ascii="Verdana" w:hAnsi="Verdana" w:cs="Arial"/>
          <w:color w:val="000000"/>
          <w:sz w:val="12"/>
          <w:szCs w:val="12"/>
          <w:lang w:val="es-ES"/>
        </w:rPr>
      </w:pPr>
    </w:p>
  </w:footnote>
  <w:footnote w:id="12">
    <w:p w14:paraId="777DD9A8" w14:textId="77777777" w:rsidR="00971A5E" w:rsidRPr="00B52870" w:rsidRDefault="00971A5E" w:rsidP="00B52870">
      <w:pPr>
        <w:pStyle w:val="Textonotapie"/>
        <w:jc w:val="both"/>
        <w:rPr>
          <w:rFonts w:ascii="Verdana" w:eastAsia="Calibri" w:hAnsi="Verdana" w:cs="Arial"/>
          <w:bCs/>
          <w:color w:val="000000"/>
          <w:sz w:val="12"/>
          <w:szCs w:val="12"/>
          <w:lang w:val="es-ES_tradnl"/>
        </w:rPr>
      </w:pPr>
      <w:r w:rsidRPr="00B52870">
        <w:rPr>
          <w:rStyle w:val="Refdenotaalpie"/>
          <w:rFonts w:ascii="Verdana" w:hAnsi="Verdana" w:cs="Arial"/>
          <w:color w:val="000000"/>
          <w:sz w:val="12"/>
          <w:szCs w:val="12"/>
        </w:rPr>
        <w:footnoteRef/>
      </w:r>
      <w:r w:rsidRPr="00B52870">
        <w:rPr>
          <w:rFonts w:ascii="Verdana" w:hAnsi="Verdana" w:cs="Arial"/>
          <w:color w:val="000000"/>
          <w:sz w:val="12"/>
          <w:szCs w:val="12"/>
        </w:rPr>
        <w:t xml:space="preserve"> </w:t>
      </w:r>
      <w:r w:rsidRPr="00B52870">
        <w:rPr>
          <w:rFonts w:ascii="Verdana" w:eastAsia="Calibri" w:hAnsi="Verdana" w:cs="Arial"/>
          <w:bCs/>
          <w:color w:val="000000"/>
          <w:sz w:val="12"/>
          <w:szCs w:val="12"/>
          <w:lang w:val="es-ES_tradnl"/>
        </w:rPr>
        <w:t xml:space="preserve">HINESTROSA FORERO, Fernando. Tratado de las Obligaciones II. De las fuentes de las obligaciones: el negocio jurídico. Volumen I. Bogotá: Universidad Externado de Colombia, 2015. p. 116.  </w:t>
      </w:r>
    </w:p>
    <w:p w14:paraId="3213F473" w14:textId="77777777" w:rsidR="00971A5E" w:rsidRPr="00B52870" w:rsidRDefault="00971A5E" w:rsidP="00B52870">
      <w:pPr>
        <w:pStyle w:val="Textonotapie"/>
        <w:jc w:val="both"/>
        <w:rPr>
          <w:rFonts w:ascii="Verdana" w:hAnsi="Verdana" w:cs="Arial"/>
          <w:color w:val="000000"/>
          <w:sz w:val="12"/>
          <w:szCs w:val="12"/>
          <w:lang w:val="es-ES"/>
        </w:rPr>
      </w:pPr>
    </w:p>
  </w:footnote>
  <w:footnote w:id="13">
    <w:p w14:paraId="4295A157" w14:textId="77777777" w:rsidR="00971A5E" w:rsidRPr="00B52870" w:rsidRDefault="00971A5E" w:rsidP="00B52870">
      <w:pPr>
        <w:pStyle w:val="Textonotapie"/>
        <w:jc w:val="both"/>
        <w:rPr>
          <w:rFonts w:ascii="Verdana" w:hAnsi="Verdana" w:cs="Arial"/>
          <w:sz w:val="12"/>
          <w:szCs w:val="12"/>
        </w:rPr>
      </w:pPr>
      <w:r w:rsidRPr="00B52870">
        <w:rPr>
          <w:rStyle w:val="Refdenotaalpie"/>
          <w:rFonts w:ascii="Verdana" w:hAnsi="Verdana" w:cs="Arial"/>
          <w:sz w:val="12"/>
          <w:szCs w:val="12"/>
        </w:rPr>
        <w:footnoteRef/>
      </w:r>
      <w:r w:rsidRPr="00B52870">
        <w:rPr>
          <w:rFonts w:ascii="Verdana" w:hAnsi="Verdana" w:cs="Arial"/>
          <w:sz w:val="12"/>
          <w:szCs w:val="12"/>
        </w:rPr>
        <w:t xml:space="preserve"> </w:t>
      </w:r>
      <w:r w:rsidRPr="00B52870">
        <w:rPr>
          <w:rFonts w:ascii="Verdana" w:eastAsia="Calibri" w:hAnsi="Verdana" w:cs="Arial"/>
          <w:bCs/>
          <w:color w:val="000000"/>
          <w:sz w:val="12"/>
          <w:szCs w:val="12"/>
          <w:lang w:val="es-ES_tradnl"/>
        </w:rPr>
        <w:t>Cfr. Colombia Compra Eficiente. Subdirección de Gestión Contractual. Concepto C-362 del 3 de julio de 2020. Pág. 9.</w:t>
      </w:r>
    </w:p>
    <w:p w14:paraId="015B5DFA" w14:textId="77777777" w:rsidR="00971A5E" w:rsidRPr="00BD2D5D" w:rsidRDefault="00971A5E" w:rsidP="00971A5E">
      <w:pPr>
        <w:pStyle w:val="Textonotapie"/>
        <w:ind w:firstLine="708"/>
        <w:jc w:val="both"/>
        <w:rPr>
          <w:rFonts w:ascii="Verdana" w:hAnsi="Verdana" w:cs="Arial"/>
          <w:sz w:val="12"/>
          <w:szCs w:val="12"/>
        </w:rPr>
      </w:pPr>
    </w:p>
  </w:footnote>
  <w:footnote w:id="14">
    <w:p w14:paraId="2930EB5B" w14:textId="77777777" w:rsidR="00971A5E" w:rsidRPr="00BD2D5D" w:rsidRDefault="00971A5E" w:rsidP="00B52870">
      <w:pPr>
        <w:spacing w:after="0" w:line="240" w:lineRule="auto"/>
        <w:jc w:val="both"/>
        <w:rPr>
          <w:rFonts w:ascii="Verdana" w:hAnsi="Verdana" w:cs="Arial"/>
          <w:bCs/>
          <w:color w:val="000000"/>
          <w:sz w:val="12"/>
          <w:szCs w:val="12"/>
          <w:lang w:val="es-ES_tradnl"/>
        </w:rPr>
      </w:pPr>
      <w:r w:rsidRPr="00BD2D5D">
        <w:rPr>
          <w:rStyle w:val="Refdenotaalpie"/>
          <w:rFonts w:ascii="Verdana" w:hAnsi="Verdana" w:cs="Arial"/>
          <w:sz w:val="12"/>
          <w:szCs w:val="12"/>
        </w:rPr>
        <w:footnoteRef/>
      </w:r>
      <w:r w:rsidRPr="00BD2D5D">
        <w:rPr>
          <w:rFonts w:ascii="Verdana" w:hAnsi="Verdana" w:cs="Arial"/>
          <w:sz w:val="12"/>
          <w:szCs w:val="12"/>
        </w:rPr>
        <w:t xml:space="preserve"> </w:t>
      </w:r>
      <w:r w:rsidRPr="00BD2D5D">
        <w:rPr>
          <w:rFonts w:ascii="Verdana" w:hAnsi="Verdana" w:cs="Arial"/>
          <w:bCs/>
          <w:color w:val="000000"/>
          <w:sz w:val="12"/>
          <w:szCs w:val="12"/>
          <w:lang w:val="es-ES_tradnl"/>
        </w:rPr>
        <w:t>“La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w:t>
      </w:r>
    </w:p>
    <w:p w14:paraId="54C1C9FD" w14:textId="77777777" w:rsidR="00971A5E" w:rsidRPr="00BD2D5D" w:rsidRDefault="00971A5E" w:rsidP="00B52870">
      <w:pPr>
        <w:spacing w:after="0" w:line="240" w:lineRule="auto"/>
        <w:jc w:val="both"/>
        <w:rPr>
          <w:rFonts w:ascii="Verdana" w:hAnsi="Verdana" w:cs="Arial"/>
          <w:bCs/>
          <w:color w:val="000000"/>
          <w:sz w:val="12"/>
          <w:szCs w:val="12"/>
          <w:lang w:val="es-ES_tradnl"/>
        </w:rPr>
      </w:pPr>
      <w:r w:rsidRPr="00BD2D5D">
        <w:rPr>
          <w:rFonts w:ascii="Verdana" w:hAnsi="Verdana" w:cs="Arial"/>
          <w:bCs/>
          <w:color w:val="000000"/>
          <w:sz w:val="12"/>
          <w:szCs w:val="12"/>
          <w:lang w:val="es-ES_tradnl"/>
        </w:rPr>
        <w:t>“Por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w:t>
      </w:r>
    </w:p>
    <w:p w14:paraId="296EE2A3" w14:textId="77777777" w:rsidR="00971A5E" w:rsidRPr="00BD2D5D" w:rsidRDefault="00971A5E" w:rsidP="00B52870">
      <w:pPr>
        <w:spacing w:after="0" w:line="240" w:lineRule="auto"/>
        <w:jc w:val="both"/>
        <w:rPr>
          <w:rFonts w:ascii="Century Gothic" w:hAnsi="Century Gothic" w:cs="Arial"/>
          <w:sz w:val="12"/>
          <w:szCs w:val="12"/>
        </w:rPr>
      </w:pPr>
      <w:r w:rsidRPr="00BD2D5D">
        <w:rPr>
          <w:rFonts w:ascii="Verdana" w:hAnsi="Verdana" w:cs="Arial"/>
          <w:bCs/>
          <w:color w:val="000000"/>
          <w:sz w:val="12"/>
          <w:szCs w:val="12"/>
          <w:lang w:val="es-ES_tradnl"/>
        </w:rPr>
        <w:t xml:space="preserve">“Esta tesis –de absoluta razonabilidad–, protege tanto al ciudadano como al ordenamiento jurídico en general, de la arbitrariedad de la administración, pues si se admitiera </w:t>
      </w:r>
      <w:proofErr w:type="gramStart"/>
      <w:r w:rsidRPr="00BD2D5D">
        <w:rPr>
          <w:rFonts w:ascii="Verdana" w:hAnsi="Verdana" w:cs="Arial"/>
          <w:bCs/>
          <w:color w:val="000000"/>
          <w:sz w:val="12"/>
          <w:szCs w:val="12"/>
          <w:lang w:val="es-ES_tradnl"/>
        </w:rPr>
        <w:t>que</w:t>
      </w:r>
      <w:proofErr w:type="gramEnd"/>
      <w:r w:rsidRPr="00BD2D5D">
        <w:rPr>
          <w:rFonts w:ascii="Verdana" w:hAnsi="Verdana" w:cs="Arial"/>
          <w:bCs/>
          <w:color w:val="000000"/>
          <w:sz w:val="12"/>
          <w:szCs w:val="12"/>
          <w:lang w:val="es-ES_tradnl"/>
        </w:rPr>
        <w:t xml:space="preserve"> pese a estar en vigencia un reglamento la propia administración que lo dictó lo pudiera inaplicar, aduciendo que si ella lo produjo entonces cuenta con la autoridad para desconocerlo, los abusos y la violación a sus propias reglas propiciaría el atropello y la corrupción”. (MARÍN CORTÉS, Fabián G. El reglamento como fuente del derecho administrativo. En: Las fuentes del derecho administrativo. Texto inédito. 2010. pp. 200-201).</w:t>
      </w:r>
    </w:p>
  </w:footnote>
  <w:footnote w:id="15">
    <w:p w14:paraId="1DF962C8" w14:textId="77777777" w:rsidR="00971A5E" w:rsidRPr="00BD2D5D" w:rsidRDefault="00971A5E" w:rsidP="00B52870">
      <w:pPr>
        <w:pStyle w:val="Textonotapie"/>
        <w:jc w:val="both"/>
        <w:rPr>
          <w:rFonts w:ascii="Verdana" w:hAnsi="Verdana" w:cs="Arial"/>
          <w:sz w:val="12"/>
          <w:szCs w:val="12"/>
        </w:rPr>
      </w:pPr>
      <w:r w:rsidRPr="00BD2D5D">
        <w:rPr>
          <w:rStyle w:val="Refdenotaalpie"/>
          <w:rFonts w:ascii="Verdana" w:hAnsi="Verdana" w:cs="Arial"/>
          <w:sz w:val="12"/>
          <w:szCs w:val="12"/>
        </w:rPr>
        <w:footnoteRef/>
      </w:r>
      <w:r w:rsidRPr="00BD2D5D">
        <w:rPr>
          <w:rFonts w:ascii="Verdana" w:hAnsi="Verdana" w:cs="Arial"/>
          <w:sz w:val="12"/>
          <w:szCs w:val="12"/>
        </w:rPr>
        <w:t xml:space="preserve"> </w:t>
      </w:r>
      <w:r w:rsidRPr="00BD2D5D">
        <w:rPr>
          <w:rFonts w:ascii="Verdana" w:eastAsia="Calibri" w:hAnsi="Verdana" w:cs="Arial"/>
          <w:bCs/>
          <w:color w:val="000000"/>
          <w:sz w:val="12"/>
          <w:szCs w:val="12"/>
          <w:lang w:val="es-ES_tradnl"/>
        </w:rPr>
        <w:t>Ibíd.</w:t>
      </w:r>
      <w:r w:rsidRPr="00BD2D5D">
        <w:rPr>
          <w:rFonts w:ascii="Verdana" w:hAnsi="Verdana" w:cs="Arial"/>
          <w:sz w:val="12"/>
          <w:szCs w:val="12"/>
        </w:rPr>
        <w:t xml:space="preserve"> </w:t>
      </w:r>
    </w:p>
    <w:p w14:paraId="034F44CA" w14:textId="77777777" w:rsidR="00971A5E" w:rsidRPr="003630B0" w:rsidRDefault="00971A5E" w:rsidP="00971A5E">
      <w:pPr>
        <w:pStyle w:val="Textonotapie"/>
        <w:ind w:firstLine="708"/>
        <w:jc w:val="both"/>
        <w:rPr>
          <w:rFonts w:ascii="Century Gothic" w:hAnsi="Century Gothic" w:cs="Arial"/>
          <w:sz w:val="12"/>
          <w:szCs w:val="12"/>
        </w:rPr>
      </w:pPr>
    </w:p>
  </w:footnote>
  <w:footnote w:id="16">
    <w:p w14:paraId="23F40A4B" w14:textId="77777777" w:rsidR="00A71FA6" w:rsidRPr="0084236D" w:rsidRDefault="00A71FA6" w:rsidP="00A71FA6">
      <w:pPr>
        <w:pStyle w:val="Textonotapie"/>
        <w:spacing w:after="160"/>
        <w:jc w:val="both"/>
        <w:rPr>
          <w:rFonts w:ascii="Verdana" w:hAnsi="Verdana"/>
          <w:sz w:val="12"/>
          <w:szCs w:val="12"/>
        </w:rPr>
      </w:pPr>
      <w:r w:rsidRPr="0084236D">
        <w:rPr>
          <w:rFonts w:ascii="Verdana" w:hAnsi="Verdana" w:cs="Arial"/>
          <w:sz w:val="12"/>
          <w:szCs w:val="12"/>
          <w:vertAlign w:val="superscript"/>
        </w:rPr>
        <w:footnoteRef/>
      </w:r>
      <w:r w:rsidRPr="0084236D">
        <w:rPr>
          <w:rFonts w:ascii="Verdana" w:hAnsi="Verdana" w:cs="Arial"/>
          <w:sz w:val="12"/>
          <w:szCs w:val="12"/>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84236D">
          <w:rPr>
            <w:rStyle w:val="Hipervnculo"/>
            <w:rFonts w:ascii="Verdana" w:hAnsi="Verdana" w:cs="Arial"/>
            <w:sz w:val="12"/>
            <w:szCs w:val="12"/>
          </w:rPr>
          <w:t>https://relatoria.colombiacompra.gov.co/busqueda/conceptos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CB4AAA1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6A040D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9500AC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0769791B"/>
    <w:multiLevelType w:val="hybridMultilevel"/>
    <w:tmpl w:val="96FCB5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8B77C31"/>
    <w:multiLevelType w:val="hybridMultilevel"/>
    <w:tmpl w:val="34283982"/>
    <w:lvl w:ilvl="0" w:tplc="2AF43E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8" w15:restartNumberingAfterBreak="0">
    <w:nsid w:val="1780C9E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CF64647"/>
    <w:multiLevelType w:val="hybridMultilevel"/>
    <w:tmpl w:val="A082085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8D6515"/>
    <w:multiLevelType w:val="hybridMultilevel"/>
    <w:tmpl w:val="67407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C768F7"/>
    <w:multiLevelType w:val="hybridMultilevel"/>
    <w:tmpl w:val="43907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C6976D1"/>
    <w:multiLevelType w:val="hybridMultilevel"/>
    <w:tmpl w:val="85AC81C6"/>
    <w:lvl w:ilvl="0" w:tplc="5A1652F2">
      <w:start w:val="1"/>
      <w:numFmt w:val="decimal"/>
      <w:lvlText w:val="%1."/>
      <w:lvlJc w:val="left"/>
      <w:pPr>
        <w:ind w:left="927" w:hanging="36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1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9D726F5"/>
    <w:multiLevelType w:val="hybridMultilevel"/>
    <w:tmpl w:val="41D29B5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C4A6B7C"/>
    <w:multiLevelType w:val="hybridMultilevel"/>
    <w:tmpl w:val="629EB0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43C45D7"/>
    <w:multiLevelType w:val="hybridMultilevel"/>
    <w:tmpl w:val="9FB0C25A"/>
    <w:lvl w:ilvl="0" w:tplc="24042206">
      <w:start w:val="1"/>
      <w:numFmt w:val="decimal"/>
      <w:lvlText w:val="%1."/>
      <w:lvlJc w:val="left"/>
      <w:pPr>
        <w:ind w:left="927" w:hanging="36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27" w15:restartNumberingAfterBreak="0">
    <w:nsid w:val="626515E4"/>
    <w:multiLevelType w:val="hybridMultilevel"/>
    <w:tmpl w:val="8B3A90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9" w15:restartNumberingAfterBreak="0">
    <w:nsid w:val="664113CD"/>
    <w:multiLevelType w:val="multilevel"/>
    <w:tmpl w:val="713C718E"/>
    <w:lvl w:ilvl="0">
      <w:start w:val="1"/>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545" w:hanging="428"/>
      </w:pPr>
      <w:rPr>
        <w:rFonts w:ascii="Arial" w:eastAsia="Arial" w:hAnsi="Arial" w:cs="Arial" w:hint="default"/>
        <w:b/>
        <w:bCs/>
        <w:spacing w:val="-1"/>
        <w:w w:val="100"/>
        <w:sz w:val="22"/>
        <w:szCs w:val="22"/>
        <w:lang w:val="es-ES" w:eastAsia="en-US" w:bidi="ar-SA"/>
      </w:rPr>
    </w:lvl>
    <w:lvl w:ilvl="2">
      <w:start w:val="1"/>
      <w:numFmt w:val="decimal"/>
      <w:lvlText w:val="%3."/>
      <w:lvlJc w:val="left"/>
      <w:pPr>
        <w:ind w:left="827" w:hanging="233"/>
      </w:pPr>
      <w:rPr>
        <w:rFonts w:ascii="Arial" w:eastAsia="Arial" w:hAnsi="Arial" w:cs="Arial" w:hint="default"/>
        <w:b/>
        <w:bCs/>
        <w:i/>
        <w:iCs/>
        <w:spacing w:val="-1"/>
        <w:w w:val="100"/>
        <w:sz w:val="21"/>
        <w:szCs w:val="21"/>
        <w:lang w:val="es-ES" w:eastAsia="en-US" w:bidi="ar-SA"/>
      </w:rPr>
    </w:lvl>
    <w:lvl w:ilvl="3">
      <w:numFmt w:val="bullet"/>
      <w:lvlText w:val="•"/>
      <w:lvlJc w:val="left"/>
      <w:pPr>
        <w:ind w:left="1930" w:hanging="233"/>
      </w:pPr>
      <w:rPr>
        <w:rFonts w:hint="default"/>
        <w:lang w:val="es-ES" w:eastAsia="en-US" w:bidi="ar-SA"/>
      </w:rPr>
    </w:lvl>
    <w:lvl w:ilvl="4">
      <w:numFmt w:val="bullet"/>
      <w:lvlText w:val="•"/>
      <w:lvlJc w:val="left"/>
      <w:pPr>
        <w:ind w:left="3040" w:hanging="233"/>
      </w:pPr>
      <w:rPr>
        <w:rFonts w:hint="default"/>
        <w:lang w:val="es-ES" w:eastAsia="en-US" w:bidi="ar-SA"/>
      </w:rPr>
    </w:lvl>
    <w:lvl w:ilvl="5">
      <w:numFmt w:val="bullet"/>
      <w:lvlText w:val="•"/>
      <w:lvlJc w:val="left"/>
      <w:pPr>
        <w:ind w:left="4150" w:hanging="233"/>
      </w:pPr>
      <w:rPr>
        <w:rFonts w:hint="default"/>
        <w:lang w:val="es-ES" w:eastAsia="en-US" w:bidi="ar-SA"/>
      </w:rPr>
    </w:lvl>
    <w:lvl w:ilvl="6">
      <w:numFmt w:val="bullet"/>
      <w:lvlText w:val="•"/>
      <w:lvlJc w:val="left"/>
      <w:pPr>
        <w:ind w:left="5260" w:hanging="233"/>
      </w:pPr>
      <w:rPr>
        <w:rFonts w:hint="default"/>
        <w:lang w:val="es-ES" w:eastAsia="en-US" w:bidi="ar-SA"/>
      </w:rPr>
    </w:lvl>
    <w:lvl w:ilvl="7">
      <w:numFmt w:val="bullet"/>
      <w:lvlText w:val="•"/>
      <w:lvlJc w:val="left"/>
      <w:pPr>
        <w:ind w:left="6370" w:hanging="233"/>
      </w:pPr>
      <w:rPr>
        <w:rFonts w:hint="default"/>
        <w:lang w:val="es-ES" w:eastAsia="en-US" w:bidi="ar-SA"/>
      </w:rPr>
    </w:lvl>
    <w:lvl w:ilvl="8">
      <w:numFmt w:val="bullet"/>
      <w:lvlText w:val="•"/>
      <w:lvlJc w:val="left"/>
      <w:pPr>
        <w:ind w:left="7480" w:hanging="233"/>
      </w:pPr>
      <w:rPr>
        <w:rFonts w:hint="default"/>
        <w:lang w:val="es-ES" w:eastAsia="en-US" w:bidi="ar-SA"/>
      </w:rPr>
    </w:lvl>
  </w:abstractNum>
  <w:abstractNum w:abstractNumId="30"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3AD506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7BBA70D6"/>
    <w:multiLevelType w:val="hybridMultilevel"/>
    <w:tmpl w:val="283E42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9"/>
  </w:num>
  <w:num w:numId="2" w16cid:durableId="19822139">
    <w:abstractNumId w:val="5"/>
  </w:num>
  <w:num w:numId="3" w16cid:durableId="876742304">
    <w:abstractNumId w:val="15"/>
  </w:num>
  <w:num w:numId="4" w16cid:durableId="24518640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5"/>
  </w:num>
  <w:num w:numId="6" w16cid:durableId="316692925">
    <w:abstractNumId w:val="33"/>
  </w:num>
  <w:num w:numId="7" w16cid:durableId="1946422806">
    <w:abstractNumId w:val="17"/>
  </w:num>
  <w:num w:numId="8" w16cid:durableId="152644682">
    <w:abstractNumId w:val="32"/>
  </w:num>
  <w:num w:numId="9" w16cid:durableId="1317221377">
    <w:abstractNumId w:val="21"/>
  </w:num>
  <w:num w:numId="10" w16cid:durableId="1471245386">
    <w:abstractNumId w:val="31"/>
  </w:num>
  <w:num w:numId="11" w16cid:durableId="289172385">
    <w:abstractNumId w:val="22"/>
  </w:num>
  <w:num w:numId="12" w16cid:durableId="1470781324">
    <w:abstractNumId w:val="4"/>
  </w:num>
  <w:num w:numId="13" w16cid:durableId="1512908409">
    <w:abstractNumId w:val="11"/>
  </w:num>
  <w:num w:numId="14" w16cid:durableId="895897244">
    <w:abstractNumId w:val="34"/>
  </w:num>
  <w:num w:numId="15" w16cid:durableId="390349800">
    <w:abstractNumId w:val="28"/>
  </w:num>
  <w:num w:numId="16" w16cid:durableId="1380713882">
    <w:abstractNumId w:val="3"/>
  </w:num>
  <w:num w:numId="17" w16cid:durableId="1132214699">
    <w:abstractNumId w:val="7"/>
  </w:num>
  <w:num w:numId="18" w16cid:durableId="784039179">
    <w:abstractNumId w:val="35"/>
  </w:num>
  <w:num w:numId="19" w16cid:durableId="13699161">
    <w:abstractNumId w:val="1"/>
  </w:num>
  <w:num w:numId="20" w16cid:durableId="537469537">
    <w:abstractNumId w:val="14"/>
  </w:num>
  <w:num w:numId="21" w16cid:durableId="537474378">
    <w:abstractNumId w:val="26"/>
  </w:num>
  <w:num w:numId="22" w16cid:durableId="1957522670">
    <w:abstractNumId w:val="29"/>
  </w:num>
  <w:num w:numId="23" w16cid:durableId="1619140680">
    <w:abstractNumId w:val="13"/>
  </w:num>
  <w:num w:numId="24" w16cid:durableId="2022704930">
    <w:abstractNumId w:val="27"/>
  </w:num>
  <w:num w:numId="25" w16cid:durableId="1136921567">
    <w:abstractNumId w:val="12"/>
  </w:num>
  <w:num w:numId="26" w16cid:durableId="2139764406">
    <w:abstractNumId w:val="10"/>
  </w:num>
  <w:num w:numId="27" w16cid:durableId="679089576">
    <w:abstractNumId w:val="23"/>
  </w:num>
  <w:num w:numId="28" w16cid:durableId="1540245051">
    <w:abstractNumId w:val="37"/>
  </w:num>
  <w:num w:numId="29" w16cid:durableId="609122714">
    <w:abstractNumId w:val="25"/>
  </w:num>
  <w:num w:numId="30" w16cid:durableId="998077508">
    <w:abstractNumId w:val="24"/>
  </w:num>
  <w:num w:numId="31" w16cid:durableId="677729351">
    <w:abstractNumId w:val="18"/>
  </w:num>
  <w:num w:numId="32" w16cid:durableId="1581712410">
    <w:abstractNumId w:val="6"/>
  </w:num>
  <w:num w:numId="33" w16cid:durableId="1492209491">
    <w:abstractNumId w:val="16"/>
  </w:num>
  <w:num w:numId="34" w16cid:durableId="1152722168">
    <w:abstractNumId w:val="2"/>
  </w:num>
  <w:num w:numId="35" w16cid:durableId="17630293">
    <w:abstractNumId w:val="0"/>
  </w:num>
  <w:num w:numId="36" w16cid:durableId="1801414381">
    <w:abstractNumId w:val="36"/>
  </w:num>
  <w:num w:numId="37" w16cid:durableId="1285499087">
    <w:abstractNumId w:val="8"/>
  </w:num>
  <w:num w:numId="38" w16cid:durableId="1733503356">
    <w:abstractNumId w:val="30"/>
  </w:num>
  <w:num w:numId="39" w16cid:durableId="836310654">
    <w:abstractNumId w:val="9"/>
  </w:num>
  <w:num w:numId="40" w16cid:durableId="117854419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78A7"/>
    <w:rsid w:val="00020EB3"/>
    <w:rsid w:val="000260A3"/>
    <w:rsid w:val="000429E4"/>
    <w:rsid w:val="000528E8"/>
    <w:rsid w:val="00061B2A"/>
    <w:rsid w:val="000653D2"/>
    <w:rsid w:val="00082362"/>
    <w:rsid w:val="000A683E"/>
    <w:rsid w:val="000B1198"/>
    <w:rsid w:val="000B19B9"/>
    <w:rsid w:val="000B4233"/>
    <w:rsid w:val="000D0334"/>
    <w:rsid w:val="000F4F5B"/>
    <w:rsid w:val="000F57DE"/>
    <w:rsid w:val="000F6486"/>
    <w:rsid w:val="00105DE8"/>
    <w:rsid w:val="00125105"/>
    <w:rsid w:val="00127233"/>
    <w:rsid w:val="00131873"/>
    <w:rsid w:val="00152D71"/>
    <w:rsid w:val="00154286"/>
    <w:rsid w:val="00176AD1"/>
    <w:rsid w:val="00196126"/>
    <w:rsid w:val="001A151B"/>
    <w:rsid w:val="001A3A8A"/>
    <w:rsid w:val="001A5B8C"/>
    <w:rsid w:val="001B48A8"/>
    <w:rsid w:val="001D4DE0"/>
    <w:rsid w:val="001E1142"/>
    <w:rsid w:val="001E4177"/>
    <w:rsid w:val="001F1804"/>
    <w:rsid w:val="001F3969"/>
    <w:rsid w:val="001F6834"/>
    <w:rsid w:val="001F7DC6"/>
    <w:rsid w:val="00200416"/>
    <w:rsid w:val="00204574"/>
    <w:rsid w:val="002376C2"/>
    <w:rsid w:val="002421BB"/>
    <w:rsid w:val="002424C4"/>
    <w:rsid w:val="0024750D"/>
    <w:rsid w:val="0025796E"/>
    <w:rsid w:val="002627D4"/>
    <w:rsid w:val="00263A88"/>
    <w:rsid w:val="00263CE9"/>
    <w:rsid w:val="002707A2"/>
    <w:rsid w:val="002951A0"/>
    <w:rsid w:val="002962BC"/>
    <w:rsid w:val="002A093D"/>
    <w:rsid w:val="002A0DD0"/>
    <w:rsid w:val="002A32B7"/>
    <w:rsid w:val="002A49AC"/>
    <w:rsid w:val="002A64FD"/>
    <w:rsid w:val="002C7A84"/>
    <w:rsid w:val="002E2804"/>
    <w:rsid w:val="002E4FD9"/>
    <w:rsid w:val="002F6F40"/>
    <w:rsid w:val="0030203C"/>
    <w:rsid w:val="00303188"/>
    <w:rsid w:val="003204F0"/>
    <w:rsid w:val="00322A85"/>
    <w:rsid w:val="00324168"/>
    <w:rsid w:val="00327346"/>
    <w:rsid w:val="003448F4"/>
    <w:rsid w:val="00347B2E"/>
    <w:rsid w:val="00360C1A"/>
    <w:rsid w:val="003621D1"/>
    <w:rsid w:val="00374F5E"/>
    <w:rsid w:val="00377E3E"/>
    <w:rsid w:val="003910C3"/>
    <w:rsid w:val="003A26D1"/>
    <w:rsid w:val="003A371A"/>
    <w:rsid w:val="003A779E"/>
    <w:rsid w:val="003C6C4F"/>
    <w:rsid w:val="003D0F4D"/>
    <w:rsid w:val="003D5B0D"/>
    <w:rsid w:val="003E0499"/>
    <w:rsid w:val="003E76ED"/>
    <w:rsid w:val="003F3941"/>
    <w:rsid w:val="00406575"/>
    <w:rsid w:val="004204E7"/>
    <w:rsid w:val="004268E4"/>
    <w:rsid w:val="0042722E"/>
    <w:rsid w:val="00441752"/>
    <w:rsid w:val="0044528D"/>
    <w:rsid w:val="004455B8"/>
    <w:rsid w:val="00445757"/>
    <w:rsid w:val="00452A0F"/>
    <w:rsid w:val="00485E57"/>
    <w:rsid w:val="0049064A"/>
    <w:rsid w:val="004A1847"/>
    <w:rsid w:val="004A1FBE"/>
    <w:rsid w:val="004A305D"/>
    <w:rsid w:val="004C03DF"/>
    <w:rsid w:val="004F21C4"/>
    <w:rsid w:val="004F685F"/>
    <w:rsid w:val="00500C3E"/>
    <w:rsid w:val="00503C19"/>
    <w:rsid w:val="00504F7B"/>
    <w:rsid w:val="0052137A"/>
    <w:rsid w:val="00530F39"/>
    <w:rsid w:val="005434E9"/>
    <w:rsid w:val="005566E8"/>
    <w:rsid w:val="0057363F"/>
    <w:rsid w:val="00574867"/>
    <w:rsid w:val="005773E9"/>
    <w:rsid w:val="00591460"/>
    <w:rsid w:val="00592628"/>
    <w:rsid w:val="005A4341"/>
    <w:rsid w:val="005A44D7"/>
    <w:rsid w:val="005A7ADE"/>
    <w:rsid w:val="005A7AF3"/>
    <w:rsid w:val="005C3777"/>
    <w:rsid w:val="005C5CDC"/>
    <w:rsid w:val="005D476C"/>
    <w:rsid w:val="005D495C"/>
    <w:rsid w:val="005E1068"/>
    <w:rsid w:val="005F1382"/>
    <w:rsid w:val="005F30D4"/>
    <w:rsid w:val="006107D7"/>
    <w:rsid w:val="00610812"/>
    <w:rsid w:val="006219F8"/>
    <w:rsid w:val="006408EC"/>
    <w:rsid w:val="00650FF7"/>
    <w:rsid w:val="00654404"/>
    <w:rsid w:val="0066197B"/>
    <w:rsid w:val="00665D70"/>
    <w:rsid w:val="0066669E"/>
    <w:rsid w:val="00671DAC"/>
    <w:rsid w:val="006900D9"/>
    <w:rsid w:val="00694654"/>
    <w:rsid w:val="006B6A68"/>
    <w:rsid w:val="006D12F8"/>
    <w:rsid w:val="006D51B6"/>
    <w:rsid w:val="006E36AD"/>
    <w:rsid w:val="00706C16"/>
    <w:rsid w:val="007204CA"/>
    <w:rsid w:val="00724070"/>
    <w:rsid w:val="00727DDD"/>
    <w:rsid w:val="00756841"/>
    <w:rsid w:val="007649AB"/>
    <w:rsid w:val="00771D0C"/>
    <w:rsid w:val="007833AC"/>
    <w:rsid w:val="00783F94"/>
    <w:rsid w:val="007A62FC"/>
    <w:rsid w:val="007B268C"/>
    <w:rsid w:val="007B7171"/>
    <w:rsid w:val="007C0C0F"/>
    <w:rsid w:val="007C3DC2"/>
    <w:rsid w:val="007D46F1"/>
    <w:rsid w:val="007E08E1"/>
    <w:rsid w:val="007E4284"/>
    <w:rsid w:val="007E5497"/>
    <w:rsid w:val="007F0DE5"/>
    <w:rsid w:val="00806F5F"/>
    <w:rsid w:val="00820278"/>
    <w:rsid w:val="00826C01"/>
    <w:rsid w:val="00830A9A"/>
    <w:rsid w:val="00831CDD"/>
    <w:rsid w:val="00843C98"/>
    <w:rsid w:val="00847DDA"/>
    <w:rsid w:val="0086225C"/>
    <w:rsid w:val="00862ACC"/>
    <w:rsid w:val="00871E9D"/>
    <w:rsid w:val="008843B6"/>
    <w:rsid w:val="0088719E"/>
    <w:rsid w:val="00891928"/>
    <w:rsid w:val="008A247D"/>
    <w:rsid w:val="008A3D98"/>
    <w:rsid w:val="008A446D"/>
    <w:rsid w:val="008D180B"/>
    <w:rsid w:val="008D4E75"/>
    <w:rsid w:val="008D793C"/>
    <w:rsid w:val="008E678A"/>
    <w:rsid w:val="008E6A1C"/>
    <w:rsid w:val="008F0EA7"/>
    <w:rsid w:val="009063E3"/>
    <w:rsid w:val="0091453F"/>
    <w:rsid w:val="00923EEF"/>
    <w:rsid w:val="0093625A"/>
    <w:rsid w:val="009419F9"/>
    <w:rsid w:val="009549FC"/>
    <w:rsid w:val="0095685E"/>
    <w:rsid w:val="00957152"/>
    <w:rsid w:val="00960D42"/>
    <w:rsid w:val="00961B09"/>
    <w:rsid w:val="00961C58"/>
    <w:rsid w:val="00965334"/>
    <w:rsid w:val="00965410"/>
    <w:rsid w:val="0097093E"/>
    <w:rsid w:val="0097111E"/>
    <w:rsid w:val="00971A5E"/>
    <w:rsid w:val="009917B5"/>
    <w:rsid w:val="009940B4"/>
    <w:rsid w:val="009A0DFA"/>
    <w:rsid w:val="009A6DEA"/>
    <w:rsid w:val="009B2D26"/>
    <w:rsid w:val="009C71FA"/>
    <w:rsid w:val="009C72E7"/>
    <w:rsid w:val="009C7ED5"/>
    <w:rsid w:val="009D3058"/>
    <w:rsid w:val="009D3D7B"/>
    <w:rsid w:val="009D4BB6"/>
    <w:rsid w:val="009F0C3C"/>
    <w:rsid w:val="009F3A13"/>
    <w:rsid w:val="00A122D3"/>
    <w:rsid w:val="00A17F13"/>
    <w:rsid w:val="00A20739"/>
    <w:rsid w:val="00A33C78"/>
    <w:rsid w:val="00A6406E"/>
    <w:rsid w:val="00A71FA6"/>
    <w:rsid w:val="00A81B68"/>
    <w:rsid w:val="00A8439D"/>
    <w:rsid w:val="00A86A9B"/>
    <w:rsid w:val="00AA20D5"/>
    <w:rsid w:val="00AA7E70"/>
    <w:rsid w:val="00AB0ADB"/>
    <w:rsid w:val="00AD059F"/>
    <w:rsid w:val="00B01B1A"/>
    <w:rsid w:val="00B1120D"/>
    <w:rsid w:val="00B52870"/>
    <w:rsid w:val="00B61DC6"/>
    <w:rsid w:val="00B72CD3"/>
    <w:rsid w:val="00B72FFF"/>
    <w:rsid w:val="00B804FB"/>
    <w:rsid w:val="00BA5844"/>
    <w:rsid w:val="00BC3D36"/>
    <w:rsid w:val="00BC5130"/>
    <w:rsid w:val="00BC5684"/>
    <w:rsid w:val="00BD7F72"/>
    <w:rsid w:val="00BE43DD"/>
    <w:rsid w:val="00BF35DB"/>
    <w:rsid w:val="00BF42BF"/>
    <w:rsid w:val="00C04A9C"/>
    <w:rsid w:val="00C04FB3"/>
    <w:rsid w:val="00C07B0F"/>
    <w:rsid w:val="00C13B97"/>
    <w:rsid w:val="00C15405"/>
    <w:rsid w:val="00C330EB"/>
    <w:rsid w:val="00C36081"/>
    <w:rsid w:val="00C53DA6"/>
    <w:rsid w:val="00C754BE"/>
    <w:rsid w:val="00C76B1C"/>
    <w:rsid w:val="00C85952"/>
    <w:rsid w:val="00C90A74"/>
    <w:rsid w:val="00CB6357"/>
    <w:rsid w:val="00CC1B26"/>
    <w:rsid w:val="00CD5157"/>
    <w:rsid w:val="00CE54C6"/>
    <w:rsid w:val="00CF0735"/>
    <w:rsid w:val="00D15311"/>
    <w:rsid w:val="00D17438"/>
    <w:rsid w:val="00D209FA"/>
    <w:rsid w:val="00D31048"/>
    <w:rsid w:val="00D3408D"/>
    <w:rsid w:val="00D36C5C"/>
    <w:rsid w:val="00D423A2"/>
    <w:rsid w:val="00D424EA"/>
    <w:rsid w:val="00D47181"/>
    <w:rsid w:val="00D520D8"/>
    <w:rsid w:val="00D53C81"/>
    <w:rsid w:val="00D57942"/>
    <w:rsid w:val="00D63AC2"/>
    <w:rsid w:val="00D67212"/>
    <w:rsid w:val="00D7383B"/>
    <w:rsid w:val="00D829A3"/>
    <w:rsid w:val="00D963EA"/>
    <w:rsid w:val="00DA020C"/>
    <w:rsid w:val="00DA231B"/>
    <w:rsid w:val="00DA23A0"/>
    <w:rsid w:val="00DA43F8"/>
    <w:rsid w:val="00DC39FC"/>
    <w:rsid w:val="00DD23CA"/>
    <w:rsid w:val="00DD313F"/>
    <w:rsid w:val="00DD72BF"/>
    <w:rsid w:val="00DF5254"/>
    <w:rsid w:val="00E00129"/>
    <w:rsid w:val="00E16408"/>
    <w:rsid w:val="00E205F4"/>
    <w:rsid w:val="00E20894"/>
    <w:rsid w:val="00E245AB"/>
    <w:rsid w:val="00E2764C"/>
    <w:rsid w:val="00E27F2E"/>
    <w:rsid w:val="00E33232"/>
    <w:rsid w:val="00E413EA"/>
    <w:rsid w:val="00E50AFE"/>
    <w:rsid w:val="00E75C92"/>
    <w:rsid w:val="00E771DC"/>
    <w:rsid w:val="00E80A1B"/>
    <w:rsid w:val="00E859C1"/>
    <w:rsid w:val="00E8772A"/>
    <w:rsid w:val="00E90F6B"/>
    <w:rsid w:val="00E92C27"/>
    <w:rsid w:val="00EA0E3D"/>
    <w:rsid w:val="00EC38A7"/>
    <w:rsid w:val="00ED23CC"/>
    <w:rsid w:val="00EE1AA8"/>
    <w:rsid w:val="00F00835"/>
    <w:rsid w:val="00F03026"/>
    <w:rsid w:val="00F31DD9"/>
    <w:rsid w:val="00F31EDC"/>
    <w:rsid w:val="00F365E7"/>
    <w:rsid w:val="00F462B3"/>
    <w:rsid w:val="00F53FE4"/>
    <w:rsid w:val="00F5664F"/>
    <w:rsid w:val="00F616F2"/>
    <w:rsid w:val="00F666C4"/>
    <w:rsid w:val="00F70D14"/>
    <w:rsid w:val="00F76AFC"/>
    <w:rsid w:val="00FA47C0"/>
    <w:rsid w:val="00FB17AC"/>
    <w:rsid w:val="00FB5DD1"/>
    <w:rsid w:val="00FB61DF"/>
    <w:rsid w:val="00FC2B5D"/>
    <w:rsid w:val="00FE2CF7"/>
    <w:rsid w:val="00FF1449"/>
    <w:rsid w:val="11532AB5"/>
    <w:rsid w:val="34880372"/>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FA8F01DB-8DBC-48B2-86AB-4D339AC6F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0429E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E4284"/>
    <w:rPr>
      <w:rFonts w:ascii="Geomanist Light" w:hAnsi="Geomanist Light"/>
      <w:lang w:val="es-ES"/>
    </w:rPr>
  </w:style>
  <w:style w:type="character" w:customStyle="1" w:styleId="superscript">
    <w:name w:val="superscript"/>
    <w:basedOn w:val="Fuentedeprrafopredeter"/>
    <w:rsid w:val="007E4284"/>
  </w:style>
  <w:style w:type="character" w:styleId="Refdecomentario">
    <w:name w:val="annotation reference"/>
    <w:basedOn w:val="Fuentedeprrafopredeter"/>
    <w:uiPriority w:val="99"/>
    <w:semiHidden/>
    <w:unhideWhenUsed/>
    <w:rsid w:val="00FE2CF7"/>
    <w:rPr>
      <w:sz w:val="16"/>
      <w:szCs w:val="16"/>
    </w:rPr>
  </w:style>
  <w:style w:type="paragraph" w:styleId="Textocomentario">
    <w:name w:val="annotation text"/>
    <w:basedOn w:val="Normal"/>
    <w:link w:val="TextocomentarioCar"/>
    <w:uiPriority w:val="99"/>
    <w:unhideWhenUsed/>
    <w:rsid w:val="00FE2CF7"/>
    <w:pPr>
      <w:spacing w:line="240" w:lineRule="auto"/>
    </w:pPr>
    <w:rPr>
      <w:sz w:val="20"/>
      <w:szCs w:val="20"/>
    </w:rPr>
  </w:style>
  <w:style w:type="character" w:customStyle="1" w:styleId="TextocomentarioCar">
    <w:name w:val="Texto comentario Car"/>
    <w:basedOn w:val="Fuentedeprrafopredeter"/>
    <w:link w:val="Textocomentario"/>
    <w:uiPriority w:val="99"/>
    <w:rsid w:val="00FE2CF7"/>
    <w:rPr>
      <w:sz w:val="20"/>
      <w:szCs w:val="20"/>
    </w:rPr>
  </w:style>
  <w:style w:type="paragraph" w:styleId="Asuntodelcomentario">
    <w:name w:val="annotation subject"/>
    <w:basedOn w:val="Textocomentario"/>
    <w:next w:val="Textocomentario"/>
    <w:link w:val="AsuntodelcomentarioCar"/>
    <w:uiPriority w:val="99"/>
    <w:semiHidden/>
    <w:unhideWhenUsed/>
    <w:rsid w:val="00FE2CF7"/>
    <w:rPr>
      <w:b/>
      <w:bCs/>
    </w:rPr>
  </w:style>
  <w:style w:type="character" w:customStyle="1" w:styleId="AsuntodelcomentarioCar">
    <w:name w:val="Asunto del comentario Car"/>
    <w:basedOn w:val="TextocomentarioCar"/>
    <w:link w:val="Asuntodelcomentario"/>
    <w:uiPriority w:val="99"/>
    <w:semiHidden/>
    <w:rsid w:val="00FE2CF7"/>
    <w:rPr>
      <w:b/>
      <w:bCs/>
      <w:sz w:val="20"/>
      <w:szCs w:val="20"/>
    </w:rPr>
  </w:style>
  <w:style w:type="paragraph" w:styleId="Textoindependiente">
    <w:name w:val="Body Text"/>
    <w:basedOn w:val="Normal"/>
    <w:link w:val="TextoindependienteCar"/>
    <w:uiPriority w:val="99"/>
    <w:unhideWhenUsed/>
    <w:rsid w:val="006408EC"/>
    <w:pPr>
      <w:spacing w:after="0" w:line="360" w:lineRule="auto"/>
      <w:jc w:val="both"/>
    </w:pPr>
    <w:rPr>
      <w:rFonts w:ascii="Century Gothic" w:eastAsia="Times New Roman" w:hAnsi="Century Gothic" w:cs="Times New Roman"/>
      <w:szCs w:val="24"/>
      <w:lang w:val="es-ES" w:eastAsia="es-ES"/>
    </w:rPr>
  </w:style>
  <w:style w:type="character" w:customStyle="1" w:styleId="TextoindependienteCar">
    <w:name w:val="Texto independiente Car"/>
    <w:basedOn w:val="Fuentedeprrafopredeter"/>
    <w:link w:val="Textoindependiente"/>
    <w:uiPriority w:val="99"/>
    <w:rsid w:val="006408EC"/>
    <w:rPr>
      <w:rFonts w:ascii="Century Gothic" w:eastAsia="Times New Roman" w:hAnsi="Century Gothic" w:cs="Times New Roman"/>
      <w:szCs w:val="24"/>
      <w:lang w:val="es-ES" w:eastAsia="es-ES"/>
    </w:rPr>
  </w:style>
  <w:style w:type="character" w:customStyle="1" w:styleId="Hipervnculo1">
    <w:name w:val="Hipervínculo1"/>
    <w:basedOn w:val="Fuentedeprrafopredeter"/>
    <w:uiPriority w:val="99"/>
    <w:unhideWhenUsed/>
    <w:rsid w:val="00826C01"/>
    <w:rPr>
      <w:color w:val="F2F2F2"/>
      <w:u w:val="single"/>
    </w:rPr>
  </w:style>
  <w:style w:type="paragraph" w:styleId="Subttulo">
    <w:name w:val="Subtitle"/>
    <w:basedOn w:val="Normal"/>
    <w:next w:val="Normal"/>
    <w:link w:val="SubttuloCar"/>
    <w:uiPriority w:val="11"/>
    <w:qFormat/>
    <w:rsid w:val="0086225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6225C"/>
    <w:rPr>
      <w:rFonts w:eastAsiaTheme="majorEastAsia" w:cstheme="majorBidi"/>
      <w:color w:val="595959" w:themeColor="text1" w:themeTint="A6"/>
      <w:spacing w:val="15"/>
      <w:sz w:val="28"/>
      <w:szCs w:val="28"/>
    </w:rPr>
  </w:style>
  <w:style w:type="character" w:customStyle="1" w:styleId="NormalWebCar">
    <w:name w:val="Normal (Web) Car"/>
    <w:link w:val="NormalWeb"/>
    <w:uiPriority w:val="99"/>
    <w:rsid w:val="009063E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23601">
      <w:bodyDiv w:val="1"/>
      <w:marLeft w:val="0"/>
      <w:marRight w:val="0"/>
      <w:marTop w:val="0"/>
      <w:marBottom w:val="0"/>
      <w:divBdr>
        <w:top w:val="none" w:sz="0" w:space="0" w:color="auto"/>
        <w:left w:val="none" w:sz="0" w:space="0" w:color="auto"/>
        <w:bottom w:val="none" w:sz="0" w:space="0" w:color="auto"/>
        <w:right w:val="none" w:sz="0" w:space="0" w:color="auto"/>
      </w:divBdr>
    </w:div>
    <w:div w:id="105387671">
      <w:bodyDiv w:val="1"/>
      <w:marLeft w:val="0"/>
      <w:marRight w:val="0"/>
      <w:marTop w:val="0"/>
      <w:marBottom w:val="0"/>
      <w:divBdr>
        <w:top w:val="none" w:sz="0" w:space="0" w:color="auto"/>
        <w:left w:val="none" w:sz="0" w:space="0" w:color="auto"/>
        <w:bottom w:val="none" w:sz="0" w:space="0" w:color="auto"/>
        <w:right w:val="none" w:sz="0" w:space="0" w:color="auto"/>
      </w:divBdr>
      <w:divsChild>
        <w:div w:id="1787045836">
          <w:marLeft w:val="0"/>
          <w:marRight w:val="0"/>
          <w:marTop w:val="0"/>
          <w:marBottom w:val="0"/>
          <w:divBdr>
            <w:top w:val="none" w:sz="0" w:space="0" w:color="auto"/>
            <w:left w:val="none" w:sz="0" w:space="0" w:color="auto"/>
            <w:bottom w:val="none" w:sz="0" w:space="0" w:color="auto"/>
            <w:right w:val="none" w:sz="0" w:space="0" w:color="auto"/>
          </w:divBdr>
        </w:div>
        <w:div w:id="1132286920">
          <w:marLeft w:val="0"/>
          <w:marRight w:val="0"/>
          <w:marTop w:val="0"/>
          <w:marBottom w:val="0"/>
          <w:divBdr>
            <w:top w:val="none" w:sz="0" w:space="0" w:color="auto"/>
            <w:left w:val="none" w:sz="0" w:space="0" w:color="auto"/>
            <w:bottom w:val="none" w:sz="0" w:space="0" w:color="auto"/>
            <w:right w:val="none" w:sz="0" w:space="0" w:color="auto"/>
          </w:divBdr>
        </w:div>
        <w:div w:id="811796940">
          <w:marLeft w:val="0"/>
          <w:marRight w:val="0"/>
          <w:marTop w:val="0"/>
          <w:marBottom w:val="0"/>
          <w:divBdr>
            <w:top w:val="none" w:sz="0" w:space="0" w:color="auto"/>
            <w:left w:val="none" w:sz="0" w:space="0" w:color="auto"/>
            <w:bottom w:val="none" w:sz="0" w:space="0" w:color="auto"/>
            <w:right w:val="none" w:sz="0" w:space="0" w:color="auto"/>
          </w:divBdr>
        </w:div>
        <w:div w:id="1582368164">
          <w:marLeft w:val="0"/>
          <w:marRight w:val="0"/>
          <w:marTop w:val="0"/>
          <w:marBottom w:val="0"/>
          <w:divBdr>
            <w:top w:val="none" w:sz="0" w:space="0" w:color="auto"/>
            <w:left w:val="none" w:sz="0" w:space="0" w:color="auto"/>
            <w:bottom w:val="none" w:sz="0" w:space="0" w:color="auto"/>
            <w:right w:val="none" w:sz="0" w:space="0" w:color="auto"/>
          </w:divBdr>
        </w:div>
        <w:div w:id="1805199383">
          <w:marLeft w:val="0"/>
          <w:marRight w:val="0"/>
          <w:marTop w:val="0"/>
          <w:marBottom w:val="0"/>
          <w:divBdr>
            <w:top w:val="none" w:sz="0" w:space="0" w:color="auto"/>
            <w:left w:val="none" w:sz="0" w:space="0" w:color="auto"/>
            <w:bottom w:val="none" w:sz="0" w:space="0" w:color="auto"/>
            <w:right w:val="none" w:sz="0" w:space="0" w:color="auto"/>
          </w:divBdr>
        </w:div>
        <w:div w:id="1079444067">
          <w:marLeft w:val="0"/>
          <w:marRight w:val="0"/>
          <w:marTop w:val="0"/>
          <w:marBottom w:val="0"/>
          <w:divBdr>
            <w:top w:val="none" w:sz="0" w:space="0" w:color="auto"/>
            <w:left w:val="none" w:sz="0" w:space="0" w:color="auto"/>
            <w:bottom w:val="none" w:sz="0" w:space="0" w:color="auto"/>
            <w:right w:val="none" w:sz="0" w:space="0" w:color="auto"/>
          </w:divBdr>
        </w:div>
        <w:div w:id="1068310866">
          <w:marLeft w:val="0"/>
          <w:marRight w:val="0"/>
          <w:marTop w:val="0"/>
          <w:marBottom w:val="0"/>
          <w:divBdr>
            <w:top w:val="none" w:sz="0" w:space="0" w:color="auto"/>
            <w:left w:val="none" w:sz="0" w:space="0" w:color="auto"/>
            <w:bottom w:val="none" w:sz="0" w:space="0" w:color="auto"/>
            <w:right w:val="none" w:sz="0" w:space="0" w:color="auto"/>
          </w:divBdr>
        </w:div>
        <w:div w:id="1990671581">
          <w:marLeft w:val="0"/>
          <w:marRight w:val="0"/>
          <w:marTop w:val="0"/>
          <w:marBottom w:val="0"/>
          <w:divBdr>
            <w:top w:val="none" w:sz="0" w:space="0" w:color="auto"/>
            <w:left w:val="none" w:sz="0" w:space="0" w:color="auto"/>
            <w:bottom w:val="none" w:sz="0" w:space="0" w:color="auto"/>
            <w:right w:val="none" w:sz="0" w:space="0" w:color="auto"/>
          </w:divBdr>
        </w:div>
        <w:div w:id="717434276">
          <w:marLeft w:val="0"/>
          <w:marRight w:val="0"/>
          <w:marTop w:val="0"/>
          <w:marBottom w:val="0"/>
          <w:divBdr>
            <w:top w:val="none" w:sz="0" w:space="0" w:color="auto"/>
            <w:left w:val="none" w:sz="0" w:space="0" w:color="auto"/>
            <w:bottom w:val="none" w:sz="0" w:space="0" w:color="auto"/>
            <w:right w:val="none" w:sz="0" w:space="0" w:color="auto"/>
          </w:divBdr>
        </w:div>
        <w:div w:id="1894805643">
          <w:marLeft w:val="0"/>
          <w:marRight w:val="0"/>
          <w:marTop w:val="0"/>
          <w:marBottom w:val="0"/>
          <w:divBdr>
            <w:top w:val="none" w:sz="0" w:space="0" w:color="auto"/>
            <w:left w:val="none" w:sz="0" w:space="0" w:color="auto"/>
            <w:bottom w:val="none" w:sz="0" w:space="0" w:color="auto"/>
            <w:right w:val="none" w:sz="0" w:space="0" w:color="auto"/>
          </w:divBdr>
        </w:div>
        <w:div w:id="906574269">
          <w:marLeft w:val="0"/>
          <w:marRight w:val="0"/>
          <w:marTop w:val="0"/>
          <w:marBottom w:val="0"/>
          <w:divBdr>
            <w:top w:val="none" w:sz="0" w:space="0" w:color="auto"/>
            <w:left w:val="none" w:sz="0" w:space="0" w:color="auto"/>
            <w:bottom w:val="none" w:sz="0" w:space="0" w:color="auto"/>
            <w:right w:val="none" w:sz="0" w:space="0" w:color="auto"/>
          </w:divBdr>
        </w:div>
        <w:div w:id="443772384">
          <w:marLeft w:val="0"/>
          <w:marRight w:val="0"/>
          <w:marTop w:val="0"/>
          <w:marBottom w:val="0"/>
          <w:divBdr>
            <w:top w:val="none" w:sz="0" w:space="0" w:color="auto"/>
            <w:left w:val="none" w:sz="0" w:space="0" w:color="auto"/>
            <w:bottom w:val="none" w:sz="0" w:space="0" w:color="auto"/>
            <w:right w:val="none" w:sz="0" w:space="0" w:color="auto"/>
          </w:divBdr>
        </w:div>
        <w:div w:id="1197694946">
          <w:marLeft w:val="0"/>
          <w:marRight w:val="0"/>
          <w:marTop w:val="0"/>
          <w:marBottom w:val="0"/>
          <w:divBdr>
            <w:top w:val="none" w:sz="0" w:space="0" w:color="auto"/>
            <w:left w:val="none" w:sz="0" w:space="0" w:color="auto"/>
            <w:bottom w:val="none" w:sz="0" w:space="0" w:color="auto"/>
            <w:right w:val="none" w:sz="0" w:space="0" w:color="auto"/>
          </w:divBdr>
        </w:div>
        <w:div w:id="2034334192">
          <w:marLeft w:val="0"/>
          <w:marRight w:val="0"/>
          <w:marTop w:val="0"/>
          <w:marBottom w:val="0"/>
          <w:divBdr>
            <w:top w:val="none" w:sz="0" w:space="0" w:color="auto"/>
            <w:left w:val="none" w:sz="0" w:space="0" w:color="auto"/>
            <w:bottom w:val="none" w:sz="0" w:space="0" w:color="auto"/>
            <w:right w:val="none" w:sz="0" w:space="0" w:color="auto"/>
          </w:divBdr>
        </w:div>
        <w:div w:id="401026598">
          <w:marLeft w:val="0"/>
          <w:marRight w:val="0"/>
          <w:marTop w:val="0"/>
          <w:marBottom w:val="0"/>
          <w:divBdr>
            <w:top w:val="none" w:sz="0" w:space="0" w:color="auto"/>
            <w:left w:val="none" w:sz="0" w:space="0" w:color="auto"/>
            <w:bottom w:val="none" w:sz="0" w:space="0" w:color="auto"/>
            <w:right w:val="none" w:sz="0" w:space="0" w:color="auto"/>
          </w:divBdr>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3245806">
      <w:bodyDiv w:val="1"/>
      <w:marLeft w:val="0"/>
      <w:marRight w:val="0"/>
      <w:marTop w:val="0"/>
      <w:marBottom w:val="0"/>
      <w:divBdr>
        <w:top w:val="none" w:sz="0" w:space="0" w:color="auto"/>
        <w:left w:val="none" w:sz="0" w:space="0" w:color="auto"/>
        <w:bottom w:val="none" w:sz="0" w:space="0" w:color="auto"/>
        <w:right w:val="none" w:sz="0" w:space="0" w:color="auto"/>
      </w:divBdr>
    </w:div>
    <w:div w:id="340861001">
      <w:bodyDiv w:val="1"/>
      <w:marLeft w:val="0"/>
      <w:marRight w:val="0"/>
      <w:marTop w:val="0"/>
      <w:marBottom w:val="0"/>
      <w:divBdr>
        <w:top w:val="none" w:sz="0" w:space="0" w:color="auto"/>
        <w:left w:val="none" w:sz="0" w:space="0" w:color="auto"/>
        <w:bottom w:val="none" w:sz="0" w:space="0" w:color="auto"/>
        <w:right w:val="none" w:sz="0" w:space="0" w:color="auto"/>
      </w:divBdr>
      <w:divsChild>
        <w:div w:id="52392029">
          <w:marLeft w:val="0"/>
          <w:marRight w:val="0"/>
          <w:marTop w:val="0"/>
          <w:marBottom w:val="0"/>
          <w:divBdr>
            <w:top w:val="none" w:sz="0" w:space="0" w:color="auto"/>
            <w:left w:val="none" w:sz="0" w:space="0" w:color="auto"/>
            <w:bottom w:val="none" w:sz="0" w:space="0" w:color="auto"/>
            <w:right w:val="none" w:sz="0" w:space="0" w:color="auto"/>
          </w:divBdr>
        </w:div>
        <w:div w:id="1025055056">
          <w:marLeft w:val="0"/>
          <w:marRight w:val="0"/>
          <w:marTop w:val="0"/>
          <w:marBottom w:val="0"/>
          <w:divBdr>
            <w:top w:val="none" w:sz="0" w:space="0" w:color="auto"/>
            <w:left w:val="none" w:sz="0" w:space="0" w:color="auto"/>
            <w:bottom w:val="none" w:sz="0" w:space="0" w:color="auto"/>
            <w:right w:val="none" w:sz="0" w:space="0" w:color="auto"/>
          </w:divBdr>
        </w:div>
      </w:divsChild>
    </w:div>
    <w:div w:id="393167836">
      <w:bodyDiv w:val="1"/>
      <w:marLeft w:val="0"/>
      <w:marRight w:val="0"/>
      <w:marTop w:val="0"/>
      <w:marBottom w:val="0"/>
      <w:divBdr>
        <w:top w:val="none" w:sz="0" w:space="0" w:color="auto"/>
        <w:left w:val="none" w:sz="0" w:space="0" w:color="auto"/>
        <w:bottom w:val="none" w:sz="0" w:space="0" w:color="auto"/>
        <w:right w:val="none" w:sz="0" w:space="0" w:color="auto"/>
      </w:divBdr>
    </w:div>
    <w:div w:id="501429416">
      <w:bodyDiv w:val="1"/>
      <w:marLeft w:val="0"/>
      <w:marRight w:val="0"/>
      <w:marTop w:val="0"/>
      <w:marBottom w:val="0"/>
      <w:divBdr>
        <w:top w:val="none" w:sz="0" w:space="0" w:color="auto"/>
        <w:left w:val="none" w:sz="0" w:space="0" w:color="auto"/>
        <w:bottom w:val="none" w:sz="0" w:space="0" w:color="auto"/>
        <w:right w:val="none" w:sz="0" w:space="0" w:color="auto"/>
      </w:divBdr>
      <w:divsChild>
        <w:div w:id="1893999500">
          <w:marLeft w:val="0"/>
          <w:marRight w:val="0"/>
          <w:marTop w:val="0"/>
          <w:marBottom w:val="0"/>
          <w:divBdr>
            <w:top w:val="none" w:sz="0" w:space="0" w:color="auto"/>
            <w:left w:val="none" w:sz="0" w:space="0" w:color="auto"/>
            <w:bottom w:val="none" w:sz="0" w:space="0" w:color="auto"/>
            <w:right w:val="none" w:sz="0" w:space="0" w:color="auto"/>
          </w:divBdr>
        </w:div>
        <w:div w:id="1194226046">
          <w:marLeft w:val="0"/>
          <w:marRight w:val="0"/>
          <w:marTop w:val="0"/>
          <w:marBottom w:val="0"/>
          <w:divBdr>
            <w:top w:val="none" w:sz="0" w:space="0" w:color="auto"/>
            <w:left w:val="none" w:sz="0" w:space="0" w:color="auto"/>
            <w:bottom w:val="none" w:sz="0" w:space="0" w:color="auto"/>
            <w:right w:val="none" w:sz="0" w:space="0" w:color="auto"/>
          </w:divBdr>
        </w:div>
        <w:div w:id="264852099">
          <w:marLeft w:val="0"/>
          <w:marRight w:val="0"/>
          <w:marTop w:val="0"/>
          <w:marBottom w:val="0"/>
          <w:divBdr>
            <w:top w:val="none" w:sz="0" w:space="0" w:color="auto"/>
            <w:left w:val="none" w:sz="0" w:space="0" w:color="auto"/>
            <w:bottom w:val="none" w:sz="0" w:space="0" w:color="auto"/>
            <w:right w:val="none" w:sz="0" w:space="0" w:color="auto"/>
          </w:divBdr>
        </w:div>
        <w:div w:id="149905688">
          <w:marLeft w:val="0"/>
          <w:marRight w:val="0"/>
          <w:marTop w:val="0"/>
          <w:marBottom w:val="0"/>
          <w:divBdr>
            <w:top w:val="none" w:sz="0" w:space="0" w:color="auto"/>
            <w:left w:val="none" w:sz="0" w:space="0" w:color="auto"/>
            <w:bottom w:val="none" w:sz="0" w:space="0" w:color="auto"/>
            <w:right w:val="none" w:sz="0" w:space="0" w:color="auto"/>
          </w:divBdr>
        </w:div>
        <w:div w:id="766392320">
          <w:marLeft w:val="0"/>
          <w:marRight w:val="0"/>
          <w:marTop w:val="0"/>
          <w:marBottom w:val="0"/>
          <w:divBdr>
            <w:top w:val="none" w:sz="0" w:space="0" w:color="auto"/>
            <w:left w:val="none" w:sz="0" w:space="0" w:color="auto"/>
            <w:bottom w:val="none" w:sz="0" w:space="0" w:color="auto"/>
            <w:right w:val="none" w:sz="0" w:space="0" w:color="auto"/>
          </w:divBdr>
        </w:div>
        <w:div w:id="1112555544">
          <w:marLeft w:val="0"/>
          <w:marRight w:val="0"/>
          <w:marTop w:val="0"/>
          <w:marBottom w:val="0"/>
          <w:divBdr>
            <w:top w:val="none" w:sz="0" w:space="0" w:color="auto"/>
            <w:left w:val="none" w:sz="0" w:space="0" w:color="auto"/>
            <w:bottom w:val="none" w:sz="0" w:space="0" w:color="auto"/>
            <w:right w:val="none" w:sz="0" w:space="0" w:color="auto"/>
          </w:divBdr>
        </w:div>
        <w:div w:id="857087325">
          <w:marLeft w:val="0"/>
          <w:marRight w:val="0"/>
          <w:marTop w:val="0"/>
          <w:marBottom w:val="0"/>
          <w:divBdr>
            <w:top w:val="none" w:sz="0" w:space="0" w:color="auto"/>
            <w:left w:val="none" w:sz="0" w:space="0" w:color="auto"/>
            <w:bottom w:val="none" w:sz="0" w:space="0" w:color="auto"/>
            <w:right w:val="none" w:sz="0" w:space="0" w:color="auto"/>
          </w:divBdr>
        </w:div>
        <w:div w:id="487594034">
          <w:marLeft w:val="0"/>
          <w:marRight w:val="0"/>
          <w:marTop w:val="0"/>
          <w:marBottom w:val="0"/>
          <w:divBdr>
            <w:top w:val="none" w:sz="0" w:space="0" w:color="auto"/>
            <w:left w:val="none" w:sz="0" w:space="0" w:color="auto"/>
            <w:bottom w:val="none" w:sz="0" w:space="0" w:color="auto"/>
            <w:right w:val="none" w:sz="0" w:space="0" w:color="auto"/>
          </w:divBdr>
        </w:div>
        <w:div w:id="1642684833">
          <w:marLeft w:val="0"/>
          <w:marRight w:val="0"/>
          <w:marTop w:val="0"/>
          <w:marBottom w:val="0"/>
          <w:divBdr>
            <w:top w:val="none" w:sz="0" w:space="0" w:color="auto"/>
            <w:left w:val="none" w:sz="0" w:space="0" w:color="auto"/>
            <w:bottom w:val="none" w:sz="0" w:space="0" w:color="auto"/>
            <w:right w:val="none" w:sz="0" w:space="0" w:color="auto"/>
          </w:divBdr>
        </w:div>
        <w:div w:id="57217864">
          <w:marLeft w:val="0"/>
          <w:marRight w:val="0"/>
          <w:marTop w:val="0"/>
          <w:marBottom w:val="0"/>
          <w:divBdr>
            <w:top w:val="none" w:sz="0" w:space="0" w:color="auto"/>
            <w:left w:val="none" w:sz="0" w:space="0" w:color="auto"/>
            <w:bottom w:val="none" w:sz="0" w:space="0" w:color="auto"/>
            <w:right w:val="none" w:sz="0" w:space="0" w:color="auto"/>
          </w:divBdr>
        </w:div>
        <w:div w:id="1358509804">
          <w:marLeft w:val="0"/>
          <w:marRight w:val="0"/>
          <w:marTop w:val="0"/>
          <w:marBottom w:val="0"/>
          <w:divBdr>
            <w:top w:val="none" w:sz="0" w:space="0" w:color="auto"/>
            <w:left w:val="none" w:sz="0" w:space="0" w:color="auto"/>
            <w:bottom w:val="none" w:sz="0" w:space="0" w:color="auto"/>
            <w:right w:val="none" w:sz="0" w:space="0" w:color="auto"/>
          </w:divBdr>
        </w:div>
        <w:div w:id="125199560">
          <w:marLeft w:val="0"/>
          <w:marRight w:val="0"/>
          <w:marTop w:val="0"/>
          <w:marBottom w:val="0"/>
          <w:divBdr>
            <w:top w:val="none" w:sz="0" w:space="0" w:color="auto"/>
            <w:left w:val="none" w:sz="0" w:space="0" w:color="auto"/>
            <w:bottom w:val="none" w:sz="0" w:space="0" w:color="auto"/>
            <w:right w:val="none" w:sz="0" w:space="0" w:color="auto"/>
          </w:divBdr>
        </w:div>
        <w:div w:id="1806658042">
          <w:marLeft w:val="0"/>
          <w:marRight w:val="0"/>
          <w:marTop w:val="0"/>
          <w:marBottom w:val="0"/>
          <w:divBdr>
            <w:top w:val="none" w:sz="0" w:space="0" w:color="auto"/>
            <w:left w:val="none" w:sz="0" w:space="0" w:color="auto"/>
            <w:bottom w:val="none" w:sz="0" w:space="0" w:color="auto"/>
            <w:right w:val="none" w:sz="0" w:space="0" w:color="auto"/>
          </w:divBdr>
        </w:div>
        <w:div w:id="907230738">
          <w:marLeft w:val="0"/>
          <w:marRight w:val="0"/>
          <w:marTop w:val="0"/>
          <w:marBottom w:val="0"/>
          <w:divBdr>
            <w:top w:val="none" w:sz="0" w:space="0" w:color="auto"/>
            <w:left w:val="none" w:sz="0" w:space="0" w:color="auto"/>
            <w:bottom w:val="none" w:sz="0" w:space="0" w:color="auto"/>
            <w:right w:val="none" w:sz="0" w:space="0" w:color="auto"/>
          </w:divBdr>
        </w:div>
        <w:div w:id="1551066930">
          <w:marLeft w:val="0"/>
          <w:marRight w:val="0"/>
          <w:marTop w:val="0"/>
          <w:marBottom w:val="0"/>
          <w:divBdr>
            <w:top w:val="none" w:sz="0" w:space="0" w:color="auto"/>
            <w:left w:val="none" w:sz="0" w:space="0" w:color="auto"/>
            <w:bottom w:val="none" w:sz="0" w:space="0" w:color="auto"/>
            <w:right w:val="none" w:sz="0" w:space="0" w:color="auto"/>
          </w:divBdr>
        </w:div>
      </w:divsChild>
    </w:div>
    <w:div w:id="58866232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1743134">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4973058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291937720">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48113002">
      <w:bodyDiv w:val="1"/>
      <w:marLeft w:val="0"/>
      <w:marRight w:val="0"/>
      <w:marTop w:val="0"/>
      <w:marBottom w:val="0"/>
      <w:divBdr>
        <w:top w:val="none" w:sz="0" w:space="0" w:color="auto"/>
        <w:left w:val="none" w:sz="0" w:space="0" w:color="auto"/>
        <w:bottom w:val="none" w:sz="0" w:space="0" w:color="auto"/>
        <w:right w:val="none" w:sz="0" w:space="0" w:color="auto"/>
      </w:divBdr>
    </w:div>
    <w:div w:id="1548293287">
      <w:bodyDiv w:val="1"/>
      <w:marLeft w:val="0"/>
      <w:marRight w:val="0"/>
      <w:marTop w:val="0"/>
      <w:marBottom w:val="0"/>
      <w:divBdr>
        <w:top w:val="none" w:sz="0" w:space="0" w:color="auto"/>
        <w:left w:val="none" w:sz="0" w:space="0" w:color="auto"/>
        <w:bottom w:val="none" w:sz="0" w:space="0" w:color="auto"/>
        <w:right w:val="none" w:sz="0" w:space="0" w:color="auto"/>
      </w:divBdr>
    </w:div>
    <w:div w:id="1628395367">
      <w:bodyDiv w:val="1"/>
      <w:marLeft w:val="0"/>
      <w:marRight w:val="0"/>
      <w:marTop w:val="0"/>
      <w:marBottom w:val="0"/>
      <w:divBdr>
        <w:top w:val="none" w:sz="0" w:space="0" w:color="auto"/>
        <w:left w:val="none" w:sz="0" w:space="0" w:color="auto"/>
        <w:bottom w:val="none" w:sz="0" w:space="0" w:color="auto"/>
        <w:right w:val="none" w:sz="0" w:space="0" w:color="auto"/>
      </w:divBdr>
      <w:divsChild>
        <w:div w:id="1332220306">
          <w:marLeft w:val="0"/>
          <w:marRight w:val="0"/>
          <w:marTop w:val="0"/>
          <w:marBottom w:val="0"/>
          <w:divBdr>
            <w:top w:val="none" w:sz="0" w:space="0" w:color="auto"/>
            <w:left w:val="none" w:sz="0" w:space="0" w:color="auto"/>
            <w:bottom w:val="none" w:sz="0" w:space="0" w:color="auto"/>
            <w:right w:val="none" w:sz="0" w:space="0" w:color="auto"/>
          </w:divBdr>
        </w:div>
        <w:div w:id="493423049">
          <w:marLeft w:val="0"/>
          <w:marRight w:val="0"/>
          <w:marTop w:val="0"/>
          <w:marBottom w:val="0"/>
          <w:divBdr>
            <w:top w:val="none" w:sz="0" w:space="0" w:color="auto"/>
            <w:left w:val="none" w:sz="0" w:space="0" w:color="auto"/>
            <w:bottom w:val="none" w:sz="0" w:space="0" w:color="auto"/>
            <w:right w:val="none" w:sz="0" w:space="0" w:color="auto"/>
          </w:divBdr>
        </w:div>
      </w:divsChild>
    </w:div>
    <w:div w:id="1778140693">
      <w:bodyDiv w:val="1"/>
      <w:marLeft w:val="0"/>
      <w:marRight w:val="0"/>
      <w:marTop w:val="0"/>
      <w:marBottom w:val="0"/>
      <w:divBdr>
        <w:top w:val="none" w:sz="0" w:space="0" w:color="auto"/>
        <w:left w:val="none" w:sz="0" w:space="0" w:color="auto"/>
        <w:bottom w:val="none" w:sz="0" w:space="0" w:color="auto"/>
        <w:right w:val="none" w:sz="0" w:space="0" w:color="auto"/>
      </w:divBdr>
    </w:div>
    <w:div w:id="195759140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hyperlink" Target="https://www.colombiacompra.gov.co/sala-de-prensa/boletin-digital/boletin-de-relatoria-2024-vi-modalidad-de-seleccion-de-seleccion-de"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40A80-089F-4EB1-B228-7AE8D19871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terms/"/>
    <ds:schemaRef ds:uri="9d85dbaf-23eb-4e57-a637-93dcacc8b1a1"/>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0DDB392-B908-4004-92D4-CBA7D1126A5C}">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5413</Words>
  <Characters>29450</Characters>
  <Application>Microsoft Office Word</Application>
  <DocSecurity>0</DocSecurity>
  <Lines>654</Lines>
  <Paragraphs>138</Paragraphs>
  <ScaleCrop>false</ScaleCrop>
  <Company/>
  <LinksUpToDate>false</LinksUpToDate>
  <CharactersWithSpaces>34725</CharactersWithSpaces>
  <SharedDoc>false</SharedDoc>
  <HLinks>
    <vt:vector size="48" baseType="variant">
      <vt:variant>
        <vt:i4>4587592</vt:i4>
      </vt:variant>
      <vt:variant>
        <vt:i4>18</vt:i4>
      </vt:variant>
      <vt:variant>
        <vt:i4>0</vt:i4>
      </vt:variant>
      <vt:variant>
        <vt:i4>5</vt:i4>
      </vt:variant>
      <vt:variant>
        <vt:lpwstr>https://www.colombiacompra.gov.co/sala-de-prensa/boletin-digital/boletin-de-relatoria-2024-vi-modalidad-de-seleccion-de-seleccion-de</vt:lpwstr>
      </vt:variant>
      <vt:variant>
        <vt:lpwstr/>
      </vt:variant>
      <vt:variant>
        <vt:i4>7405638</vt:i4>
      </vt:variant>
      <vt:variant>
        <vt:i4>15</vt:i4>
      </vt:variant>
      <vt:variant>
        <vt:i4>0</vt:i4>
      </vt:variant>
      <vt:variant>
        <vt:i4>5</vt:i4>
      </vt:variant>
      <vt:variant>
        <vt:lpwstr>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vt:lpwstr>
      </vt:variant>
      <vt:variant>
        <vt:lpwstr/>
      </vt:variant>
      <vt:variant>
        <vt:i4>6553712</vt:i4>
      </vt:variant>
      <vt:variant>
        <vt:i4>12</vt:i4>
      </vt:variant>
      <vt:variant>
        <vt:i4>0</vt:i4>
      </vt:variant>
      <vt:variant>
        <vt:i4>5</vt:i4>
      </vt:variant>
      <vt:variant>
        <vt:lpwstr>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vt:lpwstr>
      </vt:variant>
      <vt:variant>
        <vt:lpwstr/>
      </vt:variant>
      <vt:variant>
        <vt:i4>1638475</vt:i4>
      </vt:variant>
      <vt:variant>
        <vt:i4>9</vt:i4>
      </vt:variant>
      <vt:variant>
        <vt:i4>0</vt:i4>
      </vt:variant>
      <vt:variant>
        <vt:i4>5</vt:i4>
      </vt:variant>
      <vt:variant>
        <vt:lpwstr>about:blank</vt:lpwstr>
      </vt:variant>
      <vt:variant>
        <vt:lpwstr>267</vt:lpwstr>
      </vt:variant>
      <vt:variant>
        <vt:i4>2031691</vt:i4>
      </vt:variant>
      <vt:variant>
        <vt:i4>6</vt:i4>
      </vt:variant>
      <vt:variant>
        <vt:i4>0</vt:i4>
      </vt:variant>
      <vt:variant>
        <vt:i4>5</vt:i4>
      </vt:variant>
      <vt:variant>
        <vt:lpwstr>about:blank</vt:lpwstr>
      </vt:variant>
      <vt:variant>
        <vt:lpwstr>209</vt:lpwstr>
      </vt:variant>
      <vt:variant>
        <vt:i4>1638475</vt:i4>
      </vt:variant>
      <vt:variant>
        <vt:i4>3</vt:i4>
      </vt:variant>
      <vt:variant>
        <vt:i4>0</vt:i4>
      </vt:variant>
      <vt:variant>
        <vt:i4>5</vt:i4>
      </vt:variant>
      <vt:variant>
        <vt:lpwstr>about:blank</vt:lpwstr>
      </vt:variant>
      <vt:variant>
        <vt:lpwstr>267</vt:lpwstr>
      </vt:variant>
      <vt:variant>
        <vt:i4>2031691</vt:i4>
      </vt:variant>
      <vt:variant>
        <vt:i4>0</vt:i4>
      </vt:variant>
      <vt:variant>
        <vt:i4>0</vt:i4>
      </vt:variant>
      <vt:variant>
        <vt:i4>5</vt:i4>
      </vt:variant>
      <vt:variant>
        <vt:lpwstr>about:blank</vt:lpwstr>
      </vt:variant>
      <vt:variant>
        <vt:lpwstr>209</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2025-10-07T15:39:00Z</dcterms:created>
  <dcterms:modified xsi:type="dcterms:W3CDTF">2025-10-07T15:39:00Z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