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D1282" w14:textId="77777777" w:rsidR="00581889" w:rsidRPr="007B1EB0" w:rsidRDefault="00581889" w:rsidP="00581889">
      <w:pPr>
        <w:spacing w:after="0" w:line="240" w:lineRule="auto"/>
        <w:jc w:val="both"/>
        <w:rPr>
          <w:rFonts w:ascii="Verdana" w:eastAsia="Calibri" w:hAnsi="Verdana" w:cs="Arial"/>
          <w:b/>
        </w:rPr>
      </w:pPr>
      <w:bookmarkStart w:id="0" w:name="_Hlk143780582"/>
      <w:r w:rsidRPr="007B1EB0">
        <w:rPr>
          <w:rFonts w:ascii="Verdana" w:eastAsia="Calibri" w:hAnsi="Verdana" w:cs="Arial"/>
          <w:b/>
        </w:rPr>
        <w:t>CONTRATOS Y CONVENIOS INTERADMINISTRATIVOS – Definición – Sujetos – Entidades Estatales – Entidades exceptuadas</w:t>
      </w:r>
    </w:p>
    <w:p w14:paraId="384BCF55" w14:textId="77777777" w:rsidR="00581889" w:rsidRPr="007B1EB0" w:rsidRDefault="00581889" w:rsidP="00581889">
      <w:pPr>
        <w:spacing w:after="0" w:line="240" w:lineRule="auto"/>
        <w:jc w:val="both"/>
        <w:rPr>
          <w:rFonts w:ascii="Verdana" w:eastAsia="Calibri" w:hAnsi="Verdana" w:cs="Arial"/>
          <w:color w:val="000000" w:themeColor="text1"/>
          <w:sz w:val="20"/>
          <w:szCs w:val="20"/>
        </w:rPr>
      </w:pPr>
    </w:p>
    <w:p w14:paraId="4F5DBC01" w14:textId="77777777" w:rsidR="00581889" w:rsidRPr="007B1EB0" w:rsidRDefault="00581889" w:rsidP="00581889">
      <w:pPr>
        <w:spacing w:after="0" w:line="240" w:lineRule="auto"/>
        <w:jc w:val="both"/>
        <w:rPr>
          <w:rFonts w:ascii="Verdana" w:eastAsia="Calibri" w:hAnsi="Verdana" w:cs="Arial"/>
          <w:color w:val="000000" w:themeColor="text1"/>
          <w:sz w:val="20"/>
          <w:szCs w:val="20"/>
        </w:rPr>
      </w:pPr>
      <w:r w:rsidRPr="007B1EB0">
        <w:rPr>
          <w:rFonts w:ascii="Verdana" w:eastAsia="Calibri" w:hAnsi="Verdana" w:cs="Arial"/>
          <w:color w:val="000000" w:themeColor="text1"/>
          <w:sz w:val="20"/>
          <w:szCs w:val="20"/>
        </w:rPr>
        <w:t>Sobre la tipología de convenio o contrato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7B1EB0">
        <w:rPr>
          <w:rFonts w:ascii="Verdana" w:hAnsi="Verdana" w:cs="Arial"/>
          <w:color w:val="000000" w:themeColor="text1"/>
          <w:sz w:val="20"/>
          <w:szCs w:val="20"/>
        </w:rPr>
        <w:t xml:space="preserve"> </w:t>
      </w:r>
      <w:r w:rsidRPr="007B1EB0">
        <w:rPr>
          <w:rFonts w:ascii="Verdana" w:eastAsia="Calibri" w:hAnsi="Verdana" w:cs="Arial"/>
          <w:color w:val="000000" w:themeColor="text1"/>
          <w:sz w:val="20"/>
          <w:szCs w:val="20"/>
        </w:rPr>
        <w:t>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con competencia para celebrar contratos.</w:t>
      </w:r>
    </w:p>
    <w:p w14:paraId="5A02612E" w14:textId="77777777" w:rsidR="00581889" w:rsidRDefault="00581889" w:rsidP="00581889">
      <w:pPr>
        <w:spacing w:after="0" w:line="240" w:lineRule="auto"/>
        <w:jc w:val="both"/>
        <w:rPr>
          <w:rFonts w:ascii="Verdana" w:eastAsia="Calibri" w:hAnsi="Verdana" w:cs="Arial"/>
          <w:color w:val="000000" w:themeColor="text1"/>
          <w:sz w:val="20"/>
          <w:szCs w:val="20"/>
          <w:lang w:val="es-ES_tradnl"/>
        </w:rPr>
      </w:pPr>
    </w:p>
    <w:p w14:paraId="2857145A" w14:textId="77777777" w:rsidR="00581889" w:rsidRPr="007B1EB0" w:rsidRDefault="00581889" w:rsidP="00581889">
      <w:pPr>
        <w:spacing w:after="0" w:line="240" w:lineRule="auto"/>
        <w:jc w:val="both"/>
        <w:rPr>
          <w:rFonts w:ascii="Verdana" w:hAnsi="Verdana" w:cs="Arial"/>
          <w:color w:val="000000" w:themeColor="text1"/>
          <w:sz w:val="20"/>
          <w:szCs w:val="20"/>
          <w:lang w:val="es-ES_tradnl"/>
        </w:rPr>
      </w:pPr>
      <w:r w:rsidRPr="007B1EB0">
        <w:rPr>
          <w:rFonts w:ascii="Verdana" w:eastAsia="Calibri" w:hAnsi="Verdana" w:cs="Arial"/>
          <w:color w:val="000000" w:themeColor="text1"/>
          <w:sz w:val="20"/>
          <w:szCs w:val="20"/>
          <w:lang w:val="es-ES_tradnl"/>
        </w:rPr>
        <w:t>Si bien los contratos o convenios interadministrativos están previstos en la Ley 80 de 1993, en la Ley 1150 de 2007 y en el Decreto 1082 de 2015, no quiere decir que solo puedan celebrarse entre Entidades Estatales que apliquen el régimen de contratación allí previsto. En efecto, una Entidad Estatal de la Ley 80 de 1993 bien puede celebrar esta clase de convenios con una Entidad Estatal de régimen especial y no por ello dejará de ser un contrato o convenio interadministrativo.</w:t>
      </w:r>
    </w:p>
    <w:p w14:paraId="2FB49717" w14:textId="77777777" w:rsidR="00581889" w:rsidRPr="007B1EB0" w:rsidRDefault="00581889" w:rsidP="00581889">
      <w:pPr>
        <w:spacing w:after="0" w:line="240" w:lineRule="auto"/>
        <w:jc w:val="both"/>
        <w:rPr>
          <w:rFonts w:ascii="Verdana" w:eastAsia="Times New Roman" w:hAnsi="Verdana" w:cs="Arial"/>
          <w:sz w:val="20"/>
          <w:szCs w:val="20"/>
          <w:lang w:val="es-ES_tradnl" w:eastAsia="es-ES_tradnl"/>
        </w:rPr>
      </w:pPr>
    </w:p>
    <w:p w14:paraId="3E151164" w14:textId="77777777" w:rsidR="00581889" w:rsidRPr="007B1EB0" w:rsidRDefault="00581889" w:rsidP="00581889">
      <w:pPr>
        <w:spacing w:after="0" w:line="240" w:lineRule="auto"/>
        <w:jc w:val="both"/>
        <w:rPr>
          <w:rFonts w:ascii="Verdana" w:eastAsia="Times New Roman" w:hAnsi="Verdana" w:cs="Arial"/>
          <w:b/>
          <w:bCs/>
          <w:lang w:val="es-MX" w:eastAsia="es-ES_tradnl"/>
        </w:rPr>
      </w:pPr>
      <w:r w:rsidRPr="007B1EB0">
        <w:rPr>
          <w:rFonts w:ascii="Verdana" w:eastAsia="Times New Roman" w:hAnsi="Verdana" w:cs="Arial"/>
          <w:b/>
          <w:bCs/>
          <w:lang w:val="es-MX" w:eastAsia="es-ES_tradnl"/>
        </w:rPr>
        <w:t>CONTRATO INTERADMINISTRATIVO – Modalidad de selección</w:t>
      </w:r>
    </w:p>
    <w:p w14:paraId="49490078" w14:textId="77777777" w:rsidR="00581889" w:rsidRPr="007B1EB0" w:rsidRDefault="00581889" w:rsidP="00581889">
      <w:pPr>
        <w:spacing w:after="0" w:line="240" w:lineRule="auto"/>
        <w:jc w:val="both"/>
        <w:rPr>
          <w:rFonts w:ascii="Verdana" w:eastAsia="Times New Roman" w:hAnsi="Verdana" w:cs="Arial"/>
          <w:bCs/>
          <w:sz w:val="20"/>
          <w:szCs w:val="20"/>
          <w:lang w:val="es-MX" w:eastAsia="es-ES_tradnl"/>
        </w:rPr>
      </w:pPr>
    </w:p>
    <w:p w14:paraId="10A3DEF4" w14:textId="77777777" w:rsidR="00581889" w:rsidRPr="007B1EB0" w:rsidRDefault="00581889" w:rsidP="00581889">
      <w:pPr>
        <w:spacing w:after="0" w:line="240" w:lineRule="auto"/>
        <w:jc w:val="both"/>
        <w:rPr>
          <w:rFonts w:ascii="Verdana" w:eastAsia="Times New Roman" w:hAnsi="Verdana" w:cs="Arial"/>
          <w:sz w:val="20"/>
          <w:szCs w:val="20"/>
          <w:lang w:val="es-MX" w:eastAsia="es-ES_tradnl"/>
        </w:rPr>
      </w:pPr>
      <w:r w:rsidRPr="007B1EB0">
        <w:rPr>
          <w:rFonts w:ascii="Verdana" w:eastAsia="Times New Roman" w:hAnsi="Verdana" w:cs="Arial"/>
          <w:bCs/>
          <w:sz w:val="20"/>
          <w:szCs w:val="20"/>
          <w:lang w:val="es-MX" w:eastAsia="es-ES_tradnl"/>
        </w:rPr>
        <w:t xml:space="preserve">[…] </w:t>
      </w:r>
      <w:r w:rsidRPr="007B1EB0">
        <w:rPr>
          <w:rFonts w:ascii="Verdana" w:hAnsi="Verdana" w:cs="Arial"/>
          <w:sz w:val="20"/>
          <w:szCs w:val="20"/>
        </w:rPr>
        <w:t>e</w:t>
      </w:r>
      <w:r w:rsidRPr="007B1EB0">
        <w:rPr>
          <w:rFonts w:ascii="Verdana" w:eastAsia="Calibri" w:hAnsi="Verdana" w:cs="Arial"/>
          <w:color w:val="000000" w:themeColor="text1"/>
          <w:sz w:val="20"/>
          <w:szCs w:val="20"/>
        </w:rPr>
        <w:t xml:space="preserve">n relación con la modalidad de selección aplicable a la celebración de contratos interadministrativos, </w:t>
      </w:r>
      <w:r w:rsidRPr="007B1EB0">
        <w:rPr>
          <w:rFonts w:ascii="Verdana" w:hAnsi="Verdana" w:cs="Arial"/>
          <w:sz w:val="20"/>
          <w:szCs w:val="20"/>
        </w:rPr>
        <w:t xml:space="preserve">debe señalarse </w:t>
      </w:r>
      <w:r w:rsidRPr="007B1EB0">
        <w:rPr>
          <w:rFonts w:ascii="Verdana" w:eastAsia="Calibri" w:hAnsi="Verdana" w:cs="Arial"/>
          <w:color w:val="000000" w:themeColor="text1"/>
          <w:sz w:val="20"/>
          <w:szCs w:val="20"/>
        </w:rPr>
        <w:t>que la Ley 1150 de 2007 establece que las Entidades Estatales pueden suscribirlos de manera directa, siempre que las obligaciones derivadas de los mismos tengan relación con el objeto de la entidad ejecutora.</w:t>
      </w:r>
    </w:p>
    <w:p w14:paraId="79ACE492" w14:textId="77777777" w:rsidR="00581889" w:rsidRPr="007B1EB0" w:rsidRDefault="00581889" w:rsidP="00581889">
      <w:pPr>
        <w:spacing w:after="0" w:line="240" w:lineRule="auto"/>
        <w:jc w:val="both"/>
        <w:rPr>
          <w:rFonts w:ascii="Verdana" w:eastAsia="Calibri" w:hAnsi="Verdana" w:cs="Arial"/>
          <w:color w:val="000000" w:themeColor="text1"/>
          <w:sz w:val="20"/>
          <w:szCs w:val="20"/>
          <w:lang w:val="es-ES_tradnl"/>
        </w:rPr>
      </w:pPr>
    </w:p>
    <w:p w14:paraId="78C99C23" w14:textId="77777777" w:rsidR="00581889" w:rsidRPr="007B1EB0" w:rsidRDefault="00581889" w:rsidP="00581889">
      <w:pPr>
        <w:spacing w:after="0" w:line="240" w:lineRule="auto"/>
        <w:jc w:val="both"/>
        <w:rPr>
          <w:rFonts w:ascii="Verdana" w:eastAsia="Calibri" w:hAnsi="Verdana" w:cs="Arial"/>
          <w:color w:val="000000" w:themeColor="text1"/>
          <w:sz w:val="20"/>
          <w:szCs w:val="20"/>
          <w:lang w:val="es-ES_tradnl"/>
        </w:rPr>
      </w:pPr>
      <w:r w:rsidRPr="007B1EB0">
        <w:rPr>
          <w:rFonts w:ascii="Verdana" w:eastAsia="Calibri" w:hAnsi="Verdana" w:cs="Arial"/>
          <w:color w:val="000000" w:themeColor="text1"/>
          <w:sz w:val="20"/>
          <w:szCs w:val="20"/>
          <w:lang w:val="es-ES_tradnl"/>
        </w:rPr>
        <w:t>[…]</w:t>
      </w:r>
      <w:r>
        <w:rPr>
          <w:rFonts w:ascii="Verdana" w:eastAsia="Calibri" w:hAnsi="Verdana" w:cs="Arial"/>
          <w:color w:val="000000" w:themeColor="text1"/>
          <w:sz w:val="20"/>
          <w:szCs w:val="20"/>
          <w:lang w:val="es-ES_tradnl"/>
        </w:rPr>
        <w:t xml:space="preserve"> </w:t>
      </w:r>
      <w:r w:rsidRPr="007B1EB0">
        <w:rPr>
          <w:rFonts w:ascii="Verdana" w:eastAsia="Calibri" w:hAnsi="Verdana" w:cs="Arial"/>
          <w:color w:val="000000" w:themeColor="text1"/>
          <w:sz w:val="20"/>
          <w:szCs w:val="20"/>
          <w:lang w:val="es-ES_tradnl"/>
        </w:rPr>
        <w:t>Según el inciso primero del literal trascrito, la suscripción de contratos interadministrativos de forma directa, conforme a dicha causal, está sujeta a que las obligaciones del negocio jurídico tengan relación directa con el objeto de la entidad ejecutora, establecido en la ley o en sus reglamentos. La condición impuesta por el legislador para la suscripción de estos contratos se establece a efectos de constatar que el ejecutante cuente con la capacidad jurídica para contraer las obligaciones establecidas en el contrato.</w:t>
      </w:r>
    </w:p>
    <w:p w14:paraId="6977E884" w14:textId="77777777" w:rsidR="00581889" w:rsidRPr="007B1EB0" w:rsidRDefault="00581889" w:rsidP="00581889">
      <w:pPr>
        <w:spacing w:after="0" w:line="240" w:lineRule="auto"/>
        <w:jc w:val="both"/>
        <w:rPr>
          <w:rFonts w:ascii="Verdana" w:eastAsia="Times New Roman" w:hAnsi="Verdana" w:cs="Arial"/>
          <w:sz w:val="20"/>
          <w:szCs w:val="20"/>
          <w:lang w:val="es-ES_tradnl" w:eastAsia="es-ES_tradnl"/>
        </w:rPr>
      </w:pPr>
    </w:p>
    <w:p w14:paraId="38200F42" w14:textId="77777777" w:rsidR="00581889" w:rsidRPr="007B1EB0" w:rsidRDefault="00581889" w:rsidP="00581889">
      <w:pPr>
        <w:spacing w:after="0" w:line="240" w:lineRule="auto"/>
        <w:jc w:val="both"/>
        <w:rPr>
          <w:rFonts w:ascii="Verdana" w:eastAsia="Calibri" w:hAnsi="Verdana" w:cs="Arial"/>
          <w:b/>
          <w:bCs/>
          <w:lang w:val="es-ES" w:eastAsia="es-ES"/>
        </w:rPr>
      </w:pPr>
      <w:r w:rsidRPr="007B1EB0">
        <w:rPr>
          <w:rFonts w:ascii="Verdana" w:eastAsia="Times New Roman" w:hAnsi="Verdana" w:cs="Arial"/>
          <w:b/>
          <w:bCs/>
          <w:lang w:val="es-MX" w:eastAsia="es-ES_tradnl"/>
        </w:rPr>
        <w:t xml:space="preserve">CONTRATO INTERADMINISTRATIVO – Modalidad de selección – Excepciones </w:t>
      </w:r>
      <w:r w:rsidRPr="007B1EB0">
        <w:rPr>
          <w:rFonts w:ascii="Verdana" w:eastAsia="Calibri" w:hAnsi="Verdana" w:cs="Arial"/>
          <w:b/>
          <w:bCs/>
          <w:lang w:val="es-ES_tradnl"/>
        </w:rPr>
        <w:t>– Contrato de Obra</w:t>
      </w:r>
    </w:p>
    <w:p w14:paraId="40F621C1" w14:textId="77777777" w:rsidR="00581889" w:rsidRPr="007B1EB0" w:rsidRDefault="00581889" w:rsidP="00581889">
      <w:pPr>
        <w:spacing w:after="0" w:line="240" w:lineRule="auto"/>
        <w:jc w:val="both"/>
        <w:rPr>
          <w:rFonts w:ascii="Verdana" w:eastAsia="Calibri" w:hAnsi="Verdana" w:cs="Arial"/>
          <w:sz w:val="20"/>
          <w:szCs w:val="20"/>
          <w:lang w:val="es-ES" w:eastAsia="es-ES"/>
        </w:rPr>
      </w:pPr>
    </w:p>
    <w:p w14:paraId="3D79CD98" w14:textId="77777777" w:rsidR="00581889" w:rsidRPr="007B1EB0" w:rsidRDefault="00581889" w:rsidP="00581889">
      <w:pPr>
        <w:spacing w:after="0" w:line="240" w:lineRule="auto"/>
        <w:jc w:val="both"/>
        <w:rPr>
          <w:rFonts w:ascii="Verdana" w:eastAsia="Calibri" w:hAnsi="Verdana" w:cs="Arial"/>
          <w:color w:val="000000" w:themeColor="text1"/>
          <w:sz w:val="20"/>
          <w:szCs w:val="20"/>
          <w:lang w:val="es-ES_tradnl"/>
        </w:rPr>
      </w:pPr>
      <w:r w:rsidRPr="007B1EB0">
        <w:rPr>
          <w:rFonts w:ascii="Verdana" w:eastAsia="Calibri" w:hAnsi="Verdana" w:cs="Arial"/>
          <w:color w:val="000000" w:themeColor="text1"/>
          <w:sz w:val="20"/>
          <w:szCs w:val="20"/>
          <w:lang w:val="es-ES_tradnl"/>
        </w:rPr>
        <w:t xml:space="preserve">[…] el inciso segundo establece una limitación a la contratación directa mediante la causal del literal c) – transcrito anteriormente – dirigido a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De manera que cuando ellas sean las ejecutoras, no se pueden celebrar contratos </w:t>
      </w:r>
      <w:r w:rsidRPr="007B1EB0">
        <w:rPr>
          <w:rFonts w:ascii="Verdana" w:eastAsia="Calibri" w:hAnsi="Verdana" w:cs="Arial"/>
          <w:color w:val="000000" w:themeColor="text1"/>
          <w:sz w:val="20"/>
          <w:szCs w:val="20"/>
          <w:lang w:val="es-ES_tradnl"/>
        </w:rPr>
        <w:lastRenderedPageBreak/>
        <w:t>interadministrativos de manera directa, utilizando la causal del literal c), en tratándose de “contratos de obra, suministro, prestación de servicios de evaluación de conformidad respecto de las normas o reglamentos técnicos, encargos fiduciarios y fiducia pública”, los primeros a los cuales se refiere en su escrito.</w:t>
      </w:r>
    </w:p>
    <w:p w14:paraId="04D109F4" w14:textId="77777777" w:rsidR="00581889" w:rsidRPr="007B1EB0" w:rsidRDefault="00581889" w:rsidP="00581889">
      <w:pPr>
        <w:spacing w:after="0" w:line="240" w:lineRule="auto"/>
        <w:rPr>
          <w:b/>
          <w:bCs/>
          <w:sz w:val="20"/>
          <w:szCs w:val="20"/>
          <w:lang w:val="es-ES"/>
        </w:rPr>
      </w:pPr>
    </w:p>
    <w:p w14:paraId="62777EED" w14:textId="77777777" w:rsidR="00581889" w:rsidRPr="007B1EB0" w:rsidRDefault="00581889" w:rsidP="00581889">
      <w:pPr>
        <w:spacing w:after="0" w:line="240" w:lineRule="auto"/>
        <w:jc w:val="both"/>
        <w:rPr>
          <w:rFonts w:ascii="Verdana" w:eastAsia="Times New Roman" w:hAnsi="Verdana" w:cs="Arial"/>
          <w:b/>
          <w:bCs/>
          <w:lang w:val="es-MX" w:eastAsia="es-ES_tradnl"/>
        </w:rPr>
      </w:pPr>
      <w:r w:rsidRPr="007B1EB0">
        <w:rPr>
          <w:rFonts w:ascii="Verdana" w:eastAsia="Times New Roman" w:hAnsi="Verdana" w:cs="Arial"/>
          <w:b/>
          <w:bCs/>
          <w:lang w:val="es-MX" w:eastAsia="es-ES_tradnl"/>
        </w:rPr>
        <w:t>CONTRATO Y CONVENIOS INTERADMINISTRATIVO – Declaratoria de Incumplimiento</w:t>
      </w:r>
    </w:p>
    <w:p w14:paraId="1D4D2729" w14:textId="77777777" w:rsidR="00581889" w:rsidRPr="007B1EB0" w:rsidRDefault="00581889" w:rsidP="00581889">
      <w:pPr>
        <w:spacing w:after="0" w:line="240" w:lineRule="auto"/>
        <w:jc w:val="both"/>
        <w:rPr>
          <w:rFonts w:ascii="Verdana" w:eastAsia="Times New Roman" w:hAnsi="Verdana" w:cs="Arial"/>
          <w:b/>
          <w:bCs/>
          <w:sz w:val="20"/>
          <w:szCs w:val="20"/>
          <w:lang w:val="es-MX" w:eastAsia="es-ES_tradnl"/>
        </w:rPr>
      </w:pPr>
    </w:p>
    <w:p w14:paraId="33E41A4D" w14:textId="77777777" w:rsidR="00581889" w:rsidRPr="007B1EB0" w:rsidRDefault="00581889" w:rsidP="00581889">
      <w:pPr>
        <w:spacing w:after="0" w:line="240" w:lineRule="auto"/>
        <w:jc w:val="both"/>
        <w:rPr>
          <w:rFonts w:ascii="Verdana" w:eastAsia="Calibri" w:hAnsi="Verdana" w:cs="Arial"/>
          <w:color w:val="000000" w:themeColor="text1"/>
          <w:sz w:val="20"/>
          <w:szCs w:val="20"/>
        </w:rPr>
      </w:pPr>
      <w:r w:rsidRPr="007B1EB0">
        <w:rPr>
          <w:rFonts w:ascii="Verdana" w:eastAsia="Calibri" w:hAnsi="Verdana" w:cs="Arial"/>
          <w:color w:val="000000" w:themeColor="text1"/>
          <w:sz w:val="20"/>
          <w:szCs w:val="20"/>
        </w:rPr>
        <w:t>[…] en relación con la declaratoria de incumplimiento en los contratos debe señalarse que, las competencias unilaterales de la Administración para imponer las multas, hacer efectiva la cláusula penal y declarar el siniestro del incumplimiento para hacer el cobro de las garantías constituidas a su favor, se ejercen, según el caso, evidenciado un posible incumplimiento de un contrato estatal, incluidos los contratos interadministrativos y frente a cualquier contratista colaborador de la Administración, sin importar si es particular o Entidad Estatal contratista.</w:t>
      </w:r>
    </w:p>
    <w:p w14:paraId="50D1BD9C" w14:textId="77777777" w:rsidR="00581889" w:rsidRPr="007B1EB0" w:rsidRDefault="00581889" w:rsidP="00581889">
      <w:pPr>
        <w:spacing w:after="0" w:line="240" w:lineRule="auto"/>
        <w:jc w:val="both"/>
        <w:rPr>
          <w:rFonts w:ascii="Verdana" w:eastAsia="Calibri" w:hAnsi="Verdana" w:cs="Arial"/>
          <w:color w:val="000000" w:themeColor="text1"/>
          <w:sz w:val="20"/>
          <w:szCs w:val="20"/>
        </w:rPr>
      </w:pPr>
    </w:p>
    <w:p w14:paraId="1963E802" w14:textId="77777777" w:rsidR="00581889" w:rsidRPr="007B1EB0" w:rsidRDefault="00581889" w:rsidP="00581889">
      <w:pPr>
        <w:spacing w:after="0" w:line="240" w:lineRule="auto"/>
        <w:jc w:val="both"/>
        <w:rPr>
          <w:b/>
          <w:bCs/>
          <w:sz w:val="20"/>
          <w:szCs w:val="20"/>
          <w:lang w:val="es-ES"/>
        </w:rPr>
      </w:pPr>
      <w:r w:rsidRPr="007B1EB0">
        <w:rPr>
          <w:rFonts w:ascii="Verdana" w:eastAsia="Calibri" w:hAnsi="Verdana" w:cs="Arial"/>
          <w:color w:val="000000" w:themeColor="text1"/>
          <w:sz w:val="20"/>
          <w:szCs w:val="20"/>
        </w:rPr>
        <w:t>Respecto de los convenios interadministrativos, en atención a su naturaleza, finalidad y alcance que los hace diferentes de los contratos interadministrativos, la Sala, en el mismo concepto antes citado, estimó que en relación con los mismos no es procedente ejercer la competencia unilateral de la Administración para la imposición de multas, sanciones y declaratorias de incumplimiento previstas en los artículos 17 de la Ley 1150 de 2007 y 86 de la Ley 1474 de 2011</w:t>
      </w:r>
      <w:r>
        <w:rPr>
          <w:rFonts w:ascii="Verdana" w:eastAsia="Calibri" w:hAnsi="Verdana" w:cs="Arial"/>
          <w:color w:val="000000" w:themeColor="text1"/>
          <w:sz w:val="20"/>
          <w:szCs w:val="20"/>
        </w:rPr>
        <w:t xml:space="preserve"> […]</w:t>
      </w:r>
    </w:p>
    <w:p w14:paraId="226A8F56" w14:textId="1B56E7B1" w:rsidR="00581889" w:rsidRDefault="00581889">
      <w:pPr>
        <w:rPr>
          <w:rFonts w:ascii="Verdana" w:hAnsi="Verdana"/>
          <w:lang w:val="es-ES"/>
        </w:rPr>
      </w:pPr>
      <w:r>
        <w:rPr>
          <w:rFonts w:ascii="Verdana" w:hAnsi="Verdana"/>
          <w:lang w:val="es-ES"/>
        </w:rPr>
        <w:br w:type="page"/>
      </w:r>
    </w:p>
    <w:p w14:paraId="39DC09B4" w14:textId="272C31A0" w:rsidR="00426483" w:rsidRPr="000876F8" w:rsidRDefault="00503F0F" w:rsidP="00426483">
      <w:pPr>
        <w:spacing w:after="0" w:line="240" w:lineRule="auto"/>
        <w:rPr>
          <w:rFonts w:ascii="Verdana" w:hAnsi="Verdana"/>
        </w:rPr>
      </w:pPr>
      <w:r w:rsidRPr="00C24815">
        <w:rPr>
          <w:rFonts w:ascii="Verdana" w:hAnsi="Verdana"/>
          <w:noProof/>
        </w:rPr>
        <w:lastRenderedPageBreak/>
        <w:drawing>
          <wp:anchor distT="0" distB="0" distL="114300" distR="114300" simplePos="0" relativeHeight="251658240" behindDoc="0" locked="0" layoutInCell="1" allowOverlap="1" wp14:anchorId="47040711" wp14:editId="72B68475">
            <wp:simplePos x="0" y="0"/>
            <wp:positionH relativeFrom="column">
              <wp:posOffset>2832484</wp:posOffset>
            </wp:positionH>
            <wp:positionV relativeFrom="paragraph">
              <wp:posOffset>-71829</wp:posOffset>
            </wp:positionV>
            <wp:extent cx="3044824" cy="974613"/>
            <wp:effectExtent l="0" t="0" r="3810" b="3810"/>
            <wp:wrapNone/>
            <wp:docPr id="20983556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55655" name=""/>
                    <pic:cNvPicPr/>
                  </pic:nvPicPr>
                  <pic:blipFill>
                    <a:blip r:embed="rId10">
                      <a:extLst>
                        <a:ext uri="{28A0092B-C50C-407E-A947-70E740481C1C}">
                          <a14:useLocalDpi xmlns:a14="http://schemas.microsoft.com/office/drawing/2010/main" val="0"/>
                        </a:ext>
                      </a:extLst>
                    </a:blip>
                    <a:stretch>
                      <a:fillRect/>
                    </a:stretch>
                  </pic:blipFill>
                  <pic:spPr>
                    <a:xfrm>
                      <a:off x="0" y="0"/>
                      <a:ext cx="3044824" cy="974613"/>
                    </a:xfrm>
                    <a:prstGeom prst="rect">
                      <a:avLst/>
                    </a:prstGeom>
                  </pic:spPr>
                </pic:pic>
              </a:graphicData>
            </a:graphic>
            <wp14:sizeRelH relativeFrom="page">
              <wp14:pctWidth>0</wp14:pctWidth>
            </wp14:sizeRelH>
            <wp14:sizeRelV relativeFrom="page">
              <wp14:pctHeight>0</wp14:pctHeight>
            </wp14:sizeRelV>
          </wp:anchor>
        </w:drawing>
      </w:r>
      <w:r w:rsidR="00426483" w:rsidRPr="000876F8">
        <w:rPr>
          <w:rFonts w:ascii="Verdana" w:hAnsi="Verdana"/>
        </w:rPr>
        <w:t xml:space="preserve">Bogotá D.C., </w:t>
      </w:r>
      <w:r w:rsidR="00C24815">
        <w:rPr>
          <w:rFonts w:ascii="Verdana" w:hAnsi="Verdana"/>
        </w:rPr>
        <w:t>20 de noviembre de 2024.</w:t>
      </w:r>
    </w:p>
    <w:p w14:paraId="496D02CD" w14:textId="654BC75D" w:rsidR="00426483" w:rsidRPr="000876F8" w:rsidRDefault="00426483" w:rsidP="00C24815">
      <w:pPr>
        <w:spacing w:after="0" w:line="240" w:lineRule="auto"/>
        <w:jc w:val="right"/>
        <w:rPr>
          <w:rFonts w:ascii="Verdana" w:hAnsi="Verdana"/>
        </w:rPr>
      </w:pPr>
    </w:p>
    <w:p w14:paraId="76114617" w14:textId="77777777" w:rsidR="00426483" w:rsidRPr="000876F8" w:rsidRDefault="00426483" w:rsidP="00426483">
      <w:pPr>
        <w:spacing w:after="0" w:line="240" w:lineRule="auto"/>
        <w:jc w:val="both"/>
        <w:rPr>
          <w:rFonts w:ascii="Verdana" w:eastAsia="Calibri" w:hAnsi="Verdana" w:cs="Arial"/>
          <w:lang w:val="es-ES" w:eastAsia="es-ES"/>
        </w:rPr>
      </w:pPr>
      <w:r w:rsidRPr="000876F8">
        <w:rPr>
          <w:rFonts w:ascii="Verdana" w:eastAsia="Calibri" w:hAnsi="Verdana" w:cs="Arial"/>
          <w:lang w:val="es-ES" w:eastAsia="es-ES"/>
        </w:rPr>
        <w:t>Señor</w:t>
      </w:r>
    </w:p>
    <w:p w14:paraId="0FBAD579" w14:textId="5A7CF22F" w:rsidR="00426483" w:rsidRPr="000876F8" w:rsidRDefault="00426483" w:rsidP="00426483">
      <w:pPr>
        <w:spacing w:after="0" w:line="240" w:lineRule="auto"/>
        <w:rPr>
          <w:rFonts w:ascii="Verdana" w:eastAsia="Calibri" w:hAnsi="Verdana" w:cs="Arial"/>
          <w:bCs/>
          <w:lang w:eastAsia="es-ES_tradnl"/>
        </w:rPr>
      </w:pPr>
      <w:r w:rsidRPr="000876F8">
        <w:rPr>
          <w:rFonts w:ascii="Verdana" w:eastAsia="Calibri" w:hAnsi="Verdana" w:cs="Arial"/>
          <w:b/>
          <w:lang w:eastAsia="es-ES_tradnl"/>
        </w:rPr>
        <w:t xml:space="preserve">Carlos Alfonso Vidal </w:t>
      </w:r>
      <w:r w:rsidR="00503F0F" w:rsidRPr="000876F8">
        <w:rPr>
          <w:rFonts w:ascii="Verdana" w:eastAsia="Calibri" w:hAnsi="Verdana" w:cs="Arial"/>
          <w:b/>
          <w:lang w:eastAsia="es-ES_tradnl"/>
        </w:rPr>
        <w:t>Buendía</w:t>
      </w:r>
      <w:r w:rsidRPr="000876F8">
        <w:rPr>
          <w:rFonts w:ascii="Verdana" w:eastAsia="Calibri" w:hAnsi="Verdana" w:cs="Arial"/>
          <w:b/>
          <w:lang w:eastAsia="es-ES_tradnl"/>
        </w:rPr>
        <w:cr/>
      </w:r>
      <w:r w:rsidRPr="000876F8">
        <w:rPr>
          <w:rFonts w:ascii="Verdana" w:eastAsia="Calibri" w:hAnsi="Verdana" w:cs="Arial"/>
          <w:bCs/>
          <w:lang w:eastAsia="es-ES_tradnl"/>
        </w:rPr>
        <w:t>Cali, Valle del Cauca</w:t>
      </w:r>
    </w:p>
    <w:p w14:paraId="0D9C32D7" w14:textId="77777777" w:rsidR="00426483" w:rsidRPr="000876F8" w:rsidRDefault="00426483" w:rsidP="00426483">
      <w:pPr>
        <w:spacing w:after="0" w:line="240" w:lineRule="auto"/>
        <w:rPr>
          <w:rFonts w:ascii="Verdana" w:eastAsia="Calibri" w:hAnsi="Verdana" w:cs="Arial"/>
          <w:bCs/>
          <w:lang w:eastAsia="es-ES_tradnl"/>
        </w:rPr>
      </w:pPr>
    </w:p>
    <w:p w14:paraId="3C571834" w14:textId="77777777" w:rsidR="00426483" w:rsidRPr="000876F8" w:rsidRDefault="00426483" w:rsidP="00B34264">
      <w:pPr>
        <w:spacing w:after="0" w:line="240" w:lineRule="auto"/>
        <w:jc w:val="center"/>
        <w:rPr>
          <w:rFonts w:ascii="Verdana" w:eastAsia="Calibri" w:hAnsi="Verdana" w:cs="Arial"/>
          <w:bCs/>
          <w:lang w:eastAsia="es-ES_tradnl"/>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26483" w:rsidRPr="000876F8" w14:paraId="4A395242" w14:textId="77777777" w:rsidTr="001E7488">
        <w:trPr>
          <w:trHeight w:val="407"/>
        </w:trPr>
        <w:tc>
          <w:tcPr>
            <w:tcW w:w="2689" w:type="dxa"/>
          </w:tcPr>
          <w:p w14:paraId="74486245" w14:textId="77777777" w:rsidR="00426483" w:rsidRPr="000876F8" w:rsidRDefault="00426483" w:rsidP="001E7488">
            <w:pPr>
              <w:jc w:val="both"/>
              <w:rPr>
                <w:rFonts w:ascii="Verdana" w:eastAsia="Calibri" w:hAnsi="Verdana" w:cs="Arial"/>
                <w:b/>
                <w:bCs/>
                <w:lang w:val="es-ES_tradnl" w:eastAsia="es-ES_tradnl"/>
              </w:rPr>
            </w:pPr>
          </w:p>
        </w:tc>
        <w:tc>
          <w:tcPr>
            <w:tcW w:w="6100" w:type="dxa"/>
          </w:tcPr>
          <w:p w14:paraId="17EEFA0A" w14:textId="77777777" w:rsidR="00426483" w:rsidRPr="000876F8" w:rsidRDefault="00426483" w:rsidP="001E7488">
            <w:pPr>
              <w:jc w:val="both"/>
              <w:rPr>
                <w:rFonts w:ascii="Verdana" w:eastAsia="Calibri" w:hAnsi="Verdana" w:cs="Arial"/>
                <w:b/>
                <w:bCs/>
                <w:lang w:val="es-ES" w:eastAsia="es-ES"/>
              </w:rPr>
            </w:pPr>
            <w:r w:rsidRPr="000876F8">
              <w:rPr>
                <w:rFonts w:ascii="Verdana" w:eastAsia="Calibri" w:hAnsi="Verdana" w:cs="Arial"/>
                <w:b/>
                <w:bCs/>
                <w:lang w:val="es-ES" w:eastAsia="es-ES"/>
              </w:rPr>
              <w:t>Concepto C-697 de 2024</w:t>
            </w:r>
          </w:p>
          <w:p w14:paraId="45FB069B" w14:textId="77777777" w:rsidR="00426483" w:rsidRPr="000876F8" w:rsidRDefault="00426483" w:rsidP="001E7488">
            <w:pPr>
              <w:jc w:val="both"/>
              <w:rPr>
                <w:rFonts w:ascii="Verdana" w:eastAsia="Calibri" w:hAnsi="Verdana" w:cs="Arial"/>
                <w:b/>
                <w:bCs/>
                <w:lang w:val="es-ES" w:eastAsia="es-ES"/>
              </w:rPr>
            </w:pPr>
          </w:p>
        </w:tc>
      </w:tr>
      <w:tr w:rsidR="00426483" w:rsidRPr="000876F8" w14:paraId="3B857A0E" w14:textId="77777777" w:rsidTr="001E7488">
        <w:trPr>
          <w:trHeight w:val="884"/>
        </w:trPr>
        <w:tc>
          <w:tcPr>
            <w:tcW w:w="2689" w:type="dxa"/>
          </w:tcPr>
          <w:p w14:paraId="141581AD" w14:textId="77777777" w:rsidR="00426483" w:rsidRPr="000876F8" w:rsidRDefault="00426483" w:rsidP="001E7488">
            <w:pPr>
              <w:jc w:val="both"/>
              <w:rPr>
                <w:rFonts w:ascii="Verdana" w:eastAsia="Calibri" w:hAnsi="Verdana" w:cs="Arial"/>
                <w:lang w:val="es-ES_tradnl" w:eastAsia="es-ES_tradnl"/>
              </w:rPr>
            </w:pPr>
            <w:r w:rsidRPr="000876F8">
              <w:rPr>
                <w:rFonts w:ascii="Verdana" w:eastAsia="Calibri" w:hAnsi="Verdana" w:cs="Arial"/>
                <w:b/>
                <w:lang w:val="es-ES_tradnl" w:eastAsia="es-ES_tradnl"/>
              </w:rPr>
              <w:t>Temas:</w:t>
            </w:r>
            <w:r w:rsidRPr="000876F8">
              <w:rPr>
                <w:rFonts w:ascii="Verdana" w:eastAsia="Calibri" w:hAnsi="Verdana" w:cs="Arial"/>
                <w:lang w:val="es-ES_tradnl" w:eastAsia="es-ES_tradnl"/>
              </w:rPr>
              <w:t xml:space="preserve">                   </w:t>
            </w:r>
          </w:p>
        </w:tc>
        <w:tc>
          <w:tcPr>
            <w:tcW w:w="6100" w:type="dxa"/>
          </w:tcPr>
          <w:p w14:paraId="181C7935" w14:textId="77777777" w:rsidR="00426483" w:rsidRPr="000876F8" w:rsidRDefault="00426483" w:rsidP="00F943E8">
            <w:pPr>
              <w:spacing w:line="276" w:lineRule="auto"/>
              <w:jc w:val="both"/>
              <w:rPr>
                <w:rFonts w:ascii="Verdana" w:eastAsia="Calibri" w:hAnsi="Verdana" w:cs="Arial"/>
                <w:lang w:val="es-ES" w:eastAsia="es-ES"/>
              </w:rPr>
            </w:pPr>
            <w:r w:rsidRPr="000876F8">
              <w:rPr>
                <w:rFonts w:ascii="Verdana" w:eastAsia="Calibri" w:hAnsi="Verdana" w:cs="Arial"/>
                <w:bCs/>
              </w:rPr>
              <w:t xml:space="preserve">CONTRATOS Y CONVENIOS INTERADMINISTRATIVOS – Definición – Sujetos – Entidades Estatales – Entidades exceptuadas / </w:t>
            </w:r>
            <w:r w:rsidRPr="000876F8">
              <w:rPr>
                <w:rFonts w:ascii="Verdana" w:eastAsia="Times New Roman" w:hAnsi="Verdana" w:cs="Arial"/>
                <w:lang w:val="es-MX" w:eastAsia="es-ES_tradnl"/>
              </w:rPr>
              <w:t xml:space="preserve">CONTRATO Y CONVENIOS INTERADMINISTRATIVO – Modalidad de selección </w:t>
            </w:r>
            <w:r w:rsidRPr="000876F8">
              <w:rPr>
                <w:rFonts w:ascii="Verdana" w:eastAsia="Times New Roman" w:hAnsi="Verdana" w:cs="Arial"/>
                <w:bCs/>
                <w:lang w:val="es-MX" w:eastAsia="es-ES_tradnl"/>
              </w:rPr>
              <w:t>/</w:t>
            </w:r>
            <w:r w:rsidRPr="000876F8">
              <w:rPr>
                <w:rFonts w:ascii="Verdana" w:eastAsia="Times New Roman" w:hAnsi="Verdana" w:cs="Arial"/>
                <w:bCs/>
                <w:lang w:eastAsia="es-ES_tradnl"/>
              </w:rPr>
              <w:t xml:space="preserve"> </w:t>
            </w:r>
            <w:r w:rsidRPr="000876F8">
              <w:rPr>
                <w:rFonts w:ascii="Verdana" w:eastAsia="Times New Roman" w:hAnsi="Verdana" w:cs="Arial"/>
                <w:lang w:val="es-MX" w:eastAsia="es-ES_tradnl"/>
              </w:rPr>
              <w:t xml:space="preserve">CONTRATO INTERADMINISTRATIVO – Modalidad de selección – Excepciones </w:t>
            </w:r>
            <w:r w:rsidRPr="000876F8">
              <w:rPr>
                <w:rFonts w:ascii="Verdana" w:eastAsia="Calibri" w:hAnsi="Verdana" w:cs="Arial"/>
                <w:lang w:val="es-ES_tradnl"/>
              </w:rPr>
              <w:t>– Contrato de Obra</w:t>
            </w:r>
            <w:r w:rsidRPr="000876F8">
              <w:rPr>
                <w:rFonts w:ascii="Verdana" w:eastAsia="Calibri" w:hAnsi="Verdana" w:cs="Arial"/>
                <w:lang w:val="es-ES" w:eastAsia="es-ES"/>
              </w:rPr>
              <w:t xml:space="preserve"> / </w:t>
            </w:r>
            <w:r w:rsidRPr="000876F8">
              <w:rPr>
                <w:rFonts w:ascii="Verdana" w:eastAsia="Times New Roman" w:hAnsi="Verdana" w:cs="Arial"/>
                <w:lang w:val="es-MX" w:eastAsia="es-ES_tradnl"/>
              </w:rPr>
              <w:t>CONTRATO Y CONVENIOS INTERADMINISTRATIVO – Declaratoria de Incumplimiento</w:t>
            </w:r>
          </w:p>
          <w:p w14:paraId="176291F1" w14:textId="77777777" w:rsidR="00426483" w:rsidRPr="000876F8" w:rsidRDefault="00426483" w:rsidP="001E7488">
            <w:pPr>
              <w:jc w:val="both"/>
              <w:rPr>
                <w:rFonts w:ascii="Verdana" w:eastAsia="Calibri" w:hAnsi="Verdana" w:cs="Arial"/>
                <w:lang w:val="es-ES" w:eastAsia="es-ES"/>
              </w:rPr>
            </w:pPr>
          </w:p>
        </w:tc>
      </w:tr>
      <w:tr w:rsidR="00426483" w:rsidRPr="000876F8" w14:paraId="4F368EFD" w14:textId="77777777" w:rsidTr="001E7488">
        <w:tc>
          <w:tcPr>
            <w:tcW w:w="2689" w:type="dxa"/>
          </w:tcPr>
          <w:p w14:paraId="0AA84B13" w14:textId="77777777" w:rsidR="00426483" w:rsidRPr="000876F8" w:rsidRDefault="00426483" w:rsidP="001E7488">
            <w:pPr>
              <w:jc w:val="both"/>
              <w:rPr>
                <w:rFonts w:ascii="Verdana" w:eastAsia="Calibri" w:hAnsi="Verdana" w:cs="Arial"/>
                <w:b/>
                <w:lang w:val="es-ES_tradnl" w:eastAsia="es-ES_tradnl"/>
              </w:rPr>
            </w:pPr>
            <w:r w:rsidRPr="000876F8">
              <w:rPr>
                <w:rFonts w:ascii="Verdana" w:eastAsia="Calibri" w:hAnsi="Verdana" w:cs="Arial"/>
                <w:b/>
                <w:lang w:val="es-ES_tradnl" w:eastAsia="es-ES_tradnl"/>
              </w:rPr>
              <w:t>Radicación:</w:t>
            </w:r>
            <w:r w:rsidRPr="000876F8">
              <w:rPr>
                <w:rFonts w:ascii="Verdana" w:eastAsia="Calibri" w:hAnsi="Verdana" w:cs="Arial"/>
                <w:lang w:val="es-ES_tradnl" w:eastAsia="es-ES_tradnl"/>
              </w:rPr>
              <w:t xml:space="preserve">               </w:t>
            </w:r>
          </w:p>
        </w:tc>
        <w:tc>
          <w:tcPr>
            <w:tcW w:w="6100" w:type="dxa"/>
          </w:tcPr>
          <w:p w14:paraId="7554BF29" w14:textId="77777777" w:rsidR="00426483" w:rsidRPr="000876F8" w:rsidRDefault="00426483" w:rsidP="001E7488">
            <w:pPr>
              <w:jc w:val="both"/>
              <w:rPr>
                <w:rFonts w:ascii="Verdana" w:eastAsia="Calibri" w:hAnsi="Verdana" w:cs="Arial"/>
                <w:lang w:val="es-ES_tradnl" w:eastAsia="es-ES_tradnl"/>
              </w:rPr>
            </w:pPr>
            <w:r w:rsidRPr="000876F8">
              <w:rPr>
                <w:rFonts w:ascii="Verdana" w:eastAsia="Calibri" w:hAnsi="Verdana" w:cs="Arial"/>
                <w:lang w:val="es-ES_tradnl" w:eastAsia="es-ES_tradnl"/>
              </w:rPr>
              <w:t>Respuesta a consulta con radicado No.</w:t>
            </w:r>
            <w:r w:rsidRPr="000876F8">
              <w:rPr>
                <w:rFonts w:ascii="Verdana" w:hAnsi="Verdana"/>
              </w:rPr>
              <w:t xml:space="preserve"> </w:t>
            </w:r>
            <w:r w:rsidRPr="000876F8">
              <w:rPr>
                <w:rFonts w:ascii="Verdana" w:eastAsia="Calibri" w:hAnsi="Verdana" w:cs="Arial"/>
                <w:lang w:val="es-ES_tradnl" w:eastAsia="es-ES_tradnl"/>
              </w:rPr>
              <w:t>P20241004010130</w:t>
            </w:r>
          </w:p>
        </w:tc>
      </w:tr>
    </w:tbl>
    <w:p w14:paraId="7B186CED" w14:textId="77777777" w:rsidR="00426483" w:rsidRPr="000876F8" w:rsidRDefault="00426483" w:rsidP="00426483">
      <w:pPr>
        <w:spacing w:after="0" w:line="240" w:lineRule="auto"/>
        <w:jc w:val="both"/>
        <w:rPr>
          <w:rFonts w:ascii="Verdana" w:eastAsia="Calibri" w:hAnsi="Verdana" w:cs="Arial"/>
          <w:lang w:val="es-ES_tradnl" w:eastAsia="es-ES_tradnl"/>
        </w:rPr>
      </w:pPr>
    </w:p>
    <w:p w14:paraId="7317CB50" w14:textId="77777777" w:rsidR="00426483" w:rsidRPr="000876F8" w:rsidRDefault="00426483" w:rsidP="00426483">
      <w:pPr>
        <w:spacing w:after="0" w:line="240" w:lineRule="auto"/>
        <w:jc w:val="both"/>
        <w:rPr>
          <w:rFonts w:ascii="Verdana" w:eastAsia="Calibri" w:hAnsi="Verdana" w:cs="Arial"/>
          <w:lang w:val="es-ES_tradnl" w:eastAsia="es-ES_tradnl"/>
        </w:rPr>
      </w:pPr>
    </w:p>
    <w:p w14:paraId="72DFA8C8" w14:textId="5BCC5899" w:rsidR="00426483" w:rsidRPr="000876F8" w:rsidRDefault="00426483" w:rsidP="00426483">
      <w:pPr>
        <w:spacing w:after="0" w:line="276" w:lineRule="auto"/>
        <w:jc w:val="both"/>
        <w:rPr>
          <w:rFonts w:ascii="Verdana" w:eastAsia="Calibri" w:hAnsi="Verdana" w:cs="Arial"/>
          <w:lang w:val="es-ES" w:eastAsia="es-ES"/>
        </w:rPr>
      </w:pPr>
      <w:r w:rsidRPr="000876F8">
        <w:rPr>
          <w:rFonts w:ascii="Verdana" w:eastAsia="Calibri" w:hAnsi="Verdana" w:cs="Arial"/>
          <w:lang w:val="es-ES" w:eastAsia="es-ES"/>
        </w:rPr>
        <w:t xml:space="preserve">Estimado señor </w:t>
      </w:r>
      <w:r w:rsidR="00F14261">
        <w:rPr>
          <w:rFonts w:ascii="Verdana" w:eastAsia="Calibri" w:hAnsi="Verdana" w:cs="Arial"/>
          <w:lang w:val="es-ES" w:eastAsia="es-ES"/>
        </w:rPr>
        <w:t>Vidal</w:t>
      </w:r>
      <w:r w:rsidRPr="000876F8">
        <w:rPr>
          <w:rFonts w:ascii="Verdana" w:eastAsia="Calibri" w:hAnsi="Verdana" w:cs="Arial"/>
          <w:lang w:val="es-ES" w:eastAsia="es-ES"/>
        </w:rPr>
        <w:t xml:space="preserve">: </w:t>
      </w:r>
    </w:p>
    <w:p w14:paraId="095AF014" w14:textId="77777777" w:rsidR="00426483" w:rsidRPr="000876F8" w:rsidRDefault="00426483" w:rsidP="00426483">
      <w:pPr>
        <w:tabs>
          <w:tab w:val="left" w:pos="3768"/>
        </w:tabs>
        <w:spacing w:after="0" w:line="276" w:lineRule="auto"/>
        <w:jc w:val="both"/>
        <w:rPr>
          <w:rFonts w:ascii="Verdana" w:eastAsia="Calibri" w:hAnsi="Verdana" w:cs="Arial"/>
          <w:lang w:val="es-ES" w:eastAsia="es-ES"/>
        </w:rPr>
      </w:pPr>
      <w:r w:rsidRPr="000876F8">
        <w:rPr>
          <w:rFonts w:ascii="Verdana" w:eastAsia="Calibri" w:hAnsi="Verdana" w:cs="Arial"/>
          <w:lang w:val="es-ES" w:eastAsia="es-ES"/>
        </w:rPr>
        <w:tab/>
      </w:r>
    </w:p>
    <w:p w14:paraId="00B8E6A4" w14:textId="77777777" w:rsidR="00426483" w:rsidRPr="000876F8" w:rsidRDefault="00426483" w:rsidP="00426483">
      <w:pPr>
        <w:spacing w:after="0" w:line="276" w:lineRule="auto"/>
        <w:jc w:val="both"/>
        <w:rPr>
          <w:rFonts w:ascii="Verdana" w:eastAsia="Calibri" w:hAnsi="Verdana" w:cs="Arial"/>
          <w:lang w:val="es-ES" w:eastAsia="es-ES"/>
        </w:rPr>
      </w:pPr>
      <w:r w:rsidRPr="000876F8">
        <w:rPr>
          <w:rFonts w:ascii="Verdana" w:eastAsia="Calibri" w:hAnsi="Verdana" w:cs="Arial"/>
          <w:lang w:val="es-ES" w:eastAsia="es-ES"/>
        </w:rPr>
        <w:t>En ejercicio de la competencia otorgada por los artículos 3, numeral 5º, y 11, numeral 8º, del Decreto Ley 4170 de 2011,</w:t>
      </w:r>
      <w:r w:rsidRPr="000876F8">
        <w:rPr>
          <w:rFonts w:ascii="Verdana" w:eastAsia="Arial MT" w:hAnsi="Verdana" w:cs="Arial MT"/>
          <w:lang w:val="es-ES" w:eastAsia="es-ES"/>
        </w:rPr>
        <w:t xml:space="preserve"> </w:t>
      </w:r>
      <w:r w:rsidRPr="000876F8">
        <w:rPr>
          <w:rFonts w:ascii="Verdana" w:hAnsi="Verdana" w:cs="Arial"/>
        </w:rPr>
        <w:t xml:space="preserve">así como lo establecido en el artículo 4 de la Resolución 1707 de 2018 expedida por esta Entidad, </w:t>
      </w:r>
      <w:r w:rsidRPr="000876F8">
        <w:rPr>
          <w:rFonts w:ascii="Verdana" w:eastAsia="Calibri" w:hAnsi="Verdana" w:cs="Arial"/>
          <w:lang w:val="es-ES" w:eastAsia="es-ES"/>
        </w:rPr>
        <w:t xml:space="preserve">la Agencia Nacional de Contratación Pública – Colombia Compra Eficiente– responde su solicitud de consulta de fecha 4 de octubre de 2024, en la cual manifiesta lo siguiente: </w:t>
      </w:r>
    </w:p>
    <w:p w14:paraId="5074DDF8" w14:textId="77777777" w:rsidR="00426483" w:rsidRPr="000876F8" w:rsidRDefault="00426483" w:rsidP="00426483">
      <w:pPr>
        <w:pStyle w:val="ListParagraph"/>
        <w:tabs>
          <w:tab w:val="left" w:pos="142"/>
          <w:tab w:val="left" w:pos="284"/>
        </w:tabs>
        <w:spacing w:after="0" w:line="276" w:lineRule="auto"/>
        <w:ind w:left="0"/>
        <w:contextualSpacing w:val="0"/>
        <w:jc w:val="both"/>
        <w:rPr>
          <w:rFonts w:ascii="Verdana" w:eastAsia="Century Gothic" w:hAnsi="Verdana" w:cs="Century Gothic"/>
          <w:b/>
          <w:bCs/>
        </w:rPr>
      </w:pPr>
    </w:p>
    <w:p w14:paraId="2E745C5F" w14:textId="77777777" w:rsidR="00426483" w:rsidRPr="000876F8" w:rsidRDefault="00426483" w:rsidP="00426483">
      <w:pPr>
        <w:spacing w:after="0" w:line="240" w:lineRule="auto"/>
        <w:ind w:left="709" w:right="709"/>
        <w:jc w:val="both"/>
        <w:rPr>
          <w:rFonts w:ascii="Verdana" w:eastAsia="Century Gothic" w:hAnsi="Verdana" w:cs="Century Gothic"/>
          <w:sz w:val="20"/>
          <w:szCs w:val="20"/>
          <w:lang w:val="es-ES"/>
        </w:rPr>
      </w:pPr>
      <w:bookmarkStart w:id="1" w:name="_Hlk95313578"/>
      <w:r w:rsidRPr="000876F8">
        <w:rPr>
          <w:rFonts w:ascii="Verdana" w:eastAsia="Century Gothic" w:hAnsi="Verdana" w:cs="Century Gothic"/>
          <w:sz w:val="20"/>
          <w:szCs w:val="20"/>
          <w:lang w:val="es-ES"/>
        </w:rPr>
        <w:t xml:space="preserve">“conforme lo dispone el articulo 23 de la norma superior, sea este el espacio para que se me resuelva el siguiente interrogante: frente a un incumplimiento de las condiciones fijadas en un convenio interadministrativo de entre entidades estatales, es posible declarar el citado incumplimiento de manera unilateral en el </w:t>
      </w:r>
      <w:proofErr w:type="spellStart"/>
      <w:r w:rsidRPr="000876F8">
        <w:rPr>
          <w:rFonts w:ascii="Verdana" w:eastAsia="Century Gothic" w:hAnsi="Verdana" w:cs="Century Gothic"/>
          <w:sz w:val="20"/>
          <w:szCs w:val="20"/>
          <w:lang w:val="es-ES"/>
        </w:rPr>
        <w:t>tramite</w:t>
      </w:r>
      <w:proofErr w:type="spellEnd"/>
      <w:r w:rsidRPr="000876F8">
        <w:rPr>
          <w:rFonts w:ascii="Verdana" w:eastAsia="Century Gothic" w:hAnsi="Verdana" w:cs="Century Gothic"/>
          <w:sz w:val="20"/>
          <w:szCs w:val="20"/>
          <w:lang w:val="es-ES"/>
        </w:rPr>
        <w:t xml:space="preserve"> correspondiente y en consecuencia adelantar procesos de cobro persuasivo y coactivo.”</w:t>
      </w:r>
      <w:bookmarkEnd w:id="1"/>
      <w:r w:rsidRPr="000876F8">
        <w:rPr>
          <w:rFonts w:ascii="Verdana" w:eastAsia="Century Gothic" w:hAnsi="Verdana" w:cs="Century Gothic"/>
          <w:sz w:val="20"/>
          <w:szCs w:val="20"/>
          <w:lang w:val="es-ES"/>
        </w:rPr>
        <w:t>.</w:t>
      </w:r>
    </w:p>
    <w:p w14:paraId="41086F52" w14:textId="77777777" w:rsidR="00426483" w:rsidRPr="000876F8" w:rsidRDefault="00426483" w:rsidP="00426483">
      <w:pPr>
        <w:pStyle w:val="ListParagraph"/>
        <w:tabs>
          <w:tab w:val="left" w:pos="142"/>
          <w:tab w:val="left" w:pos="284"/>
        </w:tabs>
        <w:spacing w:after="0" w:line="276" w:lineRule="auto"/>
        <w:ind w:left="0"/>
        <w:contextualSpacing w:val="0"/>
        <w:jc w:val="both"/>
        <w:rPr>
          <w:rFonts w:ascii="Verdana" w:eastAsia="Century Gothic" w:hAnsi="Verdana" w:cs="Century Gothic"/>
          <w:b/>
          <w:bCs/>
        </w:rPr>
      </w:pPr>
    </w:p>
    <w:p w14:paraId="7BA36936" w14:textId="77777777" w:rsidR="00426483" w:rsidRPr="000876F8" w:rsidRDefault="00426483" w:rsidP="00426483">
      <w:pPr>
        <w:spacing w:after="120" w:line="276" w:lineRule="auto"/>
        <w:ind w:firstLine="708"/>
        <w:jc w:val="both"/>
        <w:rPr>
          <w:rFonts w:ascii="Verdana" w:eastAsia="Calibri" w:hAnsi="Verdana" w:cs="Arial"/>
          <w:lang w:val="es-ES_tradnl" w:eastAsia="es-ES_tradnl"/>
        </w:rPr>
      </w:pPr>
      <w:r w:rsidRPr="000876F8">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w:t>
      </w:r>
      <w:r w:rsidRPr="000876F8">
        <w:rPr>
          <w:rFonts w:ascii="Verdana" w:eastAsia="Calibri" w:hAnsi="Verdana" w:cs="Arial"/>
          <w:lang w:val="es-ES" w:eastAsia="es-ES"/>
        </w:rPr>
        <w:lastRenderedPageBreak/>
        <w:t xml:space="preserve">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0876F8">
        <w:rPr>
          <w:rFonts w:ascii="Verdana" w:eastAsia="Calibri" w:hAnsi="Verdana" w:cs="Arial"/>
          <w:lang w:val="es-ES_tradnl" w:eastAsia="es-ES_tradnl"/>
        </w:rPr>
        <w:tab/>
      </w:r>
    </w:p>
    <w:p w14:paraId="4708474F" w14:textId="1A642AA0" w:rsidR="00426483" w:rsidRPr="000876F8" w:rsidRDefault="00426483" w:rsidP="00426483">
      <w:pPr>
        <w:spacing w:after="0" w:line="276" w:lineRule="auto"/>
        <w:ind w:firstLine="708"/>
        <w:jc w:val="both"/>
        <w:rPr>
          <w:rFonts w:ascii="Verdana" w:eastAsia="Calibri" w:hAnsi="Verdana" w:cs="Arial"/>
          <w:lang w:val="es-ES" w:eastAsia="es-ES"/>
        </w:rPr>
      </w:pPr>
      <w:r w:rsidRPr="000876F8">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sidR="00584D41">
        <w:rPr>
          <w:rFonts w:ascii="Verdana" w:eastAsia="Calibri" w:hAnsi="Verdana" w:cs="Arial"/>
          <w:lang w:val="es-ES" w:eastAsia="es-ES"/>
        </w:rPr>
        <w:t>el</w:t>
      </w:r>
      <w:r w:rsidRPr="000876F8">
        <w:rPr>
          <w:rFonts w:ascii="Verdana" w:eastAsia="Calibri" w:hAnsi="Verdana" w:cs="Arial"/>
          <w:lang w:val="es-ES" w:eastAsia="es-ES"/>
        </w:rPr>
        <w:t xml:space="preserve"> problema jurídico de su consulta. </w:t>
      </w:r>
    </w:p>
    <w:p w14:paraId="23A483EF" w14:textId="77777777" w:rsidR="00426483" w:rsidRPr="000876F8" w:rsidRDefault="00426483" w:rsidP="00426483">
      <w:pPr>
        <w:spacing w:after="0" w:line="276" w:lineRule="auto"/>
        <w:ind w:firstLine="709"/>
        <w:jc w:val="both"/>
        <w:rPr>
          <w:rFonts w:ascii="Verdana" w:eastAsia="Calibri" w:hAnsi="Verdana" w:cs="Arial"/>
          <w:lang w:val="es-ES" w:eastAsia="es-ES"/>
        </w:rPr>
      </w:pPr>
    </w:p>
    <w:p w14:paraId="79662051" w14:textId="77777777" w:rsidR="00426483" w:rsidRPr="000876F8" w:rsidRDefault="00426483" w:rsidP="00426483">
      <w:pPr>
        <w:pStyle w:val="ListParagraph"/>
        <w:numPr>
          <w:ilvl w:val="0"/>
          <w:numId w:val="16"/>
        </w:numPr>
        <w:tabs>
          <w:tab w:val="left" w:pos="142"/>
          <w:tab w:val="left" w:pos="284"/>
        </w:tabs>
        <w:spacing w:after="0" w:line="276" w:lineRule="auto"/>
        <w:contextualSpacing w:val="0"/>
        <w:jc w:val="both"/>
        <w:rPr>
          <w:rFonts w:ascii="Verdana" w:eastAsia="Century Gothic" w:hAnsi="Verdana" w:cs="Century Gothic"/>
          <w:b/>
          <w:bCs/>
        </w:rPr>
      </w:pPr>
      <w:r w:rsidRPr="000876F8">
        <w:rPr>
          <w:rFonts w:ascii="Verdana" w:eastAsia="Century Gothic" w:hAnsi="Verdana" w:cs="Century Gothic"/>
          <w:b/>
          <w:bCs/>
        </w:rPr>
        <w:t>Problema planteado:</w:t>
      </w:r>
    </w:p>
    <w:p w14:paraId="5DF2C1FA" w14:textId="77777777" w:rsidR="00426483" w:rsidRPr="000876F8" w:rsidRDefault="00426483" w:rsidP="00426483">
      <w:pPr>
        <w:tabs>
          <w:tab w:val="left" w:pos="426"/>
        </w:tabs>
        <w:spacing w:after="0" w:line="276" w:lineRule="auto"/>
        <w:jc w:val="both"/>
        <w:rPr>
          <w:rFonts w:ascii="Verdana" w:eastAsia="Century Gothic" w:hAnsi="Verdana" w:cs="Century Gothic"/>
          <w:lang w:val="es-ES"/>
        </w:rPr>
      </w:pPr>
    </w:p>
    <w:p w14:paraId="45088C15" w14:textId="71050E1D" w:rsidR="00426483" w:rsidRPr="000876F8" w:rsidRDefault="00426483" w:rsidP="00426483">
      <w:pPr>
        <w:spacing w:after="0" w:line="276" w:lineRule="auto"/>
        <w:jc w:val="both"/>
        <w:rPr>
          <w:rFonts w:ascii="Verdana" w:eastAsia="Century Gothic" w:hAnsi="Verdana" w:cs="Century Gothic"/>
        </w:rPr>
      </w:pPr>
      <w:r w:rsidRPr="000876F8">
        <w:rPr>
          <w:rFonts w:ascii="Verdana" w:eastAsia="Century Gothic" w:hAnsi="Verdana" w:cs="Century Gothic"/>
        </w:rPr>
        <w:t xml:space="preserve">De acuerdo con el contenido de su solicitud, esta Agencia resolverá </w:t>
      </w:r>
      <w:r w:rsidR="00584D41">
        <w:rPr>
          <w:rFonts w:ascii="Verdana" w:eastAsia="Century Gothic" w:hAnsi="Verdana" w:cs="Century Gothic"/>
        </w:rPr>
        <w:t>e</w:t>
      </w:r>
      <w:r w:rsidRPr="000876F8">
        <w:rPr>
          <w:rFonts w:ascii="Verdana" w:eastAsia="Century Gothic" w:hAnsi="Verdana" w:cs="Century Gothic"/>
        </w:rPr>
        <w:t>l siguiente</w:t>
      </w:r>
      <w:r w:rsidR="00584D41">
        <w:rPr>
          <w:rFonts w:ascii="Verdana" w:eastAsia="Century Gothic" w:hAnsi="Verdana" w:cs="Century Gothic"/>
        </w:rPr>
        <w:t xml:space="preserve"> </w:t>
      </w:r>
      <w:r w:rsidRPr="000876F8">
        <w:rPr>
          <w:rFonts w:ascii="Verdana" w:eastAsia="Century Gothic" w:hAnsi="Verdana" w:cs="Century Gothic"/>
        </w:rPr>
        <w:t xml:space="preserve">problema jurídico: </w:t>
      </w:r>
      <w:r>
        <w:rPr>
          <w:rFonts w:ascii="Verdana" w:eastAsia="Century Gothic" w:hAnsi="Verdana" w:cs="Century Gothic"/>
        </w:rPr>
        <w:t xml:space="preserve">¿Es posible declarar </w:t>
      </w:r>
      <w:r>
        <w:rPr>
          <w:rFonts w:ascii="Verdana" w:eastAsia="Century Gothic" w:hAnsi="Verdana" w:cs="Century Gothic"/>
          <w:lang w:val="es-ES"/>
        </w:rPr>
        <w:t>el</w:t>
      </w:r>
      <w:r w:rsidRPr="000876F8">
        <w:rPr>
          <w:rFonts w:ascii="Verdana" w:eastAsia="Century Gothic" w:hAnsi="Verdana" w:cs="Century Gothic"/>
          <w:lang w:val="es-ES"/>
        </w:rPr>
        <w:t xml:space="preserve"> incumplimiento </w:t>
      </w:r>
      <w:r>
        <w:rPr>
          <w:rFonts w:ascii="Verdana" w:eastAsia="Century Gothic" w:hAnsi="Verdana" w:cs="Century Gothic"/>
          <w:lang w:val="es-ES"/>
        </w:rPr>
        <w:t xml:space="preserve">en el marco de un convenio o contrato </w:t>
      </w:r>
      <w:r w:rsidRPr="000876F8">
        <w:rPr>
          <w:rFonts w:ascii="Verdana" w:eastAsia="Century Gothic" w:hAnsi="Verdana" w:cs="Century Gothic"/>
          <w:lang w:val="es-ES"/>
        </w:rPr>
        <w:t xml:space="preserve">interadministrativo de entre </w:t>
      </w:r>
      <w:r w:rsidR="00C25BCF" w:rsidRPr="000876F8">
        <w:rPr>
          <w:rFonts w:ascii="Verdana" w:eastAsia="Century Gothic" w:hAnsi="Verdana" w:cs="Century Gothic"/>
          <w:lang w:val="es-ES"/>
        </w:rPr>
        <w:t>Entidades Estatales</w:t>
      </w:r>
      <w:r>
        <w:rPr>
          <w:rFonts w:ascii="Verdana" w:eastAsia="Century Gothic" w:hAnsi="Verdana" w:cs="Century Gothic"/>
          <w:lang w:val="es-ES"/>
        </w:rPr>
        <w:t>?</w:t>
      </w:r>
    </w:p>
    <w:p w14:paraId="73F2C98F" w14:textId="77777777" w:rsidR="00426483" w:rsidRPr="000876F8" w:rsidRDefault="00426483" w:rsidP="00426483">
      <w:pPr>
        <w:spacing w:after="0" w:line="276" w:lineRule="auto"/>
        <w:jc w:val="both"/>
        <w:rPr>
          <w:rFonts w:ascii="Verdana" w:eastAsia="Calibri" w:hAnsi="Verdana" w:cs="Arial"/>
        </w:rPr>
      </w:pPr>
    </w:p>
    <w:p w14:paraId="442B5B2D" w14:textId="77777777" w:rsidR="00426483" w:rsidRPr="000876F8" w:rsidRDefault="00426483" w:rsidP="00426483">
      <w:pPr>
        <w:pStyle w:val="ListParagraph"/>
        <w:numPr>
          <w:ilvl w:val="0"/>
          <w:numId w:val="16"/>
        </w:numPr>
        <w:tabs>
          <w:tab w:val="left" w:pos="142"/>
          <w:tab w:val="left" w:pos="284"/>
        </w:tabs>
        <w:spacing w:after="0" w:line="276" w:lineRule="auto"/>
        <w:contextualSpacing w:val="0"/>
        <w:jc w:val="both"/>
        <w:rPr>
          <w:rFonts w:ascii="Verdana" w:eastAsia="Century Gothic" w:hAnsi="Verdana" w:cs="Century Gothic"/>
          <w:b/>
          <w:bCs/>
        </w:rPr>
      </w:pPr>
      <w:r w:rsidRPr="000876F8">
        <w:rPr>
          <w:rFonts w:ascii="Verdana" w:eastAsia="Century Gothic" w:hAnsi="Verdana" w:cs="Century Gothic"/>
          <w:b/>
          <w:bCs/>
        </w:rPr>
        <w:t>Respuesta:</w:t>
      </w:r>
    </w:p>
    <w:p w14:paraId="4E559A4C" w14:textId="77777777" w:rsidR="00426483" w:rsidRPr="000876F8" w:rsidRDefault="00426483" w:rsidP="00426483">
      <w:pPr>
        <w:tabs>
          <w:tab w:val="left" w:pos="142"/>
          <w:tab w:val="left" w:pos="284"/>
        </w:tabs>
        <w:spacing w:after="0" w:line="276" w:lineRule="auto"/>
        <w:jc w:val="both"/>
        <w:rPr>
          <w:rFonts w:ascii="Verdana" w:eastAsia="Century Gothic" w:hAnsi="Verdana" w:cs="Century Gothic"/>
          <w:b/>
          <w:bCs/>
          <w:lang w:val="es-ES"/>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26483" w:rsidRPr="000876F8" w14:paraId="1475696C" w14:textId="77777777" w:rsidTr="001E7488">
        <w:tc>
          <w:tcPr>
            <w:tcW w:w="8828" w:type="dxa"/>
            <w:shd w:val="clear" w:color="auto" w:fill="auto"/>
          </w:tcPr>
          <w:p w14:paraId="450D445A" w14:textId="3A8BF768" w:rsidR="00426483" w:rsidRPr="000876F8" w:rsidRDefault="00426483" w:rsidP="001E7488">
            <w:pPr>
              <w:spacing w:line="276" w:lineRule="auto"/>
              <w:jc w:val="both"/>
              <w:rPr>
                <w:rFonts w:ascii="Verdana" w:hAnsi="Verdana" w:cs="Arial"/>
                <w:bCs/>
              </w:rPr>
            </w:pPr>
            <w:r w:rsidRPr="000876F8">
              <w:rPr>
                <w:rFonts w:ascii="Verdana" w:hAnsi="Verdana" w:cs="Arial"/>
                <w:bCs/>
              </w:rPr>
              <w:t xml:space="preserve">En respuesta al interrogante planteado, la Subdirección de Gestión Contractual manifiesta que las competencias unilaterales de la Administración para imponer las multas, hacer efectiva la cláusula penal y declarar el siniestro del incumplimiento para hacer el cobro de las garantías constituidas a su favor, se ejercen, según el caso, evidenciado un posible incumplimiento de un contrato estatal, incluidos los contratos interadministrativos y frente a cualquier contratista colaborador de la Administración sin importar si es particular o </w:t>
            </w:r>
            <w:r w:rsidR="00E50137" w:rsidRPr="000876F8">
              <w:rPr>
                <w:rFonts w:ascii="Verdana" w:hAnsi="Verdana" w:cs="Arial"/>
                <w:bCs/>
              </w:rPr>
              <w:t xml:space="preserve">Entidad Estatal </w:t>
            </w:r>
            <w:r w:rsidRPr="000876F8">
              <w:rPr>
                <w:rFonts w:ascii="Verdana" w:hAnsi="Verdana" w:cs="Arial"/>
                <w:bCs/>
              </w:rPr>
              <w:t>contratista.</w:t>
            </w:r>
          </w:p>
          <w:p w14:paraId="29041C5E" w14:textId="77777777" w:rsidR="00426483" w:rsidRPr="000876F8" w:rsidRDefault="00426483" w:rsidP="001E7488">
            <w:pPr>
              <w:spacing w:line="276" w:lineRule="auto"/>
              <w:jc w:val="both"/>
              <w:rPr>
                <w:rFonts w:ascii="Verdana" w:hAnsi="Verdana" w:cs="Arial"/>
                <w:bCs/>
              </w:rPr>
            </w:pPr>
          </w:p>
          <w:p w14:paraId="1DC11CAA" w14:textId="77777777" w:rsidR="00426483" w:rsidRPr="000876F8" w:rsidRDefault="00426483" w:rsidP="001E7488">
            <w:pPr>
              <w:spacing w:line="276" w:lineRule="auto"/>
              <w:jc w:val="both"/>
              <w:rPr>
                <w:rFonts w:ascii="Verdana" w:hAnsi="Verdana" w:cs="Arial"/>
                <w:bCs/>
              </w:rPr>
            </w:pPr>
            <w:r w:rsidRPr="000876F8">
              <w:rPr>
                <w:rFonts w:ascii="Verdana" w:hAnsi="Verdana" w:cs="Arial"/>
                <w:bCs/>
              </w:rPr>
              <w:t xml:space="preserve">Ahora bien, tratándose de los convenios interadministrativos no es procedente ejercer la competencia unilateral de la Administración para la imposición de multas, sanciones y declaratorias de incumplimiento. </w:t>
            </w:r>
            <w:r>
              <w:rPr>
                <w:rFonts w:ascii="Verdana" w:hAnsi="Verdana" w:cs="Arial"/>
                <w:bCs/>
              </w:rPr>
              <w:t xml:space="preserve">Lo anterior, exceptuándose </w:t>
            </w:r>
            <w:r w:rsidRPr="000876F8">
              <w:rPr>
                <w:rFonts w:ascii="Verdana" w:hAnsi="Verdana" w:cs="Arial"/>
                <w:bCs/>
              </w:rPr>
              <w:t xml:space="preserve">el caso de los “convenios interadministrativos” que comporten el pago de una remuneración, es decir, que su objeto tenga obligaciones de </w:t>
            </w:r>
            <w:r w:rsidRPr="000876F8">
              <w:rPr>
                <w:rFonts w:ascii="Verdana" w:hAnsi="Verdana" w:cs="Arial"/>
                <w:bCs/>
              </w:rPr>
              <w:lastRenderedPageBreak/>
              <w:t>contenido patrimonial, los cuales se someterán al mismo régimen de los contratos interadministrativos.</w:t>
            </w:r>
          </w:p>
        </w:tc>
      </w:tr>
    </w:tbl>
    <w:p w14:paraId="775A0888" w14:textId="77777777" w:rsidR="00426483" w:rsidRPr="000876F8" w:rsidRDefault="00426483" w:rsidP="00426483">
      <w:pPr>
        <w:tabs>
          <w:tab w:val="left" w:pos="142"/>
          <w:tab w:val="left" w:pos="284"/>
        </w:tabs>
        <w:spacing w:after="0" w:line="276" w:lineRule="auto"/>
        <w:jc w:val="both"/>
        <w:rPr>
          <w:rFonts w:ascii="Verdana" w:eastAsia="Century Gothic" w:hAnsi="Verdana" w:cs="Century Gothic"/>
          <w:b/>
          <w:bCs/>
          <w:lang w:val="es-ES"/>
        </w:rPr>
      </w:pPr>
    </w:p>
    <w:p w14:paraId="5406415E" w14:textId="77777777" w:rsidR="00426483" w:rsidRPr="000876F8" w:rsidRDefault="00426483" w:rsidP="00426483">
      <w:pPr>
        <w:pStyle w:val="ListParagraph"/>
        <w:numPr>
          <w:ilvl w:val="0"/>
          <w:numId w:val="16"/>
        </w:numPr>
        <w:tabs>
          <w:tab w:val="left" w:pos="142"/>
          <w:tab w:val="left" w:pos="284"/>
        </w:tabs>
        <w:spacing w:after="0" w:line="276" w:lineRule="auto"/>
        <w:contextualSpacing w:val="0"/>
        <w:jc w:val="both"/>
        <w:rPr>
          <w:rFonts w:ascii="Verdana" w:eastAsia="Century Gothic" w:hAnsi="Verdana" w:cs="Century Gothic"/>
          <w:b/>
          <w:bCs/>
        </w:rPr>
      </w:pPr>
      <w:r w:rsidRPr="000876F8">
        <w:rPr>
          <w:rFonts w:ascii="Verdana" w:eastAsia="Century Gothic" w:hAnsi="Verdana" w:cs="Century Gothic"/>
          <w:b/>
          <w:bCs/>
        </w:rPr>
        <w:t>Razones de la respuesta:</w:t>
      </w:r>
    </w:p>
    <w:p w14:paraId="0F0685A6" w14:textId="77777777" w:rsidR="00426483" w:rsidRPr="000876F8" w:rsidRDefault="00426483" w:rsidP="00426483">
      <w:pPr>
        <w:spacing w:after="0" w:line="276" w:lineRule="auto"/>
        <w:jc w:val="both"/>
        <w:rPr>
          <w:rFonts w:ascii="Verdana" w:eastAsia="Calibri" w:hAnsi="Verdana" w:cs="Arial"/>
          <w:lang w:val="es-ES"/>
        </w:rPr>
      </w:pPr>
    </w:p>
    <w:p w14:paraId="0841E442" w14:textId="77777777" w:rsidR="00426483" w:rsidRPr="000876F8" w:rsidRDefault="00426483" w:rsidP="00426483">
      <w:pPr>
        <w:spacing w:after="0" w:line="276" w:lineRule="auto"/>
        <w:jc w:val="both"/>
        <w:rPr>
          <w:rFonts w:ascii="Verdana" w:eastAsia="Calibri" w:hAnsi="Verdana" w:cs="Arial"/>
          <w:lang w:val="es-ES"/>
        </w:rPr>
      </w:pPr>
      <w:r w:rsidRPr="000876F8">
        <w:rPr>
          <w:rFonts w:ascii="Verdana" w:eastAsia="Calibri" w:hAnsi="Verdana" w:cs="Arial"/>
          <w:lang w:val="es-ES"/>
        </w:rPr>
        <w:t xml:space="preserve">Lo anterior se sustenta en las siguientes consideraciones: </w:t>
      </w:r>
    </w:p>
    <w:p w14:paraId="62DE7F3B" w14:textId="77777777" w:rsidR="00426483" w:rsidRPr="000876F8" w:rsidRDefault="00426483" w:rsidP="00426483">
      <w:pPr>
        <w:spacing w:after="0" w:line="276" w:lineRule="auto"/>
        <w:jc w:val="both"/>
        <w:rPr>
          <w:rFonts w:ascii="Verdana" w:eastAsia="Calibri" w:hAnsi="Verdana" w:cs="Arial"/>
          <w:lang w:val="es-ES"/>
        </w:rPr>
      </w:pPr>
    </w:p>
    <w:p w14:paraId="0CC3F0AD" w14:textId="77777777" w:rsidR="00426483" w:rsidRPr="000876F8" w:rsidRDefault="00426483" w:rsidP="00426483">
      <w:pPr>
        <w:spacing w:after="120" w:line="276" w:lineRule="auto"/>
        <w:jc w:val="both"/>
        <w:rPr>
          <w:rFonts w:ascii="Verdana" w:eastAsia="Calibri" w:hAnsi="Verdana" w:cs="Arial"/>
          <w:color w:val="000000" w:themeColor="text1"/>
        </w:rPr>
      </w:pPr>
      <w:r w:rsidRPr="000876F8">
        <w:rPr>
          <w:rFonts w:ascii="Verdana" w:eastAsia="Calibri" w:hAnsi="Verdana" w:cs="Arial"/>
          <w:color w:val="000000" w:themeColor="text1"/>
        </w:rPr>
        <w:t>Sobre la tipología de convenio o contrato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0876F8">
        <w:rPr>
          <w:rStyle w:val="FootnoteReference"/>
          <w:rFonts w:ascii="Verdana" w:eastAsia="Calibri" w:hAnsi="Verdana" w:cs="Arial"/>
          <w:color w:val="000000" w:themeColor="text1"/>
        </w:rPr>
        <w:footnoteReference w:id="2"/>
      </w:r>
      <w:r w:rsidRPr="000876F8">
        <w:rPr>
          <w:rFonts w:ascii="Verdana" w:eastAsia="Calibri" w:hAnsi="Verdana" w:cs="Arial"/>
          <w:color w:val="000000" w:themeColor="text1"/>
        </w:rPr>
        <w:t>.</w:t>
      </w:r>
      <w:r w:rsidRPr="000876F8">
        <w:rPr>
          <w:rFonts w:ascii="Verdana" w:hAnsi="Verdana" w:cs="Arial"/>
          <w:color w:val="000000" w:themeColor="text1"/>
        </w:rPr>
        <w:t xml:space="preserve"> </w:t>
      </w:r>
      <w:r w:rsidRPr="000876F8">
        <w:rPr>
          <w:rFonts w:ascii="Verdana" w:eastAsia="Calibri" w:hAnsi="Verdana" w:cs="Arial"/>
          <w:color w:val="000000" w:themeColor="text1"/>
        </w:rPr>
        <w:t>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con competencia para celebrar contratos.</w:t>
      </w:r>
    </w:p>
    <w:p w14:paraId="53F4C216" w14:textId="215E7451" w:rsidR="00426483" w:rsidRPr="000876F8" w:rsidRDefault="00426483" w:rsidP="00426483">
      <w:pPr>
        <w:spacing w:after="120" w:line="276" w:lineRule="auto"/>
        <w:ind w:firstLine="709"/>
        <w:jc w:val="both"/>
        <w:rPr>
          <w:rFonts w:ascii="Verdana" w:hAnsi="Verdana" w:cs="Arial"/>
          <w:color w:val="000000" w:themeColor="text1"/>
          <w:lang w:val="es-ES_tradnl"/>
        </w:rPr>
      </w:pPr>
      <w:r w:rsidRPr="000876F8">
        <w:rPr>
          <w:rFonts w:ascii="Verdana" w:eastAsia="Calibri" w:hAnsi="Verdana" w:cs="Arial"/>
          <w:color w:val="000000" w:themeColor="text1"/>
          <w:lang w:val="es-ES_tradnl"/>
        </w:rPr>
        <w:t>Si bien los contratos o convenios interadministrativos están previstos en la Ley 80 de 1993, en la Ley 1150 de 2007 y en el Decreto 1082 de 2015, no quiere decir que solo puedan celebrarse entre Entidades Estatales que apliquen el régimen de contratación allí previsto. En efecto, una Entidad Estatal de la Ley 80 de 1993 bien puede celebrar esta clase de convenios con una Entidad Estatal de régimen especial</w:t>
      </w:r>
      <w:r w:rsidR="003C7933">
        <w:rPr>
          <w:rFonts w:ascii="Verdana" w:eastAsia="Calibri" w:hAnsi="Verdana" w:cs="Arial"/>
          <w:color w:val="000000" w:themeColor="text1"/>
          <w:lang w:val="es-ES_tradnl"/>
        </w:rPr>
        <w:t xml:space="preserve"> </w:t>
      </w:r>
      <w:r w:rsidRPr="000876F8">
        <w:rPr>
          <w:rFonts w:ascii="Verdana" w:eastAsia="Calibri" w:hAnsi="Verdana" w:cs="Arial"/>
          <w:color w:val="000000" w:themeColor="text1"/>
          <w:lang w:val="es-ES_tradnl"/>
        </w:rPr>
        <w:t>y no por ello dejará de ser un contrato o convenio interadministrativo.</w:t>
      </w:r>
    </w:p>
    <w:p w14:paraId="6FC6AA65" w14:textId="37336172" w:rsidR="00426483" w:rsidRPr="000876F8" w:rsidRDefault="00426483" w:rsidP="00426483">
      <w:pPr>
        <w:spacing w:after="120" w:line="276" w:lineRule="auto"/>
        <w:ind w:firstLine="709"/>
        <w:jc w:val="both"/>
        <w:rPr>
          <w:rFonts w:ascii="Verdana" w:eastAsia="Calibri" w:hAnsi="Verdana" w:cs="Arial"/>
          <w:color w:val="000000" w:themeColor="text1"/>
          <w:lang w:val="es-ES_tradnl"/>
        </w:rPr>
      </w:pPr>
      <w:r w:rsidRPr="000876F8">
        <w:rPr>
          <w:rFonts w:ascii="Verdana" w:eastAsia="Calibri" w:hAnsi="Verdana" w:cs="Arial"/>
          <w:color w:val="000000" w:themeColor="text1"/>
          <w:lang w:val="es-ES_tradnl"/>
        </w:rPr>
        <w:t xml:space="preserve">Un contrato o convenio interadministrativo no está determinado por la modalidad de selección utilizada para celebrarlo. </w:t>
      </w:r>
      <w:r w:rsidR="00584D41">
        <w:rPr>
          <w:rFonts w:ascii="Verdana" w:eastAsia="Calibri" w:hAnsi="Verdana" w:cs="Arial"/>
          <w:color w:val="000000" w:themeColor="text1"/>
          <w:lang w:val="es-ES_tradnl"/>
        </w:rPr>
        <w:t>Al respecto, d</w:t>
      </w:r>
      <w:r w:rsidRPr="000876F8">
        <w:rPr>
          <w:rFonts w:ascii="Verdana" w:eastAsia="Calibri" w:hAnsi="Verdana" w:cs="Arial"/>
          <w:color w:val="000000" w:themeColor="text1"/>
          <w:lang w:val="es-ES_tradnl"/>
        </w:rPr>
        <w:t xml:space="preserve">ebe señalarse que, la Ley 1150 de 2007 establece que pueden celebrarse directamente, siempre que las obligaciones derivadas del mismo tengan relación directa con el </w:t>
      </w:r>
      <w:r w:rsidRPr="000876F8">
        <w:rPr>
          <w:rFonts w:ascii="Verdana" w:eastAsia="Calibri" w:hAnsi="Verdana" w:cs="Arial"/>
          <w:color w:val="000000" w:themeColor="text1"/>
          <w:lang w:val="es-ES_tradnl"/>
        </w:rPr>
        <w:lastRenderedPageBreak/>
        <w:t>objeto de la entidad ejecutora, señalado en la ley o en sus reglamentos, a menos que, según las excepciones previstas en dicha Ley – las cuales se analizarán más adelante – deba adelantarse un procedimiento susceptible de pluralidad de oferentes</w:t>
      </w:r>
      <w:r w:rsidRPr="000876F8">
        <w:rPr>
          <w:rStyle w:val="FootnoteReference"/>
          <w:rFonts w:ascii="Verdana" w:eastAsia="Calibri" w:hAnsi="Verdana" w:cs="Arial"/>
          <w:color w:val="000000" w:themeColor="text1"/>
          <w:lang w:val="es-ES_tradnl"/>
        </w:rPr>
        <w:footnoteReference w:id="3"/>
      </w:r>
      <w:r w:rsidRPr="000876F8">
        <w:rPr>
          <w:rFonts w:ascii="Verdana" w:eastAsia="Calibri" w:hAnsi="Verdana" w:cs="Arial"/>
          <w:color w:val="000000" w:themeColor="text1"/>
          <w:lang w:val="es-ES_tradnl"/>
        </w:rPr>
        <w:t>. Nótese que, en este caso, lo que cambia es la modalidad de selección y no la naturaleza de contrato interadministrativo.</w:t>
      </w:r>
    </w:p>
    <w:p w14:paraId="3383CDD1" w14:textId="77777777" w:rsidR="00426483" w:rsidRPr="000876F8" w:rsidRDefault="00426483" w:rsidP="00426483">
      <w:pPr>
        <w:spacing w:after="120" w:line="276" w:lineRule="auto"/>
        <w:ind w:firstLine="709"/>
        <w:jc w:val="both"/>
        <w:rPr>
          <w:rFonts w:ascii="Verdana" w:eastAsia="Calibri" w:hAnsi="Verdana" w:cs="Arial"/>
          <w:color w:val="000000" w:themeColor="text1"/>
          <w:lang w:val="es-ES_tradnl"/>
        </w:rPr>
      </w:pPr>
      <w:r w:rsidRPr="000876F8">
        <w:rPr>
          <w:rFonts w:ascii="Verdana" w:eastAsia="Calibri" w:hAnsi="Verdana" w:cs="Arial"/>
          <w:color w:val="000000" w:themeColor="text1"/>
          <w:lang w:val="es-ES_tradnl"/>
        </w:rPr>
        <w:t>Así las cosas, atendiendo a la literalidad de las normas enunciadas, no cabe una interpretación diferente</w:t>
      </w:r>
      <w:r w:rsidRPr="000876F8">
        <w:rPr>
          <w:rStyle w:val="FootnoteReference"/>
          <w:rFonts w:ascii="Verdana" w:hAnsi="Verdana" w:cs="Arial"/>
          <w:color w:val="000000" w:themeColor="text1"/>
          <w:lang w:val="es-ES_tradnl"/>
        </w:rPr>
        <w:footnoteReference w:id="4"/>
      </w:r>
      <w:r w:rsidRPr="000876F8">
        <w:rPr>
          <w:rFonts w:ascii="Verdana" w:eastAsia="Calibri" w:hAnsi="Verdana" w:cs="Arial"/>
          <w:color w:val="000000" w:themeColor="text1"/>
          <w:lang w:val="es-ES_tradnl"/>
        </w:rPr>
        <w:t xml:space="preserve">, pues, de acuerdo con lo anotado, esta clase de acuerdos de voluntades se definen por un criterio orgánico, por lo que uno de sus elementos esenciales es que en los extremos de la relación jurídico negocial concurran personas de derecho público con competencia para celebrar contratos. </w:t>
      </w:r>
    </w:p>
    <w:p w14:paraId="627B9EC5" w14:textId="165A1C7E" w:rsidR="00426483" w:rsidRPr="000876F8" w:rsidRDefault="00426483" w:rsidP="00426483">
      <w:pPr>
        <w:spacing w:after="0" w:line="276" w:lineRule="auto"/>
        <w:jc w:val="both"/>
        <w:rPr>
          <w:rFonts w:ascii="Verdana" w:eastAsia="Calibri" w:hAnsi="Verdana" w:cs="Arial"/>
          <w:color w:val="000000" w:themeColor="text1"/>
          <w:lang w:val="es-ES_tradnl"/>
        </w:rPr>
      </w:pPr>
      <w:r w:rsidRPr="000876F8">
        <w:rPr>
          <w:rFonts w:ascii="Verdana" w:hAnsi="Verdana" w:cs="Arial"/>
        </w:rPr>
        <w:tab/>
        <w:t>Ahora bien, e</w:t>
      </w:r>
      <w:r w:rsidRPr="000876F8">
        <w:rPr>
          <w:rFonts w:ascii="Verdana" w:eastAsia="Calibri" w:hAnsi="Verdana" w:cs="Arial"/>
          <w:color w:val="000000" w:themeColor="text1"/>
        </w:rPr>
        <w:t xml:space="preserve">n relación con la modalidad de selección aplicable a la celebración de contratos interadministrativos, </w:t>
      </w:r>
      <w:r w:rsidR="003E6E1C" w:rsidRPr="000876F8">
        <w:rPr>
          <w:rFonts w:ascii="Verdana" w:hAnsi="Verdana" w:cs="Arial"/>
        </w:rPr>
        <w:t>debe señalarse</w:t>
      </w:r>
      <w:r w:rsidR="003E6E1C">
        <w:rPr>
          <w:rFonts w:ascii="Verdana" w:hAnsi="Verdana" w:cs="Arial"/>
        </w:rPr>
        <w:t xml:space="preserve"> </w:t>
      </w:r>
      <w:r w:rsidRPr="000876F8">
        <w:rPr>
          <w:rFonts w:ascii="Verdana" w:eastAsia="Calibri" w:hAnsi="Verdana" w:cs="Arial"/>
          <w:color w:val="000000" w:themeColor="text1"/>
        </w:rPr>
        <w:t xml:space="preserve">que la Ley 1150 de 2007 establece que las Entidades Estatales pueden suscribirlos de manera directa, siempre que las obligaciones derivadas de los mismos tengan relación con el objeto de la entidad ejecutora. Sin embargo, esa misma ley establece excepciones concretas a esta facultad, aplicable a los supuestos en que ciertas tipologías contractuales sean ejecutadas por alguna de las Entidades Estatales enlistadas en dicha restricción. De esta manera, el </w:t>
      </w:r>
      <w:bookmarkStart w:id="2" w:name="_Hlk175506473"/>
      <w:r w:rsidRPr="000876F8">
        <w:rPr>
          <w:rFonts w:ascii="Verdana" w:eastAsia="Calibri" w:hAnsi="Verdana" w:cs="Arial"/>
          <w:color w:val="000000" w:themeColor="text1"/>
        </w:rPr>
        <w:t xml:space="preserve">artículo 2, numeral 4, literal c), de la mencionada ley – modificado por el artículo 92 de la Ley 1474 de 2011 </w:t>
      </w:r>
      <w:bookmarkEnd w:id="2"/>
      <w:r w:rsidRPr="000876F8">
        <w:rPr>
          <w:rFonts w:ascii="Verdana" w:eastAsia="Calibri" w:hAnsi="Verdana" w:cs="Arial"/>
          <w:color w:val="000000" w:themeColor="text1"/>
        </w:rPr>
        <w:t>– estableció lo siguiente:</w:t>
      </w:r>
    </w:p>
    <w:p w14:paraId="3B86CF39" w14:textId="77777777" w:rsidR="00426483" w:rsidRPr="000876F8" w:rsidRDefault="00426483" w:rsidP="00426483">
      <w:pPr>
        <w:pStyle w:val="ListParagraph"/>
        <w:spacing w:after="0" w:line="276" w:lineRule="auto"/>
        <w:contextualSpacing w:val="0"/>
        <w:rPr>
          <w:rFonts w:ascii="Verdana" w:eastAsia="Calibri" w:hAnsi="Verdana" w:cs="Arial"/>
          <w:color w:val="000000" w:themeColor="text1"/>
          <w:lang w:val="es-ES_tradnl"/>
        </w:rPr>
      </w:pPr>
    </w:p>
    <w:p w14:paraId="3DC88783" w14:textId="77777777" w:rsidR="00426483" w:rsidRPr="000876F8" w:rsidRDefault="00426483" w:rsidP="00426483">
      <w:pPr>
        <w:pStyle w:val="NormalWeb"/>
        <w:spacing w:before="0" w:beforeAutospacing="0" w:after="0" w:afterAutospacing="0"/>
        <w:ind w:left="709" w:right="709"/>
        <w:jc w:val="both"/>
        <w:rPr>
          <w:rFonts w:ascii="Verdana" w:hAnsi="Verdana" w:cs="Arial"/>
          <w:sz w:val="20"/>
          <w:szCs w:val="20"/>
        </w:rPr>
      </w:pPr>
      <w:bookmarkStart w:id="3" w:name="92"/>
      <w:r w:rsidRPr="000876F8">
        <w:rPr>
          <w:rFonts w:ascii="Verdana" w:hAnsi="Verdana" w:cs="Arial"/>
          <w:sz w:val="20"/>
          <w:szCs w:val="20"/>
        </w:rPr>
        <w:t>“Artículo 92. Contratos interadministrativos.</w:t>
      </w:r>
      <w:bookmarkEnd w:id="3"/>
      <w:r w:rsidRPr="000876F8">
        <w:rPr>
          <w:rFonts w:ascii="Verdana" w:hAnsi="Verdana" w:cs="Arial"/>
          <w:sz w:val="20"/>
          <w:szCs w:val="20"/>
        </w:rPr>
        <w:t xml:space="preserve"> Modificase el inciso primero del literal c) del numeral 4 del artículo </w:t>
      </w:r>
      <w:hyperlink r:id="rId11" w:anchor="2" w:history="1">
        <w:r w:rsidRPr="000876F8">
          <w:rPr>
            <w:rStyle w:val="Hyperlink"/>
            <w:rFonts w:ascii="Verdana" w:eastAsiaTheme="majorEastAsia" w:hAnsi="Verdana" w:cs="Arial"/>
            <w:color w:val="auto"/>
            <w:sz w:val="20"/>
            <w:szCs w:val="20"/>
            <w:u w:val="none"/>
          </w:rPr>
          <w:t>2</w:t>
        </w:r>
      </w:hyperlink>
      <w:r w:rsidRPr="000876F8">
        <w:rPr>
          <w:rFonts w:ascii="Verdana" w:hAnsi="Verdana" w:cs="Arial"/>
          <w:sz w:val="20"/>
          <w:szCs w:val="20"/>
        </w:rPr>
        <w:t>o de la Ley 1150 de 2007, el cual quedará así:</w:t>
      </w:r>
    </w:p>
    <w:p w14:paraId="51038335" w14:textId="77777777" w:rsidR="00426483" w:rsidRPr="000876F8" w:rsidRDefault="00426483" w:rsidP="00426483">
      <w:pPr>
        <w:pStyle w:val="NormalWeb"/>
        <w:spacing w:before="0" w:beforeAutospacing="0" w:after="0" w:afterAutospacing="0"/>
        <w:ind w:left="709" w:right="709"/>
        <w:jc w:val="both"/>
        <w:rPr>
          <w:rFonts w:ascii="Verdana" w:hAnsi="Verdana" w:cs="Arial"/>
          <w:sz w:val="20"/>
          <w:szCs w:val="20"/>
        </w:rPr>
      </w:pPr>
    </w:p>
    <w:p w14:paraId="0ECD6132" w14:textId="77777777" w:rsidR="00426483" w:rsidRPr="000876F8" w:rsidRDefault="00426483" w:rsidP="00426483">
      <w:pPr>
        <w:pStyle w:val="NormalWeb"/>
        <w:spacing w:before="0" w:beforeAutospacing="0" w:after="0" w:afterAutospacing="0"/>
        <w:ind w:left="709" w:right="709"/>
        <w:jc w:val="both"/>
        <w:rPr>
          <w:rFonts w:ascii="Verdana" w:hAnsi="Verdana" w:cs="Arial"/>
          <w:sz w:val="20"/>
          <w:szCs w:val="20"/>
        </w:rPr>
      </w:pPr>
      <w:r w:rsidRPr="000876F8">
        <w:rPr>
          <w:rFonts w:ascii="Verdana" w:hAnsi="Verdana" w:cs="Arial"/>
          <w:sz w:val="20"/>
          <w:szCs w:val="20"/>
        </w:rPr>
        <w:t>c) Contratos interadministrativos, siempre que las obligaciones derivadas del mismo tengan relación directa con el objeto de la entidad ejecutora señalado en la ley o en sus reglamentos.</w:t>
      </w:r>
    </w:p>
    <w:p w14:paraId="781685F0" w14:textId="77777777" w:rsidR="00426483" w:rsidRPr="000876F8" w:rsidRDefault="00426483" w:rsidP="00426483">
      <w:pPr>
        <w:pStyle w:val="NormalWeb"/>
        <w:spacing w:before="0" w:beforeAutospacing="0" w:after="0" w:afterAutospacing="0"/>
        <w:ind w:left="709" w:right="709"/>
        <w:jc w:val="both"/>
        <w:rPr>
          <w:rFonts w:ascii="Verdana" w:hAnsi="Verdana" w:cs="Arial"/>
          <w:sz w:val="20"/>
          <w:szCs w:val="20"/>
        </w:rPr>
      </w:pPr>
    </w:p>
    <w:p w14:paraId="131D5308" w14:textId="77777777" w:rsidR="00426483" w:rsidRPr="000876F8" w:rsidRDefault="00426483" w:rsidP="00426483">
      <w:pPr>
        <w:pStyle w:val="NormalWeb"/>
        <w:spacing w:before="0" w:beforeAutospacing="0" w:after="0" w:afterAutospacing="0"/>
        <w:ind w:left="709" w:right="709"/>
        <w:jc w:val="both"/>
        <w:rPr>
          <w:rFonts w:ascii="Verdana" w:hAnsi="Verdana" w:cs="Arial"/>
          <w:sz w:val="20"/>
          <w:szCs w:val="20"/>
        </w:rPr>
      </w:pPr>
      <w:r w:rsidRPr="000876F8">
        <w:rPr>
          <w:rFonts w:ascii="Verdana" w:hAnsi="Verdana" w:cs="Arial"/>
          <w:sz w:val="20"/>
          <w:szCs w:val="20"/>
        </w:rPr>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670723B5" w14:textId="77777777" w:rsidR="00426483" w:rsidRPr="000876F8" w:rsidRDefault="00426483" w:rsidP="00426483">
      <w:pPr>
        <w:pStyle w:val="NormalWeb"/>
        <w:spacing w:before="0" w:beforeAutospacing="0" w:after="0" w:afterAutospacing="0" w:line="276" w:lineRule="auto"/>
        <w:ind w:left="346"/>
        <w:jc w:val="both"/>
        <w:rPr>
          <w:rFonts w:ascii="Verdana" w:hAnsi="Verdana" w:cs="Arial"/>
          <w:sz w:val="22"/>
          <w:szCs w:val="22"/>
        </w:rPr>
      </w:pPr>
    </w:p>
    <w:p w14:paraId="17F1D3BD" w14:textId="77777777" w:rsidR="00426483" w:rsidRPr="000876F8" w:rsidRDefault="00426483" w:rsidP="00426483">
      <w:pPr>
        <w:spacing w:after="120" w:line="276" w:lineRule="auto"/>
        <w:ind w:firstLine="709"/>
        <w:jc w:val="both"/>
        <w:rPr>
          <w:rFonts w:ascii="Verdana" w:eastAsia="Calibri" w:hAnsi="Verdana" w:cs="Arial"/>
          <w:color w:val="000000" w:themeColor="text1"/>
          <w:lang w:val="es-ES_tradnl"/>
        </w:rPr>
      </w:pPr>
      <w:bookmarkStart w:id="4" w:name="_Hlk175506461"/>
      <w:r w:rsidRPr="000876F8">
        <w:rPr>
          <w:rFonts w:ascii="Verdana" w:eastAsia="Calibri" w:hAnsi="Verdana" w:cs="Arial"/>
          <w:color w:val="000000" w:themeColor="text1"/>
          <w:lang w:val="es-ES_tradnl"/>
        </w:rPr>
        <w:t>Según el inciso primero del literal trascrito, la suscripción de contratos interadministrativos de forma directa, conforme a dicha causal, está sujeta a que las obligaciones del negocio jurídico tengan relación directa con el objeto de la entidad ejecutora, establecido en la ley o en sus reglamentos. La condición impuesta por el legislador para la suscripción de estos contratos se establece a efectos de constatar que el ejecutante cuente con la capacidad jurídica para contraer las obligaciones establecidas en el contrato.</w:t>
      </w:r>
    </w:p>
    <w:bookmarkEnd w:id="4"/>
    <w:p w14:paraId="3354AC3D" w14:textId="492E1F84" w:rsidR="00426483" w:rsidRPr="000876F8" w:rsidRDefault="00426483" w:rsidP="00426483">
      <w:pPr>
        <w:spacing w:after="120" w:line="276" w:lineRule="auto"/>
        <w:ind w:firstLine="709"/>
        <w:jc w:val="both"/>
        <w:rPr>
          <w:rFonts w:ascii="Verdana" w:eastAsia="Calibri" w:hAnsi="Verdana" w:cs="Arial"/>
          <w:color w:val="000000" w:themeColor="text1"/>
          <w:lang w:val="es-ES_tradnl"/>
        </w:rPr>
      </w:pPr>
      <w:r w:rsidRPr="000876F8">
        <w:rPr>
          <w:rFonts w:ascii="Verdana" w:eastAsia="Calibri" w:hAnsi="Verdana" w:cs="Arial"/>
          <w:color w:val="000000" w:themeColor="text1"/>
          <w:lang w:val="es-ES_tradnl"/>
        </w:rPr>
        <w:t>De otro lado, se encuentra que el inciso segundo establece una limitación a la contratación directa mediante la causal del literal c) – transcrito anteriormente – dirigido a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De manera que cuando ellas sean las ejecutoras, no se pueden celebrar contratos interadministrativos de manera directa, utilizando la causal del literal c), en tratándose de “contratos de obra, suministro, prestación de servicios de evaluación de conformidad respecto de las normas o reglamentos técnicos, encargos fiduciarios y fiducia pública”, los primeros a los cuales se refiere en su escrito.</w:t>
      </w:r>
    </w:p>
    <w:p w14:paraId="52606AF0" w14:textId="77777777" w:rsidR="00426483" w:rsidRPr="000876F8" w:rsidRDefault="00426483" w:rsidP="00426483">
      <w:pPr>
        <w:spacing w:after="120" w:line="276" w:lineRule="auto"/>
        <w:ind w:firstLine="708"/>
        <w:jc w:val="both"/>
        <w:rPr>
          <w:rFonts w:ascii="Verdana" w:eastAsia="Calibri" w:hAnsi="Verdana" w:cs="Arial"/>
          <w:color w:val="000000" w:themeColor="text1"/>
        </w:rPr>
      </w:pPr>
      <w:r w:rsidRPr="000876F8">
        <w:rPr>
          <w:rFonts w:ascii="Verdana" w:eastAsia="Calibri" w:hAnsi="Verdana" w:cs="Arial"/>
          <w:color w:val="000000" w:themeColor="text1"/>
        </w:rPr>
        <w:t xml:space="preserve">Conviene señalar que la excepción contenida en la norma mencionada – concretamente en el inciso segundo – determina de manera explícita los sujetos a los cuales les es aplicable la restricción contenida en dicho artículo, que incluye la celebración de contratos o convenios interadministrativos cuando se trate, entre otros, de un contrato de obra. Esta disposición exceptuó celebrar de manera directa contratos o convenios interadministrativos cuando se trate de un contrato de obra cuya entidad ejecutora sea una institución de educación superior pública o una Sociedad de Economía Mixta con participación mayoritaria </w:t>
      </w:r>
      <w:r w:rsidRPr="000876F8">
        <w:rPr>
          <w:rFonts w:ascii="Verdana" w:eastAsia="Calibri" w:hAnsi="Verdana" w:cs="Arial"/>
          <w:color w:val="000000" w:themeColor="text1"/>
        </w:rPr>
        <w:lastRenderedPageBreak/>
        <w:t xml:space="preserve">del Estado, o una persona jurídica sin ánimo de lucro conformada por la asociación de Entidades Públicas, o una federación de entidades territoriales. </w:t>
      </w:r>
    </w:p>
    <w:p w14:paraId="57F35DAA" w14:textId="77777777" w:rsidR="00426483" w:rsidRPr="000876F8" w:rsidRDefault="00426483" w:rsidP="00426483">
      <w:pPr>
        <w:spacing w:after="0" w:line="276" w:lineRule="auto"/>
        <w:ind w:firstLine="709"/>
        <w:jc w:val="both"/>
        <w:rPr>
          <w:rFonts w:ascii="Verdana" w:eastAsia="Calibri" w:hAnsi="Verdana" w:cs="Arial"/>
          <w:color w:val="000000" w:themeColor="text1"/>
          <w:lang w:val="es-ES_tradnl"/>
        </w:rPr>
      </w:pPr>
      <w:r w:rsidRPr="000876F8">
        <w:rPr>
          <w:rFonts w:ascii="Verdana" w:eastAsia="Calibri" w:hAnsi="Verdana" w:cs="Arial"/>
          <w:color w:val="000000" w:themeColor="text1"/>
          <w:lang w:val="es-ES_tradnl"/>
        </w:rPr>
        <w:t>En esta línea, la Sala de Consulta y Servicio Civil</w:t>
      </w:r>
      <w:r w:rsidRPr="000876F8">
        <w:rPr>
          <w:rStyle w:val="FootnoteReference"/>
          <w:rFonts w:ascii="Verdana" w:eastAsia="Calibri" w:hAnsi="Verdana" w:cs="Arial"/>
          <w:color w:val="000000" w:themeColor="text1"/>
          <w:lang w:val="es-ES_tradnl"/>
        </w:rPr>
        <w:footnoteReference w:id="5"/>
      </w:r>
      <w:r w:rsidRPr="000876F8">
        <w:rPr>
          <w:rFonts w:ascii="Verdana" w:eastAsia="Calibri" w:hAnsi="Verdana" w:cs="Arial"/>
          <w:color w:val="000000" w:themeColor="text1"/>
          <w:lang w:val="es-ES_tradnl"/>
        </w:rPr>
        <w:t xml:space="preserve"> precisó sobre el alcance de la modificación introducida por el artículo 92 de la Ley 1474 de 2011 al literal c) del numeral 4 del artículo 2 de la Ley 1150 de 2007, y en particular, sobre la restricción establecida en el inciso segundo de la norma referida, lo siguiente: </w:t>
      </w:r>
    </w:p>
    <w:p w14:paraId="2E5D32DA" w14:textId="77777777" w:rsidR="00426483" w:rsidRPr="000876F8" w:rsidRDefault="00426483" w:rsidP="00426483">
      <w:pPr>
        <w:pStyle w:val="BodyText"/>
        <w:spacing w:line="276" w:lineRule="auto"/>
        <w:ind w:left="346"/>
        <w:rPr>
          <w:rFonts w:ascii="Verdana" w:hAnsi="Verdana"/>
          <w:sz w:val="22"/>
          <w:szCs w:val="22"/>
        </w:rPr>
      </w:pPr>
    </w:p>
    <w:p w14:paraId="4874A4D8" w14:textId="77777777" w:rsidR="00426483" w:rsidRPr="000876F8" w:rsidRDefault="00426483" w:rsidP="00426483">
      <w:pPr>
        <w:pStyle w:val="BodyText"/>
        <w:ind w:left="709" w:right="709"/>
        <w:jc w:val="both"/>
        <w:rPr>
          <w:rFonts w:ascii="Verdana" w:hAnsi="Verdana"/>
        </w:rPr>
      </w:pPr>
      <w:r w:rsidRPr="000876F8">
        <w:rPr>
          <w:rFonts w:ascii="Verdana" w:hAnsi="Verdana"/>
        </w:rPr>
        <w:t xml:space="preserve">“[..] La suscripción de contratos interadministrativos </w:t>
      </w:r>
      <w:r w:rsidRPr="000876F8">
        <w:rPr>
          <w:rFonts w:ascii="Verdana" w:eastAsia="Calibri" w:hAnsi="Verdana"/>
          <w:color w:val="000000" w:themeColor="text1"/>
          <w:lang w:val="es-ES_tradnl"/>
        </w:rPr>
        <w:t>«</w:t>
      </w:r>
      <w:r w:rsidRPr="000876F8">
        <w:rPr>
          <w:rFonts w:ascii="Verdana" w:hAnsi="Verdana"/>
        </w:rPr>
        <w:t>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w:t>
      </w:r>
      <w:r w:rsidRPr="000876F8">
        <w:rPr>
          <w:rFonts w:ascii="Verdana" w:eastAsia="Calibri" w:hAnsi="Verdana"/>
          <w:color w:val="000000" w:themeColor="text1"/>
          <w:lang w:val="es-ES_tradnl"/>
        </w:rPr>
        <w:t>»</w:t>
      </w:r>
      <w:r w:rsidRPr="000876F8">
        <w:rPr>
          <w:rFonts w:ascii="Verdana" w:hAnsi="Verdana"/>
        </w:rPr>
        <w:t>, debe estar precedida de licitación pública o selección abreviada; solamente en los demás casos, podrá acudirse al sistema de contratación directa (literal c, inciso 2).</w:t>
      </w:r>
    </w:p>
    <w:p w14:paraId="3DE4CF88" w14:textId="77777777" w:rsidR="00426483" w:rsidRPr="000876F8" w:rsidRDefault="00426483" w:rsidP="00426483">
      <w:pPr>
        <w:pStyle w:val="BodyText"/>
        <w:ind w:left="709" w:right="709"/>
        <w:jc w:val="both"/>
        <w:rPr>
          <w:rFonts w:ascii="Verdana" w:hAnsi="Verdana"/>
        </w:rPr>
      </w:pPr>
    </w:p>
    <w:p w14:paraId="0DFA5ED0" w14:textId="77777777" w:rsidR="00426483" w:rsidRPr="000876F8" w:rsidRDefault="00426483" w:rsidP="00426483">
      <w:pPr>
        <w:pStyle w:val="BodyText"/>
        <w:ind w:left="709" w:right="709"/>
        <w:jc w:val="both"/>
        <w:rPr>
          <w:rFonts w:ascii="Verdana" w:hAnsi="Verdana"/>
        </w:rPr>
      </w:pPr>
      <w:r w:rsidRPr="000876F8">
        <w:rPr>
          <w:rFonts w:ascii="Verdana" w:hAnsi="Verdana"/>
        </w:rPr>
        <w:t xml:space="preserve">La Sala aclara que, en todo caso y aún en los eventos de licitación pública o selección abreviada, el contrato debe tener relación directa con el objeto de la entidad ejecutora; en ese sentido, el inciso segundo de la norma en </w:t>
      </w:r>
      <w:proofErr w:type="gramStart"/>
      <w:r w:rsidRPr="000876F8">
        <w:rPr>
          <w:rFonts w:ascii="Verdana" w:hAnsi="Verdana"/>
        </w:rPr>
        <w:t>cita,</w:t>
      </w:r>
      <w:proofErr w:type="gramEnd"/>
      <w:r w:rsidRPr="000876F8">
        <w:rPr>
          <w:rFonts w:ascii="Verdana" w:hAnsi="Verdana"/>
        </w:rPr>
        <w:t xml:space="preserve"> no puede ser interpretado como una autorización para celebrar contratos que no tengan relación con el objeto de la entidad ejecutora. La excepción que consagra dicho inciso se refiere solamente a que los contratos allí referidos no pueden celebrarse por contratación </w:t>
      </w:r>
      <w:proofErr w:type="gramStart"/>
      <w:r w:rsidRPr="000876F8">
        <w:rPr>
          <w:rFonts w:ascii="Verdana" w:hAnsi="Verdana"/>
        </w:rPr>
        <w:t>directa</w:t>
      </w:r>
      <w:proofErr w:type="gramEnd"/>
      <w:r w:rsidRPr="000876F8">
        <w:rPr>
          <w:rFonts w:ascii="Verdana" w:hAnsi="Verdana"/>
        </w:rPr>
        <w:t xml:space="preserve"> sino que requieren agotar un proceso previo de licitación pública o selección abreviada”.</w:t>
      </w:r>
    </w:p>
    <w:p w14:paraId="59141333" w14:textId="77777777" w:rsidR="00426483" w:rsidRPr="000876F8" w:rsidRDefault="00426483" w:rsidP="00426483">
      <w:pPr>
        <w:pStyle w:val="ListParagraph"/>
        <w:spacing w:after="0" w:line="276" w:lineRule="auto"/>
        <w:jc w:val="both"/>
        <w:rPr>
          <w:rFonts w:ascii="Verdana" w:eastAsia="Calibri" w:hAnsi="Verdana" w:cs="Arial"/>
          <w:color w:val="000000" w:themeColor="text1"/>
          <w:lang w:val="es-ES_tradnl"/>
        </w:rPr>
      </w:pPr>
    </w:p>
    <w:p w14:paraId="723169DC" w14:textId="77777777" w:rsidR="00426483" w:rsidRPr="000876F8" w:rsidRDefault="00426483" w:rsidP="00426483">
      <w:pPr>
        <w:spacing w:after="120" w:line="276" w:lineRule="auto"/>
        <w:ind w:firstLine="709"/>
        <w:jc w:val="both"/>
        <w:rPr>
          <w:rFonts w:ascii="Verdana" w:eastAsia="Calibri" w:hAnsi="Verdana" w:cs="Arial"/>
          <w:color w:val="000000" w:themeColor="text1"/>
        </w:rPr>
      </w:pPr>
      <w:r w:rsidRPr="000876F8">
        <w:rPr>
          <w:rFonts w:ascii="Verdana" w:eastAsia="Calibri" w:hAnsi="Verdana" w:cs="Arial"/>
          <w:color w:val="000000" w:themeColor="text1"/>
        </w:rPr>
        <w:t xml:space="preserve">Así las cosas, de conformidad con lo establecido por el artículo 92 de la Ley 1474 de 2011, mediante el cual se modificó el literal c) del numeral 4 del artículo 2 de la Ley 1150 de 2007, sin perjuicio de lo dispuesto en otras disposiciones normativas que resulten aplicables, el alcance de la excepción establecida en la norma referida se circunscribe a las entidades mencionadas en el inciso segundo de este artículo. De modo que, estas entidades, cuando sean las ejecutoras, no podrán celebrar bajo la modalidad de contratación directa la suscripción de los contratos interadministrativos mencionados en ella, entre ellos, el contrato de obra, sin perjuicio de que dichas entidades participen y, eventualmente, celebren dichos contratos luego de ser seleccionados a través </w:t>
      </w:r>
      <w:r w:rsidRPr="000876F8">
        <w:rPr>
          <w:rFonts w:ascii="Verdana" w:eastAsia="Calibri" w:hAnsi="Verdana" w:cs="Arial"/>
          <w:color w:val="000000" w:themeColor="text1"/>
        </w:rPr>
        <w:lastRenderedPageBreak/>
        <w:t xml:space="preserve">de modalidades como la licitación pública o selección abreviada, según corresponda. </w:t>
      </w:r>
    </w:p>
    <w:p w14:paraId="6CB7110F" w14:textId="77777777" w:rsidR="00426483" w:rsidRPr="000876F8" w:rsidRDefault="00426483" w:rsidP="00426483">
      <w:pPr>
        <w:spacing w:after="120" w:line="276" w:lineRule="auto"/>
        <w:ind w:firstLine="708"/>
        <w:jc w:val="both"/>
        <w:rPr>
          <w:rFonts w:ascii="Verdana" w:eastAsia="Calibri" w:hAnsi="Verdana" w:cs="Arial"/>
          <w:color w:val="000000" w:themeColor="text1"/>
          <w:lang w:val="es-ES_tradnl"/>
        </w:rPr>
      </w:pPr>
      <w:r w:rsidRPr="000876F8">
        <w:rPr>
          <w:rFonts w:ascii="Verdana" w:eastAsia="Calibri" w:hAnsi="Verdana" w:cs="Arial"/>
          <w:color w:val="000000" w:themeColor="text1"/>
          <w:lang w:val="es-ES_tradnl"/>
        </w:rPr>
        <w:t>Por tanto, para esta Agencia, el ámbito de aplicación de la regla referida es de alcance restrictivo, dado que se circunscribe a los contratos y entidades señaladas en el inciso segundo del literal c) analizado, por lo que la prohibición aplica cuando confluyan ambos elementos. En este sentido, cuando se trate de otros objetos contractuales o cuando sean celebrados por entidades distintas a las enlistadas en el inciso segundo, no aplicará la excepción establecida en la regla referida y, en consecuencia, las entidades podrían celebrar los contratos bajo la modalidad de contratación directa, sin perjuicio de observar las demás disposiciones del ordenamiento jurídico, correspondiendo a cada entidad definir la conveniencia y procedencia jurídica, técnica y financiera de su celebración.</w:t>
      </w:r>
    </w:p>
    <w:p w14:paraId="46165B45" w14:textId="4D6D3685" w:rsidR="00426483" w:rsidRPr="000876F8" w:rsidRDefault="00426483" w:rsidP="00426483">
      <w:pPr>
        <w:spacing w:after="0" w:line="276" w:lineRule="auto"/>
        <w:ind w:firstLine="709"/>
        <w:jc w:val="both"/>
        <w:rPr>
          <w:rFonts w:ascii="Verdana" w:eastAsia="Calibri" w:hAnsi="Verdana" w:cs="Arial"/>
          <w:color w:val="000000" w:themeColor="text1"/>
        </w:rPr>
      </w:pPr>
      <w:bookmarkStart w:id="5" w:name="_Hlk82437628"/>
      <w:r w:rsidRPr="000876F8">
        <w:rPr>
          <w:rFonts w:ascii="Verdana" w:eastAsia="Calibri" w:hAnsi="Verdana" w:cs="Arial"/>
          <w:color w:val="000000" w:themeColor="text1"/>
        </w:rPr>
        <w:t xml:space="preserve">Ahora bien, en relación con la declaratoria de incumplimiento en los contratos debe señalarse que, las competencias unilaterales de la Administración para imponer las multas, hacer efectiva la cláusula penal y declarar el siniestro del incumplimiento para hacer el cobro de las garantías constituidas a su favor, se ejercen, según el caso, evidenciado un posible incumplimiento de un contrato estatal, incluidos los contratos interadministrativos y frente a cualquier contratista colaborador de la Administración, sin importar si es particular o </w:t>
      </w:r>
      <w:r w:rsidR="005C04DC" w:rsidRPr="000876F8">
        <w:rPr>
          <w:rFonts w:ascii="Verdana" w:eastAsia="Calibri" w:hAnsi="Verdana" w:cs="Arial"/>
          <w:color w:val="000000" w:themeColor="text1"/>
        </w:rPr>
        <w:t xml:space="preserve">Entidad Estatal </w:t>
      </w:r>
      <w:r w:rsidRPr="000876F8">
        <w:rPr>
          <w:rFonts w:ascii="Verdana" w:eastAsia="Calibri" w:hAnsi="Verdana" w:cs="Arial"/>
          <w:color w:val="000000" w:themeColor="text1"/>
        </w:rPr>
        <w:t xml:space="preserve">contratista. Al respecto, la Sala de Consulta y del </w:t>
      </w:r>
      <w:r w:rsidR="002E14CD" w:rsidRPr="000876F8">
        <w:rPr>
          <w:rFonts w:ascii="Verdana" w:eastAsia="Calibri" w:hAnsi="Verdana" w:cs="Arial"/>
          <w:color w:val="000000" w:themeColor="text1"/>
        </w:rPr>
        <w:t>Servicio</w:t>
      </w:r>
      <w:r w:rsidRPr="000876F8">
        <w:rPr>
          <w:rFonts w:ascii="Verdana" w:eastAsia="Calibri" w:hAnsi="Verdana" w:cs="Arial"/>
          <w:color w:val="000000" w:themeColor="text1"/>
        </w:rPr>
        <w:t xml:space="preserve"> Civil </w:t>
      </w:r>
      <w:r w:rsidR="00957EBF">
        <w:rPr>
          <w:rFonts w:ascii="Verdana" w:eastAsia="Calibri" w:hAnsi="Verdana" w:cs="Arial"/>
          <w:color w:val="000000" w:themeColor="text1"/>
        </w:rPr>
        <w:t xml:space="preserve">ha </w:t>
      </w:r>
      <w:r w:rsidRPr="000876F8">
        <w:rPr>
          <w:rFonts w:ascii="Verdana" w:eastAsia="Calibri" w:hAnsi="Verdana" w:cs="Arial"/>
          <w:color w:val="000000" w:themeColor="text1"/>
        </w:rPr>
        <w:t>precisa</w:t>
      </w:r>
      <w:r w:rsidR="00957EBF">
        <w:rPr>
          <w:rFonts w:ascii="Verdana" w:eastAsia="Calibri" w:hAnsi="Verdana" w:cs="Arial"/>
          <w:color w:val="000000" w:themeColor="text1"/>
        </w:rPr>
        <w:t>do</w:t>
      </w:r>
      <w:r w:rsidRPr="000876F8">
        <w:rPr>
          <w:rFonts w:ascii="Verdana" w:eastAsia="Calibri" w:hAnsi="Verdana" w:cs="Arial"/>
          <w:color w:val="000000" w:themeColor="text1"/>
        </w:rPr>
        <w:t xml:space="preserve"> lo siguiente: </w:t>
      </w:r>
    </w:p>
    <w:p w14:paraId="62B8326B" w14:textId="77777777" w:rsidR="00426483" w:rsidRPr="000876F8" w:rsidRDefault="00426483" w:rsidP="00426483">
      <w:pPr>
        <w:spacing w:after="0" w:line="276" w:lineRule="auto"/>
        <w:ind w:firstLine="709"/>
        <w:jc w:val="both"/>
        <w:rPr>
          <w:rFonts w:ascii="Verdana" w:eastAsia="Calibri" w:hAnsi="Verdana" w:cs="Arial"/>
          <w:color w:val="000000" w:themeColor="text1"/>
        </w:rPr>
      </w:pPr>
    </w:p>
    <w:p w14:paraId="4F73103B" w14:textId="77777777" w:rsidR="00426483" w:rsidRPr="000876F8" w:rsidRDefault="00426483" w:rsidP="00426483">
      <w:pPr>
        <w:spacing w:after="0" w:line="240" w:lineRule="auto"/>
        <w:ind w:left="709" w:right="709"/>
        <w:jc w:val="both"/>
        <w:rPr>
          <w:rFonts w:ascii="Verdana" w:eastAsia="Calibri" w:hAnsi="Verdana" w:cs="Arial"/>
          <w:color w:val="000000" w:themeColor="text1"/>
          <w:sz w:val="20"/>
          <w:szCs w:val="20"/>
        </w:rPr>
      </w:pPr>
      <w:r w:rsidRPr="000876F8">
        <w:rPr>
          <w:rFonts w:ascii="Verdana" w:eastAsia="Calibri" w:hAnsi="Verdana" w:cs="Arial"/>
          <w:color w:val="000000" w:themeColor="text1"/>
          <w:sz w:val="20"/>
          <w:szCs w:val="20"/>
        </w:rPr>
        <w:t xml:space="preserve">“a. En los contratos en general se encuentra presente el riesgo de cumplimiento, el cual no puede descartarse en los interadministrativos, motivo por el cual las entidades estatales contratantes están en el deber constitucional y legal de prevenir dicho riesgo, a través de diferentes mecanismos preventivos y disuasorios, entre los que se encuentran los previstos en los artículos 7 y 17 de la Ley 1150 de 2007 y el citado artículo 86 de la Ley 1474 de 2011; </w:t>
      </w:r>
    </w:p>
    <w:p w14:paraId="0C428DB7" w14:textId="77777777" w:rsidR="00426483" w:rsidRPr="000876F8" w:rsidRDefault="00426483" w:rsidP="00426483">
      <w:pPr>
        <w:spacing w:after="0" w:line="240" w:lineRule="auto"/>
        <w:ind w:left="709" w:right="709" w:firstLine="709"/>
        <w:jc w:val="both"/>
        <w:rPr>
          <w:rFonts w:ascii="Verdana" w:eastAsia="Calibri" w:hAnsi="Verdana" w:cs="Arial"/>
          <w:color w:val="000000" w:themeColor="text1"/>
          <w:sz w:val="20"/>
          <w:szCs w:val="20"/>
        </w:rPr>
      </w:pPr>
    </w:p>
    <w:p w14:paraId="704356A1" w14:textId="77777777" w:rsidR="00426483" w:rsidRPr="000876F8" w:rsidRDefault="00426483" w:rsidP="00426483">
      <w:pPr>
        <w:spacing w:after="0" w:line="240" w:lineRule="auto"/>
        <w:ind w:left="709" w:right="709"/>
        <w:jc w:val="both"/>
        <w:rPr>
          <w:rFonts w:ascii="Verdana" w:eastAsia="Calibri" w:hAnsi="Verdana" w:cs="Arial"/>
          <w:color w:val="000000" w:themeColor="text1"/>
          <w:sz w:val="20"/>
          <w:szCs w:val="20"/>
        </w:rPr>
      </w:pPr>
      <w:r w:rsidRPr="000876F8">
        <w:rPr>
          <w:rFonts w:ascii="Verdana" w:eastAsia="Calibri" w:hAnsi="Verdana" w:cs="Arial"/>
          <w:color w:val="000000" w:themeColor="text1"/>
          <w:sz w:val="20"/>
          <w:szCs w:val="20"/>
        </w:rPr>
        <w:t xml:space="preserve">b. Respecto de las multas y clausula penal, debe recordarse que no operan porque la ley lo exija obligatoriamente (como era el caso del Decreto Ley 222 de 1983), sino que deben ser acordadas por las partes, aspecto cuya necesidad, en virtud de los principios de planeación, transparencia, responsabilidad y precaución, empieza a visualizarse desde el momento mismo de elaboración de los estudios previos que soportan la contratación, por lo que al ser aceptadas por la entidad estatal contratista, será la voluntad coincidente de las partes la fuente del establecimiento de la multa y de la cláusula penal y, una vez pactada, con base en los artículos 17 de la Ley 1150 y 86 de la Ley 1474, la entidad estatal contratante </w:t>
      </w:r>
      <w:r w:rsidRPr="000876F8">
        <w:rPr>
          <w:rFonts w:ascii="Verdana" w:eastAsia="Calibri" w:hAnsi="Verdana" w:cs="Arial"/>
          <w:color w:val="000000" w:themeColor="text1"/>
          <w:sz w:val="20"/>
          <w:szCs w:val="20"/>
        </w:rPr>
        <w:lastRenderedPageBreak/>
        <w:t xml:space="preserve">tendrá la competencia para imponerla unilateralmente siguiendo el procedimiento descrito; </w:t>
      </w:r>
    </w:p>
    <w:p w14:paraId="625F64AF" w14:textId="77777777" w:rsidR="00426483" w:rsidRPr="000876F8" w:rsidRDefault="00426483" w:rsidP="00426483">
      <w:pPr>
        <w:spacing w:after="0" w:line="240" w:lineRule="auto"/>
        <w:ind w:left="709" w:right="709" w:firstLine="709"/>
        <w:jc w:val="both"/>
        <w:rPr>
          <w:rFonts w:ascii="Verdana" w:eastAsia="Calibri" w:hAnsi="Verdana" w:cs="Arial"/>
          <w:color w:val="000000" w:themeColor="text1"/>
          <w:sz w:val="20"/>
          <w:szCs w:val="20"/>
        </w:rPr>
      </w:pPr>
    </w:p>
    <w:p w14:paraId="00A673B5" w14:textId="77777777" w:rsidR="00426483" w:rsidRPr="000876F8" w:rsidRDefault="00426483" w:rsidP="00426483">
      <w:pPr>
        <w:spacing w:after="0" w:line="240" w:lineRule="auto"/>
        <w:ind w:left="709" w:right="709"/>
        <w:jc w:val="both"/>
        <w:rPr>
          <w:rFonts w:ascii="Verdana" w:eastAsia="Calibri" w:hAnsi="Verdana" w:cs="Arial"/>
          <w:color w:val="000000" w:themeColor="text1"/>
          <w:sz w:val="20"/>
          <w:szCs w:val="20"/>
        </w:rPr>
      </w:pPr>
      <w:r w:rsidRPr="000876F8">
        <w:rPr>
          <w:rFonts w:ascii="Verdana" w:eastAsia="Calibri" w:hAnsi="Verdana" w:cs="Arial"/>
          <w:color w:val="000000" w:themeColor="text1"/>
          <w:sz w:val="20"/>
          <w:szCs w:val="20"/>
        </w:rPr>
        <w:t xml:space="preserve">c) Procede la declaratoria mediante acto administrativo del incumplimiento, lo cual implicará el acaecimiento del siniestro y, en consecuencia, la entidad estatal contratante podrá cobrar la garantía a la aseguradora, para cuya </w:t>
      </w:r>
      <w:proofErr w:type="spellStart"/>
      <w:r w:rsidRPr="000876F8">
        <w:rPr>
          <w:rFonts w:ascii="Verdana" w:eastAsia="Calibri" w:hAnsi="Verdana" w:cs="Arial"/>
          <w:color w:val="000000" w:themeColor="text1"/>
          <w:sz w:val="20"/>
          <w:szCs w:val="20"/>
        </w:rPr>
        <w:t>efectivadad</w:t>
      </w:r>
      <w:proofErr w:type="spellEnd"/>
      <w:r w:rsidRPr="000876F8">
        <w:rPr>
          <w:rFonts w:ascii="Verdana" w:eastAsia="Calibri" w:hAnsi="Verdana" w:cs="Arial"/>
          <w:color w:val="000000" w:themeColor="text1"/>
          <w:sz w:val="20"/>
          <w:szCs w:val="20"/>
        </w:rPr>
        <w:t xml:space="preserve"> podrá acudir al cobro coactivo. </w:t>
      </w:r>
    </w:p>
    <w:p w14:paraId="0CB189F9" w14:textId="77777777" w:rsidR="00426483" w:rsidRPr="000876F8" w:rsidRDefault="00426483" w:rsidP="00426483">
      <w:pPr>
        <w:spacing w:after="0" w:line="240" w:lineRule="auto"/>
        <w:ind w:left="709" w:right="709" w:firstLine="709"/>
        <w:jc w:val="both"/>
        <w:rPr>
          <w:rFonts w:ascii="Verdana" w:eastAsia="Calibri" w:hAnsi="Verdana" w:cs="Arial"/>
          <w:color w:val="000000" w:themeColor="text1"/>
          <w:sz w:val="20"/>
          <w:szCs w:val="20"/>
        </w:rPr>
      </w:pPr>
    </w:p>
    <w:p w14:paraId="1206D72C" w14:textId="77777777" w:rsidR="00426483" w:rsidRDefault="00426483" w:rsidP="00426483">
      <w:pPr>
        <w:spacing w:after="0" w:line="240" w:lineRule="auto"/>
        <w:ind w:left="709" w:right="709"/>
        <w:jc w:val="both"/>
        <w:rPr>
          <w:rFonts w:ascii="Verdana" w:eastAsia="Calibri" w:hAnsi="Verdana" w:cs="Arial"/>
          <w:color w:val="000000" w:themeColor="text1"/>
          <w:sz w:val="20"/>
          <w:szCs w:val="20"/>
        </w:rPr>
      </w:pPr>
      <w:r w:rsidRPr="000876F8">
        <w:rPr>
          <w:rFonts w:ascii="Verdana" w:eastAsia="Calibri" w:hAnsi="Verdana" w:cs="Arial"/>
          <w:color w:val="000000" w:themeColor="text1"/>
          <w:sz w:val="20"/>
          <w:szCs w:val="20"/>
        </w:rPr>
        <w:t>d. Como se ha explicado, el objeto de los contratos interadministrativos lo constituyen obligaciones de contenido patrimonial, son onerosos y conmutativos, motivo por el cual existe responsabilidad por el incumplimiento del mismo, en los términos que prevea la ley, de tal forma que no resulta de recibo beneficiarse del contrato pero excusarse de las cargas y sanciones por el incumplimiento, alegando su calidad de entidad pública;</w:t>
      </w:r>
    </w:p>
    <w:p w14:paraId="2B797D6D" w14:textId="77777777" w:rsidR="00426483" w:rsidRDefault="00426483" w:rsidP="00426483">
      <w:pPr>
        <w:spacing w:after="0" w:line="240" w:lineRule="auto"/>
        <w:ind w:left="709" w:right="709"/>
        <w:jc w:val="both"/>
        <w:rPr>
          <w:rFonts w:ascii="Verdana" w:eastAsia="Calibri" w:hAnsi="Verdana" w:cs="Arial"/>
          <w:color w:val="000000" w:themeColor="text1"/>
          <w:sz w:val="20"/>
          <w:szCs w:val="20"/>
        </w:rPr>
      </w:pPr>
    </w:p>
    <w:p w14:paraId="6ECD96E6" w14:textId="77777777" w:rsidR="00426483" w:rsidRPr="000876F8" w:rsidRDefault="00426483" w:rsidP="00426483">
      <w:pPr>
        <w:spacing w:after="0" w:line="240" w:lineRule="auto"/>
        <w:ind w:left="709" w:right="709"/>
        <w:jc w:val="both"/>
        <w:rPr>
          <w:rFonts w:ascii="Verdana" w:eastAsia="Calibri" w:hAnsi="Verdana" w:cs="Arial"/>
          <w:color w:val="000000" w:themeColor="text1"/>
          <w:sz w:val="20"/>
          <w:szCs w:val="20"/>
        </w:rPr>
      </w:pPr>
      <w:r>
        <w:rPr>
          <w:rFonts w:ascii="Verdana" w:eastAsia="Calibri" w:hAnsi="Verdana" w:cs="Arial"/>
          <w:color w:val="000000" w:themeColor="text1"/>
          <w:sz w:val="20"/>
          <w:szCs w:val="20"/>
        </w:rPr>
        <w:t>e.</w:t>
      </w:r>
      <w:r w:rsidRPr="000876F8">
        <w:rPr>
          <w:rFonts w:ascii="Verdana" w:eastAsia="Calibri" w:hAnsi="Verdana" w:cs="Arial"/>
          <w:color w:val="000000" w:themeColor="text1"/>
          <w:sz w:val="20"/>
          <w:szCs w:val="20"/>
        </w:rPr>
        <w:t xml:space="preserve"> Además, desde los mismos estudios previos la entidad estatal contratista sabe que su posición contractual es la de contratista colaborador de la Administración, la cual en virtud de sus deberes de control y dirección del contrato actúa en una posición de preeminencia; </w:t>
      </w:r>
    </w:p>
    <w:p w14:paraId="6022E502" w14:textId="77777777" w:rsidR="00426483" w:rsidRPr="000876F8" w:rsidRDefault="00426483" w:rsidP="00426483">
      <w:pPr>
        <w:spacing w:after="0" w:line="240" w:lineRule="auto"/>
        <w:ind w:left="709" w:right="709" w:firstLine="709"/>
        <w:jc w:val="both"/>
        <w:rPr>
          <w:rFonts w:ascii="Verdana" w:eastAsia="Calibri" w:hAnsi="Verdana" w:cs="Arial"/>
          <w:color w:val="000000" w:themeColor="text1"/>
          <w:sz w:val="20"/>
          <w:szCs w:val="20"/>
        </w:rPr>
      </w:pPr>
    </w:p>
    <w:p w14:paraId="35B87217" w14:textId="77777777" w:rsidR="00426483" w:rsidRPr="000876F8" w:rsidRDefault="00426483" w:rsidP="00426483">
      <w:pPr>
        <w:spacing w:after="0" w:line="240" w:lineRule="auto"/>
        <w:ind w:left="709" w:right="709"/>
        <w:jc w:val="both"/>
        <w:rPr>
          <w:rFonts w:ascii="Verdana" w:eastAsia="Calibri" w:hAnsi="Verdana" w:cs="Arial"/>
          <w:color w:val="000000" w:themeColor="text1"/>
          <w:sz w:val="20"/>
          <w:szCs w:val="20"/>
        </w:rPr>
      </w:pPr>
      <w:r w:rsidRPr="000876F8">
        <w:rPr>
          <w:rFonts w:ascii="Verdana" w:eastAsia="Calibri" w:hAnsi="Verdana" w:cs="Arial"/>
          <w:color w:val="000000" w:themeColor="text1"/>
          <w:sz w:val="20"/>
          <w:szCs w:val="20"/>
        </w:rPr>
        <w:t>f. Dado que los artículos 17 de la Ley 1150 de 2007 y 86 de la Ley 1474 de 2011 establecen una potestad pública que tiene como consecuencia la imposición de sanciones, su interpretación es restrictiva y, por lo mismo, se observa que no distinguen ni consagran excepciones frente al tipo de contrato estatal ni frente a la calidad del contratista. La noción “contrato” corresponde a todo tipo de contratos estatales cuya ejecución se rige por el Estatuto General de Contratación de la Administración Pública, incluidos los interadministrativos, y “contratista”, no solo incluye a los particulares, sino a las entidades públicas que voluntariamente han asumido dicha posición contractual”</w:t>
      </w:r>
      <w:r>
        <w:rPr>
          <w:rStyle w:val="FootnoteReference"/>
          <w:rFonts w:ascii="Verdana" w:eastAsia="Calibri" w:hAnsi="Verdana" w:cs="Arial"/>
          <w:color w:val="000000" w:themeColor="text1"/>
          <w:sz w:val="20"/>
          <w:szCs w:val="20"/>
        </w:rPr>
        <w:footnoteReference w:id="6"/>
      </w:r>
      <w:r w:rsidRPr="000876F8">
        <w:rPr>
          <w:rFonts w:ascii="Verdana" w:eastAsia="Calibri" w:hAnsi="Verdana" w:cs="Arial"/>
          <w:color w:val="000000" w:themeColor="text1"/>
          <w:sz w:val="20"/>
          <w:szCs w:val="20"/>
        </w:rPr>
        <w:t>.</w:t>
      </w:r>
    </w:p>
    <w:p w14:paraId="7FFDB990" w14:textId="77777777" w:rsidR="00426483" w:rsidRPr="000876F8" w:rsidRDefault="00426483" w:rsidP="00426483">
      <w:pPr>
        <w:spacing w:after="0" w:line="276" w:lineRule="auto"/>
        <w:ind w:firstLine="709"/>
        <w:jc w:val="both"/>
        <w:rPr>
          <w:rFonts w:ascii="Verdana" w:eastAsia="Calibri" w:hAnsi="Verdana" w:cs="Arial"/>
          <w:color w:val="000000" w:themeColor="text1"/>
        </w:rPr>
      </w:pPr>
    </w:p>
    <w:p w14:paraId="43C4C804" w14:textId="3263FD1A" w:rsidR="00426483" w:rsidRPr="000876F8" w:rsidRDefault="00426483" w:rsidP="00426483">
      <w:pPr>
        <w:spacing w:after="0" w:line="276" w:lineRule="auto"/>
        <w:ind w:firstLine="709"/>
        <w:jc w:val="both"/>
        <w:rPr>
          <w:rFonts w:ascii="Verdana" w:eastAsia="Calibri" w:hAnsi="Verdana" w:cs="Arial"/>
          <w:color w:val="000000" w:themeColor="text1"/>
        </w:rPr>
      </w:pPr>
      <w:r w:rsidRPr="000876F8">
        <w:rPr>
          <w:rFonts w:ascii="Verdana" w:eastAsia="Calibri" w:hAnsi="Verdana" w:cs="Arial"/>
          <w:color w:val="000000" w:themeColor="text1"/>
        </w:rPr>
        <w:t>Respecto de los convenios interadministrativos, en atención a su naturaleza, finalidad y alcance que los hace diferentes de los contratos interadministrativos, la Sala</w:t>
      </w:r>
      <w:r w:rsidR="00982DBC">
        <w:rPr>
          <w:rFonts w:ascii="Verdana" w:eastAsia="Calibri" w:hAnsi="Verdana" w:cs="Arial"/>
          <w:color w:val="000000" w:themeColor="text1"/>
        </w:rPr>
        <w:t>,</w:t>
      </w:r>
      <w:r w:rsidRPr="000876F8">
        <w:rPr>
          <w:rFonts w:ascii="Verdana" w:eastAsia="Calibri" w:hAnsi="Verdana" w:cs="Arial"/>
          <w:color w:val="000000" w:themeColor="text1"/>
        </w:rPr>
        <w:t xml:space="preserve"> </w:t>
      </w:r>
      <w:r w:rsidR="00957EBF">
        <w:rPr>
          <w:rFonts w:ascii="Verdana" w:eastAsia="Calibri" w:hAnsi="Verdana" w:cs="Arial"/>
          <w:color w:val="000000" w:themeColor="text1"/>
        </w:rPr>
        <w:t>en el mismo concepto antes citado</w:t>
      </w:r>
      <w:r w:rsidR="00982DBC">
        <w:rPr>
          <w:rFonts w:ascii="Verdana" w:eastAsia="Calibri" w:hAnsi="Verdana" w:cs="Arial"/>
          <w:color w:val="000000" w:themeColor="text1"/>
        </w:rPr>
        <w:t>,</w:t>
      </w:r>
      <w:r w:rsidR="00957EBF">
        <w:rPr>
          <w:rFonts w:ascii="Verdana" w:eastAsia="Calibri" w:hAnsi="Verdana" w:cs="Arial"/>
          <w:color w:val="000000" w:themeColor="text1"/>
        </w:rPr>
        <w:t xml:space="preserve"> </w:t>
      </w:r>
      <w:r w:rsidRPr="000876F8">
        <w:rPr>
          <w:rFonts w:ascii="Verdana" w:eastAsia="Calibri" w:hAnsi="Verdana" w:cs="Arial"/>
          <w:color w:val="000000" w:themeColor="text1"/>
        </w:rPr>
        <w:t>estim</w:t>
      </w:r>
      <w:r w:rsidR="00957EBF">
        <w:rPr>
          <w:rFonts w:ascii="Verdana" w:eastAsia="Calibri" w:hAnsi="Verdana" w:cs="Arial"/>
          <w:color w:val="000000" w:themeColor="text1"/>
        </w:rPr>
        <w:t>ó</w:t>
      </w:r>
      <w:r w:rsidRPr="000876F8">
        <w:rPr>
          <w:rFonts w:ascii="Verdana" w:eastAsia="Calibri" w:hAnsi="Verdana" w:cs="Arial"/>
          <w:color w:val="000000" w:themeColor="text1"/>
        </w:rPr>
        <w:t xml:space="preserve"> que en relación con los mismos no es procedente ejercer la competencia unilateral de la Administración para la imposición de multas, sanciones y declaratorias de incumplimiento previstas en los artículos 17 de la Ley 1150 de 2007 y 86 de la Ley 1474 de 2011, porque: i) Los convenios no involucran un contenido patrimonial a título de remuneración o precio por la prestación de un servicio, el suministro de un bien o la realización de una obra a favor de una entidad por la </w:t>
      </w:r>
      <w:r w:rsidRPr="000876F8">
        <w:rPr>
          <w:rFonts w:ascii="Verdana" w:eastAsia="Calibri" w:hAnsi="Verdana" w:cs="Arial"/>
          <w:color w:val="000000" w:themeColor="text1"/>
        </w:rPr>
        <w:lastRenderedPageBreak/>
        <w:t xml:space="preserve">otra y, por ello, no tienen un interés puramente económico (es decir, destinados a obtener una ganancia); </w:t>
      </w:r>
      <w:proofErr w:type="spellStart"/>
      <w:r w:rsidRPr="000876F8">
        <w:rPr>
          <w:rFonts w:ascii="Verdana" w:eastAsia="Calibri" w:hAnsi="Verdana" w:cs="Arial"/>
          <w:color w:val="000000" w:themeColor="text1"/>
        </w:rPr>
        <w:t>ii</w:t>
      </w:r>
      <w:proofErr w:type="spellEnd"/>
      <w:r w:rsidRPr="000876F8">
        <w:rPr>
          <w:rFonts w:ascii="Verdana" w:eastAsia="Calibri" w:hAnsi="Verdana" w:cs="Arial"/>
          <w:color w:val="000000" w:themeColor="text1"/>
        </w:rPr>
        <w:t xml:space="preserve">) Su objeto es ejecutar actividades que contribuyen directamente al fin común de los sujetos vinculados al convenio, toda vez que cada entidad partícipe está vinculada desde su ámbito funcional con un ánimo de colaboración y cooperación; en tal sentido, las partes no tienen intereses contrapuestos; </w:t>
      </w:r>
      <w:proofErr w:type="spellStart"/>
      <w:r w:rsidRPr="000876F8">
        <w:rPr>
          <w:rFonts w:ascii="Verdana" w:eastAsia="Calibri" w:hAnsi="Verdana" w:cs="Arial"/>
          <w:color w:val="000000" w:themeColor="text1"/>
        </w:rPr>
        <w:t>iii</w:t>
      </w:r>
      <w:proofErr w:type="spellEnd"/>
      <w:r w:rsidRPr="000876F8">
        <w:rPr>
          <w:rFonts w:ascii="Verdana" w:eastAsia="Calibri" w:hAnsi="Verdana" w:cs="Arial"/>
          <w:color w:val="000000" w:themeColor="text1"/>
        </w:rPr>
        <w:t xml:space="preserve">) La voluntad de colaboración, cooperación y coordinación entre las entidades ocurre, por ende, en un plano de igualdad o equivalencia y, por lo mismo, no existe un ámbito de superioridad y, por ende, de control y dirección del “contratante” frente al “contratista”, como sí sucede con los contratos interadministrativos, y </w:t>
      </w:r>
      <w:proofErr w:type="spellStart"/>
      <w:r w:rsidRPr="000876F8">
        <w:rPr>
          <w:rFonts w:ascii="Verdana" w:eastAsia="Calibri" w:hAnsi="Verdana" w:cs="Arial"/>
          <w:color w:val="000000" w:themeColor="text1"/>
        </w:rPr>
        <w:t>iv</w:t>
      </w:r>
      <w:proofErr w:type="spellEnd"/>
      <w:r w:rsidRPr="000876F8">
        <w:rPr>
          <w:rFonts w:ascii="Verdana" w:eastAsia="Calibri" w:hAnsi="Verdana" w:cs="Arial"/>
          <w:color w:val="000000" w:themeColor="text1"/>
        </w:rPr>
        <w:t>) Por último, la noción de convenio interadministrativo es diferente a la de contrato interadministrativo, según se estudió, por lo que no es posible establecer extensiones o analogías en la interpretación de una competencia unilateral y sancionatoria habida cuenta de su carácter restrictivo</w:t>
      </w:r>
      <w:r>
        <w:rPr>
          <w:rStyle w:val="FootnoteReference"/>
          <w:rFonts w:ascii="Verdana" w:eastAsia="Calibri" w:hAnsi="Verdana" w:cs="Arial"/>
          <w:color w:val="000000" w:themeColor="text1"/>
        </w:rPr>
        <w:footnoteReference w:id="7"/>
      </w:r>
      <w:r w:rsidRPr="000876F8">
        <w:rPr>
          <w:rFonts w:ascii="Verdana" w:eastAsia="Calibri" w:hAnsi="Verdana" w:cs="Arial"/>
          <w:color w:val="000000" w:themeColor="text1"/>
        </w:rPr>
        <w:t>.</w:t>
      </w:r>
    </w:p>
    <w:bookmarkEnd w:id="5"/>
    <w:p w14:paraId="6F3A2149" w14:textId="77777777" w:rsidR="00426483" w:rsidRPr="000876F8" w:rsidRDefault="00426483" w:rsidP="00426483">
      <w:pPr>
        <w:widowControl w:val="0"/>
        <w:autoSpaceDE w:val="0"/>
        <w:autoSpaceDN w:val="0"/>
        <w:spacing w:after="0" w:line="276" w:lineRule="auto"/>
        <w:jc w:val="both"/>
        <w:rPr>
          <w:rFonts w:ascii="Verdana" w:hAnsi="Verdana" w:cs="Arial"/>
        </w:rPr>
      </w:pPr>
    </w:p>
    <w:p w14:paraId="241BD393" w14:textId="77777777" w:rsidR="00426483" w:rsidRPr="000876F8" w:rsidRDefault="00426483" w:rsidP="00426483">
      <w:pPr>
        <w:pStyle w:val="ListParagraph"/>
        <w:numPr>
          <w:ilvl w:val="0"/>
          <w:numId w:val="16"/>
        </w:numPr>
        <w:tabs>
          <w:tab w:val="left" w:pos="142"/>
          <w:tab w:val="left" w:pos="284"/>
        </w:tabs>
        <w:spacing w:after="0" w:line="276" w:lineRule="auto"/>
        <w:contextualSpacing w:val="0"/>
        <w:jc w:val="both"/>
        <w:rPr>
          <w:rFonts w:ascii="Verdana" w:eastAsia="Century Gothic" w:hAnsi="Verdana" w:cs="Century Gothic"/>
          <w:b/>
          <w:bCs/>
        </w:rPr>
      </w:pPr>
      <w:r w:rsidRPr="000876F8">
        <w:rPr>
          <w:rFonts w:ascii="Verdana" w:eastAsia="Century Gothic" w:hAnsi="Verdana" w:cs="Century Gothic"/>
          <w:b/>
          <w:bCs/>
        </w:rPr>
        <w:t>Referencias normativas, jurisprudenciales y otras fuentes:</w:t>
      </w:r>
    </w:p>
    <w:p w14:paraId="5A90712A" w14:textId="77777777" w:rsidR="00426483" w:rsidRPr="000876F8" w:rsidRDefault="00426483" w:rsidP="00426483">
      <w:pPr>
        <w:widowControl w:val="0"/>
        <w:autoSpaceDE w:val="0"/>
        <w:autoSpaceDN w:val="0"/>
        <w:spacing w:after="0" w:line="276" w:lineRule="auto"/>
        <w:jc w:val="both"/>
        <w:rPr>
          <w:rFonts w:ascii="Verdana" w:hAnsi="Verdana" w:cs="Arial"/>
        </w:rPr>
      </w:pPr>
    </w:p>
    <w:tbl>
      <w:tblPr>
        <w:tblStyle w:val="TableGrid"/>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26483" w:rsidRPr="000876F8" w14:paraId="0B569D4D" w14:textId="77777777" w:rsidTr="001E7488">
        <w:trPr>
          <w:trHeight w:val="870"/>
        </w:trPr>
        <w:tc>
          <w:tcPr>
            <w:tcW w:w="8647" w:type="dxa"/>
          </w:tcPr>
          <w:p w14:paraId="72522C06" w14:textId="77777777" w:rsidR="00426483" w:rsidRPr="000876F8" w:rsidRDefault="00426483" w:rsidP="00426483">
            <w:pPr>
              <w:pStyle w:val="ListParagraph"/>
              <w:numPr>
                <w:ilvl w:val="0"/>
                <w:numId w:val="17"/>
              </w:numPr>
              <w:spacing w:line="276" w:lineRule="auto"/>
              <w:ind w:left="360"/>
              <w:jc w:val="both"/>
              <w:rPr>
                <w:rFonts w:ascii="Verdana" w:eastAsia="Calibri" w:hAnsi="Verdana" w:cs="Arial"/>
                <w:color w:val="000000" w:themeColor="text1"/>
                <w:lang w:val="es-ES_tradnl"/>
              </w:rPr>
            </w:pPr>
            <w:r w:rsidRPr="000876F8">
              <w:rPr>
                <w:rFonts w:ascii="Verdana" w:eastAsia="Calibri" w:hAnsi="Verdana" w:cs="Arial"/>
                <w:color w:val="000000" w:themeColor="text1"/>
              </w:rPr>
              <w:t xml:space="preserve">Ley 1150 de 2007: Artículo 2, numeral 4, literal c)– modificado por el artículo 92 de la Ley 1474 de 2011. </w:t>
            </w:r>
          </w:p>
          <w:p w14:paraId="556FE53A" w14:textId="77777777" w:rsidR="00426483" w:rsidRPr="000876F8" w:rsidRDefault="00426483" w:rsidP="001E7488">
            <w:pPr>
              <w:spacing w:line="276" w:lineRule="auto"/>
              <w:jc w:val="both"/>
              <w:rPr>
                <w:rFonts w:ascii="Verdana" w:hAnsi="Verdana" w:cs="Arial"/>
              </w:rPr>
            </w:pPr>
          </w:p>
          <w:p w14:paraId="40B9D66F" w14:textId="77777777" w:rsidR="00426483" w:rsidRPr="000876F8" w:rsidRDefault="00426483" w:rsidP="00426483">
            <w:pPr>
              <w:pStyle w:val="ListParagraph"/>
              <w:numPr>
                <w:ilvl w:val="0"/>
                <w:numId w:val="17"/>
              </w:numPr>
              <w:spacing w:line="276" w:lineRule="auto"/>
              <w:ind w:left="360"/>
              <w:jc w:val="both"/>
              <w:rPr>
                <w:rFonts w:ascii="Verdana" w:hAnsi="Verdana" w:cs="Arial"/>
              </w:rPr>
            </w:pPr>
            <w:r w:rsidRPr="000876F8">
              <w:rPr>
                <w:rFonts w:ascii="Verdana" w:hAnsi="Verdana" w:cs="Arial"/>
              </w:rPr>
              <w:t>Ley 1150 de 2007: Artículo 14 – modificado por el artículo 93 de la Ley 1474 de 2011.</w:t>
            </w:r>
          </w:p>
          <w:p w14:paraId="34643D89" w14:textId="77777777" w:rsidR="00426483" w:rsidRPr="000876F8" w:rsidRDefault="00426483" w:rsidP="001E7488">
            <w:pPr>
              <w:spacing w:line="276" w:lineRule="auto"/>
              <w:jc w:val="both"/>
              <w:rPr>
                <w:rFonts w:ascii="Verdana" w:hAnsi="Verdana" w:cs="Arial"/>
              </w:rPr>
            </w:pPr>
          </w:p>
          <w:p w14:paraId="0499891D" w14:textId="77777777" w:rsidR="00426483" w:rsidRPr="000876F8" w:rsidRDefault="00426483" w:rsidP="00426483">
            <w:pPr>
              <w:pStyle w:val="ListParagraph"/>
              <w:numPr>
                <w:ilvl w:val="0"/>
                <w:numId w:val="17"/>
              </w:numPr>
              <w:spacing w:line="276" w:lineRule="auto"/>
              <w:ind w:left="360"/>
              <w:jc w:val="both"/>
              <w:rPr>
                <w:rFonts w:ascii="Verdana" w:hAnsi="Verdana" w:cs="Arial"/>
              </w:rPr>
            </w:pPr>
            <w:r w:rsidRPr="000876F8">
              <w:rPr>
                <w:rFonts w:ascii="Verdana" w:hAnsi="Verdana" w:cs="Arial"/>
                <w:color w:val="000000" w:themeColor="text1"/>
              </w:rPr>
              <w:t>Decreto 1082 de 2015: Artículo 2.2.1.2.1.4.4.</w:t>
            </w:r>
          </w:p>
          <w:p w14:paraId="112DD6EF" w14:textId="77777777" w:rsidR="00426483" w:rsidRPr="000876F8" w:rsidRDefault="00426483" w:rsidP="001E7488">
            <w:pPr>
              <w:spacing w:line="276" w:lineRule="auto"/>
              <w:ind w:hanging="360"/>
              <w:jc w:val="both"/>
              <w:rPr>
                <w:rFonts w:ascii="Verdana" w:eastAsia="Calibri" w:hAnsi="Verdana" w:cs="Arial"/>
                <w:color w:val="000000" w:themeColor="text1"/>
                <w:lang w:val="es-ES_tradnl"/>
              </w:rPr>
            </w:pPr>
          </w:p>
          <w:p w14:paraId="269B478C" w14:textId="77777777" w:rsidR="00426483" w:rsidRPr="000876F8" w:rsidRDefault="00426483" w:rsidP="00426483">
            <w:pPr>
              <w:pStyle w:val="ListParagraph"/>
              <w:numPr>
                <w:ilvl w:val="0"/>
                <w:numId w:val="17"/>
              </w:numPr>
              <w:spacing w:line="276" w:lineRule="auto"/>
              <w:ind w:left="360"/>
              <w:jc w:val="both"/>
              <w:rPr>
                <w:rFonts w:ascii="Verdana" w:hAnsi="Verdana"/>
              </w:rPr>
            </w:pPr>
            <w:r w:rsidRPr="000876F8">
              <w:rPr>
                <w:rFonts w:ascii="Verdana" w:hAnsi="Verdana" w:cs="Arial"/>
              </w:rPr>
              <w:t>Consejo de Estado. Sala de Consulta y Servicio Civil. Concepto de 28 de junio de 2012. Rad: 11001-03-06-000-2012-00016-00(2092). Consejero Ponente: William Zambrano Cetina.</w:t>
            </w:r>
          </w:p>
          <w:p w14:paraId="2E148C98" w14:textId="77777777" w:rsidR="00426483" w:rsidRPr="000876F8" w:rsidRDefault="00426483" w:rsidP="001E7488">
            <w:pPr>
              <w:spacing w:line="276" w:lineRule="auto"/>
              <w:ind w:left="-360"/>
              <w:jc w:val="both"/>
              <w:rPr>
                <w:rFonts w:ascii="Verdana" w:eastAsia="Calibri" w:hAnsi="Verdana" w:cs="Arial"/>
                <w:color w:val="000000" w:themeColor="text1"/>
                <w:lang w:val="es-ES_tradnl"/>
              </w:rPr>
            </w:pPr>
          </w:p>
          <w:p w14:paraId="4254DA5E" w14:textId="77777777" w:rsidR="00D36B29" w:rsidRPr="00D36B29" w:rsidRDefault="00426483" w:rsidP="00D36B29">
            <w:pPr>
              <w:pStyle w:val="ListParagraph"/>
              <w:numPr>
                <w:ilvl w:val="0"/>
                <w:numId w:val="17"/>
              </w:numPr>
              <w:spacing w:line="276" w:lineRule="auto"/>
              <w:ind w:left="360"/>
              <w:jc w:val="both"/>
              <w:rPr>
                <w:rFonts w:ascii="Verdana" w:hAnsi="Verdana"/>
                <w:lang w:val="es-ES_tradnl"/>
              </w:rPr>
            </w:pPr>
            <w:r w:rsidRPr="000876F8">
              <w:rPr>
                <w:rFonts w:ascii="Verdana" w:hAnsi="Verdana" w:cs="Arial"/>
              </w:rPr>
              <w:t xml:space="preserve">Consejo de Estado. Sala de la Contencioso Administrativo. Sección Tercera. Sentencia del 19 de agosto de 2004 </w:t>
            </w:r>
            <w:proofErr w:type="spellStart"/>
            <w:r w:rsidRPr="000876F8">
              <w:rPr>
                <w:rFonts w:ascii="Verdana" w:hAnsi="Verdana" w:cs="Arial"/>
              </w:rPr>
              <w:t>Exp</w:t>
            </w:r>
            <w:proofErr w:type="spellEnd"/>
            <w:r w:rsidRPr="000876F8">
              <w:rPr>
                <w:rFonts w:ascii="Verdana" w:hAnsi="Verdana" w:cs="Arial"/>
              </w:rPr>
              <w:t xml:space="preserve">. 12.342, reiterada en sentencia de 6 de febrero de 2006, </w:t>
            </w:r>
            <w:proofErr w:type="spellStart"/>
            <w:r w:rsidRPr="000876F8">
              <w:rPr>
                <w:rFonts w:ascii="Verdana" w:hAnsi="Verdana" w:cs="Arial"/>
              </w:rPr>
              <w:t>Exp</w:t>
            </w:r>
            <w:proofErr w:type="spellEnd"/>
            <w:r w:rsidRPr="000876F8">
              <w:rPr>
                <w:rFonts w:ascii="Verdana" w:hAnsi="Verdana" w:cs="Arial"/>
              </w:rPr>
              <w:t>. 13.414.</w:t>
            </w:r>
          </w:p>
          <w:p w14:paraId="4C4A2582" w14:textId="77777777" w:rsidR="00D36B29" w:rsidRPr="00D36B29" w:rsidRDefault="00D36B29" w:rsidP="00D36B29">
            <w:pPr>
              <w:pStyle w:val="ListParagraph"/>
              <w:rPr>
                <w:rFonts w:ascii="Verdana" w:hAnsi="Verdana"/>
                <w:lang w:val="es-ES_tradnl"/>
              </w:rPr>
            </w:pPr>
          </w:p>
          <w:p w14:paraId="656268AD" w14:textId="58058510" w:rsidR="00D36B29" w:rsidRPr="00D36B29" w:rsidRDefault="00D36B29" w:rsidP="00D36B29">
            <w:pPr>
              <w:pStyle w:val="ListParagraph"/>
              <w:numPr>
                <w:ilvl w:val="0"/>
                <w:numId w:val="17"/>
              </w:numPr>
              <w:spacing w:line="276" w:lineRule="auto"/>
              <w:ind w:left="360"/>
              <w:jc w:val="both"/>
              <w:rPr>
                <w:rFonts w:ascii="Verdana" w:hAnsi="Verdana"/>
                <w:lang w:val="es-ES_tradnl"/>
              </w:rPr>
            </w:pPr>
            <w:r w:rsidRPr="00D36B29">
              <w:rPr>
                <w:rFonts w:ascii="Verdana" w:hAnsi="Verdana" w:cs="Arial"/>
              </w:rPr>
              <w:t xml:space="preserve">Consejo de Estado. Sala de Consulta y Servicio Civil. Radicación interna: 2257 Número Único: 11001-03-06-000-2015-00102-0. 26 de julio de 2016. Consejero Ponente: Álvaro </w:t>
            </w:r>
            <w:proofErr w:type="spellStart"/>
            <w:r w:rsidRPr="00D36B29">
              <w:rPr>
                <w:rFonts w:ascii="Verdana" w:hAnsi="Verdana" w:cs="Arial"/>
              </w:rPr>
              <w:t>Namén</w:t>
            </w:r>
            <w:proofErr w:type="spellEnd"/>
            <w:r w:rsidRPr="00D36B29">
              <w:rPr>
                <w:rFonts w:ascii="Verdana" w:hAnsi="Verdana" w:cs="Arial"/>
              </w:rPr>
              <w:t xml:space="preserve"> Vargas.</w:t>
            </w:r>
          </w:p>
        </w:tc>
      </w:tr>
    </w:tbl>
    <w:p w14:paraId="14DD4E65" w14:textId="77777777" w:rsidR="00426483" w:rsidRPr="000876F8" w:rsidRDefault="00426483" w:rsidP="00426483">
      <w:pPr>
        <w:widowControl w:val="0"/>
        <w:autoSpaceDE w:val="0"/>
        <w:autoSpaceDN w:val="0"/>
        <w:spacing w:after="0" w:line="276" w:lineRule="auto"/>
        <w:jc w:val="both"/>
        <w:rPr>
          <w:rFonts w:ascii="Verdana" w:hAnsi="Verdana" w:cs="Arial"/>
        </w:rPr>
      </w:pPr>
    </w:p>
    <w:p w14:paraId="09152DBF" w14:textId="77777777" w:rsidR="00426483" w:rsidRPr="000876F8" w:rsidRDefault="00426483" w:rsidP="00426483">
      <w:pPr>
        <w:pStyle w:val="ListParagraph"/>
        <w:numPr>
          <w:ilvl w:val="0"/>
          <w:numId w:val="16"/>
        </w:numPr>
        <w:tabs>
          <w:tab w:val="left" w:pos="142"/>
          <w:tab w:val="left" w:pos="284"/>
        </w:tabs>
        <w:spacing w:after="0" w:line="276" w:lineRule="auto"/>
        <w:contextualSpacing w:val="0"/>
        <w:jc w:val="both"/>
        <w:rPr>
          <w:rFonts w:ascii="Verdana" w:eastAsia="Century Gothic" w:hAnsi="Verdana" w:cs="Century Gothic"/>
          <w:b/>
          <w:bCs/>
        </w:rPr>
      </w:pPr>
      <w:r w:rsidRPr="000876F8">
        <w:rPr>
          <w:rFonts w:ascii="Verdana" w:eastAsia="Century Gothic" w:hAnsi="Verdana" w:cs="Century Gothic"/>
          <w:b/>
          <w:bCs/>
        </w:rPr>
        <w:t>Doctrina de la Agencia Nacional de Contratación Pública:</w:t>
      </w:r>
    </w:p>
    <w:p w14:paraId="0C889C95" w14:textId="77777777" w:rsidR="00426483" w:rsidRPr="000876F8" w:rsidRDefault="00426483" w:rsidP="00426483">
      <w:pPr>
        <w:widowControl w:val="0"/>
        <w:autoSpaceDE w:val="0"/>
        <w:autoSpaceDN w:val="0"/>
        <w:spacing w:after="0" w:line="276" w:lineRule="auto"/>
        <w:jc w:val="both"/>
        <w:rPr>
          <w:rFonts w:ascii="Verdana" w:hAnsi="Verdana" w:cs="Arial"/>
        </w:rPr>
      </w:pPr>
    </w:p>
    <w:p w14:paraId="6FEBA956" w14:textId="77777777" w:rsidR="00426483" w:rsidRPr="000876F8" w:rsidRDefault="00426483" w:rsidP="00426483">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0876F8">
        <w:rPr>
          <w:rFonts w:ascii="Verdana" w:eastAsia="Calibri" w:hAnsi="Verdana" w:cs="Arial"/>
          <w:color w:val="000000" w:themeColor="text1"/>
          <w:lang w:eastAsia="es-ES_tradnl"/>
        </w:rPr>
        <w:t xml:space="preserve">La Agencia Nacional de Contratación Pública – Colombia Compra Eficiente </w:t>
      </w:r>
      <w:r w:rsidRPr="000876F8">
        <w:rPr>
          <w:rFonts w:ascii="Verdana" w:eastAsia="Arial" w:hAnsi="Verdana" w:cs="Arial"/>
          <w:lang w:val="es-MX" w:eastAsia="es-ES_tradnl"/>
        </w:rPr>
        <w:t xml:space="preserve">ha analizado diferentes aspectos </w:t>
      </w:r>
      <w:r w:rsidRPr="000876F8">
        <w:rPr>
          <w:rFonts w:ascii="Verdana" w:eastAsia="Times New Roman" w:hAnsi="Verdana" w:cs="Arial"/>
          <w:bCs/>
          <w:color w:val="000000" w:themeColor="text1"/>
          <w:lang w:val="es-MX" w:eastAsia="es-ES_tradnl"/>
        </w:rPr>
        <w:t xml:space="preserve">sobre el concepto y régimen jurídico aplicable a los contratos interadministrativos, entre otros, en los Conceptos: </w:t>
      </w:r>
      <w:r w:rsidRPr="000876F8">
        <w:rPr>
          <w:rFonts w:ascii="Verdana" w:eastAsia="Calibri" w:hAnsi="Verdana" w:cs="Arial"/>
          <w:color w:val="000000" w:themeColor="text1"/>
          <w:lang w:eastAsia="es-ES_tradnl"/>
        </w:rPr>
        <w:t xml:space="preserve">4201913000004536 del 27 de julio de 2019, C-023 del 3 de febrero de 2020, C-702 del 11 de diciembre de 2020, C-097 de 23 de marzo de 202, C-350 del 16 de julio de 2021, C-352 del 27 de julio de 2021, C-508 del 20 de septiembre de 2021, C-616 del 3 de noviembre de 2021, C-662 del 1 de diciembre de 2022, C-147 del 25 de julio de 2023, C-369 del 12 de septiembre de 2022. Sobre la excepción de celebrar contratos y convenios interadministrativos de forma directa establecida en el inciso segundo </w:t>
      </w:r>
      <w:r w:rsidRPr="000876F8">
        <w:rPr>
          <w:rFonts w:ascii="Verdana" w:eastAsia="Calibri" w:hAnsi="Verdana" w:cs="Arial"/>
          <w:color w:val="000000" w:themeColor="text1"/>
          <w:lang w:val="es-ES"/>
        </w:rPr>
        <w:t>artículo 2, numeral 4, literal c), de la mencionada ley – modificado por el artículo 92 de la Ley 1474 de 2011 – se ha pronunciado en los conceptos C-157 del 16 de marzo de 2020, C-593 del 9 de octubre de 2020, C-691 del 27 de noviembre de 2020, C-173 del 19 de abril de 2021, C-116 del 30 de marzo de 2021, C-149 del 8 de abril de 2021, C-284 del 16 de junio de 2021, C-508 del 20 de septiembre de 2021, C-033 del 27 de febrero de 2023, C-285 del 19 de julio de 2023, C-379 del 19 de octubre de 2023, C-004 del 22 de enero de 2024 y C-139 del 14 de agosto de 2024.</w:t>
      </w:r>
      <w:r w:rsidRPr="000876F8">
        <w:rPr>
          <w:rFonts w:ascii="Verdana" w:eastAsia="Times New Roman" w:hAnsi="Verdana" w:cs="Arial"/>
          <w:color w:val="000000"/>
          <w:shd w:val="clear" w:color="auto" w:fill="FFFFFF"/>
          <w:lang w:eastAsia="es-ES_tradnl"/>
        </w:rPr>
        <w:t xml:space="preserve"> Igualmente, </w:t>
      </w:r>
      <w:r w:rsidRPr="000876F8">
        <w:rPr>
          <w:rFonts w:ascii="Verdana" w:eastAsia="Times New Roman" w:hAnsi="Verdana" w:cs="Arial"/>
          <w:color w:val="000000"/>
          <w:shd w:val="clear" w:color="auto" w:fill="FFFFFF"/>
          <w:lang w:val="es-MX" w:eastAsia="es-ES_tradnl"/>
        </w:rPr>
        <w:t xml:space="preserve">se ha referido previamente al régimen contractual de las </w:t>
      </w:r>
      <w:r w:rsidRPr="000876F8">
        <w:rPr>
          <w:rFonts w:ascii="Verdana" w:eastAsia="Times New Roman" w:hAnsi="Verdana" w:cs="Arial"/>
          <w:color w:val="000000"/>
          <w:shd w:val="clear" w:color="auto" w:fill="FFFFFF"/>
          <w:lang w:eastAsia="es-ES_tradnl"/>
        </w:rPr>
        <w:t xml:space="preserve">empresas industriales </w:t>
      </w:r>
      <w:r w:rsidRPr="000876F8">
        <w:rPr>
          <w:rFonts w:ascii="Verdana" w:eastAsia="Times New Roman" w:hAnsi="Verdana" w:cs="Arial"/>
          <w:color w:val="000000"/>
          <w:shd w:val="clear" w:color="auto" w:fill="FFFFFF"/>
          <w:lang w:val="es-MX" w:eastAsia="es-ES_tradnl"/>
        </w:rPr>
        <w:t xml:space="preserve">y </w:t>
      </w:r>
      <w:r w:rsidRPr="000876F8">
        <w:rPr>
          <w:rFonts w:ascii="Verdana" w:eastAsia="Times New Roman" w:hAnsi="Verdana" w:cs="Arial"/>
          <w:color w:val="000000"/>
          <w:shd w:val="clear" w:color="auto" w:fill="FFFFFF"/>
          <w:lang w:eastAsia="es-ES_tradnl"/>
        </w:rPr>
        <w:t xml:space="preserve">comerciales </w:t>
      </w:r>
      <w:r w:rsidRPr="000876F8">
        <w:rPr>
          <w:rFonts w:ascii="Verdana" w:eastAsia="Times New Roman" w:hAnsi="Verdana" w:cs="Arial"/>
          <w:color w:val="000000"/>
          <w:shd w:val="clear" w:color="auto" w:fill="FFFFFF"/>
          <w:lang w:val="es-MX" w:eastAsia="es-ES_tradnl"/>
        </w:rPr>
        <w:t>del Estado, según desarrollen o no sus actividades en competencia con el sector privado o en mercados regulados, en los conceptos 4201913000001662, C</w:t>
      </w:r>
      <w:r w:rsidRPr="000876F8">
        <w:rPr>
          <w:rFonts w:ascii="Verdana" w:eastAsia="Times New Roman" w:hAnsi="Verdana" w:cs="Arial"/>
          <w:color w:val="000000"/>
          <w:shd w:val="clear" w:color="auto" w:fill="FFFFFF"/>
          <w:lang w:eastAsia="es-ES_tradnl"/>
        </w:rPr>
        <w:t>-</w:t>
      </w:r>
      <w:r w:rsidRPr="000876F8">
        <w:rPr>
          <w:rFonts w:ascii="Verdana" w:eastAsia="Times New Roman" w:hAnsi="Verdana" w:cs="Arial"/>
          <w:color w:val="000000"/>
          <w:shd w:val="clear" w:color="auto" w:fill="FFFFFF"/>
          <w:lang w:val="es-MX" w:eastAsia="es-ES_tradnl"/>
        </w:rPr>
        <w:t>251 del 27 de mayo de 2020, C-280 del 6 de julio de 2020, C</w:t>
      </w:r>
      <w:r w:rsidRPr="000876F8">
        <w:rPr>
          <w:rFonts w:ascii="Verdana" w:eastAsia="Times New Roman" w:hAnsi="Verdana" w:cs="Arial"/>
          <w:color w:val="000000"/>
          <w:shd w:val="clear" w:color="auto" w:fill="FFFFFF"/>
          <w:lang w:eastAsia="es-ES_tradnl"/>
        </w:rPr>
        <w:t>-</w:t>
      </w:r>
      <w:r w:rsidRPr="000876F8">
        <w:rPr>
          <w:rFonts w:ascii="Verdana" w:eastAsia="Times New Roman" w:hAnsi="Verdana" w:cs="Arial"/>
          <w:color w:val="000000"/>
          <w:shd w:val="clear" w:color="auto" w:fill="FFFFFF"/>
          <w:lang w:val="es-MX" w:eastAsia="es-ES_tradnl"/>
        </w:rPr>
        <w:t>253 del 2 de junio de 2021, C</w:t>
      </w:r>
      <w:r w:rsidRPr="000876F8">
        <w:rPr>
          <w:rFonts w:ascii="Verdana" w:eastAsia="Times New Roman" w:hAnsi="Verdana" w:cs="Arial"/>
          <w:color w:val="000000"/>
          <w:shd w:val="clear" w:color="auto" w:fill="FFFFFF"/>
          <w:lang w:eastAsia="es-ES_tradnl"/>
        </w:rPr>
        <w:t>-</w:t>
      </w:r>
      <w:r w:rsidRPr="000876F8">
        <w:rPr>
          <w:rFonts w:ascii="Verdana" w:eastAsia="Times New Roman" w:hAnsi="Verdana" w:cs="Arial"/>
          <w:color w:val="000000"/>
          <w:shd w:val="clear" w:color="auto" w:fill="FFFFFF"/>
          <w:lang w:val="es-MX" w:eastAsia="es-ES_tradnl"/>
        </w:rPr>
        <w:t>616 del 3 de noviembre de 2021, C-176 del 6 de abril de 2022</w:t>
      </w:r>
      <w:r w:rsidRPr="000876F8">
        <w:rPr>
          <w:rFonts w:ascii="Verdana" w:eastAsia="Times New Roman" w:hAnsi="Verdana" w:cs="Arial"/>
          <w:color w:val="000000"/>
          <w:shd w:val="clear" w:color="auto" w:fill="FFFFFF"/>
          <w:lang w:eastAsia="es-ES_tradnl"/>
        </w:rPr>
        <w:t xml:space="preserve">, </w:t>
      </w:r>
      <w:r w:rsidRPr="000876F8">
        <w:rPr>
          <w:rFonts w:ascii="Verdana" w:eastAsia="Calibri" w:hAnsi="Verdana" w:cs="Arial"/>
          <w:color w:val="000000" w:themeColor="text1"/>
          <w:lang w:eastAsia="es-ES_tradnl"/>
        </w:rPr>
        <w:t xml:space="preserve">C-369 del 12 de septiembre de 2022, </w:t>
      </w:r>
      <w:r w:rsidRPr="000876F8">
        <w:rPr>
          <w:rFonts w:ascii="Verdana" w:eastAsia="Times New Roman" w:hAnsi="Verdana" w:cs="Arial"/>
          <w:color w:val="000000"/>
          <w:shd w:val="clear" w:color="auto" w:fill="FFFFFF"/>
          <w:lang w:val="es-ES" w:eastAsia="es-ES_tradnl"/>
        </w:rPr>
        <w:t xml:space="preserve">entre otros. </w:t>
      </w:r>
      <w:r w:rsidRPr="000876F8">
        <w:rPr>
          <w:rStyle w:val="normaltextrun"/>
          <w:rFonts w:ascii="Verdana" w:hAnsi="Verdana" w:cs="Arial"/>
          <w:shd w:val="clear" w:color="auto" w:fill="FFFFFF"/>
          <w:lang w:val="es-ES"/>
        </w:rPr>
        <w:t>Es</w:t>
      </w:r>
      <w:r w:rsidRPr="000876F8">
        <w:rPr>
          <w:rFonts w:ascii="Verdana" w:hAnsi="Verdana"/>
        </w:rPr>
        <w:t>tos y otros conceptos se encuentran disponibles para consulta en el Sistema de relatoría de la Agencia, al cual se puede acceder a través del siguiente enlace:</w:t>
      </w:r>
      <w:r w:rsidRPr="000876F8">
        <w:rPr>
          <w:rStyle w:val="normaltextrun"/>
          <w:rFonts w:ascii="Verdana" w:hAnsi="Verdana" w:cs="Arial"/>
          <w:shd w:val="clear" w:color="auto" w:fill="FFFFFF"/>
          <w:lang w:val="es-ES"/>
        </w:rPr>
        <w:t xml:space="preserve"> </w:t>
      </w:r>
      <w:hyperlink r:id="rId12" w:history="1">
        <w:r w:rsidRPr="000876F8">
          <w:rPr>
            <w:rStyle w:val="Hyperlink"/>
            <w:rFonts w:ascii="Verdana" w:hAnsi="Verdana" w:cs="Arial"/>
            <w:shd w:val="clear" w:color="auto" w:fill="FFFFFF"/>
            <w:lang w:val="es-ES"/>
          </w:rPr>
          <w:t>https://relatoria.colombiacompra.gov.co/busqueda/conceptos</w:t>
        </w:r>
      </w:hyperlink>
      <w:r w:rsidRPr="000876F8">
        <w:rPr>
          <w:rStyle w:val="normaltextrun"/>
          <w:rFonts w:ascii="Verdana" w:hAnsi="Verdana" w:cs="Arial"/>
          <w:color w:val="FF0000"/>
          <w:shd w:val="clear" w:color="auto" w:fill="FFFFFF"/>
          <w:lang w:val="es-ES"/>
        </w:rPr>
        <w:t xml:space="preserve">. </w:t>
      </w:r>
    </w:p>
    <w:p w14:paraId="3ECC44B3" w14:textId="77777777" w:rsidR="00426483" w:rsidRPr="000876F8" w:rsidRDefault="00426483" w:rsidP="00426483">
      <w:pPr>
        <w:widowControl w:val="0"/>
        <w:autoSpaceDE w:val="0"/>
        <w:autoSpaceDN w:val="0"/>
        <w:spacing w:after="0" w:line="276" w:lineRule="auto"/>
        <w:jc w:val="both"/>
        <w:rPr>
          <w:rFonts w:ascii="Verdana" w:hAnsi="Verdana" w:cs="Arial"/>
        </w:rPr>
      </w:pPr>
    </w:p>
    <w:p w14:paraId="3D7455A1" w14:textId="77777777" w:rsidR="00426483" w:rsidRPr="000876F8" w:rsidRDefault="00426483" w:rsidP="00426483">
      <w:pPr>
        <w:widowControl w:val="0"/>
        <w:autoSpaceDE w:val="0"/>
        <w:autoSpaceDN w:val="0"/>
        <w:spacing w:after="0" w:line="276" w:lineRule="auto"/>
        <w:jc w:val="both"/>
        <w:rPr>
          <w:rFonts w:ascii="Verdana" w:hAnsi="Verdana" w:cs="Arial"/>
          <w:lang w:val="es-ES_tradnl"/>
        </w:rPr>
      </w:pPr>
      <w:r w:rsidRPr="000876F8">
        <w:rPr>
          <w:rFonts w:ascii="Verdana" w:hAnsi="Verdana" w:cs="Arial"/>
        </w:rPr>
        <w:t xml:space="preserve">Este concepto tiene el alcance previsto en el artículo 28 del Código de Procedimiento Administrativo y de lo Contencioso Administrativo </w:t>
      </w:r>
      <w:r w:rsidRPr="000876F8">
        <w:rPr>
          <w:rFonts w:ascii="Verdana" w:hAnsi="Verdana" w:cs="Arial"/>
          <w:lang w:val="es-ES_tradnl"/>
        </w:rPr>
        <w:t>y las expresiones aquí utilizadas con mayúscula inicial deben ser entendidas con el significado que les otorga el artículo 2.2.1.1.1.3.1. del Decreto 1082 de 2015.</w:t>
      </w:r>
    </w:p>
    <w:p w14:paraId="3305C9B8" w14:textId="77777777" w:rsidR="00426483" w:rsidRPr="000876F8" w:rsidRDefault="00426483" w:rsidP="00426483">
      <w:pPr>
        <w:widowControl w:val="0"/>
        <w:autoSpaceDE w:val="0"/>
        <w:autoSpaceDN w:val="0"/>
        <w:spacing w:after="0" w:line="276" w:lineRule="auto"/>
        <w:jc w:val="both"/>
        <w:rPr>
          <w:rFonts w:ascii="Verdana" w:hAnsi="Verdana" w:cs="Arial"/>
        </w:rPr>
      </w:pPr>
    </w:p>
    <w:p w14:paraId="00187595" w14:textId="77777777" w:rsidR="00426483" w:rsidRPr="000876F8" w:rsidRDefault="00426483" w:rsidP="00426483">
      <w:pPr>
        <w:spacing w:after="0" w:line="240" w:lineRule="auto"/>
        <w:rPr>
          <w:rFonts w:ascii="Verdana" w:hAnsi="Verdana" w:cs="Arial"/>
          <w:lang w:eastAsia="es-CO"/>
        </w:rPr>
      </w:pPr>
      <w:r w:rsidRPr="000876F8">
        <w:rPr>
          <w:rFonts w:ascii="Verdana" w:eastAsia="Times New Roman" w:hAnsi="Verdana" w:cs="Arial"/>
          <w:lang w:eastAsia="es-CO"/>
        </w:rPr>
        <w:t>Atentamente,</w:t>
      </w:r>
      <w:r w:rsidRPr="000876F8">
        <w:rPr>
          <w:rFonts w:ascii="Verdana" w:hAnsi="Verdana" w:cs="Arial"/>
          <w:lang w:eastAsia="es-CO"/>
        </w:rPr>
        <w:t xml:space="preserve"> </w:t>
      </w:r>
    </w:p>
    <w:p w14:paraId="45639185" w14:textId="7ABD9C98" w:rsidR="00426483" w:rsidRPr="000876F8" w:rsidRDefault="00F0703F" w:rsidP="00426483">
      <w:pPr>
        <w:spacing w:line="276" w:lineRule="auto"/>
        <w:jc w:val="center"/>
        <w:rPr>
          <w:rFonts w:ascii="Verdana" w:eastAsia="Times New Roman" w:hAnsi="Verdana" w:cs="Arial"/>
          <w:sz w:val="24"/>
          <w:szCs w:val="24"/>
          <w:lang w:eastAsia="es-ES"/>
        </w:rPr>
      </w:pPr>
      <w:r>
        <w:rPr>
          <w:noProof/>
        </w:rPr>
        <w:lastRenderedPageBreak/>
        <w:drawing>
          <wp:inline distT="0" distB="0" distL="0" distR="0" wp14:anchorId="572D5B25" wp14:editId="020E71E3">
            <wp:extent cx="3620770" cy="1016000"/>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rotWithShape="1">
                    <a:blip r:embed="rId13"/>
                    <a:srcRect t="18676" b="5719"/>
                    <a:stretch/>
                  </pic:blipFill>
                  <pic:spPr bwMode="auto">
                    <a:xfrm>
                      <a:off x="0" y="0"/>
                      <a:ext cx="3620770" cy="101600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426483" w:rsidRPr="000876F8" w14:paraId="36409741" w14:textId="77777777" w:rsidTr="001E7488">
        <w:trPr>
          <w:trHeight w:val="315"/>
        </w:trPr>
        <w:tc>
          <w:tcPr>
            <w:tcW w:w="893" w:type="dxa"/>
            <w:vAlign w:val="center"/>
            <w:hideMark/>
          </w:tcPr>
          <w:p w14:paraId="17D28498" w14:textId="77777777" w:rsidR="00426483" w:rsidRPr="000876F8" w:rsidRDefault="00426483" w:rsidP="001E7488">
            <w:pPr>
              <w:contextualSpacing/>
              <w:rPr>
                <w:rFonts w:ascii="Verdana" w:hAnsi="Verdana" w:cs="Arial"/>
                <w:sz w:val="16"/>
                <w:szCs w:val="16"/>
                <w:lang w:val="es-ES" w:eastAsia="es-ES"/>
              </w:rPr>
            </w:pPr>
            <w:r w:rsidRPr="000876F8">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2358434" w14:textId="77777777" w:rsidR="00426483" w:rsidRPr="000876F8" w:rsidRDefault="00426483" w:rsidP="001E7488">
            <w:pPr>
              <w:rPr>
                <w:rFonts w:ascii="Verdana" w:eastAsia="Arial" w:hAnsi="Verdana" w:cs="Arial"/>
                <w:sz w:val="16"/>
                <w:szCs w:val="16"/>
              </w:rPr>
            </w:pPr>
            <w:r w:rsidRPr="000876F8">
              <w:rPr>
                <w:rFonts w:ascii="Verdana" w:eastAsia="Arial" w:hAnsi="Verdana" w:cs="Arial"/>
                <w:sz w:val="16"/>
                <w:szCs w:val="16"/>
              </w:rPr>
              <w:t>Diana Lucia Saavedra Castañeda </w:t>
            </w:r>
          </w:p>
          <w:p w14:paraId="5A1D6F38" w14:textId="77777777" w:rsidR="00426483" w:rsidRPr="000876F8" w:rsidRDefault="00426483" w:rsidP="001E7488">
            <w:pPr>
              <w:contextualSpacing/>
              <w:rPr>
                <w:rFonts w:ascii="Verdana" w:eastAsia="Arial" w:hAnsi="Verdana" w:cs="Arial"/>
                <w:sz w:val="16"/>
                <w:szCs w:val="16"/>
              </w:rPr>
            </w:pPr>
            <w:r w:rsidRPr="000876F8">
              <w:rPr>
                <w:rFonts w:ascii="Verdana" w:eastAsia="Arial" w:hAnsi="Verdana" w:cs="Arial"/>
                <w:sz w:val="16"/>
                <w:szCs w:val="16"/>
              </w:rPr>
              <w:t>Contratista de la Subdirección de Gestión Contractual </w:t>
            </w:r>
          </w:p>
        </w:tc>
      </w:tr>
      <w:tr w:rsidR="00426483" w:rsidRPr="000876F8" w14:paraId="183D1236" w14:textId="77777777" w:rsidTr="001E7488">
        <w:trPr>
          <w:trHeight w:val="330"/>
        </w:trPr>
        <w:tc>
          <w:tcPr>
            <w:tcW w:w="893" w:type="dxa"/>
            <w:vAlign w:val="center"/>
            <w:hideMark/>
          </w:tcPr>
          <w:p w14:paraId="66F77646" w14:textId="77777777" w:rsidR="00426483" w:rsidRPr="000876F8" w:rsidRDefault="00426483" w:rsidP="001E7488">
            <w:pPr>
              <w:contextualSpacing/>
              <w:rPr>
                <w:rFonts w:ascii="Verdana" w:hAnsi="Verdana" w:cs="Arial"/>
                <w:sz w:val="16"/>
                <w:szCs w:val="16"/>
                <w:lang w:val="es-ES" w:eastAsia="es-ES"/>
              </w:rPr>
            </w:pPr>
            <w:r w:rsidRPr="000876F8">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E813738" w14:textId="77777777" w:rsidR="00426483" w:rsidRPr="000876F8" w:rsidRDefault="00426483" w:rsidP="001E7488">
            <w:pPr>
              <w:pStyle w:val="paragraph"/>
              <w:spacing w:before="0" w:beforeAutospacing="0" w:after="0" w:afterAutospacing="0"/>
              <w:contextualSpacing/>
              <w:textAlignment w:val="baseline"/>
              <w:rPr>
                <w:rFonts w:ascii="Verdana" w:hAnsi="Verdana" w:cs="Segoe UI"/>
                <w:sz w:val="16"/>
                <w:szCs w:val="16"/>
              </w:rPr>
            </w:pPr>
            <w:r w:rsidRPr="000876F8">
              <w:rPr>
                <w:rFonts w:ascii="Verdana" w:hAnsi="Verdana" w:cs="Segoe UI"/>
                <w:sz w:val="16"/>
                <w:szCs w:val="16"/>
              </w:rPr>
              <w:t xml:space="preserve">Alejandro Raúl Sarmiento Cantillo </w:t>
            </w:r>
          </w:p>
          <w:p w14:paraId="7E30265F" w14:textId="77777777" w:rsidR="00426483" w:rsidRPr="000876F8" w:rsidRDefault="00426483" w:rsidP="001E7488">
            <w:pPr>
              <w:pStyle w:val="paragraph"/>
              <w:spacing w:before="0" w:beforeAutospacing="0" w:after="0" w:afterAutospacing="0"/>
              <w:contextualSpacing/>
              <w:textAlignment w:val="baseline"/>
              <w:rPr>
                <w:rFonts w:ascii="Verdana" w:hAnsi="Verdana" w:cs="Segoe UI"/>
                <w:sz w:val="16"/>
                <w:szCs w:val="16"/>
              </w:rPr>
            </w:pPr>
            <w:r w:rsidRPr="000876F8">
              <w:rPr>
                <w:rFonts w:ascii="Verdana" w:hAnsi="Verdana" w:cs="Segoe UI"/>
                <w:sz w:val="16"/>
                <w:szCs w:val="16"/>
              </w:rPr>
              <w:t xml:space="preserve">Gestor Grado T1-15 </w:t>
            </w:r>
            <w:r w:rsidRPr="000876F8">
              <w:rPr>
                <w:rFonts w:ascii="Verdana" w:eastAsia="Arial" w:hAnsi="Verdana" w:cs="Arial"/>
                <w:sz w:val="16"/>
                <w:szCs w:val="16"/>
              </w:rPr>
              <w:t>de la Subdirección de Gestión Contractual </w:t>
            </w:r>
          </w:p>
        </w:tc>
      </w:tr>
      <w:tr w:rsidR="00426483" w:rsidRPr="000876F8" w14:paraId="6DFFDFF1" w14:textId="77777777" w:rsidTr="001E7488">
        <w:trPr>
          <w:trHeight w:val="300"/>
        </w:trPr>
        <w:tc>
          <w:tcPr>
            <w:tcW w:w="893" w:type="dxa"/>
            <w:vAlign w:val="center"/>
          </w:tcPr>
          <w:p w14:paraId="79F0534B" w14:textId="77777777" w:rsidR="00426483" w:rsidRPr="000876F8" w:rsidRDefault="00426483" w:rsidP="001E7488">
            <w:pPr>
              <w:contextualSpacing/>
              <w:rPr>
                <w:rFonts w:ascii="Verdana" w:hAnsi="Verdana" w:cs="Arial"/>
                <w:sz w:val="16"/>
                <w:szCs w:val="16"/>
                <w:lang w:val="es-ES" w:eastAsia="es-ES"/>
              </w:rPr>
            </w:pPr>
            <w:r w:rsidRPr="000876F8">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3B84E7F" w14:textId="77777777" w:rsidR="00426483" w:rsidRPr="000876F8" w:rsidRDefault="00426483" w:rsidP="001E7488">
            <w:pPr>
              <w:contextualSpacing/>
              <w:rPr>
                <w:rFonts w:ascii="Verdana" w:eastAsia="Calibri" w:hAnsi="Verdana" w:cs="Arial"/>
                <w:sz w:val="16"/>
                <w:szCs w:val="16"/>
                <w:lang w:val="pt-BR" w:eastAsia="es-ES"/>
              </w:rPr>
            </w:pPr>
            <w:r w:rsidRPr="000876F8">
              <w:rPr>
                <w:rFonts w:ascii="Verdana" w:eastAsia="Calibri" w:hAnsi="Verdana" w:cs="Arial"/>
                <w:sz w:val="16"/>
                <w:szCs w:val="16"/>
                <w:lang w:val="pt-BR" w:eastAsia="es-ES"/>
              </w:rPr>
              <w:t>Carolina Quintero Gacharná</w:t>
            </w:r>
          </w:p>
          <w:p w14:paraId="20A8277E" w14:textId="77777777" w:rsidR="00426483" w:rsidRPr="000876F8" w:rsidRDefault="00426483" w:rsidP="001E7488">
            <w:pPr>
              <w:contextualSpacing/>
              <w:rPr>
                <w:rFonts w:ascii="Verdana" w:eastAsia="Calibri" w:hAnsi="Verdana" w:cs="Arial"/>
                <w:sz w:val="16"/>
                <w:szCs w:val="16"/>
                <w:lang w:val="pt-BR" w:eastAsia="es-ES"/>
              </w:rPr>
            </w:pPr>
            <w:r w:rsidRPr="000876F8">
              <w:rPr>
                <w:rFonts w:ascii="Verdana" w:eastAsia="Calibri" w:hAnsi="Verdana" w:cs="Arial"/>
                <w:sz w:val="16"/>
                <w:szCs w:val="16"/>
                <w:lang w:eastAsia="es-ES"/>
              </w:rPr>
              <w:t>Subdirectora</w:t>
            </w:r>
            <w:r w:rsidRPr="000876F8">
              <w:rPr>
                <w:rFonts w:ascii="Verdana" w:eastAsia="Calibri" w:hAnsi="Verdana" w:cs="Arial"/>
                <w:sz w:val="16"/>
                <w:szCs w:val="16"/>
                <w:lang w:val="pt-BR" w:eastAsia="es-ES"/>
              </w:rPr>
              <w:t xml:space="preserve"> de Gestión Contractual ANCP – CCE</w:t>
            </w:r>
          </w:p>
        </w:tc>
      </w:tr>
      <w:bookmarkEnd w:id="0"/>
    </w:tbl>
    <w:p w14:paraId="0C3F1238" w14:textId="77777777" w:rsidR="00426483" w:rsidRPr="000876F8" w:rsidRDefault="00426483" w:rsidP="00426483">
      <w:pPr>
        <w:spacing w:after="0"/>
        <w:rPr>
          <w:rFonts w:ascii="Verdana" w:hAnsi="Verdana"/>
        </w:rPr>
      </w:pPr>
    </w:p>
    <w:p w14:paraId="6AAAB6F2" w14:textId="77777777" w:rsidR="00426483" w:rsidRPr="000876F8" w:rsidRDefault="00426483" w:rsidP="00426483">
      <w:pPr>
        <w:rPr>
          <w:rFonts w:ascii="Verdana" w:hAnsi="Verdana"/>
        </w:rPr>
      </w:pPr>
    </w:p>
    <w:p w14:paraId="3900974D" w14:textId="77777777" w:rsidR="003D5B0D" w:rsidRPr="00426483" w:rsidRDefault="003D5B0D" w:rsidP="00426483"/>
    <w:sectPr w:rsidR="003D5B0D" w:rsidRPr="00426483"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9C78C" w14:textId="77777777" w:rsidR="00C431B2" w:rsidRDefault="00C431B2" w:rsidP="004A1847">
      <w:pPr>
        <w:spacing w:after="0" w:line="240" w:lineRule="auto"/>
      </w:pPr>
      <w:r>
        <w:separator/>
      </w:r>
    </w:p>
  </w:endnote>
  <w:endnote w:type="continuationSeparator" w:id="0">
    <w:p w14:paraId="58A94816" w14:textId="77777777" w:rsidR="00C431B2" w:rsidRDefault="00C431B2" w:rsidP="004A1847">
      <w:pPr>
        <w:spacing w:after="0" w:line="240" w:lineRule="auto"/>
      </w:pPr>
      <w:r>
        <w:continuationSeparator/>
      </w:r>
    </w:p>
  </w:endnote>
  <w:endnote w:type="continuationNotice" w:id="1">
    <w:p w14:paraId="2662C17D" w14:textId="77777777" w:rsidR="00C431B2" w:rsidRDefault="00C431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20B0604020202020204"/>
    <w:charset w:val="00"/>
    <w:family w:val="modern"/>
    <w:pitch w:val="variable"/>
    <w:sig w:usb0="A000002F" w:usb1="1000004A" w:usb2="00000000" w:usb3="00000000" w:csb0="00000193" w:csb1="00000000"/>
  </w:font>
  <w:font w:name="Geomanist">
    <w:altName w:val="Calibri"/>
    <w:panose1 w:val="020B0604020202020204"/>
    <w:charset w:val="00"/>
    <w:family w:val="modern"/>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Footer"/>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219F2" w14:textId="77777777" w:rsidR="00C431B2" w:rsidRDefault="00C431B2" w:rsidP="004A1847">
      <w:pPr>
        <w:spacing w:after="0" w:line="240" w:lineRule="auto"/>
      </w:pPr>
      <w:r>
        <w:separator/>
      </w:r>
    </w:p>
  </w:footnote>
  <w:footnote w:type="continuationSeparator" w:id="0">
    <w:p w14:paraId="2F8FF866" w14:textId="77777777" w:rsidR="00C431B2" w:rsidRDefault="00C431B2" w:rsidP="004A1847">
      <w:pPr>
        <w:spacing w:after="0" w:line="240" w:lineRule="auto"/>
      </w:pPr>
      <w:r>
        <w:continuationSeparator/>
      </w:r>
    </w:p>
  </w:footnote>
  <w:footnote w:type="continuationNotice" w:id="1">
    <w:p w14:paraId="47034980" w14:textId="77777777" w:rsidR="00C431B2" w:rsidRDefault="00C431B2">
      <w:pPr>
        <w:spacing w:after="0" w:line="240" w:lineRule="auto"/>
      </w:pPr>
    </w:p>
  </w:footnote>
  <w:footnote w:id="2">
    <w:p w14:paraId="1414CDE3" w14:textId="77777777" w:rsidR="00426483" w:rsidRPr="004F2CEA" w:rsidRDefault="00426483" w:rsidP="00426483">
      <w:pPr>
        <w:pStyle w:val="FootnoteText"/>
        <w:ind w:firstLine="709"/>
        <w:contextualSpacing/>
        <w:jc w:val="both"/>
        <w:rPr>
          <w:rFonts w:ascii="Verdana" w:hAnsi="Verdana" w:cs="Arial"/>
          <w:color w:val="000000" w:themeColor="text1"/>
          <w:sz w:val="16"/>
          <w:szCs w:val="16"/>
        </w:rPr>
      </w:pPr>
      <w:r w:rsidRPr="004F2CEA">
        <w:rPr>
          <w:rStyle w:val="FootnoteReference"/>
          <w:rFonts w:ascii="Verdana" w:hAnsi="Verdana" w:cs="Arial"/>
          <w:color w:val="000000" w:themeColor="text1"/>
          <w:sz w:val="16"/>
          <w:szCs w:val="16"/>
        </w:rPr>
        <w:footnoteRef/>
      </w:r>
      <w:r w:rsidRPr="004F2CEA">
        <w:rPr>
          <w:rFonts w:ascii="Verdana" w:hAnsi="Verdana" w:cs="Arial"/>
          <w:color w:val="000000" w:themeColor="text1"/>
          <w:sz w:val="16"/>
          <w:szCs w:val="16"/>
        </w:rPr>
        <w:t xml:space="preserve"> Decreto 1082 de 2015: </w:t>
      </w:r>
      <w:r>
        <w:rPr>
          <w:rFonts w:ascii="Verdana" w:hAnsi="Verdana" w:cs="Arial"/>
          <w:color w:val="000000" w:themeColor="text1"/>
          <w:sz w:val="16"/>
          <w:szCs w:val="16"/>
        </w:rPr>
        <w:t>“</w:t>
      </w:r>
      <w:r w:rsidRPr="004F2CEA">
        <w:rPr>
          <w:rFonts w:ascii="Verdana" w:hAnsi="Verdana" w:cs="Arial"/>
          <w:color w:val="000000" w:themeColor="text1"/>
          <w:sz w:val="16"/>
          <w:szCs w:val="16"/>
        </w:rPr>
        <w:t>Artículo 2.2.1.2.1.4.4. Convenios o contratos interadministrativos. La modalidad de selección para la contratación entre Entidades Estatales es la contratación directa; y en consecuencia, le es aplicable lo establecido en el artículo 2.2.1.2.1.4.1 del presente decreto.</w:t>
      </w:r>
    </w:p>
    <w:p w14:paraId="7D2B2732" w14:textId="77777777" w:rsidR="00426483" w:rsidRDefault="00426483" w:rsidP="00426483">
      <w:pPr>
        <w:pStyle w:val="FootnoteText"/>
        <w:ind w:firstLine="709"/>
        <w:contextualSpacing/>
        <w:jc w:val="both"/>
        <w:rPr>
          <w:rFonts w:ascii="Verdana" w:hAnsi="Verdana" w:cs="Arial"/>
          <w:color w:val="000000" w:themeColor="text1"/>
          <w:sz w:val="16"/>
          <w:szCs w:val="16"/>
        </w:rPr>
      </w:pPr>
      <w:r w:rsidRPr="004F2CEA">
        <w:rPr>
          <w:rFonts w:ascii="Verdana" w:hAnsi="Verdana" w:cs="Arial"/>
          <w:color w:val="000000" w:themeColor="text1"/>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r>
        <w:rPr>
          <w:rFonts w:ascii="Verdana" w:hAnsi="Verdana" w:cs="Arial"/>
          <w:color w:val="000000" w:themeColor="text1"/>
          <w:sz w:val="16"/>
          <w:szCs w:val="16"/>
        </w:rPr>
        <w:t>”</w:t>
      </w:r>
      <w:r w:rsidRPr="004F2CEA">
        <w:rPr>
          <w:rFonts w:ascii="Verdana" w:hAnsi="Verdana" w:cs="Arial"/>
          <w:color w:val="000000" w:themeColor="text1"/>
          <w:sz w:val="16"/>
          <w:szCs w:val="16"/>
        </w:rPr>
        <w:t>.</w:t>
      </w:r>
    </w:p>
    <w:p w14:paraId="7B8BB008" w14:textId="77777777" w:rsidR="00426483" w:rsidRPr="004F2CEA" w:rsidRDefault="00426483" w:rsidP="00426483">
      <w:pPr>
        <w:pStyle w:val="FootnoteText"/>
        <w:ind w:firstLine="709"/>
        <w:contextualSpacing/>
        <w:jc w:val="both"/>
        <w:rPr>
          <w:rFonts w:ascii="Verdana" w:hAnsi="Verdana" w:cs="Arial"/>
          <w:color w:val="000000" w:themeColor="text1"/>
          <w:sz w:val="16"/>
          <w:szCs w:val="16"/>
        </w:rPr>
      </w:pPr>
    </w:p>
  </w:footnote>
  <w:footnote w:id="3">
    <w:p w14:paraId="38ED2150" w14:textId="77777777" w:rsidR="00426483" w:rsidRDefault="00426483" w:rsidP="00426483">
      <w:pPr>
        <w:spacing w:after="0" w:line="240" w:lineRule="auto"/>
        <w:ind w:firstLine="709"/>
        <w:contextualSpacing/>
        <w:jc w:val="both"/>
        <w:rPr>
          <w:rFonts w:ascii="Verdana" w:hAnsi="Verdana" w:cs="Arial"/>
          <w:color w:val="000000" w:themeColor="text1"/>
          <w:sz w:val="16"/>
          <w:szCs w:val="16"/>
        </w:rPr>
      </w:pPr>
      <w:r w:rsidRPr="004F2CEA">
        <w:rPr>
          <w:rStyle w:val="FootnoteReference"/>
          <w:rFonts w:ascii="Verdana" w:hAnsi="Verdana" w:cs="Arial"/>
          <w:color w:val="000000" w:themeColor="text1"/>
          <w:sz w:val="16"/>
          <w:szCs w:val="16"/>
        </w:rPr>
        <w:footnoteRef/>
      </w:r>
      <w:r w:rsidRPr="004F2CEA">
        <w:rPr>
          <w:rStyle w:val="FootnoteReference"/>
          <w:rFonts w:ascii="Verdana" w:hAnsi="Verdana" w:cs="Arial"/>
          <w:color w:val="000000" w:themeColor="text1"/>
          <w:sz w:val="16"/>
          <w:szCs w:val="16"/>
        </w:rPr>
        <w:t xml:space="preserve"> </w:t>
      </w:r>
      <w:r w:rsidRPr="004F2CEA">
        <w:rPr>
          <w:rFonts w:ascii="Verdana" w:hAnsi="Verdana" w:cs="Arial"/>
          <w:color w:val="000000" w:themeColor="text1"/>
          <w:sz w:val="16"/>
          <w:szCs w:val="16"/>
        </w:rPr>
        <w:t xml:space="preserve">Ley 1150 de 2007: </w:t>
      </w:r>
      <w:r>
        <w:rPr>
          <w:rFonts w:ascii="Verdana" w:hAnsi="Verdana" w:cs="Arial"/>
          <w:color w:val="000000" w:themeColor="text1"/>
          <w:sz w:val="16"/>
          <w:szCs w:val="16"/>
        </w:rPr>
        <w:t>“</w:t>
      </w:r>
      <w:r w:rsidRPr="004F2CEA">
        <w:rPr>
          <w:rFonts w:ascii="Verdana" w:hAnsi="Verdana" w:cs="Arial"/>
          <w:color w:val="000000" w:themeColor="text1"/>
          <w:sz w:val="16"/>
          <w:szCs w:val="16"/>
        </w:rPr>
        <w:t>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r>
        <w:rPr>
          <w:rFonts w:ascii="Verdana" w:hAnsi="Verdana" w:cs="Arial"/>
          <w:color w:val="000000" w:themeColor="text1"/>
          <w:sz w:val="16"/>
          <w:szCs w:val="16"/>
        </w:rPr>
        <w:t>”</w:t>
      </w:r>
      <w:r w:rsidRPr="004F2CEA">
        <w:rPr>
          <w:rFonts w:ascii="Verdana" w:hAnsi="Verdana" w:cs="Arial"/>
          <w:color w:val="000000" w:themeColor="text1"/>
          <w:sz w:val="16"/>
          <w:szCs w:val="16"/>
        </w:rPr>
        <w:t>.</w:t>
      </w:r>
    </w:p>
    <w:p w14:paraId="7C23BE05" w14:textId="77777777" w:rsidR="00426483" w:rsidRPr="004F2CEA" w:rsidRDefault="00426483" w:rsidP="00426483">
      <w:pPr>
        <w:spacing w:after="0" w:line="240" w:lineRule="auto"/>
        <w:ind w:firstLine="709"/>
        <w:contextualSpacing/>
        <w:jc w:val="both"/>
        <w:rPr>
          <w:rFonts w:ascii="Verdana" w:hAnsi="Verdana" w:cs="Arial"/>
          <w:color w:val="000000" w:themeColor="text1"/>
          <w:sz w:val="16"/>
          <w:szCs w:val="16"/>
        </w:rPr>
      </w:pPr>
    </w:p>
  </w:footnote>
  <w:footnote w:id="4">
    <w:p w14:paraId="023DBC5B" w14:textId="77777777" w:rsidR="00426483" w:rsidRDefault="00426483" w:rsidP="00426483">
      <w:pPr>
        <w:pStyle w:val="FootnoteText"/>
        <w:ind w:firstLine="709"/>
        <w:contextualSpacing/>
        <w:jc w:val="both"/>
        <w:rPr>
          <w:rFonts w:ascii="Verdana" w:hAnsi="Verdana" w:cs="Arial"/>
          <w:color w:val="000000" w:themeColor="text1"/>
          <w:sz w:val="16"/>
          <w:szCs w:val="16"/>
        </w:rPr>
      </w:pPr>
      <w:r w:rsidRPr="004F2CEA">
        <w:rPr>
          <w:rStyle w:val="FootnoteReference"/>
          <w:rFonts w:ascii="Verdana" w:hAnsi="Verdana" w:cs="Arial"/>
          <w:color w:val="000000" w:themeColor="text1"/>
          <w:sz w:val="16"/>
          <w:szCs w:val="16"/>
        </w:rPr>
        <w:footnoteRef/>
      </w:r>
      <w:r w:rsidRPr="004F2CEA">
        <w:rPr>
          <w:rFonts w:ascii="Verdana" w:hAnsi="Verdana" w:cs="Arial"/>
          <w:color w:val="000000" w:themeColor="text1"/>
          <w:sz w:val="16"/>
          <w:szCs w:val="16"/>
        </w:rPr>
        <w:t xml:space="preserve"> Código Civil: </w:t>
      </w:r>
      <w:r>
        <w:rPr>
          <w:rFonts w:ascii="Verdana" w:hAnsi="Verdana" w:cs="Arial"/>
          <w:color w:val="000000" w:themeColor="text1"/>
          <w:sz w:val="16"/>
          <w:szCs w:val="16"/>
        </w:rPr>
        <w:t>“</w:t>
      </w:r>
      <w:r w:rsidRPr="004F2CEA">
        <w:rPr>
          <w:rFonts w:ascii="Verdana" w:hAnsi="Verdana" w:cs="Arial"/>
          <w:color w:val="000000" w:themeColor="text1"/>
          <w:sz w:val="16"/>
          <w:szCs w:val="16"/>
        </w:rPr>
        <w:t>Artículo 27. Cuando el sentido de la ley sea claro, no se desatenderá su tenor a pretexto de consultar su espíritu</w:t>
      </w:r>
      <w:r>
        <w:rPr>
          <w:rFonts w:ascii="Verdana" w:hAnsi="Verdana" w:cs="Arial"/>
          <w:color w:val="000000" w:themeColor="text1"/>
          <w:sz w:val="16"/>
          <w:szCs w:val="16"/>
        </w:rPr>
        <w:t>”</w:t>
      </w:r>
      <w:r w:rsidRPr="004F2CEA">
        <w:rPr>
          <w:rFonts w:ascii="Verdana" w:hAnsi="Verdana" w:cs="Arial"/>
          <w:color w:val="000000" w:themeColor="text1"/>
          <w:sz w:val="16"/>
          <w:szCs w:val="16"/>
        </w:rPr>
        <w:t>.</w:t>
      </w:r>
    </w:p>
    <w:p w14:paraId="156FB053" w14:textId="77777777" w:rsidR="00426483" w:rsidRPr="007F47CC" w:rsidRDefault="00426483" w:rsidP="00426483">
      <w:pPr>
        <w:pStyle w:val="FootnoteText"/>
        <w:ind w:firstLine="709"/>
        <w:contextualSpacing/>
        <w:jc w:val="both"/>
        <w:rPr>
          <w:rFonts w:ascii="Verdana" w:hAnsi="Verdana" w:cs="Arial"/>
          <w:color w:val="000000" w:themeColor="text1"/>
          <w:sz w:val="16"/>
          <w:szCs w:val="16"/>
        </w:rPr>
      </w:pPr>
    </w:p>
  </w:footnote>
  <w:footnote w:id="5">
    <w:p w14:paraId="78CC1BA5" w14:textId="77777777" w:rsidR="00426483" w:rsidRDefault="00426483" w:rsidP="00426483">
      <w:pPr>
        <w:pStyle w:val="FootnoteText"/>
        <w:ind w:firstLine="709"/>
        <w:contextualSpacing/>
        <w:jc w:val="both"/>
        <w:rPr>
          <w:rFonts w:ascii="Verdana" w:hAnsi="Verdana" w:cs="Arial"/>
          <w:sz w:val="16"/>
          <w:szCs w:val="16"/>
        </w:rPr>
      </w:pPr>
      <w:r w:rsidRPr="004F2CEA">
        <w:rPr>
          <w:rStyle w:val="FootnoteReference"/>
          <w:rFonts w:ascii="Verdana" w:hAnsi="Verdana" w:cs="Arial"/>
          <w:sz w:val="16"/>
          <w:szCs w:val="16"/>
        </w:rPr>
        <w:footnoteRef/>
      </w:r>
      <w:r w:rsidRPr="004F2CEA">
        <w:rPr>
          <w:rFonts w:ascii="Verdana" w:hAnsi="Verdana" w:cs="Arial"/>
          <w:sz w:val="16"/>
          <w:szCs w:val="16"/>
        </w:rPr>
        <w:t xml:space="preserve"> Consejo de Estado. Sala de Consulta y Servicio Civil. Concepto de 28 de junio de 2012. Rad: 11001-03-06-000-2012-00016-00(2092). CP: William Zambrano Cetina. </w:t>
      </w:r>
    </w:p>
    <w:p w14:paraId="494D8253" w14:textId="77777777" w:rsidR="00426483" w:rsidRPr="004F2CEA" w:rsidRDefault="00426483" w:rsidP="00426483">
      <w:pPr>
        <w:pStyle w:val="FootnoteText"/>
        <w:ind w:firstLine="709"/>
        <w:contextualSpacing/>
        <w:jc w:val="both"/>
        <w:rPr>
          <w:rFonts w:ascii="Verdana" w:hAnsi="Verdana" w:cs="Arial"/>
          <w:sz w:val="16"/>
          <w:szCs w:val="16"/>
        </w:rPr>
      </w:pPr>
    </w:p>
  </w:footnote>
  <w:footnote w:id="6">
    <w:p w14:paraId="3D8D8DE2" w14:textId="77777777" w:rsidR="00426483" w:rsidRDefault="00426483" w:rsidP="00426483">
      <w:pPr>
        <w:pStyle w:val="FootnoteText"/>
        <w:ind w:firstLine="708"/>
      </w:pPr>
      <w:r>
        <w:rPr>
          <w:rStyle w:val="FootnoteReference"/>
        </w:rPr>
        <w:footnoteRef/>
      </w:r>
      <w:r>
        <w:t xml:space="preserve"> </w:t>
      </w:r>
      <w:r w:rsidRPr="000876F8">
        <w:rPr>
          <w:lang w:val="es-CO"/>
        </w:rPr>
        <w:t>Consejo de Estado</w:t>
      </w:r>
      <w:r>
        <w:rPr>
          <w:lang w:val="es-CO"/>
        </w:rPr>
        <w:t>.</w:t>
      </w:r>
      <w:r w:rsidRPr="000876F8">
        <w:rPr>
          <w:lang w:val="es-CO"/>
        </w:rPr>
        <w:t xml:space="preserve"> </w:t>
      </w:r>
      <w:r>
        <w:rPr>
          <w:lang w:val="es-CO"/>
        </w:rPr>
        <w:t>S</w:t>
      </w:r>
      <w:r w:rsidRPr="000876F8">
        <w:rPr>
          <w:lang w:val="es-CO"/>
        </w:rPr>
        <w:t>ala de Consulta y Servicio Civil</w:t>
      </w:r>
      <w:r>
        <w:rPr>
          <w:lang w:val="es-CO"/>
        </w:rPr>
        <w:t xml:space="preserve">. </w:t>
      </w:r>
      <w:r w:rsidRPr="000876F8">
        <w:rPr>
          <w:lang w:val="es-CO"/>
        </w:rPr>
        <w:t>Radicación interna: 2257 Número Único: 11001-03-06-000-2015-00102-0</w:t>
      </w:r>
      <w:r>
        <w:rPr>
          <w:lang w:val="es-CO"/>
        </w:rPr>
        <w:t>. 26 de julio de 2016.</w:t>
      </w:r>
      <w:r w:rsidRPr="000876F8">
        <w:rPr>
          <w:lang w:val="es-CO"/>
        </w:rPr>
        <w:t xml:space="preserve"> Consejero Ponente: Álvaro </w:t>
      </w:r>
      <w:proofErr w:type="spellStart"/>
      <w:r w:rsidRPr="000876F8">
        <w:rPr>
          <w:lang w:val="es-CO"/>
        </w:rPr>
        <w:t>Namén</w:t>
      </w:r>
      <w:proofErr w:type="spellEnd"/>
      <w:r w:rsidRPr="000876F8">
        <w:rPr>
          <w:lang w:val="es-CO"/>
        </w:rPr>
        <w:t xml:space="preserve"> Vargas</w:t>
      </w:r>
      <w:r>
        <w:t xml:space="preserve"> </w:t>
      </w:r>
    </w:p>
  </w:footnote>
  <w:footnote w:id="7">
    <w:p w14:paraId="7A88E7DF" w14:textId="77777777" w:rsidR="00426483" w:rsidRDefault="00426483" w:rsidP="00426483">
      <w:pPr>
        <w:pStyle w:val="FootnoteText"/>
        <w:ind w:firstLine="708"/>
      </w:pPr>
      <w:r>
        <w:rPr>
          <w:rStyle w:val="FootnoteReference"/>
        </w:rPr>
        <w:footnoteRef/>
      </w:r>
      <w:r>
        <w:t xml:space="preserve"> </w:t>
      </w:r>
      <w:r w:rsidRPr="000876F8">
        <w:rPr>
          <w:lang w:val="es-CO"/>
        </w:rPr>
        <w:t>Consejo de Estado</w:t>
      </w:r>
      <w:r>
        <w:rPr>
          <w:lang w:val="es-CO"/>
        </w:rPr>
        <w:t>.</w:t>
      </w:r>
      <w:r w:rsidRPr="000876F8">
        <w:rPr>
          <w:lang w:val="es-CO"/>
        </w:rPr>
        <w:t xml:space="preserve"> </w:t>
      </w:r>
      <w:r>
        <w:rPr>
          <w:lang w:val="es-CO"/>
        </w:rPr>
        <w:t>S</w:t>
      </w:r>
      <w:r w:rsidRPr="000876F8">
        <w:rPr>
          <w:lang w:val="es-CO"/>
        </w:rPr>
        <w:t>ala de Consulta y Servicio Civil</w:t>
      </w:r>
      <w:r>
        <w:rPr>
          <w:lang w:val="es-CO"/>
        </w:rPr>
        <w:t xml:space="preserve">. </w:t>
      </w:r>
      <w:r w:rsidRPr="000876F8">
        <w:rPr>
          <w:lang w:val="es-CO"/>
        </w:rPr>
        <w:t>Radicación interna: 2257 Número Único: 11001-03-06-000-2015-00102-0</w:t>
      </w:r>
      <w:r>
        <w:rPr>
          <w:lang w:val="es-CO"/>
        </w:rPr>
        <w:t>. 26 de julio de 2016.</w:t>
      </w:r>
      <w:r w:rsidRPr="000876F8">
        <w:rPr>
          <w:lang w:val="es-CO"/>
        </w:rPr>
        <w:t xml:space="preserve"> Consejero Ponente: Álvaro </w:t>
      </w:r>
      <w:proofErr w:type="spellStart"/>
      <w:r w:rsidRPr="000876F8">
        <w:rPr>
          <w:lang w:val="es-CO"/>
        </w:rPr>
        <w:t>Namén</w:t>
      </w:r>
      <w:proofErr w:type="spellEnd"/>
      <w:r w:rsidRPr="000876F8">
        <w:rPr>
          <w:lang w:val="es-CO"/>
        </w:rPr>
        <w:t xml:space="preserve"> Vargas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Header"/>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Header"/>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Heade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1B13"/>
      </v:shape>
    </w:pict>
  </w:numPicBullet>
  <w:abstractNum w:abstractNumId="0"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B5D22"/>
    <w:multiLevelType w:val="hybridMultilevel"/>
    <w:tmpl w:val="44003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BB586C"/>
    <w:multiLevelType w:val="multilevel"/>
    <w:tmpl w:val="DF7A0CDC"/>
    <w:lvl w:ilvl="0">
      <w:start w:val="1"/>
      <w:numFmt w:val="decimal"/>
      <w:lvlText w:val="%1."/>
      <w:lvlJc w:val="left"/>
      <w:pPr>
        <w:ind w:left="360" w:hanging="360"/>
      </w:pPr>
      <w:rPr>
        <w:b/>
        <w:color w:val="000000" w:themeColor="text1"/>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0"/>
  </w:num>
  <w:num w:numId="13" w16cid:durableId="1512908409">
    <w:abstractNumId w:val="3"/>
  </w:num>
  <w:num w:numId="14" w16cid:durableId="895897244">
    <w:abstractNumId w:val="14"/>
  </w:num>
  <w:num w:numId="15" w16cid:durableId="390349800">
    <w:abstractNumId w:val="10"/>
  </w:num>
  <w:num w:numId="16" w16cid:durableId="1748528177">
    <w:abstractNumId w:val="9"/>
  </w:num>
  <w:num w:numId="17" w16cid:durableId="1246694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554C0"/>
    <w:rsid w:val="00061B2A"/>
    <w:rsid w:val="00082362"/>
    <w:rsid w:val="000A683E"/>
    <w:rsid w:val="000B19B9"/>
    <w:rsid w:val="000D0334"/>
    <w:rsid w:val="000F6486"/>
    <w:rsid w:val="00102221"/>
    <w:rsid w:val="00125105"/>
    <w:rsid w:val="00127233"/>
    <w:rsid w:val="001511A0"/>
    <w:rsid w:val="001C5760"/>
    <w:rsid w:val="001E4177"/>
    <w:rsid w:val="001F7DC6"/>
    <w:rsid w:val="002421BB"/>
    <w:rsid w:val="0025796E"/>
    <w:rsid w:val="002707A2"/>
    <w:rsid w:val="002951A0"/>
    <w:rsid w:val="002962BC"/>
    <w:rsid w:val="002A093D"/>
    <w:rsid w:val="002A0DD0"/>
    <w:rsid w:val="002A2AC7"/>
    <w:rsid w:val="002A49AC"/>
    <w:rsid w:val="002A64FD"/>
    <w:rsid w:val="002C7A84"/>
    <w:rsid w:val="002E14CD"/>
    <w:rsid w:val="002E4FD9"/>
    <w:rsid w:val="00322A85"/>
    <w:rsid w:val="00324168"/>
    <w:rsid w:val="003448F4"/>
    <w:rsid w:val="00347D68"/>
    <w:rsid w:val="00374F5E"/>
    <w:rsid w:val="00377E3E"/>
    <w:rsid w:val="003A779E"/>
    <w:rsid w:val="003B1B09"/>
    <w:rsid w:val="003C7933"/>
    <w:rsid w:val="003D0F4D"/>
    <w:rsid w:val="003D5B0D"/>
    <w:rsid w:val="003E0499"/>
    <w:rsid w:val="003E6E1C"/>
    <w:rsid w:val="003F3941"/>
    <w:rsid w:val="00406575"/>
    <w:rsid w:val="00414C74"/>
    <w:rsid w:val="00426483"/>
    <w:rsid w:val="0042722E"/>
    <w:rsid w:val="0044528D"/>
    <w:rsid w:val="004A1847"/>
    <w:rsid w:val="004A305D"/>
    <w:rsid w:val="004A415F"/>
    <w:rsid w:val="004F21C4"/>
    <w:rsid w:val="004F685F"/>
    <w:rsid w:val="00503F0F"/>
    <w:rsid w:val="005232EB"/>
    <w:rsid w:val="005566E8"/>
    <w:rsid w:val="00574867"/>
    <w:rsid w:val="00581889"/>
    <w:rsid w:val="00584D41"/>
    <w:rsid w:val="00591460"/>
    <w:rsid w:val="005B3816"/>
    <w:rsid w:val="005C04DC"/>
    <w:rsid w:val="005C3777"/>
    <w:rsid w:val="005C5CDC"/>
    <w:rsid w:val="005D476C"/>
    <w:rsid w:val="005D7DAB"/>
    <w:rsid w:val="006219F8"/>
    <w:rsid w:val="00662E89"/>
    <w:rsid w:val="00665D70"/>
    <w:rsid w:val="006900D9"/>
    <w:rsid w:val="006C54BB"/>
    <w:rsid w:val="00706C16"/>
    <w:rsid w:val="00735A4D"/>
    <w:rsid w:val="00756841"/>
    <w:rsid w:val="007649AB"/>
    <w:rsid w:val="00771D0C"/>
    <w:rsid w:val="007833AC"/>
    <w:rsid w:val="007A25D3"/>
    <w:rsid w:val="007B268C"/>
    <w:rsid w:val="007B7171"/>
    <w:rsid w:val="007C0C0F"/>
    <w:rsid w:val="007C3DC2"/>
    <w:rsid w:val="007D34D5"/>
    <w:rsid w:val="007E5497"/>
    <w:rsid w:val="008053FB"/>
    <w:rsid w:val="00806F5F"/>
    <w:rsid w:val="00820278"/>
    <w:rsid w:val="00842CB9"/>
    <w:rsid w:val="008549A4"/>
    <w:rsid w:val="00865465"/>
    <w:rsid w:val="00867F95"/>
    <w:rsid w:val="008843B6"/>
    <w:rsid w:val="0088764D"/>
    <w:rsid w:val="00891928"/>
    <w:rsid w:val="008A446D"/>
    <w:rsid w:val="008D180B"/>
    <w:rsid w:val="008D5EF1"/>
    <w:rsid w:val="008F0EA7"/>
    <w:rsid w:val="00923EEF"/>
    <w:rsid w:val="009419F9"/>
    <w:rsid w:val="00950548"/>
    <w:rsid w:val="0095685E"/>
    <w:rsid w:val="00957EBF"/>
    <w:rsid w:val="00961B09"/>
    <w:rsid w:val="00964D58"/>
    <w:rsid w:val="00965334"/>
    <w:rsid w:val="0097093E"/>
    <w:rsid w:val="00982DBC"/>
    <w:rsid w:val="00986AC5"/>
    <w:rsid w:val="009A0DFA"/>
    <w:rsid w:val="009B2C1A"/>
    <w:rsid w:val="009B2D26"/>
    <w:rsid w:val="009C71FA"/>
    <w:rsid w:val="009C72E7"/>
    <w:rsid w:val="009D3058"/>
    <w:rsid w:val="009F3A13"/>
    <w:rsid w:val="00A122D3"/>
    <w:rsid w:val="00A17F13"/>
    <w:rsid w:val="00A20739"/>
    <w:rsid w:val="00A33C78"/>
    <w:rsid w:val="00A55A70"/>
    <w:rsid w:val="00A969FF"/>
    <w:rsid w:val="00AB0ADB"/>
    <w:rsid w:val="00AF7445"/>
    <w:rsid w:val="00B01B1A"/>
    <w:rsid w:val="00B34264"/>
    <w:rsid w:val="00B66319"/>
    <w:rsid w:val="00B72CD3"/>
    <w:rsid w:val="00B72FFF"/>
    <w:rsid w:val="00BC3D36"/>
    <w:rsid w:val="00BC5A0A"/>
    <w:rsid w:val="00BC7D99"/>
    <w:rsid w:val="00BD7F72"/>
    <w:rsid w:val="00C04FB3"/>
    <w:rsid w:val="00C24815"/>
    <w:rsid w:val="00C25BCF"/>
    <w:rsid w:val="00C330EB"/>
    <w:rsid w:val="00C41061"/>
    <w:rsid w:val="00C431B2"/>
    <w:rsid w:val="00C65AD0"/>
    <w:rsid w:val="00C754BE"/>
    <w:rsid w:val="00C76B1C"/>
    <w:rsid w:val="00CB0FDE"/>
    <w:rsid w:val="00CB6357"/>
    <w:rsid w:val="00CC1B26"/>
    <w:rsid w:val="00D114EE"/>
    <w:rsid w:val="00D36B29"/>
    <w:rsid w:val="00D423A2"/>
    <w:rsid w:val="00D520D8"/>
    <w:rsid w:val="00D63AC2"/>
    <w:rsid w:val="00D7383B"/>
    <w:rsid w:val="00DA231B"/>
    <w:rsid w:val="00DC39FC"/>
    <w:rsid w:val="00DF5254"/>
    <w:rsid w:val="00E16408"/>
    <w:rsid w:val="00E20894"/>
    <w:rsid w:val="00E245AB"/>
    <w:rsid w:val="00E2764C"/>
    <w:rsid w:val="00E27F2E"/>
    <w:rsid w:val="00E50137"/>
    <w:rsid w:val="00E50AFE"/>
    <w:rsid w:val="00E75C92"/>
    <w:rsid w:val="00E771DC"/>
    <w:rsid w:val="00E8772A"/>
    <w:rsid w:val="00E90F6B"/>
    <w:rsid w:val="00E92C27"/>
    <w:rsid w:val="00EA0E3D"/>
    <w:rsid w:val="00EC38A7"/>
    <w:rsid w:val="00ED7384"/>
    <w:rsid w:val="00EE1AA8"/>
    <w:rsid w:val="00F05E70"/>
    <w:rsid w:val="00F0703F"/>
    <w:rsid w:val="00F14261"/>
    <w:rsid w:val="00F31EDC"/>
    <w:rsid w:val="00F35D8C"/>
    <w:rsid w:val="00F462B3"/>
    <w:rsid w:val="00F5023C"/>
    <w:rsid w:val="00F5664F"/>
    <w:rsid w:val="00F666C4"/>
    <w:rsid w:val="00F76AFC"/>
    <w:rsid w:val="00F814FF"/>
    <w:rsid w:val="00F943E8"/>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customStyle="1" w:styleId="TextonotapieCar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Reference Char3,Texto nota pie Car2,F,R"/>
    <w:basedOn w:val="DefaultParagraphFont"/>
    <w:link w:val="Appelnotedebasde"/>
    <w:uiPriority w:val="99"/>
    <w:unhideWhenUsed/>
    <w:qFormat/>
    <w:rsid w:val="006219F8"/>
    <w:rPr>
      <w:vertAlign w:val="superscript"/>
    </w:rPr>
  </w:style>
  <w:style w:type="character" w:customStyle="1" w:styleId="normaltextrun">
    <w:name w:val="normaltextrun"/>
    <w:basedOn w:val="DefaultParagraphFont"/>
    <w:rsid w:val="006219F8"/>
  </w:style>
  <w:style w:type="table" w:styleId="TableGrid">
    <w:name w:val="Table Grid"/>
    <w:basedOn w:val="Table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itleChar">
    <w:name w:val="Title Char"/>
    <w:basedOn w:val="DefaultParagraphFont"/>
    <w:link w:val="Title"/>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DefaultParagraphFont"/>
    <w:rsid w:val="00DA231B"/>
  </w:style>
  <w:style w:type="character" w:styleId="Hyperlink">
    <w:name w:val="Hyperlink"/>
    <w:basedOn w:val="DefaultParagraphFont"/>
    <w:uiPriority w:val="99"/>
    <w:unhideWhenUsed/>
    <w:rsid w:val="00125105"/>
    <w:rPr>
      <w:color w:val="0000FF"/>
      <w:u w:val="single"/>
    </w:rPr>
  </w:style>
  <w:style w:type="character" w:styleId="FollowedHyperlink">
    <w:name w:val="FollowedHyperlink"/>
    <w:basedOn w:val="DefaultParagraphFont"/>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DefaultParagraphFont"/>
    <w:rsid w:val="00322A85"/>
  </w:style>
  <w:style w:type="character" w:customStyle="1" w:styleId="eop">
    <w:name w:val="eop"/>
    <w:basedOn w:val="DefaultParagraphFont"/>
    <w:rsid w:val="00322A85"/>
  </w:style>
  <w:style w:type="character" w:styleId="UnresolvedMention">
    <w:name w:val="Unresolved Mention"/>
    <w:basedOn w:val="DefaultParagraphFont"/>
    <w:uiPriority w:val="99"/>
    <w:semiHidden/>
    <w:unhideWhenUsed/>
    <w:rsid w:val="001F7DC6"/>
    <w:rPr>
      <w:color w:val="605E5C"/>
      <w:shd w:val="clear" w:color="auto" w:fill="E1DFDD"/>
    </w:rPr>
  </w:style>
  <w:style w:type="paragraph" w:styleId="NormalWeb">
    <w:name w:val="Normal (Web)"/>
    <w:basedOn w:val="Normal"/>
    <w:link w:val="NormalWebCh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on">
    <w:name w:val="Revision"/>
    <w:hidden/>
    <w:uiPriority w:val="99"/>
    <w:semiHidden/>
    <w:rsid w:val="009F3A13"/>
    <w:pPr>
      <w:spacing w:after="0" w:line="240" w:lineRule="auto"/>
    </w:pPr>
  </w:style>
  <w:style w:type="paragraph" w:customStyle="1" w:styleId="Appelnotedebasde">
    <w:name w:val="Appel note de bas de..."/>
    <w:basedOn w:val="Normal"/>
    <w:link w:val="FootnoteReference"/>
    <w:uiPriority w:val="99"/>
    <w:rsid w:val="00426483"/>
    <w:pPr>
      <w:spacing w:line="240" w:lineRule="exact"/>
    </w:pPr>
    <w:rPr>
      <w:vertAlign w:val="superscript"/>
    </w:r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426483"/>
    <w:rPr>
      <w:rFonts w:ascii="Geomanist Light" w:hAnsi="Geomanist Light"/>
      <w:lang w:val="es-ES"/>
    </w:rPr>
  </w:style>
  <w:style w:type="character" w:customStyle="1" w:styleId="NormalWebChar">
    <w:name w:val="Normal (Web) Char"/>
    <w:link w:val="NormalWeb"/>
    <w:uiPriority w:val="99"/>
    <w:rsid w:val="00426483"/>
    <w:rPr>
      <w:rFonts w:ascii="Times New Roman" w:eastAsia="Times New Roman" w:hAnsi="Times New Roman" w:cs="Times New Roman"/>
      <w:sz w:val="24"/>
      <w:szCs w:val="24"/>
      <w:lang w:eastAsia="es-CO"/>
    </w:rPr>
  </w:style>
  <w:style w:type="paragraph" w:styleId="BodyText">
    <w:name w:val="Body Text"/>
    <w:basedOn w:val="Normal"/>
    <w:link w:val="BodyTextChar"/>
    <w:uiPriority w:val="1"/>
    <w:qFormat/>
    <w:rsid w:val="00426483"/>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BodyTextChar">
    <w:name w:val="Body Text Char"/>
    <w:basedOn w:val="DefaultParagraphFont"/>
    <w:link w:val="BodyText"/>
    <w:uiPriority w:val="1"/>
    <w:rsid w:val="00426483"/>
    <w:rPr>
      <w:rFonts w:ascii="Arial" w:eastAsia="Arial" w:hAnsi="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ley_1150_2007.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62BE9-3D83-4D44-817A-ABDE6AAB6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purl.org/dc/dcmitype/"/>
    <ds:schemaRef ds:uri="http://purl.org/dc/terms/"/>
    <ds:schemaRef ds:uri="http://schemas.openxmlformats.org/package/2006/metadata/core-properties"/>
    <ds:schemaRef ds:uri="http://purl.org/dc/elements/1.1/"/>
    <ds:schemaRef ds:uri="36c82cfe-0eda-494d-b392-a9281b89aaf0"/>
    <ds:schemaRef ds:uri="http://schemas.microsoft.com/office/infopath/2007/PartnerControls"/>
    <ds:schemaRef ds:uri="http://schemas.microsoft.com/office/2006/documentManagement/types"/>
    <ds:schemaRef ds:uri="http://schemas.microsoft.com/office/2006/metadata/properties"/>
    <ds:schemaRef ds:uri="8ae15d26-076e-464e-81a7-6f76a0fb3917"/>
    <ds:schemaRef ds:uri="http://www.w3.org/XML/1998/namespace"/>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4071</Words>
  <Characters>23208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3</cp:revision>
  <cp:lastPrinted>2023-01-10T21:18:00Z</cp:lastPrinted>
  <dcterms:created xsi:type="dcterms:W3CDTF">2024-11-28T22:16:00Z</dcterms:created>
  <dcterms:modified xsi:type="dcterms:W3CDTF">2024-12-23T20:47:00Z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