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64EB5" w14:textId="77777777" w:rsidR="005E2D4A" w:rsidRPr="00396DBB" w:rsidRDefault="005E2D4A" w:rsidP="005E2D4A">
      <w:pPr>
        <w:pStyle w:val="Textoindependiente"/>
        <w:spacing w:after="0" w:line="240" w:lineRule="auto"/>
        <w:ind w:right="102"/>
        <w:jc w:val="both"/>
        <w:rPr>
          <w:rFonts w:ascii="Verdana" w:hAnsi="Verdana" w:cs="Arial"/>
          <w:b/>
          <w:color w:val="000000" w:themeColor="text1"/>
          <w:sz w:val="20"/>
          <w:szCs w:val="20"/>
          <w:lang w:val="es-ES_tradnl"/>
        </w:rPr>
      </w:pPr>
    </w:p>
    <w:p w14:paraId="30466181" w14:textId="77777777" w:rsidR="005E2D4A" w:rsidRPr="00396DBB" w:rsidRDefault="005E2D4A" w:rsidP="005E2D4A">
      <w:pPr>
        <w:pStyle w:val="Textoindependiente"/>
        <w:spacing w:after="0" w:line="240" w:lineRule="auto"/>
        <w:ind w:right="102"/>
        <w:jc w:val="both"/>
        <w:rPr>
          <w:rFonts w:ascii="Verdana" w:hAnsi="Verdana" w:cs="Arial"/>
          <w:b/>
          <w:color w:val="000000" w:themeColor="text1"/>
          <w:lang w:val="es-ES_tradnl"/>
        </w:rPr>
      </w:pPr>
      <w:r w:rsidRPr="00556245">
        <w:rPr>
          <w:rFonts w:ascii="Verdana" w:hAnsi="Verdana" w:cs="Arial"/>
          <w:b/>
          <w:color w:val="000000" w:themeColor="text1"/>
          <w:lang w:val="es-ES_tradnl"/>
        </w:rPr>
        <w:t>DIARIO ÚNICO DE CONTRATACIÓN PÚBLICA – Apéndice del Diario Oficial – Derogación</w:t>
      </w:r>
      <w:r w:rsidRPr="00396DBB">
        <w:rPr>
          <w:rFonts w:ascii="Verdana" w:hAnsi="Verdana" w:cs="Arial"/>
          <w:b/>
          <w:color w:val="000000" w:themeColor="text1"/>
          <w:lang w:val="es-ES_tradnl"/>
        </w:rPr>
        <w:t xml:space="preserve"> </w:t>
      </w:r>
    </w:p>
    <w:p w14:paraId="17174CFC" w14:textId="77777777" w:rsidR="005E2D4A" w:rsidRPr="00396DBB" w:rsidRDefault="005E2D4A" w:rsidP="005E2D4A">
      <w:pPr>
        <w:pStyle w:val="Textoindependiente"/>
        <w:spacing w:after="0" w:line="240" w:lineRule="auto"/>
        <w:ind w:right="102"/>
        <w:jc w:val="both"/>
        <w:rPr>
          <w:rFonts w:ascii="Verdana" w:hAnsi="Verdana" w:cs="Arial"/>
          <w:color w:val="000000" w:themeColor="text1"/>
          <w:sz w:val="20"/>
          <w:szCs w:val="20"/>
          <w:lang w:val="es-ES_tradnl"/>
        </w:rPr>
      </w:pPr>
    </w:p>
    <w:p w14:paraId="73F11F15" w14:textId="77777777" w:rsidR="005E2D4A" w:rsidRPr="00FB1576" w:rsidRDefault="005E2D4A" w:rsidP="005E2D4A">
      <w:pPr>
        <w:spacing w:after="0" w:line="240" w:lineRule="auto"/>
        <w:jc w:val="both"/>
        <w:rPr>
          <w:rFonts w:ascii="Verdana" w:eastAsia="Arial" w:hAnsi="Verdana" w:cs="Arial"/>
          <w:color w:val="000000" w:themeColor="text1"/>
          <w:sz w:val="20"/>
          <w:szCs w:val="20"/>
        </w:rPr>
      </w:pPr>
      <w:r w:rsidRPr="00556245">
        <w:rPr>
          <w:rFonts w:ascii="Verdana" w:eastAsia="Arial" w:hAnsi="Verdana" w:cs="Arial"/>
          <w:color w:val="000000" w:themeColor="text1"/>
          <w:sz w:val="20"/>
          <w:szCs w:val="20"/>
          <w:lang w:val="es-ES"/>
        </w:rPr>
        <w:t xml:space="preserve">De acuerdo con el artículo 94 de la Ley 30 de 1992, “[…] los contratos que celebren las universidades estatales u oficiales […] estarán sujetos a […] publicación en el Diario Oficial […]”. Esta norma debía concordarse con el artículo 59 de la Ley 190 de 1995, el cual estableció el Diario Único de Contratación Pública como un apéndice del Diario Oficial. Sin embargo, fue expresamente derogado por el artículo 225 del Decreto Ley 019 de 2012. En su lugar, el artículo 223 ibidem dispone lo siguiente: “A partir del primero de junio de 2012, los contratos estatales sólo se publicarán en el Sistema Electrónico para la Contratación Pública -SECOP- que administra la Agencia Nacional de Contratación Pública- Colombia Compra Eficiente. </w:t>
      </w:r>
      <w:r w:rsidRPr="00556245">
        <w:rPr>
          <w:rFonts w:ascii="Verdana" w:eastAsia="Arial" w:hAnsi="Verdana" w:cs="Arial"/>
          <w:i/>
          <w:iCs/>
          <w:color w:val="000000" w:themeColor="text1"/>
          <w:sz w:val="20"/>
          <w:szCs w:val="20"/>
          <w:lang w:val="es-ES"/>
        </w:rPr>
        <w:t>En consecuencia, a partir de dicha fecha los contratos estatales no requerirán de publicación en el Diario Único de Contratación</w:t>
      </w:r>
      <w:r w:rsidRPr="00556245">
        <w:rPr>
          <w:rFonts w:ascii="Verdana" w:eastAsia="Arial" w:hAnsi="Verdana" w:cs="Arial"/>
          <w:color w:val="000000" w:themeColor="text1"/>
          <w:sz w:val="20"/>
          <w:szCs w:val="20"/>
          <w:lang w:val="es-ES"/>
        </w:rPr>
        <w:t xml:space="preserve"> […]” (Énfasis fuera de texto). Es decir, eliminado el apéndice y sust</w:t>
      </w:r>
      <w:r>
        <w:rPr>
          <w:rFonts w:ascii="Verdana" w:eastAsia="Arial" w:hAnsi="Verdana" w:cs="Arial"/>
          <w:color w:val="000000" w:themeColor="text1"/>
          <w:sz w:val="20"/>
          <w:szCs w:val="20"/>
          <w:lang w:val="es-ES"/>
        </w:rPr>
        <w:t>it</w:t>
      </w:r>
      <w:r w:rsidRPr="00556245">
        <w:rPr>
          <w:rFonts w:ascii="Verdana" w:eastAsia="Arial" w:hAnsi="Verdana" w:cs="Arial"/>
          <w:color w:val="000000" w:themeColor="text1"/>
          <w:sz w:val="20"/>
          <w:szCs w:val="20"/>
          <w:lang w:val="es-ES"/>
        </w:rPr>
        <w:t>uido por el SECOP, desapareció la obligación de publicar la información contractual en el Diario Oficial</w:t>
      </w:r>
      <w:r w:rsidRPr="00BE364D">
        <w:rPr>
          <w:rFonts w:ascii="Verdana" w:eastAsia="Arial" w:hAnsi="Verdana" w:cs="Arial"/>
          <w:color w:val="000000" w:themeColor="text1"/>
          <w:sz w:val="20"/>
          <w:szCs w:val="20"/>
        </w:rPr>
        <w:t>.</w:t>
      </w:r>
      <w:r w:rsidRPr="00FB1576">
        <w:rPr>
          <w:rFonts w:ascii="Verdana" w:eastAsia="Arial" w:hAnsi="Verdana" w:cs="Arial"/>
          <w:color w:val="000000" w:themeColor="text1"/>
          <w:sz w:val="20"/>
          <w:szCs w:val="20"/>
        </w:rPr>
        <w:t xml:space="preserve"> </w:t>
      </w:r>
    </w:p>
    <w:p w14:paraId="04426A09" w14:textId="77777777" w:rsidR="005E2D4A" w:rsidRPr="00396DBB" w:rsidRDefault="005E2D4A" w:rsidP="005E2D4A">
      <w:pPr>
        <w:spacing w:after="0" w:line="240" w:lineRule="auto"/>
        <w:jc w:val="both"/>
        <w:rPr>
          <w:rFonts w:ascii="Verdana" w:eastAsia="Calibri" w:hAnsi="Verdana" w:cs="Arial"/>
          <w:b/>
          <w:color w:val="000000" w:themeColor="text1"/>
          <w:lang w:val="es-ES_tradnl"/>
        </w:rPr>
      </w:pPr>
    </w:p>
    <w:p w14:paraId="02EA830F" w14:textId="77777777" w:rsidR="005E2D4A" w:rsidRPr="00396DBB" w:rsidRDefault="005E2D4A" w:rsidP="005E2D4A">
      <w:pPr>
        <w:spacing w:after="0" w:line="240" w:lineRule="auto"/>
        <w:jc w:val="both"/>
        <w:rPr>
          <w:rFonts w:ascii="Verdana" w:eastAsia="Calibri" w:hAnsi="Verdana" w:cs="Arial"/>
          <w:b/>
          <w:color w:val="000000" w:themeColor="text1"/>
          <w:lang w:val="es-ES_tradnl"/>
        </w:rPr>
      </w:pPr>
      <w:r w:rsidRPr="00556245">
        <w:rPr>
          <w:rFonts w:ascii="Verdana" w:eastAsia="Calibri" w:hAnsi="Verdana" w:cs="Arial"/>
          <w:b/>
          <w:color w:val="000000" w:themeColor="text1"/>
          <w:lang w:val="es-ES_tradnl"/>
        </w:rPr>
        <w:t>PUBLICIDAD – SECOP II – Entidades exceptuadas</w:t>
      </w:r>
      <w:r>
        <w:rPr>
          <w:rFonts w:ascii="Verdana" w:eastAsia="Calibri" w:hAnsi="Verdana" w:cs="Arial"/>
          <w:b/>
          <w:color w:val="000000" w:themeColor="text1"/>
          <w:lang w:val="es-ES_tradnl"/>
        </w:rPr>
        <w:t xml:space="preserve"> </w:t>
      </w:r>
      <w:r w:rsidRPr="00396DBB">
        <w:rPr>
          <w:rFonts w:ascii="Verdana" w:eastAsia="Calibri" w:hAnsi="Verdana" w:cs="Arial"/>
          <w:b/>
          <w:color w:val="000000" w:themeColor="text1"/>
          <w:lang w:val="es-ES_tradnl"/>
        </w:rPr>
        <w:t xml:space="preserve"> </w:t>
      </w:r>
    </w:p>
    <w:p w14:paraId="79B29B3B" w14:textId="77777777" w:rsidR="005E2D4A" w:rsidRPr="00396DBB" w:rsidRDefault="005E2D4A" w:rsidP="005E2D4A">
      <w:pPr>
        <w:spacing w:after="0" w:line="240" w:lineRule="auto"/>
        <w:jc w:val="both"/>
        <w:rPr>
          <w:rFonts w:ascii="Verdana" w:eastAsia="Calibri" w:hAnsi="Verdana" w:cs="Arial"/>
          <w:bCs/>
          <w:color w:val="000000" w:themeColor="text1"/>
          <w:sz w:val="20"/>
          <w:szCs w:val="20"/>
          <w:lang w:val="es-ES_tradnl"/>
        </w:rPr>
      </w:pPr>
    </w:p>
    <w:p w14:paraId="53FA1CE6" w14:textId="17777512" w:rsidR="005E2D4A" w:rsidRPr="00396DBB" w:rsidRDefault="005E2D4A" w:rsidP="005E2D4A">
      <w:pPr>
        <w:spacing w:after="0" w:line="240" w:lineRule="auto"/>
        <w:jc w:val="both"/>
        <w:rPr>
          <w:rFonts w:ascii="Verdana" w:hAnsi="Verdana" w:cs="Arial"/>
          <w:color w:val="000000" w:themeColor="text1"/>
          <w:sz w:val="20"/>
          <w:szCs w:val="20"/>
          <w:lang w:val="es-ES_tradnl"/>
        </w:rPr>
      </w:pPr>
      <w:r>
        <w:rPr>
          <w:rFonts w:ascii="Verdana" w:hAnsi="Verdana" w:cs="Arial"/>
          <w:color w:val="000000" w:themeColor="text1"/>
          <w:sz w:val="20"/>
          <w:szCs w:val="20"/>
          <w:lang w:val="es-ES_tradnl"/>
        </w:rPr>
        <w:t xml:space="preserve">[…] </w:t>
      </w:r>
      <w:r w:rsidRPr="00556245">
        <w:rPr>
          <w:rFonts w:ascii="Verdana" w:hAnsi="Verdana" w:cs="Arial"/>
          <w:color w:val="000000" w:themeColor="text1"/>
          <w:sz w:val="20"/>
          <w:szCs w:val="20"/>
          <w:lang w:val="es-ES_tradnl"/>
        </w:rPr>
        <w:t xml:space="preserve">con la eliminación del Diario Único de Contratación Pública desapareció la obligación de publicar la gestión contractual en el Diario Oficial. En su lugar, el artículo 223 del Decreto Ley 019 de 2012 dispone que “[…] los contratos estatales </w:t>
      </w:r>
      <w:r w:rsidRPr="00556245">
        <w:rPr>
          <w:rFonts w:ascii="Verdana" w:hAnsi="Verdana" w:cs="Arial"/>
          <w:i/>
          <w:iCs/>
          <w:color w:val="000000" w:themeColor="text1"/>
          <w:sz w:val="20"/>
          <w:szCs w:val="20"/>
          <w:lang w:val="es-ES_tradnl"/>
        </w:rPr>
        <w:t>sólo</w:t>
      </w:r>
      <w:r w:rsidRPr="00556245">
        <w:rPr>
          <w:rFonts w:ascii="Verdana" w:hAnsi="Verdana" w:cs="Arial"/>
          <w:color w:val="000000" w:themeColor="text1"/>
          <w:sz w:val="20"/>
          <w:szCs w:val="20"/>
          <w:lang w:val="es-ES_tradnl"/>
        </w:rPr>
        <w:t xml:space="preserve"> se publicaran en el Sistema Electrónico para la Contratación Pública -SECOP- […]” (Énfasis fuera de texto), idea que se complementa con la Ley 1712 de 2014 y su decreto reglamentario. Como explica la Corte Constitucional, el Estatuto Antitrámite “[…] no suprime el deber de publicar el contrato estatal, sino que suprime una forma de realizarlo, eliminando la publicación en un medio escrito como el Diario Único de Contratación y optando por un medio electrónico, no impreso -Sistema Electrónico de Contratación Estatal, SECOP-, que cumple la misma finalidad de hacer público el conocimiento de dichos actos de la actuación contractual de la administración”. Ello modifica el alcance de lo previsto en el artículo 94 de la Ley 30 de 1992, especialmente, cuando el inciso segundo del artículo 13 de la Ley 1150 de 2007 –adicionado por el artículo 53 de la Ley 2195 de 2022– ordena a las entidades exceptuadas del EGCAP que publiquen su actividad contractual en el SECOP II o la plataforma transaccional que haga sus veces</w:t>
      </w:r>
      <w:r w:rsidRPr="00BE364D">
        <w:rPr>
          <w:rFonts w:ascii="Verdana" w:hAnsi="Verdana" w:cs="Arial"/>
          <w:color w:val="000000" w:themeColor="text1"/>
          <w:sz w:val="20"/>
          <w:szCs w:val="20"/>
        </w:rPr>
        <w:t>.</w:t>
      </w:r>
    </w:p>
    <w:p w14:paraId="77525711" w14:textId="77777777" w:rsidR="005E2D4A" w:rsidRPr="005E2D4A" w:rsidRDefault="005E2D4A" w:rsidP="00A24E6F">
      <w:pPr>
        <w:spacing w:after="0" w:line="240" w:lineRule="auto"/>
        <w:rPr>
          <w:rFonts w:ascii="Verdana" w:eastAsia="Geomanist Light" w:hAnsi="Verdana" w:cs="Arial"/>
          <w:color w:val="000000" w:themeColor="text1"/>
          <w:lang w:val="es-ES_tradnl"/>
        </w:rPr>
      </w:pPr>
    </w:p>
    <w:p w14:paraId="2022D4BB" w14:textId="77777777" w:rsidR="005E2D4A" w:rsidRDefault="005E2D4A" w:rsidP="00A24E6F">
      <w:pPr>
        <w:spacing w:after="0" w:line="240" w:lineRule="auto"/>
        <w:rPr>
          <w:rFonts w:ascii="Verdana" w:eastAsia="Geomanist Light" w:hAnsi="Verdana" w:cs="Arial"/>
          <w:color w:val="000000" w:themeColor="text1"/>
          <w:lang w:val="es-MX"/>
        </w:rPr>
      </w:pPr>
    </w:p>
    <w:p w14:paraId="249E7B46" w14:textId="77777777" w:rsidR="005E2D4A" w:rsidRDefault="005E2D4A" w:rsidP="00A24E6F">
      <w:pPr>
        <w:spacing w:after="0" w:line="240" w:lineRule="auto"/>
        <w:rPr>
          <w:rFonts w:ascii="Verdana" w:eastAsia="Geomanist Light" w:hAnsi="Verdana" w:cs="Arial"/>
          <w:color w:val="000000" w:themeColor="text1"/>
          <w:lang w:val="es-MX"/>
        </w:rPr>
      </w:pPr>
    </w:p>
    <w:p w14:paraId="6A9A91B5" w14:textId="77777777" w:rsidR="005E2D4A" w:rsidRDefault="005E2D4A" w:rsidP="00A24E6F">
      <w:pPr>
        <w:spacing w:after="0" w:line="240" w:lineRule="auto"/>
        <w:rPr>
          <w:rFonts w:ascii="Verdana" w:eastAsia="Geomanist Light" w:hAnsi="Verdana" w:cs="Arial"/>
          <w:color w:val="000000" w:themeColor="text1"/>
          <w:lang w:val="es-MX"/>
        </w:rPr>
      </w:pPr>
    </w:p>
    <w:p w14:paraId="6C9F667C" w14:textId="77777777" w:rsidR="005E2D4A" w:rsidRDefault="005E2D4A" w:rsidP="00A24E6F">
      <w:pPr>
        <w:spacing w:after="0" w:line="240" w:lineRule="auto"/>
        <w:rPr>
          <w:rFonts w:ascii="Verdana" w:eastAsia="Geomanist Light" w:hAnsi="Verdana" w:cs="Arial"/>
          <w:color w:val="000000" w:themeColor="text1"/>
          <w:lang w:val="es-MX"/>
        </w:rPr>
      </w:pPr>
    </w:p>
    <w:p w14:paraId="24020353" w14:textId="77777777" w:rsidR="005E2D4A" w:rsidRDefault="005E2D4A" w:rsidP="00A24E6F">
      <w:pPr>
        <w:spacing w:after="0" w:line="240" w:lineRule="auto"/>
        <w:rPr>
          <w:rFonts w:ascii="Verdana" w:eastAsia="Geomanist Light" w:hAnsi="Verdana" w:cs="Arial"/>
          <w:color w:val="000000" w:themeColor="text1"/>
          <w:lang w:val="es-MX"/>
        </w:rPr>
      </w:pPr>
    </w:p>
    <w:p w14:paraId="28373C4E" w14:textId="77777777" w:rsidR="005E2D4A" w:rsidRDefault="005E2D4A" w:rsidP="00A24E6F">
      <w:pPr>
        <w:spacing w:after="0" w:line="240" w:lineRule="auto"/>
        <w:rPr>
          <w:rFonts w:ascii="Verdana" w:eastAsia="Geomanist Light" w:hAnsi="Verdana" w:cs="Arial"/>
          <w:color w:val="000000" w:themeColor="text1"/>
          <w:lang w:val="es-MX"/>
        </w:rPr>
      </w:pPr>
    </w:p>
    <w:p w14:paraId="364EEC15" w14:textId="77777777" w:rsidR="005E2D4A" w:rsidRDefault="005E2D4A" w:rsidP="00A24E6F">
      <w:pPr>
        <w:spacing w:after="0" w:line="240" w:lineRule="auto"/>
        <w:rPr>
          <w:rFonts w:ascii="Verdana" w:eastAsia="Geomanist Light" w:hAnsi="Verdana" w:cs="Arial"/>
          <w:color w:val="000000" w:themeColor="text1"/>
          <w:lang w:val="es-MX"/>
        </w:rPr>
      </w:pPr>
    </w:p>
    <w:p w14:paraId="4866C585" w14:textId="77777777" w:rsidR="005E2D4A" w:rsidRDefault="005E2D4A" w:rsidP="00A24E6F">
      <w:pPr>
        <w:spacing w:after="0" w:line="240" w:lineRule="auto"/>
        <w:rPr>
          <w:rFonts w:ascii="Verdana" w:eastAsia="Geomanist Light" w:hAnsi="Verdana" w:cs="Arial"/>
          <w:color w:val="000000" w:themeColor="text1"/>
          <w:lang w:val="es-MX"/>
        </w:rPr>
      </w:pPr>
    </w:p>
    <w:p w14:paraId="0845B444" w14:textId="77777777" w:rsidR="005E2D4A" w:rsidRDefault="005E2D4A" w:rsidP="00A24E6F">
      <w:pPr>
        <w:spacing w:after="0" w:line="240" w:lineRule="auto"/>
        <w:rPr>
          <w:rFonts w:ascii="Verdana" w:eastAsia="Geomanist Light" w:hAnsi="Verdana" w:cs="Arial"/>
          <w:color w:val="000000" w:themeColor="text1"/>
          <w:lang w:val="es-MX"/>
        </w:rPr>
      </w:pPr>
    </w:p>
    <w:p w14:paraId="185F43F2" w14:textId="77777777" w:rsidR="005E2D4A" w:rsidRDefault="005E2D4A" w:rsidP="00A24E6F">
      <w:pPr>
        <w:spacing w:after="0" w:line="240" w:lineRule="auto"/>
        <w:rPr>
          <w:rFonts w:ascii="Verdana" w:eastAsia="Geomanist Light" w:hAnsi="Verdana" w:cs="Arial"/>
          <w:color w:val="000000" w:themeColor="text1"/>
          <w:lang w:val="es-MX"/>
        </w:rPr>
      </w:pPr>
    </w:p>
    <w:p w14:paraId="3852FBA7" w14:textId="77777777" w:rsidR="005E2D4A" w:rsidRDefault="005E2D4A" w:rsidP="00A24E6F">
      <w:pPr>
        <w:spacing w:after="0" w:line="240" w:lineRule="auto"/>
        <w:rPr>
          <w:rFonts w:ascii="Verdana" w:eastAsia="Geomanist Light" w:hAnsi="Verdana" w:cs="Arial"/>
          <w:color w:val="000000" w:themeColor="text1"/>
          <w:lang w:val="es-MX"/>
        </w:rPr>
      </w:pPr>
    </w:p>
    <w:p w14:paraId="08A7C811" w14:textId="19BE65C5" w:rsidR="00A24E6F" w:rsidRPr="00593A5F" w:rsidRDefault="00A24E6F" w:rsidP="00A24E6F">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742326" w:rsidRPr="00742326">
        <w:rPr>
          <w:rFonts w:ascii="Verdana" w:eastAsia="Geomanist Light" w:hAnsi="Verdana" w:cs="Arial"/>
          <w:color w:val="201F1E"/>
          <w:lang w:val="es-MX"/>
        </w:rPr>
        <w:t>18 de Octubre de 2024</w:t>
      </w:r>
    </w:p>
    <w:p w14:paraId="27B2F8E3" w14:textId="77777777" w:rsidR="00A24E6F" w:rsidRDefault="00A24E6F" w:rsidP="00A24E6F">
      <w:pPr>
        <w:spacing w:after="0" w:line="240" w:lineRule="auto"/>
        <w:jc w:val="both"/>
        <w:rPr>
          <w:rFonts w:ascii="Verdana" w:eastAsia="Calibri" w:hAnsi="Verdana" w:cs="Arial"/>
          <w:color w:val="000000"/>
          <w:lang w:val="es-ES"/>
        </w:rPr>
      </w:pPr>
    </w:p>
    <w:p w14:paraId="1802E599" w14:textId="14AC12C1" w:rsidR="00A24E6F" w:rsidRDefault="00742326" w:rsidP="00742326">
      <w:pPr>
        <w:spacing w:after="0" w:line="240" w:lineRule="auto"/>
        <w:jc w:val="right"/>
        <w:rPr>
          <w:rFonts w:ascii="Verdana" w:eastAsia="Calibri" w:hAnsi="Verdana" w:cs="Arial"/>
          <w:color w:val="000000"/>
          <w:lang w:val="es-ES"/>
        </w:rPr>
      </w:pPr>
      <w:r w:rsidRPr="00742326">
        <w:rPr>
          <w:rFonts w:ascii="Verdana" w:eastAsia="Calibri" w:hAnsi="Verdana" w:cs="Arial"/>
          <w:noProof/>
          <w:color w:val="000000"/>
          <w:lang w:val="es-ES"/>
        </w:rPr>
        <w:drawing>
          <wp:inline distT="0" distB="0" distL="0" distR="0" wp14:anchorId="285833C8" wp14:editId="5AC745F0">
            <wp:extent cx="3238500" cy="901700"/>
            <wp:effectExtent l="0" t="0" r="0" b="0"/>
            <wp:docPr id="1720351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51353" name=""/>
                    <pic:cNvPicPr/>
                  </pic:nvPicPr>
                  <pic:blipFill>
                    <a:blip r:embed="rId10"/>
                    <a:stretch>
                      <a:fillRect/>
                    </a:stretch>
                  </pic:blipFill>
                  <pic:spPr>
                    <a:xfrm>
                      <a:off x="0" y="0"/>
                      <a:ext cx="3238500" cy="901700"/>
                    </a:xfrm>
                    <a:prstGeom prst="rect">
                      <a:avLst/>
                    </a:prstGeom>
                  </pic:spPr>
                </pic:pic>
              </a:graphicData>
            </a:graphic>
          </wp:inline>
        </w:drawing>
      </w:r>
    </w:p>
    <w:p w14:paraId="45FBB7CB" w14:textId="77777777" w:rsidR="00742326" w:rsidRPr="00593A5F" w:rsidRDefault="00742326" w:rsidP="00A24E6F">
      <w:pPr>
        <w:spacing w:after="0" w:line="240" w:lineRule="auto"/>
        <w:jc w:val="both"/>
        <w:rPr>
          <w:rFonts w:ascii="Verdana" w:eastAsia="Calibri" w:hAnsi="Verdana" w:cs="Arial"/>
          <w:color w:val="000000"/>
          <w:lang w:val="es-ES"/>
        </w:rPr>
      </w:pPr>
    </w:p>
    <w:p w14:paraId="422EDCD9" w14:textId="77777777" w:rsidR="00A24E6F" w:rsidRPr="00B96799" w:rsidRDefault="00A24E6F" w:rsidP="00A24E6F">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w:t>
      </w:r>
      <w:r>
        <w:rPr>
          <w:rFonts w:ascii="Verdana" w:eastAsia="Calibri" w:hAnsi="Verdana" w:cs="Arial"/>
          <w:lang w:val="es-ES" w:eastAsia="es-ES"/>
        </w:rPr>
        <w:t>r</w:t>
      </w:r>
    </w:p>
    <w:p w14:paraId="1ADB4880" w14:textId="77777777" w:rsidR="00A24E6F" w:rsidRDefault="00A24E6F" w:rsidP="00A24E6F">
      <w:pPr>
        <w:spacing w:after="0" w:line="240" w:lineRule="auto"/>
        <w:rPr>
          <w:rFonts w:ascii="Verdana" w:eastAsia="Calibri" w:hAnsi="Verdana" w:cs="Arial"/>
          <w:b/>
          <w:lang w:val="es-ES_tradnl" w:eastAsia="es-ES_tradnl"/>
        </w:rPr>
      </w:pPr>
      <w:r w:rsidRPr="00C22833">
        <w:rPr>
          <w:rFonts w:ascii="Verdana" w:eastAsia="Calibri" w:hAnsi="Verdana" w:cs="Arial"/>
          <w:b/>
          <w:lang w:val="es-ES_tradnl" w:eastAsia="es-ES_tradnl"/>
        </w:rPr>
        <w:t>Ricardo Andrés Rodríguez Novoa</w:t>
      </w:r>
      <w:r>
        <w:rPr>
          <w:rFonts w:ascii="Verdana" w:eastAsia="Calibri" w:hAnsi="Verdana" w:cs="Arial"/>
          <w:b/>
          <w:lang w:val="es-ES_tradnl" w:eastAsia="es-ES_tradnl"/>
        </w:rPr>
        <w:t xml:space="preserve"> </w:t>
      </w:r>
    </w:p>
    <w:p w14:paraId="69791DE8" w14:textId="77777777" w:rsidR="00A24E6F" w:rsidRPr="00C22833" w:rsidRDefault="00A24E6F" w:rsidP="00A24E6F">
      <w:pPr>
        <w:spacing w:after="0" w:line="240" w:lineRule="auto"/>
        <w:rPr>
          <w:rFonts w:ascii="Verdana" w:hAnsi="Verdana"/>
        </w:rPr>
      </w:pPr>
      <w:hyperlink r:id="rId11" w:history="1">
        <w:r w:rsidRPr="00C22833">
          <w:rPr>
            <w:rStyle w:val="Hipervnculo"/>
            <w:rFonts w:ascii="Verdana" w:hAnsi="Verdana"/>
          </w:rPr>
          <w:t>r.a.r.n.peticiones@gmail.com</w:t>
        </w:r>
      </w:hyperlink>
    </w:p>
    <w:p w14:paraId="667D2B17" w14:textId="77777777" w:rsidR="00A24E6F" w:rsidRDefault="00A24E6F" w:rsidP="00A24E6F">
      <w:pPr>
        <w:spacing w:after="0" w:line="240" w:lineRule="auto"/>
        <w:rPr>
          <w:rFonts w:ascii="Verdana" w:eastAsia="Calibri" w:hAnsi="Verdana" w:cs="Arial"/>
          <w:lang w:val="es-ES" w:eastAsia="es-ES"/>
        </w:rPr>
      </w:pPr>
      <w:r w:rsidRPr="0090408E">
        <w:rPr>
          <w:rFonts w:ascii="Verdana" w:eastAsia="Calibri" w:hAnsi="Verdana" w:cs="Arial"/>
          <w:lang w:val="es-ES" w:eastAsia="es-ES"/>
        </w:rPr>
        <w:t>Bogotá D.C.</w:t>
      </w:r>
      <w:r>
        <w:rPr>
          <w:rFonts w:ascii="Verdana" w:eastAsia="Calibri" w:hAnsi="Verdana" w:cs="Arial"/>
          <w:lang w:val="es-ES" w:eastAsia="es-ES"/>
        </w:rPr>
        <w:t xml:space="preserve"> </w:t>
      </w:r>
    </w:p>
    <w:p w14:paraId="6AEAFB14" w14:textId="77777777" w:rsidR="00A24E6F" w:rsidRPr="00593A5F" w:rsidRDefault="00A24E6F" w:rsidP="00A24E6F">
      <w:pPr>
        <w:spacing w:after="0" w:line="240" w:lineRule="auto"/>
        <w:rPr>
          <w:rFonts w:ascii="Verdana" w:eastAsia="Calibri" w:hAnsi="Verdana" w:cs="Arial"/>
          <w:b/>
          <w:bCs/>
          <w:color w:val="000000"/>
          <w:lang w:val="es-ES_tradnl" w:eastAsia="es-ES_tradnl"/>
        </w:rPr>
      </w:pPr>
    </w:p>
    <w:p w14:paraId="53AF136B" w14:textId="77777777" w:rsidR="00A24E6F" w:rsidRPr="00593A5F" w:rsidRDefault="00A24E6F" w:rsidP="00A24E6F">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24E6F" w:rsidRPr="00593A5F" w14:paraId="1B31CABF" w14:textId="77777777">
        <w:trPr>
          <w:trHeight w:val="580"/>
        </w:trPr>
        <w:tc>
          <w:tcPr>
            <w:tcW w:w="2689" w:type="dxa"/>
          </w:tcPr>
          <w:p w14:paraId="7E88D1F3" w14:textId="77777777" w:rsidR="00A24E6F" w:rsidRPr="00593A5F" w:rsidRDefault="00A24E6F">
            <w:pPr>
              <w:jc w:val="both"/>
              <w:rPr>
                <w:rFonts w:ascii="Verdana" w:eastAsia="Calibri" w:hAnsi="Verdana" w:cs="Arial"/>
                <w:b/>
                <w:color w:val="000000"/>
                <w:lang w:val="es-ES_tradnl" w:eastAsia="es-ES_tradnl"/>
              </w:rPr>
            </w:pPr>
          </w:p>
        </w:tc>
        <w:tc>
          <w:tcPr>
            <w:tcW w:w="6100" w:type="dxa"/>
          </w:tcPr>
          <w:p w14:paraId="61EB4E90" w14:textId="278AA4F2" w:rsidR="00A24E6F" w:rsidRPr="00F57CFB" w:rsidRDefault="00A24E6F">
            <w:pPr>
              <w:spacing w:line="276" w:lineRule="auto"/>
              <w:jc w:val="both"/>
              <w:rPr>
                <w:rFonts w:ascii="Verdana" w:eastAsia="Calibri" w:hAnsi="Verdana" w:cs="Arial"/>
                <w:b/>
                <w:bCs/>
                <w:lang w:val="es-ES" w:eastAsia="es-ES"/>
              </w:rPr>
            </w:pPr>
            <w:r w:rsidRPr="00F57CFB">
              <w:rPr>
                <w:rFonts w:ascii="Verdana" w:eastAsia="Calibri" w:hAnsi="Verdana" w:cs="Arial"/>
                <w:b/>
                <w:bCs/>
                <w:lang w:val="es-ES" w:eastAsia="es-ES"/>
              </w:rPr>
              <w:t>Concepto C</w:t>
            </w:r>
            <w:r>
              <w:rPr>
                <w:rFonts w:ascii="Verdana" w:eastAsia="Calibri" w:hAnsi="Verdana" w:cs="Arial"/>
                <w:b/>
                <w:bCs/>
                <w:lang w:val="es-ES" w:eastAsia="es-ES"/>
              </w:rPr>
              <w:t xml:space="preserve"> – </w:t>
            </w:r>
            <w:r w:rsidR="002102EC">
              <w:rPr>
                <w:rFonts w:ascii="Verdana" w:eastAsia="Calibri" w:hAnsi="Verdana" w:cs="Arial"/>
                <w:b/>
                <w:bCs/>
                <w:lang w:val="es-ES" w:eastAsia="es-ES"/>
              </w:rPr>
              <w:t>6</w:t>
            </w:r>
            <w:r w:rsidR="00D7470A" w:rsidRPr="00D7470A">
              <w:rPr>
                <w:rFonts w:ascii="Verdana" w:eastAsia="Calibri" w:hAnsi="Verdana" w:cs="Arial"/>
                <w:b/>
                <w:bCs/>
                <w:lang w:val="es-ES" w:eastAsia="es-ES"/>
              </w:rPr>
              <w:t>98</w:t>
            </w:r>
            <w:r w:rsidRPr="00F57CFB">
              <w:rPr>
                <w:rFonts w:ascii="Verdana" w:eastAsia="Calibri" w:hAnsi="Verdana" w:cs="Arial"/>
                <w:b/>
                <w:bCs/>
                <w:lang w:val="es-ES" w:eastAsia="es-ES"/>
              </w:rPr>
              <w:t xml:space="preserve"> de 2024</w:t>
            </w:r>
          </w:p>
        </w:tc>
      </w:tr>
      <w:tr w:rsidR="00A24E6F" w:rsidRPr="00593A5F" w14:paraId="618B2C02" w14:textId="77777777">
        <w:trPr>
          <w:trHeight w:val="884"/>
        </w:trPr>
        <w:tc>
          <w:tcPr>
            <w:tcW w:w="2689" w:type="dxa"/>
          </w:tcPr>
          <w:p w14:paraId="603BD275" w14:textId="77777777" w:rsidR="00A24E6F" w:rsidRPr="00593A5F" w:rsidRDefault="00A24E6F">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w:t>
            </w:r>
            <w:r w:rsidRPr="00593A5F">
              <w:rPr>
                <w:rFonts w:ascii="Verdana" w:eastAsia="Calibri" w:hAnsi="Verdana" w:cs="Arial"/>
                <w:color w:val="000000"/>
                <w:lang w:val="es-ES_tradnl" w:eastAsia="es-ES_tradnl"/>
              </w:rPr>
              <w:t xml:space="preserve">                   </w:t>
            </w:r>
          </w:p>
        </w:tc>
        <w:tc>
          <w:tcPr>
            <w:tcW w:w="6100" w:type="dxa"/>
          </w:tcPr>
          <w:p w14:paraId="7205C0DF" w14:textId="77777777" w:rsidR="00A24E6F" w:rsidRPr="00A11406" w:rsidRDefault="00A24E6F">
            <w:pPr>
              <w:spacing w:line="276" w:lineRule="auto"/>
              <w:jc w:val="both"/>
              <w:rPr>
                <w:rFonts w:ascii="Verdana" w:eastAsia="Calibri" w:hAnsi="Verdana" w:cs="Arial"/>
                <w:lang w:val="es-ES" w:eastAsia="es-ES"/>
              </w:rPr>
            </w:pPr>
            <w:r w:rsidRPr="00C22833">
              <w:rPr>
                <w:rFonts w:ascii="Verdana" w:eastAsia="Calibri" w:hAnsi="Verdana" w:cs="Arial"/>
                <w:lang w:val="es-ES" w:eastAsia="es-ES"/>
              </w:rPr>
              <w:t>DIARIO ÚNICO DE CONTRATACIÓN PÚBLICA</w:t>
            </w:r>
            <w:r>
              <w:rPr>
                <w:rFonts w:ascii="Verdana" w:eastAsia="Calibri" w:hAnsi="Verdana" w:cs="Arial"/>
                <w:lang w:val="es-ES" w:eastAsia="es-ES"/>
              </w:rPr>
              <w:t xml:space="preserve"> – A</w:t>
            </w:r>
            <w:r w:rsidRPr="00230620">
              <w:rPr>
                <w:rFonts w:ascii="Verdana" w:eastAsia="Calibri" w:hAnsi="Verdana" w:cs="Arial"/>
                <w:lang w:val="es-ES" w:eastAsia="es-ES"/>
              </w:rPr>
              <w:t>péndice del Diario Oficial</w:t>
            </w:r>
            <w:r>
              <w:rPr>
                <w:rFonts w:ascii="Verdana" w:eastAsia="Calibri" w:hAnsi="Verdana" w:cs="Arial"/>
                <w:lang w:val="es-ES" w:eastAsia="es-ES"/>
              </w:rPr>
              <w:t xml:space="preserve"> – Derogación / </w:t>
            </w:r>
            <w:r w:rsidRPr="00C22833">
              <w:rPr>
                <w:rFonts w:ascii="Verdana" w:eastAsia="Calibri" w:hAnsi="Verdana" w:cs="Arial"/>
                <w:lang w:val="es-ES" w:eastAsia="es-ES"/>
              </w:rPr>
              <w:t>PUBLICIDAD – SECOP</w:t>
            </w:r>
            <w:r>
              <w:rPr>
                <w:rFonts w:ascii="Verdana" w:eastAsia="Calibri" w:hAnsi="Verdana" w:cs="Arial"/>
                <w:lang w:val="es-ES" w:eastAsia="es-ES"/>
              </w:rPr>
              <w:t xml:space="preserve"> II</w:t>
            </w:r>
            <w:r w:rsidRPr="00C22833">
              <w:rPr>
                <w:rFonts w:ascii="Verdana" w:eastAsia="Calibri" w:hAnsi="Verdana" w:cs="Arial"/>
                <w:lang w:val="es-ES" w:eastAsia="es-ES"/>
              </w:rPr>
              <w:t xml:space="preserve"> – Entidades exceptuadas</w:t>
            </w:r>
            <w:r>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61C51A34" w14:textId="77777777" w:rsidR="00A24E6F" w:rsidRPr="00593A5F" w:rsidRDefault="00A24E6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A24E6F" w:rsidRPr="008E6AD9" w14:paraId="1070BED7" w14:textId="77777777">
        <w:tc>
          <w:tcPr>
            <w:tcW w:w="2689" w:type="dxa"/>
          </w:tcPr>
          <w:p w14:paraId="332430E1" w14:textId="77777777" w:rsidR="00A24E6F" w:rsidRPr="008E6AD9" w:rsidRDefault="00A24E6F">
            <w:pPr>
              <w:jc w:val="both"/>
              <w:rPr>
                <w:rFonts w:ascii="Verdana" w:eastAsia="Calibri" w:hAnsi="Verdana" w:cs="Arial"/>
                <w:b/>
                <w:lang w:val="es-ES_tradnl" w:eastAsia="es-ES_tradnl"/>
              </w:rPr>
            </w:pPr>
            <w:r>
              <w:rPr>
                <w:rFonts w:ascii="Verdana" w:eastAsia="Calibri" w:hAnsi="Verdana" w:cs="Arial"/>
                <w:b/>
                <w:lang w:val="es-ES_tradnl" w:eastAsia="es-ES_tradnl"/>
              </w:rPr>
              <w:t xml:space="preserve"> </w:t>
            </w: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0E73EDA6" w14:textId="77777777" w:rsidR="00A24E6F" w:rsidRPr="008E6AD9" w:rsidRDefault="00A24E6F">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la consulta</w:t>
            </w:r>
            <w:r w:rsidRPr="008E6AD9">
              <w:rPr>
                <w:rFonts w:ascii="Verdana" w:eastAsia="Calibri" w:hAnsi="Verdana" w:cs="Arial"/>
                <w:lang w:val="es-ES_tradnl" w:eastAsia="es-ES_tradnl"/>
              </w:rPr>
              <w:t xml:space="preserve"> con radicado No.</w:t>
            </w:r>
            <w:r>
              <w:rPr>
                <w:rFonts w:ascii="Verdana" w:eastAsia="Calibri" w:hAnsi="Verdana" w:cs="Arial"/>
                <w:lang w:val="es-ES_tradnl" w:eastAsia="es-ES_tradnl"/>
              </w:rPr>
              <w:t xml:space="preserve"> </w:t>
            </w:r>
            <w:r w:rsidRPr="00391054">
              <w:rPr>
                <w:rFonts w:ascii="Verdana" w:eastAsia="Calibri" w:hAnsi="Verdana" w:cs="Arial"/>
                <w:lang w:val="es-ES_tradnl" w:eastAsia="es-ES_tradnl"/>
              </w:rPr>
              <w:t>P20241004010132</w:t>
            </w:r>
            <w:r w:rsidRPr="0052714E">
              <w:rPr>
                <w:rFonts w:ascii="Verdana" w:eastAsia="Calibri" w:hAnsi="Verdana" w:cs="Arial"/>
                <w:lang w:val="es-ES_tradnl" w:eastAsia="es-ES_tradnl"/>
              </w:rPr>
              <w:t xml:space="preserve">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50560729" w14:textId="77777777" w:rsidR="00A24E6F" w:rsidRPr="00593A5F" w:rsidRDefault="00A24E6F" w:rsidP="00A24E6F">
      <w:pPr>
        <w:spacing w:after="0" w:line="240" w:lineRule="auto"/>
        <w:jc w:val="both"/>
        <w:rPr>
          <w:rFonts w:ascii="Verdana" w:eastAsia="Calibri" w:hAnsi="Verdana" w:cs="Arial"/>
          <w:color w:val="000000"/>
          <w:lang w:val="es-ES_tradnl" w:eastAsia="es-ES_tradnl"/>
        </w:rPr>
      </w:pPr>
    </w:p>
    <w:p w14:paraId="0F5D8D8F" w14:textId="77777777" w:rsidR="00A24E6F" w:rsidRPr="00593A5F" w:rsidRDefault="00A24E6F" w:rsidP="00A24E6F">
      <w:pPr>
        <w:spacing w:after="0" w:line="240" w:lineRule="auto"/>
        <w:jc w:val="both"/>
        <w:rPr>
          <w:rFonts w:ascii="Verdana" w:eastAsia="Calibri" w:hAnsi="Verdana" w:cs="Arial"/>
          <w:color w:val="000000"/>
          <w:lang w:val="es-ES_tradnl" w:eastAsia="es-ES_tradnl"/>
        </w:rPr>
      </w:pPr>
    </w:p>
    <w:p w14:paraId="130C5C60" w14:textId="77777777" w:rsidR="00A24E6F" w:rsidRPr="008E6AD9" w:rsidRDefault="00A24E6F" w:rsidP="00A24E6F">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señor </w:t>
      </w:r>
      <w:r w:rsidRPr="00C22833">
        <w:rPr>
          <w:rFonts w:ascii="Verdana" w:eastAsia="Calibri" w:hAnsi="Verdana" w:cs="Arial"/>
          <w:lang w:val="es-ES" w:eastAsia="es-ES"/>
        </w:rPr>
        <w:t>Rodríguez Novoa</w:t>
      </w:r>
      <w:r w:rsidRPr="008E6AD9">
        <w:rPr>
          <w:rFonts w:ascii="Verdana" w:eastAsia="Calibri" w:hAnsi="Verdana" w:cs="Arial"/>
          <w:lang w:val="es-ES" w:eastAsia="es-ES"/>
        </w:rPr>
        <w:t xml:space="preserve">: </w:t>
      </w:r>
    </w:p>
    <w:p w14:paraId="5C4095E8" w14:textId="77777777" w:rsidR="00A24E6F" w:rsidRDefault="00A24E6F" w:rsidP="00A24E6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34C3C69D" w14:textId="77777777" w:rsidR="00A24E6F" w:rsidRPr="00593A5F" w:rsidRDefault="00A24E6F" w:rsidP="00A24E6F">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w:t>
      </w:r>
      <w:r>
        <w:rPr>
          <w:rFonts w:ascii="Verdana" w:eastAsia="Calibri" w:hAnsi="Verdana" w:cs="Arial"/>
          <w:color w:val="000000" w:themeColor="text1"/>
          <w:lang w:val="es-ES" w:eastAsia="es-ES"/>
        </w:rPr>
        <w:t xml:space="preserve"> consulta de </w:t>
      </w:r>
      <w:r w:rsidRPr="008E6AD9">
        <w:rPr>
          <w:rFonts w:ascii="Verdana" w:eastAsia="Calibri" w:hAnsi="Verdana" w:cs="Arial"/>
          <w:lang w:val="es-ES" w:eastAsia="es-ES"/>
        </w:rPr>
        <w:t>fecha</w:t>
      </w:r>
      <w:r>
        <w:rPr>
          <w:rFonts w:ascii="Verdana" w:eastAsia="Calibri" w:hAnsi="Verdana" w:cs="Arial"/>
          <w:lang w:val="es-ES" w:eastAsia="es-ES"/>
        </w:rPr>
        <w:t xml:space="preserve"> 28 de septiembre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radicada ante el Ministerio de Justicia y del Derecho</w:t>
      </w:r>
      <w:r w:rsidRPr="008E6AD9">
        <w:rPr>
          <w:rFonts w:ascii="Verdana" w:eastAsia="Calibri" w:hAnsi="Verdana" w:cs="Arial"/>
          <w:lang w:val="es-ES" w:eastAsia="es-ES"/>
        </w:rPr>
        <w:t>,</w:t>
      </w:r>
      <w:r>
        <w:rPr>
          <w:rFonts w:ascii="Verdana" w:eastAsia="Calibri" w:hAnsi="Verdana" w:cs="Arial"/>
          <w:lang w:val="es-ES" w:eastAsia="es-ES"/>
        </w:rPr>
        <w:t xml:space="preserve"> remitida por competencia a esta entidad mediante Oficio </w:t>
      </w:r>
      <w:r w:rsidRPr="00391054">
        <w:rPr>
          <w:rFonts w:ascii="Verdana" w:eastAsia="Calibri" w:hAnsi="Verdana" w:cs="Arial"/>
          <w:lang w:val="es-ES" w:eastAsia="es-ES"/>
        </w:rPr>
        <w:t>MJD-OFI24-0043291-DOJ-20300</w:t>
      </w:r>
      <w:r>
        <w:rPr>
          <w:rFonts w:ascii="Verdana" w:eastAsia="Calibri" w:hAnsi="Verdana" w:cs="Arial"/>
          <w:lang w:val="es-ES" w:eastAsia="es-ES"/>
        </w:rPr>
        <w:t xml:space="preserve"> del 3 de octubre de 2023, en la cual requiere que</w:t>
      </w:r>
      <w:r w:rsidRPr="008E6AD9">
        <w:rPr>
          <w:rFonts w:ascii="Verdana" w:eastAsia="Calibri" w:hAnsi="Verdana" w:cs="Arial"/>
          <w:lang w:val="es-ES" w:eastAsia="es-ES"/>
        </w:rPr>
        <w:t xml:space="preserve">: </w:t>
      </w:r>
    </w:p>
    <w:p w14:paraId="55A74D00" w14:textId="77777777" w:rsidR="00A24E6F" w:rsidRPr="00272A7B" w:rsidRDefault="00A24E6F" w:rsidP="00F73DDF">
      <w:pPr>
        <w:pStyle w:val="Prrafodelista"/>
        <w:tabs>
          <w:tab w:val="left" w:pos="142"/>
          <w:tab w:val="left" w:pos="284"/>
        </w:tabs>
        <w:spacing w:after="0" w:line="276" w:lineRule="auto"/>
        <w:ind w:left="0"/>
        <w:jc w:val="both"/>
        <w:rPr>
          <w:rFonts w:ascii="Verdana" w:eastAsia="Century Gothic" w:hAnsi="Verdana" w:cs="Century Gothic"/>
          <w:b/>
          <w:bCs/>
        </w:rPr>
      </w:pPr>
    </w:p>
    <w:p w14:paraId="0E41DC49" w14:textId="77777777" w:rsidR="00A24E6F" w:rsidRPr="00391054" w:rsidRDefault="00A24E6F" w:rsidP="00A24E6F">
      <w:pPr>
        <w:spacing w:after="120" w:line="240" w:lineRule="auto"/>
        <w:ind w:left="709" w:right="709"/>
        <w:jc w:val="both"/>
        <w:rPr>
          <w:rFonts w:ascii="Verdana" w:eastAsia="Century Gothic" w:hAnsi="Verdana" w:cs="Century Gothic"/>
          <w:sz w:val="21"/>
          <w:szCs w:val="21"/>
          <w:lang w:val="es-ES"/>
        </w:rPr>
      </w:pPr>
      <w:bookmarkStart w:id="0" w:name="_Hlk95313578"/>
      <w:r w:rsidRPr="006E7258">
        <w:rPr>
          <w:rFonts w:ascii="Verdana" w:eastAsia="Century Gothic" w:hAnsi="Verdana" w:cs="Century Gothic"/>
          <w:sz w:val="21"/>
          <w:szCs w:val="21"/>
          <w:lang w:val="es-ES"/>
        </w:rPr>
        <w:t>“</w:t>
      </w:r>
      <w:bookmarkEnd w:id="0"/>
      <w:r>
        <w:rPr>
          <w:rFonts w:ascii="Verdana" w:eastAsia="Century Gothic" w:hAnsi="Verdana" w:cs="Century Gothic"/>
          <w:sz w:val="21"/>
          <w:szCs w:val="21"/>
          <w:lang w:val="es-ES"/>
        </w:rPr>
        <w:t xml:space="preserve">[…] </w:t>
      </w:r>
      <w:r w:rsidRPr="00391054">
        <w:rPr>
          <w:rFonts w:ascii="Verdana" w:eastAsia="Century Gothic" w:hAnsi="Verdana" w:cs="Century Gothic"/>
          <w:sz w:val="21"/>
          <w:szCs w:val="21"/>
          <w:lang w:val="es-ES"/>
        </w:rPr>
        <w:t>se conceptúe sobre la vigencia de la obligación que tienen las universidades estatales u oficiales de publicar en el Diario Oficial los contratos que estas celebren, de conformidad con el artículo 94 de la Ley 30 de 1992.</w:t>
      </w:r>
    </w:p>
    <w:p w14:paraId="0FAC837C" w14:textId="77777777" w:rsidR="00A24E6F" w:rsidRPr="007D5BE1" w:rsidRDefault="00A24E6F" w:rsidP="00A24E6F">
      <w:pPr>
        <w:spacing w:after="0" w:line="240" w:lineRule="auto"/>
        <w:ind w:left="709" w:right="709"/>
        <w:jc w:val="both"/>
        <w:rPr>
          <w:rFonts w:ascii="Verdana" w:eastAsia="Century Gothic" w:hAnsi="Verdana" w:cs="Century Gothic"/>
          <w:sz w:val="21"/>
          <w:szCs w:val="21"/>
          <w:lang w:val="es-ES"/>
        </w:rPr>
      </w:pPr>
      <w:r w:rsidRPr="00391054">
        <w:rPr>
          <w:rFonts w:ascii="Verdana" w:eastAsia="Century Gothic" w:hAnsi="Verdana" w:cs="Century Gothic"/>
          <w:sz w:val="21"/>
          <w:szCs w:val="21"/>
          <w:lang w:val="es-ES"/>
        </w:rPr>
        <w:t xml:space="preserve">En concreto, solicito que se me indique si la mencionada disposición (el art. 94 de la Ley 30 de 1992) ha sido derogada, suspendida, declarada inexequible o, de alguna forma, se ha afectado su vigencia. </w:t>
      </w:r>
      <w:r w:rsidRPr="00391054">
        <w:rPr>
          <w:rFonts w:ascii="Verdana" w:eastAsia="Century Gothic" w:hAnsi="Verdana" w:cs="Century Gothic"/>
          <w:sz w:val="21"/>
          <w:szCs w:val="21"/>
          <w:lang w:val="es-ES"/>
        </w:rPr>
        <w:lastRenderedPageBreak/>
        <w:t>De ser así, solicito que se me indique qué norma o providencia tuvo este efecto y que se me envíe una copia de la misma</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683CF0E7" w14:textId="77777777" w:rsidR="00A24E6F" w:rsidRPr="008E6AD9" w:rsidRDefault="00A24E6F" w:rsidP="00F73DDF">
      <w:pPr>
        <w:pStyle w:val="Prrafodelista"/>
        <w:tabs>
          <w:tab w:val="left" w:pos="142"/>
          <w:tab w:val="left" w:pos="284"/>
        </w:tabs>
        <w:spacing w:after="0" w:line="276" w:lineRule="auto"/>
        <w:ind w:left="0"/>
        <w:jc w:val="both"/>
        <w:rPr>
          <w:rFonts w:ascii="Verdana" w:eastAsia="Century Gothic" w:hAnsi="Verdana" w:cs="Century Gothic"/>
          <w:b/>
          <w:bCs/>
        </w:rPr>
      </w:pPr>
    </w:p>
    <w:p w14:paraId="04F2CB5A" w14:textId="77777777" w:rsidR="00A24E6F" w:rsidRPr="00A652FF" w:rsidRDefault="00A24E6F" w:rsidP="00A24E6F">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716FF1B7" w14:textId="77777777" w:rsidR="00A24E6F" w:rsidRDefault="00A24E6F" w:rsidP="00A24E6F">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 </w:t>
      </w:r>
    </w:p>
    <w:p w14:paraId="6E98F842" w14:textId="77777777" w:rsidR="00A24E6F" w:rsidRPr="00593A5F" w:rsidRDefault="00A24E6F" w:rsidP="00A24E6F">
      <w:pPr>
        <w:spacing w:after="0" w:line="276" w:lineRule="auto"/>
        <w:ind w:firstLine="709"/>
        <w:jc w:val="both"/>
        <w:rPr>
          <w:rFonts w:ascii="Verdana" w:eastAsia="Calibri" w:hAnsi="Verdana" w:cs="Arial"/>
          <w:color w:val="000000"/>
          <w:lang w:val="es-ES" w:eastAsia="es-ES"/>
        </w:rPr>
      </w:pPr>
    </w:p>
    <w:p w14:paraId="7D78E2B3" w14:textId="77777777" w:rsidR="00A24E6F" w:rsidRPr="00593A5F" w:rsidRDefault="00A24E6F" w:rsidP="00A24E6F">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219DEE6E" w14:textId="77777777" w:rsidR="00A24E6F" w:rsidRPr="00593A5F" w:rsidRDefault="00A24E6F" w:rsidP="00A24E6F">
      <w:pPr>
        <w:tabs>
          <w:tab w:val="left" w:pos="426"/>
        </w:tabs>
        <w:spacing w:after="0" w:line="276" w:lineRule="auto"/>
        <w:jc w:val="both"/>
        <w:rPr>
          <w:rFonts w:ascii="Verdana" w:eastAsia="Century Gothic" w:hAnsi="Verdana" w:cs="Century Gothic"/>
          <w:lang w:val="es-ES"/>
        </w:rPr>
      </w:pPr>
    </w:p>
    <w:p w14:paraId="42D0C01C" w14:textId="77777777" w:rsidR="00A24E6F" w:rsidRPr="00593A5F" w:rsidRDefault="00A24E6F" w:rsidP="00A24E6F">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 xml:space="preserve">¿se encuentra vigente la obligación de publicar la gestión contractual de la universidades estatales u oficiales en el Diario Oficial?       </w:t>
      </w:r>
      <w:r w:rsidRPr="00C00976">
        <w:rPr>
          <w:rFonts w:ascii="Verdana" w:eastAsia="Century Gothic" w:hAnsi="Verdana" w:cs="Century Gothic"/>
          <w:color w:val="7030A0"/>
        </w:rPr>
        <w:t xml:space="preserve"> </w:t>
      </w:r>
    </w:p>
    <w:p w14:paraId="5D66DD51" w14:textId="77777777" w:rsidR="00A24E6F" w:rsidRPr="004B140F" w:rsidRDefault="00A24E6F" w:rsidP="00A24E6F">
      <w:pPr>
        <w:spacing w:after="0" w:line="276" w:lineRule="auto"/>
        <w:jc w:val="both"/>
        <w:rPr>
          <w:rFonts w:ascii="Verdana" w:eastAsia="Calibri" w:hAnsi="Verdana" w:cs="Arial"/>
          <w:color w:val="7030A0"/>
        </w:rPr>
      </w:pPr>
    </w:p>
    <w:p w14:paraId="4E4562E3" w14:textId="77777777" w:rsidR="00A24E6F" w:rsidRPr="00593A5F" w:rsidRDefault="00A24E6F" w:rsidP="00A24E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56EF7EF9" w14:textId="77777777" w:rsidR="00A24E6F" w:rsidRPr="00593A5F" w:rsidRDefault="00A24E6F" w:rsidP="00A24E6F">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24E6F" w:rsidRPr="00593A5F" w14:paraId="02586864" w14:textId="77777777">
        <w:trPr>
          <w:jc w:val="center"/>
        </w:trPr>
        <w:tc>
          <w:tcPr>
            <w:tcW w:w="8828" w:type="dxa"/>
            <w:shd w:val="clear" w:color="auto" w:fill="auto"/>
          </w:tcPr>
          <w:p w14:paraId="3CE6EE80" w14:textId="77777777" w:rsidR="00A24E6F" w:rsidRPr="00F57CFB" w:rsidRDefault="00A24E6F">
            <w:pPr>
              <w:spacing w:line="276" w:lineRule="auto"/>
              <w:jc w:val="both"/>
              <w:rPr>
                <w:rFonts w:ascii="Verdana" w:eastAsia="Calibri" w:hAnsi="Verdana" w:cs="Arial"/>
                <w:lang w:val="es-ES_tradnl"/>
              </w:rPr>
            </w:pPr>
            <w:r>
              <w:rPr>
                <w:rFonts w:ascii="Verdana" w:hAnsi="Verdana" w:cs="Arial"/>
                <w:lang w:eastAsia="es-ES"/>
              </w:rPr>
              <w:t>C</w:t>
            </w:r>
            <w:r>
              <w:rPr>
                <w:rFonts w:ascii="Verdana" w:eastAsia="Calibri" w:hAnsi="Verdana" w:cs="Arial"/>
                <w:lang w:val="es-ES_tradnl"/>
              </w:rPr>
              <w:t>on la eliminación d</w:t>
            </w:r>
            <w:r w:rsidRPr="00DA03C5">
              <w:rPr>
                <w:rFonts w:ascii="Verdana" w:eastAsia="Calibri" w:hAnsi="Verdana" w:cs="Arial"/>
                <w:lang w:val="es-ES_tradnl"/>
              </w:rPr>
              <w:t>el Diario Único de Contratación Pública</w:t>
            </w:r>
            <w:r>
              <w:rPr>
                <w:rFonts w:ascii="Verdana" w:eastAsia="Calibri" w:hAnsi="Verdana" w:cs="Arial"/>
                <w:lang w:val="es-ES_tradnl"/>
              </w:rPr>
              <w:t xml:space="preserve"> desapareció la obligación de publicar la gestión contractual en el Diario Oficial. En su lugar, </w:t>
            </w:r>
            <w:r w:rsidRPr="00DA03C5">
              <w:rPr>
                <w:rFonts w:ascii="Verdana" w:eastAsia="Calibri" w:hAnsi="Verdana" w:cs="Arial"/>
                <w:lang w:val="es-ES_tradnl"/>
              </w:rPr>
              <w:t xml:space="preserve">el artículo 223 </w:t>
            </w:r>
            <w:r>
              <w:rPr>
                <w:rFonts w:ascii="Verdana" w:eastAsia="Calibri" w:hAnsi="Verdana" w:cs="Arial"/>
                <w:lang w:val="es-ES_tradnl"/>
              </w:rPr>
              <w:t>del Decreto Ley 019 de 2012</w:t>
            </w:r>
            <w:r w:rsidRPr="00DA03C5">
              <w:rPr>
                <w:rFonts w:ascii="Verdana" w:eastAsia="Calibri" w:hAnsi="Verdana" w:cs="Arial"/>
                <w:lang w:val="es-ES_tradnl"/>
              </w:rPr>
              <w:t xml:space="preserve"> dispone </w:t>
            </w:r>
            <w:r>
              <w:rPr>
                <w:rFonts w:ascii="Verdana" w:eastAsia="Calibri" w:hAnsi="Verdana" w:cs="Arial"/>
                <w:lang w:val="es-ES_tradnl"/>
              </w:rPr>
              <w:t xml:space="preserve">que </w:t>
            </w:r>
            <w:r w:rsidRPr="00DA03C5">
              <w:rPr>
                <w:rFonts w:ascii="Verdana" w:eastAsia="Calibri" w:hAnsi="Verdana" w:cs="Arial"/>
                <w:lang w:val="es-ES_tradnl"/>
              </w:rPr>
              <w:t>“</w:t>
            </w:r>
            <w:r>
              <w:rPr>
                <w:rFonts w:ascii="Verdana" w:eastAsia="Calibri" w:hAnsi="Verdana" w:cs="Arial"/>
                <w:lang w:val="es-ES_tradnl"/>
              </w:rPr>
              <w:t>[…]</w:t>
            </w:r>
            <w:r w:rsidRPr="00DA03C5">
              <w:rPr>
                <w:rFonts w:ascii="Verdana" w:eastAsia="Calibri" w:hAnsi="Verdana" w:cs="Arial"/>
                <w:lang w:val="es-ES_tradnl"/>
              </w:rPr>
              <w:t xml:space="preserve"> los contratos estatales </w:t>
            </w:r>
            <w:r w:rsidRPr="00E610C5">
              <w:rPr>
                <w:rFonts w:ascii="Verdana" w:eastAsia="Calibri" w:hAnsi="Verdana" w:cs="Arial"/>
                <w:i/>
                <w:iCs/>
                <w:lang w:val="es-ES_tradnl"/>
              </w:rPr>
              <w:t>sólo</w:t>
            </w:r>
            <w:r w:rsidRPr="00DA03C5">
              <w:rPr>
                <w:rFonts w:ascii="Verdana" w:eastAsia="Calibri" w:hAnsi="Verdana" w:cs="Arial"/>
                <w:lang w:val="es-ES_tradnl"/>
              </w:rPr>
              <w:t xml:space="preserve"> se publicaran en el Sistema Electrónico para la Contratación Pública -SECOP-</w:t>
            </w:r>
            <w:r>
              <w:rPr>
                <w:rFonts w:ascii="Verdana" w:eastAsia="Calibri" w:hAnsi="Verdana" w:cs="Arial"/>
                <w:lang w:val="es-ES_tradnl"/>
              </w:rPr>
              <w:t xml:space="preserve"> […]” (Énfasis fuera de texto), idea que se complementa con la Ley 1712 de 2014 y su decreto reglamentario</w:t>
            </w:r>
            <w:r w:rsidRPr="00B1668A">
              <w:rPr>
                <w:rFonts w:ascii="Verdana" w:eastAsia="Calibri" w:hAnsi="Verdana" w:cs="Arial"/>
                <w:lang w:val="es-ES_tradnl"/>
              </w:rPr>
              <w:t xml:space="preserve">. </w:t>
            </w:r>
            <w:r>
              <w:rPr>
                <w:rFonts w:ascii="Verdana" w:eastAsia="Calibri" w:hAnsi="Verdana" w:cs="Arial"/>
                <w:lang w:val="es-ES_tradnl"/>
              </w:rPr>
              <w:t xml:space="preserve">Ello modifica el alcance de lo previsto en el artículo 94 de la </w:t>
            </w:r>
            <w:r w:rsidRPr="00E610C5">
              <w:rPr>
                <w:rFonts w:ascii="Verdana" w:eastAsia="Calibri" w:hAnsi="Verdana" w:cs="Arial"/>
                <w:lang w:val="es-ES_tradnl"/>
              </w:rPr>
              <w:t>Ley 30 de 1992</w:t>
            </w:r>
            <w:r>
              <w:rPr>
                <w:rFonts w:ascii="Verdana" w:eastAsia="Calibri" w:hAnsi="Verdana" w:cs="Arial"/>
                <w:lang w:val="es-ES_tradnl"/>
              </w:rPr>
              <w:t xml:space="preserve">, especialmente, cuando el inciso segundo del artículo 13 de la Ley 1150 de 2007 –adicionado por </w:t>
            </w:r>
            <w:r w:rsidRPr="00E610C5">
              <w:rPr>
                <w:rFonts w:ascii="Verdana" w:eastAsia="Calibri" w:hAnsi="Verdana" w:cs="Arial"/>
                <w:lang w:val="es-ES_tradnl"/>
              </w:rPr>
              <w:t>el artículo 53 de la Ley 2195 de 2022</w:t>
            </w:r>
            <w:r>
              <w:rPr>
                <w:rFonts w:ascii="Verdana" w:eastAsia="Calibri" w:hAnsi="Verdana" w:cs="Arial"/>
                <w:lang w:val="es-ES_tradnl"/>
              </w:rPr>
              <w:t xml:space="preserve">– ordena a las entidades exceptuadas del EGCAP que </w:t>
            </w:r>
            <w:r>
              <w:rPr>
                <w:rFonts w:ascii="Verdana" w:eastAsia="Calibri" w:hAnsi="Verdana" w:cs="Arial"/>
                <w:lang w:val="es-ES_tradnl"/>
              </w:rPr>
              <w:lastRenderedPageBreak/>
              <w:t>publiquen su actividad contractual en el SECOP II o</w:t>
            </w:r>
            <w:r w:rsidRPr="00E610C5">
              <w:rPr>
                <w:rFonts w:ascii="Verdana" w:eastAsia="Calibri" w:hAnsi="Verdana" w:cs="Arial"/>
                <w:lang w:val="es-ES_tradnl"/>
              </w:rPr>
              <w:t xml:space="preserve"> la plataforma transaccional que haga sus veces</w:t>
            </w:r>
            <w:r>
              <w:rPr>
                <w:rFonts w:ascii="Verdana" w:eastAsia="Calibri" w:hAnsi="Verdana" w:cs="Arial"/>
                <w:lang w:val="es-ES_tradnl"/>
              </w:rPr>
              <w:t xml:space="preserve">. </w:t>
            </w:r>
          </w:p>
        </w:tc>
      </w:tr>
    </w:tbl>
    <w:p w14:paraId="14A9672C" w14:textId="77777777" w:rsidR="00A24E6F" w:rsidRPr="00593A5F" w:rsidRDefault="00A24E6F" w:rsidP="00A24E6F">
      <w:pPr>
        <w:tabs>
          <w:tab w:val="left" w:pos="142"/>
          <w:tab w:val="left" w:pos="284"/>
        </w:tabs>
        <w:spacing w:after="0" w:line="276" w:lineRule="auto"/>
        <w:jc w:val="both"/>
        <w:rPr>
          <w:rFonts w:ascii="Verdana" w:eastAsia="Century Gothic" w:hAnsi="Verdana" w:cs="Century Gothic"/>
          <w:b/>
          <w:bCs/>
          <w:lang w:val="es-ES"/>
        </w:rPr>
      </w:pPr>
    </w:p>
    <w:p w14:paraId="41E7C838" w14:textId="77777777" w:rsidR="00A24E6F" w:rsidRPr="00593A5F" w:rsidRDefault="00A24E6F" w:rsidP="00A24E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73F8F6E4" w14:textId="77777777" w:rsidR="00A24E6F" w:rsidRPr="00593A5F" w:rsidRDefault="00A24E6F" w:rsidP="00A24E6F">
      <w:pPr>
        <w:spacing w:after="0" w:line="276" w:lineRule="auto"/>
        <w:jc w:val="both"/>
        <w:rPr>
          <w:rFonts w:ascii="Verdana" w:eastAsia="Calibri" w:hAnsi="Verdana" w:cs="Arial"/>
          <w:color w:val="7030A0"/>
          <w:lang w:val="es-ES"/>
        </w:rPr>
      </w:pPr>
    </w:p>
    <w:p w14:paraId="31246DE8" w14:textId="77777777" w:rsidR="00A24E6F" w:rsidRDefault="00A24E6F" w:rsidP="00A24E6F">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5D993878" w14:textId="77777777" w:rsidR="00A24E6F" w:rsidRDefault="00A24E6F" w:rsidP="00A24E6F">
      <w:pPr>
        <w:spacing w:after="0" w:line="276" w:lineRule="auto"/>
        <w:jc w:val="both"/>
        <w:rPr>
          <w:rFonts w:ascii="Verdana" w:eastAsia="Calibri" w:hAnsi="Verdana" w:cs="Arial"/>
          <w:lang w:val="es-ES"/>
        </w:rPr>
      </w:pPr>
    </w:p>
    <w:p w14:paraId="5A182F9B" w14:textId="77777777" w:rsidR="00A24E6F" w:rsidRDefault="00A24E6F" w:rsidP="00A24E6F">
      <w:pPr>
        <w:spacing w:line="276" w:lineRule="auto"/>
        <w:jc w:val="both"/>
        <w:rPr>
          <w:rFonts w:ascii="Verdana" w:hAnsi="Verdana" w:cs="Arial"/>
          <w:color w:val="000000" w:themeColor="text1"/>
          <w:lang w:val="es-MX"/>
        </w:rPr>
      </w:pPr>
      <w:r>
        <w:rPr>
          <w:rFonts w:ascii="Verdana" w:eastAsia="Calibri" w:hAnsi="Verdana" w:cs="Arial"/>
          <w:color w:val="000000"/>
          <w:lang w:val="es-ES" w:eastAsia="es-ES"/>
        </w:rPr>
        <w:t>D</w:t>
      </w:r>
      <w:r w:rsidRPr="00324EE2">
        <w:rPr>
          <w:rFonts w:ascii="Verdana" w:hAnsi="Verdana" w:cs="Arial"/>
          <w:color w:val="000000" w:themeColor="text1"/>
          <w:lang w:val="es-MX"/>
        </w:rPr>
        <w:t xml:space="preserve">e acuerdo </w:t>
      </w:r>
      <w:r>
        <w:rPr>
          <w:rFonts w:ascii="Verdana" w:hAnsi="Verdana" w:cs="Arial"/>
          <w:color w:val="000000" w:themeColor="text1"/>
          <w:lang w:val="es-MX"/>
        </w:rPr>
        <w:t>con el artículo 94 de la Ley 30 de 1992, “[…]</w:t>
      </w:r>
      <w:r w:rsidRPr="00391054">
        <w:rPr>
          <w:rFonts w:ascii="Verdana" w:hAnsi="Verdana" w:cs="Arial"/>
          <w:color w:val="000000" w:themeColor="text1"/>
          <w:lang w:val="es-MX"/>
        </w:rPr>
        <w:t xml:space="preserve"> los contratos que celebren las universidades estatales u oficiales</w:t>
      </w:r>
      <w:r>
        <w:rPr>
          <w:rFonts w:ascii="Verdana" w:hAnsi="Verdana" w:cs="Arial"/>
          <w:color w:val="000000" w:themeColor="text1"/>
          <w:lang w:val="es-MX"/>
        </w:rPr>
        <w:t xml:space="preserve"> […]</w:t>
      </w:r>
      <w:r w:rsidRPr="00391054">
        <w:rPr>
          <w:rFonts w:ascii="Verdana" w:hAnsi="Verdana" w:cs="Arial"/>
          <w:color w:val="000000" w:themeColor="text1"/>
          <w:lang w:val="es-MX"/>
        </w:rPr>
        <w:t xml:space="preserve"> estarán sujetos a </w:t>
      </w:r>
      <w:r>
        <w:rPr>
          <w:rFonts w:ascii="Verdana" w:hAnsi="Verdana" w:cs="Arial"/>
          <w:color w:val="000000" w:themeColor="text1"/>
          <w:lang w:val="es-MX"/>
        </w:rPr>
        <w:t>[…]</w:t>
      </w:r>
      <w:r w:rsidRPr="00391054">
        <w:rPr>
          <w:rFonts w:ascii="Verdana" w:hAnsi="Verdana" w:cs="Arial"/>
          <w:color w:val="000000" w:themeColor="text1"/>
          <w:lang w:val="es-MX"/>
        </w:rPr>
        <w:t xml:space="preserve"> publicación en el Diario Oficial </w:t>
      </w:r>
      <w:r>
        <w:rPr>
          <w:rFonts w:ascii="Verdana" w:hAnsi="Verdana" w:cs="Arial"/>
          <w:color w:val="000000" w:themeColor="text1"/>
          <w:lang w:val="es-MX"/>
        </w:rPr>
        <w:t>[…]”</w:t>
      </w:r>
      <w:r w:rsidRPr="00391054">
        <w:rPr>
          <w:rFonts w:ascii="Verdana" w:hAnsi="Verdana" w:cs="Arial"/>
          <w:color w:val="000000" w:themeColor="text1"/>
          <w:lang w:val="es-MX"/>
        </w:rPr>
        <w:t>.</w:t>
      </w:r>
      <w:r>
        <w:rPr>
          <w:rFonts w:ascii="Verdana" w:hAnsi="Verdana" w:cs="Arial"/>
          <w:color w:val="000000" w:themeColor="text1"/>
          <w:lang w:val="es-MX"/>
        </w:rPr>
        <w:t xml:space="preserve"> Esta norma debía concordarse con el artículo 59 de la Ley 190 de 1995, el cual estableció el </w:t>
      </w:r>
      <w:r w:rsidRPr="00260423">
        <w:rPr>
          <w:rFonts w:ascii="Verdana" w:hAnsi="Verdana" w:cs="Arial"/>
          <w:color w:val="000000" w:themeColor="text1"/>
          <w:lang w:val="es-MX"/>
        </w:rPr>
        <w:t xml:space="preserve">Diario </w:t>
      </w:r>
      <w:r>
        <w:rPr>
          <w:rFonts w:ascii="Verdana" w:hAnsi="Verdana" w:cs="Arial"/>
          <w:color w:val="000000" w:themeColor="text1"/>
          <w:lang w:val="es-MX"/>
        </w:rPr>
        <w:t>Ú</w:t>
      </w:r>
      <w:r w:rsidRPr="00260423">
        <w:rPr>
          <w:rFonts w:ascii="Verdana" w:hAnsi="Verdana" w:cs="Arial"/>
          <w:color w:val="000000" w:themeColor="text1"/>
          <w:lang w:val="es-MX"/>
        </w:rPr>
        <w:t>nico de Contratación Pública</w:t>
      </w:r>
      <w:r>
        <w:rPr>
          <w:rFonts w:ascii="Verdana" w:hAnsi="Verdana" w:cs="Arial"/>
          <w:color w:val="000000" w:themeColor="text1"/>
          <w:lang w:val="es-MX"/>
        </w:rPr>
        <w:t xml:space="preserve"> como un apéndice del Diario Oficial</w:t>
      </w:r>
      <w:r>
        <w:rPr>
          <w:rStyle w:val="Refdenotaalpie"/>
          <w:rFonts w:ascii="Verdana" w:hAnsi="Verdana" w:cs="Arial"/>
          <w:color w:val="000000" w:themeColor="text1"/>
          <w:lang w:val="es-MX"/>
        </w:rPr>
        <w:footnoteReference w:id="2"/>
      </w:r>
      <w:r>
        <w:rPr>
          <w:rFonts w:ascii="Verdana" w:hAnsi="Verdana" w:cs="Arial"/>
          <w:color w:val="000000" w:themeColor="text1"/>
          <w:lang w:val="es-MX"/>
        </w:rPr>
        <w:t xml:space="preserve">. Sin embargo, fue expresamente derogado por el artículo 225 del Decreto Ley 019 de 2012. En su lugar, el artículo 223 </w:t>
      </w:r>
      <w:r w:rsidRPr="00260423">
        <w:rPr>
          <w:rFonts w:ascii="Verdana" w:hAnsi="Verdana" w:cs="Arial"/>
          <w:i/>
          <w:iCs/>
          <w:color w:val="000000" w:themeColor="text1"/>
          <w:lang w:val="es-MX"/>
        </w:rPr>
        <w:t>ibidem</w:t>
      </w:r>
      <w:r>
        <w:rPr>
          <w:rFonts w:ascii="Verdana" w:hAnsi="Verdana" w:cs="Arial"/>
          <w:color w:val="000000" w:themeColor="text1"/>
          <w:lang w:val="es-MX"/>
        </w:rPr>
        <w:t xml:space="preserve"> dispone lo siguiente: “</w:t>
      </w:r>
      <w:r w:rsidRPr="00D31A8B">
        <w:rPr>
          <w:rFonts w:ascii="Verdana" w:hAnsi="Verdana" w:cs="Arial"/>
          <w:color w:val="000000" w:themeColor="text1"/>
          <w:lang w:val="es-MX"/>
        </w:rPr>
        <w:t>A partir del primero de junio de 2012, los contratos estatales sólo se publicar</w:t>
      </w:r>
      <w:r>
        <w:rPr>
          <w:rFonts w:ascii="Verdana" w:hAnsi="Verdana" w:cs="Arial"/>
          <w:color w:val="000000" w:themeColor="text1"/>
          <w:lang w:val="es-MX"/>
        </w:rPr>
        <w:t>á</w:t>
      </w:r>
      <w:r w:rsidRPr="00D31A8B">
        <w:rPr>
          <w:rFonts w:ascii="Verdana" w:hAnsi="Verdana" w:cs="Arial"/>
          <w:color w:val="000000" w:themeColor="text1"/>
          <w:lang w:val="es-MX"/>
        </w:rPr>
        <w:t xml:space="preserve">n en el Sistema Electrónico para la Contratación Pública -SECOP- que administra la Agencia Nacional de Contratación Pública- Colombia Compra Eficiente. </w:t>
      </w:r>
      <w:r w:rsidRPr="00D31A8B">
        <w:rPr>
          <w:rFonts w:ascii="Verdana" w:hAnsi="Verdana" w:cs="Arial"/>
          <w:i/>
          <w:iCs/>
          <w:color w:val="000000" w:themeColor="text1"/>
          <w:lang w:val="es-MX"/>
        </w:rPr>
        <w:t>En consecuencia, a partir de dicha fecha los contratos estatales no requerirán de publicación en el Diario Único de Contratación</w:t>
      </w:r>
      <w:r>
        <w:rPr>
          <w:rFonts w:ascii="Verdana" w:hAnsi="Verdana" w:cs="Arial"/>
          <w:color w:val="000000" w:themeColor="text1"/>
          <w:lang w:val="es-MX"/>
        </w:rPr>
        <w:t xml:space="preserve"> […]” (Énfasis fuera de texto). Es decir, eliminado el apéndice y sustituido por el SECOP, desapareció la obligación de publicar la información contractual en el Diario Oficial. </w:t>
      </w:r>
    </w:p>
    <w:p w14:paraId="6CE7293E" w14:textId="77777777" w:rsidR="00A24E6F" w:rsidRPr="00D31A8B" w:rsidRDefault="00A24E6F" w:rsidP="00A24E6F">
      <w:pPr>
        <w:spacing w:line="276" w:lineRule="auto"/>
        <w:ind w:firstLine="708"/>
        <w:jc w:val="both"/>
        <w:rPr>
          <w:rFonts w:ascii="Verdana" w:hAnsi="Verdana" w:cs="Arial"/>
        </w:rPr>
      </w:pPr>
      <w:r w:rsidRPr="00D31A8B">
        <w:rPr>
          <w:rFonts w:ascii="Verdana" w:hAnsi="Verdana" w:cs="Arial"/>
        </w:rPr>
        <w:t xml:space="preserve">En todo caso, conforme al artículo 209 constitucional, el numeral 8 del artículo 3 de la Ley 1437 de 2011 dispone que “En virtud del principio de transparencia, la actividad administrativa es del dominio público, por consiguiente, toda persona puede conocer las actuaciones de la administración, salvo reserva legal”. Además, el numeral 9 </w:t>
      </w:r>
      <w:r w:rsidRPr="00D31A8B">
        <w:rPr>
          <w:rFonts w:ascii="Verdana" w:hAnsi="Verdana" w:cs="Arial"/>
          <w:i/>
          <w:iCs/>
        </w:rPr>
        <w:t>ibidem</w:t>
      </w:r>
      <w:r w:rsidRPr="00D31A8B">
        <w:rPr>
          <w:rFonts w:ascii="Verdana" w:hAnsi="Verdana" w:cs="Arial"/>
        </w:rPr>
        <w:t xml:space="preserve"> precisa lo siguiente: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w:t>
      </w:r>
      <w:r w:rsidRPr="00D31A8B">
        <w:rPr>
          <w:rFonts w:ascii="Verdana" w:hAnsi="Verdana" w:cs="Arial"/>
        </w:rPr>
        <w:lastRenderedPageBreak/>
        <w:t xml:space="preserve">tecnologías que permitan difundir de manera masiva tal información de conformidad con lo dispuesto en este Código […]”.  </w:t>
      </w:r>
    </w:p>
    <w:p w14:paraId="7B262ADA" w14:textId="77777777" w:rsidR="00A24E6F" w:rsidRPr="00380938" w:rsidRDefault="00A24E6F" w:rsidP="00A24E6F">
      <w:pPr>
        <w:widowControl w:val="0"/>
        <w:tabs>
          <w:tab w:val="left" w:pos="728"/>
        </w:tabs>
        <w:autoSpaceDE w:val="0"/>
        <w:autoSpaceDN w:val="0"/>
        <w:spacing w:after="120" w:line="276" w:lineRule="auto"/>
        <w:jc w:val="both"/>
        <w:rPr>
          <w:rFonts w:ascii="Verdana" w:eastAsia="Arial" w:hAnsi="Verdana" w:cs="Arial"/>
          <w:lang w:val="es-ES"/>
        </w:rPr>
      </w:pPr>
      <w:r w:rsidRPr="00D31A8B">
        <w:rPr>
          <w:rFonts w:ascii="Verdana" w:hAnsi="Verdana" w:cs="Arial"/>
        </w:rPr>
        <w:tab/>
      </w:r>
      <w:r w:rsidRPr="00D31A8B">
        <w:rPr>
          <w:rFonts w:ascii="Verdana" w:eastAsia="Arial" w:hAnsi="Verdana" w:cs="Arial"/>
          <w:lang w:val="es-ES"/>
        </w:rPr>
        <w:t>Para la Corte Constitucional el principio de publicidad es la garantía de las personas de conocer las actuaciones judiciales y administrativas y, con base en ese conocimiento, tener la posibilidad de exigir que se realicen conforme a la ley</w:t>
      </w:r>
      <w:r w:rsidRPr="00D31A8B">
        <w:rPr>
          <w:rFonts w:ascii="Verdana" w:eastAsia="Arial" w:hAnsi="Verdana" w:cs="Arial"/>
          <w:sz w:val="21"/>
          <w:szCs w:val="21"/>
          <w:vertAlign w:val="superscript"/>
          <w:lang w:val="es-ES"/>
        </w:rPr>
        <w:footnoteReference w:id="3"/>
      </w:r>
      <w:r w:rsidRPr="00D31A8B">
        <w:rPr>
          <w:rFonts w:ascii="Verdana" w:eastAsia="Arial" w:hAnsi="Verdana" w:cs="Arial"/>
          <w:sz w:val="21"/>
          <w:szCs w:val="21"/>
          <w:lang w:val="es-ES"/>
        </w:rPr>
        <w:t>.</w:t>
      </w:r>
      <w:r w:rsidRPr="00D31A8B">
        <w:rPr>
          <w:rFonts w:ascii="Verdana" w:eastAsia="Arial" w:hAnsi="Verdana" w:cs="Arial"/>
          <w:b/>
          <w:lang w:val="es-ES"/>
        </w:rPr>
        <w:t xml:space="preserve"> </w:t>
      </w:r>
      <w:r w:rsidRPr="00D31A8B">
        <w:rPr>
          <w:rFonts w:ascii="Verdana" w:eastAsia="Arial" w:hAnsi="Verdana" w:cs="Arial"/>
          <w:bCs/>
          <w:lang w:val="es-ES"/>
        </w:rPr>
        <w:t xml:space="preserve">Este </w:t>
      </w:r>
      <w:r w:rsidRPr="00D31A8B">
        <w:rPr>
          <w:rFonts w:ascii="Verdana" w:eastAsia="Arial" w:hAnsi="Verdana" w:cs="Arial"/>
          <w:lang w:val="es-ES"/>
        </w:rPr>
        <w:t>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D31A8B">
        <w:rPr>
          <w:rFonts w:ascii="Verdana" w:eastAsia="Arial" w:hAnsi="Verdana" w:cs="Arial"/>
          <w:vertAlign w:val="superscript"/>
          <w:lang w:val="es-ES"/>
        </w:rPr>
        <w:footnoteReference w:id="4"/>
      </w:r>
      <w:r w:rsidRPr="00D31A8B">
        <w:rPr>
          <w:rFonts w:ascii="Verdana" w:eastAsia="Arial" w:hAnsi="Verdana" w:cs="Arial"/>
          <w:lang w:val="es-ES"/>
        </w:rPr>
        <w:t>.</w:t>
      </w:r>
      <w:r>
        <w:rPr>
          <w:rFonts w:ascii="Verdana" w:eastAsia="Arial" w:hAnsi="Verdana" w:cs="Arial"/>
          <w:lang w:val="es-ES"/>
        </w:rPr>
        <w:t xml:space="preserve"> Por ello, “[…] </w:t>
      </w:r>
      <w:r w:rsidRPr="00380938">
        <w:rPr>
          <w:rFonts w:ascii="Verdana" w:eastAsia="Arial" w:hAnsi="Verdana" w:cs="Arial"/>
          <w:lang w:val="es-ES"/>
        </w:rPr>
        <w:t>El SECOP supera algunas de las limitaciones del Diario Único de</w:t>
      </w:r>
      <w:r>
        <w:rPr>
          <w:rFonts w:ascii="Verdana" w:eastAsia="Arial" w:hAnsi="Verdana" w:cs="Arial"/>
          <w:lang w:val="es-ES"/>
        </w:rPr>
        <w:t xml:space="preserve"> </w:t>
      </w:r>
      <w:r w:rsidRPr="00380938">
        <w:rPr>
          <w:rFonts w:ascii="Verdana" w:eastAsia="Arial" w:hAnsi="Verdana" w:cs="Arial"/>
          <w:lang w:val="es-ES"/>
        </w:rPr>
        <w:t>Contratación, como su limitada cobertura geográfica, su reducido número de</w:t>
      </w:r>
      <w:r>
        <w:rPr>
          <w:rFonts w:ascii="Verdana" w:eastAsia="Arial" w:hAnsi="Verdana" w:cs="Arial"/>
          <w:lang w:val="es-ES"/>
        </w:rPr>
        <w:t xml:space="preserve"> </w:t>
      </w:r>
      <w:r w:rsidRPr="00380938">
        <w:rPr>
          <w:rFonts w:ascii="Verdana" w:eastAsia="Arial" w:hAnsi="Verdana" w:cs="Arial"/>
          <w:lang w:val="es-ES"/>
        </w:rPr>
        <w:t>ejemplares y su difícil acceso para los ciudadano</w:t>
      </w:r>
      <w:r>
        <w:rPr>
          <w:rFonts w:ascii="Verdana" w:eastAsia="Arial" w:hAnsi="Verdana" w:cs="Arial"/>
          <w:lang w:val="es-ES"/>
        </w:rPr>
        <w:t>s”</w:t>
      </w:r>
      <w:r>
        <w:rPr>
          <w:rStyle w:val="Refdenotaalpie"/>
          <w:rFonts w:ascii="Verdana" w:eastAsia="Arial" w:hAnsi="Verdana" w:cs="Arial"/>
          <w:lang w:val="es-ES"/>
        </w:rPr>
        <w:footnoteReference w:id="5"/>
      </w:r>
      <w:r>
        <w:rPr>
          <w:rFonts w:ascii="Verdana" w:eastAsia="Arial" w:hAnsi="Verdana" w:cs="Arial"/>
          <w:lang w:val="es-ES"/>
        </w:rPr>
        <w:t>.</w:t>
      </w:r>
    </w:p>
    <w:p w14:paraId="0246ECA7" w14:textId="77777777" w:rsidR="00A24E6F" w:rsidRPr="00D31A8B" w:rsidRDefault="00A24E6F" w:rsidP="00A24E6F">
      <w:pPr>
        <w:widowControl w:val="0"/>
        <w:tabs>
          <w:tab w:val="left" w:pos="728"/>
        </w:tabs>
        <w:autoSpaceDE w:val="0"/>
        <w:autoSpaceDN w:val="0"/>
        <w:spacing w:after="120" w:line="276" w:lineRule="auto"/>
        <w:jc w:val="both"/>
        <w:rPr>
          <w:rFonts w:ascii="Verdana" w:eastAsia="Arial" w:hAnsi="Verdana" w:cs="Arial"/>
          <w:lang w:val="es-ES"/>
        </w:rPr>
      </w:pPr>
      <w:r w:rsidRPr="00D31A8B">
        <w:rPr>
          <w:rFonts w:ascii="Verdana" w:eastAsia="Arial" w:hAnsi="Verdana" w:cs="Arial"/>
          <w:lang w:val="es-ES"/>
        </w:rPr>
        <w:tab/>
        <w:t xml:space="preserve">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y el de transparencia en la información. De acuerdo con el primero, toda información en posesión, bajo control o custodia de un sujeto obligado es pública y no podrá ser reservada o limitada sino por disposición constitucional o legal. Por su parte, el segundo alude al deber de los sujetos de proporcionar y facilitar el acceso a la misma en los términos más amplios posibles, y a través de los medios y procedimientos que establezca la ley. </w:t>
      </w:r>
    </w:p>
    <w:p w14:paraId="75F17517" w14:textId="77777777" w:rsidR="00A24E6F" w:rsidRPr="00D31A8B" w:rsidRDefault="00A24E6F" w:rsidP="00A24E6F">
      <w:pPr>
        <w:widowControl w:val="0"/>
        <w:tabs>
          <w:tab w:val="left" w:pos="728"/>
        </w:tabs>
        <w:autoSpaceDE w:val="0"/>
        <w:autoSpaceDN w:val="0"/>
        <w:spacing w:after="120" w:line="276" w:lineRule="auto"/>
        <w:jc w:val="both"/>
        <w:rPr>
          <w:rFonts w:ascii="Verdana" w:eastAsia="Arial" w:hAnsi="Verdana" w:cs="Arial"/>
          <w:lang w:val="es-ES"/>
        </w:rPr>
      </w:pPr>
      <w:r w:rsidRPr="00D31A8B">
        <w:rPr>
          <w:rFonts w:ascii="Verdana" w:eastAsia="Arial" w:hAnsi="Verdana" w:cs="Arial"/>
          <w:lang w:val="es-ES"/>
        </w:rPr>
        <w:tab/>
        <w:t xml:space="preserve">La ley citada establece, en el literal e) del artículo 9, que los sujetos </w:t>
      </w:r>
      <w:r w:rsidRPr="00D31A8B">
        <w:rPr>
          <w:rFonts w:ascii="Verdana" w:eastAsia="Arial" w:hAnsi="Verdana" w:cs="Arial"/>
          <w:lang w:val="es-ES"/>
        </w:rPr>
        <w:lastRenderedPageBreak/>
        <w:t>obligados, que son todas las entidades públicas, deben publicar la información relativa a su contratación</w:t>
      </w:r>
      <w:r w:rsidRPr="00D31A8B">
        <w:rPr>
          <w:rFonts w:ascii="Verdana" w:eastAsia="Arial" w:hAnsi="Verdana" w:cs="Arial"/>
          <w:vertAlign w:val="superscript"/>
          <w:lang w:val="es-ES"/>
        </w:rPr>
        <w:footnoteReference w:id="6"/>
      </w:r>
      <w:r w:rsidRPr="00D31A8B">
        <w:rPr>
          <w:rFonts w:ascii="Verdana" w:eastAsia="Arial" w:hAnsi="Verdana" w:cs="Arial"/>
          <w:lang w:val="es-ES"/>
        </w:rPr>
        <w:t>. Esta obligación fue en principio desarrollada por el Decreto 103 de 2015, hoy compilado en el Decreto Único Reglamentario 1081 de 2015, el cual dispuso que la publicación de la información contractual de los sujetos obligados, que contratan con cargo a recursos públicos, debe hacerse en el Sistema Electrónico de Contratación Pública –SECOP–</w:t>
      </w:r>
      <w:r w:rsidRPr="00D31A8B">
        <w:rPr>
          <w:rFonts w:ascii="Verdana" w:eastAsia="Arial" w:hAnsi="Verdana" w:cs="Arial"/>
          <w:vertAlign w:val="superscript"/>
          <w:lang w:val="es-ES"/>
        </w:rPr>
        <w:footnoteReference w:id="7"/>
      </w:r>
      <w:r w:rsidRPr="00D31A8B">
        <w:rPr>
          <w:rFonts w:ascii="Verdana" w:eastAsia="Arial" w:hAnsi="Verdana" w:cs="Arial"/>
          <w:lang w:val="es-ES"/>
        </w:rPr>
        <w:t>.</w:t>
      </w:r>
    </w:p>
    <w:p w14:paraId="4B25FCED" w14:textId="77777777" w:rsidR="00A24E6F" w:rsidRDefault="00A24E6F" w:rsidP="00A24E6F">
      <w:pPr>
        <w:widowControl w:val="0"/>
        <w:tabs>
          <w:tab w:val="left" w:pos="728"/>
        </w:tabs>
        <w:autoSpaceDE w:val="0"/>
        <w:autoSpaceDN w:val="0"/>
        <w:spacing w:after="0" w:line="276" w:lineRule="auto"/>
        <w:jc w:val="both"/>
        <w:rPr>
          <w:rFonts w:ascii="Verdana" w:eastAsia="Arial" w:hAnsi="Verdana" w:cs="Arial"/>
          <w:lang w:val="es-ES"/>
        </w:rPr>
      </w:pPr>
      <w:r w:rsidRPr="00D31A8B">
        <w:rPr>
          <w:rFonts w:ascii="Verdana" w:eastAsia="Arial" w:hAnsi="Verdana" w:cs="Arial"/>
          <w:lang w:val="es-ES"/>
        </w:rPr>
        <w:tab/>
        <w:t>Asimismo, de acuerdo con el literal g) del artículo 11 de la misma Ley,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conforme a lo explicado en el párrafo precedente. 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D31A8B">
        <w:rPr>
          <w:rFonts w:ascii="Verdana" w:eastAsia="Arial" w:hAnsi="Verdana" w:cs="Arial"/>
          <w:vertAlign w:val="superscript"/>
          <w:lang w:val="es-ES"/>
        </w:rPr>
        <w:footnoteReference w:id="8"/>
      </w:r>
      <w:r w:rsidRPr="00D31A8B">
        <w:rPr>
          <w:rFonts w:ascii="Verdana" w:eastAsia="Arial" w:hAnsi="Verdana" w:cs="Arial"/>
          <w:lang w:val="es-ES"/>
        </w:rPr>
        <w:t>.</w:t>
      </w:r>
      <w:r>
        <w:rPr>
          <w:rFonts w:ascii="Verdana" w:eastAsia="Arial" w:hAnsi="Verdana" w:cs="Arial"/>
          <w:lang w:val="es-ES"/>
        </w:rPr>
        <w:t xml:space="preserve"> Por ello, la ANCP – CCE ha señalado que:</w:t>
      </w:r>
    </w:p>
    <w:p w14:paraId="0B64ED63" w14:textId="77777777" w:rsidR="00A24E6F" w:rsidRDefault="00A24E6F" w:rsidP="00A24E6F">
      <w:pPr>
        <w:widowControl w:val="0"/>
        <w:tabs>
          <w:tab w:val="left" w:pos="728"/>
        </w:tabs>
        <w:autoSpaceDE w:val="0"/>
        <w:autoSpaceDN w:val="0"/>
        <w:spacing w:after="0" w:line="276" w:lineRule="auto"/>
        <w:jc w:val="both"/>
        <w:rPr>
          <w:rFonts w:ascii="Verdana" w:eastAsia="Arial" w:hAnsi="Verdana" w:cs="Arial"/>
          <w:lang w:val="es-ES"/>
        </w:rPr>
      </w:pPr>
    </w:p>
    <w:p w14:paraId="39F3A7E9" w14:textId="77777777" w:rsidR="00A24E6F" w:rsidRPr="007A1929" w:rsidRDefault="00A24E6F" w:rsidP="00A24E6F">
      <w:pPr>
        <w:widowControl w:val="0"/>
        <w:tabs>
          <w:tab w:val="left" w:pos="728"/>
        </w:tabs>
        <w:autoSpaceDE w:val="0"/>
        <w:autoSpaceDN w:val="0"/>
        <w:spacing w:after="0" w:line="240" w:lineRule="auto"/>
        <w:ind w:left="709" w:right="709"/>
        <w:jc w:val="both"/>
        <w:rPr>
          <w:rFonts w:ascii="Verdana" w:eastAsia="Arial" w:hAnsi="Verdana" w:cs="Arial"/>
          <w:sz w:val="21"/>
          <w:szCs w:val="21"/>
          <w:lang w:val="es-ES"/>
        </w:rPr>
      </w:pPr>
      <w:r w:rsidRPr="007A1929">
        <w:rPr>
          <w:rFonts w:ascii="Verdana" w:eastAsia="Arial" w:hAnsi="Verdana" w:cs="Arial"/>
          <w:sz w:val="21"/>
          <w:szCs w:val="21"/>
          <w:lang w:val="es-ES"/>
        </w:rPr>
        <w:t xml:space="preserve">“Ley de Transparencia establece la publicidad de la contratación y también señala que deberá estar a disposición del público la información a la que hace referencia la presente ley, a través de medios físicos, remotos o locales de comunicación electrónica. De esta manera, es preciso mencionar que en cuanto a la publicación de la actividad contractual de las Entidades Estatales en algún mecanismo de divulgación, dicha obligación existió desde la Ley 80 de 1993 (parágrafo 3° del artículo 41), pues allí se estableció como mecanismo de publicación el Diario Oficial o Gaceta Oficial, lo cual fue derogado por el Decreto 019 de 2012 (artículo 223) que eliminó por completo el Diario Único de Contratación Estatal, dejando como sistema único de </w:t>
      </w:r>
      <w:r w:rsidRPr="007A1929">
        <w:rPr>
          <w:rFonts w:ascii="Verdana" w:eastAsia="Arial" w:hAnsi="Verdana" w:cs="Arial"/>
          <w:sz w:val="21"/>
          <w:szCs w:val="21"/>
          <w:lang w:val="es-ES"/>
        </w:rPr>
        <w:lastRenderedPageBreak/>
        <w:t>publicación el SECOP”</w:t>
      </w:r>
      <w:r>
        <w:rPr>
          <w:rStyle w:val="Refdenotaalpie"/>
          <w:rFonts w:ascii="Verdana" w:eastAsia="Arial" w:hAnsi="Verdana" w:cs="Arial"/>
          <w:sz w:val="21"/>
          <w:szCs w:val="21"/>
          <w:lang w:val="es-ES"/>
        </w:rPr>
        <w:footnoteReference w:id="9"/>
      </w:r>
      <w:r w:rsidRPr="007A1929">
        <w:rPr>
          <w:rFonts w:ascii="Verdana" w:eastAsia="Arial" w:hAnsi="Verdana" w:cs="Arial"/>
          <w:sz w:val="21"/>
          <w:szCs w:val="21"/>
          <w:lang w:val="es-ES"/>
        </w:rPr>
        <w:t>.</w:t>
      </w:r>
    </w:p>
    <w:p w14:paraId="537D7148" w14:textId="77777777" w:rsidR="00A24E6F" w:rsidRPr="00D31A8B" w:rsidRDefault="00A24E6F" w:rsidP="00A24E6F">
      <w:pPr>
        <w:widowControl w:val="0"/>
        <w:tabs>
          <w:tab w:val="left" w:pos="728"/>
        </w:tabs>
        <w:autoSpaceDE w:val="0"/>
        <w:autoSpaceDN w:val="0"/>
        <w:spacing w:after="0" w:line="276" w:lineRule="auto"/>
        <w:jc w:val="both"/>
        <w:rPr>
          <w:rFonts w:ascii="Verdana" w:eastAsia="Arial" w:hAnsi="Verdana" w:cs="Arial"/>
          <w:lang w:val="es-ES"/>
        </w:rPr>
      </w:pPr>
    </w:p>
    <w:p w14:paraId="0E6FB69E" w14:textId="77777777" w:rsidR="00A24E6F" w:rsidRPr="00D31A8B" w:rsidRDefault="00A24E6F" w:rsidP="00A24E6F">
      <w:pPr>
        <w:spacing w:line="276" w:lineRule="auto"/>
        <w:ind w:firstLine="709"/>
        <w:contextualSpacing/>
        <w:jc w:val="both"/>
        <w:rPr>
          <w:rFonts w:ascii="Verdana" w:eastAsia="Calibri" w:hAnsi="Verdana" w:cs="Arial"/>
          <w:lang w:val="es-ES_tradnl" w:eastAsia="es-ES_tradnl"/>
        </w:rPr>
      </w:pPr>
      <w:r w:rsidRPr="00D31A8B">
        <w:rPr>
          <w:rFonts w:ascii="Verdana" w:hAnsi="Verdana" w:cs="Arial"/>
          <w:lang w:val="es-ES"/>
        </w:rPr>
        <w:t>Tratándose de los contratos de régimen exceptuado,</w:t>
      </w:r>
      <w:r>
        <w:rPr>
          <w:rFonts w:ascii="Verdana" w:hAnsi="Verdana" w:cs="Arial"/>
          <w:lang w:val="es-ES"/>
        </w:rPr>
        <w:t xml:space="preserve"> entre los que se encuentran los suscritos por las universidades estatales u oficiales conforme al artículo 93 de la Ley 30 de 1992,</w:t>
      </w:r>
      <w:r w:rsidRPr="00D31A8B">
        <w:rPr>
          <w:rFonts w:ascii="Verdana" w:hAnsi="Verdana" w:cs="Arial"/>
          <w:lang w:val="es-ES"/>
        </w:rPr>
        <w:t xml:space="preserve"> el deber de publicidad y transparencia </w:t>
      </w:r>
      <w:bookmarkStart w:id="2" w:name="_Hlk114572097"/>
      <w:bookmarkStart w:id="3" w:name="_Hlk112856043"/>
      <w:bookmarkStart w:id="4" w:name="_Hlk112245356"/>
      <w:r w:rsidRPr="00D31A8B">
        <w:rPr>
          <w:rFonts w:ascii="Verdana" w:hAnsi="Verdana" w:cs="Arial"/>
          <w:lang w:val="es-ES"/>
        </w:rPr>
        <w:t>fue complementado</w:t>
      </w:r>
      <w:r w:rsidRPr="00D31A8B">
        <w:rPr>
          <w:rFonts w:ascii="Verdana" w:hAnsi="Verdana" w:cs="Arial"/>
        </w:rPr>
        <w:t xml:space="preserve"> con la Ley 2195 de 2022. </w:t>
      </w:r>
      <w:r w:rsidRPr="00D31A8B">
        <w:rPr>
          <w:rFonts w:ascii="Verdana" w:eastAsia="Calibri" w:hAnsi="Verdana" w:cs="Arial"/>
          <w:lang w:val="es-ES_tradnl" w:eastAsia="es-ES_tradnl"/>
        </w:rPr>
        <w:t>Según el artículo 1, esta Ley “</w:t>
      </w:r>
      <w:r w:rsidRPr="00D31A8B">
        <w:rPr>
          <w:rFonts w:ascii="Verdana" w:eastAsia="Times New Roman" w:hAnsi="Verdana" w:cs="Arial"/>
          <w:lang w:val="es-ES_tradnl" w:eastAsia="es-ES_tradnl"/>
        </w:rPr>
        <w:t xml:space="preserve">[…] </w:t>
      </w:r>
      <w:r w:rsidRPr="00D31A8B">
        <w:rPr>
          <w:rFonts w:ascii="Verdana" w:eastAsia="Calibri" w:hAnsi="Verdana"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w:t>
      </w:r>
    </w:p>
    <w:p w14:paraId="6EBD8E9B" w14:textId="77777777" w:rsidR="00A24E6F" w:rsidRPr="00D31A8B" w:rsidRDefault="00A24E6F" w:rsidP="00A24E6F">
      <w:pPr>
        <w:spacing w:line="276" w:lineRule="auto"/>
        <w:ind w:firstLine="709"/>
        <w:contextualSpacing/>
        <w:jc w:val="both"/>
        <w:rPr>
          <w:rFonts w:ascii="Verdana" w:eastAsia="Calibri" w:hAnsi="Verdana" w:cs="Arial"/>
          <w:sz w:val="12"/>
          <w:szCs w:val="12"/>
          <w:lang w:val="es-ES_tradnl" w:eastAsia="es-ES_tradnl"/>
        </w:rPr>
      </w:pPr>
    </w:p>
    <w:p w14:paraId="7914CDE3" w14:textId="77777777" w:rsidR="00A24E6F" w:rsidRPr="00D31A8B" w:rsidRDefault="00A24E6F" w:rsidP="00A24E6F">
      <w:pPr>
        <w:spacing w:line="276" w:lineRule="auto"/>
        <w:ind w:firstLine="709"/>
        <w:contextualSpacing/>
        <w:jc w:val="both"/>
        <w:rPr>
          <w:rFonts w:ascii="Verdana" w:hAnsi="Verdana" w:cs="Arial"/>
        </w:rPr>
      </w:pPr>
      <w:r w:rsidRPr="00D31A8B">
        <w:rPr>
          <w:rFonts w:ascii="Verdana" w:eastAsia="Calibri" w:hAnsi="Verdana" w:cs="Arial"/>
          <w:lang w:val="es-ES_tradnl" w:eastAsia="es-ES_tradnl"/>
        </w:rPr>
        <w:t xml:space="preserve">Dentro del capítulo VIII, por el cual se expiden “Disposiciones en materia contractual para la moralización y la transparencia”, se ubica </w:t>
      </w:r>
      <w:r w:rsidRPr="00D31A8B">
        <w:rPr>
          <w:rFonts w:ascii="Verdana" w:hAnsi="Verdana" w:cs="Arial"/>
        </w:rPr>
        <w:t>el artículo 53. Este adiciona el artículo 13 de la Ley 1150 de 2007, y obliga a las entidades estatales que por disposición legal cuenten con un régimen contractual excepcional al del Estatuto General de Contratación de la Administración Pública a publicar los documentos relacionados con su actividad contractual en el Sistema Electrónico para la Contratación Pública –SECOP II– o la plataforma transaccional que haga sus veces.</w:t>
      </w:r>
      <w:bookmarkEnd w:id="2"/>
      <w:r w:rsidRPr="00D31A8B">
        <w:rPr>
          <w:rFonts w:ascii="Verdana" w:hAnsi="Verdana" w:cs="Arial"/>
        </w:rPr>
        <w:t xml:space="preserve"> </w:t>
      </w:r>
      <w:bookmarkEnd w:id="3"/>
      <w:bookmarkEnd w:id="4"/>
      <w:r w:rsidRPr="00D31A8B">
        <w:rPr>
          <w:rFonts w:ascii="Verdana" w:hAnsi="Verdana" w:cs="Arial"/>
        </w:rPr>
        <w:t>Al respecto, la norma citada dispone lo siguiente:</w:t>
      </w:r>
    </w:p>
    <w:p w14:paraId="2E2B67CA" w14:textId="77777777" w:rsidR="00A24E6F" w:rsidRPr="00D31A8B" w:rsidRDefault="00A24E6F" w:rsidP="00A24E6F">
      <w:pPr>
        <w:spacing w:line="276" w:lineRule="auto"/>
        <w:ind w:firstLine="301"/>
        <w:contextualSpacing/>
        <w:rPr>
          <w:rFonts w:ascii="Verdana" w:hAnsi="Verdana" w:cs="Arial"/>
        </w:rPr>
      </w:pPr>
    </w:p>
    <w:p w14:paraId="523980A1" w14:textId="77777777" w:rsidR="00A24E6F" w:rsidRPr="00D31A8B" w:rsidRDefault="00A24E6F" w:rsidP="00A24E6F">
      <w:pPr>
        <w:spacing w:line="240" w:lineRule="auto"/>
        <w:ind w:left="709" w:right="709"/>
        <w:contextualSpacing/>
        <w:jc w:val="both"/>
        <w:rPr>
          <w:rFonts w:ascii="Verdana" w:eastAsia="Calibri" w:hAnsi="Verdana" w:cs="Arial"/>
          <w:sz w:val="21"/>
          <w:szCs w:val="21"/>
        </w:rPr>
      </w:pPr>
      <w:r w:rsidRPr="00D31A8B">
        <w:rPr>
          <w:rFonts w:ascii="Verdana" w:eastAsia="Calibri" w:hAnsi="Verdana" w:cs="Arial"/>
          <w:sz w:val="21"/>
          <w:szCs w:val="21"/>
        </w:rPr>
        <w:t>“Adiciónese los siguientes incisos al artículo 13 de la Ley 1150 de 2007, el cual quedará así:</w:t>
      </w:r>
    </w:p>
    <w:p w14:paraId="03088EF0" w14:textId="77777777" w:rsidR="00A24E6F" w:rsidRPr="00D31A8B" w:rsidRDefault="00A24E6F" w:rsidP="00A24E6F">
      <w:pPr>
        <w:spacing w:line="240" w:lineRule="auto"/>
        <w:ind w:left="709" w:right="709"/>
        <w:contextualSpacing/>
        <w:jc w:val="both"/>
        <w:rPr>
          <w:rFonts w:ascii="Verdana" w:eastAsia="Calibri" w:hAnsi="Verdana" w:cs="Arial"/>
          <w:sz w:val="12"/>
          <w:szCs w:val="12"/>
        </w:rPr>
      </w:pPr>
    </w:p>
    <w:p w14:paraId="7A60369F" w14:textId="77777777" w:rsidR="00A24E6F" w:rsidRPr="00D31A8B" w:rsidRDefault="00A24E6F" w:rsidP="00A24E6F">
      <w:pPr>
        <w:spacing w:line="240" w:lineRule="auto"/>
        <w:ind w:left="709" w:right="709"/>
        <w:contextualSpacing/>
        <w:jc w:val="both"/>
        <w:rPr>
          <w:rFonts w:ascii="Verdana" w:eastAsia="Calibri" w:hAnsi="Verdana" w:cs="Arial"/>
          <w:sz w:val="21"/>
          <w:szCs w:val="21"/>
        </w:rPr>
      </w:pPr>
      <w:r w:rsidRPr="00D31A8B">
        <w:rPr>
          <w:rFonts w:ascii="Verdana" w:eastAsia="Calibri" w:hAnsi="Verdana" w:cs="Arial"/>
          <w:sz w:val="21"/>
          <w:szCs w:val="21"/>
        </w:rPr>
        <w:t xml:space="preserve">Artículo 13. PRINCIPIOS GENERALES DE LA ACTIVIDAD CONTRACTUAL PARA ENTIDADES NO SOMETIDAS AL ESTATUTO GENERAL DE CONTRATACIÓN DE LA ADMINISTRACIÓN PÚBLICA. </w:t>
      </w:r>
      <w:bookmarkStart w:id="5" w:name="_Hlk153374976"/>
      <w:r w:rsidRPr="00D31A8B">
        <w:rPr>
          <w:rFonts w:ascii="Verdana" w:eastAsia="Calibri" w:hAnsi="Verdana" w:cs="Arial"/>
          <w:sz w:val="21"/>
          <w:szCs w:val="21"/>
        </w:rPr>
        <w:t>Las entidades estatales que por disposición legal cuenten con un régimen contractual excepcional al del Estatuto General de Contratación de la Administración Pública</w:t>
      </w:r>
      <w:bookmarkEnd w:id="5"/>
      <w:r w:rsidRPr="00D31A8B">
        <w:rPr>
          <w:rFonts w:ascii="Verdana" w:eastAsia="Calibri" w:hAnsi="Verdana" w:cs="Arial"/>
          <w:sz w:val="21"/>
          <w:szCs w:val="21"/>
        </w:rPr>
        <w:t>,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581C5CC3" w14:textId="77777777" w:rsidR="00A24E6F" w:rsidRPr="00D31A8B" w:rsidRDefault="00A24E6F" w:rsidP="00A24E6F">
      <w:pPr>
        <w:spacing w:line="240" w:lineRule="auto"/>
        <w:ind w:left="709" w:right="709"/>
        <w:contextualSpacing/>
        <w:jc w:val="both"/>
        <w:rPr>
          <w:rFonts w:ascii="Verdana" w:eastAsia="Calibri" w:hAnsi="Verdana" w:cs="Arial"/>
          <w:sz w:val="12"/>
          <w:szCs w:val="12"/>
        </w:rPr>
      </w:pPr>
    </w:p>
    <w:p w14:paraId="531F7DEE" w14:textId="77777777" w:rsidR="00A24E6F" w:rsidRPr="00D31A8B" w:rsidRDefault="00A24E6F" w:rsidP="00A24E6F">
      <w:pPr>
        <w:spacing w:line="240" w:lineRule="auto"/>
        <w:ind w:left="709" w:right="709"/>
        <w:contextualSpacing/>
        <w:jc w:val="both"/>
        <w:rPr>
          <w:rFonts w:ascii="Verdana" w:eastAsia="Calibri" w:hAnsi="Verdana" w:cs="Arial"/>
          <w:i/>
          <w:iCs/>
          <w:sz w:val="21"/>
          <w:szCs w:val="21"/>
        </w:rPr>
      </w:pPr>
      <w:r w:rsidRPr="00D31A8B">
        <w:rPr>
          <w:rFonts w:ascii="Verdana" w:eastAsia="Calibri" w:hAnsi="Verdana" w:cs="Arial"/>
          <w:i/>
          <w:iCs/>
          <w:sz w:val="21"/>
          <w:szCs w:val="21"/>
        </w:rPr>
        <w:t xml:space="preserve">En desarrollo de los anteriores principios, </w:t>
      </w:r>
      <w:bookmarkStart w:id="6" w:name="_Hlk153375008"/>
      <w:r w:rsidRPr="00D31A8B">
        <w:rPr>
          <w:rFonts w:ascii="Verdana" w:eastAsia="Calibri" w:hAnsi="Verdana" w:cs="Arial"/>
          <w:i/>
          <w:iCs/>
          <w:sz w:val="21"/>
          <w:szCs w:val="21"/>
        </w:rPr>
        <w:t>deberán publicar los documentos relacionados con su actividad contractual en el Sistema Electrónico para la Contratación Pública –SECOP II– o la plataforma transaccional que haga sus veces</w:t>
      </w:r>
      <w:bookmarkEnd w:id="6"/>
      <w:r w:rsidRPr="00D31A8B">
        <w:rPr>
          <w:rFonts w:ascii="Verdana" w:eastAsia="Calibri" w:hAnsi="Verdana" w:cs="Arial"/>
          <w:i/>
          <w:iCs/>
          <w:sz w:val="21"/>
          <w:szCs w:val="21"/>
        </w:rPr>
        <w:t xml:space="preserve">. Para los efectos de este artículo, se entiende por actividad contractual </w:t>
      </w:r>
      <w:bookmarkStart w:id="7" w:name="_Hlk153375262"/>
      <w:r w:rsidRPr="00D31A8B">
        <w:rPr>
          <w:rFonts w:ascii="Verdana" w:eastAsia="Calibri" w:hAnsi="Verdana" w:cs="Arial"/>
          <w:i/>
          <w:iCs/>
          <w:sz w:val="21"/>
          <w:szCs w:val="21"/>
        </w:rPr>
        <w:t xml:space="preserve">los documentos, contratos, actos e </w:t>
      </w:r>
      <w:r w:rsidRPr="00D31A8B">
        <w:rPr>
          <w:rFonts w:ascii="Verdana" w:eastAsia="Calibri" w:hAnsi="Verdana" w:cs="Arial"/>
          <w:i/>
          <w:iCs/>
          <w:sz w:val="21"/>
          <w:szCs w:val="21"/>
        </w:rPr>
        <w:lastRenderedPageBreak/>
        <w:t>información generada por oferentes, contratista, contratante, supervisor o interventor, tanto en la etapa precontractual, como en la contractual y la postcontractual</w:t>
      </w:r>
      <w:bookmarkEnd w:id="7"/>
      <w:r w:rsidRPr="00D31A8B">
        <w:rPr>
          <w:rFonts w:ascii="Verdana" w:eastAsia="Calibri" w:hAnsi="Verdana" w:cs="Arial"/>
          <w:i/>
          <w:iCs/>
          <w:sz w:val="21"/>
          <w:szCs w:val="21"/>
        </w:rPr>
        <w:t>.</w:t>
      </w:r>
    </w:p>
    <w:p w14:paraId="7A2EEC2C" w14:textId="77777777" w:rsidR="00A24E6F" w:rsidRPr="00D31A8B" w:rsidRDefault="00A24E6F" w:rsidP="00A24E6F">
      <w:pPr>
        <w:spacing w:line="240" w:lineRule="auto"/>
        <w:ind w:left="709" w:right="709"/>
        <w:contextualSpacing/>
        <w:jc w:val="both"/>
        <w:rPr>
          <w:rFonts w:ascii="Verdana" w:eastAsia="Calibri" w:hAnsi="Verdana" w:cs="Arial"/>
          <w:i/>
          <w:iCs/>
          <w:sz w:val="12"/>
          <w:szCs w:val="12"/>
        </w:rPr>
      </w:pPr>
    </w:p>
    <w:p w14:paraId="75275695" w14:textId="77777777" w:rsidR="00A24E6F" w:rsidRPr="00D31A8B" w:rsidRDefault="00A24E6F" w:rsidP="00A24E6F">
      <w:pPr>
        <w:spacing w:line="240" w:lineRule="auto"/>
        <w:ind w:left="709" w:right="709"/>
        <w:contextualSpacing/>
        <w:jc w:val="both"/>
        <w:rPr>
          <w:rFonts w:ascii="Verdana" w:eastAsia="Calibri" w:hAnsi="Verdana" w:cs="Arial"/>
          <w:sz w:val="21"/>
          <w:szCs w:val="21"/>
        </w:rPr>
      </w:pPr>
      <w:r w:rsidRPr="00D31A8B">
        <w:rPr>
          <w:rFonts w:ascii="Verdana" w:eastAsia="Calibri" w:hAnsi="Verdana" w:cs="Arial"/>
          <w:sz w:val="21"/>
          <w:szCs w:val="21"/>
        </w:rPr>
        <w:t>A partir de la entrada en vigencia de la presente Ley, se establecerá un periodo de transición de seis (6) meses, para que las entidades den cumplimiento efectivo a lo aquí establecido”. (Énfasis fuera de texto).</w:t>
      </w:r>
    </w:p>
    <w:p w14:paraId="0131830D" w14:textId="77777777" w:rsidR="00A24E6F" w:rsidRPr="00D31A8B" w:rsidRDefault="00A24E6F" w:rsidP="00A24E6F">
      <w:pPr>
        <w:spacing w:line="276" w:lineRule="auto"/>
        <w:ind w:firstLine="709"/>
        <w:contextualSpacing/>
        <w:jc w:val="both"/>
        <w:rPr>
          <w:rFonts w:ascii="Verdana" w:eastAsia="Calibri" w:hAnsi="Verdana" w:cs="Arial"/>
          <w:lang w:val="es-ES_tradnl"/>
        </w:rPr>
      </w:pPr>
    </w:p>
    <w:p w14:paraId="637D3302" w14:textId="77777777" w:rsidR="00A24E6F" w:rsidRPr="00D31A8B" w:rsidRDefault="00A24E6F" w:rsidP="00A24E6F">
      <w:pPr>
        <w:spacing w:after="120" w:line="276" w:lineRule="auto"/>
        <w:ind w:firstLine="709"/>
        <w:jc w:val="both"/>
        <w:rPr>
          <w:rFonts w:ascii="Verdana" w:eastAsia="Calibri" w:hAnsi="Verdana" w:cs="Arial"/>
          <w:lang w:val="es-ES_tradnl" w:eastAsia="es-ES_tradnl"/>
        </w:rPr>
      </w:pPr>
      <w:r w:rsidRPr="00D31A8B">
        <w:rPr>
          <w:rFonts w:ascii="Verdana" w:eastAsia="Calibri" w:hAnsi="Verdana" w:cs="Arial"/>
          <w:lang w:val="es-ES_tradnl"/>
        </w:rPr>
        <w:t xml:space="preserve">Cabe destacar que cuando la norma trascrita hace referencia a que el mencionado deber de publicidad debe cumplirse en el SECOP II o </w:t>
      </w:r>
      <w:r w:rsidRPr="00D31A8B">
        <w:rPr>
          <w:rFonts w:ascii="Verdana" w:hAnsi="Verdana" w:cs="Arial"/>
        </w:rPr>
        <w:t>“</w:t>
      </w:r>
      <w:r w:rsidRPr="00D31A8B">
        <w:rPr>
          <w:rFonts w:ascii="Verdana" w:eastAsia="Calibri" w:hAnsi="Verdana" w:cs="Arial"/>
          <w:lang w:val="es-ES_tradnl"/>
        </w:rPr>
        <w:t xml:space="preserve">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D31A8B">
        <w:rPr>
          <w:rFonts w:ascii="Verdana" w:hAnsi="Verdana" w:cs="Arial"/>
        </w:rPr>
        <w:t>“</w:t>
      </w:r>
      <w:r w:rsidRPr="00D31A8B">
        <w:rPr>
          <w:rFonts w:ascii="Verdana" w:eastAsia="Calibri" w:hAnsi="Verdana" w:cs="Arial"/>
          <w:lang w:val="es-ES_tradnl"/>
        </w:rPr>
        <w:t>la plataforma que haga sus veces</w:t>
      </w:r>
      <w:r w:rsidRPr="00D31A8B">
        <w:rPr>
          <w:rFonts w:ascii="Verdana" w:hAnsi="Verdana" w:cs="Arial"/>
        </w:rPr>
        <w:t>”</w:t>
      </w:r>
      <w:r w:rsidRPr="00D31A8B">
        <w:rPr>
          <w:rFonts w:ascii="Verdana" w:eastAsia="Calibri" w:hAnsi="Verdana" w:cs="Arial"/>
          <w:lang w:val="es-ES_tradnl"/>
        </w:rPr>
        <w:t xml:space="preserve"> no puede interpretarse como una autorización para que las entidades obligadas en virtud del artículo 53 de la Ley 2195 de 2022 puedan emplear sus páginas web o sus propios portales electrónicos para cumplir con el deber de publicidad que les asiste. </w:t>
      </w:r>
      <w:r w:rsidRPr="00D31A8B">
        <w:rPr>
          <w:rFonts w:ascii="Verdana" w:eastAsia="Calibri" w:hAnsi="Verdana" w:cs="Arial"/>
          <w:lang w:val="es-ES_tradnl" w:eastAsia="es-ES_tradnl"/>
        </w:rPr>
        <w:t>Con esto se logra que la ciudadanía pueda encontrar en un mismo sistema la gestión de la actividad contractual del Estado, garantizándose en mayor grado la transparencia y el acceso a la información y documentación pública.</w:t>
      </w:r>
    </w:p>
    <w:p w14:paraId="551AB0CA" w14:textId="77777777" w:rsidR="00A24E6F" w:rsidRPr="00D31A8B" w:rsidRDefault="00A24E6F" w:rsidP="1F29E4C8">
      <w:pPr>
        <w:spacing w:before="120" w:after="120" w:line="276" w:lineRule="auto"/>
        <w:ind w:firstLine="709"/>
        <w:jc w:val="both"/>
        <w:rPr>
          <w:rFonts w:ascii="Verdana" w:eastAsia="Calibri" w:hAnsi="Verdana" w:cs="Arial"/>
          <w:lang w:val="es-ES"/>
        </w:rPr>
      </w:pPr>
      <w:bookmarkStart w:id="8" w:name="_Hlk109111956"/>
      <w:bookmarkStart w:id="9" w:name="_Hlk112245392"/>
      <w:r w:rsidRPr="1F29E4C8">
        <w:rPr>
          <w:rFonts w:ascii="Verdana" w:eastAsia="Calibri" w:hAnsi="Verdana" w:cs="Arial"/>
          <w:lang w:val="es-ES"/>
        </w:rPr>
        <w:t xml:space="preserve">En cuanto a los documentos que deben publicarse en el SECOP II, la norma citada hace referencia a los documentos relacionados con su </w:t>
      </w:r>
      <w:r w:rsidRPr="1F29E4C8">
        <w:rPr>
          <w:rFonts w:ascii="Verdana" w:eastAsia="Calibri" w:hAnsi="Verdana" w:cs="Arial"/>
          <w:i/>
          <w:iCs/>
          <w:lang w:val="es-ES"/>
        </w:rPr>
        <w:t>actividad contractual,</w:t>
      </w:r>
      <w:r w:rsidRPr="1F29E4C8">
        <w:rPr>
          <w:rFonts w:ascii="Verdana" w:eastAsia="Calibri" w:hAnsi="Verdana" w:cs="Arial"/>
          <w:lang w:val="es-ES"/>
        </w:rPr>
        <w:t xml:space="preserve"> es decir,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Por </w:t>
      </w:r>
      <w:bookmarkEnd w:id="8"/>
      <w:r w:rsidRPr="1F29E4C8">
        <w:rPr>
          <w:rFonts w:ascii="Verdana" w:eastAsia="Calibri" w:hAnsi="Verdana" w:cs="Arial"/>
          <w:lang w:val="es-ES"/>
        </w:rPr>
        <w:t xml:space="preserve">lo tanto, la publicidad de los contratos exceptuados del Estatuto General de que trata el artículo 53 de la Ley 2195 de 2022, requiere que se publique en el SECOP II todo documento expedido durante las diferentes etapas del proceso contractual, abarcando desde la fase previa a su celebración, pasando por la ejecución y hasta la fase posterior a su ejecución. </w:t>
      </w:r>
    </w:p>
    <w:p w14:paraId="7BFD0B3F" w14:textId="77777777" w:rsidR="00A24E6F" w:rsidRPr="00D31A8B" w:rsidRDefault="00A24E6F" w:rsidP="00A24E6F">
      <w:pPr>
        <w:spacing w:before="120" w:after="120" w:line="276" w:lineRule="auto"/>
        <w:ind w:firstLine="709"/>
        <w:jc w:val="both"/>
        <w:rPr>
          <w:rFonts w:ascii="Verdana" w:eastAsia="Calibri" w:hAnsi="Verdana" w:cs="Arial"/>
          <w:lang w:val="es-ES"/>
        </w:rPr>
      </w:pPr>
      <w:r w:rsidRPr="00D31A8B">
        <w:rPr>
          <w:rFonts w:ascii="Verdana" w:eastAsia="Calibri" w:hAnsi="Verdana" w:cs="Arial"/>
          <w:lang w:val="es-ES"/>
        </w:rPr>
        <w:t xml:space="preserve">Sin perjuicio de lo anterior, vale la pena aclarar que el cumplimiento del deber de publicación de la documentación contractual debe armonizarse con las normas aplicables al tipo de información que estas contienen. Lo anterior </w:t>
      </w:r>
      <w:r w:rsidRPr="00D31A8B">
        <w:rPr>
          <w:rFonts w:ascii="Verdana" w:eastAsia="Calibri" w:hAnsi="Verdana" w:cs="Arial"/>
          <w:lang w:val="es-ES"/>
        </w:rPr>
        <w:lastRenderedPageBreak/>
        <w:t>significa que, respecto de datos sensibles, información sometida a reserva o de la cual proceda un tratamiento especial que impida su publicidad, las entidades deberán proceder de conformidad con el tratamiento que impongan tales normas</w:t>
      </w:r>
      <w:r w:rsidRPr="00D31A8B">
        <w:rPr>
          <w:rFonts w:ascii="Verdana" w:eastAsia="Calibri" w:hAnsi="Verdana" w:cs="Arial"/>
          <w:vertAlign w:val="superscript"/>
          <w:lang w:val="es-ES"/>
        </w:rPr>
        <w:footnoteReference w:id="10"/>
      </w:r>
      <w:r w:rsidRPr="00D31A8B">
        <w:rPr>
          <w:rFonts w:ascii="Verdana" w:eastAsia="Calibri" w:hAnsi="Verdana" w:cs="Arial"/>
          <w:lang w:val="es-ES"/>
        </w:rPr>
        <w:t xml:space="preserve">. </w:t>
      </w:r>
      <w:bookmarkStart w:id="10" w:name="_Hlk109111976"/>
      <w:bookmarkStart w:id="11" w:name="_Hlk112856091"/>
      <w:bookmarkStart w:id="12" w:name="_Hlk112245428"/>
      <w:bookmarkEnd w:id="9"/>
    </w:p>
    <w:p w14:paraId="35A5763C" w14:textId="77777777" w:rsidR="00A24E6F" w:rsidRPr="00D31A8B" w:rsidRDefault="00A24E6F" w:rsidP="00A24E6F">
      <w:pPr>
        <w:spacing w:before="120" w:after="120" w:line="276" w:lineRule="auto"/>
        <w:ind w:firstLine="709"/>
        <w:jc w:val="both"/>
        <w:rPr>
          <w:rFonts w:ascii="Verdana" w:eastAsia="Calibri" w:hAnsi="Verdana" w:cs="Arial"/>
          <w:lang w:val="es-ES"/>
        </w:rPr>
      </w:pPr>
      <w:r w:rsidRPr="00D31A8B">
        <w:rPr>
          <w:rFonts w:ascii="Verdana" w:eastAsia="Calibri" w:hAnsi="Verdana" w:cs="Arial"/>
          <w:lang w:val="es-ES_tradnl"/>
        </w:rPr>
        <w:t xml:space="preserve">Por otro lado,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trascurrió del 18 de enero al 18 de julio de 2022. </w:t>
      </w:r>
      <w:bookmarkEnd w:id="10"/>
      <w:r w:rsidRPr="00D31A8B">
        <w:rPr>
          <w:rFonts w:ascii="Verdana" w:eastAsia="Calibri" w:hAnsi="Verdana" w:cs="Arial"/>
          <w:lang w:val="es-ES_tradn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bookmarkEnd w:id="11"/>
      <w:r w:rsidRPr="00D31A8B">
        <w:rPr>
          <w:rStyle w:val="Refdenotaalpie"/>
          <w:rFonts w:ascii="Verdana" w:hAnsi="Verdana" w:cs="Arial"/>
        </w:rPr>
        <w:footnoteReference w:id="11"/>
      </w:r>
      <w:r w:rsidRPr="00D31A8B">
        <w:rPr>
          <w:rFonts w:ascii="Verdana" w:hAnsi="Verdana" w:cs="Arial"/>
        </w:rPr>
        <w:t>.</w:t>
      </w:r>
    </w:p>
    <w:bookmarkEnd w:id="12"/>
    <w:p w14:paraId="27B5A980" w14:textId="77777777" w:rsidR="00A24E6F" w:rsidRPr="00D31A8B" w:rsidRDefault="00A24E6F" w:rsidP="00A24E6F">
      <w:pPr>
        <w:autoSpaceDE w:val="0"/>
        <w:autoSpaceDN w:val="0"/>
        <w:adjustRightInd w:val="0"/>
        <w:spacing w:line="276" w:lineRule="auto"/>
        <w:ind w:firstLine="709"/>
        <w:contextualSpacing/>
        <w:jc w:val="both"/>
        <w:rPr>
          <w:rFonts w:ascii="Verdana" w:eastAsia="Calibri" w:hAnsi="Verdana" w:cs="Arial"/>
          <w:lang w:val="es-ES_tradnl" w:eastAsia="es-ES_tradnl"/>
        </w:rPr>
      </w:pPr>
      <w:r w:rsidRPr="00D31A8B">
        <w:rPr>
          <w:rFonts w:ascii="Verdana" w:eastAsia="Calibri" w:hAnsi="Verdana" w:cs="Arial"/>
          <w:lang w:val="es-ES_tradnl"/>
        </w:rPr>
        <w:lastRenderedPageBreak/>
        <w:t>Finalmente</w:t>
      </w:r>
      <w:r w:rsidRPr="00D31A8B">
        <w:rPr>
          <w:rFonts w:ascii="Verdana" w:eastAsia="Calibri" w:hAnsi="Verdana" w:cs="Arial"/>
          <w:lang w:val="es-ES"/>
        </w:rPr>
        <w:t xml:space="preserve">, debe destacarse que, el </w:t>
      </w:r>
      <w:bookmarkStart w:id="13" w:name="_Hlk153374719"/>
      <w:r w:rsidRPr="00D31A8B">
        <w:rPr>
          <w:rFonts w:ascii="Verdana" w:eastAsia="Calibri" w:hAnsi="Verdana" w:cs="Arial"/>
          <w:lang w:val="es-ES"/>
        </w:rPr>
        <w:t>Departamento Administrativo de la Presidencia de la Republica</w:t>
      </w:r>
      <w:bookmarkEnd w:id="13"/>
      <w:r w:rsidRPr="00D31A8B">
        <w:rPr>
          <w:rFonts w:ascii="Verdana" w:eastAsia="Calibri" w:hAnsi="Verdana" w:cs="Arial"/>
          <w:lang w:val="es-ES"/>
        </w:rPr>
        <w:t xml:space="preserve"> expidió la Circular 02 del 1 de junio de 2022, la cual contiene una serie de instrucciones dirigidas a garantizar el cumplimiento del deber legal de publicar en SECOP II por parte de las entidades estatales exceptuadas del Estatuto General de Contratación Pública. Sobre el alcance y vigencia dicha disposición la mencionada circular señaló lo siguiente</w:t>
      </w:r>
      <w:r w:rsidRPr="00D31A8B">
        <w:rPr>
          <w:rFonts w:ascii="Verdana" w:eastAsia="Calibri" w:hAnsi="Verdana" w:cs="Arial"/>
          <w:lang w:val="es-ES_tradnl" w:eastAsia="es-ES_tradnl"/>
        </w:rPr>
        <w:t>:</w:t>
      </w:r>
    </w:p>
    <w:p w14:paraId="7F3454D5" w14:textId="77777777" w:rsidR="00A24E6F" w:rsidRPr="00D31A8B" w:rsidRDefault="00A24E6F" w:rsidP="00A24E6F">
      <w:pPr>
        <w:autoSpaceDE w:val="0"/>
        <w:autoSpaceDN w:val="0"/>
        <w:adjustRightInd w:val="0"/>
        <w:ind w:firstLine="708"/>
        <w:contextualSpacing/>
        <w:jc w:val="both"/>
        <w:rPr>
          <w:rFonts w:ascii="Verdana" w:eastAsia="Calibri" w:hAnsi="Verdana" w:cs="Arial"/>
          <w:lang w:val="es-ES_tradnl" w:eastAsia="es-ES_tradnl"/>
        </w:rPr>
      </w:pPr>
    </w:p>
    <w:p w14:paraId="15A77E92" w14:textId="77777777" w:rsidR="00A24E6F" w:rsidRPr="00D31A8B" w:rsidRDefault="00A24E6F" w:rsidP="00A24E6F">
      <w:pPr>
        <w:autoSpaceDE w:val="0"/>
        <w:autoSpaceDN w:val="0"/>
        <w:adjustRightInd w:val="0"/>
        <w:spacing w:line="240" w:lineRule="auto"/>
        <w:ind w:left="709" w:right="709"/>
        <w:contextualSpacing/>
        <w:jc w:val="both"/>
        <w:rPr>
          <w:rFonts w:ascii="Verdana" w:eastAsia="Calibri" w:hAnsi="Verdana" w:cs="Arial"/>
          <w:i/>
          <w:iCs/>
          <w:sz w:val="21"/>
          <w:szCs w:val="21"/>
          <w:lang w:val="es-ES_tradnl" w:eastAsia="es-ES_tradnl"/>
        </w:rPr>
      </w:pPr>
      <w:r w:rsidRPr="00D31A8B">
        <w:rPr>
          <w:rFonts w:ascii="Verdana" w:hAnsi="Verdana" w:cs="Arial"/>
          <w:sz w:val="21"/>
          <w:szCs w:val="21"/>
        </w:rPr>
        <w:t>“</w:t>
      </w:r>
      <w:r w:rsidRPr="00D31A8B">
        <w:rPr>
          <w:rFonts w:ascii="Verdana" w:hAnsi="Verdana" w:cs="Arial"/>
          <w:i/>
          <w:iCs/>
          <w:sz w:val="21"/>
          <w:szCs w:val="21"/>
        </w:rPr>
        <w:t>Dado que el artículo 53 de la Ley 2195 de 2022 no cambió la forma en que se perfeccionan los contratos suscritos por estas entidades exceptuadas, para cumplir con el deber de publicidad que les asiste, podrán elegir cualquiera de las siguientes opciones: 1. Firmar el contrato electrónicamente (es decir, realiza un uso transaccional de la plataforma). 2. Firmar el contrato en físico y publicar los documentos de ejecución en la etapa precontractual del SECOP II (es decir, realiza un uso publicitario de la plataforma).</w:t>
      </w:r>
    </w:p>
    <w:p w14:paraId="55AF5F02" w14:textId="77777777" w:rsidR="00A24E6F" w:rsidRPr="00D31A8B" w:rsidRDefault="00A24E6F" w:rsidP="00A24E6F">
      <w:pPr>
        <w:autoSpaceDE w:val="0"/>
        <w:autoSpaceDN w:val="0"/>
        <w:adjustRightInd w:val="0"/>
        <w:spacing w:line="240" w:lineRule="auto"/>
        <w:ind w:firstLine="708"/>
        <w:contextualSpacing/>
        <w:jc w:val="both"/>
        <w:rPr>
          <w:rFonts w:ascii="Verdana" w:eastAsia="Calibri" w:hAnsi="Verdana" w:cs="Arial"/>
          <w:sz w:val="21"/>
          <w:szCs w:val="21"/>
          <w:lang w:val="es-ES_tradnl" w:eastAsia="es-ES_tradnl"/>
        </w:rPr>
      </w:pPr>
      <w:r w:rsidRPr="00D31A8B">
        <w:rPr>
          <w:rFonts w:ascii="Verdana" w:eastAsia="Calibri" w:hAnsi="Verdana" w:cs="Arial"/>
          <w:sz w:val="21"/>
          <w:szCs w:val="21"/>
          <w:lang w:val="es-ES_tradnl" w:eastAsia="es-ES_tradnl"/>
        </w:rPr>
        <w:t>[…]</w:t>
      </w:r>
    </w:p>
    <w:p w14:paraId="43DCC3DE" w14:textId="77777777" w:rsidR="00A24E6F" w:rsidRPr="00D31A8B" w:rsidRDefault="00A24E6F" w:rsidP="00A24E6F">
      <w:pPr>
        <w:spacing w:line="240" w:lineRule="auto"/>
        <w:ind w:left="709" w:right="709"/>
        <w:contextualSpacing/>
        <w:jc w:val="both"/>
        <w:rPr>
          <w:rFonts w:ascii="Verdana" w:eastAsia="Times New Roman" w:hAnsi="Verdana" w:cs="Arial"/>
          <w:sz w:val="12"/>
          <w:szCs w:val="12"/>
          <w:lang w:eastAsia="es-ES_tradnl"/>
        </w:rPr>
      </w:pPr>
    </w:p>
    <w:p w14:paraId="0752E3F5" w14:textId="77777777" w:rsidR="00A24E6F" w:rsidRPr="00D31A8B" w:rsidRDefault="00A24E6F" w:rsidP="00A24E6F">
      <w:pPr>
        <w:spacing w:line="240" w:lineRule="auto"/>
        <w:ind w:left="709" w:right="709"/>
        <w:contextualSpacing/>
        <w:jc w:val="both"/>
        <w:rPr>
          <w:rFonts w:ascii="Verdana" w:eastAsia="Times New Roman" w:hAnsi="Verdana" w:cs="Arial"/>
          <w:i/>
          <w:iCs/>
          <w:sz w:val="21"/>
          <w:szCs w:val="21"/>
          <w:lang w:eastAsia="es-ES_tradnl"/>
        </w:rPr>
      </w:pPr>
      <w:r w:rsidRPr="00D31A8B">
        <w:rPr>
          <w:rFonts w:ascii="Verdana" w:eastAsia="Times New Roman" w:hAnsi="Verdana" w:cs="Arial"/>
          <w:sz w:val="21"/>
          <w:szCs w:val="21"/>
          <w:lang w:eastAsia="es-ES_tradnl"/>
        </w:rPr>
        <w:t>El deber de las entidades estatales que por disposición legal cuenten con un régimen contractual excepcional al del Estatuto General de Contratación de la Administración Pública, de publicar los documentos relacionados con su actividad contractual en el SECOP II</w:t>
      </w:r>
      <w:r w:rsidRPr="00D31A8B">
        <w:rPr>
          <w:rFonts w:ascii="Verdana" w:eastAsia="Times New Roman" w:hAnsi="Verdana" w:cs="Arial"/>
          <w:i/>
          <w:iCs/>
          <w:sz w:val="21"/>
          <w:szCs w:val="21"/>
          <w:lang w:eastAsia="es-ES_tradnl"/>
        </w:rPr>
        <w:t xml:space="preserve">, solo aplica para los contratos suscritos con posterioridad al término dispuesto en el artículo 53 de la Ley 2195 de 2022, esto es, el 18 de julio de 2022. </w:t>
      </w:r>
    </w:p>
    <w:p w14:paraId="11FFEC59" w14:textId="77777777" w:rsidR="00A24E6F" w:rsidRPr="00D31A8B" w:rsidRDefault="00A24E6F" w:rsidP="00A24E6F">
      <w:pPr>
        <w:spacing w:line="240" w:lineRule="auto"/>
        <w:ind w:left="709" w:right="709"/>
        <w:contextualSpacing/>
        <w:jc w:val="both"/>
        <w:rPr>
          <w:rFonts w:ascii="Verdana" w:eastAsia="Times New Roman" w:hAnsi="Verdana" w:cs="Arial"/>
          <w:sz w:val="12"/>
          <w:szCs w:val="12"/>
          <w:lang w:eastAsia="es-ES_tradnl"/>
        </w:rPr>
      </w:pPr>
    </w:p>
    <w:p w14:paraId="221ACA9B" w14:textId="77777777" w:rsidR="00A24E6F" w:rsidRPr="00D31A8B" w:rsidRDefault="00A24E6F" w:rsidP="00A24E6F">
      <w:pPr>
        <w:spacing w:line="240" w:lineRule="auto"/>
        <w:ind w:left="709" w:right="709"/>
        <w:contextualSpacing/>
        <w:jc w:val="both"/>
        <w:rPr>
          <w:rFonts w:ascii="Verdana" w:eastAsia="Calibri" w:hAnsi="Verdana" w:cs="Arial"/>
          <w:sz w:val="21"/>
          <w:szCs w:val="21"/>
          <w:lang w:val="es-ES_tradnl" w:eastAsia="es-ES_tradnl"/>
        </w:rPr>
      </w:pPr>
      <w:r w:rsidRPr="00D31A8B">
        <w:rPr>
          <w:rFonts w:ascii="Verdana" w:eastAsia="Times New Roman" w:hAnsi="Verdana" w:cs="Arial"/>
          <w:sz w:val="21"/>
          <w:szCs w:val="21"/>
          <w:lang w:eastAsia="es-ES_tradnl"/>
        </w:rPr>
        <w:t>Lo anterior en concordancia con lo establecido en el artículo 38 de la Ley 153 de 1887, el cual dispone que en todo contrato celebrado se entenderán incorporadas las leyes vigentes al tiempo de su celebración”</w:t>
      </w:r>
      <w:r w:rsidRPr="00D31A8B">
        <w:rPr>
          <w:rFonts w:ascii="Verdana" w:eastAsia="Times New Roman" w:hAnsi="Verdana" w:cs="Arial"/>
          <w:i/>
          <w:iCs/>
          <w:sz w:val="21"/>
          <w:szCs w:val="21"/>
          <w:lang w:eastAsia="es-ES_tradnl"/>
        </w:rPr>
        <w:t xml:space="preserve">. </w:t>
      </w:r>
      <w:r w:rsidRPr="00D31A8B">
        <w:rPr>
          <w:rFonts w:ascii="Verdana" w:eastAsia="Calibri" w:hAnsi="Verdana" w:cs="Arial"/>
          <w:sz w:val="21"/>
          <w:szCs w:val="21"/>
        </w:rPr>
        <w:t>(Énfasis fuera de texto)</w:t>
      </w:r>
    </w:p>
    <w:p w14:paraId="78DB5F97" w14:textId="77777777" w:rsidR="00A24E6F" w:rsidRPr="00D31A8B" w:rsidRDefault="00A24E6F" w:rsidP="00A24E6F">
      <w:pPr>
        <w:spacing w:line="276" w:lineRule="auto"/>
        <w:ind w:firstLine="709"/>
        <w:contextualSpacing/>
        <w:jc w:val="both"/>
        <w:rPr>
          <w:rFonts w:ascii="Verdana" w:eastAsia="Calibri" w:hAnsi="Verdana" w:cs="Arial"/>
          <w:lang w:val="es-ES_tradnl"/>
        </w:rPr>
      </w:pPr>
    </w:p>
    <w:p w14:paraId="12EF2868" w14:textId="77777777" w:rsidR="00A24E6F" w:rsidRPr="00D31A8B" w:rsidRDefault="00A24E6F" w:rsidP="00A24E6F">
      <w:pPr>
        <w:spacing w:line="276" w:lineRule="auto"/>
        <w:ind w:firstLine="709"/>
        <w:contextualSpacing/>
        <w:jc w:val="both"/>
        <w:rPr>
          <w:rFonts w:ascii="Verdana" w:eastAsia="Calibri" w:hAnsi="Verdana" w:cs="Arial"/>
          <w:lang w:val="es-ES_tradnl"/>
        </w:rPr>
      </w:pPr>
      <w:r w:rsidRPr="00D31A8B">
        <w:rPr>
          <w:rFonts w:ascii="Verdana" w:eastAsia="Calibri" w:hAnsi="Verdana" w:cs="Arial"/>
          <w:lang w:val="es-ES_tradnl"/>
        </w:rPr>
        <w:t>Sobre el particular ya se había pronunciado la Agencia Nacional de Contratación Pública – Colombia Compra Eficiente en la Circular 002 del 17 de marzo de 2022, en la que se indicó:</w:t>
      </w:r>
    </w:p>
    <w:p w14:paraId="7BEDDDB1" w14:textId="77777777" w:rsidR="00A24E6F" w:rsidRPr="00D31A8B" w:rsidRDefault="00A24E6F" w:rsidP="00A24E6F">
      <w:pPr>
        <w:spacing w:line="276" w:lineRule="auto"/>
        <w:ind w:firstLine="709"/>
        <w:contextualSpacing/>
        <w:jc w:val="both"/>
        <w:rPr>
          <w:rFonts w:ascii="Verdana" w:eastAsia="Calibri" w:hAnsi="Verdana" w:cs="Arial"/>
          <w:lang w:val="es-ES_tradnl"/>
        </w:rPr>
      </w:pPr>
    </w:p>
    <w:p w14:paraId="6F5ECD2E" w14:textId="77777777" w:rsidR="00A24E6F" w:rsidRPr="00D31A8B" w:rsidRDefault="00A24E6F" w:rsidP="00A24E6F">
      <w:pPr>
        <w:spacing w:line="240" w:lineRule="auto"/>
        <w:ind w:left="709" w:right="709"/>
        <w:contextualSpacing/>
        <w:jc w:val="both"/>
        <w:rPr>
          <w:rFonts w:ascii="Verdana" w:hAnsi="Verdana" w:cs="Arial"/>
          <w:sz w:val="21"/>
          <w:szCs w:val="21"/>
        </w:rPr>
      </w:pPr>
      <w:r w:rsidRPr="00D31A8B">
        <w:rPr>
          <w:rFonts w:ascii="Verdana" w:hAnsi="Verdana"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22F23D8C" w14:textId="77777777" w:rsidR="00A24E6F" w:rsidRPr="00D31A8B" w:rsidRDefault="00A24E6F" w:rsidP="00A24E6F">
      <w:pPr>
        <w:spacing w:line="240" w:lineRule="auto"/>
        <w:ind w:right="709"/>
        <w:contextualSpacing/>
        <w:jc w:val="both"/>
        <w:rPr>
          <w:rFonts w:ascii="Verdana" w:hAnsi="Verdana" w:cs="Arial"/>
          <w:sz w:val="12"/>
          <w:szCs w:val="12"/>
        </w:rPr>
      </w:pPr>
    </w:p>
    <w:p w14:paraId="422FE3A0" w14:textId="77777777" w:rsidR="00A24E6F" w:rsidRPr="00D31A8B" w:rsidRDefault="00A24E6F" w:rsidP="00A24E6F">
      <w:pPr>
        <w:spacing w:line="240" w:lineRule="auto"/>
        <w:ind w:left="709" w:right="709"/>
        <w:contextualSpacing/>
        <w:jc w:val="both"/>
        <w:rPr>
          <w:rFonts w:ascii="Verdana" w:eastAsia="Calibri" w:hAnsi="Verdana" w:cs="Arial"/>
          <w:sz w:val="21"/>
          <w:szCs w:val="21"/>
          <w:lang w:val="es-ES_tradnl"/>
        </w:rPr>
      </w:pPr>
      <w:r w:rsidRPr="00D31A8B">
        <w:rPr>
          <w:rFonts w:ascii="Verdana" w:hAnsi="Verdana" w:cs="Arial"/>
          <w:i/>
          <w:iCs/>
          <w:sz w:val="21"/>
          <w:szCs w:val="21"/>
        </w:rPr>
        <w:lastRenderedPageBreak/>
        <w:t>En consecuencia, su uso obligatorio empezará a regir a partir del 18 de julio de 2022, 23:59 horas, sin que sea posible por vía reglamentaria o en sus reglamentos internos de contratación -también conocidos como Manuales de Contratación"-hacer extensivo el plazo previsto en la Ley.</w:t>
      </w:r>
      <w:r w:rsidRPr="00D31A8B">
        <w:rPr>
          <w:rFonts w:ascii="Verdana" w:hAnsi="Verdana" w:cs="Arial"/>
          <w:sz w:val="21"/>
          <w:szCs w:val="21"/>
        </w:rPr>
        <w:t xml:space="preserve"> Todos los procesos de contratación creados en el SECOP I antes del 18 de julio de 2022, 23:59 horas, por parte de estas entidades estatales, podrán continuar siendo gestionados en esta plataforma”</w:t>
      </w:r>
      <w:r w:rsidRPr="00D31A8B">
        <w:rPr>
          <w:rFonts w:ascii="Verdana" w:eastAsia="Calibri" w:hAnsi="Verdana" w:cs="Arial"/>
          <w:sz w:val="21"/>
          <w:szCs w:val="21"/>
          <w:lang w:val="es-ES_tradnl"/>
        </w:rPr>
        <w:t xml:space="preserve">. (Cursivas fuera de texto) </w:t>
      </w:r>
    </w:p>
    <w:p w14:paraId="423C3AB4" w14:textId="77777777" w:rsidR="00A24E6F" w:rsidRPr="00D31A8B" w:rsidRDefault="00A24E6F" w:rsidP="00A24E6F">
      <w:pPr>
        <w:autoSpaceDE w:val="0"/>
        <w:autoSpaceDN w:val="0"/>
        <w:adjustRightInd w:val="0"/>
        <w:spacing w:line="276" w:lineRule="auto"/>
        <w:ind w:firstLine="708"/>
        <w:contextualSpacing/>
        <w:jc w:val="both"/>
        <w:rPr>
          <w:rFonts w:ascii="Verdana" w:eastAsia="Calibri" w:hAnsi="Verdana" w:cs="Arial"/>
          <w:color w:val="FF0000"/>
          <w:lang w:val="es-ES_tradnl"/>
        </w:rPr>
      </w:pPr>
    </w:p>
    <w:p w14:paraId="1BA4F378" w14:textId="77777777" w:rsidR="00A24E6F" w:rsidRPr="00D31A8B" w:rsidRDefault="00A24E6F" w:rsidP="00A24E6F">
      <w:pPr>
        <w:spacing w:after="120" w:line="276" w:lineRule="auto"/>
        <w:ind w:firstLine="709"/>
        <w:jc w:val="both"/>
        <w:rPr>
          <w:rFonts w:ascii="Verdana" w:eastAsia="Calibri" w:hAnsi="Verdana" w:cs="Arial"/>
          <w:lang w:val="es-ES_tradnl"/>
        </w:rPr>
      </w:pPr>
      <w:bookmarkStart w:id="14" w:name="_Hlk114556636"/>
      <w:r w:rsidRPr="00D31A8B">
        <w:rPr>
          <w:rFonts w:ascii="Verdana" w:hAnsi="Verdana" w:cs="Arial"/>
        </w:rPr>
        <w:t xml:space="preserve">Conforme a lo anterior, a partir del 18 de julio de 2022, las entidades exceptuadas se encuentran obligadas a publicar todos los documentos de su actividad contractual en el SECOP II, sin perjuicio de estar sometidas a regímenes de derecho privado. Siendo este el efecto de la disposición bajo estudio se destaca que </w:t>
      </w:r>
      <w:r w:rsidRPr="00D31A8B">
        <w:rPr>
          <w:rFonts w:ascii="Verdana" w:eastAsia="Calibri" w:hAnsi="Verdana" w:cs="Arial"/>
          <w:lang w:val="es-ES_tradnl"/>
        </w:rPr>
        <w:t xml:space="preserve">la modificación introducida por el artículo 53 de la Ley 2195 de 2022 de ninguna manera puede ser interpretada como una modificación del régimen jurídico de las entidades exceptuadas, ni como una norma que regule la forma en la que se perfeccionan los contratos de régimen especial. </w:t>
      </w:r>
    </w:p>
    <w:bookmarkEnd w:id="14"/>
    <w:p w14:paraId="221D0189" w14:textId="77777777" w:rsidR="00A24E6F" w:rsidRDefault="00A24E6F" w:rsidP="1F29E4C8">
      <w:pPr>
        <w:spacing w:line="276" w:lineRule="auto"/>
        <w:ind w:firstLine="709"/>
        <w:jc w:val="both"/>
        <w:rPr>
          <w:rFonts w:ascii="Verdana" w:eastAsia="Calibri" w:hAnsi="Verdana" w:cs="Arial"/>
          <w:lang w:val="es-ES"/>
        </w:rPr>
      </w:pPr>
      <w:r w:rsidRPr="1F29E4C8">
        <w:rPr>
          <w:rFonts w:ascii="Verdana" w:eastAsia="Calibri" w:hAnsi="Verdana" w:cs="Arial"/>
          <w:lang w:val="es-ES"/>
        </w:rPr>
        <w:t>El efecto de la norma tampoco es el de imponer formalidades propias del régimen de contratación público en detrimento de las regulaciones establecidas en los manuales de contratación de las entidades exceptuadas. Esto dado que la referida disposición se limita a señalar el SECOP II –o la plataforma transaccional que haga sus veces– como el medio a través del cual les corresponderá a las entidades realizar la publicidad de los documentos que expidan en el curso de su actividad contractual desarrollada al margen del Estatuto General de Contratación de la Administración Pública.</w:t>
      </w:r>
    </w:p>
    <w:p w14:paraId="4DD0AE6C" w14:textId="77777777" w:rsidR="00A24E6F" w:rsidRDefault="00A24E6F" w:rsidP="1F29E4C8">
      <w:pPr>
        <w:spacing w:after="0" w:line="276" w:lineRule="auto"/>
        <w:ind w:firstLine="709"/>
        <w:jc w:val="both"/>
        <w:rPr>
          <w:rFonts w:ascii="Verdana" w:eastAsia="Calibri" w:hAnsi="Verdana" w:cs="Arial"/>
          <w:lang w:val="es-ES"/>
        </w:rPr>
      </w:pPr>
      <w:r w:rsidRPr="1F29E4C8">
        <w:rPr>
          <w:rFonts w:ascii="Verdana" w:eastAsia="Calibri" w:hAnsi="Verdana" w:cs="Arial"/>
          <w:i/>
          <w:iCs/>
          <w:lang w:val="es-ES"/>
        </w:rPr>
        <w:t>En resumen</w:t>
      </w:r>
      <w:r w:rsidRPr="1F29E4C8">
        <w:rPr>
          <w:rFonts w:ascii="Verdana" w:eastAsia="Calibri" w:hAnsi="Verdana" w:cs="Arial"/>
          <w:lang w:val="es-ES"/>
        </w:rPr>
        <w:t xml:space="preserve">, con la eliminación del Diario Único de Contratación Pública desapareció la obligación de publicar la gestión contractual en el Diario Oficial. En su lugar, el artículo 223 del Decreto Ley 019 de 2012 dispone que “[…] los contratos estatales </w:t>
      </w:r>
      <w:r w:rsidRPr="1F29E4C8">
        <w:rPr>
          <w:rFonts w:ascii="Verdana" w:eastAsia="Calibri" w:hAnsi="Verdana" w:cs="Arial"/>
          <w:i/>
          <w:iCs/>
          <w:lang w:val="es-ES"/>
        </w:rPr>
        <w:t>sólo</w:t>
      </w:r>
      <w:r w:rsidRPr="1F29E4C8">
        <w:rPr>
          <w:rFonts w:ascii="Verdana" w:eastAsia="Calibri" w:hAnsi="Verdana" w:cs="Arial"/>
          <w:lang w:val="es-ES"/>
        </w:rPr>
        <w:t xml:space="preserve"> se publicaran en el Sistema Electrónico para la Contratación Pública -SECOP- […]” (Énfasis fuera de texto), idea que se complementa con la Ley 1712 de 2014 y su decreto reglamentario. Como explica la Corte Constitucional, el Estatuto Antitrámite “[…] no suprime el deber de publicar el contrato estatal, sino que suprime una forma de realizarlo, eliminando la publicación en un medio escrito como el Diario Único de Contratación y optando por un medio electrónico, no impreso -Sistema Electrónico de Contratación Estatal, SECOP-, que cumple la misma finalidad de hacer público el conocimiento de dichos actos de la actuación contractual de la </w:t>
      </w:r>
      <w:r w:rsidRPr="1F29E4C8">
        <w:rPr>
          <w:rFonts w:ascii="Verdana" w:eastAsia="Calibri" w:hAnsi="Verdana" w:cs="Arial"/>
          <w:lang w:val="es-ES"/>
        </w:rPr>
        <w:lastRenderedPageBreak/>
        <w:t>administración”</w:t>
      </w:r>
      <w:r w:rsidRPr="1F29E4C8">
        <w:rPr>
          <w:rStyle w:val="Refdenotaalpie"/>
          <w:rFonts w:ascii="Verdana" w:eastAsia="Calibri" w:hAnsi="Verdana" w:cs="Arial"/>
          <w:lang w:val="es-ES"/>
        </w:rPr>
        <w:footnoteReference w:id="12"/>
      </w:r>
      <w:r w:rsidRPr="1F29E4C8">
        <w:rPr>
          <w:rFonts w:ascii="Verdana" w:eastAsia="Calibri" w:hAnsi="Verdana" w:cs="Arial"/>
          <w:lang w:val="es-ES"/>
        </w:rPr>
        <w:t>. Ello modifica el alcance de lo previsto en el artículo 94 de la Ley 30 de 1992, especialmente, cuando el inciso segundo del artículo 13 de la Ley 1150 de 2007 –adicionado por el artículo 53 de la Ley 2195 de 2022– ordena a las entidades exceptuadas del EGCAP que publiquen su actividad contractual en el SECOP II o la plataforma transaccional que haga sus veces.</w:t>
      </w:r>
    </w:p>
    <w:p w14:paraId="59C05447" w14:textId="77777777" w:rsidR="00A24E6F" w:rsidRPr="00182C89" w:rsidRDefault="00A24E6F" w:rsidP="00A24E6F">
      <w:pPr>
        <w:tabs>
          <w:tab w:val="left" w:pos="709"/>
        </w:tabs>
        <w:spacing w:after="0" w:line="276" w:lineRule="auto"/>
        <w:jc w:val="both"/>
        <w:rPr>
          <w:rFonts w:ascii="Verdana" w:eastAsia="Calibri" w:hAnsi="Verdana" w:cs="Arial"/>
          <w:color w:val="000000" w:themeColor="text1"/>
        </w:rPr>
      </w:pPr>
    </w:p>
    <w:p w14:paraId="426E08FA" w14:textId="77777777" w:rsidR="00A24E6F" w:rsidRPr="00593A5F" w:rsidRDefault="00A24E6F" w:rsidP="00A24E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125B28DA" w14:textId="77777777" w:rsidR="00A24E6F" w:rsidRPr="00593A5F" w:rsidRDefault="00A24E6F" w:rsidP="00A24E6F">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24E6F" w:rsidRPr="002407CE" w14:paraId="4F26CEE2" w14:textId="77777777">
        <w:trPr>
          <w:trHeight w:val="870"/>
          <w:jc w:val="center"/>
        </w:trPr>
        <w:tc>
          <w:tcPr>
            <w:tcW w:w="8647" w:type="dxa"/>
          </w:tcPr>
          <w:p w14:paraId="4E3AF85B" w14:textId="77777777" w:rsidR="00A24E6F" w:rsidRDefault="00A24E6F" w:rsidP="00A24E6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Constitución Política de 1991, artículo 209.</w:t>
            </w:r>
          </w:p>
          <w:p w14:paraId="475687A3" w14:textId="77777777" w:rsidR="00A24E6F" w:rsidRDefault="00A24E6F" w:rsidP="00A24E6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30 de 1994, artículos 93 y 94.</w:t>
            </w:r>
          </w:p>
          <w:p w14:paraId="5D9E441E" w14:textId="77777777" w:rsidR="00A24E6F" w:rsidRDefault="00A24E6F" w:rsidP="00A24E6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1150 de 2007, artículos 3 y 13.</w:t>
            </w:r>
          </w:p>
          <w:p w14:paraId="1BA80CD1" w14:textId="77777777" w:rsidR="00A24E6F" w:rsidRDefault="00A24E6F" w:rsidP="00A24E6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1437 de 2011, artículo 3.</w:t>
            </w:r>
          </w:p>
          <w:p w14:paraId="19006035" w14:textId="77777777" w:rsidR="00A24E6F" w:rsidRPr="008A63EA" w:rsidRDefault="00A24E6F" w:rsidP="00A24E6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Decreto Ley 019 de 2012, artículos 223 y 225.</w:t>
            </w:r>
          </w:p>
          <w:p w14:paraId="3E778029" w14:textId="77777777" w:rsidR="00A24E6F" w:rsidRDefault="00A24E6F" w:rsidP="00A24E6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Pr>
                <w:rFonts w:ascii="Verdana" w:hAnsi="Verdana" w:cs="Arial"/>
              </w:rPr>
              <w:t>Ley 1712 de 2014, artículos 9 y 11.</w:t>
            </w:r>
          </w:p>
          <w:p w14:paraId="097C737F" w14:textId="77777777" w:rsidR="00A24E6F" w:rsidRPr="00BD0B8C" w:rsidRDefault="00A24E6F" w:rsidP="00A24E6F">
            <w:pPr>
              <w:pStyle w:val="Prrafodelista"/>
              <w:widowControl w:val="0"/>
              <w:numPr>
                <w:ilvl w:val="0"/>
                <w:numId w:val="17"/>
              </w:numPr>
              <w:autoSpaceDE w:val="0"/>
              <w:autoSpaceDN w:val="0"/>
              <w:spacing w:after="120" w:line="276" w:lineRule="auto"/>
              <w:ind w:left="714" w:hanging="357"/>
              <w:contextualSpacing w:val="0"/>
              <w:jc w:val="both"/>
              <w:rPr>
                <w:rFonts w:ascii="Verdana" w:hAnsi="Verdana" w:cs="Arial"/>
              </w:rPr>
            </w:pPr>
            <w:r w:rsidRPr="008A63EA">
              <w:rPr>
                <w:rFonts w:ascii="Verdana" w:hAnsi="Verdana" w:cs="Arial"/>
              </w:rPr>
              <w:t>Ley 2195 de 2022</w:t>
            </w:r>
            <w:r>
              <w:rPr>
                <w:rFonts w:ascii="Verdana" w:hAnsi="Verdana" w:cs="Arial"/>
              </w:rPr>
              <w:t>, artículo 53.</w:t>
            </w:r>
          </w:p>
          <w:p w14:paraId="0667975F" w14:textId="77777777" w:rsidR="00A24E6F" w:rsidRPr="008A63EA" w:rsidRDefault="00A24E6F" w:rsidP="00A24E6F">
            <w:pPr>
              <w:pStyle w:val="Prrafodelista"/>
              <w:widowControl w:val="0"/>
              <w:numPr>
                <w:ilvl w:val="0"/>
                <w:numId w:val="17"/>
              </w:numPr>
              <w:autoSpaceDE w:val="0"/>
              <w:autoSpaceDN w:val="0"/>
              <w:spacing w:line="276" w:lineRule="auto"/>
              <w:ind w:left="714" w:hanging="357"/>
              <w:contextualSpacing w:val="0"/>
              <w:jc w:val="both"/>
              <w:rPr>
                <w:rFonts w:ascii="Verdana" w:hAnsi="Verdana" w:cs="Arial"/>
              </w:rPr>
            </w:pPr>
            <w:r w:rsidRPr="008A63EA">
              <w:rPr>
                <w:rFonts w:ascii="Verdana" w:hAnsi="Verdana" w:cs="Arial"/>
              </w:rPr>
              <w:t>Decreto 1081 de 2015</w:t>
            </w:r>
            <w:r>
              <w:rPr>
                <w:rFonts w:ascii="Verdana" w:hAnsi="Verdana" w:cs="Arial"/>
              </w:rPr>
              <w:t xml:space="preserve">, artículo </w:t>
            </w:r>
            <w:r w:rsidRPr="008A63EA">
              <w:rPr>
                <w:rFonts w:ascii="Verdana" w:hAnsi="Verdana" w:cs="Arial"/>
              </w:rPr>
              <w:t>2.1.1.2.1.7</w:t>
            </w:r>
            <w:r>
              <w:rPr>
                <w:rFonts w:ascii="Verdana" w:hAnsi="Verdana" w:cs="Arial"/>
              </w:rPr>
              <w:t xml:space="preserve">. </w:t>
            </w:r>
          </w:p>
        </w:tc>
      </w:tr>
    </w:tbl>
    <w:p w14:paraId="1EDB96DC" w14:textId="77777777" w:rsidR="00A24E6F" w:rsidRPr="002407CE" w:rsidRDefault="00A24E6F" w:rsidP="00A24E6F">
      <w:pPr>
        <w:widowControl w:val="0"/>
        <w:autoSpaceDE w:val="0"/>
        <w:autoSpaceDN w:val="0"/>
        <w:spacing w:after="0" w:line="276" w:lineRule="auto"/>
        <w:jc w:val="both"/>
        <w:rPr>
          <w:rFonts w:ascii="Verdana" w:hAnsi="Verdana" w:cs="Arial"/>
        </w:rPr>
      </w:pPr>
    </w:p>
    <w:p w14:paraId="693738D5" w14:textId="77777777" w:rsidR="00A24E6F" w:rsidRPr="00593A5F" w:rsidRDefault="00A24E6F" w:rsidP="00A24E6F">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068C2517" w14:textId="77777777" w:rsidR="00A24E6F" w:rsidRPr="00593A5F" w:rsidRDefault="00A24E6F" w:rsidP="00A24E6F">
      <w:pPr>
        <w:widowControl w:val="0"/>
        <w:autoSpaceDE w:val="0"/>
        <w:autoSpaceDN w:val="0"/>
        <w:spacing w:after="0" w:line="276" w:lineRule="auto"/>
        <w:jc w:val="both"/>
        <w:rPr>
          <w:rFonts w:ascii="Verdana" w:hAnsi="Verdana" w:cs="Arial"/>
        </w:rPr>
      </w:pPr>
    </w:p>
    <w:p w14:paraId="49779170" w14:textId="77777777" w:rsidR="00A24E6F" w:rsidRPr="00ED0098" w:rsidRDefault="00A24E6F" w:rsidP="00A24E6F">
      <w:pPr>
        <w:widowControl w:val="0"/>
        <w:autoSpaceDE w:val="0"/>
        <w:autoSpaceDN w:val="0"/>
        <w:spacing w:after="0" w:line="276" w:lineRule="auto"/>
        <w:jc w:val="both"/>
        <w:rPr>
          <w:rStyle w:val="normaltextrun"/>
          <w:rFonts w:ascii="Verdana" w:hAnsi="Verdana" w:cs="Arial"/>
          <w:shd w:val="clear" w:color="auto" w:fill="FFFFFF"/>
        </w:rPr>
      </w:pPr>
      <w:r>
        <w:rPr>
          <w:rFonts w:ascii="Verdana" w:hAnsi="Verdana" w:cs="Arial"/>
          <w:shd w:val="clear" w:color="auto" w:fill="FFFFFF"/>
        </w:rPr>
        <w:t>Los</w:t>
      </w:r>
      <w:r w:rsidRPr="00DD0AFF">
        <w:rPr>
          <w:rFonts w:ascii="Verdana" w:hAnsi="Verdana" w:cs="Arial"/>
          <w:shd w:val="clear" w:color="auto" w:fill="FFFFFF"/>
        </w:rPr>
        <w:t> </w:t>
      </w:r>
      <w:r>
        <w:rPr>
          <w:rFonts w:ascii="Verdana" w:hAnsi="Verdana" w:cs="Arial"/>
          <w:shd w:val="clear" w:color="auto" w:fill="FFFFFF"/>
        </w:rPr>
        <w:t xml:space="preserve">conceptos de Colombia Compra Eficiente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0B13445E" w14:textId="77777777" w:rsidR="00A24E6F" w:rsidRDefault="00A24E6F" w:rsidP="00A24E6F">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7D3272FB" w14:textId="77777777" w:rsidR="00A24E6F" w:rsidRPr="00A1554D" w:rsidRDefault="00A24E6F" w:rsidP="00A24E6F">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history="1">
        <w:r w:rsidRPr="00FA6246">
          <w:rPr>
            <w:rStyle w:val="Hipervnculo"/>
            <w:rFonts w:ascii="Verdana" w:hAnsi="Verdana" w:cs="Arial"/>
            <w:shd w:val="clear" w:color="auto" w:fill="FFFFFF"/>
            <w:lang w:val="es-ES"/>
          </w:rPr>
          <w:t>https://www.colombiacompra.gov.co/sala-de-prensa/boletin-digital/boletin-de-relatoria-2024-iv</w:t>
        </w:r>
      </w:hyperlink>
      <w:r>
        <w:rPr>
          <w:rStyle w:val="normaltextrun"/>
          <w:rFonts w:ascii="Verdana" w:hAnsi="Verdana" w:cs="Arial"/>
          <w:color w:val="000000" w:themeColor="text1"/>
          <w:shd w:val="clear" w:color="auto" w:fill="FFFFFF"/>
          <w:lang w:val="es-ES"/>
        </w:rPr>
        <w:t>.</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1372072A" w14:textId="77777777" w:rsidR="00A24E6F" w:rsidRPr="00D31A8B" w:rsidRDefault="00A24E6F" w:rsidP="00A24E6F">
      <w:pPr>
        <w:spacing w:after="120" w:line="276" w:lineRule="auto"/>
        <w:jc w:val="both"/>
        <w:rPr>
          <w:rFonts w:ascii="Verdana" w:eastAsia="Calibri" w:hAnsi="Verdana" w:cs="Arial"/>
          <w:lang w:val="es-ES_tradnl"/>
        </w:rPr>
      </w:pPr>
      <w:r>
        <w:rPr>
          <w:rFonts w:ascii="Verdana" w:eastAsia="Calibri" w:hAnsi="Verdana" w:cs="Arial"/>
          <w:lang w:val="es-ES_tradnl"/>
        </w:rPr>
        <w:t xml:space="preserve"> </w:t>
      </w:r>
    </w:p>
    <w:p w14:paraId="18899307" w14:textId="77777777" w:rsidR="00A24E6F" w:rsidRPr="00D31A8B" w:rsidRDefault="00A24E6F" w:rsidP="00A24E6F">
      <w:pPr>
        <w:spacing w:line="276" w:lineRule="auto"/>
        <w:jc w:val="both"/>
        <w:rPr>
          <w:rFonts w:ascii="Verdana" w:eastAsia="Calibri" w:hAnsi="Verdana" w:cs="Arial"/>
          <w:color w:val="000000"/>
          <w:lang w:val="es-ES_tradnl" w:eastAsia="es-ES"/>
        </w:rPr>
      </w:pPr>
      <w:r w:rsidRPr="002D3C1E">
        <w:rPr>
          <w:rFonts w:ascii="Verdana" w:eastAsia="Calibri" w:hAnsi="Verdana" w:cs="Arial"/>
          <w:color w:val="000000"/>
          <w:lang w:val="es-ES_tradnl" w:eastAsia="es-ES"/>
        </w:rPr>
        <w:lastRenderedPageBreak/>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0DA32EE" w14:textId="77777777" w:rsidR="00A24E6F" w:rsidRPr="007D5BE1" w:rsidRDefault="00A24E6F" w:rsidP="00A24E6F">
      <w:pPr>
        <w:spacing w:after="0" w:line="276" w:lineRule="auto"/>
        <w:ind w:firstLine="709"/>
        <w:jc w:val="both"/>
        <w:rPr>
          <w:rStyle w:val="normaltextrun"/>
          <w:rFonts w:ascii="Verdana" w:eastAsia="Calibri" w:hAnsi="Verdana" w:cs="Arial"/>
          <w:color w:val="000000"/>
          <w:lang w:val="es-ES" w:eastAsia="es-ES"/>
        </w:rPr>
      </w:pPr>
    </w:p>
    <w:p w14:paraId="7DE0C7EC" w14:textId="77777777" w:rsidR="00A24E6F" w:rsidRPr="00593A5F" w:rsidRDefault="00A24E6F" w:rsidP="00A24E6F">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3362A57E" w14:textId="7C33ABD8" w:rsidR="00A24E6F" w:rsidRPr="00593A5F" w:rsidRDefault="005746A1" w:rsidP="00A24E6F">
      <w:pPr>
        <w:spacing w:line="276" w:lineRule="auto"/>
        <w:jc w:val="center"/>
        <w:rPr>
          <w:rFonts w:ascii="Verdana" w:hAnsi="Verdana" w:cs="Arial"/>
          <w:color w:val="000000"/>
          <w:lang w:val="es-ES_tradnl" w:eastAsia="es-CO"/>
        </w:rPr>
      </w:pPr>
      <w:r>
        <w:rPr>
          <w:noProof/>
        </w:rPr>
        <w:drawing>
          <wp:inline distT="0" distB="0" distL="0" distR="0" wp14:anchorId="65548131" wp14:editId="75ED1B13">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24E6F" w:rsidRPr="00593A5F" w14:paraId="2E3E67F1" w14:textId="77777777">
        <w:trPr>
          <w:trHeight w:val="315"/>
        </w:trPr>
        <w:tc>
          <w:tcPr>
            <w:tcW w:w="893" w:type="dxa"/>
            <w:vAlign w:val="center"/>
            <w:hideMark/>
          </w:tcPr>
          <w:p w14:paraId="6A7396E2" w14:textId="77777777" w:rsidR="00A24E6F" w:rsidRPr="003751C7" w:rsidRDefault="00A24E6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F703A35" w14:textId="77777777" w:rsidR="00A24E6F" w:rsidRPr="00254A7A" w:rsidRDefault="00A24E6F">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3F7608DA" w14:textId="77777777" w:rsidR="00A24E6F" w:rsidRPr="00254A7A" w:rsidRDefault="00A24E6F">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A24E6F" w:rsidRPr="00593A5F" w14:paraId="3A10BCF4" w14:textId="77777777">
        <w:trPr>
          <w:trHeight w:val="330"/>
        </w:trPr>
        <w:tc>
          <w:tcPr>
            <w:tcW w:w="893" w:type="dxa"/>
            <w:vAlign w:val="center"/>
            <w:hideMark/>
          </w:tcPr>
          <w:p w14:paraId="2B264CBD" w14:textId="77777777" w:rsidR="00A24E6F" w:rsidRPr="003751C7" w:rsidRDefault="00A24E6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75AAD5F" w14:textId="77777777" w:rsidR="00A24E6F" w:rsidRPr="00E44E04" w:rsidRDefault="00A24E6F">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6CBA16FC" w14:textId="77777777" w:rsidR="00A24E6F" w:rsidRPr="00254A7A" w:rsidRDefault="00A24E6F">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A24E6F" w:rsidRPr="00593A5F" w14:paraId="390D3509" w14:textId="77777777">
        <w:trPr>
          <w:trHeight w:val="300"/>
        </w:trPr>
        <w:tc>
          <w:tcPr>
            <w:tcW w:w="893" w:type="dxa"/>
            <w:vAlign w:val="center"/>
          </w:tcPr>
          <w:p w14:paraId="2F2DBCC6" w14:textId="77777777" w:rsidR="00A24E6F" w:rsidRPr="003751C7" w:rsidRDefault="00A24E6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8AFD37F" w14:textId="77777777" w:rsidR="00A24E6F" w:rsidRPr="003751C7" w:rsidRDefault="00A24E6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5C516143" w14:textId="77777777" w:rsidR="00A24E6F" w:rsidRPr="003751C7" w:rsidRDefault="00A24E6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4AB8711C" w14:textId="77777777" w:rsidR="00A24E6F" w:rsidRPr="00593A5F" w:rsidRDefault="00A24E6F" w:rsidP="00A24E6F">
      <w:pPr>
        <w:spacing w:after="0" w:line="240" w:lineRule="auto"/>
        <w:rPr>
          <w:rFonts w:ascii="Verdana" w:eastAsia="Times New Roman" w:hAnsi="Verdana" w:cs="Arial"/>
          <w:sz w:val="24"/>
          <w:szCs w:val="24"/>
          <w:lang w:eastAsia="es-ES"/>
        </w:rPr>
      </w:pPr>
    </w:p>
    <w:p w14:paraId="0F293BF4" w14:textId="7BBFAB11" w:rsidR="00127233" w:rsidRPr="006B0102" w:rsidRDefault="00127233" w:rsidP="006B0102"/>
    <w:sectPr w:rsidR="00127233" w:rsidRPr="006B0102"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A863D" w14:textId="77777777" w:rsidR="00634D94" w:rsidRDefault="00634D94" w:rsidP="004A1847">
      <w:pPr>
        <w:spacing w:after="0" w:line="240" w:lineRule="auto"/>
      </w:pPr>
      <w:r>
        <w:separator/>
      </w:r>
    </w:p>
  </w:endnote>
  <w:endnote w:type="continuationSeparator" w:id="0">
    <w:p w14:paraId="313ECD0B" w14:textId="77777777" w:rsidR="00634D94" w:rsidRDefault="00634D94" w:rsidP="004A1847">
      <w:pPr>
        <w:spacing w:after="0" w:line="240" w:lineRule="auto"/>
      </w:pPr>
      <w:r>
        <w:continuationSeparator/>
      </w:r>
    </w:p>
  </w:endnote>
  <w:endnote w:type="continuationNotice" w:id="1">
    <w:p w14:paraId="0ECB143F" w14:textId="77777777" w:rsidR="00634D94" w:rsidRDefault="00634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0CB51" w14:textId="77777777" w:rsidR="00634D94" w:rsidRDefault="00634D94" w:rsidP="004A1847">
      <w:pPr>
        <w:spacing w:after="0" w:line="240" w:lineRule="auto"/>
      </w:pPr>
      <w:r>
        <w:separator/>
      </w:r>
    </w:p>
  </w:footnote>
  <w:footnote w:type="continuationSeparator" w:id="0">
    <w:p w14:paraId="4EE34416" w14:textId="77777777" w:rsidR="00634D94" w:rsidRDefault="00634D94" w:rsidP="004A1847">
      <w:pPr>
        <w:spacing w:after="0" w:line="240" w:lineRule="auto"/>
      </w:pPr>
      <w:r>
        <w:continuationSeparator/>
      </w:r>
    </w:p>
  </w:footnote>
  <w:footnote w:type="continuationNotice" w:id="1">
    <w:p w14:paraId="4A607B3C" w14:textId="77777777" w:rsidR="00634D94" w:rsidRDefault="00634D94">
      <w:pPr>
        <w:spacing w:after="0" w:line="240" w:lineRule="auto"/>
      </w:pPr>
    </w:p>
  </w:footnote>
  <w:footnote w:id="2">
    <w:p w14:paraId="0000B6CD" w14:textId="77777777" w:rsidR="00A24E6F" w:rsidRPr="00D31A8B" w:rsidRDefault="00A24E6F" w:rsidP="00A24E6F">
      <w:pPr>
        <w:pStyle w:val="Textonotapie"/>
        <w:ind w:firstLine="708"/>
        <w:jc w:val="both"/>
        <w:rPr>
          <w:rFonts w:ascii="Verdana" w:hAnsi="Verdana"/>
          <w:sz w:val="16"/>
          <w:szCs w:val="16"/>
        </w:rPr>
      </w:pPr>
      <w:r w:rsidRPr="00D31A8B">
        <w:rPr>
          <w:rStyle w:val="Refdenotaalpie"/>
          <w:rFonts w:ascii="Verdana" w:hAnsi="Verdana"/>
          <w:sz w:val="16"/>
          <w:szCs w:val="16"/>
        </w:rPr>
        <w:footnoteRef/>
      </w:r>
      <w:r w:rsidRPr="00D31A8B">
        <w:rPr>
          <w:rFonts w:ascii="Verdana" w:hAnsi="Verdana"/>
          <w:sz w:val="16"/>
          <w:szCs w:val="16"/>
        </w:rPr>
        <w:t xml:space="preserve"> El artículo 59 de la Ley 190 de 1995 disponía los siguiente: “Como apéndice del Diario Oficial créase el Diario </w:t>
      </w:r>
      <w:r>
        <w:rPr>
          <w:rFonts w:ascii="Verdana" w:hAnsi="Verdana"/>
          <w:sz w:val="16"/>
          <w:szCs w:val="16"/>
        </w:rPr>
        <w:t>Ú</w:t>
      </w:r>
      <w:r w:rsidRPr="00D31A8B">
        <w:rPr>
          <w:rFonts w:ascii="Verdana" w:hAnsi="Verdana"/>
          <w:sz w:val="16"/>
          <w:szCs w:val="16"/>
        </w:rPr>
        <w:t>nico de Contratación Pública, el cual será elaborado y distribuido por la Imprenta Nacional.</w:t>
      </w:r>
    </w:p>
    <w:p w14:paraId="36718EAB" w14:textId="77777777" w:rsidR="00A24E6F" w:rsidRPr="00D31A8B" w:rsidRDefault="00A24E6F" w:rsidP="00A24E6F">
      <w:pPr>
        <w:pStyle w:val="Textonotapie"/>
        <w:ind w:firstLine="708"/>
        <w:jc w:val="both"/>
        <w:rPr>
          <w:rFonts w:ascii="Verdana" w:hAnsi="Verdana"/>
          <w:sz w:val="16"/>
          <w:szCs w:val="16"/>
        </w:rPr>
      </w:pPr>
      <w:r w:rsidRPr="00D31A8B">
        <w:rPr>
          <w:rFonts w:ascii="Verdana" w:hAnsi="Verdana"/>
          <w:sz w:val="16"/>
          <w:szCs w:val="16"/>
        </w:rPr>
        <w:t>El Diario único de Contratación Pública contendrá información sobre los contratos que celebren las entidades públicas del orden nacional. En él se señalarán los contratantes, el objeto, el valor y los valores unitarios si hubiesen, el plazo y los adicionales o modificaciones de cada uno de los contratos, y se editarán de tal manera que permita establecer parámetros de comparación de acuerdo con los costos, con el plazo, con la clase, de forma que se identifiquen las diferencias apreciables con que contrata la administración pública evaluando su eficiencia.</w:t>
      </w:r>
    </w:p>
    <w:p w14:paraId="3D7B18CE" w14:textId="77777777" w:rsidR="00A24E6F" w:rsidRPr="00D31A8B" w:rsidRDefault="00A24E6F" w:rsidP="00A24E6F">
      <w:pPr>
        <w:pStyle w:val="Textonotapie"/>
        <w:ind w:firstLine="708"/>
        <w:jc w:val="both"/>
        <w:rPr>
          <w:rFonts w:ascii="Verdana" w:hAnsi="Verdana"/>
          <w:sz w:val="16"/>
          <w:szCs w:val="16"/>
          <w:lang w:val="es-CO"/>
        </w:rPr>
      </w:pPr>
      <w:r w:rsidRPr="00D31A8B">
        <w:rPr>
          <w:rFonts w:ascii="Verdana" w:hAnsi="Verdana"/>
          <w:sz w:val="16"/>
          <w:szCs w:val="16"/>
        </w:rPr>
        <w:t>PARÁGRAFO. A partir de la vigencia de esta Ley, los contratos a que se refiere este artículo deberán ser publicados dentro de los tres (3) meses siguientes al pago de los derechos de publicación en el Diario Oficial”.</w:t>
      </w:r>
    </w:p>
  </w:footnote>
  <w:footnote w:id="3">
    <w:p w14:paraId="36736091"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Style w:val="Refdenotaalpie"/>
          <w:rFonts w:ascii="Verdana" w:hAnsi="Verdana" w:cs="Arial"/>
          <w:color w:val="000000" w:themeColor="text1"/>
          <w:sz w:val="16"/>
          <w:szCs w:val="16"/>
        </w:rPr>
        <w:footnoteRef/>
      </w:r>
      <w:r w:rsidRPr="00D31A8B">
        <w:rPr>
          <w:rFonts w:ascii="Verdana" w:hAnsi="Verdana" w:cs="Arial"/>
          <w:color w:val="000000" w:themeColor="text1"/>
          <w:sz w:val="16"/>
          <w:szCs w:val="16"/>
        </w:rPr>
        <w:t xml:space="preserve"> CORTE CONSTITUCIONAL. Sentencia C- 341 del 4 de junio de 2014. M. P. Mauricio González Cuervo.</w:t>
      </w:r>
    </w:p>
  </w:footnote>
  <w:footnote w:id="4">
    <w:p w14:paraId="034C6A54"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Style w:val="Refdenotaalpie"/>
          <w:rFonts w:ascii="Verdana" w:hAnsi="Verdana" w:cs="Arial"/>
          <w:color w:val="000000" w:themeColor="text1"/>
          <w:sz w:val="16"/>
          <w:szCs w:val="16"/>
        </w:rPr>
        <w:footnoteRef/>
      </w:r>
      <w:r w:rsidRPr="00D31A8B">
        <w:rPr>
          <w:rFonts w:ascii="Verdana" w:hAnsi="Verdana" w:cs="Arial"/>
          <w:color w:val="000000" w:themeColor="text1"/>
          <w:sz w:val="16"/>
          <w:szCs w:val="16"/>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597CF37"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Fonts w:ascii="Verdana" w:hAnsi="Verdana" w:cs="Arial"/>
          <w:color w:val="000000" w:themeColor="text1"/>
          <w:sz w:val="16"/>
          <w:szCs w:val="16"/>
        </w:rPr>
        <w:t>Lo anterior, sin perjuicio de las publicaciones previstas en el numeral 3 del artículo 30 de la Ley 80 de 1993.</w:t>
      </w:r>
    </w:p>
    <w:p w14:paraId="4BF53B63"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19F41D9C"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Fonts w:ascii="Verdana" w:hAnsi="Verdana" w:cs="Arial"/>
          <w:color w:val="000000" w:themeColor="text1"/>
          <w:sz w:val="16"/>
          <w:szCs w:val="16"/>
        </w:rPr>
        <w:t>[…]</w:t>
      </w:r>
    </w:p>
    <w:p w14:paraId="45209894"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Fonts w:ascii="Verdana" w:hAnsi="Verdana" w:cs="Arial"/>
          <w:color w:val="000000" w:themeColor="text1"/>
          <w:sz w:val="16"/>
          <w:szCs w:val="16"/>
        </w:rPr>
        <w:t xml:space="preserve">c) Contará con la información oficial de la contratación realizada con dineros públicos, para lo cual establecerá los patrones a que haya lugar y se encargará de su difusión a través de canales electrónico”. </w:t>
      </w:r>
    </w:p>
  </w:footnote>
  <w:footnote w:id="5">
    <w:p w14:paraId="0E8A345E" w14:textId="77777777" w:rsidR="00A24E6F" w:rsidRPr="00380938" w:rsidRDefault="00A24E6F" w:rsidP="00A24E6F">
      <w:pPr>
        <w:pStyle w:val="Textonotapie"/>
        <w:ind w:firstLine="708"/>
        <w:jc w:val="both"/>
        <w:rPr>
          <w:rFonts w:ascii="Verdana" w:hAnsi="Verdana"/>
          <w:sz w:val="16"/>
          <w:szCs w:val="16"/>
          <w:lang w:val="es-CO"/>
        </w:rPr>
      </w:pPr>
      <w:r w:rsidRPr="00380938">
        <w:rPr>
          <w:rStyle w:val="Refdenotaalpie"/>
          <w:rFonts w:ascii="Verdana" w:hAnsi="Verdana"/>
          <w:sz w:val="16"/>
          <w:szCs w:val="16"/>
        </w:rPr>
        <w:footnoteRef/>
      </w:r>
      <w:r w:rsidRPr="00380938">
        <w:rPr>
          <w:rFonts w:ascii="Verdana" w:hAnsi="Verdana"/>
          <w:sz w:val="16"/>
          <w:szCs w:val="16"/>
        </w:rPr>
        <w:t xml:space="preserve"> </w:t>
      </w:r>
      <w:r w:rsidRPr="00D31A8B">
        <w:rPr>
          <w:rFonts w:ascii="Verdana" w:hAnsi="Verdana" w:cs="Arial"/>
          <w:color w:val="000000" w:themeColor="text1"/>
          <w:sz w:val="16"/>
          <w:szCs w:val="16"/>
        </w:rPr>
        <w:t>C</w:t>
      </w:r>
      <w:r w:rsidRPr="00D31A8B">
        <w:rPr>
          <w:rFonts w:ascii="Verdana" w:hAnsi="Verdana" w:cs="Arial"/>
          <w:color w:val="000000" w:themeColor="text1"/>
          <w:sz w:val="16"/>
          <w:szCs w:val="16"/>
          <w:lang w:val="es-ES" w:eastAsia="es-ES"/>
        </w:rPr>
        <w:t>ORTE CONSTITUCIONAL. Sentencia C-</w:t>
      </w:r>
      <w:r>
        <w:rPr>
          <w:rFonts w:ascii="Verdana" w:hAnsi="Verdana" w:cs="Arial"/>
          <w:color w:val="000000" w:themeColor="text1"/>
          <w:sz w:val="16"/>
          <w:szCs w:val="16"/>
          <w:lang w:val="es-ES" w:eastAsia="es-ES"/>
        </w:rPr>
        <w:t>711</w:t>
      </w:r>
      <w:r w:rsidRPr="00D31A8B">
        <w:rPr>
          <w:rFonts w:ascii="Verdana" w:hAnsi="Verdana" w:cs="Arial"/>
          <w:color w:val="000000" w:themeColor="text1"/>
          <w:sz w:val="16"/>
          <w:szCs w:val="16"/>
          <w:lang w:val="es-ES" w:eastAsia="es-ES"/>
        </w:rPr>
        <w:t xml:space="preserve"> de</w:t>
      </w:r>
      <w:r>
        <w:rPr>
          <w:rFonts w:ascii="Verdana" w:hAnsi="Verdana" w:cs="Arial"/>
          <w:color w:val="000000" w:themeColor="text1"/>
          <w:sz w:val="16"/>
          <w:szCs w:val="16"/>
          <w:lang w:val="es-ES" w:eastAsia="es-ES"/>
        </w:rPr>
        <w:t>l 12 de septiembre de 2012</w:t>
      </w:r>
      <w:r w:rsidRPr="00D31A8B">
        <w:rPr>
          <w:rFonts w:ascii="Verdana" w:hAnsi="Verdana" w:cs="Arial"/>
          <w:color w:val="000000" w:themeColor="text1"/>
          <w:sz w:val="16"/>
          <w:szCs w:val="16"/>
          <w:lang w:val="es-ES" w:eastAsia="es-ES"/>
        </w:rPr>
        <w:t xml:space="preserve">. M.P. </w:t>
      </w:r>
      <w:r w:rsidRPr="00380938">
        <w:rPr>
          <w:rFonts w:ascii="Verdana" w:hAnsi="Verdana" w:cs="Arial"/>
          <w:color w:val="000000" w:themeColor="text1"/>
          <w:sz w:val="16"/>
          <w:szCs w:val="16"/>
          <w:lang w:val="es-ES" w:eastAsia="es-ES"/>
        </w:rPr>
        <w:t>Mauricio González Cuervo</w:t>
      </w:r>
      <w:r w:rsidRPr="00D31A8B">
        <w:rPr>
          <w:rFonts w:ascii="Verdana" w:hAnsi="Verdana" w:cs="Arial"/>
          <w:color w:val="000000" w:themeColor="text1"/>
          <w:sz w:val="16"/>
          <w:szCs w:val="16"/>
          <w:lang w:val="es-ES" w:eastAsia="es-ES"/>
        </w:rPr>
        <w:t>.</w:t>
      </w:r>
    </w:p>
  </w:footnote>
  <w:footnote w:id="6">
    <w:p w14:paraId="6707C261"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Style w:val="Refdenotaalpie"/>
          <w:rFonts w:ascii="Verdana" w:hAnsi="Verdana" w:cs="Arial"/>
          <w:color w:val="000000" w:themeColor="text1"/>
          <w:sz w:val="16"/>
          <w:szCs w:val="16"/>
        </w:rPr>
        <w:footnoteRef/>
      </w:r>
      <w:r w:rsidRPr="00D31A8B">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2FB8E0FA"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footnote>
  <w:footnote w:id="7">
    <w:p w14:paraId="629B9336"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Fonts w:ascii="Verdana" w:hAnsi="Verdana" w:cs="Arial"/>
          <w:color w:val="000000" w:themeColor="text1"/>
          <w:sz w:val="16"/>
          <w:szCs w:val="16"/>
          <w:vertAlign w:val="superscript"/>
          <w:lang w:val="es-ES" w:eastAsia="es-ES"/>
        </w:rPr>
        <w:footnoteRef/>
      </w:r>
      <w:r w:rsidRPr="00D31A8B">
        <w:rPr>
          <w:rFonts w:ascii="Verdana" w:hAnsi="Verdana" w:cs="Arial"/>
          <w:color w:val="000000" w:themeColor="text1"/>
          <w:sz w:val="16"/>
          <w:szCs w:val="16"/>
          <w:vertAlign w:val="superscript"/>
          <w:lang w:val="es-ES" w:eastAsia="es-ES"/>
        </w:rPr>
        <w:t xml:space="preserve"> </w:t>
      </w:r>
      <w:r w:rsidRPr="00D31A8B">
        <w:rPr>
          <w:rFonts w:ascii="Verdana" w:hAnsi="Verdana" w:cs="Arial"/>
          <w:color w:val="000000" w:themeColor="text1"/>
          <w:sz w:val="16"/>
          <w:szCs w:val="16"/>
          <w:lang w:val="es-ES" w:eastAsia="es-ES"/>
        </w:rPr>
        <w:t>“</w:t>
      </w:r>
      <w:r w:rsidRPr="00D31A8B">
        <w:rPr>
          <w:rFonts w:ascii="Verdana" w:hAnsi="Verdana" w:cs="Arial"/>
          <w:color w:val="000000" w:themeColor="text1"/>
          <w:sz w:val="16"/>
          <w:szCs w:val="16"/>
        </w:rPr>
        <w:t xml:space="preserve">Artículo </w:t>
      </w:r>
      <w:bookmarkStart w:id="1" w:name="_Hlk153373407"/>
      <w:r w:rsidRPr="00D31A8B">
        <w:rPr>
          <w:rFonts w:ascii="Verdana" w:hAnsi="Verdana" w:cs="Arial"/>
          <w:color w:val="000000" w:themeColor="text1"/>
          <w:sz w:val="16"/>
          <w:szCs w:val="16"/>
        </w:rPr>
        <w:t>2.1.1.2.1.7</w:t>
      </w:r>
      <w:bookmarkEnd w:id="1"/>
      <w:r w:rsidRPr="00D31A8B">
        <w:rPr>
          <w:rFonts w:ascii="Verdana" w:hAnsi="Verdana" w:cs="Arial"/>
          <w:color w:val="000000" w:themeColor="text1"/>
          <w:sz w:val="16"/>
          <w:szCs w:val="16"/>
        </w:rPr>
        <w:t xml:space="preserve">.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056B67E5" w14:textId="77777777" w:rsidR="00A24E6F" w:rsidRPr="00D31A8B" w:rsidRDefault="00A24E6F" w:rsidP="00A24E6F">
      <w:pPr>
        <w:pStyle w:val="Textonotapie"/>
        <w:ind w:right="49" w:firstLine="709"/>
        <w:jc w:val="both"/>
        <w:rPr>
          <w:rFonts w:ascii="Verdana" w:hAnsi="Verdana" w:cs="Arial"/>
          <w:color w:val="000000" w:themeColor="text1"/>
          <w:sz w:val="16"/>
          <w:szCs w:val="16"/>
          <w:lang w:val="es-ES" w:eastAsia="es-ES"/>
        </w:rPr>
      </w:pPr>
      <w:r w:rsidRPr="00D31A8B">
        <w:rPr>
          <w:rFonts w:ascii="Verdana" w:hAnsi="Verdana" w:cs="Arial"/>
          <w:color w:val="000000" w:themeColor="text1"/>
          <w:sz w:val="16"/>
          <w:szCs w:val="16"/>
        </w:rPr>
        <w:t>[…].</w:t>
      </w:r>
    </w:p>
    <w:p w14:paraId="047D778A" w14:textId="77777777" w:rsidR="00A24E6F" w:rsidRPr="00D31A8B" w:rsidRDefault="00A24E6F" w:rsidP="00A24E6F">
      <w:pPr>
        <w:pStyle w:val="Textonotapie"/>
        <w:ind w:right="49" w:firstLine="709"/>
        <w:jc w:val="both"/>
        <w:rPr>
          <w:rFonts w:ascii="Verdana" w:hAnsi="Verdana" w:cs="Arial"/>
          <w:color w:val="000000" w:themeColor="text1"/>
          <w:sz w:val="16"/>
          <w:szCs w:val="16"/>
          <w:lang w:val="es-ES" w:eastAsia="es-ES"/>
        </w:rPr>
      </w:pPr>
      <w:r w:rsidRPr="00D31A8B">
        <w:rPr>
          <w:rFonts w:ascii="Verdana" w:hAnsi="Verdana" w:cs="Arial"/>
          <w:color w:val="000000" w:themeColor="text1"/>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p>
  </w:footnote>
  <w:footnote w:id="8">
    <w:p w14:paraId="5C5F9736" w14:textId="77777777" w:rsidR="00A24E6F" w:rsidRPr="00D31A8B" w:rsidRDefault="00A24E6F" w:rsidP="00A24E6F">
      <w:pPr>
        <w:pStyle w:val="Textonotapie"/>
        <w:ind w:right="49" w:firstLine="709"/>
        <w:jc w:val="both"/>
        <w:rPr>
          <w:rFonts w:ascii="Verdana" w:hAnsi="Verdana" w:cs="Arial"/>
          <w:color w:val="000000" w:themeColor="text1"/>
          <w:sz w:val="16"/>
          <w:szCs w:val="16"/>
        </w:rPr>
      </w:pPr>
      <w:r w:rsidRPr="00D31A8B">
        <w:rPr>
          <w:rStyle w:val="Refdenotaalpie"/>
          <w:rFonts w:ascii="Verdana" w:hAnsi="Verdana" w:cs="Arial"/>
          <w:color w:val="000000" w:themeColor="text1"/>
          <w:sz w:val="16"/>
          <w:szCs w:val="16"/>
        </w:rPr>
        <w:footnoteRef/>
      </w:r>
      <w:r w:rsidRPr="00D31A8B">
        <w:rPr>
          <w:rFonts w:ascii="Verdana" w:hAnsi="Verdana" w:cs="Arial"/>
          <w:color w:val="000000" w:themeColor="text1"/>
          <w:sz w:val="16"/>
          <w:szCs w:val="16"/>
        </w:rPr>
        <w:t xml:space="preserve"> C</w:t>
      </w:r>
      <w:r w:rsidRPr="00D31A8B">
        <w:rPr>
          <w:rFonts w:ascii="Verdana" w:hAnsi="Verdana" w:cs="Arial"/>
          <w:color w:val="000000" w:themeColor="text1"/>
          <w:sz w:val="16"/>
          <w:szCs w:val="16"/>
          <w:lang w:val="es-ES" w:eastAsia="es-ES"/>
        </w:rPr>
        <w:t xml:space="preserve">ORTE CONSTITUCIONAL. Sentencia C-274 de 9 de mayo de 2013. M.P. María Victoria Calle Correa. </w:t>
      </w:r>
    </w:p>
  </w:footnote>
  <w:footnote w:id="9">
    <w:p w14:paraId="5A38E7A7" w14:textId="77777777" w:rsidR="00A24E6F" w:rsidRPr="007A1929" w:rsidRDefault="00A24E6F" w:rsidP="00A24E6F">
      <w:pPr>
        <w:pStyle w:val="Textonotapie"/>
        <w:ind w:firstLine="708"/>
        <w:jc w:val="both"/>
        <w:rPr>
          <w:rFonts w:ascii="Verdana" w:hAnsi="Verdana"/>
          <w:sz w:val="16"/>
          <w:szCs w:val="16"/>
          <w:lang w:val="es-CO"/>
        </w:rPr>
      </w:pPr>
      <w:r w:rsidRPr="007A1929">
        <w:rPr>
          <w:rStyle w:val="Refdenotaalpie"/>
          <w:rFonts w:ascii="Verdana" w:hAnsi="Verdana"/>
          <w:sz w:val="16"/>
          <w:szCs w:val="16"/>
        </w:rPr>
        <w:footnoteRef/>
      </w:r>
      <w:r w:rsidRPr="007A1929">
        <w:rPr>
          <w:rFonts w:ascii="Verdana" w:hAnsi="Verdana"/>
          <w:sz w:val="16"/>
          <w:szCs w:val="16"/>
        </w:rPr>
        <w:t xml:space="preserve"> </w:t>
      </w:r>
      <w:r>
        <w:rPr>
          <w:rFonts w:ascii="Verdana" w:hAnsi="Verdana"/>
          <w:sz w:val="16"/>
          <w:szCs w:val="16"/>
        </w:rPr>
        <w:t xml:space="preserve">Documento consultado el 10 de octubre de 2024 en la página web </w:t>
      </w:r>
      <w:hyperlink r:id="rId1" w:history="1">
        <w:r w:rsidRPr="001F228B">
          <w:rPr>
            <w:rStyle w:val="Hipervnculo"/>
            <w:rFonts w:ascii="Verdana" w:hAnsi="Verdana"/>
            <w:sz w:val="16"/>
            <w:szCs w:val="16"/>
          </w:rPr>
          <w:t>https://www.colombiacompra.gov.co/sites/cce_public/files/cce_documentos/anexo_1_-_maps.pdf</w:t>
        </w:r>
      </w:hyperlink>
      <w:r>
        <w:rPr>
          <w:rFonts w:ascii="Verdana" w:hAnsi="Verdana"/>
          <w:sz w:val="16"/>
          <w:szCs w:val="16"/>
        </w:rPr>
        <w:t xml:space="preserve">. </w:t>
      </w:r>
    </w:p>
  </w:footnote>
  <w:footnote w:id="10">
    <w:p w14:paraId="541BE73B"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Style w:val="Refdenotaalpie"/>
          <w:rFonts w:ascii="Verdana" w:hAnsi="Verdana" w:cs="Arial"/>
          <w:sz w:val="16"/>
          <w:szCs w:val="16"/>
        </w:rPr>
        <w:footnoteRef/>
      </w:r>
      <w:r w:rsidRPr="00D31A8B">
        <w:rPr>
          <w:rFonts w:ascii="Verdana" w:hAnsi="Verdana" w:cs="Arial"/>
          <w:sz w:val="16"/>
          <w:szCs w:val="16"/>
        </w:rPr>
        <w:t xml:space="preserve"> Ley 1437 de 2011: “Artículo 24. Informaciones y documentos reservados. Solo tendrán carácter reservado las informaciones y documentos expresamente sometidos a reserva por la Constitución Política o la ley, y en especial:  </w:t>
      </w:r>
    </w:p>
    <w:p w14:paraId="4D829C0C"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1. Los relacionados con la defensa o seguridad nacionales.  </w:t>
      </w:r>
    </w:p>
    <w:p w14:paraId="26A95B7E"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2. Las instrucciones en materia diplomática o sobre negociaciones reservadas.  </w:t>
      </w:r>
    </w:p>
    <w:p w14:paraId="4A27B02A"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6F9E085B"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CB387BE"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5. Los datos referentes a la información financiera y comercial, en los términos de la Ley Estatutaria 1266 de 2008.  </w:t>
      </w:r>
    </w:p>
    <w:p w14:paraId="2E6B4117"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6. Los protegidos por el secreto comercial o industrial, así como los planes estratégicos de las empresas públicas de servicios públicos.  </w:t>
      </w:r>
    </w:p>
    <w:p w14:paraId="63ACEA9E"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7. Los amparados por el secreto profesional.  </w:t>
      </w:r>
    </w:p>
    <w:p w14:paraId="7BB19260"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8. Los datos genéticos humanos.  </w:t>
      </w:r>
    </w:p>
    <w:p w14:paraId="66496B0D"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Fonts w:ascii="Verdana" w:hAnsi="Verdana" w:cs="Arial"/>
          <w:sz w:val="16"/>
          <w:szCs w:val="16"/>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11">
    <w:p w14:paraId="299CCD6E" w14:textId="77777777" w:rsidR="00A24E6F" w:rsidRPr="00D31A8B" w:rsidRDefault="00A24E6F" w:rsidP="00A24E6F">
      <w:pPr>
        <w:pStyle w:val="Textonotapie"/>
        <w:ind w:firstLine="708"/>
        <w:contextualSpacing/>
        <w:jc w:val="both"/>
        <w:rPr>
          <w:rFonts w:ascii="Verdana" w:hAnsi="Verdana" w:cs="Arial"/>
          <w:sz w:val="16"/>
          <w:szCs w:val="16"/>
        </w:rPr>
      </w:pPr>
      <w:r w:rsidRPr="00D31A8B">
        <w:rPr>
          <w:rStyle w:val="Refdenotaalpie"/>
          <w:rFonts w:ascii="Verdana" w:hAnsi="Verdana" w:cs="Arial"/>
          <w:sz w:val="16"/>
          <w:szCs w:val="16"/>
        </w:rPr>
        <w:footnoteRef/>
      </w:r>
      <w:r w:rsidRPr="00D31A8B">
        <w:rPr>
          <w:rFonts w:ascii="Verdana" w:hAnsi="Verdana" w:cs="Arial"/>
          <w:sz w:val="16"/>
          <w:szCs w:val="16"/>
        </w:rPr>
        <w:t xml:space="preserve"> Respecto al periodo de transición establecido en la norma objeto de estudio, la Circular Externa Única de Colombia Compra Eficiente señaló que “De acuerdo con el artículo 53 de Ley 2195 de 2022, las Entidades Estatales que, por disposición legal, cuenten con un régimen contractual excepcional al del Estatuto General de Contratación de la Administración Pública tienen un período de transición de seis (6) meses para publicar todos los documentos relacionados con su actividad contractual en la plataforma del SECOP II. En consecuencia, su uso obligatorio empezará a regir después de las 23:59 horas del 17 de julio de 2022, sin que sea posible, por vía reglamentaria o a través de los manuales internos de contratación, extender el plazo previsto en la Ley de Transparencia. Todos los procesos de contratación creados en el SECOP I antes de las 23:59 horas del 17 de julio de 2022, por parte de estas Entidades Estatales, podrán continuar siendo gestionados en esta plataforma”.  </w:t>
      </w:r>
    </w:p>
  </w:footnote>
  <w:footnote w:id="12">
    <w:p w14:paraId="7F81CA87" w14:textId="77777777" w:rsidR="00A24E6F" w:rsidRPr="00B1668A" w:rsidRDefault="00A24E6F" w:rsidP="00A24E6F">
      <w:pPr>
        <w:pStyle w:val="Textonotapie"/>
        <w:ind w:firstLine="708"/>
        <w:jc w:val="both"/>
        <w:rPr>
          <w:rFonts w:ascii="Verdana" w:hAnsi="Verdana"/>
          <w:sz w:val="16"/>
          <w:szCs w:val="16"/>
          <w:lang w:val="en-US"/>
        </w:rPr>
      </w:pPr>
      <w:r w:rsidRPr="00B1668A">
        <w:rPr>
          <w:rStyle w:val="Refdenotaalpie"/>
          <w:rFonts w:ascii="Verdana" w:hAnsi="Verdana"/>
          <w:sz w:val="16"/>
          <w:szCs w:val="16"/>
        </w:rPr>
        <w:footnoteRef/>
      </w:r>
      <w:r w:rsidRPr="00B1668A">
        <w:rPr>
          <w:rFonts w:ascii="Verdana" w:hAnsi="Verdana"/>
          <w:sz w:val="16"/>
          <w:szCs w:val="16"/>
        </w:rPr>
        <w:t xml:space="preserve">   CORTE CONSTITUCIONAL. Sentencia C-711 del 12 de septiembre de 2012. M.P. Mauricio González Cuervo.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679089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333F"/>
    <w:rsid w:val="00061B2A"/>
    <w:rsid w:val="00082362"/>
    <w:rsid w:val="000A683E"/>
    <w:rsid w:val="000B19B9"/>
    <w:rsid w:val="000D0334"/>
    <w:rsid w:val="000F6486"/>
    <w:rsid w:val="00125105"/>
    <w:rsid w:val="00127233"/>
    <w:rsid w:val="001E4177"/>
    <w:rsid w:val="001F7DC6"/>
    <w:rsid w:val="002102EC"/>
    <w:rsid w:val="00215FFC"/>
    <w:rsid w:val="002421BB"/>
    <w:rsid w:val="0025796E"/>
    <w:rsid w:val="002707A2"/>
    <w:rsid w:val="002951A0"/>
    <w:rsid w:val="002962BC"/>
    <w:rsid w:val="002A093D"/>
    <w:rsid w:val="002A0DD0"/>
    <w:rsid w:val="002A49AC"/>
    <w:rsid w:val="002A64FD"/>
    <w:rsid w:val="002C7A84"/>
    <w:rsid w:val="002E4FD9"/>
    <w:rsid w:val="00302A49"/>
    <w:rsid w:val="00312F8E"/>
    <w:rsid w:val="00322A85"/>
    <w:rsid w:val="00324168"/>
    <w:rsid w:val="003448F4"/>
    <w:rsid w:val="00374F5E"/>
    <w:rsid w:val="00377E3E"/>
    <w:rsid w:val="0038337E"/>
    <w:rsid w:val="003A26D1"/>
    <w:rsid w:val="003A779E"/>
    <w:rsid w:val="003D0F4D"/>
    <w:rsid w:val="003D5B0D"/>
    <w:rsid w:val="003E0499"/>
    <w:rsid w:val="003E241B"/>
    <w:rsid w:val="003F3941"/>
    <w:rsid w:val="00406575"/>
    <w:rsid w:val="004155B1"/>
    <w:rsid w:val="0042722E"/>
    <w:rsid w:val="0044528D"/>
    <w:rsid w:val="004A1847"/>
    <w:rsid w:val="004A305D"/>
    <w:rsid w:val="004F21C4"/>
    <w:rsid w:val="004F685F"/>
    <w:rsid w:val="00506013"/>
    <w:rsid w:val="005566E8"/>
    <w:rsid w:val="005746A1"/>
    <w:rsid w:val="00574867"/>
    <w:rsid w:val="00574D6A"/>
    <w:rsid w:val="00591460"/>
    <w:rsid w:val="00592628"/>
    <w:rsid w:val="005C3777"/>
    <w:rsid w:val="005C5CDC"/>
    <w:rsid w:val="005D476C"/>
    <w:rsid w:val="005E2D4A"/>
    <w:rsid w:val="005F02E0"/>
    <w:rsid w:val="00610812"/>
    <w:rsid w:val="006219F8"/>
    <w:rsid w:val="00634D94"/>
    <w:rsid w:val="00650FF7"/>
    <w:rsid w:val="00665D70"/>
    <w:rsid w:val="00671DAC"/>
    <w:rsid w:val="006900D9"/>
    <w:rsid w:val="006B0102"/>
    <w:rsid w:val="006C4BA8"/>
    <w:rsid w:val="006D12F8"/>
    <w:rsid w:val="006F3AFA"/>
    <w:rsid w:val="00706C16"/>
    <w:rsid w:val="00742326"/>
    <w:rsid w:val="00756841"/>
    <w:rsid w:val="007649AB"/>
    <w:rsid w:val="00771D0C"/>
    <w:rsid w:val="007833AC"/>
    <w:rsid w:val="007B268C"/>
    <w:rsid w:val="007B7171"/>
    <w:rsid w:val="007C0C0F"/>
    <w:rsid w:val="007C3DC2"/>
    <w:rsid w:val="007C4062"/>
    <w:rsid w:val="007E5497"/>
    <w:rsid w:val="00806F5F"/>
    <w:rsid w:val="00820278"/>
    <w:rsid w:val="008843B6"/>
    <w:rsid w:val="00891928"/>
    <w:rsid w:val="008A446D"/>
    <w:rsid w:val="008D180B"/>
    <w:rsid w:val="008D5636"/>
    <w:rsid w:val="008F0EA7"/>
    <w:rsid w:val="009025D5"/>
    <w:rsid w:val="0090713D"/>
    <w:rsid w:val="00923EEF"/>
    <w:rsid w:val="009419F9"/>
    <w:rsid w:val="0095685E"/>
    <w:rsid w:val="00961B09"/>
    <w:rsid w:val="00961D0F"/>
    <w:rsid w:val="00965334"/>
    <w:rsid w:val="0097093E"/>
    <w:rsid w:val="00997024"/>
    <w:rsid w:val="009A0DFA"/>
    <w:rsid w:val="009B2D26"/>
    <w:rsid w:val="009C71FA"/>
    <w:rsid w:val="009C72E7"/>
    <w:rsid w:val="009D3058"/>
    <w:rsid w:val="009F3A13"/>
    <w:rsid w:val="00A122D3"/>
    <w:rsid w:val="00A12DA8"/>
    <w:rsid w:val="00A17F13"/>
    <w:rsid w:val="00A20739"/>
    <w:rsid w:val="00A24E6F"/>
    <w:rsid w:val="00A33C78"/>
    <w:rsid w:val="00A75CB6"/>
    <w:rsid w:val="00AB0ADB"/>
    <w:rsid w:val="00AD1628"/>
    <w:rsid w:val="00AF38D1"/>
    <w:rsid w:val="00B01B1A"/>
    <w:rsid w:val="00B72CD3"/>
    <w:rsid w:val="00B72FFF"/>
    <w:rsid w:val="00BC3D36"/>
    <w:rsid w:val="00BD7F72"/>
    <w:rsid w:val="00C04FB3"/>
    <w:rsid w:val="00C330EB"/>
    <w:rsid w:val="00C754BE"/>
    <w:rsid w:val="00C76B1C"/>
    <w:rsid w:val="00C7784C"/>
    <w:rsid w:val="00C83108"/>
    <w:rsid w:val="00CA7D96"/>
    <w:rsid w:val="00CB6357"/>
    <w:rsid w:val="00CC1B26"/>
    <w:rsid w:val="00D423A2"/>
    <w:rsid w:val="00D520D8"/>
    <w:rsid w:val="00D63AC2"/>
    <w:rsid w:val="00D7383B"/>
    <w:rsid w:val="00D7470A"/>
    <w:rsid w:val="00DA231B"/>
    <w:rsid w:val="00DA23A0"/>
    <w:rsid w:val="00DC39FC"/>
    <w:rsid w:val="00DE00FB"/>
    <w:rsid w:val="00DF5254"/>
    <w:rsid w:val="00E16408"/>
    <w:rsid w:val="00E20894"/>
    <w:rsid w:val="00E23448"/>
    <w:rsid w:val="00E245AB"/>
    <w:rsid w:val="00E2764C"/>
    <w:rsid w:val="00E27F2E"/>
    <w:rsid w:val="00E413EA"/>
    <w:rsid w:val="00E50AFE"/>
    <w:rsid w:val="00E578B6"/>
    <w:rsid w:val="00E75C92"/>
    <w:rsid w:val="00E771DC"/>
    <w:rsid w:val="00E8772A"/>
    <w:rsid w:val="00E90F6B"/>
    <w:rsid w:val="00E92C27"/>
    <w:rsid w:val="00EA0E3D"/>
    <w:rsid w:val="00EC1A33"/>
    <w:rsid w:val="00EC38A7"/>
    <w:rsid w:val="00EE1AA8"/>
    <w:rsid w:val="00F31EDC"/>
    <w:rsid w:val="00F462B3"/>
    <w:rsid w:val="00F5664F"/>
    <w:rsid w:val="00F666C4"/>
    <w:rsid w:val="00F73DDF"/>
    <w:rsid w:val="00F765AD"/>
    <w:rsid w:val="00F76AFC"/>
    <w:rsid w:val="00FA39B4"/>
    <w:rsid w:val="00FA47C0"/>
    <w:rsid w:val="00FB5DD1"/>
    <w:rsid w:val="00FC2B5D"/>
    <w:rsid w:val="00FD2511"/>
    <w:rsid w:val="00FF1449"/>
    <w:rsid w:val="1F29E4C8"/>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97F15AF-C06F-418B-8A9E-EBC46FA3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24E6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A24E6F"/>
    <w:rPr>
      <w:rFonts w:ascii="Geomanist Light" w:hAnsi="Geomanist Light"/>
      <w:lang w:val="es-ES"/>
    </w:rPr>
  </w:style>
  <w:style w:type="paragraph" w:styleId="Textoindependiente">
    <w:name w:val="Body Text"/>
    <w:basedOn w:val="Normal"/>
    <w:link w:val="TextoindependienteCar"/>
    <w:uiPriority w:val="99"/>
    <w:unhideWhenUsed/>
    <w:rsid w:val="00A24E6F"/>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A24E6F"/>
    <w:rPr>
      <w:rFonts w:eastAsiaTheme="minorEastAsia"/>
      <w:lang w:eastAsia="es-CO"/>
    </w:rPr>
  </w:style>
  <w:style w:type="character" w:styleId="Refdecomentario">
    <w:name w:val="annotation reference"/>
    <w:basedOn w:val="Fuentedeprrafopredeter"/>
    <w:uiPriority w:val="99"/>
    <w:semiHidden/>
    <w:unhideWhenUsed/>
    <w:rsid w:val="00506013"/>
    <w:rPr>
      <w:sz w:val="16"/>
      <w:szCs w:val="16"/>
    </w:rPr>
  </w:style>
  <w:style w:type="paragraph" w:styleId="Textocomentario">
    <w:name w:val="annotation text"/>
    <w:basedOn w:val="Normal"/>
    <w:link w:val="TextocomentarioCar"/>
    <w:uiPriority w:val="99"/>
    <w:semiHidden/>
    <w:unhideWhenUsed/>
    <w:rsid w:val="005060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6013"/>
    <w:rPr>
      <w:sz w:val="20"/>
      <w:szCs w:val="20"/>
    </w:rPr>
  </w:style>
  <w:style w:type="paragraph" w:styleId="Asuntodelcomentario">
    <w:name w:val="annotation subject"/>
    <w:basedOn w:val="Textocomentario"/>
    <w:next w:val="Textocomentario"/>
    <w:link w:val="AsuntodelcomentarioCar"/>
    <w:uiPriority w:val="99"/>
    <w:semiHidden/>
    <w:unhideWhenUsed/>
    <w:rsid w:val="00506013"/>
    <w:rPr>
      <w:b/>
      <w:bCs/>
    </w:rPr>
  </w:style>
  <w:style w:type="character" w:customStyle="1" w:styleId="AsuntodelcomentarioCar">
    <w:name w:val="Asunto del comentario Car"/>
    <w:basedOn w:val="TextocomentarioCar"/>
    <w:link w:val="Asuntodelcomentario"/>
    <w:uiPriority w:val="99"/>
    <w:semiHidden/>
    <w:rsid w:val="00506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boletin-de-relatoria-2024-i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r.n.peticiones@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anexo_1_-_map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2F07E-03D5-4EE5-BC06-40424D4DF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3936</Words>
  <Characters>21653</Characters>
  <Application>Microsoft Office Word</Application>
  <DocSecurity>0</DocSecurity>
  <Lines>180</Lines>
  <Paragraphs>51</Paragraphs>
  <ScaleCrop>false</ScaleCrop>
  <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7</cp:revision>
  <cp:lastPrinted>2023-01-11T00:18:00Z</cp:lastPrinted>
  <dcterms:created xsi:type="dcterms:W3CDTF">2024-10-18T20:41:00Z</dcterms:created>
  <dcterms:modified xsi:type="dcterms:W3CDTF">2024-11-28T17:48:00Z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