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64421" w14:textId="77777777" w:rsidR="00350155" w:rsidRDefault="00350155" w:rsidP="00350155">
      <w:pPr>
        <w:spacing w:after="0" w:line="240" w:lineRule="auto"/>
        <w:jc w:val="both"/>
        <w:rPr>
          <w:rFonts w:ascii="Verdana" w:hAnsi="Verdana" w:cs="Arial"/>
          <w:b/>
          <w:lang w:val="es-ES_tradnl" w:eastAsia="es-ES"/>
        </w:rPr>
      </w:pPr>
      <w:r w:rsidRPr="005A08BF">
        <w:rPr>
          <w:rFonts w:ascii="Verdana" w:hAnsi="Verdana" w:cs="Arial"/>
          <w:b/>
          <w:lang w:val="es-ES_tradnl" w:eastAsia="es-ES"/>
        </w:rPr>
        <w:t>DOCUMENTOS TIPO – Fundamento normativo – Ley 2022 de 2020</w:t>
      </w:r>
    </w:p>
    <w:p w14:paraId="59A07DF4" w14:textId="77777777" w:rsidR="00350155" w:rsidRPr="0047640A" w:rsidRDefault="00350155" w:rsidP="00350155">
      <w:pPr>
        <w:spacing w:after="0" w:line="240" w:lineRule="auto"/>
        <w:jc w:val="both"/>
        <w:rPr>
          <w:rFonts w:ascii="Verdana" w:hAnsi="Verdana" w:cs="Arial"/>
          <w:b/>
          <w:sz w:val="16"/>
          <w:szCs w:val="16"/>
          <w:lang w:val="es-ES_tradnl" w:eastAsia="es-ES"/>
        </w:rPr>
      </w:pPr>
    </w:p>
    <w:p w14:paraId="7D0CDCEB" w14:textId="77777777" w:rsidR="00350155" w:rsidRPr="0047640A" w:rsidRDefault="00350155" w:rsidP="00350155">
      <w:pPr>
        <w:spacing w:after="0" w:line="240" w:lineRule="auto"/>
        <w:jc w:val="both"/>
        <w:rPr>
          <w:rFonts w:ascii="Verdana" w:hAnsi="Verdana" w:cs="Arial"/>
          <w:sz w:val="20"/>
          <w:szCs w:val="20"/>
          <w:lang w:val="es-ES"/>
        </w:rPr>
      </w:pPr>
      <w:r w:rsidRPr="00D37CE7">
        <w:rPr>
          <w:rFonts w:ascii="Verdana" w:hAnsi="Verdana" w:cs="Arial"/>
          <w:sz w:val="20"/>
          <w:szCs w:val="20"/>
          <w:lang w:val="es-ES"/>
        </w:rPr>
        <w:t>Los Documentos Tipo expedidos por esta Agencia en ejercicio de la potestad otorgada por la Ley 2022 de 2020 son de obligatoria observancia por parte de las Entidades Estatales sometidas al Estatuto General de Contratación de la Administración Pública –EGCAP–. Debido a esto, tales entidades deben aplicar de manera forzosa los Documentos Tipo para desarrollar los Procesos de Contratación en los objetos y modalidades cobijadas por los Documentos Tipo.</w:t>
      </w:r>
    </w:p>
    <w:p w14:paraId="7184170F" w14:textId="77777777" w:rsidR="00350155" w:rsidRPr="0047640A" w:rsidRDefault="00350155" w:rsidP="00350155">
      <w:pPr>
        <w:spacing w:after="0" w:line="240" w:lineRule="auto"/>
        <w:jc w:val="both"/>
        <w:rPr>
          <w:rFonts w:ascii="Verdana" w:hAnsi="Verdana" w:cs="Arial"/>
          <w:sz w:val="20"/>
          <w:szCs w:val="20"/>
          <w:lang w:val="es-ES_tradnl" w:eastAsia="es-ES"/>
        </w:rPr>
      </w:pPr>
    </w:p>
    <w:p w14:paraId="737585AB" w14:textId="77777777" w:rsidR="00350155" w:rsidRDefault="00350155" w:rsidP="00350155">
      <w:pPr>
        <w:spacing w:after="0" w:line="240" w:lineRule="auto"/>
        <w:jc w:val="both"/>
        <w:rPr>
          <w:rFonts w:ascii="Verdana" w:hAnsi="Verdana" w:cs="Arial"/>
          <w:b/>
          <w:lang w:val="es-ES_tradnl" w:eastAsia="es-ES"/>
        </w:rPr>
      </w:pPr>
      <w:r w:rsidRPr="00D37CE7">
        <w:rPr>
          <w:rFonts w:ascii="Verdana" w:hAnsi="Verdana" w:cs="Arial"/>
          <w:b/>
          <w:lang w:val="es-ES_tradnl" w:eastAsia="es-ES"/>
        </w:rPr>
        <w:t>CAUSALES DE RECHAZO – Principio de legalidad – Configuración – Documentos Tipo</w:t>
      </w:r>
    </w:p>
    <w:p w14:paraId="7E95EE9F" w14:textId="77777777" w:rsidR="00350155" w:rsidRPr="0047640A" w:rsidRDefault="00350155" w:rsidP="00350155">
      <w:pPr>
        <w:spacing w:after="0" w:line="240" w:lineRule="auto"/>
        <w:jc w:val="both"/>
        <w:rPr>
          <w:rFonts w:ascii="Verdana" w:hAnsi="Verdana" w:cs="Arial"/>
          <w:sz w:val="20"/>
          <w:szCs w:val="20"/>
          <w:lang w:val="es-ES_tradnl" w:eastAsia="es-ES"/>
        </w:rPr>
      </w:pPr>
    </w:p>
    <w:p w14:paraId="58F0538E" w14:textId="77777777" w:rsidR="00350155" w:rsidRPr="0047640A" w:rsidRDefault="00350155" w:rsidP="00350155">
      <w:pPr>
        <w:spacing w:after="0" w:line="240" w:lineRule="auto"/>
        <w:jc w:val="both"/>
        <w:rPr>
          <w:rFonts w:ascii="Verdana" w:hAnsi="Verdana" w:cs="Arial"/>
          <w:sz w:val="20"/>
          <w:szCs w:val="20"/>
          <w:lang w:val="es-ES" w:eastAsia="es-ES"/>
        </w:rPr>
      </w:pPr>
      <w:r w:rsidRPr="00D37CE7">
        <w:rPr>
          <w:rFonts w:ascii="Verdana" w:hAnsi="Verdana" w:cs="Arial"/>
          <w:sz w:val="20"/>
          <w:szCs w:val="20"/>
          <w:lang w:val="es-ES" w:eastAsia="es-ES"/>
        </w:rPr>
        <w:t>Las causales de rechazo son las establecidas en la Ley y las fijadas por la Entidad Estatal en los pliegos de condiciones. Sin embargo, en ejercicio de dicha facultad, a las entidades no les es dable fijar causales de rechazo que soslayen o afecten la selección objetiva en la contratación.</w:t>
      </w:r>
    </w:p>
    <w:p w14:paraId="16C249ED" w14:textId="77777777" w:rsidR="00350155" w:rsidRDefault="00350155" w:rsidP="00350155">
      <w:pPr>
        <w:spacing w:after="0" w:line="240" w:lineRule="auto"/>
        <w:jc w:val="both"/>
        <w:rPr>
          <w:rFonts w:ascii="Verdana" w:hAnsi="Verdana" w:cs="Arial"/>
          <w:b/>
          <w:lang w:val="es-ES_tradnl" w:eastAsia="es-ES"/>
        </w:rPr>
      </w:pPr>
    </w:p>
    <w:p w14:paraId="369ACCAF" w14:textId="77777777" w:rsidR="00350155" w:rsidRDefault="00350155" w:rsidP="00350155">
      <w:pPr>
        <w:spacing w:after="0" w:line="240" w:lineRule="auto"/>
        <w:jc w:val="both"/>
        <w:rPr>
          <w:rFonts w:ascii="Verdana" w:hAnsi="Verdana" w:cs="Arial"/>
          <w:sz w:val="20"/>
          <w:szCs w:val="20"/>
          <w:lang w:val="es-ES" w:eastAsia="es-ES"/>
        </w:rPr>
      </w:pPr>
      <w:r w:rsidRPr="005F145B">
        <w:rPr>
          <w:rFonts w:ascii="Verdana" w:hAnsi="Verdana" w:cs="Arial"/>
          <w:sz w:val="20"/>
          <w:szCs w:val="20"/>
          <w:lang w:val="es-ES" w:eastAsia="es-ES"/>
        </w:rPr>
        <w:t>En ese sentido, al revisar las causales de rechazo del Documento Tipo para Licitación de Infraestructura de Transporte – Versión 4, no se identifica ninguna que se ajuste al hecho hipotético planteado en su solicitud. Dicho esto, ante la imposibilidad de incluir nuevas causales, con fundamento en el principio de inalterabilidad, las entidades estatales solo deben valorar las causales de rechazo estandarizadas en el pliego tipo o documento base, determinando en cada caso concreto si la situación evidenciada configura en estricto sentido alguno de los supuestos de hecho establecidos en las mismas, sin valerse de interpretaciones extensivas o finalistas</w:t>
      </w:r>
      <w:r>
        <w:rPr>
          <w:rFonts w:ascii="Verdana" w:hAnsi="Verdana" w:cs="Arial"/>
          <w:sz w:val="20"/>
          <w:szCs w:val="20"/>
          <w:lang w:val="es-ES" w:eastAsia="es-ES"/>
        </w:rPr>
        <w:t>.</w:t>
      </w:r>
    </w:p>
    <w:p w14:paraId="6BAB2944" w14:textId="77777777" w:rsidR="00350155" w:rsidRPr="005F145B" w:rsidRDefault="00350155" w:rsidP="00350155">
      <w:pPr>
        <w:spacing w:after="0" w:line="240" w:lineRule="auto"/>
        <w:jc w:val="both"/>
        <w:rPr>
          <w:rFonts w:ascii="Verdana" w:hAnsi="Verdana" w:cs="Arial"/>
          <w:sz w:val="20"/>
          <w:szCs w:val="20"/>
          <w:lang w:val="es-ES" w:eastAsia="es-ES"/>
        </w:rPr>
      </w:pPr>
    </w:p>
    <w:p w14:paraId="205B11C9" w14:textId="77777777" w:rsidR="00350155" w:rsidRDefault="00350155" w:rsidP="00350155">
      <w:pPr>
        <w:spacing w:after="0" w:line="240" w:lineRule="auto"/>
        <w:jc w:val="both"/>
        <w:rPr>
          <w:rFonts w:ascii="Verdana" w:hAnsi="Verdana" w:cs="Arial"/>
          <w:b/>
          <w:lang w:val="es-ES_tradnl" w:eastAsia="es-ES"/>
        </w:rPr>
      </w:pPr>
      <w:r w:rsidRPr="00D37CE7">
        <w:rPr>
          <w:rFonts w:ascii="Verdana" w:hAnsi="Verdana" w:cs="Arial"/>
          <w:b/>
          <w:lang w:val="es-ES_tradnl" w:eastAsia="es-ES"/>
        </w:rPr>
        <w:t>INALTERABILIDAD – Documentos tipo – Regla vigente – Alcance</w:t>
      </w:r>
    </w:p>
    <w:p w14:paraId="60C61E10" w14:textId="77777777" w:rsidR="00350155" w:rsidRPr="0047640A" w:rsidRDefault="00350155" w:rsidP="00350155">
      <w:pPr>
        <w:spacing w:after="0" w:line="240" w:lineRule="auto"/>
        <w:jc w:val="both"/>
        <w:rPr>
          <w:rFonts w:ascii="Verdana" w:hAnsi="Verdana" w:cs="Arial"/>
          <w:b/>
          <w:lang w:val="es-ES_tradnl" w:eastAsia="es-ES"/>
        </w:rPr>
      </w:pPr>
    </w:p>
    <w:p w14:paraId="2B7C480C" w14:textId="77777777" w:rsidR="00350155" w:rsidRDefault="00350155" w:rsidP="00350155">
      <w:pPr>
        <w:spacing w:after="0" w:line="240" w:lineRule="auto"/>
        <w:jc w:val="both"/>
        <w:rPr>
          <w:rFonts w:ascii="Verdana" w:hAnsi="Verdana" w:cs="Arial"/>
          <w:sz w:val="20"/>
          <w:szCs w:val="20"/>
          <w:lang w:val="es-ES" w:eastAsia="es-ES"/>
        </w:rPr>
      </w:pPr>
      <w:r w:rsidRPr="005F145B">
        <w:rPr>
          <w:rFonts w:ascii="Verdana" w:hAnsi="Verdana" w:cs="Arial"/>
          <w:sz w:val="20"/>
          <w:szCs w:val="20"/>
          <w:lang w:val="es-ES" w:eastAsia="es-ES"/>
        </w:rPr>
        <w:t>El fundamento legal vigente de la regla de la inalterabilidad se encuentra en el artículo 1 de la Ley 2022 de 2020, según el cual “[…] serán de obligatorio cumplimiento en la actividad contractual de todas las entidades sometidas al Estatuto General de Contratación de la Administración Pública”. Pero eso no significa que antes no rigiera, pues así también lo disponía el artículo 4 de la Ley 1882 de 2018. Incluso por vía reglamentaria también quedó consignado en su momento el carácter inmodificable de los pliegos tipo en el artículo 1 de los Decretos 342 de 2019 y 594 de 2020, que adicionaron, respectivamente, los artículos 2.2.1.2.6.1.4. y 2.2.1.2.6.3.4 al Decreto 1082 de 2015, incluido el Documento Tipo para Licitación de Infraestructura de Transporte – Versión 4, fundamentado también en el desarrollo del artículo 2.2.1.2.6.1.4. del Decreto 1082 de 2015, donde se reitera la regla de inalterabilidad</w:t>
      </w:r>
      <w:r w:rsidRPr="0047640A">
        <w:rPr>
          <w:rFonts w:ascii="Verdana" w:hAnsi="Verdana" w:cs="Arial"/>
          <w:sz w:val="20"/>
          <w:szCs w:val="20"/>
          <w:lang w:val="es-ES" w:eastAsia="es-ES"/>
        </w:rPr>
        <w:t>.</w:t>
      </w:r>
    </w:p>
    <w:p w14:paraId="59E4ADFA" w14:textId="77777777" w:rsidR="00350155" w:rsidRDefault="00350155" w:rsidP="00350155">
      <w:pPr>
        <w:spacing w:after="0" w:line="240" w:lineRule="auto"/>
        <w:jc w:val="both"/>
        <w:rPr>
          <w:rFonts w:ascii="Verdana" w:hAnsi="Verdana" w:cs="Arial"/>
          <w:sz w:val="20"/>
          <w:szCs w:val="20"/>
          <w:lang w:val="es-ES" w:eastAsia="es-ES"/>
        </w:rPr>
      </w:pPr>
    </w:p>
    <w:p w14:paraId="34F343CF" w14:textId="77777777" w:rsidR="00350155" w:rsidRDefault="00350155" w:rsidP="00350155">
      <w:pPr>
        <w:spacing w:after="0" w:line="240" w:lineRule="auto"/>
        <w:jc w:val="both"/>
        <w:rPr>
          <w:rFonts w:ascii="Verdana" w:hAnsi="Verdana" w:cs="Arial"/>
          <w:b/>
          <w:lang w:val="es-ES_tradnl" w:eastAsia="es-ES"/>
        </w:rPr>
      </w:pPr>
      <w:r w:rsidRPr="00D37CE7">
        <w:rPr>
          <w:rFonts w:ascii="Verdana" w:hAnsi="Verdana" w:cs="Arial"/>
          <w:b/>
          <w:lang w:val="es-ES_tradnl" w:eastAsia="es-ES"/>
        </w:rPr>
        <w:t>PRINCIPIO DE SELECCIÓN OBJETIVA – Rechazo de las ofertas – Aspectos formales</w:t>
      </w:r>
    </w:p>
    <w:p w14:paraId="737D3CEE" w14:textId="77777777" w:rsidR="00350155" w:rsidRDefault="00350155" w:rsidP="00350155">
      <w:pPr>
        <w:spacing w:after="0" w:line="240" w:lineRule="auto"/>
        <w:jc w:val="both"/>
        <w:rPr>
          <w:rFonts w:ascii="Verdana" w:hAnsi="Verdana" w:cs="Arial"/>
          <w:b/>
          <w:lang w:val="es-ES_tradnl" w:eastAsia="es-ES"/>
        </w:rPr>
      </w:pPr>
    </w:p>
    <w:p w14:paraId="26976369" w14:textId="77777777" w:rsidR="00350155" w:rsidRDefault="00350155" w:rsidP="00350155">
      <w:pPr>
        <w:spacing w:after="0" w:line="240" w:lineRule="auto"/>
        <w:jc w:val="both"/>
        <w:rPr>
          <w:rFonts w:ascii="Verdana" w:hAnsi="Verdana" w:cs="Arial"/>
          <w:sz w:val="20"/>
          <w:szCs w:val="20"/>
          <w:lang w:val="es-ES" w:eastAsia="es-ES"/>
        </w:rPr>
      </w:pPr>
      <w:r w:rsidRPr="00446B85">
        <w:rPr>
          <w:rFonts w:ascii="Verdana" w:hAnsi="Verdana" w:cs="Arial"/>
          <w:sz w:val="20"/>
          <w:szCs w:val="20"/>
          <w:lang w:val="es-ES" w:eastAsia="es-ES"/>
        </w:rPr>
        <w:t xml:space="preserve">Por otra parte, es importante señalar que, uno de los principios transversales de los procedimientos de selección es el de selección objetiva. Se trata del postulado que exige que la escogencia de la oferta ganadora deba fundamentarse en factores objetivos, de carácter técnico, jurídico y financiero, y no en criterios subjetivos, como el afecto, la </w:t>
      </w:r>
      <w:r w:rsidRPr="00446B85">
        <w:rPr>
          <w:rFonts w:ascii="Verdana" w:hAnsi="Verdana" w:cs="Arial"/>
          <w:sz w:val="20"/>
          <w:szCs w:val="20"/>
          <w:lang w:val="es-ES" w:eastAsia="es-ES"/>
        </w:rPr>
        <w:lastRenderedPageBreak/>
        <w:t>amistad, el ánimo de ayuda, el interés personal, etc. Si bien dentro de la historia de la contratación pública en Colombia se vislumbran antecedentes normativos que consagraban dicho principio, en la actualidad la disposición legal que lo prevé de manera más clara y contundente es el artículo 5 de la Ley 1150 de 2007, modificado por el artículo 88 de la Ley 1474 de 2011 y por el artículo 5 de la Ley 1882 de 2018.</w:t>
      </w:r>
    </w:p>
    <w:p w14:paraId="18CD6AD2" w14:textId="77777777" w:rsidR="00350155" w:rsidRDefault="00350155" w:rsidP="00350155">
      <w:pPr>
        <w:spacing w:after="0" w:line="240" w:lineRule="auto"/>
        <w:jc w:val="both"/>
        <w:rPr>
          <w:rFonts w:ascii="Verdana" w:eastAsia="Calibri" w:hAnsi="Verdana" w:cs="Arial"/>
          <w:color w:val="000000"/>
          <w:kern w:val="2"/>
          <w:sz w:val="20"/>
          <w:szCs w:val="20"/>
          <w14:ligatures w14:val="standardContextual"/>
        </w:rPr>
      </w:pPr>
    </w:p>
    <w:p w14:paraId="1B87AC32" w14:textId="77777777" w:rsidR="00350155" w:rsidRDefault="00350155" w:rsidP="00350155">
      <w:pPr>
        <w:spacing w:after="0"/>
        <w:jc w:val="both"/>
        <w:rPr>
          <w:rFonts w:ascii="Verdana" w:hAnsi="Verdana" w:cs="Arial"/>
          <w:b/>
          <w:bCs/>
          <w:color w:val="000000" w:themeColor="text1"/>
        </w:rPr>
      </w:pPr>
      <w:r w:rsidRPr="00D37CE7">
        <w:rPr>
          <w:rFonts w:ascii="Verdana" w:hAnsi="Verdana" w:cs="Arial"/>
          <w:b/>
          <w:bCs/>
          <w:color w:val="000000" w:themeColor="text1"/>
        </w:rPr>
        <w:t>SUBSANABILIDAD – Concepto de unificación – Aplicación – Improcedencia – Circunstancias posteriores al cierre</w:t>
      </w:r>
    </w:p>
    <w:p w14:paraId="3EE5AC97" w14:textId="77777777" w:rsidR="00350155" w:rsidRDefault="00350155" w:rsidP="00350155">
      <w:pPr>
        <w:spacing w:after="0"/>
        <w:jc w:val="both"/>
        <w:rPr>
          <w:rFonts w:ascii="Verdana" w:hAnsi="Verdana" w:cs="Arial"/>
          <w:b/>
          <w:bCs/>
          <w:color w:val="000000" w:themeColor="text1"/>
        </w:rPr>
      </w:pPr>
    </w:p>
    <w:p w14:paraId="0C1B0010" w14:textId="77777777" w:rsidR="00350155" w:rsidRDefault="00350155" w:rsidP="00350155">
      <w:pPr>
        <w:spacing w:after="0"/>
        <w:jc w:val="both"/>
        <w:rPr>
          <w:rFonts w:ascii="Verdana" w:hAnsi="Verdana" w:cs="Arial"/>
          <w:color w:val="000000"/>
          <w:sz w:val="20"/>
          <w:szCs w:val="20"/>
        </w:rPr>
      </w:pPr>
      <w:r>
        <w:rPr>
          <w:rFonts w:ascii="Verdana" w:hAnsi="Verdana" w:cs="Arial"/>
          <w:color w:val="000000"/>
          <w:sz w:val="20"/>
          <w:szCs w:val="20"/>
        </w:rPr>
        <w:t>[…]</w:t>
      </w:r>
    </w:p>
    <w:p w14:paraId="02DE2C2D" w14:textId="77777777" w:rsidR="00350155" w:rsidRDefault="00350155" w:rsidP="00350155">
      <w:pPr>
        <w:spacing w:after="0"/>
        <w:jc w:val="both"/>
        <w:rPr>
          <w:rFonts w:ascii="Verdana" w:hAnsi="Verdana" w:cs="Arial"/>
          <w:color w:val="000000"/>
          <w:sz w:val="20"/>
          <w:szCs w:val="20"/>
        </w:rPr>
      </w:pPr>
    </w:p>
    <w:p w14:paraId="20515CF7" w14:textId="77777777" w:rsidR="00350155" w:rsidRDefault="00350155" w:rsidP="00350155">
      <w:pPr>
        <w:spacing w:after="0"/>
        <w:jc w:val="both"/>
        <w:rPr>
          <w:rFonts w:ascii="Verdana" w:hAnsi="Verdana" w:cs="Arial"/>
          <w:color w:val="000000"/>
          <w:sz w:val="20"/>
          <w:szCs w:val="20"/>
        </w:rPr>
      </w:pPr>
      <w:r w:rsidRPr="003B418A">
        <w:rPr>
          <w:rFonts w:ascii="Verdana" w:hAnsi="Verdana" w:cs="Arial"/>
          <w:color w:val="000000"/>
          <w:sz w:val="20"/>
          <w:szCs w:val="20"/>
        </w:rPr>
        <w:t>En otras palabras, es consustancial a la selección objetiva la obligación que tienen las entidades estatales de permitir la subsanación de los requisitos de participación, bajo las condiciones indicadas en la ley, antes de tomar la decisión de rechazar las propuestas que hayan omitido la observancia de los requisitos habilitantes.</w:t>
      </w:r>
    </w:p>
    <w:p w14:paraId="6C68466C" w14:textId="77777777" w:rsidR="00350155" w:rsidRPr="003B418A" w:rsidRDefault="00350155" w:rsidP="00350155">
      <w:pPr>
        <w:spacing w:after="0"/>
        <w:jc w:val="both"/>
        <w:rPr>
          <w:rFonts w:ascii="Verdana" w:hAnsi="Verdana" w:cs="Arial"/>
          <w:color w:val="000000"/>
          <w:sz w:val="20"/>
          <w:szCs w:val="20"/>
        </w:rPr>
      </w:pPr>
    </w:p>
    <w:p w14:paraId="77629424" w14:textId="77777777" w:rsidR="00350155" w:rsidRDefault="00350155" w:rsidP="00350155">
      <w:pPr>
        <w:spacing w:after="0"/>
        <w:jc w:val="both"/>
        <w:rPr>
          <w:rFonts w:ascii="Verdana" w:hAnsi="Verdana" w:cs="Arial"/>
          <w:color w:val="000000"/>
          <w:sz w:val="20"/>
          <w:szCs w:val="20"/>
        </w:rPr>
      </w:pPr>
      <w:r w:rsidRPr="003B418A">
        <w:rPr>
          <w:rFonts w:ascii="Verdana" w:hAnsi="Verdana" w:cs="Arial"/>
          <w:color w:val="000000"/>
          <w:sz w:val="20"/>
          <w:szCs w:val="20"/>
        </w:rPr>
        <w:t>La decisión de rechazar, por regla general –salvo en los casos específicos previstos en la ley, como el de la imposibilidad de subsanar la no entrega de la garantía de seriedad de la oferta o de acreditar circunstancias ocurridas con posterioridad al cierre del procedimiento de selección –art. 5, par. 1º y 3º, Ley 1150 de 2007)– solo puede tomarse si, previamente, se ha permitido que los proponentes completen o corrijan la información relacionada con los requisitos que no asignan puntaje, como mecanismo para hacer prevalecer el derecho sustancial sobre las formalidades.</w:t>
      </w:r>
      <w:r w:rsidRPr="000E4F10">
        <w:rPr>
          <w:rFonts w:ascii="Verdana" w:hAnsi="Verdana" w:cs="Arial"/>
          <w:color w:val="000000"/>
          <w:sz w:val="20"/>
          <w:szCs w:val="20"/>
        </w:rPr>
        <w:t xml:space="preserve"> </w:t>
      </w:r>
    </w:p>
    <w:p w14:paraId="1BDA3379" w14:textId="77777777" w:rsidR="00350155" w:rsidRDefault="00350155" w:rsidP="00350155">
      <w:pPr>
        <w:spacing w:after="0"/>
        <w:jc w:val="both"/>
        <w:rPr>
          <w:rFonts w:ascii="Verdana" w:eastAsia="Calibri" w:hAnsi="Verdana" w:cs="Arial"/>
          <w:color w:val="000000"/>
          <w:kern w:val="2"/>
          <w:sz w:val="20"/>
          <w:szCs w:val="20"/>
          <w14:ligatures w14:val="standardContextual"/>
        </w:rPr>
      </w:pPr>
    </w:p>
    <w:p w14:paraId="1CF56F51" w14:textId="77777777" w:rsidR="00350155" w:rsidRDefault="00350155" w:rsidP="00350155">
      <w:pPr>
        <w:spacing w:after="0" w:line="240" w:lineRule="auto"/>
        <w:jc w:val="both"/>
        <w:rPr>
          <w:rFonts w:ascii="Verdana" w:eastAsia="Calibri" w:hAnsi="Verdana" w:cs="Arial"/>
          <w:color w:val="000000"/>
          <w:kern w:val="2"/>
          <w:sz w:val="20"/>
          <w:szCs w:val="20"/>
          <w14:ligatures w14:val="standardContextual"/>
        </w:rPr>
      </w:pPr>
    </w:p>
    <w:p w14:paraId="0EBC3F69" w14:textId="77777777" w:rsidR="00350155" w:rsidRDefault="00350155" w:rsidP="00350155">
      <w:pPr>
        <w:spacing w:after="0" w:line="240" w:lineRule="auto"/>
        <w:jc w:val="both"/>
        <w:rPr>
          <w:rFonts w:ascii="Verdana" w:eastAsia="Calibri" w:hAnsi="Verdana" w:cs="Arial"/>
          <w:color w:val="000000"/>
          <w:kern w:val="2"/>
          <w:sz w:val="20"/>
          <w:szCs w:val="20"/>
          <w14:ligatures w14:val="standardContextual"/>
        </w:rPr>
      </w:pPr>
    </w:p>
    <w:p w14:paraId="66D94F79" w14:textId="77777777" w:rsidR="00350155" w:rsidRDefault="00350155" w:rsidP="00350155">
      <w:pPr>
        <w:spacing w:after="0" w:line="240" w:lineRule="auto"/>
        <w:jc w:val="both"/>
        <w:rPr>
          <w:rFonts w:ascii="Verdana" w:eastAsia="Calibri" w:hAnsi="Verdana" w:cs="Arial"/>
          <w:color w:val="000000"/>
          <w:kern w:val="2"/>
          <w:sz w:val="20"/>
          <w:szCs w:val="20"/>
          <w14:ligatures w14:val="standardContextual"/>
        </w:rPr>
      </w:pPr>
    </w:p>
    <w:p w14:paraId="39CAB4DE" w14:textId="77777777" w:rsidR="00350155" w:rsidRDefault="00350155" w:rsidP="00350155">
      <w:pPr>
        <w:spacing w:after="0" w:line="240" w:lineRule="auto"/>
        <w:jc w:val="both"/>
        <w:rPr>
          <w:rFonts w:ascii="Verdana" w:eastAsia="Calibri" w:hAnsi="Verdana" w:cs="Arial"/>
          <w:color w:val="000000"/>
          <w:kern w:val="2"/>
          <w:sz w:val="20"/>
          <w:szCs w:val="20"/>
          <w14:ligatures w14:val="standardContextual"/>
        </w:rPr>
      </w:pPr>
    </w:p>
    <w:p w14:paraId="30896F4F" w14:textId="77777777" w:rsidR="00350155" w:rsidRDefault="00350155" w:rsidP="00350155">
      <w:pPr>
        <w:spacing w:after="0" w:line="240" w:lineRule="auto"/>
        <w:jc w:val="both"/>
        <w:rPr>
          <w:rFonts w:ascii="Verdana" w:hAnsi="Verdana" w:cs="Arial"/>
          <w:sz w:val="20"/>
          <w:szCs w:val="20"/>
          <w:lang w:eastAsia="es-ES"/>
        </w:rPr>
      </w:pPr>
    </w:p>
    <w:p w14:paraId="237FE831" w14:textId="77777777" w:rsidR="00350155" w:rsidRDefault="00350155" w:rsidP="00350155">
      <w:pPr>
        <w:spacing w:after="0" w:line="240" w:lineRule="auto"/>
        <w:jc w:val="both"/>
        <w:rPr>
          <w:rFonts w:ascii="Verdana" w:hAnsi="Verdana" w:cs="Arial"/>
          <w:sz w:val="20"/>
          <w:szCs w:val="20"/>
          <w:lang w:eastAsia="es-ES"/>
        </w:rPr>
      </w:pPr>
    </w:p>
    <w:p w14:paraId="7CFB6601" w14:textId="77777777" w:rsidR="00350155" w:rsidRDefault="00350155" w:rsidP="00350155">
      <w:pPr>
        <w:spacing w:after="0" w:line="240" w:lineRule="auto"/>
        <w:jc w:val="both"/>
        <w:rPr>
          <w:rFonts w:ascii="Verdana" w:hAnsi="Verdana" w:cs="Arial"/>
          <w:sz w:val="20"/>
          <w:szCs w:val="20"/>
          <w:lang w:eastAsia="es-ES"/>
        </w:rPr>
      </w:pPr>
    </w:p>
    <w:p w14:paraId="53853C22" w14:textId="77777777" w:rsidR="00350155" w:rsidRDefault="00350155" w:rsidP="00350155">
      <w:pPr>
        <w:spacing w:after="0" w:line="240" w:lineRule="auto"/>
        <w:jc w:val="both"/>
        <w:rPr>
          <w:rFonts w:ascii="Verdana" w:hAnsi="Verdana" w:cs="Arial"/>
          <w:sz w:val="20"/>
          <w:szCs w:val="20"/>
          <w:lang w:eastAsia="es-ES"/>
        </w:rPr>
      </w:pPr>
    </w:p>
    <w:p w14:paraId="3960C349" w14:textId="77777777" w:rsidR="00350155" w:rsidRDefault="00350155" w:rsidP="00350155">
      <w:pPr>
        <w:spacing w:after="0" w:line="240" w:lineRule="auto"/>
        <w:jc w:val="both"/>
        <w:rPr>
          <w:rFonts w:ascii="Verdana" w:hAnsi="Verdana" w:cs="Arial"/>
          <w:sz w:val="20"/>
          <w:szCs w:val="20"/>
          <w:lang w:eastAsia="es-ES"/>
        </w:rPr>
      </w:pPr>
    </w:p>
    <w:p w14:paraId="5030A6AE" w14:textId="77777777" w:rsidR="00350155" w:rsidRDefault="00350155" w:rsidP="00350155">
      <w:pPr>
        <w:spacing w:after="0" w:line="240" w:lineRule="auto"/>
        <w:rPr>
          <w:rFonts w:ascii="Verdana" w:eastAsia="Times New Roman" w:hAnsi="Verdana" w:cs="Arial"/>
          <w:lang w:eastAsia="es-ES_tradnl"/>
        </w:rPr>
      </w:pPr>
    </w:p>
    <w:p w14:paraId="75772EE9" w14:textId="77777777" w:rsidR="00350155" w:rsidRDefault="00350155" w:rsidP="00350155">
      <w:pPr>
        <w:spacing w:after="0" w:line="240" w:lineRule="auto"/>
        <w:rPr>
          <w:rFonts w:ascii="Verdana" w:eastAsia="Times New Roman" w:hAnsi="Verdana" w:cs="Arial"/>
          <w:lang w:eastAsia="es-ES_tradnl"/>
        </w:rPr>
      </w:pPr>
    </w:p>
    <w:p w14:paraId="784F8858" w14:textId="77777777" w:rsidR="00350155" w:rsidRDefault="00350155" w:rsidP="00350155">
      <w:pPr>
        <w:spacing w:after="0" w:line="240" w:lineRule="auto"/>
        <w:rPr>
          <w:rFonts w:ascii="Verdana" w:eastAsia="Times New Roman" w:hAnsi="Verdana" w:cs="Arial"/>
          <w:lang w:eastAsia="es-ES_tradnl"/>
        </w:rPr>
      </w:pPr>
    </w:p>
    <w:p w14:paraId="1E2E80CC" w14:textId="77777777" w:rsidR="00350155" w:rsidRDefault="00350155" w:rsidP="00350155">
      <w:pPr>
        <w:spacing w:after="0" w:line="240" w:lineRule="auto"/>
        <w:rPr>
          <w:rFonts w:ascii="Verdana" w:eastAsia="Times New Roman" w:hAnsi="Verdana" w:cs="Arial"/>
          <w:lang w:eastAsia="es-ES_tradnl"/>
        </w:rPr>
      </w:pPr>
    </w:p>
    <w:p w14:paraId="790FCA14" w14:textId="77777777" w:rsidR="00350155" w:rsidRDefault="00350155" w:rsidP="00350155">
      <w:pPr>
        <w:spacing w:after="0" w:line="240" w:lineRule="auto"/>
        <w:rPr>
          <w:rFonts w:ascii="Verdana" w:eastAsia="Times New Roman" w:hAnsi="Verdana" w:cs="Arial"/>
          <w:lang w:eastAsia="es-ES_tradnl"/>
        </w:rPr>
      </w:pPr>
    </w:p>
    <w:p w14:paraId="6DC85567" w14:textId="77777777" w:rsidR="00350155" w:rsidRDefault="00350155" w:rsidP="00350155">
      <w:pPr>
        <w:spacing w:after="0" w:line="240" w:lineRule="auto"/>
        <w:rPr>
          <w:rFonts w:ascii="Verdana" w:eastAsia="Times New Roman" w:hAnsi="Verdana" w:cs="Arial"/>
          <w:lang w:eastAsia="es-ES_tradnl"/>
        </w:rPr>
      </w:pPr>
    </w:p>
    <w:p w14:paraId="39813F3D" w14:textId="77777777" w:rsidR="00350155" w:rsidRDefault="00350155" w:rsidP="00350155">
      <w:pPr>
        <w:spacing w:after="0" w:line="240" w:lineRule="auto"/>
        <w:rPr>
          <w:rFonts w:ascii="Verdana" w:eastAsia="Times New Roman" w:hAnsi="Verdana" w:cs="Arial"/>
          <w:lang w:eastAsia="es-ES_tradnl"/>
        </w:rPr>
      </w:pPr>
    </w:p>
    <w:p w14:paraId="2E63D383" w14:textId="77777777" w:rsidR="00350155" w:rsidRDefault="00350155" w:rsidP="00350155">
      <w:pPr>
        <w:spacing w:after="0" w:line="240" w:lineRule="auto"/>
        <w:rPr>
          <w:rFonts w:ascii="Verdana" w:eastAsia="Times New Roman" w:hAnsi="Verdana" w:cs="Arial"/>
          <w:lang w:eastAsia="es-ES_tradnl"/>
        </w:rPr>
      </w:pPr>
    </w:p>
    <w:p w14:paraId="46B625F3" w14:textId="77777777" w:rsidR="00350155" w:rsidRDefault="00350155" w:rsidP="00350155">
      <w:pPr>
        <w:spacing w:after="0" w:line="240" w:lineRule="auto"/>
        <w:rPr>
          <w:rFonts w:ascii="Verdana" w:eastAsia="Times New Roman" w:hAnsi="Verdana" w:cs="Arial"/>
          <w:lang w:eastAsia="es-ES_tradnl"/>
        </w:rPr>
      </w:pPr>
    </w:p>
    <w:p w14:paraId="54DAC18E" w14:textId="77777777" w:rsidR="00350155" w:rsidRDefault="00350155" w:rsidP="00350155">
      <w:pPr>
        <w:spacing w:after="0" w:line="240" w:lineRule="auto"/>
        <w:rPr>
          <w:rFonts w:ascii="Verdana" w:eastAsia="Times New Roman" w:hAnsi="Verdana" w:cs="Arial"/>
          <w:lang w:eastAsia="es-ES_tradnl"/>
        </w:rPr>
      </w:pPr>
    </w:p>
    <w:p w14:paraId="67403C1A" w14:textId="77777777" w:rsidR="00350155" w:rsidRDefault="00350155" w:rsidP="00350155">
      <w:pPr>
        <w:spacing w:after="0" w:line="240" w:lineRule="auto"/>
        <w:rPr>
          <w:rFonts w:ascii="Verdana" w:eastAsia="Times New Roman" w:hAnsi="Verdana" w:cs="Arial"/>
          <w:lang w:eastAsia="es-ES_tradnl"/>
        </w:rPr>
      </w:pPr>
    </w:p>
    <w:p w14:paraId="264E9148" w14:textId="77777777" w:rsidR="00350155" w:rsidRDefault="00350155" w:rsidP="00350155">
      <w:pPr>
        <w:spacing w:after="0" w:line="240" w:lineRule="auto"/>
        <w:rPr>
          <w:rFonts w:ascii="Verdana" w:eastAsia="Times New Roman" w:hAnsi="Verdana" w:cs="Arial"/>
          <w:lang w:eastAsia="es-ES_tradnl"/>
        </w:rPr>
      </w:pPr>
    </w:p>
    <w:p w14:paraId="2F2836D9" w14:textId="77777777" w:rsidR="00350155" w:rsidRDefault="00350155" w:rsidP="00350155">
      <w:pPr>
        <w:spacing w:after="0" w:line="240" w:lineRule="auto"/>
        <w:rPr>
          <w:rFonts w:ascii="Verdana" w:eastAsia="Times New Roman" w:hAnsi="Verdana" w:cs="Arial"/>
          <w:lang w:eastAsia="es-ES_tradnl"/>
        </w:rPr>
      </w:pPr>
      <w:r w:rsidRPr="00BE151B">
        <w:rPr>
          <w:rFonts w:ascii="Verdana" w:eastAsia="Times New Roman" w:hAnsi="Verdana" w:cs="Arial"/>
          <w:lang w:eastAsia="es-ES_tradnl"/>
        </w:rPr>
        <w:lastRenderedPageBreak/>
        <w:t>Bogotá D.C., [Día] de [Mes.NombreCapitalizado] de [Año] </w:t>
      </w:r>
    </w:p>
    <w:p w14:paraId="34CCE572" w14:textId="77777777" w:rsidR="00350155" w:rsidRPr="00BE151B" w:rsidRDefault="00350155" w:rsidP="00350155">
      <w:pPr>
        <w:spacing w:after="0" w:line="240" w:lineRule="auto"/>
        <w:rPr>
          <w:rFonts w:ascii="Verdana" w:eastAsia="Times New Roman" w:hAnsi="Verdana" w:cs="Arial"/>
          <w:lang w:eastAsia="es-ES_tradnl"/>
        </w:rPr>
      </w:pPr>
    </w:p>
    <w:p w14:paraId="338B0C40" w14:textId="70E702AC" w:rsidR="00350155" w:rsidRPr="000D394B" w:rsidRDefault="000D394B" w:rsidP="00350155">
      <w:pPr>
        <w:spacing w:after="0" w:line="240" w:lineRule="auto"/>
        <w:jc w:val="right"/>
        <w:rPr>
          <w:rFonts w:ascii="Verdana" w:eastAsia="Times New Roman" w:hAnsi="Verdana" w:cs="Arial"/>
          <w:lang w:val="en-US" w:eastAsia="es-ES_tradnl"/>
        </w:rPr>
      </w:pPr>
      <w:r>
        <w:rPr>
          <w:rFonts w:ascii="Verdana" w:eastAsia="Times New Roman" w:hAnsi="Verdana" w:cs="Arial"/>
          <w:lang w:val="en-US" w:eastAsia="es-ES_tradnl"/>
        </w:rPr>
        <w:tab/>
      </w:r>
      <w:r>
        <w:rPr>
          <w:noProof/>
          <w14:ligatures w14:val="standardContextual"/>
        </w:rPr>
        <w:drawing>
          <wp:inline distT="0" distB="0" distL="0" distR="0" wp14:anchorId="695E6C27" wp14:editId="27C2111F">
            <wp:extent cx="3543621" cy="1056904"/>
            <wp:effectExtent l="0" t="0" r="0" b="0"/>
            <wp:docPr id="142499405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94053" name="Imagen 1" descr="Interfaz de usuario gráfica, Aplicación&#10;&#10;Descripción generada automáticamente"/>
                    <pic:cNvPicPr/>
                  </pic:nvPicPr>
                  <pic:blipFill rotWithShape="1">
                    <a:blip r:embed="rId7"/>
                    <a:srcRect l="10051" t="33639" r="53765" b="29888"/>
                    <a:stretch/>
                  </pic:blipFill>
                  <pic:spPr bwMode="auto">
                    <a:xfrm>
                      <a:off x="0" y="0"/>
                      <a:ext cx="3568824" cy="1064421"/>
                    </a:xfrm>
                    <a:prstGeom prst="rect">
                      <a:avLst/>
                    </a:prstGeom>
                    <a:ln>
                      <a:noFill/>
                    </a:ln>
                    <a:extLst>
                      <a:ext uri="{53640926-AAD7-44D8-BBD7-CCE9431645EC}">
                        <a14:shadowObscured xmlns:a14="http://schemas.microsoft.com/office/drawing/2010/main"/>
                      </a:ext>
                    </a:extLst>
                  </pic:spPr>
                </pic:pic>
              </a:graphicData>
            </a:graphic>
          </wp:inline>
        </w:drawing>
      </w:r>
    </w:p>
    <w:p w14:paraId="7861B1D0" w14:textId="77777777" w:rsidR="00350155" w:rsidRPr="000D394B" w:rsidRDefault="00350155" w:rsidP="00350155">
      <w:pPr>
        <w:spacing w:after="0" w:line="240" w:lineRule="auto"/>
        <w:jc w:val="right"/>
        <w:rPr>
          <w:rFonts w:ascii="Verdana" w:eastAsia="Times New Roman" w:hAnsi="Verdana" w:cs="Arial"/>
          <w:lang w:val="en-US" w:eastAsia="es-ES_tradnl"/>
        </w:rPr>
      </w:pPr>
    </w:p>
    <w:p w14:paraId="56EF6C1A" w14:textId="77777777" w:rsidR="00350155" w:rsidRPr="005A05A8" w:rsidRDefault="00350155" w:rsidP="00350155">
      <w:pPr>
        <w:spacing w:after="0" w:line="240" w:lineRule="auto"/>
        <w:jc w:val="both"/>
        <w:rPr>
          <w:rFonts w:ascii="Verdana" w:eastAsia="Calibri" w:hAnsi="Verdana" w:cs="Arial"/>
          <w:lang w:val="en-US" w:eastAsia="es-ES_tradnl"/>
        </w:rPr>
      </w:pPr>
      <w:r w:rsidRPr="005A05A8">
        <w:rPr>
          <w:rFonts w:ascii="Verdana" w:eastAsia="Calibri" w:hAnsi="Verdana" w:cs="Arial"/>
          <w:lang w:val="en-US" w:eastAsia="es-ES_tradnl"/>
        </w:rPr>
        <w:t>Señor</w:t>
      </w:r>
    </w:p>
    <w:p w14:paraId="3A12FEE2" w14:textId="77777777" w:rsidR="00350155" w:rsidRPr="006E3EBE" w:rsidRDefault="00350155" w:rsidP="00350155">
      <w:pPr>
        <w:spacing w:after="0" w:line="240" w:lineRule="auto"/>
        <w:rPr>
          <w:rFonts w:ascii="Verdana" w:eastAsia="Calibri" w:hAnsi="Verdana" w:cs="Arial"/>
          <w:b/>
          <w:bCs/>
          <w:lang w:val="en-US" w:eastAsia="es-ES_tradnl"/>
        </w:rPr>
      </w:pPr>
      <w:r w:rsidRPr="006E3EBE">
        <w:rPr>
          <w:rFonts w:ascii="Verdana" w:eastAsia="Calibri" w:hAnsi="Verdana" w:cs="Arial"/>
          <w:b/>
          <w:bCs/>
          <w:lang w:val="en-US" w:eastAsia="es-ES_tradnl"/>
        </w:rPr>
        <w:t>William Eduardo Meneses</w:t>
      </w:r>
    </w:p>
    <w:p w14:paraId="05C8EAFD" w14:textId="77777777" w:rsidR="00350155" w:rsidRPr="006E3EBE" w:rsidRDefault="00350155" w:rsidP="00350155">
      <w:pPr>
        <w:spacing w:after="0" w:line="240" w:lineRule="auto"/>
        <w:rPr>
          <w:rFonts w:ascii="Verdana" w:eastAsia="Calibri" w:hAnsi="Verdana" w:cs="Arial"/>
          <w:lang w:val="en-US" w:eastAsia="es-ES_tradnl"/>
        </w:rPr>
      </w:pPr>
      <w:hyperlink r:id="rId8" w:history="1">
        <w:r w:rsidRPr="006E3EBE">
          <w:rPr>
            <w:rStyle w:val="Hipervnculo"/>
            <w:rFonts w:ascii="Verdana" w:eastAsia="Calibri" w:hAnsi="Verdana" w:cs="Arial"/>
            <w:lang w:val="en-US" w:eastAsia="es-ES_tradnl"/>
          </w:rPr>
          <w:t>wem2293@hotmail.com</w:t>
        </w:r>
      </w:hyperlink>
      <w:r w:rsidRPr="006E3EBE">
        <w:rPr>
          <w:rFonts w:ascii="Verdana" w:eastAsia="Calibri" w:hAnsi="Verdana" w:cs="Arial"/>
          <w:lang w:val="en-US" w:eastAsia="es-ES_tradnl"/>
        </w:rPr>
        <w:t xml:space="preserve">  </w:t>
      </w:r>
    </w:p>
    <w:p w14:paraId="07EB98F2" w14:textId="77777777" w:rsidR="00350155" w:rsidRPr="006E3EBE" w:rsidRDefault="00350155" w:rsidP="00350155">
      <w:pPr>
        <w:spacing w:after="0" w:line="240" w:lineRule="auto"/>
        <w:rPr>
          <w:rFonts w:ascii="Verdana" w:eastAsia="Calibri" w:hAnsi="Verdana" w:cs="Arial"/>
          <w:lang w:val="en-US" w:eastAsia="es-ES_tradnl"/>
        </w:rPr>
      </w:pPr>
      <w:r w:rsidRPr="006E3EBE">
        <w:rPr>
          <w:rFonts w:ascii="Verdana" w:eastAsia="Calibri" w:hAnsi="Verdana" w:cs="Arial"/>
          <w:lang w:val="en-US" w:eastAsia="es-ES_tradnl"/>
        </w:rPr>
        <w:t xml:space="preserve">Neiva, </w:t>
      </w:r>
      <w:r>
        <w:rPr>
          <w:rFonts w:ascii="Verdana" w:eastAsia="Calibri" w:hAnsi="Verdana" w:cs="Arial"/>
          <w:lang w:val="en-US" w:eastAsia="es-ES_tradnl"/>
        </w:rPr>
        <w:t>Huila</w:t>
      </w:r>
    </w:p>
    <w:p w14:paraId="745735C1" w14:textId="77777777" w:rsidR="00350155" w:rsidRPr="006E3EBE" w:rsidRDefault="00350155" w:rsidP="00350155">
      <w:pPr>
        <w:spacing w:after="0" w:line="240" w:lineRule="auto"/>
        <w:rPr>
          <w:rFonts w:ascii="Verdana" w:eastAsia="Calibri" w:hAnsi="Verdana" w:cs="Arial"/>
          <w:lang w:val="en-US" w:eastAsia="es-ES_tradnl"/>
        </w:rPr>
      </w:pPr>
    </w:p>
    <w:p w14:paraId="50B63602" w14:textId="77777777" w:rsidR="00350155" w:rsidRPr="00BE151B" w:rsidRDefault="00350155" w:rsidP="00350155">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w:t>
      </w:r>
      <w:r>
        <w:rPr>
          <w:rFonts w:ascii="Verdana" w:eastAsia="Calibri" w:hAnsi="Verdana" w:cs="Arial"/>
          <w:b/>
          <w:bCs/>
          <w:lang w:eastAsia="es-ES_tradnl"/>
        </w:rPr>
        <w:t>714</w:t>
      </w:r>
      <w:r w:rsidRPr="00BE151B">
        <w:rPr>
          <w:rFonts w:ascii="Verdana" w:eastAsia="Calibri" w:hAnsi="Verdana" w:cs="Arial"/>
          <w:b/>
          <w:bCs/>
          <w:lang w:eastAsia="es-ES_tradnl"/>
        </w:rPr>
        <w:t xml:space="preserve"> de 2024</w:t>
      </w:r>
    </w:p>
    <w:p w14:paraId="7942BF2B" w14:textId="77777777" w:rsidR="00350155" w:rsidRPr="00BE151B" w:rsidRDefault="00350155" w:rsidP="00350155">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350155" w:rsidRPr="00BE151B" w14:paraId="401E8B93" w14:textId="77777777" w:rsidTr="00F31FB3">
        <w:trPr>
          <w:jc w:val="right"/>
        </w:trPr>
        <w:tc>
          <w:tcPr>
            <w:tcW w:w="1838" w:type="dxa"/>
          </w:tcPr>
          <w:p w14:paraId="10ACC9AA" w14:textId="77777777" w:rsidR="00350155" w:rsidRPr="00BE151B" w:rsidRDefault="00350155" w:rsidP="00F31FB3">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4FC127BE" w14:textId="77777777" w:rsidR="00350155" w:rsidRPr="00C35BAB" w:rsidRDefault="00350155" w:rsidP="00F31FB3">
            <w:pPr>
              <w:spacing w:line="276" w:lineRule="auto"/>
              <w:jc w:val="both"/>
              <w:rPr>
                <w:rFonts w:ascii="Verdana" w:eastAsia="Times New Roman" w:hAnsi="Verdana" w:cs="Arial"/>
                <w:lang w:val="es-ES_tradnl" w:eastAsia="es-ES_tradnl"/>
              </w:rPr>
            </w:pPr>
            <w:r w:rsidRPr="00C44808">
              <w:rPr>
                <w:rFonts w:ascii="Verdana" w:eastAsia="Times New Roman" w:hAnsi="Verdana" w:cs="Arial"/>
                <w:lang w:eastAsia="es-ES_tradnl"/>
              </w:rPr>
              <w:t xml:space="preserve">DOCUMENTOS TIPO – Fundamento normativo – Ley 2022 de 2020 / </w:t>
            </w:r>
            <w:r w:rsidRPr="00F217FD">
              <w:rPr>
                <w:rFonts w:ascii="Verdana" w:eastAsia="Aptos" w:hAnsi="Verdana" w:cs="Arial"/>
                <w:bCs/>
                <w:color w:val="000000"/>
                <w:lang w:val="es-ES_tradnl"/>
              </w:rPr>
              <w:t>CAUSALES DE RECHAZO – Principio de legalidad – Configuración – Documentos Tipo</w:t>
            </w:r>
            <w:r>
              <w:rPr>
                <w:rFonts w:ascii="Verdana" w:eastAsia="Aptos" w:hAnsi="Verdana" w:cs="Arial"/>
                <w:bCs/>
                <w:color w:val="000000"/>
                <w:lang w:val="es-ES_tradnl"/>
              </w:rPr>
              <w:t xml:space="preserve"> / </w:t>
            </w:r>
            <w:r w:rsidRPr="00C44808">
              <w:rPr>
                <w:rFonts w:ascii="Verdana" w:eastAsia="Times New Roman" w:hAnsi="Verdana" w:cs="Arial"/>
                <w:lang w:eastAsia="es-ES_tradnl"/>
              </w:rPr>
              <w:t xml:space="preserve">INALTERABILIDAD – Documentos tipo – Regla vigente – Alcance / </w:t>
            </w:r>
            <w:r w:rsidRPr="00F217FD">
              <w:rPr>
                <w:rFonts w:ascii="Verdana" w:eastAsia="Aptos" w:hAnsi="Verdana" w:cs="Arial"/>
                <w:bCs/>
                <w:color w:val="000000"/>
                <w:lang w:val="es-ES_tradnl"/>
              </w:rPr>
              <w:t>PRINCIPIO DE SELECCIÓN OBJETIVA – Rechazo de las ofertas – Aspectos formales</w:t>
            </w:r>
            <w:r>
              <w:rPr>
                <w:rFonts w:ascii="Verdana" w:eastAsia="Times New Roman" w:hAnsi="Verdana" w:cs="Arial"/>
                <w:lang w:eastAsia="es-ES_tradnl"/>
              </w:rPr>
              <w:t xml:space="preserve"> / </w:t>
            </w:r>
            <w:r w:rsidRPr="00C44808">
              <w:rPr>
                <w:rFonts w:ascii="Verdana" w:eastAsia="Times New Roman" w:hAnsi="Verdana" w:cs="Arial"/>
                <w:lang w:eastAsia="es-ES_tradnl"/>
              </w:rPr>
              <w:t>SUBSANABILIDAD – Concepto de unificación – Aplicación – Improcedencia – Circunstancias posteriores al cierre</w:t>
            </w:r>
          </w:p>
        </w:tc>
      </w:tr>
      <w:tr w:rsidR="00350155" w:rsidRPr="00BE151B" w14:paraId="5DCEAE05" w14:textId="77777777" w:rsidTr="00F31FB3">
        <w:trPr>
          <w:jc w:val="right"/>
        </w:trPr>
        <w:tc>
          <w:tcPr>
            <w:tcW w:w="1838" w:type="dxa"/>
          </w:tcPr>
          <w:p w14:paraId="6EDD614A" w14:textId="77777777" w:rsidR="00350155" w:rsidRPr="00BE151B" w:rsidRDefault="00350155" w:rsidP="00F31FB3">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3DEA3A63" w14:textId="77777777" w:rsidR="00350155" w:rsidRPr="00BE151B" w:rsidRDefault="00350155" w:rsidP="00F31FB3">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656BBE">
              <w:rPr>
                <w:rFonts w:ascii="Verdana" w:eastAsia="Times New Roman" w:hAnsi="Verdana" w:cs="Arial"/>
                <w:lang w:eastAsia="es-ES_tradnl"/>
              </w:rPr>
              <w:t>P20241008010266</w:t>
            </w:r>
          </w:p>
        </w:tc>
      </w:tr>
    </w:tbl>
    <w:p w14:paraId="5CF6EFA6" w14:textId="77777777" w:rsidR="00350155" w:rsidRPr="00BE151B" w:rsidRDefault="00350155" w:rsidP="00350155">
      <w:pPr>
        <w:spacing w:after="0" w:line="240" w:lineRule="auto"/>
        <w:jc w:val="both"/>
        <w:rPr>
          <w:rFonts w:ascii="Verdana" w:eastAsia="Calibri" w:hAnsi="Verdana" w:cs="Arial"/>
          <w:lang w:eastAsia="es-ES_tradnl"/>
        </w:rPr>
      </w:pPr>
    </w:p>
    <w:p w14:paraId="08549A7C" w14:textId="77777777" w:rsidR="00350155" w:rsidRPr="00BE151B" w:rsidRDefault="00350155" w:rsidP="00350155">
      <w:pPr>
        <w:spacing w:after="0" w:line="240" w:lineRule="auto"/>
        <w:jc w:val="both"/>
        <w:rPr>
          <w:rFonts w:ascii="Verdana" w:eastAsia="Calibri" w:hAnsi="Verdana" w:cs="Arial"/>
          <w:lang w:eastAsia="es-ES_tradnl"/>
        </w:rPr>
      </w:pPr>
    </w:p>
    <w:p w14:paraId="30B73F18" w14:textId="77777777" w:rsidR="00350155" w:rsidRPr="00BE151B" w:rsidRDefault="00350155" w:rsidP="00350155">
      <w:pPr>
        <w:spacing w:after="0" w:line="276" w:lineRule="auto"/>
        <w:contextualSpacing/>
        <w:jc w:val="both"/>
        <w:rPr>
          <w:rFonts w:ascii="Verdana" w:eastAsia="Calibri" w:hAnsi="Verdana" w:cs="Arial"/>
          <w:bCs/>
          <w:lang w:eastAsia="es-ES_tradnl"/>
        </w:rPr>
      </w:pPr>
      <w:r w:rsidRPr="00BE151B">
        <w:rPr>
          <w:rFonts w:ascii="Verdana" w:eastAsia="Calibri" w:hAnsi="Verdana" w:cs="Arial"/>
          <w:lang w:eastAsia="es-ES_tradnl"/>
        </w:rPr>
        <w:t>Estimad</w:t>
      </w:r>
      <w:r>
        <w:rPr>
          <w:rFonts w:ascii="Verdana" w:eastAsia="Calibri" w:hAnsi="Verdana" w:cs="Arial"/>
          <w:lang w:eastAsia="es-ES_tradnl"/>
        </w:rPr>
        <w:t>o señor Meneses</w:t>
      </w:r>
      <w:r>
        <w:rPr>
          <w:rFonts w:ascii="Verdana" w:eastAsia="Calibri" w:hAnsi="Verdana" w:cs="Arial"/>
          <w:bCs/>
          <w:lang w:eastAsia="es-ES_tradnl"/>
        </w:rPr>
        <w:t>,</w:t>
      </w:r>
    </w:p>
    <w:p w14:paraId="00FC5078" w14:textId="77777777" w:rsidR="00350155" w:rsidRPr="00BE151B" w:rsidRDefault="00350155" w:rsidP="00350155">
      <w:pPr>
        <w:spacing w:after="0" w:line="276" w:lineRule="auto"/>
        <w:contextualSpacing/>
        <w:jc w:val="both"/>
        <w:rPr>
          <w:rFonts w:ascii="Verdana" w:eastAsia="Calibri" w:hAnsi="Verdana" w:cs="Arial"/>
          <w:lang w:eastAsia="es-ES_tradnl"/>
        </w:rPr>
      </w:pPr>
    </w:p>
    <w:p w14:paraId="6AA7A96A" w14:textId="77777777" w:rsidR="00350155" w:rsidRDefault="00350155" w:rsidP="00350155">
      <w:pPr>
        <w:spacing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8</w:t>
      </w:r>
      <w:r w:rsidRPr="00BE151B">
        <w:rPr>
          <w:rFonts w:ascii="Verdana" w:eastAsia="Calibri" w:hAnsi="Verdana" w:cs="Arial"/>
          <w:lang w:eastAsia="es-ES_tradnl"/>
        </w:rPr>
        <w:t xml:space="preserve"> de </w:t>
      </w:r>
      <w:r>
        <w:rPr>
          <w:rFonts w:ascii="Verdana" w:eastAsia="Calibri" w:hAnsi="Verdana" w:cs="Arial"/>
          <w:lang w:eastAsia="es-ES_tradnl"/>
        </w:rPr>
        <w:t>octubre</w:t>
      </w:r>
      <w:r w:rsidRPr="00BE151B">
        <w:rPr>
          <w:rFonts w:ascii="Verdana" w:eastAsia="Calibri" w:hAnsi="Verdana" w:cs="Arial"/>
          <w:lang w:eastAsia="es-ES_tradnl"/>
        </w:rPr>
        <w:t xml:space="preserve">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3D1B2C96" w14:textId="77777777" w:rsidR="00350155" w:rsidRPr="00BE151B" w:rsidRDefault="00350155" w:rsidP="00350155">
      <w:pPr>
        <w:spacing w:after="0" w:line="276" w:lineRule="auto"/>
        <w:jc w:val="both"/>
        <w:rPr>
          <w:rFonts w:ascii="Verdana" w:eastAsia="Calibri" w:hAnsi="Verdana" w:cs="Arial"/>
          <w:lang w:eastAsia="es-ES_tradnl"/>
        </w:rPr>
      </w:pPr>
    </w:p>
    <w:p w14:paraId="568A5D11" w14:textId="77777777" w:rsidR="00350155" w:rsidRPr="00674D4E" w:rsidRDefault="00350155" w:rsidP="00350155">
      <w:pPr>
        <w:spacing w:after="120" w:line="240" w:lineRule="auto"/>
        <w:ind w:left="709" w:right="709"/>
        <w:jc w:val="both"/>
        <w:rPr>
          <w:rFonts w:ascii="Verdana" w:eastAsia="Times New Roman" w:hAnsi="Verdana" w:cs="Arial"/>
          <w:i/>
          <w:sz w:val="21"/>
          <w:szCs w:val="21"/>
          <w:lang w:eastAsia="es-ES_tradnl"/>
        </w:rPr>
      </w:pPr>
      <w:r w:rsidRPr="00674D4E">
        <w:rPr>
          <w:rFonts w:ascii="Verdana" w:eastAsia="Times New Roman" w:hAnsi="Verdana" w:cs="Arial"/>
          <w:i/>
          <w:sz w:val="21"/>
          <w:szCs w:val="21"/>
          <w:lang w:eastAsia="es-ES_tradnl"/>
        </w:rPr>
        <w:t>“</w:t>
      </w:r>
      <w:r>
        <w:rPr>
          <w:rFonts w:ascii="Verdana" w:eastAsia="Times New Roman" w:hAnsi="Verdana" w:cs="Arial"/>
          <w:i/>
          <w:sz w:val="21"/>
          <w:szCs w:val="21"/>
          <w:lang w:eastAsia="es-ES_tradnl"/>
        </w:rPr>
        <w:t xml:space="preserve">[…] </w:t>
      </w:r>
      <w:r w:rsidRPr="00674D4E">
        <w:rPr>
          <w:rFonts w:ascii="Verdana" w:eastAsia="Times New Roman" w:hAnsi="Verdana" w:cs="Arial"/>
          <w:i/>
          <w:sz w:val="21"/>
          <w:szCs w:val="21"/>
          <w:lang w:eastAsia="es-ES_tradnl"/>
        </w:rPr>
        <w:t xml:space="preserve">la presente es para que me ilustre si en los documentos tipo de infraestructura de transporte, se puede rechazar una oferta por no haber subido la carta consorcial o UT en la oferta o en la creación de oferente plural que se realiza en la plataforma SECOP 2, como lo señala la GUÍA CREACIÓN DE PROPONENTES PLURALES EN EL SECOP II en su literal d, el cual reza:..."d. Documentos relacionados: En esta </w:t>
      </w:r>
      <w:r w:rsidRPr="00674D4E">
        <w:rPr>
          <w:rFonts w:ascii="Verdana" w:eastAsia="Times New Roman" w:hAnsi="Verdana" w:cs="Arial"/>
          <w:i/>
          <w:sz w:val="21"/>
          <w:szCs w:val="21"/>
          <w:lang w:eastAsia="es-ES_tradnl"/>
        </w:rPr>
        <w:lastRenderedPageBreak/>
        <w:t>sección usted debe anexar el acto o promesa de constitución del Proponente Plural, debidamente firmado por cada uno de los integrantes. Este documento es el que le da validez al Proponente Plural creado en SECOP II”</w:t>
      </w:r>
      <w:r w:rsidRPr="00674D4E">
        <w:rPr>
          <w:rFonts w:ascii="Verdana" w:eastAsia="Times New Roman" w:hAnsi="Verdana" w:cs="Arial"/>
          <w:sz w:val="21"/>
          <w:szCs w:val="21"/>
          <w:lang w:eastAsia="es-ES_tradnl"/>
        </w:rPr>
        <w:t xml:space="preserve"> [SIC]</w:t>
      </w:r>
      <w:r w:rsidRPr="00674D4E">
        <w:rPr>
          <w:rFonts w:ascii="Verdana" w:eastAsia="Times New Roman" w:hAnsi="Verdana" w:cs="Arial"/>
          <w:i/>
          <w:sz w:val="21"/>
          <w:szCs w:val="21"/>
          <w:lang w:eastAsia="es-ES_tradnl"/>
        </w:rPr>
        <w:t>.</w:t>
      </w:r>
    </w:p>
    <w:p w14:paraId="15214891" w14:textId="77777777" w:rsidR="00350155" w:rsidRPr="00BE151B" w:rsidRDefault="00350155" w:rsidP="00350155">
      <w:pPr>
        <w:spacing w:after="120" w:line="240" w:lineRule="auto"/>
        <w:ind w:left="709" w:right="709"/>
        <w:jc w:val="both"/>
        <w:rPr>
          <w:rFonts w:ascii="Verdana" w:eastAsia="Times New Roman" w:hAnsi="Verdana" w:cs="Arial"/>
          <w:i/>
          <w:lang w:eastAsia="es-ES_tradnl"/>
        </w:rPr>
      </w:pPr>
    </w:p>
    <w:p w14:paraId="38E9B207" w14:textId="77777777" w:rsidR="00350155" w:rsidRPr="00BE151B" w:rsidRDefault="00350155" w:rsidP="00350155">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785F77BA" w14:textId="77777777" w:rsidR="00350155" w:rsidRPr="00BE151B" w:rsidRDefault="00350155" w:rsidP="00350155">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haciendo unas consideraciones sobre las normas generales relacionadas con los problemas jurídicos de su consulta. </w:t>
      </w:r>
    </w:p>
    <w:p w14:paraId="01811BD3" w14:textId="77777777" w:rsidR="00350155" w:rsidRPr="00BE151B" w:rsidRDefault="00350155" w:rsidP="00350155">
      <w:pPr>
        <w:spacing w:after="0" w:line="276" w:lineRule="auto"/>
        <w:contextualSpacing/>
        <w:jc w:val="both"/>
        <w:rPr>
          <w:rFonts w:ascii="Verdana" w:eastAsia="Times New Roman" w:hAnsi="Verdana" w:cs="Arial"/>
          <w:szCs w:val="24"/>
          <w:lang w:eastAsia="es-ES_tradnl"/>
        </w:rPr>
      </w:pPr>
    </w:p>
    <w:p w14:paraId="51152DDD" w14:textId="77777777" w:rsidR="00350155" w:rsidRPr="00BE151B" w:rsidRDefault="00350155" w:rsidP="00350155">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348D6AAD" w14:textId="77777777" w:rsidR="00350155" w:rsidRPr="00BE151B" w:rsidRDefault="00350155" w:rsidP="00350155">
      <w:pPr>
        <w:tabs>
          <w:tab w:val="left" w:pos="0"/>
          <w:tab w:val="left" w:pos="284"/>
        </w:tabs>
        <w:spacing w:after="0" w:line="276" w:lineRule="auto"/>
        <w:contextualSpacing/>
        <w:jc w:val="both"/>
        <w:rPr>
          <w:rFonts w:ascii="Verdana" w:eastAsia="Calibri" w:hAnsi="Verdana" w:cs="Arial"/>
          <w:b/>
        </w:rPr>
      </w:pPr>
    </w:p>
    <w:p w14:paraId="304249A9" w14:textId="77777777" w:rsidR="00350155" w:rsidRDefault="00350155" w:rsidP="00350155">
      <w:pPr>
        <w:spacing w:after="0"/>
        <w:jc w:val="both"/>
        <w:rPr>
          <w:rFonts w:ascii="Verdana" w:hAnsi="Verdana"/>
        </w:rPr>
      </w:pPr>
      <w:r>
        <w:rPr>
          <w:rFonts w:ascii="Verdana" w:hAnsi="Verdana"/>
        </w:rPr>
        <w:t>En consideración a que su interrogante no hace referencia a un documento tipo en particular, y solo se refiere al sector al cual pertenece el mismo, haremos el análisis con base en el Documento Tipo para Licitación de Infraestructura de Transporte – Versión 4, vigente en la actualidad. Dicho esto, de acuerdo con el texto de su solicitud, se formula el siguiente problema jurídico:</w:t>
      </w:r>
    </w:p>
    <w:p w14:paraId="7A10B7ED" w14:textId="77777777" w:rsidR="00350155" w:rsidRDefault="00350155" w:rsidP="00350155">
      <w:pPr>
        <w:spacing w:after="0"/>
        <w:jc w:val="both"/>
        <w:rPr>
          <w:rFonts w:ascii="Verdana" w:hAnsi="Verdana"/>
        </w:rPr>
      </w:pPr>
    </w:p>
    <w:p w14:paraId="6E6CEFA3" w14:textId="77777777" w:rsidR="00350155" w:rsidRDefault="00350155" w:rsidP="00350155">
      <w:pPr>
        <w:spacing w:after="0"/>
        <w:jc w:val="both"/>
        <w:rPr>
          <w:rFonts w:ascii="Verdana" w:hAnsi="Verdana"/>
        </w:rPr>
      </w:pPr>
      <w:r>
        <w:rPr>
          <w:rFonts w:ascii="Verdana" w:hAnsi="Verdana"/>
        </w:rPr>
        <w:t xml:space="preserve">En el marco de un proceso de selección de contratistas adelantado con los Documento Tipo para Licitación de Infraestructura de Transporte – Versión 4, ¿constituye una causal de rechazo, el hecho de que un consorcio o unión temporal creado en el SECOP II omita anexar el registro </w:t>
      </w:r>
      <w:r w:rsidRPr="006F1565">
        <w:rPr>
          <w:rFonts w:ascii="Verdana" w:hAnsi="Verdana"/>
        </w:rPr>
        <w:t>el acto o promesa de constitución del proponente plural</w:t>
      </w:r>
      <w:r>
        <w:rPr>
          <w:rFonts w:ascii="Verdana" w:hAnsi="Verdana"/>
        </w:rPr>
        <w:t xml:space="preserve"> que le otorga validez en dicha plataforma?</w:t>
      </w:r>
    </w:p>
    <w:p w14:paraId="643239D2" w14:textId="77777777" w:rsidR="00350155" w:rsidRDefault="00350155" w:rsidP="00350155">
      <w:pPr>
        <w:spacing w:after="0"/>
        <w:jc w:val="both"/>
        <w:rPr>
          <w:rFonts w:ascii="Verdana" w:hAnsi="Verdana"/>
        </w:rPr>
      </w:pPr>
    </w:p>
    <w:p w14:paraId="75E125FF" w14:textId="77777777" w:rsidR="00350155" w:rsidRPr="00694106" w:rsidRDefault="00350155" w:rsidP="00350155">
      <w:pPr>
        <w:tabs>
          <w:tab w:val="left" w:pos="0"/>
          <w:tab w:val="left" w:pos="284"/>
        </w:tabs>
        <w:spacing w:after="0" w:line="276" w:lineRule="auto"/>
        <w:contextualSpacing/>
        <w:jc w:val="both"/>
        <w:rPr>
          <w:rFonts w:ascii="Verdana" w:eastAsia="Calibri" w:hAnsi="Verdana" w:cs="Arial"/>
          <w:b/>
        </w:rPr>
      </w:pPr>
      <w:r w:rsidRPr="00694106">
        <w:rPr>
          <w:rFonts w:ascii="Verdana" w:eastAsia="Calibri" w:hAnsi="Verdana" w:cs="Arial"/>
          <w:b/>
        </w:rPr>
        <w:t>2. Respuesta:</w:t>
      </w:r>
    </w:p>
    <w:p w14:paraId="597B9960" w14:textId="77777777" w:rsidR="00350155" w:rsidRPr="00BE151B" w:rsidRDefault="00350155" w:rsidP="00350155">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350155" w:rsidRPr="00BE151B" w14:paraId="3CA6FBB9" w14:textId="77777777" w:rsidTr="00F31FB3">
        <w:tc>
          <w:tcPr>
            <w:tcW w:w="8828" w:type="dxa"/>
            <w:shd w:val="clear" w:color="auto" w:fill="auto"/>
          </w:tcPr>
          <w:p w14:paraId="75B7EDE2" w14:textId="77777777" w:rsidR="00350155" w:rsidRDefault="00350155" w:rsidP="00F31FB3">
            <w:pPr>
              <w:spacing w:line="276" w:lineRule="auto"/>
              <w:jc w:val="both"/>
              <w:rPr>
                <w:rFonts w:ascii="Verdana" w:hAnsi="Verdana"/>
              </w:rPr>
            </w:pPr>
            <w:r w:rsidRPr="00F217FD">
              <w:rPr>
                <w:rFonts w:ascii="Verdana" w:eastAsia="Calibri" w:hAnsi="Verdana" w:cs="Arial"/>
                <w:lang w:val="es-ES_tradnl"/>
              </w:rPr>
              <w:lastRenderedPageBreak/>
              <w:t xml:space="preserve">Las causales de rechazo son las establecidas en la Ley y las fijadas por la Entidad Estatal en los pliegos de condiciones. Sin embargo, en ejercicio de dicha facultad, a las entidades no les es dable fijar causales de rechazo que soslayen o afecten la selección objetiva en la contratación. </w:t>
            </w:r>
            <w:r>
              <w:rPr>
                <w:rFonts w:ascii="Verdana" w:eastAsia="Calibri" w:hAnsi="Verdana" w:cs="Arial"/>
                <w:lang w:val="es-ES_tradnl"/>
              </w:rPr>
              <w:t>Lo mismo</w:t>
            </w:r>
            <w:r w:rsidRPr="00F217FD">
              <w:rPr>
                <w:rFonts w:ascii="Verdana" w:eastAsia="Calibri" w:hAnsi="Verdana" w:cs="Arial"/>
                <w:lang w:val="es-ES_tradnl"/>
              </w:rPr>
              <w:t xml:space="preserve"> ocurre con las causales de rechazo establecidas en los documentos tipo, </w:t>
            </w:r>
            <w:r w:rsidRPr="00F217FD">
              <w:rPr>
                <w:rFonts w:ascii="Verdana" w:eastAsia="Calibri" w:hAnsi="Verdana" w:cs="Arial"/>
                <w:lang w:val="es-MX" w:eastAsia="es-MX"/>
              </w:rPr>
              <w:t>las cuales son taxativas, descartándose que la entidad introduzca nuevas, salvo las contempladas directamente en la ley</w:t>
            </w:r>
            <w:r>
              <w:rPr>
                <w:rFonts w:ascii="Verdana" w:eastAsia="Calibri" w:hAnsi="Verdana" w:cs="Arial"/>
                <w:lang w:val="es-MX" w:eastAsia="es-MX"/>
              </w:rPr>
              <w:t xml:space="preserve"> y en el numeral 1.15 Causales de Rechazo” del “Documento Base”. </w:t>
            </w:r>
            <w:r>
              <w:rPr>
                <w:rFonts w:ascii="Verdana" w:eastAsia="Calibri" w:hAnsi="Verdana" w:cs="Arial"/>
                <w:lang w:val="es-ES"/>
              </w:rPr>
              <w:t xml:space="preserve">En ese sentido, al revisar las causales de rechazo del Documento Tipo </w:t>
            </w:r>
            <w:r>
              <w:rPr>
                <w:rFonts w:ascii="Verdana" w:hAnsi="Verdana"/>
              </w:rPr>
              <w:t xml:space="preserve">para Licitación de Infraestructura de Transporte – Versión 4, no se identifica ninguna que se ajuste al hecho hipotético planteado en su solicitud.  </w:t>
            </w:r>
          </w:p>
          <w:p w14:paraId="2C2DFA87" w14:textId="77777777" w:rsidR="00350155" w:rsidRDefault="00350155" w:rsidP="00F31FB3">
            <w:pPr>
              <w:spacing w:line="276" w:lineRule="auto"/>
              <w:jc w:val="both"/>
              <w:rPr>
                <w:rFonts w:ascii="Verdana" w:eastAsia="Calibri" w:hAnsi="Verdana" w:cs="Arial"/>
                <w:lang w:val="es-MX" w:eastAsia="es-MX"/>
              </w:rPr>
            </w:pPr>
          </w:p>
          <w:p w14:paraId="7AF0D798" w14:textId="77777777" w:rsidR="00350155" w:rsidRDefault="00350155" w:rsidP="00F31FB3">
            <w:pPr>
              <w:spacing w:line="276" w:lineRule="auto"/>
              <w:jc w:val="both"/>
              <w:rPr>
                <w:rFonts w:ascii="Verdana" w:eastAsia="Calibri" w:hAnsi="Verdana" w:cs="Arial"/>
                <w:lang w:val="es-MX" w:eastAsia="es-MX"/>
              </w:rPr>
            </w:pPr>
            <w:r>
              <w:rPr>
                <w:rFonts w:ascii="Verdana" w:eastAsia="Calibri" w:hAnsi="Verdana" w:cs="Arial"/>
                <w:lang w:val="es-MX" w:eastAsia="es-MX"/>
              </w:rPr>
              <w:t xml:space="preserve">De otro lado, </w:t>
            </w:r>
            <w:r w:rsidRPr="00B5374E">
              <w:rPr>
                <w:rFonts w:ascii="Verdana" w:eastAsia="Calibri" w:hAnsi="Verdana" w:cs="Arial"/>
                <w:lang w:val="es-MX" w:eastAsia="es-MX"/>
              </w:rPr>
              <w:t>la regla prevista actualmente en el parágrafo 1 del artículo 5 de la Ley 1150 de 2007, modificado por el artículo 5 de la Ley 1882 de 2018, establece que las entidades estatales, al verificar la acreditación de los requisitos que no otorgan puntaje, como los habilitantes, permitan, por regla general, que los oferentes aporten o corrijan aquella información relacionada con tales requisitos de participación, de manera que no se rechacen de plano de las ofertas</w:t>
            </w:r>
            <w:r>
              <w:rPr>
                <w:rFonts w:ascii="Verdana" w:eastAsia="Calibri" w:hAnsi="Verdana" w:cs="Arial"/>
                <w:lang w:val="es-MX" w:eastAsia="es-MX"/>
              </w:rPr>
              <w:t>, siempre que se respeten los límites d</w:t>
            </w:r>
            <w:r w:rsidRPr="00D074C5">
              <w:rPr>
                <w:rFonts w:ascii="Verdana" w:eastAsia="Calibri" w:hAnsi="Verdana" w:cs="Arial"/>
                <w:lang w:val="es-MX" w:eastAsia="es-MX"/>
              </w:rPr>
              <w:t xml:space="preserve">el segundo inciso del mismo parágrafo, que establece que </w:t>
            </w:r>
            <w:r>
              <w:rPr>
                <w:rFonts w:ascii="Verdana" w:eastAsia="Calibri" w:hAnsi="Verdana" w:cs="Arial"/>
                <w:lang w:val="es-MX" w:eastAsia="es-MX"/>
              </w:rPr>
              <w:t>“</w:t>
            </w:r>
            <w:r w:rsidRPr="00D074C5">
              <w:rPr>
                <w:rFonts w:ascii="Verdana" w:eastAsia="Calibri" w:hAnsi="Verdana" w:cs="Arial"/>
                <w:lang w:val="es-MX" w:eastAsia="es-MX"/>
              </w:rPr>
              <w:t>Durante el término otorgado para subsanar las ofertas, los proponentes no podrán acreditar circunstancias ocurridas con posterioridad al cierre del proceso</w:t>
            </w:r>
            <w:r>
              <w:rPr>
                <w:rFonts w:ascii="Verdana" w:eastAsia="Calibri" w:hAnsi="Verdana" w:cs="Arial"/>
                <w:lang w:val="es-MX" w:eastAsia="es-MX"/>
              </w:rPr>
              <w:t>”</w:t>
            </w:r>
            <w:r w:rsidRPr="00D074C5">
              <w:rPr>
                <w:rFonts w:ascii="Verdana" w:eastAsia="Calibri" w:hAnsi="Verdana" w:cs="Arial"/>
                <w:lang w:val="es-MX" w:eastAsia="es-MX"/>
              </w:rPr>
              <w:t xml:space="preserve"> o el consagrado en el parágrafo 3, adicionado por el artículo 5 de la Ley 1882 de 2018, según el cual </w:t>
            </w:r>
            <w:r>
              <w:rPr>
                <w:rFonts w:ascii="Verdana" w:eastAsia="Calibri" w:hAnsi="Verdana" w:cs="Arial"/>
                <w:lang w:val="es-MX" w:eastAsia="es-MX"/>
              </w:rPr>
              <w:t>“</w:t>
            </w:r>
            <w:r w:rsidRPr="00D074C5">
              <w:rPr>
                <w:rFonts w:ascii="Verdana" w:eastAsia="Calibri" w:hAnsi="Verdana" w:cs="Arial"/>
                <w:lang w:val="es-MX" w:eastAsia="es-MX"/>
              </w:rPr>
              <w:t>La no entrega de la garantía de seriedad junto con la propuesta no será subsanable y será causal de rechazo de la misma</w:t>
            </w:r>
            <w:r>
              <w:rPr>
                <w:rFonts w:ascii="Verdana" w:eastAsia="Calibri" w:hAnsi="Verdana" w:cs="Arial"/>
                <w:lang w:val="es-MX" w:eastAsia="es-MX"/>
              </w:rPr>
              <w:t>”.</w:t>
            </w:r>
          </w:p>
          <w:p w14:paraId="048BD829" w14:textId="77777777" w:rsidR="00350155" w:rsidRDefault="00350155" w:rsidP="00F31FB3">
            <w:pPr>
              <w:spacing w:line="276" w:lineRule="auto"/>
              <w:jc w:val="both"/>
              <w:rPr>
                <w:rFonts w:ascii="Verdana" w:eastAsia="Calibri" w:hAnsi="Verdana" w:cs="Arial"/>
                <w:lang w:val="es-ES_tradnl"/>
              </w:rPr>
            </w:pPr>
          </w:p>
          <w:p w14:paraId="03F04CC7" w14:textId="77777777" w:rsidR="00350155" w:rsidRDefault="00350155" w:rsidP="00F31FB3">
            <w:pPr>
              <w:spacing w:line="276" w:lineRule="auto"/>
              <w:jc w:val="both"/>
              <w:rPr>
                <w:rFonts w:ascii="Verdana" w:eastAsia="Calibri" w:hAnsi="Verdana" w:cs="Arial"/>
                <w:lang w:val="es-ES"/>
              </w:rPr>
            </w:pPr>
            <w:r w:rsidRPr="00D905ED">
              <w:rPr>
                <w:rFonts w:ascii="Verdana" w:eastAsia="Calibri" w:hAnsi="Verdana" w:cs="Arial"/>
                <w:lang w:val="es-ES"/>
              </w:rPr>
              <w:t xml:space="preserve">Para estos efectos es necesario distinguir entre la prueba de un hecho y el hecho mismo. En el caso de la subsanabilidad de las ofertas, una cosa es el requisito habilitante o el elemento de la propuesta y otra su prueba. De esta manera, por tratarse de un requisito que no afecta la asignación de puntaje, los proponentes pueden subsanar la ausencia </w:t>
            </w:r>
            <w:r>
              <w:rPr>
                <w:rFonts w:ascii="Verdana" w:eastAsia="Calibri" w:hAnsi="Verdana" w:cs="Arial"/>
                <w:lang w:val="es-ES"/>
              </w:rPr>
              <w:t>d</w:t>
            </w:r>
            <w:r w:rsidRPr="006F1565">
              <w:rPr>
                <w:rFonts w:ascii="Verdana" w:hAnsi="Verdana"/>
              </w:rPr>
              <w:t>el acto o promesa de constitución del proponente plural</w:t>
            </w:r>
            <w:r w:rsidRPr="00D905ED">
              <w:rPr>
                <w:rFonts w:ascii="Verdana" w:eastAsia="Calibri" w:hAnsi="Verdana" w:cs="Arial"/>
                <w:lang w:val="es-ES"/>
              </w:rPr>
              <w:t>, siempre que mediante este documento no se acrediten situaciones ocurridas con posterioridad al cierre del proceso</w:t>
            </w:r>
            <w:r>
              <w:rPr>
                <w:rFonts w:ascii="Verdana" w:eastAsia="Calibri" w:hAnsi="Verdana" w:cs="Arial"/>
                <w:lang w:val="es-ES"/>
              </w:rPr>
              <w:t xml:space="preserve"> </w:t>
            </w:r>
            <w:r>
              <w:rPr>
                <w:rFonts w:ascii="Verdana" w:hAnsi="Verdana" w:cs="Arial"/>
                <w:color w:val="000000"/>
              </w:rPr>
              <w:t>y</w:t>
            </w:r>
            <w:r w:rsidRPr="00671132">
              <w:rPr>
                <w:rFonts w:ascii="Verdana" w:hAnsi="Verdana" w:cs="Arial"/>
                <w:color w:val="000000"/>
              </w:rPr>
              <w:t xml:space="preserve"> el documento aportado permita constatar que el consorcio se conformó antes del vencimiento del término para la presentación de las propuestas</w:t>
            </w:r>
            <w:r>
              <w:rPr>
                <w:rFonts w:ascii="Verdana" w:hAnsi="Verdana" w:cs="Arial"/>
                <w:color w:val="000000"/>
              </w:rPr>
              <w:t>,</w:t>
            </w:r>
            <w:r>
              <w:rPr>
                <w:rFonts w:ascii="Verdana" w:eastAsia="Calibri" w:hAnsi="Verdana" w:cs="Arial"/>
                <w:lang w:val="es-ES"/>
              </w:rPr>
              <w:t xml:space="preserve"> circunstancia que debe ser verificada por la entidad estatal contratante.</w:t>
            </w:r>
          </w:p>
          <w:p w14:paraId="34BE2464" w14:textId="77777777" w:rsidR="00350155" w:rsidRDefault="00350155" w:rsidP="00F31FB3">
            <w:pPr>
              <w:spacing w:line="276" w:lineRule="auto"/>
              <w:jc w:val="both"/>
              <w:rPr>
                <w:rFonts w:ascii="Verdana" w:eastAsia="Calibri" w:hAnsi="Verdana" w:cs="Arial"/>
                <w:lang w:val="es-ES"/>
              </w:rPr>
            </w:pPr>
          </w:p>
          <w:p w14:paraId="7D86EFB5" w14:textId="77777777" w:rsidR="00350155" w:rsidRPr="001B2FD0" w:rsidRDefault="00350155" w:rsidP="00F31FB3">
            <w:pPr>
              <w:spacing w:line="276" w:lineRule="auto"/>
              <w:jc w:val="both"/>
              <w:rPr>
                <w:rFonts w:ascii="Verdana" w:eastAsia="Arial MT" w:hAnsi="Verdana" w:cs="Arial"/>
                <w:lang w:eastAsia="es-ES" w:bidi="es-ES"/>
              </w:rPr>
            </w:pPr>
            <w:r>
              <w:rPr>
                <w:rFonts w:ascii="Verdana" w:eastAsia="Arial MT" w:hAnsi="Verdana" w:cs="Arial"/>
                <w:lang w:eastAsia="es-ES" w:bidi="es-ES"/>
              </w:rPr>
              <w:lastRenderedPageBreak/>
              <w:t>Por último, la “</w:t>
            </w:r>
            <w:r w:rsidRPr="00754215">
              <w:rPr>
                <w:rFonts w:ascii="Verdana" w:eastAsia="Arial MT" w:hAnsi="Verdana" w:cs="Arial"/>
                <w:lang w:eastAsia="es-ES" w:bidi="es-ES"/>
              </w:rPr>
              <w:t xml:space="preserve">Guía </w:t>
            </w:r>
            <w:r>
              <w:rPr>
                <w:rFonts w:ascii="Verdana" w:eastAsia="Arial MT" w:hAnsi="Verdana" w:cs="Arial"/>
                <w:lang w:eastAsia="es-ES" w:bidi="es-ES"/>
              </w:rPr>
              <w:t>d</w:t>
            </w:r>
            <w:r w:rsidRPr="00754215">
              <w:rPr>
                <w:rFonts w:ascii="Verdana" w:eastAsia="Arial MT" w:hAnsi="Verdana" w:cs="Arial"/>
                <w:lang w:eastAsia="es-ES" w:bidi="es-ES"/>
              </w:rPr>
              <w:t xml:space="preserve">e Creación </w:t>
            </w:r>
            <w:r>
              <w:rPr>
                <w:rFonts w:ascii="Verdana" w:eastAsia="Arial MT" w:hAnsi="Verdana" w:cs="Arial"/>
                <w:lang w:eastAsia="es-ES" w:bidi="es-ES"/>
              </w:rPr>
              <w:t>d</w:t>
            </w:r>
            <w:r w:rsidRPr="00754215">
              <w:rPr>
                <w:rFonts w:ascii="Verdana" w:eastAsia="Arial MT" w:hAnsi="Verdana" w:cs="Arial"/>
                <w:lang w:eastAsia="es-ES" w:bidi="es-ES"/>
              </w:rPr>
              <w:t xml:space="preserve">e Proponentes Plurales </w:t>
            </w:r>
            <w:r>
              <w:rPr>
                <w:rFonts w:ascii="Verdana" w:eastAsia="Arial MT" w:hAnsi="Verdana" w:cs="Arial"/>
                <w:lang w:eastAsia="es-ES" w:bidi="es-ES"/>
              </w:rPr>
              <w:t>e</w:t>
            </w:r>
            <w:r w:rsidRPr="00754215">
              <w:rPr>
                <w:rFonts w:ascii="Verdana" w:eastAsia="Arial MT" w:hAnsi="Verdana" w:cs="Arial"/>
                <w:lang w:eastAsia="es-ES" w:bidi="es-ES"/>
              </w:rPr>
              <w:t xml:space="preserve">n </w:t>
            </w:r>
            <w:r>
              <w:rPr>
                <w:rFonts w:ascii="Verdana" w:eastAsia="Arial MT" w:hAnsi="Verdana" w:cs="Arial"/>
                <w:lang w:eastAsia="es-ES" w:bidi="es-ES"/>
              </w:rPr>
              <w:t>e</w:t>
            </w:r>
            <w:r w:rsidRPr="00754215">
              <w:rPr>
                <w:rFonts w:ascii="Verdana" w:eastAsia="Arial MT" w:hAnsi="Verdana" w:cs="Arial"/>
                <w:lang w:eastAsia="es-ES" w:bidi="es-ES"/>
              </w:rPr>
              <w:t>l SECOP II</w:t>
            </w:r>
            <w:r>
              <w:rPr>
                <w:rFonts w:ascii="Verdana" w:eastAsia="Arial MT" w:hAnsi="Verdana" w:cs="Arial"/>
                <w:lang w:eastAsia="es-ES" w:bidi="es-ES"/>
              </w:rPr>
              <w:t xml:space="preserve">” condensa las </w:t>
            </w:r>
            <w:r w:rsidRPr="00B90992">
              <w:rPr>
                <w:rFonts w:ascii="Verdana" w:eastAsia="Arial MT" w:hAnsi="Verdana" w:cs="Arial"/>
                <w:lang w:eastAsia="es-ES" w:bidi="es-ES"/>
              </w:rPr>
              <w:t>prácticas oficiales del uso</w:t>
            </w:r>
            <w:r>
              <w:rPr>
                <w:rFonts w:ascii="Verdana" w:eastAsia="Arial MT" w:hAnsi="Verdana" w:cs="Arial"/>
                <w:lang w:eastAsia="es-ES" w:bidi="es-ES"/>
              </w:rPr>
              <w:t xml:space="preserve"> </w:t>
            </w:r>
            <w:r w:rsidRPr="00B90992">
              <w:rPr>
                <w:rFonts w:ascii="Verdana" w:eastAsia="Arial MT" w:hAnsi="Verdana" w:cs="Arial"/>
                <w:lang w:eastAsia="es-ES" w:bidi="es-ES"/>
              </w:rPr>
              <w:t>técnico y funcional del Sistema Electrónico para la Contratación Pública-SECOP II</w:t>
            </w:r>
            <w:r>
              <w:rPr>
                <w:rFonts w:ascii="Verdana" w:eastAsia="Arial MT" w:hAnsi="Verdana" w:cs="Arial"/>
                <w:lang w:eastAsia="es-ES" w:bidi="es-ES"/>
              </w:rPr>
              <w:t xml:space="preserve">. En ese orden, el literal d) </w:t>
            </w:r>
            <w:r w:rsidRPr="005A3FFF">
              <w:rPr>
                <w:rFonts w:ascii="Verdana" w:eastAsia="Arial MT" w:hAnsi="Verdana" w:cs="Arial"/>
                <w:i/>
                <w:iCs/>
                <w:lang w:eastAsia="es-ES" w:bidi="es-ES"/>
              </w:rPr>
              <w:t>Documentos Relacionados</w:t>
            </w:r>
            <w:r>
              <w:rPr>
                <w:rFonts w:ascii="Verdana" w:eastAsia="Arial MT" w:hAnsi="Verdana" w:cs="Arial"/>
                <w:lang w:eastAsia="es-ES" w:bidi="es-ES"/>
              </w:rPr>
              <w:t xml:space="preserve"> informa sobre el uso debido de la plataforma que brinda explicación técnica sobre el registro y cargue de la información requerida. Sin embargo, no podrían predicarse de estas recomendaciones de carácter técnico una acepción a causal de rechazo, en virtud de que, como se viene sosteniendo, aquellas </w:t>
            </w:r>
            <w:r w:rsidRPr="00F217FD">
              <w:rPr>
                <w:rFonts w:ascii="Verdana" w:eastAsia="Calibri" w:hAnsi="Verdana" w:cs="Arial"/>
                <w:lang w:val="es-ES_tradnl"/>
              </w:rPr>
              <w:t xml:space="preserve">son las establecidas en la Ley y las fijadas </w:t>
            </w:r>
            <w:r>
              <w:rPr>
                <w:rFonts w:ascii="Verdana" w:eastAsia="Calibri" w:hAnsi="Verdana" w:cs="Arial"/>
                <w:lang w:val="es-ES_tradnl"/>
              </w:rPr>
              <w:t>el en Documento Base del documento tipo respectivo.</w:t>
            </w:r>
          </w:p>
        </w:tc>
      </w:tr>
    </w:tbl>
    <w:p w14:paraId="6D13C38B" w14:textId="77777777" w:rsidR="00350155" w:rsidRPr="00BE151B" w:rsidRDefault="00350155" w:rsidP="00350155">
      <w:pPr>
        <w:spacing w:after="0" w:line="276" w:lineRule="auto"/>
        <w:contextualSpacing/>
        <w:jc w:val="both"/>
        <w:rPr>
          <w:rFonts w:ascii="Verdana" w:eastAsia="Times New Roman" w:hAnsi="Verdana" w:cs="Arial"/>
          <w:lang w:eastAsia="es-ES_tradnl"/>
        </w:rPr>
      </w:pPr>
    </w:p>
    <w:p w14:paraId="2A419572" w14:textId="77777777" w:rsidR="00350155" w:rsidRPr="00BE151B" w:rsidRDefault="00350155" w:rsidP="00350155">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310F0A43" w14:textId="77777777" w:rsidR="00350155" w:rsidRPr="00BE151B" w:rsidRDefault="00350155" w:rsidP="00350155">
      <w:pPr>
        <w:spacing w:after="0" w:line="276" w:lineRule="auto"/>
        <w:jc w:val="both"/>
        <w:rPr>
          <w:rFonts w:ascii="Verdana" w:eastAsia="Calibri" w:hAnsi="Verdana" w:cs="Arial"/>
          <w:color w:val="7030A0"/>
        </w:rPr>
      </w:pPr>
    </w:p>
    <w:p w14:paraId="290969A2" w14:textId="77777777" w:rsidR="00350155" w:rsidRPr="00BE151B" w:rsidRDefault="00350155" w:rsidP="00350155">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692635A7" w14:textId="77777777" w:rsidR="00350155" w:rsidRPr="00BE151B" w:rsidRDefault="00350155" w:rsidP="00350155">
      <w:pPr>
        <w:spacing w:after="0" w:line="276" w:lineRule="auto"/>
        <w:jc w:val="both"/>
        <w:rPr>
          <w:rFonts w:ascii="Verdana" w:eastAsia="Calibri" w:hAnsi="Verdana" w:cs="Arial"/>
        </w:rPr>
      </w:pPr>
    </w:p>
    <w:p w14:paraId="79E544A5" w14:textId="77777777" w:rsidR="00350155" w:rsidRPr="00A97CA6" w:rsidRDefault="00350155" w:rsidP="00350155">
      <w:pPr>
        <w:snapToGrid w:val="0"/>
        <w:spacing w:line="276" w:lineRule="auto"/>
        <w:jc w:val="both"/>
        <w:rPr>
          <w:rFonts w:ascii="Verdana" w:eastAsia="Calibri" w:hAnsi="Verdana" w:cs="Arial"/>
          <w:kern w:val="2"/>
          <w:lang w:val="es-ES"/>
          <w14:ligatures w14:val="standardContextual"/>
        </w:rPr>
      </w:pPr>
      <w:r w:rsidRPr="00A97CA6">
        <w:rPr>
          <w:rFonts w:ascii="Verdana" w:eastAsia="Calibri" w:hAnsi="Verdana" w:cs="Arial"/>
          <w:kern w:val="2"/>
          <w:lang w:val="es-ES"/>
          <w14:ligatures w14:val="standardContextual"/>
        </w:rPr>
        <w:t xml:space="preserve">Los Documentos Tipo expedidos por esta Agencia en ejercicio de la potestad otorgada por la Ley 2022 de 2020 son de obligatoria observancia por parte de las Entidades Estatales sometidas al Estatuto General de Contratación de la Administración Pública –EGCAP–. Debido a esto, tales entidades deben aplicar de manera forzosa los Documentos Tipo para desarrollar los Procesos de Contratación en los objetos y modalidades cobijadas por los Documentos Tipo. </w:t>
      </w:r>
    </w:p>
    <w:p w14:paraId="6B876D3E" w14:textId="77777777" w:rsidR="00350155" w:rsidRDefault="00350155" w:rsidP="00350155">
      <w:pPr>
        <w:spacing w:after="0" w:line="276" w:lineRule="auto"/>
        <w:ind w:firstLine="709"/>
        <w:jc w:val="both"/>
        <w:rPr>
          <w:rFonts w:ascii="Verdana" w:eastAsia="Calibri" w:hAnsi="Verdana" w:cs="Arial"/>
          <w:kern w:val="2"/>
          <w:lang w:val="es-ES_tradnl"/>
          <w14:ligatures w14:val="standardContextual"/>
        </w:rPr>
      </w:pPr>
      <w:r w:rsidRPr="00A97CA6">
        <w:rPr>
          <w:rFonts w:ascii="Verdana" w:eastAsia="Calibri" w:hAnsi="Verdana" w:cs="Arial"/>
          <w:kern w:val="2"/>
          <w:lang w:val="es-ES_tradnl"/>
          <w14:ligatures w14:val="standardContextual"/>
        </w:rPr>
        <w:t>Las causales de rechazo son las establecidas en la Ley y las fijadas por la Entidad Estatal en los pliegos de condiciones. Sin embargo, en ejercicio de dicha facultad, a las entidades no les es dable fijar causales de rechazo que soslayen o afecten la selección objetiva en la contratación. Sobre el particular, el Consejo de Estado</w:t>
      </w:r>
      <w:r w:rsidRPr="00A97CA6">
        <w:rPr>
          <w:rFonts w:ascii="Verdana" w:eastAsia="Calibri" w:hAnsi="Verdana" w:cs="Arial"/>
          <w:i/>
          <w:iCs/>
          <w:kern w:val="2"/>
          <w:vertAlign w:val="superscript"/>
          <w:lang w:val="es-ES_tradnl"/>
          <w14:ligatures w14:val="standardContextual"/>
        </w:rPr>
        <w:footnoteReference w:id="1"/>
      </w:r>
      <w:r w:rsidRPr="00A97CA6">
        <w:rPr>
          <w:rFonts w:ascii="Verdana" w:eastAsia="Calibri" w:hAnsi="Verdana" w:cs="Arial"/>
          <w:kern w:val="2"/>
          <w:lang w:val="es-ES_tradnl"/>
          <w14:ligatures w14:val="standardContextual"/>
        </w:rPr>
        <w:t xml:space="preserve"> señala:</w:t>
      </w:r>
    </w:p>
    <w:p w14:paraId="4576D4BD" w14:textId="77777777" w:rsidR="00350155" w:rsidRPr="00A97CA6" w:rsidRDefault="00350155" w:rsidP="00350155">
      <w:pPr>
        <w:spacing w:after="0" w:line="276" w:lineRule="auto"/>
        <w:ind w:firstLine="709"/>
        <w:jc w:val="both"/>
        <w:rPr>
          <w:rFonts w:ascii="Verdana" w:eastAsia="Calibri" w:hAnsi="Verdana" w:cs="Arial"/>
          <w:kern w:val="2"/>
          <w:lang w:val="es-ES_tradnl"/>
          <w14:ligatures w14:val="standardContextual"/>
        </w:rPr>
      </w:pPr>
    </w:p>
    <w:p w14:paraId="7ACC422E" w14:textId="77777777" w:rsidR="00350155" w:rsidRPr="00A97CA6" w:rsidRDefault="00350155" w:rsidP="00350155">
      <w:pPr>
        <w:spacing w:after="0"/>
        <w:ind w:left="709" w:right="709"/>
        <w:jc w:val="both"/>
        <w:rPr>
          <w:rFonts w:ascii="Verdana" w:hAnsi="Verdana" w:cs="Arial"/>
          <w:sz w:val="21"/>
          <w:szCs w:val="21"/>
          <w:lang w:eastAsia="es-MX"/>
        </w:rPr>
      </w:pPr>
      <w:r w:rsidRPr="00A97CA6">
        <w:rPr>
          <w:rFonts w:ascii="Verdana" w:hAnsi="Verdana" w:cs="Arial"/>
          <w:sz w:val="21"/>
          <w:szCs w:val="21"/>
          <w:lang w:eastAsia="es-MX"/>
        </w:rPr>
        <w:t xml:space="preserve">“Quiere con esto destacar la Sala que las causales de rechazo de las propuestas pueden ser legales y por lo mismo generan el efecto del descarte o exclusión de la oferta ope legis, sin necesidad de que se haga referencia a las mismas en el pliego de condiciones; o también pueden las causales de rechazo de las propuestas ser establecidas expresamente por la entidad en el respectivo pliego de condiciones. Lo cierto es que, sea que las causales de rechazo de la oferta emanen directamente de la ley o del pliego de condiciones, en uno y en otro caso se refieren a defectos, omisiones o circunstancias impeditivas que permiten deducir que la misma no resulta favorable para los intereses de la entidad y los fines de la contratación y que de soslayarse se </w:t>
      </w:r>
      <w:r w:rsidRPr="00A97CA6">
        <w:rPr>
          <w:rFonts w:ascii="Verdana" w:hAnsi="Verdana" w:cs="Arial"/>
          <w:sz w:val="21"/>
          <w:szCs w:val="21"/>
          <w:lang w:eastAsia="es-MX"/>
        </w:rPr>
        <w:lastRenderedPageBreak/>
        <w:t>comprometería el cumplimiento de los principios de transparencia, economía y responsabilidad, así como el deber de selección objetiva en la contratación.”</w:t>
      </w:r>
    </w:p>
    <w:p w14:paraId="0913D1A8" w14:textId="77777777" w:rsidR="00350155" w:rsidRPr="00A97CA6" w:rsidRDefault="00350155" w:rsidP="00350155">
      <w:pPr>
        <w:spacing w:after="0" w:line="276" w:lineRule="auto"/>
        <w:ind w:firstLine="708"/>
        <w:jc w:val="both"/>
        <w:rPr>
          <w:rFonts w:ascii="Verdana" w:eastAsia="Calibri" w:hAnsi="Verdana" w:cs="Arial"/>
          <w:kern w:val="2"/>
          <w:lang w:val="es-ES_tradnl"/>
          <w14:ligatures w14:val="standardContextual"/>
        </w:rPr>
      </w:pPr>
    </w:p>
    <w:p w14:paraId="585EBFB8" w14:textId="77777777" w:rsidR="00350155" w:rsidRDefault="00350155" w:rsidP="00350155">
      <w:pPr>
        <w:spacing w:after="0" w:line="276" w:lineRule="auto"/>
        <w:ind w:firstLine="709"/>
        <w:jc w:val="both"/>
        <w:rPr>
          <w:rFonts w:ascii="Verdana" w:eastAsia="Calibri" w:hAnsi="Verdana" w:cs="Arial"/>
          <w:kern w:val="2"/>
          <w:lang w:val="es-ES_tradnl"/>
          <w14:ligatures w14:val="standardContextual"/>
        </w:rPr>
      </w:pPr>
      <w:r w:rsidRPr="00A97CA6">
        <w:rPr>
          <w:rFonts w:ascii="Verdana" w:eastAsia="Calibri" w:hAnsi="Verdana" w:cs="Arial"/>
          <w:kern w:val="2"/>
          <w:lang w:val="es-ES_tradnl"/>
          <w14:ligatures w14:val="standardContextual"/>
        </w:rPr>
        <w:t>De igual forma, esta Agencia ha reiterado la postura del Consejo de Estado, según la cual, por la naturaleza propia de las causales de rechazo, su aplicación es estricta y restrictiva, lo que significa que su interpretación gramatical prevalece sobre una interpretación extensiva o de otra índole, mediante la cual se pretenda ampliar su alcance. Al respecto, el Consejo de Estado</w:t>
      </w:r>
      <w:r w:rsidRPr="00A97CA6">
        <w:rPr>
          <w:rFonts w:ascii="Aptos" w:eastAsia="Aptos" w:hAnsi="Aptos" w:cs="Times New Roman"/>
          <w:i/>
          <w:kern w:val="2"/>
          <w:vertAlign w:val="superscript"/>
          <w:lang w:val="es-ES_tradnl"/>
          <w14:ligatures w14:val="standardContextual"/>
        </w:rPr>
        <w:footnoteReference w:id="2"/>
      </w:r>
      <w:r w:rsidRPr="00A97CA6">
        <w:rPr>
          <w:rFonts w:ascii="Verdana" w:eastAsia="Calibri" w:hAnsi="Verdana" w:cs="Arial"/>
          <w:kern w:val="2"/>
          <w:lang w:val="es-ES_tradnl"/>
          <w14:ligatures w14:val="standardContextual"/>
        </w:rPr>
        <w:t xml:space="preserve"> sostuvo: </w:t>
      </w:r>
    </w:p>
    <w:p w14:paraId="45EDDDB2" w14:textId="77777777" w:rsidR="00350155" w:rsidRPr="00A97CA6" w:rsidRDefault="00350155" w:rsidP="00350155">
      <w:pPr>
        <w:spacing w:after="0" w:line="276" w:lineRule="auto"/>
        <w:ind w:firstLine="709"/>
        <w:jc w:val="both"/>
        <w:rPr>
          <w:rFonts w:ascii="Verdana" w:eastAsia="Times New Roman" w:hAnsi="Verdana" w:cs="Arial"/>
          <w:bCs/>
          <w:iCs/>
          <w:kern w:val="2"/>
          <w:lang w:val="es-ES_tradnl" w:eastAsia="es-MX"/>
          <w14:ligatures w14:val="standardContextual"/>
        </w:rPr>
      </w:pPr>
    </w:p>
    <w:p w14:paraId="515EC610" w14:textId="77777777" w:rsidR="00350155" w:rsidRPr="00A97CA6" w:rsidRDefault="00350155" w:rsidP="00350155">
      <w:pPr>
        <w:spacing w:after="0"/>
        <w:ind w:left="709" w:right="709"/>
        <w:jc w:val="both"/>
        <w:rPr>
          <w:rFonts w:ascii="Verdana" w:hAnsi="Verdana" w:cs="Arial"/>
          <w:sz w:val="21"/>
          <w:szCs w:val="21"/>
          <w:lang w:eastAsia="es-MX"/>
        </w:rPr>
      </w:pPr>
      <w:r w:rsidRPr="00A97CA6">
        <w:rPr>
          <w:rFonts w:ascii="Verdana" w:hAnsi="Verdana" w:cs="Arial"/>
          <w:sz w:val="21"/>
          <w:szCs w:val="21"/>
          <w:lang w:eastAsia="es-MX"/>
        </w:rPr>
        <w:t>“En esta línea de pensamiento, resulta claro que el rechazo o la descalificación de ofertas no puede depender de la libre discrecionalidad de la administración, en la medida en que el oferente, por el hecho de participar en el proceso licitatorio, adquiere el derecho de participar en el procedimiento de selección y se genera para él una situación jurídica particular; en consecuencia, para rechazar o descalificar una propuesta, la entidad pública debe sujetarse a determinadas reglas consistentes en que las causales que dan lugar a ello se encuentren previamente establecidas en la ley, deriven del incumplimiento de requisitos de la propuesta o de la omisión de documentos referentes a la futura contratación que sean necesarios para la comparación de las propuestas, de conformidad con lo establecido en el numeral 15 del artículo 25 de la Ley 80 de 1993, puesto que la causa excluyente debe ser razonable, esencial y proporcionada, toda vez que no tendría justificación excluir una propuesta por una deficiencia que no tenga incidencia alguna en la contratación.”</w:t>
      </w:r>
    </w:p>
    <w:p w14:paraId="3BE129D5" w14:textId="77777777" w:rsidR="00350155" w:rsidRPr="00A97CA6" w:rsidRDefault="00350155" w:rsidP="00350155">
      <w:pPr>
        <w:spacing w:after="0" w:line="276" w:lineRule="auto"/>
        <w:ind w:left="709" w:right="709"/>
        <w:jc w:val="both"/>
        <w:rPr>
          <w:rFonts w:ascii="Verdana" w:eastAsia="Times New Roman" w:hAnsi="Verdana" w:cs="Arial"/>
          <w:bCs/>
          <w:iCs/>
          <w:kern w:val="2"/>
          <w:lang w:val="es-ES_tradnl" w:eastAsia="es-MX"/>
          <w14:ligatures w14:val="standardContextual"/>
        </w:rPr>
      </w:pPr>
    </w:p>
    <w:p w14:paraId="480E97EF" w14:textId="77777777" w:rsidR="00350155" w:rsidRPr="00A97CA6" w:rsidRDefault="00350155" w:rsidP="00350155">
      <w:pPr>
        <w:spacing w:line="276" w:lineRule="auto"/>
        <w:ind w:firstLine="709"/>
        <w:jc w:val="both"/>
        <w:rPr>
          <w:rFonts w:ascii="Verdana" w:eastAsia="Calibri" w:hAnsi="Verdana" w:cs="Arial"/>
          <w:kern w:val="2"/>
          <w:lang w:val="es-ES_tradnl"/>
          <w14:ligatures w14:val="standardContextual"/>
        </w:rPr>
      </w:pPr>
      <w:r w:rsidRPr="00A97CA6">
        <w:rPr>
          <w:rFonts w:ascii="Verdana" w:eastAsia="Calibri" w:hAnsi="Verdana" w:cs="Arial"/>
          <w:kern w:val="2"/>
          <w:lang w:val="es-ES"/>
          <w14:ligatures w14:val="standardContextual"/>
        </w:rPr>
        <w:t>Por lo expuesto, las causales de rechazo deben estar necesariamente nominadas en la Ley o en el pliego de condiciones, y no puede realizarse, frente a su redacción, ninguna interpretación extensiva. Por esta razón si el Estatuto General de Contratación de la Administración Pública o el pliego de condiciones no establecen de manera literal una causal de rechazo, en los términos expuestos, no podrán rechazarse las propuestas.</w:t>
      </w:r>
    </w:p>
    <w:p w14:paraId="72E79791" w14:textId="77777777" w:rsidR="00350155" w:rsidRPr="00B70BF6" w:rsidRDefault="00350155" w:rsidP="00350155">
      <w:pPr>
        <w:spacing w:line="276" w:lineRule="auto"/>
        <w:ind w:firstLine="709"/>
        <w:jc w:val="both"/>
        <w:rPr>
          <w:rFonts w:ascii="Verdana" w:eastAsia="Calibri" w:hAnsi="Verdana" w:cs="Arial"/>
          <w:kern w:val="2"/>
          <w:lang w:val="es-ES_tradnl"/>
          <w14:ligatures w14:val="standardContextual"/>
        </w:rPr>
      </w:pPr>
      <w:r w:rsidRPr="00A97CA6">
        <w:rPr>
          <w:rFonts w:ascii="Verdana" w:eastAsia="Calibri" w:hAnsi="Verdana" w:cs="Arial"/>
          <w:lang w:val="es-MX" w:eastAsia="es-MX"/>
        </w:rPr>
        <w:t xml:space="preserve">Adicionalmente, la Agencia Nacional de Contratación Pública – Colombia Compra Eficiente, mediante los conceptos con radicados Nos. </w:t>
      </w:r>
      <w:r w:rsidRPr="00A97CA6">
        <w:rPr>
          <w:rFonts w:ascii="Verdana" w:eastAsia="Calibri" w:hAnsi="Verdana" w:cs="Arial"/>
          <w:lang w:val="es-MX" w:eastAsia="es-MX"/>
        </w:rPr>
        <w:lastRenderedPageBreak/>
        <w:t>2201913000007117 del 25 de septiembre de 2019, 2201913000009538 del 23 de diciembre de 2019 y C- 716 del 30 de octubre de 2020, entre otros, ha señalado que las causales de rechazo de las ofertas establecidas en los documentos tipo son taxativas, descartándose que la entidad introduzca nuevas, salvo las contempladas directamente en la ley. Igualmente, por la naturaleza de las causales de rechazo, su aplicación es estricta, lo que –a juicio de la Agencia Nacional de Contratación Pública– significa que su interpretación gramatical prevalece sobre una interpretación extensiva o de otra índole, mediante la cual se pretenda ampliar su alcance.</w:t>
      </w:r>
      <w:r w:rsidRPr="00CB3380">
        <w:rPr>
          <w:rFonts w:ascii="Verdana" w:hAnsi="Verdana" w:cs="Arial"/>
          <w:color w:val="000000"/>
          <w:lang w:val="es-ES"/>
        </w:rPr>
        <w:t xml:space="preserve"> </w:t>
      </w:r>
    </w:p>
    <w:p w14:paraId="39AE9D86" w14:textId="77777777" w:rsidR="00350155" w:rsidRDefault="00350155" w:rsidP="00350155">
      <w:pPr>
        <w:spacing w:line="276" w:lineRule="auto"/>
        <w:ind w:firstLine="708"/>
        <w:jc w:val="both"/>
        <w:rPr>
          <w:rFonts w:ascii="Verdana" w:hAnsi="Verdana"/>
        </w:rPr>
      </w:pPr>
      <w:r>
        <w:rPr>
          <w:rFonts w:ascii="Verdana" w:eastAsia="Calibri" w:hAnsi="Verdana" w:cs="Arial"/>
          <w:lang w:val="es-ES"/>
        </w:rPr>
        <w:t xml:space="preserve">En ese sentido, al revisar las causales de rechazo del Documento Tipo </w:t>
      </w:r>
      <w:r>
        <w:rPr>
          <w:rFonts w:ascii="Verdana" w:hAnsi="Verdana"/>
        </w:rPr>
        <w:t xml:space="preserve">para Licitación de Infraestructura de Transporte – Versión 4, no se identifica ninguna que se ajuste al hecho hipotético planteado en su solicitud. </w:t>
      </w:r>
      <w:r>
        <w:rPr>
          <w:rFonts w:ascii="Verdana" w:eastAsia="Calibri" w:hAnsi="Verdana" w:cs="Arial"/>
          <w:lang w:val="es-ES" w:eastAsia="es-ES" w:bidi="es-ES"/>
        </w:rPr>
        <w:t>Dicho esto, ante</w:t>
      </w:r>
      <w:r w:rsidRPr="00F217FD">
        <w:rPr>
          <w:rFonts w:ascii="Verdana" w:eastAsia="Calibri" w:hAnsi="Verdana" w:cs="Arial"/>
          <w:lang w:val="es-ES" w:eastAsia="es-ES" w:bidi="es-ES"/>
        </w:rPr>
        <w:t xml:space="preserve"> la imposibilidad de incluir nuevas causales, con fundamento en el principio de inalterabilidad, las entidades estatales </w:t>
      </w:r>
      <w:r>
        <w:rPr>
          <w:rFonts w:ascii="Verdana" w:eastAsia="Calibri" w:hAnsi="Verdana" w:cs="Arial"/>
          <w:lang w:val="es-ES" w:eastAsia="es-ES" w:bidi="es-ES"/>
        </w:rPr>
        <w:t>solo deben</w:t>
      </w:r>
      <w:r w:rsidRPr="00F217FD">
        <w:rPr>
          <w:rFonts w:ascii="Verdana" w:eastAsia="Calibri" w:hAnsi="Verdana" w:cs="Arial"/>
          <w:lang w:val="es-ES" w:eastAsia="es-ES" w:bidi="es-ES"/>
        </w:rPr>
        <w:t xml:space="preserve"> </w:t>
      </w:r>
      <w:r>
        <w:rPr>
          <w:rFonts w:ascii="Verdana" w:eastAsia="Calibri" w:hAnsi="Verdana" w:cs="Arial"/>
          <w:lang w:val="es-ES" w:eastAsia="es-ES" w:bidi="es-ES"/>
        </w:rPr>
        <w:t>valorar las</w:t>
      </w:r>
      <w:r w:rsidRPr="00F217FD">
        <w:rPr>
          <w:rFonts w:ascii="Verdana" w:eastAsia="Calibri" w:hAnsi="Verdana" w:cs="Arial"/>
          <w:lang w:val="es-ES" w:eastAsia="es-ES" w:bidi="es-ES"/>
        </w:rPr>
        <w:t xml:space="preserve"> causales de rechazo estandarizadas en el pliego tipo o documento base, determinando en cada caso concreto si la situación evidenciada configura en estricto sentido alguno de los supuestos de hecho establecidos en las mismas, sin valerse de interpretaciones extensivas o finalistas</w:t>
      </w:r>
      <w:r w:rsidRPr="00F217FD">
        <w:rPr>
          <w:rFonts w:ascii="Aptos" w:eastAsia="Calibri" w:hAnsi="Aptos" w:cs="Times New Roman"/>
          <w:kern w:val="2"/>
          <w:sz w:val="24"/>
          <w:szCs w:val="24"/>
          <w:vertAlign w:val="superscript"/>
          <w:lang w:val="es-ES" w:eastAsia="es-ES" w:bidi="es-ES"/>
          <w14:ligatures w14:val="standardContextual"/>
        </w:rPr>
        <w:footnoteReference w:id="3"/>
      </w:r>
      <w:r w:rsidRPr="00F217FD">
        <w:rPr>
          <w:rFonts w:ascii="Verdana" w:eastAsia="Calibri" w:hAnsi="Verdana" w:cs="Arial"/>
          <w:lang w:val="es-ES" w:eastAsia="es-ES" w:bidi="es-ES"/>
        </w:rPr>
        <w:t>.</w:t>
      </w:r>
      <w:r>
        <w:rPr>
          <w:rFonts w:ascii="Verdana" w:hAnsi="Verdana"/>
        </w:rPr>
        <w:t xml:space="preserve"> </w:t>
      </w:r>
    </w:p>
    <w:p w14:paraId="7ADDDD4A" w14:textId="77777777" w:rsidR="00350155" w:rsidRPr="00132E80" w:rsidRDefault="00350155" w:rsidP="00350155">
      <w:pPr>
        <w:spacing w:line="276" w:lineRule="auto"/>
        <w:ind w:firstLine="708"/>
        <w:jc w:val="both"/>
        <w:rPr>
          <w:rFonts w:ascii="Verdana" w:eastAsia="Times New Roman" w:hAnsi="Verdana" w:cs="Arial"/>
          <w:szCs w:val="24"/>
          <w:shd w:val="clear" w:color="auto" w:fill="FFFFFF"/>
          <w:lang w:val="es-ES_tradnl" w:eastAsia="es-ES_tradnl"/>
        </w:rPr>
      </w:pPr>
      <w:bookmarkStart w:id="0" w:name="_Hlk66966516"/>
      <w:r>
        <w:rPr>
          <w:rFonts w:ascii="Verdana" w:eastAsia="Times New Roman" w:hAnsi="Verdana" w:cs="Arial"/>
          <w:szCs w:val="24"/>
          <w:shd w:val="clear" w:color="auto" w:fill="FFFFFF"/>
          <w:lang w:val="es-ES_tradnl" w:eastAsia="es-ES_tradnl"/>
        </w:rPr>
        <w:t>En línea con lo anterior, t</w:t>
      </w:r>
      <w:r w:rsidRPr="00132E80">
        <w:rPr>
          <w:rFonts w:ascii="Verdana" w:eastAsia="Times New Roman" w:hAnsi="Verdana" w:cs="Arial"/>
          <w:szCs w:val="24"/>
          <w:shd w:val="clear" w:color="auto" w:fill="FFFFFF"/>
          <w:lang w:val="es-ES_tradnl" w:eastAsia="es-ES_tradnl"/>
        </w:rPr>
        <w:t xml:space="preserve">odas las resoluciones expedidas por la Agencia Nacional de Contratación Pública – Colombia Compra Eficiente, mediante las cuales se han adoptado los documentos tipo, consagran la regla de la inalterabilidad. Esta prohibición consiste en que las entidades estatales no pueden incluir o modificar en los </w:t>
      </w:r>
      <w:r w:rsidRPr="00132E80">
        <w:rPr>
          <w:rFonts w:ascii="Verdana" w:eastAsia="Times New Roman" w:hAnsi="Verdana" w:cs="Arial"/>
          <w:i/>
          <w:iCs/>
          <w:szCs w:val="24"/>
          <w:shd w:val="clear" w:color="auto" w:fill="FFFFFF"/>
          <w:lang w:val="es-ES_tradnl" w:eastAsia="es-ES_tradnl"/>
        </w:rPr>
        <w:t>Documentos del Proceso</w:t>
      </w:r>
      <w:r w:rsidRPr="00132E80">
        <w:rPr>
          <w:rFonts w:ascii="Verdana" w:eastAsia="Times New Roman" w:hAnsi="Verdana" w:cs="Arial"/>
          <w:szCs w:val="24"/>
          <w:shd w:val="clear" w:color="auto" w:fill="FFFFFF"/>
          <w:lang w:val="es-ES_tradnl" w:eastAsia="es-ES_tradnl"/>
        </w:rPr>
        <w:t xml:space="preserve"> las condiciones habilitantes, los factores técnicos y económicos de escogencia y los sistemas de ponderación distintos a los señalados en los Documentos Tipo. En consecuencia, las condiciones establecidas en dichos documentos son de obligatorio cumplimiento para las entidades sometidas al Estatuto General de Contratación de la Administración Pública que adelanten procesos que deban regirse por su contenido, y no pueden variarse los requisitos fijados en ellos. Por lo tanto, las entidades estatales, al realizar sus procedimientos de selección, solo podrán modificarlos en los aspectos en que los documentos tipo lo permitan.</w:t>
      </w:r>
    </w:p>
    <w:p w14:paraId="2C7F6841" w14:textId="77777777" w:rsidR="00350155" w:rsidRPr="00132E80" w:rsidRDefault="00350155" w:rsidP="00350155">
      <w:pPr>
        <w:spacing w:before="120" w:line="276" w:lineRule="auto"/>
        <w:ind w:firstLine="709"/>
        <w:jc w:val="both"/>
        <w:rPr>
          <w:rFonts w:ascii="Verdana" w:eastAsia="Times New Roman" w:hAnsi="Verdana" w:cs="Arial"/>
          <w:shd w:val="clear" w:color="auto" w:fill="FFFFFF"/>
          <w:lang w:val="es-ES_tradnl" w:eastAsia="es-ES_tradnl"/>
        </w:rPr>
      </w:pPr>
      <w:r w:rsidRPr="00132E80">
        <w:rPr>
          <w:rFonts w:ascii="Verdana" w:eastAsia="Times New Roman" w:hAnsi="Verdana" w:cs="Arial"/>
          <w:shd w:val="clear" w:color="auto" w:fill="FFFFFF"/>
          <w:lang w:val="es-ES_tradnl" w:eastAsia="es-ES_tradnl"/>
        </w:rPr>
        <w:lastRenderedPageBreak/>
        <w:t xml:space="preserve">El fundamento legal vigente de la regla de la </w:t>
      </w:r>
      <w:r w:rsidRPr="00132E80">
        <w:rPr>
          <w:rFonts w:ascii="Verdana" w:eastAsia="Times New Roman" w:hAnsi="Verdana" w:cs="Arial"/>
          <w:szCs w:val="24"/>
          <w:shd w:val="clear" w:color="auto" w:fill="FFFFFF"/>
          <w:lang w:val="es-ES_tradnl" w:eastAsia="es-ES_tradnl"/>
        </w:rPr>
        <w:t xml:space="preserve">inalterabilidad </w:t>
      </w:r>
      <w:r w:rsidRPr="00132E80">
        <w:rPr>
          <w:rFonts w:ascii="Verdana" w:eastAsia="Times New Roman" w:hAnsi="Verdana" w:cs="Arial"/>
          <w:shd w:val="clear" w:color="auto" w:fill="FFFFFF"/>
          <w:lang w:val="es-ES_tradnl" w:eastAsia="es-ES_tradnl"/>
        </w:rPr>
        <w:t xml:space="preserve">se encuentra en el artículo 1 de la Ley 2022 de 2020, según el cual </w:t>
      </w:r>
      <w:r>
        <w:rPr>
          <w:rFonts w:ascii="Verdana" w:eastAsia="Times New Roman" w:hAnsi="Verdana" w:cs="Arial"/>
          <w:shd w:val="clear" w:color="auto" w:fill="FFFFFF"/>
          <w:lang w:val="es-ES_tradnl" w:eastAsia="es-ES_tradnl"/>
        </w:rPr>
        <w:t>“</w:t>
      </w:r>
      <w:r w:rsidRPr="00132E80">
        <w:rPr>
          <w:rFonts w:ascii="Verdana" w:eastAsia="Times New Roman" w:hAnsi="Verdana" w:cs="Arial"/>
          <w:lang w:val="es-ES_tradnl" w:eastAsia="es-ES_tradnl"/>
        </w:rPr>
        <w:t xml:space="preserve">[…] </w:t>
      </w:r>
      <w:r w:rsidRPr="00132E80">
        <w:rPr>
          <w:rFonts w:ascii="Verdana" w:eastAsia="Times New Roman" w:hAnsi="Verdana" w:cs="Arial"/>
          <w:shd w:val="clear" w:color="auto" w:fill="FFFFFF"/>
          <w:lang w:val="es-ES_tradnl" w:eastAsia="es-ES_tradnl"/>
        </w:rPr>
        <w:t>serán de obligatorio cumplimiento en la actividad contractual de todas las entidades sometidas al Estatuto General de Contratación de la Administración Pública</w:t>
      </w:r>
      <w:r>
        <w:rPr>
          <w:rFonts w:ascii="Verdana" w:eastAsia="Times New Roman" w:hAnsi="Verdana" w:cs="Arial"/>
          <w:shd w:val="clear" w:color="auto" w:fill="FFFFFF"/>
          <w:lang w:val="es-ES_tradnl" w:eastAsia="es-ES_tradnl"/>
        </w:rPr>
        <w:t>”</w:t>
      </w:r>
      <w:r w:rsidRPr="00132E80">
        <w:rPr>
          <w:rFonts w:ascii="Verdana" w:eastAsia="Times New Roman" w:hAnsi="Verdana" w:cs="Arial"/>
          <w:shd w:val="clear" w:color="auto" w:fill="FFFFFF"/>
          <w:lang w:val="es-ES_tradnl" w:eastAsia="es-ES_tradnl"/>
        </w:rPr>
        <w:t>. Pero eso no significa que antes no rigiera, pues así también lo disponía el artículo 4 de la Ley 1882 de 2018. Incluso por vía reglamentaria también quedó consignado en su momento el carácter inmodificable de los pliegos tipo en el artículo 1 de los Decretos 342 de 2019 y 594 de 2020, que adicionaron, respectivamente, los artículos 2.2.1.2.6.1.4. y 2.2.1.2.6.3.4 al Decreto 1082 de 2015</w:t>
      </w:r>
      <w:r>
        <w:rPr>
          <w:rFonts w:ascii="Verdana" w:eastAsia="Times New Roman" w:hAnsi="Verdana" w:cs="Arial"/>
          <w:shd w:val="clear" w:color="auto" w:fill="FFFFFF"/>
          <w:lang w:val="es-ES_tradnl" w:eastAsia="es-ES_tradnl"/>
        </w:rPr>
        <w:t xml:space="preserve">, incluido el </w:t>
      </w:r>
      <w:r>
        <w:rPr>
          <w:rFonts w:ascii="Verdana" w:eastAsia="Calibri" w:hAnsi="Verdana" w:cs="Arial"/>
          <w:lang w:val="es-ES"/>
        </w:rPr>
        <w:t xml:space="preserve">Documento Tipo </w:t>
      </w:r>
      <w:r>
        <w:rPr>
          <w:rFonts w:ascii="Verdana" w:hAnsi="Verdana"/>
        </w:rPr>
        <w:t>para Licitación de Infraestructura de Transporte – Versión 4</w:t>
      </w:r>
      <w:r w:rsidRPr="00132E80">
        <w:rPr>
          <w:rFonts w:ascii="Verdana" w:eastAsia="Times New Roman" w:hAnsi="Verdana" w:cs="Arial"/>
          <w:shd w:val="clear" w:color="auto" w:fill="FFFFFF"/>
          <w:lang w:val="es-ES_tradnl" w:eastAsia="es-ES_tradnl"/>
        </w:rPr>
        <w:t xml:space="preserve">, </w:t>
      </w:r>
      <w:r>
        <w:rPr>
          <w:rFonts w:ascii="Verdana" w:eastAsia="Times New Roman" w:hAnsi="Verdana" w:cs="Arial"/>
          <w:shd w:val="clear" w:color="auto" w:fill="FFFFFF"/>
          <w:lang w:val="es-ES_tradnl" w:eastAsia="es-ES_tradnl"/>
        </w:rPr>
        <w:t xml:space="preserve">fundamentado también en el </w:t>
      </w:r>
      <w:r w:rsidRPr="00132E80">
        <w:rPr>
          <w:rFonts w:ascii="Verdana" w:eastAsia="Times New Roman" w:hAnsi="Verdana" w:cs="Arial"/>
          <w:shd w:val="clear" w:color="auto" w:fill="FFFFFF"/>
          <w:lang w:val="es-ES_tradnl" w:eastAsia="es-ES_tradnl"/>
        </w:rPr>
        <w:t xml:space="preserve">desarrollo del artículo 2.2.1.2.6.1.4. del Decreto 1082 de 2015, </w:t>
      </w:r>
      <w:r>
        <w:rPr>
          <w:rFonts w:ascii="Verdana" w:eastAsia="Times New Roman" w:hAnsi="Verdana" w:cs="Arial"/>
          <w:shd w:val="clear" w:color="auto" w:fill="FFFFFF"/>
          <w:lang w:val="es-ES_tradnl" w:eastAsia="es-ES_tradnl"/>
        </w:rPr>
        <w:t>donde se reitera</w:t>
      </w:r>
      <w:r w:rsidRPr="00132E80">
        <w:rPr>
          <w:rFonts w:ascii="Verdana" w:eastAsia="Times New Roman" w:hAnsi="Verdana" w:cs="Arial"/>
          <w:shd w:val="clear" w:color="auto" w:fill="FFFFFF"/>
          <w:lang w:val="es-ES_tradnl" w:eastAsia="es-ES_tradnl"/>
        </w:rPr>
        <w:t xml:space="preserve"> la regla de inalterabilidad</w:t>
      </w:r>
      <w:r w:rsidRPr="00132E80">
        <w:rPr>
          <w:rStyle w:val="Refdenotaalpie"/>
          <w:rFonts w:ascii="Verdana" w:eastAsia="Times New Roman" w:hAnsi="Verdana" w:cs="Arial"/>
          <w:shd w:val="clear" w:color="auto" w:fill="FFFFFF"/>
          <w:lang w:val="es-ES_tradnl" w:eastAsia="es-ES_tradnl"/>
        </w:rPr>
        <w:footnoteReference w:id="4"/>
      </w:r>
      <w:r w:rsidRPr="00132E80">
        <w:rPr>
          <w:rFonts w:ascii="Verdana" w:eastAsia="Times New Roman" w:hAnsi="Verdana" w:cs="Arial"/>
          <w:shd w:val="clear" w:color="auto" w:fill="FFFFFF"/>
          <w:lang w:val="es-ES_tradnl" w:eastAsia="es-ES_tradnl"/>
        </w:rPr>
        <w:t>.</w:t>
      </w:r>
    </w:p>
    <w:bookmarkEnd w:id="0"/>
    <w:p w14:paraId="2ECF4F92" w14:textId="77777777" w:rsidR="00350155" w:rsidRPr="00132E80" w:rsidRDefault="00350155" w:rsidP="00350155">
      <w:pPr>
        <w:spacing w:before="120" w:line="276" w:lineRule="auto"/>
        <w:ind w:firstLine="709"/>
        <w:jc w:val="both"/>
        <w:rPr>
          <w:rFonts w:ascii="Verdana" w:eastAsia="Times New Roman" w:hAnsi="Verdana" w:cs="Arial"/>
          <w:shd w:val="clear" w:color="auto" w:fill="FFFFFF"/>
          <w:lang w:val="es-ES_tradnl" w:eastAsia="es-ES_tradnl"/>
        </w:rPr>
      </w:pPr>
      <w:r w:rsidRPr="00132E80">
        <w:rPr>
          <w:rFonts w:ascii="Verdana" w:eastAsia="Times New Roman" w:hAnsi="Verdana" w:cs="Arial"/>
          <w:shd w:val="clear" w:color="auto" w:fill="FFFFFF"/>
          <w:lang w:val="es-ES_tradnl" w:eastAsia="es-ES_tradnl"/>
        </w:rPr>
        <w:t xml:space="preserve">En este orden de ideas, no cabe duda de que está vigente la regla de la inalterabilidad de los documentos tipo. Lo anterior por cuanto las diferentes disposiciones normativas que se han expedido han ratificado dicha regla, como ha sucedido con el artículo 1 de la Ley 2022 de 2020 y con las resoluciones </w:t>
      </w:r>
      <w:r>
        <w:rPr>
          <w:rFonts w:ascii="Verdana" w:eastAsia="Times New Roman" w:hAnsi="Verdana" w:cs="Arial"/>
          <w:shd w:val="clear" w:color="auto" w:fill="FFFFFF"/>
          <w:lang w:val="es-ES_tradnl" w:eastAsia="es-ES_tradnl"/>
        </w:rPr>
        <w:t>de adopción de los documentos tipo</w:t>
      </w:r>
      <w:r w:rsidRPr="00132E80">
        <w:rPr>
          <w:rFonts w:ascii="Verdana" w:eastAsia="Times New Roman" w:hAnsi="Verdana" w:cs="Arial"/>
          <w:shd w:val="clear" w:color="auto" w:fill="FFFFFF"/>
          <w:lang w:val="es-ES_tradnl" w:eastAsia="es-ES_tradnl"/>
        </w:rPr>
        <w:t xml:space="preserve"> expedido</w:t>
      </w:r>
      <w:r>
        <w:rPr>
          <w:rFonts w:ascii="Verdana" w:eastAsia="Times New Roman" w:hAnsi="Verdana" w:cs="Arial"/>
          <w:shd w:val="clear" w:color="auto" w:fill="FFFFFF"/>
          <w:lang w:val="es-ES_tradnl" w:eastAsia="es-ES_tradnl"/>
        </w:rPr>
        <w:t>s</w:t>
      </w:r>
      <w:r w:rsidRPr="00132E80">
        <w:rPr>
          <w:rFonts w:ascii="Verdana" w:eastAsia="Times New Roman" w:hAnsi="Verdana" w:cs="Arial"/>
          <w:shd w:val="clear" w:color="auto" w:fill="FFFFFF"/>
          <w:lang w:val="es-ES_tradnl" w:eastAsia="es-ES_tradnl"/>
        </w:rPr>
        <w:t xml:space="preserve"> la Agencia Nacional de Contratación Pública – Colombia Compra Eficiente.</w:t>
      </w:r>
    </w:p>
    <w:p w14:paraId="622C523A" w14:textId="77777777" w:rsidR="00350155" w:rsidRPr="00AD42A4" w:rsidRDefault="00350155" w:rsidP="00350155">
      <w:pPr>
        <w:spacing w:before="120" w:line="276" w:lineRule="auto"/>
        <w:ind w:firstLine="709"/>
        <w:jc w:val="both"/>
        <w:rPr>
          <w:rFonts w:ascii="Verdana" w:eastAsia="Arial" w:hAnsi="Verdana" w:cs="Arial"/>
          <w:color w:val="000000"/>
          <w:kern w:val="2"/>
          <w14:ligatures w14:val="standardContextual"/>
        </w:rPr>
      </w:pPr>
      <w:r w:rsidRPr="00AD42A4">
        <w:rPr>
          <w:rFonts w:ascii="Verdana" w:eastAsia="Arial" w:hAnsi="Verdana" w:cs="Arial"/>
          <w:color w:val="000000"/>
          <w:kern w:val="2"/>
          <w14:ligatures w14:val="standardContextual"/>
        </w:rPr>
        <w:t xml:space="preserve">Por otra parte, es importante señalar que, uno de los principios transversales de los procedimientos de selección es el de </w:t>
      </w:r>
      <w:r w:rsidRPr="00AD42A4">
        <w:rPr>
          <w:rFonts w:ascii="Verdana" w:eastAsia="Arial" w:hAnsi="Verdana" w:cs="Arial"/>
          <w:i/>
          <w:color w:val="000000"/>
          <w:kern w:val="2"/>
          <w14:ligatures w14:val="standardContextual"/>
        </w:rPr>
        <w:t>selección objetiva</w:t>
      </w:r>
      <w:r w:rsidRPr="00AD42A4">
        <w:rPr>
          <w:rFonts w:ascii="Verdana" w:eastAsia="Arial" w:hAnsi="Verdana" w:cs="Arial"/>
          <w:color w:val="000000"/>
          <w:kern w:val="2"/>
          <w14:ligatures w14:val="standardContextual"/>
        </w:rPr>
        <w:t>. Se trata del postulado que exige que la escogencia de la oferta ganadora deba fundamentarse en factores objetivos, de carácter técnico, jurídico y financiero, y no en criterios subjetivos, como el afecto, la amistad, el ánimo de ayuda, el interés personal, etc. Si bien dentro de la historia de la contratación pública en Colombia se vislumbran antecedentes normativos que consagraban dicho principio</w:t>
      </w:r>
      <w:r w:rsidRPr="00AD42A4">
        <w:rPr>
          <w:rFonts w:ascii="Verdana" w:eastAsia="Aptos" w:hAnsi="Verdana" w:cs="Times New Roman"/>
          <w:kern w:val="2"/>
          <w:vertAlign w:val="superscript"/>
          <w14:ligatures w14:val="standardContextual"/>
        </w:rPr>
        <w:footnoteReference w:id="5"/>
      </w:r>
      <w:r w:rsidRPr="00AD42A4">
        <w:rPr>
          <w:rFonts w:ascii="Verdana" w:eastAsia="Arial" w:hAnsi="Verdana" w:cs="Arial"/>
          <w:color w:val="000000"/>
          <w:kern w:val="2"/>
          <w14:ligatures w14:val="standardContextual"/>
        </w:rPr>
        <w:t xml:space="preserve">, en la actualidad la disposición legal que lo prevé de manera más clara </w:t>
      </w:r>
      <w:r w:rsidRPr="00AD42A4">
        <w:rPr>
          <w:rFonts w:ascii="Verdana" w:eastAsia="Arial" w:hAnsi="Verdana" w:cs="Arial"/>
          <w:color w:val="000000"/>
          <w:kern w:val="2"/>
          <w14:ligatures w14:val="standardContextual"/>
        </w:rPr>
        <w:lastRenderedPageBreak/>
        <w:t>y contundente es el artículo 5 de la Ley 1150 de 2007, modificado por el artículo 88 de la Ley 1474 de 2011 y por el artículo 5 de la Ley 1882 de 2018.</w:t>
      </w:r>
    </w:p>
    <w:p w14:paraId="595B7221" w14:textId="77777777" w:rsidR="00350155" w:rsidRPr="00AD42A4" w:rsidRDefault="00350155" w:rsidP="00350155">
      <w:pPr>
        <w:spacing w:before="120" w:line="276" w:lineRule="auto"/>
        <w:ind w:firstLine="709"/>
        <w:jc w:val="both"/>
        <w:rPr>
          <w:rFonts w:ascii="Verdana" w:eastAsia="Calibri" w:hAnsi="Verdana" w:cs="Arial"/>
          <w:kern w:val="2"/>
          <w:lang w:val="es-ES_tradnl"/>
          <w14:ligatures w14:val="standardContextual"/>
        </w:rPr>
      </w:pPr>
      <w:r w:rsidRPr="00AD42A4">
        <w:rPr>
          <w:rFonts w:ascii="Verdana" w:eastAsia="Arial" w:hAnsi="Verdana" w:cs="Arial"/>
          <w:color w:val="000000"/>
          <w:kern w:val="2"/>
          <w14:ligatures w14:val="standardContextual"/>
        </w:rPr>
        <w:t>Para garantizar el principio de selección objetiva, es necesario, entre otras, que las entidades estatales se abstengan de rechazar las ofertas, por el incumplimiento de requisitos meramente formales, sacrificando la favorabilidad que podría representar la oferta que adolezca de estos defectos, si se permitiese su corrección. En otras palabras, es consustancial a la selección objetiva la obligación que tienen las entidades estatales de permitir la subsanación de los requisitos de participación, bajo las condiciones indicadas en la ley, antes de tomar la decisión de rechazar las propuestas que hayan omitido la observancia de los requisitos habilitantes.</w:t>
      </w:r>
    </w:p>
    <w:p w14:paraId="24364DE2" w14:textId="77777777" w:rsidR="00350155" w:rsidRDefault="00350155" w:rsidP="00350155">
      <w:pPr>
        <w:spacing w:before="120" w:line="276" w:lineRule="auto"/>
        <w:ind w:firstLine="709"/>
        <w:jc w:val="both"/>
        <w:rPr>
          <w:rFonts w:ascii="Verdana" w:eastAsia="Arial" w:hAnsi="Verdana" w:cs="Arial"/>
          <w:color w:val="000000"/>
          <w:kern w:val="2"/>
          <w14:ligatures w14:val="standardContextual"/>
        </w:rPr>
      </w:pPr>
      <w:r w:rsidRPr="00AD42A4">
        <w:rPr>
          <w:rFonts w:ascii="Verdana" w:eastAsia="Arial" w:hAnsi="Verdana" w:cs="Arial"/>
          <w:color w:val="000000"/>
          <w:kern w:val="2"/>
          <w14:ligatures w14:val="standardContextual"/>
        </w:rPr>
        <w:t>La decisión de rechazar, por regla general –salvo en los casos específicos previstos en la ley, como el de la imposibilidad de subsanar la no entrega de la garantía de seriedad de la oferta o de acreditar circunstancias ocurridas con posterioridad al cierre del procedimiento de selección –art. 5, par. 1º y 3º, Ley 1150 de 2007)– solo puede tomarse si, previamente, se ha permitido que los proponentes completen o corrijan la información relacionada con los requisitos que no asignan puntaje, como mecanismo para hacer prevalecer el derecho sustancial sobre las formalidades.</w:t>
      </w:r>
    </w:p>
    <w:p w14:paraId="52568E2C" w14:textId="77777777" w:rsidR="00350155" w:rsidRPr="00031AA7" w:rsidRDefault="00350155" w:rsidP="00350155">
      <w:pPr>
        <w:spacing w:before="120" w:after="120" w:line="276" w:lineRule="auto"/>
        <w:ind w:firstLine="709"/>
        <w:jc w:val="both"/>
        <w:rPr>
          <w:rFonts w:ascii="Verdana" w:hAnsi="Verdana" w:cs="Arial"/>
          <w:color w:val="000000"/>
          <w:lang w:val="es-ES_tradnl"/>
        </w:rPr>
      </w:pPr>
      <w:r w:rsidRPr="00031AA7">
        <w:rPr>
          <w:rFonts w:ascii="Verdana" w:hAnsi="Verdana" w:cs="Arial"/>
          <w:color w:val="000000"/>
          <w:lang w:val="es-ES_tradnl"/>
        </w:rPr>
        <w:t xml:space="preserve">Un mejor entendimiento del significado de la expresión </w:t>
      </w:r>
      <w:r>
        <w:rPr>
          <w:rFonts w:ascii="Verdana" w:hAnsi="Verdana" w:cs="Arial"/>
          <w:color w:val="000000"/>
          <w:lang w:val="es-ES_tradnl"/>
        </w:rPr>
        <w:t>“</w:t>
      </w:r>
      <w:r w:rsidRPr="00031AA7">
        <w:rPr>
          <w:rFonts w:ascii="Verdana" w:hAnsi="Verdana" w:cs="Arial"/>
          <w:color w:val="000000"/>
          <w:lang w:val="es-ES_tradnl"/>
        </w:rPr>
        <w:t>circunstancias ocurridas con posterioridad al cierre del proceso</w:t>
      </w:r>
      <w:r>
        <w:rPr>
          <w:rFonts w:ascii="Verdana" w:hAnsi="Verdana" w:cs="Arial"/>
          <w:color w:val="000000"/>
          <w:lang w:val="es-ES_tradnl"/>
        </w:rPr>
        <w:t>”</w:t>
      </w:r>
      <w:r w:rsidRPr="00031AA7">
        <w:rPr>
          <w:rFonts w:ascii="Verdana" w:hAnsi="Verdana" w:cs="Arial"/>
          <w:color w:val="000000"/>
          <w:lang w:val="es-ES_tradnl"/>
        </w:rPr>
        <w:t xml:space="preserve"> lleva necesariamente a distinguir entre la prueba de un hecho y el hecho mismo. En el caso de la subsanabilidad de las ofertas, una cosa es el requisito habilitante o el elemento de la propuesta y otra su prueba. Lo que prohíbe la norma es que se subsanen requisitos que no estaban cumplidos al momento de presentar la oferta, o en palabras de la ley, que se acrediten hechos que ocurrieron después del cierre del proceso. Por ejemplo: </w:t>
      </w:r>
    </w:p>
    <w:p w14:paraId="5D991B3A" w14:textId="77777777" w:rsidR="00350155" w:rsidRPr="00031AA7" w:rsidRDefault="00350155" w:rsidP="00350155">
      <w:pPr>
        <w:spacing w:before="120" w:after="120" w:line="276" w:lineRule="auto"/>
        <w:ind w:firstLine="709"/>
        <w:jc w:val="both"/>
        <w:rPr>
          <w:rFonts w:ascii="Verdana" w:hAnsi="Verdana" w:cs="Arial"/>
          <w:color w:val="000000"/>
          <w:lang w:val="es-ES_tradnl"/>
        </w:rPr>
      </w:pPr>
      <w:r w:rsidRPr="00031AA7">
        <w:rPr>
          <w:rFonts w:ascii="Verdana" w:hAnsi="Verdana" w:cs="Arial"/>
          <w:color w:val="000000"/>
          <w:lang w:val="es-ES_tradnl"/>
        </w:rPr>
        <w:t xml:space="preserve">i) </w:t>
      </w:r>
      <w:bookmarkStart w:id="1" w:name="_Hlk52901112"/>
      <w:r w:rsidRPr="00031AA7">
        <w:rPr>
          <w:rFonts w:ascii="Verdana" w:hAnsi="Verdana" w:cs="Arial"/>
          <w:color w:val="000000"/>
          <w:lang w:val="es-ES_tradnl"/>
        </w:rPr>
        <w:t>si un oferente olvidó adjuntar con su propuesta el certificado que da cuenta de su inscripción en el RUP, el requisito será subsanable siempre que la prueba allegada demuestre que el hecho, esto es, la inscripción en el registro ocurrió con anterioridad al cierre del proceso</w:t>
      </w:r>
      <w:bookmarkEnd w:id="1"/>
      <w:r w:rsidRPr="00031AA7">
        <w:rPr>
          <w:rFonts w:ascii="Verdana" w:hAnsi="Verdana" w:cs="Arial"/>
          <w:color w:val="000000"/>
          <w:lang w:val="es-ES_tradnl"/>
        </w:rPr>
        <w:t xml:space="preserve">; </w:t>
      </w:r>
    </w:p>
    <w:p w14:paraId="55B679D4" w14:textId="77777777" w:rsidR="00350155" w:rsidRPr="00031AA7" w:rsidRDefault="00350155" w:rsidP="00350155">
      <w:pPr>
        <w:spacing w:before="120" w:after="120" w:line="276" w:lineRule="auto"/>
        <w:ind w:firstLine="709"/>
        <w:jc w:val="both"/>
        <w:rPr>
          <w:rFonts w:ascii="Verdana" w:hAnsi="Verdana" w:cs="Arial"/>
          <w:color w:val="000000"/>
          <w:lang w:val="es-ES_tradnl"/>
        </w:rPr>
      </w:pPr>
      <w:r w:rsidRPr="00031AA7">
        <w:rPr>
          <w:rFonts w:ascii="Verdana" w:hAnsi="Verdana" w:cs="Arial"/>
          <w:color w:val="000000"/>
          <w:lang w:val="es-ES_tradnl"/>
        </w:rPr>
        <w:t xml:space="preserve">ii) si un oferente presentó la propuesta sin aportar la autorización al representante legal, por parte de la junta directiva de la sociedad, el certificado, aunque sea posterior, debe dar cuenta de que el hecho que pretende acreditar </w:t>
      </w:r>
      <w:r w:rsidRPr="00031AA7">
        <w:rPr>
          <w:rFonts w:ascii="Verdana" w:hAnsi="Verdana" w:cs="Arial"/>
          <w:color w:val="000000"/>
          <w:lang w:val="es-ES_tradnl"/>
        </w:rPr>
        <w:lastRenderedPageBreak/>
        <w:t>–la autorización de la junta– ocurrió antes del vencimiento del término para ofertar</w:t>
      </w:r>
      <w:r w:rsidRPr="00031AA7">
        <w:rPr>
          <w:rFonts w:ascii="Verdana" w:hAnsi="Verdana" w:cs="Arial"/>
          <w:color w:val="000000"/>
          <w:vertAlign w:val="superscript"/>
          <w:lang w:val="es-ES_tradnl"/>
        </w:rPr>
        <w:footnoteReference w:id="6"/>
      </w:r>
      <w:r w:rsidRPr="00031AA7">
        <w:rPr>
          <w:rFonts w:ascii="Verdana" w:hAnsi="Verdana" w:cs="Arial"/>
          <w:color w:val="000000"/>
          <w:lang w:val="es-ES_tradnl"/>
        </w:rPr>
        <w:t xml:space="preserve">; </w:t>
      </w:r>
    </w:p>
    <w:p w14:paraId="546C9A39" w14:textId="77777777" w:rsidR="00350155" w:rsidRPr="00031AA7" w:rsidRDefault="00350155" w:rsidP="00350155">
      <w:pPr>
        <w:spacing w:before="120" w:after="120" w:line="276" w:lineRule="auto"/>
        <w:ind w:firstLine="709"/>
        <w:jc w:val="both"/>
        <w:rPr>
          <w:rFonts w:ascii="Verdana" w:hAnsi="Verdana" w:cs="Arial"/>
          <w:color w:val="000000"/>
          <w:lang w:val="es-ES_tradnl"/>
        </w:rPr>
      </w:pPr>
      <w:r w:rsidRPr="00031AA7">
        <w:rPr>
          <w:rFonts w:ascii="Verdana" w:hAnsi="Verdana" w:cs="Arial"/>
          <w:color w:val="000000"/>
          <w:lang w:val="es-ES_tradnl"/>
        </w:rPr>
        <w:t>iii) si un oferente no anexó el certificado de existencia y representación legal, el documento aportado con posterioridad debe dar cuenta de que la sociedad existe desde antes del cierre del proceso</w:t>
      </w:r>
      <w:r w:rsidRPr="00031AA7">
        <w:rPr>
          <w:rFonts w:ascii="Verdana" w:hAnsi="Verdana" w:cs="Arial"/>
          <w:color w:val="000000"/>
          <w:vertAlign w:val="superscript"/>
          <w:lang w:val="es-ES_tradnl"/>
        </w:rPr>
        <w:footnoteReference w:id="7"/>
      </w:r>
      <w:r w:rsidRPr="00031AA7">
        <w:rPr>
          <w:rFonts w:ascii="Verdana" w:hAnsi="Verdana" w:cs="Arial"/>
          <w:color w:val="000000"/>
          <w:lang w:val="es-ES_tradnl"/>
        </w:rPr>
        <w:t xml:space="preserve">; </w:t>
      </w:r>
    </w:p>
    <w:p w14:paraId="65655F3C" w14:textId="77777777" w:rsidR="00350155" w:rsidRPr="00031AA7" w:rsidRDefault="00350155" w:rsidP="00350155">
      <w:pPr>
        <w:spacing w:before="120" w:after="120" w:line="276" w:lineRule="auto"/>
        <w:ind w:firstLine="709"/>
        <w:jc w:val="both"/>
        <w:rPr>
          <w:rFonts w:ascii="Verdana" w:hAnsi="Verdana" w:cs="Arial"/>
          <w:color w:val="000000"/>
          <w:lang w:val="es-ES_tradnl"/>
        </w:rPr>
      </w:pPr>
      <w:r w:rsidRPr="00031AA7">
        <w:rPr>
          <w:rFonts w:ascii="Verdana" w:hAnsi="Verdana" w:cs="Arial"/>
          <w:color w:val="000000"/>
          <w:lang w:val="es-ES_tradnl"/>
        </w:rPr>
        <w:t xml:space="preserve">iv) si un oferente olvidó adjuntar un certificado que demuestra un título universitario, el documento, aunque tenga fecha posterior al cierre del proceso, debe acreditar que el título académico se obtuvo con anterioridad al cierre del proceso; </w:t>
      </w:r>
    </w:p>
    <w:p w14:paraId="7D037B87" w14:textId="77777777" w:rsidR="00350155" w:rsidRPr="00031AA7" w:rsidRDefault="00350155" w:rsidP="00350155">
      <w:pPr>
        <w:spacing w:before="120" w:after="120" w:line="276" w:lineRule="auto"/>
        <w:ind w:firstLine="709"/>
        <w:jc w:val="both"/>
        <w:rPr>
          <w:rFonts w:ascii="Verdana" w:hAnsi="Verdana" w:cs="Arial"/>
          <w:color w:val="000000"/>
          <w:lang w:val="es-ES_tradnl"/>
        </w:rPr>
      </w:pPr>
      <w:r w:rsidRPr="00031AA7">
        <w:rPr>
          <w:rFonts w:ascii="Verdana" w:hAnsi="Verdana" w:cs="Arial"/>
          <w:color w:val="000000"/>
          <w:lang w:val="es-ES_tradnl"/>
        </w:rPr>
        <w:t xml:space="preserve">v) si un oferente no aportó un certificado de experiencia, el documento que subsana –sin importar que tenga fecha posterior– debe demostrar que la experiencia que se pretende hacer valer se obtuvo antes de vencerse el término para presentar ofertas, y </w:t>
      </w:r>
    </w:p>
    <w:p w14:paraId="09A6D81E" w14:textId="77777777" w:rsidR="00350155" w:rsidRPr="00031AA7" w:rsidRDefault="00350155" w:rsidP="00350155">
      <w:pPr>
        <w:spacing w:before="120" w:after="120" w:line="276" w:lineRule="auto"/>
        <w:ind w:firstLine="709"/>
        <w:jc w:val="both"/>
        <w:rPr>
          <w:rFonts w:ascii="Verdana" w:hAnsi="Verdana" w:cs="Arial"/>
          <w:color w:val="000000"/>
          <w:lang w:val="es-ES_tradnl"/>
        </w:rPr>
      </w:pPr>
      <w:r w:rsidRPr="00031AA7">
        <w:rPr>
          <w:rFonts w:ascii="Verdana" w:hAnsi="Verdana" w:cs="Arial"/>
          <w:color w:val="000000"/>
          <w:lang w:val="es-ES_tradnl"/>
        </w:rPr>
        <w:t xml:space="preserve">vi) si el oferente olvidó firmar la propuesta o presentar una copia de ella, puede subsanar sin que se entienda que acreditó una circunstancia ocurrida con posterioridad al cierre del proceso. </w:t>
      </w:r>
    </w:p>
    <w:p w14:paraId="60BDA3EE" w14:textId="77777777" w:rsidR="00350155" w:rsidRPr="00031AA7" w:rsidRDefault="00350155" w:rsidP="00350155">
      <w:pPr>
        <w:spacing w:before="120" w:after="120" w:line="276" w:lineRule="auto"/>
        <w:ind w:firstLine="709"/>
        <w:jc w:val="both"/>
        <w:rPr>
          <w:rFonts w:ascii="Verdana" w:hAnsi="Verdana" w:cs="Arial"/>
          <w:color w:val="000000"/>
          <w:lang w:val="es-ES_tradnl"/>
        </w:rPr>
      </w:pPr>
      <w:r w:rsidRPr="00031AA7">
        <w:rPr>
          <w:rFonts w:ascii="Verdana" w:hAnsi="Verdana" w:cs="Arial"/>
          <w:color w:val="000000"/>
          <w:lang w:val="es-ES_tradnl"/>
        </w:rPr>
        <w:t xml:space="preserve">Lo anterior quiere decir que no es la prueba –usualmente un documento– lo que debe ser anterior al cierre del proceso, sino el hecho que ella acredita, es decir, ante la solicitud de la Administración de subsanar un requisito, el documento podría estar fechado con posterioridad al vencimiento del término para recibir propuestas, siempre y cuando el hecho que acredite haya ocurrido antes, esto es, que no sea una circunstancia ocurrida con posterioridad al cierre del proceso. </w:t>
      </w:r>
    </w:p>
    <w:p w14:paraId="6646C1AB" w14:textId="77777777" w:rsidR="00350155" w:rsidRPr="00031AA7" w:rsidRDefault="00350155" w:rsidP="00350155">
      <w:pPr>
        <w:spacing w:before="120" w:after="120" w:line="276" w:lineRule="auto"/>
        <w:ind w:firstLine="709"/>
        <w:jc w:val="both"/>
        <w:rPr>
          <w:rFonts w:ascii="Verdana" w:hAnsi="Verdana" w:cs="Arial"/>
          <w:color w:val="000000"/>
          <w:lang w:val="es-ES_tradnl"/>
        </w:rPr>
      </w:pPr>
      <w:r w:rsidRPr="00031AA7">
        <w:rPr>
          <w:rFonts w:ascii="Verdana" w:hAnsi="Verdana" w:cs="Arial"/>
          <w:color w:val="000000"/>
          <w:lang w:val="es-ES_tradnl"/>
        </w:rPr>
        <w:t xml:space="preserve">Es por ello por lo que el Consejo de Estado sostiene que </w:t>
      </w:r>
      <w:r>
        <w:rPr>
          <w:rFonts w:ascii="Verdana" w:hAnsi="Verdana" w:cs="Arial"/>
          <w:color w:val="000000"/>
          <w:lang w:val="es-ES_tradnl"/>
        </w:rPr>
        <w:t>“</w:t>
      </w:r>
      <w:r w:rsidRPr="00031AA7">
        <w:rPr>
          <w:rFonts w:ascii="Verdana" w:hAnsi="Verdana" w:cs="Arial"/>
          <w:color w:val="000000"/>
          <w:lang w:val="es-ES_tradnl"/>
        </w:rPr>
        <w:t>lo que se subsana es la prueba y no la condición habilitante o un elemento de la propuesta [...] lo que se puede remediar es la prueba y no el requisito: La posibilidad debe recaer exclusivamente sobre circunstancias acaecidas antes del cierre del respectivo proceso, esto es, del vencimiento del plazo para presentar ofertas</w:t>
      </w:r>
      <w:r>
        <w:rPr>
          <w:rFonts w:ascii="Verdana" w:hAnsi="Verdana" w:cs="Arial"/>
          <w:color w:val="000000"/>
          <w:lang w:val="es-ES_tradnl"/>
        </w:rPr>
        <w:t>”</w:t>
      </w:r>
      <w:r w:rsidRPr="00031AA7">
        <w:rPr>
          <w:rFonts w:ascii="Verdana" w:hAnsi="Verdana" w:cs="Arial"/>
          <w:color w:val="000000"/>
          <w:vertAlign w:val="superscript"/>
          <w:lang w:val="es-ES_tradnl"/>
        </w:rPr>
        <w:footnoteReference w:id="8"/>
      </w:r>
      <w:r w:rsidRPr="00031AA7">
        <w:rPr>
          <w:rFonts w:ascii="Verdana" w:hAnsi="Verdana" w:cs="Arial"/>
          <w:color w:val="000000"/>
          <w:lang w:val="es-ES_tradnl"/>
        </w:rPr>
        <w:t xml:space="preserve">. En tal sentido, esta Subdirección, en concepto emitido en respuesta a la Consulta 4201912000007418 del 30 de octubre de 2019, analizó si era o no posible </w:t>
      </w:r>
      <w:r w:rsidRPr="00031AA7">
        <w:rPr>
          <w:rFonts w:ascii="Verdana" w:hAnsi="Verdana" w:cs="Arial"/>
          <w:color w:val="000000"/>
          <w:lang w:val="es-ES_tradnl"/>
        </w:rPr>
        <w:lastRenderedPageBreak/>
        <w:t>subsanar el RUP vencido, para lo cual precisó el alcance de la prohibición de permitir subsanar circunstancias ocurridas con posterioridad al cierre del procedimiento de selección. En tal sentido, indicó que no es relevante que, al subsanar dichos documentos, su fecha de actualización sea posterior a la del cierre, sino que las circunstancias que acrediten hayan ocurrido antes.</w:t>
      </w:r>
    </w:p>
    <w:p w14:paraId="43809FA7" w14:textId="77777777" w:rsidR="00350155" w:rsidRPr="00031AA7" w:rsidRDefault="00350155" w:rsidP="00350155">
      <w:pPr>
        <w:spacing w:before="120" w:after="120" w:line="276" w:lineRule="auto"/>
        <w:ind w:firstLine="709"/>
        <w:jc w:val="both"/>
        <w:rPr>
          <w:rFonts w:ascii="Verdana" w:hAnsi="Verdana" w:cs="Arial"/>
          <w:color w:val="000000"/>
        </w:rPr>
      </w:pPr>
      <w:r w:rsidRPr="00031AA7">
        <w:rPr>
          <w:rFonts w:ascii="Verdana" w:hAnsi="Verdana" w:cs="Arial"/>
          <w:color w:val="000000"/>
          <w:lang w:val="es-ES_tradnl"/>
        </w:rPr>
        <w:t xml:space="preserve">Esta tesis fue reiterada por la Agencia Nacional de Contratación Pública – Colombia Compra Eficiente en el concepto con radicado </w:t>
      </w:r>
      <w:r w:rsidRPr="00031AA7">
        <w:rPr>
          <w:rFonts w:ascii="Verdana" w:hAnsi="Verdana" w:cs="Arial"/>
          <w:color w:val="000000"/>
        </w:rPr>
        <w:t xml:space="preserve">4201912000008198, en el que indicó que las certificaciones de experiencia que no otorgaran puntaje podían aportarse corregidos o incluso, en reemplazo de las que no cumplieran el requisito habilitante, siempre que en los documentos aportados en la etapa de subsanabilidad no se acreditara experiencia adquirida con posterioridad al cierre del procedimiento de selección. Por tanto, señaló que </w:t>
      </w:r>
      <w:r>
        <w:rPr>
          <w:rFonts w:ascii="Verdana" w:hAnsi="Verdana" w:cs="Arial"/>
          <w:color w:val="000000"/>
        </w:rPr>
        <w:t>“</w:t>
      </w:r>
      <w:r w:rsidRPr="00031AA7">
        <w:rPr>
          <w:rFonts w:ascii="Verdana" w:hAnsi="Verdana" w:cs="Arial"/>
          <w:color w:val="000000"/>
        </w:rPr>
        <w:t>[…] el oferente podrá acreditar su experiencia con certificaciones de contratos diferentes a los inicialmente aportados, siempre que acrediten la experiencia adquirida antes del cierre del proceso</w:t>
      </w:r>
      <w:r>
        <w:rPr>
          <w:rFonts w:ascii="Verdana" w:hAnsi="Verdana" w:cs="Arial"/>
          <w:color w:val="000000"/>
        </w:rPr>
        <w:t>”</w:t>
      </w:r>
      <w:r w:rsidRPr="00031AA7">
        <w:rPr>
          <w:rFonts w:ascii="Verdana" w:hAnsi="Verdana" w:cs="Arial"/>
          <w:color w:val="000000"/>
        </w:rPr>
        <w:t xml:space="preserve">, pero que </w:t>
      </w:r>
      <w:r>
        <w:rPr>
          <w:rFonts w:ascii="Verdana" w:hAnsi="Verdana" w:cs="Arial"/>
          <w:color w:val="000000"/>
        </w:rPr>
        <w:t>“</w:t>
      </w:r>
      <w:r w:rsidRPr="00031AA7">
        <w:rPr>
          <w:rFonts w:ascii="Verdana" w:hAnsi="Verdana" w:cs="Arial"/>
          <w:color w:val="000000"/>
        </w:rPr>
        <w:t>Si las certificaciones prueban que la experiencia del proponente se adquirió con posterioridad al cierre del proceso no se podrá aportar, porque esto implicaría una mejora, adición o complemento de la oferta</w:t>
      </w:r>
      <w:r>
        <w:rPr>
          <w:rFonts w:ascii="Verdana" w:hAnsi="Verdana" w:cs="Arial"/>
          <w:color w:val="000000"/>
        </w:rPr>
        <w:t>”</w:t>
      </w:r>
      <w:r w:rsidRPr="00031AA7">
        <w:rPr>
          <w:rFonts w:ascii="Verdana" w:hAnsi="Verdana" w:cs="Arial"/>
          <w:color w:val="000000"/>
        </w:rPr>
        <w:t xml:space="preserve">. </w:t>
      </w:r>
    </w:p>
    <w:p w14:paraId="38799E0A" w14:textId="77777777" w:rsidR="00350155" w:rsidRPr="00031AA7" w:rsidRDefault="00350155" w:rsidP="00350155">
      <w:pPr>
        <w:spacing w:before="120" w:after="120" w:line="276" w:lineRule="auto"/>
        <w:ind w:firstLine="709"/>
        <w:jc w:val="both"/>
        <w:rPr>
          <w:rFonts w:ascii="Verdana" w:hAnsi="Verdana" w:cs="Arial"/>
          <w:color w:val="000000"/>
        </w:rPr>
      </w:pPr>
      <w:r w:rsidRPr="00031AA7">
        <w:rPr>
          <w:rFonts w:ascii="Verdana" w:hAnsi="Verdana" w:cs="Arial"/>
          <w:color w:val="000000"/>
        </w:rPr>
        <w:t xml:space="preserve">Una reiteración de la postura de esta Subdirección, según la cual la subsanabilidad procede sobre todos aquellos requisitos que no otorguen puntaje, siempre que no se trate de entregar la garantía de seriedad de la oferta no aportada antes del cierre del procedimiento de selección, y bajo la condición de que no se acrediten hechos ocurridos con posterioridad a dicho momento, se encuentra en los conceptos: 2201913000008048 del 28 de octubre de 2019 –que indicó que no era posible, so pretexto de subsanar, modificar el porcentaje de participación en un consorcio o unión temporal, porque esto comportaba cambiar la oferta, acreditando circunstancias posteriores al cierre–; 2201913000008850 del 29 de noviembre de 2019 –en el que sostuvo que un proponente podría subsanar la experiencia, en tanto requisito habilitante, o sea, que no otorgara puntaje, aportando nuevas certificaciones, siempre que con ellas no se probara una experiencia que no se tenía antes del cierre–; </w:t>
      </w:r>
      <w:r w:rsidRPr="00CD4B46">
        <w:rPr>
          <w:rFonts w:ascii="Verdana" w:hAnsi="Verdana" w:cs="Arial"/>
          <w:color w:val="000000"/>
          <w:u w:val="single"/>
        </w:rPr>
        <w:t>2201913000009373 del 17 de diciembre de 2019 –en el cual se expresó que la carta de conformación de un consorcio es un documento subsanable, bajo la condición de que el documento aportado permita constatar que el consorcio se conformó antes del vencimiento del término para la presentación de las propuestas</w:t>
      </w:r>
      <w:r w:rsidRPr="00031AA7">
        <w:rPr>
          <w:rFonts w:ascii="Verdana" w:hAnsi="Verdana" w:cs="Arial"/>
          <w:color w:val="000000"/>
        </w:rPr>
        <w:t xml:space="preserve">–; 2201913000008049 del 28 de octubre de 2019 –en el que se señaló que no es posible variar el porcentaje de participación en una unión </w:t>
      </w:r>
      <w:r w:rsidRPr="00031AA7">
        <w:rPr>
          <w:rFonts w:ascii="Verdana" w:hAnsi="Verdana" w:cs="Arial"/>
          <w:color w:val="000000"/>
        </w:rPr>
        <w:lastRenderedPageBreak/>
        <w:t xml:space="preserve">temporal, porque implicaría una modificación de la oferta y la acreditación de un aspecto que es posterior al cierre del procedimiento de selección–. </w:t>
      </w:r>
    </w:p>
    <w:p w14:paraId="2CB0AD57" w14:textId="77777777" w:rsidR="00350155" w:rsidRDefault="00350155" w:rsidP="00350155">
      <w:pPr>
        <w:spacing w:line="276" w:lineRule="auto"/>
        <w:ind w:firstLine="709"/>
        <w:jc w:val="both"/>
        <w:rPr>
          <w:rFonts w:ascii="Verdana" w:hAnsi="Verdana" w:cs="Arial"/>
          <w:color w:val="000000" w:themeColor="text1"/>
          <w:lang w:val="es-ES"/>
        </w:rPr>
      </w:pPr>
      <w:r w:rsidRPr="00031AA7">
        <w:rPr>
          <w:rFonts w:ascii="Verdana" w:hAnsi="Verdana" w:cs="Arial"/>
          <w:color w:val="000000" w:themeColor="text1"/>
          <w:lang w:val="es-ES"/>
        </w:rPr>
        <w:t xml:space="preserve">Visto lo anterior, una vez verificada la ausencia de requisitos y/o documentos de la oferta, para saber si se puede subsanar, la Administración se debe preguntar, en primer lugar, si lo que hace falta es un documento o información que otorga puntaje o no y, en segundo lugar, si el cumplimiento del requisito constituye una circunstancia ocurrida con anterioridad o con posterioridad al cierre del proceso. Para arribar a la conclusión de que lo omitido puede subsanarse, la respuesta al primer interrogante debe ser negativa, es decir, que lo omitido no sea un factor que otorgue puntaje, y la respuesta al segundo interrogante debe dar cuenta de que lo omitido sea la prueba de una circunstancia o hecho que ocurrió con anterioridad al cierre del proceso. </w:t>
      </w:r>
    </w:p>
    <w:p w14:paraId="10F6B5EE" w14:textId="77777777" w:rsidR="00350155" w:rsidRDefault="00350155" w:rsidP="00350155">
      <w:pPr>
        <w:spacing w:after="0" w:line="276" w:lineRule="auto"/>
        <w:ind w:firstLine="709"/>
        <w:jc w:val="both"/>
        <w:rPr>
          <w:rFonts w:ascii="Verdana" w:eastAsia="Calibri" w:hAnsi="Verdana" w:cs="Arial"/>
          <w:lang w:val="es-ES_tradnl"/>
        </w:rPr>
      </w:pPr>
      <w:r>
        <w:rPr>
          <w:rFonts w:ascii="Verdana" w:hAnsi="Verdana" w:cs="Arial"/>
          <w:color w:val="000000" w:themeColor="text1"/>
          <w:lang w:val="es-ES"/>
        </w:rPr>
        <w:t xml:space="preserve">Por último, </w:t>
      </w:r>
      <w:r>
        <w:rPr>
          <w:rFonts w:ascii="Verdana" w:eastAsia="Arial MT" w:hAnsi="Verdana" w:cs="Arial"/>
          <w:lang w:eastAsia="es-ES" w:bidi="es-ES"/>
        </w:rPr>
        <w:t>la “</w:t>
      </w:r>
      <w:r w:rsidRPr="00754215">
        <w:rPr>
          <w:rFonts w:ascii="Verdana" w:eastAsia="Arial MT" w:hAnsi="Verdana" w:cs="Arial"/>
          <w:lang w:eastAsia="es-ES" w:bidi="es-ES"/>
        </w:rPr>
        <w:t xml:space="preserve">Guía </w:t>
      </w:r>
      <w:r>
        <w:rPr>
          <w:rFonts w:ascii="Verdana" w:eastAsia="Arial MT" w:hAnsi="Verdana" w:cs="Arial"/>
          <w:lang w:eastAsia="es-ES" w:bidi="es-ES"/>
        </w:rPr>
        <w:t>d</w:t>
      </w:r>
      <w:r w:rsidRPr="00754215">
        <w:rPr>
          <w:rFonts w:ascii="Verdana" w:eastAsia="Arial MT" w:hAnsi="Verdana" w:cs="Arial"/>
          <w:lang w:eastAsia="es-ES" w:bidi="es-ES"/>
        </w:rPr>
        <w:t xml:space="preserve">e Creación </w:t>
      </w:r>
      <w:r>
        <w:rPr>
          <w:rFonts w:ascii="Verdana" w:eastAsia="Arial MT" w:hAnsi="Verdana" w:cs="Arial"/>
          <w:lang w:eastAsia="es-ES" w:bidi="es-ES"/>
        </w:rPr>
        <w:t>d</w:t>
      </w:r>
      <w:r w:rsidRPr="00754215">
        <w:rPr>
          <w:rFonts w:ascii="Verdana" w:eastAsia="Arial MT" w:hAnsi="Verdana" w:cs="Arial"/>
          <w:lang w:eastAsia="es-ES" w:bidi="es-ES"/>
        </w:rPr>
        <w:t xml:space="preserve">e Proponentes Plurales </w:t>
      </w:r>
      <w:r>
        <w:rPr>
          <w:rFonts w:ascii="Verdana" w:eastAsia="Arial MT" w:hAnsi="Verdana" w:cs="Arial"/>
          <w:lang w:eastAsia="es-ES" w:bidi="es-ES"/>
        </w:rPr>
        <w:t>e</w:t>
      </w:r>
      <w:r w:rsidRPr="00754215">
        <w:rPr>
          <w:rFonts w:ascii="Verdana" w:eastAsia="Arial MT" w:hAnsi="Verdana" w:cs="Arial"/>
          <w:lang w:eastAsia="es-ES" w:bidi="es-ES"/>
        </w:rPr>
        <w:t xml:space="preserve">n </w:t>
      </w:r>
      <w:r>
        <w:rPr>
          <w:rFonts w:ascii="Verdana" w:eastAsia="Arial MT" w:hAnsi="Verdana" w:cs="Arial"/>
          <w:lang w:eastAsia="es-ES" w:bidi="es-ES"/>
        </w:rPr>
        <w:t>e</w:t>
      </w:r>
      <w:r w:rsidRPr="00754215">
        <w:rPr>
          <w:rFonts w:ascii="Verdana" w:eastAsia="Arial MT" w:hAnsi="Verdana" w:cs="Arial"/>
          <w:lang w:eastAsia="es-ES" w:bidi="es-ES"/>
        </w:rPr>
        <w:t>l SECOP II</w:t>
      </w:r>
      <w:r>
        <w:rPr>
          <w:rFonts w:ascii="Verdana" w:eastAsia="Arial MT" w:hAnsi="Verdana" w:cs="Arial"/>
          <w:lang w:eastAsia="es-ES" w:bidi="es-ES"/>
        </w:rPr>
        <w:t xml:space="preserve">” condensa las </w:t>
      </w:r>
      <w:r w:rsidRPr="00B90992">
        <w:rPr>
          <w:rFonts w:ascii="Verdana" w:eastAsia="Arial MT" w:hAnsi="Verdana" w:cs="Arial"/>
          <w:lang w:eastAsia="es-ES" w:bidi="es-ES"/>
        </w:rPr>
        <w:t>prácticas oficiales del uso</w:t>
      </w:r>
      <w:r>
        <w:rPr>
          <w:rFonts w:ascii="Verdana" w:eastAsia="Arial MT" w:hAnsi="Verdana" w:cs="Arial"/>
          <w:lang w:eastAsia="es-ES" w:bidi="es-ES"/>
        </w:rPr>
        <w:t xml:space="preserve"> </w:t>
      </w:r>
      <w:r w:rsidRPr="00B90992">
        <w:rPr>
          <w:rFonts w:ascii="Verdana" w:eastAsia="Arial MT" w:hAnsi="Verdana" w:cs="Arial"/>
          <w:lang w:eastAsia="es-ES" w:bidi="es-ES"/>
        </w:rPr>
        <w:t>técnico y funcional del Sistema Electrónico para la Contratación Pública-SECOP II</w:t>
      </w:r>
      <w:r>
        <w:rPr>
          <w:rFonts w:ascii="Verdana" w:eastAsia="Arial MT" w:hAnsi="Verdana" w:cs="Arial"/>
          <w:lang w:eastAsia="es-ES" w:bidi="es-ES"/>
        </w:rPr>
        <w:t xml:space="preserve">. En ese orden, el literal d) </w:t>
      </w:r>
      <w:r w:rsidRPr="005A3FFF">
        <w:rPr>
          <w:rFonts w:ascii="Verdana" w:eastAsia="Arial MT" w:hAnsi="Verdana" w:cs="Arial"/>
          <w:i/>
          <w:iCs/>
          <w:lang w:eastAsia="es-ES" w:bidi="es-ES"/>
        </w:rPr>
        <w:t>Documentos Relacionados</w:t>
      </w:r>
      <w:r>
        <w:rPr>
          <w:rFonts w:ascii="Verdana" w:eastAsia="Arial MT" w:hAnsi="Verdana" w:cs="Arial"/>
          <w:lang w:eastAsia="es-ES" w:bidi="es-ES"/>
        </w:rPr>
        <w:t xml:space="preserve"> informa sobre el uso debido de la plataforma que brinda explicación técnica sobre el registro y cargue de la información requerida. Sin embargo, no podrían predicarse de estas recomendaciones de carácter técnico una acepción a causal de rechazo, en virtud de que, como se viene sosteniendo, aquellas </w:t>
      </w:r>
      <w:r w:rsidRPr="00F217FD">
        <w:rPr>
          <w:rFonts w:ascii="Verdana" w:eastAsia="Calibri" w:hAnsi="Verdana" w:cs="Arial"/>
          <w:lang w:val="es-ES_tradnl"/>
        </w:rPr>
        <w:t xml:space="preserve">son las establecidas en la Ley y las fijadas </w:t>
      </w:r>
      <w:r>
        <w:rPr>
          <w:rFonts w:ascii="Verdana" w:eastAsia="Calibri" w:hAnsi="Verdana" w:cs="Arial"/>
          <w:lang w:val="es-ES_tradnl"/>
        </w:rPr>
        <w:t>el en Documento Base del documento tipo respectivo.</w:t>
      </w:r>
    </w:p>
    <w:p w14:paraId="63AE1E56" w14:textId="77777777" w:rsidR="00350155" w:rsidRPr="00BE151B" w:rsidRDefault="00350155" w:rsidP="00350155">
      <w:pPr>
        <w:spacing w:after="0" w:line="276" w:lineRule="auto"/>
        <w:ind w:firstLine="709"/>
        <w:jc w:val="both"/>
        <w:rPr>
          <w:rFonts w:ascii="Verdana" w:eastAsia="Calibri" w:hAnsi="Verdana" w:cs="Arial"/>
          <w:sz w:val="21"/>
          <w:szCs w:val="21"/>
        </w:rPr>
      </w:pPr>
    </w:p>
    <w:p w14:paraId="29CEAFE5" w14:textId="77777777" w:rsidR="00350155" w:rsidRPr="00BE151B" w:rsidRDefault="00350155" w:rsidP="00350155">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4. Referencias normativas, jurisprudenciales y otras fuentes:</w:t>
      </w:r>
    </w:p>
    <w:p w14:paraId="793EB82F" w14:textId="77777777" w:rsidR="00350155" w:rsidRPr="00BE151B" w:rsidRDefault="00350155" w:rsidP="00350155">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350155" w:rsidRPr="00C029DB" w14:paraId="1A7BDB2F" w14:textId="77777777" w:rsidTr="00F31FB3">
        <w:trPr>
          <w:trHeight w:val="870"/>
        </w:trPr>
        <w:tc>
          <w:tcPr>
            <w:tcW w:w="8647" w:type="dxa"/>
          </w:tcPr>
          <w:p w14:paraId="762CD4AA" w14:textId="77777777" w:rsidR="00350155" w:rsidRPr="00F217FD" w:rsidRDefault="00350155" w:rsidP="00350155">
            <w:pPr>
              <w:widowControl w:val="0"/>
              <w:numPr>
                <w:ilvl w:val="0"/>
                <w:numId w:val="1"/>
              </w:numPr>
              <w:autoSpaceDE w:val="0"/>
              <w:autoSpaceDN w:val="0"/>
              <w:spacing w:after="120" w:line="276" w:lineRule="auto"/>
              <w:jc w:val="both"/>
              <w:rPr>
                <w:rFonts w:ascii="Verdana" w:eastAsia="Calibri" w:hAnsi="Verdana" w:cs="Arial"/>
              </w:rPr>
            </w:pPr>
            <w:r w:rsidRPr="00F217FD">
              <w:rPr>
                <w:rFonts w:ascii="Verdana" w:eastAsia="Calibri" w:hAnsi="Verdana" w:cs="Arial"/>
              </w:rPr>
              <w:t>Ley 2022 de 2020, artículo 1.</w:t>
            </w:r>
          </w:p>
          <w:p w14:paraId="30E765AF" w14:textId="77777777" w:rsidR="00350155" w:rsidRPr="00F217FD" w:rsidRDefault="00350155" w:rsidP="00350155">
            <w:pPr>
              <w:widowControl w:val="0"/>
              <w:numPr>
                <w:ilvl w:val="0"/>
                <w:numId w:val="1"/>
              </w:numPr>
              <w:autoSpaceDE w:val="0"/>
              <w:autoSpaceDN w:val="0"/>
              <w:spacing w:after="120" w:line="276" w:lineRule="auto"/>
              <w:jc w:val="both"/>
              <w:rPr>
                <w:rFonts w:ascii="Verdana" w:eastAsia="Calibri" w:hAnsi="Verdana" w:cs="Arial"/>
              </w:rPr>
            </w:pPr>
            <w:r w:rsidRPr="00F217FD">
              <w:rPr>
                <w:rFonts w:ascii="Verdana" w:eastAsia="Aptos" w:hAnsi="Verdana" w:cs="Arial"/>
                <w:color w:val="000000"/>
                <w:lang w:val="es-ES_tradnl"/>
              </w:rPr>
              <w:t>Ley 80 de 1993, artículo 25.15.</w:t>
            </w:r>
          </w:p>
          <w:p w14:paraId="3834C204" w14:textId="77777777" w:rsidR="00350155" w:rsidRPr="00F217FD" w:rsidRDefault="00350155" w:rsidP="00350155">
            <w:pPr>
              <w:widowControl w:val="0"/>
              <w:numPr>
                <w:ilvl w:val="0"/>
                <w:numId w:val="1"/>
              </w:numPr>
              <w:autoSpaceDE w:val="0"/>
              <w:autoSpaceDN w:val="0"/>
              <w:spacing w:after="120" w:line="276" w:lineRule="auto"/>
              <w:jc w:val="both"/>
              <w:rPr>
                <w:rFonts w:ascii="Verdana" w:eastAsia="Calibri" w:hAnsi="Verdana" w:cs="Arial"/>
              </w:rPr>
            </w:pPr>
            <w:r w:rsidRPr="00F217FD">
              <w:rPr>
                <w:rFonts w:ascii="Verdana" w:eastAsia="Aptos" w:hAnsi="Verdana" w:cs="Arial"/>
                <w:color w:val="000000"/>
                <w:lang w:val="es-ES_tradnl"/>
              </w:rPr>
              <w:t>Ley 1150 de 2007, artículo 5.</w:t>
            </w:r>
          </w:p>
          <w:p w14:paraId="5B03EC51" w14:textId="77777777" w:rsidR="00350155" w:rsidRDefault="00350155" w:rsidP="00F31FB3">
            <w:pPr>
              <w:pStyle w:val="Prrafodelista"/>
              <w:widowControl w:val="0"/>
              <w:tabs>
                <w:tab w:val="left" w:pos="8419"/>
              </w:tabs>
              <w:autoSpaceDE w:val="0"/>
              <w:autoSpaceDN w:val="0"/>
              <w:spacing w:line="276" w:lineRule="auto"/>
              <w:jc w:val="both"/>
              <w:rPr>
                <w:rFonts w:ascii="Verdana" w:eastAsia="Calibri" w:hAnsi="Verdana" w:cs="Arial"/>
              </w:rPr>
            </w:pPr>
            <w:r w:rsidRPr="00F217FD">
              <w:rPr>
                <w:rFonts w:ascii="Verdana" w:eastAsia="Calibri" w:hAnsi="Verdana" w:cs="Arial"/>
              </w:rPr>
              <w:t xml:space="preserve">Documentos tipo de licitación de obra pública de infraestructura de transporte –versión </w:t>
            </w:r>
            <w:r>
              <w:rPr>
                <w:rFonts w:ascii="Verdana" w:eastAsia="Calibri" w:hAnsi="Verdana" w:cs="Arial"/>
              </w:rPr>
              <w:t>4</w:t>
            </w:r>
            <w:r w:rsidRPr="00F217FD">
              <w:rPr>
                <w:rFonts w:ascii="Verdana" w:eastAsia="Calibri" w:hAnsi="Verdana" w:cs="Arial"/>
              </w:rPr>
              <w:t xml:space="preserve">–. Resolución </w:t>
            </w:r>
            <w:r>
              <w:rPr>
                <w:rFonts w:ascii="Verdana" w:eastAsia="Calibri" w:hAnsi="Verdana" w:cs="Arial"/>
              </w:rPr>
              <w:t>465</w:t>
            </w:r>
            <w:r w:rsidRPr="00F217FD">
              <w:rPr>
                <w:rFonts w:ascii="Verdana" w:eastAsia="Calibri" w:hAnsi="Verdana" w:cs="Arial"/>
              </w:rPr>
              <w:t xml:space="preserve"> de 202</w:t>
            </w:r>
            <w:r>
              <w:rPr>
                <w:rFonts w:ascii="Verdana" w:eastAsia="Calibri" w:hAnsi="Verdana" w:cs="Arial"/>
              </w:rPr>
              <w:t>4</w:t>
            </w:r>
            <w:r w:rsidRPr="00F217FD">
              <w:rPr>
                <w:rFonts w:ascii="Verdana" w:eastAsia="Calibri" w:hAnsi="Verdana" w:cs="Arial"/>
              </w:rPr>
              <w:t xml:space="preserve"> de la Agencia Nacional de Contratación Pública – Colombia Compra Eficiente. Disponible en:</w:t>
            </w:r>
          </w:p>
          <w:p w14:paraId="408DC999" w14:textId="77777777" w:rsidR="00350155" w:rsidRPr="006D4BCE" w:rsidRDefault="00350155" w:rsidP="00F31FB3">
            <w:pPr>
              <w:pStyle w:val="Prrafodelista"/>
              <w:widowControl w:val="0"/>
              <w:tabs>
                <w:tab w:val="left" w:pos="8419"/>
              </w:tabs>
              <w:autoSpaceDE w:val="0"/>
              <w:autoSpaceDN w:val="0"/>
              <w:spacing w:line="276" w:lineRule="auto"/>
              <w:jc w:val="both"/>
              <w:rPr>
                <w:rFonts w:ascii="Verdana" w:hAnsi="Verdana" w:cs="Arial"/>
              </w:rPr>
            </w:pPr>
            <w:hyperlink r:id="rId9" w:history="1">
              <w:r w:rsidRPr="0011014B">
                <w:rPr>
                  <w:rStyle w:val="Hipervnculo"/>
                  <w:rFonts w:ascii="Verdana" w:eastAsia="Calibri" w:hAnsi="Verdana" w:cs="Arial"/>
                </w:rPr>
                <w:t>https://www.colombiacompra.gov.co/content/documentos-tipo-para-licitacion-de-obra-publica-de-infraestructura-de-transporte-version-04</w:t>
              </w:r>
            </w:hyperlink>
            <w:r>
              <w:rPr>
                <w:rFonts w:ascii="Verdana" w:eastAsia="Calibri" w:hAnsi="Verdana" w:cs="Arial"/>
              </w:rPr>
              <w:t xml:space="preserve">  </w:t>
            </w:r>
            <w:r>
              <w:t xml:space="preserve"> </w:t>
            </w:r>
          </w:p>
        </w:tc>
      </w:tr>
    </w:tbl>
    <w:p w14:paraId="1C94636E" w14:textId="77777777" w:rsidR="00350155" w:rsidRPr="007A2584" w:rsidRDefault="00350155" w:rsidP="00350155">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03B74623" w14:textId="77777777" w:rsidR="00350155" w:rsidRPr="00BE151B" w:rsidRDefault="00350155" w:rsidP="00350155">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290A51A8" w14:textId="77777777" w:rsidR="00350155" w:rsidRPr="00BE151B" w:rsidRDefault="00350155" w:rsidP="00350155">
      <w:pPr>
        <w:spacing w:after="0" w:line="276" w:lineRule="auto"/>
        <w:ind w:firstLine="709"/>
        <w:jc w:val="both"/>
        <w:rPr>
          <w:rFonts w:ascii="Verdana" w:eastAsia="Times New Roman" w:hAnsi="Verdana" w:cs="Arial"/>
          <w:szCs w:val="24"/>
          <w:lang w:eastAsia="es-ES_tradnl"/>
        </w:rPr>
      </w:pPr>
    </w:p>
    <w:p w14:paraId="0BEB6291" w14:textId="77777777" w:rsidR="00350155" w:rsidRDefault="00350155" w:rsidP="00350155">
      <w:pPr>
        <w:widowControl w:val="0"/>
        <w:autoSpaceDE w:val="0"/>
        <w:autoSpaceDN w:val="0"/>
        <w:spacing w:after="0" w:line="276" w:lineRule="auto"/>
        <w:jc w:val="both"/>
        <w:rPr>
          <w:rStyle w:val="normaltextrun"/>
          <w:rFonts w:ascii="Verdana" w:hAnsi="Verdana"/>
          <w:color w:val="000000"/>
        </w:rPr>
      </w:pPr>
      <w:r w:rsidRPr="00F217FD">
        <w:rPr>
          <w:rFonts w:ascii="Verdana" w:eastAsia="Calibri" w:hAnsi="Verdana" w:cs="Arial"/>
          <w:shd w:val="clear" w:color="auto" w:fill="FFFFFF"/>
          <w:lang w:val="es-ES"/>
        </w:rPr>
        <w:t xml:space="preserve">La Agencia Nacional de Contratación Pública − Colombia Compra Eficiente se pronunció sobre las causales de rechazo incorporadas en los pliegos de condiciones, en los conceptos 2201913000007117 del 25 de septiembre de 2019, 2201913000009538 del 23 de diciembre de 2019, C- 716 del 30 de octubre de 2020, C-096 del 24 de marzo de 2021, C-056 del 20 de abril de 2021, C-078 del 15 de marzo de 2022, C-321 del 17 de mayo de 2022, C-113 del 22 de marzo de 2022, C-178, C-186 del 12 de abril de 2022, C-406 del 2 de octubre de 2023, </w:t>
      </w:r>
      <w:r>
        <w:rPr>
          <w:rFonts w:ascii="Verdana" w:eastAsia="Calibri" w:hAnsi="Verdana" w:cs="Arial"/>
          <w:shd w:val="clear" w:color="auto" w:fill="FFFFFF"/>
          <w:lang w:val="es-ES"/>
        </w:rPr>
        <w:t xml:space="preserve">C-128 del 2 de agosto de 2024, </w:t>
      </w:r>
      <w:r w:rsidRPr="00F217FD">
        <w:rPr>
          <w:rFonts w:ascii="Verdana" w:eastAsia="Calibri" w:hAnsi="Verdana" w:cs="Arial"/>
          <w:shd w:val="clear" w:color="auto" w:fill="FFFFFF"/>
          <w:lang w:val="es-ES"/>
        </w:rPr>
        <w:t>entre otros</w:t>
      </w:r>
      <w:r>
        <w:rPr>
          <w:rStyle w:val="normaltextrun"/>
          <w:rFonts w:ascii="Verdana" w:hAnsi="Verdana"/>
          <w:color w:val="000000"/>
        </w:rPr>
        <w:t>. Estos y otros se encuentran disponibles para consulta en el Sistema de relatoría de la Agencia, al cual puede accederse a través del siguiente enlace:</w:t>
      </w:r>
    </w:p>
    <w:p w14:paraId="6031018E" w14:textId="77777777" w:rsidR="00350155" w:rsidRDefault="00350155" w:rsidP="00350155">
      <w:pPr>
        <w:widowControl w:val="0"/>
        <w:autoSpaceDE w:val="0"/>
        <w:autoSpaceDN w:val="0"/>
        <w:spacing w:after="0" w:line="276" w:lineRule="auto"/>
        <w:jc w:val="both"/>
        <w:rPr>
          <w:rStyle w:val="normaltextrun"/>
          <w:rFonts w:ascii="Verdana" w:hAnsi="Verdana"/>
          <w:color w:val="000000"/>
        </w:rPr>
      </w:pPr>
    </w:p>
    <w:p w14:paraId="53159D38" w14:textId="77777777" w:rsidR="00350155" w:rsidRDefault="00350155" w:rsidP="00350155">
      <w:pPr>
        <w:widowControl w:val="0"/>
        <w:autoSpaceDE w:val="0"/>
        <w:autoSpaceDN w:val="0"/>
        <w:spacing w:after="0" w:line="276" w:lineRule="auto"/>
        <w:jc w:val="both"/>
        <w:rPr>
          <w:rFonts w:ascii="Verdana" w:eastAsia="Calibri" w:hAnsi="Verdana" w:cs="Arial"/>
          <w:lang w:eastAsia="es-ES_tradnl"/>
        </w:rPr>
      </w:pPr>
      <w:hyperlink r:id="rId10" w:tooltip="Dirección URL original: https://relatoria.colombiacompra.gov.co/. Haga clic o pulse si confía en este vínculo." w:history="1">
        <w:r w:rsidRPr="00321438">
          <w:rPr>
            <w:rStyle w:val="Hipervnculo"/>
            <w:rFonts w:ascii="Verdana" w:eastAsia="Calibri" w:hAnsi="Verdana" w:cs="Arial"/>
            <w:lang w:eastAsia="es-ES_tradnl"/>
          </w:rPr>
          <w:t>https://relatoria.colombiacompra.gov.co/</w:t>
        </w:r>
      </w:hyperlink>
      <w:r w:rsidRPr="00321438">
        <w:rPr>
          <w:rFonts w:ascii="Verdana" w:eastAsia="Calibri" w:hAnsi="Verdana" w:cs="Arial"/>
          <w:lang w:eastAsia="es-ES_tradnl"/>
        </w:rPr>
        <w:t> </w:t>
      </w:r>
    </w:p>
    <w:p w14:paraId="7F3D581D" w14:textId="77777777" w:rsidR="00350155" w:rsidRDefault="00350155" w:rsidP="00350155">
      <w:pPr>
        <w:widowControl w:val="0"/>
        <w:autoSpaceDE w:val="0"/>
        <w:autoSpaceDN w:val="0"/>
        <w:spacing w:after="0" w:line="276" w:lineRule="auto"/>
        <w:jc w:val="both"/>
        <w:rPr>
          <w:rFonts w:ascii="Verdana" w:eastAsia="Calibri" w:hAnsi="Verdana" w:cs="Arial"/>
          <w:lang w:eastAsia="es-ES_tradnl"/>
        </w:rPr>
      </w:pPr>
    </w:p>
    <w:p w14:paraId="6F6A4A84" w14:textId="77777777" w:rsidR="00350155" w:rsidRDefault="00350155" w:rsidP="00350155">
      <w:pPr>
        <w:spacing w:after="0" w:line="276" w:lineRule="auto"/>
        <w:jc w:val="both"/>
        <w:rPr>
          <w:rFonts w:ascii="Verdana" w:eastAsia="Calibri" w:hAnsi="Verdana" w:cs="Arial"/>
          <w:shd w:val="clear" w:color="auto" w:fill="FFFFFF"/>
          <w:lang w:val="es-ES"/>
        </w:rPr>
      </w:pPr>
      <w:r w:rsidRPr="003871F0">
        <w:rPr>
          <w:rFonts w:ascii="Verdana" w:eastAsia="Calibri" w:hAnsi="Verdana" w:cs="Arial"/>
          <w:shd w:val="clear" w:color="auto" w:fill="FFFFFF"/>
          <w:lang w:val="es-ES"/>
        </w:rPr>
        <w:t>Le informamos que ya se encuentra disponible la actualización del Manual de Acuerdos Comerciales en Procesos de Contratación. Esta herramienta ofrece una orientación valiosa para que las entidades públicas determinen los acuerdos comerciales que deben incluir en sus procesos contractuales. Puede consultar la versión actualizada en el siguiente enlace:</w:t>
      </w:r>
    </w:p>
    <w:p w14:paraId="5BB99F11" w14:textId="77777777" w:rsidR="00350155" w:rsidRDefault="00350155" w:rsidP="00350155">
      <w:pPr>
        <w:spacing w:after="0" w:line="240" w:lineRule="auto"/>
        <w:jc w:val="both"/>
        <w:rPr>
          <w:rFonts w:ascii="Verdana" w:eastAsia="Calibri" w:hAnsi="Verdana" w:cs="Arial"/>
          <w:shd w:val="clear" w:color="auto" w:fill="FFFFFF"/>
          <w:lang w:val="es-ES"/>
        </w:rPr>
      </w:pPr>
    </w:p>
    <w:p w14:paraId="7B18256A" w14:textId="77777777" w:rsidR="00350155" w:rsidRDefault="00350155" w:rsidP="00350155">
      <w:pPr>
        <w:spacing w:after="0" w:line="240" w:lineRule="auto"/>
        <w:jc w:val="both"/>
        <w:rPr>
          <w:rFonts w:ascii="Verdana" w:eastAsia="Calibri" w:hAnsi="Verdana" w:cs="Arial"/>
          <w:lang w:eastAsia="es-ES_tradnl"/>
        </w:rPr>
      </w:pPr>
      <w:hyperlink r:id="rId11" w:tgtFrame="_blank" w:tooltip="https://www.colombiacompra.gov.co/sites/cce_public/files/cce_documents/manual_para_el_manejo_de_acuerdos_comerciales_vf.pdf" w:history="1">
        <w:r w:rsidRPr="003871F0">
          <w:rPr>
            <w:rStyle w:val="Hipervnculo"/>
            <w:rFonts w:ascii="Verdana" w:eastAsia="Calibri" w:hAnsi="Verdana" w:cs="Arial"/>
            <w:lang w:eastAsia="es-ES_tradnl"/>
          </w:rPr>
          <w:t>manual_para_el_manejo_de_acuerdos_comerciales_vf.pdf</w:t>
        </w:r>
      </w:hyperlink>
    </w:p>
    <w:p w14:paraId="68605655" w14:textId="77777777" w:rsidR="00350155" w:rsidRPr="003871F0" w:rsidRDefault="00350155" w:rsidP="00350155">
      <w:pPr>
        <w:spacing w:after="0" w:line="240" w:lineRule="auto"/>
        <w:jc w:val="both"/>
        <w:rPr>
          <w:rFonts w:ascii="Verdana" w:eastAsia="Calibri" w:hAnsi="Verdana" w:cs="Arial"/>
          <w:lang w:eastAsia="es-ES_tradnl"/>
        </w:rPr>
      </w:pPr>
    </w:p>
    <w:p w14:paraId="52DCDA69" w14:textId="77777777" w:rsidR="00350155" w:rsidRDefault="00350155" w:rsidP="00350155">
      <w:pPr>
        <w:spacing w:after="0" w:line="276" w:lineRule="auto"/>
        <w:jc w:val="both"/>
        <w:rPr>
          <w:rFonts w:ascii="Verdana" w:eastAsia="Calibri" w:hAnsi="Verdana" w:cs="Arial"/>
          <w:shd w:val="clear" w:color="auto" w:fill="FFFFFF"/>
          <w:lang w:val="es-ES"/>
        </w:rPr>
      </w:pPr>
      <w:r w:rsidRPr="003871F0">
        <w:rPr>
          <w:rFonts w:ascii="Verdana" w:eastAsia="Calibri" w:hAnsi="Verdana" w:cs="Arial"/>
          <w:shd w:val="clear" w:color="auto" w:fill="FFFFFF"/>
          <w:lang w:val="es-ES"/>
        </w:rPr>
        <w:t>De otra parte, te contamos que ya publicamos el borrador de la nueva Guía para Incentivar la Participación de Mujeres en el Sistema de Compras y Contratación Pública. Conoce el documento y realiza tus comentarios hasta el 2 de diciembre de 2024 a través de estos enlaces:</w:t>
      </w:r>
    </w:p>
    <w:p w14:paraId="7DB3DEAF" w14:textId="77777777" w:rsidR="00350155" w:rsidRPr="003871F0" w:rsidRDefault="00350155" w:rsidP="00350155">
      <w:pPr>
        <w:spacing w:after="0" w:line="276" w:lineRule="auto"/>
        <w:jc w:val="both"/>
        <w:rPr>
          <w:rFonts w:ascii="Verdana" w:eastAsia="Calibri" w:hAnsi="Verdana" w:cs="Arial"/>
          <w:shd w:val="clear" w:color="auto" w:fill="FFFFFF"/>
          <w:lang w:val="es-ES"/>
        </w:rPr>
      </w:pPr>
    </w:p>
    <w:p w14:paraId="7872D908" w14:textId="77777777" w:rsidR="00350155" w:rsidRDefault="00350155" w:rsidP="00350155">
      <w:pPr>
        <w:tabs>
          <w:tab w:val="num" w:pos="720"/>
        </w:tabs>
        <w:spacing w:after="0" w:line="276" w:lineRule="auto"/>
        <w:jc w:val="both"/>
        <w:rPr>
          <w:rFonts w:ascii="Verdana" w:eastAsia="Calibri" w:hAnsi="Verdana" w:cs="Arial"/>
          <w:lang w:eastAsia="es-ES_tradnl"/>
        </w:rPr>
      </w:pPr>
      <w:r>
        <w:rPr>
          <w:rFonts w:ascii="Verdana" w:eastAsia="Calibri" w:hAnsi="Verdana" w:cs="Arial"/>
          <w:shd w:val="clear" w:color="auto" w:fill="FFFFFF"/>
          <w:lang w:val="es-ES"/>
        </w:rPr>
        <w:t>P</w:t>
      </w:r>
      <w:r w:rsidRPr="003871F0">
        <w:rPr>
          <w:rFonts w:ascii="Verdana" w:eastAsia="Calibri" w:hAnsi="Verdana" w:cs="Arial"/>
          <w:shd w:val="clear" w:color="auto" w:fill="FFFFFF"/>
          <w:lang w:val="es-ES"/>
        </w:rPr>
        <w:t>ágina</w:t>
      </w:r>
      <w:r w:rsidRPr="003871F0">
        <w:rPr>
          <w:rFonts w:ascii="Verdana" w:eastAsia="Calibri" w:hAnsi="Verdana" w:cs="Arial"/>
          <w:lang w:eastAsia="es-ES_tradnl"/>
        </w:rPr>
        <w:t xml:space="preserve"> ANCP-CCE:</w:t>
      </w:r>
    </w:p>
    <w:p w14:paraId="68FCF2AD" w14:textId="77777777" w:rsidR="00350155" w:rsidRDefault="00350155" w:rsidP="00350155">
      <w:pPr>
        <w:tabs>
          <w:tab w:val="num" w:pos="720"/>
        </w:tabs>
        <w:spacing w:after="0" w:line="276" w:lineRule="auto"/>
        <w:jc w:val="both"/>
        <w:rPr>
          <w:rFonts w:ascii="Verdana" w:eastAsia="Calibri" w:hAnsi="Verdana" w:cs="Arial"/>
          <w:lang w:eastAsia="es-ES_tradnl"/>
        </w:rPr>
      </w:pPr>
    </w:p>
    <w:p w14:paraId="4AF6D0E8" w14:textId="77777777" w:rsidR="00350155" w:rsidRPr="003871F0" w:rsidRDefault="00350155" w:rsidP="00350155">
      <w:pPr>
        <w:tabs>
          <w:tab w:val="num" w:pos="720"/>
        </w:tabs>
        <w:spacing w:after="0" w:line="276" w:lineRule="auto"/>
        <w:jc w:val="both"/>
        <w:rPr>
          <w:rFonts w:ascii="Verdana" w:eastAsia="Calibri" w:hAnsi="Verdana" w:cs="Arial"/>
          <w:lang w:eastAsia="es-ES_tradnl"/>
        </w:rPr>
      </w:pPr>
      <w:hyperlink r:id="rId12" w:tgtFrame="_blank" w:tooltip="https://www.colombiacompra.gov.co/content/convocatorias" w:history="1">
        <w:r w:rsidRPr="003871F0">
          <w:rPr>
            <w:rStyle w:val="Hipervnculo"/>
            <w:rFonts w:ascii="Verdana" w:eastAsia="Calibri" w:hAnsi="Verdana" w:cs="Arial"/>
            <w:lang w:eastAsia="es-ES_tradnl"/>
          </w:rPr>
          <w:t>https://www.colombiacompra.gov.co/content/convocatorias</w:t>
        </w:r>
      </w:hyperlink>
    </w:p>
    <w:p w14:paraId="79B929FF" w14:textId="77777777" w:rsidR="00350155" w:rsidRPr="005A05A8" w:rsidRDefault="00350155" w:rsidP="00350155">
      <w:pPr>
        <w:spacing w:after="0" w:line="240" w:lineRule="auto"/>
        <w:jc w:val="both"/>
        <w:rPr>
          <w:rFonts w:ascii="Verdana" w:eastAsia="Calibri" w:hAnsi="Verdana" w:cs="Arial"/>
          <w:lang w:val="es-ES" w:eastAsia="es-ES_tradnl"/>
        </w:rPr>
      </w:pPr>
    </w:p>
    <w:p w14:paraId="4F8D140C" w14:textId="77777777" w:rsidR="00350155" w:rsidRPr="005A05A8" w:rsidRDefault="00350155" w:rsidP="00350155">
      <w:pPr>
        <w:spacing w:after="0" w:line="240" w:lineRule="auto"/>
        <w:jc w:val="both"/>
        <w:rPr>
          <w:rFonts w:ascii="Verdana" w:eastAsia="Calibri" w:hAnsi="Verdana" w:cs="Arial"/>
          <w:lang w:val="es-ES" w:eastAsia="es-ES_tradnl"/>
        </w:rPr>
      </w:pPr>
      <w:r w:rsidRPr="005A05A8">
        <w:rPr>
          <w:rFonts w:ascii="Verdana" w:eastAsia="Calibri" w:hAnsi="Verdana" w:cs="Arial"/>
          <w:lang w:val="es-ES" w:eastAsia="es-ES_tradnl"/>
        </w:rPr>
        <w:t>SUCOP:  </w:t>
      </w:r>
    </w:p>
    <w:p w14:paraId="7246E64D" w14:textId="77777777" w:rsidR="00350155" w:rsidRPr="005A05A8" w:rsidRDefault="00350155" w:rsidP="00350155">
      <w:pPr>
        <w:spacing w:after="0" w:line="240" w:lineRule="auto"/>
        <w:jc w:val="both"/>
        <w:rPr>
          <w:rFonts w:ascii="Verdana" w:eastAsia="Calibri" w:hAnsi="Verdana" w:cs="Arial"/>
          <w:lang w:val="es-ES" w:eastAsia="es-ES_tradnl"/>
        </w:rPr>
      </w:pPr>
    </w:p>
    <w:p w14:paraId="24FDFEED" w14:textId="77777777" w:rsidR="00350155" w:rsidRPr="005A05A8" w:rsidRDefault="00350155" w:rsidP="00350155">
      <w:pPr>
        <w:spacing w:after="0" w:line="240" w:lineRule="auto"/>
        <w:jc w:val="both"/>
        <w:rPr>
          <w:rFonts w:ascii="Verdana" w:eastAsia="Calibri" w:hAnsi="Verdana" w:cs="Arial"/>
          <w:lang w:val="es-ES" w:eastAsia="es-ES_tradnl"/>
        </w:rPr>
      </w:pPr>
      <w:hyperlink r:id="rId13" w:history="1">
        <w:r w:rsidRPr="005A05A8">
          <w:rPr>
            <w:rStyle w:val="Hipervnculo"/>
            <w:rFonts w:ascii="Verdana" w:eastAsia="Calibri" w:hAnsi="Verdana" w:cs="Arial"/>
            <w:lang w:val="es-ES" w:eastAsia="es-ES_tradnl"/>
          </w:rPr>
          <w:t>https://www.sucop.gov.co/entidades/colombiacompra/Normativa?IDNorma=19201</w:t>
        </w:r>
      </w:hyperlink>
    </w:p>
    <w:p w14:paraId="3F2993C1" w14:textId="77777777" w:rsidR="00350155" w:rsidRPr="005A05A8" w:rsidRDefault="00350155" w:rsidP="00350155">
      <w:pPr>
        <w:spacing w:after="0" w:line="240" w:lineRule="auto"/>
        <w:jc w:val="both"/>
        <w:rPr>
          <w:rFonts w:ascii="Verdana" w:eastAsia="Calibri" w:hAnsi="Verdana" w:cs="Arial"/>
          <w:lang w:val="es-ES" w:eastAsia="es-ES_tradnl"/>
        </w:rPr>
      </w:pPr>
      <w:r w:rsidRPr="005A05A8">
        <w:rPr>
          <w:rFonts w:ascii="Verdana" w:eastAsia="Calibri" w:hAnsi="Verdana" w:cs="Arial"/>
          <w:lang w:val="es-ES" w:eastAsia="es-ES_tradnl"/>
        </w:rPr>
        <w:t> </w:t>
      </w:r>
    </w:p>
    <w:p w14:paraId="39161BCB" w14:textId="77777777" w:rsidR="00350155" w:rsidRDefault="00350155" w:rsidP="00350155">
      <w:pPr>
        <w:spacing w:after="0" w:line="240" w:lineRule="auto"/>
        <w:jc w:val="both"/>
        <w:rPr>
          <w:rFonts w:ascii="Verdana" w:eastAsia="Calibri" w:hAnsi="Verdana" w:cs="Arial"/>
          <w:lang w:eastAsia="es-ES_tradnl"/>
        </w:rPr>
      </w:pPr>
      <w:r w:rsidRPr="003871F0">
        <w:rPr>
          <w:rFonts w:ascii="Verdana" w:eastAsia="Calibri" w:hAnsi="Verdana" w:cs="Arial"/>
          <w:lang w:eastAsia="es-ES_tradnl"/>
        </w:rPr>
        <w:t xml:space="preserve">También le invitamos a consultar la versión VII de 2024, del Boletín de Relatoría de la Subdirección de Gestión Contractual relacionado con las ASOCIACIONES PÚBLICO POPULARES , el cual se puede descargar en la página web de la Agencia: </w:t>
      </w:r>
    </w:p>
    <w:p w14:paraId="20351BEE" w14:textId="77777777" w:rsidR="00350155" w:rsidRDefault="00350155" w:rsidP="00350155">
      <w:pPr>
        <w:spacing w:after="0" w:line="240" w:lineRule="auto"/>
        <w:jc w:val="both"/>
        <w:rPr>
          <w:rFonts w:ascii="Verdana" w:eastAsia="Calibri" w:hAnsi="Verdana" w:cs="Arial"/>
          <w:lang w:eastAsia="es-ES_tradnl"/>
        </w:rPr>
      </w:pPr>
    </w:p>
    <w:p w14:paraId="307D437E" w14:textId="77777777" w:rsidR="00350155" w:rsidRDefault="00350155" w:rsidP="00350155">
      <w:pPr>
        <w:spacing w:after="0" w:line="240" w:lineRule="auto"/>
        <w:jc w:val="both"/>
        <w:rPr>
          <w:rFonts w:ascii="Verdana" w:eastAsia="Calibri" w:hAnsi="Verdana" w:cs="Arial"/>
          <w:lang w:eastAsia="es-ES_tradnl"/>
        </w:rPr>
      </w:pPr>
      <w:hyperlink r:id="rId14" w:history="1">
        <w:r w:rsidRPr="0011014B">
          <w:rPr>
            <w:rStyle w:val="Hipervnculo"/>
            <w:rFonts w:ascii="Verdana" w:eastAsia="Calibri" w:hAnsi="Verdana" w:cs="Arial"/>
            <w:lang w:eastAsia="es-ES_tradnl"/>
          </w:rPr>
          <w:t>https://www.colombiacompra.gov.co/sala-de-prensa/boletin-digital</w:t>
        </w:r>
      </w:hyperlink>
      <w:r w:rsidRPr="003871F0">
        <w:rPr>
          <w:rFonts w:ascii="Verdana" w:eastAsia="Calibri" w:hAnsi="Verdana" w:cs="Arial"/>
          <w:lang w:eastAsia="es-ES_tradnl"/>
        </w:rPr>
        <w:t> </w:t>
      </w:r>
    </w:p>
    <w:p w14:paraId="5092FDEE" w14:textId="77777777" w:rsidR="00350155" w:rsidRPr="00BE151B" w:rsidRDefault="00350155" w:rsidP="00350155">
      <w:pPr>
        <w:spacing w:after="0" w:line="240" w:lineRule="auto"/>
        <w:jc w:val="both"/>
        <w:rPr>
          <w:rFonts w:ascii="Verdana" w:hAnsi="Verdana"/>
        </w:rPr>
      </w:pPr>
    </w:p>
    <w:p w14:paraId="32248667" w14:textId="77777777" w:rsidR="00350155" w:rsidRPr="00BE151B" w:rsidRDefault="00350155" w:rsidP="00350155">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3E44E952" w14:textId="77777777" w:rsidR="00350155" w:rsidRPr="00BE151B" w:rsidRDefault="00350155" w:rsidP="00350155">
      <w:pPr>
        <w:spacing w:after="0" w:line="240" w:lineRule="auto"/>
        <w:jc w:val="both"/>
        <w:rPr>
          <w:rFonts w:ascii="Verdana" w:hAnsi="Verdana"/>
        </w:rPr>
      </w:pPr>
    </w:p>
    <w:p w14:paraId="74B7C8B3" w14:textId="77777777" w:rsidR="00350155" w:rsidRPr="00BE151B" w:rsidRDefault="00350155" w:rsidP="00350155">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499B7A08" w14:textId="77777777" w:rsidR="00350155" w:rsidRPr="00BE151B" w:rsidRDefault="00350155" w:rsidP="00350155">
      <w:pPr>
        <w:spacing w:after="0" w:line="240" w:lineRule="auto"/>
        <w:jc w:val="both"/>
        <w:rPr>
          <w:rFonts w:ascii="Verdana" w:hAnsi="Verdana"/>
        </w:rPr>
      </w:pPr>
      <w:r w:rsidRPr="00BE151B">
        <w:rPr>
          <w:rFonts w:ascii="Verdana" w:hAnsi="Verdana"/>
        </w:rPr>
        <w:t xml:space="preserve">Facebook: </w:t>
      </w:r>
      <w:r w:rsidRPr="00BE151B">
        <w:rPr>
          <w:rStyle w:val="Hipervnculo"/>
          <w:rFonts w:ascii="Verdana" w:hAnsi="Verdana"/>
          <w:color w:val="4472C4" w:themeColor="accent1"/>
        </w:rPr>
        <w:t>ColombiaCompraEficiente</w:t>
      </w:r>
    </w:p>
    <w:p w14:paraId="6CA55A3F" w14:textId="77777777" w:rsidR="00350155" w:rsidRPr="00BE151B" w:rsidRDefault="00350155" w:rsidP="00350155">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1E841ED2" w14:textId="77777777" w:rsidR="00350155" w:rsidRPr="00BE151B" w:rsidRDefault="00350155" w:rsidP="00350155">
      <w:pPr>
        <w:widowControl w:val="0"/>
        <w:autoSpaceDE w:val="0"/>
        <w:autoSpaceDN w:val="0"/>
        <w:spacing w:after="0" w:line="276" w:lineRule="auto"/>
        <w:jc w:val="both"/>
        <w:rPr>
          <w:rFonts w:ascii="Verdana" w:hAnsi="Verdana"/>
        </w:rPr>
      </w:pPr>
    </w:p>
    <w:p w14:paraId="4D9F228C" w14:textId="77777777" w:rsidR="00350155" w:rsidRPr="00BE151B" w:rsidRDefault="00350155" w:rsidP="00350155">
      <w:pPr>
        <w:widowControl w:val="0"/>
        <w:autoSpaceDE w:val="0"/>
        <w:autoSpaceDN w:val="0"/>
        <w:spacing w:after="0" w:line="276" w:lineRule="auto"/>
        <w:jc w:val="both"/>
        <w:rPr>
          <w:rFonts w:ascii="Verdana" w:hAnsi="Verdana" w:cs="Arial"/>
        </w:rPr>
      </w:pPr>
      <w:r w:rsidRPr="00BE151B">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6CFD40E7" w14:textId="77777777" w:rsidR="00350155" w:rsidRPr="00BE151B" w:rsidRDefault="00350155" w:rsidP="00350155">
      <w:pPr>
        <w:spacing w:after="0" w:line="276" w:lineRule="auto"/>
        <w:ind w:firstLine="709"/>
        <w:jc w:val="both"/>
        <w:rPr>
          <w:rFonts w:ascii="Verdana" w:eastAsia="Times New Roman" w:hAnsi="Verdana" w:cs="Arial"/>
          <w:szCs w:val="24"/>
          <w:lang w:eastAsia="es-ES_tradnl"/>
        </w:rPr>
      </w:pPr>
    </w:p>
    <w:p w14:paraId="4AAFDB46" w14:textId="77777777" w:rsidR="00350155" w:rsidRPr="00BE151B" w:rsidRDefault="00350155" w:rsidP="00350155">
      <w:pPr>
        <w:spacing w:after="0" w:line="276" w:lineRule="auto"/>
        <w:jc w:val="both"/>
        <w:rPr>
          <w:rFonts w:ascii="Verdana" w:eastAsia="Times New Roman" w:hAnsi="Verdana" w:cs="Arial"/>
          <w:lang w:eastAsia="es-CO"/>
        </w:rPr>
      </w:pPr>
      <w:bookmarkStart w:id="2" w:name="_Hlk117695077"/>
      <w:r w:rsidRPr="00BE151B">
        <w:rPr>
          <w:rFonts w:ascii="Verdana" w:eastAsia="Times New Roman" w:hAnsi="Verdana" w:cs="Arial"/>
          <w:lang w:eastAsia="es-CO"/>
        </w:rPr>
        <w:t>Atentamente,</w:t>
      </w:r>
    </w:p>
    <w:bookmarkEnd w:id="2"/>
    <w:p w14:paraId="577BE1EC" w14:textId="7B23FB4A" w:rsidR="00350155" w:rsidRPr="00BE151B" w:rsidRDefault="000D394B" w:rsidP="00350155">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2E6C4BC8" wp14:editId="0BA401EA">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5"/>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350155" w:rsidRPr="00BE151B" w14:paraId="48D044A1" w14:textId="77777777" w:rsidTr="00F31FB3">
        <w:trPr>
          <w:trHeight w:val="286"/>
        </w:trPr>
        <w:tc>
          <w:tcPr>
            <w:tcW w:w="893" w:type="dxa"/>
            <w:vAlign w:val="center"/>
            <w:hideMark/>
          </w:tcPr>
          <w:p w14:paraId="4696FE3D" w14:textId="77777777" w:rsidR="00350155" w:rsidRPr="00BE151B" w:rsidRDefault="00350155"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29A44C65" w14:textId="77777777" w:rsidR="00350155" w:rsidRPr="00BE151B" w:rsidRDefault="00350155" w:rsidP="00F31FB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1F137731" w14:textId="77777777" w:rsidR="00350155" w:rsidRPr="00BE151B" w:rsidRDefault="00350155"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BE151B">
              <w:rPr>
                <w:rFonts w:ascii="Verdana" w:eastAsia="Times New Roman" w:hAnsi="Verdana" w:cs="Arial"/>
                <w:sz w:val="16"/>
                <w:szCs w:val="16"/>
                <w:lang w:eastAsia="es-ES"/>
              </w:rPr>
              <w:t>-</w:t>
            </w:r>
            <w:r>
              <w:rPr>
                <w:rFonts w:ascii="Verdana" w:eastAsia="Times New Roman" w:hAnsi="Verdana" w:cs="Arial"/>
                <w:sz w:val="16"/>
                <w:szCs w:val="16"/>
                <w:lang w:eastAsia="es-ES"/>
              </w:rPr>
              <w:t xml:space="preserve">01 </w:t>
            </w:r>
            <w:r w:rsidRPr="00BE151B">
              <w:rPr>
                <w:rFonts w:ascii="Verdana" w:eastAsia="Times New Roman" w:hAnsi="Verdana" w:cs="Arial"/>
                <w:sz w:val="16"/>
                <w:szCs w:val="16"/>
                <w:lang w:eastAsia="es-ES"/>
              </w:rPr>
              <w:t>de la Subdirección de Gestión Contractual</w:t>
            </w:r>
          </w:p>
        </w:tc>
      </w:tr>
      <w:tr w:rsidR="00350155" w:rsidRPr="00BE151B" w14:paraId="61349D6A" w14:textId="77777777" w:rsidTr="00F31FB3">
        <w:trPr>
          <w:trHeight w:val="299"/>
        </w:trPr>
        <w:tc>
          <w:tcPr>
            <w:tcW w:w="893" w:type="dxa"/>
            <w:vAlign w:val="center"/>
            <w:hideMark/>
          </w:tcPr>
          <w:p w14:paraId="78E5A64F" w14:textId="77777777" w:rsidR="00350155" w:rsidRPr="00BE151B" w:rsidRDefault="00350155"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1D2A0C07" w14:textId="77777777" w:rsidR="00350155" w:rsidRPr="00BE151B" w:rsidRDefault="00350155" w:rsidP="00F31FB3">
            <w:pPr>
              <w:rPr>
                <w:rFonts w:ascii="Verdana" w:eastAsia="Times New Roman" w:hAnsi="Verdana" w:cs="Arial"/>
                <w:sz w:val="16"/>
                <w:szCs w:val="16"/>
                <w:lang w:eastAsia="es-ES"/>
              </w:rPr>
            </w:pPr>
            <w:r>
              <w:rPr>
                <w:rFonts w:ascii="Verdana" w:eastAsia="Times New Roman" w:hAnsi="Verdana" w:cs="Arial"/>
                <w:sz w:val="16"/>
                <w:szCs w:val="16"/>
                <w:lang w:eastAsia="es-ES"/>
              </w:rPr>
              <w:t>Juan David Cárdenas Cabeza</w:t>
            </w:r>
          </w:p>
          <w:p w14:paraId="711C2E99" w14:textId="77777777" w:rsidR="00350155" w:rsidRPr="00BE151B" w:rsidRDefault="00350155" w:rsidP="00F31FB3">
            <w:pPr>
              <w:rPr>
                <w:rFonts w:ascii="Verdana" w:eastAsia="Times New Roman" w:hAnsi="Verdana" w:cs="Arial"/>
                <w:sz w:val="14"/>
                <w:szCs w:val="14"/>
                <w:lang w:eastAsia="es-ES"/>
              </w:rPr>
            </w:pPr>
            <w:r>
              <w:rPr>
                <w:rFonts w:ascii="Verdana" w:eastAsia="Times New Roman" w:hAnsi="Verdana" w:cs="Arial"/>
                <w:sz w:val="16"/>
                <w:szCs w:val="16"/>
                <w:lang w:eastAsia="es-ES"/>
              </w:rPr>
              <w:t xml:space="preserve">Contratista </w:t>
            </w:r>
            <w:r w:rsidRPr="00BE151B">
              <w:rPr>
                <w:rFonts w:ascii="Verdana" w:eastAsia="Times New Roman" w:hAnsi="Verdana" w:cs="Arial"/>
                <w:sz w:val="16"/>
                <w:szCs w:val="16"/>
                <w:lang w:eastAsia="es-ES"/>
              </w:rPr>
              <w:t>de la Subdirección de Gestión Contractual</w:t>
            </w:r>
          </w:p>
        </w:tc>
      </w:tr>
      <w:tr w:rsidR="00350155" w:rsidRPr="00BE151B" w14:paraId="330502D6" w14:textId="77777777" w:rsidTr="00F31FB3">
        <w:trPr>
          <w:trHeight w:val="272"/>
        </w:trPr>
        <w:tc>
          <w:tcPr>
            <w:tcW w:w="893" w:type="dxa"/>
            <w:vAlign w:val="center"/>
            <w:hideMark/>
          </w:tcPr>
          <w:p w14:paraId="3A87D2D6" w14:textId="77777777" w:rsidR="00350155" w:rsidRPr="00BE151B" w:rsidRDefault="00350155"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07B021BB" w14:textId="77777777" w:rsidR="00350155" w:rsidRPr="00BE151B" w:rsidRDefault="00350155" w:rsidP="00F31FB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0B0AA913" w14:textId="77777777" w:rsidR="00350155" w:rsidRPr="00BE151B" w:rsidRDefault="00350155"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624AA9C7" w14:textId="77777777" w:rsidR="00350155" w:rsidRPr="00BE151B" w:rsidRDefault="00350155" w:rsidP="00350155">
      <w:pPr>
        <w:spacing w:after="0" w:line="276" w:lineRule="auto"/>
        <w:jc w:val="both"/>
        <w:rPr>
          <w:rFonts w:ascii="Verdana" w:eastAsia="Times New Roman" w:hAnsi="Verdana" w:cs="Arial"/>
        </w:rPr>
      </w:pPr>
    </w:p>
    <w:p w14:paraId="65600F8E" w14:textId="77777777" w:rsidR="00350155" w:rsidRDefault="00350155" w:rsidP="00350155"/>
    <w:p w14:paraId="3141B9BE" w14:textId="77777777" w:rsidR="00350155" w:rsidRPr="00906961" w:rsidRDefault="00350155" w:rsidP="00350155"/>
    <w:p w14:paraId="417F6ADE" w14:textId="77777777" w:rsidR="00350155" w:rsidRPr="007A2584" w:rsidRDefault="00350155" w:rsidP="00350155"/>
    <w:p w14:paraId="3A03CEED" w14:textId="77777777" w:rsidR="00C24FFE" w:rsidRDefault="00C24FFE"/>
    <w:sectPr w:rsidR="00C24FFE" w:rsidSect="00350155">
      <w:headerReference w:type="default" r:id="rId16"/>
      <w:footerReference w:type="default" r:id="rId17"/>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87998" w14:textId="77777777" w:rsidR="008359E2" w:rsidRDefault="008359E2" w:rsidP="00350155">
      <w:pPr>
        <w:spacing w:after="0" w:line="240" w:lineRule="auto"/>
      </w:pPr>
      <w:r>
        <w:separator/>
      </w:r>
    </w:p>
  </w:endnote>
  <w:endnote w:type="continuationSeparator" w:id="0">
    <w:p w14:paraId="13CF0D84" w14:textId="77777777" w:rsidR="008359E2" w:rsidRDefault="008359E2" w:rsidP="0035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CB01A" w14:textId="77777777" w:rsidR="0014060D" w:rsidRDefault="0014060D">
    <w:pPr>
      <w:pStyle w:val="Piedepgina"/>
    </w:pPr>
  </w:p>
  <w:p w14:paraId="50ECC77C" w14:textId="77777777" w:rsidR="0014060D"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26ADCB6C" w14:textId="77777777" w:rsidR="0014060D"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461ACDF" w14:textId="77777777" w:rsidR="0014060D"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6231E185" w14:textId="77777777" w:rsidR="0014060D"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4CC3E" w14:textId="77777777" w:rsidR="008359E2" w:rsidRDefault="008359E2" w:rsidP="00350155">
      <w:pPr>
        <w:spacing w:after="0" w:line="240" w:lineRule="auto"/>
      </w:pPr>
      <w:r>
        <w:separator/>
      </w:r>
    </w:p>
  </w:footnote>
  <w:footnote w:type="continuationSeparator" w:id="0">
    <w:p w14:paraId="55E84E05" w14:textId="77777777" w:rsidR="008359E2" w:rsidRDefault="008359E2" w:rsidP="00350155">
      <w:pPr>
        <w:spacing w:after="0" w:line="240" w:lineRule="auto"/>
      </w:pPr>
      <w:r>
        <w:continuationSeparator/>
      </w:r>
    </w:p>
  </w:footnote>
  <w:footnote w:id="1">
    <w:p w14:paraId="1A994C73" w14:textId="77777777" w:rsidR="00350155" w:rsidRPr="00144FD9" w:rsidRDefault="00350155" w:rsidP="00350155">
      <w:pPr>
        <w:pStyle w:val="Textonotapie"/>
        <w:ind w:firstLine="709"/>
        <w:jc w:val="both"/>
        <w:rPr>
          <w:rFonts w:ascii="Verdana" w:eastAsia="Times New Roman" w:hAnsi="Verdana" w:cs="Arial"/>
          <w:sz w:val="14"/>
          <w:szCs w:val="14"/>
          <w:lang w:val="es-CO" w:eastAsia="es-CO"/>
        </w:rPr>
      </w:pPr>
      <w:r w:rsidRPr="00144FD9">
        <w:rPr>
          <w:rStyle w:val="Refdenotaalpie"/>
          <w:rFonts w:ascii="Verdana" w:hAnsi="Verdana" w:cs="Arial"/>
          <w:sz w:val="14"/>
          <w:szCs w:val="14"/>
        </w:rPr>
        <w:footnoteRef/>
      </w:r>
      <w:r w:rsidRPr="00144FD9">
        <w:rPr>
          <w:rFonts w:ascii="Verdana" w:hAnsi="Verdana" w:cs="Arial"/>
          <w:sz w:val="14"/>
          <w:szCs w:val="14"/>
        </w:rPr>
        <w:t xml:space="preserve"> </w:t>
      </w:r>
      <w:r w:rsidRPr="00144FD9">
        <w:rPr>
          <w:rFonts w:ascii="Verdana" w:eastAsia="Times New Roman" w:hAnsi="Verdana" w:cs="Arial"/>
          <w:sz w:val="14"/>
          <w:szCs w:val="14"/>
          <w:lang w:val="es-CO" w:eastAsia="es-CO"/>
        </w:rPr>
        <w:t>Consejo de Estado. Sección Tercera. Sentencia del 27 de abril de 2011. Exp. 18.293. C.P. Ruth Stella Correa Palacio.</w:t>
      </w:r>
    </w:p>
  </w:footnote>
  <w:footnote w:id="2">
    <w:p w14:paraId="06169153" w14:textId="77777777" w:rsidR="00350155" w:rsidRPr="00144FD9" w:rsidRDefault="00350155" w:rsidP="00350155">
      <w:pPr>
        <w:pStyle w:val="Textonotapie"/>
        <w:ind w:firstLine="709"/>
        <w:jc w:val="both"/>
        <w:rPr>
          <w:rFonts w:ascii="Verdana" w:eastAsia="Times New Roman" w:hAnsi="Verdana" w:cs="Arial"/>
          <w:sz w:val="14"/>
          <w:szCs w:val="14"/>
          <w:lang w:val="es-CO" w:eastAsia="es-CO"/>
        </w:rPr>
      </w:pPr>
      <w:r w:rsidRPr="00144FD9">
        <w:rPr>
          <w:rStyle w:val="Refdenotaalpie"/>
          <w:rFonts w:ascii="Verdana" w:hAnsi="Verdana" w:cs="Arial"/>
          <w:sz w:val="14"/>
          <w:szCs w:val="14"/>
        </w:rPr>
        <w:footnoteRef/>
      </w:r>
      <w:r w:rsidRPr="00144FD9">
        <w:rPr>
          <w:rFonts w:ascii="Verdana" w:hAnsi="Verdana" w:cs="Arial"/>
          <w:sz w:val="14"/>
          <w:szCs w:val="14"/>
        </w:rPr>
        <w:t xml:space="preserve"> </w:t>
      </w:r>
      <w:r w:rsidRPr="00144FD9">
        <w:rPr>
          <w:rFonts w:ascii="Verdana" w:eastAsia="Times New Roman" w:hAnsi="Verdana" w:cs="Arial"/>
          <w:sz w:val="14"/>
          <w:szCs w:val="14"/>
          <w:lang w:val="es-CO" w:eastAsia="es-CO"/>
        </w:rPr>
        <w:t>Consejo de Estado. Sección Tercera. Sentencia del 21 de noviembre de 2013 Exp. 25397. C.P. Carlos Alberto Zambrano Barrera.</w:t>
      </w:r>
    </w:p>
    <w:p w14:paraId="2AD1E3D0" w14:textId="77777777" w:rsidR="00350155" w:rsidRPr="00144FD9" w:rsidRDefault="00350155" w:rsidP="00350155">
      <w:pPr>
        <w:pStyle w:val="Textonotapie"/>
        <w:ind w:firstLine="709"/>
        <w:jc w:val="both"/>
        <w:rPr>
          <w:rFonts w:ascii="Verdana" w:eastAsia="Calibri" w:hAnsi="Verdana" w:cs="Arial"/>
          <w:sz w:val="14"/>
          <w:szCs w:val="14"/>
          <w:lang w:val="es-CO"/>
        </w:rPr>
      </w:pPr>
    </w:p>
  </w:footnote>
  <w:footnote w:id="3">
    <w:p w14:paraId="511D610D" w14:textId="77777777" w:rsidR="00350155" w:rsidRPr="00144FD9" w:rsidRDefault="00350155" w:rsidP="00350155">
      <w:pPr>
        <w:pStyle w:val="Textonotapie"/>
        <w:ind w:firstLine="709"/>
        <w:jc w:val="both"/>
        <w:rPr>
          <w:rFonts w:ascii="Verdana" w:hAnsi="Verdana" w:cs="Arial"/>
          <w:sz w:val="14"/>
          <w:szCs w:val="14"/>
          <w:lang w:val="es-CO"/>
        </w:rPr>
      </w:pPr>
      <w:r w:rsidRPr="00144FD9">
        <w:rPr>
          <w:rStyle w:val="Refdenotaalpie"/>
          <w:rFonts w:ascii="Verdana" w:hAnsi="Verdana" w:cs="Arial"/>
          <w:sz w:val="14"/>
          <w:szCs w:val="14"/>
        </w:rPr>
        <w:footnoteRef/>
      </w:r>
      <w:r w:rsidRPr="00144FD9">
        <w:rPr>
          <w:rFonts w:ascii="Verdana" w:hAnsi="Verdana" w:cs="Arial"/>
          <w:sz w:val="14"/>
          <w:szCs w:val="14"/>
        </w:rPr>
        <w:t xml:space="preserve"> </w:t>
      </w:r>
      <w:r w:rsidRPr="00144FD9">
        <w:rPr>
          <w:rFonts w:ascii="Verdana" w:hAnsi="Verdana" w:cs="Arial"/>
          <w:sz w:val="14"/>
          <w:szCs w:val="14"/>
          <w:lang w:val="es-CO"/>
        </w:rPr>
        <w:t>Al respecto esta Agencia ha manifestado: “[…] Como se consideró en los conceptos del 25 de septiembre y el 23 de diciembre de 2019 −radicados Nos. 2201913000007117 y 2201913000009538−, las causales de rechazo de ofertas consagradas en los documentos tipo son taxativas, descartándose que la entidad introduzca causales, salvo, que estén contempladas en otras disposiciones normativas. Igualmente, por la naturaleza de las causales de rechazo, su aplicación es estricta, lo que –a juicio de la Agencia Nacional de Contratación Pública– significa que su interpretación gramatical prevalece sobre una interpretación extensiva o de otra índole, mediante la cual se pretenda ampliar su alcance”. Concepto C-642 del 30 de octubre de 2020. Radicado de entrada No. 4202013000008306. Radicado de salida No. 2202013000010785.</w:t>
      </w:r>
    </w:p>
    <w:p w14:paraId="6F211C4B" w14:textId="77777777" w:rsidR="00350155" w:rsidRPr="00144FD9" w:rsidRDefault="00350155" w:rsidP="00350155">
      <w:pPr>
        <w:pStyle w:val="Textonotapie"/>
        <w:ind w:firstLine="709"/>
        <w:jc w:val="both"/>
        <w:rPr>
          <w:rFonts w:ascii="Verdana" w:hAnsi="Verdana" w:cs="Arial"/>
          <w:sz w:val="14"/>
          <w:szCs w:val="14"/>
          <w:lang w:val="es-CO"/>
        </w:rPr>
      </w:pPr>
    </w:p>
  </w:footnote>
  <w:footnote w:id="4">
    <w:p w14:paraId="64474AA7" w14:textId="77777777" w:rsidR="00350155" w:rsidRDefault="00350155" w:rsidP="00350155">
      <w:pPr>
        <w:pStyle w:val="Textonotapie"/>
        <w:ind w:firstLine="708"/>
        <w:jc w:val="both"/>
        <w:rPr>
          <w:rFonts w:ascii="Verdana" w:hAnsi="Verdana" w:cs="Arial"/>
          <w:sz w:val="14"/>
          <w:szCs w:val="14"/>
        </w:rPr>
      </w:pPr>
      <w:r w:rsidRPr="00144FD9">
        <w:rPr>
          <w:rStyle w:val="Refdenotaalpie"/>
          <w:rFonts w:ascii="Verdana" w:hAnsi="Verdana" w:cs="Arial"/>
          <w:sz w:val="14"/>
          <w:szCs w:val="14"/>
        </w:rPr>
        <w:footnoteRef/>
      </w:r>
      <w:r w:rsidRPr="00144FD9">
        <w:rPr>
          <w:rFonts w:ascii="Verdana" w:hAnsi="Verdana" w:cs="Arial"/>
          <w:sz w:val="14"/>
          <w:szCs w:val="14"/>
        </w:rPr>
        <w:t xml:space="preserve"> </w:t>
      </w:r>
      <w:r>
        <w:rPr>
          <w:rFonts w:ascii="Verdana" w:hAnsi="Verdana" w:cs="Arial"/>
          <w:sz w:val="14"/>
          <w:szCs w:val="14"/>
        </w:rPr>
        <w:t>“</w:t>
      </w:r>
      <w:r w:rsidRPr="00144FD9">
        <w:rPr>
          <w:rFonts w:ascii="Verdana" w:hAnsi="Verdana" w:cs="Arial"/>
          <w:sz w:val="14"/>
          <w:szCs w:val="14"/>
        </w:rPr>
        <w:t>Artículo 2.2.1.2.6.1.4. Inalterabilidad de los Documentos Tipo. [Adicionado por el artículo 1 del Decreto 342 del 5 de marzo de 2019] Las entidades estatales contratantes no podrán incluir o modificar dentro de los Documentos del Proceso las condiciones habilitantes, los factores técnicos y económicos de escogencia y los sistemas de ponderación distintos a los señalados en los Documentos Tipo</w:t>
      </w:r>
      <w:r>
        <w:rPr>
          <w:rFonts w:ascii="Verdana" w:hAnsi="Verdana" w:cs="Arial"/>
          <w:sz w:val="14"/>
          <w:szCs w:val="14"/>
        </w:rPr>
        <w:t>”</w:t>
      </w:r>
      <w:r w:rsidRPr="00144FD9">
        <w:rPr>
          <w:rFonts w:ascii="Verdana" w:hAnsi="Verdana" w:cs="Arial"/>
          <w:sz w:val="14"/>
          <w:szCs w:val="14"/>
        </w:rPr>
        <w:t>.</w:t>
      </w:r>
    </w:p>
    <w:p w14:paraId="1E07C79B" w14:textId="77777777" w:rsidR="00350155" w:rsidRPr="00144FD9" w:rsidRDefault="00350155" w:rsidP="00350155">
      <w:pPr>
        <w:pStyle w:val="Textonotapie"/>
        <w:ind w:firstLine="708"/>
        <w:jc w:val="both"/>
        <w:rPr>
          <w:rFonts w:ascii="Verdana" w:hAnsi="Verdana" w:cs="Arial"/>
          <w:sz w:val="14"/>
          <w:szCs w:val="14"/>
          <w:lang w:val="es-CO"/>
        </w:rPr>
      </w:pPr>
    </w:p>
  </w:footnote>
  <w:footnote w:id="5">
    <w:p w14:paraId="2B813E1B" w14:textId="77777777" w:rsidR="00350155" w:rsidRPr="00144FD9" w:rsidRDefault="00350155" w:rsidP="00350155">
      <w:pPr>
        <w:pBdr>
          <w:top w:val="nil"/>
          <w:left w:val="nil"/>
          <w:bottom w:val="nil"/>
          <w:right w:val="nil"/>
          <w:between w:val="nil"/>
        </w:pBdr>
        <w:spacing w:after="0" w:line="240" w:lineRule="auto"/>
        <w:ind w:firstLine="709"/>
        <w:jc w:val="both"/>
        <w:rPr>
          <w:rFonts w:ascii="Verdana" w:eastAsia="Arial" w:hAnsi="Verdana" w:cs="Arial"/>
          <w:color w:val="000000"/>
          <w:sz w:val="14"/>
          <w:szCs w:val="14"/>
        </w:rPr>
      </w:pPr>
      <w:r w:rsidRPr="00144FD9">
        <w:rPr>
          <w:rFonts w:ascii="Verdana" w:hAnsi="Verdana" w:cs="Arial"/>
          <w:sz w:val="14"/>
          <w:szCs w:val="14"/>
          <w:vertAlign w:val="superscript"/>
        </w:rPr>
        <w:footnoteRef/>
      </w:r>
      <w:r w:rsidRPr="00144FD9">
        <w:rPr>
          <w:rFonts w:ascii="Verdana" w:eastAsia="Arial" w:hAnsi="Verdana" w:cs="Arial"/>
          <w:color w:val="000000"/>
          <w:sz w:val="14"/>
          <w:szCs w:val="14"/>
        </w:rPr>
        <w:t xml:space="preserve"> Al respecto, conviene recordar el artículo 29 de la Ley 80 de 1993, derogado por el artículo 32 de la Ley 1150 de 2007, que establecía: “La selección de contratistas será objetiva.</w:t>
      </w:r>
    </w:p>
    <w:p w14:paraId="18385F83" w14:textId="77777777" w:rsidR="00350155" w:rsidRPr="00144FD9" w:rsidRDefault="00350155" w:rsidP="00350155">
      <w:pPr>
        <w:pBdr>
          <w:top w:val="nil"/>
          <w:left w:val="nil"/>
          <w:bottom w:val="nil"/>
          <w:right w:val="nil"/>
          <w:between w:val="nil"/>
        </w:pBdr>
        <w:spacing w:after="0" w:line="240" w:lineRule="auto"/>
        <w:ind w:firstLine="709"/>
        <w:jc w:val="both"/>
        <w:rPr>
          <w:rFonts w:ascii="Verdana" w:eastAsia="Arial" w:hAnsi="Verdana" w:cs="Arial"/>
          <w:color w:val="000000"/>
          <w:sz w:val="14"/>
          <w:szCs w:val="14"/>
        </w:rPr>
      </w:pPr>
      <w:r w:rsidRPr="00144FD9">
        <w:rPr>
          <w:rFonts w:ascii="Verdana" w:eastAsia="Arial" w:hAnsi="Verdana" w:cs="Arial"/>
          <w:color w:val="000000"/>
          <w:sz w:val="14"/>
          <w:szCs w:val="14"/>
        </w:rPr>
        <w:t>Es objetiva la selección en la cual la escogencia se hace al ofrecimiento más favorable a la entidad y a los fines que ella busca, sin tener en consideración factores de afecto o de interés y, en general, cualquier clase de motivación subjetiva.</w:t>
      </w:r>
    </w:p>
    <w:p w14:paraId="45B4E5ED" w14:textId="77777777" w:rsidR="00350155" w:rsidRPr="00144FD9" w:rsidRDefault="00350155" w:rsidP="00350155">
      <w:pPr>
        <w:pBdr>
          <w:top w:val="nil"/>
          <w:left w:val="nil"/>
          <w:bottom w:val="nil"/>
          <w:right w:val="nil"/>
          <w:between w:val="nil"/>
        </w:pBdr>
        <w:spacing w:after="0" w:line="240" w:lineRule="auto"/>
        <w:ind w:firstLine="709"/>
        <w:jc w:val="both"/>
        <w:rPr>
          <w:rFonts w:ascii="Verdana" w:eastAsia="Arial" w:hAnsi="Verdana" w:cs="Arial"/>
          <w:color w:val="000000"/>
          <w:sz w:val="14"/>
          <w:szCs w:val="14"/>
        </w:rPr>
      </w:pPr>
      <w:r w:rsidRPr="00144FD9">
        <w:rPr>
          <w:rFonts w:ascii="Verdana" w:eastAsia="Arial" w:hAnsi="Verdana" w:cs="Arial"/>
          <w:color w:val="000000"/>
          <w:sz w:val="14"/>
          <w:szCs w:val="14"/>
        </w:rPr>
        <w:t>Ofrecimiento más favorable es aquel que, teniendo en cuenta los factores de escogencia, tales como cumplimiento, experiencia, organización, equipos, plazo, precio y la ponderación precisa, detallada y concreta de los mismos, contenida en los pliegos de condiciones o términos de referencia o en el análisis previo a la suscripción del contrato, si se trata de contratación directa, resulta ser el más ventajoso para la entidad, sin que la favorabilidad la constituyan factores diferentes a los contenidos en dichos documentos, sólo alguno de ellos, el más bajo precio o el plazo ofrecido. El menor plazo que se ofrezca inferior al solicitado en los pliegos, no será objeto de evaluación”.</w:t>
      </w:r>
    </w:p>
    <w:p w14:paraId="47E59DEC" w14:textId="77777777" w:rsidR="00350155" w:rsidRPr="00144FD9" w:rsidRDefault="00350155" w:rsidP="00350155">
      <w:pPr>
        <w:pBdr>
          <w:top w:val="nil"/>
          <w:left w:val="nil"/>
          <w:bottom w:val="nil"/>
          <w:right w:val="nil"/>
          <w:between w:val="nil"/>
        </w:pBdr>
        <w:spacing w:after="0" w:line="240" w:lineRule="auto"/>
        <w:ind w:firstLine="709"/>
        <w:jc w:val="both"/>
        <w:rPr>
          <w:rFonts w:ascii="Verdana" w:eastAsia="Arial" w:hAnsi="Verdana" w:cs="Arial"/>
          <w:color w:val="000000"/>
          <w:sz w:val="14"/>
          <w:szCs w:val="14"/>
        </w:rPr>
      </w:pPr>
      <w:r w:rsidRPr="00144FD9">
        <w:rPr>
          <w:rFonts w:ascii="Verdana" w:eastAsia="Arial" w:hAnsi="Verdana" w:cs="Arial"/>
          <w:color w:val="000000"/>
          <w:sz w:val="14"/>
          <w:szCs w:val="14"/>
        </w:rPr>
        <w:t>El administrador efectuará las comparaciones del caso mediante el cotejo de los diferentes ofrecimientos recibidos, la consulta de precios o condiciones del mercado y los estudios y deducciones de la entidad o de los organismos consultores o asesores designados para ello.</w:t>
      </w:r>
    </w:p>
    <w:p w14:paraId="4EE844FE" w14:textId="77777777" w:rsidR="00350155" w:rsidRPr="00144FD9" w:rsidRDefault="00350155" w:rsidP="00350155">
      <w:pPr>
        <w:pBdr>
          <w:top w:val="nil"/>
          <w:left w:val="nil"/>
          <w:bottom w:val="nil"/>
          <w:right w:val="nil"/>
          <w:between w:val="nil"/>
        </w:pBdr>
        <w:spacing w:after="0" w:line="240" w:lineRule="auto"/>
        <w:ind w:firstLine="709"/>
        <w:jc w:val="both"/>
        <w:rPr>
          <w:rFonts w:ascii="Verdana" w:eastAsia="Arial" w:hAnsi="Verdana" w:cs="Arial"/>
          <w:color w:val="000000"/>
          <w:sz w:val="14"/>
          <w:szCs w:val="14"/>
        </w:rPr>
      </w:pPr>
      <w:r w:rsidRPr="00144FD9">
        <w:rPr>
          <w:rFonts w:ascii="Verdana" w:eastAsia="Arial" w:hAnsi="Verdana" w:cs="Arial"/>
          <w:color w:val="000000"/>
          <w:sz w:val="14"/>
          <w:szCs w:val="14"/>
        </w:rPr>
        <w:t>En caso de comparación de propuestas nacionales y extranjeras, se incluirán los costos necesarios para la entrega del producto terminado en el lugar de su utilización”.</w:t>
      </w:r>
    </w:p>
  </w:footnote>
  <w:footnote w:id="6">
    <w:p w14:paraId="3FABB172" w14:textId="77777777" w:rsidR="00350155" w:rsidRPr="00144FD9" w:rsidRDefault="00350155" w:rsidP="00350155">
      <w:pPr>
        <w:pStyle w:val="Textonotapie"/>
        <w:ind w:firstLine="709"/>
        <w:jc w:val="both"/>
        <w:rPr>
          <w:rFonts w:ascii="Verdana" w:hAnsi="Verdana" w:cs="Arial"/>
          <w:color w:val="000000"/>
          <w:sz w:val="14"/>
          <w:szCs w:val="14"/>
        </w:rPr>
      </w:pPr>
      <w:r w:rsidRPr="00144FD9">
        <w:rPr>
          <w:rStyle w:val="Refdenotaalpie"/>
          <w:rFonts w:ascii="Verdana" w:hAnsi="Verdana" w:cs="Arial"/>
          <w:color w:val="000000"/>
          <w:sz w:val="14"/>
          <w:szCs w:val="14"/>
        </w:rPr>
        <w:footnoteRef/>
      </w:r>
      <w:r w:rsidRPr="00144FD9">
        <w:rPr>
          <w:rFonts w:ascii="Verdana" w:hAnsi="Verdana" w:cs="Arial"/>
          <w:color w:val="000000"/>
          <w:sz w:val="14"/>
          <w:szCs w:val="14"/>
        </w:rPr>
        <w:t xml:space="preserve"> </w:t>
      </w:r>
      <w:r w:rsidRPr="00144FD9">
        <w:rPr>
          <w:rFonts w:ascii="Verdana" w:hAnsi="Verdana" w:cs="Arial"/>
          <w:color w:val="000000"/>
          <w:sz w:val="14"/>
          <w:szCs w:val="14"/>
          <w:lang w:val="es-CO"/>
        </w:rPr>
        <w:t>Ver Consejo de Estado. Sección Tercera. Subsección C. Sentencia del 26 de febrero de 2011. Exp. 36.408. C.P. Jaime Orlando Santofimio.</w:t>
      </w:r>
      <w:r w:rsidRPr="00144FD9">
        <w:rPr>
          <w:rFonts w:ascii="Verdana" w:hAnsi="Verdana" w:cs="Arial"/>
          <w:color w:val="000000"/>
          <w:sz w:val="14"/>
          <w:szCs w:val="14"/>
        </w:rPr>
        <w:t xml:space="preserve"> </w:t>
      </w:r>
    </w:p>
    <w:p w14:paraId="38C32ED7" w14:textId="77777777" w:rsidR="00350155" w:rsidRPr="00144FD9" w:rsidRDefault="00350155" w:rsidP="00350155">
      <w:pPr>
        <w:pStyle w:val="Textonotapie"/>
        <w:ind w:firstLine="709"/>
        <w:jc w:val="both"/>
        <w:rPr>
          <w:rFonts w:ascii="Verdana" w:hAnsi="Verdana" w:cs="Arial"/>
          <w:color w:val="000000"/>
          <w:sz w:val="14"/>
          <w:szCs w:val="14"/>
        </w:rPr>
      </w:pPr>
    </w:p>
  </w:footnote>
  <w:footnote w:id="7">
    <w:p w14:paraId="32E8D270" w14:textId="77777777" w:rsidR="00350155" w:rsidRPr="00144FD9" w:rsidRDefault="00350155" w:rsidP="00350155">
      <w:pPr>
        <w:pStyle w:val="Textonotapie"/>
        <w:ind w:firstLine="709"/>
        <w:jc w:val="both"/>
        <w:rPr>
          <w:rFonts w:ascii="Verdana" w:hAnsi="Verdana" w:cs="Arial"/>
          <w:color w:val="000000"/>
          <w:sz w:val="14"/>
          <w:szCs w:val="14"/>
        </w:rPr>
      </w:pPr>
      <w:r w:rsidRPr="00144FD9">
        <w:rPr>
          <w:rStyle w:val="Refdenotaalpie"/>
          <w:rFonts w:ascii="Verdana" w:hAnsi="Verdana" w:cs="Arial"/>
          <w:color w:val="000000"/>
          <w:sz w:val="14"/>
          <w:szCs w:val="14"/>
        </w:rPr>
        <w:footnoteRef/>
      </w:r>
      <w:r w:rsidRPr="00144FD9">
        <w:rPr>
          <w:rFonts w:ascii="Verdana" w:hAnsi="Verdana" w:cs="Arial"/>
          <w:color w:val="000000"/>
          <w:sz w:val="14"/>
          <w:szCs w:val="14"/>
        </w:rPr>
        <w:t xml:space="preserve"> </w:t>
      </w:r>
      <w:r w:rsidRPr="00144FD9">
        <w:rPr>
          <w:rFonts w:ascii="Verdana" w:hAnsi="Verdana" w:cs="Arial"/>
          <w:color w:val="000000"/>
          <w:sz w:val="14"/>
          <w:szCs w:val="14"/>
          <w:lang w:val="es-CO"/>
        </w:rPr>
        <w:t>Ver Consejo de Estado, Sección Tercera. Subsección C. Sentencia del 26 de febrero de 2014. Exp. 25.804. C.P. Enrique Gil Botero.</w:t>
      </w:r>
      <w:r w:rsidRPr="00144FD9">
        <w:rPr>
          <w:rFonts w:ascii="Verdana" w:hAnsi="Verdana" w:cs="Arial"/>
          <w:color w:val="000000"/>
          <w:sz w:val="14"/>
          <w:szCs w:val="14"/>
        </w:rPr>
        <w:t xml:space="preserve"> </w:t>
      </w:r>
    </w:p>
    <w:p w14:paraId="28DDCE7B" w14:textId="77777777" w:rsidR="00350155" w:rsidRPr="00144FD9" w:rsidRDefault="00350155" w:rsidP="00350155">
      <w:pPr>
        <w:pStyle w:val="Textonotapie"/>
        <w:ind w:firstLine="709"/>
        <w:jc w:val="both"/>
        <w:rPr>
          <w:rFonts w:ascii="Verdana" w:hAnsi="Verdana" w:cs="Arial"/>
          <w:color w:val="000000"/>
          <w:sz w:val="14"/>
          <w:szCs w:val="14"/>
        </w:rPr>
      </w:pPr>
    </w:p>
  </w:footnote>
  <w:footnote w:id="8">
    <w:p w14:paraId="60471C93" w14:textId="77777777" w:rsidR="00350155" w:rsidRPr="00144FD9" w:rsidRDefault="00350155" w:rsidP="00350155">
      <w:pPr>
        <w:pStyle w:val="Textonotapie"/>
        <w:ind w:firstLine="709"/>
        <w:jc w:val="both"/>
        <w:rPr>
          <w:rFonts w:ascii="Verdana" w:hAnsi="Verdana" w:cs="Arial"/>
          <w:color w:val="000000"/>
          <w:sz w:val="14"/>
          <w:szCs w:val="14"/>
          <w:lang w:val="es-CO"/>
        </w:rPr>
      </w:pPr>
      <w:r w:rsidRPr="00144FD9">
        <w:rPr>
          <w:rStyle w:val="Refdenotaalpie"/>
          <w:rFonts w:ascii="Verdana" w:hAnsi="Verdana" w:cs="Arial"/>
          <w:color w:val="000000"/>
          <w:sz w:val="14"/>
          <w:szCs w:val="14"/>
        </w:rPr>
        <w:footnoteRef/>
      </w:r>
      <w:r w:rsidRPr="00144FD9">
        <w:rPr>
          <w:rFonts w:ascii="Verdana" w:hAnsi="Verdana" w:cs="Arial"/>
          <w:color w:val="000000"/>
          <w:sz w:val="14"/>
          <w:szCs w:val="14"/>
        </w:rPr>
        <w:t xml:space="preserve"> </w:t>
      </w:r>
      <w:r w:rsidRPr="00144FD9">
        <w:rPr>
          <w:rFonts w:ascii="Verdana" w:hAnsi="Verdana" w:cs="Arial"/>
          <w:color w:val="000000"/>
          <w:sz w:val="14"/>
          <w:szCs w:val="14"/>
          <w:lang w:val="es-CO"/>
        </w:rPr>
        <w:t>Consejo de Estado. Sala de Consulta y Servicio Civil. Concepto del 20 de mayo de 2010. C.P. Exp. 1.992. Enrique José Arboleda Perdomo.</w:t>
      </w:r>
    </w:p>
    <w:p w14:paraId="23200FB7" w14:textId="77777777" w:rsidR="00350155" w:rsidRPr="00144FD9" w:rsidRDefault="00350155" w:rsidP="00350155">
      <w:pPr>
        <w:pStyle w:val="Textonotapie"/>
        <w:ind w:firstLine="709"/>
        <w:jc w:val="both"/>
        <w:rPr>
          <w:rFonts w:ascii="Verdana" w:hAnsi="Verdana" w:cs="Arial"/>
          <w:color w:val="000000"/>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7B0EE" w14:textId="77777777" w:rsidR="0014060D"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1EDB223D" wp14:editId="57BD5227">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150593C3" wp14:editId="12026168">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621B5EF2" w14:textId="77777777" w:rsidR="0014060D" w:rsidRDefault="0014060D">
    <w:pPr>
      <w:pStyle w:val="Encabezado"/>
    </w:pPr>
  </w:p>
  <w:p w14:paraId="4F164480" w14:textId="77777777" w:rsidR="0014060D" w:rsidRDefault="0014060D" w:rsidP="004A305D">
    <w:pPr>
      <w:spacing w:after="0"/>
      <w:rPr>
        <w:rFonts w:ascii="Verdana" w:hAnsi="Verdana"/>
        <w:b/>
        <w:bCs/>
      </w:rPr>
    </w:pPr>
  </w:p>
  <w:p w14:paraId="244ED37E" w14:textId="77777777" w:rsidR="0014060D" w:rsidRPr="004A305D" w:rsidRDefault="0014060D" w:rsidP="00B01B1A">
    <w:pPr>
      <w:spacing w:after="0" w:line="120" w:lineRule="auto"/>
      <w:rPr>
        <w:rFonts w:ascii="Century Gothic" w:eastAsia="Geo" w:hAnsi="Century Gothic" w:cs="Geo"/>
        <w:sz w:val="16"/>
        <w:szCs w:val="16"/>
        <w:lang w:eastAsia="es-CO"/>
      </w:rPr>
    </w:pPr>
  </w:p>
  <w:p w14:paraId="7F145F50" w14:textId="77777777" w:rsidR="0014060D" w:rsidRDefault="0014060D"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55"/>
    <w:rsid w:val="000D394B"/>
    <w:rsid w:val="0014060D"/>
    <w:rsid w:val="001E4077"/>
    <w:rsid w:val="002A18C5"/>
    <w:rsid w:val="00350155"/>
    <w:rsid w:val="00474DF4"/>
    <w:rsid w:val="004F471F"/>
    <w:rsid w:val="004F5D9A"/>
    <w:rsid w:val="008359E2"/>
    <w:rsid w:val="00C24F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64862"/>
  <w15:chartTrackingRefBased/>
  <w15:docId w15:val="{FAEEBFB2-622F-4344-81A7-C433FF50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155"/>
    <w:rPr>
      <w:kern w:val="0"/>
      <w14:ligatures w14:val="none"/>
    </w:rPr>
  </w:style>
  <w:style w:type="paragraph" w:styleId="Ttulo1">
    <w:name w:val="heading 1"/>
    <w:basedOn w:val="Normal"/>
    <w:next w:val="Normal"/>
    <w:link w:val="Ttulo1Car"/>
    <w:uiPriority w:val="9"/>
    <w:qFormat/>
    <w:rsid w:val="003501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3501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35015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35015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5015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35015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501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501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501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015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35015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5015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5015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5015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501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501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501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50155"/>
    <w:rPr>
      <w:rFonts w:eastAsiaTheme="majorEastAsia" w:cstheme="majorBidi"/>
      <w:color w:val="272727" w:themeColor="text1" w:themeTint="D8"/>
    </w:rPr>
  </w:style>
  <w:style w:type="paragraph" w:styleId="Ttulo">
    <w:name w:val="Title"/>
    <w:basedOn w:val="Normal"/>
    <w:next w:val="Normal"/>
    <w:link w:val="TtuloCar"/>
    <w:uiPriority w:val="10"/>
    <w:qFormat/>
    <w:rsid w:val="003501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5015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5015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501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50155"/>
    <w:pPr>
      <w:spacing w:before="160"/>
      <w:jc w:val="center"/>
    </w:pPr>
    <w:rPr>
      <w:i/>
      <w:iCs/>
      <w:color w:val="404040" w:themeColor="text1" w:themeTint="BF"/>
    </w:rPr>
  </w:style>
  <w:style w:type="character" w:customStyle="1" w:styleId="CitaCar">
    <w:name w:val="Cita Car"/>
    <w:basedOn w:val="Fuentedeprrafopredeter"/>
    <w:link w:val="Cita"/>
    <w:uiPriority w:val="29"/>
    <w:rsid w:val="00350155"/>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350155"/>
    <w:pPr>
      <w:ind w:left="720"/>
      <w:contextualSpacing/>
    </w:pPr>
  </w:style>
  <w:style w:type="character" w:styleId="nfasisintenso">
    <w:name w:val="Intense Emphasis"/>
    <w:basedOn w:val="Fuentedeprrafopredeter"/>
    <w:uiPriority w:val="21"/>
    <w:qFormat/>
    <w:rsid w:val="00350155"/>
    <w:rPr>
      <w:i/>
      <w:iCs/>
      <w:color w:val="2F5496" w:themeColor="accent1" w:themeShade="BF"/>
    </w:rPr>
  </w:style>
  <w:style w:type="paragraph" w:styleId="Citadestacada">
    <w:name w:val="Intense Quote"/>
    <w:basedOn w:val="Normal"/>
    <w:next w:val="Normal"/>
    <w:link w:val="CitadestacadaCar"/>
    <w:uiPriority w:val="30"/>
    <w:qFormat/>
    <w:rsid w:val="003501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50155"/>
    <w:rPr>
      <w:i/>
      <w:iCs/>
      <w:color w:val="2F5496" w:themeColor="accent1" w:themeShade="BF"/>
    </w:rPr>
  </w:style>
  <w:style w:type="character" w:styleId="Referenciaintensa">
    <w:name w:val="Intense Reference"/>
    <w:basedOn w:val="Fuentedeprrafopredeter"/>
    <w:uiPriority w:val="32"/>
    <w:qFormat/>
    <w:rsid w:val="00350155"/>
    <w:rPr>
      <w:b/>
      <w:bCs/>
      <w:smallCaps/>
      <w:color w:val="2F5496" w:themeColor="accent1" w:themeShade="BF"/>
      <w:spacing w:val="5"/>
    </w:rPr>
  </w:style>
  <w:style w:type="paragraph" w:styleId="Encabezado">
    <w:name w:val="header"/>
    <w:basedOn w:val="Normal"/>
    <w:link w:val="EncabezadoCar"/>
    <w:uiPriority w:val="99"/>
    <w:unhideWhenUsed/>
    <w:rsid w:val="003501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0155"/>
    <w:rPr>
      <w:kern w:val="0"/>
      <w14:ligatures w14:val="none"/>
    </w:rPr>
  </w:style>
  <w:style w:type="paragraph" w:styleId="Piedepgina">
    <w:name w:val="footer"/>
    <w:basedOn w:val="Normal"/>
    <w:link w:val="PiedepginaCar"/>
    <w:uiPriority w:val="99"/>
    <w:unhideWhenUsed/>
    <w:rsid w:val="003501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0155"/>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350155"/>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350155"/>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350155"/>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350155"/>
    <w:rPr>
      <w:vertAlign w:val="superscript"/>
    </w:rPr>
  </w:style>
  <w:style w:type="character" w:customStyle="1" w:styleId="normaltextrun">
    <w:name w:val="normaltextrun"/>
    <w:basedOn w:val="Fuentedeprrafopredeter"/>
    <w:rsid w:val="00350155"/>
  </w:style>
  <w:style w:type="table" w:styleId="Tablaconcuadrcula">
    <w:name w:val="Table Grid"/>
    <w:basedOn w:val="Tablanormal"/>
    <w:uiPriority w:val="39"/>
    <w:qFormat/>
    <w:rsid w:val="0035015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50155"/>
    <w:rPr>
      <w:color w:val="0000FF"/>
      <w:u w:val="single"/>
    </w:rPr>
  </w:style>
  <w:style w:type="table" w:customStyle="1" w:styleId="Tablaconcuadrcula1">
    <w:name w:val="Tabla con cuadrícula1"/>
    <w:basedOn w:val="Tablanormal"/>
    <w:next w:val="Tablaconcuadrcula"/>
    <w:uiPriority w:val="59"/>
    <w:rsid w:val="00350155"/>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350155"/>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350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m2293@hotmail.com" TargetMode="External"/><Relationship Id="rId13" Type="http://schemas.openxmlformats.org/officeDocument/2006/relationships/hyperlink" Target="https://www.sucop.gov.co/entidades/colombiacompra/Normativa?IDNorma=19201"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hyperlink" Target="https://nam02.safelinks.protection.outlook.com/?url=https%3A%2F%2Fwww.colombiacompra.gov.co%2Fcontent%2Fconvocatorias&amp;data=05%7C02%7Csergio.caballero%40colombiacompra.gov.co%7C6192b0470d324981a09708dd0a6c28db%7C7b09041e245149d08cb179d5e3d8c1be%7C0%7C0%7C638678181871111647%7CUnknown%7CTWFpbGZsb3d8eyJFbXB0eU1hcGkiOnRydWUsIlYiOiIwLjAuMDAwMCIsIlAiOiJXaW4zMiIsIkFOIjoiTWFpbCIsIldUIjoyfQ%3D%3D%7C0%7C%7C%7C&amp;sdata=h71twWeyjJV0b6ODAz9QdyekKnsrUEDWXvDYOV8WsDU%3D&amp;reserved=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2.safelinks.protection.outlook.com/?url=https%3A%2F%2Fwww.colombiacompra.gov.co%2Fsites%2Fcce_public%2Ffiles%2Fcce_documents%2Fmanual_para_el_manejo_de_acuerdos_comerciales_vf.pdf&amp;data=05%7C02%7Csergio.caballero%40colombiacompra.gov.co%7C6192b0470d324981a09708dd0a6c28db%7C7b09041e245149d08cb179d5e3d8c1be%7C0%7C0%7C638678181871090119%7CUnknown%7CTWFpbGZsb3d8eyJFbXB0eU1hcGkiOnRydWUsIlYiOiIwLjAuMDAwMCIsIlAiOiJXaW4zMiIsIkFOIjoiTWFpbCIsIldUIjoyfQ%3D%3D%7C0%7C%7C%7C&amp;sdata=cqPLJFWeQ1mgS6NwcEQtAJFnYlPbx9sK95T3GwllCdk%3D&amp;reserved=0"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olombiacompra.gov.co/content/documentos-tipo-para-licitacion-de-obra-publica-de-infraestructura-de-transporte-version-04" TargetMode="External"/><Relationship Id="rId14" Type="http://schemas.openxmlformats.org/officeDocument/2006/relationships/hyperlink" Target="https://www.colombiacompra.gov.co/sala-de-prensa/boletin-digital"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418E60-B65A-45F5-B44C-E85F361CE449}"/>
</file>

<file path=customXml/itemProps2.xml><?xml version="1.0" encoding="utf-8"?>
<ds:datastoreItem xmlns:ds="http://schemas.openxmlformats.org/officeDocument/2006/customXml" ds:itemID="{3EAAFB23-3C63-4AA0-916A-E68038248A5C}"/>
</file>

<file path=customXml/itemProps3.xml><?xml version="1.0" encoding="utf-8"?>
<ds:datastoreItem xmlns:ds="http://schemas.openxmlformats.org/officeDocument/2006/customXml" ds:itemID="{3870C709-6A65-40CA-986E-F75CDB78B3E0}"/>
</file>

<file path=docProps/app.xml><?xml version="1.0" encoding="utf-8"?>
<Properties xmlns="http://schemas.openxmlformats.org/officeDocument/2006/extended-properties" xmlns:vt="http://schemas.openxmlformats.org/officeDocument/2006/docPropsVTypes">
  <Template>Normal</Template>
  <TotalTime>2</TotalTime>
  <Pages>15</Pages>
  <Words>5165</Words>
  <Characters>28410</Characters>
  <Application>Microsoft Office Word</Application>
  <DocSecurity>0</DocSecurity>
  <Lines>236</Lines>
  <Paragraphs>67</Paragraphs>
  <ScaleCrop>false</ScaleCrop>
  <Company/>
  <LinksUpToDate>false</LinksUpToDate>
  <CharactersWithSpaces>33508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2024-11-22T19:42:00Z</dcterms:created>
  <dcterms:modified xsi:type="dcterms:W3CDTF">2024-12-02T23:33:00Z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