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251F5" w14:textId="77777777" w:rsidR="007709BF" w:rsidRDefault="007709BF" w:rsidP="007709BF">
      <w:pPr>
        <w:spacing w:after="120" w:line="240" w:lineRule="auto"/>
        <w:jc w:val="both"/>
        <w:rPr>
          <w:rFonts w:ascii="Verdana" w:eastAsia="Geomanist Light" w:hAnsi="Verdana" w:cs="Arial"/>
          <w:b/>
          <w:bCs/>
          <w:color w:val="000000" w:themeColor="text1"/>
          <w:lang w:val="es-ES_tradnl"/>
        </w:rPr>
      </w:pPr>
      <w:r w:rsidRPr="00FB5A88">
        <w:rPr>
          <w:rFonts w:ascii="Verdana" w:eastAsia="Geomanist Light" w:hAnsi="Verdana" w:cs="Arial"/>
          <w:b/>
          <w:bCs/>
          <w:color w:val="000000" w:themeColor="text1"/>
          <w:lang w:val="es-ES_tradnl"/>
        </w:rPr>
        <w:t xml:space="preserve">EVENTO DE EMPATE – </w:t>
      </w:r>
      <w:r>
        <w:rPr>
          <w:rFonts w:ascii="Verdana" w:eastAsia="Geomanist Light" w:hAnsi="Verdana" w:cs="Arial"/>
          <w:b/>
          <w:bCs/>
          <w:color w:val="000000" w:themeColor="text1"/>
          <w:lang w:val="es-ES_tradnl"/>
        </w:rPr>
        <w:t>Factores</w:t>
      </w:r>
      <w:r w:rsidRPr="00FB5A88">
        <w:rPr>
          <w:rFonts w:ascii="Verdana" w:eastAsia="Geomanist Light" w:hAnsi="Verdana" w:cs="Arial"/>
          <w:b/>
          <w:bCs/>
          <w:color w:val="000000" w:themeColor="text1"/>
          <w:lang w:val="es-ES_tradnl"/>
        </w:rPr>
        <w:t xml:space="preserve"> </w:t>
      </w:r>
      <w:r>
        <w:rPr>
          <w:rFonts w:ascii="Verdana" w:eastAsia="Geomanist Light" w:hAnsi="Verdana" w:cs="Arial"/>
          <w:b/>
          <w:bCs/>
          <w:color w:val="000000" w:themeColor="text1"/>
          <w:lang w:val="es-ES_tradnl"/>
        </w:rPr>
        <w:t>d</w:t>
      </w:r>
      <w:r w:rsidRPr="00FB5A88">
        <w:rPr>
          <w:rFonts w:ascii="Verdana" w:eastAsia="Geomanist Light" w:hAnsi="Verdana" w:cs="Arial"/>
          <w:b/>
          <w:bCs/>
          <w:color w:val="000000" w:themeColor="text1"/>
          <w:lang w:val="es-ES_tradnl"/>
        </w:rPr>
        <w:t xml:space="preserve">e </w:t>
      </w:r>
      <w:r>
        <w:rPr>
          <w:rFonts w:ascii="Verdana" w:eastAsia="Geomanist Light" w:hAnsi="Verdana" w:cs="Arial"/>
          <w:b/>
          <w:bCs/>
          <w:color w:val="000000" w:themeColor="text1"/>
          <w:lang w:val="es-ES_tradnl"/>
        </w:rPr>
        <w:t>d</w:t>
      </w:r>
      <w:r w:rsidRPr="00FB5A88">
        <w:rPr>
          <w:rFonts w:ascii="Verdana" w:eastAsia="Geomanist Light" w:hAnsi="Verdana" w:cs="Arial"/>
          <w:b/>
          <w:bCs/>
          <w:color w:val="000000" w:themeColor="text1"/>
          <w:lang w:val="es-ES_tradnl"/>
        </w:rPr>
        <w:t xml:space="preserve">esempate – Oportunidad </w:t>
      </w:r>
      <w:r>
        <w:rPr>
          <w:rFonts w:ascii="Verdana" w:eastAsia="Geomanist Light" w:hAnsi="Verdana" w:cs="Arial"/>
          <w:b/>
          <w:bCs/>
          <w:color w:val="000000" w:themeColor="text1"/>
          <w:lang w:val="es-ES_tradnl"/>
        </w:rPr>
        <w:t>–</w:t>
      </w:r>
      <w:r w:rsidRPr="00FB5A88">
        <w:rPr>
          <w:rFonts w:ascii="Verdana" w:eastAsia="Geomanist Light" w:hAnsi="Verdana" w:cs="Arial"/>
          <w:b/>
          <w:bCs/>
          <w:color w:val="000000" w:themeColor="text1"/>
          <w:lang w:val="es-ES_tradnl"/>
        </w:rPr>
        <w:t xml:space="preserve"> Verificación</w:t>
      </w:r>
      <w:r>
        <w:rPr>
          <w:rFonts w:ascii="Verdana" w:eastAsia="Geomanist Light" w:hAnsi="Verdana" w:cs="Arial"/>
          <w:b/>
          <w:bCs/>
          <w:color w:val="000000" w:themeColor="text1"/>
          <w:lang w:val="es-ES_tradnl"/>
        </w:rPr>
        <w:t xml:space="preserve"> </w:t>
      </w:r>
    </w:p>
    <w:p w14:paraId="515251F6" w14:textId="77777777" w:rsidR="007709BF" w:rsidRPr="00FB5A88" w:rsidRDefault="007709BF" w:rsidP="007709BF">
      <w:pPr>
        <w:spacing w:after="120" w:line="240" w:lineRule="auto"/>
        <w:jc w:val="both"/>
        <w:rPr>
          <w:rFonts w:ascii="Verdana" w:eastAsia="Geomanist Light" w:hAnsi="Verdana" w:cs="Arial"/>
          <w:b/>
          <w:bCs/>
          <w:color w:val="000000" w:themeColor="text1"/>
          <w:lang w:val="es-ES_tradnl"/>
        </w:rPr>
      </w:pPr>
      <w:r w:rsidRPr="00FB5A88">
        <w:rPr>
          <w:rFonts w:ascii="Verdana" w:eastAsia="Times New Roman" w:hAnsi="Verdana" w:cs="Arial"/>
          <w:color w:val="000000" w:themeColor="text1"/>
          <w:lang w:val="es-ES"/>
        </w:rPr>
        <w:t>La verificación de los criterios de desempate, la deberán realizar las entidades una vez se encuentre consolidado el evento de empate, y habiéndose surtido el trámite de verificación de requisitos habilitantes y factores de calificación óptimos, aplicando las reglas establecidas en los pliegos de condiciones; ya que el empate consiste en un evento en el cual dos o más oferentes alcanzan la misma cantidad de puntuación u ofrecen el mismo precio en la oferta económica; al ponderarse los criterios de calificación que, en principio, aplican al procedimiento contractual. En consecuencia, deben aplicarse los factores permitidos por las disposiciones normativas que regulan esta materia, entre los que se encuentra el artículo 35 de la Ley 2069 de 2020. Los criterios de desempate deben estar previamente establecidos y constituyen un límite a la discrecionalidad administrativa en los procedimientos de selección.</w:t>
      </w:r>
    </w:p>
    <w:p w14:paraId="515251F7" w14:textId="77777777" w:rsidR="007709BF" w:rsidRDefault="007709BF" w:rsidP="007709BF">
      <w:pPr>
        <w:spacing w:after="120" w:line="276" w:lineRule="auto"/>
        <w:jc w:val="both"/>
        <w:rPr>
          <w:rFonts w:ascii="Verdana" w:eastAsia="Times New Roman" w:hAnsi="Verdana" w:cs="Arial"/>
          <w:color w:val="000000" w:themeColor="text1"/>
          <w:lang w:val="es-ES"/>
        </w:rPr>
      </w:pPr>
      <w:r w:rsidRPr="00FB5A88">
        <w:rPr>
          <w:rFonts w:ascii="Verdana" w:eastAsia="Times New Roman" w:hAnsi="Verdana" w:cs="Arial"/>
          <w:color w:val="000000" w:themeColor="text1"/>
          <w:lang w:val="es-ES"/>
        </w:rPr>
        <w:t>En ese mismo sentido dispone el inciso primero del artículo 35 de la Ley 2069 de 2020: “FACTORES DE DESEMPATE. 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515251F8" w14:textId="77777777" w:rsidR="007709BF" w:rsidRPr="00FB5A88" w:rsidRDefault="007709BF" w:rsidP="007709BF">
      <w:pPr>
        <w:spacing w:after="0" w:line="240" w:lineRule="auto"/>
        <w:jc w:val="both"/>
        <w:rPr>
          <w:rFonts w:ascii="Verdana" w:eastAsia="Geomanist Light" w:hAnsi="Verdana" w:cs="Arial"/>
          <w:b/>
          <w:bCs/>
          <w:color w:val="000000" w:themeColor="text1"/>
          <w:lang w:val="es-ES_tradnl"/>
        </w:rPr>
      </w:pPr>
    </w:p>
    <w:p w14:paraId="515251F9" w14:textId="77777777" w:rsidR="007709BF" w:rsidRPr="00FB5A88" w:rsidRDefault="007709BF" w:rsidP="007709BF">
      <w:pPr>
        <w:spacing w:after="120" w:line="276" w:lineRule="auto"/>
        <w:jc w:val="both"/>
        <w:rPr>
          <w:rFonts w:ascii="Verdana" w:eastAsia="Times New Roman" w:hAnsi="Verdana" w:cs="Arial"/>
          <w:b/>
          <w:bCs/>
          <w:color w:val="000000" w:themeColor="text1"/>
          <w:lang w:val="es-ES"/>
        </w:rPr>
      </w:pPr>
      <w:r w:rsidRPr="00FB5A88">
        <w:rPr>
          <w:rFonts w:ascii="Verdana" w:eastAsia="Calibri" w:hAnsi="Verdana" w:cs="Arial"/>
          <w:b/>
          <w:bCs/>
          <w:color w:val="000000" w:themeColor="text1"/>
        </w:rPr>
        <w:t xml:space="preserve">FACTORES DE DESEMPATE - </w:t>
      </w:r>
      <w:r>
        <w:rPr>
          <w:rFonts w:ascii="Verdana" w:eastAsia="Times New Roman" w:hAnsi="Verdana" w:cs="Arial"/>
          <w:b/>
          <w:bCs/>
          <w:color w:val="000000" w:themeColor="text1"/>
        </w:rPr>
        <w:t>A</w:t>
      </w:r>
      <w:r w:rsidRPr="00FB5A88">
        <w:rPr>
          <w:rFonts w:ascii="Verdana" w:eastAsia="Times New Roman" w:hAnsi="Verdana" w:cs="Arial"/>
          <w:b/>
          <w:bCs/>
          <w:color w:val="000000" w:themeColor="text1"/>
          <w:lang w:val="es-ES"/>
        </w:rPr>
        <w:t xml:space="preserve">rtículo 35 de la Ley 2069 de 2020 – </w:t>
      </w:r>
      <w:r>
        <w:rPr>
          <w:rFonts w:ascii="Verdana" w:eastAsia="Times New Roman" w:hAnsi="Verdana" w:cs="Arial"/>
          <w:b/>
          <w:bCs/>
          <w:color w:val="000000" w:themeColor="text1"/>
          <w:lang w:val="es-ES"/>
        </w:rPr>
        <w:t>I</w:t>
      </w:r>
      <w:r w:rsidRPr="00FB5A88">
        <w:rPr>
          <w:rFonts w:ascii="Verdana" w:eastAsia="Times New Roman" w:hAnsi="Verdana" w:cs="Arial"/>
          <w:b/>
          <w:bCs/>
          <w:color w:val="000000" w:themeColor="text1"/>
          <w:lang w:val="es-ES"/>
        </w:rPr>
        <w:t>nsubsanable</w:t>
      </w:r>
    </w:p>
    <w:p w14:paraId="515251FA" w14:textId="77777777" w:rsidR="007709BF" w:rsidRDefault="007709BF" w:rsidP="007709BF">
      <w:pPr>
        <w:spacing w:after="120" w:line="276" w:lineRule="auto"/>
        <w:jc w:val="both"/>
        <w:rPr>
          <w:rFonts w:ascii="Verdana" w:eastAsia="Calibri" w:hAnsi="Verdana" w:cs="Arial"/>
          <w:b/>
          <w:bCs/>
          <w:color w:val="000000" w:themeColor="text1"/>
        </w:rPr>
      </w:pPr>
      <w:r w:rsidRPr="00FB5A88">
        <w:rPr>
          <w:rFonts w:ascii="Verdana" w:eastAsia="Times New Roman" w:hAnsi="Verdana" w:cs="Arial"/>
          <w:color w:val="000000" w:themeColor="text1"/>
          <w:lang w:val="es-ES"/>
        </w:rPr>
        <w:t>Dado que los factores de desempate influyen en la ponderación de las ofertas presentadas, la acreditación de las causales previstas en el artículo 35 de la Ley 2069 de 2020 es insubsanable. Esto considerando que no son criterios puramente formales de las propuestas ni requisitos para la verificación de las condiciones habilitantes en el proceso de selección en los que aplique la regla del parágrafo primero del artículo 5 de la Ley 1150 de 2007. Por tanto, dado que no existe oportunidad posterior, la documentación relacionada con los factores de desempate debe entregarse con la oferta de forma completa e integra, antes del cierre del proceso de selección.</w:t>
      </w:r>
    </w:p>
    <w:p w14:paraId="515251FB" w14:textId="77777777" w:rsidR="007709BF" w:rsidRDefault="007709BF" w:rsidP="007709BF">
      <w:pPr>
        <w:spacing w:after="120" w:line="276" w:lineRule="auto"/>
        <w:jc w:val="both"/>
        <w:rPr>
          <w:rFonts w:ascii="Verdana" w:eastAsia="Calibri" w:hAnsi="Verdana" w:cs="Arial"/>
          <w:b/>
          <w:bCs/>
          <w:color w:val="000000" w:themeColor="text1"/>
        </w:rPr>
      </w:pPr>
    </w:p>
    <w:p w14:paraId="515251FC" w14:textId="77777777" w:rsidR="007709BF" w:rsidRPr="00FB5A88" w:rsidRDefault="007709BF" w:rsidP="007709BF">
      <w:pPr>
        <w:spacing w:after="120" w:line="276" w:lineRule="auto"/>
        <w:jc w:val="both"/>
        <w:rPr>
          <w:rFonts w:ascii="Verdana" w:eastAsia="Calibri" w:hAnsi="Verdana" w:cs="Arial"/>
          <w:b/>
          <w:bCs/>
          <w:color w:val="000000" w:themeColor="text1"/>
        </w:rPr>
      </w:pPr>
      <w:r w:rsidRPr="00FB5A88">
        <w:rPr>
          <w:rFonts w:ascii="Verdana" w:eastAsia="Calibri" w:hAnsi="Verdana" w:cs="Arial"/>
          <w:b/>
          <w:bCs/>
          <w:color w:val="000000" w:themeColor="text1"/>
        </w:rPr>
        <w:t xml:space="preserve">SUBSANABILIDAD </w:t>
      </w:r>
      <w:r>
        <w:rPr>
          <w:rFonts w:ascii="Verdana" w:eastAsia="Calibri" w:hAnsi="Verdana" w:cs="Arial"/>
          <w:b/>
          <w:bCs/>
          <w:color w:val="000000" w:themeColor="text1"/>
        </w:rPr>
        <w:t>–</w:t>
      </w:r>
      <w:r w:rsidRPr="00FB5A88">
        <w:rPr>
          <w:rFonts w:ascii="Verdana" w:eastAsia="Calibri" w:hAnsi="Verdana" w:cs="Arial"/>
          <w:b/>
          <w:bCs/>
          <w:color w:val="000000" w:themeColor="text1"/>
        </w:rPr>
        <w:t xml:space="preserve"> </w:t>
      </w:r>
      <w:r>
        <w:rPr>
          <w:rFonts w:ascii="Verdana" w:eastAsia="Calibri" w:hAnsi="Verdana" w:cs="Arial"/>
          <w:b/>
          <w:bCs/>
          <w:color w:val="000000" w:themeColor="text1"/>
        </w:rPr>
        <w:t>A</w:t>
      </w:r>
      <w:r w:rsidRPr="00FB5A88">
        <w:rPr>
          <w:rFonts w:ascii="Verdana" w:eastAsia="Calibri" w:hAnsi="Verdana" w:cs="Arial"/>
          <w:b/>
          <w:bCs/>
          <w:color w:val="000000" w:themeColor="text1"/>
        </w:rPr>
        <w:t>rtículo 5 de la Ley 1150 de 2007</w:t>
      </w:r>
      <w:r>
        <w:rPr>
          <w:rFonts w:ascii="Verdana" w:eastAsia="Calibri" w:hAnsi="Verdana" w:cs="Arial"/>
          <w:b/>
          <w:bCs/>
          <w:color w:val="000000" w:themeColor="text1"/>
        </w:rPr>
        <w:t xml:space="preserve"> –</w:t>
      </w:r>
      <w:r w:rsidRPr="00FB5A88">
        <w:rPr>
          <w:rFonts w:ascii="Verdana" w:eastAsia="Calibri" w:hAnsi="Verdana" w:cs="Arial"/>
          <w:b/>
          <w:bCs/>
          <w:color w:val="000000" w:themeColor="text1"/>
        </w:rPr>
        <w:t xml:space="preserve"> </w:t>
      </w:r>
      <w:r>
        <w:rPr>
          <w:rFonts w:ascii="Verdana" w:eastAsia="Calibri" w:hAnsi="Verdana" w:cs="Arial"/>
          <w:b/>
          <w:bCs/>
          <w:color w:val="000000" w:themeColor="text1"/>
        </w:rPr>
        <w:t>R</w:t>
      </w:r>
      <w:r w:rsidRPr="00FB5A88">
        <w:rPr>
          <w:rFonts w:ascii="Verdana" w:eastAsia="Calibri" w:hAnsi="Verdana" w:cs="Arial"/>
          <w:b/>
          <w:bCs/>
          <w:color w:val="000000" w:themeColor="text1"/>
        </w:rPr>
        <w:t>egla</w:t>
      </w:r>
      <w:r>
        <w:rPr>
          <w:rFonts w:ascii="Verdana" w:eastAsia="Calibri" w:hAnsi="Verdana" w:cs="Arial"/>
          <w:b/>
          <w:bCs/>
          <w:color w:val="000000" w:themeColor="text1"/>
        </w:rPr>
        <w:t xml:space="preserve"> </w:t>
      </w:r>
      <w:r w:rsidRPr="00FB5A88">
        <w:rPr>
          <w:rFonts w:ascii="Verdana" w:eastAsia="Calibri" w:hAnsi="Verdana" w:cs="Arial"/>
          <w:b/>
          <w:bCs/>
          <w:color w:val="000000" w:themeColor="text1"/>
        </w:rPr>
        <w:t xml:space="preserve"> </w:t>
      </w:r>
    </w:p>
    <w:p w14:paraId="515251FD" w14:textId="77777777" w:rsidR="007709BF" w:rsidRPr="00FB5A88" w:rsidRDefault="007709BF" w:rsidP="007709BF">
      <w:pPr>
        <w:spacing w:after="120" w:line="276" w:lineRule="auto"/>
        <w:jc w:val="both"/>
        <w:rPr>
          <w:rFonts w:ascii="Verdana" w:eastAsia="Calibri" w:hAnsi="Verdana" w:cs="Arial"/>
          <w:lang w:val="es-ES"/>
        </w:rPr>
      </w:pPr>
      <w:r w:rsidRPr="00FB5A88">
        <w:rPr>
          <w:rFonts w:ascii="Verdana" w:eastAsia="Calibri" w:hAnsi="Verdana" w:cs="Arial"/>
          <w:color w:val="000000" w:themeColor="text1"/>
        </w:rPr>
        <w:lastRenderedPageBreak/>
        <w:t xml:space="preserve">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 Además, la posibilidad de subsanar estos documentos tiene como propósito: </w:t>
      </w:r>
    </w:p>
    <w:p w14:paraId="515251FE" w14:textId="77777777" w:rsidR="007709BF" w:rsidRPr="00FB5A88" w:rsidRDefault="007709BF" w:rsidP="007709BF">
      <w:pPr>
        <w:spacing w:after="120"/>
        <w:jc w:val="both"/>
        <w:rPr>
          <w:rFonts w:ascii="Verdana" w:eastAsia="Calibri" w:hAnsi="Verdana" w:cs="Arial"/>
          <w:color w:val="000000" w:themeColor="text1"/>
        </w:rPr>
      </w:pPr>
      <w:r w:rsidRPr="00FB5A88">
        <w:rPr>
          <w:rFonts w:ascii="Verdana" w:eastAsia="Calibri" w:hAnsi="Verdana" w:cs="Arial"/>
          <w:color w:val="000000" w:themeColor="text1"/>
        </w:rPr>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sidRPr="00FB5A88">
        <w:rPr>
          <w:rStyle w:val="Refdenotaalpie"/>
          <w:rFonts w:ascii="Verdana" w:eastAsia="Calibri" w:hAnsi="Verdana" w:cs="Arial"/>
          <w:color w:val="000000" w:themeColor="text1"/>
          <w:lang w:val="es-ES"/>
        </w:rPr>
        <w:footnoteReference w:id="1"/>
      </w:r>
      <w:r w:rsidRPr="00FB5A88">
        <w:rPr>
          <w:rFonts w:ascii="Verdana" w:eastAsia="Calibri" w:hAnsi="Verdana" w:cs="Arial"/>
          <w:color w:val="000000" w:themeColor="text1"/>
        </w:rPr>
        <w:t>.</w:t>
      </w:r>
    </w:p>
    <w:p w14:paraId="515251FF" w14:textId="77777777" w:rsidR="007709BF" w:rsidRDefault="007709BF" w:rsidP="007709BF">
      <w:pPr>
        <w:spacing w:after="120" w:line="276" w:lineRule="auto"/>
        <w:jc w:val="both"/>
        <w:rPr>
          <w:rFonts w:ascii="Verdana" w:hAnsi="Verdana" w:cs="Arial"/>
          <w:color w:val="000000" w:themeColor="text1"/>
          <w:lang w:val="es-ES_tradnl"/>
        </w:rPr>
      </w:pPr>
      <w:r w:rsidRPr="00FB5A88">
        <w:rPr>
          <w:rFonts w:ascii="Verdana" w:eastAsia="Calibri" w:hAnsi="Verdana" w:cs="Arial"/>
          <w:color w:val="000000" w:themeColor="text1"/>
        </w:rPr>
        <w:t xml:space="preserve">A raíz de lo anterior, no podrán rechazarse las propuestas por ausencia de requisitos o falta de documentos que verifiquen las condiciones habilitantes del proponente, y que, a su vez, estos no se constituyan como factores de comparación entre propuestas. </w:t>
      </w:r>
      <w:r w:rsidRPr="00FB5A88">
        <w:rPr>
          <w:rFonts w:ascii="Verdana" w:hAnsi="Verdana" w:cs="Arial"/>
          <w:color w:val="000000" w:themeColor="text1"/>
          <w:lang w:val="es-ES_tradnl"/>
        </w:rPr>
        <w:t xml:space="preserve">Ahora bien, la posibilidad de subsanar los documentos contentivos de la oferta es un tema que ha tenido diferentes momentos o etapas en el ordenamiento jurídico colombiano. </w:t>
      </w:r>
    </w:p>
    <w:p w14:paraId="51525200" w14:textId="77777777" w:rsidR="007709BF" w:rsidRDefault="007709BF" w:rsidP="007709BF">
      <w:pPr>
        <w:spacing w:after="120" w:line="276" w:lineRule="auto"/>
        <w:jc w:val="both"/>
        <w:rPr>
          <w:rFonts w:ascii="Verdana" w:hAnsi="Verdana" w:cs="Arial"/>
          <w:color w:val="000000" w:themeColor="text1"/>
          <w:lang w:val="es-ES_tradnl"/>
        </w:rPr>
      </w:pPr>
    </w:p>
    <w:p w14:paraId="51525201"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2"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3"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4"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5"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6"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7"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8"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9"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A"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B"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C"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D"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E"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0F"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10"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11"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12"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13"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14" w14:textId="77777777" w:rsidR="007709BF" w:rsidRDefault="007709BF" w:rsidP="007709BF">
      <w:pPr>
        <w:spacing w:after="0" w:line="240" w:lineRule="auto"/>
        <w:jc w:val="both"/>
        <w:rPr>
          <w:rFonts w:ascii="Verdana" w:eastAsia="Geomanist Light" w:hAnsi="Verdana" w:cs="Arial"/>
          <w:color w:val="000000" w:themeColor="text1"/>
          <w:lang w:val="es-ES"/>
        </w:rPr>
      </w:pPr>
    </w:p>
    <w:p w14:paraId="51525215" w14:textId="77777777" w:rsidR="007709BF" w:rsidRPr="00AB152A" w:rsidRDefault="007709BF" w:rsidP="007709BF">
      <w:pPr>
        <w:spacing w:after="0" w:line="240" w:lineRule="auto"/>
        <w:jc w:val="both"/>
        <w:rPr>
          <w:rFonts w:ascii="Verdana" w:eastAsia="Geomanist Light" w:hAnsi="Verdana" w:cs="Arial"/>
          <w:color w:val="000000" w:themeColor="text1"/>
          <w:lang w:val="es-ES"/>
        </w:rPr>
      </w:pPr>
      <w:r w:rsidRPr="0015EC3E">
        <w:rPr>
          <w:rFonts w:ascii="Verdana" w:eastAsia="Geomanist Light" w:hAnsi="Verdana" w:cs="Arial"/>
          <w:color w:val="000000" w:themeColor="text1"/>
          <w:lang w:val="es-ES"/>
        </w:rPr>
        <w:t>Bogotá D.C., [Día] de [</w:t>
      </w:r>
      <w:proofErr w:type="spellStart"/>
      <w:r w:rsidRPr="0015EC3E">
        <w:rPr>
          <w:rFonts w:ascii="Verdana" w:eastAsia="Geomanist Light" w:hAnsi="Verdana" w:cs="Arial"/>
          <w:color w:val="000000" w:themeColor="text1"/>
          <w:lang w:val="es-ES"/>
        </w:rPr>
        <w:t>Mes.NombreCapitalizado</w:t>
      </w:r>
      <w:proofErr w:type="spellEnd"/>
      <w:r w:rsidRPr="0015EC3E">
        <w:rPr>
          <w:rFonts w:ascii="Verdana" w:eastAsia="Geomanist Light" w:hAnsi="Verdana" w:cs="Arial"/>
          <w:color w:val="000000" w:themeColor="text1"/>
          <w:lang w:val="es-ES"/>
        </w:rPr>
        <w:t>] de [Año]</w:t>
      </w:r>
    </w:p>
    <w:p w14:paraId="51525216" w14:textId="77777777" w:rsidR="007709BF" w:rsidRDefault="007709BF" w:rsidP="007709BF">
      <w:pPr>
        <w:spacing w:after="0" w:line="240" w:lineRule="auto"/>
        <w:jc w:val="right"/>
        <w:rPr>
          <w:rFonts w:ascii="Verdana" w:eastAsia="Calibri" w:hAnsi="Verdana" w:cs="Arial"/>
          <w:color w:val="000000"/>
          <w:lang w:val="es-ES"/>
        </w:rPr>
      </w:pPr>
    </w:p>
    <w:p w14:paraId="51525217" w14:textId="77777777" w:rsidR="007709BF" w:rsidRPr="00593A5F" w:rsidRDefault="00390BD4" w:rsidP="007709BF">
      <w:pPr>
        <w:spacing w:after="0" w:line="240" w:lineRule="auto"/>
        <w:jc w:val="both"/>
        <w:rPr>
          <w:rFonts w:ascii="Verdana" w:eastAsia="Calibri" w:hAnsi="Verdana" w:cs="Arial"/>
          <w:color w:val="000000"/>
          <w:lang w:val="es-ES"/>
        </w:rPr>
      </w:pPr>
      <w:r w:rsidRPr="00390BD4">
        <w:rPr>
          <w:rFonts w:ascii="Verdana" w:eastAsia="Calibri" w:hAnsi="Verdana" w:cs="Arial"/>
          <w:noProof/>
          <w:color w:val="000000"/>
          <w:lang w:val="es-ES"/>
        </w:rPr>
        <w:drawing>
          <wp:anchor distT="0" distB="0" distL="114300" distR="114300" simplePos="0" relativeHeight="251658240" behindDoc="1" locked="0" layoutInCell="1" allowOverlap="1" wp14:anchorId="515252BB" wp14:editId="515252BC">
            <wp:simplePos x="0" y="0"/>
            <wp:positionH relativeFrom="column">
              <wp:posOffset>2946505</wp:posOffset>
            </wp:positionH>
            <wp:positionV relativeFrom="paragraph">
              <wp:posOffset>59298</wp:posOffset>
            </wp:positionV>
            <wp:extent cx="3346754" cy="930754"/>
            <wp:effectExtent l="0" t="0" r="0" b="0"/>
            <wp:wrapNone/>
            <wp:docPr id="435956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56053" name=""/>
                    <pic:cNvPicPr/>
                  </pic:nvPicPr>
                  <pic:blipFill>
                    <a:blip r:embed="rId11">
                      <a:extLst>
                        <a:ext uri="{28A0092B-C50C-407E-A947-70E740481C1C}">
                          <a14:useLocalDpi xmlns:a14="http://schemas.microsoft.com/office/drawing/2010/main" val="0"/>
                        </a:ext>
                      </a:extLst>
                    </a:blip>
                    <a:stretch>
                      <a:fillRect/>
                    </a:stretch>
                  </pic:blipFill>
                  <pic:spPr>
                    <a:xfrm>
                      <a:off x="0" y="0"/>
                      <a:ext cx="3346754" cy="930754"/>
                    </a:xfrm>
                    <a:prstGeom prst="rect">
                      <a:avLst/>
                    </a:prstGeom>
                  </pic:spPr>
                </pic:pic>
              </a:graphicData>
            </a:graphic>
            <wp14:sizeRelH relativeFrom="page">
              <wp14:pctWidth>0</wp14:pctWidth>
            </wp14:sizeRelH>
            <wp14:sizeRelV relativeFrom="page">
              <wp14:pctHeight>0</wp14:pctHeight>
            </wp14:sizeRelV>
          </wp:anchor>
        </w:drawing>
      </w:r>
    </w:p>
    <w:p w14:paraId="51525218" w14:textId="77777777" w:rsidR="007709BF" w:rsidRPr="00B96799" w:rsidRDefault="007709BF" w:rsidP="007709BF">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51525219" w14:textId="77777777" w:rsidR="007709BF" w:rsidRDefault="007709BF" w:rsidP="007709BF">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 xml:space="preserve">Giomar Liliana Gutiérrez Sánchez </w:t>
      </w:r>
    </w:p>
    <w:p w14:paraId="5152521A" w14:textId="77777777" w:rsidR="007709BF" w:rsidRPr="00FB5A88" w:rsidRDefault="007709BF" w:rsidP="007709BF">
      <w:pPr>
        <w:spacing w:after="0" w:line="240" w:lineRule="auto"/>
        <w:rPr>
          <w:rFonts w:ascii="Verdana" w:hAnsi="Verdana"/>
        </w:rPr>
      </w:pPr>
      <w:hyperlink r:id="rId12" w:history="1">
        <w:r w:rsidRPr="00FB5A88">
          <w:rPr>
            <w:rStyle w:val="Hipervnculo"/>
            <w:rFonts w:ascii="Verdana" w:hAnsi="Verdana"/>
          </w:rPr>
          <w:t>ggutierrez@ani.gov.co</w:t>
        </w:r>
      </w:hyperlink>
    </w:p>
    <w:p w14:paraId="5152521B" w14:textId="77777777" w:rsidR="007709BF" w:rsidRDefault="007709BF" w:rsidP="007709BF">
      <w:pPr>
        <w:spacing w:after="0" w:line="240" w:lineRule="auto"/>
        <w:rPr>
          <w:rFonts w:ascii="Verdana" w:eastAsia="Calibri" w:hAnsi="Verdana" w:cs="Arial"/>
          <w:lang w:val="es-ES" w:eastAsia="es-ES"/>
        </w:rPr>
      </w:pPr>
      <w:r>
        <w:rPr>
          <w:rFonts w:ascii="Verdana" w:eastAsia="Calibri" w:hAnsi="Verdana" w:cs="Arial"/>
          <w:lang w:val="es-ES" w:eastAsia="es-ES"/>
        </w:rPr>
        <w:t>Bogotá D.C.</w:t>
      </w:r>
    </w:p>
    <w:p w14:paraId="5152521C" w14:textId="77777777" w:rsidR="007709BF" w:rsidRPr="00593A5F" w:rsidRDefault="007709BF" w:rsidP="007709BF">
      <w:pPr>
        <w:spacing w:after="0" w:line="240" w:lineRule="auto"/>
        <w:rPr>
          <w:rFonts w:ascii="Verdana" w:eastAsia="Calibri" w:hAnsi="Verdana" w:cs="Arial"/>
          <w:b/>
          <w:bCs/>
          <w:color w:val="000000"/>
          <w:lang w:val="es-ES_tradnl" w:eastAsia="es-ES_tradnl"/>
        </w:rPr>
      </w:pPr>
    </w:p>
    <w:p w14:paraId="5152521D" w14:textId="77777777" w:rsidR="007709BF" w:rsidRPr="00593A5F" w:rsidRDefault="007709BF" w:rsidP="007709BF">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709BF" w:rsidRPr="00593A5F" w14:paraId="51525220" w14:textId="77777777" w:rsidTr="00C77973">
        <w:trPr>
          <w:trHeight w:val="884"/>
        </w:trPr>
        <w:tc>
          <w:tcPr>
            <w:tcW w:w="2689" w:type="dxa"/>
          </w:tcPr>
          <w:p w14:paraId="5152521E" w14:textId="77777777" w:rsidR="007709BF" w:rsidRPr="00C00976" w:rsidRDefault="007709BF" w:rsidP="00C77973">
            <w:pPr>
              <w:jc w:val="both"/>
              <w:rPr>
                <w:rFonts w:ascii="Verdana" w:eastAsia="Calibri" w:hAnsi="Verdana" w:cs="Arial"/>
                <w:b/>
                <w:bCs/>
                <w:color w:val="7030A0"/>
                <w:lang w:val="es-ES_tradnl" w:eastAsia="es-ES_tradnl"/>
              </w:rPr>
            </w:pPr>
          </w:p>
        </w:tc>
        <w:tc>
          <w:tcPr>
            <w:tcW w:w="6100" w:type="dxa"/>
          </w:tcPr>
          <w:p w14:paraId="5152521F" w14:textId="77777777" w:rsidR="007709BF" w:rsidRPr="00C00976" w:rsidRDefault="007709BF" w:rsidP="00C7797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Concepto C–</w:t>
            </w:r>
            <w:r>
              <w:rPr>
                <w:rFonts w:ascii="Verdana" w:eastAsia="Calibri" w:hAnsi="Verdana" w:cs="Arial"/>
                <w:b/>
                <w:bCs/>
                <w:lang w:val="es-ES" w:eastAsia="es-ES"/>
              </w:rPr>
              <w:t>734</w:t>
            </w:r>
            <w:r w:rsidRPr="008E6AD9">
              <w:rPr>
                <w:rFonts w:ascii="Verdana" w:eastAsia="Calibri" w:hAnsi="Verdana" w:cs="Arial"/>
                <w:b/>
                <w:bCs/>
                <w:lang w:val="es-ES" w:eastAsia="es-ES"/>
              </w:rPr>
              <w:t xml:space="preserve"> de 2024</w:t>
            </w:r>
          </w:p>
        </w:tc>
      </w:tr>
      <w:tr w:rsidR="007709BF" w:rsidRPr="00F73E29" w14:paraId="51525223" w14:textId="77777777" w:rsidTr="00C77973">
        <w:trPr>
          <w:trHeight w:val="884"/>
        </w:trPr>
        <w:tc>
          <w:tcPr>
            <w:tcW w:w="2689" w:type="dxa"/>
          </w:tcPr>
          <w:p w14:paraId="51525221" w14:textId="77777777" w:rsidR="007709BF" w:rsidRPr="00593A5F" w:rsidRDefault="007709BF" w:rsidP="00C7797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1525222" w14:textId="77777777" w:rsidR="007709BF" w:rsidRPr="00593A5F" w:rsidRDefault="007709BF" w:rsidP="00C77973">
            <w:pPr>
              <w:spacing w:line="276" w:lineRule="auto"/>
              <w:jc w:val="both"/>
              <w:rPr>
                <w:rFonts w:ascii="Verdana" w:eastAsia="Calibri" w:hAnsi="Verdana" w:cs="Arial"/>
                <w:lang w:val="es-ES" w:eastAsia="es-ES"/>
              </w:rPr>
            </w:pPr>
            <w:r w:rsidRPr="00FB5A88">
              <w:rPr>
                <w:rFonts w:ascii="Verdana" w:eastAsia="Calibri" w:hAnsi="Verdana" w:cs="Arial"/>
                <w:lang w:val="es-ES" w:eastAsia="es-ES"/>
              </w:rPr>
              <w:t xml:space="preserve">EVENTO DE EMPATE – Factores de desempate – Oportunidad – Verificación </w:t>
            </w:r>
            <w:r>
              <w:rPr>
                <w:rFonts w:ascii="Verdana" w:eastAsia="Calibri" w:hAnsi="Verdana" w:cs="Arial"/>
                <w:lang w:val="es-ES" w:eastAsia="es-ES"/>
              </w:rPr>
              <w:t xml:space="preserve">/ </w:t>
            </w:r>
            <w:r w:rsidRPr="00FB5A88">
              <w:rPr>
                <w:rFonts w:ascii="Verdana" w:eastAsia="Calibri" w:hAnsi="Verdana" w:cs="Arial"/>
                <w:lang w:val="es-ES" w:eastAsia="es-ES"/>
              </w:rPr>
              <w:t>FACTORES DE DESEMPATE - Artículo 35 de la Ley 2069 de 2020 – Insubsanable</w:t>
            </w:r>
            <w:r>
              <w:rPr>
                <w:rFonts w:ascii="Verdana" w:eastAsia="Calibri" w:hAnsi="Verdana" w:cs="Arial"/>
                <w:lang w:val="es-ES" w:eastAsia="es-ES"/>
              </w:rPr>
              <w:t xml:space="preserve"> / </w:t>
            </w:r>
            <w:r w:rsidRPr="00FB5A88">
              <w:rPr>
                <w:rFonts w:ascii="Verdana" w:eastAsia="Calibri" w:hAnsi="Verdana" w:cs="Arial"/>
                <w:lang w:val="es-ES" w:eastAsia="es-ES"/>
              </w:rPr>
              <w:t xml:space="preserve">SUBSANABILIDAD – </w:t>
            </w:r>
            <w:r>
              <w:rPr>
                <w:rFonts w:ascii="Verdana" w:eastAsia="Calibri" w:hAnsi="Verdana" w:cs="Arial"/>
                <w:lang w:val="es-ES" w:eastAsia="es-ES"/>
              </w:rPr>
              <w:t>A</w:t>
            </w:r>
            <w:r w:rsidRPr="00FB5A88">
              <w:rPr>
                <w:rFonts w:ascii="Verdana" w:eastAsia="Calibri" w:hAnsi="Verdana" w:cs="Arial"/>
                <w:lang w:val="es-ES" w:eastAsia="es-ES"/>
              </w:rPr>
              <w:t xml:space="preserve">rtículo 5 de la Ley 1150 de 2007 – Regla  </w:t>
            </w:r>
          </w:p>
        </w:tc>
      </w:tr>
      <w:tr w:rsidR="007709BF" w:rsidRPr="008E6AD9" w14:paraId="51525226" w14:textId="77777777" w:rsidTr="00C77973">
        <w:tc>
          <w:tcPr>
            <w:tcW w:w="2689" w:type="dxa"/>
          </w:tcPr>
          <w:p w14:paraId="51525224" w14:textId="77777777" w:rsidR="007709BF" w:rsidRPr="008E6AD9" w:rsidRDefault="007709BF" w:rsidP="00C7797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51525225" w14:textId="77777777" w:rsidR="007709BF" w:rsidRPr="008E6AD9" w:rsidRDefault="007709BF" w:rsidP="00C77973">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FB5A88">
              <w:rPr>
                <w:rFonts w:ascii="Verdana" w:eastAsia="Calibri" w:hAnsi="Verdana" w:cs="Arial"/>
                <w:lang w:val="es-ES_tradnl" w:eastAsia="es-ES_tradnl"/>
              </w:rPr>
              <w:t>P20241015010449</w:t>
            </w:r>
            <w:r>
              <w:rPr>
                <w:rFonts w:ascii="Verdana" w:eastAsia="Calibri" w:hAnsi="Verdana" w:cs="Arial"/>
                <w:lang w:val="es-ES_tradnl" w:eastAsia="es-ES_tradnl"/>
              </w:rPr>
              <w:t xml:space="preserve">                                   </w:t>
            </w:r>
          </w:p>
        </w:tc>
      </w:tr>
    </w:tbl>
    <w:p w14:paraId="51525227" w14:textId="77777777" w:rsidR="007709BF" w:rsidRPr="00593A5F" w:rsidRDefault="007709BF" w:rsidP="007709BF">
      <w:pPr>
        <w:spacing w:after="0" w:line="240" w:lineRule="auto"/>
        <w:jc w:val="both"/>
        <w:rPr>
          <w:rFonts w:ascii="Verdana" w:eastAsia="Calibri" w:hAnsi="Verdana" w:cs="Arial"/>
          <w:color w:val="000000"/>
          <w:lang w:val="es-ES_tradnl" w:eastAsia="es-ES_tradnl"/>
        </w:rPr>
      </w:pPr>
    </w:p>
    <w:p w14:paraId="51525228" w14:textId="77777777" w:rsidR="007709BF" w:rsidRPr="00593A5F" w:rsidRDefault="007709BF" w:rsidP="007709BF">
      <w:pPr>
        <w:spacing w:after="0" w:line="240" w:lineRule="auto"/>
        <w:jc w:val="both"/>
        <w:rPr>
          <w:rFonts w:ascii="Verdana" w:eastAsia="Calibri" w:hAnsi="Verdana" w:cs="Arial"/>
          <w:color w:val="000000"/>
          <w:lang w:val="es-ES_tradnl" w:eastAsia="es-ES_tradnl"/>
        </w:rPr>
      </w:pPr>
    </w:p>
    <w:p w14:paraId="51525229" w14:textId="77777777" w:rsidR="007709BF" w:rsidRPr="008E6AD9" w:rsidRDefault="007709BF" w:rsidP="007709BF">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Pr>
          <w:rFonts w:ascii="Verdana" w:eastAsia="Calibri" w:hAnsi="Verdana" w:cs="Arial"/>
          <w:lang w:val="es-ES" w:eastAsia="es-ES"/>
        </w:rPr>
        <w:t>Giomar</w:t>
      </w:r>
      <w:r w:rsidRPr="008E6AD9">
        <w:rPr>
          <w:rFonts w:ascii="Verdana" w:eastAsia="Calibri" w:hAnsi="Verdana" w:cs="Arial"/>
          <w:lang w:val="es-ES" w:eastAsia="es-ES"/>
        </w:rPr>
        <w:t xml:space="preserve">: </w:t>
      </w:r>
    </w:p>
    <w:p w14:paraId="5152522A" w14:textId="77777777" w:rsidR="007709BF" w:rsidRDefault="007709BF" w:rsidP="007709B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152522B" w14:textId="77777777" w:rsidR="007709BF" w:rsidRPr="00593A5F" w:rsidRDefault="007709BF" w:rsidP="007709BF">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w:t>
      </w:r>
      <w:r w:rsidRPr="00593A5F">
        <w:rPr>
          <w:rFonts w:ascii="Verdana" w:eastAsia="Calibri" w:hAnsi="Verdana" w:cs="Arial"/>
          <w:color w:val="000000" w:themeColor="text1"/>
          <w:lang w:val="es-ES" w:eastAsia="es-ES"/>
        </w:rPr>
        <w:t xml:space="preserve"> solicitud de</w:t>
      </w:r>
      <w:r>
        <w:rPr>
          <w:rFonts w:ascii="Verdana" w:eastAsia="Calibri" w:hAnsi="Verdana" w:cs="Arial"/>
          <w:color w:val="000000" w:themeColor="text1"/>
          <w:lang w:val="es-ES" w:eastAsia="es-ES"/>
        </w:rPr>
        <w:t xml:space="preserve"> consulta realizada </w:t>
      </w:r>
      <w:r>
        <w:rPr>
          <w:rFonts w:ascii="Verdana" w:eastAsia="Calibri" w:hAnsi="Verdana" w:cs="Arial"/>
          <w:lang w:val="es-ES" w:eastAsia="es-ES"/>
        </w:rPr>
        <w:t xml:space="preserve">el 15 de octubre de 2024, </w:t>
      </w:r>
      <w:r w:rsidRPr="008E6AD9">
        <w:rPr>
          <w:rFonts w:ascii="Verdana" w:eastAsia="Calibri" w:hAnsi="Verdana" w:cs="Arial"/>
          <w:lang w:val="es-ES" w:eastAsia="es-ES"/>
        </w:rPr>
        <w:t xml:space="preserve">en </w:t>
      </w:r>
      <w:r>
        <w:rPr>
          <w:rFonts w:ascii="Verdana" w:eastAsia="Calibri" w:hAnsi="Verdana" w:cs="Arial"/>
          <w:lang w:val="es-ES" w:eastAsia="es-ES"/>
        </w:rPr>
        <w:t>el cual plantea las siguientes inquietudes</w:t>
      </w:r>
      <w:r w:rsidRPr="008E6AD9">
        <w:rPr>
          <w:rFonts w:ascii="Verdana" w:eastAsia="Calibri" w:hAnsi="Verdana" w:cs="Arial"/>
          <w:lang w:val="es-ES" w:eastAsia="es-ES"/>
        </w:rPr>
        <w:t xml:space="preserve">: </w:t>
      </w:r>
    </w:p>
    <w:p w14:paraId="5152522C" w14:textId="77777777" w:rsidR="007709BF" w:rsidRPr="00272A7B" w:rsidRDefault="007709BF" w:rsidP="007709BF">
      <w:pPr>
        <w:pStyle w:val="Prrafodelista"/>
        <w:tabs>
          <w:tab w:val="left" w:pos="142"/>
          <w:tab w:val="left" w:pos="284"/>
        </w:tabs>
        <w:spacing w:after="0" w:line="276" w:lineRule="auto"/>
        <w:ind w:left="0"/>
        <w:jc w:val="both"/>
        <w:rPr>
          <w:rFonts w:ascii="Verdana" w:eastAsia="Century Gothic" w:hAnsi="Verdana" w:cs="Century Gothic"/>
          <w:b/>
          <w:bCs/>
        </w:rPr>
      </w:pPr>
    </w:p>
    <w:p w14:paraId="5152522D" w14:textId="77777777" w:rsidR="007709BF" w:rsidRPr="00FB5A88" w:rsidRDefault="007709BF" w:rsidP="007709BF">
      <w:pPr>
        <w:spacing w:after="120" w:line="240" w:lineRule="auto"/>
        <w:ind w:left="709" w:right="709"/>
        <w:jc w:val="both"/>
        <w:rPr>
          <w:rFonts w:ascii="Verdana" w:hAnsi="Verdana"/>
          <w:sz w:val="21"/>
          <w:szCs w:val="21"/>
        </w:rPr>
      </w:pPr>
      <w:bookmarkStart w:id="0" w:name="_Hlk95313578"/>
      <w:r w:rsidRPr="00FB5A88">
        <w:rPr>
          <w:rFonts w:ascii="Verdana" w:eastAsia="Century Gothic" w:hAnsi="Verdana" w:cs="Century Gothic"/>
          <w:sz w:val="21"/>
          <w:szCs w:val="21"/>
          <w:lang w:val="es-ES"/>
        </w:rPr>
        <w:t>“</w:t>
      </w:r>
      <w:bookmarkEnd w:id="0"/>
      <w:r w:rsidRPr="00FB5A88">
        <w:rPr>
          <w:rFonts w:ascii="Verdana" w:hAnsi="Verdana"/>
          <w:sz w:val="21"/>
          <w:szCs w:val="21"/>
        </w:rPr>
        <w:t xml:space="preserve">1. ¿Cuál es la línea actual de la Agencia Nacional de Contratación Pública-Colombia Compra Eficiente sobre la subsanabilidad de los criterios de desempate en los procesos competitivos? </w:t>
      </w:r>
    </w:p>
    <w:p w14:paraId="5152522E" w14:textId="77777777" w:rsidR="007709BF" w:rsidRPr="00FB5A88" w:rsidRDefault="007709BF" w:rsidP="007709BF">
      <w:pPr>
        <w:spacing w:after="120" w:line="240" w:lineRule="auto"/>
        <w:ind w:left="709" w:right="709"/>
        <w:jc w:val="both"/>
        <w:rPr>
          <w:rFonts w:ascii="Verdana" w:eastAsia="Century Gothic" w:hAnsi="Verdana" w:cs="Century Gothic"/>
          <w:sz w:val="21"/>
          <w:szCs w:val="21"/>
          <w:lang w:val="es-ES"/>
        </w:rPr>
      </w:pPr>
      <w:r w:rsidRPr="00FB5A88">
        <w:rPr>
          <w:rFonts w:ascii="Verdana" w:hAnsi="Verdana"/>
          <w:sz w:val="21"/>
          <w:szCs w:val="21"/>
        </w:rPr>
        <w:t>2. ¿Es posible que la verificación de los criterios de desempate y su eventual solicitud de subsanación se dé únicamente luego de establecer la existencia de un empate y en caso de que no exista empate simplemente no se haga la revisión de dichos criterios.?</w:t>
      </w:r>
      <w:r w:rsidRPr="00FB5A88">
        <w:rPr>
          <w:rFonts w:ascii="Verdana" w:eastAsia="Century Gothic" w:hAnsi="Verdana" w:cs="Century Gothic"/>
          <w:sz w:val="21"/>
          <w:szCs w:val="21"/>
          <w:lang w:val="es-ES"/>
        </w:rPr>
        <w:t xml:space="preserve">”. </w:t>
      </w:r>
    </w:p>
    <w:p w14:paraId="5152522F" w14:textId="77777777" w:rsidR="007709BF" w:rsidRPr="008E6AD9" w:rsidRDefault="007709BF" w:rsidP="007709BF">
      <w:pPr>
        <w:pStyle w:val="Prrafodelista"/>
        <w:tabs>
          <w:tab w:val="left" w:pos="142"/>
          <w:tab w:val="left" w:pos="284"/>
        </w:tabs>
        <w:spacing w:line="276" w:lineRule="auto"/>
        <w:ind w:left="0"/>
        <w:jc w:val="both"/>
        <w:rPr>
          <w:rFonts w:ascii="Verdana" w:eastAsia="Century Gothic" w:hAnsi="Verdana" w:cs="Century Gothic"/>
          <w:b/>
          <w:bCs/>
        </w:rPr>
      </w:pPr>
    </w:p>
    <w:p w14:paraId="51525230" w14:textId="77777777" w:rsidR="007709BF" w:rsidRPr="00A652FF" w:rsidRDefault="007709BF" w:rsidP="007709BF">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lastRenderedPageBreak/>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1525231" w14:textId="77777777" w:rsidR="007709BF" w:rsidRDefault="007709BF" w:rsidP="007709BF">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en la solicitud</w:t>
      </w:r>
      <w:r w:rsidRPr="00593A5F">
        <w:rPr>
          <w:rFonts w:ascii="Verdana" w:eastAsia="Calibri" w:hAnsi="Verdana" w:cs="Arial"/>
          <w:color w:val="000000"/>
          <w:lang w:val="es-ES" w:eastAsia="es-ES"/>
        </w:rPr>
        <w:t>, pero haciendo unas consideraciones</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51525232" w14:textId="77777777" w:rsidR="007709BF" w:rsidRPr="00593A5F" w:rsidRDefault="007709BF" w:rsidP="007709BF">
      <w:pPr>
        <w:spacing w:after="0" w:line="276" w:lineRule="auto"/>
        <w:ind w:firstLine="709"/>
        <w:jc w:val="both"/>
        <w:rPr>
          <w:rFonts w:ascii="Verdana" w:eastAsia="Calibri" w:hAnsi="Verdana" w:cs="Arial"/>
          <w:color w:val="000000"/>
          <w:lang w:val="es-ES" w:eastAsia="es-ES"/>
        </w:rPr>
      </w:pPr>
    </w:p>
    <w:p w14:paraId="51525233" w14:textId="77777777" w:rsidR="007709BF" w:rsidRPr="00593A5F" w:rsidRDefault="007709BF" w:rsidP="007709BF">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Problema planteado:</w:t>
      </w:r>
    </w:p>
    <w:p w14:paraId="51525234" w14:textId="77777777" w:rsidR="007709BF" w:rsidRPr="00593A5F" w:rsidRDefault="007709BF" w:rsidP="007709BF">
      <w:pPr>
        <w:tabs>
          <w:tab w:val="left" w:pos="426"/>
        </w:tabs>
        <w:spacing w:after="0" w:line="276" w:lineRule="auto"/>
        <w:jc w:val="both"/>
        <w:rPr>
          <w:rFonts w:ascii="Verdana" w:eastAsia="Century Gothic" w:hAnsi="Verdana" w:cs="Century Gothic"/>
          <w:lang w:val="es-ES"/>
        </w:rPr>
      </w:pPr>
    </w:p>
    <w:p w14:paraId="51525235" w14:textId="77777777" w:rsidR="007709BF" w:rsidRPr="00593A5F" w:rsidRDefault="007709BF" w:rsidP="007709BF">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i. </w:t>
      </w:r>
      <w:r w:rsidRPr="00FB5A88">
        <w:rPr>
          <w:rFonts w:ascii="Verdana" w:eastAsia="Century Gothic" w:hAnsi="Verdana" w:cs="Century Gothic"/>
        </w:rPr>
        <w:t>¿Se pueden subsanar los factores de desempate?</w:t>
      </w:r>
      <w:r>
        <w:rPr>
          <w:rFonts w:ascii="Verdana" w:eastAsia="Century Gothic" w:hAnsi="Verdana" w:cs="Century Gothic"/>
        </w:rPr>
        <w:t xml:space="preserve"> ii. </w:t>
      </w:r>
      <w:r w:rsidRPr="00FB5A88">
        <w:rPr>
          <w:rFonts w:ascii="Verdana" w:eastAsia="Century Gothic" w:hAnsi="Verdana" w:cs="Century Gothic"/>
        </w:rPr>
        <w:t>¿La verificación y subsanabilidad de criterios de desempate solo es procedente realizarla cuando efectivamente se esté ante el evento de empate?</w:t>
      </w:r>
    </w:p>
    <w:p w14:paraId="51525236" w14:textId="77777777" w:rsidR="007709BF" w:rsidRPr="004B140F" w:rsidRDefault="007709BF" w:rsidP="007709BF">
      <w:pPr>
        <w:spacing w:after="0" w:line="276" w:lineRule="auto"/>
        <w:jc w:val="both"/>
        <w:rPr>
          <w:rFonts w:ascii="Verdana" w:eastAsia="Calibri" w:hAnsi="Verdana" w:cs="Arial"/>
          <w:color w:val="7030A0"/>
        </w:rPr>
      </w:pPr>
    </w:p>
    <w:p w14:paraId="51525237" w14:textId="77777777" w:rsidR="007709BF" w:rsidRPr="00593A5F" w:rsidRDefault="007709BF" w:rsidP="007709BF">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Respuesta:</w:t>
      </w:r>
    </w:p>
    <w:p w14:paraId="51525238" w14:textId="77777777" w:rsidR="007709BF" w:rsidRPr="00593A5F" w:rsidRDefault="007709BF" w:rsidP="007709B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709BF" w:rsidRPr="00FB5A88" w14:paraId="5152523C" w14:textId="77777777" w:rsidTr="00C77973">
        <w:trPr>
          <w:jc w:val="center"/>
        </w:trPr>
        <w:tc>
          <w:tcPr>
            <w:tcW w:w="8828" w:type="dxa"/>
            <w:shd w:val="clear" w:color="auto" w:fill="auto"/>
          </w:tcPr>
          <w:p w14:paraId="51525239" w14:textId="77777777" w:rsidR="007709BF" w:rsidRPr="00FB5A88" w:rsidRDefault="007709BF" w:rsidP="00C77973">
            <w:pPr>
              <w:spacing w:after="120" w:line="276" w:lineRule="auto"/>
              <w:jc w:val="both"/>
              <w:rPr>
                <w:rFonts w:ascii="Verdana" w:eastAsia="Times New Roman" w:hAnsi="Verdana" w:cs="Arial"/>
                <w:color w:val="000000" w:themeColor="text1"/>
                <w:lang w:val="es-ES"/>
              </w:rPr>
            </w:pPr>
            <w:bookmarkStart w:id="1" w:name="_Hlk171694685"/>
            <w:r w:rsidRPr="00FB5A88">
              <w:rPr>
                <w:rFonts w:ascii="Verdana" w:eastAsia="Times New Roman" w:hAnsi="Verdana" w:cs="Arial"/>
                <w:color w:val="000000" w:themeColor="text1"/>
                <w:lang w:val="es-ES"/>
              </w:rPr>
              <w:t xml:space="preserve">i. Dado que los factores de desempate influyen en la </w:t>
            </w:r>
            <w:r>
              <w:rPr>
                <w:rFonts w:ascii="Verdana" w:eastAsia="Times New Roman" w:hAnsi="Verdana" w:cs="Arial"/>
                <w:color w:val="000000" w:themeColor="text1"/>
                <w:lang w:val="es-ES"/>
              </w:rPr>
              <w:t>compara</w:t>
            </w:r>
            <w:r w:rsidRPr="00FB5A88">
              <w:rPr>
                <w:rFonts w:ascii="Verdana" w:eastAsia="Times New Roman" w:hAnsi="Verdana" w:cs="Arial"/>
                <w:color w:val="000000" w:themeColor="text1"/>
                <w:lang w:val="es-ES"/>
              </w:rPr>
              <w:t>ción de las ofertas presentadas</w:t>
            </w:r>
            <w:r>
              <w:rPr>
                <w:rFonts w:ascii="Verdana" w:eastAsia="Times New Roman" w:hAnsi="Verdana" w:cs="Arial"/>
                <w:color w:val="000000" w:themeColor="text1"/>
                <w:lang w:val="es-ES"/>
              </w:rPr>
              <w:t xml:space="preserve"> para desempatarlas</w:t>
            </w:r>
            <w:r w:rsidRPr="00FB5A88">
              <w:rPr>
                <w:rFonts w:ascii="Verdana" w:eastAsia="Times New Roman" w:hAnsi="Verdana" w:cs="Arial"/>
                <w:color w:val="000000" w:themeColor="text1"/>
                <w:lang w:val="es-ES"/>
              </w:rPr>
              <w:t>, la acreditación de las causales previstas en el artículo 35 de la Ley 2069 de 2020 es insubsanable. Esto considerando que no son criterios puramente formales de las propuestas ni requisitos para la verificación de las condiciones habilitantes en el proceso de selección en los que aplique la regla del parágrafo primero del artículo 5 de la Ley 1150 de 2007. Por tanto, dado que no existe oportunidad posterior, la documentación relacionada con los factores de desempate debe entregarse con la oferta de forma completa e integra, antes del cierre del proceso de selección.</w:t>
            </w:r>
          </w:p>
          <w:p w14:paraId="5152523A" w14:textId="77777777" w:rsidR="007709BF" w:rsidRPr="00FB5A88" w:rsidRDefault="007709BF" w:rsidP="00C77973">
            <w:pPr>
              <w:spacing w:after="120" w:line="276" w:lineRule="auto"/>
              <w:jc w:val="both"/>
              <w:rPr>
                <w:rFonts w:ascii="Verdana" w:eastAsia="Times New Roman" w:hAnsi="Verdana" w:cs="Arial"/>
                <w:color w:val="000000" w:themeColor="text1"/>
                <w:lang w:val="es-ES"/>
              </w:rPr>
            </w:pPr>
            <w:r w:rsidRPr="00FB5A88">
              <w:rPr>
                <w:rFonts w:ascii="Verdana" w:eastAsia="Times New Roman" w:hAnsi="Verdana" w:cs="Arial"/>
                <w:color w:val="000000" w:themeColor="text1"/>
                <w:lang w:val="es-ES"/>
              </w:rPr>
              <w:lastRenderedPageBreak/>
              <w:t>ii. La verificación de los criterios de desempate, la deberán realizar las entidades una vez se encuentre consolidado el evento de empate, y habiéndose surtido el trámite de verificación de requisitos habilitantes y factores de calificación óptimos, aplicando las reglas establecidas en los pliegos de condiciones; ya que el empate consiste en un evento en el cual dos o más oferentes alcanzan la misma cantidad de puntuación u ofrecen el mismo precio en la oferta económica; al ponderarse los criterios de calificación que, en principio, aplican al procedimiento contractual. En consecuencia, deben aplicarse los factores permitidos por las disposiciones normativas que regulan esta materia, entre los que se encuentra el artículo 35 de la Ley 2069 de 2020. Los criterios de desempate deben estar previamente establecidos y constituyen un límite a la discrecionalidad administrativa en los procedimientos de selección.</w:t>
            </w:r>
          </w:p>
          <w:p w14:paraId="5152523B" w14:textId="77777777" w:rsidR="007709BF" w:rsidRPr="00FB5A88" w:rsidRDefault="007709BF" w:rsidP="00C77973">
            <w:pPr>
              <w:spacing w:after="120" w:line="276" w:lineRule="auto"/>
              <w:jc w:val="both"/>
              <w:rPr>
                <w:rFonts w:ascii="Verdana" w:eastAsia="Times New Roman" w:hAnsi="Verdana" w:cs="Arial"/>
                <w:color w:val="000000" w:themeColor="text1"/>
                <w:lang w:val="es-ES"/>
              </w:rPr>
            </w:pPr>
            <w:r w:rsidRPr="00FB5A88">
              <w:rPr>
                <w:rFonts w:ascii="Verdana" w:eastAsia="Times New Roman" w:hAnsi="Verdana" w:cs="Arial"/>
                <w:color w:val="000000" w:themeColor="text1"/>
                <w:lang w:val="es-ES"/>
              </w:rPr>
              <w:t>En ese mismo sentido dispone el inciso primero del artículo 35 de la Ley 2069 de 2020: “FACTORES DE DESEMPATE. 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tc>
      </w:tr>
    </w:tbl>
    <w:p w14:paraId="5152523D" w14:textId="77777777" w:rsidR="007709BF" w:rsidRPr="00FB5A88" w:rsidRDefault="007709BF" w:rsidP="007709BF">
      <w:pPr>
        <w:tabs>
          <w:tab w:val="left" w:pos="142"/>
          <w:tab w:val="left" w:pos="284"/>
        </w:tabs>
        <w:spacing w:after="0" w:line="276" w:lineRule="auto"/>
        <w:jc w:val="both"/>
        <w:rPr>
          <w:rFonts w:ascii="Verdana" w:eastAsia="Century Gothic" w:hAnsi="Verdana" w:cs="Century Gothic"/>
          <w:b/>
          <w:bCs/>
        </w:rPr>
      </w:pPr>
    </w:p>
    <w:bookmarkEnd w:id="1"/>
    <w:p w14:paraId="5152523E" w14:textId="77777777" w:rsidR="007709BF" w:rsidRPr="00FB5A88" w:rsidRDefault="007709BF" w:rsidP="007709BF">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B5A88">
        <w:rPr>
          <w:rFonts w:ascii="Verdana" w:eastAsia="Century Gothic" w:hAnsi="Verdana" w:cs="Century Gothic"/>
          <w:b/>
          <w:bCs/>
        </w:rPr>
        <w:t xml:space="preserve"> Razones de la respuesta:</w:t>
      </w:r>
    </w:p>
    <w:p w14:paraId="5152523F" w14:textId="77777777" w:rsidR="007709BF" w:rsidRPr="00FB5A88" w:rsidRDefault="007709BF" w:rsidP="007709BF">
      <w:pPr>
        <w:spacing w:after="0" w:line="276" w:lineRule="auto"/>
        <w:jc w:val="both"/>
        <w:rPr>
          <w:rFonts w:ascii="Verdana" w:eastAsia="Calibri" w:hAnsi="Verdana" w:cs="Arial"/>
          <w:color w:val="7030A0"/>
          <w:lang w:val="es-ES"/>
        </w:rPr>
      </w:pPr>
    </w:p>
    <w:p w14:paraId="51525240" w14:textId="77777777" w:rsidR="007709BF" w:rsidRDefault="007709BF" w:rsidP="007709BF">
      <w:pPr>
        <w:spacing w:after="0" w:line="276" w:lineRule="auto"/>
        <w:jc w:val="both"/>
        <w:rPr>
          <w:rFonts w:ascii="Verdana" w:eastAsia="Calibri" w:hAnsi="Verdana" w:cs="Arial"/>
          <w:lang w:val="es-ES"/>
        </w:rPr>
      </w:pPr>
      <w:r w:rsidRPr="00FB5A88">
        <w:rPr>
          <w:rFonts w:ascii="Verdana" w:eastAsia="Calibri" w:hAnsi="Verdana" w:cs="Arial"/>
          <w:lang w:val="es-ES"/>
        </w:rPr>
        <w:t>Lo anterior se sustenta en las siguientes consideraciones:</w:t>
      </w:r>
    </w:p>
    <w:p w14:paraId="51525241" w14:textId="77777777" w:rsidR="007709BF" w:rsidRDefault="007709BF" w:rsidP="007709BF">
      <w:pPr>
        <w:spacing w:after="0" w:line="276" w:lineRule="auto"/>
        <w:jc w:val="both"/>
        <w:rPr>
          <w:rFonts w:ascii="Verdana" w:eastAsia="Calibri" w:hAnsi="Verdana" w:cs="Arial"/>
          <w:color w:val="000000" w:themeColor="text1"/>
        </w:rPr>
      </w:pPr>
    </w:p>
    <w:p w14:paraId="51525242" w14:textId="77777777" w:rsidR="007709BF" w:rsidRPr="00DA00F3" w:rsidRDefault="007709BF" w:rsidP="007709BF">
      <w:pPr>
        <w:pStyle w:val="Prrafodelista"/>
        <w:numPr>
          <w:ilvl w:val="0"/>
          <w:numId w:val="5"/>
        </w:numPr>
        <w:spacing w:after="120" w:line="276" w:lineRule="auto"/>
        <w:jc w:val="both"/>
        <w:rPr>
          <w:rFonts w:ascii="Verdana" w:eastAsia="Calibri" w:hAnsi="Verdana" w:cs="Arial"/>
        </w:rPr>
      </w:pPr>
      <w:r w:rsidRPr="00DA00F3">
        <w:rPr>
          <w:rFonts w:ascii="Verdana" w:eastAsia="Calibri" w:hAnsi="Verdana" w:cs="Arial"/>
          <w:color w:val="000000" w:themeColor="text1"/>
        </w:rPr>
        <w:t xml:space="preserve">La subsanabilidad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 Además, la posibilidad de subsanar estos documentos tiene como propósito: </w:t>
      </w:r>
    </w:p>
    <w:p w14:paraId="51525243" w14:textId="77777777" w:rsidR="007709BF" w:rsidRPr="00FB5A88" w:rsidRDefault="007709BF" w:rsidP="007709BF">
      <w:pPr>
        <w:pStyle w:val="Prrafodelista"/>
        <w:spacing w:after="120" w:line="276" w:lineRule="auto"/>
        <w:ind w:left="0"/>
        <w:jc w:val="both"/>
        <w:rPr>
          <w:rFonts w:ascii="Verdana" w:eastAsia="Calibri" w:hAnsi="Verdana" w:cs="Arial"/>
          <w:color w:val="000000" w:themeColor="text1"/>
        </w:rPr>
      </w:pPr>
    </w:p>
    <w:p w14:paraId="51525244" w14:textId="77777777" w:rsidR="007709BF" w:rsidRPr="00DA00F3" w:rsidRDefault="007709BF" w:rsidP="007709BF">
      <w:pPr>
        <w:pStyle w:val="Prrafodelista"/>
        <w:spacing w:after="120"/>
        <w:ind w:right="709"/>
        <w:jc w:val="both"/>
        <w:rPr>
          <w:rFonts w:ascii="Verdana" w:eastAsia="Calibri" w:hAnsi="Verdana" w:cs="Arial"/>
          <w:color w:val="000000" w:themeColor="text1"/>
          <w:sz w:val="21"/>
          <w:szCs w:val="21"/>
        </w:rPr>
      </w:pPr>
      <w:r w:rsidRPr="00DA00F3">
        <w:rPr>
          <w:rFonts w:ascii="Verdana" w:eastAsia="Calibri" w:hAnsi="Verdana" w:cs="Arial"/>
          <w:color w:val="000000" w:themeColor="text1"/>
          <w:sz w:val="21"/>
          <w:szCs w:val="21"/>
        </w:rPr>
        <w:t xml:space="preserve">[…] materializar un principio general de primacía de lo sustancial sobre lo formal, adoptando medidas de saneamiento del proceso de selección tendientes a que los meros defectos formales, que no afecten </w:t>
      </w:r>
      <w:r w:rsidRPr="00DA00F3">
        <w:rPr>
          <w:rFonts w:ascii="Verdana" w:eastAsia="Calibri" w:hAnsi="Verdana" w:cs="Arial"/>
          <w:color w:val="000000" w:themeColor="text1"/>
          <w:sz w:val="21"/>
          <w:szCs w:val="21"/>
        </w:rPr>
        <w:lastRenderedPageBreak/>
        <w:t>sustancialmente la oferta, referidos a la documentación o instrumentalización de la misma, priven a la administración de considerar una oferta por causa de tales falencias</w:t>
      </w:r>
      <w:r w:rsidRPr="00DA00F3">
        <w:rPr>
          <w:rStyle w:val="Refdenotaalpie"/>
          <w:rFonts w:ascii="Verdana" w:eastAsia="Calibri" w:hAnsi="Verdana" w:cs="Arial"/>
          <w:color w:val="000000" w:themeColor="text1"/>
          <w:sz w:val="21"/>
          <w:szCs w:val="21"/>
        </w:rPr>
        <w:footnoteReference w:id="2"/>
      </w:r>
      <w:r w:rsidRPr="00DA00F3">
        <w:rPr>
          <w:rFonts w:ascii="Verdana" w:eastAsia="Calibri" w:hAnsi="Verdana" w:cs="Arial"/>
          <w:color w:val="000000" w:themeColor="text1"/>
          <w:sz w:val="21"/>
          <w:szCs w:val="21"/>
        </w:rPr>
        <w:t>.</w:t>
      </w:r>
    </w:p>
    <w:p w14:paraId="51525245" w14:textId="77777777" w:rsidR="007709BF" w:rsidRPr="00DA00F3" w:rsidRDefault="007709BF" w:rsidP="007709BF">
      <w:pPr>
        <w:spacing w:after="120" w:line="276" w:lineRule="auto"/>
        <w:jc w:val="both"/>
        <w:rPr>
          <w:rFonts w:ascii="Verdana" w:eastAsia="Calibri" w:hAnsi="Verdana" w:cs="Arial"/>
          <w:color w:val="000000" w:themeColor="text1"/>
          <w:sz w:val="21"/>
          <w:szCs w:val="21"/>
        </w:rPr>
      </w:pPr>
    </w:p>
    <w:p w14:paraId="51525246" w14:textId="77777777" w:rsidR="007709BF" w:rsidRDefault="007709BF" w:rsidP="007709BF">
      <w:pPr>
        <w:pStyle w:val="Prrafodelista"/>
        <w:spacing w:after="120" w:line="276" w:lineRule="auto"/>
        <w:jc w:val="both"/>
        <w:rPr>
          <w:rFonts w:ascii="Verdana" w:hAnsi="Verdana" w:cs="Arial"/>
          <w:color w:val="000000" w:themeColor="text1"/>
          <w:lang w:val="es-ES_tradnl"/>
        </w:rPr>
      </w:pPr>
      <w:r w:rsidRPr="00DA00F3">
        <w:rPr>
          <w:rFonts w:ascii="Verdana" w:eastAsia="Calibri" w:hAnsi="Verdana" w:cs="Arial"/>
          <w:color w:val="000000" w:themeColor="text1"/>
        </w:rPr>
        <w:t xml:space="preserve">A raíz de lo anterior, no podrán rechazarse las propuestas por ausencia de requisitos o falta de documentos que verifiquen las condiciones habilitantes del proponente, y que, a su vez, estos no se constituyan como factores de comparación entre propuestas. </w:t>
      </w:r>
      <w:r w:rsidRPr="00DA00F3">
        <w:rPr>
          <w:rFonts w:ascii="Verdana" w:hAnsi="Verdana" w:cs="Arial"/>
          <w:color w:val="000000" w:themeColor="text1"/>
          <w:lang w:val="es-ES_tradnl"/>
        </w:rPr>
        <w:t xml:space="preserve">Ahora bien, la posibilidad de subsanar los documentos contentivos de la oferta es un tema que ha tenido diferentes momentos o etapas en el ordenamiento jurídico colombiano. </w:t>
      </w:r>
    </w:p>
    <w:p w14:paraId="51525247" w14:textId="77777777" w:rsidR="007709BF" w:rsidRPr="00DA00F3" w:rsidRDefault="007709BF" w:rsidP="007709BF">
      <w:pPr>
        <w:pStyle w:val="Prrafodelista"/>
        <w:spacing w:after="120" w:line="276" w:lineRule="auto"/>
        <w:jc w:val="both"/>
        <w:rPr>
          <w:rFonts w:ascii="Verdana" w:hAnsi="Verdana" w:cs="Arial"/>
          <w:color w:val="000000" w:themeColor="text1"/>
          <w:lang w:val="es-ES_tradnl"/>
        </w:rPr>
      </w:pPr>
    </w:p>
    <w:p w14:paraId="51525248" w14:textId="77777777" w:rsidR="007709BF" w:rsidRPr="00DA00F3" w:rsidRDefault="007709BF" w:rsidP="007709BF">
      <w:pPr>
        <w:pStyle w:val="Prrafodelista"/>
        <w:numPr>
          <w:ilvl w:val="0"/>
          <w:numId w:val="5"/>
        </w:numPr>
        <w:spacing w:after="120" w:line="276" w:lineRule="auto"/>
        <w:jc w:val="both"/>
        <w:rPr>
          <w:rFonts w:ascii="Verdana" w:hAnsi="Verdana" w:cs="Arial"/>
          <w:color w:val="000000" w:themeColor="text1"/>
          <w:lang w:val="es-ES_tradnl"/>
        </w:rPr>
      </w:pPr>
      <w:r w:rsidRPr="00DA00F3">
        <w:rPr>
          <w:rFonts w:ascii="Verdana" w:hAnsi="Verdana" w:cs="Arial"/>
          <w:color w:val="000000" w:themeColor="text1"/>
        </w:rPr>
        <w:t xml:space="preserve">En un </w:t>
      </w:r>
      <w:r w:rsidRPr="00DA00F3">
        <w:rPr>
          <w:rFonts w:ascii="Verdana" w:hAnsi="Verdana" w:cs="Arial"/>
          <w:i/>
          <w:iCs/>
          <w:color w:val="000000" w:themeColor="text1"/>
        </w:rPr>
        <w:t>primer momento</w:t>
      </w:r>
      <w:r w:rsidRPr="00DA00F3">
        <w:rPr>
          <w:rFonts w:ascii="Verdana" w:hAnsi="Verdana" w:cs="Arial"/>
          <w:color w:val="000000" w:themeColor="text1"/>
        </w:rPr>
        <w:t xml:space="preserve">, antes de la entrada en vigor de la Constitución Política de 1991, el régimen jurídico de la subsanabilidad de las ofertas estaba compuesto por el Decreto Ley 150 de 1976 y el Decreto 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51525249" w14:textId="77777777" w:rsidR="007709BF" w:rsidRPr="00DA00F3" w:rsidRDefault="007709BF" w:rsidP="007709BF">
      <w:pPr>
        <w:pStyle w:val="Prrafodelista"/>
        <w:spacing w:after="120" w:line="276" w:lineRule="auto"/>
        <w:jc w:val="both"/>
        <w:rPr>
          <w:rFonts w:ascii="Verdana" w:hAnsi="Verdana" w:cs="Arial"/>
          <w:color w:val="000000" w:themeColor="text1"/>
          <w:lang w:val="es-ES_tradnl"/>
        </w:rPr>
      </w:pPr>
    </w:p>
    <w:p w14:paraId="5152524A" w14:textId="77777777" w:rsidR="007709BF" w:rsidRDefault="007709BF" w:rsidP="007709BF">
      <w:pPr>
        <w:pStyle w:val="Prrafodelista"/>
        <w:numPr>
          <w:ilvl w:val="0"/>
          <w:numId w:val="5"/>
        </w:numPr>
        <w:spacing w:after="120" w:line="276" w:lineRule="auto"/>
        <w:jc w:val="both"/>
        <w:rPr>
          <w:rFonts w:ascii="Verdana" w:hAnsi="Verdana" w:cs="Arial"/>
          <w:color w:val="000000" w:themeColor="text1"/>
          <w:lang w:val="es-ES_tradnl"/>
        </w:rPr>
      </w:pPr>
      <w:r w:rsidRPr="00DA00F3">
        <w:rPr>
          <w:rFonts w:ascii="Verdana" w:hAnsi="Verdana" w:cs="Arial"/>
          <w:color w:val="000000" w:themeColor="text1"/>
          <w:lang w:val="es-ES_tradnl"/>
        </w:rPr>
        <w:t xml:space="preserve">En un </w:t>
      </w:r>
      <w:r w:rsidRPr="00DA00F3">
        <w:rPr>
          <w:rFonts w:ascii="Verdana" w:hAnsi="Verdana" w:cs="Arial"/>
          <w:i/>
          <w:color w:val="000000" w:themeColor="text1"/>
          <w:lang w:val="es-ES_tradnl"/>
        </w:rPr>
        <w:t>segundo momento</w:t>
      </w:r>
      <w:r w:rsidRPr="00DA00F3">
        <w:rPr>
          <w:rFonts w:ascii="Verdana" w:hAnsi="Verdana" w:cs="Arial"/>
          <w:color w:val="000000" w:themeColor="text1"/>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 En este nuevo escenario constitucional, el artículo 25.15 de la Ley 80 de 1993 dispuso lo siguiente: </w:t>
      </w:r>
    </w:p>
    <w:p w14:paraId="5152524B" w14:textId="77777777" w:rsidR="007709BF" w:rsidRPr="00DA00F3" w:rsidRDefault="007709BF" w:rsidP="007709BF">
      <w:pPr>
        <w:pStyle w:val="Prrafodelista"/>
        <w:rPr>
          <w:rFonts w:ascii="Verdana" w:hAnsi="Verdana" w:cs="Arial"/>
          <w:color w:val="000000" w:themeColor="text1"/>
          <w:lang w:val="es-ES_tradnl"/>
        </w:rPr>
      </w:pPr>
    </w:p>
    <w:p w14:paraId="5152524C" w14:textId="77777777" w:rsidR="007709BF" w:rsidRPr="00DA00F3" w:rsidRDefault="007709BF" w:rsidP="007709BF">
      <w:pPr>
        <w:pStyle w:val="Prrafodelista"/>
        <w:spacing w:after="120" w:line="276" w:lineRule="auto"/>
        <w:jc w:val="both"/>
        <w:rPr>
          <w:rFonts w:ascii="Verdana" w:hAnsi="Verdana" w:cs="Arial"/>
          <w:color w:val="000000" w:themeColor="text1"/>
          <w:lang w:val="es-ES_tradnl"/>
        </w:rPr>
      </w:pPr>
    </w:p>
    <w:p w14:paraId="5152524D" w14:textId="77777777" w:rsidR="007709BF" w:rsidRPr="00DA00F3" w:rsidRDefault="007709BF" w:rsidP="007709BF">
      <w:pPr>
        <w:pStyle w:val="Prrafodelista"/>
        <w:spacing w:after="120"/>
        <w:ind w:right="709"/>
        <w:jc w:val="both"/>
        <w:rPr>
          <w:rFonts w:ascii="Verdana" w:hAnsi="Verdana" w:cs="Arial"/>
          <w:color w:val="000000" w:themeColor="text1"/>
          <w:sz w:val="21"/>
          <w:szCs w:val="21"/>
          <w:lang w:val="es-ES_tradnl"/>
        </w:rPr>
      </w:pPr>
      <w:r w:rsidRPr="00DA00F3">
        <w:rPr>
          <w:rFonts w:ascii="Verdana" w:hAnsi="Verdana" w:cs="Arial"/>
          <w:color w:val="000000" w:themeColor="text1"/>
          <w:sz w:val="21"/>
          <w:szCs w:val="21"/>
          <w:lang w:val="es-ES_tradnl"/>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5152524E" w14:textId="77777777" w:rsidR="007709BF" w:rsidRPr="00DA00F3" w:rsidRDefault="007709BF" w:rsidP="007709BF">
      <w:pPr>
        <w:pStyle w:val="Prrafodelista"/>
        <w:spacing w:before="120" w:after="120"/>
        <w:ind w:right="709"/>
        <w:jc w:val="both"/>
        <w:rPr>
          <w:rFonts w:ascii="Verdana" w:hAnsi="Verdana" w:cs="Arial"/>
          <w:color w:val="000000" w:themeColor="text1"/>
          <w:sz w:val="21"/>
          <w:szCs w:val="21"/>
          <w:lang w:val="es-ES_tradnl"/>
        </w:rPr>
      </w:pPr>
      <w:r w:rsidRPr="00DA00F3">
        <w:rPr>
          <w:rFonts w:ascii="Verdana" w:hAnsi="Verdana" w:cs="Arial"/>
          <w:color w:val="000000" w:themeColor="text1"/>
          <w:sz w:val="21"/>
          <w:szCs w:val="21"/>
          <w:lang w:val="es-ES_tradnl"/>
        </w:rPr>
        <w:t xml:space="preserve">La ausencia de requisitos o la falta de documentos referentes a la futura contratación o al proponente, no necesarios para la comparación </w:t>
      </w:r>
      <w:r w:rsidRPr="00DA00F3">
        <w:rPr>
          <w:rFonts w:ascii="Verdana" w:hAnsi="Verdana" w:cs="Arial"/>
          <w:color w:val="000000" w:themeColor="text1"/>
          <w:sz w:val="21"/>
          <w:szCs w:val="21"/>
          <w:lang w:val="es-ES_tradnl"/>
        </w:rPr>
        <w:lastRenderedPageBreak/>
        <w:t xml:space="preserve">de propuestas, no servirá de título suficiente para el rechazo de los ofrecimientos hechos. </w:t>
      </w:r>
    </w:p>
    <w:p w14:paraId="5152524F" w14:textId="77777777" w:rsidR="007709BF" w:rsidRPr="00FB5A88" w:rsidRDefault="007709BF" w:rsidP="007709BF">
      <w:pPr>
        <w:spacing w:after="120" w:line="276" w:lineRule="auto"/>
        <w:jc w:val="both"/>
        <w:rPr>
          <w:rFonts w:ascii="Verdana" w:hAnsi="Verdana" w:cs="Arial"/>
          <w:color w:val="000000" w:themeColor="text1"/>
          <w:lang w:val="es-ES_tradnl"/>
        </w:rPr>
      </w:pPr>
    </w:p>
    <w:p w14:paraId="51525250" w14:textId="77777777" w:rsidR="007709BF" w:rsidRDefault="007709BF" w:rsidP="007709BF">
      <w:pPr>
        <w:pStyle w:val="Prrafodelista"/>
        <w:spacing w:after="120" w:line="276" w:lineRule="auto"/>
        <w:jc w:val="both"/>
        <w:rPr>
          <w:rFonts w:ascii="Verdana" w:hAnsi="Verdana" w:cs="Arial"/>
          <w:color w:val="000000" w:themeColor="text1"/>
        </w:rPr>
      </w:pPr>
      <w:r w:rsidRPr="00DA00F3">
        <w:rPr>
          <w:rFonts w:ascii="Verdana" w:hAnsi="Verdana" w:cs="Arial"/>
          <w:color w:val="000000" w:themeColor="text1"/>
        </w:rPr>
        <w:t xml:space="preserve">Bajo el amparo de esta norma, el régimen jurídico de subsanabilidad de las ofertas sufre un cambio fundamental, pues ya no era posible rechazar las ofertas por falta de requisitos o documentos que no fueran </w:t>
      </w:r>
      <w:r>
        <w:rPr>
          <w:rFonts w:ascii="Verdana" w:hAnsi="Verdana" w:cs="Arial"/>
          <w:color w:val="000000" w:themeColor="text1"/>
        </w:rPr>
        <w:t>“</w:t>
      </w:r>
      <w:r w:rsidRPr="00DA00F3">
        <w:rPr>
          <w:rFonts w:ascii="Verdana" w:hAnsi="Verdana" w:cs="Arial"/>
          <w:color w:val="000000" w:themeColor="text1"/>
        </w:rPr>
        <w:t>necesarios para la comparación de propuestas</w:t>
      </w:r>
      <w:r>
        <w:rPr>
          <w:rFonts w:ascii="Verdana" w:hAnsi="Verdana" w:cs="Arial"/>
          <w:color w:val="000000" w:themeColor="text1"/>
        </w:rPr>
        <w:t>”</w:t>
      </w:r>
      <w:r w:rsidRPr="00DA00F3">
        <w:rPr>
          <w:rFonts w:ascii="Verdana" w:hAnsi="Verdana" w:cs="Arial"/>
          <w:color w:val="000000" w:themeColor="text1"/>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51525251" w14:textId="77777777" w:rsidR="007709BF" w:rsidRPr="00DA00F3" w:rsidRDefault="007709BF" w:rsidP="007709BF">
      <w:pPr>
        <w:pStyle w:val="Prrafodelista"/>
        <w:spacing w:after="120" w:line="276" w:lineRule="auto"/>
        <w:jc w:val="both"/>
        <w:rPr>
          <w:rFonts w:ascii="Verdana" w:hAnsi="Verdana" w:cs="Arial"/>
          <w:color w:val="000000" w:themeColor="text1"/>
        </w:rPr>
      </w:pPr>
    </w:p>
    <w:p w14:paraId="51525252" w14:textId="77777777" w:rsidR="007709BF" w:rsidRPr="00DA00F3" w:rsidRDefault="007709BF" w:rsidP="007709BF">
      <w:pPr>
        <w:pStyle w:val="Prrafodelista"/>
        <w:spacing w:after="120" w:line="276" w:lineRule="auto"/>
        <w:jc w:val="both"/>
        <w:rPr>
          <w:rFonts w:ascii="Verdana" w:hAnsi="Verdana" w:cs="Arial"/>
          <w:color w:val="000000" w:themeColor="text1"/>
        </w:rPr>
      </w:pPr>
      <w:r w:rsidRPr="00DA00F3">
        <w:rPr>
          <w:rFonts w:ascii="Verdana" w:hAnsi="Verdana" w:cs="Arial"/>
          <w:color w:val="000000" w:themeColor="text1"/>
          <w:lang w:val="es-ES_tradnl"/>
        </w:rPr>
        <w:t>Esta norma debía leerse en conjunto con otras de la Ley 80 de 1993, particularmente con el artículo 30.7, que ordena a la entidad señalar un plazo razonable para evaluar las propuestas y para pedir a los proponentes, de ser necesario, que aclaren o expliquen aspectos que ofrezcan dudas y resulten indispensables para llevar a cabo la evaluación</w:t>
      </w:r>
      <w:r w:rsidRPr="00FB5A88">
        <w:rPr>
          <w:rStyle w:val="Refdenotaalpie"/>
          <w:rFonts w:ascii="Verdana" w:hAnsi="Verdana" w:cs="Arial"/>
          <w:color w:val="000000" w:themeColor="text1"/>
          <w:lang w:val="es-ES_tradnl"/>
        </w:rPr>
        <w:footnoteReference w:id="3"/>
      </w:r>
      <w:r w:rsidRPr="00DA00F3">
        <w:rPr>
          <w:rFonts w:ascii="Verdana" w:hAnsi="Verdana" w:cs="Arial"/>
          <w:color w:val="000000" w:themeColor="text1"/>
          <w:lang w:val="es-ES_tradnl"/>
        </w:rPr>
        <w:t>; y con el artículo 30.8, que consagró el término de 5 días hábiles para que los oferentes presenten observaciones al informe de evaluación de las propuestas, sin que sea posible completar, adicionar, modificar o mejorar su oferta</w:t>
      </w:r>
      <w:r w:rsidRPr="00FB5A88">
        <w:rPr>
          <w:rStyle w:val="Refdenotaalpie"/>
          <w:rFonts w:ascii="Verdana" w:hAnsi="Verdana" w:cs="Arial"/>
          <w:color w:val="000000" w:themeColor="text1"/>
          <w:lang w:val="es-ES_tradnl"/>
        </w:rPr>
        <w:footnoteReference w:id="4"/>
      </w:r>
      <w:r w:rsidRPr="00DA00F3">
        <w:rPr>
          <w:rFonts w:ascii="Verdana" w:hAnsi="Verdana" w:cs="Arial"/>
          <w:color w:val="000000" w:themeColor="text1"/>
          <w:lang w:val="es-ES_tradnl"/>
        </w:rPr>
        <w:t xml:space="preserve">.  </w:t>
      </w:r>
    </w:p>
    <w:p w14:paraId="51525253" w14:textId="77777777" w:rsidR="007709BF" w:rsidRPr="00DA00F3" w:rsidRDefault="007709BF" w:rsidP="007709BF">
      <w:pPr>
        <w:pStyle w:val="Prrafodelista"/>
        <w:spacing w:after="120" w:line="276" w:lineRule="auto"/>
        <w:jc w:val="both"/>
        <w:rPr>
          <w:rFonts w:ascii="Verdana" w:hAnsi="Verdana" w:cs="Arial"/>
          <w:color w:val="000000" w:themeColor="text1"/>
        </w:rPr>
      </w:pPr>
    </w:p>
    <w:p w14:paraId="51525254" w14:textId="77777777" w:rsidR="007709BF" w:rsidRPr="00DA00F3" w:rsidRDefault="007709BF" w:rsidP="007709BF">
      <w:pPr>
        <w:pStyle w:val="Prrafodelista"/>
        <w:numPr>
          <w:ilvl w:val="0"/>
          <w:numId w:val="5"/>
        </w:numPr>
        <w:spacing w:after="120" w:line="276" w:lineRule="auto"/>
        <w:jc w:val="both"/>
        <w:rPr>
          <w:rFonts w:ascii="Verdana" w:hAnsi="Verdana" w:cs="Arial"/>
          <w:color w:val="000000" w:themeColor="text1"/>
        </w:rPr>
      </w:pPr>
      <w:r w:rsidRPr="00DA00F3">
        <w:rPr>
          <w:rFonts w:ascii="Verdana" w:hAnsi="Verdana" w:cs="Arial"/>
          <w:color w:val="000000" w:themeColor="text1"/>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51525255" w14:textId="77777777" w:rsidR="007709BF" w:rsidRPr="00DA00F3" w:rsidRDefault="007709BF" w:rsidP="007709BF">
      <w:pPr>
        <w:pStyle w:val="Prrafodelista"/>
        <w:numPr>
          <w:ilvl w:val="0"/>
          <w:numId w:val="5"/>
        </w:numPr>
        <w:spacing w:after="120" w:line="276" w:lineRule="auto"/>
        <w:jc w:val="both"/>
        <w:rPr>
          <w:rFonts w:ascii="Verdana" w:hAnsi="Verdana" w:cs="Arial"/>
          <w:color w:val="000000" w:themeColor="text1"/>
          <w:lang w:val="es-CO"/>
        </w:rPr>
      </w:pPr>
      <w:r w:rsidRPr="00DA00F3">
        <w:rPr>
          <w:rFonts w:ascii="Verdana" w:hAnsi="Verdana" w:cs="Arial"/>
          <w:color w:val="000000" w:themeColor="text1"/>
          <w:lang w:val="es-ES_tradnl"/>
        </w:rPr>
        <w:lastRenderedPageBreak/>
        <w:t xml:space="preserve">En un </w:t>
      </w:r>
      <w:r w:rsidRPr="00DA00F3">
        <w:rPr>
          <w:rFonts w:ascii="Verdana" w:hAnsi="Verdana" w:cs="Arial"/>
          <w:i/>
          <w:color w:val="000000" w:themeColor="text1"/>
          <w:lang w:val="es-ES_tradnl"/>
        </w:rPr>
        <w:t>tercer momento</w:t>
      </w:r>
      <w:r w:rsidRPr="00DA00F3">
        <w:rPr>
          <w:rFonts w:ascii="Verdana" w:hAnsi="Verdana" w:cs="Arial"/>
          <w:color w:val="000000" w:themeColor="text1"/>
          <w:lang w:val="es-ES_tradnl"/>
        </w:rPr>
        <w:t xml:space="preserve">, siguiendo la línea trazada por la Ley 80 de 1993, el legislador expidió la Ley 1150 de 2007, que en el parágrafo 1º del artículo 5, determinó lo siguiente: </w:t>
      </w:r>
    </w:p>
    <w:p w14:paraId="51525256" w14:textId="77777777" w:rsidR="007709BF" w:rsidRPr="00FB5A88" w:rsidRDefault="007709BF" w:rsidP="007709BF">
      <w:pPr>
        <w:spacing w:after="120" w:line="276" w:lineRule="auto"/>
        <w:ind w:left="709" w:right="709"/>
        <w:jc w:val="both"/>
        <w:rPr>
          <w:rFonts w:ascii="Verdana" w:hAnsi="Verdana" w:cs="Arial"/>
          <w:color w:val="000000" w:themeColor="text1"/>
          <w:lang w:val="es-ES_tradnl"/>
        </w:rPr>
      </w:pPr>
    </w:p>
    <w:p w14:paraId="51525257" w14:textId="77777777" w:rsidR="007709BF" w:rsidRPr="00DA00F3" w:rsidRDefault="007709BF" w:rsidP="007709BF">
      <w:pPr>
        <w:pStyle w:val="Prrafodelista"/>
        <w:spacing w:after="120"/>
        <w:ind w:right="709"/>
        <w:jc w:val="both"/>
        <w:rPr>
          <w:rFonts w:ascii="Verdana" w:hAnsi="Verdana" w:cs="Arial"/>
          <w:color w:val="000000" w:themeColor="text1"/>
          <w:sz w:val="21"/>
          <w:szCs w:val="21"/>
        </w:rPr>
      </w:pPr>
      <w:r w:rsidRPr="00DA00F3">
        <w:rPr>
          <w:rFonts w:ascii="Verdana" w:hAnsi="Verdana" w:cs="Arial"/>
          <w:color w:val="000000" w:themeColor="text1"/>
          <w:sz w:val="21"/>
          <w:szCs w:val="21"/>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DA00F3">
        <w:rPr>
          <w:rFonts w:ascii="Verdana" w:hAnsi="Verdana" w:cs="Arial"/>
          <w:b/>
          <w:bCs/>
          <w:color w:val="000000" w:themeColor="text1"/>
          <w:sz w:val="21"/>
          <w:szCs w:val="21"/>
        </w:rPr>
        <w:t xml:space="preserve">, </w:t>
      </w:r>
      <w:r w:rsidRPr="00DA00F3">
        <w:rPr>
          <w:rFonts w:ascii="Verdana" w:hAnsi="Verdana" w:cs="Arial"/>
          <w:color w:val="000000" w:themeColor="text1"/>
          <w:sz w:val="21"/>
          <w:szCs w:val="21"/>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51525258" w14:textId="77777777" w:rsidR="007709BF" w:rsidRPr="00FB5A88" w:rsidRDefault="007709BF" w:rsidP="007709BF">
      <w:pPr>
        <w:spacing w:after="0" w:line="276" w:lineRule="auto"/>
        <w:jc w:val="both"/>
        <w:rPr>
          <w:rFonts w:ascii="Verdana" w:hAnsi="Verdana" w:cs="Arial"/>
          <w:b/>
          <w:color w:val="000000" w:themeColor="text1"/>
          <w:lang w:val="es-ES_tradnl"/>
        </w:rPr>
      </w:pPr>
    </w:p>
    <w:p w14:paraId="51525259" w14:textId="77777777" w:rsidR="007709BF" w:rsidRDefault="007709BF" w:rsidP="007709BF">
      <w:pPr>
        <w:pStyle w:val="Prrafodelista"/>
        <w:spacing w:after="120" w:line="276" w:lineRule="auto"/>
        <w:jc w:val="both"/>
        <w:rPr>
          <w:rFonts w:ascii="Verdana" w:hAnsi="Verdana" w:cs="Arial"/>
          <w:color w:val="000000" w:themeColor="text1"/>
        </w:rPr>
      </w:pPr>
      <w:r w:rsidRPr="00DA00F3">
        <w:rPr>
          <w:rFonts w:ascii="Verdana" w:hAnsi="Verdana" w:cs="Arial"/>
          <w:color w:val="000000" w:themeColor="text1"/>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5152525A" w14:textId="77777777" w:rsidR="007709BF" w:rsidRPr="00DA00F3" w:rsidRDefault="007709BF" w:rsidP="007709BF">
      <w:pPr>
        <w:pStyle w:val="Prrafodelista"/>
        <w:spacing w:after="120" w:line="276" w:lineRule="auto"/>
        <w:jc w:val="both"/>
        <w:rPr>
          <w:rFonts w:ascii="Verdana" w:hAnsi="Verdana" w:cs="Arial"/>
          <w:color w:val="000000" w:themeColor="text1"/>
        </w:rPr>
      </w:pPr>
    </w:p>
    <w:p w14:paraId="5152525B" w14:textId="77777777" w:rsidR="007709BF" w:rsidRPr="00DA00F3" w:rsidRDefault="007709BF" w:rsidP="007709BF">
      <w:pPr>
        <w:pStyle w:val="Prrafodelista"/>
        <w:numPr>
          <w:ilvl w:val="0"/>
          <w:numId w:val="5"/>
        </w:numPr>
        <w:spacing w:after="120" w:line="276" w:lineRule="auto"/>
        <w:jc w:val="both"/>
        <w:rPr>
          <w:rFonts w:ascii="Verdana" w:hAnsi="Verdana" w:cs="Arial"/>
          <w:color w:val="000000" w:themeColor="text1"/>
        </w:rPr>
      </w:pPr>
      <w:r w:rsidRPr="00DA00F3">
        <w:rPr>
          <w:rFonts w:ascii="Verdana" w:hAnsi="Verdana" w:cs="Arial"/>
          <w:color w:val="000000" w:themeColor="text1"/>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5152525C" w14:textId="77777777" w:rsidR="007709BF" w:rsidRPr="00DA00F3" w:rsidRDefault="007709BF" w:rsidP="007709BF">
      <w:pPr>
        <w:pStyle w:val="Prrafodelista"/>
        <w:spacing w:after="120" w:line="276" w:lineRule="auto"/>
        <w:jc w:val="both"/>
        <w:rPr>
          <w:rFonts w:ascii="Verdana" w:hAnsi="Verdana" w:cs="Arial"/>
          <w:color w:val="000000" w:themeColor="text1"/>
        </w:rPr>
      </w:pPr>
    </w:p>
    <w:p w14:paraId="5152525D" w14:textId="77777777" w:rsidR="007709BF" w:rsidRPr="00DA00F3" w:rsidRDefault="007709BF" w:rsidP="007709BF">
      <w:pPr>
        <w:pStyle w:val="Prrafodelista"/>
        <w:numPr>
          <w:ilvl w:val="0"/>
          <w:numId w:val="5"/>
        </w:numPr>
        <w:spacing w:after="120" w:line="276" w:lineRule="auto"/>
        <w:jc w:val="both"/>
        <w:rPr>
          <w:rFonts w:ascii="Verdana" w:hAnsi="Verdana" w:cs="Arial"/>
          <w:color w:val="000000" w:themeColor="text1"/>
          <w:lang w:val="es-CO"/>
        </w:rPr>
      </w:pPr>
      <w:r w:rsidRPr="00DA00F3">
        <w:rPr>
          <w:rFonts w:ascii="Verdana" w:hAnsi="Verdana" w:cs="Arial"/>
          <w:color w:val="000000" w:themeColor="text1"/>
          <w:lang w:val="es-ES_tradnl"/>
        </w:rPr>
        <w:t xml:space="preserve">El artículo 5 de la Ley 1150 de 2007, además de consagrar un criterio más claro, y, de paso, reducir la discrecionalidad de la Administración, fijó un ámbito temporal para la subsanación de las ofertas: </w:t>
      </w:r>
      <w:r>
        <w:rPr>
          <w:rFonts w:ascii="Verdana" w:hAnsi="Verdana" w:cs="Arial"/>
          <w:color w:val="000000" w:themeColor="text1"/>
          <w:lang w:val="es-ES_tradnl"/>
        </w:rPr>
        <w:t>“</w:t>
      </w:r>
      <w:r w:rsidRPr="00DA00F3">
        <w:rPr>
          <w:rFonts w:ascii="Verdana" w:hAnsi="Verdana" w:cs="Arial"/>
          <w:color w:val="000000" w:themeColor="text1"/>
          <w:lang w:val="es-ES_tradnl"/>
        </w:rPr>
        <w:t>en cualquier momento, hasta la adjudicación</w:t>
      </w:r>
      <w:r>
        <w:rPr>
          <w:rFonts w:ascii="Verdana" w:hAnsi="Verdana" w:cs="Arial"/>
          <w:color w:val="000000" w:themeColor="text1"/>
          <w:lang w:val="es-ES_tradnl"/>
        </w:rPr>
        <w:t>”</w:t>
      </w:r>
      <w:r w:rsidRPr="00DA00F3">
        <w:rPr>
          <w:rFonts w:ascii="Verdana" w:hAnsi="Verdana" w:cs="Arial"/>
          <w:color w:val="000000" w:themeColor="text1"/>
          <w:lang w:val="es-ES_tradnl"/>
        </w:rPr>
        <w:t xml:space="preserve">. El Consejo de Estado concluyó que a partir del parágrafo 1º del artículo 5 de la Ley 1150, la definición de lo que es subsanable y lo que no lo es surge a partir del planteamiento de la pregunta sobre si el defecto asigna puntaje o no, en estos términos: </w:t>
      </w:r>
    </w:p>
    <w:p w14:paraId="5152525E" w14:textId="77777777" w:rsidR="007709BF" w:rsidRPr="00FB5A88" w:rsidRDefault="007709BF" w:rsidP="007709BF">
      <w:pPr>
        <w:spacing w:after="120" w:line="276" w:lineRule="auto"/>
        <w:jc w:val="both"/>
        <w:rPr>
          <w:rFonts w:ascii="Verdana" w:hAnsi="Verdana" w:cs="Arial"/>
          <w:color w:val="000000" w:themeColor="text1"/>
          <w:lang w:val="es-ES_tradnl"/>
        </w:rPr>
      </w:pPr>
    </w:p>
    <w:p w14:paraId="5152525F" w14:textId="77777777" w:rsidR="007709BF" w:rsidRPr="00DA00F3" w:rsidRDefault="007709BF" w:rsidP="007709BF">
      <w:pPr>
        <w:pStyle w:val="Prrafodelista"/>
        <w:numPr>
          <w:ilvl w:val="0"/>
          <w:numId w:val="5"/>
        </w:numPr>
        <w:spacing w:after="120"/>
        <w:ind w:right="709"/>
        <w:jc w:val="both"/>
        <w:rPr>
          <w:rFonts w:ascii="Verdana" w:hAnsi="Verdana" w:cs="Arial"/>
          <w:color w:val="000000" w:themeColor="text1"/>
          <w:sz w:val="21"/>
          <w:szCs w:val="21"/>
        </w:rPr>
      </w:pPr>
      <w:r w:rsidRPr="00DA00F3">
        <w:rPr>
          <w:rFonts w:ascii="Verdana" w:hAnsi="Verdana" w:cs="Arial"/>
          <w:color w:val="000000" w:themeColor="text1"/>
          <w:sz w:val="21"/>
          <w:szCs w:val="21"/>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FB5A88">
        <w:rPr>
          <w:rStyle w:val="Refdenotaalpie"/>
          <w:rFonts w:ascii="Verdana" w:hAnsi="Verdana" w:cs="Arial"/>
          <w:color w:val="000000" w:themeColor="text1"/>
          <w:sz w:val="21"/>
          <w:szCs w:val="21"/>
        </w:rPr>
        <w:footnoteReference w:id="5"/>
      </w:r>
      <w:r w:rsidRPr="00DA00F3">
        <w:rPr>
          <w:rFonts w:ascii="Verdana" w:hAnsi="Verdana" w:cs="Arial"/>
          <w:color w:val="000000" w:themeColor="text1"/>
          <w:sz w:val="21"/>
          <w:szCs w:val="21"/>
        </w:rPr>
        <w:t>.</w:t>
      </w:r>
    </w:p>
    <w:p w14:paraId="51525260" w14:textId="77777777" w:rsidR="007709BF" w:rsidRPr="00FB5A88" w:rsidRDefault="007709BF" w:rsidP="007709BF">
      <w:pPr>
        <w:spacing w:after="120"/>
        <w:ind w:left="709" w:right="709"/>
        <w:jc w:val="both"/>
        <w:rPr>
          <w:rFonts w:ascii="Verdana" w:hAnsi="Verdana" w:cs="Arial"/>
          <w:color w:val="000000" w:themeColor="text1"/>
        </w:rPr>
      </w:pPr>
    </w:p>
    <w:p w14:paraId="51525261" w14:textId="77777777" w:rsidR="007709BF" w:rsidRPr="00DA00F3" w:rsidRDefault="007709BF" w:rsidP="007709BF">
      <w:pPr>
        <w:pStyle w:val="Textoindependiente"/>
        <w:numPr>
          <w:ilvl w:val="0"/>
          <w:numId w:val="5"/>
        </w:numPr>
        <w:tabs>
          <w:tab w:val="left" w:pos="284"/>
        </w:tabs>
        <w:spacing w:line="276" w:lineRule="auto"/>
        <w:jc w:val="both"/>
        <w:rPr>
          <w:rFonts w:ascii="Verdana" w:eastAsiaTheme="minorEastAsia" w:hAnsi="Verdana"/>
          <w:color w:val="000000" w:themeColor="text1"/>
        </w:rPr>
      </w:pPr>
      <w:r w:rsidRPr="00FB5A88">
        <w:rPr>
          <w:rFonts w:ascii="Verdana" w:eastAsiaTheme="minorEastAsia" w:hAnsi="Verdana"/>
          <w:color w:val="000000" w:themeColor="text1"/>
          <w:lang w:val="es-ES"/>
        </w:rPr>
        <w:t xml:space="preserve">Esa interpretación fue compartida por la </w:t>
      </w:r>
      <w:r w:rsidRPr="00FB5A88">
        <w:rPr>
          <w:rFonts w:ascii="Verdana" w:hAnsi="Verdana"/>
          <w:color w:val="000000" w:themeColor="text1"/>
          <w:lang w:val="es-ES"/>
        </w:rPr>
        <w:t>Agencia Nacional de Contratación Pública – Colombia Compra Eficiente</w:t>
      </w:r>
      <w:r w:rsidRPr="00FB5A88">
        <w:rPr>
          <w:rFonts w:ascii="Verdana" w:eastAsiaTheme="minorEastAsia" w:hAnsi="Verdana"/>
          <w:color w:val="000000" w:themeColor="text1"/>
          <w:lang w:val="es-ES"/>
        </w:rPr>
        <w:t>, pues en la Circular Externa Única se precisó que si durante un proceso de contratación hay proponentes que no acreditaron en sus ofertas requisitos que no afectan la asignación de puntaje o la comparación de estas, la entidad estatal deberá indicarlo en el informe de evaluación y advertir que la correspondiente oferta no será evaluada hasta que se subsane.</w:t>
      </w:r>
    </w:p>
    <w:p w14:paraId="51525262" w14:textId="77777777" w:rsidR="007709BF" w:rsidRPr="00FB5A88" w:rsidRDefault="007709BF" w:rsidP="007709BF">
      <w:pPr>
        <w:pStyle w:val="Textoindependiente"/>
        <w:numPr>
          <w:ilvl w:val="0"/>
          <w:numId w:val="5"/>
        </w:numPr>
        <w:tabs>
          <w:tab w:val="left" w:pos="284"/>
        </w:tabs>
        <w:spacing w:before="120"/>
        <w:jc w:val="both"/>
        <w:rPr>
          <w:rFonts w:ascii="Verdana" w:hAnsi="Verdana"/>
          <w:color w:val="000000" w:themeColor="text1"/>
        </w:rPr>
      </w:pPr>
      <w:r w:rsidRPr="00FB5A88">
        <w:rPr>
          <w:rFonts w:ascii="Verdana" w:hAnsi="Verdana"/>
          <w:color w:val="000000" w:themeColor="text1"/>
        </w:rPr>
        <w:t xml:space="preserve">En un </w:t>
      </w:r>
      <w:r w:rsidRPr="00FB5A88">
        <w:rPr>
          <w:rFonts w:ascii="Verdana" w:hAnsi="Verdana"/>
          <w:i/>
          <w:iCs/>
          <w:color w:val="000000" w:themeColor="text1"/>
        </w:rPr>
        <w:t>cuarto momento</w:t>
      </w:r>
      <w:r w:rsidRPr="00FB5A88">
        <w:rPr>
          <w:rFonts w:ascii="Verdana" w:hAnsi="Verdana"/>
          <w:color w:val="000000" w:themeColor="text1"/>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51525263" w14:textId="77777777" w:rsidR="007709BF" w:rsidRPr="00DA00F3" w:rsidRDefault="007709BF" w:rsidP="007709BF">
      <w:pPr>
        <w:pStyle w:val="Textoindependiente"/>
        <w:tabs>
          <w:tab w:val="left" w:pos="284"/>
        </w:tabs>
        <w:jc w:val="both"/>
        <w:rPr>
          <w:rFonts w:ascii="Verdana" w:hAnsi="Verdana"/>
          <w:color w:val="000000" w:themeColor="text1"/>
          <w:sz w:val="21"/>
          <w:szCs w:val="21"/>
        </w:rPr>
      </w:pPr>
    </w:p>
    <w:p w14:paraId="51525264" w14:textId="77777777" w:rsidR="007709BF" w:rsidRPr="00DA00F3" w:rsidRDefault="007709BF" w:rsidP="007709BF">
      <w:pPr>
        <w:pStyle w:val="Prrafodelista"/>
        <w:spacing w:after="120"/>
        <w:ind w:right="709"/>
        <w:jc w:val="both"/>
        <w:rPr>
          <w:rFonts w:ascii="Verdana" w:hAnsi="Verdana" w:cs="Arial"/>
          <w:color w:val="000000" w:themeColor="text1"/>
          <w:sz w:val="21"/>
          <w:szCs w:val="21"/>
          <w:lang w:val="es-ES_tradnl"/>
        </w:rPr>
      </w:pPr>
      <w:r w:rsidRPr="00DA00F3">
        <w:rPr>
          <w:rFonts w:ascii="Verdana" w:hAnsi="Verdana" w:cs="Arial"/>
          <w:color w:val="000000" w:themeColor="text1"/>
          <w:sz w:val="21"/>
          <w:szCs w:val="21"/>
          <w:lang w:val="es-ES_tradnl"/>
        </w:rPr>
        <w:t xml:space="preserve">Artículo 5°. De la selección objetiva. </w:t>
      </w:r>
    </w:p>
    <w:p w14:paraId="51525265" w14:textId="77777777" w:rsidR="007709BF" w:rsidRPr="00DA00F3" w:rsidRDefault="007709BF" w:rsidP="007709BF">
      <w:pPr>
        <w:pStyle w:val="Prrafodelista"/>
        <w:spacing w:after="120"/>
        <w:ind w:right="709"/>
        <w:jc w:val="both"/>
        <w:rPr>
          <w:rFonts w:ascii="Verdana" w:hAnsi="Verdana" w:cs="Arial"/>
          <w:color w:val="000000" w:themeColor="text1"/>
          <w:sz w:val="21"/>
          <w:szCs w:val="21"/>
          <w:lang w:val="es-ES_tradnl"/>
        </w:rPr>
      </w:pPr>
      <w:r w:rsidRPr="00DA00F3">
        <w:rPr>
          <w:rFonts w:ascii="Verdana" w:hAnsi="Verdana" w:cs="Arial"/>
          <w:color w:val="000000" w:themeColor="text1"/>
          <w:sz w:val="21"/>
          <w:szCs w:val="21"/>
          <w:lang w:val="es-ES_tradnl"/>
        </w:rPr>
        <w:t>[...]</w:t>
      </w:r>
    </w:p>
    <w:p w14:paraId="51525266" w14:textId="77777777" w:rsidR="007709BF" w:rsidRPr="00DA00F3" w:rsidRDefault="007709BF" w:rsidP="007709BF">
      <w:pPr>
        <w:pStyle w:val="Prrafodelista"/>
        <w:spacing w:after="120"/>
        <w:ind w:right="709"/>
        <w:jc w:val="both"/>
        <w:rPr>
          <w:rFonts w:ascii="Verdana" w:hAnsi="Verdana" w:cs="Arial"/>
          <w:color w:val="000000" w:themeColor="text1"/>
          <w:sz w:val="21"/>
          <w:szCs w:val="21"/>
        </w:rPr>
      </w:pPr>
      <w:r w:rsidRPr="00DA00F3">
        <w:rPr>
          <w:rFonts w:ascii="Verdana" w:hAnsi="Verdana" w:cs="Arial"/>
          <w:color w:val="000000" w:themeColor="text1"/>
          <w:sz w:val="21"/>
          <w:szCs w:val="21"/>
        </w:rPr>
        <w:t xml:space="preserve">Parágrafo 1º. La ausencia de requisitos o la falta de documentos referentes a la futura contratación o al proponente, no necesarios para la </w:t>
      </w:r>
      <w:bookmarkStart w:id="2" w:name="_Hlk71479674"/>
      <w:r w:rsidRPr="00DA00F3">
        <w:rPr>
          <w:rFonts w:ascii="Verdana" w:hAnsi="Verdana" w:cs="Arial"/>
          <w:color w:val="000000" w:themeColor="text1"/>
          <w:sz w:val="21"/>
          <w:szCs w:val="21"/>
        </w:rPr>
        <w:t>comparación de las propuestas</w:t>
      </w:r>
      <w:bookmarkEnd w:id="2"/>
      <w:r w:rsidRPr="00DA00F3">
        <w:rPr>
          <w:rFonts w:ascii="Verdana" w:hAnsi="Verdana" w:cs="Arial"/>
          <w:color w:val="000000" w:themeColor="text1"/>
          <w:sz w:val="21"/>
          <w:szCs w:val="21"/>
        </w:rPr>
        <w:t xml:space="preserve">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w:t>
      </w:r>
      <w:r w:rsidRPr="00DA00F3">
        <w:rPr>
          <w:rFonts w:ascii="Verdana" w:hAnsi="Verdana" w:cs="Arial"/>
          <w:color w:val="000000" w:themeColor="text1"/>
          <w:sz w:val="21"/>
          <w:szCs w:val="21"/>
        </w:rPr>
        <w:lastRenderedPageBreak/>
        <w:t xml:space="preserve">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51525267" w14:textId="77777777" w:rsidR="007709BF" w:rsidRPr="00FB5A88" w:rsidRDefault="007709BF" w:rsidP="007709BF">
      <w:pPr>
        <w:spacing w:after="0" w:line="276" w:lineRule="auto"/>
        <w:jc w:val="both"/>
        <w:rPr>
          <w:rFonts w:ascii="Verdana" w:hAnsi="Verdana" w:cs="Arial"/>
          <w:b/>
          <w:color w:val="000000" w:themeColor="text1"/>
          <w:lang w:val="es-ES_tradnl"/>
        </w:rPr>
      </w:pPr>
    </w:p>
    <w:p w14:paraId="51525268" w14:textId="77777777" w:rsidR="007709BF" w:rsidRDefault="007709BF" w:rsidP="007709BF">
      <w:pPr>
        <w:pStyle w:val="Prrafodelista"/>
        <w:numPr>
          <w:ilvl w:val="0"/>
          <w:numId w:val="5"/>
        </w:numPr>
        <w:spacing w:after="120" w:line="276" w:lineRule="auto"/>
        <w:jc w:val="both"/>
        <w:rPr>
          <w:rFonts w:ascii="Verdana" w:hAnsi="Verdana" w:cs="Arial"/>
          <w:color w:val="000000" w:themeColor="text1"/>
        </w:rPr>
      </w:pPr>
      <w:r w:rsidRPr="00DA00F3">
        <w:rPr>
          <w:rFonts w:ascii="Verdana" w:hAnsi="Verdana" w:cs="Arial"/>
          <w:color w:val="000000" w:themeColor="text1"/>
        </w:rPr>
        <w:t>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(3) aspectos que se analizarán a continuación:</w:t>
      </w:r>
    </w:p>
    <w:p w14:paraId="51525269" w14:textId="77777777" w:rsidR="007709BF" w:rsidRDefault="007709BF" w:rsidP="007709BF">
      <w:pPr>
        <w:pStyle w:val="Prrafodelista"/>
        <w:spacing w:after="120" w:line="276" w:lineRule="auto"/>
        <w:jc w:val="both"/>
        <w:rPr>
          <w:rFonts w:ascii="Verdana" w:hAnsi="Verdana" w:cs="Arial"/>
          <w:color w:val="000000" w:themeColor="text1"/>
        </w:rPr>
      </w:pPr>
    </w:p>
    <w:p w14:paraId="5152526A" w14:textId="77777777" w:rsidR="007709BF" w:rsidRPr="00DA00F3" w:rsidRDefault="007709BF" w:rsidP="007709BF">
      <w:pPr>
        <w:pStyle w:val="Prrafodelista"/>
        <w:numPr>
          <w:ilvl w:val="0"/>
          <w:numId w:val="5"/>
        </w:numPr>
        <w:spacing w:after="120" w:line="276" w:lineRule="auto"/>
        <w:jc w:val="both"/>
        <w:rPr>
          <w:rFonts w:ascii="Verdana" w:hAnsi="Verdana" w:cs="Arial"/>
          <w:color w:val="000000" w:themeColor="text1"/>
        </w:rPr>
      </w:pPr>
      <w:r w:rsidRPr="00DA00F3">
        <w:rPr>
          <w:rFonts w:ascii="Verdana" w:eastAsia="Arial" w:hAnsi="Verdana" w:cs="Arial"/>
          <w:color w:val="000000" w:themeColor="text1"/>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FB5A88">
        <w:rPr>
          <w:color w:val="000000"/>
          <w:vertAlign w:val="superscript"/>
        </w:rPr>
        <w:footnoteReference w:id="6"/>
      </w:r>
      <w:r w:rsidRPr="00DA00F3">
        <w:rPr>
          <w:rFonts w:ascii="Verdana" w:eastAsia="Arial" w:hAnsi="Verdana" w:cs="Arial"/>
          <w:color w:val="000000" w:themeColor="text1"/>
        </w:rPr>
        <w:t>.</w:t>
      </w:r>
    </w:p>
    <w:p w14:paraId="5152526B" w14:textId="77777777" w:rsidR="007709BF" w:rsidRPr="00DA00F3" w:rsidRDefault="007709BF" w:rsidP="007709BF">
      <w:pPr>
        <w:pStyle w:val="Prrafodelista"/>
        <w:rPr>
          <w:rStyle w:val="normaltextrun"/>
          <w:rFonts w:ascii="Verdana" w:hAnsi="Verdana" w:cs="Arial"/>
          <w:color w:val="000000"/>
          <w:shd w:val="clear" w:color="auto" w:fill="FFFFFF"/>
        </w:rPr>
      </w:pPr>
    </w:p>
    <w:p w14:paraId="5152526C" w14:textId="77777777" w:rsidR="007709BF" w:rsidRPr="00DA00F3" w:rsidRDefault="007709BF" w:rsidP="007709BF">
      <w:pPr>
        <w:pStyle w:val="Prrafodelista"/>
        <w:numPr>
          <w:ilvl w:val="0"/>
          <w:numId w:val="5"/>
        </w:numPr>
        <w:spacing w:after="120" w:line="276" w:lineRule="auto"/>
        <w:jc w:val="both"/>
        <w:rPr>
          <w:rStyle w:val="eop"/>
          <w:rFonts w:ascii="Verdana" w:hAnsi="Verdana" w:cs="Arial"/>
          <w:color w:val="000000" w:themeColor="text1"/>
        </w:rPr>
      </w:pPr>
      <w:r w:rsidRPr="00DA00F3">
        <w:rPr>
          <w:rStyle w:val="normaltextrun"/>
          <w:rFonts w:ascii="Verdana" w:hAnsi="Verdana" w:cs="Arial"/>
          <w:color w:val="000000"/>
          <w:shd w:val="clear" w:color="auto" w:fill="FFFFFF"/>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r w:rsidRPr="00DA00F3">
        <w:rPr>
          <w:rStyle w:val="eop"/>
          <w:rFonts w:ascii="Verdana" w:hAnsi="Verdana" w:cs="Arial"/>
          <w:color w:val="000000"/>
          <w:shd w:val="clear" w:color="auto" w:fill="FFFFFF"/>
        </w:rPr>
        <w:t> </w:t>
      </w:r>
    </w:p>
    <w:p w14:paraId="5152526D" w14:textId="77777777" w:rsidR="007709BF" w:rsidRPr="00DA00F3" w:rsidRDefault="007709BF" w:rsidP="007709BF">
      <w:pPr>
        <w:pStyle w:val="Prrafodelista"/>
        <w:rPr>
          <w:rFonts w:ascii="Verdana" w:eastAsia="Arial" w:hAnsi="Verdana" w:cs="Arial"/>
          <w:color w:val="000000" w:themeColor="text1"/>
        </w:rPr>
      </w:pPr>
    </w:p>
    <w:p w14:paraId="5152526E" w14:textId="77777777" w:rsidR="007709BF" w:rsidRPr="00DA00F3" w:rsidRDefault="007709BF" w:rsidP="007709BF">
      <w:pPr>
        <w:pStyle w:val="Prrafodelista"/>
        <w:numPr>
          <w:ilvl w:val="0"/>
          <w:numId w:val="5"/>
        </w:numPr>
        <w:spacing w:after="120" w:line="276" w:lineRule="auto"/>
        <w:jc w:val="both"/>
        <w:rPr>
          <w:rFonts w:ascii="Verdana" w:hAnsi="Verdana" w:cs="Arial"/>
          <w:color w:val="000000" w:themeColor="text1"/>
        </w:rPr>
      </w:pPr>
      <w:r w:rsidRPr="00DA00F3">
        <w:rPr>
          <w:rFonts w:ascii="Verdana" w:eastAsia="Arial" w:hAnsi="Verdana" w:cs="Arial"/>
          <w:color w:val="000000" w:themeColor="text1"/>
        </w:rPr>
        <w:t xml:space="preserve">De otro lado, el segundo cambio importante de la Ley 1882 de 2018 </w:t>
      </w:r>
      <w:r w:rsidRPr="00DA00F3">
        <w:rPr>
          <w:rFonts w:ascii="Verdana" w:eastAsia="Calibri" w:hAnsi="Verdana" w:cs="Arial"/>
          <w:color w:val="000000" w:themeColor="text1"/>
        </w:rPr>
        <w:t xml:space="preserve">es el correspondiente a la garantía de seriedad. El parágrafo 3 del artículo 5 de la Ley 1150 de 2007, adicionado por el artículo 5 de la Ley 1882 de 2018 </w:t>
      </w:r>
      <w:r w:rsidRPr="00DA00F3">
        <w:rPr>
          <w:rFonts w:ascii="Verdana" w:eastAsia="Calibri" w:hAnsi="Verdana" w:cs="Arial"/>
          <w:color w:val="000000" w:themeColor="text1"/>
        </w:rPr>
        <w:lastRenderedPageBreak/>
        <w:t xml:space="preserve">dispone que la falta de entrega de la garantía de seriedad es insubsanable. Al respecto, la norma prescribe lo siguiente: </w:t>
      </w:r>
      <w:r>
        <w:rPr>
          <w:rFonts w:ascii="Verdana" w:eastAsia="Calibri" w:hAnsi="Verdana" w:cs="Arial"/>
          <w:color w:val="000000" w:themeColor="text1"/>
        </w:rPr>
        <w:t>“</w:t>
      </w:r>
      <w:r w:rsidRPr="00DA00F3">
        <w:rPr>
          <w:rFonts w:ascii="Verdana" w:eastAsia="Calibri" w:hAnsi="Verdana" w:cs="Arial"/>
          <w:color w:val="000000" w:themeColor="text1"/>
        </w:rPr>
        <w:t>PARÁGRAFO 3o. La no entrega de la garantía de seriedad junto con la propuesta no será subsanable y será causal de rechazo de la misma</w:t>
      </w:r>
      <w:r>
        <w:rPr>
          <w:rFonts w:ascii="Verdana" w:eastAsia="Calibri" w:hAnsi="Verdana" w:cs="Arial"/>
          <w:color w:val="000000" w:themeColor="text1"/>
        </w:rPr>
        <w:t>”</w:t>
      </w:r>
      <w:r w:rsidRPr="00DA00F3">
        <w:rPr>
          <w:rFonts w:ascii="Verdana" w:eastAsia="Calibri" w:hAnsi="Verdana" w:cs="Arial"/>
          <w:color w:val="000000" w:themeColor="text1"/>
        </w:rPr>
        <w:t>.</w:t>
      </w:r>
    </w:p>
    <w:p w14:paraId="5152526F" w14:textId="77777777" w:rsidR="007709BF" w:rsidRPr="00DA00F3" w:rsidRDefault="007709BF" w:rsidP="007709BF">
      <w:pPr>
        <w:pStyle w:val="Prrafodelista"/>
        <w:rPr>
          <w:rFonts w:ascii="Verdana" w:eastAsia="Arial" w:hAnsi="Verdana" w:cs="Arial"/>
          <w:color w:val="000000" w:themeColor="text1"/>
        </w:rPr>
      </w:pPr>
    </w:p>
    <w:p w14:paraId="51525270" w14:textId="77777777" w:rsidR="007709BF" w:rsidRPr="00DA00F3" w:rsidRDefault="007709BF" w:rsidP="007709BF">
      <w:pPr>
        <w:pStyle w:val="Prrafodelista"/>
        <w:numPr>
          <w:ilvl w:val="0"/>
          <w:numId w:val="5"/>
        </w:numPr>
        <w:spacing w:after="120" w:line="276" w:lineRule="auto"/>
        <w:jc w:val="both"/>
        <w:rPr>
          <w:rFonts w:ascii="Verdana" w:hAnsi="Verdana" w:cs="Arial"/>
          <w:color w:val="000000" w:themeColor="text1"/>
        </w:rPr>
      </w:pPr>
      <w:r w:rsidRPr="00DA00F3">
        <w:rPr>
          <w:rFonts w:ascii="Verdana" w:eastAsia="Arial" w:hAnsi="Verdana" w:cs="Arial"/>
          <w:color w:val="000000" w:themeColor="text1"/>
        </w:rPr>
        <w:t xml:space="preserve">Finalmente, el último cambio importante de la Ley 1882 de 2018 fue la introducción de un criterio material, directamente relacionado con los aspectos subsanables: </w:t>
      </w:r>
      <w:r>
        <w:rPr>
          <w:rFonts w:ascii="Verdana" w:eastAsia="Arial" w:hAnsi="Verdana" w:cs="Arial"/>
          <w:i/>
          <w:iCs/>
          <w:color w:val="000000" w:themeColor="text1"/>
        </w:rPr>
        <w:t>“</w:t>
      </w:r>
      <w:r w:rsidRPr="00DA00F3">
        <w:rPr>
          <w:rFonts w:ascii="Verdana" w:eastAsia="Arial" w:hAnsi="Verdana" w:cs="Arial"/>
          <w:color w:val="000000" w:themeColor="text1"/>
        </w:rPr>
        <w:t>los proponentes no podrán acreditar circunstancias ocurridas con posterioridad al cierre del proceso</w:t>
      </w:r>
      <w:r>
        <w:rPr>
          <w:rFonts w:ascii="Verdana" w:eastAsia="Arial" w:hAnsi="Verdana" w:cs="Arial"/>
          <w:color w:val="000000" w:themeColor="text1"/>
        </w:rPr>
        <w:t>”.</w:t>
      </w:r>
      <w:r w:rsidRPr="00DA00F3">
        <w:rPr>
          <w:rFonts w:ascii="Verdana" w:hAnsi="Verdana" w:cs="Arial"/>
          <w:bdr w:val="none" w:sz="0" w:space="0" w:color="auto" w:frame="1"/>
          <w:lang w:val="es-ES_tradnl"/>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51525271" w14:textId="77777777" w:rsidR="007709BF" w:rsidRPr="00FB5A88" w:rsidRDefault="007709BF" w:rsidP="007709BF">
      <w:pPr>
        <w:spacing w:after="120" w:line="276" w:lineRule="auto"/>
        <w:jc w:val="both"/>
        <w:rPr>
          <w:rFonts w:ascii="Verdana" w:hAnsi="Verdana" w:cs="Arial"/>
          <w:color w:val="201F1E"/>
          <w:bdr w:val="none" w:sz="0" w:space="0" w:color="auto" w:frame="1"/>
          <w:lang w:val="es-ES_tradnl"/>
        </w:rPr>
      </w:pPr>
    </w:p>
    <w:p w14:paraId="51525272" w14:textId="77777777" w:rsidR="007709BF" w:rsidRPr="00DA00F3" w:rsidRDefault="007709BF" w:rsidP="007709BF">
      <w:pPr>
        <w:pStyle w:val="Prrafodelista"/>
        <w:tabs>
          <w:tab w:val="left" w:pos="426"/>
        </w:tabs>
        <w:spacing w:after="120"/>
        <w:ind w:right="709"/>
        <w:jc w:val="both"/>
        <w:rPr>
          <w:rFonts w:ascii="Verdana" w:eastAsia="Arial" w:hAnsi="Verdana" w:cs="Arial"/>
          <w:color w:val="000000" w:themeColor="text1"/>
          <w:sz w:val="21"/>
          <w:szCs w:val="21"/>
        </w:rPr>
      </w:pPr>
      <w:r w:rsidRPr="00DA00F3">
        <w:rPr>
          <w:rFonts w:ascii="Verdana" w:eastAsia="Arial" w:hAnsi="Verdana" w:cs="Arial"/>
          <w:color w:val="000000" w:themeColor="text1"/>
          <w:sz w:val="21"/>
          <w:szCs w:val="21"/>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DA00F3">
        <w:rPr>
          <w:rFonts w:ascii="Verdana" w:hAnsi="Verdana"/>
          <w:sz w:val="21"/>
          <w:szCs w:val="21"/>
          <w:vertAlign w:val="superscript"/>
        </w:rPr>
        <w:footnoteReference w:id="7"/>
      </w:r>
    </w:p>
    <w:p w14:paraId="51525273" w14:textId="77777777" w:rsidR="007709BF" w:rsidRPr="00FB5A88" w:rsidRDefault="007709BF" w:rsidP="007709BF">
      <w:pPr>
        <w:tabs>
          <w:tab w:val="left" w:pos="426"/>
        </w:tabs>
        <w:spacing w:after="120"/>
        <w:ind w:right="709"/>
        <w:jc w:val="both"/>
        <w:rPr>
          <w:rFonts w:ascii="Verdana" w:eastAsia="Arial" w:hAnsi="Verdana" w:cs="Arial"/>
          <w:color w:val="000000" w:themeColor="text1"/>
        </w:rPr>
      </w:pPr>
    </w:p>
    <w:p w14:paraId="51525274" w14:textId="77777777" w:rsidR="007709BF" w:rsidRDefault="007709BF" w:rsidP="007709BF">
      <w:pPr>
        <w:pStyle w:val="Prrafodelista"/>
        <w:numPr>
          <w:ilvl w:val="0"/>
          <w:numId w:val="5"/>
        </w:numPr>
        <w:spacing w:after="120" w:line="276" w:lineRule="auto"/>
        <w:jc w:val="both"/>
        <w:rPr>
          <w:rFonts w:ascii="Verdana" w:hAnsi="Verdana" w:cs="Arial"/>
          <w:bdr w:val="none" w:sz="0" w:space="0" w:color="auto" w:frame="1"/>
          <w:lang w:val="es-ES_tradnl"/>
        </w:rPr>
      </w:pPr>
      <w:r w:rsidRPr="00DA00F3">
        <w:rPr>
          <w:rFonts w:ascii="Verdana" w:hAnsi="Verdana" w:cs="Arial"/>
          <w:bdr w:val="none" w:sz="0" w:space="0" w:color="auto" w:frame="1"/>
        </w:rPr>
        <w:t xml:space="preserve">Bajo la premisa de que el proponente deberá presentar su oferta de manera completa, es que se debe interpretar la expresión </w:t>
      </w:r>
      <w:r>
        <w:rPr>
          <w:rFonts w:ascii="Verdana" w:hAnsi="Verdana" w:cs="Arial"/>
          <w:bdr w:val="none" w:sz="0" w:space="0" w:color="auto" w:frame="1"/>
          <w:lang w:val="es-ES_tradnl"/>
        </w:rPr>
        <w:t>“</w:t>
      </w:r>
      <w:r w:rsidRPr="00DA00F3">
        <w:rPr>
          <w:rFonts w:ascii="Verdana" w:hAnsi="Verdana" w:cs="Arial"/>
          <w:bdr w:val="none" w:sz="0" w:space="0" w:color="auto" w:frame="1"/>
          <w:lang w:val="es-ES_tradnl"/>
        </w:rPr>
        <w:t>circunstancias ocurridas con posterioridad al cierre del proceso</w:t>
      </w:r>
      <w:r>
        <w:rPr>
          <w:rFonts w:ascii="Verdana" w:hAnsi="Verdana" w:cs="Arial"/>
          <w:bdr w:val="none" w:sz="0" w:space="0" w:color="auto" w:frame="1"/>
          <w:lang w:val="es-ES_tradnl"/>
        </w:rPr>
        <w:t>”</w:t>
      </w:r>
      <w:r w:rsidRPr="00DA00F3">
        <w:rPr>
          <w:rFonts w:ascii="Verdana" w:hAnsi="Verdana" w:cs="Arial"/>
          <w:bdr w:val="none" w:sz="0" w:space="0" w:color="auto" w:frame="1"/>
          <w:lang w:val="es-ES_tradnl"/>
        </w:rPr>
        <w:t xml:space="preserve">. Como se explicó en el </w:t>
      </w:r>
      <w:r w:rsidRPr="00DA00F3">
        <w:rPr>
          <w:rStyle w:val="normaltextrun"/>
          <w:rFonts w:ascii="Verdana" w:hAnsi="Verdana" w:cs="Arial"/>
          <w:color w:val="000000"/>
          <w:shd w:val="clear" w:color="auto" w:fill="FFFFFF"/>
        </w:rPr>
        <w:t xml:space="preserve">Concepto CU-060 del 24 de febrero de 2020, </w:t>
      </w:r>
      <w:r w:rsidRPr="00DA00F3">
        <w:rPr>
          <w:rFonts w:ascii="Verdana" w:hAnsi="Verdana" w:cs="Arial"/>
          <w:bdr w:val="none" w:sz="0" w:space="0" w:color="auto" w:frame="1"/>
          <w:lang w:val="es-ES_tradnl"/>
        </w:rPr>
        <w:t xml:space="preserve">esto lleva a la necesidad de </w:t>
      </w:r>
      <w:r w:rsidRPr="00DA00F3">
        <w:rPr>
          <w:rFonts w:ascii="Verdana" w:hAnsi="Verdana" w:cs="Arial"/>
          <w:bdr w:val="none" w:sz="0" w:space="0" w:color="auto" w:frame="1"/>
          <w:lang w:val="es-ES_tradnl"/>
        </w:rPr>
        <w:lastRenderedPageBreak/>
        <w:t>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en tanto esto implicaría que el proponente pueda hacer mejoras o adicione circunstancias que no corresponden a la oferta inicialmente presentada</w:t>
      </w:r>
      <w:r w:rsidRPr="00FB5A88">
        <w:rPr>
          <w:rStyle w:val="Refdenotaalpie"/>
          <w:rFonts w:ascii="Verdana" w:hAnsi="Verdana" w:cs="Arial"/>
          <w:bdr w:val="none" w:sz="0" w:space="0" w:color="auto" w:frame="1"/>
          <w:lang w:val="es-ES_tradnl"/>
        </w:rPr>
        <w:footnoteReference w:id="8"/>
      </w:r>
      <w:r w:rsidRPr="00DA00F3">
        <w:rPr>
          <w:rFonts w:ascii="Verdana" w:hAnsi="Verdana" w:cs="Arial"/>
          <w:bdr w:val="none" w:sz="0" w:space="0" w:color="auto" w:frame="1"/>
          <w:lang w:val="es-ES_tradnl"/>
        </w:rPr>
        <w:t>.</w:t>
      </w:r>
    </w:p>
    <w:p w14:paraId="51525275" w14:textId="77777777" w:rsidR="007709BF" w:rsidRDefault="007709BF" w:rsidP="007709BF">
      <w:pPr>
        <w:pStyle w:val="Prrafodelista"/>
        <w:spacing w:after="120" w:line="276" w:lineRule="auto"/>
        <w:jc w:val="both"/>
        <w:rPr>
          <w:rFonts w:ascii="Verdana" w:hAnsi="Verdana" w:cs="Arial"/>
          <w:bdr w:val="none" w:sz="0" w:space="0" w:color="auto" w:frame="1"/>
          <w:lang w:val="es-ES_tradnl"/>
        </w:rPr>
      </w:pPr>
    </w:p>
    <w:p w14:paraId="51525276" w14:textId="77777777" w:rsidR="007709BF" w:rsidRPr="00DA00F3" w:rsidRDefault="007709BF" w:rsidP="007709BF">
      <w:pPr>
        <w:pStyle w:val="Prrafodelista"/>
        <w:numPr>
          <w:ilvl w:val="0"/>
          <w:numId w:val="5"/>
        </w:numPr>
        <w:spacing w:after="120" w:line="276" w:lineRule="auto"/>
        <w:jc w:val="both"/>
        <w:rPr>
          <w:rFonts w:ascii="Verdana" w:hAnsi="Verdana" w:cs="Arial"/>
          <w:bdr w:val="none" w:sz="0" w:space="0" w:color="auto" w:frame="1"/>
          <w:lang w:val="es-ES_tradnl"/>
        </w:rPr>
      </w:pPr>
      <w:r w:rsidRPr="00DA00F3">
        <w:rPr>
          <w:rFonts w:ascii="Verdana" w:eastAsia="Calibri" w:hAnsi="Verdana" w:cs="Arial"/>
          <w:color w:val="000000" w:themeColor="text1"/>
          <w:lang w:val="es-ES_tradnl"/>
        </w:rPr>
        <w:t>Analizada la regla del parágrafo primero del artículo 5 de la Ley 1150 de 2007</w:t>
      </w:r>
      <w:r w:rsidRPr="00DA00F3">
        <w:rPr>
          <w:rFonts w:ascii="Verdana" w:hAnsi="Verdana" w:cs="Arial"/>
          <w:color w:val="000000" w:themeColor="text1"/>
          <w:lang w:val="es-ES_tradnl"/>
        </w:rPr>
        <w:t xml:space="preserve">, los criterios de desempate afectan la </w:t>
      </w:r>
      <w:r>
        <w:rPr>
          <w:rFonts w:ascii="Verdana" w:hAnsi="Verdana" w:cs="Arial"/>
          <w:color w:val="000000" w:themeColor="text1"/>
          <w:lang w:val="es-ES_tradnl"/>
        </w:rPr>
        <w:t>comparación de ofertas</w:t>
      </w:r>
      <w:r w:rsidRPr="00DA00F3">
        <w:rPr>
          <w:rFonts w:ascii="Verdana" w:hAnsi="Verdana" w:cs="Arial"/>
          <w:color w:val="000000" w:themeColor="text1"/>
          <w:lang w:val="es-ES_tradnl"/>
        </w:rPr>
        <w:t xml:space="preserve"> por lo que los documentos que los acreditan son insubsanables. Estos factores definen la adjudicación del contrato cuando, después de aplicar los criterios de evaluación del pliego de condiciones, dos o más proponentes obtienen resultados similares. De hecho, el primer inciso del artículo 35 de la Ley 2069 de 2020 dispone que los factores de desempate aplican cuando el puntaje total de dos o más ofertas es el mismo. Por tanto, el oferente que resulta adjudicatario es aquel que acredita alguno de esos criterios de desempate, por lo que afectan la </w:t>
      </w:r>
      <w:r>
        <w:rPr>
          <w:rFonts w:ascii="Verdana" w:hAnsi="Verdana" w:cs="Arial"/>
          <w:color w:val="000000" w:themeColor="text1"/>
          <w:lang w:val="es-ES_tradnl"/>
        </w:rPr>
        <w:t>comparación de ofertas</w:t>
      </w:r>
      <w:r w:rsidRPr="00DA00F3">
        <w:rPr>
          <w:rFonts w:ascii="Verdana" w:hAnsi="Verdana" w:cs="Arial"/>
          <w:color w:val="000000" w:themeColor="text1"/>
          <w:lang w:val="es-ES_tradnl"/>
        </w:rPr>
        <w:t xml:space="preserve"> y deciden el resultado del proceso de selección.  </w:t>
      </w:r>
    </w:p>
    <w:p w14:paraId="51525277" w14:textId="77777777" w:rsidR="007709BF" w:rsidRPr="00DA00F3" w:rsidRDefault="007709BF" w:rsidP="007709BF">
      <w:pPr>
        <w:pStyle w:val="Prrafodelista"/>
        <w:rPr>
          <w:rFonts w:ascii="Verdana" w:hAnsi="Verdana" w:cs="Arial"/>
          <w:color w:val="000000" w:themeColor="text1"/>
          <w:lang w:val="es-ES_tradnl"/>
        </w:rPr>
      </w:pPr>
    </w:p>
    <w:p w14:paraId="51525278" w14:textId="77777777" w:rsidR="007709BF" w:rsidRPr="00DA00F3" w:rsidRDefault="007709BF" w:rsidP="007709BF">
      <w:pPr>
        <w:pStyle w:val="Prrafodelista"/>
        <w:numPr>
          <w:ilvl w:val="0"/>
          <w:numId w:val="5"/>
        </w:numPr>
        <w:spacing w:after="120" w:line="276" w:lineRule="auto"/>
        <w:jc w:val="both"/>
        <w:rPr>
          <w:rFonts w:ascii="Verdana" w:hAnsi="Verdana" w:cs="Arial"/>
          <w:bdr w:val="none" w:sz="0" w:space="0" w:color="auto" w:frame="1"/>
          <w:lang w:val="es-ES_tradnl"/>
        </w:rPr>
      </w:pPr>
      <w:r w:rsidRPr="00DA00F3">
        <w:rPr>
          <w:rFonts w:ascii="Verdana" w:hAnsi="Verdana" w:cs="Arial"/>
          <w:color w:val="000000" w:themeColor="text1"/>
        </w:rPr>
        <w:t xml:space="preserve">Es necesario tener en cuenta que los factores desempate complementan los criterios de evaluación, es decir, si después de aplicar estos últimos, varias propuestas terminan empatadas, aplica el artículo 35 de la Ley de Emprendimiento. En esta medida, los documentos que acreditan cada causal no podrían definirse como </w:t>
      </w:r>
      <w:r>
        <w:rPr>
          <w:rFonts w:ascii="Verdana" w:hAnsi="Verdana" w:cs="Arial"/>
          <w:color w:val="000000" w:themeColor="text1"/>
        </w:rPr>
        <w:t>“</w:t>
      </w:r>
      <w:r w:rsidRPr="00DA00F3">
        <w:rPr>
          <w:rFonts w:ascii="Verdana" w:hAnsi="Verdana" w:cs="Arial"/>
          <w:color w:val="000000" w:themeColor="text1"/>
        </w:rPr>
        <w:t>condiciones habilitantes</w:t>
      </w:r>
      <w:r>
        <w:rPr>
          <w:rFonts w:ascii="Verdana" w:hAnsi="Verdana" w:cs="Arial"/>
          <w:color w:val="000000" w:themeColor="text1"/>
        </w:rPr>
        <w:t>”</w:t>
      </w:r>
      <w:r w:rsidRPr="00DA00F3">
        <w:rPr>
          <w:rFonts w:ascii="Verdana" w:hAnsi="Verdana" w:cs="Arial"/>
          <w:color w:val="000000" w:themeColor="text1"/>
        </w:rPr>
        <w:t xml:space="preserve">, ya que –en los términos del artículo 5.1 de la Ley 1150 de 2007– ninguno de ellos está relacionado con la prueba de la capacidad jurídica o la certificación de las condiciones de experiencia, capacidad financiera y de organización de los proponentes. </w:t>
      </w:r>
    </w:p>
    <w:p w14:paraId="51525279" w14:textId="77777777" w:rsidR="007709BF" w:rsidRPr="00DA00F3" w:rsidRDefault="007709BF" w:rsidP="007709BF">
      <w:pPr>
        <w:pStyle w:val="Prrafodelista"/>
        <w:rPr>
          <w:rFonts w:ascii="Verdana" w:hAnsi="Verdana" w:cs="Arial"/>
          <w:color w:val="000000" w:themeColor="text1"/>
        </w:rPr>
      </w:pPr>
    </w:p>
    <w:p w14:paraId="5152527A" w14:textId="77777777" w:rsidR="007709BF" w:rsidRPr="00DA00F3" w:rsidRDefault="007709BF" w:rsidP="007709BF">
      <w:pPr>
        <w:pStyle w:val="Prrafodelista"/>
        <w:numPr>
          <w:ilvl w:val="0"/>
          <w:numId w:val="5"/>
        </w:numPr>
        <w:spacing w:after="120" w:line="276" w:lineRule="auto"/>
        <w:jc w:val="both"/>
        <w:rPr>
          <w:rFonts w:ascii="Verdana" w:hAnsi="Verdana" w:cs="Arial"/>
          <w:bdr w:val="none" w:sz="0" w:space="0" w:color="auto" w:frame="1"/>
          <w:lang w:val="es-ES_tradnl"/>
        </w:rPr>
      </w:pPr>
      <w:r w:rsidRPr="00DA00F3">
        <w:rPr>
          <w:rFonts w:ascii="Verdana" w:hAnsi="Verdana" w:cs="Arial"/>
          <w:color w:val="000000" w:themeColor="text1"/>
        </w:rPr>
        <w:t xml:space="preserve">De considerase </w:t>
      </w:r>
      <w:r>
        <w:rPr>
          <w:rFonts w:ascii="Verdana" w:hAnsi="Verdana" w:cs="Arial"/>
          <w:color w:val="000000" w:themeColor="text1"/>
        </w:rPr>
        <w:t>“</w:t>
      </w:r>
      <w:r w:rsidRPr="00DA00F3">
        <w:rPr>
          <w:rFonts w:ascii="Verdana" w:hAnsi="Verdana" w:cs="Arial"/>
          <w:color w:val="000000" w:themeColor="text1"/>
        </w:rPr>
        <w:t>condiciones habilitantes</w:t>
      </w:r>
      <w:r>
        <w:rPr>
          <w:rFonts w:ascii="Verdana" w:hAnsi="Verdana" w:cs="Arial"/>
          <w:color w:val="000000" w:themeColor="text1"/>
        </w:rPr>
        <w:t>”</w:t>
      </w:r>
      <w:r w:rsidRPr="00DA00F3">
        <w:rPr>
          <w:rFonts w:ascii="Verdana" w:hAnsi="Verdana" w:cs="Arial"/>
          <w:color w:val="000000" w:themeColor="text1"/>
        </w:rPr>
        <w:t xml:space="preserve">, se llegaría a la idea de que –so pena de rechazo– la participación en el procedimiento contractual está sujeta a la prueba de por lo menos una de las causales del artículo 35 de la Ley 2069 de 2020. Esta conclusión no tendría sentido, ya que es posible la acreditación de los requisitos previstos en el artículo 5.1 de la Ley 1150 </w:t>
      </w:r>
      <w:r w:rsidRPr="00DA00F3">
        <w:rPr>
          <w:rFonts w:ascii="Verdana" w:hAnsi="Verdana" w:cs="Arial"/>
          <w:color w:val="000000" w:themeColor="text1"/>
        </w:rPr>
        <w:lastRenderedPageBreak/>
        <w:t xml:space="preserve">de 2007, sin que la ausencia de prueba del criterio de desempate condicione la aplicación de los factores de evaluación previstos en el pliego de condiciones. Naturalmente, en caso de empate, la consecuencia es que la adjudicación se resuelve con los participantes que acreditaron alguno de los factores, excluyendo a quienes no lo hicieron. </w:t>
      </w:r>
    </w:p>
    <w:p w14:paraId="5152527B" w14:textId="77777777" w:rsidR="007709BF" w:rsidRPr="00DA00F3" w:rsidRDefault="007709BF" w:rsidP="007709BF">
      <w:pPr>
        <w:pStyle w:val="Prrafodelista"/>
        <w:rPr>
          <w:rFonts w:ascii="Verdana" w:hAnsi="Verdana" w:cs="Arial"/>
          <w:color w:val="000000" w:themeColor="text1"/>
          <w:lang w:val="es-ES_tradnl"/>
        </w:rPr>
      </w:pPr>
    </w:p>
    <w:p w14:paraId="5152527C" w14:textId="77777777" w:rsidR="007709BF" w:rsidRPr="00A92DE0" w:rsidRDefault="007709BF" w:rsidP="007709BF">
      <w:pPr>
        <w:pStyle w:val="Prrafodelista"/>
        <w:numPr>
          <w:ilvl w:val="0"/>
          <w:numId w:val="5"/>
        </w:numPr>
        <w:spacing w:after="120" w:line="276" w:lineRule="auto"/>
        <w:jc w:val="both"/>
        <w:rPr>
          <w:rFonts w:ascii="Verdana" w:hAnsi="Verdana" w:cs="Arial"/>
          <w:bdr w:val="none" w:sz="0" w:space="0" w:color="auto" w:frame="1"/>
          <w:lang w:val="es-ES_tradnl"/>
        </w:rPr>
      </w:pPr>
      <w:r w:rsidRPr="00DA00F3">
        <w:rPr>
          <w:rFonts w:ascii="Verdana" w:hAnsi="Verdana" w:cs="Arial"/>
          <w:color w:val="000000" w:themeColor="text1"/>
          <w:lang w:val="es-ES_tradnl"/>
        </w:rPr>
        <w:t xml:space="preserve">De esta manera, los factores de desempate afectan la </w:t>
      </w:r>
      <w:r>
        <w:rPr>
          <w:rFonts w:ascii="Verdana" w:hAnsi="Verdana" w:cs="Arial"/>
          <w:color w:val="000000" w:themeColor="text1"/>
          <w:lang w:val="es-ES_tradnl"/>
        </w:rPr>
        <w:t>“comparación de ofertas”</w:t>
      </w:r>
      <w:r w:rsidRPr="00DA00F3">
        <w:rPr>
          <w:rFonts w:ascii="Verdana" w:hAnsi="Verdana" w:cs="Arial"/>
          <w:color w:val="000000" w:themeColor="text1"/>
          <w:lang w:val="es-ES_tradnl"/>
        </w:rPr>
        <w:t xml:space="preserve"> en los términos del</w:t>
      </w:r>
      <w:r w:rsidRPr="00DA00F3">
        <w:rPr>
          <w:rFonts w:ascii="Verdana" w:eastAsia="Calibri" w:hAnsi="Verdana" w:cs="Arial"/>
          <w:color w:val="000000" w:themeColor="text1"/>
          <w:lang w:val="es-ES_tradnl"/>
        </w:rPr>
        <w:t xml:space="preserve"> parágrafo primero del artículo 5 de la Ley 1150 de 2007</w:t>
      </w:r>
      <w:r w:rsidRPr="00DA00F3">
        <w:rPr>
          <w:rFonts w:ascii="Verdana" w:hAnsi="Verdana" w:cs="Arial"/>
          <w:color w:val="000000" w:themeColor="text1"/>
          <w:lang w:val="es-ES_tradnl"/>
        </w:rPr>
        <w:t xml:space="preserve">. </w:t>
      </w:r>
      <w:r>
        <w:rPr>
          <w:rFonts w:ascii="Verdana" w:hAnsi="Verdana" w:cs="Arial"/>
          <w:color w:val="000000" w:themeColor="text1"/>
          <w:lang w:val="es-ES_tradnl"/>
        </w:rPr>
        <w:t>Además</w:t>
      </w:r>
      <w:r w:rsidRPr="00DA00F3">
        <w:rPr>
          <w:rFonts w:ascii="Verdana" w:hAnsi="Verdana" w:cs="Arial"/>
          <w:color w:val="000000" w:themeColor="text1"/>
          <w:lang w:val="es-ES_tradnl"/>
        </w:rPr>
        <w:t xml:space="preserve">, algunos de los factores de evaluación también son criterios de desempate: este es el caso de los previstos en el artículo 2 de la Ley 816 de 2003 y en </w:t>
      </w:r>
      <w:bookmarkStart w:id="3" w:name="_Hlk71484452"/>
      <w:r w:rsidRPr="00DA00F3">
        <w:rPr>
          <w:rFonts w:ascii="Verdana" w:hAnsi="Verdana" w:cs="Arial"/>
          <w:color w:val="000000" w:themeColor="text1"/>
          <w:lang w:val="es-ES_tradnl"/>
        </w:rPr>
        <w:t xml:space="preserve">el artículo </w:t>
      </w:r>
      <w:r w:rsidRPr="00DA00F3">
        <w:rPr>
          <w:rFonts w:ascii="Verdana" w:eastAsia="Calibri" w:hAnsi="Verdana" w:cs="Arial"/>
        </w:rPr>
        <w:t>2.2.1.2.4.2.6 del Decreto 1082 de 2015</w:t>
      </w:r>
      <w:bookmarkEnd w:id="3"/>
      <w:r w:rsidRPr="00DA00F3">
        <w:rPr>
          <w:rFonts w:ascii="Verdana" w:eastAsia="Calibri" w:hAnsi="Verdana" w:cs="Arial"/>
        </w:rPr>
        <w:t xml:space="preserve"> para los proponentes que oferten bienes y servicios nacionales o vinculen personas en situación de discapacidad, respectivamente</w:t>
      </w:r>
      <w:r w:rsidRPr="00FB5A88">
        <w:rPr>
          <w:rStyle w:val="Refdenotaalpie"/>
          <w:rFonts w:ascii="Verdana" w:hAnsi="Verdana" w:cs="Arial"/>
          <w:color w:val="000000" w:themeColor="text1"/>
          <w:lang w:val="es-ES_tradnl"/>
        </w:rPr>
        <w:footnoteReference w:id="9"/>
      </w:r>
      <w:r w:rsidRPr="00DA00F3">
        <w:rPr>
          <w:rFonts w:ascii="Verdana" w:eastAsia="Calibri" w:hAnsi="Verdana" w:cs="Arial"/>
        </w:rPr>
        <w:t>.</w:t>
      </w:r>
      <w:r w:rsidRPr="00DA00F3">
        <w:rPr>
          <w:rFonts w:ascii="Verdana" w:hAnsi="Verdana" w:cs="Arial"/>
          <w:color w:val="000000" w:themeColor="text1"/>
          <w:lang w:val="es-ES_tradnl"/>
        </w:rPr>
        <w:t xml:space="preserve"> Por tanto, si no es posible subsanar los factores de evaluación previstos en las normas citadas, mucho menos es posible subsanarlos tratándose de los factores de desempate. Esta conclusión se extiende al resto de las causales de esta norma, ya que definen la adjudicación del contrato en caso de empate en el puntaje total de dos o más ofertas en los procesos de contratación. </w:t>
      </w:r>
    </w:p>
    <w:p w14:paraId="5152527D" w14:textId="77777777" w:rsidR="007709BF" w:rsidRPr="00A92DE0" w:rsidRDefault="007709BF" w:rsidP="007709BF">
      <w:pPr>
        <w:pStyle w:val="Prrafodelista"/>
        <w:rPr>
          <w:rFonts w:ascii="Verdana" w:eastAsia="Calibri" w:hAnsi="Verdana" w:cs="Arial"/>
          <w:color w:val="000000" w:themeColor="text1"/>
        </w:rPr>
      </w:pPr>
    </w:p>
    <w:p w14:paraId="5152527E" w14:textId="77777777" w:rsidR="007709BF" w:rsidRPr="00A92DE0" w:rsidRDefault="007709BF" w:rsidP="007709BF">
      <w:pPr>
        <w:pStyle w:val="Prrafodelista"/>
        <w:numPr>
          <w:ilvl w:val="0"/>
          <w:numId w:val="5"/>
        </w:numPr>
        <w:spacing w:after="120" w:line="276" w:lineRule="auto"/>
        <w:jc w:val="both"/>
        <w:rPr>
          <w:rFonts w:ascii="Verdana" w:hAnsi="Verdana" w:cs="Arial"/>
          <w:bdr w:val="none" w:sz="0" w:space="0" w:color="auto" w:frame="1"/>
          <w:lang w:val="es-ES_tradnl"/>
        </w:rPr>
      </w:pPr>
      <w:r w:rsidRPr="00A92DE0">
        <w:rPr>
          <w:rFonts w:ascii="Verdana" w:eastAsia="Calibri" w:hAnsi="Verdana" w:cs="Arial"/>
          <w:color w:val="000000" w:themeColor="text1"/>
        </w:rPr>
        <w:t xml:space="preserve">Ahora bien, es menester precisar que esta Agencia ha sostenido de manera reiterada y pacífica en diversos pronunciamientos, los cuales se hacen referencia en el numeral quinto del presente concepto que </w:t>
      </w:r>
      <w:r>
        <w:rPr>
          <w:rFonts w:ascii="Verdana" w:eastAsia="Times New Roman" w:hAnsi="Verdana" w:cs="Arial"/>
          <w:color w:val="000000" w:themeColor="text1"/>
        </w:rPr>
        <w:t>d</w:t>
      </w:r>
      <w:r w:rsidRPr="00A92DE0">
        <w:rPr>
          <w:rFonts w:ascii="Verdana" w:eastAsia="Times New Roman" w:hAnsi="Verdana" w:cs="Arial"/>
          <w:color w:val="000000" w:themeColor="text1"/>
        </w:rPr>
        <w:t xml:space="preserve">ado que los factores de desempate influyen en la comparación de las ofertas presentadas para desempatarlas, la acreditación de las causales previstas en el artículo 35 de la Ley 2069 de 2020 es insubsanable. Esto considerando que no son criterios puramente formales de las propuestas ni requisitos para la verificación de las condiciones habilitantes en el proceso de selección en los que aplique la regla del parágrafo primero del artículo 5 de la Ley 1150 de 2007. Por tanto, dado que no existe </w:t>
      </w:r>
      <w:r w:rsidRPr="00A92DE0">
        <w:rPr>
          <w:rFonts w:ascii="Verdana" w:eastAsia="Times New Roman" w:hAnsi="Verdana" w:cs="Arial"/>
          <w:color w:val="000000" w:themeColor="text1"/>
        </w:rPr>
        <w:lastRenderedPageBreak/>
        <w:t>oportunidad posterior, la documentación relacionada con los factores de desempate debe entregarse con la oferta de forma completa e integra, antes del cierre del proceso de selección.</w:t>
      </w:r>
      <w:r w:rsidRPr="00A92DE0">
        <w:rPr>
          <w:rFonts w:ascii="Verdana" w:eastAsia="Calibri" w:hAnsi="Verdana" w:cs="Arial"/>
          <w:color w:val="000000" w:themeColor="text1"/>
        </w:rPr>
        <w:t xml:space="preserve"> En ese sentido la ANCP-CCE se aparta de la sentencia emitida dentro del Radicado N° 70.597 de fecha dos (2) de agosto de dos mil veinticuatro (2024) por el CONSEJO DE ESTADO SALA DE LO CONTENCIOSO ADMINISTRATIVO SECCIÓN TERCERA – SUBSECCIÓN, teniendo en cuenta los postulados enunciados en la presente respuesta; y considerando que es apenas razonable y se ajusta a derecho lo manifestado por el Magistrado MARTÍN BERMÚDEZ MUÑOZ, en el salvamento de voto dentro de la misma sentencia:</w:t>
      </w:r>
    </w:p>
    <w:p w14:paraId="5152527F" w14:textId="77777777" w:rsidR="007709BF" w:rsidRPr="00FB5A88" w:rsidRDefault="007709BF" w:rsidP="007709BF">
      <w:pPr>
        <w:tabs>
          <w:tab w:val="left" w:pos="7938"/>
        </w:tabs>
        <w:spacing w:after="120" w:line="276" w:lineRule="auto"/>
        <w:jc w:val="both"/>
        <w:rPr>
          <w:rFonts w:ascii="Verdana" w:eastAsia="Calibri" w:hAnsi="Verdana" w:cs="Arial"/>
          <w:color w:val="000000" w:themeColor="text1"/>
          <w:sz w:val="21"/>
          <w:szCs w:val="21"/>
        </w:rPr>
      </w:pPr>
    </w:p>
    <w:p w14:paraId="51525280" w14:textId="77777777" w:rsidR="007709BF" w:rsidRPr="00DA00F3" w:rsidRDefault="007709BF" w:rsidP="007709BF">
      <w:pPr>
        <w:pStyle w:val="Prrafodelista"/>
        <w:tabs>
          <w:tab w:val="left" w:pos="7938"/>
        </w:tabs>
        <w:spacing w:after="120" w:line="276" w:lineRule="auto"/>
        <w:ind w:left="709" w:right="709"/>
        <w:jc w:val="both"/>
        <w:rPr>
          <w:rFonts w:ascii="Verdana" w:eastAsia="Calibri" w:hAnsi="Verdana" w:cs="Arial"/>
          <w:color w:val="000000" w:themeColor="text1"/>
          <w:sz w:val="21"/>
          <w:szCs w:val="21"/>
        </w:rPr>
      </w:pPr>
      <w:r w:rsidRPr="00DA00F3">
        <w:rPr>
          <w:rFonts w:ascii="Verdana" w:hAnsi="Verdana"/>
          <w:sz w:val="21"/>
          <w:szCs w:val="21"/>
        </w:rPr>
        <w:t>“Por lo tanto, la postura de la Sala desconoce que permitir subsanar criterios de desempate, en realidad, permite mejorar la oferta presentada. Es evidente que los criterios de desempate reflejan cualidades adicionales que justifican la preferencia de una oferta sobre otra que tenga el mismo puntaje”</w:t>
      </w:r>
      <w:r w:rsidRPr="00FB5A88">
        <w:rPr>
          <w:rStyle w:val="Refdenotaalpie"/>
          <w:rFonts w:ascii="Verdana" w:hAnsi="Verdana"/>
          <w:sz w:val="21"/>
          <w:szCs w:val="21"/>
        </w:rPr>
        <w:footnoteReference w:id="10"/>
      </w:r>
      <w:r w:rsidRPr="00DA00F3">
        <w:rPr>
          <w:rFonts w:ascii="Verdana" w:hAnsi="Verdana"/>
          <w:sz w:val="21"/>
          <w:szCs w:val="21"/>
        </w:rPr>
        <w:t>.</w:t>
      </w:r>
    </w:p>
    <w:p w14:paraId="51525281" w14:textId="77777777" w:rsidR="007709BF" w:rsidRDefault="007709BF" w:rsidP="007709BF">
      <w:pPr>
        <w:spacing w:after="120" w:line="276" w:lineRule="auto"/>
        <w:jc w:val="both"/>
        <w:rPr>
          <w:rFonts w:ascii="Verdana" w:eastAsia="Calibri" w:hAnsi="Verdana" w:cs="Arial"/>
          <w:lang w:val="es-ES_tradnl"/>
        </w:rPr>
      </w:pPr>
    </w:p>
    <w:p w14:paraId="51525282" w14:textId="77777777" w:rsidR="007709BF" w:rsidRDefault="007709BF" w:rsidP="007709BF">
      <w:pPr>
        <w:pStyle w:val="Prrafodelista"/>
        <w:numPr>
          <w:ilvl w:val="0"/>
          <w:numId w:val="5"/>
        </w:numPr>
        <w:spacing w:after="120" w:line="276" w:lineRule="auto"/>
        <w:jc w:val="both"/>
        <w:rPr>
          <w:rFonts w:ascii="Verdana" w:eastAsia="Calibri" w:hAnsi="Verdana" w:cs="Arial"/>
          <w:lang w:val="es-ES_tradnl"/>
        </w:rPr>
      </w:pPr>
      <w:r w:rsidRPr="00DA00F3">
        <w:rPr>
          <w:rFonts w:ascii="Verdana" w:eastAsia="Calibri" w:hAnsi="Verdana" w:cs="Arial"/>
          <w:lang w:val="es-ES_tradnl"/>
        </w:rPr>
        <w:t>Si bien el evento de desempate hace parte de una etapa dentro del proceso de selección, no necesariamente todos los procesos llegan a tal evento, ya que dentro del normal desarrollo del proceso de presentación de ofertas, evaluación y traslado de informe de evaluación de las mismas, se espera la adjudicación del proceso, sin agotar esta etapa; no obstante, y ante la eventual circunstancia de configurar el evento de empate, no con esto se habilita la posibilidad de aperturar una etapa adicional de subsanabilidad de las ofertas dentro del traslado del informe de evaluación, si bien los factores de desempate no son materia de asignación de puntaje prima facie dentro del proceso, si son factores determinantes para la comparación de ofertas cuando se presenta el evento de empate, y no resulta adecuado, ni se encuentra reglada la posibilidad de apertura de subsanabilidad de ofertas en esta etapa, ya que como se explicó in-extenso anteriormente, las reglas de subsanabilidad están debidamente establecidas por el legislador y no se ajusta a derecho la posibilidad</w:t>
      </w:r>
      <w:r>
        <w:rPr>
          <w:rFonts w:ascii="Verdana" w:eastAsia="Calibri" w:hAnsi="Verdana" w:cs="Arial"/>
          <w:lang w:val="es-ES_tradnl"/>
        </w:rPr>
        <w:t xml:space="preserve"> de</w:t>
      </w:r>
      <w:r w:rsidRPr="00DA00F3">
        <w:rPr>
          <w:rFonts w:ascii="Verdana" w:eastAsia="Calibri" w:hAnsi="Verdana" w:cs="Arial"/>
          <w:lang w:val="es-ES_tradnl"/>
        </w:rPr>
        <w:t xml:space="preserve"> que a través de una sentencia del Consejo de Estado y un pronunciamiento contrario a lo que ha venido reiterando esta Agencia </w:t>
      </w:r>
      <w:r w:rsidRPr="00DA00F3">
        <w:rPr>
          <w:rFonts w:ascii="Verdana" w:eastAsia="Calibri" w:hAnsi="Verdana" w:cs="Arial"/>
          <w:lang w:val="es-ES_tradnl"/>
        </w:rPr>
        <w:lastRenderedPageBreak/>
        <w:t>se aperturen nuevas etapas dentro de los procesos de selección inexistentes legalmente establecidas.</w:t>
      </w:r>
    </w:p>
    <w:p w14:paraId="51525283" w14:textId="77777777" w:rsidR="007709BF" w:rsidRPr="00DA00F3" w:rsidRDefault="007709BF" w:rsidP="007709BF">
      <w:pPr>
        <w:pStyle w:val="Prrafodelista"/>
        <w:spacing w:after="120" w:line="276" w:lineRule="auto"/>
        <w:jc w:val="both"/>
        <w:rPr>
          <w:rFonts w:ascii="Verdana" w:eastAsia="Calibri" w:hAnsi="Verdana" w:cs="Arial"/>
          <w:lang w:val="es-ES_tradnl"/>
        </w:rPr>
      </w:pPr>
    </w:p>
    <w:p w14:paraId="51525284" w14:textId="77777777" w:rsidR="007709BF" w:rsidRPr="00DA00F3" w:rsidRDefault="007709BF" w:rsidP="007709BF">
      <w:pPr>
        <w:pStyle w:val="Prrafodelista"/>
        <w:numPr>
          <w:ilvl w:val="0"/>
          <w:numId w:val="5"/>
        </w:numPr>
        <w:spacing w:after="120" w:line="276" w:lineRule="auto"/>
        <w:jc w:val="both"/>
        <w:rPr>
          <w:rFonts w:ascii="Verdana" w:eastAsia="Calibri" w:hAnsi="Verdana" w:cs="Arial"/>
          <w:lang w:val="es-ES_tradnl"/>
        </w:rPr>
      </w:pPr>
      <w:r w:rsidRPr="00DA00F3">
        <w:rPr>
          <w:rFonts w:ascii="Verdana" w:eastAsia="Calibri" w:hAnsi="Verdana" w:cs="Arial"/>
          <w:lang w:val="es-ES_tradnl"/>
        </w:rPr>
        <w:t>Ahora bien, vale la pena precisar que la sentencia aludida por la entidad solicitante no hace parte de una decisión de unificación, ni existe doctrina probable razón por lo cual la ANCP-CCE reitera la línea respecto al asunto objeto de estudio.</w:t>
      </w:r>
    </w:p>
    <w:p w14:paraId="51525285" w14:textId="77777777" w:rsidR="007709BF" w:rsidRPr="000E355A" w:rsidRDefault="007709BF" w:rsidP="007709BF">
      <w:pPr>
        <w:spacing w:after="0" w:line="276" w:lineRule="auto"/>
        <w:jc w:val="both"/>
        <w:rPr>
          <w:rFonts w:ascii="Verdana" w:eastAsia="Calibri" w:hAnsi="Verdana" w:cs="Arial"/>
          <w:lang w:val="es-ES_tradnl"/>
        </w:rPr>
      </w:pPr>
    </w:p>
    <w:p w14:paraId="51525286" w14:textId="77777777" w:rsidR="007709BF" w:rsidRPr="00593A5F" w:rsidRDefault="007709BF" w:rsidP="007709BF">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r>
        <w:rPr>
          <w:rFonts w:ascii="Verdana" w:eastAsia="Century Gothic" w:hAnsi="Verdana" w:cs="Century Gothic"/>
          <w:b/>
          <w:bCs/>
        </w:rPr>
        <w:t xml:space="preserve"> y jurisprudenciales</w:t>
      </w:r>
      <w:r w:rsidRPr="00593A5F">
        <w:rPr>
          <w:rFonts w:ascii="Verdana" w:eastAsia="Century Gothic" w:hAnsi="Verdana" w:cs="Century Gothic"/>
          <w:b/>
          <w:bCs/>
        </w:rPr>
        <w:t>:</w:t>
      </w:r>
    </w:p>
    <w:p w14:paraId="51525287" w14:textId="77777777" w:rsidR="007709BF" w:rsidRPr="00593A5F" w:rsidRDefault="007709BF" w:rsidP="007709BF">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709BF" w:rsidRPr="002407CE" w14:paraId="51525296" w14:textId="77777777" w:rsidTr="00C77973">
        <w:trPr>
          <w:trHeight w:val="870"/>
          <w:jc w:val="center"/>
        </w:trPr>
        <w:tc>
          <w:tcPr>
            <w:tcW w:w="8647" w:type="dxa"/>
          </w:tcPr>
          <w:p w14:paraId="51525288" w14:textId="77777777" w:rsidR="007709BF" w:rsidRPr="00FB5A88" w:rsidRDefault="007709BF" w:rsidP="007709BF">
            <w:pPr>
              <w:pStyle w:val="Prrafodelista"/>
              <w:numPr>
                <w:ilvl w:val="0"/>
                <w:numId w:val="4"/>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Artículo 25.15, 30.7.8 Ley 80 De 1993</w:t>
            </w:r>
          </w:p>
          <w:p w14:paraId="51525289" w14:textId="77777777" w:rsidR="007709BF" w:rsidRPr="00FB5A88" w:rsidRDefault="007709BF" w:rsidP="00C77973">
            <w:pPr>
              <w:pStyle w:val="Prrafodelista"/>
              <w:rPr>
                <w:rFonts w:ascii="Verdana" w:eastAsia="Times New Roman" w:hAnsi="Verdana" w:cs="Arial"/>
                <w:color w:val="000000" w:themeColor="text1"/>
              </w:rPr>
            </w:pPr>
          </w:p>
          <w:p w14:paraId="5152528A" w14:textId="77777777" w:rsidR="007709BF" w:rsidRPr="00FB5A88" w:rsidRDefault="007709BF" w:rsidP="007709BF">
            <w:pPr>
              <w:pStyle w:val="Prrafodelista"/>
              <w:numPr>
                <w:ilvl w:val="0"/>
                <w:numId w:val="4"/>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Artículo 5 De La Ley 1150 De 2007</w:t>
            </w:r>
          </w:p>
          <w:p w14:paraId="5152528B" w14:textId="77777777" w:rsidR="007709BF" w:rsidRPr="00FB5A88" w:rsidRDefault="007709BF" w:rsidP="00C77973">
            <w:pPr>
              <w:pStyle w:val="Prrafodelista"/>
              <w:rPr>
                <w:rFonts w:ascii="Verdana" w:eastAsia="Times New Roman" w:hAnsi="Verdana" w:cs="Arial"/>
                <w:color w:val="000000" w:themeColor="text1"/>
              </w:rPr>
            </w:pPr>
          </w:p>
          <w:p w14:paraId="5152528C" w14:textId="77777777" w:rsidR="007709BF" w:rsidRPr="00FB5A88" w:rsidRDefault="007709BF" w:rsidP="007709BF">
            <w:pPr>
              <w:pStyle w:val="Prrafodelista"/>
              <w:numPr>
                <w:ilvl w:val="0"/>
                <w:numId w:val="4"/>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Artículo 5 Ley 1882 De 2018</w:t>
            </w:r>
          </w:p>
          <w:p w14:paraId="5152528D" w14:textId="77777777" w:rsidR="007709BF" w:rsidRPr="00FB5A88" w:rsidRDefault="007709BF" w:rsidP="00C77973">
            <w:pPr>
              <w:pStyle w:val="Prrafodelista"/>
              <w:rPr>
                <w:rFonts w:ascii="Verdana" w:eastAsia="Times New Roman" w:hAnsi="Verdana" w:cs="Arial"/>
                <w:color w:val="000000" w:themeColor="text1"/>
              </w:rPr>
            </w:pPr>
          </w:p>
          <w:p w14:paraId="5152528E" w14:textId="77777777" w:rsidR="007709BF" w:rsidRPr="00FB5A88" w:rsidRDefault="007709BF" w:rsidP="007709BF">
            <w:pPr>
              <w:pStyle w:val="Prrafodelista"/>
              <w:numPr>
                <w:ilvl w:val="0"/>
                <w:numId w:val="4"/>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Artículo 35 De La Ley 2069 De 2020</w:t>
            </w:r>
          </w:p>
          <w:p w14:paraId="5152528F" w14:textId="77777777" w:rsidR="007709BF" w:rsidRPr="00FB5A88" w:rsidRDefault="007709BF" w:rsidP="00C77973">
            <w:pPr>
              <w:pStyle w:val="Prrafodelista"/>
              <w:rPr>
                <w:rFonts w:ascii="Verdana" w:eastAsia="Times New Roman" w:hAnsi="Verdana" w:cs="Arial"/>
                <w:color w:val="000000" w:themeColor="text1"/>
              </w:rPr>
            </w:pPr>
          </w:p>
          <w:p w14:paraId="51525290" w14:textId="77777777" w:rsidR="007709BF" w:rsidRPr="00FB5A88" w:rsidRDefault="007709BF" w:rsidP="00C77973">
            <w:pPr>
              <w:pStyle w:val="Prrafodelista"/>
              <w:rPr>
                <w:rFonts w:ascii="Verdana" w:eastAsia="Times New Roman" w:hAnsi="Verdana" w:cs="Arial"/>
                <w:color w:val="000000" w:themeColor="text1"/>
              </w:rPr>
            </w:pPr>
          </w:p>
          <w:p w14:paraId="51525291" w14:textId="77777777" w:rsidR="007709BF" w:rsidRPr="00FB5A88" w:rsidRDefault="007709BF" w:rsidP="007709BF">
            <w:pPr>
              <w:pStyle w:val="Prrafodelista"/>
              <w:numPr>
                <w:ilvl w:val="0"/>
                <w:numId w:val="4"/>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Consejo De Estado. Sala De Consulta Y Servicio Civil. Concepto Del 20 De Mayo De 2010. No. De Radicado: 11001-03-06-000-2010-00034-00(1992). C.P. Enrique José Arboleda Perdomo.</w:t>
            </w:r>
          </w:p>
          <w:p w14:paraId="51525292" w14:textId="77777777" w:rsidR="007709BF" w:rsidRPr="00FB5A88" w:rsidRDefault="007709BF" w:rsidP="00C77973">
            <w:pPr>
              <w:pStyle w:val="Prrafodelista"/>
              <w:rPr>
                <w:rFonts w:ascii="Verdana" w:eastAsia="Times New Roman" w:hAnsi="Verdana" w:cs="Arial"/>
                <w:color w:val="000000" w:themeColor="text1"/>
              </w:rPr>
            </w:pPr>
          </w:p>
          <w:p w14:paraId="51525293" w14:textId="77777777" w:rsidR="007709BF" w:rsidRPr="00FB5A88" w:rsidRDefault="007709BF" w:rsidP="007709BF">
            <w:pPr>
              <w:pStyle w:val="Prrafodelista"/>
              <w:numPr>
                <w:ilvl w:val="0"/>
                <w:numId w:val="4"/>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Consejo De Estado. Sección Tercera. Subsección C. Sentencia Del 26 De Febrero De 2014. Expediente: 25.804. Consejero Ponente: Enrique Gil Botero.</w:t>
            </w:r>
          </w:p>
          <w:p w14:paraId="51525294" w14:textId="77777777" w:rsidR="007709BF" w:rsidRPr="00FB5A88" w:rsidRDefault="007709BF" w:rsidP="00C77973">
            <w:pPr>
              <w:pStyle w:val="Prrafodelista"/>
              <w:rPr>
                <w:rFonts w:ascii="Verdana" w:eastAsia="Times New Roman" w:hAnsi="Verdana" w:cs="Arial"/>
                <w:color w:val="000000" w:themeColor="text1"/>
              </w:rPr>
            </w:pPr>
          </w:p>
          <w:p w14:paraId="51525295" w14:textId="77777777" w:rsidR="007709BF" w:rsidRPr="005669A1" w:rsidRDefault="007709BF" w:rsidP="007709BF">
            <w:pPr>
              <w:pStyle w:val="Prrafodelista"/>
              <w:widowControl w:val="0"/>
              <w:numPr>
                <w:ilvl w:val="0"/>
                <w:numId w:val="4"/>
              </w:numPr>
              <w:autoSpaceDE w:val="0"/>
              <w:autoSpaceDN w:val="0"/>
              <w:spacing w:after="120" w:line="276" w:lineRule="auto"/>
              <w:contextualSpacing w:val="0"/>
              <w:jc w:val="both"/>
              <w:rPr>
                <w:rFonts w:ascii="Verdana" w:hAnsi="Verdana" w:cs="Arial"/>
              </w:rPr>
            </w:pPr>
            <w:r w:rsidRPr="00FB5A88">
              <w:rPr>
                <w:rFonts w:ascii="Verdana" w:eastAsia="Times New Roman" w:hAnsi="Verdana" w:cs="Arial"/>
                <w:color w:val="000000" w:themeColor="text1"/>
              </w:rPr>
              <w:t xml:space="preserve">Consejo </w:t>
            </w:r>
            <w:r>
              <w:rPr>
                <w:rFonts w:ascii="Verdana" w:eastAsia="Times New Roman" w:hAnsi="Verdana" w:cs="Arial"/>
                <w:color w:val="000000" w:themeColor="text1"/>
              </w:rPr>
              <w:t>d</w:t>
            </w:r>
            <w:r w:rsidRPr="00FB5A88">
              <w:rPr>
                <w:rFonts w:ascii="Verdana" w:eastAsia="Times New Roman" w:hAnsi="Verdana" w:cs="Arial"/>
                <w:color w:val="000000" w:themeColor="text1"/>
              </w:rPr>
              <w:t xml:space="preserve">e Estado Sala </w:t>
            </w:r>
            <w:r>
              <w:rPr>
                <w:rFonts w:ascii="Verdana" w:eastAsia="Times New Roman" w:hAnsi="Verdana" w:cs="Arial"/>
                <w:color w:val="000000" w:themeColor="text1"/>
              </w:rPr>
              <w:t>d</w:t>
            </w:r>
            <w:r w:rsidRPr="00FB5A88">
              <w:rPr>
                <w:rFonts w:ascii="Verdana" w:eastAsia="Times New Roman" w:hAnsi="Verdana" w:cs="Arial"/>
                <w:color w:val="000000" w:themeColor="text1"/>
              </w:rPr>
              <w:t xml:space="preserve">e </w:t>
            </w:r>
            <w:r>
              <w:rPr>
                <w:rFonts w:ascii="Verdana" w:eastAsia="Times New Roman" w:hAnsi="Verdana" w:cs="Arial"/>
                <w:color w:val="000000" w:themeColor="text1"/>
              </w:rPr>
              <w:t>l</w:t>
            </w:r>
            <w:r w:rsidRPr="00FB5A88">
              <w:rPr>
                <w:rFonts w:ascii="Verdana" w:eastAsia="Times New Roman" w:hAnsi="Verdana" w:cs="Arial"/>
                <w:color w:val="000000" w:themeColor="text1"/>
              </w:rPr>
              <w:t>o Contencioso Administrativo Sección Tercera – Subsección Sentencia De Fecha Dos (2) De Agosto De Dos Mil Veinticuatro (2024). Radicado N° 70.597</w:t>
            </w:r>
          </w:p>
        </w:tc>
      </w:tr>
    </w:tbl>
    <w:p w14:paraId="51525297" w14:textId="77777777" w:rsidR="007709BF" w:rsidRPr="002407CE" w:rsidRDefault="007709BF" w:rsidP="007709BF">
      <w:pPr>
        <w:widowControl w:val="0"/>
        <w:autoSpaceDE w:val="0"/>
        <w:autoSpaceDN w:val="0"/>
        <w:spacing w:after="0" w:line="276" w:lineRule="auto"/>
        <w:jc w:val="both"/>
        <w:rPr>
          <w:rFonts w:ascii="Verdana" w:hAnsi="Verdana" w:cs="Arial"/>
        </w:rPr>
      </w:pPr>
    </w:p>
    <w:p w14:paraId="51525298" w14:textId="77777777" w:rsidR="007709BF" w:rsidRPr="00593A5F" w:rsidRDefault="007709BF" w:rsidP="007709BF">
      <w:pPr>
        <w:pStyle w:val="Prrafodelista"/>
        <w:numPr>
          <w:ilvl w:val="0"/>
          <w:numId w:val="1"/>
        </w:numPr>
        <w:tabs>
          <w:tab w:val="left" w:pos="142"/>
          <w:tab w:val="left" w:pos="284"/>
        </w:tabs>
        <w:spacing w:after="0" w:line="276" w:lineRule="auto"/>
        <w:ind w:left="142" w:firstLine="142"/>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1525299" w14:textId="77777777" w:rsidR="007709BF" w:rsidRPr="00593A5F" w:rsidRDefault="007709BF" w:rsidP="007709BF">
      <w:pPr>
        <w:widowControl w:val="0"/>
        <w:autoSpaceDE w:val="0"/>
        <w:autoSpaceDN w:val="0"/>
        <w:spacing w:after="0" w:line="276" w:lineRule="auto"/>
        <w:jc w:val="both"/>
        <w:rPr>
          <w:rFonts w:ascii="Verdana" w:hAnsi="Verdana" w:cs="Arial"/>
        </w:rPr>
      </w:pPr>
    </w:p>
    <w:p w14:paraId="5152529A" w14:textId="77777777" w:rsidR="007709BF" w:rsidRDefault="007709BF" w:rsidP="007709BF">
      <w:pPr>
        <w:spacing w:after="120" w:line="276" w:lineRule="auto"/>
        <w:jc w:val="both"/>
        <w:rPr>
          <w:rStyle w:val="normaltextrun"/>
          <w:rFonts w:ascii="Verdana" w:eastAsia="Calibri" w:hAnsi="Verdana" w:cs="Arial"/>
          <w:lang w:val="es-ES" w:eastAsia="es-ES"/>
        </w:rPr>
      </w:pPr>
      <w:r w:rsidRPr="004A4C94">
        <w:rPr>
          <w:rStyle w:val="normaltextrun"/>
          <w:rFonts w:ascii="Verdana" w:hAnsi="Verdana" w:cs="Arial"/>
          <w:color w:val="000000" w:themeColor="text1"/>
          <w:shd w:val="clear" w:color="auto" w:fill="FFFFFF"/>
          <w:lang w:val="es-ES"/>
        </w:rPr>
        <w:t xml:space="preserve">La Agencia Nacional de Contratación Pública ― Colombia Compra Eficiente ha abordado el tema </w:t>
      </w:r>
      <w:r w:rsidRPr="00FB5A88">
        <w:rPr>
          <w:rStyle w:val="normaltextrun"/>
          <w:rFonts w:ascii="Verdana" w:hAnsi="Verdana" w:cs="Arial"/>
          <w:color w:val="000000" w:themeColor="text1"/>
          <w:shd w:val="clear" w:color="auto" w:fill="FFFFFF"/>
          <w:lang w:val="es-ES"/>
        </w:rPr>
        <w:t>sobre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w:t>
      </w:r>
      <w:r w:rsidRPr="00FB5A88">
        <w:rPr>
          <w:rStyle w:val="normaltextrun"/>
          <w:rFonts w:ascii="Verdana" w:hAnsi="Verdana" w:cs="Arial"/>
          <w:color w:val="000000" w:themeColor="text1"/>
          <w:shd w:val="clear" w:color="auto" w:fill="FFFFFF"/>
          <w:lang w:val="es-ES"/>
        </w:rPr>
        <w:lastRenderedPageBreak/>
        <w:t>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 C-320 del 1 de julio de 2021, C-338 del 12 de julio de 2021, C-444 del 23 de julio de, 2021, C-437 del 24 de agosto de 2021, C-518 del 20 de septiembre de 2021, C-438 del 28 de septiembre de 2021, C-576 del 13 de octubre de 2021, C-582 del 14 de octubre de 2021, C-586 del 14 de octubre de 2021, C-617 del 6 diciembre de 2021, C-584 del 13 de diciembre de 2021, C-689 del 5 de enero de 2022, C-741 del 1 de febrero de 2022, C-750 del 4 de febrero de 2022, C-322 del 20 de mayo de 2022, C-468 del 22 de julio de 2022,</w:t>
      </w:r>
      <w:r>
        <w:rPr>
          <w:rStyle w:val="normaltextrun"/>
          <w:rFonts w:ascii="Verdana" w:hAnsi="Verdana" w:cs="Arial"/>
          <w:color w:val="000000" w:themeColor="text1"/>
          <w:shd w:val="clear" w:color="auto" w:fill="FFFFFF"/>
          <w:lang w:val="es-ES"/>
        </w:rPr>
        <w:t xml:space="preserve"> </w:t>
      </w:r>
      <w:r w:rsidRPr="00FB5A88">
        <w:rPr>
          <w:rStyle w:val="normaltextrun"/>
          <w:rFonts w:ascii="Verdana" w:hAnsi="Verdana" w:cs="Arial"/>
          <w:color w:val="000000" w:themeColor="text1"/>
          <w:shd w:val="clear" w:color="auto" w:fill="FFFFFF"/>
          <w:lang w:val="es-ES"/>
        </w:rPr>
        <w:t>C-414 del 10 de octubre de 2023</w:t>
      </w:r>
      <w:r>
        <w:rPr>
          <w:rStyle w:val="normaltextrun"/>
          <w:rFonts w:ascii="Verdana" w:hAnsi="Verdana" w:cs="Arial"/>
          <w:color w:val="000000" w:themeColor="text1"/>
          <w:shd w:val="clear" w:color="auto" w:fill="FFFFFF"/>
          <w:lang w:val="es-ES"/>
        </w:rPr>
        <w:t>,</w:t>
      </w:r>
      <w:r w:rsidRPr="00FB5A88">
        <w:rPr>
          <w:rStyle w:val="normaltextrun"/>
          <w:rFonts w:ascii="Verdana" w:hAnsi="Verdana" w:cs="Arial"/>
          <w:color w:val="000000" w:themeColor="text1"/>
          <w:shd w:val="clear" w:color="auto" w:fill="FFFFFF"/>
          <w:lang w:val="es-ES"/>
        </w:rPr>
        <w:t xml:space="preserve"> C-070 del 28 de mayo de 2024</w:t>
      </w:r>
      <w:r>
        <w:rPr>
          <w:rStyle w:val="normaltextrun"/>
          <w:rFonts w:ascii="Verdana" w:hAnsi="Verdana" w:cs="Arial"/>
          <w:color w:val="000000" w:themeColor="text1"/>
          <w:shd w:val="clear" w:color="auto" w:fill="FFFFFF"/>
          <w:lang w:val="es-ES"/>
        </w:rPr>
        <w:t xml:space="preserve"> y C-103 del 12 de junio de 2024</w:t>
      </w:r>
      <w:r w:rsidRPr="004A4C94">
        <w:rPr>
          <w:rStyle w:val="normaltextrun"/>
          <w:rFonts w:ascii="Verdana" w:hAnsi="Verdana" w:cs="Arial"/>
          <w:color w:val="000000" w:themeColor="text1"/>
          <w:shd w:val="clear" w:color="auto" w:fill="FFFFFF"/>
          <w:lang w:val="es-ES"/>
        </w:rPr>
        <w:t xml:space="preserve">. </w:t>
      </w:r>
      <w:r w:rsidRPr="00F938D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F938DD">
        <w:rPr>
          <w:rFonts w:ascii="Verdana" w:hAnsi="Verdana"/>
        </w:rPr>
        <w:t>, al cual se puede acceder a través del siguiente enlace:</w:t>
      </w:r>
      <w:r w:rsidRPr="00F938DD">
        <w:rPr>
          <w:rFonts w:ascii="Verdana" w:eastAsia="Calibri" w:hAnsi="Verdana" w:cs="Arial"/>
          <w:lang w:eastAsia="es-ES"/>
        </w:rPr>
        <w:t xml:space="preserve"> </w:t>
      </w:r>
      <w:hyperlink r:id="rId13" w:history="1">
        <w:r w:rsidRPr="00F938DD">
          <w:rPr>
            <w:rStyle w:val="Hipervnculo"/>
            <w:rFonts w:ascii="Verdana" w:hAnsi="Verdana" w:cs="Arial"/>
            <w:shd w:val="clear" w:color="auto" w:fill="FFFFFF"/>
            <w:lang w:val="es-ES"/>
          </w:rPr>
          <w:t>https://relatoria.colombiacompra.gov.co/busqueda/conceptos</w:t>
        </w:r>
      </w:hyperlink>
    </w:p>
    <w:p w14:paraId="5152529B" w14:textId="77777777" w:rsidR="007709BF" w:rsidRPr="00C70836" w:rsidRDefault="007709BF" w:rsidP="007709BF">
      <w:pPr>
        <w:spacing w:after="120" w:line="276" w:lineRule="auto"/>
        <w:jc w:val="both"/>
        <w:rPr>
          <w:rFonts w:ascii="Verdana" w:eastAsia="Calibri" w:hAnsi="Verdana" w:cs="Arial"/>
          <w:lang w:val="es-ES" w:eastAsia="es-ES"/>
        </w:rPr>
      </w:pPr>
    </w:p>
    <w:p w14:paraId="5152529C" w14:textId="77777777" w:rsidR="007709BF" w:rsidRPr="00CE3EBE" w:rsidRDefault="007709BF" w:rsidP="007709BF">
      <w:pPr>
        <w:spacing w:after="120" w:line="276" w:lineRule="auto"/>
        <w:jc w:val="both"/>
        <w:rPr>
          <w:rFonts w:ascii="Verdana" w:hAnsi="Verdana"/>
          <w:color w:val="000000"/>
          <w:bdr w:val="none" w:sz="0" w:space="0" w:color="auto" w:frame="1"/>
        </w:rPr>
      </w:pPr>
      <w:r w:rsidRPr="00CE3EBE">
        <w:rPr>
          <w:rFonts w:ascii="Verdana" w:hAnsi="Verdana"/>
          <w:color w:val="000000"/>
          <w:bdr w:val="none" w:sz="0" w:space="0" w:color="auto" w:frame="1"/>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CE3EBE">
          <w:rPr>
            <w:rStyle w:val="Hipervnculo"/>
            <w:rFonts w:ascii="Verdana" w:hAnsi="Verdana"/>
            <w:bdr w:val="none" w:sz="0" w:space="0" w:color="auto" w:frame="1"/>
          </w:rPr>
          <w:t>manual_para_el_manejo_de_acuerdos_comerciales_vf.pdf</w:t>
        </w:r>
      </w:hyperlink>
    </w:p>
    <w:p w14:paraId="5152529D" w14:textId="77777777" w:rsidR="007709BF" w:rsidRDefault="007709BF" w:rsidP="007709BF">
      <w:pPr>
        <w:spacing w:after="120" w:line="276" w:lineRule="auto"/>
        <w:jc w:val="both"/>
        <w:rPr>
          <w:rFonts w:ascii="Verdana" w:hAnsi="Verdana"/>
          <w:color w:val="000000"/>
          <w:bdr w:val="none" w:sz="0" w:space="0" w:color="auto" w:frame="1"/>
        </w:rPr>
      </w:pPr>
    </w:p>
    <w:p w14:paraId="5152529E" w14:textId="77777777" w:rsidR="007709BF" w:rsidRPr="00CE3EBE" w:rsidRDefault="007709BF" w:rsidP="007709BF">
      <w:pPr>
        <w:spacing w:after="120" w:line="276" w:lineRule="auto"/>
        <w:jc w:val="both"/>
        <w:rPr>
          <w:rFonts w:ascii="Verdana" w:hAnsi="Verdana"/>
          <w:color w:val="000000"/>
          <w:bdr w:val="none" w:sz="0" w:space="0" w:color="auto" w:frame="1"/>
        </w:rPr>
      </w:pPr>
      <w:r w:rsidRPr="00CE3EBE">
        <w:rPr>
          <w:rFonts w:ascii="Verdana" w:hAnsi="Verdana"/>
          <w:color w:val="000000"/>
          <w:bdr w:val="none" w:sz="0" w:space="0" w:color="auto" w:frame="1"/>
        </w:rPr>
        <w:t>De otra parte, te contamos que ya publicamos el borrador de la nueva Guía para Incentivar la Participación de Mujeres en el Sistema de Compras y Contratación Pública. Conoce el documento y realiza tus comentarios hasta el 2 de diciembre de 2024</w:t>
      </w:r>
      <w:r w:rsidRPr="00CE3EBE">
        <w:rPr>
          <w:rFonts w:ascii="Verdana" w:hAnsi="Verdana"/>
          <w:b/>
          <w:bCs/>
          <w:color w:val="000000"/>
          <w:bdr w:val="none" w:sz="0" w:space="0" w:color="auto" w:frame="1"/>
        </w:rPr>
        <w:t> </w:t>
      </w:r>
      <w:r w:rsidRPr="00CE3EBE">
        <w:rPr>
          <w:rFonts w:ascii="Verdana" w:hAnsi="Verdana"/>
          <w:color w:val="000000"/>
          <w:bdr w:val="none" w:sz="0" w:space="0" w:color="auto" w:frame="1"/>
        </w:rPr>
        <w:t>a través de estos enlaces:</w:t>
      </w:r>
    </w:p>
    <w:p w14:paraId="5152529F" w14:textId="77777777" w:rsidR="007709BF" w:rsidRPr="00CE3EBE" w:rsidRDefault="007709BF" w:rsidP="007709BF">
      <w:pPr>
        <w:numPr>
          <w:ilvl w:val="0"/>
          <w:numId w:val="6"/>
        </w:numPr>
        <w:spacing w:after="120" w:line="276" w:lineRule="auto"/>
        <w:jc w:val="both"/>
        <w:rPr>
          <w:rFonts w:ascii="Verdana" w:hAnsi="Verdana"/>
          <w:color w:val="000000"/>
          <w:bdr w:val="none" w:sz="0" w:space="0" w:color="auto" w:frame="1"/>
        </w:rPr>
      </w:pPr>
      <w:r w:rsidRPr="00CE3EBE">
        <w:rPr>
          <w:rFonts w:ascii="Verdana" w:hAnsi="Verdana"/>
          <w:color w:val="000000"/>
          <w:bdr w:val="none" w:sz="0" w:space="0" w:color="auto" w:frame="1"/>
        </w:rPr>
        <w:t>Enlace página ANCP-CCE: </w:t>
      </w:r>
      <w:hyperlink r:id="rId15" w:tgtFrame="_blank" w:tooltip="Dirección URL original: https://www.colombiacompra.gov.co/content/convocatorias. Haga clic o pulse si confía en este vínculo." w:history="1">
        <w:r w:rsidRPr="00CE3EBE">
          <w:rPr>
            <w:rStyle w:val="Hipervnculo"/>
            <w:rFonts w:ascii="Verdana" w:hAnsi="Verdana"/>
            <w:bdr w:val="none" w:sz="0" w:space="0" w:color="auto" w:frame="1"/>
          </w:rPr>
          <w:t>https://www.colombiacompra.gov.co/content/convocatorias</w:t>
        </w:r>
      </w:hyperlink>
    </w:p>
    <w:p w14:paraId="515252A0" w14:textId="77777777" w:rsidR="007709BF" w:rsidRPr="00A92DE0" w:rsidRDefault="007709BF" w:rsidP="007709BF">
      <w:pPr>
        <w:numPr>
          <w:ilvl w:val="0"/>
          <w:numId w:val="6"/>
        </w:numPr>
        <w:spacing w:after="120" w:line="276" w:lineRule="auto"/>
        <w:jc w:val="both"/>
        <w:rPr>
          <w:rFonts w:ascii="Verdana" w:hAnsi="Verdana"/>
          <w:color w:val="000000"/>
          <w:bdr w:val="none" w:sz="0" w:space="0" w:color="auto" w:frame="1"/>
          <w:lang w:val="en-US"/>
        </w:rPr>
      </w:pPr>
      <w:r w:rsidRPr="00A92DE0">
        <w:rPr>
          <w:rFonts w:ascii="Verdana" w:hAnsi="Verdana"/>
          <w:color w:val="000000"/>
          <w:bdr w:val="none" w:sz="0" w:space="0" w:color="auto" w:frame="1"/>
          <w:lang w:val="en-US"/>
        </w:rPr>
        <w:lastRenderedPageBreak/>
        <w:t>Enlace SUCOP:  </w:t>
      </w:r>
      <w:hyperlink r:id="rId16" w:tgtFrame="_blank" w:tooltip="Dirección URL original: https://www.sucop.gov.co/entidades/colombiacompra/Normativa?IDNorma=19201. Haga clic o pulse si confía en este vínculo." w:history="1">
        <w:r w:rsidRPr="00A92DE0">
          <w:rPr>
            <w:rStyle w:val="Hipervnculo"/>
            <w:rFonts w:ascii="Verdana" w:hAnsi="Verdana"/>
            <w:bdr w:val="none" w:sz="0" w:space="0" w:color="auto" w:frame="1"/>
            <w:lang w:val="en-US"/>
          </w:rPr>
          <w:t>https://www.sucop.gov.co/entidades/colombiacompra/Normativa?IDNorma=19201</w:t>
        </w:r>
      </w:hyperlink>
    </w:p>
    <w:p w14:paraId="515252A1" w14:textId="77777777" w:rsidR="007709BF" w:rsidRPr="00A92DE0" w:rsidRDefault="007709BF" w:rsidP="007709BF">
      <w:pPr>
        <w:spacing w:after="120" w:line="276" w:lineRule="auto"/>
        <w:jc w:val="both"/>
        <w:rPr>
          <w:rFonts w:ascii="Verdana" w:hAnsi="Verdana"/>
          <w:color w:val="000000"/>
          <w:bdr w:val="none" w:sz="0" w:space="0" w:color="auto" w:frame="1"/>
          <w:lang w:val="en-US"/>
        </w:rPr>
      </w:pPr>
      <w:r w:rsidRPr="00A92DE0">
        <w:rPr>
          <w:rFonts w:ascii="Verdana" w:hAnsi="Verdana"/>
          <w:color w:val="000000"/>
          <w:bdr w:val="none" w:sz="0" w:space="0" w:color="auto" w:frame="1"/>
          <w:lang w:val="en-US"/>
        </w:rPr>
        <w:t> </w:t>
      </w:r>
    </w:p>
    <w:p w14:paraId="515252A2" w14:textId="77777777" w:rsidR="007709BF" w:rsidRPr="00CE3EBE" w:rsidRDefault="007709BF" w:rsidP="007709BF">
      <w:pPr>
        <w:spacing w:after="120" w:line="276" w:lineRule="auto"/>
        <w:jc w:val="both"/>
        <w:rPr>
          <w:rFonts w:ascii="Verdana" w:hAnsi="Verdana"/>
          <w:color w:val="000000"/>
          <w:bdr w:val="none" w:sz="0" w:space="0" w:color="auto" w:frame="1"/>
        </w:rPr>
      </w:pPr>
      <w:r w:rsidRPr="00CE3EBE">
        <w:rPr>
          <w:rFonts w:ascii="Verdana" w:hAnsi="Verdana"/>
          <w:color w:val="000000"/>
          <w:bdr w:val="none" w:sz="0" w:space="0" w:color="auto" w:frame="1"/>
        </w:rPr>
        <w:t>También le invitamos a consultar la versión VII  de 2024 , del Boletín de Relatoría de la Subdirección de Gestión Contractual relacionado con las ASOCIACIONES PÚBLICO POPULARES , el cual se puede descargar en la página web de la Agencia: </w:t>
      </w:r>
      <w:hyperlink r:id="rId17" w:tgtFrame="_blank" w:tooltip="Dirección URL original: https://www.colombiacompra.gov.co/sala-de-prensa/boletin-digital. Haga clic o pulse si confía en este vínculo." w:history="1">
        <w:r w:rsidRPr="00CE3EBE">
          <w:rPr>
            <w:rStyle w:val="Hipervnculo"/>
            <w:rFonts w:ascii="Verdana" w:hAnsi="Verdana"/>
            <w:bdr w:val="none" w:sz="0" w:space="0" w:color="auto" w:frame="1"/>
          </w:rPr>
          <w:t>https://www.colombiacompra.gov.co/sala-de-prensa/boletin-digital</w:t>
        </w:r>
      </w:hyperlink>
      <w:r w:rsidRPr="00CE3EBE">
        <w:rPr>
          <w:rFonts w:ascii="Verdana" w:hAnsi="Verdana"/>
          <w:color w:val="000000"/>
          <w:bdr w:val="none" w:sz="0" w:space="0" w:color="auto" w:frame="1"/>
        </w:rPr>
        <w:t> </w:t>
      </w:r>
    </w:p>
    <w:p w14:paraId="515252A3" w14:textId="77777777" w:rsidR="007709BF" w:rsidRPr="00F938DD" w:rsidRDefault="007709BF" w:rsidP="007709BF">
      <w:pPr>
        <w:widowControl w:val="0"/>
        <w:autoSpaceDE w:val="0"/>
        <w:autoSpaceDN w:val="0"/>
        <w:spacing w:after="0" w:line="276" w:lineRule="auto"/>
        <w:jc w:val="both"/>
        <w:rPr>
          <w:rFonts w:ascii="Verdana" w:hAnsi="Verdana"/>
        </w:rPr>
      </w:pPr>
      <w:r>
        <w:rPr>
          <w:rFonts w:ascii="Verdana" w:hAnsi="Verdana"/>
        </w:rPr>
        <w:br/>
      </w:r>
    </w:p>
    <w:p w14:paraId="515252A4" w14:textId="77777777" w:rsidR="007709BF" w:rsidRPr="00F938DD" w:rsidRDefault="007709BF" w:rsidP="007709BF">
      <w:pPr>
        <w:spacing w:after="0" w:line="240" w:lineRule="auto"/>
        <w:jc w:val="both"/>
        <w:rPr>
          <w:rFonts w:ascii="Verdana" w:hAnsi="Verdana"/>
        </w:rPr>
      </w:pPr>
      <w:r w:rsidRPr="00F938DD">
        <w:rPr>
          <w:rFonts w:ascii="Verdana" w:hAnsi="Verdana"/>
        </w:rPr>
        <w:t xml:space="preserve">Por último, lo invitamos a seguirnos en las redes sociales en las cuales se difunde información institucional: </w:t>
      </w:r>
    </w:p>
    <w:p w14:paraId="515252A5" w14:textId="77777777" w:rsidR="007709BF" w:rsidRPr="00F938DD" w:rsidRDefault="007709BF" w:rsidP="007709BF">
      <w:pPr>
        <w:spacing w:after="0" w:line="240" w:lineRule="auto"/>
        <w:jc w:val="both"/>
        <w:rPr>
          <w:rFonts w:ascii="Verdana" w:hAnsi="Verdana"/>
        </w:rPr>
      </w:pPr>
    </w:p>
    <w:p w14:paraId="515252A6" w14:textId="77777777" w:rsidR="007709BF" w:rsidRPr="00F938DD" w:rsidRDefault="007709BF" w:rsidP="007709BF">
      <w:pPr>
        <w:spacing w:after="0" w:line="240" w:lineRule="auto"/>
        <w:jc w:val="both"/>
        <w:rPr>
          <w:rFonts w:ascii="Verdana" w:hAnsi="Verdana"/>
        </w:rPr>
      </w:pPr>
      <w:r w:rsidRPr="00F938DD">
        <w:rPr>
          <w:rFonts w:ascii="Verdana" w:hAnsi="Verdana"/>
        </w:rPr>
        <w:t xml:space="preserve">Twitter: </w:t>
      </w:r>
      <w:r w:rsidRPr="00F938DD">
        <w:rPr>
          <w:rStyle w:val="Hipervnculo"/>
          <w:rFonts w:ascii="Verdana" w:hAnsi="Verdana"/>
          <w:color w:val="4472C4" w:themeColor="accent1"/>
        </w:rPr>
        <w:t>@colombiacompra</w:t>
      </w:r>
      <w:r w:rsidRPr="00F938DD">
        <w:rPr>
          <w:rFonts w:ascii="Verdana" w:hAnsi="Verdana"/>
          <w:color w:val="4472C4" w:themeColor="accent1"/>
        </w:rPr>
        <w:t xml:space="preserve"> </w:t>
      </w:r>
    </w:p>
    <w:p w14:paraId="515252A7" w14:textId="77777777" w:rsidR="007709BF" w:rsidRPr="00F938DD" w:rsidRDefault="007709BF" w:rsidP="007709BF">
      <w:pPr>
        <w:spacing w:after="0" w:line="240" w:lineRule="auto"/>
        <w:jc w:val="both"/>
        <w:rPr>
          <w:rFonts w:ascii="Verdana" w:hAnsi="Verdana"/>
        </w:rPr>
      </w:pPr>
      <w:r w:rsidRPr="00F938DD">
        <w:rPr>
          <w:rFonts w:ascii="Verdana" w:hAnsi="Verdana"/>
        </w:rPr>
        <w:t xml:space="preserve">Facebook: </w:t>
      </w:r>
      <w:r w:rsidRPr="00F938DD">
        <w:rPr>
          <w:rStyle w:val="Hipervnculo"/>
          <w:rFonts w:ascii="Verdana" w:hAnsi="Verdana"/>
          <w:color w:val="4472C4" w:themeColor="accent1"/>
        </w:rPr>
        <w:t>ColombiaCompraEficiente</w:t>
      </w:r>
    </w:p>
    <w:p w14:paraId="515252A8" w14:textId="77777777" w:rsidR="007709BF" w:rsidRPr="00F938DD" w:rsidRDefault="007709BF" w:rsidP="007709BF">
      <w:pPr>
        <w:spacing w:after="0" w:line="240" w:lineRule="auto"/>
        <w:jc w:val="both"/>
        <w:rPr>
          <w:rFonts w:ascii="Verdana" w:hAnsi="Verdana"/>
        </w:rPr>
      </w:pPr>
      <w:r w:rsidRPr="00F938DD">
        <w:rPr>
          <w:rFonts w:ascii="Verdana" w:hAnsi="Verdana"/>
        </w:rPr>
        <w:t xml:space="preserve">LinkedIn: </w:t>
      </w:r>
      <w:r w:rsidRPr="00F938DD">
        <w:rPr>
          <w:rStyle w:val="Hipervnculo"/>
          <w:rFonts w:ascii="Verdana" w:hAnsi="Verdana"/>
          <w:color w:val="4472C4" w:themeColor="accent1"/>
        </w:rPr>
        <w:t>Agencia Nacional de Contratación Pública - Colombia Compra Eficiente</w:t>
      </w:r>
      <w:r w:rsidRPr="00F938DD">
        <w:rPr>
          <w:rFonts w:ascii="Verdana" w:hAnsi="Verdana"/>
          <w:color w:val="4472C4" w:themeColor="accent1"/>
        </w:rPr>
        <w:t xml:space="preserve"> </w:t>
      </w:r>
      <w:r w:rsidRPr="00F938DD">
        <w:rPr>
          <w:rFonts w:ascii="Verdana" w:hAnsi="Verdana"/>
        </w:rPr>
        <w:t xml:space="preserve">Instagram: </w:t>
      </w:r>
      <w:r w:rsidRPr="00F938DD">
        <w:rPr>
          <w:rStyle w:val="Hipervnculo"/>
          <w:rFonts w:ascii="Verdana" w:hAnsi="Verdana"/>
          <w:color w:val="4472C4" w:themeColor="accent1"/>
        </w:rPr>
        <w:t>@colombiacompraeficiente_cce</w:t>
      </w:r>
    </w:p>
    <w:p w14:paraId="515252A9" w14:textId="77777777" w:rsidR="007709BF" w:rsidRPr="00AB152A" w:rsidRDefault="007709BF" w:rsidP="007709BF">
      <w:pPr>
        <w:widowControl w:val="0"/>
        <w:autoSpaceDE w:val="0"/>
        <w:autoSpaceDN w:val="0"/>
        <w:spacing w:after="0" w:line="276" w:lineRule="auto"/>
        <w:jc w:val="both"/>
        <w:rPr>
          <w:rFonts w:ascii="Verdana" w:hAnsi="Verdana" w:cs="Arial"/>
          <w:lang w:val="es-ES_tradnl"/>
        </w:rPr>
      </w:pPr>
    </w:p>
    <w:p w14:paraId="515252AA" w14:textId="77777777" w:rsidR="007709BF" w:rsidRPr="00593A5F" w:rsidRDefault="007709BF" w:rsidP="007709BF">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515252AB" w14:textId="77777777" w:rsidR="007709BF" w:rsidRPr="00593A5F" w:rsidRDefault="007709BF" w:rsidP="007709BF">
      <w:pPr>
        <w:widowControl w:val="0"/>
        <w:autoSpaceDE w:val="0"/>
        <w:autoSpaceDN w:val="0"/>
        <w:spacing w:after="0" w:line="276" w:lineRule="auto"/>
        <w:jc w:val="both"/>
        <w:rPr>
          <w:rFonts w:ascii="Verdana" w:hAnsi="Verdana" w:cs="Arial"/>
        </w:rPr>
      </w:pPr>
    </w:p>
    <w:p w14:paraId="515252AC" w14:textId="77777777" w:rsidR="007709BF" w:rsidRPr="00593A5F" w:rsidRDefault="007709BF" w:rsidP="007709BF">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515252AD" w14:textId="77777777" w:rsidR="007709BF" w:rsidRPr="00593A5F" w:rsidRDefault="00390BD4" w:rsidP="007709BF">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515252BD" wp14:editId="515252BE">
            <wp:extent cx="3379548" cy="1450860"/>
            <wp:effectExtent l="0" t="0" r="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396794" cy="1458264"/>
                    </a:xfrm>
                    <a:prstGeom prst="rect">
                      <a:avLst/>
                    </a:prstGeom>
                  </pic:spPr>
                </pic:pic>
              </a:graphicData>
            </a:graphic>
          </wp:inline>
        </w:drawing>
      </w: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7709BF" w:rsidRPr="0011467B" w14:paraId="515252B1" w14:textId="77777777" w:rsidTr="00C77973">
        <w:trPr>
          <w:trHeight w:val="409"/>
        </w:trPr>
        <w:tc>
          <w:tcPr>
            <w:tcW w:w="913" w:type="dxa"/>
            <w:tcBorders>
              <w:top w:val="nil"/>
              <w:left w:val="nil"/>
              <w:bottom w:val="nil"/>
              <w:right w:val="nil"/>
            </w:tcBorders>
            <w:vAlign w:val="center"/>
            <w:hideMark/>
          </w:tcPr>
          <w:p w14:paraId="515252AE" w14:textId="77777777" w:rsidR="007709BF" w:rsidRPr="0011467B" w:rsidRDefault="007709BF" w:rsidP="00C77973">
            <w:pPr>
              <w:spacing w:after="0"/>
              <w:jc w:val="both"/>
              <w:rPr>
                <w:rFonts w:ascii="Verdana" w:hAnsi="Verdana" w:cs="Arial"/>
                <w:sz w:val="16"/>
                <w:szCs w:val="16"/>
              </w:rPr>
            </w:pPr>
            <w:r w:rsidRPr="0011467B">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515252AF" w14:textId="77777777" w:rsidR="007709BF" w:rsidRPr="0011467B" w:rsidRDefault="007709BF" w:rsidP="00C77973">
            <w:pPr>
              <w:spacing w:after="0"/>
              <w:jc w:val="both"/>
              <w:rPr>
                <w:rFonts w:ascii="Verdana" w:hAnsi="Verdana" w:cs="Arial"/>
                <w:sz w:val="16"/>
                <w:szCs w:val="16"/>
              </w:rPr>
            </w:pPr>
            <w:proofErr w:type="spellStart"/>
            <w:r w:rsidRPr="0011467B">
              <w:rPr>
                <w:rFonts w:ascii="Verdana" w:hAnsi="Verdana" w:cs="Arial"/>
                <w:sz w:val="16"/>
                <w:szCs w:val="16"/>
              </w:rPr>
              <w:t>Jhonattan</w:t>
            </w:r>
            <w:proofErr w:type="spellEnd"/>
            <w:r w:rsidRPr="0011467B">
              <w:rPr>
                <w:rFonts w:ascii="Verdana" w:hAnsi="Verdana" w:cs="Arial"/>
                <w:sz w:val="16"/>
                <w:szCs w:val="16"/>
              </w:rPr>
              <w:t xml:space="preserve"> </w:t>
            </w:r>
            <w:proofErr w:type="spellStart"/>
            <w:r w:rsidRPr="0011467B">
              <w:rPr>
                <w:rFonts w:ascii="Verdana" w:hAnsi="Verdana" w:cs="Arial"/>
                <w:sz w:val="16"/>
                <w:szCs w:val="16"/>
              </w:rPr>
              <w:t>Gualdrón</w:t>
            </w:r>
            <w:proofErr w:type="spellEnd"/>
            <w:r w:rsidRPr="0011467B">
              <w:rPr>
                <w:rFonts w:ascii="Verdana" w:hAnsi="Verdana" w:cs="Arial"/>
                <w:sz w:val="16"/>
                <w:szCs w:val="16"/>
              </w:rPr>
              <w:t xml:space="preserve"> Salazar</w:t>
            </w:r>
          </w:p>
          <w:p w14:paraId="515252B0" w14:textId="77777777" w:rsidR="007709BF" w:rsidRPr="0011467B" w:rsidRDefault="007709BF" w:rsidP="00C77973">
            <w:pPr>
              <w:spacing w:after="0"/>
              <w:jc w:val="both"/>
              <w:rPr>
                <w:rFonts w:ascii="Verdana" w:hAnsi="Verdana" w:cs="Arial"/>
                <w:sz w:val="16"/>
                <w:szCs w:val="16"/>
              </w:rPr>
            </w:pPr>
            <w:r w:rsidRPr="0011467B">
              <w:rPr>
                <w:rFonts w:ascii="Verdana" w:hAnsi="Verdana" w:cs="Arial"/>
                <w:sz w:val="16"/>
                <w:szCs w:val="16"/>
              </w:rPr>
              <w:t>Contratista de la Subdirección de Gestión Contractual</w:t>
            </w:r>
          </w:p>
        </w:tc>
      </w:tr>
      <w:tr w:rsidR="007709BF" w:rsidRPr="0011467B" w14:paraId="515252B5" w14:textId="77777777" w:rsidTr="00C77973">
        <w:trPr>
          <w:trHeight w:val="409"/>
        </w:trPr>
        <w:tc>
          <w:tcPr>
            <w:tcW w:w="913" w:type="dxa"/>
            <w:tcBorders>
              <w:top w:val="nil"/>
              <w:left w:val="nil"/>
              <w:right w:val="nil"/>
            </w:tcBorders>
            <w:vAlign w:val="center"/>
          </w:tcPr>
          <w:p w14:paraId="515252B2" w14:textId="77777777" w:rsidR="007709BF" w:rsidRPr="0011467B" w:rsidRDefault="007709BF" w:rsidP="00C77973">
            <w:pPr>
              <w:spacing w:after="0"/>
              <w:jc w:val="both"/>
              <w:rPr>
                <w:rFonts w:ascii="Verdana" w:hAnsi="Verdana" w:cs="Arial"/>
                <w:sz w:val="16"/>
                <w:szCs w:val="16"/>
              </w:rPr>
            </w:pPr>
            <w:r w:rsidRPr="0011467B">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515252B3" w14:textId="77777777" w:rsidR="007709BF" w:rsidRPr="00AB11C1" w:rsidRDefault="007709BF" w:rsidP="00C77973">
            <w:pPr>
              <w:spacing w:after="0"/>
              <w:rPr>
                <w:rStyle w:val="normaltextrun"/>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X</w:t>
            </w:r>
            <w:r w:rsidRPr="00101F51">
              <w:rPr>
                <w:rStyle w:val="normaltextrun"/>
                <w:rFonts w:ascii="Verdana" w:eastAsia="Arial" w:hAnsi="Verdana" w:cs="Arial"/>
                <w:color w:val="000000" w:themeColor="text1"/>
                <w:sz w:val="16"/>
                <w:szCs w:val="16"/>
              </w:rPr>
              <w:t>imen</w:t>
            </w:r>
            <w:r w:rsidRPr="00AB11C1">
              <w:rPr>
                <w:rStyle w:val="normaltextrun"/>
                <w:rFonts w:ascii="Verdana" w:eastAsia="Arial" w:hAnsi="Verdana" w:cs="Arial"/>
                <w:color w:val="000000" w:themeColor="text1"/>
                <w:sz w:val="16"/>
                <w:szCs w:val="16"/>
              </w:rPr>
              <w:t>a Ríos López</w:t>
            </w:r>
          </w:p>
          <w:p w14:paraId="515252B4" w14:textId="77777777" w:rsidR="007709BF" w:rsidRPr="0011467B" w:rsidRDefault="007709BF" w:rsidP="00C77973">
            <w:pPr>
              <w:spacing w:after="0"/>
              <w:jc w:val="both"/>
              <w:rPr>
                <w:rFonts w:ascii="Verdana" w:hAnsi="Verdana" w:cs="Arial"/>
                <w:sz w:val="16"/>
                <w:szCs w:val="16"/>
              </w:rPr>
            </w:pPr>
            <w:r w:rsidRPr="00AB11C1">
              <w:rPr>
                <w:rStyle w:val="normaltextrun"/>
                <w:rFonts w:ascii="Verdana" w:eastAsia="Arial" w:hAnsi="Verdana" w:cs="Arial"/>
                <w:color w:val="000000" w:themeColor="text1"/>
                <w:sz w:val="16"/>
                <w:szCs w:val="16"/>
              </w:rPr>
              <w:t>Gestor código T1 grado 11 de la Subdirección de Gestión Contractual</w:t>
            </w:r>
          </w:p>
        </w:tc>
      </w:tr>
      <w:tr w:rsidR="007709BF" w:rsidRPr="0011467B" w14:paraId="515252B9" w14:textId="77777777" w:rsidTr="00C77973">
        <w:trPr>
          <w:trHeight w:val="389"/>
        </w:trPr>
        <w:tc>
          <w:tcPr>
            <w:tcW w:w="913" w:type="dxa"/>
            <w:tcBorders>
              <w:top w:val="nil"/>
              <w:left w:val="nil"/>
              <w:bottom w:val="nil"/>
              <w:right w:val="nil"/>
            </w:tcBorders>
            <w:vAlign w:val="center"/>
            <w:hideMark/>
          </w:tcPr>
          <w:p w14:paraId="515252B6" w14:textId="77777777" w:rsidR="007709BF" w:rsidRPr="0011467B" w:rsidRDefault="007709BF" w:rsidP="00C77973">
            <w:pPr>
              <w:spacing w:after="0"/>
              <w:jc w:val="both"/>
              <w:rPr>
                <w:rFonts w:ascii="Verdana" w:hAnsi="Verdana" w:cs="Arial"/>
                <w:sz w:val="16"/>
                <w:szCs w:val="16"/>
              </w:rPr>
            </w:pPr>
            <w:r w:rsidRPr="0011467B">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515252B7" w14:textId="77777777" w:rsidR="007709BF" w:rsidRPr="0011467B" w:rsidRDefault="007709BF" w:rsidP="00C77973">
            <w:pPr>
              <w:spacing w:after="0"/>
              <w:rPr>
                <w:rFonts w:ascii="Verdana" w:eastAsia="Calibri" w:hAnsi="Verdana" w:cs="Arial"/>
                <w:sz w:val="16"/>
                <w:szCs w:val="16"/>
                <w:lang w:val="pt-BR" w:eastAsia="es-ES"/>
              </w:rPr>
            </w:pPr>
            <w:r w:rsidRPr="0011467B">
              <w:rPr>
                <w:rFonts w:ascii="Verdana" w:eastAsia="Calibri" w:hAnsi="Verdana" w:cs="Arial"/>
                <w:sz w:val="16"/>
                <w:szCs w:val="16"/>
                <w:lang w:val="pt-BR" w:eastAsia="es-ES"/>
              </w:rPr>
              <w:t>Carolina Quintero Gacharná</w:t>
            </w:r>
          </w:p>
          <w:p w14:paraId="515252B8" w14:textId="77777777" w:rsidR="007709BF" w:rsidRPr="0011467B" w:rsidRDefault="007709BF" w:rsidP="00C77973">
            <w:pPr>
              <w:spacing w:after="0"/>
              <w:jc w:val="both"/>
              <w:rPr>
                <w:rFonts w:ascii="Verdana" w:hAnsi="Verdana" w:cs="Arial"/>
                <w:sz w:val="16"/>
                <w:szCs w:val="16"/>
              </w:rPr>
            </w:pPr>
            <w:r w:rsidRPr="0011467B">
              <w:rPr>
                <w:rFonts w:ascii="Verdana" w:hAnsi="Verdana" w:cs="Arial"/>
                <w:sz w:val="16"/>
                <w:szCs w:val="16"/>
              </w:rPr>
              <w:t>Subdirectora de Gestión Contractual ANCP – CCE</w:t>
            </w:r>
          </w:p>
        </w:tc>
      </w:tr>
    </w:tbl>
    <w:p w14:paraId="515252BA" w14:textId="77777777" w:rsidR="00E32076" w:rsidRPr="007709BF" w:rsidRDefault="00E32076" w:rsidP="007709BF"/>
    <w:sectPr w:rsidR="00E32076" w:rsidRPr="007709BF"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52C1" w14:textId="77777777" w:rsidR="00612E02" w:rsidRDefault="00612E02" w:rsidP="00FB5A88">
      <w:pPr>
        <w:spacing w:after="0" w:line="240" w:lineRule="auto"/>
      </w:pPr>
      <w:r>
        <w:separator/>
      </w:r>
    </w:p>
  </w:endnote>
  <w:endnote w:type="continuationSeparator" w:id="0">
    <w:p w14:paraId="515252C2" w14:textId="77777777" w:rsidR="00612E02" w:rsidRDefault="00612E02" w:rsidP="00FB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52C8" w14:textId="77777777" w:rsidR="00E32076" w:rsidRDefault="00E32076">
    <w:pPr>
      <w:pStyle w:val="Piedepgina"/>
    </w:pPr>
  </w:p>
  <w:p w14:paraId="515252C9" w14:textId="77777777" w:rsidR="00E32076" w:rsidRPr="00174B77" w:rsidRDefault="0019522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515252CA" w14:textId="77777777" w:rsidR="00E32076" w:rsidRDefault="0019522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515252CB" w14:textId="77777777" w:rsidR="00E32076" w:rsidRPr="00E41027" w:rsidRDefault="00195222" w:rsidP="00D520D8">
    <w:pPr>
      <w:spacing w:after="0"/>
      <w:jc w:val="both"/>
      <w:rPr>
        <w:rFonts w:ascii="Verdana" w:hAnsi="Verdana"/>
        <w:sz w:val="18"/>
        <w:szCs w:val="18"/>
      </w:rPr>
    </w:pPr>
    <w:r w:rsidRPr="00E41027">
      <w:rPr>
        <w:rFonts w:ascii="Verdana" w:hAnsi="Verdana"/>
        <w:sz w:val="18"/>
        <w:szCs w:val="18"/>
      </w:rPr>
      <w:t>Mesa de servicio: (+57) 601 7456788</w:t>
    </w:r>
  </w:p>
  <w:p w14:paraId="515252CC" w14:textId="77777777" w:rsidR="00E32076" w:rsidRDefault="0019522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252BF" w14:textId="77777777" w:rsidR="00612E02" w:rsidRDefault="00612E02" w:rsidP="00FB5A88">
      <w:pPr>
        <w:spacing w:after="0" w:line="240" w:lineRule="auto"/>
      </w:pPr>
      <w:r>
        <w:separator/>
      </w:r>
    </w:p>
  </w:footnote>
  <w:footnote w:type="continuationSeparator" w:id="0">
    <w:p w14:paraId="515252C0" w14:textId="77777777" w:rsidR="00612E02" w:rsidRDefault="00612E02" w:rsidP="00FB5A88">
      <w:pPr>
        <w:spacing w:after="0" w:line="240" w:lineRule="auto"/>
      </w:pPr>
      <w:r>
        <w:continuationSeparator/>
      </w:r>
    </w:p>
  </w:footnote>
  <w:footnote w:id="1">
    <w:p w14:paraId="515252D1" w14:textId="77777777" w:rsidR="007709BF" w:rsidRPr="00ED3142" w:rsidRDefault="007709BF" w:rsidP="007709BF">
      <w:pPr>
        <w:pStyle w:val="Textonotapie"/>
        <w:ind w:firstLine="708"/>
        <w:rPr>
          <w:rFonts w:ascii="Arial" w:hAnsi="Arial" w:cs="Arial"/>
          <w:sz w:val="18"/>
          <w:szCs w:val="18"/>
          <w:lang w:val="es-ES"/>
        </w:rPr>
      </w:pPr>
      <w:r w:rsidRPr="00ED3142">
        <w:rPr>
          <w:rStyle w:val="Refdenotaalpie"/>
          <w:rFonts w:ascii="Arial" w:hAnsi="Arial" w:cs="Arial"/>
          <w:sz w:val="18"/>
          <w:szCs w:val="18"/>
        </w:rPr>
        <w:footnoteRef/>
      </w:r>
      <w:r w:rsidRPr="00ED3142">
        <w:rPr>
          <w:rFonts w:ascii="Arial" w:hAnsi="Arial" w:cs="Arial"/>
          <w:sz w:val="18"/>
          <w:szCs w:val="18"/>
        </w:rPr>
        <w:t xml:space="preserve"> </w:t>
      </w:r>
      <w:r w:rsidRPr="00ED3142">
        <w:rPr>
          <w:rFonts w:ascii="Arial" w:hAnsi="Arial" w:cs="Arial"/>
          <w:sz w:val="18"/>
          <w:szCs w:val="18"/>
          <w:lang w:val="es-ES"/>
        </w:rPr>
        <w:t>Consejo de Estado. Sala de Consulta y Servicio Civil. Concepto del 20 de mayo de 2010. No. de Radicado: 11001-03-06-000-2010-00034-00(1992). C.P. Enrique José Arboleda Perdomo</w:t>
      </w:r>
      <w:r>
        <w:rPr>
          <w:rFonts w:ascii="Arial" w:hAnsi="Arial" w:cs="Arial"/>
          <w:sz w:val="18"/>
          <w:szCs w:val="18"/>
          <w:lang w:val="es-ES"/>
        </w:rPr>
        <w:t>.</w:t>
      </w:r>
    </w:p>
  </w:footnote>
  <w:footnote w:id="2">
    <w:p w14:paraId="515252D2" w14:textId="77777777" w:rsidR="007709BF" w:rsidRPr="00ED3142" w:rsidRDefault="007709BF" w:rsidP="007709BF">
      <w:pPr>
        <w:pStyle w:val="Textonotapie"/>
        <w:ind w:firstLine="708"/>
        <w:rPr>
          <w:rFonts w:ascii="Arial" w:hAnsi="Arial" w:cs="Arial"/>
          <w:sz w:val="18"/>
          <w:szCs w:val="18"/>
          <w:lang w:val="es-ES"/>
        </w:rPr>
      </w:pPr>
      <w:r w:rsidRPr="00ED3142">
        <w:rPr>
          <w:rStyle w:val="Refdenotaalpie"/>
          <w:rFonts w:ascii="Arial" w:hAnsi="Arial" w:cs="Arial"/>
          <w:sz w:val="18"/>
          <w:szCs w:val="18"/>
        </w:rPr>
        <w:footnoteRef/>
      </w:r>
      <w:r w:rsidRPr="00ED3142">
        <w:rPr>
          <w:rFonts w:ascii="Arial" w:hAnsi="Arial" w:cs="Arial"/>
          <w:sz w:val="18"/>
          <w:szCs w:val="18"/>
        </w:rPr>
        <w:t xml:space="preserve"> </w:t>
      </w:r>
      <w:r w:rsidRPr="00ED3142">
        <w:rPr>
          <w:rFonts w:ascii="Arial" w:hAnsi="Arial" w:cs="Arial"/>
          <w:sz w:val="18"/>
          <w:szCs w:val="18"/>
          <w:lang w:val="es-ES"/>
        </w:rPr>
        <w:t>Consejo de Estado. Sala de Consulta y Servicio Civil. Concepto del 20 de mayo de 2010. No. de Radicado: 11001-03-06-000-2010-00034-00(1992). C.P. Enrique José Arboleda Perdomo</w:t>
      </w:r>
      <w:r>
        <w:rPr>
          <w:rFonts w:ascii="Arial" w:hAnsi="Arial" w:cs="Arial"/>
          <w:sz w:val="18"/>
          <w:szCs w:val="18"/>
          <w:lang w:val="es-ES"/>
        </w:rPr>
        <w:t>.</w:t>
      </w:r>
    </w:p>
  </w:footnote>
  <w:footnote w:id="3">
    <w:p w14:paraId="515252D3" w14:textId="77777777" w:rsidR="007709BF" w:rsidRPr="00801108" w:rsidRDefault="007709BF" w:rsidP="007709BF">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Ley 80 de 1993. Art. 30.7: </w:t>
      </w:r>
      <w:r>
        <w:rPr>
          <w:rFonts w:ascii="Arial" w:hAnsi="Arial" w:cs="Arial"/>
          <w:color w:val="000000" w:themeColor="text1"/>
          <w:sz w:val="18"/>
          <w:szCs w:val="18"/>
        </w:rPr>
        <w:t>“</w:t>
      </w:r>
      <w:r w:rsidRPr="00801108">
        <w:rPr>
          <w:rFonts w:ascii="Arial" w:hAnsi="Arial" w:cs="Arial"/>
          <w:color w:val="000000" w:themeColor="text1"/>
          <w:sz w:val="18"/>
          <w:szCs w:val="18"/>
        </w:rPr>
        <w:t>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Pr>
          <w:rFonts w:ascii="Arial" w:hAnsi="Arial" w:cs="Arial"/>
          <w:color w:val="000000" w:themeColor="text1"/>
          <w:sz w:val="18"/>
          <w:szCs w:val="18"/>
        </w:rPr>
        <w:t>”</w:t>
      </w:r>
      <w:r w:rsidRPr="00801108">
        <w:rPr>
          <w:rFonts w:ascii="Arial" w:hAnsi="Arial" w:cs="Arial"/>
          <w:color w:val="000000" w:themeColor="text1"/>
          <w:sz w:val="18"/>
          <w:szCs w:val="18"/>
        </w:rPr>
        <w:t xml:space="preserve">. </w:t>
      </w:r>
    </w:p>
    <w:p w14:paraId="515252D4" w14:textId="77777777" w:rsidR="007709BF" w:rsidRPr="00801108" w:rsidRDefault="007709BF" w:rsidP="007709BF">
      <w:pPr>
        <w:pStyle w:val="Textonotapie"/>
        <w:ind w:firstLine="709"/>
        <w:jc w:val="both"/>
        <w:rPr>
          <w:rFonts w:ascii="Arial" w:hAnsi="Arial" w:cs="Arial"/>
          <w:color w:val="000000" w:themeColor="text1"/>
          <w:sz w:val="18"/>
          <w:szCs w:val="18"/>
        </w:rPr>
      </w:pPr>
    </w:p>
  </w:footnote>
  <w:footnote w:id="4">
    <w:p w14:paraId="515252D5" w14:textId="77777777" w:rsidR="007709BF" w:rsidRPr="00801108" w:rsidRDefault="007709BF" w:rsidP="007709BF">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Ley 80 de 1993. Art. 30.8: </w:t>
      </w:r>
      <w:r>
        <w:rPr>
          <w:rFonts w:ascii="Arial" w:hAnsi="Arial" w:cs="Arial"/>
          <w:color w:val="000000" w:themeColor="text1"/>
          <w:sz w:val="18"/>
          <w:szCs w:val="18"/>
        </w:rPr>
        <w:t>“</w:t>
      </w:r>
      <w:r w:rsidRPr="00801108">
        <w:rPr>
          <w:rFonts w:ascii="Arial" w:hAnsi="Arial" w:cs="Arial"/>
          <w:color w:val="000000" w:themeColor="text1"/>
          <w:sz w:val="18"/>
          <w:szCs w:val="18"/>
        </w:rPr>
        <w:t>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r>
        <w:rPr>
          <w:rFonts w:ascii="Arial" w:hAnsi="Arial" w:cs="Arial"/>
          <w:color w:val="000000" w:themeColor="text1"/>
          <w:sz w:val="18"/>
          <w:szCs w:val="18"/>
        </w:rPr>
        <w:t>”</w:t>
      </w:r>
      <w:r w:rsidRPr="00801108">
        <w:rPr>
          <w:rFonts w:ascii="Arial" w:hAnsi="Arial" w:cs="Arial"/>
          <w:color w:val="000000" w:themeColor="text1"/>
          <w:sz w:val="18"/>
          <w:szCs w:val="18"/>
        </w:rPr>
        <w:t>.</w:t>
      </w:r>
    </w:p>
  </w:footnote>
  <w:footnote w:id="5">
    <w:p w14:paraId="515252D6" w14:textId="77777777" w:rsidR="007709BF" w:rsidRPr="00801108" w:rsidRDefault="007709BF" w:rsidP="007709BF">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Consejo de Estado. Sección Tercera. Subsección C. Sentencia del 26 de febrero de 2014. Expediente: 25.804. Consejero Ponente: Enrique Gil Botero.</w:t>
      </w:r>
    </w:p>
  </w:footnote>
  <w:footnote w:id="6">
    <w:p w14:paraId="515252D7" w14:textId="77777777" w:rsidR="007709BF" w:rsidRPr="00E86699" w:rsidRDefault="007709BF" w:rsidP="007709BF">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vertAlign w:val="superscript"/>
        </w:rPr>
        <w:t xml:space="preserve"> </w:t>
      </w:r>
      <w:r w:rsidRPr="00E86699">
        <w:rPr>
          <w:rFonts w:ascii="Arial" w:eastAsia="Arial" w:hAnsi="Arial" w:cs="Arial"/>
          <w:color w:val="000000"/>
          <w:sz w:val="19"/>
          <w:szCs w:val="19"/>
        </w:rPr>
        <w:t xml:space="preserve">Ley 1150 de 2007, artículo 5, parágrafo 4°: </w:t>
      </w:r>
      <w:r>
        <w:rPr>
          <w:rFonts w:ascii="Arial" w:eastAsia="Arial" w:hAnsi="Arial" w:cs="Arial"/>
          <w:color w:val="000000"/>
          <w:sz w:val="19"/>
          <w:szCs w:val="19"/>
        </w:rPr>
        <w:t>“</w:t>
      </w:r>
      <w:r w:rsidRPr="00E86699">
        <w:rPr>
          <w:rFonts w:ascii="Arial" w:eastAsia="Arial" w:hAnsi="Arial" w:cs="Arial"/>
          <w:color w:val="000000"/>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r>
        <w:rPr>
          <w:rFonts w:ascii="Arial" w:eastAsia="Arial" w:hAnsi="Arial" w:cs="Arial"/>
          <w:color w:val="000000"/>
          <w:sz w:val="19"/>
          <w:szCs w:val="19"/>
        </w:rPr>
        <w:t>”</w:t>
      </w:r>
      <w:r w:rsidRPr="00E86699">
        <w:rPr>
          <w:rFonts w:ascii="Arial" w:eastAsia="Arial" w:hAnsi="Arial" w:cs="Arial"/>
          <w:color w:val="000000"/>
          <w:sz w:val="19"/>
          <w:szCs w:val="19"/>
        </w:rPr>
        <w:t>.</w:t>
      </w:r>
    </w:p>
  </w:footnote>
  <w:footnote w:id="7">
    <w:p w14:paraId="515252D8" w14:textId="77777777" w:rsidR="007709BF" w:rsidRPr="00EA29A3" w:rsidRDefault="007709BF" w:rsidP="007709BF">
      <w:pPr>
        <w:pStyle w:val="Textonotapie"/>
        <w:ind w:firstLine="708"/>
        <w:rPr>
          <w:rFonts w:ascii="Arial" w:hAnsi="Arial" w:cs="Arial"/>
          <w:color w:val="000000" w:themeColor="text1"/>
          <w:sz w:val="18"/>
          <w:szCs w:val="18"/>
          <w:lang w:val="es-ES"/>
        </w:rPr>
      </w:pPr>
      <w:r w:rsidRPr="00EA29A3">
        <w:rPr>
          <w:rFonts w:ascii="Arial" w:eastAsia="Arial" w:hAnsi="Arial" w:cs="Arial"/>
          <w:color w:val="000000" w:themeColor="text1"/>
          <w:sz w:val="18"/>
          <w:szCs w:val="18"/>
          <w:vertAlign w:val="superscript"/>
        </w:rPr>
        <w:footnoteRef/>
      </w:r>
      <w:r w:rsidRPr="00EA29A3">
        <w:rPr>
          <w:rFonts w:ascii="Arial" w:eastAsia="Arial" w:hAnsi="Arial" w:cs="Arial"/>
          <w:color w:val="000000" w:themeColor="text1"/>
          <w:sz w:val="18"/>
          <w:szCs w:val="18"/>
          <w:vertAlign w:val="superscript"/>
          <w:lang w:val="es-ES"/>
        </w:rPr>
        <w:t xml:space="preserve"> </w:t>
      </w:r>
      <w:r w:rsidRPr="00EA29A3">
        <w:rPr>
          <w:rFonts w:ascii="Arial" w:eastAsia="Arial" w:hAnsi="Arial" w:cs="Arial"/>
          <w:color w:val="000000" w:themeColor="text1"/>
          <w:sz w:val="18"/>
          <w:szCs w:val="18"/>
          <w:lang w:val="es-ES"/>
        </w:rPr>
        <w:t>Consejo de Estado. Sala de Consulta y Servicio Civil. Concepto del 20 de mayo de 2010. No. de Radicado: 11001-03-06-000-2010-00034-00(1992). C.P. Enrique José Arboleda Perdomo.</w:t>
      </w:r>
    </w:p>
    <w:p w14:paraId="515252D9" w14:textId="77777777" w:rsidR="007709BF" w:rsidRPr="00B96C0F" w:rsidRDefault="007709BF" w:rsidP="007709BF">
      <w:pPr>
        <w:pStyle w:val="Textonotapie"/>
        <w:ind w:firstLine="708"/>
        <w:rPr>
          <w:rFonts w:ascii="Arial" w:hAnsi="Arial" w:cs="Arial"/>
          <w:color w:val="000000" w:themeColor="text1"/>
          <w:sz w:val="18"/>
          <w:szCs w:val="18"/>
        </w:rPr>
      </w:pPr>
    </w:p>
  </w:footnote>
  <w:footnote w:id="8">
    <w:p w14:paraId="515252DA" w14:textId="77777777" w:rsidR="007709BF" w:rsidRPr="00A015C2" w:rsidRDefault="007709BF" w:rsidP="007709BF">
      <w:pPr>
        <w:pStyle w:val="Textonotapie"/>
        <w:ind w:firstLine="708"/>
        <w:rPr>
          <w:rFonts w:ascii="Arial" w:hAnsi="Arial" w:cs="Arial"/>
          <w:color w:val="000000" w:themeColor="text1"/>
          <w:sz w:val="18"/>
          <w:szCs w:val="18"/>
        </w:rPr>
      </w:pPr>
      <w:r w:rsidRPr="00A015C2">
        <w:rPr>
          <w:rStyle w:val="Refdenotaalpie"/>
          <w:rFonts w:ascii="Arial" w:hAnsi="Arial" w:cs="Arial"/>
          <w:color w:val="000000" w:themeColor="text1"/>
          <w:sz w:val="18"/>
          <w:szCs w:val="18"/>
        </w:rPr>
        <w:footnoteRef/>
      </w:r>
      <w:r w:rsidRPr="00A015C2">
        <w:rPr>
          <w:rFonts w:ascii="Arial" w:hAnsi="Arial" w:cs="Arial"/>
          <w:color w:val="000000" w:themeColor="text1"/>
          <w:sz w:val="18"/>
          <w:szCs w:val="18"/>
        </w:rPr>
        <w:t xml:space="preserve"> </w:t>
      </w:r>
      <w:r w:rsidRPr="00EA29A3">
        <w:rPr>
          <w:rFonts w:ascii="Arial" w:eastAsia="Arial" w:hAnsi="Arial" w:cs="Arial"/>
          <w:color w:val="000000" w:themeColor="text1"/>
          <w:sz w:val="18"/>
          <w:szCs w:val="18"/>
          <w:lang w:val="es-ES"/>
        </w:rPr>
        <w:t>Consejo de Estado. Sala de Consulta y Servicio Civil. Concepto del 20 de mayo de 2010. No. de Radicado: 11001-03-06-000-2010-00034-00(1992). C.P. Enrique José Arboleda Perdomo.</w:t>
      </w:r>
    </w:p>
  </w:footnote>
  <w:footnote w:id="9">
    <w:p w14:paraId="515252DB" w14:textId="77777777" w:rsidR="007709BF" w:rsidRPr="00D17351" w:rsidRDefault="007709BF" w:rsidP="007709BF">
      <w:pPr>
        <w:pStyle w:val="Textonotapie"/>
        <w:ind w:firstLine="708"/>
        <w:jc w:val="both"/>
        <w:rPr>
          <w:rFonts w:ascii="Arial" w:hAnsi="Arial" w:cs="Arial"/>
          <w:sz w:val="19"/>
          <w:szCs w:val="19"/>
          <w:lang w:val="es-ES"/>
        </w:rPr>
      </w:pPr>
      <w:r w:rsidRPr="00D17351">
        <w:rPr>
          <w:rStyle w:val="Refdenotaalpie"/>
          <w:rFonts w:ascii="Arial" w:hAnsi="Arial" w:cs="Arial"/>
          <w:sz w:val="19"/>
          <w:szCs w:val="19"/>
        </w:rPr>
        <w:footnoteRef/>
      </w:r>
      <w:r w:rsidRPr="00D17351">
        <w:rPr>
          <w:rFonts w:ascii="Arial" w:hAnsi="Arial" w:cs="Arial"/>
          <w:sz w:val="19"/>
          <w:szCs w:val="19"/>
        </w:rPr>
        <w:t xml:space="preserve"> </w:t>
      </w:r>
      <w:r>
        <w:rPr>
          <w:rFonts w:ascii="Arial" w:hAnsi="Arial" w:cs="Arial"/>
          <w:sz w:val="19"/>
          <w:szCs w:val="19"/>
          <w:lang w:val="es-ES"/>
        </w:rPr>
        <w:t>El primer inciso del</w:t>
      </w:r>
      <w:r w:rsidRPr="00D17351">
        <w:rPr>
          <w:rFonts w:ascii="Arial" w:hAnsi="Arial" w:cs="Arial"/>
          <w:sz w:val="19"/>
          <w:szCs w:val="19"/>
          <w:lang w:val="es-ES"/>
        </w:rPr>
        <w:t xml:space="preserve"> </w:t>
      </w:r>
      <w:r>
        <w:rPr>
          <w:rFonts w:ascii="Arial" w:hAnsi="Arial" w:cs="Arial"/>
          <w:sz w:val="19"/>
          <w:szCs w:val="19"/>
          <w:lang w:val="es-ES"/>
        </w:rPr>
        <w:t>a</w:t>
      </w:r>
      <w:r w:rsidRPr="00D17351">
        <w:rPr>
          <w:rFonts w:ascii="Arial" w:hAnsi="Arial" w:cs="Arial"/>
          <w:sz w:val="19"/>
          <w:szCs w:val="19"/>
          <w:lang w:val="es-ES"/>
        </w:rPr>
        <w:t>rtículo 2º</w:t>
      </w:r>
      <w:r>
        <w:rPr>
          <w:rFonts w:ascii="Arial" w:hAnsi="Arial" w:cs="Arial"/>
          <w:sz w:val="19"/>
          <w:szCs w:val="19"/>
          <w:lang w:val="es-ES"/>
        </w:rPr>
        <w:t xml:space="preserve"> de la Ley 816 de 2003 dispone lo siguiente</w:t>
      </w:r>
      <w:r w:rsidRPr="00D17351">
        <w:rPr>
          <w:rFonts w:ascii="Arial" w:hAnsi="Arial" w:cs="Arial"/>
          <w:sz w:val="19"/>
          <w:szCs w:val="19"/>
          <w:lang w:val="es-ES"/>
        </w:rPr>
        <w:t xml:space="preserve">: </w:t>
      </w:r>
      <w:r>
        <w:rPr>
          <w:rFonts w:ascii="Arial" w:hAnsi="Arial" w:cs="Arial"/>
          <w:sz w:val="19"/>
          <w:szCs w:val="19"/>
          <w:lang w:val="es-ES"/>
        </w:rPr>
        <w:t>«</w:t>
      </w:r>
      <w:r w:rsidRPr="00D17351">
        <w:rPr>
          <w:rFonts w:ascii="Arial" w:hAnsi="Arial" w:cs="Arial"/>
          <w:sz w:val="19"/>
          <w:szCs w:val="19"/>
          <w:lang w:val="es-ES"/>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r>
        <w:rPr>
          <w:rFonts w:ascii="Arial" w:hAnsi="Arial" w:cs="Arial"/>
          <w:sz w:val="19"/>
          <w:szCs w:val="19"/>
          <w:lang w:val="es-ES"/>
        </w:rPr>
        <w:t xml:space="preserve">». Por su parte, </w:t>
      </w:r>
      <w:r w:rsidRPr="009139A6">
        <w:rPr>
          <w:rFonts w:ascii="Arial" w:hAnsi="Arial" w:cs="Arial"/>
          <w:sz w:val="19"/>
          <w:szCs w:val="19"/>
        </w:rPr>
        <w:t>el artículo 2.2.1.2.4.2.6 del Decreto 1082 de 2015</w:t>
      </w:r>
      <w:r>
        <w:rPr>
          <w:rFonts w:ascii="Arial" w:hAnsi="Arial" w:cs="Arial"/>
          <w:sz w:val="19"/>
          <w:szCs w:val="19"/>
        </w:rPr>
        <w:t xml:space="preserve"> prescribe que</w:t>
      </w:r>
      <w:r w:rsidRPr="00D17351">
        <w:rPr>
          <w:rFonts w:ascii="Arial" w:hAnsi="Arial" w:cs="Arial"/>
          <w:sz w:val="19"/>
          <w:szCs w:val="19"/>
        </w:rPr>
        <w:t xml:space="preserve"> </w:t>
      </w:r>
      <w:r>
        <w:rPr>
          <w:rFonts w:ascii="Arial" w:hAnsi="Arial" w:cs="Arial"/>
          <w:sz w:val="19"/>
          <w:szCs w:val="19"/>
        </w:rPr>
        <w:t>«</w:t>
      </w:r>
      <w:r w:rsidRPr="00D17351">
        <w:rPr>
          <w:rFonts w:ascii="Arial" w:hAnsi="Arial" w:cs="Arial"/>
          <w:sz w:val="19"/>
          <w:szCs w:val="19"/>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w:t>
      </w:r>
      <w:r>
        <w:rPr>
          <w:rFonts w:ascii="Arial" w:hAnsi="Arial" w:cs="Arial"/>
          <w:sz w:val="19"/>
          <w:szCs w:val="19"/>
        </w:rPr>
        <w:t xml:space="preserve"> […]».</w:t>
      </w:r>
    </w:p>
    <w:p w14:paraId="515252DC" w14:textId="77777777" w:rsidR="007709BF" w:rsidRPr="00D17351" w:rsidRDefault="007709BF" w:rsidP="007709BF">
      <w:pPr>
        <w:pStyle w:val="Textonotapie"/>
        <w:rPr>
          <w:lang w:val="es-ES"/>
        </w:rPr>
      </w:pPr>
    </w:p>
  </w:footnote>
  <w:footnote w:id="10">
    <w:p w14:paraId="515252DD" w14:textId="77777777" w:rsidR="007709BF" w:rsidRPr="00FB5A88" w:rsidRDefault="007709BF" w:rsidP="007709BF">
      <w:pPr>
        <w:pStyle w:val="Textonotapie"/>
        <w:ind w:firstLine="708"/>
        <w:jc w:val="both"/>
        <w:rPr>
          <w:lang w:val="es-ES"/>
        </w:rPr>
      </w:pPr>
      <w:r>
        <w:rPr>
          <w:rStyle w:val="Refdenotaalpie"/>
        </w:rPr>
        <w:footnoteRef/>
      </w:r>
      <w:r>
        <w:t xml:space="preserve"> </w:t>
      </w:r>
      <w:r w:rsidRPr="00FB5A88">
        <w:t>CONSEJO DE ESTADO SALA DE LO CONTENCIOSO ADMINISTRATIVO SECCIÓN TERCERA – SUBSECCIÓN</w:t>
      </w:r>
      <w:r>
        <w:t xml:space="preserve"> sentencia </w:t>
      </w:r>
      <w:r w:rsidRPr="00FB5A88">
        <w:t>de fecha dos (2) de agosto de dos mil veinticuatro (2024)</w:t>
      </w:r>
      <w:r>
        <w:t xml:space="preserve">. </w:t>
      </w:r>
      <w:r w:rsidRPr="00FB5A88">
        <w:t xml:space="preserve">Radicado N° 70.597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52C3" w14:textId="77777777" w:rsidR="00E32076" w:rsidRDefault="00195222">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15252CD" wp14:editId="515252CE">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515252CF" wp14:editId="515252D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15252C4" w14:textId="77777777" w:rsidR="00E32076" w:rsidRDefault="00E32076">
    <w:pPr>
      <w:pStyle w:val="Encabezado"/>
    </w:pPr>
  </w:p>
  <w:p w14:paraId="515252C5" w14:textId="77777777" w:rsidR="00E32076" w:rsidRDefault="00E32076" w:rsidP="004A305D">
    <w:pPr>
      <w:spacing w:after="0"/>
      <w:rPr>
        <w:rFonts w:ascii="Verdana" w:hAnsi="Verdana"/>
        <w:b/>
        <w:bCs/>
      </w:rPr>
    </w:pPr>
  </w:p>
  <w:p w14:paraId="515252C6" w14:textId="77777777" w:rsidR="00E32076" w:rsidRPr="004A305D" w:rsidRDefault="00E32076" w:rsidP="00B01B1A">
    <w:pPr>
      <w:spacing w:after="0" w:line="120" w:lineRule="auto"/>
      <w:rPr>
        <w:rFonts w:ascii="Century Gothic" w:eastAsia="Geo" w:hAnsi="Century Gothic" w:cs="Geo"/>
        <w:sz w:val="16"/>
        <w:szCs w:val="16"/>
        <w:lang w:eastAsia="es-CO"/>
      </w:rPr>
    </w:pPr>
  </w:p>
  <w:p w14:paraId="515252C7" w14:textId="77777777" w:rsidR="00E32076" w:rsidRDefault="00E32076"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39AAAE94"/>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BA16D5E"/>
    <w:multiLevelType w:val="hybridMultilevel"/>
    <w:tmpl w:val="F766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475F9"/>
    <w:multiLevelType w:val="multilevel"/>
    <w:tmpl w:val="5F2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84077"/>
    <w:multiLevelType w:val="hybridMultilevel"/>
    <w:tmpl w:val="AAA64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AD19C2"/>
    <w:multiLevelType w:val="hybridMultilevel"/>
    <w:tmpl w:val="CD4A1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0140246">
    <w:abstractNumId w:val="0"/>
  </w:num>
  <w:num w:numId="2" w16cid:durableId="1492209491">
    <w:abstractNumId w:val="1"/>
  </w:num>
  <w:num w:numId="3" w16cid:durableId="1757287200">
    <w:abstractNumId w:val="2"/>
  </w:num>
  <w:num w:numId="4" w16cid:durableId="1514563553">
    <w:abstractNumId w:val="5"/>
  </w:num>
  <w:num w:numId="5" w16cid:durableId="1362895736">
    <w:abstractNumId w:val="4"/>
  </w:num>
  <w:num w:numId="6" w16cid:durableId="891617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88"/>
    <w:rsid w:val="0011482D"/>
    <w:rsid w:val="00195222"/>
    <w:rsid w:val="002005BE"/>
    <w:rsid w:val="002870A5"/>
    <w:rsid w:val="00390BD4"/>
    <w:rsid w:val="0043496D"/>
    <w:rsid w:val="005154BE"/>
    <w:rsid w:val="006113E1"/>
    <w:rsid w:val="00612E02"/>
    <w:rsid w:val="007709BF"/>
    <w:rsid w:val="00AB19E2"/>
    <w:rsid w:val="00B92F35"/>
    <w:rsid w:val="00BD3079"/>
    <w:rsid w:val="00DA00F3"/>
    <w:rsid w:val="00E32076"/>
    <w:rsid w:val="00E9336F"/>
    <w:rsid w:val="00FB5A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51F5"/>
  <w15:chartTrackingRefBased/>
  <w15:docId w15:val="{DF0A52FE-2BC5-DC4B-9E4A-F5AC76A5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88"/>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5A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A88"/>
    <w:rPr>
      <w:kern w:val="0"/>
      <w:sz w:val="22"/>
      <w:szCs w:val="22"/>
      <w14:ligatures w14:val="none"/>
    </w:rPr>
  </w:style>
  <w:style w:type="paragraph" w:styleId="Piedepgina">
    <w:name w:val="footer"/>
    <w:basedOn w:val="Normal"/>
    <w:link w:val="PiedepginaCar"/>
    <w:uiPriority w:val="99"/>
    <w:unhideWhenUsed/>
    <w:rsid w:val="00FB5A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A88"/>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B5A8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FB5A88"/>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FB5A88"/>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FB5A88"/>
    <w:rPr>
      <w:vertAlign w:val="superscript"/>
    </w:rPr>
  </w:style>
  <w:style w:type="character" w:customStyle="1" w:styleId="normaltextrun">
    <w:name w:val="normaltextrun"/>
    <w:basedOn w:val="Fuentedeprrafopredeter"/>
    <w:rsid w:val="00FB5A88"/>
  </w:style>
  <w:style w:type="table" w:styleId="Tablaconcuadrcula">
    <w:name w:val="Table Grid"/>
    <w:basedOn w:val="Tablanormal"/>
    <w:uiPriority w:val="39"/>
    <w:qFormat/>
    <w:rsid w:val="00FB5A8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FB5A88"/>
    <w:pPr>
      <w:ind w:left="720"/>
      <w:contextualSpacing/>
    </w:pPr>
    <w:rPr>
      <w:rFonts w:ascii="Geomanist Light" w:hAnsi="Geomanist Light"/>
      <w:lang w:val="es-ES"/>
    </w:rPr>
  </w:style>
  <w:style w:type="character" w:styleId="Hipervnculo">
    <w:name w:val="Hyperlink"/>
    <w:basedOn w:val="Fuentedeprrafopredeter"/>
    <w:uiPriority w:val="99"/>
    <w:unhideWhenUsed/>
    <w:rsid w:val="00FB5A88"/>
    <w:rPr>
      <w:color w:val="0000FF"/>
      <w:u w:val="single"/>
    </w:rPr>
  </w:style>
  <w:style w:type="paragraph" w:customStyle="1" w:styleId="Appelnotedebasde">
    <w:name w:val="Appel note de bas de..."/>
    <w:basedOn w:val="Normal"/>
    <w:link w:val="Refdenotaalpie"/>
    <w:uiPriority w:val="99"/>
    <w:rsid w:val="00FB5A88"/>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B5A88"/>
    <w:rPr>
      <w:rFonts w:ascii="Geomanist Light" w:hAnsi="Geomanist Light"/>
      <w:kern w:val="0"/>
      <w:sz w:val="22"/>
      <w:szCs w:val="22"/>
      <w:lang w:val="es-ES"/>
      <w14:ligatures w14:val="none"/>
    </w:rPr>
  </w:style>
  <w:style w:type="character" w:styleId="Mencinsinresolver">
    <w:name w:val="Unresolved Mention"/>
    <w:basedOn w:val="Fuentedeprrafopredeter"/>
    <w:uiPriority w:val="99"/>
    <w:semiHidden/>
    <w:unhideWhenUsed/>
    <w:rsid w:val="00FB5A88"/>
    <w:rPr>
      <w:color w:val="605E5C"/>
      <w:shd w:val="clear" w:color="auto" w:fill="E1DFDD"/>
    </w:rPr>
  </w:style>
  <w:style w:type="paragraph" w:styleId="Textoindependiente">
    <w:name w:val="Body Text"/>
    <w:basedOn w:val="Normal"/>
    <w:link w:val="TextoindependienteCar"/>
    <w:uiPriority w:val="99"/>
    <w:semiHidden/>
    <w:unhideWhenUsed/>
    <w:rsid w:val="00FB5A88"/>
    <w:pPr>
      <w:spacing w:after="120"/>
    </w:pPr>
  </w:style>
  <w:style w:type="character" w:customStyle="1" w:styleId="TextoindependienteCar">
    <w:name w:val="Texto independiente Car"/>
    <w:basedOn w:val="Fuentedeprrafopredeter"/>
    <w:link w:val="Textoindependiente"/>
    <w:uiPriority w:val="99"/>
    <w:semiHidden/>
    <w:rsid w:val="00FB5A88"/>
    <w:rPr>
      <w:kern w:val="0"/>
      <w:sz w:val="22"/>
      <w:szCs w:val="22"/>
      <w14:ligatures w14:val="none"/>
    </w:rPr>
  </w:style>
  <w:style w:type="character" w:customStyle="1" w:styleId="eop">
    <w:name w:val="eop"/>
    <w:basedOn w:val="Fuentedeprrafopredeter"/>
    <w:rsid w:val="00FB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gutierrez@ani.gov.co" TargetMode="External"/><Relationship Id="rId17"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E9BA-9D4A-4671-9BC1-2BE0D0D4C9E4}">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77697BFB-2A74-4C77-BFC9-26C637CBD703}">
  <ds:schemaRefs>
    <ds:schemaRef ds:uri="http://schemas.microsoft.com/sharepoint/v3/contenttype/forms"/>
  </ds:schemaRefs>
</ds:datastoreItem>
</file>

<file path=customXml/itemProps3.xml><?xml version="1.0" encoding="utf-8"?>
<ds:datastoreItem xmlns:ds="http://schemas.openxmlformats.org/officeDocument/2006/customXml" ds:itemID="{EEDA6F00-E251-4232-9E58-1012BB93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7DAEA-57AB-3140-8B03-82457E36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5588</Words>
  <Characters>30740</Characters>
  <Application>Microsoft Office Word</Application>
  <DocSecurity>0</DocSecurity>
  <Lines>256</Lines>
  <Paragraphs>72</Paragraphs>
  <ScaleCrop>false</ScaleCrop>
  <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2024-12-11T14:31:00Z</dcterms:created>
  <dcterms:modified xsi:type="dcterms:W3CDTF">2024-12-11T14:31:00Z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