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974D" w14:textId="77777777" w:rsidR="003D5B0D" w:rsidRDefault="003D5B0D" w:rsidP="009F071A"/>
    <w:p w14:paraId="78D5EEF6" w14:textId="77777777" w:rsidR="00542D56" w:rsidRPr="00542D56" w:rsidRDefault="00542D56" w:rsidP="00542D56">
      <w:pPr>
        <w:spacing w:after="0" w:line="240" w:lineRule="auto"/>
        <w:rPr>
          <w:rFonts w:ascii="Verdana" w:eastAsia="Calibri" w:hAnsi="Verdana" w:cs="Arial"/>
          <w:b/>
          <w:bCs/>
          <w:kern w:val="2"/>
          <w:sz w:val="24"/>
          <w:szCs w:val="24"/>
          <w:lang w:val="es-ES" w:eastAsia="es-ES"/>
          <w14:ligatures w14:val="standardContextual"/>
        </w:rPr>
      </w:pPr>
      <w:bookmarkStart w:id="0" w:name="_Hlk143780582"/>
      <w:r w:rsidRPr="00542D56">
        <w:rPr>
          <w:rFonts w:ascii="Verdana" w:eastAsia="Calibri" w:hAnsi="Verdana" w:cs="Arial"/>
          <w:b/>
          <w:bCs/>
          <w:kern w:val="2"/>
          <w:sz w:val="24"/>
          <w:szCs w:val="24"/>
          <w:lang w:val="es-ES" w:eastAsia="es-ES"/>
          <w14:ligatures w14:val="standardContextual"/>
        </w:rPr>
        <w:t>DOCUMENTOS TIPO – Fundamento normativo – Ley 2022 de 2020</w:t>
      </w:r>
    </w:p>
    <w:p w14:paraId="423D3BD1" w14:textId="77777777" w:rsidR="00542D56" w:rsidRPr="00542D56" w:rsidRDefault="00542D56" w:rsidP="00542D56">
      <w:pPr>
        <w:spacing w:after="0" w:line="240" w:lineRule="auto"/>
        <w:rPr>
          <w:rFonts w:ascii="Verdana" w:eastAsia="Calibri" w:hAnsi="Verdana" w:cs="Arial"/>
          <w:b/>
          <w:bCs/>
          <w:kern w:val="2"/>
          <w:sz w:val="24"/>
          <w:szCs w:val="24"/>
          <w:lang w:val="es-ES" w:eastAsia="es-ES"/>
          <w14:ligatures w14:val="standardContextual"/>
        </w:rPr>
      </w:pPr>
    </w:p>
    <w:p w14:paraId="422CA2DB" w14:textId="77777777" w:rsidR="00542D56" w:rsidRPr="00542D56" w:rsidRDefault="00542D56" w:rsidP="00542D56">
      <w:pPr>
        <w:spacing w:after="0" w:line="240" w:lineRule="auto"/>
        <w:jc w:val="both"/>
        <w:rPr>
          <w:rFonts w:ascii="Verdana" w:eastAsia="Calibri" w:hAnsi="Verdana" w:cs="Arial"/>
          <w:kern w:val="2"/>
          <w:sz w:val="20"/>
          <w:szCs w:val="20"/>
          <w:lang w:val="es-ES"/>
          <w14:ligatures w14:val="standardContextual"/>
        </w:rPr>
      </w:pPr>
      <w:r w:rsidRPr="00542D56">
        <w:rPr>
          <w:rFonts w:ascii="Verdana" w:eastAsia="Calibri" w:hAnsi="Verdana" w:cs="Arial"/>
          <w:kern w:val="2"/>
          <w:sz w:val="20"/>
          <w:szCs w:val="20"/>
          <w:lang w:val="es-ES"/>
          <w14:ligatures w14:val="standardContextua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457094E8" w14:textId="77777777" w:rsidR="00542D56" w:rsidRPr="00542D56" w:rsidRDefault="00542D56" w:rsidP="00542D56">
      <w:pPr>
        <w:spacing w:after="0" w:line="240" w:lineRule="auto"/>
        <w:contextualSpacing/>
        <w:jc w:val="both"/>
        <w:rPr>
          <w:rFonts w:ascii="Verdana" w:eastAsia="Calibri" w:hAnsi="Verdana" w:cs="Arial"/>
          <w:b/>
          <w:bCs/>
          <w:color w:val="000000"/>
          <w:kern w:val="2"/>
          <w:sz w:val="20"/>
          <w:szCs w:val="20"/>
          <w:lang w:val="es-ES" w:eastAsia="es-ES"/>
          <w14:ligatures w14:val="standardContextual"/>
        </w:rPr>
      </w:pPr>
    </w:p>
    <w:p w14:paraId="0B0D70F6" w14:textId="77777777" w:rsidR="00542D56" w:rsidRPr="00542D56" w:rsidRDefault="00542D56" w:rsidP="00542D56">
      <w:pPr>
        <w:spacing w:after="0" w:line="240" w:lineRule="auto"/>
        <w:contextualSpacing/>
        <w:jc w:val="both"/>
        <w:rPr>
          <w:rFonts w:ascii="Verdana" w:eastAsia="Calibri" w:hAnsi="Verdana" w:cs="Arial"/>
          <w:b/>
          <w:bCs/>
          <w:color w:val="000000"/>
          <w:kern w:val="2"/>
          <w:sz w:val="20"/>
          <w:szCs w:val="20"/>
          <w:lang w:val="es-ES" w:eastAsia="es-ES"/>
          <w14:ligatures w14:val="standardContextual"/>
        </w:rPr>
      </w:pPr>
    </w:p>
    <w:p w14:paraId="1DB33754" w14:textId="77777777" w:rsidR="00542D56" w:rsidRPr="00542D56" w:rsidRDefault="00542D56" w:rsidP="00542D56">
      <w:pPr>
        <w:spacing w:after="0" w:line="240" w:lineRule="auto"/>
        <w:contextualSpacing/>
        <w:jc w:val="both"/>
        <w:rPr>
          <w:rFonts w:ascii="Verdana" w:eastAsia="Calibri" w:hAnsi="Verdana" w:cs="Arial"/>
          <w:b/>
          <w:bCs/>
          <w:color w:val="000000"/>
          <w:kern w:val="2"/>
          <w:sz w:val="20"/>
          <w:szCs w:val="20"/>
          <w:lang w:val="es-ES" w:eastAsia="es-ES"/>
          <w14:ligatures w14:val="standardContextual"/>
        </w:rPr>
      </w:pPr>
      <w:r w:rsidRPr="00542D56">
        <w:rPr>
          <w:rFonts w:ascii="Verdana" w:eastAsia="Calibri" w:hAnsi="Verdana" w:cs="Arial"/>
          <w:b/>
          <w:bCs/>
          <w:color w:val="000000"/>
          <w:kern w:val="2"/>
          <w:sz w:val="20"/>
          <w:szCs w:val="20"/>
          <w:lang w:val="es-ES" w:eastAsia="es-ES"/>
          <w14:ligatures w14:val="standardContextual"/>
        </w:rPr>
        <w:t xml:space="preserve">DOCUMENTOS TIPO DE INFRAESTRUCTURA SOCIAL – Generalidades </w:t>
      </w:r>
    </w:p>
    <w:p w14:paraId="7F5E6090" w14:textId="77777777" w:rsidR="00542D56" w:rsidRPr="00542D56" w:rsidRDefault="00542D56" w:rsidP="00542D56">
      <w:pPr>
        <w:spacing w:after="0" w:line="240" w:lineRule="auto"/>
        <w:contextualSpacing/>
        <w:jc w:val="both"/>
        <w:rPr>
          <w:rFonts w:ascii="Verdana" w:eastAsia="Calibri" w:hAnsi="Verdana" w:cs="Arial"/>
          <w:b/>
          <w:bCs/>
          <w:color w:val="000000"/>
          <w:kern w:val="2"/>
          <w:sz w:val="20"/>
          <w:szCs w:val="20"/>
          <w:lang w:val="es-ES" w:eastAsia="es-ES"/>
          <w14:ligatures w14:val="standardContextual"/>
        </w:rPr>
      </w:pPr>
    </w:p>
    <w:p w14:paraId="62AB665A" w14:textId="77777777" w:rsidR="00542D56" w:rsidRPr="00542D56" w:rsidRDefault="00542D56" w:rsidP="00542D56">
      <w:pPr>
        <w:spacing w:after="0" w:line="240" w:lineRule="auto"/>
        <w:contextualSpacing/>
        <w:jc w:val="both"/>
        <w:rPr>
          <w:rFonts w:ascii="Verdana" w:eastAsia="Calibri" w:hAnsi="Verdana" w:cs="Arial"/>
          <w:color w:val="000000"/>
          <w:kern w:val="2"/>
          <w:sz w:val="20"/>
          <w:szCs w:val="20"/>
          <w:lang w:val="es-ES" w:eastAsia="es-ES"/>
          <w14:ligatures w14:val="standardContextual"/>
        </w:rPr>
      </w:pPr>
      <w:r w:rsidRPr="00542D56">
        <w:rPr>
          <w:rFonts w:ascii="Verdana" w:eastAsia="Calibri" w:hAnsi="Verdana" w:cs="Arial"/>
          <w:color w:val="000000"/>
          <w:kern w:val="2"/>
          <w:sz w:val="20"/>
          <w:szCs w:val="20"/>
          <w:lang w:val="es-ES" w:eastAsia="es-ES"/>
          <w14:ligatures w14:val="standardContextual"/>
        </w:rPr>
        <w:t>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la salud, el educativo y el de cultura, recreación y deporte, tal como lo establece el parágrafo 2 del artículo 2 de la resolución indicada, de la siguiente manera</w:t>
      </w:r>
    </w:p>
    <w:p w14:paraId="64827637" w14:textId="77777777" w:rsidR="00542D56" w:rsidRPr="00542D56" w:rsidRDefault="00542D56" w:rsidP="00542D56">
      <w:pPr>
        <w:spacing w:after="0" w:line="240" w:lineRule="auto"/>
        <w:jc w:val="both"/>
        <w:rPr>
          <w:rFonts w:ascii="Verdana" w:eastAsia="Calibri" w:hAnsi="Verdana" w:cs="Arial"/>
          <w:color w:val="000000"/>
          <w:kern w:val="2"/>
          <w:sz w:val="20"/>
          <w:szCs w:val="20"/>
          <w:lang w:val="es-ES" w:eastAsia="es-ES"/>
          <w14:ligatures w14:val="standardContextual"/>
        </w:rPr>
      </w:pPr>
      <w:r w:rsidRPr="00542D56">
        <w:rPr>
          <w:rFonts w:ascii="Verdana" w:eastAsia="Calibri" w:hAnsi="Verdana" w:cs="Arial"/>
          <w:color w:val="000000"/>
          <w:kern w:val="2"/>
          <w:sz w:val="20"/>
          <w:szCs w:val="20"/>
          <w:lang w:val="es-ES" w:eastAsia="es-ES"/>
          <w14:ligatures w14:val="standardContextual"/>
        </w:rPr>
        <w:t>[…]</w:t>
      </w:r>
    </w:p>
    <w:p w14:paraId="7BFE0EEB" w14:textId="77777777" w:rsidR="00542D56" w:rsidRPr="00542D56" w:rsidRDefault="00542D56" w:rsidP="00542D56">
      <w:pPr>
        <w:spacing w:after="0" w:line="240" w:lineRule="auto"/>
        <w:jc w:val="both"/>
        <w:rPr>
          <w:rFonts w:ascii="Verdana" w:eastAsia="Calibri" w:hAnsi="Verdana" w:cs="Arial"/>
          <w:color w:val="000000"/>
          <w:kern w:val="2"/>
          <w:sz w:val="20"/>
          <w:szCs w:val="20"/>
          <w:lang w:val="es-ES" w:eastAsia="es-ES"/>
          <w14:ligatures w14:val="standardContextual"/>
        </w:rPr>
      </w:pPr>
      <w:r w:rsidRPr="00542D56">
        <w:rPr>
          <w:rFonts w:ascii="Verdana" w:eastAsia="Calibri" w:hAnsi="Verdana" w:cs="Arial"/>
          <w:color w:val="000000"/>
          <w:kern w:val="2"/>
          <w:sz w:val="20"/>
          <w:szCs w:val="20"/>
          <w:lang w:val="es-ES" w:eastAsia="es-ES"/>
          <w14:ligatures w14:val="standardContextual"/>
        </w:rPr>
        <w:t>Cabe anotar que la Resolución 219 del 6 de agosto de 2021 contiene los documentos tipo que aplican de forma transversal a los proyectos de infraestructura social en los sectores educativo, salud, y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5C8F3FA3" w14:textId="77777777" w:rsidR="00542D56" w:rsidRPr="00542D56" w:rsidRDefault="00542D56" w:rsidP="00542D56">
      <w:pPr>
        <w:spacing w:after="0" w:line="240" w:lineRule="auto"/>
        <w:jc w:val="both"/>
        <w:rPr>
          <w:rFonts w:ascii="Verdana" w:eastAsia="Calibri" w:hAnsi="Verdana" w:cs="Arial"/>
          <w:color w:val="000000"/>
          <w:kern w:val="2"/>
          <w:sz w:val="20"/>
          <w:szCs w:val="20"/>
          <w:lang w:val="es-ES" w:eastAsia="es-ES"/>
          <w14:ligatures w14:val="standardContextual"/>
        </w:rPr>
      </w:pPr>
    </w:p>
    <w:p w14:paraId="7E892A33" w14:textId="77777777" w:rsidR="00542D56" w:rsidRPr="00542D56" w:rsidRDefault="00542D56" w:rsidP="00542D56">
      <w:pPr>
        <w:spacing w:after="0" w:line="240" w:lineRule="auto"/>
        <w:jc w:val="both"/>
        <w:rPr>
          <w:rFonts w:ascii="Verdana" w:eastAsia="Calibri" w:hAnsi="Verdana" w:cs="Arial"/>
          <w:color w:val="000000"/>
          <w:kern w:val="2"/>
          <w:sz w:val="20"/>
          <w:szCs w:val="20"/>
          <w:lang w:val="es-ES" w:eastAsia="es-ES"/>
          <w14:ligatures w14:val="standardContextual"/>
        </w:rPr>
      </w:pPr>
      <w:r w:rsidRPr="00542D56">
        <w:rPr>
          <w:rFonts w:ascii="Verdana" w:eastAsia="Calibri" w:hAnsi="Verdana" w:cs="Arial"/>
          <w:color w:val="000000"/>
          <w:kern w:val="2"/>
          <w:sz w:val="20"/>
          <w:szCs w:val="20"/>
          <w:lang w:val="es-ES" w:eastAsia="es-ES"/>
          <w14:ligatures w14:val="standardContextual"/>
        </w:rPr>
        <w:t xml:space="preserve">En consecuencia, en materia de infraestructura social debe tenerse en cuenta que existen dos (2) clases de documentos tipo que se integran en cada proceso: i) los documentos transversales a todos los sectores de infraestructura social, es decir, el documento base, los anexos, los formatos, los formularios y las matrices adoptados mediante la Resolución No. 219 de 2021; y </w:t>
      </w:r>
      <w:proofErr w:type="spellStart"/>
      <w:r w:rsidRPr="00542D56">
        <w:rPr>
          <w:rFonts w:ascii="Verdana" w:eastAsia="Calibri" w:hAnsi="Verdana" w:cs="Arial"/>
          <w:color w:val="000000"/>
          <w:kern w:val="2"/>
          <w:sz w:val="20"/>
          <w:szCs w:val="20"/>
          <w:lang w:val="es-ES" w:eastAsia="es-ES"/>
          <w14:ligatures w14:val="standardContextual"/>
        </w:rPr>
        <w:t>ii</w:t>
      </w:r>
      <w:proofErr w:type="spellEnd"/>
      <w:r w:rsidRPr="00542D56">
        <w:rPr>
          <w:rFonts w:ascii="Verdana" w:eastAsia="Calibri" w:hAnsi="Verdana" w:cs="Arial"/>
          <w:color w:val="000000"/>
          <w:kern w:val="2"/>
          <w:sz w:val="20"/>
          <w:szCs w:val="20"/>
          <w:lang w:val="es-ES" w:eastAsia="es-ES"/>
          <w14:ligatures w14:val="standardContextual"/>
        </w:rPr>
        <w:t>) los documentos tipo complementarios, referentes a la matriz de experiencia y el glosario, los cuales han sido adoptados en la resolución para cada sector específico.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p w14:paraId="6F24EC7F" w14:textId="77777777" w:rsidR="00542D56" w:rsidRPr="00542D56" w:rsidRDefault="00542D56" w:rsidP="00542D56">
      <w:pPr>
        <w:spacing w:after="0" w:line="278" w:lineRule="auto"/>
        <w:rPr>
          <w:rFonts w:ascii="Verdana" w:eastAsia="Aptos" w:hAnsi="Verdana" w:cs="Arial"/>
          <w:kern w:val="2"/>
          <w:sz w:val="24"/>
          <w:szCs w:val="24"/>
          <w:lang w:val="es-ES"/>
          <w14:ligatures w14:val="standardContextual"/>
        </w:rPr>
      </w:pPr>
    </w:p>
    <w:p w14:paraId="7691BBA5" w14:textId="77777777" w:rsidR="00542D56" w:rsidRPr="00542D56" w:rsidRDefault="00542D56" w:rsidP="00542D56">
      <w:pPr>
        <w:spacing w:after="0" w:line="278" w:lineRule="auto"/>
        <w:rPr>
          <w:rFonts w:ascii="Verdana" w:eastAsia="Aptos" w:hAnsi="Verdana" w:cs="Arial"/>
          <w:kern w:val="2"/>
          <w:sz w:val="24"/>
          <w:szCs w:val="24"/>
          <w14:ligatures w14:val="standardContextual"/>
        </w:rPr>
      </w:pPr>
    </w:p>
    <w:p w14:paraId="4FD89E5A" w14:textId="77777777" w:rsidR="00542D56" w:rsidRPr="00542D56" w:rsidRDefault="00542D56" w:rsidP="00542D56">
      <w:pPr>
        <w:spacing w:after="0" w:line="240" w:lineRule="auto"/>
        <w:jc w:val="both"/>
        <w:rPr>
          <w:rFonts w:ascii="Verdana" w:eastAsia="Calibri" w:hAnsi="Verdana" w:cs="Arial"/>
          <w:b/>
          <w:bCs/>
          <w:kern w:val="2"/>
          <w:sz w:val="20"/>
          <w:szCs w:val="20"/>
          <w:lang w:val="es-ES"/>
          <w14:ligatures w14:val="standardContextual"/>
        </w:rPr>
      </w:pPr>
      <w:r w:rsidRPr="00542D56">
        <w:rPr>
          <w:rFonts w:ascii="Verdana" w:eastAsia="Calibri" w:hAnsi="Verdana" w:cs="Arial"/>
          <w:b/>
          <w:bCs/>
          <w:kern w:val="2"/>
          <w:sz w:val="20"/>
          <w:szCs w:val="20"/>
          <w:lang w:val="es-ES"/>
          <w14:ligatures w14:val="standardContextual"/>
        </w:rPr>
        <w:t xml:space="preserve">DOCUMENTOS TIPO – Inalterabilidad – Aspectos que pueden modificarse </w:t>
      </w:r>
    </w:p>
    <w:p w14:paraId="443FD4D0" w14:textId="77777777" w:rsidR="00542D56" w:rsidRPr="00542D56" w:rsidRDefault="00542D56" w:rsidP="00542D56">
      <w:pPr>
        <w:spacing w:after="0" w:line="240" w:lineRule="auto"/>
        <w:jc w:val="both"/>
        <w:rPr>
          <w:rFonts w:ascii="Verdana" w:eastAsia="Calibri" w:hAnsi="Verdana" w:cs="Arial"/>
          <w:b/>
          <w:bCs/>
          <w:kern w:val="2"/>
          <w:sz w:val="20"/>
          <w:szCs w:val="20"/>
          <w:lang w:val="es-ES"/>
          <w14:ligatures w14:val="standardContextual"/>
        </w:rPr>
      </w:pPr>
    </w:p>
    <w:p w14:paraId="5FD3FB8A" w14:textId="77777777" w:rsidR="00542D56" w:rsidRPr="00542D56" w:rsidRDefault="00542D56" w:rsidP="00542D56">
      <w:pPr>
        <w:spacing w:after="0" w:line="240" w:lineRule="auto"/>
        <w:jc w:val="both"/>
        <w:rPr>
          <w:rFonts w:ascii="Verdana" w:eastAsia="Geomanist Light" w:hAnsi="Verdana" w:cs="Arial"/>
          <w:kern w:val="2"/>
          <w:sz w:val="20"/>
          <w:szCs w:val="20"/>
          <w:lang w:val="es-ES"/>
          <w14:ligatures w14:val="standardContextual"/>
        </w:rPr>
      </w:pPr>
      <w:r w:rsidRPr="00542D56">
        <w:rPr>
          <w:rFonts w:ascii="Verdana" w:eastAsia="Geomanist Light" w:hAnsi="Verdana" w:cs="Arial"/>
          <w:kern w:val="2"/>
          <w:sz w:val="20"/>
          <w:szCs w:val="20"/>
          <w:lang w:val="es-ES"/>
          <w14:ligatures w14:val="standardContextual"/>
        </w:rPr>
        <w:t>En consecuencia, en virtud de la regla de inalterabilidad aludida, los Documentos Tipo solo pueden ser modificados en los aspectos en que estos lo permitan. Esto corresponde a aquellos aspectos que se encuentran entre corchetes y resaltados en gris –</w:t>
      </w:r>
      <w:r w:rsidRPr="00542D56">
        <w:rPr>
          <w:rFonts w:ascii="Verdana" w:eastAsia="Geomanist Light" w:hAnsi="Verdana" w:cs="Arial"/>
          <w:kern w:val="2"/>
          <w:sz w:val="20"/>
          <w:szCs w:val="20"/>
          <w:highlight w:val="lightGray"/>
          <w:lang w:val="es-ES"/>
          <w14:ligatures w14:val="standardContextual"/>
        </w:rPr>
        <w:t>[texto]</w:t>
      </w:r>
      <w:r w:rsidRPr="00542D56">
        <w:rPr>
          <w:rFonts w:ascii="Verdana" w:eastAsia="Geomanist Light" w:hAnsi="Verdana" w:cs="Arial"/>
          <w:kern w:val="2"/>
          <w:sz w:val="20"/>
          <w:szCs w:val="20"/>
          <w:lang w:val="es-ES"/>
          <w14:ligatures w14:val="standardContextual"/>
        </w:rPr>
        <w:t>–, para lo cual deberán observarse las instrucciones contenidas en los mismos para su diligenciamiento.</w:t>
      </w:r>
    </w:p>
    <w:p w14:paraId="6265BE03" w14:textId="77777777" w:rsidR="00542D56" w:rsidRPr="00542D56" w:rsidRDefault="00542D56" w:rsidP="00542D56">
      <w:pPr>
        <w:spacing w:after="0" w:line="240" w:lineRule="auto"/>
        <w:rPr>
          <w:rFonts w:ascii="Verdana" w:eastAsia="Geomanist Light" w:hAnsi="Verdana" w:cs="Arial"/>
          <w:kern w:val="2"/>
          <w:sz w:val="20"/>
          <w:szCs w:val="20"/>
          <w:lang w:val="es-MX"/>
          <w14:ligatures w14:val="standardContextual"/>
        </w:rPr>
      </w:pPr>
    </w:p>
    <w:p w14:paraId="743773F8" w14:textId="77777777" w:rsidR="00542D56" w:rsidRPr="00542D56" w:rsidRDefault="00542D56" w:rsidP="00542D56">
      <w:pPr>
        <w:spacing w:after="0" w:line="240" w:lineRule="auto"/>
        <w:jc w:val="both"/>
        <w:rPr>
          <w:rFonts w:ascii="Verdana" w:eastAsia="Aptos" w:hAnsi="Verdana" w:cs="Arial"/>
          <w:kern w:val="2"/>
          <w:sz w:val="24"/>
          <w:szCs w:val="24"/>
          <w:lang w:val="es-MX"/>
          <w14:ligatures w14:val="standardContextual"/>
        </w:rPr>
      </w:pPr>
    </w:p>
    <w:p w14:paraId="0E68ED1A"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6A5CC99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04AED38B"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41F6309F"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1CB4154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43A15CF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207892ED"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4CA9591A"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17CC0D78"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0A2D71F7"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0C79BB25"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350D2693"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548DAEB7"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5A74901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44C90552"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6EDDE664"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51DC6EBB"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1090E510"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21B0443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0235F509"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6B0601D4"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60811E9F"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5480AD3A" w14:textId="77777777" w:rsidR="00542D56" w:rsidRDefault="00542D56" w:rsidP="00542D56">
      <w:pPr>
        <w:spacing w:after="0" w:line="240" w:lineRule="auto"/>
        <w:jc w:val="both"/>
        <w:rPr>
          <w:rFonts w:ascii="Verdana" w:eastAsia="Aptos" w:hAnsi="Verdana" w:cs="Arial"/>
          <w:kern w:val="2"/>
          <w:sz w:val="24"/>
          <w:szCs w:val="24"/>
          <w14:ligatures w14:val="standardContextual"/>
        </w:rPr>
      </w:pPr>
    </w:p>
    <w:p w14:paraId="761CA2AD" w14:textId="77777777" w:rsidR="00542D56" w:rsidRDefault="00542D56" w:rsidP="00542D56">
      <w:pPr>
        <w:spacing w:after="0" w:line="240" w:lineRule="auto"/>
        <w:jc w:val="both"/>
        <w:rPr>
          <w:rFonts w:ascii="Verdana" w:eastAsia="Aptos" w:hAnsi="Verdana" w:cs="Arial"/>
          <w:kern w:val="2"/>
          <w:sz w:val="24"/>
          <w:szCs w:val="24"/>
          <w14:ligatures w14:val="standardContextual"/>
        </w:rPr>
      </w:pPr>
    </w:p>
    <w:p w14:paraId="3590369D" w14:textId="77777777" w:rsidR="00542D56" w:rsidRDefault="00542D56" w:rsidP="00542D56">
      <w:pPr>
        <w:spacing w:after="0" w:line="240" w:lineRule="auto"/>
        <w:jc w:val="both"/>
        <w:rPr>
          <w:rFonts w:ascii="Verdana" w:eastAsia="Aptos" w:hAnsi="Verdana" w:cs="Arial"/>
          <w:kern w:val="2"/>
          <w:sz w:val="24"/>
          <w:szCs w:val="24"/>
          <w14:ligatures w14:val="standardContextual"/>
        </w:rPr>
      </w:pPr>
    </w:p>
    <w:p w14:paraId="2D506DF6" w14:textId="77777777" w:rsidR="00542D56" w:rsidRDefault="00542D56" w:rsidP="00542D56">
      <w:pPr>
        <w:spacing w:after="0" w:line="240" w:lineRule="auto"/>
        <w:jc w:val="both"/>
        <w:rPr>
          <w:rFonts w:ascii="Verdana" w:eastAsia="Aptos" w:hAnsi="Verdana" w:cs="Arial"/>
          <w:kern w:val="2"/>
          <w:sz w:val="24"/>
          <w:szCs w:val="24"/>
          <w14:ligatures w14:val="standardContextual"/>
        </w:rPr>
      </w:pPr>
    </w:p>
    <w:p w14:paraId="25544E46"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67826063" w14:textId="77777777" w:rsidR="00542D56" w:rsidRPr="00542D56" w:rsidRDefault="00542D56" w:rsidP="00542D56">
      <w:pPr>
        <w:spacing w:after="0" w:line="240" w:lineRule="auto"/>
        <w:jc w:val="both"/>
        <w:rPr>
          <w:rFonts w:ascii="Verdana" w:eastAsia="Aptos" w:hAnsi="Verdana" w:cs="Arial"/>
          <w:kern w:val="2"/>
          <w:sz w:val="24"/>
          <w:szCs w:val="24"/>
          <w14:ligatures w14:val="standardContextual"/>
        </w:rPr>
      </w:pPr>
    </w:p>
    <w:p w14:paraId="0FB89966" w14:textId="77777777" w:rsidR="00542D56" w:rsidRPr="00542D56" w:rsidRDefault="00542D56" w:rsidP="00542D56">
      <w:pPr>
        <w:spacing w:after="0" w:line="240" w:lineRule="auto"/>
        <w:jc w:val="both"/>
        <w:rPr>
          <w:rFonts w:ascii="Verdana" w:eastAsia="Calibri" w:hAnsi="Verdana" w:cs="Arial"/>
          <w:color w:val="000000"/>
          <w:sz w:val="20"/>
          <w:szCs w:val="20"/>
          <w:lang w:val="es-ES"/>
        </w:rPr>
      </w:pPr>
    </w:p>
    <w:p w14:paraId="37E192F4" w14:textId="77777777" w:rsidR="00542D56" w:rsidRPr="00542D56" w:rsidRDefault="00542D56" w:rsidP="00542D56">
      <w:pPr>
        <w:spacing w:after="0" w:line="240" w:lineRule="auto"/>
        <w:jc w:val="both"/>
        <w:rPr>
          <w:rFonts w:ascii="Verdana" w:eastAsia="Calibri" w:hAnsi="Verdana" w:cs="Arial"/>
          <w:color w:val="000000"/>
          <w:sz w:val="20"/>
          <w:szCs w:val="20"/>
          <w:lang w:val="es-ES"/>
        </w:rPr>
      </w:pPr>
    </w:p>
    <w:p w14:paraId="63CF7D9E" w14:textId="77777777" w:rsidR="00542D56" w:rsidRPr="00542D56" w:rsidRDefault="00542D56" w:rsidP="00542D56">
      <w:pPr>
        <w:spacing w:after="0" w:line="240" w:lineRule="auto"/>
        <w:jc w:val="both"/>
        <w:rPr>
          <w:rFonts w:ascii="Verdana" w:eastAsia="Calibri" w:hAnsi="Verdana" w:cs="Arial"/>
          <w:lang w:val="es-ES"/>
        </w:rPr>
      </w:pPr>
      <w:r w:rsidRPr="00542D56">
        <w:rPr>
          <w:rFonts w:ascii="Verdana" w:eastAsia="Calibri" w:hAnsi="Verdana" w:cs="Times New Roman"/>
        </w:rPr>
        <w:t>Bogotá D.C., [Día] [</w:t>
      </w:r>
      <w:proofErr w:type="spellStart"/>
      <w:r w:rsidRPr="00542D56">
        <w:rPr>
          <w:rFonts w:ascii="Verdana" w:eastAsia="Calibri" w:hAnsi="Verdana" w:cs="Times New Roman"/>
        </w:rPr>
        <w:t>Mes.NombreCapitalizado</w:t>
      </w:r>
      <w:proofErr w:type="spellEnd"/>
      <w:r w:rsidRPr="00542D56">
        <w:rPr>
          <w:rFonts w:ascii="Verdana" w:eastAsia="Calibri" w:hAnsi="Verdana" w:cs="Times New Roman"/>
        </w:rPr>
        <w:t>] [Año]</w:t>
      </w:r>
    </w:p>
    <w:p w14:paraId="2A131494" w14:textId="77777777" w:rsidR="00542D56" w:rsidRPr="00542D56" w:rsidRDefault="00542D56" w:rsidP="00542D56">
      <w:pPr>
        <w:spacing w:after="0" w:line="240" w:lineRule="auto"/>
        <w:jc w:val="both"/>
        <w:rPr>
          <w:rFonts w:ascii="Verdana" w:eastAsia="Calibri" w:hAnsi="Verdana" w:cs="Arial"/>
          <w:lang w:val="es-ES"/>
        </w:rPr>
      </w:pPr>
    </w:p>
    <w:p w14:paraId="3909471C" w14:textId="77777777" w:rsidR="00542D56" w:rsidRPr="00542D56" w:rsidRDefault="00542D56" w:rsidP="00542D56">
      <w:pPr>
        <w:spacing w:after="0" w:line="240" w:lineRule="auto"/>
        <w:jc w:val="both"/>
        <w:rPr>
          <w:rFonts w:ascii="Verdana" w:eastAsia="Calibri" w:hAnsi="Verdana" w:cs="Arial"/>
          <w:lang w:val="es-ES"/>
        </w:rPr>
      </w:pPr>
    </w:p>
    <w:p w14:paraId="33F9D2BE" w14:textId="77777777" w:rsidR="00542D56" w:rsidRPr="00542D56" w:rsidRDefault="00542D56" w:rsidP="00542D56">
      <w:pPr>
        <w:spacing w:after="0" w:line="240" w:lineRule="auto"/>
        <w:jc w:val="both"/>
        <w:rPr>
          <w:rFonts w:ascii="Verdana" w:eastAsia="Calibri" w:hAnsi="Verdana" w:cs="Arial"/>
          <w:lang w:val="es-ES"/>
        </w:rPr>
      </w:pPr>
    </w:p>
    <w:p w14:paraId="12168723" w14:textId="77777777" w:rsidR="00542D56" w:rsidRPr="00542D56" w:rsidRDefault="00542D56" w:rsidP="00542D56">
      <w:pPr>
        <w:spacing w:after="0" w:line="240" w:lineRule="auto"/>
        <w:jc w:val="both"/>
        <w:rPr>
          <w:rFonts w:ascii="Verdana" w:eastAsia="Calibri" w:hAnsi="Verdana" w:cs="Arial"/>
          <w:lang w:val="es-ES" w:eastAsia="es-ES"/>
        </w:rPr>
      </w:pPr>
      <w:r w:rsidRPr="00542D56">
        <w:rPr>
          <w:rFonts w:ascii="Verdana" w:eastAsia="Calibri" w:hAnsi="Verdana" w:cs="Arial"/>
          <w:lang w:val="es-ES" w:eastAsia="es-ES"/>
        </w:rPr>
        <w:t>Señor</w:t>
      </w:r>
    </w:p>
    <w:p w14:paraId="054B0177" w14:textId="77777777" w:rsidR="00542D56" w:rsidRPr="00542D56" w:rsidRDefault="00542D56" w:rsidP="00542D56">
      <w:pPr>
        <w:spacing w:after="0" w:line="240" w:lineRule="auto"/>
        <w:jc w:val="both"/>
        <w:rPr>
          <w:rFonts w:ascii="Verdana" w:eastAsia="Calibri" w:hAnsi="Verdana" w:cs="Arial"/>
          <w:b/>
          <w:bCs/>
          <w:lang w:val="es-ES" w:eastAsia="es-ES"/>
        </w:rPr>
      </w:pPr>
      <w:r w:rsidRPr="00542D56">
        <w:rPr>
          <w:rFonts w:ascii="Verdana" w:eastAsia="Calibri" w:hAnsi="Verdana" w:cs="Arial"/>
          <w:b/>
          <w:bCs/>
          <w:lang w:val="es-ES" w:eastAsia="es-ES"/>
        </w:rPr>
        <w:t xml:space="preserve">Dairo Javier Blanco </w:t>
      </w:r>
    </w:p>
    <w:p w14:paraId="2983EB1A" w14:textId="77777777" w:rsidR="00542D56" w:rsidRPr="00542D56" w:rsidRDefault="00542D56" w:rsidP="00542D56">
      <w:pPr>
        <w:spacing w:after="0" w:line="240" w:lineRule="auto"/>
        <w:jc w:val="both"/>
        <w:rPr>
          <w:rFonts w:ascii="Verdana" w:eastAsia="Calibri" w:hAnsi="Verdana" w:cs="Arial"/>
          <w:lang w:val="es-ES" w:eastAsia="es-ES"/>
        </w:rPr>
      </w:pPr>
      <w:hyperlink r:id="rId10" w:history="1">
        <w:r w:rsidRPr="00542D56">
          <w:rPr>
            <w:rFonts w:ascii="Verdana" w:eastAsia="Calibri" w:hAnsi="Verdana" w:cs="Arial"/>
            <w:color w:val="0000FF"/>
            <w:u w:val="single"/>
            <w:lang w:val="es-ES" w:eastAsia="es-ES"/>
          </w:rPr>
          <w:t>djavman@gmail.com</w:t>
        </w:r>
      </w:hyperlink>
      <w:r w:rsidRPr="00542D56">
        <w:rPr>
          <w:rFonts w:ascii="Verdana" w:eastAsia="Calibri" w:hAnsi="Verdana" w:cs="Arial"/>
          <w:lang w:val="es-ES" w:eastAsia="es-ES"/>
        </w:rPr>
        <w:t xml:space="preserve"> </w:t>
      </w:r>
    </w:p>
    <w:p w14:paraId="44DF191D" w14:textId="77777777" w:rsidR="00542D56" w:rsidRDefault="00542D56" w:rsidP="00542D56">
      <w:pPr>
        <w:spacing w:after="0" w:line="240" w:lineRule="auto"/>
        <w:jc w:val="both"/>
        <w:rPr>
          <w:rFonts w:ascii="Verdana" w:eastAsia="Calibri" w:hAnsi="Verdana" w:cs="Arial"/>
          <w:lang w:val="es-ES" w:eastAsia="es-ES"/>
        </w:rPr>
      </w:pPr>
      <w:r w:rsidRPr="00542D56">
        <w:rPr>
          <w:rFonts w:ascii="Verdana" w:eastAsia="Calibri" w:hAnsi="Verdana" w:cs="Arial"/>
          <w:lang w:val="es-ES" w:eastAsia="es-ES"/>
        </w:rPr>
        <w:t>Bogotá D.C</w:t>
      </w:r>
    </w:p>
    <w:p w14:paraId="23FF86A3" w14:textId="77777777" w:rsidR="008F4A1C" w:rsidRDefault="008F4A1C" w:rsidP="00542D56">
      <w:pPr>
        <w:spacing w:after="0" w:line="240" w:lineRule="auto"/>
        <w:jc w:val="both"/>
        <w:rPr>
          <w:rFonts w:ascii="Verdana" w:eastAsia="Calibri" w:hAnsi="Verdana" w:cs="Arial"/>
          <w:lang w:val="es-ES" w:eastAsia="es-ES"/>
        </w:rPr>
      </w:pPr>
    </w:p>
    <w:p w14:paraId="7ED82BC5" w14:textId="77777777" w:rsidR="008F4A1C" w:rsidRDefault="008F4A1C" w:rsidP="00542D56">
      <w:pPr>
        <w:spacing w:after="0" w:line="240" w:lineRule="auto"/>
        <w:jc w:val="both"/>
        <w:rPr>
          <w:rFonts w:ascii="Verdana" w:eastAsia="Calibri" w:hAnsi="Verdana" w:cs="Arial"/>
          <w:lang w:val="es-ES" w:eastAsia="es-ES"/>
        </w:rPr>
      </w:pPr>
    </w:p>
    <w:p w14:paraId="0E4F05D5" w14:textId="17A564E9" w:rsidR="008F4A1C" w:rsidRPr="00542D56" w:rsidRDefault="008F4A1C" w:rsidP="008F4A1C">
      <w:pPr>
        <w:spacing w:after="0" w:line="240" w:lineRule="auto"/>
        <w:jc w:val="right"/>
        <w:rPr>
          <w:rFonts w:ascii="Verdana" w:eastAsia="Calibri" w:hAnsi="Verdana" w:cs="Arial"/>
          <w:b/>
          <w:bCs/>
          <w:lang w:val="es-ES" w:eastAsia="es-ES"/>
        </w:rPr>
      </w:pPr>
      <w:r w:rsidRPr="008F4A1C">
        <w:rPr>
          <w:rFonts w:ascii="Verdana" w:eastAsia="Calibri" w:hAnsi="Verdana" w:cs="Arial"/>
          <w:b/>
          <w:bCs/>
          <w:lang w:val="es-ES" w:eastAsia="es-ES"/>
        </w:rPr>
        <w:drawing>
          <wp:inline distT="0" distB="0" distL="0" distR="0" wp14:anchorId="3F1CEADA" wp14:editId="04CED838">
            <wp:extent cx="3314700" cy="981075"/>
            <wp:effectExtent l="0" t="0" r="0" b="9525"/>
            <wp:docPr id="17709207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20700" name="Imagen 1" descr="Texto&#10;&#10;Descripción generada automáticamente"/>
                    <pic:cNvPicPr/>
                  </pic:nvPicPr>
                  <pic:blipFill>
                    <a:blip r:embed="rId11"/>
                    <a:stretch>
                      <a:fillRect/>
                    </a:stretch>
                  </pic:blipFill>
                  <pic:spPr>
                    <a:xfrm>
                      <a:off x="0" y="0"/>
                      <a:ext cx="3314700" cy="981075"/>
                    </a:xfrm>
                    <a:prstGeom prst="rect">
                      <a:avLst/>
                    </a:prstGeom>
                  </pic:spPr>
                </pic:pic>
              </a:graphicData>
            </a:graphic>
          </wp:inline>
        </w:drawing>
      </w:r>
    </w:p>
    <w:p w14:paraId="3DD3511E" w14:textId="77777777" w:rsidR="00542D56" w:rsidRPr="00542D56" w:rsidRDefault="00542D56" w:rsidP="00542D56">
      <w:pPr>
        <w:spacing w:after="0" w:line="240" w:lineRule="auto"/>
        <w:rPr>
          <w:rFonts w:ascii="Verdana" w:eastAsia="Calibri" w:hAnsi="Verdana" w:cs="Arial"/>
          <w:b/>
          <w:bCs/>
          <w:lang w:val="es-ES_tradnl" w:eastAsia="es-ES_tradnl"/>
        </w:rPr>
      </w:pPr>
    </w:p>
    <w:p w14:paraId="6EDBAEBB" w14:textId="77777777" w:rsidR="00542D56" w:rsidRPr="00542D56" w:rsidRDefault="00542D56" w:rsidP="00542D5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42D56" w:rsidRPr="00542D56" w14:paraId="153971FE" w14:textId="77777777" w:rsidTr="0024557B">
        <w:trPr>
          <w:trHeight w:val="884"/>
        </w:trPr>
        <w:tc>
          <w:tcPr>
            <w:tcW w:w="2689" w:type="dxa"/>
          </w:tcPr>
          <w:p w14:paraId="7CCB3D08" w14:textId="77777777" w:rsidR="00542D56" w:rsidRPr="00542D56" w:rsidRDefault="00542D56" w:rsidP="00542D56">
            <w:pPr>
              <w:jc w:val="both"/>
              <w:rPr>
                <w:rFonts w:ascii="Verdana" w:eastAsia="Calibri" w:hAnsi="Verdana" w:cs="Arial"/>
                <w:b/>
                <w:bCs/>
                <w:lang w:val="es-ES_tradnl" w:eastAsia="es-ES_tradnl"/>
              </w:rPr>
            </w:pPr>
          </w:p>
        </w:tc>
        <w:tc>
          <w:tcPr>
            <w:tcW w:w="6100" w:type="dxa"/>
          </w:tcPr>
          <w:p w14:paraId="1BF15AEA" w14:textId="77777777" w:rsidR="00542D56" w:rsidRPr="00542D56" w:rsidRDefault="00542D56" w:rsidP="00542D56">
            <w:pPr>
              <w:jc w:val="both"/>
              <w:rPr>
                <w:rFonts w:ascii="Verdana" w:eastAsia="Calibri" w:hAnsi="Verdana" w:cs="Arial"/>
                <w:b/>
                <w:bCs/>
                <w:lang w:val="es-ES" w:eastAsia="es-ES"/>
              </w:rPr>
            </w:pPr>
            <w:r w:rsidRPr="00542D56">
              <w:rPr>
                <w:rFonts w:ascii="Verdana" w:eastAsia="Calibri" w:hAnsi="Verdana" w:cs="Arial"/>
                <w:b/>
                <w:bCs/>
                <w:lang w:val="es-ES" w:eastAsia="es-ES"/>
              </w:rPr>
              <w:t>Concepto C – 743 de 2024</w:t>
            </w:r>
          </w:p>
        </w:tc>
      </w:tr>
      <w:tr w:rsidR="00542D56" w:rsidRPr="00542D56" w14:paraId="42E2076A" w14:textId="77777777" w:rsidTr="0024557B">
        <w:trPr>
          <w:trHeight w:val="884"/>
        </w:trPr>
        <w:tc>
          <w:tcPr>
            <w:tcW w:w="2689" w:type="dxa"/>
          </w:tcPr>
          <w:p w14:paraId="57D6CC7A" w14:textId="77777777" w:rsidR="00542D56" w:rsidRPr="00542D56" w:rsidRDefault="00542D56" w:rsidP="00542D56">
            <w:pPr>
              <w:jc w:val="both"/>
              <w:rPr>
                <w:rFonts w:ascii="Verdana" w:eastAsia="Calibri" w:hAnsi="Verdana" w:cs="Arial"/>
                <w:lang w:val="es-ES_tradnl" w:eastAsia="es-ES_tradnl"/>
              </w:rPr>
            </w:pPr>
            <w:r w:rsidRPr="00542D56">
              <w:rPr>
                <w:rFonts w:ascii="Verdana" w:eastAsia="Calibri" w:hAnsi="Verdana" w:cs="Arial"/>
                <w:b/>
                <w:lang w:val="es-ES_tradnl" w:eastAsia="es-ES_tradnl"/>
              </w:rPr>
              <w:t>Temas:</w:t>
            </w:r>
            <w:r w:rsidRPr="00542D56">
              <w:rPr>
                <w:rFonts w:ascii="Verdana" w:eastAsia="Calibri" w:hAnsi="Verdana" w:cs="Arial"/>
                <w:lang w:val="es-ES_tradnl" w:eastAsia="es-ES_tradnl"/>
              </w:rPr>
              <w:t xml:space="preserve">                   </w:t>
            </w:r>
          </w:p>
        </w:tc>
        <w:tc>
          <w:tcPr>
            <w:tcW w:w="6100" w:type="dxa"/>
          </w:tcPr>
          <w:p w14:paraId="666F4ECB" w14:textId="77777777" w:rsidR="00542D56" w:rsidRPr="00542D56" w:rsidRDefault="00542D56" w:rsidP="00542D56">
            <w:pPr>
              <w:shd w:val="clear" w:color="auto" w:fill="FFFFFF"/>
              <w:spacing w:line="276" w:lineRule="auto"/>
              <w:contextualSpacing/>
              <w:jc w:val="both"/>
              <w:rPr>
                <w:rFonts w:ascii="Verdana" w:eastAsia="Calibri" w:hAnsi="Verdana" w:cs="Arial"/>
                <w:lang w:val="es-ES" w:eastAsia="es-ES"/>
              </w:rPr>
            </w:pPr>
            <w:r w:rsidRPr="00542D56">
              <w:rPr>
                <w:rFonts w:ascii="Verdana" w:eastAsia="Calibri" w:hAnsi="Verdana" w:cs="Arial"/>
                <w:lang w:val="es-ES" w:eastAsia="es-ES"/>
              </w:rPr>
              <w:t>DOCUMENTOS TIPO – Fundamento normativo – Ley 2022 de 2020 / DOCUMENTOS TIPO DE INFRAESTRUCTURA SOCIAL – Resolución 219 de 2021 - Generalidades / DOCUMENTOS TIPO DE INFRAESTRUCTURA SOCIAL – Cultura, recreación y deporte – Matriz – Experiencia – Inalterabilidad</w:t>
            </w:r>
          </w:p>
          <w:p w14:paraId="572E9FDB" w14:textId="77777777" w:rsidR="00542D56" w:rsidRPr="00542D56" w:rsidRDefault="00542D56" w:rsidP="00542D56">
            <w:pPr>
              <w:shd w:val="clear" w:color="auto" w:fill="FFFFFF"/>
              <w:spacing w:line="276" w:lineRule="auto"/>
              <w:contextualSpacing/>
              <w:jc w:val="both"/>
              <w:rPr>
                <w:rFonts w:ascii="Verdana" w:eastAsia="Calibri" w:hAnsi="Verdana" w:cs="Arial"/>
                <w:lang w:val="es-MX" w:eastAsia="es-ES_tradnl"/>
              </w:rPr>
            </w:pPr>
          </w:p>
          <w:p w14:paraId="32B773CB" w14:textId="77777777" w:rsidR="00542D56" w:rsidRPr="00542D56" w:rsidRDefault="00542D56" w:rsidP="00542D56">
            <w:pPr>
              <w:spacing w:line="276" w:lineRule="auto"/>
              <w:jc w:val="both"/>
              <w:rPr>
                <w:rFonts w:ascii="Verdana" w:eastAsia="Calibri" w:hAnsi="Verdana" w:cs="Arial"/>
                <w:highlight w:val="yellow"/>
                <w:lang w:val="es-ES" w:eastAsia="es-ES"/>
              </w:rPr>
            </w:pPr>
          </w:p>
        </w:tc>
      </w:tr>
      <w:tr w:rsidR="00542D56" w:rsidRPr="00542D56" w14:paraId="427D0C8A" w14:textId="77777777" w:rsidTr="0024557B">
        <w:tc>
          <w:tcPr>
            <w:tcW w:w="2689" w:type="dxa"/>
          </w:tcPr>
          <w:p w14:paraId="74435116" w14:textId="77777777" w:rsidR="00542D56" w:rsidRPr="00542D56" w:rsidRDefault="00542D56" w:rsidP="00542D56">
            <w:pPr>
              <w:jc w:val="both"/>
              <w:rPr>
                <w:rFonts w:ascii="Verdana" w:eastAsia="Calibri" w:hAnsi="Verdana" w:cs="Arial"/>
                <w:b/>
                <w:lang w:val="es-ES_tradnl" w:eastAsia="es-ES_tradnl"/>
              </w:rPr>
            </w:pPr>
            <w:r w:rsidRPr="00542D56">
              <w:rPr>
                <w:rFonts w:ascii="Verdana" w:eastAsia="Calibri" w:hAnsi="Verdana" w:cs="Arial"/>
                <w:b/>
                <w:lang w:val="es-ES_tradnl" w:eastAsia="es-ES_tradnl"/>
              </w:rPr>
              <w:t>Radicación:</w:t>
            </w:r>
            <w:r w:rsidRPr="00542D56">
              <w:rPr>
                <w:rFonts w:ascii="Verdana" w:eastAsia="Calibri" w:hAnsi="Verdana" w:cs="Arial"/>
                <w:lang w:val="es-ES_tradnl" w:eastAsia="es-ES_tradnl"/>
              </w:rPr>
              <w:t xml:space="preserve">               </w:t>
            </w:r>
          </w:p>
        </w:tc>
        <w:tc>
          <w:tcPr>
            <w:tcW w:w="6100" w:type="dxa"/>
          </w:tcPr>
          <w:p w14:paraId="558AA231" w14:textId="77777777" w:rsidR="00542D56" w:rsidRPr="00542D56" w:rsidRDefault="00542D56" w:rsidP="00542D56">
            <w:pPr>
              <w:jc w:val="both"/>
              <w:rPr>
                <w:rFonts w:ascii="Verdana" w:eastAsia="Calibri" w:hAnsi="Verdana" w:cs="Arial"/>
                <w:lang w:val="es-ES_tradnl" w:eastAsia="es-ES_tradnl"/>
              </w:rPr>
            </w:pPr>
            <w:r w:rsidRPr="00542D56">
              <w:rPr>
                <w:rFonts w:ascii="Verdana" w:eastAsia="Calibri" w:hAnsi="Verdana" w:cs="Arial"/>
                <w:lang w:val="es-ES_tradnl" w:eastAsia="es-ES_tradnl"/>
              </w:rPr>
              <w:t>Respuesta a consulta con radicado No. P20241016010498</w:t>
            </w:r>
          </w:p>
        </w:tc>
      </w:tr>
    </w:tbl>
    <w:p w14:paraId="5256E2B2" w14:textId="77777777" w:rsidR="00542D56" w:rsidRPr="00542D56" w:rsidRDefault="00542D56" w:rsidP="00542D56">
      <w:pPr>
        <w:spacing w:after="0" w:line="240" w:lineRule="auto"/>
        <w:jc w:val="both"/>
        <w:rPr>
          <w:rFonts w:ascii="Verdana" w:eastAsia="Calibri" w:hAnsi="Verdana" w:cs="Arial"/>
          <w:lang w:val="es-ES_tradnl" w:eastAsia="es-ES_tradnl"/>
        </w:rPr>
      </w:pPr>
    </w:p>
    <w:p w14:paraId="6A43BB53" w14:textId="77777777" w:rsidR="00542D56" w:rsidRPr="00542D56" w:rsidRDefault="00542D56" w:rsidP="00542D56">
      <w:pPr>
        <w:spacing w:after="0" w:line="240" w:lineRule="auto"/>
        <w:jc w:val="both"/>
        <w:rPr>
          <w:rFonts w:ascii="Verdana" w:eastAsia="Calibri" w:hAnsi="Verdana" w:cs="Arial"/>
          <w:lang w:val="es-ES_tradnl" w:eastAsia="es-ES_tradnl"/>
        </w:rPr>
      </w:pPr>
    </w:p>
    <w:p w14:paraId="4376583D" w14:textId="77777777" w:rsidR="00542D56" w:rsidRPr="00542D56" w:rsidRDefault="00542D56" w:rsidP="00542D56">
      <w:pPr>
        <w:spacing w:after="0" w:line="276" w:lineRule="auto"/>
        <w:jc w:val="both"/>
        <w:rPr>
          <w:rFonts w:ascii="Verdana" w:eastAsia="Calibri" w:hAnsi="Verdana" w:cs="Arial"/>
          <w:lang w:val="es-ES" w:eastAsia="es-ES"/>
        </w:rPr>
      </w:pPr>
      <w:r w:rsidRPr="00542D56">
        <w:rPr>
          <w:rFonts w:ascii="Verdana" w:eastAsia="Calibri" w:hAnsi="Verdana" w:cs="Arial"/>
          <w:lang w:val="es-ES" w:eastAsia="es-ES"/>
        </w:rPr>
        <w:t xml:space="preserve">Estimado Javier: </w:t>
      </w:r>
    </w:p>
    <w:p w14:paraId="2E23E405" w14:textId="77777777" w:rsidR="00542D56" w:rsidRPr="00542D56" w:rsidRDefault="00542D56" w:rsidP="00542D56">
      <w:pPr>
        <w:tabs>
          <w:tab w:val="left" w:pos="3768"/>
        </w:tabs>
        <w:spacing w:after="0" w:line="276" w:lineRule="auto"/>
        <w:jc w:val="both"/>
        <w:rPr>
          <w:rFonts w:ascii="Verdana" w:eastAsia="Calibri" w:hAnsi="Verdana" w:cs="Arial"/>
          <w:lang w:val="es-ES" w:eastAsia="es-ES"/>
        </w:rPr>
      </w:pPr>
      <w:r w:rsidRPr="00542D56">
        <w:rPr>
          <w:rFonts w:ascii="Verdana" w:eastAsia="Calibri" w:hAnsi="Verdana" w:cs="Arial"/>
          <w:lang w:val="es-ES" w:eastAsia="es-ES"/>
        </w:rPr>
        <w:tab/>
      </w:r>
    </w:p>
    <w:p w14:paraId="31EF4EB6" w14:textId="77777777" w:rsidR="00542D56" w:rsidRPr="00542D56" w:rsidRDefault="00542D56" w:rsidP="00542D56">
      <w:pPr>
        <w:spacing w:after="0" w:line="276" w:lineRule="auto"/>
        <w:jc w:val="both"/>
        <w:rPr>
          <w:rFonts w:ascii="Verdana" w:eastAsia="Calibri" w:hAnsi="Verdana" w:cs="Arial"/>
          <w:lang w:val="es-ES" w:eastAsia="es-ES"/>
        </w:rPr>
      </w:pPr>
      <w:r w:rsidRPr="00542D56">
        <w:rPr>
          <w:rFonts w:ascii="Verdana" w:eastAsia="Calibri" w:hAnsi="Verdana" w:cs="Arial"/>
          <w:lang w:val="es-ES" w:eastAsia="es-ES"/>
        </w:rPr>
        <w:t>En ejercicio de la competencia otorgada por los artículos 3, numeral 5º, y 11, numeral 8º, del Decreto Ley 4170 de 2011,</w:t>
      </w:r>
      <w:r w:rsidRPr="00542D56">
        <w:rPr>
          <w:rFonts w:ascii="Verdana" w:eastAsia="Arial MT" w:hAnsi="Verdana" w:cs="Arial MT"/>
          <w:lang w:val="es-ES" w:eastAsia="es-ES"/>
        </w:rPr>
        <w:t xml:space="preserve"> </w:t>
      </w:r>
      <w:r w:rsidRPr="00542D56">
        <w:rPr>
          <w:rFonts w:ascii="Verdana" w:eastAsia="Calibri" w:hAnsi="Verdana" w:cs="Arial"/>
        </w:rPr>
        <w:t xml:space="preserve">así como lo establecido en el artículo 4 de la Resolución 1707 de 2018 expedida por esta Entidad, </w:t>
      </w:r>
      <w:r w:rsidRPr="00542D56">
        <w:rPr>
          <w:rFonts w:ascii="Verdana" w:eastAsia="Calibri" w:hAnsi="Verdana" w:cs="Arial"/>
          <w:lang w:val="es-ES" w:eastAsia="es-ES"/>
        </w:rPr>
        <w:t xml:space="preserve">la Agencia Nacional de Contratación Pública – Colombia Compra Eficiente responde su solicitud de </w:t>
      </w:r>
      <w:r w:rsidRPr="00542D56">
        <w:rPr>
          <w:rFonts w:ascii="Verdana" w:eastAsia="Calibri" w:hAnsi="Verdana" w:cs="Arial"/>
          <w:lang w:val="es-ES" w:eastAsia="es-ES"/>
        </w:rPr>
        <w:lastRenderedPageBreak/>
        <w:t xml:space="preserve">consulta de fecha 16 de octubre de 2024. En relación con los pliegos tipo de infraestructura social, usted manifiesta lo siguiente: </w:t>
      </w:r>
    </w:p>
    <w:p w14:paraId="44AB6D1D" w14:textId="77777777" w:rsidR="00542D56" w:rsidRPr="00542D56" w:rsidRDefault="00542D56" w:rsidP="00542D56">
      <w:pPr>
        <w:spacing w:after="0" w:line="276" w:lineRule="auto"/>
        <w:jc w:val="both"/>
        <w:rPr>
          <w:rFonts w:ascii="Verdana" w:eastAsia="Calibri" w:hAnsi="Verdana" w:cs="Arial"/>
          <w:lang w:val="es-ES" w:eastAsia="es-ES"/>
        </w:rPr>
      </w:pPr>
    </w:p>
    <w:p w14:paraId="7F85D8EF" w14:textId="77777777" w:rsidR="00542D56" w:rsidRPr="00542D56" w:rsidRDefault="00542D56" w:rsidP="00542D56">
      <w:pPr>
        <w:spacing w:after="0" w:line="240" w:lineRule="auto"/>
        <w:ind w:left="709" w:right="709"/>
        <w:jc w:val="both"/>
        <w:rPr>
          <w:rFonts w:ascii="Verdana" w:eastAsia="Calibri" w:hAnsi="Verdana" w:cs="Arial"/>
          <w:lang w:val="es-ES" w:eastAsia="es-ES"/>
        </w:rPr>
      </w:pPr>
      <w:r w:rsidRPr="00542D56">
        <w:rPr>
          <w:rFonts w:ascii="Verdana" w:eastAsia="Calibri" w:hAnsi="Verdana" w:cs="Arial"/>
          <w:sz w:val="21"/>
          <w:szCs w:val="21"/>
          <w:lang w:val="es-ES" w:eastAsia="es-ES"/>
        </w:rPr>
        <w:t>"</w:t>
      </w:r>
      <w:r w:rsidRPr="00542D56">
        <w:rPr>
          <w:rFonts w:ascii="Verdana" w:eastAsia="Calibri" w:hAnsi="Verdana" w:cs="Arial"/>
          <w:sz w:val="20"/>
          <w:szCs w:val="20"/>
          <w:lang w:val="es-ES" w:eastAsia="es-ES"/>
        </w:rPr>
        <w:t>Tenemos planeada la contratación para ejecutar el reforzamiento estructural del edificio de la alcaldía de nuestro municipio, proceso que por su valor será una licitación pública, mi pregunta es si en este proceso contractual se deben usar o no los pliegos tipo de infraestructura social”</w:t>
      </w:r>
      <w:r w:rsidRPr="00542D56">
        <w:rPr>
          <w:rFonts w:ascii="Verdana" w:eastAsia="Calibri" w:hAnsi="Verdana" w:cs="Arial"/>
          <w:lang w:val="es-ES" w:eastAsia="es-ES"/>
        </w:rPr>
        <w:t xml:space="preserve"> </w:t>
      </w:r>
    </w:p>
    <w:p w14:paraId="4CE03C23" w14:textId="77777777" w:rsidR="00542D56" w:rsidRPr="00542D56" w:rsidRDefault="00542D56" w:rsidP="00542D56">
      <w:pPr>
        <w:spacing w:after="0" w:line="240" w:lineRule="auto"/>
        <w:ind w:left="709" w:right="709"/>
        <w:jc w:val="both"/>
        <w:rPr>
          <w:rFonts w:ascii="Verdana" w:eastAsia="Calibri" w:hAnsi="Verdana" w:cs="Arial"/>
          <w:sz w:val="21"/>
          <w:szCs w:val="21"/>
          <w:lang w:val="es-ES" w:eastAsia="es-ES"/>
        </w:rPr>
      </w:pPr>
    </w:p>
    <w:p w14:paraId="516FF988" w14:textId="77777777" w:rsidR="00542D56" w:rsidRPr="00542D56" w:rsidRDefault="00542D56" w:rsidP="00542D56">
      <w:pPr>
        <w:spacing w:after="120" w:line="276" w:lineRule="auto"/>
        <w:ind w:firstLine="709"/>
        <w:jc w:val="both"/>
        <w:rPr>
          <w:rFonts w:ascii="Verdana" w:eastAsia="Calibri" w:hAnsi="Verdana" w:cs="Arial"/>
          <w:szCs w:val="24"/>
          <w:lang w:val="es-ES_tradnl" w:eastAsia="es-ES_tradnl"/>
        </w:rPr>
      </w:pPr>
      <w:r w:rsidRPr="00542D5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42D56">
        <w:rPr>
          <w:rFonts w:ascii="Verdana" w:eastAsia="Calibri" w:hAnsi="Verdana" w:cs="Arial"/>
          <w:szCs w:val="24"/>
          <w:lang w:val="es-ES_tradnl" w:eastAsia="es-ES_tradnl"/>
        </w:rPr>
        <w:tab/>
      </w:r>
    </w:p>
    <w:p w14:paraId="4FC4C90C" w14:textId="77777777" w:rsidR="00542D56" w:rsidRPr="00542D56" w:rsidRDefault="00542D56" w:rsidP="00542D56">
      <w:pPr>
        <w:spacing w:after="0" w:line="276" w:lineRule="auto"/>
        <w:ind w:firstLine="709"/>
        <w:jc w:val="both"/>
        <w:rPr>
          <w:rFonts w:ascii="Verdana" w:eastAsia="Calibri" w:hAnsi="Verdana" w:cs="Arial"/>
          <w:lang w:val="es-ES" w:eastAsia="es-ES"/>
        </w:rPr>
      </w:pPr>
      <w:r w:rsidRPr="00542D56">
        <w:rPr>
          <w:rFonts w:ascii="Verdana" w:eastAsia="Calibri" w:hAnsi="Verdana" w:cs="Arial"/>
          <w:lang w:val="es-ES" w:eastAsia="es-ES"/>
        </w:rPr>
        <w:t>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00542D56">
        <w:rPr>
          <w:rFonts w:ascii="Verdana" w:eastAsia="Calibri" w:hAnsi="Verdana" w:cs="Arial"/>
          <w:lang w:val="es-ES" w:eastAsia="es-ES"/>
        </w:rPr>
        <w:tab/>
      </w:r>
    </w:p>
    <w:p w14:paraId="4B61A7C0" w14:textId="77777777" w:rsidR="00542D56" w:rsidRPr="00542D56" w:rsidRDefault="00542D56" w:rsidP="00542D56">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542D56">
        <w:rPr>
          <w:rFonts w:ascii="Verdana" w:eastAsia="Century Gothic" w:hAnsi="Verdana" w:cs="Century Gothic"/>
          <w:b/>
          <w:bCs/>
          <w:lang w:val="es-ES"/>
        </w:rPr>
        <w:t>Problema planteado:</w:t>
      </w:r>
    </w:p>
    <w:p w14:paraId="7C6D5B25" w14:textId="77777777" w:rsidR="00542D56" w:rsidRPr="00542D56" w:rsidRDefault="00542D56" w:rsidP="00542D56">
      <w:pPr>
        <w:tabs>
          <w:tab w:val="left" w:pos="426"/>
        </w:tabs>
        <w:spacing w:after="0" w:line="276" w:lineRule="auto"/>
        <w:jc w:val="both"/>
        <w:rPr>
          <w:rFonts w:ascii="Verdana" w:eastAsia="Century Gothic" w:hAnsi="Verdana" w:cs="Century Gothic"/>
          <w:lang w:val="es-ES"/>
        </w:rPr>
      </w:pPr>
    </w:p>
    <w:p w14:paraId="0A4E97F3" w14:textId="77777777" w:rsidR="00542D56" w:rsidRPr="00542D56" w:rsidRDefault="00542D56" w:rsidP="00542D56">
      <w:pPr>
        <w:snapToGrid w:val="0"/>
        <w:spacing w:after="0" w:line="276" w:lineRule="auto"/>
        <w:jc w:val="both"/>
        <w:rPr>
          <w:rFonts w:ascii="Verdana" w:eastAsia="Century Gothic" w:hAnsi="Verdana" w:cs="Century Gothic"/>
        </w:rPr>
      </w:pPr>
      <w:r w:rsidRPr="00542D56">
        <w:rPr>
          <w:rFonts w:ascii="Verdana" w:eastAsia="Century Gothic" w:hAnsi="Verdana" w:cs="Century Gothic"/>
        </w:rPr>
        <w:t>De acuerdo con el contenido de su solicitud, esta Agencia resolverá el siguiente problema jurídico: ¿Cómo se determina si se debe utilizar los documentos tipo del sector de infraestructura social en un proceso contractual?</w:t>
      </w:r>
    </w:p>
    <w:p w14:paraId="04280259" w14:textId="77777777" w:rsidR="00542D56" w:rsidRPr="00542D56" w:rsidRDefault="00542D56" w:rsidP="00542D56">
      <w:pPr>
        <w:snapToGrid w:val="0"/>
        <w:spacing w:after="0" w:line="276" w:lineRule="auto"/>
        <w:jc w:val="both"/>
        <w:rPr>
          <w:rFonts w:ascii="Verdana" w:eastAsia="Calibri" w:hAnsi="Verdana" w:cs="Arial"/>
          <w:lang w:val="es-ES"/>
        </w:rPr>
      </w:pPr>
    </w:p>
    <w:p w14:paraId="0DEEC53C" w14:textId="77777777" w:rsidR="00542D56" w:rsidRPr="00542D56" w:rsidRDefault="00542D56" w:rsidP="00542D5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542D56">
        <w:rPr>
          <w:rFonts w:ascii="Verdana" w:eastAsia="Century Gothic" w:hAnsi="Verdana" w:cs="Century Gothic"/>
          <w:b/>
          <w:bCs/>
          <w:lang w:val="es-ES"/>
        </w:rPr>
        <w:t>Respuesta:</w:t>
      </w:r>
    </w:p>
    <w:p w14:paraId="1C114B6B" w14:textId="77777777" w:rsidR="00542D56" w:rsidRPr="00542D56" w:rsidRDefault="00542D56" w:rsidP="00542D56">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542D56" w:rsidRPr="00542D56" w14:paraId="207C3704" w14:textId="77777777" w:rsidTr="0024557B">
        <w:tc>
          <w:tcPr>
            <w:tcW w:w="8828" w:type="dxa"/>
            <w:shd w:val="clear" w:color="auto" w:fill="auto"/>
          </w:tcPr>
          <w:p w14:paraId="5E86F952" w14:textId="77777777" w:rsidR="00542D56" w:rsidRPr="00542D56" w:rsidRDefault="00542D56" w:rsidP="00542D56">
            <w:pPr>
              <w:spacing w:line="276" w:lineRule="auto"/>
              <w:jc w:val="both"/>
              <w:rPr>
                <w:rFonts w:ascii="Verdana" w:eastAsia="Calibri" w:hAnsi="Verdana" w:cs="Arial"/>
                <w:lang w:val="es-ES"/>
              </w:rPr>
            </w:pPr>
            <w:r w:rsidRPr="00542D56">
              <w:rPr>
                <w:rFonts w:ascii="Verdana" w:eastAsia="Calibri" w:hAnsi="Verdana" w:cs="Arial"/>
                <w:lang w:val="es-ES"/>
              </w:rPr>
              <w:t xml:space="preserve">Para establecer si determinado objeto contractual se encuentra cobijado o no por los Documentos Tipo del sector de infraestructura social, es necesario determinar si el mismo se enmarca en las respectivas matrices de experiencia. De esta manera, solo resulta obligatoria la aplicación de este documento tipo </w:t>
            </w:r>
            <w:r w:rsidRPr="00542D56">
              <w:rPr>
                <w:rFonts w:ascii="Verdana" w:eastAsia="Calibri" w:hAnsi="Verdana" w:cs="Arial"/>
                <w:lang w:val="es-ES"/>
              </w:rPr>
              <w:lastRenderedPageBreak/>
              <w:t>en particular cuando se ha establecido que en el objeto en la que debe contratarse están dentro del ámbito de aplicación de las resoluciones expedidas para los sectores de infraestructura social.</w:t>
            </w:r>
          </w:p>
          <w:p w14:paraId="7B17BA7E" w14:textId="77777777" w:rsidR="00542D56" w:rsidRPr="00542D56" w:rsidRDefault="00542D56" w:rsidP="00542D56">
            <w:pPr>
              <w:spacing w:line="276" w:lineRule="auto"/>
              <w:jc w:val="both"/>
              <w:rPr>
                <w:rFonts w:ascii="Verdana" w:eastAsia="Calibri" w:hAnsi="Verdana" w:cs="Times New Roman"/>
              </w:rPr>
            </w:pPr>
          </w:p>
          <w:p w14:paraId="585A6FB4" w14:textId="77777777" w:rsidR="00542D56" w:rsidRPr="00542D56" w:rsidRDefault="00542D56" w:rsidP="00542D56">
            <w:pPr>
              <w:spacing w:line="276" w:lineRule="auto"/>
              <w:contextualSpacing/>
              <w:jc w:val="both"/>
              <w:rPr>
                <w:rFonts w:ascii="Verdana" w:eastAsia="Calibri" w:hAnsi="Verdana" w:cs="Times New Roman"/>
                <w:sz w:val="21"/>
                <w:szCs w:val="21"/>
                <w:lang w:val="es-ES"/>
              </w:rPr>
            </w:pPr>
            <w:r w:rsidRPr="00542D56">
              <w:rPr>
                <w:rFonts w:ascii="Verdana" w:eastAsia="Calibri" w:hAnsi="Verdana" w:cs="Times New Roman"/>
                <w:lang w:val="es-ES"/>
              </w:rPr>
              <w:t xml:space="preserve">Los Documentos Tipo para la contratación de obras públicas de infraestructura social, adoptados por esta Agencia mediante la Resolución 219 del 6 de agosto de 2021, fueron concebidos como unos </w:t>
            </w:r>
            <w:r w:rsidRPr="00542D56">
              <w:rPr>
                <w:rFonts w:ascii="Verdana" w:eastAsia="Calibri" w:hAnsi="Verdana" w:cs="Times New Roman"/>
                <w:i/>
                <w:iCs/>
                <w:lang w:val="es-ES"/>
              </w:rPr>
              <w:t>Documentos Tipo marco o transversales</w:t>
            </w:r>
            <w:r w:rsidRPr="00542D56">
              <w:rPr>
                <w:rFonts w:ascii="Verdana" w:eastAsia="Calibri" w:hAnsi="Verdana" w:cs="Times New Roman"/>
                <w:lang w:val="es-ES"/>
              </w:rPr>
              <w:t xml:space="preserve">, en la medida que el documento base, formatos, matrices y anexos implementados mediante la misma, son aplicables a la contratación de obras en la modalidad de licitación pública, relacionadas con tres sectores que integran el concepto de infraestructura social, a saber: i) educación, </w:t>
            </w:r>
            <w:proofErr w:type="spellStart"/>
            <w:r w:rsidRPr="00542D56">
              <w:rPr>
                <w:rFonts w:ascii="Verdana" w:eastAsia="Calibri" w:hAnsi="Verdana" w:cs="Times New Roman"/>
                <w:lang w:val="es-ES"/>
              </w:rPr>
              <w:t>ii</w:t>
            </w:r>
            <w:proofErr w:type="spellEnd"/>
            <w:r w:rsidRPr="00542D56">
              <w:rPr>
                <w:rFonts w:ascii="Verdana" w:eastAsia="Calibri" w:hAnsi="Verdana" w:cs="Times New Roman"/>
                <w:lang w:val="es-ES"/>
              </w:rPr>
              <w:t xml:space="preserve">) salud y  </w:t>
            </w:r>
            <w:proofErr w:type="spellStart"/>
            <w:r w:rsidRPr="00542D56">
              <w:rPr>
                <w:rFonts w:ascii="Verdana" w:eastAsia="Calibri" w:hAnsi="Verdana" w:cs="Times New Roman"/>
                <w:lang w:val="es-ES"/>
              </w:rPr>
              <w:t>iii</w:t>
            </w:r>
            <w:proofErr w:type="spellEnd"/>
            <w:r w:rsidRPr="00542D56">
              <w:rPr>
                <w:rFonts w:ascii="Verdana" w:eastAsia="Calibri" w:hAnsi="Verdana" w:cs="Times New Roman"/>
                <w:lang w:val="es-ES"/>
              </w:rPr>
              <w:t xml:space="preserve">) cultura, recreación y deporte. La aplicación de estos Documentos Tipo debe ser utilizada con los   </w:t>
            </w:r>
            <w:r w:rsidRPr="00542D56">
              <w:rPr>
                <w:rFonts w:ascii="Verdana" w:eastAsia="Calibri" w:hAnsi="Verdana" w:cs="Times New Roman"/>
                <w:i/>
                <w:iCs/>
                <w:lang w:val="es-ES"/>
              </w:rPr>
              <w:t>Documentos Tipo complementarios</w:t>
            </w:r>
            <w:r w:rsidRPr="00542D56">
              <w:rPr>
                <w:rFonts w:ascii="Verdana" w:eastAsia="Calibri" w:hAnsi="Verdana" w:cs="Times New Roman"/>
                <w:lang w:val="es-ES"/>
              </w:rPr>
              <w:t xml:space="preserve"> expedidos para cada sector, consistentes en las matrices de experiencia y anexos técnicos de cada uno de ellos, así como el glosario de cada sector, estos precisan de forma detallada su ámbito de aplicación. </w:t>
            </w:r>
          </w:p>
        </w:tc>
      </w:tr>
    </w:tbl>
    <w:p w14:paraId="58575A23" w14:textId="77777777" w:rsidR="00542D56" w:rsidRPr="00542D56" w:rsidRDefault="00542D56" w:rsidP="00542D56">
      <w:pPr>
        <w:tabs>
          <w:tab w:val="left" w:pos="142"/>
          <w:tab w:val="left" w:pos="284"/>
        </w:tabs>
        <w:snapToGrid w:val="0"/>
        <w:spacing w:after="0" w:line="276" w:lineRule="auto"/>
        <w:jc w:val="both"/>
        <w:rPr>
          <w:rFonts w:ascii="Verdana" w:eastAsia="Century Gothic" w:hAnsi="Verdana" w:cs="Century Gothic"/>
          <w:b/>
          <w:bCs/>
          <w:lang w:val="es-ES"/>
        </w:rPr>
      </w:pPr>
      <w:r w:rsidRPr="00542D56">
        <w:rPr>
          <w:rFonts w:ascii="Verdana" w:eastAsia="Century Gothic" w:hAnsi="Verdana" w:cs="Century Gothic"/>
          <w:b/>
          <w:bCs/>
          <w:lang w:val="es-ES"/>
        </w:rPr>
        <w:lastRenderedPageBreak/>
        <w:t xml:space="preserve">                                   </w:t>
      </w:r>
    </w:p>
    <w:p w14:paraId="2A29C7B5" w14:textId="77777777" w:rsidR="00542D56" w:rsidRPr="00542D56" w:rsidRDefault="00542D56" w:rsidP="00542D5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542D56">
        <w:rPr>
          <w:rFonts w:ascii="Verdana" w:eastAsia="Century Gothic" w:hAnsi="Verdana" w:cs="Century Gothic"/>
          <w:b/>
          <w:bCs/>
          <w:lang w:val="es-ES"/>
        </w:rPr>
        <w:t>Razones de la respuesta:</w:t>
      </w:r>
    </w:p>
    <w:p w14:paraId="1FDF402D" w14:textId="77777777" w:rsidR="00542D56" w:rsidRPr="00542D56" w:rsidRDefault="00542D56" w:rsidP="00542D56">
      <w:pPr>
        <w:tabs>
          <w:tab w:val="left" w:pos="142"/>
          <w:tab w:val="left" w:pos="284"/>
        </w:tabs>
        <w:snapToGrid w:val="0"/>
        <w:spacing w:after="0" w:line="276" w:lineRule="auto"/>
        <w:ind w:left="357"/>
        <w:jc w:val="both"/>
        <w:rPr>
          <w:rFonts w:ascii="Verdana" w:eastAsia="Century Gothic" w:hAnsi="Verdana" w:cs="Century Gothic"/>
          <w:b/>
          <w:bCs/>
          <w:lang w:val="es-ES"/>
        </w:rPr>
      </w:pPr>
    </w:p>
    <w:p w14:paraId="52ADB485" w14:textId="77777777" w:rsidR="00542D56" w:rsidRPr="00542D56" w:rsidRDefault="00542D56" w:rsidP="00542D56">
      <w:pPr>
        <w:snapToGrid w:val="0"/>
        <w:spacing w:after="0" w:line="276" w:lineRule="auto"/>
        <w:jc w:val="both"/>
        <w:rPr>
          <w:rFonts w:ascii="Verdana" w:eastAsia="Calibri" w:hAnsi="Verdana" w:cs="Arial"/>
          <w:lang w:val="es-ES"/>
        </w:rPr>
      </w:pPr>
      <w:r w:rsidRPr="00542D56">
        <w:rPr>
          <w:rFonts w:ascii="Verdana" w:eastAsia="Calibri" w:hAnsi="Verdana" w:cs="Arial"/>
          <w:lang w:val="es-ES"/>
        </w:rPr>
        <w:t xml:space="preserve">Lo anterior se sustenta en las siguientes consideraciones: </w:t>
      </w:r>
    </w:p>
    <w:p w14:paraId="6CF338AB" w14:textId="77777777" w:rsidR="00542D56" w:rsidRPr="00542D56" w:rsidRDefault="00542D56" w:rsidP="00542D56">
      <w:pPr>
        <w:snapToGrid w:val="0"/>
        <w:spacing w:after="0" w:line="276" w:lineRule="auto"/>
        <w:jc w:val="both"/>
        <w:rPr>
          <w:rFonts w:ascii="Verdana" w:eastAsia="Calibri" w:hAnsi="Verdana" w:cs="Arial"/>
          <w:lang w:val="es-ES"/>
        </w:rPr>
      </w:pPr>
    </w:p>
    <w:p w14:paraId="49D1D69B" w14:textId="77777777" w:rsidR="00542D56" w:rsidRPr="00542D56" w:rsidRDefault="00542D56" w:rsidP="00542D56">
      <w:pPr>
        <w:snapToGrid w:val="0"/>
        <w:spacing w:after="0" w:line="276" w:lineRule="auto"/>
        <w:jc w:val="both"/>
        <w:rPr>
          <w:rFonts w:ascii="Verdana" w:eastAsia="Calibri" w:hAnsi="Verdana" w:cs="Arial"/>
          <w:lang w:val="es-ES"/>
        </w:rPr>
      </w:pPr>
    </w:p>
    <w:p w14:paraId="1222D419" w14:textId="77777777" w:rsidR="00542D56" w:rsidRPr="00542D56" w:rsidRDefault="00542D56" w:rsidP="00542D56">
      <w:pPr>
        <w:numPr>
          <w:ilvl w:val="0"/>
          <w:numId w:val="19"/>
        </w:numPr>
        <w:spacing w:after="0" w:line="276" w:lineRule="auto"/>
        <w:contextualSpacing/>
        <w:jc w:val="both"/>
        <w:rPr>
          <w:rFonts w:ascii="Verdana" w:eastAsia="Calibri" w:hAnsi="Verdana" w:cs="Arial"/>
          <w:kern w:val="2"/>
          <w:lang w:val="es-ES"/>
          <w14:ligatures w14:val="standardContextual"/>
        </w:rPr>
      </w:pPr>
      <w:r w:rsidRPr="00542D56">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D2F8A1D" w14:textId="77777777" w:rsidR="00542D56" w:rsidRPr="00542D56" w:rsidRDefault="00542D56" w:rsidP="00542D56">
      <w:pPr>
        <w:spacing w:after="0" w:line="276" w:lineRule="auto"/>
        <w:jc w:val="both"/>
        <w:rPr>
          <w:rFonts w:ascii="Verdana" w:eastAsia="Calibri" w:hAnsi="Verdana" w:cs="Arial"/>
          <w:lang w:val="es-ES"/>
        </w:rPr>
      </w:pPr>
    </w:p>
    <w:p w14:paraId="03D25BDF" w14:textId="77777777" w:rsidR="00542D56" w:rsidRPr="00542D56" w:rsidRDefault="00542D56" w:rsidP="00542D56">
      <w:pPr>
        <w:numPr>
          <w:ilvl w:val="0"/>
          <w:numId w:val="18"/>
        </w:numPr>
        <w:spacing w:after="0" w:line="276" w:lineRule="auto"/>
        <w:contextualSpacing/>
        <w:jc w:val="both"/>
        <w:rPr>
          <w:rFonts w:ascii="Verdana" w:eastAsia="Calibri" w:hAnsi="Verdana" w:cs="Times New Roman"/>
          <w:lang w:val="es-ES"/>
        </w:rPr>
      </w:pPr>
      <w:r w:rsidRPr="00542D56">
        <w:rPr>
          <w:rFonts w:ascii="Verdana" w:eastAsia="Calibri" w:hAnsi="Verdana" w:cs="Times New Roman"/>
          <w:lang w:val="es-ES"/>
        </w:rPr>
        <w:t xml:space="preserve">En desarrollo de la Ley 2022 de 2020, la Agencia Nacional de Contratación Pública – Colombia Compra Eficiente expidió la Resolución 219 del 6 de agosto de 2021, “Por la cual se adoptan los documentos tipo para los procesos de licitación de obra pública de infraestructura social”. Dentro de esta categoría fue incluida la infraestructura asociada a los sectores de salud, educación, y cultura, recreación y deporte, tal como lo establece el parágrafo 2 del artículo 2 de la resolución indicada, de la siguiente </w:t>
      </w:r>
      <w:r w:rsidRPr="00542D56">
        <w:rPr>
          <w:rFonts w:ascii="Verdana" w:eastAsia="Calibri" w:hAnsi="Verdana" w:cs="Times New Roman"/>
          <w:lang w:val="es-ES"/>
        </w:rPr>
        <w:lastRenderedPageBreak/>
        <w:t xml:space="preserve">manera: “Estos documentos tipo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 </w:t>
      </w:r>
    </w:p>
    <w:p w14:paraId="381B2B9D" w14:textId="77777777" w:rsidR="00542D56" w:rsidRPr="00542D56" w:rsidRDefault="00542D56" w:rsidP="00542D56">
      <w:pPr>
        <w:spacing w:after="0" w:line="276" w:lineRule="auto"/>
        <w:jc w:val="both"/>
        <w:rPr>
          <w:rFonts w:ascii="Verdana" w:eastAsia="Calibri" w:hAnsi="Verdana" w:cs="Times New Roman"/>
          <w:lang w:val="es-ES"/>
        </w:rPr>
      </w:pPr>
      <w:r w:rsidRPr="00542D56">
        <w:rPr>
          <w:rFonts w:ascii="Verdana" w:eastAsia="Calibri" w:hAnsi="Verdana" w:cs="Times New Roman"/>
          <w:lang w:val="es-ES"/>
        </w:rPr>
        <w:tab/>
      </w:r>
    </w:p>
    <w:p w14:paraId="05650952" w14:textId="77777777" w:rsidR="00542D56" w:rsidRPr="00542D56" w:rsidRDefault="00542D56" w:rsidP="00542D56">
      <w:pPr>
        <w:numPr>
          <w:ilvl w:val="0"/>
          <w:numId w:val="18"/>
        </w:numPr>
        <w:spacing w:after="0" w:line="276" w:lineRule="auto"/>
        <w:contextualSpacing/>
        <w:jc w:val="both"/>
        <w:rPr>
          <w:rFonts w:ascii="Verdana" w:eastAsia="Calibri" w:hAnsi="Verdana" w:cs="Times New Roman"/>
          <w:lang w:val="es-ES"/>
        </w:rPr>
      </w:pPr>
      <w:r w:rsidRPr="00542D56">
        <w:rPr>
          <w:rFonts w:ascii="Verdana" w:eastAsia="Calibri" w:hAnsi="Verdana" w:cs="Times New Roman"/>
          <w:lang w:val="es-ES"/>
        </w:rPr>
        <w:t xml:space="preserve">Como puede observarse, la Resolución 219 de 2021 contiene un listado enunciativo de los sectores relacionados con los proyectos de infraestructura social a los cuales aplican los documentos tipo –educativo; salud; cultura, recreación y deporte–. 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02335C1" w14:textId="77777777" w:rsidR="00542D56" w:rsidRPr="00542D56" w:rsidRDefault="00542D56" w:rsidP="00542D56">
      <w:pPr>
        <w:spacing w:after="0" w:line="276" w:lineRule="auto"/>
        <w:jc w:val="both"/>
        <w:rPr>
          <w:rFonts w:ascii="Verdana" w:eastAsia="Calibri" w:hAnsi="Verdana" w:cs="Times New Roman"/>
        </w:rPr>
      </w:pPr>
    </w:p>
    <w:p w14:paraId="31D1F1F9" w14:textId="77777777" w:rsidR="00542D56" w:rsidRPr="00542D56" w:rsidRDefault="00542D56" w:rsidP="00542D56">
      <w:pPr>
        <w:numPr>
          <w:ilvl w:val="0"/>
          <w:numId w:val="18"/>
        </w:numPr>
        <w:spacing w:after="0" w:line="276" w:lineRule="auto"/>
        <w:contextualSpacing/>
        <w:jc w:val="both"/>
        <w:rPr>
          <w:rFonts w:ascii="Verdana" w:eastAsia="Calibri" w:hAnsi="Verdana" w:cs="Times New Roman"/>
          <w:lang w:val="es-ES"/>
        </w:rPr>
      </w:pPr>
      <w:r w:rsidRPr="00542D56">
        <w:rPr>
          <w:rFonts w:ascii="Verdana" w:eastAsia="Calibri" w:hAnsi="Verdana" w:cs="Times New Roman"/>
          <w:bCs/>
          <w:lang w:val="es-ES"/>
        </w:rPr>
        <w:t xml:space="preserve">El 6 de agosto, 18 de noviembre y 16 de diciembre de 2021, se adoptaron los documentos tipo complementarios para los procesos de licitación de obra pública de infraestructura social relacionados con el </w:t>
      </w:r>
      <w:r w:rsidRPr="00542D56">
        <w:rPr>
          <w:rFonts w:ascii="Verdana" w:eastAsia="Calibri" w:hAnsi="Verdana" w:cs="Times New Roman"/>
          <w:bCs/>
          <w:i/>
          <w:iCs/>
          <w:lang w:val="es-ES"/>
        </w:rPr>
        <w:t>sector educ</w:t>
      </w:r>
      <w:r w:rsidRPr="00542D56">
        <w:rPr>
          <w:rFonts w:ascii="Verdana" w:eastAsia="Calibri" w:hAnsi="Verdana" w:cs="Times New Roman"/>
          <w:bCs/>
          <w:i/>
          <w:lang w:val="es-ES"/>
        </w:rPr>
        <w:t xml:space="preserve">ativo, salud, y cultura, recreación y deporte, </w:t>
      </w:r>
      <w:r w:rsidRPr="00542D56">
        <w:rPr>
          <w:rFonts w:ascii="Verdana" w:eastAsia="Calibri" w:hAnsi="Verdana" w:cs="Times New Roman"/>
          <w:bCs/>
          <w:iCs/>
          <w:lang w:val="es-ES"/>
        </w:rPr>
        <w:t>respectivamente</w:t>
      </w:r>
      <w:r w:rsidRPr="00542D56">
        <w:rPr>
          <w:rFonts w:ascii="Verdana" w:eastAsia="Calibri" w:hAnsi="Verdana" w:cs="Times New Roman"/>
          <w:bCs/>
          <w:i/>
          <w:lang w:val="es-ES"/>
        </w:rPr>
        <w:t xml:space="preserve">, </w:t>
      </w:r>
      <w:r w:rsidRPr="00542D56">
        <w:rPr>
          <w:rFonts w:ascii="Verdana" w:eastAsia="Calibri" w:hAnsi="Verdana" w:cs="Times New Roman"/>
          <w:bCs/>
          <w:lang w:val="es-ES"/>
        </w:rPr>
        <w:t xml:space="preserve">mediante las </w:t>
      </w:r>
      <w:r w:rsidRPr="00542D56">
        <w:rPr>
          <w:rFonts w:ascii="Verdana" w:eastAsia="Calibri" w:hAnsi="Verdana" w:cs="Times New Roman"/>
          <w:lang w:val="es-ES"/>
        </w:rPr>
        <w:t xml:space="preserve">Resoluciones 220, 392 y 454 de 2021. Estas Resoluciones, en el artículo 2, desarrollan el “Anexo – Glosario” y la </w:t>
      </w:r>
      <w:r w:rsidRPr="00542D56">
        <w:rPr>
          <w:rFonts w:ascii="Verdana" w:eastAsia="Calibri" w:hAnsi="Verdana" w:cs="Times New Roman"/>
        </w:rPr>
        <w:t>“Matriz – Experiencia”</w:t>
      </w:r>
      <w:r w:rsidRPr="00542D56">
        <w:rPr>
          <w:rFonts w:ascii="Verdana" w:eastAsia="Calibri" w:hAnsi="Verdana" w:cs="Times New Roman"/>
          <w:lang w:val="es-ES"/>
        </w:rPr>
        <w:t xml:space="preserve"> para proyectos de infraestructura social para cada sector, lo que significa que estos documentos definen el alcance para cada sector de manera específica. Del mismo modo, la Matriz de Experiencia de cada sector, además de estandarizar el requisito habilitante de experiencia, señala los proyectos o contratos concretos a los cuales aplican los documentos tipo, bajo el entendido de que aplicarán a los procesos de contratación cuyo objeto se relacione con alguna de las actividades establecidas de forma detallada en la Matriz de Experiencia respectiva.                   </w:t>
      </w:r>
    </w:p>
    <w:p w14:paraId="5E3CB486" w14:textId="77777777" w:rsidR="00542D56" w:rsidRPr="00542D56" w:rsidRDefault="00542D56" w:rsidP="00542D56">
      <w:pPr>
        <w:spacing w:after="0" w:line="276" w:lineRule="auto"/>
        <w:jc w:val="both"/>
        <w:rPr>
          <w:rFonts w:ascii="Verdana" w:eastAsia="Calibri" w:hAnsi="Verdana" w:cs="Times New Roman"/>
          <w:lang w:val="es-ES"/>
        </w:rPr>
      </w:pPr>
    </w:p>
    <w:p w14:paraId="59E65511" w14:textId="77777777" w:rsidR="00542D56" w:rsidRPr="00542D56" w:rsidRDefault="00542D56" w:rsidP="00542D56">
      <w:pPr>
        <w:numPr>
          <w:ilvl w:val="0"/>
          <w:numId w:val="18"/>
        </w:numPr>
        <w:spacing w:after="120" w:line="276" w:lineRule="auto"/>
        <w:contextualSpacing/>
        <w:jc w:val="both"/>
        <w:rPr>
          <w:rFonts w:ascii="Verdana" w:eastAsia="Calibri" w:hAnsi="Verdana" w:cs="Times New Roman"/>
        </w:rPr>
      </w:pPr>
      <w:r w:rsidRPr="00542D56">
        <w:rPr>
          <w:rFonts w:ascii="Verdana" w:eastAsia="Calibri" w:hAnsi="Verdana" w:cs="Times New Roman"/>
          <w:lang w:val="es-ES"/>
        </w:rPr>
        <w:t xml:space="preserve">La Matriz de Experiencia de los documentos tipo complementarios que se adoptaron con la Resolución 454 del 16 de diciembre de 2021 aplica en el sector de cultura, recreación y deporte a dos (2) tipos de obras: 1) Infraestructura cultural y 2) Infraestructura recreo deportiva. A su vez, </w:t>
      </w:r>
      <w:r w:rsidRPr="00542D56">
        <w:rPr>
          <w:rFonts w:ascii="Verdana" w:eastAsia="Calibri" w:hAnsi="Verdana" w:cs="Times New Roman"/>
          <w:lang w:val="es-ES"/>
        </w:rPr>
        <w:lastRenderedPageBreak/>
        <w:t xml:space="preserve">en la “Matriz – Experiencia” para proyectos de infraestructura social para el sector de cultura, recreación y deporte, se establecen las actividades a contratar que hacen parte de un tipo o grupo de infraestructura, los cuales contemplan las condiciones y requerimientos de experiencia general y específica. </w:t>
      </w:r>
    </w:p>
    <w:p w14:paraId="745A4597" w14:textId="77777777" w:rsidR="00542D56" w:rsidRPr="00542D56" w:rsidRDefault="00542D56" w:rsidP="00542D56">
      <w:pPr>
        <w:numPr>
          <w:ilvl w:val="0"/>
          <w:numId w:val="18"/>
        </w:numPr>
        <w:spacing w:before="100" w:beforeAutospacing="1" w:after="0" w:line="240" w:lineRule="auto"/>
        <w:jc w:val="both"/>
        <w:rPr>
          <w:rFonts w:ascii="Verdana" w:eastAsia="Calibri" w:hAnsi="Verdana" w:cs="Times New Roman"/>
          <w:lang w:val="es-ES"/>
        </w:rPr>
      </w:pPr>
      <w:r w:rsidRPr="00542D56">
        <w:rPr>
          <w:rFonts w:ascii="Verdana" w:eastAsia="Calibri" w:hAnsi="Verdana" w:cs="Times New Roman"/>
          <w:lang w:val="es-ES"/>
        </w:rPr>
        <w:t>La 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 Asimismo, en el Glosario de cada uno de los documentos se consagran las definiciones que guían la interpretación de los documentos.</w:t>
      </w:r>
    </w:p>
    <w:p w14:paraId="462C9895" w14:textId="77777777" w:rsidR="00542D56" w:rsidRPr="00542D56" w:rsidRDefault="00542D56" w:rsidP="00542D56">
      <w:pPr>
        <w:numPr>
          <w:ilvl w:val="0"/>
          <w:numId w:val="18"/>
        </w:numPr>
        <w:spacing w:before="100" w:beforeAutospacing="1" w:after="0" w:line="240" w:lineRule="auto"/>
        <w:jc w:val="both"/>
        <w:rPr>
          <w:rFonts w:ascii="Verdana" w:eastAsia="Calibri" w:hAnsi="Verdana" w:cs="Times New Roman"/>
          <w:lang w:val="es-ES"/>
        </w:rPr>
      </w:pPr>
      <w:r w:rsidRPr="00542D56">
        <w:rPr>
          <w:rFonts w:ascii="Verdana" w:eastAsia="Calibri" w:hAnsi="Verdana" w:cs="Times New Roman"/>
          <w:lang w:val="es-ES"/>
        </w:rPr>
        <w:t>Así las cosas, siempre que el objeto esté cobijado por alguna de las actividades señaladas en la matriz de experiencia de cada sector, los documentos tipo adoptados mediante las Resoluciones No. 219, 220, 392 y 454 de 2021 son obligatorios para las entidades sometidas a la Ley 80 de 1993 que contraten la ejecución de obras públicas de infraestructura social en los sectores educativo, salud, y cultura, recreación y deporte.</w:t>
      </w:r>
    </w:p>
    <w:p w14:paraId="37E6672B" w14:textId="77777777" w:rsidR="00542D56" w:rsidRPr="00542D56" w:rsidRDefault="00542D56" w:rsidP="00542D56">
      <w:pPr>
        <w:spacing w:before="100" w:beforeAutospacing="1" w:after="0" w:line="240" w:lineRule="auto"/>
        <w:ind w:left="720"/>
        <w:jc w:val="both"/>
        <w:rPr>
          <w:rFonts w:ascii="Verdana" w:eastAsia="Calibri" w:hAnsi="Verdana" w:cs="Times New Roman"/>
          <w:lang w:val="es-ES"/>
        </w:rPr>
      </w:pPr>
    </w:p>
    <w:p w14:paraId="1D10AAB3" w14:textId="77777777" w:rsidR="00542D56" w:rsidRPr="00542D56" w:rsidRDefault="00542D56" w:rsidP="00542D56">
      <w:pPr>
        <w:numPr>
          <w:ilvl w:val="0"/>
          <w:numId w:val="19"/>
        </w:numPr>
        <w:spacing w:after="0" w:line="276" w:lineRule="auto"/>
        <w:contextualSpacing/>
        <w:jc w:val="both"/>
        <w:rPr>
          <w:rFonts w:ascii="Verdana" w:eastAsia="Calibri" w:hAnsi="Verdana" w:cs="Times New Roman"/>
          <w:lang w:val="es-ES"/>
        </w:rPr>
      </w:pPr>
      <w:r w:rsidRPr="00542D56">
        <w:rPr>
          <w:rFonts w:ascii="Verdana" w:eastAsia="Calibri" w:hAnsi="Verdana" w:cs="Times New Roman"/>
          <w:lang w:val="es-ES"/>
        </w:rPr>
        <w:t>Por otra parte, respecto al principio de inalterabilidad de los Documentos Tipo, debe destacarse que 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237152D8" w14:textId="77777777" w:rsidR="00542D56" w:rsidRPr="00542D56" w:rsidRDefault="00542D56" w:rsidP="00542D56">
      <w:pPr>
        <w:spacing w:after="0" w:line="276" w:lineRule="auto"/>
        <w:jc w:val="both"/>
        <w:rPr>
          <w:rFonts w:ascii="Verdana" w:eastAsia="Calibri" w:hAnsi="Verdana" w:cs="Times New Roman"/>
          <w:highlight w:val="red"/>
        </w:rPr>
      </w:pPr>
    </w:p>
    <w:p w14:paraId="4D83FCB0"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p w14:paraId="5B81CC12" w14:textId="77777777" w:rsidR="00542D56" w:rsidRPr="00542D56" w:rsidRDefault="00542D56" w:rsidP="00542D5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542D56">
        <w:rPr>
          <w:rFonts w:ascii="Verdana" w:eastAsia="Century Gothic" w:hAnsi="Verdana" w:cs="Century Gothic"/>
          <w:b/>
          <w:bCs/>
          <w:lang w:val="es-ES"/>
        </w:rPr>
        <w:t>Referencias normativas, jurisprudenciales y otras fuentes:</w:t>
      </w:r>
    </w:p>
    <w:p w14:paraId="1D7EAA1B"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542D56" w:rsidRPr="00542D56" w14:paraId="178E2674" w14:textId="77777777" w:rsidTr="0024557B">
        <w:trPr>
          <w:trHeight w:val="870"/>
        </w:trPr>
        <w:tc>
          <w:tcPr>
            <w:tcW w:w="8647" w:type="dxa"/>
          </w:tcPr>
          <w:p w14:paraId="1F507FF0" w14:textId="77777777" w:rsidR="00542D56" w:rsidRPr="00542D56" w:rsidRDefault="00542D56" w:rsidP="00542D56">
            <w:pPr>
              <w:widowControl w:val="0"/>
              <w:numPr>
                <w:ilvl w:val="0"/>
                <w:numId w:val="17"/>
              </w:numPr>
              <w:autoSpaceDE w:val="0"/>
              <w:autoSpaceDN w:val="0"/>
              <w:spacing w:after="120" w:line="276" w:lineRule="auto"/>
              <w:jc w:val="both"/>
              <w:rPr>
                <w:rFonts w:ascii="Verdana" w:eastAsia="Calibri" w:hAnsi="Verdana" w:cs="Arial"/>
              </w:rPr>
            </w:pPr>
            <w:r w:rsidRPr="00542D56">
              <w:rPr>
                <w:rFonts w:ascii="Verdana" w:eastAsia="Calibri" w:hAnsi="Verdana" w:cs="Arial"/>
              </w:rPr>
              <w:t>Ley 2022 de 2020, artículo 1.</w:t>
            </w:r>
          </w:p>
          <w:p w14:paraId="6E48E184" w14:textId="77777777" w:rsidR="00542D56" w:rsidRPr="00542D56" w:rsidRDefault="00542D56" w:rsidP="00542D56">
            <w:pPr>
              <w:widowControl w:val="0"/>
              <w:numPr>
                <w:ilvl w:val="0"/>
                <w:numId w:val="17"/>
              </w:numPr>
              <w:autoSpaceDE w:val="0"/>
              <w:autoSpaceDN w:val="0"/>
              <w:spacing w:after="120" w:line="276" w:lineRule="auto"/>
              <w:jc w:val="both"/>
              <w:rPr>
                <w:rFonts w:ascii="Verdana" w:eastAsia="Calibri" w:hAnsi="Verdana" w:cs="Arial"/>
              </w:rPr>
            </w:pPr>
            <w:r w:rsidRPr="00542D56">
              <w:rPr>
                <w:rFonts w:ascii="Verdana" w:eastAsia="Calibri" w:hAnsi="Verdana" w:cs="Arial"/>
              </w:rPr>
              <w:t xml:space="preserve">Documentos tipo de licitación de obra pública de infraestructura social. Disponibles en: </w:t>
            </w:r>
            <w:hyperlink r:id="rId12" w:history="1">
              <w:r w:rsidRPr="00542D56">
                <w:rPr>
                  <w:rFonts w:ascii="Verdana" w:eastAsia="Calibri" w:hAnsi="Verdana" w:cs="Arial"/>
                  <w:color w:val="0000FF"/>
                  <w:u w:val="single"/>
                </w:rPr>
                <w:t>https://www.colombiacompra.gov.co/content/03-documentos-tipo-transversales-de-licitacion-de-obra-publica-de-infraestructura-social-con</w:t>
              </w:r>
            </w:hyperlink>
            <w:r w:rsidRPr="00542D56">
              <w:rPr>
                <w:rFonts w:ascii="Verdana" w:eastAsia="Calibri" w:hAnsi="Verdana" w:cs="Arial"/>
              </w:rPr>
              <w:t xml:space="preserve">. </w:t>
            </w:r>
          </w:p>
          <w:p w14:paraId="7D008228" w14:textId="77777777" w:rsidR="00542D56" w:rsidRPr="00542D56" w:rsidRDefault="00542D56" w:rsidP="00542D56">
            <w:pPr>
              <w:widowControl w:val="0"/>
              <w:numPr>
                <w:ilvl w:val="0"/>
                <w:numId w:val="17"/>
              </w:numPr>
              <w:autoSpaceDE w:val="0"/>
              <w:autoSpaceDN w:val="0"/>
              <w:spacing w:after="120" w:line="276" w:lineRule="auto"/>
              <w:jc w:val="both"/>
              <w:rPr>
                <w:rFonts w:ascii="Verdana" w:eastAsia="Calibri" w:hAnsi="Verdana" w:cs="Arial"/>
              </w:rPr>
            </w:pPr>
            <w:r w:rsidRPr="00542D56">
              <w:rPr>
                <w:rFonts w:ascii="Verdana" w:eastAsia="Calibri" w:hAnsi="Verdana" w:cs="Arial"/>
              </w:rPr>
              <w:t xml:space="preserve">Documentos tipo complementarios de licitación de obra pública de infraestructura social – sector cultura, recreación y deporte. Disponibles en: </w:t>
            </w:r>
            <w:hyperlink r:id="rId13" w:history="1">
              <w:r w:rsidRPr="00542D56">
                <w:rPr>
                  <w:rFonts w:ascii="Verdana" w:eastAsia="Calibri" w:hAnsi="Verdana" w:cs="Arial"/>
                  <w:color w:val="0000FF"/>
                  <w:u w:val="single"/>
                </w:rPr>
                <w:t>https://www.colombiacompra.gov.co/content/documentos-tipo-adicionales-sector-cultura-recreacion-y-deporte-con-las-modificaciones-de-la</w:t>
              </w:r>
            </w:hyperlink>
            <w:r w:rsidRPr="00542D56">
              <w:rPr>
                <w:rFonts w:ascii="Verdana" w:eastAsia="Calibri" w:hAnsi="Verdana" w:cs="Arial"/>
              </w:rPr>
              <w:t xml:space="preserve">. </w:t>
            </w:r>
          </w:p>
        </w:tc>
      </w:tr>
    </w:tbl>
    <w:p w14:paraId="4365F599"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p w14:paraId="398BD708" w14:textId="77777777" w:rsidR="00542D56" w:rsidRPr="00542D56" w:rsidRDefault="00542D56" w:rsidP="00542D5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542D56">
        <w:rPr>
          <w:rFonts w:ascii="Verdana" w:eastAsia="Century Gothic" w:hAnsi="Verdana" w:cs="Century Gothic"/>
          <w:b/>
          <w:bCs/>
          <w:lang w:val="es-ES"/>
        </w:rPr>
        <w:t>Doctrina de la Agencia Nacional de Contratación Pública:</w:t>
      </w:r>
    </w:p>
    <w:p w14:paraId="44C52FB0"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p w14:paraId="5BC34E59" w14:textId="77777777" w:rsidR="00542D56" w:rsidRPr="00542D56" w:rsidRDefault="00542D56" w:rsidP="00542D56">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542D56">
        <w:rPr>
          <w:rFonts w:ascii="Verdana" w:eastAsia="Calibri" w:hAnsi="Verdana" w:cs="Arial"/>
          <w:shd w:val="clear" w:color="auto" w:fill="FFFFFF"/>
          <w:lang w:val="es-ES"/>
        </w:rPr>
        <w:t>La Agencia Nacional de Contratación Pública – Colombia Compra Eficiente se pronunció</w:t>
      </w:r>
      <w:r w:rsidRPr="00542D56">
        <w:rPr>
          <w:rFonts w:ascii="Aptos" w:eastAsia="Aptos" w:hAnsi="Aptos" w:cs="Arial"/>
          <w:kern w:val="2"/>
          <w:sz w:val="24"/>
          <w:szCs w:val="24"/>
          <w14:ligatures w14:val="standardContextual"/>
        </w:rPr>
        <w:t xml:space="preserve"> </w:t>
      </w:r>
      <w:r w:rsidRPr="00542D56">
        <w:rPr>
          <w:rFonts w:ascii="Verdana" w:eastAsia="Calibri" w:hAnsi="Verdana" w:cs="Arial"/>
          <w:shd w:val="clear" w:color="auto" w:fill="FFFFFF"/>
          <w:lang w:val="es-ES"/>
        </w:rPr>
        <w:t xml:space="preserve">sobre el ámbito de aplicación de los documentos tipo de infraestructura social, en los conceptos C-375 del 27 de septiembre de 2021, C-536 del 29 de septiembre de 2021, P20210826007696 del 6 de octubre de 2021, C-729 del 24 de enero de 2022, C-090 del 16 de marzo de 2022, C-287 del 11 de mayo de 2022, C-334 del 25 de mayo de 2022, C-344 del 9 de junio de 2022, C-436 del 6 de julio de 2022, C-951 del 18 enero de 2023, C- 143 del 05 de julio de 2024 y C- 217 del 12 de julio de 2024 . entre otros. </w:t>
      </w:r>
      <w:r w:rsidRPr="00542D56">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6EA19D3F" w14:textId="77777777" w:rsidR="00542D56" w:rsidRPr="00542D56" w:rsidRDefault="00542D56" w:rsidP="00542D56">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p>
    <w:p w14:paraId="491A6FD3" w14:textId="77777777" w:rsidR="00542D56" w:rsidRPr="00542D56" w:rsidRDefault="00542D56" w:rsidP="00542D56">
      <w:pPr>
        <w:tabs>
          <w:tab w:val="left" w:pos="142"/>
          <w:tab w:val="left" w:pos="284"/>
        </w:tabs>
        <w:spacing w:after="0" w:line="276" w:lineRule="auto"/>
        <w:jc w:val="both"/>
        <w:rPr>
          <w:rFonts w:ascii="Verdana" w:eastAsia="Aptos" w:hAnsi="Verdana" w:cs="Arial"/>
          <w:kern w:val="2"/>
          <w:sz w:val="24"/>
          <w:szCs w:val="24"/>
          <w14:ligatures w14:val="standardContextual"/>
        </w:rPr>
      </w:pPr>
      <w:r w:rsidRPr="00542D56">
        <w:rPr>
          <w:rFonts w:ascii="Verdana" w:eastAsia="Aptos" w:hAnsi="Verdana" w:cs="Arial"/>
          <w:kern w:val="2"/>
          <w14:ligatures w14:val="standardContextual"/>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w:t>
      </w:r>
      <w:r w:rsidRPr="00542D56">
        <w:rPr>
          <w:rFonts w:ascii="Verdana" w:eastAsia="Aptos" w:hAnsi="Verdana" w:cs="Arial"/>
          <w:kern w:val="2"/>
          <w:sz w:val="24"/>
          <w:szCs w:val="24"/>
          <w14:ligatures w14:val="standardContextual"/>
        </w:rPr>
        <w:t>: </w:t>
      </w:r>
      <w:hyperlink r:id="rId14" w:tgtFrame="_blank" w:tooltip="Dirección URL original: https://www.colombiacompra.gov.co/sala-de-prensa/boletin-digital. Haga clic o pulse si confía en este vínculo." w:history="1">
        <w:r w:rsidRPr="00542D56">
          <w:rPr>
            <w:rFonts w:ascii="Verdana" w:eastAsia="Aptos" w:hAnsi="Verdana" w:cs="Arial"/>
            <w:color w:val="467886"/>
            <w:kern w:val="2"/>
            <w:sz w:val="24"/>
            <w:szCs w:val="24"/>
            <w:u w:val="single"/>
            <w14:ligatures w14:val="standardContextual"/>
          </w:rPr>
          <w:t>https://www.colombiacompra.gov.co/sala-de-prensa/boletin-digital</w:t>
        </w:r>
      </w:hyperlink>
      <w:r w:rsidRPr="00542D56">
        <w:rPr>
          <w:rFonts w:ascii="Verdana" w:eastAsia="Aptos" w:hAnsi="Verdana" w:cs="Arial"/>
          <w:kern w:val="2"/>
          <w:sz w:val="24"/>
          <w:szCs w:val="24"/>
          <w14:ligatures w14:val="standardContextual"/>
        </w:rPr>
        <w:t xml:space="preserve">    </w:t>
      </w:r>
    </w:p>
    <w:p w14:paraId="1640C7E6" w14:textId="77777777" w:rsidR="00542D56" w:rsidRPr="00542D56" w:rsidRDefault="00542D56" w:rsidP="00542D56">
      <w:pPr>
        <w:tabs>
          <w:tab w:val="left" w:pos="142"/>
          <w:tab w:val="left" w:pos="284"/>
        </w:tabs>
        <w:spacing w:after="0" w:line="276" w:lineRule="auto"/>
        <w:jc w:val="both"/>
        <w:rPr>
          <w:rFonts w:ascii="Verdana" w:eastAsia="Aptos" w:hAnsi="Verdana" w:cs="Arial"/>
          <w:kern w:val="2"/>
          <w:sz w:val="24"/>
          <w:szCs w:val="24"/>
          <w14:ligatures w14:val="standardContextual"/>
        </w:rPr>
      </w:pPr>
    </w:p>
    <w:p w14:paraId="4E4178A7" w14:textId="77777777" w:rsidR="00542D56" w:rsidRPr="00542D56" w:rsidRDefault="00542D56" w:rsidP="00542D56">
      <w:pPr>
        <w:widowControl w:val="0"/>
        <w:autoSpaceDE w:val="0"/>
        <w:autoSpaceDN w:val="0"/>
        <w:spacing w:after="0" w:line="276" w:lineRule="auto"/>
        <w:jc w:val="both"/>
        <w:rPr>
          <w:rFonts w:ascii="Verdana" w:eastAsia="Calibri" w:hAnsi="Verdana" w:cs="Arial"/>
          <w:shd w:val="clear" w:color="auto" w:fill="FFFFFF"/>
        </w:rPr>
      </w:pPr>
    </w:p>
    <w:p w14:paraId="40BE7E0D" w14:textId="77777777" w:rsidR="00542D56" w:rsidRPr="00542D56" w:rsidRDefault="00542D56" w:rsidP="00542D56">
      <w:pPr>
        <w:spacing w:after="0" w:line="240" w:lineRule="auto"/>
        <w:jc w:val="both"/>
        <w:rPr>
          <w:rFonts w:ascii="Verdana" w:eastAsia="Calibri" w:hAnsi="Verdana" w:cs="Times New Roman"/>
        </w:rPr>
      </w:pPr>
      <w:r w:rsidRPr="00542D56">
        <w:rPr>
          <w:rFonts w:ascii="Verdana" w:eastAsia="Calibri" w:hAnsi="Verdana" w:cs="Times New Roman"/>
        </w:rPr>
        <w:lastRenderedPageBreak/>
        <w:t xml:space="preserve">Por último, los invitamos a seguirnos en las redes sociales, en las cuales se difunde información institucional: </w:t>
      </w:r>
    </w:p>
    <w:p w14:paraId="66F69B54" w14:textId="77777777" w:rsidR="00542D56" w:rsidRPr="00542D56" w:rsidRDefault="00542D56" w:rsidP="00542D56">
      <w:pPr>
        <w:spacing w:after="0" w:line="240" w:lineRule="auto"/>
        <w:jc w:val="both"/>
        <w:rPr>
          <w:rFonts w:ascii="Verdana" w:eastAsia="Calibri" w:hAnsi="Verdana" w:cs="Times New Roman"/>
        </w:rPr>
      </w:pPr>
    </w:p>
    <w:p w14:paraId="1DB1C0DB" w14:textId="77777777" w:rsidR="00542D56" w:rsidRPr="00542D56" w:rsidRDefault="00542D56" w:rsidP="00542D56">
      <w:pPr>
        <w:spacing w:after="0" w:line="240" w:lineRule="auto"/>
        <w:jc w:val="both"/>
        <w:rPr>
          <w:rFonts w:ascii="Verdana" w:eastAsia="Calibri" w:hAnsi="Verdana" w:cs="Times New Roman"/>
        </w:rPr>
      </w:pPr>
      <w:r w:rsidRPr="00542D56">
        <w:rPr>
          <w:rFonts w:ascii="Verdana" w:eastAsia="Calibri" w:hAnsi="Verdana" w:cs="Times New Roman"/>
        </w:rPr>
        <w:t xml:space="preserve">Twitter: </w:t>
      </w:r>
      <w:r w:rsidRPr="00542D56">
        <w:rPr>
          <w:rFonts w:ascii="Verdana" w:eastAsia="Calibri" w:hAnsi="Verdana" w:cs="Times New Roman"/>
          <w:u w:val="single"/>
        </w:rPr>
        <w:t>@colombiacompra</w:t>
      </w:r>
      <w:r w:rsidRPr="00542D56">
        <w:rPr>
          <w:rFonts w:ascii="Verdana" w:eastAsia="Calibri" w:hAnsi="Verdana" w:cs="Times New Roman"/>
        </w:rPr>
        <w:t xml:space="preserve"> </w:t>
      </w:r>
    </w:p>
    <w:p w14:paraId="47405525" w14:textId="77777777" w:rsidR="00542D56" w:rsidRPr="00542D56" w:rsidRDefault="00542D56" w:rsidP="00542D56">
      <w:pPr>
        <w:spacing w:after="0" w:line="240" w:lineRule="auto"/>
        <w:jc w:val="both"/>
        <w:rPr>
          <w:rFonts w:ascii="Verdana" w:eastAsia="Calibri" w:hAnsi="Verdana" w:cs="Times New Roman"/>
        </w:rPr>
      </w:pPr>
      <w:r w:rsidRPr="00542D56">
        <w:rPr>
          <w:rFonts w:ascii="Verdana" w:eastAsia="Calibri" w:hAnsi="Verdana" w:cs="Times New Roman"/>
        </w:rPr>
        <w:t xml:space="preserve">Facebook: </w:t>
      </w:r>
      <w:proofErr w:type="spellStart"/>
      <w:r w:rsidRPr="00542D56">
        <w:rPr>
          <w:rFonts w:ascii="Verdana" w:eastAsia="Calibri" w:hAnsi="Verdana" w:cs="Times New Roman"/>
          <w:u w:val="single"/>
        </w:rPr>
        <w:t>ColombiaCompraEficiente</w:t>
      </w:r>
      <w:proofErr w:type="spellEnd"/>
    </w:p>
    <w:p w14:paraId="0A0F4024" w14:textId="77777777" w:rsidR="00542D56" w:rsidRPr="00542D56" w:rsidRDefault="00542D56" w:rsidP="00542D56">
      <w:pPr>
        <w:spacing w:after="0" w:line="240" w:lineRule="auto"/>
        <w:jc w:val="both"/>
        <w:rPr>
          <w:rFonts w:ascii="Verdana" w:eastAsia="Calibri" w:hAnsi="Verdana" w:cs="Times New Roman"/>
        </w:rPr>
      </w:pPr>
      <w:r w:rsidRPr="00542D56">
        <w:rPr>
          <w:rFonts w:ascii="Verdana" w:eastAsia="Calibri" w:hAnsi="Verdana" w:cs="Times New Roman"/>
        </w:rPr>
        <w:t xml:space="preserve">LinkedIn: </w:t>
      </w:r>
      <w:r w:rsidRPr="00542D56">
        <w:rPr>
          <w:rFonts w:ascii="Verdana" w:eastAsia="Calibri" w:hAnsi="Verdana" w:cs="Times New Roman"/>
          <w:u w:val="single"/>
        </w:rPr>
        <w:t>Agencia Nacional de Contratación Pública - Colombia Compra Eficiente</w:t>
      </w:r>
      <w:r w:rsidRPr="00542D56">
        <w:rPr>
          <w:rFonts w:ascii="Verdana" w:eastAsia="Calibri" w:hAnsi="Verdana" w:cs="Times New Roman"/>
        </w:rPr>
        <w:t xml:space="preserve"> Instagram: </w:t>
      </w:r>
      <w:r w:rsidRPr="00542D56">
        <w:rPr>
          <w:rFonts w:ascii="Verdana" w:eastAsia="Calibri" w:hAnsi="Verdana" w:cs="Times New Roman"/>
          <w:u w:val="single"/>
        </w:rPr>
        <w:t>@colombiacompraeficiente_cce</w:t>
      </w:r>
    </w:p>
    <w:p w14:paraId="061C5470"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p w14:paraId="07DFF860" w14:textId="77777777" w:rsidR="00542D56" w:rsidRPr="00542D56" w:rsidRDefault="00542D56" w:rsidP="00542D56">
      <w:pPr>
        <w:widowControl w:val="0"/>
        <w:autoSpaceDE w:val="0"/>
        <w:autoSpaceDN w:val="0"/>
        <w:spacing w:after="0" w:line="276" w:lineRule="auto"/>
        <w:jc w:val="both"/>
        <w:rPr>
          <w:rFonts w:ascii="Verdana" w:eastAsia="Calibri" w:hAnsi="Verdana" w:cs="Arial"/>
          <w:lang w:val="es-ES_tradnl"/>
        </w:rPr>
      </w:pPr>
      <w:r w:rsidRPr="00542D56">
        <w:rPr>
          <w:rFonts w:ascii="Verdana" w:eastAsia="Calibri" w:hAnsi="Verdana" w:cs="Arial"/>
        </w:rPr>
        <w:t xml:space="preserve">Este concepto tiene el alcance previsto en el artículo 28 del Código de Procedimiento Administrativo y de lo Contencioso Administrativo </w:t>
      </w:r>
      <w:r w:rsidRPr="00542D56">
        <w:rPr>
          <w:rFonts w:ascii="Verdana" w:eastAsia="Calibri" w:hAnsi="Verdana" w:cs="Arial"/>
          <w:lang w:val="es-ES_tradnl"/>
        </w:rPr>
        <w:t>y las expresiones aquí utilizadas con mayúscula inicial deben ser entendidas con el significado que les otorga el artículo 2.2.1.1.1.3.1. del Decreto 1082 de 2015.</w:t>
      </w:r>
    </w:p>
    <w:p w14:paraId="36482A61" w14:textId="77777777" w:rsidR="00542D56" w:rsidRPr="00542D56" w:rsidRDefault="00542D56" w:rsidP="00542D56">
      <w:pPr>
        <w:widowControl w:val="0"/>
        <w:autoSpaceDE w:val="0"/>
        <w:autoSpaceDN w:val="0"/>
        <w:spacing w:after="0" w:line="276" w:lineRule="auto"/>
        <w:jc w:val="both"/>
        <w:rPr>
          <w:rFonts w:ascii="Verdana" w:eastAsia="Calibri" w:hAnsi="Verdana" w:cs="Arial"/>
        </w:rPr>
      </w:pPr>
    </w:p>
    <w:p w14:paraId="098EAB3A" w14:textId="77777777" w:rsidR="00542D56" w:rsidRPr="00542D56" w:rsidRDefault="00542D56" w:rsidP="00542D56">
      <w:pPr>
        <w:spacing w:after="0" w:line="240" w:lineRule="auto"/>
        <w:rPr>
          <w:rFonts w:ascii="Verdana" w:eastAsia="Calibri" w:hAnsi="Verdana" w:cs="Arial"/>
          <w:lang w:eastAsia="es-CO"/>
        </w:rPr>
      </w:pPr>
      <w:r w:rsidRPr="00542D56">
        <w:rPr>
          <w:rFonts w:ascii="Verdana" w:eastAsia="Times New Roman" w:hAnsi="Verdana" w:cs="Arial"/>
          <w:lang w:eastAsia="es-CO"/>
        </w:rPr>
        <w:t>Atentamente,</w:t>
      </w:r>
      <w:r w:rsidRPr="00542D56">
        <w:rPr>
          <w:rFonts w:ascii="Verdana" w:eastAsia="Calibri" w:hAnsi="Verdana" w:cs="Arial"/>
          <w:lang w:eastAsia="es-CO"/>
        </w:rPr>
        <w:t xml:space="preserve"> </w:t>
      </w:r>
    </w:p>
    <w:p w14:paraId="414B7755" w14:textId="77777777" w:rsidR="00542D56" w:rsidRPr="00542D56" w:rsidRDefault="00542D56" w:rsidP="00542D56">
      <w:pPr>
        <w:spacing w:line="276" w:lineRule="auto"/>
        <w:jc w:val="center"/>
        <w:rPr>
          <w:rFonts w:ascii="Aptos" w:eastAsia="Aptos" w:hAnsi="Aptos" w:cs="Arial"/>
          <w:noProof/>
          <w:kern w:val="2"/>
          <w:sz w:val="24"/>
          <w:szCs w:val="24"/>
          <w14:ligatures w14:val="standardContextual"/>
        </w:rPr>
      </w:pPr>
    </w:p>
    <w:p w14:paraId="072DD89D" w14:textId="77777777" w:rsidR="00542D56" w:rsidRPr="00542D56" w:rsidRDefault="00542D56" w:rsidP="00542D56">
      <w:pPr>
        <w:spacing w:line="276" w:lineRule="auto"/>
        <w:jc w:val="center"/>
        <w:rPr>
          <w:rFonts w:ascii="Aptos" w:eastAsia="Calibri" w:hAnsi="Aptos" w:cs="Arial"/>
          <w:noProof/>
          <w:lang w:val="es-ES_tradnl" w:eastAsia="es-CO"/>
        </w:rPr>
      </w:pPr>
    </w:p>
    <w:p w14:paraId="04DBC59F" w14:textId="60B8FEA3" w:rsidR="00542D56" w:rsidRPr="00542D56" w:rsidRDefault="00542D56" w:rsidP="00542D56">
      <w:pPr>
        <w:spacing w:line="276" w:lineRule="auto"/>
        <w:jc w:val="center"/>
        <w:rPr>
          <w:rFonts w:ascii="Aptos" w:eastAsia="Calibri" w:hAnsi="Aptos" w:cs="Arial"/>
          <w:noProof/>
          <w:lang w:val="es-ES_tradnl" w:eastAsia="es-CO"/>
        </w:rPr>
      </w:pPr>
    </w:p>
    <w:p w14:paraId="7E391C48" w14:textId="7525DF75" w:rsidR="00542D56" w:rsidRPr="00542D56" w:rsidRDefault="005754F3" w:rsidP="00542D56">
      <w:pPr>
        <w:spacing w:line="276" w:lineRule="auto"/>
        <w:jc w:val="center"/>
        <w:rPr>
          <w:rFonts w:ascii="Aptos" w:eastAsia="Calibri" w:hAnsi="Aptos" w:cs="Arial"/>
          <w:noProof/>
          <w:lang w:val="es-ES_tradnl" w:eastAsia="es-CO"/>
        </w:rPr>
      </w:pPr>
      <w:r w:rsidRPr="005754F3">
        <w:rPr>
          <w:rFonts w:ascii="Century Gothic" w:eastAsia="Aptos" w:hAnsi="Century Gothic" w:cs="Times New Roman"/>
          <w:noProof/>
          <w:kern w:val="2"/>
          <w14:ligatures w14:val="standardContextual"/>
        </w:rPr>
        <w:drawing>
          <wp:inline distT="0" distB="0" distL="0" distR="0" wp14:anchorId="48FA8291" wp14:editId="4D6FC047">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6FFEE6D9" w14:textId="77777777" w:rsidR="00542D56" w:rsidRPr="00542D56" w:rsidRDefault="00542D56" w:rsidP="00542D56">
      <w:pPr>
        <w:spacing w:line="276" w:lineRule="auto"/>
        <w:jc w:val="center"/>
        <w:rPr>
          <w:rFonts w:ascii="Century Gothic" w:eastAsia="Calibri" w:hAnsi="Century Gothic" w:cs="Times New Roman"/>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542D56" w:rsidRPr="00542D56" w14:paraId="5052B877" w14:textId="77777777" w:rsidTr="0024557B">
        <w:trPr>
          <w:trHeight w:val="315"/>
        </w:trPr>
        <w:tc>
          <w:tcPr>
            <w:tcW w:w="893" w:type="dxa"/>
            <w:vAlign w:val="center"/>
            <w:hideMark/>
          </w:tcPr>
          <w:p w14:paraId="20EAF3DE" w14:textId="77777777" w:rsidR="00542D56" w:rsidRPr="00542D56" w:rsidRDefault="00542D56" w:rsidP="00542D56">
            <w:pPr>
              <w:contextualSpacing/>
              <w:rPr>
                <w:rFonts w:ascii="Verdana" w:eastAsia="Calibri" w:hAnsi="Verdana" w:cs="Arial"/>
                <w:sz w:val="16"/>
                <w:szCs w:val="16"/>
                <w:lang w:val="es-ES" w:eastAsia="es-ES"/>
              </w:rPr>
            </w:pPr>
            <w:r w:rsidRPr="00542D5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709A47D0" w14:textId="77777777" w:rsidR="00542D56" w:rsidRPr="00542D56" w:rsidRDefault="00542D56" w:rsidP="00542D56">
            <w:pPr>
              <w:contextualSpacing/>
              <w:rPr>
                <w:rFonts w:ascii="Verdana" w:eastAsia="Arial" w:hAnsi="Verdana" w:cs="Arial"/>
                <w:sz w:val="16"/>
                <w:szCs w:val="16"/>
              </w:rPr>
            </w:pPr>
            <w:r w:rsidRPr="00542D56">
              <w:rPr>
                <w:rFonts w:ascii="Verdana" w:eastAsia="Arial" w:hAnsi="Verdana" w:cs="Arial"/>
                <w:sz w:val="16"/>
                <w:szCs w:val="16"/>
              </w:rPr>
              <w:t xml:space="preserve">Héctor Luis Quiñones </w:t>
            </w:r>
            <w:proofErr w:type="spellStart"/>
            <w:r w:rsidRPr="00542D56">
              <w:rPr>
                <w:rFonts w:ascii="Verdana" w:eastAsia="Arial" w:hAnsi="Verdana" w:cs="Arial"/>
                <w:sz w:val="16"/>
                <w:szCs w:val="16"/>
              </w:rPr>
              <w:t>Quiñones</w:t>
            </w:r>
            <w:proofErr w:type="spellEnd"/>
          </w:p>
          <w:p w14:paraId="69C1F14B" w14:textId="77777777" w:rsidR="00542D56" w:rsidRPr="00542D56" w:rsidRDefault="00542D56" w:rsidP="00542D56">
            <w:pPr>
              <w:contextualSpacing/>
              <w:rPr>
                <w:rFonts w:ascii="Verdana" w:eastAsia="Arial" w:hAnsi="Verdana" w:cs="Arial"/>
                <w:sz w:val="16"/>
                <w:szCs w:val="16"/>
              </w:rPr>
            </w:pPr>
            <w:r w:rsidRPr="00542D56">
              <w:rPr>
                <w:rFonts w:ascii="Verdana" w:eastAsia="Arial" w:hAnsi="Verdana" w:cs="Arial"/>
                <w:sz w:val="16"/>
                <w:szCs w:val="16"/>
              </w:rPr>
              <w:t>Analista T2 - 02 de la Subdirección de Gestión Contractual</w:t>
            </w:r>
            <w:r w:rsidRPr="00542D56">
              <w:rPr>
                <w:rFonts w:ascii="Calibri" w:eastAsia="Arial" w:hAnsi="Calibri" w:cs="Arial"/>
                <w:sz w:val="16"/>
                <w:szCs w:val="16"/>
              </w:rPr>
              <w:t xml:space="preserve"> </w:t>
            </w:r>
          </w:p>
        </w:tc>
      </w:tr>
      <w:tr w:rsidR="00542D56" w:rsidRPr="00542D56" w14:paraId="1C75F307" w14:textId="77777777" w:rsidTr="0024557B">
        <w:trPr>
          <w:trHeight w:val="330"/>
        </w:trPr>
        <w:tc>
          <w:tcPr>
            <w:tcW w:w="893" w:type="dxa"/>
            <w:vAlign w:val="center"/>
            <w:hideMark/>
          </w:tcPr>
          <w:p w14:paraId="107B8E7E" w14:textId="77777777" w:rsidR="00542D56" w:rsidRPr="00542D56" w:rsidRDefault="00542D56" w:rsidP="00542D56">
            <w:pPr>
              <w:contextualSpacing/>
              <w:rPr>
                <w:rFonts w:ascii="Verdana" w:eastAsia="Calibri" w:hAnsi="Verdana" w:cs="Arial"/>
                <w:sz w:val="16"/>
                <w:szCs w:val="16"/>
                <w:lang w:val="es-ES" w:eastAsia="es-ES"/>
              </w:rPr>
            </w:pPr>
            <w:r w:rsidRPr="00542D5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F162268" w14:textId="77777777" w:rsidR="00542D56" w:rsidRPr="00542D56" w:rsidRDefault="00542D56" w:rsidP="00542D56">
            <w:pPr>
              <w:contextualSpacing/>
              <w:textAlignment w:val="baseline"/>
              <w:rPr>
                <w:rFonts w:ascii="Verdana" w:eastAsia="Times New Roman" w:hAnsi="Verdana" w:cs="Segoe UI"/>
                <w:sz w:val="16"/>
                <w:szCs w:val="16"/>
                <w:lang w:eastAsia="es-ES_tradnl"/>
              </w:rPr>
            </w:pPr>
            <w:r w:rsidRPr="00542D56">
              <w:rPr>
                <w:rFonts w:ascii="Verdana" w:eastAsia="Times New Roman" w:hAnsi="Verdana" w:cs="Segoe UI"/>
                <w:sz w:val="16"/>
                <w:szCs w:val="16"/>
                <w:lang w:eastAsia="es-ES_tradnl"/>
              </w:rPr>
              <w:t xml:space="preserve">Juan David </w:t>
            </w:r>
            <w:proofErr w:type="spellStart"/>
            <w:r w:rsidRPr="00542D56">
              <w:rPr>
                <w:rFonts w:ascii="Verdana" w:eastAsia="Times New Roman" w:hAnsi="Verdana" w:cs="Segoe UI"/>
                <w:sz w:val="16"/>
                <w:szCs w:val="16"/>
                <w:lang w:eastAsia="es-ES_tradnl"/>
              </w:rPr>
              <w:t>Cardenas</w:t>
            </w:r>
            <w:proofErr w:type="spellEnd"/>
            <w:r w:rsidRPr="00542D56">
              <w:rPr>
                <w:rFonts w:ascii="Verdana" w:eastAsia="Times New Roman" w:hAnsi="Verdana" w:cs="Segoe UI"/>
                <w:sz w:val="16"/>
                <w:szCs w:val="16"/>
                <w:lang w:eastAsia="es-ES_tradnl"/>
              </w:rPr>
              <w:t xml:space="preserve"> Cabeza </w:t>
            </w:r>
          </w:p>
          <w:p w14:paraId="3F32D72F" w14:textId="77777777" w:rsidR="00542D56" w:rsidRPr="00542D56" w:rsidRDefault="00542D56" w:rsidP="00542D56">
            <w:pPr>
              <w:contextualSpacing/>
              <w:textAlignment w:val="baseline"/>
              <w:rPr>
                <w:rFonts w:ascii="Verdana" w:eastAsia="Times New Roman" w:hAnsi="Verdana" w:cs="Segoe UI"/>
                <w:sz w:val="16"/>
                <w:szCs w:val="16"/>
                <w:lang w:eastAsia="es-ES_tradnl"/>
              </w:rPr>
            </w:pPr>
            <w:r w:rsidRPr="00542D56">
              <w:rPr>
                <w:rFonts w:ascii="Verdana" w:eastAsia="Times New Roman" w:hAnsi="Verdana" w:cs="Arial"/>
                <w:sz w:val="16"/>
                <w:szCs w:val="16"/>
                <w:lang w:val="es-ES" w:eastAsia="es-ES_tradnl"/>
              </w:rPr>
              <w:t>Contratista de la Subdirección de Gestión Contractual</w:t>
            </w:r>
            <w:r w:rsidRPr="00542D56">
              <w:rPr>
                <w:rFonts w:ascii="Verdana" w:eastAsia="Times New Roman" w:hAnsi="Verdana" w:cs="Arial"/>
                <w:sz w:val="16"/>
                <w:szCs w:val="16"/>
                <w:lang w:eastAsia="es-ES_tradnl"/>
              </w:rPr>
              <w:t> </w:t>
            </w:r>
          </w:p>
        </w:tc>
      </w:tr>
      <w:tr w:rsidR="00542D56" w:rsidRPr="00542D56" w14:paraId="44D38F24" w14:textId="77777777" w:rsidTr="0024557B">
        <w:trPr>
          <w:trHeight w:val="300"/>
        </w:trPr>
        <w:tc>
          <w:tcPr>
            <w:tcW w:w="893" w:type="dxa"/>
            <w:vAlign w:val="center"/>
          </w:tcPr>
          <w:p w14:paraId="73F91BEC" w14:textId="77777777" w:rsidR="00542D56" w:rsidRPr="00542D56" w:rsidRDefault="00542D56" w:rsidP="00542D56">
            <w:pPr>
              <w:contextualSpacing/>
              <w:rPr>
                <w:rFonts w:ascii="Verdana" w:eastAsia="Calibri" w:hAnsi="Verdana" w:cs="Arial"/>
                <w:sz w:val="16"/>
                <w:szCs w:val="16"/>
                <w:lang w:val="es-ES" w:eastAsia="es-ES"/>
              </w:rPr>
            </w:pPr>
            <w:r w:rsidRPr="00542D5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6B11868" w14:textId="77777777" w:rsidR="00542D56" w:rsidRPr="00542D56" w:rsidRDefault="00542D56" w:rsidP="00542D56">
            <w:pPr>
              <w:contextualSpacing/>
              <w:rPr>
                <w:rFonts w:ascii="Verdana" w:eastAsia="Calibri" w:hAnsi="Verdana" w:cs="Arial"/>
                <w:sz w:val="16"/>
                <w:szCs w:val="16"/>
                <w:lang w:val="pt-BR" w:eastAsia="es-ES"/>
              </w:rPr>
            </w:pPr>
            <w:r w:rsidRPr="00542D56">
              <w:rPr>
                <w:rFonts w:ascii="Verdana" w:eastAsia="Calibri" w:hAnsi="Verdana" w:cs="Arial"/>
                <w:sz w:val="16"/>
                <w:szCs w:val="16"/>
                <w:lang w:val="pt-BR" w:eastAsia="es-ES"/>
              </w:rPr>
              <w:t xml:space="preserve">Carolina Quintero </w:t>
            </w:r>
            <w:proofErr w:type="spellStart"/>
            <w:r w:rsidRPr="00542D56">
              <w:rPr>
                <w:rFonts w:ascii="Verdana" w:eastAsia="Calibri" w:hAnsi="Verdana" w:cs="Arial"/>
                <w:sz w:val="16"/>
                <w:szCs w:val="16"/>
                <w:lang w:val="pt-BR" w:eastAsia="es-ES"/>
              </w:rPr>
              <w:t>Gacharná</w:t>
            </w:r>
            <w:proofErr w:type="spellEnd"/>
          </w:p>
          <w:p w14:paraId="4302285F" w14:textId="77777777" w:rsidR="00542D56" w:rsidRPr="00542D56" w:rsidRDefault="00542D56" w:rsidP="00542D56">
            <w:pPr>
              <w:contextualSpacing/>
              <w:rPr>
                <w:rFonts w:ascii="Verdana" w:eastAsia="Calibri" w:hAnsi="Verdana" w:cs="Arial"/>
                <w:sz w:val="16"/>
                <w:szCs w:val="16"/>
                <w:lang w:val="pt-BR" w:eastAsia="es-ES"/>
              </w:rPr>
            </w:pPr>
            <w:r w:rsidRPr="00542D56">
              <w:rPr>
                <w:rFonts w:ascii="Verdana" w:eastAsia="Calibri" w:hAnsi="Verdana" w:cs="Arial"/>
                <w:sz w:val="16"/>
                <w:szCs w:val="16"/>
                <w:lang w:eastAsia="es-ES"/>
              </w:rPr>
              <w:t>Subdirectora</w:t>
            </w:r>
            <w:r w:rsidRPr="00542D56">
              <w:rPr>
                <w:rFonts w:ascii="Verdana" w:eastAsia="Calibri" w:hAnsi="Verdana" w:cs="Arial"/>
                <w:sz w:val="16"/>
                <w:szCs w:val="16"/>
                <w:lang w:val="pt-BR" w:eastAsia="es-ES"/>
              </w:rPr>
              <w:t xml:space="preserve"> de Gestión </w:t>
            </w:r>
            <w:proofErr w:type="spellStart"/>
            <w:r w:rsidRPr="00542D56">
              <w:rPr>
                <w:rFonts w:ascii="Verdana" w:eastAsia="Calibri" w:hAnsi="Verdana" w:cs="Arial"/>
                <w:sz w:val="16"/>
                <w:szCs w:val="16"/>
                <w:lang w:val="pt-BR" w:eastAsia="es-ES"/>
              </w:rPr>
              <w:t>Contractual</w:t>
            </w:r>
            <w:proofErr w:type="spellEnd"/>
            <w:r w:rsidRPr="00542D56">
              <w:rPr>
                <w:rFonts w:ascii="Verdana" w:eastAsia="Calibri" w:hAnsi="Verdana" w:cs="Arial"/>
                <w:sz w:val="16"/>
                <w:szCs w:val="16"/>
                <w:lang w:val="pt-BR" w:eastAsia="es-ES"/>
              </w:rPr>
              <w:t xml:space="preserve"> ANCP – CCE</w:t>
            </w:r>
          </w:p>
        </w:tc>
      </w:tr>
    </w:tbl>
    <w:p w14:paraId="03272EA0" w14:textId="77777777" w:rsidR="00542D56" w:rsidRPr="00542D56" w:rsidRDefault="00542D56" w:rsidP="00542D56">
      <w:pPr>
        <w:spacing w:after="0" w:line="240" w:lineRule="auto"/>
        <w:rPr>
          <w:rFonts w:ascii="Verdana" w:eastAsia="Times New Roman" w:hAnsi="Verdana" w:cs="Arial"/>
          <w:sz w:val="24"/>
          <w:szCs w:val="24"/>
          <w:lang w:eastAsia="es-ES"/>
        </w:rPr>
      </w:pPr>
    </w:p>
    <w:p w14:paraId="11345BBD" w14:textId="77777777" w:rsidR="00542D56" w:rsidRPr="00542D56" w:rsidRDefault="00542D56" w:rsidP="00542D56">
      <w:pPr>
        <w:rPr>
          <w:rFonts w:ascii="Calibri" w:eastAsia="Calibri" w:hAnsi="Calibri" w:cs="Times New Roman"/>
        </w:rPr>
      </w:pPr>
    </w:p>
    <w:p w14:paraId="20B00A33" w14:textId="77777777" w:rsidR="00542D56" w:rsidRPr="00542D56" w:rsidRDefault="00542D56" w:rsidP="00542D56">
      <w:pPr>
        <w:spacing w:line="276" w:lineRule="auto"/>
        <w:jc w:val="center"/>
        <w:rPr>
          <w:rFonts w:ascii="Aptos" w:eastAsia="Calibri" w:hAnsi="Aptos" w:cs="Arial"/>
          <w:noProof/>
          <w:lang w:eastAsia="es-CO"/>
        </w:rPr>
      </w:pPr>
    </w:p>
    <w:p w14:paraId="1C841B46" w14:textId="77777777" w:rsidR="00542D56" w:rsidRPr="00542D56" w:rsidRDefault="00542D56" w:rsidP="00542D56">
      <w:pPr>
        <w:spacing w:line="276" w:lineRule="auto"/>
        <w:jc w:val="center"/>
        <w:rPr>
          <w:rFonts w:ascii="Verdana" w:eastAsia="Calibri" w:hAnsi="Verdana" w:cs="Arial"/>
          <w:lang w:val="es-ES_tradnl" w:eastAsia="es-CO"/>
        </w:rPr>
      </w:pPr>
    </w:p>
    <w:bookmarkEnd w:id="0"/>
    <w:p w14:paraId="1317109E" w14:textId="77777777" w:rsidR="00542D56" w:rsidRPr="00542D56" w:rsidRDefault="00542D56" w:rsidP="00542D56">
      <w:pPr>
        <w:spacing w:line="278" w:lineRule="auto"/>
        <w:rPr>
          <w:rFonts w:ascii="Aptos" w:eastAsia="Aptos" w:hAnsi="Aptos" w:cs="Arial"/>
          <w:kern w:val="2"/>
          <w:sz w:val="24"/>
          <w:szCs w:val="24"/>
          <w14:ligatures w14:val="standardContextual"/>
        </w:rPr>
      </w:pPr>
    </w:p>
    <w:p w14:paraId="2B321451" w14:textId="77777777" w:rsidR="00542D56" w:rsidRPr="009F071A" w:rsidRDefault="00542D56" w:rsidP="009F071A"/>
    <w:sectPr w:rsidR="00542D56" w:rsidRPr="009F071A"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5EE75" w14:textId="77777777" w:rsidR="006C1DC5" w:rsidRDefault="006C1DC5" w:rsidP="004A1847">
      <w:pPr>
        <w:spacing w:after="0" w:line="240" w:lineRule="auto"/>
      </w:pPr>
      <w:r>
        <w:separator/>
      </w:r>
    </w:p>
  </w:endnote>
  <w:endnote w:type="continuationSeparator" w:id="0">
    <w:p w14:paraId="4A8B6D2B" w14:textId="77777777" w:rsidR="006C1DC5" w:rsidRDefault="006C1DC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2E86" w14:textId="77777777" w:rsidR="006C1DC5" w:rsidRDefault="006C1DC5" w:rsidP="004A1847">
      <w:pPr>
        <w:spacing w:after="0" w:line="240" w:lineRule="auto"/>
      </w:pPr>
      <w:r>
        <w:separator/>
      </w:r>
    </w:p>
  </w:footnote>
  <w:footnote w:type="continuationSeparator" w:id="0">
    <w:p w14:paraId="1B2CB146" w14:textId="77777777" w:rsidR="006C1DC5" w:rsidRDefault="006C1DC5"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858F4"/>
    <w:multiLevelType w:val="hybridMultilevel"/>
    <w:tmpl w:val="1070F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805977625">
    <w:abstractNumId w:val="16"/>
  </w:num>
  <w:num w:numId="19" w16cid:durableId="1492209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2606"/>
    <w:rsid w:val="00046945"/>
    <w:rsid w:val="00061B2A"/>
    <w:rsid w:val="00082362"/>
    <w:rsid w:val="000A683E"/>
    <w:rsid w:val="000B19B9"/>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9213A"/>
    <w:rsid w:val="004A1847"/>
    <w:rsid w:val="004A305D"/>
    <w:rsid w:val="004F21C4"/>
    <w:rsid w:val="004F685F"/>
    <w:rsid w:val="00542D56"/>
    <w:rsid w:val="005566E8"/>
    <w:rsid w:val="00574867"/>
    <w:rsid w:val="005754F3"/>
    <w:rsid w:val="00591460"/>
    <w:rsid w:val="005B3816"/>
    <w:rsid w:val="005C3777"/>
    <w:rsid w:val="005C5CDC"/>
    <w:rsid w:val="005D476C"/>
    <w:rsid w:val="006219F8"/>
    <w:rsid w:val="00665D70"/>
    <w:rsid w:val="006900D9"/>
    <w:rsid w:val="006C1DC5"/>
    <w:rsid w:val="00706C16"/>
    <w:rsid w:val="00756841"/>
    <w:rsid w:val="007649AB"/>
    <w:rsid w:val="00771D0C"/>
    <w:rsid w:val="007833AC"/>
    <w:rsid w:val="007B268C"/>
    <w:rsid w:val="007B7171"/>
    <w:rsid w:val="007C0C0F"/>
    <w:rsid w:val="007C3DC2"/>
    <w:rsid w:val="007E5497"/>
    <w:rsid w:val="00806F5F"/>
    <w:rsid w:val="00820278"/>
    <w:rsid w:val="00836F24"/>
    <w:rsid w:val="00867F95"/>
    <w:rsid w:val="008843B6"/>
    <w:rsid w:val="00891928"/>
    <w:rsid w:val="008A446D"/>
    <w:rsid w:val="008D180B"/>
    <w:rsid w:val="008F0EA7"/>
    <w:rsid w:val="008F4A1C"/>
    <w:rsid w:val="0091754D"/>
    <w:rsid w:val="00923EEF"/>
    <w:rsid w:val="009419F9"/>
    <w:rsid w:val="0095685E"/>
    <w:rsid w:val="00961B09"/>
    <w:rsid w:val="00965334"/>
    <w:rsid w:val="0097093E"/>
    <w:rsid w:val="00986AC5"/>
    <w:rsid w:val="009A0DFA"/>
    <w:rsid w:val="009B2D26"/>
    <w:rsid w:val="009C71FA"/>
    <w:rsid w:val="009C72E7"/>
    <w:rsid w:val="009D3058"/>
    <w:rsid w:val="009F071A"/>
    <w:rsid w:val="009F3A13"/>
    <w:rsid w:val="00A122D3"/>
    <w:rsid w:val="00A17F13"/>
    <w:rsid w:val="00A20739"/>
    <w:rsid w:val="00A33C78"/>
    <w:rsid w:val="00AB0ADB"/>
    <w:rsid w:val="00B01B1A"/>
    <w:rsid w:val="00B66319"/>
    <w:rsid w:val="00B72CD3"/>
    <w:rsid w:val="00B72FFF"/>
    <w:rsid w:val="00BC3D36"/>
    <w:rsid w:val="00BD7F72"/>
    <w:rsid w:val="00C04FB3"/>
    <w:rsid w:val="00C330EB"/>
    <w:rsid w:val="00C41061"/>
    <w:rsid w:val="00C754BE"/>
    <w:rsid w:val="00C76B1C"/>
    <w:rsid w:val="00CB6357"/>
    <w:rsid w:val="00CC1B26"/>
    <w:rsid w:val="00D423A2"/>
    <w:rsid w:val="00D520D8"/>
    <w:rsid w:val="00D63AC2"/>
    <w:rsid w:val="00D7383B"/>
    <w:rsid w:val="00DA231B"/>
    <w:rsid w:val="00DA7549"/>
    <w:rsid w:val="00DC39FC"/>
    <w:rsid w:val="00DF5254"/>
    <w:rsid w:val="00E16408"/>
    <w:rsid w:val="00E20894"/>
    <w:rsid w:val="00E245AB"/>
    <w:rsid w:val="00E2764C"/>
    <w:rsid w:val="00E27F2E"/>
    <w:rsid w:val="00E50AFE"/>
    <w:rsid w:val="00E558B8"/>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85EC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s-tipo-adicionales-sector-cultura-recreacion-y-deporte-con-las-modificaciones-de-l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03-documentos-tipo-transversales-de-licitacion-de-obra-publica-de-infraestructura-social-c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djavman@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hector.quinones%40colombiacompra.gov.co%7C096eca3fdcca424ff1c708dcf932f947%7C7b09041e245149d08cb179d5e3d8c1be%7C0%7C0%7C638659244554802639%7CUnknown%7CTWFpbGZsb3d8eyJWIjoiMC4wLjAwMDAiLCJQIjoiV2luMzIiLCJBTiI6Ik1haWwiLCJXVCI6Mn0%3D%7C0%7C%7C%7C&amp;sdata=P2pc0Aur8caHp0nMKSgb1ZkIi3TDdEAFgd4fFLrq6W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B601566-1D76-4D49-B8AE-A39DDC6F3B97}"/>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36c82cfe-0eda-494d-b392-a9281b89aaf0"/>
    <ds:schemaRef ds:uri="http://schemas.microsoft.com/office/infopath/2007/PartnerControls"/>
    <ds:schemaRef ds:uri="http://purl.org/dc/elements/1.1/"/>
    <ds:schemaRef ds:uri="http://purl.org/dc/dcmitype/"/>
    <ds:schemaRef ds:uri="http://schemas.microsoft.com/office/2006/metadata/properties"/>
    <ds:schemaRef ds:uri="http://purl.org/dc/terms/"/>
    <ds:schemaRef ds:uri="8ae15d26-076e-464e-81a7-6f76a0fb391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2633</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4</cp:revision>
  <cp:lastPrinted>2023-01-10T21:18:00Z</cp:lastPrinted>
  <dcterms:created xsi:type="dcterms:W3CDTF">2024-11-25T11:44:00Z</dcterms:created>
  <dcterms:modified xsi:type="dcterms:W3CDTF">2024-12-11T13:04:00Z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