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EBC96" w14:textId="77777777" w:rsidR="00C823A9" w:rsidRPr="00914070" w:rsidRDefault="00C823A9" w:rsidP="00C823A9">
      <w:pPr>
        <w:spacing w:after="0" w:line="240" w:lineRule="auto"/>
        <w:jc w:val="both"/>
        <w:rPr>
          <w:rFonts w:ascii="Verdana" w:eastAsia="Calibri" w:hAnsi="Verdana" w:cs="Arial"/>
          <w:b/>
          <w:bCs/>
          <w:lang w:val="es-ES" w:eastAsia="es-ES"/>
        </w:rPr>
      </w:pPr>
      <w:bookmarkStart w:id="0" w:name="_Hlk143780582"/>
      <w:r w:rsidRPr="00914070">
        <w:rPr>
          <w:rFonts w:ascii="Verdana" w:eastAsia="Calibri" w:hAnsi="Verdana" w:cs="Arial"/>
          <w:b/>
          <w:bCs/>
          <w:lang w:val="es-ES" w:eastAsia="es-ES"/>
        </w:rPr>
        <w:t>SUBSANABILIDAD – Aplicación – R</w:t>
      </w:r>
      <w:r w:rsidRPr="00914070">
        <w:rPr>
          <w:rFonts w:ascii="Verdana" w:eastAsia="Calibri" w:hAnsi="Verdana"/>
          <w:b/>
          <w:bCs/>
          <w:lang w:val="es-ES" w:eastAsia="es-ES"/>
        </w:rPr>
        <w:t>egla general</w:t>
      </w:r>
      <w:r w:rsidRPr="00914070">
        <w:rPr>
          <w:rFonts w:ascii="Verdana" w:eastAsia="Calibri" w:hAnsi="Verdana" w:cs="Arial"/>
          <w:b/>
          <w:bCs/>
          <w:lang w:val="es-ES" w:eastAsia="es-ES"/>
        </w:rPr>
        <w:t xml:space="preserve"> – Excepciones </w:t>
      </w:r>
    </w:p>
    <w:p w14:paraId="3395BE61" w14:textId="77777777" w:rsidR="00C823A9" w:rsidRDefault="00C823A9" w:rsidP="00C823A9">
      <w:pPr>
        <w:spacing w:after="0" w:line="240" w:lineRule="auto"/>
        <w:jc w:val="both"/>
        <w:rPr>
          <w:rFonts w:ascii="Verdana" w:hAnsi="Verdana" w:cs="Arial"/>
          <w:noProof/>
          <w:sz w:val="20"/>
          <w:szCs w:val="20"/>
          <w:lang w:val="es-ES_tradnl"/>
        </w:rPr>
      </w:pPr>
    </w:p>
    <w:p w14:paraId="12B55AB2" w14:textId="77777777" w:rsidR="00C823A9" w:rsidRPr="00914070" w:rsidRDefault="00C823A9" w:rsidP="00C823A9">
      <w:pPr>
        <w:spacing w:after="0" w:line="240" w:lineRule="auto"/>
        <w:jc w:val="both"/>
        <w:rPr>
          <w:rFonts w:ascii="Verdana" w:eastAsia="Times New Roman" w:hAnsi="Verdana" w:cs="Arial"/>
          <w:sz w:val="20"/>
          <w:szCs w:val="20"/>
          <w:lang w:val="es-ES_tradnl" w:eastAsia="es-ES_tradnl"/>
        </w:rPr>
      </w:pPr>
      <w:r w:rsidRPr="00914070">
        <w:rPr>
          <w:rFonts w:ascii="Verdana" w:hAnsi="Verdana" w:cs="Arial"/>
          <w:noProof/>
          <w:sz w:val="20"/>
          <w:szCs w:val="20"/>
          <w:lang w:val="es-ES_tradnl"/>
        </w:rPr>
        <w:t>L</w:t>
      </w:r>
      <w:r w:rsidRPr="00914070">
        <w:rPr>
          <w:rFonts w:ascii="Verdana" w:eastAsia="Times New Roman" w:hAnsi="Verdana" w:cs="Arial"/>
          <w:sz w:val="20"/>
          <w:szCs w:val="20"/>
        </w:rPr>
        <w:t>a regla de la subsanabilidad de las ofertas en los procedimientos de selección</w:t>
      </w:r>
      <w:r w:rsidRPr="00914070">
        <w:rPr>
          <w:rFonts w:ascii="Verdana" w:eastAsia="Times New Roman" w:hAnsi="Verdana" w:cs="Arial"/>
          <w:b/>
          <w:bCs/>
          <w:sz w:val="20"/>
          <w:szCs w:val="20"/>
        </w:rPr>
        <w:t xml:space="preserve"> </w:t>
      </w:r>
      <w:r w:rsidRPr="00914070">
        <w:rPr>
          <w:rFonts w:ascii="Verdana" w:eastAsia="Times New Roman" w:hAnsi="Verdana" w:cs="Arial"/>
          <w:sz w:val="20"/>
          <w:szCs w:val="20"/>
          <w:lang w:val="es-ES_tradnl" w:eastAsia="es-ES_tradnl"/>
        </w:rPr>
        <w:t>indica que, por regla general, la falta de entrega y los defectos en la acreditación de los requisitos habilitantes son aspectos subsanables. La excepción a esta regla se encuentra en la prohibición de permitir la entrega de la garantía de seriedad de la oferta que no fue aportada con la propuesta y de valer la acreditación de circunstancias ocurridas con posterioridad al cierre del proceso.</w:t>
      </w:r>
    </w:p>
    <w:p w14:paraId="52650EC4" w14:textId="77777777" w:rsidR="00C823A9" w:rsidRPr="00914070" w:rsidRDefault="00C823A9" w:rsidP="00C823A9">
      <w:pPr>
        <w:spacing w:after="0" w:line="240" w:lineRule="auto"/>
        <w:jc w:val="both"/>
        <w:rPr>
          <w:rFonts w:ascii="Verdana" w:eastAsia="Calibri" w:hAnsi="Verdana" w:cs="Arial"/>
          <w:sz w:val="20"/>
          <w:szCs w:val="20"/>
          <w:lang w:val="es-ES" w:eastAsia="es-ES"/>
        </w:rPr>
      </w:pPr>
    </w:p>
    <w:p w14:paraId="09F46693" w14:textId="77777777" w:rsidR="00C823A9" w:rsidRPr="00914070" w:rsidRDefault="00C823A9" w:rsidP="00C823A9">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 xml:space="preserve">SUBSANABILIDAD – Circunstancias posteriores – Cierre del proceso- Ley 1882 de 2018 </w:t>
      </w:r>
    </w:p>
    <w:p w14:paraId="000FC210" w14:textId="77777777" w:rsidR="00C823A9" w:rsidRPr="00914070" w:rsidRDefault="00C823A9" w:rsidP="00C823A9">
      <w:pPr>
        <w:spacing w:after="0" w:line="240" w:lineRule="auto"/>
        <w:jc w:val="both"/>
        <w:rPr>
          <w:rFonts w:ascii="Verdana" w:eastAsia="Calibri" w:hAnsi="Verdana" w:cs="Arial"/>
          <w:sz w:val="20"/>
          <w:szCs w:val="20"/>
          <w:lang w:val="es-ES" w:eastAsia="es-ES"/>
        </w:rPr>
      </w:pPr>
    </w:p>
    <w:p w14:paraId="77949D2D" w14:textId="77777777" w:rsidR="00C823A9" w:rsidRDefault="00C823A9" w:rsidP="00C823A9">
      <w:pPr>
        <w:spacing w:after="0" w:line="240" w:lineRule="auto"/>
        <w:jc w:val="both"/>
        <w:rPr>
          <w:rFonts w:ascii="Verdana" w:eastAsia="Times New Roman" w:hAnsi="Verdana" w:cs="Arial"/>
          <w:sz w:val="20"/>
          <w:szCs w:val="20"/>
          <w:lang w:val="es-ES_tradnl" w:eastAsia="es-ES_tradnl"/>
        </w:rPr>
      </w:pPr>
      <w:r w:rsidRPr="00914070">
        <w:rPr>
          <w:rFonts w:ascii="Verdana" w:eastAsia="Times New Roman" w:hAnsi="Verdana" w:cs="Arial"/>
          <w:sz w:val="20"/>
          <w:szCs w:val="20"/>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B5EBE7D" w14:textId="77777777" w:rsidR="00C823A9" w:rsidRPr="00914070" w:rsidRDefault="00C823A9" w:rsidP="00C823A9">
      <w:pPr>
        <w:spacing w:after="0" w:line="240" w:lineRule="auto"/>
        <w:jc w:val="both"/>
        <w:rPr>
          <w:rFonts w:ascii="Verdana" w:eastAsia="Times New Roman" w:hAnsi="Verdana" w:cs="Arial"/>
          <w:sz w:val="20"/>
          <w:szCs w:val="20"/>
          <w:lang w:val="es-ES_tradnl" w:eastAsia="es-ES_tradnl"/>
        </w:rPr>
      </w:pPr>
    </w:p>
    <w:p w14:paraId="1CBE7B55" w14:textId="77777777" w:rsidR="00C823A9" w:rsidRDefault="00C823A9" w:rsidP="00C823A9">
      <w:pPr>
        <w:spacing w:after="0" w:line="240" w:lineRule="auto"/>
        <w:jc w:val="both"/>
        <w:rPr>
          <w:rFonts w:ascii="Verdana" w:eastAsia="Times New Roman" w:hAnsi="Verdana" w:cs="Arial"/>
          <w:sz w:val="20"/>
          <w:szCs w:val="20"/>
          <w:lang w:val="es-ES" w:eastAsia="es-ES"/>
        </w:rPr>
      </w:pPr>
      <w:r w:rsidRPr="00914070">
        <w:rPr>
          <w:rFonts w:ascii="Verdana" w:eastAsia="Times New Roman" w:hAnsi="Verdana" w:cs="Arial"/>
          <w:sz w:val="20"/>
          <w:szCs w:val="20"/>
          <w:lang w:val="es-ES" w:eastAsia="es-ES"/>
        </w:rPr>
        <w:t xml:space="preserve">Un mejor entendimiento del significado de la expresión </w:t>
      </w:r>
      <w:r w:rsidRPr="00914070">
        <w:rPr>
          <w:rFonts w:ascii="Verdana" w:eastAsia="Times New Roman" w:hAnsi="Verdana" w:cs="Arial"/>
          <w:i/>
          <w:sz w:val="20"/>
          <w:szCs w:val="20"/>
          <w:lang w:val="es-ES" w:eastAsia="es-ES"/>
        </w:rPr>
        <w:t>“circunstancias ocurridas con posterioridad al cierre del proceso”</w:t>
      </w:r>
      <w:r w:rsidRPr="00914070">
        <w:rPr>
          <w:rFonts w:ascii="Verdana" w:eastAsia="Times New Roman" w:hAnsi="Verdana" w:cs="Arial"/>
          <w:sz w:val="20"/>
          <w:szCs w:val="20"/>
          <w:lang w:val="es-ES"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Pr>
          <w:rFonts w:ascii="Verdana" w:eastAsia="Times New Roman" w:hAnsi="Verdana" w:cs="Arial"/>
          <w:sz w:val="20"/>
          <w:szCs w:val="20"/>
          <w:lang w:val="es-ES" w:eastAsia="es-ES"/>
        </w:rPr>
        <w:t xml:space="preserve">. </w:t>
      </w:r>
    </w:p>
    <w:p w14:paraId="50FF553B" w14:textId="77777777" w:rsidR="00C823A9" w:rsidRDefault="00C823A9" w:rsidP="009F17B7">
      <w:pPr>
        <w:spacing w:after="0" w:line="240" w:lineRule="auto"/>
        <w:jc w:val="both"/>
        <w:rPr>
          <w:rFonts w:ascii="Verdana" w:hAnsi="Verdana"/>
        </w:rPr>
      </w:pPr>
    </w:p>
    <w:p w14:paraId="31A9DFE2" w14:textId="77777777" w:rsidR="00C823A9" w:rsidRDefault="00C823A9" w:rsidP="009F17B7">
      <w:pPr>
        <w:spacing w:after="0" w:line="240" w:lineRule="auto"/>
        <w:jc w:val="both"/>
        <w:rPr>
          <w:rFonts w:ascii="Verdana" w:hAnsi="Verdana"/>
        </w:rPr>
      </w:pPr>
    </w:p>
    <w:p w14:paraId="1823DD77" w14:textId="77777777" w:rsidR="00C823A9" w:rsidRDefault="00C823A9" w:rsidP="009F17B7">
      <w:pPr>
        <w:spacing w:after="0" w:line="240" w:lineRule="auto"/>
        <w:jc w:val="both"/>
        <w:rPr>
          <w:rFonts w:ascii="Verdana" w:hAnsi="Verdana"/>
        </w:rPr>
      </w:pPr>
    </w:p>
    <w:p w14:paraId="4F873580" w14:textId="77777777" w:rsidR="00C823A9" w:rsidRDefault="00C823A9" w:rsidP="009F17B7">
      <w:pPr>
        <w:spacing w:after="0" w:line="240" w:lineRule="auto"/>
        <w:jc w:val="both"/>
        <w:rPr>
          <w:rFonts w:ascii="Verdana" w:hAnsi="Verdana"/>
        </w:rPr>
      </w:pPr>
    </w:p>
    <w:p w14:paraId="08865A21" w14:textId="77777777" w:rsidR="00C823A9" w:rsidRDefault="00C823A9" w:rsidP="009F17B7">
      <w:pPr>
        <w:spacing w:after="0" w:line="240" w:lineRule="auto"/>
        <w:jc w:val="both"/>
        <w:rPr>
          <w:rFonts w:ascii="Verdana" w:hAnsi="Verdana"/>
        </w:rPr>
      </w:pPr>
    </w:p>
    <w:p w14:paraId="18AC0E1E" w14:textId="77777777" w:rsidR="00C823A9" w:rsidRDefault="00C823A9" w:rsidP="009F17B7">
      <w:pPr>
        <w:spacing w:after="0" w:line="240" w:lineRule="auto"/>
        <w:jc w:val="both"/>
        <w:rPr>
          <w:rFonts w:ascii="Verdana" w:hAnsi="Verdana"/>
        </w:rPr>
      </w:pPr>
    </w:p>
    <w:p w14:paraId="5860D7F2" w14:textId="77777777" w:rsidR="00C823A9" w:rsidRDefault="00C823A9" w:rsidP="009F17B7">
      <w:pPr>
        <w:spacing w:after="0" w:line="240" w:lineRule="auto"/>
        <w:jc w:val="both"/>
        <w:rPr>
          <w:rFonts w:ascii="Verdana" w:hAnsi="Verdana"/>
        </w:rPr>
      </w:pPr>
    </w:p>
    <w:p w14:paraId="15744EDC" w14:textId="77777777" w:rsidR="00C823A9" w:rsidRDefault="00C823A9" w:rsidP="009F17B7">
      <w:pPr>
        <w:spacing w:after="0" w:line="240" w:lineRule="auto"/>
        <w:jc w:val="both"/>
        <w:rPr>
          <w:rFonts w:ascii="Verdana" w:hAnsi="Verdana"/>
        </w:rPr>
      </w:pPr>
    </w:p>
    <w:p w14:paraId="2DBF6C67" w14:textId="77777777" w:rsidR="00C823A9" w:rsidRDefault="00C823A9" w:rsidP="009F17B7">
      <w:pPr>
        <w:spacing w:after="0" w:line="240" w:lineRule="auto"/>
        <w:jc w:val="both"/>
        <w:rPr>
          <w:rFonts w:ascii="Verdana" w:hAnsi="Verdana"/>
        </w:rPr>
      </w:pPr>
    </w:p>
    <w:p w14:paraId="793DE684" w14:textId="77777777" w:rsidR="00C823A9" w:rsidRDefault="00C823A9" w:rsidP="009F17B7">
      <w:pPr>
        <w:spacing w:after="0" w:line="240" w:lineRule="auto"/>
        <w:jc w:val="both"/>
        <w:rPr>
          <w:rFonts w:ascii="Verdana" w:hAnsi="Verdana"/>
        </w:rPr>
      </w:pPr>
    </w:p>
    <w:p w14:paraId="5163B63E" w14:textId="77777777" w:rsidR="00C823A9" w:rsidRDefault="00C823A9" w:rsidP="009F17B7">
      <w:pPr>
        <w:spacing w:after="0" w:line="240" w:lineRule="auto"/>
        <w:jc w:val="both"/>
        <w:rPr>
          <w:rFonts w:ascii="Verdana" w:hAnsi="Verdana"/>
        </w:rPr>
      </w:pPr>
    </w:p>
    <w:p w14:paraId="0998E1CC" w14:textId="77777777" w:rsidR="00C823A9" w:rsidRDefault="00C823A9" w:rsidP="009F17B7">
      <w:pPr>
        <w:spacing w:after="0" w:line="240" w:lineRule="auto"/>
        <w:jc w:val="both"/>
        <w:rPr>
          <w:rFonts w:ascii="Verdana" w:hAnsi="Verdana"/>
        </w:rPr>
      </w:pPr>
    </w:p>
    <w:p w14:paraId="2DB4B55A" w14:textId="77777777" w:rsidR="00C823A9" w:rsidRDefault="00C823A9" w:rsidP="009F17B7">
      <w:pPr>
        <w:spacing w:after="0" w:line="240" w:lineRule="auto"/>
        <w:jc w:val="both"/>
        <w:rPr>
          <w:rFonts w:ascii="Verdana" w:hAnsi="Verdana"/>
        </w:rPr>
      </w:pPr>
    </w:p>
    <w:p w14:paraId="341C32E4" w14:textId="77777777" w:rsidR="00C823A9" w:rsidRDefault="00C823A9" w:rsidP="009F17B7">
      <w:pPr>
        <w:spacing w:after="0" w:line="240" w:lineRule="auto"/>
        <w:jc w:val="both"/>
        <w:rPr>
          <w:rFonts w:ascii="Verdana" w:hAnsi="Verdana"/>
        </w:rPr>
      </w:pPr>
    </w:p>
    <w:p w14:paraId="7D257BB5" w14:textId="77777777" w:rsidR="00C823A9" w:rsidRDefault="00C823A9" w:rsidP="009F17B7">
      <w:pPr>
        <w:spacing w:after="0" w:line="240" w:lineRule="auto"/>
        <w:jc w:val="both"/>
        <w:rPr>
          <w:rFonts w:ascii="Verdana" w:hAnsi="Verdana"/>
        </w:rPr>
      </w:pPr>
    </w:p>
    <w:p w14:paraId="1DE97DCB" w14:textId="77777777" w:rsidR="00C823A9" w:rsidRDefault="00C823A9" w:rsidP="009F17B7">
      <w:pPr>
        <w:spacing w:after="0" w:line="240" w:lineRule="auto"/>
        <w:jc w:val="both"/>
        <w:rPr>
          <w:rFonts w:ascii="Verdana" w:hAnsi="Verdana"/>
        </w:rPr>
      </w:pPr>
    </w:p>
    <w:p w14:paraId="00ADE79E" w14:textId="77777777" w:rsidR="00C823A9" w:rsidRDefault="00C823A9" w:rsidP="009F17B7">
      <w:pPr>
        <w:spacing w:after="0" w:line="240" w:lineRule="auto"/>
        <w:jc w:val="both"/>
        <w:rPr>
          <w:rFonts w:ascii="Verdana" w:hAnsi="Verdana"/>
        </w:rPr>
      </w:pPr>
    </w:p>
    <w:p w14:paraId="20DA97A6" w14:textId="77777777" w:rsidR="00C823A9" w:rsidRDefault="00C823A9" w:rsidP="009F17B7">
      <w:pPr>
        <w:spacing w:after="0" w:line="240" w:lineRule="auto"/>
        <w:jc w:val="both"/>
        <w:rPr>
          <w:rFonts w:ascii="Verdana" w:hAnsi="Verdana"/>
        </w:rPr>
      </w:pPr>
    </w:p>
    <w:p w14:paraId="630DA143" w14:textId="77777777" w:rsidR="00C823A9" w:rsidRDefault="00C823A9" w:rsidP="009F17B7">
      <w:pPr>
        <w:spacing w:after="0" w:line="240" w:lineRule="auto"/>
        <w:jc w:val="both"/>
        <w:rPr>
          <w:rFonts w:ascii="Verdana" w:hAnsi="Verdana"/>
        </w:rPr>
      </w:pPr>
    </w:p>
    <w:p w14:paraId="3FE2184B" w14:textId="0F5A1D0C" w:rsidR="00E245AB" w:rsidRPr="009F17B7" w:rsidRDefault="00E6365A" w:rsidP="009F17B7">
      <w:pPr>
        <w:spacing w:after="0" w:line="240" w:lineRule="auto"/>
        <w:jc w:val="both"/>
        <w:rPr>
          <w:rFonts w:ascii="Verdana" w:eastAsia="Calibri" w:hAnsi="Verdana" w:cs="Arial"/>
          <w:lang w:val="es-ES"/>
        </w:rPr>
      </w:pPr>
      <w:r w:rsidRPr="00D51CFB">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4B30B2ED" wp14:editId="5C568757">
            <wp:simplePos x="0" y="0"/>
            <wp:positionH relativeFrom="column">
              <wp:posOffset>3147060</wp:posOffset>
            </wp:positionH>
            <wp:positionV relativeFrom="paragraph">
              <wp:posOffset>52510</wp:posOffset>
            </wp:positionV>
            <wp:extent cx="2855741" cy="933758"/>
            <wp:effectExtent l="0" t="0" r="1905" b="0"/>
            <wp:wrapNone/>
            <wp:docPr id="3366840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684019" name=""/>
                    <pic:cNvPicPr/>
                  </pic:nvPicPr>
                  <pic:blipFill>
                    <a:blip r:embed="rId10">
                      <a:extLst>
                        <a:ext uri="{28A0092B-C50C-407E-A947-70E740481C1C}">
                          <a14:useLocalDpi xmlns:a14="http://schemas.microsoft.com/office/drawing/2010/main" val="0"/>
                        </a:ext>
                      </a:extLst>
                    </a:blip>
                    <a:stretch>
                      <a:fillRect/>
                    </a:stretch>
                  </pic:blipFill>
                  <pic:spPr>
                    <a:xfrm>
                      <a:off x="0" y="0"/>
                      <a:ext cx="2855741" cy="933758"/>
                    </a:xfrm>
                    <a:prstGeom prst="rect">
                      <a:avLst/>
                    </a:prstGeom>
                  </pic:spPr>
                </pic:pic>
              </a:graphicData>
            </a:graphic>
            <wp14:sizeRelH relativeFrom="page">
              <wp14:pctWidth>0</wp14:pctWidth>
            </wp14:sizeRelH>
            <wp14:sizeRelV relativeFrom="page">
              <wp14:pctHeight>0</wp14:pctHeight>
            </wp14:sizeRelV>
          </wp:anchor>
        </w:drawing>
      </w:r>
      <w:r w:rsidR="009F17B7" w:rsidRPr="0044528D">
        <w:rPr>
          <w:rFonts w:ascii="Verdana" w:hAnsi="Verdana"/>
        </w:rPr>
        <w:t xml:space="preserve">Bogotá D.C., </w:t>
      </w:r>
      <w:r w:rsidR="00D51CFB">
        <w:rPr>
          <w:rFonts w:ascii="Verdana" w:hAnsi="Verdana"/>
        </w:rPr>
        <w:t>29 de noviembre de 2024</w:t>
      </w:r>
    </w:p>
    <w:p w14:paraId="5FCADBF9" w14:textId="6D4BC890" w:rsidR="00E245AB" w:rsidRDefault="00E245AB" w:rsidP="00B80EB2">
      <w:pPr>
        <w:spacing w:after="0"/>
        <w:jc w:val="right"/>
        <w:rPr>
          <w:rFonts w:ascii="Verdana" w:hAnsi="Verdana"/>
        </w:rPr>
      </w:pPr>
    </w:p>
    <w:p w14:paraId="3766EB98" w14:textId="57C31846" w:rsidR="00D51CFB" w:rsidRDefault="00D51CFB" w:rsidP="00D51CFB">
      <w:pPr>
        <w:spacing w:after="0" w:line="240" w:lineRule="auto"/>
        <w:ind w:left="4956"/>
        <w:jc w:val="both"/>
        <w:rPr>
          <w:rFonts w:ascii="Verdana" w:eastAsia="Calibri" w:hAnsi="Verdana" w:cs="Arial"/>
          <w:lang w:val="es-ES" w:eastAsia="es-ES"/>
        </w:rPr>
      </w:pPr>
    </w:p>
    <w:p w14:paraId="3557F547" w14:textId="4AA502BD" w:rsidR="007F4029" w:rsidRPr="0063746A" w:rsidRDefault="007F4029" w:rsidP="007F4029">
      <w:pPr>
        <w:spacing w:after="0" w:line="240" w:lineRule="auto"/>
        <w:jc w:val="both"/>
        <w:rPr>
          <w:rFonts w:ascii="Verdana" w:eastAsia="Calibri" w:hAnsi="Verdana" w:cs="Arial"/>
          <w:lang w:val="es-ES" w:eastAsia="es-ES"/>
        </w:rPr>
      </w:pPr>
      <w:r w:rsidRPr="0063746A">
        <w:rPr>
          <w:rFonts w:ascii="Verdana" w:eastAsia="Calibri" w:hAnsi="Verdana" w:cs="Arial"/>
          <w:lang w:val="es-ES" w:eastAsia="es-ES"/>
        </w:rPr>
        <w:t>Señor</w:t>
      </w:r>
    </w:p>
    <w:p w14:paraId="15A342E6" w14:textId="77777777" w:rsidR="000E7DB0" w:rsidRDefault="000E7DB0" w:rsidP="007F402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MARCO ANDRES CORONADO BUSTOS</w:t>
      </w:r>
    </w:p>
    <w:p w14:paraId="0ACD2E4E" w14:textId="14C99D46" w:rsidR="007F4029" w:rsidRPr="0063746A" w:rsidRDefault="007F4029" w:rsidP="007F4029">
      <w:pPr>
        <w:spacing w:after="0" w:line="240" w:lineRule="auto"/>
        <w:rPr>
          <w:rFonts w:ascii="Verdana" w:eastAsia="Calibri" w:hAnsi="Verdana" w:cs="Arial"/>
          <w:b/>
          <w:bCs/>
          <w:lang w:val="es-ES" w:eastAsia="es-ES"/>
        </w:rPr>
      </w:pPr>
      <w:r w:rsidRPr="0063746A">
        <w:rPr>
          <w:rFonts w:ascii="Verdana" w:eastAsia="Calibri" w:hAnsi="Verdana" w:cs="Arial"/>
          <w:lang w:val="es-ES" w:eastAsia="es-ES"/>
        </w:rPr>
        <w:t>Bogotá D.C.</w:t>
      </w:r>
    </w:p>
    <w:p w14:paraId="3C134759" w14:textId="77777777" w:rsidR="00D51CFB" w:rsidRPr="0063746A" w:rsidRDefault="00D51CFB" w:rsidP="007F4029">
      <w:pPr>
        <w:spacing w:after="0" w:line="240" w:lineRule="auto"/>
        <w:rPr>
          <w:rFonts w:ascii="Verdana" w:eastAsia="Calibri" w:hAnsi="Verdana" w:cs="Arial"/>
          <w:b/>
          <w:bCs/>
          <w:lang w:val="es-ES_tradnl" w:eastAsia="es-ES_tradnl"/>
        </w:rPr>
      </w:pPr>
    </w:p>
    <w:p w14:paraId="5A530C07" w14:textId="77777777" w:rsidR="007F4029" w:rsidRPr="0063746A" w:rsidRDefault="007F4029" w:rsidP="007F402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F4029" w:rsidRPr="0063746A" w14:paraId="46CBC67B" w14:textId="77777777" w:rsidTr="00576AAE">
        <w:trPr>
          <w:trHeight w:val="243"/>
        </w:trPr>
        <w:tc>
          <w:tcPr>
            <w:tcW w:w="2689" w:type="dxa"/>
          </w:tcPr>
          <w:p w14:paraId="3F013C17" w14:textId="77777777" w:rsidR="007F4029" w:rsidRPr="009F17B7" w:rsidRDefault="007F4029" w:rsidP="00576AAE">
            <w:pPr>
              <w:jc w:val="both"/>
              <w:rPr>
                <w:rFonts w:ascii="Verdana" w:eastAsia="Calibri" w:hAnsi="Verdana" w:cs="Arial"/>
                <w:b/>
                <w:bCs/>
                <w:lang w:val="es-ES_tradnl" w:eastAsia="es-ES_tradnl"/>
              </w:rPr>
            </w:pPr>
          </w:p>
        </w:tc>
        <w:tc>
          <w:tcPr>
            <w:tcW w:w="6100" w:type="dxa"/>
          </w:tcPr>
          <w:p w14:paraId="2D6B0623" w14:textId="0F152250" w:rsidR="007F4029" w:rsidRPr="009F17B7" w:rsidRDefault="007F4029" w:rsidP="00576AAE">
            <w:pPr>
              <w:jc w:val="both"/>
              <w:rPr>
                <w:rFonts w:ascii="Verdana" w:eastAsia="Calibri" w:hAnsi="Verdana" w:cs="Arial"/>
                <w:b/>
                <w:bCs/>
                <w:lang w:val="es-ES" w:eastAsia="es-ES"/>
              </w:rPr>
            </w:pPr>
            <w:r w:rsidRPr="009F17B7">
              <w:rPr>
                <w:rFonts w:ascii="Verdana" w:eastAsia="Calibri" w:hAnsi="Verdana" w:cs="Arial"/>
                <w:b/>
                <w:bCs/>
                <w:lang w:val="es-ES" w:eastAsia="es-ES"/>
              </w:rPr>
              <w:t xml:space="preserve">Concepto C- </w:t>
            </w:r>
            <w:r w:rsidR="000E7DB0" w:rsidRPr="009F17B7">
              <w:rPr>
                <w:rFonts w:ascii="Verdana" w:eastAsia="Calibri" w:hAnsi="Verdana" w:cs="Arial"/>
                <w:b/>
                <w:bCs/>
                <w:lang w:val="es-ES" w:eastAsia="es-ES"/>
              </w:rPr>
              <w:t>748</w:t>
            </w:r>
            <w:r w:rsidRPr="009F17B7">
              <w:rPr>
                <w:rFonts w:ascii="Verdana" w:eastAsia="Calibri" w:hAnsi="Verdana" w:cs="Arial"/>
                <w:b/>
                <w:bCs/>
                <w:lang w:val="es-ES" w:eastAsia="es-ES"/>
              </w:rPr>
              <w:t xml:space="preserve"> de 2024</w:t>
            </w:r>
          </w:p>
          <w:p w14:paraId="7DD74700" w14:textId="77777777" w:rsidR="007F4029" w:rsidRPr="009F17B7" w:rsidRDefault="007F4029" w:rsidP="00576AAE">
            <w:pPr>
              <w:jc w:val="both"/>
              <w:rPr>
                <w:rFonts w:ascii="Verdana" w:eastAsia="Calibri" w:hAnsi="Verdana" w:cs="Arial"/>
                <w:b/>
                <w:bCs/>
                <w:lang w:val="es-ES" w:eastAsia="es-ES"/>
              </w:rPr>
            </w:pPr>
          </w:p>
        </w:tc>
      </w:tr>
      <w:tr w:rsidR="007F4029" w:rsidRPr="0063746A" w14:paraId="2A621FE8" w14:textId="77777777" w:rsidTr="00576AAE">
        <w:trPr>
          <w:trHeight w:val="884"/>
        </w:trPr>
        <w:tc>
          <w:tcPr>
            <w:tcW w:w="2689" w:type="dxa"/>
          </w:tcPr>
          <w:p w14:paraId="128A43B7" w14:textId="77777777" w:rsidR="007F4029" w:rsidRPr="009F17B7" w:rsidRDefault="007F4029" w:rsidP="00576AAE">
            <w:pPr>
              <w:jc w:val="both"/>
              <w:rPr>
                <w:rFonts w:ascii="Verdana" w:eastAsia="Calibri" w:hAnsi="Verdana" w:cs="Arial"/>
                <w:lang w:val="es-ES_tradnl" w:eastAsia="es-ES_tradnl"/>
              </w:rPr>
            </w:pPr>
            <w:r w:rsidRPr="009F17B7">
              <w:rPr>
                <w:rFonts w:ascii="Verdana" w:eastAsia="Calibri" w:hAnsi="Verdana" w:cs="Arial"/>
                <w:b/>
                <w:lang w:val="es-ES_tradnl" w:eastAsia="es-ES_tradnl"/>
              </w:rPr>
              <w:t>Temas:</w:t>
            </w:r>
            <w:r w:rsidRPr="009F17B7">
              <w:rPr>
                <w:rFonts w:ascii="Verdana" w:eastAsia="Calibri" w:hAnsi="Verdana" w:cs="Arial"/>
                <w:lang w:val="es-ES_tradnl" w:eastAsia="es-ES_tradnl"/>
              </w:rPr>
              <w:t xml:space="preserve">                   </w:t>
            </w:r>
          </w:p>
        </w:tc>
        <w:tc>
          <w:tcPr>
            <w:tcW w:w="6100" w:type="dxa"/>
          </w:tcPr>
          <w:p w14:paraId="5D546D97" w14:textId="450B4FD8" w:rsidR="007F4029" w:rsidRPr="009F17B7" w:rsidRDefault="007F4029" w:rsidP="00576AAE">
            <w:pPr>
              <w:jc w:val="both"/>
              <w:rPr>
                <w:rFonts w:ascii="Verdana" w:eastAsia="Calibri" w:hAnsi="Verdana" w:cs="Arial"/>
                <w:lang w:val="es-ES" w:eastAsia="es-ES"/>
              </w:rPr>
            </w:pPr>
            <w:r w:rsidRPr="009F17B7">
              <w:rPr>
                <w:rFonts w:ascii="Verdana" w:eastAsia="Calibri" w:hAnsi="Verdana" w:cs="Arial"/>
                <w:lang w:val="es-ES" w:eastAsia="es-ES"/>
              </w:rPr>
              <w:t>SUBSANABILIDAD –</w:t>
            </w:r>
            <w:r w:rsidR="00BF72DF" w:rsidRPr="009F17B7">
              <w:rPr>
                <w:rFonts w:ascii="Verdana" w:eastAsia="Calibri" w:hAnsi="Verdana" w:cs="Arial"/>
                <w:lang w:val="es-ES" w:eastAsia="es-ES"/>
              </w:rPr>
              <w:t xml:space="preserve"> </w:t>
            </w:r>
            <w:r w:rsidRPr="009F17B7">
              <w:rPr>
                <w:rFonts w:ascii="Verdana" w:eastAsia="Calibri" w:hAnsi="Verdana" w:cs="Arial"/>
                <w:lang w:val="es-ES" w:eastAsia="es-ES"/>
              </w:rPr>
              <w:t xml:space="preserve">Aplicación – </w:t>
            </w:r>
            <w:r w:rsidR="00D02612" w:rsidRPr="009F17B7">
              <w:rPr>
                <w:rFonts w:ascii="Verdana" w:eastAsia="Calibri" w:hAnsi="Verdana" w:cs="Arial"/>
                <w:lang w:val="es-ES" w:eastAsia="es-ES"/>
              </w:rPr>
              <w:t>R</w:t>
            </w:r>
            <w:r w:rsidR="00D02612" w:rsidRPr="009F17B7">
              <w:rPr>
                <w:rFonts w:eastAsia="Calibri"/>
                <w:lang w:val="es-ES" w:eastAsia="es-ES"/>
              </w:rPr>
              <w:t>egla general</w:t>
            </w:r>
            <w:r w:rsidRPr="009F17B7">
              <w:rPr>
                <w:rFonts w:ascii="Verdana" w:eastAsia="Calibri" w:hAnsi="Verdana" w:cs="Arial"/>
                <w:lang w:val="es-ES" w:eastAsia="es-ES"/>
              </w:rPr>
              <w:t xml:space="preserve"> –</w:t>
            </w:r>
            <w:r w:rsidR="00D02612" w:rsidRPr="009F17B7">
              <w:rPr>
                <w:rFonts w:ascii="Verdana" w:eastAsia="Calibri" w:hAnsi="Verdana" w:cs="Arial"/>
                <w:lang w:val="es-ES" w:eastAsia="es-ES"/>
              </w:rPr>
              <w:t xml:space="preserve"> Excepciones / SUBSANABILIDAD –</w:t>
            </w:r>
            <w:r w:rsidRPr="009F17B7">
              <w:rPr>
                <w:rFonts w:ascii="Verdana" w:eastAsia="Calibri" w:hAnsi="Verdana" w:cs="Arial"/>
                <w:lang w:val="es-ES" w:eastAsia="es-ES"/>
              </w:rPr>
              <w:t xml:space="preserve"> Circunstancias posteriores – Cierre del proceso- Ley 1882 de 2018</w:t>
            </w:r>
          </w:p>
          <w:p w14:paraId="0AFD16D8" w14:textId="77777777" w:rsidR="007F4029" w:rsidRPr="009F17B7" w:rsidRDefault="007F4029" w:rsidP="00576AAE">
            <w:pPr>
              <w:jc w:val="both"/>
              <w:rPr>
                <w:rFonts w:ascii="Verdana" w:eastAsia="Calibri" w:hAnsi="Verdana" w:cs="Arial"/>
                <w:lang w:val="es-ES" w:eastAsia="es-ES"/>
              </w:rPr>
            </w:pPr>
          </w:p>
        </w:tc>
      </w:tr>
      <w:tr w:rsidR="007F4029" w:rsidRPr="0063746A" w14:paraId="01815685" w14:textId="77777777" w:rsidTr="00576AAE">
        <w:trPr>
          <w:trHeight w:val="377"/>
        </w:trPr>
        <w:tc>
          <w:tcPr>
            <w:tcW w:w="2689" w:type="dxa"/>
          </w:tcPr>
          <w:p w14:paraId="116ECD0B" w14:textId="77777777" w:rsidR="007F4029" w:rsidRPr="0063746A" w:rsidRDefault="007F4029" w:rsidP="00576AAE">
            <w:pPr>
              <w:jc w:val="both"/>
              <w:rPr>
                <w:rFonts w:ascii="Verdana" w:eastAsia="Calibri" w:hAnsi="Verdana" w:cs="Arial"/>
                <w:b/>
                <w:lang w:val="es-ES_tradnl" w:eastAsia="es-ES_tradnl"/>
              </w:rPr>
            </w:pPr>
            <w:r w:rsidRPr="0063746A">
              <w:rPr>
                <w:rFonts w:ascii="Verdana" w:eastAsia="Calibri" w:hAnsi="Verdana" w:cs="Arial"/>
                <w:b/>
                <w:lang w:val="es-ES_tradnl" w:eastAsia="es-ES_tradnl"/>
              </w:rPr>
              <w:t>Radicación:</w:t>
            </w:r>
            <w:r w:rsidRPr="0063746A">
              <w:rPr>
                <w:rFonts w:ascii="Verdana" w:eastAsia="Calibri" w:hAnsi="Verdana" w:cs="Arial"/>
                <w:lang w:val="es-ES_tradnl" w:eastAsia="es-ES_tradnl"/>
              </w:rPr>
              <w:t xml:space="preserve">               </w:t>
            </w:r>
          </w:p>
        </w:tc>
        <w:tc>
          <w:tcPr>
            <w:tcW w:w="6100" w:type="dxa"/>
          </w:tcPr>
          <w:p w14:paraId="62BCD697" w14:textId="3986C5A1" w:rsidR="007F4029" w:rsidRPr="0063746A" w:rsidRDefault="007F4029" w:rsidP="00576AAE">
            <w:pPr>
              <w:jc w:val="both"/>
              <w:rPr>
                <w:rFonts w:ascii="Verdana" w:hAnsi="Verdana" w:cs="Calibri"/>
              </w:rPr>
            </w:pPr>
            <w:r w:rsidRPr="0063746A">
              <w:rPr>
                <w:rFonts w:ascii="Verdana" w:eastAsia="Calibri" w:hAnsi="Verdana" w:cs="Arial"/>
                <w:lang w:val="es-ES_tradnl" w:eastAsia="es-ES_tradnl"/>
              </w:rPr>
              <w:t xml:space="preserve">Respuesta a consulta con radicado No. </w:t>
            </w:r>
            <w:r w:rsidR="000E7DB0" w:rsidRPr="000E7DB0">
              <w:rPr>
                <w:rFonts w:ascii="Verdana" w:hAnsi="Verdana" w:cs="Calibri"/>
              </w:rPr>
              <w:t>P20241016010512</w:t>
            </w:r>
          </w:p>
        </w:tc>
      </w:tr>
    </w:tbl>
    <w:p w14:paraId="59E0E2DD" w14:textId="77777777" w:rsidR="007F4029" w:rsidRPr="0063746A" w:rsidRDefault="007F4029" w:rsidP="007F4029">
      <w:pPr>
        <w:spacing w:after="0" w:line="276" w:lineRule="auto"/>
        <w:jc w:val="both"/>
        <w:rPr>
          <w:rFonts w:ascii="Verdana" w:eastAsia="Calibri" w:hAnsi="Verdana" w:cs="Arial"/>
          <w:lang w:val="es-ES_tradnl" w:eastAsia="es-ES_tradnl"/>
        </w:rPr>
      </w:pPr>
    </w:p>
    <w:p w14:paraId="236C1B1E" w14:textId="77777777" w:rsidR="007F4029" w:rsidRPr="0063746A" w:rsidRDefault="007F4029" w:rsidP="007F4029">
      <w:pPr>
        <w:spacing w:after="0" w:line="276" w:lineRule="auto"/>
        <w:jc w:val="both"/>
        <w:rPr>
          <w:rFonts w:ascii="Verdana" w:eastAsia="Calibri" w:hAnsi="Verdana" w:cs="Arial"/>
          <w:lang w:val="es-ES_tradnl" w:eastAsia="es-ES_tradnl"/>
        </w:rPr>
      </w:pPr>
    </w:p>
    <w:p w14:paraId="0559233F" w14:textId="327F90A4" w:rsidR="007F4029" w:rsidRPr="0063746A" w:rsidRDefault="007F4029" w:rsidP="007F4029">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 xml:space="preserve">Estimado señor </w:t>
      </w:r>
      <w:r w:rsidR="000E7DB0">
        <w:rPr>
          <w:rFonts w:ascii="Verdana" w:eastAsia="Calibri" w:hAnsi="Verdana" w:cs="Arial"/>
          <w:lang w:val="es-ES_tradnl" w:eastAsia="es-ES_tradnl"/>
        </w:rPr>
        <w:t>Coronado</w:t>
      </w:r>
      <w:r w:rsidRPr="0063746A">
        <w:rPr>
          <w:rFonts w:ascii="Verdana" w:eastAsia="Calibri" w:hAnsi="Verdana" w:cs="Arial"/>
          <w:lang w:val="es-ES" w:eastAsia="es-ES"/>
        </w:rPr>
        <w:t xml:space="preserve">: </w:t>
      </w:r>
    </w:p>
    <w:p w14:paraId="47A9D717" w14:textId="77777777" w:rsidR="007F4029" w:rsidRPr="0063746A" w:rsidRDefault="007F4029" w:rsidP="007F4029">
      <w:pPr>
        <w:tabs>
          <w:tab w:val="left" w:pos="3768"/>
        </w:tabs>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ab/>
      </w:r>
    </w:p>
    <w:p w14:paraId="59AD77D4" w14:textId="782FA118" w:rsidR="007F4029" w:rsidRPr="0063746A" w:rsidRDefault="007F4029" w:rsidP="007F4029">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En ejercicio de la competencia otorgada por los artículos 3, numeral 5º, y 11, numeral 8º, del Decreto Ley 4170 de 2011,</w:t>
      </w:r>
      <w:r w:rsidRPr="0063746A">
        <w:rPr>
          <w:rFonts w:ascii="Verdana" w:eastAsia="Arial MT" w:hAnsi="Verdana" w:cs="Arial MT"/>
          <w:lang w:val="es-ES" w:eastAsia="es-ES"/>
        </w:rPr>
        <w:t xml:space="preserve"> </w:t>
      </w:r>
      <w:r w:rsidRPr="0063746A">
        <w:rPr>
          <w:rFonts w:ascii="Verdana" w:hAnsi="Verdana" w:cs="Arial"/>
        </w:rPr>
        <w:t xml:space="preserve">así como lo establecido en el artículo 4 de la Resolución 1707 de 2018 expedida por esta Entidad, </w:t>
      </w:r>
      <w:r w:rsidRPr="0063746A">
        <w:rPr>
          <w:rFonts w:ascii="Verdana" w:eastAsia="Calibri" w:hAnsi="Verdana" w:cs="Arial"/>
          <w:lang w:val="es-ES" w:eastAsia="es-ES"/>
        </w:rPr>
        <w:t xml:space="preserve">la Agencia Nacional de Contratación Pública – Colombia Compra Eficiente– responde su solicitud de consulta de fecha </w:t>
      </w:r>
      <w:r w:rsidR="000E7DB0">
        <w:rPr>
          <w:rFonts w:ascii="Verdana" w:eastAsia="Calibri" w:hAnsi="Verdana" w:cs="Arial"/>
          <w:lang w:val="es-ES" w:eastAsia="es-ES"/>
        </w:rPr>
        <w:t>1</w:t>
      </w:r>
      <w:r w:rsidRPr="0063746A">
        <w:rPr>
          <w:rFonts w:ascii="Verdana" w:eastAsia="Calibri" w:hAnsi="Verdana" w:cs="Arial"/>
          <w:lang w:val="es-ES" w:eastAsia="es-ES"/>
        </w:rPr>
        <w:t xml:space="preserve">6 de </w:t>
      </w:r>
      <w:r w:rsidR="000E7DB0">
        <w:rPr>
          <w:rFonts w:ascii="Verdana" w:eastAsia="Calibri" w:hAnsi="Verdana" w:cs="Arial"/>
          <w:lang w:val="es-ES" w:eastAsia="es-ES"/>
        </w:rPr>
        <w:t>octubre</w:t>
      </w:r>
      <w:r w:rsidRPr="0063746A">
        <w:rPr>
          <w:rFonts w:ascii="Verdana" w:eastAsia="Calibri" w:hAnsi="Verdana" w:cs="Arial"/>
          <w:lang w:val="es-ES" w:eastAsia="es-ES"/>
        </w:rPr>
        <w:t xml:space="preserve"> de 2024, en la cual manifiesta lo siguiente: </w:t>
      </w:r>
    </w:p>
    <w:p w14:paraId="0E98DD07" w14:textId="720124EE" w:rsidR="000E7DB0" w:rsidRPr="000E7DB0" w:rsidRDefault="000E7DB0" w:rsidP="000E7DB0">
      <w:pPr>
        <w:spacing w:after="0" w:line="240" w:lineRule="auto"/>
        <w:ind w:right="709"/>
        <w:jc w:val="both"/>
        <w:rPr>
          <w:rFonts w:ascii="Verdana" w:hAnsi="Verdana" w:cs="Arial"/>
          <w:sz w:val="20"/>
          <w:szCs w:val="20"/>
          <w:shd w:val="clear" w:color="auto" w:fill="FFFFFF"/>
        </w:rPr>
      </w:pPr>
    </w:p>
    <w:p w14:paraId="1963FFCE" w14:textId="77777777" w:rsidR="000E7DB0" w:rsidRPr="000E7DB0" w:rsidRDefault="000E7DB0" w:rsidP="000E7DB0">
      <w:pPr>
        <w:spacing w:after="0" w:line="240" w:lineRule="auto"/>
        <w:ind w:left="709" w:right="709"/>
        <w:jc w:val="both"/>
        <w:rPr>
          <w:rFonts w:ascii="Verdana" w:hAnsi="Verdana" w:cs="Arial"/>
          <w:sz w:val="20"/>
          <w:szCs w:val="20"/>
          <w:shd w:val="clear" w:color="auto" w:fill="FFFFFF"/>
        </w:rPr>
      </w:pPr>
      <w:r w:rsidRPr="000E7DB0">
        <w:rPr>
          <w:rFonts w:ascii="Verdana" w:hAnsi="Verdana" w:cs="Arial"/>
          <w:sz w:val="20"/>
          <w:szCs w:val="20"/>
          <w:shd w:val="clear" w:color="auto" w:fill="FFFFFF"/>
        </w:rPr>
        <w:t xml:space="preserve"> </w:t>
      </w:r>
    </w:p>
    <w:p w14:paraId="2C594666" w14:textId="4C203710" w:rsidR="000E7DB0" w:rsidRPr="000E7DB0" w:rsidRDefault="000E7DB0" w:rsidP="000E7DB0">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 1.</w:t>
      </w:r>
      <w:r w:rsidRPr="000E7DB0">
        <w:rPr>
          <w:rFonts w:ascii="Verdana" w:hAnsi="Verdana" w:cs="Arial"/>
          <w:sz w:val="20"/>
          <w:szCs w:val="20"/>
          <w:shd w:val="clear" w:color="auto" w:fill="FFFFFF"/>
        </w:rPr>
        <w:t xml:space="preserve"> Durante un proceso de selección, cuando solicitan subsanar documentos ¿estos pueden ser rechazados por tener las fechas en que se pidieron subsanar los documentos? O sea, ¿por no tener la fecha de antes del cierre de la presentación de las ofertas? </w:t>
      </w:r>
    </w:p>
    <w:p w14:paraId="77EE723F" w14:textId="2AB53ADF" w:rsidR="000E7DB0" w:rsidRDefault="000E7DB0" w:rsidP="000E7DB0">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2.</w:t>
      </w:r>
      <w:r w:rsidRPr="000E7DB0">
        <w:rPr>
          <w:rFonts w:ascii="Verdana" w:hAnsi="Verdana" w:cs="Arial"/>
          <w:sz w:val="20"/>
          <w:szCs w:val="20"/>
          <w:shd w:val="clear" w:color="auto" w:fill="FFFFFF"/>
        </w:rPr>
        <w:t xml:space="preserve"> ¿Se puede rechazar una oferta por no adjuntar información que no se pide dentro de los requisitos habilitantes? </w:t>
      </w:r>
    </w:p>
    <w:p w14:paraId="237224D0" w14:textId="77777777" w:rsidR="00FE2AF5" w:rsidRPr="000E7DB0" w:rsidRDefault="00FE2AF5" w:rsidP="000E7DB0">
      <w:pPr>
        <w:spacing w:after="0" w:line="240" w:lineRule="auto"/>
        <w:ind w:left="709" w:right="709"/>
        <w:jc w:val="both"/>
        <w:rPr>
          <w:rFonts w:ascii="Verdana" w:hAnsi="Verdana" w:cs="Arial"/>
          <w:sz w:val="20"/>
          <w:szCs w:val="20"/>
          <w:shd w:val="clear" w:color="auto" w:fill="FFFFFF"/>
        </w:rPr>
      </w:pPr>
    </w:p>
    <w:p w14:paraId="11A1C7C3" w14:textId="66B09578" w:rsidR="000E7DB0" w:rsidRPr="000E7DB0" w:rsidRDefault="000E7DB0" w:rsidP="000E7DB0">
      <w:pPr>
        <w:spacing w:after="0" w:line="240" w:lineRule="auto"/>
        <w:ind w:left="709" w:right="709"/>
        <w:jc w:val="both"/>
        <w:rPr>
          <w:rFonts w:ascii="Verdana" w:hAnsi="Verdana" w:cs="Arial"/>
          <w:sz w:val="20"/>
          <w:szCs w:val="20"/>
          <w:shd w:val="clear" w:color="auto" w:fill="FFFFFF"/>
        </w:rPr>
      </w:pPr>
      <w:r w:rsidRPr="0019419C">
        <w:rPr>
          <w:rFonts w:ascii="Verdana" w:hAnsi="Verdana" w:cs="Arial"/>
          <w:sz w:val="20"/>
          <w:szCs w:val="20"/>
          <w:shd w:val="clear" w:color="auto" w:fill="FFFFFF"/>
        </w:rPr>
        <w:t>3.</w:t>
      </w:r>
      <w:r w:rsidRPr="000E7DB0">
        <w:rPr>
          <w:rFonts w:ascii="Verdana" w:hAnsi="Verdana" w:cs="Arial"/>
          <w:sz w:val="20"/>
          <w:szCs w:val="20"/>
          <w:shd w:val="clear" w:color="auto" w:fill="FFFFFF"/>
        </w:rPr>
        <w:t xml:space="preserve">Si se cambia el porcentaje de la póliza establecido para el proceso de contratación por uno de los oferentes, esto hace que cambie también el valor de la presentación de la oferta económica, por tal motivo, ¿esta propuesta económica debe ser rechazada? Y, si debió ser rechazada, ¿este oferente también debe ser descartado dentro del proceso de contratación? </w:t>
      </w:r>
      <w:r w:rsidRPr="0019419C">
        <w:rPr>
          <w:rFonts w:ascii="Verdana" w:hAnsi="Verdana" w:cs="Arial"/>
          <w:sz w:val="20"/>
          <w:szCs w:val="20"/>
          <w:shd w:val="clear" w:color="auto" w:fill="FFFFFF"/>
        </w:rPr>
        <w:t>[…]”</w:t>
      </w:r>
    </w:p>
    <w:p w14:paraId="5D8850DB" w14:textId="06793479" w:rsidR="007F4029" w:rsidRPr="00CA2545" w:rsidRDefault="007F4029" w:rsidP="007F4029">
      <w:pPr>
        <w:spacing w:after="0" w:line="240" w:lineRule="auto"/>
        <w:ind w:left="709" w:right="709"/>
        <w:jc w:val="both"/>
        <w:rPr>
          <w:rFonts w:ascii="Verdana" w:eastAsia="Century Gothic" w:hAnsi="Verdana" w:cs="Century Gothic"/>
          <w:sz w:val="20"/>
          <w:szCs w:val="20"/>
          <w:lang w:val="es-ES"/>
        </w:rPr>
      </w:pPr>
    </w:p>
    <w:p w14:paraId="0A28504F" w14:textId="77777777" w:rsidR="007F4029" w:rsidRPr="00CA2545" w:rsidRDefault="007F4029" w:rsidP="007F4029">
      <w:pPr>
        <w:spacing w:after="120" w:line="276" w:lineRule="auto"/>
        <w:jc w:val="both"/>
        <w:rPr>
          <w:rFonts w:ascii="Verdana" w:eastAsia="Calibri" w:hAnsi="Verdana" w:cs="Arial"/>
          <w:color w:val="000000"/>
          <w:lang w:val="es-ES_tradnl" w:eastAsia="es-ES_tradnl"/>
        </w:rPr>
      </w:pPr>
      <w:r w:rsidRPr="00CA254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CA2545">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2545">
        <w:rPr>
          <w:rFonts w:ascii="Verdana" w:eastAsia="Calibri" w:hAnsi="Verdana" w:cs="Arial"/>
          <w:color w:val="000000"/>
          <w:lang w:val="es-ES_tradnl" w:eastAsia="es-ES_tradnl"/>
        </w:rPr>
        <w:tab/>
      </w:r>
    </w:p>
    <w:p w14:paraId="479DA56A" w14:textId="77777777" w:rsidR="007F4029" w:rsidRPr="00CA2545" w:rsidRDefault="007F4029" w:rsidP="007F4029">
      <w:pPr>
        <w:spacing w:after="0" w:line="276" w:lineRule="auto"/>
        <w:ind w:firstLine="709"/>
        <w:jc w:val="both"/>
        <w:rPr>
          <w:rFonts w:ascii="Verdana" w:eastAsia="Calibri" w:hAnsi="Verdana" w:cs="Arial"/>
          <w:color w:val="000000"/>
          <w:lang w:val="es-ES" w:eastAsia="es-ES"/>
        </w:rPr>
      </w:pPr>
      <w:r w:rsidRPr="00CA254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e</w:t>
      </w:r>
      <w:r w:rsidRPr="00CA2545">
        <w:rPr>
          <w:rFonts w:ascii="Verdana" w:eastAsia="Calibri" w:hAnsi="Verdana" w:cs="Arial"/>
          <w:color w:val="7030A0"/>
          <w:lang w:val="es-ES" w:eastAsia="es-ES"/>
        </w:rPr>
        <w:t xml:space="preserve">l </w:t>
      </w:r>
      <w:r w:rsidRPr="00CA2545">
        <w:rPr>
          <w:rFonts w:ascii="Verdana" w:eastAsia="Calibri" w:hAnsi="Verdana" w:cs="Arial"/>
          <w:color w:val="000000"/>
          <w:lang w:val="es-ES" w:eastAsia="es-ES"/>
        </w:rPr>
        <w:t>problema</w:t>
      </w:r>
      <w:r w:rsidRPr="00CA2545">
        <w:rPr>
          <w:rFonts w:ascii="Verdana" w:eastAsia="Calibri" w:hAnsi="Verdana" w:cs="Arial"/>
          <w:color w:val="7030A0"/>
          <w:lang w:val="es-ES" w:eastAsia="es-ES"/>
        </w:rPr>
        <w:t xml:space="preserve"> </w:t>
      </w:r>
      <w:r w:rsidRPr="00CA2545">
        <w:rPr>
          <w:rFonts w:ascii="Verdana" w:eastAsia="Calibri" w:hAnsi="Verdana" w:cs="Arial"/>
          <w:color w:val="000000"/>
          <w:lang w:val="es-ES" w:eastAsia="es-ES"/>
        </w:rPr>
        <w:t>jurídico</w:t>
      </w:r>
      <w:r w:rsidRPr="00CA2545">
        <w:rPr>
          <w:rFonts w:ascii="Verdana" w:eastAsia="Calibri" w:hAnsi="Verdana" w:cs="Arial"/>
          <w:color w:val="7030A0"/>
          <w:lang w:val="es-ES" w:eastAsia="es-ES"/>
        </w:rPr>
        <w:t xml:space="preserve"> </w:t>
      </w:r>
      <w:r w:rsidRPr="00CA2545">
        <w:rPr>
          <w:rFonts w:ascii="Verdana" w:eastAsia="Calibri" w:hAnsi="Verdana" w:cs="Arial"/>
          <w:color w:val="000000"/>
          <w:lang w:val="es-ES" w:eastAsia="es-ES"/>
        </w:rPr>
        <w:t xml:space="preserve">de su consulta. </w:t>
      </w:r>
    </w:p>
    <w:p w14:paraId="05DFAEA0" w14:textId="77777777" w:rsidR="007F4029" w:rsidRPr="00CA2545" w:rsidRDefault="007F4029" w:rsidP="007F4029">
      <w:pPr>
        <w:spacing w:after="0" w:line="276" w:lineRule="auto"/>
        <w:ind w:firstLine="709"/>
        <w:jc w:val="both"/>
        <w:rPr>
          <w:rFonts w:ascii="Verdana" w:eastAsia="Calibri" w:hAnsi="Verdana" w:cs="Arial"/>
          <w:color w:val="000000"/>
          <w:lang w:val="es-ES" w:eastAsia="es-ES"/>
        </w:rPr>
      </w:pPr>
    </w:p>
    <w:p w14:paraId="713ADECD" w14:textId="77777777" w:rsidR="007F4029" w:rsidRPr="00C75C5C" w:rsidRDefault="007F4029" w:rsidP="007F40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75C5C">
        <w:rPr>
          <w:rFonts w:ascii="Verdana" w:eastAsia="Century Gothic" w:hAnsi="Verdana" w:cs="Century Gothic"/>
          <w:b/>
          <w:bCs/>
        </w:rPr>
        <w:t>Problema planteado:</w:t>
      </w:r>
    </w:p>
    <w:p w14:paraId="7A8264E4" w14:textId="77777777" w:rsidR="007F4029" w:rsidRPr="00C75C5C" w:rsidRDefault="007F4029" w:rsidP="007F4029">
      <w:pPr>
        <w:tabs>
          <w:tab w:val="left" w:pos="426"/>
        </w:tabs>
        <w:spacing w:after="0" w:line="276" w:lineRule="auto"/>
        <w:jc w:val="both"/>
        <w:rPr>
          <w:rFonts w:ascii="Verdana" w:eastAsia="Century Gothic" w:hAnsi="Verdana" w:cs="Century Gothic"/>
          <w:lang w:val="es-ES"/>
        </w:rPr>
      </w:pPr>
    </w:p>
    <w:p w14:paraId="41D78892" w14:textId="21992065" w:rsidR="000E7DB0" w:rsidRDefault="007F4029" w:rsidP="007F4029">
      <w:pPr>
        <w:spacing w:after="0" w:line="276" w:lineRule="auto"/>
        <w:jc w:val="both"/>
        <w:rPr>
          <w:rFonts w:ascii="Verdana" w:eastAsia="Century Gothic" w:hAnsi="Verdana" w:cs="Century Gothic"/>
        </w:rPr>
      </w:pPr>
      <w:r w:rsidRPr="00C75C5C">
        <w:rPr>
          <w:rFonts w:ascii="Verdana" w:eastAsia="Century Gothic" w:hAnsi="Verdana" w:cs="Century Gothic"/>
        </w:rPr>
        <w:t xml:space="preserve">De acuerdo con el contenido de su solicitud, esta Agencia resolverá </w:t>
      </w:r>
      <w:r w:rsidR="000E7DB0">
        <w:rPr>
          <w:rFonts w:ascii="Verdana" w:eastAsia="Century Gothic" w:hAnsi="Verdana" w:cs="Century Gothic"/>
        </w:rPr>
        <w:t>los</w:t>
      </w:r>
      <w:r w:rsidRPr="00C75C5C">
        <w:rPr>
          <w:rFonts w:ascii="Verdana" w:eastAsia="Century Gothic" w:hAnsi="Verdana" w:cs="Century Gothic"/>
        </w:rPr>
        <w:t xml:space="preserve"> siguiente</w:t>
      </w:r>
      <w:r w:rsidR="000E7DB0">
        <w:rPr>
          <w:rFonts w:ascii="Verdana" w:eastAsia="Century Gothic" w:hAnsi="Verdana" w:cs="Century Gothic"/>
        </w:rPr>
        <w:t>s</w:t>
      </w:r>
      <w:r w:rsidRPr="00C75C5C">
        <w:rPr>
          <w:rFonts w:ascii="Verdana" w:eastAsia="Century Gothic" w:hAnsi="Verdana" w:cs="Century Gothic"/>
        </w:rPr>
        <w:t xml:space="preserve"> problema</w:t>
      </w:r>
      <w:r w:rsidR="000E7DB0">
        <w:rPr>
          <w:rFonts w:ascii="Verdana" w:eastAsia="Century Gothic" w:hAnsi="Verdana" w:cs="Century Gothic"/>
        </w:rPr>
        <w:t>s</w:t>
      </w:r>
      <w:r w:rsidRPr="00C75C5C">
        <w:rPr>
          <w:rFonts w:ascii="Verdana" w:eastAsia="Century Gothic" w:hAnsi="Verdana" w:cs="Century Gothic"/>
        </w:rPr>
        <w:t xml:space="preserve"> </w:t>
      </w:r>
      <w:r w:rsidR="000E7DB0" w:rsidRPr="00C75C5C">
        <w:rPr>
          <w:rFonts w:ascii="Verdana" w:eastAsia="Century Gothic" w:hAnsi="Verdana" w:cs="Century Gothic"/>
        </w:rPr>
        <w:t>jurídic</w:t>
      </w:r>
      <w:r w:rsidR="000E7DB0">
        <w:rPr>
          <w:rFonts w:ascii="Verdana" w:eastAsia="Century Gothic" w:hAnsi="Verdana" w:cs="Century Gothic"/>
        </w:rPr>
        <w:t>o</w:t>
      </w:r>
      <w:r w:rsidR="000E7DB0" w:rsidRPr="00C75C5C">
        <w:rPr>
          <w:rFonts w:ascii="Verdana" w:eastAsia="Century Gothic" w:hAnsi="Verdana" w:cs="Century Gothic"/>
        </w:rPr>
        <w:t>s</w:t>
      </w:r>
      <w:r w:rsidRPr="00C75C5C">
        <w:rPr>
          <w:rFonts w:ascii="Verdana" w:eastAsia="Century Gothic" w:hAnsi="Verdana" w:cs="Century Gothic"/>
        </w:rPr>
        <w:t>:</w:t>
      </w:r>
    </w:p>
    <w:p w14:paraId="65FBDB13" w14:textId="77777777" w:rsidR="000E7DB0" w:rsidRDefault="000E7DB0" w:rsidP="007F4029">
      <w:pPr>
        <w:spacing w:after="0" w:line="276" w:lineRule="auto"/>
        <w:jc w:val="both"/>
        <w:rPr>
          <w:rFonts w:ascii="Verdana" w:eastAsia="Century Gothic" w:hAnsi="Verdana" w:cs="Century Gothic"/>
        </w:rPr>
      </w:pPr>
    </w:p>
    <w:p w14:paraId="776579EF" w14:textId="574996C9" w:rsidR="007F4029" w:rsidRDefault="007F4029" w:rsidP="000E7DB0">
      <w:pPr>
        <w:pStyle w:val="Prrafodelista"/>
        <w:numPr>
          <w:ilvl w:val="1"/>
          <w:numId w:val="19"/>
        </w:numPr>
        <w:spacing w:after="0" w:line="276" w:lineRule="auto"/>
        <w:jc w:val="both"/>
        <w:rPr>
          <w:rFonts w:ascii="Verdana" w:eastAsia="Century Gothic" w:hAnsi="Verdana" w:cs="Century Gothic"/>
        </w:rPr>
      </w:pPr>
      <w:r w:rsidRPr="000E7DB0">
        <w:rPr>
          <w:rFonts w:ascii="Verdana" w:eastAsia="Century Gothic" w:hAnsi="Verdana" w:cs="Century Gothic"/>
        </w:rPr>
        <w:t xml:space="preserve">¿Qué requisitos son subsanables en los diferentes procesos de selección, según lo dispuesto en el Estatuto General de la Contratación de la Administración Pública – en adelante EGCAP? </w:t>
      </w:r>
    </w:p>
    <w:p w14:paraId="68CEBB43" w14:textId="77777777" w:rsidR="00FE2AF5" w:rsidRDefault="00FE2AF5" w:rsidP="00FE2AF5">
      <w:pPr>
        <w:pStyle w:val="Prrafodelista"/>
        <w:spacing w:after="0" w:line="276" w:lineRule="auto"/>
        <w:jc w:val="both"/>
        <w:rPr>
          <w:rFonts w:ascii="Verdana" w:eastAsia="Century Gothic" w:hAnsi="Verdana" w:cs="Century Gothic"/>
        </w:rPr>
      </w:pPr>
    </w:p>
    <w:p w14:paraId="169D66ED" w14:textId="49F9F15E" w:rsidR="00FE2AF5" w:rsidRPr="00FE2AF5" w:rsidRDefault="00FE2AF5" w:rsidP="00FE2AF5">
      <w:pPr>
        <w:pStyle w:val="Prrafodelista"/>
        <w:numPr>
          <w:ilvl w:val="1"/>
          <w:numId w:val="19"/>
        </w:numPr>
        <w:spacing w:after="0" w:line="276" w:lineRule="auto"/>
        <w:jc w:val="both"/>
        <w:rPr>
          <w:rFonts w:ascii="Verdana" w:eastAsia="Century Gothic" w:hAnsi="Verdana" w:cs="Century Gothic"/>
        </w:rPr>
      </w:pPr>
      <w:r>
        <w:rPr>
          <w:rFonts w:ascii="Verdana" w:eastAsia="Century Gothic" w:hAnsi="Verdana" w:cs="Century Gothic"/>
        </w:rPr>
        <w:t>¿</w:t>
      </w:r>
      <w:r w:rsidR="0019419C">
        <w:rPr>
          <w:rFonts w:ascii="Verdana" w:eastAsia="Century Gothic" w:hAnsi="Verdana" w:cs="Century Gothic"/>
        </w:rPr>
        <w:t>Respecto a la garantía de la seriedad de la oferta como le aplica las reglas de subsanabilidad</w:t>
      </w:r>
      <w:r w:rsidR="00913976">
        <w:rPr>
          <w:rFonts w:ascii="Verdana" w:eastAsia="Century Gothic" w:hAnsi="Verdana" w:cs="Century Gothic"/>
        </w:rPr>
        <w:t xml:space="preserve"> y que relación tiene con la oferta económica</w:t>
      </w:r>
      <w:r>
        <w:rPr>
          <w:rFonts w:ascii="Verdana" w:eastAsia="Century Gothic" w:hAnsi="Verdana" w:cs="Century Gothic"/>
        </w:rPr>
        <w:t xml:space="preserve">? </w:t>
      </w:r>
    </w:p>
    <w:p w14:paraId="153AC7DC" w14:textId="77777777" w:rsidR="00BB6E16" w:rsidRPr="000E7DB0" w:rsidRDefault="00BB6E16" w:rsidP="00BB6E16">
      <w:pPr>
        <w:pStyle w:val="Prrafodelista"/>
        <w:spacing w:after="0" w:line="276" w:lineRule="auto"/>
        <w:jc w:val="both"/>
        <w:rPr>
          <w:rFonts w:ascii="Verdana" w:eastAsia="Century Gothic" w:hAnsi="Verdana" w:cs="Century Gothic"/>
        </w:rPr>
      </w:pPr>
    </w:p>
    <w:p w14:paraId="0B03B073" w14:textId="77777777" w:rsidR="007F4029" w:rsidRPr="00384705" w:rsidRDefault="007F4029" w:rsidP="007F4029">
      <w:pPr>
        <w:spacing w:after="0" w:line="276" w:lineRule="auto"/>
        <w:jc w:val="both"/>
        <w:rPr>
          <w:rFonts w:ascii="Verdana" w:eastAsia="Calibri" w:hAnsi="Verdana" w:cs="Arial"/>
          <w:color w:val="7030A0"/>
        </w:rPr>
      </w:pPr>
    </w:p>
    <w:p w14:paraId="2794F18A" w14:textId="77777777" w:rsidR="007F4029" w:rsidRPr="00B74530" w:rsidRDefault="007F4029" w:rsidP="007F40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4530">
        <w:rPr>
          <w:rFonts w:ascii="Verdana" w:eastAsia="Century Gothic" w:hAnsi="Verdana" w:cs="Century Gothic"/>
          <w:b/>
          <w:bCs/>
        </w:rPr>
        <w:t>Respuesta:</w:t>
      </w:r>
    </w:p>
    <w:p w14:paraId="1802F2BB" w14:textId="77777777" w:rsidR="007F4029" w:rsidRPr="00DE4E8C" w:rsidRDefault="007F4029" w:rsidP="007F4029">
      <w:pPr>
        <w:tabs>
          <w:tab w:val="left" w:pos="142"/>
          <w:tab w:val="left" w:pos="284"/>
        </w:tabs>
        <w:spacing w:after="0" w:line="276" w:lineRule="auto"/>
        <w:jc w:val="both"/>
        <w:rPr>
          <w:rFonts w:ascii="Verdana" w:eastAsia="Century Gothic" w:hAnsi="Verdana" w:cs="Century Gothic"/>
          <w:b/>
          <w:bCs/>
          <w:highlight w:val="yellow"/>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F4029" w:rsidRPr="00593A5F" w14:paraId="1567D36B" w14:textId="77777777" w:rsidTr="00576AAE">
        <w:tc>
          <w:tcPr>
            <w:tcW w:w="8828" w:type="dxa"/>
            <w:shd w:val="clear" w:color="auto" w:fill="auto"/>
          </w:tcPr>
          <w:p w14:paraId="4426C13B" w14:textId="4E31BE51" w:rsidR="007F4029" w:rsidRPr="001A10D9" w:rsidRDefault="007F4029" w:rsidP="00576AAE">
            <w:pPr>
              <w:spacing w:after="120" w:line="276" w:lineRule="auto"/>
              <w:jc w:val="both"/>
              <w:rPr>
                <w:rFonts w:ascii="Verdana" w:eastAsia="Calibri" w:hAnsi="Verdana" w:cs="Arial"/>
              </w:rPr>
            </w:pPr>
            <w:r w:rsidRPr="001A10D9">
              <w:rPr>
                <w:rFonts w:ascii="Verdana" w:eastAsia="Calibri" w:hAnsi="Verdana" w:cs="Arial"/>
              </w:rPr>
              <w:t>La regla de subsanabilidad, prevista en el artículo 5 de la Ley 1150 de 2007, es un mecanismo previsto en los procesos de contratación estatal que se regulan por el EGCAP, según la cual los proponentes</w:t>
            </w:r>
            <w:r w:rsidR="007604D4">
              <w:rPr>
                <w:rFonts w:ascii="Verdana" w:eastAsia="Calibri" w:hAnsi="Verdana" w:cs="Arial"/>
              </w:rPr>
              <w:t xml:space="preserve"> </w:t>
            </w:r>
            <w:r w:rsidRPr="001A10D9">
              <w:rPr>
                <w:rFonts w:ascii="Verdana" w:eastAsia="Calibri" w:hAnsi="Verdana" w:cs="Arial"/>
              </w:rPr>
              <w:t xml:space="preserve">pueden enmendar, corregir o modificar los errores en los que se incurre en los documentos contentivos de la oferta. </w:t>
            </w:r>
          </w:p>
          <w:p w14:paraId="1DCFD159" w14:textId="77777777" w:rsidR="007F4029" w:rsidRPr="001A10D9" w:rsidRDefault="007F4029" w:rsidP="00576AAE">
            <w:pPr>
              <w:spacing w:after="120" w:line="276" w:lineRule="auto"/>
              <w:ind w:firstLine="708"/>
              <w:jc w:val="both"/>
              <w:rPr>
                <w:rFonts w:ascii="Verdana" w:eastAsia="Times New Roman" w:hAnsi="Verdana" w:cs="Arial"/>
                <w:i/>
                <w:lang w:val="es-ES" w:eastAsia="es-ES"/>
              </w:rPr>
            </w:pPr>
            <w:r w:rsidRPr="001A10D9">
              <w:rPr>
                <w:rFonts w:ascii="Verdana" w:hAnsi="Verdana" w:cs="Arial"/>
                <w:noProof/>
                <w:lang w:val="es-ES_tradnl"/>
              </w:rPr>
              <w:lastRenderedPageBreak/>
              <w:t xml:space="preserve">Conforme a las reglas de subsanabilidad, los requisitos o documentos que no sean necesarios para la comparación de las ofertas pueden subsanarse y todo lo que no sea necesario para la comparación de propuestas no es título suficiente para su rechazo. </w:t>
            </w:r>
          </w:p>
          <w:p w14:paraId="489EFFCD" w14:textId="77777777" w:rsidR="007F4029" w:rsidRPr="001A10D9" w:rsidRDefault="007F4029" w:rsidP="00576AAE">
            <w:pPr>
              <w:spacing w:after="120" w:line="276" w:lineRule="auto"/>
              <w:ind w:firstLine="709"/>
              <w:jc w:val="both"/>
              <w:rPr>
                <w:rFonts w:ascii="Verdana" w:eastAsia="Times New Roman" w:hAnsi="Verdana" w:cs="Arial"/>
                <w:lang w:val="es-ES_tradnl" w:eastAsia="es-ES_tradnl"/>
              </w:rPr>
            </w:pPr>
            <w:r w:rsidRPr="001A10D9">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6C8255B" w14:textId="77777777" w:rsidR="007F4029" w:rsidRPr="001A10D9" w:rsidRDefault="007F4029" w:rsidP="00576AAE">
            <w:pPr>
              <w:spacing w:after="120" w:line="276" w:lineRule="auto"/>
              <w:ind w:firstLine="709"/>
              <w:jc w:val="both"/>
              <w:rPr>
                <w:rFonts w:ascii="Verdana" w:eastAsia="Times New Roman" w:hAnsi="Verdana" w:cs="Arial"/>
                <w:lang w:val="es-ES" w:eastAsia="es-ES"/>
              </w:rPr>
            </w:pPr>
            <w:r w:rsidRPr="001A10D9">
              <w:rPr>
                <w:rFonts w:ascii="Verdana" w:eastAsia="Times New Roman" w:hAnsi="Verdana" w:cs="Arial"/>
                <w:lang w:val="es-ES" w:eastAsia="es-ES"/>
              </w:rPr>
              <w:t>Visto lo anterior, con miras a dar respuesta al problema jurídico planteado, debe decirse que,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174DCB49" w14:textId="2A484017" w:rsidR="007F4029" w:rsidRPr="001A10D9" w:rsidRDefault="007F4029" w:rsidP="00576AAE">
            <w:pPr>
              <w:spacing w:after="120" w:line="276" w:lineRule="auto"/>
              <w:ind w:firstLine="709"/>
              <w:jc w:val="both"/>
              <w:rPr>
                <w:rFonts w:ascii="Verdana" w:hAnsi="Verdana" w:cs="Arial"/>
                <w:noProof/>
                <w:lang w:val="es-ES_tradnl"/>
              </w:rPr>
            </w:pPr>
            <w:r w:rsidRPr="001A10D9">
              <w:rPr>
                <w:rFonts w:ascii="Verdana" w:hAnsi="Verdana" w:cs="Arial"/>
                <w:noProof/>
                <w:lang w:val="es-ES_tradnl"/>
              </w:rPr>
              <w:t xml:space="preserve">En conclusion, los requisitos o documentos que no sean necesarios para la comparación de las ofertas pueden subsanarse y todo lo que no sea necesario para la comparación de propuestas no es título suficiente para su rechazo. En sentido, </w:t>
            </w:r>
            <w:r w:rsidR="00BB6E16">
              <w:rPr>
                <w:rFonts w:ascii="Verdana" w:hAnsi="Verdana" w:cs="Arial"/>
                <w:noProof/>
                <w:lang w:val="es-ES_tradnl"/>
              </w:rPr>
              <w:t xml:space="preserve">a manera de ejemplo, </w:t>
            </w:r>
            <w:r w:rsidRPr="001A10D9">
              <w:rPr>
                <w:rFonts w:ascii="Verdana" w:hAnsi="Verdana" w:cs="Arial"/>
                <w:noProof/>
                <w:lang w:val="es-ES_tradnl"/>
              </w:rPr>
              <w:t xml:space="preserve">si en un concurso de méritos se presentó a un profesional para cumplir con un perfil solicitado como requisito habilitante, pero la entidad encontró alguna inconsistencia, podría subsanarse el requisito habilitante. </w:t>
            </w:r>
          </w:p>
          <w:p w14:paraId="1E7C5DFA" w14:textId="77777777" w:rsidR="007F4029" w:rsidRDefault="007F4029" w:rsidP="00576AAE">
            <w:pPr>
              <w:spacing w:after="120" w:line="276" w:lineRule="auto"/>
              <w:ind w:firstLine="709"/>
              <w:jc w:val="both"/>
              <w:rPr>
                <w:rFonts w:ascii="Verdana" w:hAnsi="Verdana" w:cs="Arial"/>
                <w:noProof/>
                <w:lang w:val="es-ES_tradnl"/>
              </w:rPr>
            </w:pPr>
            <w:r w:rsidRPr="001A10D9">
              <w:rPr>
                <w:rFonts w:ascii="Verdana" w:hAnsi="Verdana" w:cs="Arial"/>
                <w:noProof/>
                <w:lang w:val="es-ES_tradnl"/>
              </w:rPr>
              <w:t xml:space="preserve">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w:t>
            </w:r>
            <w:r w:rsidRPr="001A10D9">
              <w:rPr>
                <w:rFonts w:ascii="Verdana" w:hAnsi="Verdana" w:cs="Arial"/>
                <w:noProof/>
                <w:lang w:val="es-ES_tradnl"/>
              </w:rPr>
              <w:lastRenderedPageBreak/>
              <w:t>cumplidos al momento de presentación de la oferta, o en palabras de la ley, que se acrediten hechos que ocurrieron después del cierre del proceso, por lo que dicha limitación a la regla de subsanabilidad también deberá ser tenida en cuenta.</w:t>
            </w:r>
          </w:p>
          <w:p w14:paraId="322E612A" w14:textId="51B703D7" w:rsidR="00891577" w:rsidRDefault="00891577" w:rsidP="00891577">
            <w:pPr>
              <w:spacing w:after="120" w:line="276" w:lineRule="auto"/>
              <w:jc w:val="both"/>
              <w:rPr>
                <w:rFonts w:ascii="Verdana" w:eastAsia="Times New Roman" w:hAnsi="Verdana" w:cs="Arial"/>
                <w:lang w:eastAsia="es-ES_tradnl"/>
              </w:rPr>
            </w:pPr>
            <w:r w:rsidRPr="00913976">
              <w:rPr>
                <w:rFonts w:ascii="Verdana" w:hAnsi="Verdana" w:cs="Arial"/>
                <w:noProof/>
                <w:lang w:val="es-ES_tradnl"/>
              </w:rPr>
              <w:t>respect</w:t>
            </w:r>
            <w:r w:rsidR="00913976">
              <w:rPr>
                <w:rFonts w:ascii="Verdana" w:hAnsi="Verdana" w:cs="Arial"/>
                <w:noProof/>
                <w:lang w:val="es-ES_tradnl"/>
              </w:rPr>
              <w:t>o</w:t>
            </w:r>
            <w:r w:rsidRPr="00913976">
              <w:rPr>
                <w:rFonts w:ascii="Verdana" w:hAnsi="Verdana" w:cs="Arial"/>
                <w:noProof/>
                <w:lang w:val="es-ES_tradnl"/>
              </w:rPr>
              <w:t xml:space="preserve"> al segundo interrogante, cabe mencionar que según el articulo </w:t>
            </w:r>
            <w:r w:rsidR="00913976" w:rsidRPr="00913976">
              <w:rPr>
                <w:rFonts w:ascii="Verdana" w:eastAsia="Times New Roman" w:hAnsi="Verdana" w:cs="Arial"/>
                <w:lang w:eastAsia="es-ES_tradnl"/>
              </w:rPr>
              <w:t>artículo 5 de la Ley 1882 de 2018, que adicionó el parágrafo 3 al artículo 5 de la Ley 1150 de 2007, proscribe la subsanabilidad de la garantía de seriedad cuando esta no fue entregada junto con la propuesta, estableciendo tal carencia como causal de rechazo</w:t>
            </w:r>
            <w:r w:rsidR="00913976" w:rsidRPr="00913976">
              <w:rPr>
                <w:rFonts w:ascii="Verdana" w:eastAsia="Times New Roman" w:hAnsi="Verdana" w:cs="Arial"/>
                <w:vertAlign w:val="superscript"/>
                <w:lang w:eastAsia="es-ES_tradnl"/>
              </w:rPr>
              <w:footnoteReference w:id="1"/>
            </w:r>
            <w:r w:rsidR="00913976" w:rsidRPr="00913976">
              <w:rPr>
                <w:rFonts w:ascii="Verdana" w:eastAsia="Times New Roman" w:hAnsi="Verdana" w:cs="Arial"/>
                <w:lang w:eastAsia="es-ES_tradnl"/>
              </w:rPr>
              <w:t>.</w:t>
            </w:r>
          </w:p>
          <w:p w14:paraId="2DDC0B67" w14:textId="5E3EC1AC" w:rsidR="00913976" w:rsidRDefault="00913976" w:rsidP="00891577">
            <w:pPr>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 xml:space="preserve">Lo anterior fue contemplado, indicando que el contrato de seguro es un contrato consensual, </w:t>
            </w:r>
            <w:r w:rsidRPr="00913976">
              <w:rPr>
                <w:rFonts w:ascii="Verdana" w:eastAsia="Times New Roman" w:hAnsi="Verdana" w:cs="Arial"/>
                <w:lang w:eastAsia="es-ES_tradnl"/>
              </w:rPr>
              <w:t xml:space="preserve">bilateral, oneroso, aleatorio y de ejecución sucesiva y que en el evento de que el proponente retirara su oferta sin contar con la póliza, dicha entidad no podría realizar reclamación alguna por no contar con la mencionada garantía. </w:t>
            </w:r>
          </w:p>
          <w:p w14:paraId="0A9626D0" w14:textId="0794B0F2" w:rsidR="008B2ECD" w:rsidRPr="00913976" w:rsidRDefault="008B2ECD" w:rsidP="00891577">
            <w:pPr>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Respecto a la relación que tiene con la oferta económica, la Agencia se permite aclarar que son documentos diferentes que se aperturan y/o evalúan en etapas diferentes del proceso de selección.</w:t>
            </w:r>
          </w:p>
          <w:p w14:paraId="32927D1C" w14:textId="77777777" w:rsidR="00E6365A" w:rsidRPr="00E6365A" w:rsidRDefault="00E6365A" w:rsidP="00E6365A">
            <w:pPr>
              <w:spacing w:line="276" w:lineRule="auto"/>
              <w:jc w:val="both"/>
              <w:rPr>
                <w:rFonts w:ascii="Verdana" w:eastAsia="Times New Roman" w:hAnsi="Verdana" w:cs="Arial"/>
                <w:iCs/>
                <w:lang w:val="es-ES" w:eastAsia="es-ES"/>
              </w:rPr>
            </w:pPr>
            <w:r w:rsidRPr="00E6365A">
              <w:rPr>
                <w:rFonts w:ascii="Verdana" w:eastAsia="Times New Roman" w:hAnsi="Verdana" w:cs="Arial"/>
                <w:iCs/>
                <w:lang w:val="es-ES" w:eastAsia="es-ES"/>
              </w:rPr>
              <w:t>No obstante lo anterior, se hace claridad que en todo caso son las entidades</w:t>
            </w:r>
          </w:p>
          <w:p w14:paraId="38D66880" w14:textId="77777777" w:rsidR="00E6365A" w:rsidRPr="00E6365A" w:rsidRDefault="00E6365A" w:rsidP="00E6365A">
            <w:pPr>
              <w:spacing w:line="276" w:lineRule="auto"/>
              <w:jc w:val="both"/>
              <w:rPr>
                <w:rFonts w:ascii="Verdana" w:eastAsia="Times New Roman" w:hAnsi="Verdana" w:cs="Arial"/>
                <w:iCs/>
                <w:lang w:val="es-ES" w:eastAsia="es-ES"/>
              </w:rPr>
            </w:pPr>
            <w:r w:rsidRPr="00E6365A">
              <w:rPr>
                <w:rFonts w:ascii="Verdana" w:eastAsia="Times New Roman" w:hAnsi="Verdana" w:cs="Arial"/>
                <w:iCs/>
                <w:lang w:val="es-ES" w:eastAsia="es-ES"/>
              </w:rPr>
              <w:t>estatales que adelantan los procesos de selección quienes deben determinar</w:t>
            </w:r>
          </w:p>
          <w:p w14:paraId="242E0AFA" w14:textId="36E9E57F" w:rsidR="007F4029" w:rsidRPr="00E6365A" w:rsidRDefault="00E6365A" w:rsidP="00E6365A">
            <w:pPr>
              <w:spacing w:line="276" w:lineRule="auto"/>
              <w:jc w:val="both"/>
              <w:rPr>
                <w:rFonts w:ascii="Verdana" w:eastAsia="Times New Roman" w:hAnsi="Verdana" w:cs="Arial"/>
                <w:iCs/>
                <w:lang w:val="es-ES" w:eastAsia="es-ES"/>
              </w:rPr>
            </w:pPr>
            <w:r w:rsidRPr="00E6365A">
              <w:rPr>
                <w:rFonts w:ascii="Verdana" w:eastAsia="Times New Roman" w:hAnsi="Verdana" w:cs="Arial"/>
                <w:iCs/>
                <w:lang w:val="es-ES" w:eastAsia="es-ES"/>
              </w:rPr>
              <w:t>en cada caso en concreto si el requisito es habilitante o no, o si de su</w:t>
            </w:r>
            <w:r>
              <w:rPr>
                <w:rFonts w:ascii="Verdana" w:eastAsia="Times New Roman" w:hAnsi="Verdana" w:cs="Arial"/>
                <w:iCs/>
                <w:lang w:val="es-ES" w:eastAsia="es-ES"/>
              </w:rPr>
              <w:t xml:space="preserve"> </w:t>
            </w:r>
            <w:r w:rsidRPr="00E6365A">
              <w:rPr>
                <w:rFonts w:ascii="Verdana" w:eastAsia="Times New Roman" w:hAnsi="Verdana" w:cs="Arial"/>
                <w:iCs/>
                <w:lang w:val="es-ES" w:eastAsia="es-ES"/>
              </w:rPr>
              <w:t>evaluación se deriva una causal que haga obligatorio el rechazo de la oferta</w:t>
            </w:r>
          </w:p>
        </w:tc>
      </w:tr>
    </w:tbl>
    <w:p w14:paraId="4B2664FF" w14:textId="77777777" w:rsidR="007F4029" w:rsidRPr="00593A5F" w:rsidRDefault="007F4029" w:rsidP="007F4029">
      <w:pPr>
        <w:tabs>
          <w:tab w:val="left" w:pos="142"/>
          <w:tab w:val="left" w:pos="284"/>
        </w:tabs>
        <w:spacing w:after="0" w:line="276" w:lineRule="auto"/>
        <w:jc w:val="both"/>
        <w:rPr>
          <w:rFonts w:ascii="Verdana" w:eastAsia="Century Gothic" w:hAnsi="Verdana" w:cs="Century Gothic"/>
          <w:b/>
          <w:bCs/>
          <w:lang w:val="es-ES"/>
        </w:rPr>
      </w:pPr>
    </w:p>
    <w:p w14:paraId="1AFD5C29" w14:textId="77777777" w:rsidR="007F4029" w:rsidRPr="00593A5F" w:rsidRDefault="007F4029" w:rsidP="007F40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4C55C5A" w14:textId="77777777" w:rsidR="007F4029" w:rsidRPr="00593A5F" w:rsidRDefault="007F4029" w:rsidP="007F4029">
      <w:pPr>
        <w:spacing w:after="0" w:line="276" w:lineRule="auto"/>
        <w:jc w:val="both"/>
        <w:rPr>
          <w:rFonts w:ascii="Verdana" w:eastAsia="Calibri" w:hAnsi="Verdana" w:cs="Arial"/>
          <w:color w:val="7030A0"/>
          <w:lang w:val="es-ES"/>
        </w:rPr>
      </w:pPr>
    </w:p>
    <w:p w14:paraId="227498CD" w14:textId="77777777" w:rsidR="007F4029" w:rsidRPr="00B96799" w:rsidRDefault="007F4029" w:rsidP="007F402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E16BB79" w14:textId="77777777" w:rsidR="007F4029" w:rsidRDefault="007F4029" w:rsidP="007F4029">
      <w:pPr>
        <w:spacing w:after="0" w:line="276" w:lineRule="auto"/>
        <w:jc w:val="both"/>
        <w:rPr>
          <w:rFonts w:ascii="Verdana" w:eastAsia="Calibri" w:hAnsi="Verdana" w:cs="Arial"/>
          <w:lang w:val="es-ES" w:eastAsia="es-ES"/>
        </w:rPr>
      </w:pPr>
    </w:p>
    <w:p w14:paraId="79230A56" w14:textId="77777777" w:rsidR="007F4029" w:rsidRDefault="007F4029" w:rsidP="007F4029">
      <w:pPr>
        <w:spacing w:after="120" w:line="276" w:lineRule="auto"/>
        <w:jc w:val="both"/>
        <w:rPr>
          <w:rFonts w:ascii="Verdana" w:eastAsia="Times New Roman" w:hAnsi="Verdana" w:cs="Arial"/>
          <w:lang w:val="es-ES_tradnl" w:eastAsia="es-ES_tradnl"/>
        </w:rPr>
      </w:pPr>
      <w:r w:rsidRPr="00D16A5E">
        <w:rPr>
          <w:rFonts w:ascii="Verdana" w:hAnsi="Verdana" w:cs="Arial"/>
          <w:noProof/>
          <w:lang w:val="es-ES_tradnl"/>
        </w:rPr>
        <w:t>L</w:t>
      </w:r>
      <w:r w:rsidRPr="00D16A5E">
        <w:rPr>
          <w:rFonts w:ascii="Verdana" w:eastAsia="Times New Roman" w:hAnsi="Verdana" w:cs="Arial"/>
        </w:rPr>
        <w:t>a regla de la subsanabilidad de las ofertas en los procedimientos de selección</w:t>
      </w:r>
      <w:r w:rsidRPr="00D16A5E">
        <w:rPr>
          <w:rFonts w:ascii="Verdana" w:eastAsia="Times New Roman" w:hAnsi="Verdana" w:cs="Arial"/>
          <w:b/>
          <w:bCs/>
        </w:rPr>
        <w:t xml:space="preserve"> </w:t>
      </w:r>
      <w:r w:rsidRPr="00D16A5E">
        <w:rPr>
          <w:rFonts w:ascii="Verdana" w:eastAsia="Times New Roman" w:hAnsi="Verdana" w:cs="Arial"/>
          <w:lang w:val="es-ES_tradnl" w:eastAsia="es-ES_tradnl"/>
        </w:rPr>
        <w:t>indica que, por regla general, la falta de entrega y los defectos en la acreditación de los requisitos habilitantes son aspectos subsanables. La excepción</w:t>
      </w:r>
      <w:r>
        <w:rPr>
          <w:rFonts w:ascii="Verdana" w:eastAsia="Times New Roman" w:hAnsi="Verdana" w:cs="Arial"/>
          <w:lang w:val="es-ES_tradnl" w:eastAsia="es-ES_tradnl"/>
        </w:rPr>
        <w:t xml:space="preserve"> a esta regla </w:t>
      </w:r>
      <w:r w:rsidRPr="00D16A5E">
        <w:rPr>
          <w:rFonts w:ascii="Verdana" w:eastAsia="Times New Roman" w:hAnsi="Verdana" w:cs="Arial"/>
          <w:lang w:val="es-ES_tradnl" w:eastAsia="es-ES_tradnl"/>
        </w:rPr>
        <w:t>se encuentra en la prohibición de permitir la entrega de la garantía de seriedad de la oferta que no fue aportada con la propuesta y de valer la acreditación de circunstancias ocurridas con posterioridad al cierre del proceso.</w:t>
      </w:r>
    </w:p>
    <w:p w14:paraId="50508F56" w14:textId="77777777" w:rsidR="007F4029" w:rsidRPr="00447C67" w:rsidRDefault="007F4029" w:rsidP="007F4029">
      <w:pPr>
        <w:spacing w:after="120" w:line="276" w:lineRule="auto"/>
        <w:ind w:firstLine="708"/>
        <w:jc w:val="both"/>
        <w:rPr>
          <w:rFonts w:ascii="Verdana" w:eastAsia="Times New Roman" w:hAnsi="Verdana" w:cs="Arial"/>
          <w:lang w:val="es-ES_tradnl" w:eastAsia="es-ES_tradnl"/>
        </w:rPr>
      </w:pPr>
      <w:r>
        <w:rPr>
          <w:rFonts w:ascii="Verdana" w:eastAsia="Times New Roman" w:hAnsi="Verdana" w:cs="Arial"/>
          <w:lang w:val="es-ES_tradnl" w:eastAsia="es-ES_tradnl"/>
        </w:rPr>
        <w:lastRenderedPageBreak/>
        <w:t>L</w:t>
      </w:r>
      <w:r w:rsidRPr="00D16A5E">
        <w:rPr>
          <w:rFonts w:ascii="Verdana" w:eastAsia="Times New Roman" w:hAnsi="Verdana" w:cs="Arial"/>
          <w:lang w:val="es-ES_tradnl" w:eastAsia="es-ES_tradnl"/>
        </w:rPr>
        <w:t>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_tradnl" w:eastAsia="es-ES_tradnl"/>
        </w:rPr>
        <w:t xml:space="preserve"> En atención a </w:t>
      </w:r>
      <w:r w:rsidRPr="00D16A5E">
        <w:rPr>
          <w:rFonts w:ascii="Verdana" w:eastAsia="Times New Roman" w:hAnsi="Verdana" w:cs="Arial"/>
          <w:lang w:val="es-ES" w:eastAsia="es-ES"/>
        </w:rPr>
        <w:t xml:space="preserve">lo anterior, a continuación, se hará referencia en forma general a los antecedentes de las diferentes posturas en torno a la subsanabilidad. </w:t>
      </w:r>
    </w:p>
    <w:p w14:paraId="3D97A717" w14:textId="77777777" w:rsidR="007F4029" w:rsidRPr="00D16A5E" w:rsidRDefault="007F4029" w:rsidP="007F4029">
      <w:pPr>
        <w:spacing w:after="120" w:line="276" w:lineRule="auto"/>
        <w:ind w:firstLine="708"/>
        <w:jc w:val="both"/>
        <w:rPr>
          <w:rFonts w:ascii="Verdana" w:eastAsia="Calibri" w:hAnsi="Verdana" w:cs="Arial"/>
          <w:lang w:val="es-ES" w:eastAsia="es-ES"/>
        </w:rPr>
      </w:pPr>
      <w:r w:rsidRPr="00D16A5E">
        <w:rPr>
          <w:rFonts w:ascii="Verdana" w:eastAsia="Times New Roman" w:hAnsi="Verdana" w:cs="Arial"/>
          <w:lang w:val="es-ES" w:eastAsia="es-ES"/>
        </w:rPr>
        <w:t xml:space="preserve">En un </w:t>
      </w:r>
      <w:r w:rsidRPr="00D16A5E">
        <w:rPr>
          <w:rFonts w:ascii="Verdana" w:eastAsia="Times New Roman" w:hAnsi="Verdana" w:cs="Arial"/>
          <w:i/>
          <w:lang w:val="es-ES" w:eastAsia="es-ES"/>
        </w:rPr>
        <w:t>primer momento</w:t>
      </w:r>
      <w:r w:rsidRPr="00D16A5E">
        <w:rPr>
          <w:rFonts w:ascii="Verdana" w:eastAsia="Times New Roman" w:hAnsi="Verdana" w:cs="Arial"/>
          <w:lang w:val="es-ES" w:eastAsia="es-ES"/>
        </w:rPr>
        <w:t xml:space="preserve">, antes de la entrada en vigor de la Constitución Política 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7DF1F6D1" w14:textId="77777777" w:rsidR="007F4029" w:rsidRPr="00D16A5E" w:rsidRDefault="007F4029" w:rsidP="007F4029">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En un </w:t>
      </w:r>
      <w:r w:rsidRPr="00D16A5E">
        <w:rPr>
          <w:rFonts w:ascii="Verdana" w:eastAsia="Times New Roman" w:hAnsi="Verdana" w:cs="Arial"/>
          <w:i/>
          <w:lang w:val="es-ES_tradnl" w:eastAsia="es-ES_tradnl"/>
        </w:rPr>
        <w:t>segundo momento</w:t>
      </w:r>
      <w:r w:rsidRPr="00D16A5E">
        <w:rPr>
          <w:rFonts w:ascii="Verdana" w:eastAsia="Times New Roman" w:hAnsi="Verdana" w:cs="Arial"/>
          <w:lang w:val="es-ES_tradnl" w:eastAsia="es-ES_tradnl"/>
        </w:rPr>
        <w:t xml:space="preserve"> se expidió la Ley 80 de 1993, bajo el nuevo paradigma que supuso la Constitución de 1991, particularmente en la forma como se relaciona lo formal y lo sustancial en las actuaciones judiciales y administrativas. Este cambio quedó consignado en el artículo 228, que introdujo un principio de supremacía o prevalencia del derecho sustancial sobre lo procedimental. En este nuevo escenario constitucional, el numeral 15 del artículo 25 de la Ley 80 de 1993 dispuso lo siguiente: </w:t>
      </w:r>
    </w:p>
    <w:p w14:paraId="4696AB7C" w14:textId="77777777" w:rsidR="007F4029" w:rsidRPr="00D16A5E" w:rsidRDefault="007F4029" w:rsidP="007F4029">
      <w:pPr>
        <w:spacing w:after="0" w:line="276" w:lineRule="auto"/>
        <w:ind w:firstLine="709"/>
        <w:jc w:val="both"/>
        <w:rPr>
          <w:rFonts w:ascii="Verdana" w:eastAsia="Times New Roman" w:hAnsi="Verdana" w:cs="Arial"/>
          <w:lang w:val="es-ES_tradnl" w:eastAsia="es-ES_tradnl"/>
        </w:rPr>
      </w:pPr>
    </w:p>
    <w:p w14:paraId="1D3D7BC1" w14:textId="77777777" w:rsidR="007F4029" w:rsidRPr="00DA349C" w:rsidRDefault="007F4029" w:rsidP="007F4029">
      <w:pPr>
        <w:spacing w:after="0" w:line="240" w:lineRule="auto"/>
        <w:ind w:left="709" w:right="709"/>
        <w:jc w:val="both"/>
        <w:rPr>
          <w:rFonts w:ascii="Verdana" w:eastAsia="Times New Roman" w:hAnsi="Verdana" w:cs="Arial"/>
          <w:sz w:val="20"/>
          <w:szCs w:val="20"/>
          <w:lang w:val="es-ES_tradnl" w:eastAsia="es-ES_tradnl"/>
        </w:rPr>
      </w:pPr>
      <w:r w:rsidRPr="00DA349C">
        <w:rPr>
          <w:rFonts w:ascii="Verdana" w:eastAsia="Times New Roman" w:hAnsi="Verdana" w:cs="Arial"/>
          <w:sz w:val="20"/>
          <w:szCs w:val="20"/>
          <w:lang w:val="es-ES_tradnl" w:eastAsia="es-ES_tradnl"/>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5AC16E6F" w14:textId="77777777" w:rsidR="007F4029" w:rsidRPr="00DA349C" w:rsidRDefault="007F4029" w:rsidP="007F4029">
      <w:pPr>
        <w:spacing w:after="0" w:line="240" w:lineRule="auto"/>
        <w:ind w:left="709" w:right="709"/>
        <w:jc w:val="both"/>
        <w:rPr>
          <w:rFonts w:ascii="Verdana" w:eastAsia="Times New Roman" w:hAnsi="Verdana" w:cs="Arial"/>
          <w:sz w:val="20"/>
          <w:szCs w:val="20"/>
          <w:lang w:val="es-ES_tradnl" w:eastAsia="es-ES_tradnl"/>
        </w:rPr>
      </w:pPr>
    </w:p>
    <w:p w14:paraId="49B67190" w14:textId="77777777" w:rsidR="007F4029" w:rsidRPr="00DA349C" w:rsidRDefault="007F4029" w:rsidP="007F4029">
      <w:pPr>
        <w:spacing w:after="0" w:line="240" w:lineRule="auto"/>
        <w:ind w:left="709" w:right="709"/>
        <w:jc w:val="both"/>
        <w:rPr>
          <w:rFonts w:ascii="Verdana" w:eastAsia="Times New Roman" w:hAnsi="Verdana" w:cs="Arial"/>
          <w:sz w:val="20"/>
          <w:szCs w:val="20"/>
          <w:lang w:val="es-ES_tradnl" w:eastAsia="es-ES_tradnl"/>
        </w:rPr>
      </w:pPr>
      <w:r w:rsidRPr="00DA349C">
        <w:rPr>
          <w:rFonts w:ascii="Verdana" w:eastAsia="Times New Roman" w:hAnsi="Verdana" w:cs="Arial"/>
          <w:sz w:val="20"/>
          <w:szCs w:val="20"/>
          <w:lang w:val="es-ES_tradnl" w:eastAsia="es-ES_tradnl"/>
        </w:rPr>
        <w:t xml:space="preserve">La ausencia de requisitos o la falta de documentos referentes a la futura contratación o al proponente, no necesarios para la comparación de propuestas, no servirá de título suficiente para el rechazo de los ofrecimientos hechos. </w:t>
      </w:r>
    </w:p>
    <w:p w14:paraId="772F87F6" w14:textId="77777777" w:rsidR="007F4029" w:rsidRPr="00D16A5E" w:rsidRDefault="007F4029" w:rsidP="007F4029">
      <w:pPr>
        <w:spacing w:after="0" w:line="276" w:lineRule="auto"/>
        <w:ind w:left="709" w:right="709"/>
        <w:jc w:val="both"/>
        <w:rPr>
          <w:rFonts w:ascii="Verdana" w:eastAsia="Times New Roman" w:hAnsi="Verdana" w:cs="Arial"/>
          <w:lang w:val="es-ES_tradnl" w:eastAsia="es-ES_tradnl"/>
        </w:rPr>
      </w:pPr>
    </w:p>
    <w:p w14:paraId="757FE2B9"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Bajo el amparo de esta norma, el régimen jurídico de subsanabilidad de las ofertas sufre un cambio fundamental, pues ya no era posible rechazar las ofertas por falta de requisitos o documentos que no fueran “</w:t>
      </w:r>
      <w:r w:rsidRPr="00D16A5E">
        <w:rPr>
          <w:rFonts w:ascii="Verdana" w:eastAsia="Times New Roman" w:hAnsi="Verdana" w:cs="Arial"/>
          <w:i/>
          <w:lang w:val="es-ES" w:eastAsia="es-ES"/>
        </w:rPr>
        <w:t>necesarios para la comparación de propuestas”.</w:t>
      </w:r>
      <w:r w:rsidRPr="00D16A5E">
        <w:rPr>
          <w:rFonts w:ascii="Verdana" w:eastAsia="Times New Roman" w:hAnsi="Verdana" w:cs="Arial"/>
          <w:lang w:val="es-ES" w:eastAsia="es-ES"/>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4629C4E0" w14:textId="77777777" w:rsidR="007F4029" w:rsidRPr="00D16A5E" w:rsidRDefault="007F4029" w:rsidP="007F4029">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lastRenderedPageBreak/>
        <w:t>Esta norma debía leerse en conjunto con otras de la Ley 80 de 1993, particularmente con el artículo 30.7</w:t>
      </w:r>
      <w:r w:rsidRPr="00D16A5E">
        <w:rPr>
          <w:rFonts w:ascii="Verdana" w:eastAsia="Times New Roman" w:hAnsi="Verdana" w:cs="Arial"/>
          <w:vertAlign w:val="superscript"/>
          <w:lang w:val="es-ES_tradnl" w:eastAsia="es-ES_tradnl"/>
        </w:rPr>
        <w:footnoteReference w:id="2"/>
      </w:r>
      <w:r w:rsidRPr="00D16A5E">
        <w:rPr>
          <w:rFonts w:ascii="Verdana" w:eastAsia="Times New Roman" w:hAnsi="Verdana" w:cs="Arial"/>
          <w:lang w:val="es-ES_tradnl" w:eastAsia="es-ES_tradnl"/>
        </w:rPr>
        <w:t>, que ordena a la entidad señalar un plazo razonable para evaluar las propuestas y para pedir a los proponentes, de ser necesario, que aclaren o expliquen aspectos que ofrezcan dudas y resulten indispensables para llevar a cabo la evaluación</w:t>
      </w:r>
      <w:r>
        <w:rPr>
          <w:rFonts w:ascii="Verdana" w:eastAsia="Times New Roman" w:hAnsi="Verdana" w:cs="Arial"/>
          <w:lang w:val="es-ES_tradnl" w:eastAsia="es-ES_tradnl"/>
        </w:rPr>
        <w:t xml:space="preserve">. Así mimos, </w:t>
      </w:r>
      <w:r w:rsidRPr="00D16A5E">
        <w:rPr>
          <w:rFonts w:ascii="Verdana" w:eastAsia="Times New Roman" w:hAnsi="Verdana" w:cs="Arial"/>
          <w:lang w:val="es-ES_tradnl" w:eastAsia="es-ES_tradnl"/>
        </w:rPr>
        <w:t>con el artículo 30.8</w:t>
      </w:r>
      <w:r w:rsidRPr="00D16A5E">
        <w:rPr>
          <w:rFonts w:ascii="Verdana" w:eastAsia="Times New Roman" w:hAnsi="Verdana" w:cs="Arial"/>
          <w:vertAlign w:val="superscript"/>
          <w:lang w:val="es-ES_tradnl" w:eastAsia="es-ES_tradnl"/>
        </w:rPr>
        <w:footnoteReference w:id="3"/>
      </w:r>
      <w:r w:rsidRPr="00D16A5E">
        <w:rPr>
          <w:rFonts w:ascii="Verdana" w:eastAsia="Times New Roman" w:hAnsi="Verdana" w:cs="Arial"/>
          <w:lang w:val="es-ES_tradnl" w:eastAsia="es-ES_tradnl"/>
        </w:rPr>
        <w:t xml:space="preserve">, que consagró el término de </w:t>
      </w:r>
      <w:r>
        <w:rPr>
          <w:rFonts w:ascii="Verdana" w:eastAsia="Times New Roman" w:hAnsi="Verdana" w:cs="Arial"/>
          <w:lang w:val="es-ES_tradnl" w:eastAsia="es-ES_tradnl"/>
        </w:rPr>
        <w:t>cinco (</w:t>
      </w:r>
      <w:r w:rsidRPr="00D16A5E">
        <w:rPr>
          <w:rFonts w:ascii="Verdana" w:eastAsia="Times New Roman" w:hAnsi="Verdana" w:cs="Arial"/>
          <w:lang w:val="es-ES_tradnl" w:eastAsia="es-ES_tradnl"/>
        </w:rPr>
        <w:t>5</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días hábiles para que los oferentes presenten observaciones al informe de evaluación de las propuestas, sin que sea posible completar, adicionar, modificar o mejorar su oferta.  </w:t>
      </w:r>
    </w:p>
    <w:p w14:paraId="4B728DFB"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04BDB067" w14:textId="77777777" w:rsidR="007F4029" w:rsidRPr="00D16A5E" w:rsidRDefault="007F4029" w:rsidP="007F4029">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En un </w:t>
      </w:r>
      <w:r w:rsidRPr="00D16A5E">
        <w:rPr>
          <w:rFonts w:ascii="Verdana" w:eastAsia="Times New Roman" w:hAnsi="Verdana" w:cs="Arial"/>
          <w:i/>
          <w:lang w:val="es-ES_tradnl" w:eastAsia="es-ES_tradnl"/>
        </w:rPr>
        <w:t>tercer momento</w:t>
      </w:r>
      <w:r w:rsidRPr="00D16A5E">
        <w:rPr>
          <w:rFonts w:ascii="Verdana" w:eastAsia="Times New Roman" w:hAnsi="Verdana" w:cs="Arial"/>
          <w:lang w:val="es-ES_tradnl" w:eastAsia="es-ES_tradnl"/>
        </w:rPr>
        <w:t xml:space="preserve">, siguiendo la línea trazada por la Ley 80 de 1993, el legislador expidió la Ley 1150 de 2007, que, en el parágrafo 1º del artículo 5, determinó lo siguiente: </w:t>
      </w:r>
    </w:p>
    <w:p w14:paraId="7C250734" w14:textId="77777777" w:rsidR="007F4029" w:rsidRPr="00462445" w:rsidRDefault="007F4029" w:rsidP="007F4029">
      <w:pPr>
        <w:spacing w:after="0" w:line="276" w:lineRule="auto"/>
        <w:ind w:left="709" w:right="709"/>
        <w:jc w:val="both"/>
        <w:rPr>
          <w:rFonts w:ascii="Verdana" w:eastAsia="Times New Roman" w:hAnsi="Verdana" w:cs="Arial"/>
          <w:lang w:val="es-ES" w:eastAsia="es-ES"/>
        </w:rPr>
      </w:pPr>
    </w:p>
    <w:p w14:paraId="3392410A" w14:textId="77777777" w:rsidR="007F4029" w:rsidRDefault="007F4029" w:rsidP="007F4029">
      <w:pPr>
        <w:spacing w:after="0" w:line="240" w:lineRule="auto"/>
        <w:ind w:left="709" w:right="709"/>
        <w:jc w:val="both"/>
        <w:rPr>
          <w:rFonts w:ascii="Verdana" w:eastAsia="Times New Roman" w:hAnsi="Verdana" w:cs="Arial"/>
          <w:sz w:val="20"/>
          <w:szCs w:val="20"/>
          <w:lang w:val="es-ES" w:eastAsia="es-ES"/>
        </w:rPr>
      </w:pPr>
      <w:r w:rsidRPr="00462445">
        <w:rPr>
          <w:rFonts w:ascii="Verdana" w:eastAsia="Times New Roman" w:hAnsi="Verdana" w:cs="Arial"/>
          <w:sz w:val="20"/>
          <w:szCs w:val="20"/>
          <w:lang w:val="es-ES" w:eastAsia="es-ES"/>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0CD5ECE2" w14:textId="77777777" w:rsidR="007F4029" w:rsidRPr="00462445" w:rsidRDefault="007F4029" w:rsidP="007F4029">
      <w:pPr>
        <w:spacing w:after="0" w:line="276" w:lineRule="auto"/>
        <w:ind w:left="709" w:right="709"/>
        <w:jc w:val="both"/>
        <w:rPr>
          <w:rFonts w:ascii="Verdana" w:eastAsia="Times New Roman" w:hAnsi="Verdana" w:cs="Arial"/>
          <w:lang w:val="es-ES" w:eastAsia="es-ES"/>
        </w:rPr>
      </w:pPr>
    </w:p>
    <w:p w14:paraId="05ED6230"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7EDC74DF"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A partir de la Ley 1150 de 2007</w:t>
      </w:r>
      <w:r>
        <w:rPr>
          <w:rFonts w:ascii="Verdana" w:eastAsia="Times New Roman" w:hAnsi="Verdana" w:cs="Arial"/>
          <w:lang w:val="es-ES" w:eastAsia="es-ES"/>
        </w:rPr>
        <w:t>,</w:t>
      </w:r>
      <w:r w:rsidRPr="00D16A5E">
        <w:rPr>
          <w:rFonts w:ascii="Verdana" w:eastAsia="Times New Roman" w:hAnsi="Verdana" w:cs="Arial"/>
          <w:lang w:val="es-ES" w:eastAsia="es-ES"/>
        </w:rPr>
        <w:t xml:space="preserve">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6A7C7A02" w14:textId="77777777" w:rsidR="007F4029" w:rsidRPr="00D16A5E" w:rsidRDefault="007F4029" w:rsidP="007F4029">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artículo 5 de la Ley 1150 de 2007, además de consagrar un criterio más claro, y, de paso, reducir la discrecionalidad de la Administración, fijó un ámbito temporal para que las entidades requirieran la subsanación de las ofertas: “en cualquier momento, hasta la adjudicación”.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44618740" w14:textId="77777777" w:rsidR="007F4029" w:rsidRPr="00D16A5E" w:rsidRDefault="007F4029" w:rsidP="007F4029">
      <w:pPr>
        <w:spacing w:after="0" w:line="276" w:lineRule="auto"/>
        <w:ind w:firstLine="709"/>
        <w:jc w:val="both"/>
        <w:rPr>
          <w:rFonts w:ascii="Verdana" w:eastAsia="Times New Roman" w:hAnsi="Verdana" w:cs="Arial"/>
          <w:lang w:val="es-ES_tradnl" w:eastAsia="es-ES_tradnl"/>
        </w:rPr>
      </w:pPr>
    </w:p>
    <w:p w14:paraId="6C8E8AFF" w14:textId="77777777" w:rsidR="007F4029" w:rsidRPr="00D16A5E" w:rsidRDefault="007F4029" w:rsidP="15932803">
      <w:pPr>
        <w:spacing w:after="0" w:line="240" w:lineRule="auto"/>
        <w:ind w:left="709" w:right="709"/>
        <w:jc w:val="both"/>
        <w:rPr>
          <w:rFonts w:ascii="Verdana" w:eastAsia="Times New Roman" w:hAnsi="Verdana" w:cs="Arial"/>
          <w:sz w:val="21"/>
          <w:szCs w:val="21"/>
          <w:lang w:val="es-ES" w:eastAsia="es-ES"/>
        </w:rPr>
      </w:pPr>
      <w:r w:rsidRPr="15932803">
        <w:rPr>
          <w:rFonts w:ascii="Verdana" w:eastAsia="Times New Roman" w:hAnsi="Verdana" w:cs="Arial"/>
          <w:sz w:val="21"/>
          <w:szCs w:val="21"/>
          <w:lang w:val="es-ES" w:eastAsia="es-ES"/>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o no a problemas de capacidad o a requisitos cumplidos antes o después de presentadas las ofertas, con la condición de que cuando le pidan la acreditación la satisfaga suficientemente</w:t>
      </w:r>
      <w:r w:rsidRPr="15932803">
        <w:rPr>
          <w:rFonts w:ascii="Verdana" w:eastAsia="Times New Roman" w:hAnsi="Verdana" w:cs="Arial"/>
          <w:sz w:val="21"/>
          <w:szCs w:val="21"/>
          <w:vertAlign w:val="superscript"/>
          <w:lang w:val="es-ES" w:eastAsia="es-ES"/>
        </w:rPr>
        <w:footnoteReference w:id="4"/>
      </w:r>
      <w:r w:rsidRPr="15932803">
        <w:rPr>
          <w:rFonts w:ascii="Verdana" w:eastAsia="Times New Roman" w:hAnsi="Verdana" w:cs="Arial"/>
          <w:sz w:val="21"/>
          <w:szCs w:val="21"/>
          <w:lang w:val="es-ES" w:eastAsia="es-ES"/>
        </w:rPr>
        <w:t>.</w:t>
      </w:r>
    </w:p>
    <w:p w14:paraId="3377564B" w14:textId="77777777" w:rsidR="007F4029" w:rsidRPr="00D16A5E" w:rsidRDefault="007F4029" w:rsidP="007F4029">
      <w:pPr>
        <w:spacing w:after="0" w:line="240" w:lineRule="auto"/>
        <w:ind w:left="709" w:right="709"/>
        <w:jc w:val="both"/>
        <w:rPr>
          <w:rFonts w:ascii="Verdana" w:eastAsia="Times New Roman" w:hAnsi="Verdana" w:cs="Arial"/>
          <w:sz w:val="21"/>
          <w:szCs w:val="21"/>
          <w:lang w:val="es-ES_tradnl" w:eastAsia="es-ES_tradnl"/>
        </w:rPr>
      </w:pPr>
    </w:p>
    <w:p w14:paraId="04364641" w14:textId="77777777" w:rsidR="007F4029" w:rsidRPr="00D16A5E" w:rsidRDefault="007F4029" w:rsidP="007F4029">
      <w:pPr>
        <w:tabs>
          <w:tab w:val="left" w:pos="284"/>
        </w:tabs>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Esa interpretación fue compartida por la </w:t>
      </w:r>
      <w:r w:rsidRPr="00D16A5E">
        <w:rPr>
          <w:rFonts w:ascii="Verdana" w:eastAsia="Times New Roman" w:hAnsi="Verdana" w:cs="Arial"/>
          <w:lang w:val="es-ES" w:eastAsia="es-CO"/>
        </w:rPr>
        <w:t>Agencia Nacional de Contratación Pública – Colombia Compra Eficiente</w:t>
      </w:r>
      <w:r w:rsidRPr="00D16A5E">
        <w:rPr>
          <w:rFonts w:ascii="Verdana" w:eastAsia="Times New Roman" w:hAnsi="Verdana" w:cs="Arial"/>
          <w:lang w:val="es-ES" w:eastAsia="es-ES"/>
        </w:rPr>
        <w:t>, pues en la Circular Externa Única se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puede ser subsanada.</w:t>
      </w:r>
    </w:p>
    <w:p w14:paraId="3131D846" w14:textId="77777777" w:rsidR="007F4029" w:rsidRPr="00D16A5E" w:rsidRDefault="007F4029" w:rsidP="007F4029">
      <w:pPr>
        <w:tabs>
          <w:tab w:val="left" w:pos="284"/>
        </w:tabs>
        <w:spacing w:after="0" w:line="276" w:lineRule="auto"/>
        <w:ind w:firstLine="709"/>
        <w:jc w:val="both"/>
        <w:rPr>
          <w:rFonts w:ascii="Verdana" w:eastAsia="Times New Roman" w:hAnsi="Verdana" w:cs="Arial"/>
          <w:lang w:val="es-ES_tradnl" w:eastAsia="es-CO"/>
        </w:rPr>
      </w:pPr>
      <w:r w:rsidRPr="00D16A5E">
        <w:rPr>
          <w:rFonts w:ascii="Verdana" w:eastAsia="Times New Roman" w:hAnsi="Verdana" w:cs="Arial"/>
          <w:lang w:val="es-ES_tradnl" w:eastAsia="es-CO"/>
        </w:rPr>
        <w:lastRenderedPageBreak/>
        <w:t xml:space="preserve">Finalmente, en un </w:t>
      </w:r>
      <w:r w:rsidRPr="00D16A5E">
        <w:rPr>
          <w:rFonts w:ascii="Verdana" w:eastAsia="Times New Roman" w:hAnsi="Verdana" w:cs="Arial"/>
          <w:i/>
          <w:lang w:val="es-ES_tradnl" w:eastAsia="es-CO"/>
        </w:rPr>
        <w:t>cuarto momento</w:t>
      </w:r>
      <w:r w:rsidRPr="00D16A5E">
        <w:rPr>
          <w:rFonts w:ascii="Verdana" w:eastAsia="Times New Roman" w:hAnsi="Verdana" w:cs="Arial"/>
          <w:lang w:val="es-ES_tradnl" w:eastAsia="es-CO"/>
        </w:rPr>
        <w:t xml:space="preserve">, el legislador expidió la Ley 1882 de 2018, con la finalidad de introducir cambios y ajustes para fortalecer la contratación pública. El artículo 5 modificó el parágrafo 1º y adicionó algunos otros, entre ellos el </w:t>
      </w:r>
      <w:r>
        <w:rPr>
          <w:rFonts w:ascii="Verdana" w:eastAsia="Times New Roman" w:hAnsi="Verdana" w:cs="Arial"/>
          <w:lang w:val="es-ES_tradnl" w:eastAsia="es-CO"/>
        </w:rPr>
        <w:t>3</w:t>
      </w:r>
      <w:r w:rsidRPr="00D16A5E">
        <w:rPr>
          <w:rFonts w:ascii="Verdana" w:eastAsia="Times New Roman" w:hAnsi="Verdana" w:cs="Arial"/>
          <w:lang w:val="es-ES_tradnl" w:eastAsia="es-CO"/>
        </w:rPr>
        <w:t>°</w:t>
      </w:r>
      <w:r>
        <w:rPr>
          <w:rFonts w:ascii="Verdana" w:eastAsia="Times New Roman" w:hAnsi="Verdana" w:cs="Arial"/>
          <w:lang w:val="es-ES_tradnl" w:eastAsia="es-CO"/>
        </w:rPr>
        <w:t xml:space="preserve"> y </w:t>
      </w:r>
      <w:r w:rsidRPr="00D16A5E">
        <w:rPr>
          <w:rFonts w:ascii="Verdana" w:eastAsia="Times New Roman" w:hAnsi="Verdana" w:cs="Arial"/>
          <w:lang w:val="es-ES_tradnl" w:eastAsia="es-CO"/>
        </w:rPr>
        <w:t xml:space="preserve">4° del artículo 5 de la Ley 1150 de 2007: </w:t>
      </w:r>
    </w:p>
    <w:p w14:paraId="6042B2CB" w14:textId="77777777" w:rsidR="007F4029" w:rsidRPr="000D2E9F" w:rsidRDefault="007F4029" w:rsidP="007F4029">
      <w:pPr>
        <w:spacing w:after="0" w:line="276" w:lineRule="auto"/>
        <w:ind w:left="709" w:right="709"/>
        <w:jc w:val="both"/>
        <w:rPr>
          <w:rFonts w:ascii="Verdana" w:eastAsia="Times New Roman" w:hAnsi="Verdana" w:cs="Arial"/>
          <w:lang w:val="es-ES_tradnl" w:eastAsia="es-CO"/>
        </w:rPr>
      </w:pPr>
    </w:p>
    <w:p w14:paraId="79D20CE1" w14:textId="77777777" w:rsidR="007F4029" w:rsidRPr="00556BC7" w:rsidRDefault="007F4029" w:rsidP="007F4029">
      <w:pPr>
        <w:spacing w:after="0" w:line="240" w:lineRule="auto"/>
        <w:ind w:left="709" w:right="709"/>
        <w:jc w:val="both"/>
        <w:rPr>
          <w:rFonts w:ascii="Verdana" w:eastAsia="Times New Roman" w:hAnsi="Verdana" w:cs="Arial"/>
          <w:sz w:val="20"/>
          <w:szCs w:val="20"/>
          <w:lang w:val="es-ES_tradnl" w:eastAsia="es-CO"/>
        </w:rPr>
      </w:pPr>
      <w:r w:rsidRPr="00556BC7">
        <w:rPr>
          <w:rFonts w:ascii="Verdana" w:eastAsia="Times New Roman" w:hAnsi="Verdana" w:cs="Arial"/>
          <w:sz w:val="20"/>
          <w:szCs w:val="20"/>
          <w:lang w:val="es-ES_tradnl" w:eastAsia="es-CO"/>
        </w:rPr>
        <w:t xml:space="preserve">Artículo 5°. De la selección objetiva. </w:t>
      </w:r>
    </w:p>
    <w:p w14:paraId="0A450C9A" w14:textId="77777777" w:rsidR="007F4029" w:rsidRDefault="007F4029" w:rsidP="007F4029">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160122F9"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44A778AF"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7CD9D53"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56196B7E"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83DA1A8"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5F6F7E8C" w14:textId="4C6BB474"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p>
    <w:p w14:paraId="5356BCDD"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41985BBA" w14:textId="5AF6A85F"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p>
    <w:p w14:paraId="0D03C890" w14:textId="5B3E8A36"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6531F58E" w14:textId="57A7CBB4"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p>
    <w:p w14:paraId="48A64019"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2CF5CE0F" w14:textId="43A6235F"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p>
    <w:p w14:paraId="6CEEDA28"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22342007"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4BD6ACF"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31B75EDE"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2BF320E"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5BF020E5"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62ADAEB"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r w:rsidRPr="00556BC7">
        <w:rPr>
          <w:rStyle w:val="eop"/>
          <w:rFonts w:ascii="Verdana" w:hAnsi="Verdana" w:cs="Arial"/>
          <w:color w:val="000000"/>
          <w:sz w:val="20"/>
          <w:szCs w:val="20"/>
        </w:rPr>
        <w:t> </w:t>
      </w:r>
    </w:p>
    <w:p w14:paraId="551D2829"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A9A8EF9"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766BDDBD"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326A275"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1C3333A7"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73515CA4"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3o. &lt;Parágrafo adicionado por el artículo 5 de la Ley 1882 de 2018. El nuevo texto es el siguiente:&gt; La no entrega de la garantía de seriedad junto con la propuesta no será subsanable y será causal de rechazo de la misma.</w:t>
      </w:r>
      <w:r w:rsidRPr="00556BC7">
        <w:rPr>
          <w:rStyle w:val="eop"/>
          <w:rFonts w:ascii="Verdana" w:hAnsi="Verdana" w:cs="Arial"/>
          <w:color w:val="000000"/>
          <w:sz w:val="20"/>
          <w:szCs w:val="20"/>
        </w:rPr>
        <w:t> </w:t>
      </w:r>
    </w:p>
    <w:p w14:paraId="135BEAA7"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845D1DF"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w:t>
      </w:r>
      <w:r w:rsidRPr="00556BC7">
        <w:rPr>
          <w:rStyle w:val="normaltextrun"/>
          <w:rFonts w:ascii="Verdana" w:hAnsi="Verdana" w:cs="Arial"/>
          <w:color w:val="000000"/>
          <w:sz w:val="20"/>
          <w:szCs w:val="20"/>
          <w:lang w:val="es-ES"/>
        </w:rPr>
        <w:lastRenderedPageBreak/>
        <w:t>comparación de las propuestas, deberán ser solicitados hasta el momento previo a su realización.</w:t>
      </w:r>
      <w:r w:rsidRPr="00556BC7">
        <w:rPr>
          <w:rStyle w:val="eop"/>
          <w:rFonts w:ascii="Verdana" w:hAnsi="Verdana" w:cs="Arial"/>
          <w:color w:val="000000"/>
          <w:sz w:val="20"/>
          <w:szCs w:val="20"/>
        </w:rPr>
        <w:t> </w:t>
      </w:r>
    </w:p>
    <w:p w14:paraId="3991439C"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4DB8B38" w14:textId="77777777" w:rsidR="007F4029" w:rsidRPr="00556BC7" w:rsidRDefault="007F4029" w:rsidP="007F4029">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r w:rsidRPr="00556BC7">
        <w:rPr>
          <w:rStyle w:val="eop"/>
          <w:rFonts w:ascii="Verdana" w:hAnsi="Verdana" w:cs="Arial"/>
          <w:color w:val="000000"/>
          <w:sz w:val="20"/>
          <w:szCs w:val="20"/>
        </w:rPr>
        <w:t> </w:t>
      </w:r>
    </w:p>
    <w:p w14:paraId="4578AB20" w14:textId="77777777" w:rsidR="007F4029" w:rsidRPr="00556BC7" w:rsidRDefault="007F4029" w:rsidP="007F4029">
      <w:pPr>
        <w:spacing w:after="0" w:line="276" w:lineRule="auto"/>
        <w:ind w:left="709" w:right="709"/>
        <w:jc w:val="both"/>
        <w:rPr>
          <w:rFonts w:ascii="Verdana" w:eastAsia="Times New Roman" w:hAnsi="Verdana" w:cs="Arial"/>
          <w:lang w:eastAsia="es-CO"/>
        </w:rPr>
      </w:pPr>
    </w:p>
    <w:p w14:paraId="4149C4EA"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algunos aspectos que se analizarán a continuación. </w:t>
      </w:r>
    </w:p>
    <w:p w14:paraId="46141A20" w14:textId="77777777" w:rsidR="007F4029" w:rsidRPr="00D16A5E" w:rsidRDefault="007F4029" w:rsidP="007F4029">
      <w:pPr>
        <w:spacing w:after="120" w:line="276" w:lineRule="auto"/>
        <w:ind w:right="51" w:firstLine="709"/>
        <w:jc w:val="both"/>
        <w:rPr>
          <w:rFonts w:ascii="Verdana" w:eastAsia="Times New Roman" w:hAnsi="Verdana" w:cs="Arial"/>
          <w:lang w:val="es-ES_tradnl" w:eastAsia="es-ES_tradnl"/>
        </w:rPr>
      </w:pPr>
      <w:r>
        <w:rPr>
          <w:rFonts w:ascii="Verdana" w:eastAsia="Times New Roman" w:hAnsi="Verdana" w:cs="Arial"/>
          <w:i/>
          <w:iCs/>
          <w:lang w:val="es-ES_tradnl" w:eastAsia="es-ES_tradnl"/>
        </w:rPr>
        <w:t>La</w:t>
      </w:r>
      <w:r w:rsidRPr="00D16A5E">
        <w:rPr>
          <w:rFonts w:ascii="Verdana" w:eastAsia="Times New Roman" w:hAnsi="Verdana" w:cs="Arial"/>
          <w:i/>
          <w:iCs/>
          <w:lang w:val="es-ES_tradnl" w:eastAsia="es-ES_tradnl"/>
        </w:rPr>
        <w:t xml:space="preserve"> primer</w:t>
      </w:r>
      <w:r>
        <w:rPr>
          <w:rFonts w:ascii="Verdana" w:eastAsia="Times New Roman" w:hAnsi="Verdana" w:cs="Arial"/>
          <w:i/>
          <w:iCs/>
          <w:lang w:val="es-ES_tradnl" w:eastAsia="es-ES_tradnl"/>
        </w:rPr>
        <w:t xml:space="preserve">a modificación </w:t>
      </w:r>
      <w:r>
        <w:rPr>
          <w:rFonts w:ascii="Verdana" w:eastAsia="Times New Roman" w:hAnsi="Verdana" w:cs="Arial"/>
          <w:lang w:val="es-ES_tradnl" w:eastAsia="es-ES_tradnl"/>
        </w:rPr>
        <w:t xml:space="preserve">está relacionada con </w:t>
      </w:r>
      <w:r w:rsidRPr="00D16A5E">
        <w:rPr>
          <w:rFonts w:ascii="Verdana" w:eastAsia="Times New Roman" w:hAnsi="Verdana" w:cs="Arial"/>
          <w:lang w:val="es-ES_tradnl" w:eastAsia="es-ES_tradnl"/>
        </w:rPr>
        <w:t>el ámbito temporal para ejercer la facultad de subsanar la oferta, pues la Ley 1882 de 2018 fijó una regla general y una excepción. La regla general es que</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16A5E">
        <w:rPr>
          <w:rFonts w:ascii="Verdana" w:eastAsia="Times New Roman" w:hAnsi="Verdana" w:cs="Arial"/>
          <w:vertAlign w:val="superscript"/>
          <w:lang w:val="es-ES_tradnl" w:eastAsia="es-ES_tradnl"/>
        </w:rPr>
        <w:footnoteReference w:id="5"/>
      </w:r>
      <w:r>
        <w:rPr>
          <w:rFonts w:ascii="Verdana" w:eastAsia="Times New Roman" w:hAnsi="Verdana" w:cs="Arial"/>
          <w:lang w:val="es-ES_tradnl" w:eastAsia="es-ES_tradnl"/>
        </w:rPr>
        <w:t>.</w:t>
      </w:r>
    </w:p>
    <w:p w14:paraId="0C3B24A8" w14:textId="77777777" w:rsidR="007F4029" w:rsidRPr="00D16A5E" w:rsidRDefault="007F4029" w:rsidP="15932803">
      <w:pPr>
        <w:spacing w:after="120" w:line="276" w:lineRule="auto"/>
        <w:ind w:firstLine="709"/>
        <w:jc w:val="both"/>
        <w:rPr>
          <w:rFonts w:ascii="Verdana" w:eastAsia="Times New Roman" w:hAnsi="Verdana" w:cs="Arial"/>
          <w:lang w:val="es-ES" w:eastAsia="es-ES"/>
        </w:rPr>
      </w:pPr>
      <w:r w:rsidRPr="15932803">
        <w:rPr>
          <w:rFonts w:ascii="Verdana" w:eastAsia="Times New Roman" w:hAnsi="Verdana" w:cs="Arial"/>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15932803">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15932803">
        <w:rPr>
          <w:rFonts w:ascii="Verdana" w:eastAsia="Times New Roman" w:hAnsi="Verdana" w:cs="Arial"/>
          <w:lang w:val="es-ES" w:eastAsia="es-ES"/>
        </w:rPr>
        <w:t xml:space="preserve"> </w:t>
      </w:r>
    </w:p>
    <w:p w14:paraId="53F9EB24"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Sin perjuicio de lo expuesto</w:t>
      </w:r>
      <w:r w:rsidRPr="00D16A5E">
        <w:rPr>
          <w:rFonts w:ascii="Verdana" w:eastAsia="Times New Roman" w:hAnsi="Verdana" w:cs="Arial"/>
          <w:lang w:val="es-ES" w:eastAsia="es-ES"/>
        </w:rPr>
        <w:t xml:space="preserve">, de la lectura de este aparte podrían, en la práctica, darse dos interpretaciones que dan lugar a dos formas de proceder en los procesos de selección, en lo que a la subsanabilidad de las ofertas se refiere. Primera, que la posibilidad para subsanar de los oferentes es el término del </w:t>
      </w:r>
      <w:r w:rsidRPr="00D16A5E">
        <w:rPr>
          <w:rFonts w:ascii="Verdana" w:eastAsia="Times New Roman" w:hAnsi="Verdana" w:cs="Arial"/>
          <w:lang w:val="es-ES" w:eastAsia="es-ES"/>
        </w:rPr>
        <w:lastRenderedPageBreak/>
        <w:t>traslado del informe de evaluación, ya que es en este documento donde la Administración consigna los requisitos o documentos omitidos que los oferentes deben subsanar, so pena de rechazo</w:t>
      </w:r>
      <w:r>
        <w:rPr>
          <w:rFonts w:ascii="Verdana" w:eastAsia="Times New Roman" w:hAnsi="Verdana" w:cs="Arial"/>
          <w:lang w:val="es-ES" w:eastAsia="es-ES"/>
        </w:rPr>
        <w:t>. S</w:t>
      </w:r>
      <w:r w:rsidRPr="00D16A5E">
        <w:rPr>
          <w:rFonts w:ascii="Verdana" w:eastAsia="Times New Roman" w:hAnsi="Verdana" w:cs="Arial"/>
          <w:lang w:val="es-ES" w:eastAsia="es-ES"/>
        </w:rPr>
        <w:t xml:space="preserve">egunda, que el término del traslado del informe de evaluación es el </w:t>
      </w:r>
      <w:r w:rsidRPr="00D16A5E">
        <w:rPr>
          <w:rFonts w:ascii="Verdana" w:eastAsia="Times New Roman" w:hAnsi="Verdana" w:cs="Arial"/>
          <w:i/>
          <w:lang w:val="es-ES" w:eastAsia="es-ES"/>
        </w:rPr>
        <w:t>límite</w:t>
      </w:r>
      <w:r w:rsidRPr="00D16A5E">
        <w:rPr>
          <w:rFonts w:ascii="Verdana" w:eastAsia="Times New Roman" w:hAnsi="Verdana" w:cs="Arial"/>
          <w:lang w:val="es-ES" w:eastAsia="es-ES"/>
        </w:rPr>
        <w:t xml:space="preserve"> para la subsanación de ofertas, pero no el único momento para hacerlo. </w:t>
      </w:r>
    </w:p>
    <w:p w14:paraId="35BEA111" w14:textId="77777777" w:rsidR="007F4029" w:rsidRPr="00D16A5E" w:rsidRDefault="007F4029" w:rsidP="007F4029">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De acuerdo con la primera interpretación, el informe de evaluación se convierte en la oportunidad que adopta la Administración para decirles a los oferentes qué documentos o requisitos omitieron y deben subsanar</w:t>
      </w:r>
      <w:r>
        <w:rPr>
          <w:rFonts w:ascii="Verdana" w:eastAsia="Times New Roman" w:hAnsi="Verdana" w:cs="Arial"/>
          <w:lang w:val="es-ES_tradnl" w:eastAsia="es-ES_tradnl"/>
        </w:rPr>
        <w:t>. C</w:t>
      </w:r>
      <w:r w:rsidRPr="00D16A5E">
        <w:rPr>
          <w:rFonts w:ascii="Verdana" w:eastAsia="Times New Roman" w:hAnsi="Verdana" w:cs="Arial"/>
          <w:lang w:val="es-ES_tradnl" w:eastAsia="es-ES_tradnl"/>
        </w:rPr>
        <w:t xml:space="preserve">onsecuentemente, el término del traslado es la oportunidad del proponente para cumplir con lo solicitado.  </w:t>
      </w:r>
    </w:p>
    <w:p w14:paraId="6D35CC9C" w14:textId="77777777" w:rsidR="007F4029" w:rsidRPr="00D16A5E" w:rsidRDefault="007F4029" w:rsidP="007F4029">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43F768CB"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w:t>
      </w:r>
      <w:r>
        <w:rPr>
          <w:rFonts w:ascii="Verdana" w:eastAsia="Times New Roman" w:hAnsi="Verdana" w:cs="Arial"/>
          <w:lang w:val="es-ES" w:eastAsia="es-ES"/>
        </w:rPr>
        <w:t>. I</w:t>
      </w:r>
      <w:r w:rsidRPr="00D16A5E">
        <w:rPr>
          <w:rFonts w:ascii="Verdana" w:eastAsia="Times New Roman" w:hAnsi="Verdana" w:cs="Arial"/>
          <w:lang w:val="es-ES" w:eastAsia="es-ES"/>
        </w:rPr>
        <w:t>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057C11C9" w14:textId="77777777" w:rsidR="007F4029" w:rsidRPr="00D16A5E" w:rsidRDefault="007F4029" w:rsidP="007F4029">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w:t>
      </w:r>
      <w:r w:rsidRPr="003049F6">
        <w:rPr>
          <w:rFonts w:ascii="Verdana" w:eastAsia="Times New Roman" w:hAnsi="Verdana" w:cs="Arial"/>
          <w:i/>
          <w:iCs/>
          <w:lang w:val="es-ES_tradnl" w:eastAsia="es-ES_tradnl"/>
        </w:rPr>
        <w:t>segundo cambio</w:t>
      </w:r>
      <w:r w:rsidRPr="00D16A5E">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16A5E">
        <w:rPr>
          <w:rFonts w:ascii="Verdana" w:eastAsia="Times New Roman" w:hAnsi="Verdana" w:cs="Arial"/>
          <w:i/>
          <w:iCs/>
          <w:lang w:val="es-ES_tradnl" w:eastAsia="es-ES_tradnl"/>
        </w:rPr>
        <w:t>“los proponentes no podrán acreditar circunstancias ocurridas con posterioridad al cierre del proceso”.</w:t>
      </w:r>
      <w:r w:rsidRPr="00D16A5E">
        <w:rPr>
          <w:rFonts w:ascii="Verdana" w:eastAsia="Times New Roman" w:hAnsi="Verdana" w:cs="Arial"/>
          <w:lang w:val="es-ES_tradnl" w:eastAsia="es-ES_tradnl"/>
        </w:rPr>
        <w:t xml:space="preserve"> Lo anterior ofrece dos aspectos que merecen clarificación</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primero, qué debe entenderse por circunstancias ocurridas con posterioridad; y segundo, qué es el cierre del proceso. </w:t>
      </w:r>
    </w:p>
    <w:p w14:paraId="03C2FDED"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6"/>
      </w:r>
      <w:r w:rsidRPr="00D16A5E">
        <w:rPr>
          <w:rFonts w:ascii="Verdana" w:eastAsia="Times New Roman" w:hAnsi="Verdana" w:cs="Arial"/>
          <w:lang w:val="es-ES" w:eastAsia="es-ES"/>
        </w:rPr>
        <w:t>.</w:t>
      </w:r>
    </w:p>
    <w:p w14:paraId="6A941F86" w14:textId="77777777" w:rsidR="007F4029" w:rsidRPr="00D16A5E" w:rsidRDefault="007F4029" w:rsidP="007F4029">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4F8A3AE2"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Un mejor entendimiento del significado de la expresión </w:t>
      </w:r>
      <w:r w:rsidRPr="00D16A5E">
        <w:rPr>
          <w:rFonts w:ascii="Verdana" w:eastAsia="Times New Roman" w:hAnsi="Verdana" w:cs="Arial"/>
          <w:i/>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w:t>
      </w:r>
      <w:r w:rsidRPr="00D16A5E">
        <w:rPr>
          <w:rFonts w:ascii="Verdana" w:eastAsia="Times New Roman" w:hAnsi="Verdana" w:cs="Arial"/>
          <w:lang w:val="es-ES" w:eastAsia="es-ES"/>
        </w:rPr>
        <w:lastRenderedPageBreak/>
        <w:t>en palabras de la ley, que se acrediten hechos que ocurrieron después del cierre del proceso</w:t>
      </w:r>
      <w:r w:rsidRPr="00D16A5E">
        <w:rPr>
          <w:rFonts w:ascii="Verdana" w:eastAsia="Times New Roman" w:hAnsi="Verdana" w:cs="Arial"/>
          <w:vertAlign w:val="superscript"/>
          <w:lang w:val="es-ES" w:eastAsia="es-ES"/>
        </w:rPr>
        <w:footnoteReference w:id="7"/>
      </w:r>
      <w:r w:rsidRPr="00D16A5E">
        <w:rPr>
          <w:rFonts w:ascii="Verdana" w:eastAsia="Times New Roman" w:hAnsi="Verdana" w:cs="Arial"/>
          <w:lang w:val="es-ES" w:eastAsia="es-ES"/>
        </w:rPr>
        <w:t xml:space="preserve">. </w:t>
      </w:r>
    </w:p>
    <w:p w14:paraId="0501DCD4" w14:textId="77777777" w:rsidR="007F4029" w:rsidRPr="00D16A5E" w:rsidRDefault="007F4029" w:rsidP="007F4029">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D16A5E">
        <w:rPr>
          <w:rFonts w:ascii="Verdana" w:eastAsia="Times New Roman" w:hAnsi="Verdana" w:cs="Arial"/>
          <w:vertAlign w:val="superscript"/>
          <w:lang w:val="es-ES" w:eastAsia="es-ES"/>
        </w:rPr>
        <w:footnoteReference w:id="8"/>
      </w:r>
      <w:r w:rsidRPr="00D16A5E">
        <w:rPr>
          <w:rFonts w:ascii="Verdana" w:eastAsia="Times New Roman" w:hAnsi="Verdana" w:cs="Arial"/>
          <w:lang w:val="es-ES" w:eastAsia="es-ES"/>
        </w:rPr>
        <w:t>; iii) si un oferente no anexó el Certificado de existencia y representación legal, el documento aportado con posterioridad debe dar cuenta de que la sociedad existía antes del cierre del proceso</w:t>
      </w:r>
      <w:r w:rsidRPr="00D16A5E">
        <w:rPr>
          <w:rFonts w:ascii="Verdana" w:eastAsia="Times New Roman" w:hAnsi="Verdana" w:cs="Arial"/>
          <w:vertAlign w:val="superscript"/>
          <w:lang w:val="es-ES" w:eastAsia="es-ES"/>
        </w:rPr>
        <w:footnoteReference w:id="9"/>
      </w:r>
      <w:r w:rsidRPr="00D16A5E">
        <w:rPr>
          <w:rFonts w:ascii="Verdana" w:eastAsia="Times New Roman" w:hAnsi="Verdana" w:cs="Arial"/>
          <w:lang w:val="es-ES" w:eastAsia="es-ES"/>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w:t>
      </w:r>
      <w:r w:rsidRPr="00D16A5E">
        <w:rPr>
          <w:rFonts w:ascii="Verdana" w:eastAsia="Times New Roman" w:hAnsi="Verdana" w:cs="Arial"/>
          <w:lang w:val="es-ES" w:eastAsia="es-ES"/>
        </w:rPr>
        <w:lastRenderedPageBreak/>
        <w:t xml:space="preserve">ella, puede subsanar sin que con ello se entienda que acreditó una circunstancia ocurrida con posterioridad al cierre del proceso. </w:t>
      </w:r>
    </w:p>
    <w:p w14:paraId="338153A2" w14:textId="77777777" w:rsidR="007F4029" w:rsidRDefault="007F4029" w:rsidP="007F4029">
      <w:pPr>
        <w:spacing w:after="120" w:line="276" w:lineRule="auto"/>
        <w:ind w:firstLine="709"/>
        <w:jc w:val="both"/>
        <w:rPr>
          <w:rFonts w:ascii="Verdana" w:eastAsia="Times New Roman" w:hAnsi="Verdana" w:cs="Arial"/>
          <w:i/>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Pr>
          <w:rFonts w:ascii="Verdana" w:eastAsia="Times New Roman" w:hAnsi="Verdana" w:cs="Arial"/>
          <w:lang w:val="es-ES" w:eastAsia="es-ES"/>
        </w:rPr>
        <w:t>. E</w:t>
      </w:r>
      <w:r w:rsidRPr="00D16A5E">
        <w:rPr>
          <w:rFonts w:ascii="Verdana" w:eastAsia="Times New Roman" w:hAnsi="Verdana" w:cs="Arial"/>
          <w:lang w:val="es-ES" w:eastAsia="es-ES"/>
        </w:rPr>
        <w:t>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D16A5E">
        <w:rPr>
          <w:rFonts w:ascii="Verdana" w:eastAsia="Times New Roman" w:hAnsi="Verdana" w:cs="Arial"/>
          <w:vertAlign w:val="superscript"/>
          <w:lang w:val="es-ES" w:eastAsia="es-ES"/>
        </w:rPr>
        <w:footnoteReference w:id="10"/>
      </w:r>
      <w:r w:rsidRPr="00D16A5E">
        <w:rPr>
          <w:rFonts w:ascii="Verdana" w:eastAsia="Times New Roman" w:hAnsi="Verdana" w:cs="Arial"/>
          <w:lang w:val="es-ES" w:eastAsia="es-ES"/>
        </w:rPr>
        <w:t>.</w:t>
      </w:r>
    </w:p>
    <w:p w14:paraId="0372448C" w14:textId="77777777" w:rsidR="007F4029" w:rsidRPr="009F4606" w:rsidRDefault="007F4029" w:rsidP="007F4029">
      <w:pPr>
        <w:spacing w:after="120" w:line="276" w:lineRule="auto"/>
        <w:ind w:firstLine="709"/>
        <w:jc w:val="both"/>
        <w:rPr>
          <w:rStyle w:val="eop"/>
          <w:rFonts w:ascii="Verdana" w:hAnsi="Verdana" w:cs="Arial"/>
          <w:color w:val="000000"/>
        </w:rPr>
      </w:pPr>
      <w:r w:rsidRPr="00246D72">
        <w:rPr>
          <w:rFonts w:ascii="Verdana" w:eastAsia="Times New Roman" w:hAnsi="Verdana" w:cs="Arial"/>
          <w:iCs/>
          <w:lang w:val="es-ES" w:eastAsia="es-ES"/>
        </w:rPr>
        <w:t>Ahora bien,</w:t>
      </w:r>
      <w:r>
        <w:rPr>
          <w:rFonts w:ascii="Verdana" w:eastAsia="Times New Roman" w:hAnsi="Verdana" w:cs="Arial"/>
          <w:i/>
          <w:lang w:val="es-ES" w:eastAsia="es-ES"/>
        </w:rPr>
        <w:t xml:space="preserve"> 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la no entrega de la garantía de seriedad junto con la propuesta no será subsanable y será causal de rechazo de la misma</w:t>
      </w:r>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14:paraId="51BC6867" w14:textId="77777777" w:rsidR="007F4029" w:rsidRDefault="007F4029" w:rsidP="007F4029">
      <w:pPr>
        <w:spacing w:after="120" w:line="276" w:lineRule="auto"/>
        <w:ind w:firstLine="709"/>
        <w:jc w:val="both"/>
        <w:rPr>
          <w:rFonts w:ascii="Verdana" w:eastAsia="Times New Roman" w:hAnsi="Verdana" w:cs="Arial"/>
          <w:lang w:val="es-ES" w:eastAsia="es-ES"/>
        </w:rPr>
      </w:pPr>
      <w:r w:rsidRPr="50927A94">
        <w:rPr>
          <w:rFonts w:ascii="Verdana" w:eastAsia="Times New Roman" w:hAnsi="Verdana" w:cs="Arial"/>
          <w:lang w:val="es-ES" w:eastAsia="es-ES"/>
        </w:rPr>
        <w:t>Visto lo anterior,</w:t>
      </w:r>
      <w:r>
        <w:rPr>
          <w:rFonts w:ascii="Verdana" w:eastAsia="Times New Roman" w:hAnsi="Verdana" w:cs="Arial"/>
          <w:lang w:val="es-ES" w:eastAsia="es-ES"/>
        </w:rPr>
        <w:t xml:space="preserve"> con miras a dar respuesta al problema jurídico planteado, debe decirse que,</w:t>
      </w:r>
      <w:r w:rsidRPr="50927A94">
        <w:rPr>
          <w:rFonts w:ascii="Verdana" w:eastAsia="Times New Roman" w:hAnsi="Verdana" w:cs="Arial"/>
          <w:lang w:val="es-ES" w:eastAsia="es-ES"/>
        </w:rPr>
        <w:t xml:space="preserve"> una vez verificada la ausencia de requisitos y/o documentos de la oferta, para efectos de saber si se pueden subsanar, la Administración se debe preguntar</w:t>
      </w:r>
      <w:r>
        <w:rPr>
          <w:rFonts w:ascii="Verdana" w:eastAsia="Times New Roman" w:hAnsi="Verdana" w:cs="Arial"/>
          <w:lang w:val="es-ES" w:eastAsia="es-ES"/>
        </w:rPr>
        <w:t xml:space="preserve">: </w:t>
      </w:r>
      <w:r w:rsidRPr="50927A94">
        <w:rPr>
          <w:rFonts w:ascii="Verdana" w:eastAsia="Times New Roman" w:hAnsi="Verdana" w:cs="Arial"/>
          <w:lang w:val="es-ES" w:eastAsia="es-ES"/>
        </w:rPr>
        <w:t>en primer lugar, si lo que hace falta es un documento que afecte la asignación de puntaje o no y</w:t>
      </w:r>
      <w:r>
        <w:rPr>
          <w:rFonts w:ascii="Verdana" w:eastAsia="Times New Roman" w:hAnsi="Verdana" w:cs="Arial"/>
          <w:lang w:val="es-ES" w:eastAsia="es-ES"/>
        </w:rPr>
        <w:t>;</w:t>
      </w:r>
      <w:r w:rsidRPr="50927A94">
        <w:rPr>
          <w:rFonts w:ascii="Verdana" w:eastAsia="Times New Roman" w:hAnsi="Verdana" w:cs="Arial"/>
          <w:lang w:val="es-ES" w:eastAsia="es-ES"/>
        </w:rPr>
        <w:t xml:space="preserve">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43FE2470" w14:textId="77777777" w:rsidR="007F4029" w:rsidRDefault="007F4029" w:rsidP="007F4029">
      <w:pPr>
        <w:spacing w:after="120" w:line="276" w:lineRule="auto"/>
        <w:ind w:firstLine="709"/>
        <w:jc w:val="both"/>
        <w:rPr>
          <w:rFonts w:ascii="Verdana" w:hAnsi="Verdana" w:cs="Arial"/>
          <w:noProof/>
          <w:lang w:val="es-ES_tradnl"/>
        </w:rPr>
      </w:pPr>
      <w:r w:rsidRPr="00D16A5E">
        <w:rPr>
          <w:rFonts w:ascii="Verdana" w:hAnsi="Verdana" w:cs="Arial"/>
          <w:noProof/>
          <w:lang w:val="es-ES_tradnl"/>
        </w:rPr>
        <w:t>En conclusion</w:t>
      </w:r>
      <w:r>
        <w:rPr>
          <w:rFonts w:ascii="Verdana" w:hAnsi="Verdana" w:cs="Arial"/>
          <w:noProof/>
          <w:lang w:val="es-ES_tradnl"/>
        </w:rPr>
        <w:t xml:space="preserve">, </w:t>
      </w:r>
      <w:r w:rsidRPr="00D16A5E">
        <w:rPr>
          <w:rFonts w:ascii="Verdana" w:hAnsi="Verdana" w:cs="Arial"/>
          <w:noProof/>
          <w:lang w:val="es-ES_tradnl"/>
        </w:rPr>
        <w:t>los requisitos o documentos que no sean necesarios para la comparación de las ofertas pueden subsanarse y todo lo que no sea necesario para la comparación de propuestas no es título suficiente para su rechazo</w:t>
      </w:r>
      <w:r>
        <w:rPr>
          <w:rFonts w:ascii="Verdana" w:hAnsi="Verdana" w:cs="Arial"/>
          <w:noProof/>
          <w:lang w:val="es-ES_tradnl"/>
        </w:rPr>
        <w:t xml:space="preserve">. En </w:t>
      </w:r>
      <w:r>
        <w:rPr>
          <w:rFonts w:ascii="Verdana" w:hAnsi="Verdana" w:cs="Arial"/>
          <w:noProof/>
          <w:lang w:val="es-ES_tradnl"/>
        </w:rPr>
        <w:lastRenderedPageBreak/>
        <w:t xml:space="preserve">sentido, si en un concurso de méritos </w:t>
      </w:r>
      <w:r w:rsidRPr="003471F6">
        <w:rPr>
          <w:rFonts w:ascii="Verdana" w:hAnsi="Verdana" w:cs="Arial"/>
          <w:noProof/>
          <w:lang w:val="es-ES_tradnl"/>
        </w:rPr>
        <w:t>se presentó a un profesional para cumplir con un perfil</w:t>
      </w:r>
      <w:r>
        <w:rPr>
          <w:rFonts w:ascii="Verdana" w:hAnsi="Verdana" w:cs="Arial"/>
          <w:noProof/>
          <w:lang w:val="es-ES_tradnl"/>
        </w:rPr>
        <w:t xml:space="preserve"> </w:t>
      </w:r>
      <w:r w:rsidRPr="003471F6">
        <w:rPr>
          <w:rFonts w:ascii="Verdana" w:hAnsi="Verdana" w:cs="Arial"/>
          <w:noProof/>
          <w:lang w:val="es-ES_tradnl"/>
        </w:rPr>
        <w:t>solicitado como requisito habilitante</w:t>
      </w:r>
      <w:r>
        <w:rPr>
          <w:rFonts w:ascii="Verdana" w:hAnsi="Verdana" w:cs="Arial"/>
          <w:noProof/>
          <w:lang w:val="es-ES_tradnl"/>
        </w:rPr>
        <w:t xml:space="preserve">, pero la entidad encontró alguna inconsistencia, podría subsanarse el requisito habilitante. </w:t>
      </w:r>
    </w:p>
    <w:p w14:paraId="07C8C18B" w14:textId="77777777" w:rsidR="007F4029" w:rsidRPr="003716E2" w:rsidRDefault="007F4029" w:rsidP="007F4029">
      <w:pPr>
        <w:spacing w:after="120" w:line="276" w:lineRule="auto"/>
        <w:ind w:firstLine="709"/>
        <w:jc w:val="both"/>
        <w:rPr>
          <w:rFonts w:ascii="Verdana" w:hAnsi="Verdana" w:cs="Arial"/>
          <w:noProof/>
          <w:lang w:val="es-ES_tradnl"/>
        </w:rPr>
      </w:pPr>
      <w:r w:rsidRPr="003716E2">
        <w:rPr>
          <w:rFonts w:ascii="Verdana" w:hAnsi="Verdana" w:cs="Arial"/>
          <w:noProof/>
          <w:lang w:val="es-ES_tradnl"/>
        </w:rPr>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3BB5B7B4" w14:textId="77777777" w:rsidR="007F4029" w:rsidRPr="003716E2" w:rsidRDefault="007F4029" w:rsidP="007F4029">
      <w:pPr>
        <w:spacing w:after="120" w:line="276" w:lineRule="auto"/>
        <w:ind w:firstLine="709"/>
        <w:jc w:val="both"/>
        <w:rPr>
          <w:rFonts w:ascii="Verdana" w:eastAsia="Times New Roman" w:hAnsi="Verdana" w:cs="Arial"/>
          <w:i/>
          <w:lang w:val="es-ES" w:eastAsia="es-ES"/>
        </w:rPr>
      </w:pPr>
      <w:r w:rsidRPr="003716E2">
        <w:rPr>
          <w:rFonts w:ascii="Verdana" w:hAnsi="Verdana" w:cs="Arial"/>
          <w:noProof/>
          <w:lang w:val="es-ES_tradnl"/>
        </w:rPr>
        <w:t>Finalmente, debe señalarse que, e</w:t>
      </w:r>
      <w:r w:rsidRPr="003716E2">
        <w:rPr>
          <w:rFonts w:ascii="Verdana" w:hAnsi="Verdana" w:cs="Arial"/>
        </w:rPr>
        <w:t>n el concurso de méritos es posible que la Entidad en el pliego de condiciones haya establecido criterios de puntaje respecto de los mismos perfiles que se han exigido como habilitantes, en dicho caso será posible subsanar el requisito habilitante pero no podrá asignársele puntaje.</w:t>
      </w:r>
    </w:p>
    <w:p w14:paraId="455555CC" w14:textId="77777777" w:rsidR="007F4029" w:rsidRPr="00593A5F" w:rsidRDefault="007F4029" w:rsidP="007F4029">
      <w:pPr>
        <w:widowControl w:val="0"/>
        <w:autoSpaceDE w:val="0"/>
        <w:autoSpaceDN w:val="0"/>
        <w:spacing w:after="0" w:line="276" w:lineRule="auto"/>
        <w:jc w:val="both"/>
        <w:rPr>
          <w:rFonts w:ascii="Verdana" w:hAnsi="Verdana" w:cs="Arial"/>
        </w:rPr>
      </w:pPr>
    </w:p>
    <w:p w14:paraId="75C9520A" w14:textId="77777777" w:rsidR="007F4029" w:rsidRPr="00593A5F" w:rsidRDefault="007F4029" w:rsidP="007F40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75D4F28" w14:textId="77777777" w:rsidR="007F4029" w:rsidRPr="00593A5F" w:rsidRDefault="007F4029" w:rsidP="007F402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4029" w:rsidRPr="00593A5F" w14:paraId="1804B538" w14:textId="77777777" w:rsidTr="00576AAE">
        <w:trPr>
          <w:trHeight w:val="870"/>
        </w:trPr>
        <w:tc>
          <w:tcPr>
            <w:tcW w:w="8647" w:type="dxa"/>
          </w:tcPr>
          <w:p w14:paraId="61B27F61" w14:textId="77777777" w:rsidR="007F4029" w:rsidRPr="00D16A5E" w:rsidRDefault="007F4029" w:rsidP="007F4029">
            <w:pPr>
              <w:pStyle w:val="Prrafodelista"/>
              <w:numPr>
                <w:ilvl w:val="0"/>
                <w:numId w:val="17"/>
              </w:numPr>
              <w:spacing w:after="120" w:line="276" w:lineRule="auto"/>
              <w:ind w:left="360"/>
              <w:jc w:val="both"/>
              <w:rPr>
                <w:rFonts w:ascii="Verdana" w:hAnsi="Verdana" w:cs="Arial"/>
                <w:noProof/>
                <w:lang w:val="es-ES_tradnl"/>
              </w:rPr>
            </w:pPr>
            <w:r>
              <w:rPr>
                <w:rFonts w:ascii="Verdana" w:hAnsi="Verdana" w:cs="Arial"/>
                <w:noProof/>
                <w:lang w:val="es-ES_tradnl"/>
              </w:rPr>
              <w:t>A</w:t>
            </w:r>
            <w:r w:rsidRPr="009F4606">
              <w:rPr>
                <w:rFonts w:ascii="Verdana" w:hAnsi="Verdana" w:cs="Arial"/>
                <w:noProof/>
                <w:lang w:val="es-ES_tradnl"/>
              </w:rPr>
              <w:t>rtículo 5 de la Ley 1150 de 2007, modificado por la Ley 1882 de 2018, parágrafos 1, 3 y 4.</w:t>
            </w:r>
            <w:r>
              <w:rPr>
                <w:rFonts w:ascii="Verdana" w:hAnsi="Verdana" w:cs="Arial"/>
                <w:noProof/>
                <w:lang w:val="es-ES_tradnl"/>
              </w:rPr>
              <w:t xml:space="preserve"> </w:t>
            </w:r>
          </w:p>
          <w:p w14:paraId="17CDA1E1" w14:textId="77777777" w:rsidR="007F4029" w:rsidRDefault="007F4029" w:rsidP="007F4029">
            <w:pPr>
              <w:pStyle w:val="Prrafodelista"/>
              <w:numPr>
                <w:ilvl w:val="0"/>
                <w:numId w:val="17"/>
              </w:numPr>
              <w:spacing w:after="120" w:line="276" w:lineRule="auto"/>
              <w:ind w:left="360"/>
              <w:jc w:val="both"/>
              <w:rPr>
                <w:rFonts w:ascii="Verdana" w:hAnsi="Verdana" w:cs="Arial"/>
                <w:noProof/>
                <w:lang w:val="es-ES_tradnl"/>
              </w:rPr>
            </w:pPr>
            <w:r w:rsidRPr="009F4606">
              <w:rPr>
                <w:rFonts w:ascii="Verdana" w:hAnsi="Verdana" w:cs="Arial"/>
                <w:noProof/>
                <w:lang w:val="es-ES_tradnl"/>
              </w:rPr>
              <w:t>Consejo de Estado. Sala de Consulta y Servicio Civil. Concepto del 20 de mayo de 2010. Exp. 1.992. C.P. Enrique José Arboleda Perdomo.</w:t>
            </w:r>
          </w:p>
          <w:p w14:paraId="46C7EEF5" w14:textId="77777777" w:rsidR="007F4029" w:rsidRDefault="007F4029" w:rsidP="007F4029">
            <w:pPr>
              <w:pStyle w:val="Prrafodelista"/>
              <w:numPr>
                <w:ilvl w:val="0"/>
                <w:numId w:val="17"/>
              </w:numPr>
              <w:spacing w:after="120" w:line="276" w:lineRule="auto"/>
              <w:ind w:left="360"/>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2014. Expediente: 25.804. Consejero Ponente: Enrique Gil Botero</w:t>
            </w:r>
            <w:r>
              <w:rPr>
                <w:rFonts w:ascii="Verdana" w:hAnsi="Verdana" w:cs="Arial"/>
                <w:noProof/>
                <w:lang w:val="es-ES_tradnl"/>
              </w:rPr>
              <w:t>.</w:t>
            </w:r>
          </w:p>
          <w:p w14:paraId="7F270C02" w14:textId="77777777" w:rsidR="007F4029" w:rsidRPr="00F97212" w:rsidRDefault="007F4029" w:rsidP="007F4029">
            <w:pPr>
              <w:pStyle w:val="Prrafodelista"/>
              <w:numPr>
                <w:ilvl w:val="0"/>
                <w:numId w:val="17"/>
              </w:numPr>
              <w:spacing w:after="120" w:line="276" w:lineRule="auto"/>
              <w:ind w:left="360"/>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2011. C.P. Jaime Orlando Santofimio. Rad. 36.408.</w:t>
            </w:r>
          </w:p>
        </w:tc>
      </w:tr>
    </w:tbl>
    <w:p w14:paraId="07A8EF01" w14:textId="77777777" w:rsidR="007F4029" w:rsidRPr="00593A5F" w:rsidRDefault="007F4029" w:rsidP="007F4029">
      <w:pPr>
        <w:widowControl w:val="0"/>
        <w:autoSpaceDE w:val="0"/>
        <w:autoSpaceDN w:val="0"/>
        <w:spacing w:after="0" w:line="276" w:lineRule="auto"/>
        <w:jc w:val="both"/>
        <w:rPr>
          <w:rFonts w:ascii="Verdana" w:hAnsi="Verdana" w:cs="Arial"/>
        </w:rPr>
      </w:pPr>
    </w:p>
    <w:p w14:paraId="76E59BAD" w14:textId="77777777" w:rsidR="007F4029" w:rsidRPr="00593A5F" w:rsidRDefault="007F4029" w:rsidP="007F40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1924364" w14:textId="77777777" w:rsidR="007F4029" w:rsidRPr="00593A5F" w:rsidRDefault="007F4029" w:rsidP="007F4029">
      <w:pPr>
        <w:widowControl w:val="0"/>
        <w:autoSpaceDE w:val="0"/>
        <w:autoSpaceDN w:val="0"/>
        <w:spacing w:after="0" w:line="276" w:lineRule="auto"/>
        <w:jc w:val="both"/>
        <w:rPr>
          <w:rFonts w:ascii="Verdana" w:hAnsi="Verdana" w:cs="Arial"/>
        </w:rPr>
      </w:pPr>
    </w:p>
    <w:p w14:paraId="433043CC" w14:textId="77777777" w:rsidR="007F4029" w:rsidRPr="00525E10" w:rsidRDefault="007F4029" w:rsidP="007F4029">
      <w:pPr>
        <w:widowControl w:val="0"/>
        <w:autoSpaceDE w:val="0"/>
        <w:autoSpaceDN w:val="0"/>
        <w:spacing w:after="0" w:line="276" w:lineRule="auto"/>
        <w:jc w:val="both"/>
        <w:rPr>
          <w:rStyle w:val="normaltextrun"/>
          <w:rFonts w:ascii="Verdana" w:hAnsi="Verdana" w:cs="Arial"/>
          <w:shd w:val="clear" w:color="auto" w:fill="FFFFFF"/>
          <w:lang w:val="es-ES"/>
        </w:rPr>
      </w:pPr>
      <w:r w:rsidRPr="00D16A5E">
        <w:rPr>
          <w:rFonts w:ascii="Verdana" w:eastAsia="Calibri" w:hAnsi="Verdana" w:cs="Arial"/>
          <w:lang w:val="es-ES" w:eastAsia="es-ES"/>
        </w:rPr>
        <w:t xml:space="preserve">Sobre la </w:t>
      </w:r>
      <w:r w:rsidRPr="00D16A5E">
        <w:rPr>
          <w:rFonts w:ascii="Verdana" w:eastAsia="Calibri" w:hAnsi="Verdana" w:cs="Arial"/>
          <w:lang w:val="es-ES"/>
        </w:rPr>
        <w:t>regla de subsanabilidad en los procesos de selección,</w:t>
      </w:r>
      <w:r w:rsidRPr="00D16A5E">
        <w:rPr>
          <w:rStyle w:val="superscript"/>
          <w:rFonts w:ascii="Verdana" w:hAnsi="Verdana" w:cs="Arial"/>
          <w:shd w:val="clear" w:color="auto" w:fill="FFFFFF"/>
          <w:lang w:val="es-ES"/>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eastAsia="Calibri" w:hAnsi="Verdana" w:cs="Arial"/>
          <w:lang w:val="es-ES"/>
        </w:rPr>
        <w:t xml:space="preserve">en los conceptos 4201913000007643 del 26 de diciembre de 2019, C-343 del 17 de junio de 2020, C-518 del 9 de septiembre de 2020, C-614 del 5 de octubre de 2022, C-882 del 21 de diciembre de 2022 y C-172 del 6 de junio de 2023.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w:t>
      </w:r>
      <w:r w:rsidRPr="00A1554D">
        <w:rPr>
          <w:rFonts w:ascii="Verdana" w:hAnsi="Verdana"/>
        </w:rPr>
        <w:lastRenderedPageBreak/>
        <w:t xml:space="preserve">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1"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shd w:val="clear" w:color="auto" w:fill="FFFFFF"/>
          <w:lang w:val="es-ES"/>
        </w:rPr>
        <w:t>.</w:t>
      </w:r>
    </w:p>
    <w:p w14:paraId="2DA5B53D" w14:textId="77777777" w:rsidR="007F4029" w:rsidRPr="00593A5F" w:rsidRDefault="007F4029" w:rsidP="007F4029">
      <w:pPr>
        <w:widowControl w:val="0"/>
        <w:autoSpaceDE w:val="0"/>
        <w:autoSpaceDN w:val="0"/>
        <w:spacing w:after="0" w:line="276" w:lineRule="auto"/>
        <w:jc w:val="both"/>
        <w:rPr>
          <w:rFonts w:ascii="Verdana" w:hAnsi="Verdana" w:cs="Arial"/>
        </w:rPr>
      </w:pPr>
    </w:p>
    <w:p w14:paraId="4926AD9E" w14:textId="77777777" w:rsidR="007F4029" w:rsidRPr="00593A5F" w:rsidRDefault="007F4029" w:rsidP="007F40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BDF52AC" w14:textId="77777777" w:rsidR="007F4029" w:rsidRPr="00593A5F" w:rsidRDefault="007F4029" w:rsidP="007F4029">
      <w:pPr>
        <w:widowControl w:val="0"/>
        <w:autoSpaceDE w:val="0"/>
        <w:autoSpaceDN w:val="0"/>
        <w:spacing w:after="0" w:line="276" w:lineRule="auto"/>
        <w:jc w:val="both"/>
        <w:rPr>
          <w:rFonts w:ascii="Verdana" w:hAnsi="Verdana" w:cs="Arial"/>
        </w:rPr>
      </w:pPr>
    </w:p>
    <w:p w14:paraId="71738D3D" w14:textId="77777777" w:rsidR="007F4029" w:rsidRPr="00593A5F" w:rsidRDefault="007F4029" w:rsidP="007F402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8FE47A1" w14:textId="3D21C89C" w:rsidR="007F4029" w:rsidRPr="00593A5F" w:rsidRDefault="00D51CFB" w:rsidP="007F402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5419CE0E" wp14:editId="7D02D09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F4029" w:rsidRPr="00D16A5E" w14:paraId="410DB3B5" w14:textId="77777777" w:rsidTr="00576AAE">
        <w:trPr>
          <w:trHeight w:val="409"/>
        </w:trPr>
        <w:tc>
          <w:tcPr>
            <w:tcW w:w="817" w:type="dxa"/>
            <w:tcBorders>
              <w:top w:val="nil"/>
              <w:left w:val="nil"/>
              <w:bottom w:val="nil"/>
              <w:right w:val="nil"/>
            </w:tcBorders>
            <w:vAlign w:val="center"/>
            <w:hideMark/>
          </w:tcPr>
          <w:p w14:paraId="4E0EF009" w14:textId="77777777" w:rsidR="007F4029" w:rsidRPr="00D16A5E" w:rsidRDefault="007F4029" w:rsidP="00576AAE">
            <w:pPr>
              <w:spacing w:after="0" w:line="240" w:lineRule="auto"/>
              <w:jc w:val="both"/>
              <w:rPr>
                <w:rFonts w:ascii="Verdana" w:hAnsi="Verdana" w:cs="Arial"/>
                <w:sz w:val="16"/>
                <w:szCs w:val="16"/>
              </w:rPr>
            </w:pPr>
            <w:r w:rsidRPr="00D16A5E">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2E1B6F8C" w14:textId="01FC6518" w:rsidR="007F4029" w:rsidRPr="00D16A5E" w:rsidRDefault="009F17B7" w:rsidP="00576AAE">
            <w:pPr>
              <w:spacing w:after="0" w:line="240" w:lineRule="auto"/>
              <w:jc w:val="both"/>
              <w:rPr>
                <w:rFonts w:ascii="Verdana" w:hAnsi="Verdana" w:cs="Arial"/>
                <w:sz w:val="16"/>
                <w:szCs w:val="16"/>
              </w:rPr>
            </w:pPr>
            <w:r>
              <w:rPr>
                <w:rFonts w:ascii="Verdana" w:hAnsi="Verdana" w:cs="Arial"/>
                <w:sz w:val="16"/>
                <w:szCs w:val="16"/>
              </w:rPr>
              <w:t>Richard Andrés Montenegro Siefken</w:t>
            </w:r>
          </w:p>
          <w:p w14:paraId="6D932560" w14:textId="77777777" w:rsidR="007F4029" w:rsidRPr="00D16A5E" w:rsidRDefault="007F4029" w:rsidP="00576AAE">
            <w:pPr>
              <w:spacing w:after="0" w:line="240" w:lineRule="auto"/>
              <w:jc w:val="both"/>
              <w:rPr>
                <w:rFonts w:ascii="Verdana" w:hAnsi="Verdana" w:cs="Arial"/>
                <w:sz w:val="16"/>
                <w:szCs w:val="16"/>
              </w:rPr>
            </w:pPr>
            <w:r w:rsidRPr="00D16A5E">
              <w:rPr>
                <w:rFonts w:ascii="Verdana" w:hAnsi="Verdana" w:cs="Arial"/>
                <w:sz w:val="16"/>
                <w:szCs w:val="16"/>
              </w:rPr>
              <w:t>Contratista de la Subdirección de Gestión Contractual</w:t>
            </w:r>
          </w:p>
        </w:tc>
      </w:tr>
      <w:tr w:rsidR="007F4029" w:rsidRPr="00D16A5E" w14:paraId="0D535FD3" w14:textId="77777777" w:rsidTr="00576AAE">
        <w:trPr>
          <w:trHeight w:val="409"/>
        </w:trPr>
        <w:tc>
          <w:tcPr>
            <w:tcW w:w="817" w:type="dxa"/>
            <w:tcBorders>
              <w:top w:val="nil"/>
              <w:left w:val="nil"/>
              <w:right w:val="nil"/>
            </w:tcBorders>
            <w:vAlign w:val="center"/>
          </w:tcPr>
          <w:p w14:paraId="45B40CE2" w14:textId="77777777" w:rsidR="007F4029" w:rsidRPr="00D16A5E" w:rsidRDefault="007F4029" w:rsidP="00576AAE">
            <w:pPr>
              <w:spacing w:after="0"/>
              <w:jc w:val="both"/>
              <w:rPr>
                <w:rFonts w:ascii="Verdana" w:hAnsi="Verdana" w:cs="Arial"/>
                <w:sz w:val="16"/>
                <w:szCs w:val="16"/>
              </w:rPr>
            </w:pPr>
            <w:r w:rsidRPr="00D16A5E">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275F03AF" w14:textId="72A51482" w:rsidR="007F4029" w:rsidRPr="00D16A5E" w:rsidRDefault="009F17B7" w:rsidP="00576AAE">
            <w:pPr>
              <w:spacing w:after="0" w:line="240" w:lineRule="auto"/>
              <w:jc w:val="both"/>
              <w:rPr>
                <w:rStyle w:val="normaltextrun"/>
                <w:rFonts w:ascii="Verdana" w:eastAsia="Times New Roman" w:hAnsi="Verdana" w:cs="Segoe UI"/>
                <w:color w:val="000000" w:themeColor="text1"/>
                <w:sz w:val="16"/>
                <w:szCs w:val="16"/>
                <w:lang w:eastAsia="es-CO"/>
              </w:rPr>
            </w:pPr>
            <w:r>
              <w:rPr>
                <w:rStyle w:val="normaltextrun"/>
                <w:rFonts w:ascii="Verdana" w:eastAsia="Times New Roman" w:hAnsi="Verdana" w:cs="Segoe UI"/>
                <w:color w:val="000000" w:themeColor="text1"/>
                <w:sz w:val="16"/>
                <w:szCs w:val="16"/>
                <w:lang w:eastAsia="es-CO"/>
              </w:rPr>
              <w:t>J</w:t>
            </w:r>
            <w:r>
              <w:rPr>
                <w:rStyle w:val="normaltextrun"/>
                <w:rFonts w:eastAsia="Times New Roman" w:cs="Segoe UI"/>
                <w:color w:val="000000" w:themeColor="text1"/>
                <w:lang w:eastAsia="es-CO"/>
              </w:rPr>
              <w:t>uan David Cárdenas Cabezas</w:t>
            </w:r>
          </w:p>
          <w:p w14:paraId="031D124A" w14:textId="27E0B569" w:rsidR="007F4029" w:rsidRPr="00D16A5E" w:rsidRDefault="009F17B7" w:rsidP="00576AAE">
            <w:pPr>
              <w:spacing w:after="0" w:line="240" w:lineRule="auto"/>
              <w:jc w:val="both"/>
              <w:rPr>
                <w:rFonts w:ascii="Verdana" w:hAnsi="Verdana" w:cs="Arial"/>
                <w:sz w:val="16"/>
                <w:szCs w:val="16"/>
              </w:rPr>
            </w:pPr>
            <w:r>
              <w:rPr>
                <w:rStyle w:val="normaltextrun"/>
                <w:rFonts w:ascii="Verdana" w:eastAsia="Times New Roman" w:hAnsi="Verdana" w:cs="Segoe UI"/>
                <w:color w:val="000000" w:themeColor="text1"/>
                <w:sz w:val="16"/>
                <w:szCs w:val="16"/>
                <w:lang w:eastAsia="es-CO"/>
              </w:rPr>
              <w:t>C</w:t>
            </w:r>
            <w:r>
              <w:rPr>
                <w:rStyle w:val="normaltextrun"/>
                <w:rFonts w:eastAsia="Times New Roman" w:cs="Segoe UI"/>
                <w:color w:val="000000" w:themeColor="text1"/>
                <w:lang w:eastAsia="es-CO"/>
              </w:rPr>
              <w:t>ontratista</w:t>
            </w:r>
            <w:r w:rsidR="007F4029" w:rsidRPr="00D16A5E">
              <w:rPr>
                <w:rStyle w:val="normaltextrun"/>
                <w:rFonts w:ascii="Verdana" w:eastAsia="Times New Roman" w:hAnsi="Verdana" w:cs="Segoe UI"/>
                <w:color w:val="000000" w:themeColor="text1"/>
                <w:sz w:val="16"/>
                <w:szCs w:val="16"/>
                <w:lang w:eastAsia="es-CO"/>
              </w:rPr>
              <w:t xml:space="preserve"> de la Subdirección de Gestión Contractual</w:t>
            </w:r>
          </w:p>
        </w:tc>
      </w:tr>
      <w:tr w:rsidR="007F4029" w:rsidRPr="00D16A5E" w14:paraId="08950483" w14:textId="77777777" w:rsidTr="00576AAE">
        <w:trPr>
          <w:trHeight w:val="389"/>
        </w:trPr>
        <w:tc>
          <w:tcPr>
            <w:tcW w:w="817" w:type="dxa"/>
            <w:tcBorders>
              <w:top w:val="nil"/>
              <w:left w:val="nil"/>
              <w:bottom w:val="nil"/>
              <w:right w:val="nil"/>
            </w:tcBorders>
            <w:vAlign w:val="center"/>
            <w:hideMark/>
          </w:tcPr>
          <w:p w14:paraId="528FEB4F" w14:textId="77777777" w:rsidR="007F4029" w:rsidRPr="00D16A5E" w:rsidRDefault="007F4029" w:rsidP="00576AAE">
            <w:pPr>
              <w:spacing w:after="0" w:line="240" w:lineRule="auto"/>
              <w:jc w:val="both"/>
              <w:rPr>
                <w:rFonts w:ascii="Verdana" w:hAnsi="Verdana" w:cs="Arial"/>
                <w:sz w:val="16"/>
                <w:szCs w:val="16"/>
              </w:rPr>
            </w:pPr>
            <w:r w:rsidRPr="00D16A5E">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643155F" w14:textId="77777777" w:rsidR="007F4029" w:rsidRPr="00D16A5E" w:rsidRDefault="007F4029" w:rsidP="00576AAE">
            <w:pPr>
              <w:spacing w:after="0"/>
              <w:rPr>
                <w:rFonts w:ascii="Verdana" w:eastAsia="Calibri" w:hAnsi="Verdana" w:cs="Arial"/>
                <w:sz w:val="16"/>
                <w:szCs w:val="16"/>
                <w:lang w:val="pt-BR" w:eastAsia="es-ES"/>
              </w:rPr>
            </w:pPr>
            <w:r w:rsidRPr="00D16A5E">
              <w:rPr>
                <w:rFonts w:ascii="Verdana" w:eastAsia="Calibri" w:hAnsi="Verdana" w:cs="Arial"/>
                <w:sz w:val="16"/>
                <w:szCs w:val="16"/>
                <w:lang w:val="pt-BR" w:eastAsia="es-ES"/>
              </w:rPr>
              <w:t>Carolina Quintero Gacharná</w:t>
            </w:r>
          </w:p>
          <w:p w14:paraId="0697CCB6" w14:textId="77777777" w:rsidR="007F4029" w:rsidRPr="00D16A5E" w:rsidRDefault="007F4029" w:rsidP="00576AAE">
            <w:pPr>
              <w:spacing w:after="0" w:line="240" w:lineRule="auto"/>
              <w:jc w:val="both"/>
              <w:rPr>
                <w:rFonts w:ascii="Verdana" w:hAnsi="Verdana" w:cs="Arial"/>
                <w:sz w:val="16"/>
                <w:szCs w:val="16"/>
              </w:rPr>
            </w:pPr>
            <w:r w:rsidRPr="00D16A5E">
              <w:rPr>
                <w:rFonts w:ascii="Verdana" w:hAnsi="Verdana" w:cs="Arial"/>
                <w:sz w:val="16"/>
                <w:szCs w:val="16"/>
              </w:rPr>
              <w:t>Subdirectora de Gestión Contractual ANCP – CCE</w:t>
            </w:r>
          </w:p>
        </w:tc>
      </w:tr>
    </w:tbl>
    <w:p w14:paraId="57DAD760" w14:textId="77777777" w:rsidR="007F4029" w:rsidRPr="00D16A5E" w:rsidRDefault="007F4029" w:rsidP="007F4029">
      <w:pPr>
        <w:pStyle w:val="Default"/>
        <w:tabs>
          <w:tab w:val="left" w:pos="2864"/>
        </w:tabs>
        <w:jc w:val="both"/>
        <w:rPr>
          <w:rFonts w:ascii="Verdana" w:hAnsi="Verdana"/>
          <w:sz w:val="22"/>
          <w:szCs w:val="22"/>
          <w:lang w:val="es-ES"/>
        </w:rPr>
      </w:pPr>
    </w:p>
    <w:p w14:paraId="01856A27" w14:textId="77777777" w:rsidR="007F4029" w:rsidRPr="00B87B77" w:rsidRDefault="007F4029" w:rsidP="007F4029">
      <w:pPr>
        <w:spacing w:after="0" w:line="240" w:lineRule="auto"/>
        <w:rPr>
          <w:rFonts w:ascii="Verdana" w:eastAsia="Times New Roman" w:hAnsi="Verdana" w:cs="Arial"/>
          <w:sz w:val="24"/>
          <w:szCs w:val="24"/>
          <w:lang w:val="es-ES" w:eastAsia="es-ES"/>
        </w:rPr>
      </w:pPr>
    </w:p>
    <w:bookmarkEnd w:id="0"/>
    <w:p w14:paraId="28FD63B1" w14:textId="77777777" w:rsidR="007F4029" w:rsidRPr="007F4029" w:rsidRDefault="007F4029" w:rsidP="00E245AB">
      <w:pPr>
        <w:spacing w:after="0"/>
        <w:rPr>
          <w:rFonts w:ascii="Verdana" w:hAnsi="Verdana"/>
          <w:lang w:val="es-ES"/>
        </w:rPr>
      </w:pPr>
    </w:p>
    <w:sectPr w:rsidR="007F4029" w:rsidRPr="007F4029"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C3D55" w14:textId="77777777" w:rsidR="00FC4164" w:rsidRDefault="00FC4164" w:rsidP="004A1847">
      <w:pPr>
        <w:spacing w:after="0" w:line="240" w:lineRule="auto"/>
      </w:pPr>
      <w:r>
        <w:separator/>
      </w:r>
    </w:p>
  </w:endnote>
  <w:endnote w:type="continuationSeparator" w:id="0">
    <w:p w14:paraId="62747EEC" w14:textId="77777777" w:rsidR="00FC4164" w:rsidRDefault="00FC416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404B5" w14:textId="77777777" w:rsidR="00FC4164" w:rsidRDefault="00FC4164" w:rsidP="004A1847">
      <w:pPr>
        <w:spacing w:after="0" w:line="240" w:lineRule="auto"/>
      </w:pPr>
      <w:r>
        <w:separator/>
      </w:r>
    </w:p>
  </w:footnote>
  <w:footnote w:type="continuationSeparator" w:id="0">
    <w:p w14:paraId="34E3E54B" w14:textId="77777777" w:rsidR="00FC4164" w:rsidRDefault="00FC4164" w:rsidP="004A1847">
      <w:pPr>
        <w:spacing w:after="0" w:line="240" w:lineRule="auto"/>
      </w:pPr>
      <w:r>
        <w:continuationSeparator/>
      </w:r>
    </w:p>
  </w:footnote>
  <w:footnote w:id="1">
    <w:p w14:paraId="78C62279" w14:textId="77777777" w:rsidR="00913976" w:rsidRDefault="00913976" w:rsidP="00913976">
      <w:pPr>
        <w:pStyle w:val="Textonotapie"/>
        <w:ind w:firstLine="708"/>
        <w:contextualSpacing/>
        <w:jc w:val="both"/>
        <w:rPr>
          <w:rFonts w:ascii="Arial" w:hAnsi="Arial" w:cs="Arial"/>
          <w:sz w:val="18"/>
          <w:szCs w:val="18"/>
        </w:rPr>
      </w:pPr>
      <w:r w:rsidRPr="00972243">
        <w:rPr>
          <w:rStyle w:val="Refdenotaalpie"/>
          <w:rFonts w:ascii="Arial" w:hAnsi="Arial" w:cs="Arial"/>
          <w:sz w:val="18"/>
          <w:szCs w:val="18"/>
        </w:rPr>
        <w:footnoteRef/>
      </w:r>
      <w:r w:rsidRPr="00972243">
        <w:rPr>
          <w:rFonts w:ascii="Arial" w:hAnsi="Arial" w:cs="Arial"/>
          <w:sz w:val="18"/>
          <w:szCs w:val="18"/>
        </w:rPr>
        <w:t xml:space="preserve"> Ley 1150 de 2007, artículo 5, Parágrafo 3: “La no entrega de la garantía de seriedad junto con la propuesta no será subsanable y será causal de rechazo de la misma”.</w:t>
      </w:r>
    </w:p>
    <w:p w14:paraId="64256A53" w14:textId="77777777" w:rsidR="00913976" w:rsidRPr="00972243" w:rsidRDefault="00913976" w:rsidP="00913976">
      <w:pPr>
        <w:pStyle w:val="Textonotapie"/>
        <w:ind w:firstLine="708"/>
        <w:contextualSpacing/>
        <w:jc w:val="both"/>
        <w:rPr>
          <w:rFonts w:ascii="Arial" w:hAnsi="Arial" w:cs="Arial"/>
          <w:sz w:val="18"/>
          <w:szCs w:val="18"/>
          <w:lang w:val="es-CO"/>
        </w:rPr>
      </w:pPr>
    </w:p>
  </w:footnote>
  <w:footnote w:id="2">
    <w:p w14:paraId="157907AC" w14:textId="792B6825" w:rsidR="007F4029" w:rsidRPr="00B74530"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Ley 80 de 1993. Art. 30.7: </w:t>
      </w:r>
      <w:r w:rsidR="00B74530">
        <w:rPr>
          <w:rFonts w:ascii="Verdana" w:hAnsi="Verdana" w:cs="Arial"/>
          <w:color w:val="000000"/>
          <w:sz w:val="16"/>
          <w:szCs w:val="16"/>
        </w:rPr>
        <w:t>“</w:t>
      </w:r>
      <w:r w:rsidRPr="00B74530">
        <w:rPr>
          <w:rFonts w:ascii="Verdana" w:hAnsi="Verdana" w:cs="Arial"/>
          <w:color w:val="000000"/>
          <w:sz w:val="16"/>
          <w:szCs w:val="16"/>
        </w:rPr>
        <w:t>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w:t>
      </w:r>
      <w:r w:rsidR="00B74530">
        <w:rPr>
          <w:rFonts w:ascii="Verdana" w:hAnsi="Verdana" w:cs="Arial"/>
          <w:color w:val="000000"/>
          <w:sz w:val="16"/>
          <w:szCs w:val="16"/>
        </w:rPr>
        <w:t>”</w:t>
      </w:r>
      <w:r w:rsidRPr="00B74530">
        <w:rPr>
          <w:rFonts w:ascii="Verdana" w:hAnsi="Verdana" w:cs="Arial"/>
          <w:color w:val="000000"/>
          <w:sz w:val="16"/>
          <w:szCs w:val="16"/>
        </w:rPr>
        <w:t xml:space="preserve">. </w:t>
      </w:r>
    </w:p>
    <w:p w14:paraId="5F280CE7" w14:textId="77777777" w:rsidR="007F4029" w:rsidRPr="00B74530" w:rsidRDefault="007F4029" w:rsidP="007F4029">
      <w:pPr>
        <w:pStyle w:val="Textonotapie"/>
        <w:ind w:firstLine="709"/>
        <w:jc w:val="both"/>
        <w:rPr>
          <w:rFonts w:ascii="Verdana" w:hAnsi="Verdana" w:cs="Arial"/>
          <w:color w:val="000000"/>
          <w:sz w:val="16"/>
          <w:szCs w:val="16"/>
        </w:rPr>
      </w:pPr>
    </w:p>
  </w:footnote>
  <w:footnote w:id="3">
    <w:p w14:paraId="1E83D555" w14:textId="560493DC" w:rsidR="007F4029"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Ley 80 de 1993. Art. 30.8: </w:t>
      </w:r>
      <w:r w:rsidR="00B74530">
        <w:rPr>
          <w:rFonts w:ascii="Verdana" w:hAnsi="Verdana" w:cs="Arial"/>
          <w:color w:val="000000"/>
          <w:sz w:val="16"/>
          <w:szCs w:val="16"/>
        </w:rPr>
        <w:t>“</w:t>
      </w:r>
      <w:r w:rsidRPr="00B74530">
        <w:rPr>
          <w:rFonts w:ascii="Verdana" w:hAnsi="Verdana" w:cs="Arial"/>
          <w:color w:val="000000"/>
          <w:sz w:val="16"/>
          <w:szCs w:val="16"/>
        </w:rPr>
        <w:t>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r w:rsidR="00B74530">
        <w:rPr>
          <w:rFonts w:ascii="Verdana" w:hAnsi="Verdana" w:cs="Arial"/>
          <w:color w:val="000000"/>
          <w:sz w:val="16"/>
          <w:szCs w:val="16"/>
        </w:rPr>
        <w:t>”</w:t>
      </w:r>
      <w:r w:rsidRPr="00B74530">
        <w:rPr>
          <w:rFonts w:ascii="Verdana" w:hAnsi="Verdana" w:cs="Arial"/>
          <w:color w:val="000000"/>
          <w:sz w:val="16"/>
          <w:szCs w:val="16"/>
        </w:rPr>
        <w:t>.</w:t>
      </w:r>
    </w:p>
    <w:p w14:paraId="6049731F" w14:textId="77777777" w:rsidR="00B74530" w:rsidRPr="00B74530" w:rsidRDefault="00B74530" w:rsidP="007F4029">
      <w:pPr>
        <w:pStyle w:val="Textonotapie"/>
        <w:ind w:firstLine="709"/>
        <w:jc w:val="both"/>
        <w:rPr>
          <w:rFonts w:ascii="Verdana" w:hAnsi="Verdana" w:cs="Arial"/>
          <w:color w:val="000000"/>
          <w:sz w:val="16"/>
          <w:szCs w:val="16"/>
        </w:rPr>
      </w:pPr>
    </w:p>
  </w:footnote>
  <w:footnote w:id="4">
    <w:p w14:paraId="2B05F78A" w14:textId="08B2BF90" w:rsidR="00B74530" w:rsidRPr="00B74530" w:rsidRDefault="007F4029" w:rsidP="00B74530">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CONSEJO DE ESTADO. Sección Tercera. Subsección C. Sentencia del 26 de febrero de 2014. Expediente: 25.804. Consejero Ponente: Enrique Gil Botero.</w:t>
      </w:r>
      <w:r w:rsidRPr="00B74530">
        <w:rPr>
          <w:rFonts w:ascii="Verdana" w:hAnsi="Verdana"/>
          <w:sz w:val="16"/>
          <w:szCs w:val="16"/>
        </w:rPr>
        <w:t xml:space="preserve"> </w:t>
      </w:r>
      <w:hyperlink r:id="rId1" w:history="1">
        <w:r w:rsidRPr="00B74530">
          <w:rPr>
            <w:rStyle w:val="Hipervnculo"/>
            <w:rFonts w:ascii="Verdana" w:hAnsi="Verdana" w:cs="Arial"/>
            <w:sz w:val="16"/>
            <w:szCs w:val="16"/>
          </w:rPr>
          <w:t>https://relatoria.colombiacompra.gov.co/providencias-consejo-de-estado/</w:t>
        </w:r>
      </w:hyperlink>
      <w:r w:rsidRPr="00B74530">
        <w:rPr>
          <w:rFonts w:ascii="Verdana" w:hAnsi="Verdana" w:cs="Arial"/>
          <w:color w:val="000000"/>
          <w:sz w:val="16"/>
          <w:szCs w:val="16"/>
        </w:rPr>
        <w:t xml:space="preserve"> </w:t>
      </w:r>
    </w:p>
  </w:footnote>
  <w:footnote w:id="5">
    <w:p w14:paraId="7230B9E5" w14:textId="77777777" w:rsidR="007F4029" w:rsidRPr="00B74530"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Style w:val="Refdenotaalpie"/>
          <w:rFonts w:ascii="Verdana" w:hAnsi="Verdana" w:cs="Arial"/>
          <w:color w:val="000000"/>
          <w:sz w:val="16"/>
          <w:szCs w:val="16"/>
        </w:rPr>
        <w:t xml:space="preserve"> </w:t>
      </w:r>
      <w:r w:rsidRPr="00B74530">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525882A6" w14:textId="77777777" w:rsidR="007F4029" w:rsidRPr="00B74530" w:rsidRDefault="007F4029" w:rsidP="007F4029">
      <w:pPr>
        <w:pStyle w:val="Textonotapie"/>
        <w:ind w:firstLine="709"/>
        <w:jc w:val="both"/>
        <w:rPr>
          <w:rFonts w:ascii="Verdana" w:hAnsi="Verdana" w:cs="Arial"/>
          <w:color w:val="000000"/>
          <w:sz w:val="16"/>
          <w:szCs w:val="16"/>
        </w:rPr>
      </w:pPr>
    </w:p>
  </w:footnote>
  <w:footnote w:id="6">
    <w:p w14:paraId="2898E8E8" w14:textId="77777777" w:rsidR="007F4029" w:rsidRPr="00B74530"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72E56961" w14:textId="77777777" w:rsidR="00B74530" w:rsidRDefault="00B74530" w:rsidP="007F4029">
      <w:pPr>
        <w:pStyle w:val="Textonotapie"/>
        <w:ind w:firstLine="709"/>
        <w:jc w:val="both"/>
        <w:rPr>
          <w:rFonts w:ascii="Verdana" w:hAnsi="Verdana" w:cs="Arial"/>
          <w:color w:val="000000"/>
          <w:sz w:val="16"/>
          <w:szCs w:val="16"/>
        </w:rPr>
      </w:pPr>
    </w:p>
    <w:p w14:paraId="0D2BD484" w14:textId="76B9EF8D" w:rsidR="007F4029" w:rsidRDefault="007F4029" w:rsidP="007F4029">
      <w:pPr>
        <w:pStyle w:val="Textonotapie"/>
        <w:ind w:firstLine="709"/>
        <w:jc w:val="both"/>
        <w:rPr>
          <w:rFonts w:ascii="Verdana" w:hAnsi="Verdana" w:cs="Arial"/>
          <w:color w:val="000000"/>
          <w:sz w:val="16"/>
          <w:szCs w:val="16"/>
        </w:rPr>
      </w:pPr>
      <w:r w:rsidRPr="00B74530">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sidR="00B74530">
        <w:rPr>
          <w:rFonts w:ascii="Verdana" w:hAnsi="Verdana" w:cs="Arial"/>
          <w:color w:val="000000"/>
          <w:sz w:val="16"/>
          <w:szCs w:val="16"/>
        </w:rPr>
        <w:t>.</w:t>
      </w:r>
      <w:r w:rsidRPr="00B74530">
        <w:rPr>
          <w:rFonts w:ascii="Verdana" w:hAnsi="Verdana" w:cs="Arial"/>
          <w:color w:val="000000"/>
          <w:sz w:val="16"/>
          <w:szCs w:val="16"/>
        </w:rPr>
        <w:t xml:space="preserve"> (Consejo de Estado. Sala de Consulta y Servicio Civil. Concepto del 6 de noviembre de 2008. Expediente: 1927. Consejero Ponente: William Zambrano Cetina).</w:t>
      </w:r>
    </w:p>
    <w:p w14:paraId="56BBE134" w14:textId="77777777" w:rsidR="00B74530" w:rsidRPr="00B74530" w:rsidRDefault="00B74530" w:rsidP="007F4029">
      <w:pPr>
        <w:pStyle w:val="Textonotapie"/>
        <w:ind w:firstLine="709"/>
        <w:jc w:val="both"/>
        <w:rPr>
          <w:rFonts w:ascii="Verdana" w:hAnsi="Verdana" w:cs="Arial"/>
          <w:color w:val="000000"/>
          <w:sz w:val="16"/>
          <w:szCs w:val="16"/>
        </w:rPr>
      </w:pPr>
    </w:p>
  </w:footnote>
  <w:footnote w:id="7">
    <w:p w14:paraId="65848353" w14:textId="77777777" w:rsidR="007F4029" w:rsidRPr="00B74530"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sz w:val="16"/>
          <w:szCs w:val="16"/>
        </w:rPr>
        <w:footnoteRef/>
      </w:r>
      <w:r w:rsidRPr="00B74530">
        <w:rPr>
          <w:rFonts w:ascii="Verdana" w:hAnsi="Verdana" w:cs="Arial"/>
          <w:sz w:val="16"/>
          <w:szCs w:val="16"/>
        </w:rPr>
        <w:t xml:space="preserve"> </w:t>
      </w:r>
      <w:r w:rsidRPr="00B74530">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27AEE9E9" w14:textId="77777777" w:rsidR="007F4029" w:rsidRPr="00B74530" w:rsidRDefault="007F4029" w:rsidP="007F4029">
      <w:pPr>
        <w:pStyle w:val="Textonotapie"/>
        <w:ind w:firstLine="709"/>
        <w:jc w:val="both"/>
        <w:rPr>
          <w:rFonts w:ascii="Verdana" w:hAnsi="Verdana" w:cs="Arial"/>
          <w:color w:val="000000"/>
          <w:sz w:val="16"/>
          <w:szCs w:val="16"/>
        </w:rPr>
      </w:pPr>
    </w:p>
    <w:p w14:paraId="7C50528D" w14:textId="77777777" w:rsidR="007F4029" w:rsidRPr="00B74530" w:rsidRDefault="007F4029" w:rsidP="007F4029">
      <w:pPr>
        <w:pStyle w:val="Textonotapie"/>
        <w:ind w:firstLine="709"/>
        <w:jc w:val="both"/>
        <w:rPr>
          <w:rFonts w:ascii="Verdana" w:hAnsi="Verdana" w:cs="Arial"/>
          <w:color w:val="000000"/>
          <w:sz w:val="16"/>
          <w:szCs w:val="16"/>
        </w:rPr>
      </w:pPr>
      <w:r w:rsidRPr="00B74530">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B74530">
          <w:rPr>
            <w:rStyle w:val="Hipervnculo"/>
            <w:rFonts w:ascii="Verdana" w:hAnsi="Verdana" w:cs="Arial"/>
            <w:sz w:val="16"/>
            <w:szCs w:val="16"/>
          </w:rPr>
          <w:t>https://www.colombiacompra.gov.co/circulares?page=2</w:t>
        </w:r>
      </w:hyperlink>
      <w:r w:rsidRPr="00B74530">
        <w:rPr>
          <w:rStyle w:val="Hipervnculo"/>
          <w:rFonts w:ascii="Verdana" w:hAnsi="Verdana" w:cs="Arial"/>
          <w:color w:val="000000"/>
          <w:sz w:val="16"/>
          <w:szCs w:val="16"/>
        </w:rPr>
        <w:t xml:space="preserve"> </w:t>
      </w:r>
    </w:p>
    <w:p w14:paraId="307BF34B" w14:textId="77777777" w:rsidR="007F4029" w:rsidRPr="00B74530" w:rsidRDefault="007F4029" w:rsidP="007F4029">
      <w:pPr>
        <w:pStyle w:val="Textonotapie"/>
        <w:ind w:firstLine="709"/>
        <w:jc w:val="both"/>
        <w:rPr>
          <w:rFonts w:ascii="Verdana" w:hAnsi="Verdana" w:cs="Arial"/>
          <w:color w:val="000000"/>
          <w:sz w:val="16"/>
          <w:szCs w:val="16"/>
        </w:rPr>
      </w:pPr>
    </w:p>
  </w:footnote>
  <w:footnote w:id="8">
    <w:p w14:paraId="1E3158B1" w14:textId="77777777" w:rsidR="007F4029" w:rsidRPr="00B74530"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Ver CONSEJO DE ESTADO, Sección Tercera, Subsección C. Sentencia del 26 de febrero de 2011. C.P. Jaime Orlando Santofimio. Rad. 36.408. </w:t>
      </w:r>
    </w:p>
  </w:footnote>
  <w:footnote w:id="9">
    <w:p w14:paraId="66244CF9" w14:textId="77777777" w:rsidR="007F4029" w:rsidRPr="00B74530" w:rsidRDefault="007F4029" w:rsidP="007F4029">
      <w:pPr>
        <w:pStyle w:val="Textonotapie"/>
        <w:ind w:firstLine="709"/>
        <w:jc w:val="both"/>
        <w:rPr>
          <w:rFonts w:ascii="Verdana" w:hAnsi="Verdana" w:cs="Arial"/>
          <w:color w:val="000000"/>
          <w:sz w:val="16"/>
          <w:szCs w:val="16"/>
        </w:rPr>
      </w:pPr>
    </w:p>
    <w:p w14:paraId="19A9E206" w14:textId="77777777" w:rsidR="007F4029" w:rsidRPr="00B74530" w:rsidRDefault="007F4029" w:rsidP="007F4029">
      <w:pPr>
        <w:pStyle w:val="Textonotapie"/>
        <w:ind w:firstLine="709"/>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Ver CONSEJO DE ESTADO, Sección Tercera, Subsección C. Sentencia del 26 de febrero de 2014. C.P. Enrique Gil Botero. Rad. 25.804. </w:t>
      </w:r>
    </w:p>
    <w:p w14:paraId="2550B36F" w14:textId="77777777" w:rsidR="007F4029" w:rsidRPr="00B74530" w:rsidRDefault="007F4029" w:rsidP="007F4029">
      <w:pPr>
        <w:pStyle w:val="Textonotapie"/>
        <w:ind w:firstLine="709"/>
        <w:jc w:val="both"/>
        <w:rPr>
          <w:rFonts w:ascii="Verdana" w:hAnsi="Verdana" w:cs="Arial"/>
          <w:color w:val="000000"/>
          <w:sz w:val="16"/>
          <w:szCs w:val="16"/>
        </w:rPr>
      </w:pPr>
    </w:p>
  </w:footnote>
  <w:footnote w:id="10">
    <w:p w14:paraId="24006618" w14:textId="77777777" w:rsidR="007F4029" w:rsidRPr="00B74530" w:rsidRDefault="007F4029" w:rsidP="007F4029">
      <w:pPr>
        <w:pStyle w:val="Textonotapie"/>
        <w:ind w:firstLine="708"/>
        <w:jc w:val="both"/>
        <w:rPr>
          <w:rFonts w:ascii="Verdana" w:hAnsi="Verdana" w:cs="Arial"/>
          <w:color w:val="000000"/>
          <w:sz w:val="16"/>
          <w:szCs w:val="16"/>
        </w:rPr>
      </w:pPr>
      <w:r w:rsidRPr="00B74530">
        <w:rPr>
          <w:rStyle w:val="Refdenotaalpie"/>
          <w:rFonts w:ascii="Verdana" w:hAnsi="Verdana" w:cs="Arial"/>
          <w:color w:val="000000"/>
          <w:sz w:val="16"/>
          <w:szCs w:val="16"/>
        </w:rPr>
        <w:footnoteRef/>
      </w:r>
      <w:r w:rsidRPr="00B74530">
        <w:rPr>
          <w:rFonts w:ascii="Verdana" w:hAnsi="Verdana" w:cs="Arial"/>
          <w:color w:val="000000"/>
          <w:sz w:val="16"/>
          <w:szCs w:val="16"/>
        </w:rPr>
        <w:t xml:space="preserve"> 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4pt;height:11.4pt" o:bullet="t">
        <v:imagedata r:id="rId1" o:title="mso1B13"/>
      </v:shape>
    </w:pict>
  </w:numPicBullet>
  <w:abstractNum w:abstractNumId="0" w15:restartNumberingAfterBreak="0">
    <w:nsid w:val="01C06310"/>
    <w:multiLevelType w:val="multilevel"/>
    <w:tmpl w:val="1562CEC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570A3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1A52D1"/>
    <w:multiLevelType w:val="multilevel"/>
    <w:tmpl w:val="D0E6AD2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num>
  <w:num w:numId="17">
    <w:abstractNumId w:val="16"/>
  </w:num>
  <w:num w:numId="18">
    <w:abstractNumId w:val="3"/>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E7DB0"/>
    <w:rsid w:val="000F6486"/>
    <w:rsid w:val="00125105"/>
    <w:rsid w:val="00127233"/>
    <w:rsid w:val="0013231B"/>
    <w:rsid w:val="001742EF"/>
    <w:rsid w:val="00184B67"/>
    <w:rsid w:val="0019419C"/>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52EB8"/>
    <w:rsid w:val="00374F5E"/>
    <w:rsid w:val="00377E3E"/>
    <w:rsid w:val="003A26D1"/>
    <w:rsid w:val="003A779E"/>
    <w:rsid w:val="003D0F4D"/>
    <w:rsid w:val="003D5B0D"/>
    <w:rsid w:val="003E0499"/>
    <w:rsid w:val="003F3941"/>
    <w:rsid w:val="003F66A0"/>
    <w:rsid w:val="00406575"/>
    <w:rsid w:val="0042722E"/>
    <w:rsid w:val="0044528D"/>
    <w:rsid w:val="0049460B"/>
    <w:rsid w:val="004A1847"/>
    <w:rsid w:val="004A305D"/>
    <w:rsid w:val="004A434F"/>
    <w:rsid w:val="004B5B66"/>
    <w:rsid w:val="004F21C4"/>
    <w:rsid w:val="004F685F"/>
    <w:rsid w:val="005566E8"/>
    <w:rsid w:val="00574867"/>
    <w:rsid w:val="00591460"/>
    <w:rsid w:val="00592628"/>
    <w:rsid w:val="005C3777"/>
    <w:rsid w:val="005C5CDC"/>
    <w:rsid w:val="005D476C"/>
    <w:rsid w:val="00610812"/>
    <w:rsid w:val="006219F8"/>
    <w:rsid w:val="0062797F"/>
    <w:rsid w:val="00650FF7"/>
    <w:rsid w:val="00665D70"/>
    <w:rsid w:val="00671DAC"/>
    <w:rsid w:val="006900D9"/>
    <w:rsid w:val="006A56C1"/>
    <w:rsid w:val="006C124F"/>
    <w:rsid w:val="006D12F8"/>
    <w:rsid w:val="00706C16"/>
    <w:rsid w:val="00756841"/>
    <w:rsid w:val="007604D4"/>
    <w:rsid w:val="007649AB"/>
    <w:rsid w:val="00771D0C"/>
    <w:rsid w:val="007833AC"/>
    <w:rsid w:val="007B268C"/>
    <w:rsid w:val="007B7171"/>
    <w:rsid w:val="007C0C0F"/>
    <w:rsid w:val="007C3DC2"/>
    <w:rsid w:val="007E5497"/>
    <w:rsid w:val="007F4029"/>
    <w:rsid w:val="00806F5F"/>
    <w:rsid w:val="00820278"/>
    <w:rsid w:val="008843B6"/>
    <w:rsid w:val="00891577"/>
    <w:rsid w:val="00891928"/>
    <w:rsid w:val="008A446D"/>
    <w:rsid w:val="008B2ECD"/>
    <w:rsid w:val="008D180B"/>
    <w:rsid w:val="008F0EA7"/>
    <w:rsid w:val="00913976"/>
    <w:rsid w:val="00923EEF"/>
    <w:rsid w:val="009419F9"/>
    <w:rsid w:val="0095685E"/>
    <w:rsid w:val="00961B09"/>
    <w:rsid w:val="00965334"/>
    <w:rsid w:val="0097093E"/>
    <w:rsid w:val="00993603"/>
    <w:rsid w:val="009A0DFA"/>
    <w:rsid w:val="009A26C4"/>
    <w:rsid w:val="009B2D26"/>
    <w:rsid w:val="009C71FA"/>
    <w:rsid w:val="009C72E7"/>
    <w:rsid w:val="009D3058"/>
    <w:rsid w:val="009F17B7"/>
    <w:rsid w:val="009F3A13"/>
    <w:rsid w:val="00A122D3"/>
    <w:rsid w:val="00A17F13"/>
    <w:rsid w:val="00A20739"/>
    <w:rsid w:val="00A33C78"/>
    <w:rsid w:val="00A573A4"/>
    <w:rsid w:val="00A65E5B"/>
    <w:rsid w:val="00AA65AB"/>
    <w:rsid w:val="00AB0ADB"/>
    <w:rsid w:val="00B01B1A"/>
    <w:rsid w:val="00B72CD3"/>
    <w:rsid w:val="00B72FFF"/>
    <w:rsid w:val="00B74530"/>
    <w:rsid w:val="00B80EB2"/>
    <w:rsid w:val="00BB6E16"/>
    <w:rsid w:val="00BC39F8"/>
    <w:rsid w:val="00BC3D36"/>
    <w:rsid w:val="00BD7F72"/>
    <w:rsid w:val="00BF72DF"/>
    <w:rsid w:val="00C04FB3"/>
    <w:rsid w:val="00C330EB"/>
    <w:rsid w:val="00C754BE"/>
    <w:rsid w:val="00C76B1C"/>
    <w:rsid w:val="00C823A9"/>
    <w:rsid w:val="00CB6357"/>
    <w:rsid w:val="00CC1B26"/>
    <w:rsid w:val="00CE7555"/>
    <w:rsid w:val="00D02612"/>
    <w:rsid w:val="00D11BE7"/>
    <w:rsid w:val="00D423A2"/>
    <w:rsid w:val="00D51CFB"/>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6365A"/>
    <w:rsid w:val="00E75C92"/>
    <w:rsid w:val="00E771DC"/>
    <w:rsid w:val="00E8772A"/>
    <w:rsid w:val="00E90F6B"/>
    <w:rsid w:val="00E92C27"/>
    <w:rsid w:val="00EA0E3D"/>
    <w:rsid w:val="00EC38A7"/>
    <w:rsid w:val="00ED1331"/>
    <w:rsid w:val="00EE1AA8"/>
    <w:rsid w:val="00EF2AF0"/>
    <w:rsid w:val="00F31EDC"/>
    <w:rsid w:val="00F462B3"/>
    <w:rsid w:val="00F5664F"/>
    <w:rsid w:val="00F666C4"/>
    <w:rsid w:val="00F76AFC"/>
    <w:rsid w:val="00FA47C0"/>
    <w:rsid w:val="00FB5DD1"/>
    <w:rsid w:val="00FC2B5D"/>
    <w:rsid w:val="00FC4164"/>
    <w:rsid w:val="00FE2AF5"/>
    <w:rsid w:val="00FF1449"/>
    <w:rsid w:val="1593280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F402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F4029"/>
    <w:rPr>
      <w:rFonts w:ascii="Geomanist Light" w:hAnsi="Geomanist Light"/>
      <w:lang w:val="es-ES"/>
    </w:rPr>
  </w:style>
  <w:style w:type="character" w:customStyle="1" w:styleId="superscript">
    <w:name w:val="superscript"/>
    <w:basedOn w:val="Fuentedeprrafopredeter"/>
    <w:rsid w:val="007F40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relatoria.colombiacompra.gov.co/providencias-consejo-de-estad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7799A61A-9F32-4D07-B39B-CBDD210279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17</Pages>
  <Words>5526</Words>
  <Characters>30396</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cp:revision>
  <cp:lastPrinted>2023-01-10T21:18:00Z</cp:lastPrinted>
  <dcterms:created xsi:type="dcterms:W3CDTF">2024-12-02T04:08:00Z</dcterms:created>
  <dcterms:modified xsi:type="dcterms:W3CDTF">2025-10-08T14:59:00Z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