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36CE" w14:textId="77777777" w:rsidR="00CC5ED7" w:rsidRPr="006B2A2D" w:rsidRDefault="00CC5ED7" w:rsidP="00CC5ED7">
      <w:pPr>
        <w:spacing w:after="0" w:line="240" w:lineRule="auto"/>
        <w:jc w:val="both"/>
        <w:rPr>
          <w:rFonts w:ascii="Verdana" w:eastAsia="Geomanist Light" w:hAnsi="Verdana" w:cs="Arial"/>
          <w:b/>
          <w:bCs/>
          <w:lang w:val="es-ES"/>
        </w:rPr>
      </w:pPr>
      <w:r w:rsidRPr="006B2A2D">
        <w:rPr>
          <w:rFonts w:ascii="Verdana" w:eastAsia="Geomanist Light" w:hAnsi="Verdana" w:cs="Arial"/>
          <w:b/>
          <w:bCs/>
          <w:lang w:val="es-ES_tradnl"/>
        </w:rPr>
        <w:t>CONTRATACIÓN DIRECTA – Contrato de prestación de servicios – Ejecución de trabajos artísticos</w:t>
      </w:r>
    </w:p>
    <w:p w14:paraId="0871376F" w14:textId="77777777" w:rsidR="00CC5ED7" w:rsidRPr="00CC5ED7" w:rsidRDefault="00CC5ED7" w:rsidP="00CC5ED7">
      <w:pPr>
        <w:spacing w:after="0" w:line="240" w:lineRule="auto"/>
        <w:jc w:val="both"/>
        <w:rPr>
          <w:rFonts w:ascii="Verdana" w:eastAsia="Geomanist Light" w:hAnsi="Verdana" w:cs="Arial"/>
          <w:b/>
          <w:bCs/>
          <w:sz w:val="20"/>
          <w:szCs w:val="20"/>
          <w:lang w:val="es-ES_tradnl"/>
        </w:rPr>
      </w:pPr>
    </w:p>
    <w:p w14:paraId="7A685272" w14:textId="77777777" w:rsidR="00CC5ED7" w:rsidRPr="00CC5ED7" w:rsidRDefault="00CC5ED7" w:rsidP="00CC5ED7">
      <w:pPr>
        <w:spacing w:after="0" w:line="240" w:lineRule="auto"/>
        <w:jc w:val="both"/>
        <w:rPr>
          <w:rFonts w:ascii="Verdana" w:eastAsia="Geomanist Light" w:hAnsi="Verdana" w:cs="Arial"/>
          <w:sz w:val="20"/>
          <w:szCs w:val="20"/>
          <w:lang w:val="es-ES"/>
        </w:rPr>
      </w:pPr>
      <w:r w:rsidRPr="00CC5ED7">
        <w:rPr>
          <w:rFonts w:ascii="Verdana" w:eastAsia="Geomanist Light" w:hAnsi="Verdana" w:cs="Arial"/>
          <w:sz w:val="20"/>
          <w:szCs w:val="20"/>
          <w:lang w:val="es-ES"/>
        </w:rPr>
        <w:t>Según el numeral 4 del artículo 2 de la Ley 1150 de 2007, las causales para acudir a la modalidad de selección de contratación directa son: […] v) contratos para la ejecución de contratos artísticos que sólo pueden encomendarse a determinadas personas naturales. El contrato, para que sea objeto del trámite de la contratación directa, debe estar determinado por las siguientes variables (i) que tengan por objeto la ejecución de trabajos artísticos, (</w:t>
      </w:r>
      <w:proofErr w:type="spellStart"/>
      <w:r w:rsidRPr="00CC5ED7">
        <w:rPr>
          <w:rFonts w:ascii="Verdana" w:eastAsia="Geomanist Light" w:hAnsi="Verdana" w:cs="Arial"/>
          <w:sz w:val="20"/>
          <w:szCs w:val="20"/>
          <w:lang w:val="es-ES"/>
        </w:rPr>
        <w:t>ii</w:t>
      </w:r>
      <w:proofErr w:type="spellEnd"/>
      <w:r w:rsidRPr="00CC5ED7">
        <w:rPr>
          <w:rFonts w:ascii="Verdana" w:eastAsia="Geomanist Light" w:hAnsi="Verdana" w:cs="Arial"/>
          <w:sz w:val="20"/>
          <w:szCs w:val="20"/>
          <w:lang w:val="es-ES"/>
        </w:rPr>
        <w:t>) que el mismo o los mismos sólo puedan encomendarse a determinadas personas naturales. […]Así, la causal en estudio, 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p>
    <w:p w14:paraId="0F2FD74D" w14:textId="77777777" w:rsidR="00CC5ED7" w:rsidRPr="006B2A2D" w:rsidRDefault="00CC5ED7" w:rsidP="00CC5ED7">
      <w:pPr>
        <w:spacing w:after="0" w:line="240" w:lineRule="auto"/>
        <w:jc w:val="both"/>
        <w:rPr>
          <w:rFonts w:ascii="Verdana" w:eastAsia="Geomanist Light" w:hAnsi="Verdana" w:cs="Arial"/>
          <w:lang w:val="es-ES_tradnl"/>
        </w:rPr>
      </w:pPr>
    </w:p>
    <w:p w14:paraId="3963706D" w14:textId="77777777" w:rsidR="00CC5ED7" w:rsidRPr="006B2A2D" w:rsidRDefault="00CC5ED7" w:rsidP="00CC5ED7">
      <w:pPr>
        <w:spacing w:after="0" w:line="240" w:lineRule="auto"/>
        <w:jc w:val="both"/>
        <w:rPr>
          <w:rFonts w:ascii="Verdana" w:eastAsia="Geomanist Light" w:hAnsi="Verdana" w:cs="Arial"/>
          <w:b/>
          <w:bCs/>
          <w:lang w:val="es-ES_tradnl"/>
        </w:rPr>
      </w:pPr>
      <w:r w:rsidRPr="006B2A2D">
        <w:rPr>
          <w:rFonts w:ascii="Verdana" w:eastAsia="Geomanist Light" w:hAnsi="Verdana" w:cs="Arial"/>
          <w:b/>
          <w:bCs/>
          <w:lang w:val="es-ES_tradnl"/>
        </w:rPr>
        <w:t xml:space="preserve">TRABAJOS ARTÍSTICOS – Definición – Ejecución de trabajos artísticos </w:t>
      </w:r>
    </w:p>
    <w:p w14:paraId="36DCDC11" w14:textId="77777777" w:rsidR="00CC5ED7" w:rsidRPr="006B2A2D" w:rsidRDefault="00CC5ED7" w:rsidP="00CC5ED7">
      <w:pPr>
        <w:spacing w:after="0" w:line="240" w:lineRule="auto"/>
        <w:jc w:val="both"/>
        <w:rPr>
          <w:rFonts w:ascii="Verdana" w:eastAsia="Geomanist Light" w:hAnsi="Verdana" w:cs="Arial"/>
          <w:b/>
          <w:bCs/>
          <w:lang w:val="es-ES_tradnl"/>
        </w:rPr>
      </w:pPr>
    </w:p>
    <w:p w14:paraId="51F3432E" w14:textId="77777777" w:rsidR="00CC5ED7" w:rsidRPr="00CC5ED7" w:rsidRDefault="00CC5ED7" w:rsidP="00CC5ED7">
      <w:pPr>
        <w:spacing w:after="0" w:line="240" w:lineRule="auto"/>
        <w:jc w:val="both"/>
        <w:rPr>
          <w:rFonts w:ascii="Verdana" w:eastAsia="Geomanist Light" w:hAnsi="Verdana" w:cs="Arial"/>
          <w:sz w:val="20"/>
          <w:szCs w:val="20"/>
          <w:lang w:val="es-ES"/>
        </w:rPr>
      </w:pPr>
      <w:r w:rsidRPr="00CC5ED7">
        <w:rPr>
          <w:rFonts w:ascii="Verdana" w:eastAsia="Geomanist Light" w:hAnsi="Verdana" w:cs="Arial"/>
          <w:sz w:val="20"/>
          <w:szCs w:val="20"/>
          <w:lang w:val="es-ES"/>
        </w:rPr>
        <w:t>El contrato de prestación de servicios tipificado en el artículo 32.3 de Ley 80 de 1993 es el género del cual se derivan, como especies, los contratos de prestación de servicios profesionales, los contratos de prestación de servicios de apoyo a la gestión y los contratos de prestación de servicios artísticos que sólo pueden encomendarse a determinadas personas naturales.</w:t>
      </w:r>
    </w:p>
    <w:p w14:paraId="7C650EBA" w14:textId="77777777" w:rsidR="00CC5ED7" w:rsidRPr="00CC5ED7" w:rsidRDefault="00CC5ED7" w:rsidP="00CC5ED7">
      <w:pPr>
        <w:spacing w:after="0" w:line="240" w:lineRule="auto"/>
        <w:jc w:val="both"/>
        <w:rPr>
          <w:rFonts w:ascii="Verdana" w:eastAsia="Geomanist Light" w:hAnsi="Verdana" w:cs="Arial"/>
          <w:sz w:val="20"/>
          <w:szCs w:val="20"/>
          <w:lang w:val="es-ES_tradnl"/>
        </w:rPr>
      </w:pPr>
      <w:r w:rsidRPr="00CC5ED7">
        <w:rPr>
          <w:rFonts w:ascii="Verdana" w:eastAsia="Geomanist Light" w:hAnsi="Verdana" w:cs="Arial"/>
          <w:sz w:val="20"/>
          <w:szCs w:val="20"/>
          <w:lang w:val="es-ES_tradnl"/>
        </w:rPr>
        <w:t xml:space="preserve"> </w:t>
      </w:r>
    </w:p>
    <w:p w14:paraId="4BF2FFAA" w14:textId="77777777" w:rsidR="00CC5ED7" w:rsidRPr="00CC5ED7" w:rsidRDefault="00CC5ED7" w:rsidP="00CC5ED7">
      <w:pPr>
        <w:spacing w:after="0" w:line="240" w:lineRule="auto"/>
        <w:jc w:val="both"/>
        <w:rPr>
          <w:rFonts w:ascii="Verdana" w:eastAsia="Geomanist Light" w:hAnsi="Verdana" w:cs="Arial"/>
          <w:sz w:val="20"/>
          <w:szCs w:val="20"/>
          <w:lang w:val="es-ES_tradnl"/>
        </w:rPr>
      </w:pPr>
      <w:r w:rsidRPr="00CC5ED7">
        <w:rPr>
          <w:rFonts w:ascii="Verdana" w:eastAsia="Geomanist Light" w:hAnsi="Verdana" w:cs="Arial"/>
          <w:sz w:val="20"/>
          <w:szCs w:val="20"/>
          <w:lang w:val="es-ES_tradnl"/>
        </w:rPr>
        <w:t xml:space="preserve">Esta última categoría tiene por objeto la ejecución de trabajos artísticos, que corresponden a creaciones humanas que expresan una especial visión del mundo, tanto real como imaginaria, por lo que sólo pueden celebrarse con personas naturales. En efecto, si bien el literal d) del artículo 24.1 de la Ley 80 de 1993 habilitaba en su versión primigenia la contratación directa “[…] para la ejecución de trabajos artísticos que sólo puedan encomendarse a determinadas personas naturales o jurídicas […]”, también es cierto que esta norma fue derogada expresamente por el artículo 32 de la Ley 1150 de 2007. </w:t>
      </w:r>
    </w:p>
    <w:p w14:paraId="4446ED9B" w14:textId="77777777" w:rsidR="00CC5ED7" w:rsidRPr="00CC5ED7" w:rsidRDefault="00CC5ED7" w:rsidP="00CC5ED7">
      <w:pPr>
        <w:spacing w:after="0" w:line="240" w:lineRule="auto"/>
        <w:jc w:val="both"/>
        <w:rPr>
          <w:rFonts w:ascii="Verdana" w:eastAsia="Geomanist Light" w:hAnsi="Verdana" w:cs="Arial"/>
          <w:sz w:val="20"/>
          <w:szCs w:val="20"/>
          <w:lang w:val="es-ES_tradnl"/>
        </w:rPr>
      </w:pPr>
    </w:p>
    <w:p w14:paraId="70162CC5" w14:textId="77777777" w:rsidR="00CC5ED7" w:rsidRPr="00CC5ED7" w:rsidRDefault="00CC5ED7" w:rsidP="00CC5ED7">
      <w:pPr>
        <w:spacing w:after="0" w:line="240" w:lineRule="auto"/>
        <w:jc w:val="both"/>
        <w:rPr>
          <w:rFonts w:ascii="Verdana" w:eastAsia="Geomanist Light" w:hAnsi="Verdana" w:cs="Arial"/>
          <w:sz w:val="20"/>
          <w:szCs w:val="20"/>
          <w:lang w:val="es-ES_tradnl"/>
        </w:rPr>
      </w:pPr>
      <w:r w:rsidRPr="00CC5ED7">
        <w:rPr>
          <w:rFonts w:ascii="Verdana" w:eastAsia="Geomanist Light" w:hAnsi="Verdana" w:cs="Arial"/>
          <w:sz w:val="20"/>
          <w:szCs w:val="20"/>
          <w:lang w:val="es-ES_tradnl"/>
        </w:rPr>
        <w:t>Dado que el literal d) del artículo 24.1 de la Ley 80 de 1993 perdió vigencia, las causales de contratación directa son las del artículo 2.4 de la Ley 1150 de 2007. El literal h) de esta última norma, a diferencia de la disposición derogada, solo permite la contratación directa para la “[…] para la ejecución de trabajos artísticos que sólo puedan encomendarse a determinadas personas naturales”, excluyendo la posibilidad de celebrarlos con personas jurídicas. Esta orientación fue reproducida en el inciso final del artículo 2.2.1.2.1.4.9 del Decreto 1082 de 2015, el cual dispone expresamente que “La Entidad Estatal, para la contratación de trabajos artísticos que solamente puedan encomendarse a determinadas personas naturales, debe justificar esta situación en los estudios y documentos previos”.</w:t>
      </w:r>
    </w:p>
    <w:p w14:paraId="1DC07D20" w14:textId="77777777" w:rsidR="00CC5ED7" w:rsidRPr="00E125C5" w:rsidRDefault="00CC5ED7" w:rsidP="00CC5ED7">
      <w:pPr>
        <w:rPr>
          <w:lang w:val="es-ES_tradnl"/>
        </w:rPr>
      </w:pPr>
    </w:p>
    <w:p w14:paraId="1A8B63CE" w14:textId="77777777" w:rsidR="00CC5ED7" w:rsidRDefault="00CC5ED7" w:rsidP="0032594D">
      <w:pPr>
        <w:spacing w:after="0" w:line="240" w:lineRule="auto"/>
        <w:rPr>
          <w:rFonts w:ascii="Verdana" w:eastAsia="Geomanist Light" w:hAnsi="Verdana" w:cs="Arial"/>
          <w:lang w:val="es-MX"/>
        </w:rPr>
      </w:pPr>
    </w:p>
    <w:p w14:paraId="0D741B7F" w14:textId="77777777" w:rsidR="00CC5ED7" w:rsidRDefault="00CC5ED7" w:rsidP="0032594D">
      <w:pPr>
        <w:spacing w:after="0" w:line="240" w:lineRule="auto"/>
        <w:rPr>
          <w:rFonts w:ascii="Verdana" w:eastAsia="Geomanist Light" w:hAnsi="Verdana" w:cs="Arial"/>
          <w:lang w:val="es-MX"/>
        </w:rPr>
      </w:pPr>
    </w:p>
    <w:p w14:paraId="1B095DBE" w14:textId="77777777" w:rsidR="00CC5ED7" w:rsidRDefault="00CC5ED7" w:rsidP="0032594D">
      <w:pPr>
        <w:spacing w:after="0" w:line="240" w:lineRule="auto"/>
        <w:rPr>
          <w:rFonts w:ascii="Verdana" w:eastAsia="Geomanist Light" w:hAnsi="Verdana" w:cs="Arial"/>
          <w:lang w:val="es-MX"/>
        </w:rPr>
      </w:pPr>
    </w:p>
    <w:p w14:paraId="6D363ED6" w14:textId="3A4F9B66" w:rsidR="0032594D" w:rsidRPr="009322DA" w:rsidRDefault="0032594D" w:rsidP="0032594D">
      <w:pPr>
        <w:spacing w:after="0" w:line="240" w:lineRule="auto"/>
        <w:rPr>
          <w:rFonts w:ascii="Verdana" w:eastAsia="Geomanist Light" w:hAnsi="Verdana" w:cs="Arial"/>
          <w:lang w:val="es-MX"/>
        </w:rPr>
      </w:pPr>
      <w:r w:rsidRPr="009322DA">
        <w:rPr>
          <w:rFonts w:ascii="Verdana" w:eastAsia="Geomanist Light" w:hAnsi="Verdana" w:cs="Arial"/>
          <w:lang w:val="es-MX"/>
        </w:rPr>
        <w:lastRenderedPageBreak/>
        <w:t>Bogotá D.C., </w:t>
      </w:r>
      <w:r w:rsidR="00CC5ED7">
        <w:rPr>
          <w:rFonts w:ascii="Verdana" w:eastAsia="Geomanist Light" w:hAnsi="Verdana" w:cs="Arial"/>
          <w:lang w:val="es-MX"/>
        </w:rPr>
        <w:t>05</w:t>
      </w:r>
      <w:r w:rsidRPr="009322DA">
        <w:rPr>
          <w:rFonts w:ascii="Verdana" w:eastAsia="Geomanist Light" w:hAnsi="Verdana" w:cs="Arial"/>
          <w:lang w:val="es-MX"/>
        </w:rPr>
        <w:t xml:space="preserve"> de </w:t>
      </w:r>
      <w:r w:rsidR="00CC5ED7">
        <w:rPr>
          <w:rFonts w:ascii="Verdana" w:eastAsia="Geomanist Light" w:hAnsi="Verdana" w:cs="Arial"/>
          <w:lang w:val="es-MX"/>
        </w:rPr>
        <w:t>diciembre</w:t>
      </w:r>
      <w:r w:rsidRPr="009322DA">
        <w:rPr>
          <w:rFonts w:ascii="Verdana" w:eastAsia="Geomanist Light" w:hAnsi="Verdana" w:cs="Arial"/>
          <w:lang w:val="es-MX"/>
        </w:rPr>
        <w:t xml:space="preserve"> de </w:t>
      </w:r>
      <w:r w:rsidR="00CC5ED7">
        <w:rPr>
          <w:rFonts w:ascii="Verdana" w:eastAsia="Geomanist Light" w:hAnsi="Verdana" w:cs="Arial"/>
          <w:lang w:val="es-MX"/>
        </w:rPr>
        <w:t>2024</w:t>
      </w:r>
    </w:p>
    <w:p w14:paraId="55157939" w14:textId="5C36D04E" w:rsidR="0032594D" w:rsidRDefault="0032594D" w:rsidP="0032594D">
      <w:pPr>
        <w:spacing w:after="0" w:line="240" w:lineRule="auto"/>
        <w:jc w:val="both"/>
        <w:rPr>
          <w:rFonts w:ascii="Verdana" w:eastAsia="Calibri" w:hAnsi="Verdana" w:cs="Arial"/>
          <w:lang w:val="es-ES"/>
        </w:rPr>
      </w:pPr>
    </w:p>
    <w:p w14:paraId="0552771C" w14:textId="284CFF89" w:rsidR="00CC5ED7" w:rsidRDefault="00CC5ED7" w:rsidP="00CC5ED7">
      <w:pPr>
        <w:spacing w:after="0" w:line="240" w:lineRule="auto"/>
        <w:ind w:left="4248"/>
        <w:rPr>
          <w:rFonts w:ascii="Verdana" w:eastAsia="Calibri" w:hAnsi="Verdana" w:cs="Arial"/>
          <w:lang w:val="es-MX" w:eastAsia="es-ES"/>
        </w:rPr>
      </w:pPr>
      <w:r w:rsidRPr="00CC5ED7">
        <w:rPr>
          <w:rFonts w:ascii="Verdana" w:eastAsia="Calibri" w:hAnsi="Verdana" w:cs="Arial"/>
          <w:lang w:val="es-MX" w:eastAsia="es-ES"/>
        </w:rPr>
        <w:drawing>
          <wp:inline distT="0" distB="0" distL="0" distR="0" wp14:anchorId="2CF3FAB8" wp14:editId="26E6376B">
            <wp:extent cx="3439005" cy="1095528"/>
            <wp:effectExtent l="0" t="0" r="9525" b="9525"/>
            <wp:docPr id="197996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6101" name=""/>
                    <pic:cNvPicPr/>
                  </pic:nvPicPr>
                  <pic:blipFill>
                    <a:blip r:embed="rId10"/>
                    <a:stretch>
                      <a:fillRect/>
                    </a:stretch>
                  </pic:blipFill>
                  <pic:spPr>
                    <a:xfrm>
                      <a:off x="0" y="0"/>
                      <a:ext cx="3439005" cy="1095528"/>
                    </a:xfrm>
                    <a:prstGeom prst="rect">
                      <a:avLst/>
                    </a:prstGeom>
                  </pic:spPr>
                </pic:pic>
              </a:graphicData>
            </a:graphic>
          </wp:inline>
        </w:drawing>
      </w:r>
    </w:p>
    <w:p w14:paraId="18D23A16" w14:textId="4B75E802" w:rsidR="0032594D" w:rsidRPr="009322DA" w:rsidRDefault="0032594D" w:rsidP="0032594D">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p>
    <w:p w14:paraId="540B1C2F" w14:textId="68C2B764" w:rsidR="0032594D" w:rsidRPr="009322DA" w:rsidRDefault="00CD7C86" w:rsidP="0032594D">
      <w:pPr>
        <w:spacing w:after="0" w:line="240" w:lineRule="auto"/>
        <w:rPr>
          <w:rFonts w:ascii="Verdana" w:eastAsia="Calibri" w:hAnsi="Verdana" w:cs="Arial"/>
          <w:b/>
          <w:bCs/>
          <w:lang w:val="es-MX" w:eastAsia="es-ES"/>
        </w:rPr>
      </w:pPr>
      <w:r>
        <w:rPr>
          <w:rFonts w:ascii="Verdana" w:eastAsia="Calibri" w:hAnsi="Verdana" w:cs="Arial"/>
          <w:b/>
          <w:bCs/>
          <w:lang w:val="es-MX" w:eastAsia="es-ES"/>
        </w:rPr>
        <w:t>Anónimo</w:t>
      </w:r>
    </w:p>
    <w:p w14:paraId="2A7E7F51" w14:textId="50D2F529" w:rsidR="00CD7C86" w:rsidRPr="00CD7C86" w:rsidRDefault="00CD7C86" w:rsidP="0032594D">
      <w:pPr>
        <w:spacing w:after="0" w:line="240" w:lineRule="auto"/>
        <w:rPr>
          <w:rFonts w:ascii="Verdana" w:hAnsi="Verdana"/>
        </w:rPr>
      </w:pPr>
      <w:hyperlink r:id="rId11" w:history="1">
        <w:r w:rsidRPr="00CD7C86">
          <w:rPr>
            <w:rStyle w:val="Hipervnculo"/>
            <w:rFonts w:ascii="Verdana" w:hAnsi="Verdana"/>
          </w:rPr>
          <w:t>paulamg9803@gmail.com</w:t>
        </w:r>
      </w:hyperlink>
    </w:p>
    <w:p w14:paraId="7D931FF0" w14:textId="5A81496E" w:rsidR="0032594D" w:rsidRPr="002C5896" w:rsidRDefault="00CD7C86" w:rsidP="0032594D">
      <w:pPr>
        <w:spacing w:after="0" w:line="240" w:lineRule="auto"/>
        <w:rPr>
          <w:rFonts w:ascii="Verdana" w:eastAsia="Calibri" w:hAnsi="Verdana" w:cs="Arial"/>
          <w:b/>
          <w:bCs/>
          <w:lang w:val="es-ES" w:eastAsia="es-ES"/>
        </w:rPr>
      </w:pPr>
      <w:r>
        <w:rPr>
          <w:rFonts w:ascii="Verdana" w:eastAsia="Calibri" w:hAnsi="Verdana" w:cs="Arial"/>
          <w:lang w:val="es-MX" w:eastAsia="es-ES"/>
        </w:rPr>
        <w:t>Ciudad</w:t>
      </w:r>
    </w:p>
    <w:p w14:paraId="103D2783" w14:textId="77777777" w:rsidR="0032594D" w:rsidRPr="009322DA" w:rsidRDefault="0032594D" w:rsidP="0032594D">
      <w:pPr>
        <w:spacing w:after="0" w:line="240" w:lineRule="auto"/>
        <w:rPr>
          <w:rFonts w:ascii="Verdana" w:eastAsia="Calibri" w:hAnsi="Verdana" w:cs="Arial"/>
          <w:b/>
          <w:bCs/>
          <w:lang w:val="es-ES_tradnl" w:eastAsia="es-ES_tradnl"/>
        </w:rPr>
      </w:pPr>
    </w:p>
    <w:tbl>
      <w:tblPr>
        <w:tblStyle w:val="Tablaconcuadrcula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6"/>
        <w:gridCol w:w="1812"/>
        <w:gridCol w:w="5103"/>
      </w:tblGrid>
      <w:tr w:rsidR="002C5896" w:rsidRPr="009322DA" w14:paraId="7C90F658" w14:textId="77777777" w:rsidTr="00A56B66">
        <w:trPr>
          <w:trHeight w:val="884"/>
        </w:trPr>
        <w:tc>
          <w:tcPr>
            <w:tcW w:w="2016" w:type="dxa"/>
          </w:tcPr>
          <w:p w14:paraId="152180AB" w14:textId="77777777" w:rsidR="002C5896" w:rsidRPr="009322DA" w:rsidRDefault="002C5896" w:rsidP="006866CF">
            <w:pPr>
              <w:jc w:val="both"/>
              <w:rPr>
                <w:rFonts w:ascii="Verdana" w:hAnsi="Verdana" w:cs="Arial"/>
                <w:b/>
                <w:bCs/>
                <w:lang w:val="es-ES_tradnl" w:eastAsia="es-ES_tradnl"/>
              </w:rPr>
            </w:pPr>
          </w:p>
        </w:tc>
        <w:tc>
          <w:tcPr>
            <w:tcW w:w="1812" w:type="dxa"/>
          </w:tcPr>
          <w:p w14:paraId="7E62BED9" w14:textId="77777777" w:rsidR="002C5896" w:rsidRPr="009322DA" w:rsidRDefault="002C5896" w:rsidP="006866CF">
            <w:pPr>
              <w:jc w:val="both"/>
              <w:rPr>
                <w:rFonts w:ascii="Verdana" w:hAnsi="Verdana" w:cs="Arial"/>
                <w:b/>
                <w:bCs/>
                <w:lang w:val="es-ES" w:eastAsia="es-ES"/>
              </w:rPr>
            </w:pPr>
          </w:p>
        </w:tc>
        <w:tc>
          <w:tcPr>
            <w:tcW w:w="5103" w:type="dxa"/>
            <w:hideMark/>
          </w:tcPr>
          <w:p w14:paraId="6F4DD118" w14:textId="217E1E72" w:rsidR="002C5896" w:rsidRDefault="002C5896" w:rsidP="006866CF">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764</w:t>
            </w:r>
            <w:r w:rsidRPr="009322DA">
              <w:rPr>
                <w:rFonts w:ascii="Verdana" w:hAnsi="Verdana" w:cs="Arial"/>
                <w:b/>
                <w:bCs/>
                <w:lang w:val="es-ES" w:eastAsia="es-ES"/>
              </w:rPr>
              <w:t xml:space="preserve"> de 2024</w:t>
            </w:r>
          </w:p>
          <w:p w14:paraId="4151DCD0" w14:textId="77777777" w:rsidR="002C5896" w:rsidRPr="009322DA" w:rsidRDefault="002C5896" w:rsidP="006866CF">
            <w:pPr>
              <w:jc w:val="both"/>
              <w:rPr>
                <w:rFonts w:ascii="Verdana" w:hAnsi="Verdana" w:cs="Arial"/>
                <w:b/>
                <w:bCs/>
                <w:lang w:val="es-ES" w:eastAsia="es-ES"/>
              </w:rPr>
            </w:pPr>
          </w:p>
        </w:tc>
      </w:tr>
      <w:tr w:rsidR="002C5896" w:rsidRPr="009322DA" w14:paraId="61A15B24" w14:textId="77777777" w:rsidTr="00A56B66">
        <w:trPr>
          <w:trHeight w:val="884"/>
        </w:trPr>
        <w:tc>
          <w:tcPr>
            <w:tcW w:w="2016" w:type="dxa"/>
            <w:hideMark/>
          </w:tcPr>
          <w:p w14:paraId="6047858D" w14:textId="77777777" w:rsidR="002C5896" w:rsidRPr="009322DA" w:rsidRDefault="002C5896" w:rsidP="006866CF">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1812" w:type="dxa"/>
          </w:tcPr>
          <w:p w14:paraId="1D204CAE" w14:textId="77777777" w:rsidR="002C5896" w:rsidRPr="00CC2C47" w:rsidRDefault="002C5896" w:rsidP="006866CF">
            <w:pPr>
              <w:jc w:val="both"/>
              <w:rPr>
                <w:rFonts w:ascii="Verdana" w:hAnsi="Verdana" w:cs="Arial"/>
                <w:color w:val="000000" w:themeColor="text1"/>
                <w:lang w:val="es-ES_tradnl"/>
              </w:rPr>
            </w:pPr>
          </w:p>
        </w:tc>
        <w:tc>
          <w:tcPr>
            <w:tcW w:w="5103" w:type="dxa"/>
          </w:tcPr>
          <w:p w14:paraId="32DB6E88" w14:textId="36E4F180" w:rsidR="002C5896" w:rsidRDefault="002C5896" w:rsidP="00A56B66">
            <w:pPr>
              <w:ind w:right="421"/>
              <w:jc w:val="both"/>
              <w:rPr>
                <w:rFonts w:ascii="Verdana" w:hAnsi="Verdana" w:cs="Arial"/>
                <w:lang w:val="es-ES_tradnl" w:eastAsia="es-ES"/>
              </w:rPr>
            </w:pPr>
            <w:r w:rsidRPr="00CC2C47">
              <w:rPr>
                <w:rFonts w:ascii="Verdana" w:hAnsi="Verdana" w:cs="Arial"/>
                <w:color w:val="000000" w:themeColor="text1"/>
                <w:lang w:val="es-ES_tradnl"/>
              </w:rPr>
              <w:t xml:space="preserve">CONTRATACIÓN DIRECTA – Ejecución de trabajos artísticos / TRABAJOS ARTÍSTICOS – </w:t>
            </w:r>
            <w:r>
              <w:rPr>
                <w:rFonts w:ascii="Verdana" w:hAnsi="Verdana" w:cs="Arial"/>
                <w:color w:val="000000" w:themeColor="text1"/>
                <w:lang w:val="es-ES_tradnl"/>
              </w:rPr>
              <w:t>Personas Jurídicas</w:t>
            </w:r>
            <w:r w:rsidRPr="00EB3000">
              <w:rPr>
                <w:rFonts w:ascii="Verdana" w:hAnsi="Verdana" w:cs="Arial"/>
                <w:lang w:val="es-ES_tradnl" w:eastAsia="es-ES"/>
              </w:rPr>
              <w:t xml:space="preserve"> </w:t>
            </w:r>
          </w:p>
          <w:p w14:paraId="272C17FF" w14:textId="77777777" w:rsidR="002C5896" w:rsidRPr="00EB3000" w:rsidRDefault="002C5896" w:rsidP="006866CF">
            <w:pPr>
              <w:jc w:val="both"/>
              <w:rPr>
                <w:rFonts w:ascii="Verdana" w:hAnsi="Verdana" w:cs="Arial"/>
                <w:lang w:val="es-ES_tradnl" w:eastAsia="es-ES"/>
              </w:rPr>
            </w:pPr>
          </w:p>
        </w:tc>
      </w:tr>
      <w:tr w:rsidR="002C5896" w:rsidRPr="009322DA" w14:paraId="58DD58C7" w14:textId="77777777" w:rsidTr="00A56B66">
        <w:tc>
          <w:tcPr>
            <w:tcW w:w="2016" w:type="dxa"/>
            <w:hideMark/>
          </w:tcPr>
          <w:p w14:paraId="06325530" w14:textId="77777777" w:rsidR="002C5896" w:rsidRPr="009322DA" w:rsidRDefault="002C5896" w:rsidP="006866CF">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1812" w:type="dxa"/>
          </w:tcPr>
          <w:p w14:paraId="23DC6E54" w14:textId="77777777" w:rsidR="002C5896" w:rsidRPr="009322DA" w:rsidRDefault="002C5896" w:rsidP="006866CF">
            <w:pPr>
              <w:jc w:val="both"/>
              <w:rPr>
                <w:rFonts w:ascii="Verdana" w:hAnsi="Verdana" w:cs="Arial"/>
                <w:lang w:val="es-ES_tradnl" w:eastAsia="es-ES_tradnl"/>
              </w:rPr>
            </w:pPr>
          </w:p>
        </w:tc>
        <w:tc>
          <w:tcPr>
            <w:tcW w:w="5103" w:type="dxa"/>
          </w:tcPr>
          <w:p w14:paraId="53FAD57F" w14:textId="7B2A611C" w:rsidR="002C5896" w:rsidRPr="009322DA" w:rsidRDefault="002C5896" w:rsidP="006866CF">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1C64A0">
              <w:rPr>
                <w:rFonts w:ascii="Verdana" w:hAnsi="Verdana"/>
                <w:lang w:eastAsia="es-ES_tradnl"/>
              </w:rPr>
              <w:t>P20241022010714</w:t>
            </w:r>
          </w:p>
        </w:tc>
      </w:tr>
    </w:tbl>
    <w:p w14:paraId="3EA3BCDC" w14:textId="77777777" w:rsidR="0032594D" w:rsidRPr="009322DA" w:rsidRDefault="0032594D" w:rsidP="0032594D">
      <w:pPr>
        <w:spacing w:after="0" w:line="240" w:lineRule="auto"/>
        <w:jc w:val="both"/>
        <w:rPr>
          <w:rFonts w:ascii="Verdana" w:eastAsia="Calibri" w:hAnsi="Verdana" w:cs="Arial"/>
          <w:lang w:val="es-ES_tradnl" w:eastAsia="es-ES_tradnl"/>
        </w:rPr>
      </w:pPr>
    </w:p>
    <w:p w14:paraId="1AA0057E" w14:textId="7D9CAE00" w:rsidR="0032594D" w:rsidRPr="009322DA" w:rsidRDefault="0032594D" w:rsidP="0032594D">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 xml:space="preserve">o señor </w:t>
      </w:r>
      <w:r w:rsidR="001C64A0">
        <w:rPr>
          <w:rFonts w:ascii="Verdana" w:eastAsia="Calibri" w:hAnsi="Verdana" w:cs="Arial"/>
          <w:lang w:val="es-ES" w:eastAsia="es-ES"/>
        </w:rPr>
        <w:t>Anónimo</w:t>
      </w:r>
      <w:r w:rsidRPr="009322DA">
        <w:rPr>
          <w:rFonts w:ascii="Verdana" w:eastAsia="Calibri" w:hAnsi="Verdana" w:cs="Arial"/>
          <w:lang w:val="es-ES" w:eastAsia="es-ES"/>
        </w:rPr>
        <w:t xml:space="preserve">: </w:t>
      </w:r>
    </w:p>
    <w:p w14:paraId="07FF632E" w14:textId="77777777" w:rsidR="0032594D" w:rsidRPr="009322DA" w:rsidRDefault="0032594D" w:rsidP="0032594D">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6B8C9C39" w14:textId="04B42A0B" w:rsidR="0032594D" w:rsidRPr="009322DA" w:rsidRDefault="0032594D" w:rsidP="0032594D">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sidR="001C64A0">
        <w:rPr>
          <w:rFonts w:ascii="Verdana" w:eastAsia="Calibri" w:hAnsi="Verdana" w:cs="Arial"/>
          <w:lang w:val="es-ES" w:eastAsia="es-ES"/>
        </w:rPr>
        <w:t>22</w:t>
      </w:r>
      <w:r w:rsidRPr="009322DA">
        <w:rPr>
          <w:rFonts w:ascii="Verdana" w:eastAsia="Calibri" w:hAnsi="Verdana" w:cs="Arial"/>
          <w:lang w:val="es-ES" w:eastAsia="es-ES"/>
        </w:rPr>
        <w:t xml:space="preserve"> de </w:t>
      </w:r>
      <w:r w:rsidR="001C64A0">
        <w:rPr>
          <w:rFonts w:ascii="Verdana" w:eastAsia="Calibri" w:hAnsi="Verdana" w:cs="Arial"/>
          <w:lang w:val="es-ES" w:eastAsia="es-ES"/>
        </w:rPr>
        <w:t>octubre</w:t>
      </w:r>
      <w:r w:rsidRPr="009322DA">
        <w:rPr>
          <w:rFonts w:ascii="Verdana" w:eastAsia="Calibri" w:hAnsi="Verdana" w:cs="Arial"/>
          <w:lang w:val="es-ES" w:eastAsia="es-ES"/>
        </w:rPr>
        <w:t xml:space="preserve"> de 2024, en la cual manifiesta lo siguiente: </w:t>
      </w:r>
    </w:p>
    <w:p w14:paraId="0C521F9C" w14:textId="77777777" w:rsidR="0032594D" w:rsidRPr="009322DA" w:rsidRDefault="0032594D" w:rsidP="0032594D">
      <w:pPr>
        <w:spacing w:after="0" w:line="240" w:lineRule="auto"/>
        <w:ind w:left="709" w:right="709"/>
        <w:jc w:val="both"/>
        <w:rPr>
          <w:rFonts w:ascii="Verdana" w:eastAsia="Century Gothic" w:hAnsi="Verdana" w:cs="Century Gothic"/>
          <w:sz w:val="20"/>
          <w:szCs w:val="20"/>
          <w:lang w:val="es-ES"/>
        </w:rPr>
      </w:pPr>
      <w:bookmarkStart w:id="0" w:name="_Hlk95313578"/>
    </w:p>
    <w:p w14:paraId="02D19195" w14:textId="081CED26" w:rsidR="001C64A0" w:rsidRDefault="0032594D" w:rsidP="001C64A0">
      <w:pPr>
        <w:spacing w:line="240" w:lineRule="auto"/>
        <w:ind w:left="709" w:right="709"/>
        <w:jc w:val="both"/>
        <w:rPr>
          <w:rFonts w:ascii="Verdana" w:eastAsia="Century Gothic" w:hAnsi="Verdana" w:cs="Century Gothic"/>
          <w:sz w:val="20"/>
          <w:szCs w:val="20"/>
        </w:rPr>
      </w:pPr>
      <w:r w:rsidRPr="009322DA">
        <w:rPr>
          <w:rFonts w:ascii="Verdana" w:eastAsia="Century Gothic" w:hAnsi="Verdana" w:cs="Century Gothic"/>
          <w:sz w:val="20"/>
          <w:szCs w:val="20"/>
          <w:lang w:val="es-ES"/>
        </w:rPr>
        <w:t>“</w:t>
      </w:r>
      <w:bookmarkEnd w:id="0"/>
      <w:r w:rsidR="001C64A0">
        <w:rPr>
          <w:rFonts w:ascii="Verdana" w:eastAsia="Century Gothic" w:hAnsi="Verdana" w:cs="Century Gothic"/>
          <w:sz w:val="20"/>
          <w:szCs w:val="20"/>
          <w:lang w:val="es-ES"/>
        </w:rPr>
        <w:t xml:space="preserve">[…] </w:t>
      </w:r>
      <w:r w:rsidR="001C64A0" w:rsidRPr="001C64A0">
        <w:rPr>
          <w:rFonts w:ascii="Verdana" w:eastAsia="Century Gothic" w:hAnsi="Verdana" w:cs="Century Gothic"/>
          <w:sz w:val="20"/>
          <w:szCs w:val="20"/>
        </w:rPr>
        <w:t>Una entidad estatal puede suscribir contrato de prestación de servicios artísticos</w:t>
      </w:r>
      <w:r w:rsidR="001C64A0">
        <w:rPr>
          <w:rFonts w:ascii="Verdana" w:eastAsia="Century Gothic" w:hAnsi="Verdana" w:cs="Century Gothic"/>
          <w:sz w:val="20"/>
          <w:szCs w:val="20"/>
        </w:rPr>
        <w:t xml:space="preserve"> </w:t>
      </w:r>
      <w:r w:rsidR="001C64A0" w:rsidRPr="001C64A0">
        <w:rPr>
          <w:rFonts w:ascii="Verdana" w:eastAsia="Century Gothic" w:hAnsi="Verdana" w:cs="Century Gothic"/>
          <w:sz w:val="20"/>
          <w:szCs w:val="20"/>
        </w:rPr>
        <w:t>por contratación directa con una persona jurídica (empresa y/o ESAL), aun cuando</w:t>
      </w:r>
      <w:r w:rsidR="001C64A0">
        <w:rPr>
          <w:rFonts w:ascii="Verdana" w:eastAsia="Century Gothic" w:hAnsi="Verdana" w:cs="Century Gothic"/>
          <w:sz w:val="20"/>
          <w:szCs w:val="20"/>
        </w:rPr>
        <w:t xml:space="preserve"> </w:t>
      </w:r>
      <w:r w:rsidR="001C64A0" w:rsidRPr="001C64A0">
        <w:rPr>
          <w:rFonts w:ascii="Verdana" w:eastAsia="Century Gothic" w:hAnsi="Verdana" w:cs="Century Gothic"/>
          <w:sz w:val="20"/>
          <w:szCs w:val="20"/>
        </w:rPr>
        <w:t>medie entre la persona jurídica ((empresa y/o ESAL)) y el artista una carta de</w:t>
      </w:r>
      <w:r w:rsidR="001C64A0">
        <w:rPr>
          <w:rFonts w:ascii="Verdana" w:eastAsia="Century Gothic" w:hAnsi="Verdana" w:cs="Century Gothic"/>
          <w:sz w:val="20"/>
          <w:szCs w:val="20"/>
        </w:rPr>
        <w:t xml:space="preserve"> </w:t>
      </w:r>
      <w:r w:rsidR="001C64A0" w:rsidRPr="001C64A0">
        <w:rPr>
          <w:rFonts w:ascii="Verdana" w:eastAsia="Century Gothic" w:hAnsi="Verdana" w:cs="Century Gothic"/>
          <w:sz w:val="20"/>
          <w:szCs w:val="20"/>
        </w:rPr>
        <w:t>intención del artista y/o mánager para la disponibilidad de sus servicios.?</w:t>
      </w:r>
      <w:r w:rsidR="001C64A0">
        <w:rPr>
          <w:rFonts w:ascii="Verdana" w:eastAsia="Century Gothic" w:hAnsi="Verdana" w:cs="Century Gothic"/>
          <w:sz w:val="20"/>
          <w:szCs w:val="20"/>
        </w:rPr>
        <w:t xml:space="preserve"> </w:t>
      </w:r>
    </w:p>
    <w:p w14:paraId="42380AD2" w14:textId="52E94D88" w:rsidR="0032594D" w:rsidRPr="001C64A0" w:rsidRDefault="001C64A0" w:rsidP="001C64A0">
      <w:pPr>
        <w:spacing w:line="240" w:lineRule="auto"/>
        <w:ind w:left="709" w:right="709"/>
        <w:jc w:val="both"/>
        <w:rPr>
          <w:rFonts w:ascii="Verdana" w:eastAsia="Century Gothic" w:hAnsi="Verdana" w:cs="Century Gothic"/>
          <w:sz w:val="20"/>
          <w:szCs w:val="20"/>
        </w:rPr>
      </w:pPr>
      <w:r w:rsidRPr="001C64A0">
        <w:rPr>
          <w:rFonts w:ascii="Verdana" w:eastAsia="Century Gothic" w:hAnsi="Verdana" w:cs="Century Gothic"/>
          <w:sz w:val="20"/>
          <w:szCs w:val="20"/>
        </w:rPr>
        <w:t>si no es posible, porque las entidades públicas siguen contratando de esta manera,</w:t>
      </w:r>
      <w:r>
        <w:rPr>
          <w:rFonts w:ascii="Verdana" w:eastAsia="Century Gothic" w:hAnsi="Verdana" w:cs="Century Gothic"/>
          <w:sz w:val="20"/>
          <w:szCs w:val="20"/>
        </w:rPr>
        <w:t xml:space="preserve"> </w:t>
      </w:r>
      <w:r w:rsidRPr="001C64A0">
        <w:rPr>
          <w:rFonts w:ascii="Verdana" w:eastAsia="Century Gothic" w:hAnsi="Verdana" w:cs="Century Gothic"/>
          <w:sz w:val="20"/>
          <w:szCs w:val="20"/>
        </w:rPr>
        <w:t xml:space="preserve">y los entes de control no se hacen presente con fallos </w:t>
      </w:r>
      <w:proofErr w:type="gramStart"/>
      <w:r w:rsidRPr="001C64A0">
        <w:rPr>
          <w:rFonts w:ascii="Verdana" w:eastAsia="Century Gothic" w:hAnsi="Verdana" w:cs="Century Gothic"/>
          <w:sz w:val="20"/>
          <w:szCs w:val="20"/>
        </w:rPr>
        <w:t>condenatorios?</w:t>
      </w:r>
      <w:r>
        <w:rPr>
          <w:rFonts w:ascii="Verdana" w:eastAsia="Century Gothic" w:hAnsi="Verdana" w:cs="Century Gothic"/>
          <w:sz w:val="20"/>
          <w:szCs w:val="20"/>
        </w:rPr>
        <w:t>[</w:t>
      </w:r>
      <w:proofErr w:type="gramEnd"/>
      <w:r>
        <w:rPr>
          <w:rFonts w:ascii="Verdana" w:eastAsia="Century Gothic" w:hAnsi="Verdana" w:cs="Century Gothic"/>
          <w:sz w:val="20"/>
          <w:szCs w:val="20"/>
        </w:rPr>
        <w:t>…]”</w:t>
      </w:r>
    </w:p>
    <w:p w14:paraId="7B03E716" w14:textId="77777777" w:rsidR="0032594D" w:rsidRPr="009322DA" w:rsidRDefault="0032594D" w:rsidP="0032594D">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w:t>
      </w:r>
      <w:r w:rsidRPr="009322DA">
        <w:rPr>
          <w:rFonts w:ascii="Verdana" w:eastAsia="Calibri" w:hAnsi="Verdana" w:cs="Arial"/>
          <w:lang w:val="es-ES" w:eastAsia="es-ES"/>
        </w:rPr>
        <w:lastRenderedPageBreak/>
        <w:t xml:space="preserve">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5FC53E29" w14:textId="77777777" w:rsidR="0032594D" w:rsidRPr="009322DA" w:rsidRDefault="0032594D" w:rsidP="0032594D">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CEE9ECF" w14:textId="77777777" w:rsidR="0032594D" w:rsidRPr="009322DA" w:rsidRDefault="0032594D" w:rsidP="0032594D">
      <w:pPr>
        <w:spacing w:after="0" w:line="276" w:lineRule="auto"/>
        <w:ind w:firstLine="709"/>
        <w:jc w:val="both"/>
        <w:rPr>
          <w:rFonts w:ascii="Verdana" w:eastAsia="Calibri" w:hAnsi="Verdana" w:cs="Arial"/>
          <w:lang w:val="es-ES" w:eastAsia="es-ES"/>
        </w:rPr>
      </w:pPr>
    </w:p>
    <w:p w14:paraId="594F44F6" w14:textId="77777777" w:rsidR="0032594D" w:rsidRPr="009322DA" w:rsidRDefault="0032594D" w:rsidP="0032594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5115826F" w14:textId="77777777" w:rsidR="0032594D" w:rsidRPr="009322DA" w:rsidRDefault="0032594D" w:rsidP="0032594D">
      <w:pPr>
        <w:tabs>
          <w:tab w:val="left" w:pos="426"/>
        </w:tabs>
        <w:spacing w:after="0" w:line="276" w:lineRule="auto"/>
        <w:jc w:val="both"/>
        <w:rPr>
          <w:rFonts w:ascii="Verdana" w:eastAsia="Century Gothic" w:hAnsi="Verdana" w:cs="Century Gothic"/>
          <w:lang w:val="es-ES"/>
        </w:rPr>
      </w:pPr>
    </w:p>
    <w:p w14:paraId="7E71DA7D" w14:textId="075FEA79" w:rsidR="0032594D" w:rsidRPr="00532086" w:rsidRDefault="0032594D" w:rsidP="0032594D">
      <w:pPr>
        <w:spacing w:after="0" w:line="276" w:lineRule="auto"/>
        <w:jc w:val="both"/>
        <w:rPr>
          <w:rFonts w:ascii="Verdana" w:eastAsia="Century Gothic" w:hAnsi="Verdana" w:cs="Century Gothic"/>
        </w:rPr>
      </w:pPr>
      <w:r w:rsidRPr="009322DA">
        <w:rPr>
          <w:rFonts w:ascii="Verdana" w:eastAsia="Century Gothic" w:hAnsi="Verdana" w:cs="Century Gothic"/>
        </w:rPr>
        <w:t xml:space="preserve">De acuerdo con el contenido de su solicitud, esta Agencia resolverá </w:t>
      </w:r>
      <w:r>
        <w:rPr>
          <w:rFonts w:ascii="Verdana" w:eastAsia="Century Gothic" w:hAnsi="Verdana" w:cs="Century Gothic"/>
        </w:rPr>
        <w:t>el</w:t>
      </w:r>
      <w:r w:rsidRPr="009322DA">
        <w:rPr>
          <w:rFonts w:ascii="Verdana" w:eastAsia="Century Gothic" w:hAnsi="Verdana" w:cs="Century Gothic"/>
        </w:rPr>
        <w:t xml:space="preserve"> siguiente problema jurídico:</w:t>
      </w:r>
      <w:r>
        <w:rPr>
          <w:rFonts w:ascii="Verdana" w:eastAsia="Century Gothic" w:hAnsi="Verdana" w:cs="Century Gothic"/>
        </w:rPr>
        <w:t xml:space="preserve"> </w:t>
      </w:r>
      <w:r w:rsidRPr="00532086">
        <w:rPr>
          <w:rFonts w:ascii="Verdana" w:eastAsia="Century Gothic" w:hAnsi="Verdana" w:cs="Century Gothic"/>
        </w:rPr>
        <w:t>¿</w:t>
      </w:r>
      <w:r w:rsidR="001C64A0">
        <w:rPr>
          <w:rFonts w:ascii="Verdana" w:eastAsia="Century Gothic" w:hAnsi="Verdana" w:cs="Century Gothic"/>
        </w:rPr>
        <w:t xml:space="preserve">De acuerdo con el Artículo 2.2.1. 2.1.4.9 del Decreto 1082 de 2015, como </w:t>
      </w:r>
      <w:r w:rsidRPr="00532086">
        <w:rPr>
          <w:rFonts w:ascii="Verdana" w:eastAsia="Century Gothic" w:hAnsi="Verdana" w:cs="Century Gothic"/>
        </w:rPr>
        <w:t xml:space="preserve">debe realizarse la contratación de servicios artísticos y qué elementos lo componen? </w:t>
      </w:r>
    </w:p>
    <w:p w14:paraId="70D7F45A" w14:textId="77777777" w:rsidR="0032594D" w:rsidRPr="009322DA" w:rsidRDefault="0032594D" w:rsidP="0032594D">
      <w:pPr>
        <w:spacing w:after="0" w:line="276" w:lineRule="auto"/>
        <w:jc w:val="both"/>
        <w:rPr>
          <w:rFonts w:ascii="Verdana" w:eastAsia="Calibri" w:hAnsi="Verdana" w:cs="Arial"/>
          <w:lang w:val="es-ES"/>
        </w:rPr>
      </w:pPr>
    </w:p>
    <w:p w14:paraId="27C62625" w14:textId="77777777" w:rsidR="0032594D" w:rsidRDefault="0032594D" w:rsidP="0032594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p w14:paraId="51AC8AA0" w14:textId="77777777" w:rsidR="001C64A0" w:rsidRDefault="001C64A0" w:rsidP="001C64A0">
      <w:pPr>
        <w:tabs>
          <w:tab w:val="left" w:pos="142"/>
          <w:tab w:val="left" w:pos="284"/>
        </w:tabs>
        <w:spacing w:after="0" w:line="276" w:lineRule="auto"/>
        <w:contextualSpacing/>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2594D" w:rsidRPr="009322DA" w14:paraId="2175E82E" w14:textId="77777777" w:rsidTr="006866CF">
        <w:tc>
          <w:tcPr>
            <w:tcW w:w="8828" w:type="dxa"/>
            <w:tcBorders>
              <w:top w:val="dotted" w:sz="4" w:space="0" w:color="auto"/>
              <w:left w:val="dotted" w:sz="4" w:space="0" w:color="auto"/>
              <w:bottom w:val="dotted" w:sz="4" w:space="0" w:color="auto"/>
              <w:right w:val="dotted" w:sz="4" w:space="0" w:color="auto"/>
            </w:tcBorders>
          </w:tcPr>
          <w:p w14:paraId="77B2203F" w14:textId="29120C81" w:rsidR="0032594D" w:rsidRPr="00532086" w:rsidRDefault="0032594D" w:rsidP="006866CF">
            <w:pPr>
              <w:spacing w:after="120" w:line="276" w:lineRule="auto"/>
              <w:jc w:val="both"/>
              <w:rPr>
                <w:rFonts w:ascii="Verdana" w:eastAsia="Calibri" w:hAnsi="Verdana" w:cs="Arial"/>
                <w:lang w:val="es-MX"/>
              </w:rPr>
            </w:pPr>
            <w:r w:rsidRPr="00532086">
              <w:rPr>
                <w:rFonts w:ascii="Verdana" w:eastAsia="Calibri" w:hAnsi="Verdana" w:cs="Arial"/>
              </w:rPr>
              <w:t xml:space="preserve">Frente al </w:t>
            </w:r>
            <w:r>
              <w:rPr>
                <w:rFonts w:ascii="Verdana" w:eastAsia="Calibri" w:hAnsi="Verdana" w:cs="Arial"/>
              </w:rPr>
              <w:t>problema planteado</w:t>
            </w:r>
            <w:r w:rsidRPr="00532086">
              <w:rPr>
                <w:rFonts w:ascii="Verdana" w:eastAsia="Calibri" w:hAnsi="Verdana" w:cs="Arial"/>
              </w:rPr>
              <w:t xml:space="preserve">, </w:t>
            </w:r>
            <w:r w:rsidRPr="00532086">
              <w:rPr>
                <w:rFonts w:ascii="Verdana" w:eastAsia="Calibri" w:hAnsi="Verdana" w:cs="Arial"/>
                <w:bCs/>
                <w:lang w:val="es-ES_tradnl"/>
              </w:rPr>
              <w:t xml:space="preserve">es preciso indicar que, para la celebración de contratos de prestación de servicios artísticos, se debe cumplir de manera general con las condiciones establecidas en el </w:t>
            </w:r>
            <w:r w:rsidRPr="00532086">
              <w:rPr>
                <w:rFonts w:ascii="Verdana" w:eastAsia="Calibri" w:hAnsi="Verdana" w:cs="Arial"/>
              </w:rPr>
              <w:t xml:space="preserve">Estatuto General de Contratación de la Administración Pública-EGCAP, Ley 1150 de 2007, Decreto 1082 de 2015 y la jurisprudencia emitida por parte del Consejo de Estado para la celebración de los contratos de prestación de servicios; pero de manera particular las entidades tienen la obligación de determinar en la justificación de la modalidad y de la tipología, los fundamentos que permitan determinar la </w:t>
            </w:r>
            <w:r w:rsidRPr="00532086">
              <w:rPr>
                <w:rFonts w:ascii="Verdana" w:eastAsia="Calibri" w:hAnsi="Verdana" w:cs="Arial"/>
                <w:lang w:val="es-MX"/>
              </w:rPr>
              <w:t xml:space="preserve">ejecución de trabajos artísticos, entendidos estos como parte de la creación humana-personal con determinadas personas naturales, lo que implica que el contratista debe ser un artista, esto es, una persona reconocida como realizador o productor de arte o trabajos artísticos por lo tanto se contrata una </w:t>
            </w:r>
            <w:r w:rsidRPr="00532086">
              <w:rPr>
                <w:rFonts w:ascii="Verdana" w:eastAsia="Calibri" w:hAnsi="Verdana" w:cs="Arial"/>
                <w:lang w:val="es-MX"/>
              </w:rPr>
              <w:lastRenderedPageBreak/>
              <w:t xml:space="preserve">actividad intuito </w:t>
            </w:r>
            <w:proofErr w:type="spellStart"/>
            <w:r w:rsidRPr="00532086">
              <w:rPr>
                <w:rFonts w:ascii="Verdana" w:eastAsia="Calibri" w:hAnsi="Verdana" w:cs="Arial"/>
                <w:lang w:val="es-MX"/>
              </w:rPr>
              <w:t>personae</w:t>
            </w:r>
            <w:proofErr w:type="spellEnd"/>
            <w:r w:rsidRPr="00532086">
              <w:rPr>
                <w:rFonts w:ascii="Verdana" w:eastAsia="Calibri" w:hAnsi="Verdana" w:cs="Arial"/>
                <w:lang w:val="es-MX"/>
              </w:rPr>
              <w:t xml:space="preserve"> que solo podrá ser realizada por quién tiene el talento o habilidad artística.</w:t>
            </w:r>
          </w:p>
          <w:p w14:paraId="078C03AE" w14:textId="77777777" w:rsidR="0032594D" w:rsidRPr="009322DA" w:rsidRDefault="0032594D" w:rsidP="006866CF">
            <w:pPr>
              <w:spacing w:after="120" w:line="276" w:lineRule="auto"/>
              <w:jc w:val="both"/>
              <w:rPr>
                <w:rFonts w:ascii="Verdana" w:eastAsia="Calibri" w:hAnsi="Verdana" w:cs="Arial"/>
                <w:lang w:val="es-ES"/>
              </w:rPr>
            </w:pPr>
            <w:r w:rsidRPr="00532086">
              <w:rPr>
                <w:rFonts w:ascii="Verdana" w:eastAsia="Calibri" w:hAnsi="Verdana" w:cs="Arial"/>
                <w:lang w:val="es-ES"/>
              </w:rPr>
              <w:t xml:space="preserve">En conclusión, es la entidad contratante la que describe y justifica en los estudios previos, análisis del sector y estudio de conveniencia y oportunidad la necesidad de contratar la obra de arte, el talento artístico y/o actividad artística. En estos documentos precontractuales indicarán las características o talentos que debe poseer el proveedor del servicio, resaltando siempre que estos elementos son intuito </w:t>
            </w:r>
            <w:proofErr w:type="spellStart"/>
            <w:r w:rsidRPr="00532086">
              <w:rPr>
                <w:rFonts w:ascii="Verdana" w:eastAsia="Calibri" w:hAnsi="Verdana" w:cs="Arial"/>
                <w:lang w:val="es-ES"/>
              </w:rPr>
              <w:t>personae</w:t>
            </w:r>
            <w:proofErr w:type="spellEnd"/>
            <w:r w:rsidRPr="00532086">
              <w:rPr>
                <w:rFonts w:ascii="Verdana" w:eastAsia="Calibri" w:hAnsi="Verdana" w:cs="Arial"/>
                <w:lang w:val="es-ES"/>
              </w:rPr>
              <w:t>, por lo tanto, deberán ser prestados por el titular de la habilidad artística quién será el idóneo para la prestación del servicio en el marco de las obligaciones establecidas.</w:t>
            </w:r>
          </w:p>
        </w:tc>
      </w:tr>
    </w:tbl>
    <w:p w14:paraId="4358E881" w14:textId="77777777" w:rsidR="0032594D" w:rsidRPr="009322DA" w:rsidRDefault="0032594D" w:rsidP="0032594D">
      <w:pPr>
        <w:tabs>
          <w:tab w:val="left" w:pos="142"/>
          <w:tab w:val="left" w:pos="284"/>
        </w:tabs>
        <w:spacing w:after="0" w:line="276" w:lineRule="auto"/>
        <w:jc w:val="both"/>
        <w:rPr>
          <w:rFonts w:ascii="Verdana" w:eastAsia="Century Gothic" w:hAnsi="Verdana" w:cs="Century Gothic"/>
          <w:b/>
          <w:bCs/>
          <w:lang w:val="es-ES"/>
        </w:rPr>
      </w:pPr>
    </w:p>
    <w:p w14:paraId="44DC74C1" w14:textId="77777777" w:rsidR="0032594D" w:rsidRPr="009322DA" w:rsidRDefault="0032594D" w:rsidP="0032594D">
      <w:pPr>
        <w:tabs>
          <w:tab w:val="left" w:pos="142"/>
          <w:tab w:val="left" w:pos="284"/>
        </w:tabs>
        <w:spacing w:after="0" w:line="276" w:lineRule="auto"/>
        <w:jc w:val="both"/>
        <w:rPr>
          <w:rFonts w:ascii="Verdana" w:eastAsia="Century Gothic" w:hAnsi="Verdana" w:cs="Century Gothic"/>
          <w:b/>
          <w:bCs/>
          <w:lang w:val="es-ES"/>
        </w:rPr>
      </w:pPr>
    </w:p>
    <w:p w14:paraId="5877EC6C" w14:textId="77777777" w:rsidR="0032594D" w:rsidRPr="009322DA" w:rsidRDefault="0032594D" w:rsidP="0032594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0BB5E30C" w14:textId="77777777" w:rsidR="0032594D" w:rsidRPr="009322DA" w:rsidRDefault="0032594D" w:rsidP="0032594D">
      <w:pPr>
        <w:spacing w:after="0" w:line="276" w:lineRule="auto"/>
        <w:jc w:val="both"/>
        <w:rPr>
          <w:rFonts w:ascii="Verdana" w:eastAsia="Calibri" w:hAnsi="Verdana" w:cs="Arial"/>
          <w:lang w:val="es-ES"/>
        </w:rPr>
      </w:pPr>
    </w:p>
    <w:p w14:paraId="5BD407D8" w14:textId="77777777" w:rsidR="0032594D" w:rsidRDefault="0032594D" w:rsidP="0032594D">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703DC40E" w14:textId="77777777" w:rsidR="0032594D" w:rsidRDefault="0032594D" w:rsidP="0032594D">
      <w:pPr>
        <w:spacing w:after="0" w:line="276" w:lineRule="auto"/>
        <w:jc w:val="both"/>
        <w:rPr>
          <w:rFonts w:ascii="Verdana" w:eastAsia="Calibri" w:hAnsi="Verdana" w:cs="Arial"/>
          <w:lang w:val="es-ES"/>
        </w:rPr>
      </w:pPr>
    </w:p>
    <w:p w14:paraId="0C973E15" w14:textId="77777777" w:rsidR="0032594D" w:rsidRPr="00CC2C47" w:rsidRDefault="0032594D" w:rsidP="0032594D">
      <w:pPr>
        <w:pStyle w:val="Prrafodelista"/>
        <w:numPr>
          <w:ilvl w:val="0"/>
          <w:numId w:val="18"/>
        </w:numPr>
        <w:spacing w:after="120" w:line="276" w:lineRule="auto"/>
        <w:ind w:left="851"/>
        <w:jc w:val="both"/>
        <w:rPr>
          <w:rFonts w:ascii="Verdana" w:hAnsi="Verdana" w:cs="Arial"/>
          <w:color w:val="000000" w:themeColor="text1"/>
        </w:rPr>
      </w:pPr>
      <w:r w:rsidRPr="00CC2C47">
        <w:rPr>
          <w:rFonts w:ascii="Verdana" w:hAnsi="Verdana" w:cs="Arial"/>
          <w:color w:val="000000" w:themeColor="text1"/>
        </w:rPr>
        <w:t xml:space="preserve">El contrato de prestación de servicios es un contrato estatal nominado y típico que se encuentra definido en el numeral 3 del artículo 32 de la Ley 80 de 1993, como aquel que: </w:t>
      </w:r>
    </w:p>
    <w:p w14:paraId="21355BCF" w14:textId="77777777" w:rsidR="0032594D" w:rsidRPr="00CC2C47" w:rsidRDefault="0032594D" w:rsidP="0032594D">
      <w:pPr>
        <w:pStyle w:val="Prrafodelista"/>
        <w:spacing w:after="120" w:line="276" w:lineRule="auto"/>
        <w:ind w:left="851"/>
        <w:jc w:val="both"/>
        <w:rPr>
          <w:rFonts w:ascii="Verdana" w:hAnsi="Verdana" w:cs="Arial"/>
          <w:color w:val="000000" w:themeColor="text1"/>
        </w:rPr>
      </w:pPr>
    </w:p>
    <w:p w14:paraId="170FE62C" w14:textId="77777777" w:rsidR="0032594D" w:rsidRPr="00CC2C47" w:rsidRDefault="0032594D" w:rsidP="0032594D">
      <w:pPr>
        <w:pStyle w:val="Prrafodelista"/>
        <w:spacing w:after="120" w:line="276" w:lineRule="auto"/>
        <w:ind w:left="851"/>
        <w:jc w:val="both"/>
        <w:rPr>
          <w:rFonts w:ascii="Verdana" w:hAnsi="Verdana" w:cs="Arial"/>
          <w:color w:val="000000" w:themeColor="text1"/>
          <w:sz w:val="20"/>
          <w:szCs w:val="20"/>
        </w:rPr>
      </w:pPr>
      <w:r w:rsidRPr="00CC2C47">
        <w:rPr>
          <w:rFonts w:ascii="Verdana" w:hAnsi="Verdana" w:cs="Arial"/>
          <w:color w:val="000000" w:themeColor="text1"/>
          <w:sz w:val="20"/>
          <w:szCs w:val="20"/>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p>
    <w:p w14:paraId="57FDF4E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44A86635"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Ahora bien, el legislador dispuso que para la celebración de este contrato se debe efectuar a través de la modalidad de contratación directa. Así lo dispone el literal h) del numeral 4 del artículo 2de la Ley 1150 de 2007:</w:t>
      </w:r>
    </w:p>
    <w:p w14:paraId="0B65CC8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5B63551E"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“La escogencia del contratista se efectuará con arreglo a las modalidades de selección de licitación pública, selección abreviada, concurso de méritos y contratación directa, con base en las siguientes reglas:</w:t>
      </w:r>
    </w:p>
    <w:p w14:paraId="0CC53B17"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w:t>
      </w:r>
    </w:p>
    <w:p w14:paraId="0578970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p>
    <w:p w14:paraId="7E45DD4C"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4. Contratación directa. La modalidad de selección de contratación directa solamente procederá en los siguientes casos:</w:t>
      </w:r>
    </w:p>
    <w:p w14:paraId="5947A7F1"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w:t>
      </w:r>
    </w:p>
    <w:p w14:paraId="2D02A1CB"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p>
    <w:p w14:paraId="5905A909"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h) Para la prestación de servicios profesionales y de apoyo a la gestión, o para la ejecución de trabajos artísticos que sólo puedan encomendarse a determinadas personas naturales”.</w:t>
      </w:r>
    </w:p>
    <w:p w14:paraId="49329244"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342205EF"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Como se puede apreciar, el legislador amplió la tipología consagrada en el citado numeral 3 del artículo 32 de la Ley 80 de 1993, señalando la presencia de los contratos de apoyo a la gestión y la ejecución de trabajos artísticos. </w:t>
      </w:r>
    </w:p>
    <w:p w14:paraId="184A6364"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78D3A454"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En el mismo sentido, el numeral 2.2.1.2.1.4.9 </w:t>
      </w:r>
      <w:r w:rsidRPr="00CC2C47">
        <w:rPr>
          <w:rStyle w:val="Refdenotaalpie"/>
          <w:rFonts w:ascii="Verdana" w:eastAsia="Calibri" w:hAnsi="Verdana" w:cs="Arial"/>
          <w:color w:val="000000" w:themeColor="text1"/>
        </w:rPr>
        <w:footnoteReference w:id="1"/>
      </w:r>
      <w:r w:rsidRPr="00CC2C47">
        <w:rPr>
          <w:rFonts w:ascii="Verdana" w:eastAsia="Calibri" w:hAnsi="Verdana" w:cs="Arial"/>
          <w:color w:val="000000" w:themeColor="text1"/>
        </w:rPr>
        <w:t xml:space="preserve">del Decreto 1082 de 2015 establece que las Entidades Estatales pueden contratar directamente la ejecución de trabajos artísticos que solo pueden encomendarse a determinadas personas naturales, situación que deben justificar en sus estudios y documentos previos.   </w:t>
      </w:r>
    </w:p>
    <w:p w14:paraId="6A5422C6" w14:textId="77777777" w:rsidR="0032594D" w:rsidRPr="00CC2C47" w:rsidRDefault="0032594D" w:rsidP="0032594D">
      <w:pPr>
        <w:pStyle w:val="Textoindependiente"/>
        <w:numPr>
          <w:ilvl w:val="0"/>
          <w:numId w:val="19"/>
        </w:numPr>
        <w:spacing w:after="0" w:line="276" w:lineRule="auto"/>
        <w:ind w:right="104"/>
        <w:jc w:val="both"/>
        <w:rPr>
          <w:rFonts w:ascii="Verdana" w:eastAsia="Calibri" w:hAnsi="Verdana" w:cs="Arial"/>
          <w:color w:val="000000" w:themeColor="text1"/>
        </w:rPr>
      </w:pPr>
      <w:r w:rsidRPr="00CC2C47">
        <w:rPr>
          <w:rFonts w:ascii="Verdana" w:eastAsia="Calibri" w:hAnsi="Verdana" w:cs="Arial"/>
          <w:color w:val="000000" w:themeColor="text1"/>
        </w:rPr>
        <w:t xml:space="preserve">Por su parte, el Consejo de Estado frente a esta causal de contratación directa señaló lo siguiente: </w:t>
      </w:r>
    </w:p>
    <w:p w14:paraId="38C6F44D" w14:textId="77777777" w:rsidR="0032594D" w:rsidRPr="00CC2C47" w:rsidRDefault="0032594D" w:rsidP="0032594D">
      <w:pPr>
        <w:pStyle w:val="Textoindependiente"/>
        <w:spacing w:after="0" w:line="276" w:lineRule="auto"/>
        <w:ind w:left="720" w:right="104"/>
        <w:jc w:val="both"/>
        <w:rPr>
          <w:rFonts w:ascii="Verdana" w:eastAsia="Calibri" w:hAnsi="Verdana" w:cs="Arial"/>
          <w:color w:val="000000" w:themeColor="text1"/>
        </w:rPr>
      </w:pPr>
    </w:p>
    <w:p w14:paraId="4396F6CE"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r w:rsidRPr="00CC2C47">
        <w:rPr>
          <w:rFonts w:ascii="Verdana" w:eastAsia="Calibri" w:hAnsi="Verdana" w:cs="Arial"/>
          <w:i/>
          <w:iCs/>
          <w:color w:val="000000" w:themeColor="text1"/>
          <w:sz w:val="20"/>
          <w:szCs w:val="20"/>
        </w:rPr>
        <w:t>“En consecuencia, el contrato, para que sea objeto del trámite de la contratación directa, debe estar determinado por las siguientes variables (i) que tengan por objeto la ejecución de trabajos artísticos, (</w:t>
      </w:r>
      <w:proofErr w:type="spellStart"/>
      <w:r w:rsidRPr="00CC2C47">
        <w:rPr>
          <w:rFonts w:ascii="Verdana" w:eastAsia="Calibri" w:hAnsi="Verdana" w:cs="Arial"/>
          <w:i/>
          <w:iCs/>
          <w:color w:val="000000" w:themeColor="text1"/>
          <w:sz w:val="20"/>
          <w:szCs w:val="20"/>
        </w:rPr>
        <w:t>ii</w:t>
      </w:r>
      <w:proofErr w:type="spellEnd"/>
      <w:r w:rsidRPr="00CC2C47">
        <w:rPr>
          <w:rFonts w:ascii="Verdana" w:eastAsia="Calibri" w:hAnsi="Verdana" w:cs="Arial"/>
          <w:i/>
          <w:iCs/>
          <w:color w:val="000000" w:themeColor="text1"/>
          <w:sz w:val="20"/>
          <w:szCs w:val="20"/>
        </w:rPr>
        <w:t>) que el mismo o los mismos sólo puedan encomendarse a determinadas personas naturales.</w:t>
      </w:r>
    </w:p>
    <w:p w14:paraId="11870598"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p>
    <w:p w14:paraId="03EE5A03"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r w:rsidRPr="00CC2C47">
        <w:rPr>
          <w:rFonts w:ascii="Verdana" w:eastAsia="Calibri" w:hAnsi="Verdana" w:cs="Arial"/>
          <w:i/>
          <w:iCs/>
          <w:color w:val="000000" w:themeColor="text1"/>
          <w:sz w:val="20"/>
          <w:szCs w:val="20"/>
        </w:rPr>
        <w:t xml:space="preserve">112.- En cuanto a la primera de las variables se refiere, se puede afirmar que el concepto que comprende el objeto de esta modalidad contractual es el de </w:t>
      </w:r>
      <w:r w:rsidRPr="00CC2C47">
        <w:rPr>
          <w:rFonts w:ascii="Verdana" w:eastAsia="Calibri" w:hAnsi="Verdana" w:cs="Arial"/>
          <w:i/>
          <w:iCs/>
          <w:color w:val="000000" w:themeColor="text1"/>
          <w:sz w:val="20"/>
          <w:szCs w:val="20"/>
        </w:rPr>
        <w:lastRenderedPageBreak/>
        <w:t xml:space="preserve">“trabajo artístico”, pero no en sí mismo, esto es como medio, sino como un resultado real y efectivo. Se contrata y este es el objeto, la realización de una obra artística y no simplemente una ejecución sin resultado. Es el trabajo final, el que pueda ser catalogado como una “obra de arte”, u “obra artística” o pieza de la misma naturaleza, la determinante del objeto para los efectos legales que para la materia a la que se está haciendo referencia, en esto no puede haber confusión de ninguna naturaleza. (…)  </w:t>
      </w:r>
    </w:p>
    <w:p w14:paraId="69FFC4A2"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p>
    <w:p w14:paraId="142766C0"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r w:rsidRPr="00CC2C47">
        <w:rPr>
          <w:rFonts w:ascii="Verdana" w:eastAsia="Calibri" w:hAnsi="Verdana" w:cs="Arial"/>
          <w:i/>
          <w:iCs/>
          <w:color w:val="000000" w:themeColor="text1"/>
          <w:sz w:val="20"/>
          <w:szCs w:val="20"/>
        </w:rPr>
        <w:t>Tratándose de la segunda de las variables, esto es, la que indica que los “trabajos artísticos” (…) “… que sólo puedan encomendarse a determinadas personas naturales…”  debe ser entendida en coherencia con lo anterior, en el sentido de que el contratista debe ser sustancialmente un artista, es decir, una persona reconocida como realizador o productor de arte, de obras de arte, ejecutor de trabajos artísticos, un ser humano que dada su sensibilidad en relación con el mundo tiene la aptitud, la capacidad, la disposición natural o adquirida; el talento y estilo o forma original de hacer las cosas; y la genialidad, naturalidad y el carácter que lo hace distinto a otros artistas, esto es, su capacidad de inventiva que lo hace influyente en el medio, un ser único y excepcional, todo esto, para producir obras artísticas, de aquí la razonabilidad de la expresión utilizada por la disposición en comento según la cual, los trabajos artísticos sólo puedan encomendarse a determinadas personas naturales (…)”</w:t>
      </w:r>
    </w:p>
    <w:p w14:paraId="469D9CCE" w14:textId="77777777" w:rsidR="0032594D" w:rsidRPr="00CC2C47" w:rsidRDefault="0032594D" w:rsidP="0032594D">
      <w:pPr>
        <w:pStyle w:val="Textoindependiente"/>
        <w:spacing w:after="0" w:line="276" w:lineRule="auto"/>
        <w:ind w:right="104"/>
        <w:jc w:val="both"/>
        <w:rPr>
          <w:rFonts w:ascii="Verdana" w:eastAsia="Calibri" w:hAnsi="Verdana" w:cs="Arial"/>
          <w:color w:val="000000" w:themeColor="text1"/>
        </w:rPr>
      </w:pPr>
    </w:p>
    <w:p w14:paraId="27956880" w14:textId="77777777" w:rsidR="0032594D" w:rsidRPr="00CC2C47" w:rsidRDefault="0032594D" w:rsidP="0032594D">
      <w:pPr>
        <w:spacing w:after="120" w:line="276" w:lineRule="auto"/>
        <w:ind w:firstLine="491"/>
        <w:jc w:val="both"/>
        <w:rPr>
          <w:rFonts w:ascii="Verdana" w:eastAsia="Calibri" w:hAnsi="Verdana" w:cs="Arial"/>
          <w:color w:val="000000" w:themeColor="text1"/>
        </w:rPr>
      </w:pPr>
      <w:r w:rsidRPr="00CC2C47">
        <w:rPr>
          <w:rFonts w:ascii="Verdana" w:eastAsia="Calibri" w:hAnsi="Verdana" w:cs="Arial"/>
          <w:color w:val="000000" w:themeColor="text1"/>
        </w:rPr>
        <w:t xml:space="preserve">De lo anterior, resulta pertinente precisar las características del contrato de prestación de servicios, teniendo en cuenta lo establecido en el -EGACP- y en la jurisprudencia emitida por parte del Consejo de Estado, de la siguiente manera: </w:t>
      </w:r>
    </w:p>
    <w:p w14:paraId="29D6ABED"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Su celebración debe realizarse a través de la modalidad de contratación directa, independientemente de la cuantía y del tipo de servicio, siempre que este no ingrese dentro del objeto del contrato de consultoría u cualquier otra tipología determinada en el artículo 32 de la Ley 80 de 1993 o cualquier otra tipología en virtud de la remisión a la normativa civil o comercial del artículo 13 de la misma ley.</w:t>
      </w:r>
    </w:p>
    <w:p w14:paraId="2B8E6A2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118A5553"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lang w:val="es-CO"/>
        </w:rPr>
        <w:t>Se pueden celebrar para realizar “actividades relacionadas con la administración o funcionamiento de la entidad”, es decir, que hagan parte de su giro ordinario o quehacer cotidiano.</w:t>
      </w:r>
      <w:r w:rsidRPr="00CC2C47">
        <w:rPr>
          <w:rStyle w:val="Refdenotaalpie"/>
          <w:rFonts w:ascii="Verdana" w:eastAsia="Calibri" w:hAnsi="Verdana" w:cs="Arial"/>
          <w:color w:val="000000" w:themeColor="text1"/>
        </w:rPr>
        <w:footnoteReference w:id="2"/>
      </w:r>
    </w:p>
    <w:p w14:paraId="02F802C2" w14:textId="77777777" w:rsidR="0032594D" w:rsidRPr="00CC2C47" w:rsidRDefault="0032594D" w:rsidP="0032594D">
      <w:pPr>
        <w:pStyle w:val="Prrafodelista"/>
        <w:rPr>
          <w:rFonts w:ascii="Verdana" w:eastAsia="Calibri" w:hAnsi="Verdana" w:cs="Arial"/>
          <w:color w:val="000000" w:themeColor="text1"/>
        </w:rPr>
      </w:pPr>
    </w:p>
    <w:p w14:paraId="7F8E8964"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lastRenderedPageBreak/>
        <w:t>Para su celebración de manera genérica no requiere la expedición del acto administrativo de justificación de la contratación directa.</w:t>
      </w:r>
      <w:r w:rsidRPr="00CC2C47">
        <w:rPr>
          <w:rStyle w:val="Refdenotaalpie"/>
          <w:rFonts w:ascii="Verdana" w:eastAsia="Calibri" w:hAnsi="Verdana" w:cs="Arial"/>
          <w:color w:val="000000" w:themeColor="text1"/>
        </w:rPr>
        <w:footnoteReference w:id="3"/>
      </w:r>
    </w:p>
    <w:p w14:paraId="1A39B506"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p>
    <w:p w14:paraId="32E25CC1"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Deben ser temporales, </w:t>
      </w:r>
      <w:r w:rsidRPr="00CC2C47">
        <w:rPr>
          <w:rFonts w:ascii="Verdana" w:eastAsia="Calibri" w:hAnsi="Verdana" w:cs="Arial"/>
          <w:color w:val="000000" w:themeColor="text1"/>
          <w:lang w:val="es-CO"/>
        </w:rPr>
        <w:t xml:space="preserve">en atención al término estrictamente indispensable en el cual se espera </w:t>
      </w:r>
      <w:proofErr w:type="spellStart"/>
      <w:r w:rsidRPr="00CC2C47">
        <w:rPr>
          <w:rFonts w:ascii="Verdana" w:eastAsia="Calibri" w:hAnsi="Verdana" w:cs="Arial"/>
          <w:color w:val="000000" w:themeColor="text1"/>
          <w:lang w:val="es-CO"/>
        </w:rPr>
        <w:t>espera</w:t>
      </w:r>
      <w:proofErr w:type="spellEnd"/>
      <w:r w:rsidRPr="00CC2C47">
        <w:rPr>
          <w:rFonts w:ascii="Verdana" w:eastAsia="Calibri" w:hAnsi="Verdana" w:cs="Arial"/>
          <w:color w:val="000000" w:themeColor="text1"/>
          <w:lang w:val="es-CO"/>
        </w:rPr>
        <w:t xml:space="preserve"> que el contratista cumpla a cabalidad el objeto del contrato y las obligaciones que de él se derivan.</w:t>
      </w:r>
      <w:r w:rsidRPr="00CC2C47">
        <w:rPr>
          <w:rStyle w:val="Refdenotaalpie"/>
          <w:rFonts w:ascii="Verdana" w:eastAsia="Calibri" w:hAnsi="Verdana" w:cs="Arial"/>
          <w:color w:val="000000" w:themeColor="text1"/>
          <w:lang w:val="es-CO"/>
        </w:rPr>
        <w:footnoteReference w:id="4"/>
      </w:r>
    </w:p>
    <w:p w14:paraId="310D2D15" w14:textId="77777777" w:rsidR="0032594D" w:rsidRPr="00CC2C47" w:rsidRDefault="0032594D" w:rsidP="0032594D">
      <w:pPr>
        <w:pStyle w:val="Prrafodelista"/>
        <w:rPr>
          <w:rFonts w:ascii="Verdana" w:eastAsia="Calibri" w:hAnsi="Verdana" w:cs="Arial"/>
          <w:color w:val="000000" w:themeColor="text1"/>
        </w:rPr>
      </w:pPr>
    </w:p>
    <w:p w14:paraId="618757B8"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w:t>
      </w:r>
      <w:r w:rsidRPr="00CC2C47">
        <w:rPr>
          <w:rStyle w:val="Refdenotaalpie"/>
          <w:rFonts w:ascii="Verdana" w:eastAsia="Calibri" w:hAnsi="Verdana" w:cs="Arial"/>
          <w:color w:val="000000" w:themeColor="text1"/>
        </w:rPr>
        <w:footnoteReference w:id="5"/>
      </w:r>
    </w:p>
    <w:p w14:paraId="203D0690" w14:textId="77777777" w:rsidR="0032594D" w:rsidRPr="00CC2C47" w:rsidRDefault="0032594D" w:rsidP="0032594D">
      <w:pPr>
        <w:pStyle w:val="Prrafodelista"/>
        <w:rPr>
          <w:rFonts w:ascii="Verdana" w:eastAsia="Calibri" w:hAnsi="Verdana" w:cs="Arial"/>
          <w:color w:val="000000" w:themeColor="text1"/>
        </w:rPr>
      </w:pPr>
    </w:p>
    <w:p w14:paraId="6031782F"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En algunos casos no es obligatoria la liquidación, pues así lo estableció el artículo 217 del Decreto 019 de 2012, que modificó el artículo 60 de la Ley 80 de 1993, refiriéndose a los contratos de prestación de servicios profesionales y de apoyo a la gestión.</w:t>
      </w:r>
    </w:p>
    <w:p w14:paraId="64DC93EA" w14:textId="77777777" w:rsidR="0032594D" w:rsidRPr="00CC2C47" w:rsidRDefault="0032594D" w:rsidP="0032594D">
      <w:pPr>
        <w:pStyle w:val="Prrafodelista"/>
        <w:rPr>
          <w:rFonts w:ascii="Verdana" w:eastAsia="Calibri" w:hAnsi="Verdana" w:cs="Arial"/>
          <w:color w:val="000000" w:themeColor="text1"/>
        </w:rPr>
      </w:pPr>
    </w:p>
    <w:p w14:paraId="7D2366F9"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Para su celebración no se requiere inscripción en el Registro Único de Proponentes (RUP), según lo prevé el artículo 6 de la Ley 1150 de 2007 </w:t>
      </w:r>
    </w:p>
    <w:p w14:paraId="52325F08"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p>
    <w:p w14:paraId="7174AA6B"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En ellos no son necesarias las garantías, lo anterior de conformidad al artículo 2.2.1.2.1.4.1 del Decreto 1082 de 2015.</w:t>
      </w:r>
    </w:p>
    <w:p w14:paraId="23BAB605"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r w:rsidRPr="00CC2C47">
        <w:rPr>
          <w:rFonts w:ascii="Verdana" w:eastAsia="Calibri" w:hAnsi="Verdana" w:cs="Arial"/>
          <w:color w:val="000000" w:themeColor="text1"/>
        </w:rPr>
        <w:t xml:space="preserve">Ahora bien, teniendo en cuenta las características generales del contrato de prestación de servicios, es preciso indicar que el contrato de prestación de servicios profesionales, tienen una diferencia precisa frente a las otras dos especies, en virtud de la formación profesional que se exige para desempeñar la labor. Así lo consideró el Consejo de Estado en sentencia de unificación </w:t>
      </w:r>
      <w:r w:rsidRPr="00CC2C47">
        <w:rPr>
          <w:rFonts w:ascii="Verdana" w:eastAsia="Calibri" w:hAnsi="Verdana" w:cs="Arial"/>
          <w:color w:val="000000" w:themeColor="text1"/>
        </w:rPr>
        <w:lastRenderedPageBreak/>
        <w:t>jurisprudencial del 2 de diciembre de 2013, al indicar, respecto del contrato de prestación de servicios profesionales, que:</w:t>
      </w:r>
    </w:p>
    <w:p w14:paraId="4CE5AE10"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p>
    <w:p w14:paraId="22538A42" w14:textId="77777777" w:rsidR="0032594D" w:rsidRPr="00CC2C47" w:rsidRDefault="0032594D" w:rsidP="00CC5ED7">
      <w:pPr>
        <w:pStyle w:val="Textoindependiente"/>
        <w:spacing w:after="0" w:line="240" w:lineRule="auto"/>
        <w:ind w:left="668" w:right="1325"/>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CC2C47">
        <w:rPr>
          <w:rStyle w:val="Refdenotaalpie"/>
          <w:rFonts w:ascii="Verdana" w:eastAsia="Calibri" w:hAnsi="Verdana" w:cs="Arial"/>
          <w:color w:val="000000" w:themeColor="text1"/>
          <w:sz w:val="20"/>
          <w:szCs w:val="20"/>
        </w:rPr>
        <w:footnoteReference w:id="6"/>
      </w:r>
      <w:r w:rsidRPr="00CC2C47">
        <w:rPr>
          <w:rFonts w:ascii="Verdana" w:eastAsia="Calibri" w:hAnsi="Verdana" w:cs="Arial"/>
          <w:color w:val="000000" w:themeColor="text1"/>
          <w:sz w:val="20"/>
          <w:szCs w:val="20"/>
        </w:rPr>
        <w:t>”.</w:t>
      </w:r>
    </w:p>
    <w:p w14:paraId="79EBD5C6" w14:textId="77777777" w:rsidR="0032594D" w:rsidRPr="00CC2C47" w:rsidRDefault="0032594D" w:rsidP="0032594D">
      <w:pPr>
        <w:pStyle w:val="Textoindependiente"/>
        <w:spacing w:after="0" w:line="276" w:lineRule="auto"/>
        <w:ind w:right="104"/>
        <w:jc w:val="both"/>
        <w:rPr>
          <w:rFonts w:ascii="Verdana" w:eastAsia="Calibri" w:hAnsi="Verdana" w:cs="Arial"/>
          <w:color w:val="000000" w:themeColor="text1"/>
        </w:rPr>
      </w:pPr>
    </w:p>
    <w:p w14:paraId="0D5827A0" w14:textId="23DB6A4D" w:rsidR="0032594D" w:rsidRPr="00CC5ED7" w:rsidRDefault="0032594D" w:rsidP="00CC5ED7">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Finalmente, frente a los contratos de prestación de servicios que tengan como objeto la ejecución de trabajos artísticos, dispone la providencia de la siguiente manera:</w:t>
      </w:r>
    </w:p>
    <w:p w14:paraId="09F4E784" w14:textId="77777777" w:rsidR="0032594D" w:rsidRPr="00CC2C47" w:rsidRDefault="0032594D" w:rsidP="0032594D">
      <w:pPr>
        <w:widowControl w:val="0"/>
        <w:autoSpaceDE w:val="0"/>
        <w:autoSpaceDN w:val="0"/>
        <w:spacing w:line="240" w:lineRule="auto"/>
        <w:ind w:left="709" w:right="709"/>
        <w:jc w:val="both"/>
        <w:rPr>
          <w:rFonts w:ascii="Verdana" w:hAnsi="Verdana" w:cs="Arial"/>
          <w:color w:val="000000" w:themeColor="text1"/>
          <w:sz w:val="20"/>
          <w:szCs w:val="21"/>
        </w:rPr>
      </w:pPr>
      <w:r w:rsidRPr="00CC2C47">
        <w:rPr>
          <w:rFonts w:ascii="Verdana" w:hAnsi="Verdana" w:cs="Arial"/>
          <w:color w:val="000000" w:themeColor="text1"/>
          <w:sz w:val="20"/>
          <w:szCs w:val="21"/>
          <w:lang w:val="es-ES_tradnl"/>
        </w:rPr>
        <w:t>“</w:t>
      </w:r>
      <w:r w:rsidRPr="00CC2C47">
        <w:rPr>
          <w:rFonts w:ascii="Verdana" w:eastAsia="Calibri" w:hAnsi="Verdana" w:cs="Arial"/>
          <w:color w:val="000000" w:themeColor="text1"/>
          <w:sz w:val="20"/>
          <w:szCs w:val="20"/>
          <w:lang w:val="es-MX"/>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CC2C47">
        <w:rPr>
          <w:rFonts w:ascii="Verdana" w:hAnsi="Verdana" w:cs="Arial"/>
          <w:color w:val="000000" w:themeColor="text1"/>
          <w:sz w:val="20"/>
          <w:szCs w:val="21"/>
          <w:lang w:val="es-ES_tradnl"/>
        </w:rPr>
        <w:t>”</w:t>
      </w:r>
      <w:r w:rsidRPr="00CC2C47">
        <w:rPr>
          <w:rFonts w:ascii="Verdana" w:hAnsi="Verdana" w:cs="Arial"/>
          <w:color w:val="000000" w:themeColor="text1"/>
          <w:sz w:val="20"/>
          <w:szCs w:val="21"/>
          <w:vertAlign w:val="superscript"/>
          <w:lang w:val="es-ES_tradnl"/>
        </w:rPr>
        <w:footnoteReference w:id="7"/>
      </w:r>
      <w:r w:rsidRPr="00CC2C47">
        <w:rPr>
          <w:rFonts w:ascii="Verdana" w:hAnsi="Verdana" w:cs="Arial"/>
          <w:color w:val="000000" w:themeColor="text1"/>
          <w:sz w:val="20"/>
          <w:szCs w:val="21"/>
          <w:lang w:val="es-ES_tradnl"/>
        </w:rPr>
        <w:t>.</w:t>
      </w:r>
      <w:r w:rsidRPr="00CC2C47">
        <w:rPr>
          <w:rFonts w:ascii="Verdana" w:hAnsi="Verdana" w:cs="Arial"/>
          <w:color w:val="000000" w:themeColor="text1"/>
          <w:sz w:val="20"/>
          <w:szCs w:val="21"/>
        </w:rPr>
        <w:t xml:space="preserve"> </w:t>
      </w:r>
    </w:p>
    <w:p w14:paraId="136263E2" w14:textId="77777777" w:rsidR="0032594D" w:rsidRPr="00CC2C47" w:rsidRDefault="0032594D" w:rsidP="0032594D">
      <w:pPr>
        <w:spacing w:before="120" w:after="0"/>
        <w:jc w:val="both"/>
        <w:rPr>
          <w:rFonts w:ascii="Verdana" w:eastAsia="Arial" w:hAnsi="Verdana" w:cs="Arial"/>
          <w:color w:val="000000"/>
        </w:rPr>
      </w:pPr>
      <w:r w:rsidRPr="00CC2C47">
        <w:rPr>
          <w:rFonts w:ascii="Verdana" w:eastAsia="Arial" w:hAnsi="Verdana" w:cs="Arial"/>
          <w:color w:val="000000"/>
        </w:rPr>
        <w:t xml:space="preserve">En este sentido, el contrato de prestación de servicios </w:t>
      </w:r>
      <w:r w:rsidRPr="00CC2C47">
        <w:rPr>
          <w:rFonts w:ascii="Verdana" w:eastAsia="Arial" w:hAnsi="Verdana" w:cs="Arial"/>
          <w:i/>
          <w:color w:val="000000"/>
        </w:rPr>
        <w:t>profesionales</w:t>
      </w:r>
      <w:r w:rsidRPr="00CC2C47">
        <w:rPr>
          <w:rFonts w:ascii="Verdana" w:eastAsia="Arial" w:hAnsi="Verdana" w:cs="Arial"/>
          <w:color w:val="000000"/>
        </w:rPr>
        <w:t xml:space="preserve"> se caracteriza porque su objeto guarda relación con el desarrollo de actividades que demandan competencias y habilidades profesionales o especializadas de la persona natural o jurídica a contratar, de manera que se trata de un </w:t>
      </w:r>
      <w:r w:rsidRPr="00CC2C47">
        <w:rPr>
          <w:rFonts w:ascii="Verdana" w:eastAsia="Arial" w:hAnsi="Verdana" w:cs="Arial"/>
          <w:i/>
          <w:color w:val="000000"/>
        </w:rPr>
        <w:t xml:space="preserve">saber intelectivo cualificado; </w:t>
      </w:r>
      <w:r w:rsidRPr="00CC2C47">
        <w:rPr>
          <w:rFonts w:ascii="Verdana" w:eastAsia="Arial" w:hAnsi="Verdana" w:cs="Arial"/>
          <w:iCs/>
          <w:color w:val="000000"/>
        </w:rPr>
        <w:t>mientra</w:t>
      </w:r>
      <w:r w:rsidRPr="00CC2C47">
        <w:rPr>
          <w:rFonts w:ascii="Verdana" w:eastAsia="Arial" w:hAnsi="Verdana" w:cs="Arial"/>
          <w:i/>
          <w:color w:val="000000"/>
        </w:rPr>
        <w:t>s</w:t>
      </w:r>
      <w:r w:rsidRPr="00CC2C47">
        <w:rPr>
          <w:rFonts w:ascii="Verdana" w:eastAsia="Arial" w:hAnsi="Verdana" w:cs="Arial"/>
          <w:color w:val="000000"/>
        </w:rPr>
        <w:t xml:space="preserve">, en el </w:t>
      </w:r>
      <w:r w:rsidRPr="00CC2C47">
        <w:rPr>
          <w:rFonts w:ascii="Verdana" w:eastAsia="Arial" w:hAnsi="Verdana" w:cs="Arial"/>
          <w:b/>
          <w:bCs/>
          <w:color w:val="000000"/>
        </w:rPr>
        <w:t>contrato de prestación de servicios artísticos</w:t>
      </w:r>
      <w:r w:rsidRPr="00CC2C47">
        <w:rPr>
          <w:rFonts w:ascii="Verdana" w:eastAsia="Arial" w:hAnsi="Verdana" w:cs="Arial"/>
          <w:color w:val="000000"/>
        </w:rPr>
        <w:t xml:space="preserve"> lo prevalente es que la persona que lo ejecute se trate de un artista, es decir, «una persona reconocida como realizador o productor de arte, de obras de arte, ejecutor de trabajos artísticos», en donde es indiferente el carácter de profesional.</w:t>
      </w:r>
      <w:r w:rsidRPr="00CC2C47">
        <w:rPr>
          <w:rStyle w:val="Refdenotaalpie"/>
          <w:rFonts w:ascii="Verdana" w:eastAsia="Arial" w:hAnsi="Verdana" w:cs="Arial"/>
          <w:color w:val="000000"/>
        </w:rPr>
        <w:footnoteReference w:id="8"/>
      </w:r>
    </w:p>
    <w:p w14:paraId="409EA008" w14:textId="77777777" w:rsidR="0032594D" w:rsidRPr="00CC2C47" w:rsidRDefault="0032594D" w:rsidP="0032594D">
      <w:pPr>
        <w:pStyle w:val="Prrafodelista"/>
        <w:spacing w:before="120" w:after="0"/>
        <w:jc w:val="both"/>
        <w:rPr>
          <w:rFonts w:ascii="Verdana" w:hAnsi="Verdana" w:cs="Arial"/>
          <w:color w:val="000000" w:themeColor="text1"/>
        </w:rPr>
      </w:pPr>
    </w:p>
    <w:p w14:paraId="09769C8D" w14:textId="3128FB1D" w:rsidR="0032594D" w:rsidRPr="002C5896" w:rsidRDefault="0032594D" w:rsidP="002C5896">
      <w:pPr>
        <w:spacing w:after="120" w:line="276" w:lineRule="auto"/>
        <w:jc w:val="both"/>
        <w:rPr>
          <w:rFonts w:ascii="Verdana" w:hAnsi="Verdana"/>
        </w:rPr>
      </w:pPr>
      <w:r w:rsidRPr="00CC2C47">
        <w:rPr>
          <w:rFonts w:ascii="Verdana" w:hAnsi="Verdana" w:cs="Arial"/>
          <w:color w:val="000000" w:themeColor="text1"/>
        </w:rPr>
        <w:lastRenderedPageBreak/>
        <w:t xml:space="preserve">En ese orden de ideas, se impone a la entidad contratante la obligación de determinar en la justificación de la modalidad y de la tipología a celebrar, los fundamentos que permitan determinar la </w:t>
      </w:r>
      <w:r w:rsidRPr="00CC2C47">
        <w:rPr>
          <w:rFonts w:ascii="Verdana" w:eastAsia="Calibri" w:hAnsi="Verdana" w:cs="Arial"/>
          <w:color w:val="000000" w:themeColor="text1"/>
          <w:lang w:val="es-MX"/>
        </w:rPr>
        <w:t xml:space="preserve">ejecución de trabajos artísticos, como parte de la creación humana-personal, </w:t>
      </w:r>
      <w:r w:rsidRPr="00CC2C47">
        <w:rPr>
          <w:rFonts w:ascii="Verdana" w:eastAsia="Calibri" w:hAnsi="Verdana" w:cs="Arial"/>
          <w:color w:val="000000" w:themeColor="text1"/>
        </w:rPr>
        <w:t>cuya aplicación –como exige el inciso final del antecitado artículo 2.2.1.2.1.4.9 del Decreto 1082 de 2015, deberá quedar plenamente justificada en los estudios y documentos previos</w:t>
      </w:r>
      <w:r w:rsidRPr="00CC2C47">
        <w:rPr>
          <w:rStyle w:val="Refdenotaalpie"/>
          <w:rFonts w:ascii="Verdana" w:eastAsia="Calibri" w:hAnsi="Verdana" w:cs="Arial"/>
          <w:color w:val="000000" w:themeColor="text1"/>
        </w:rPr>
        <w:footnoteReference w:id="9"/>
      </w:r>
      <w:r w:rsidRPr="00CC2C47">
        <w:rPr>
          <w:rFonts w:ascii="Verdana" w:eastAsia="Calibri" w:hAnsi="Verdana" w:cs="Arial"/>
          <w:color w:val="000000" w:themeColor="text1"/>
        </w:rPr>
        <w:t>.</w:t>
      </w:r>
    </w:p>
    <w:p w14:paraId="266070E4" w14:textId="77777777" w:rsidR="0032594D" w:rsidRDefault="0032594D" w:rsidP="0032594D">
      <w:pPr>
        <w:spacing w:after="0" w:line="276" w:lineRule="auto"/>
        <w:jc w:val="both"/>
        <w:rPr>
          <w:rFonts w:ascii="Verdana" w:eastAsia="Calibri" w:hAnsi="Verdana" w:cs="Arial"/>
          <w:lang w:val="es-ES"/>
        </w:rPr>
      </w:pPr>
    </w:p>
    <w:p w14:paraId="5CD79FFC" w14:textId="77777777" w:rsidR="0032594D" w:rsidRPr="009322DA" w:rsidRDefault="0032594D" w:rsidP="0032594D">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32594D" w:rsidRPr="009322DA" w14:paraId="4DA7F997" w14:textId="77777777" w:rsidTr="00CC5ED7">
        <w:trPr>
          <w:trHeight w:val="2046"/>
        </w:trPr>
        <w:tc>
          <w:tcPr>
            <w:tcW w:w="8647" w:type="dxa"/>
            <w:tcBorders>
              <w:top w:val="dotted" w:sz="4" w:space="0" w:color="auto"/>
              <w:left w:val="dotted" w:sz="4" w:space="0" w:color="auto"/>
              <w:bottom w:val="dotted" w:sz="4" w:space="0" w:color="auto"/>
              <w:right w:val="dotted" w:sz="4" w:space="0" w:color="auto"/>
            </w:tcBorders>
          </w:tcPr>
          <w:p w14:paraId="5721797C" w14:textId="77777777" w:rsidR="0032594D" w:rsidRPr="00CC2C47" w:rsidRDefault="0032594D" w:rsidP="0032594D">
            <w:pPr>
              <w:pStyle w:val="Prrafodelista"/>
              <w:numPr>
                <w:ilvl w:val="0"/>
                <w:numId w:val="17"/>
              </w:numPr>
              <w:spacing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Ley 80 de 1993, artículo 13, artículo 32. Disponible en:</w:t>
            </w:r>
          </w:p>
          <w:p w14:paraId="3A3E7C50"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hyperlink r:id="rId12" w:history="1">
              <w:r w:rsidRPr="00CC2C47">
                <w:rPr>
                  <w:rStyle w:val="Hipervnculo"/>
                  <w:rFonts w:ascii="Verdana" w:hAnsi="Verdana" w:cs="Arial"/>
                  <w:lang w:val="es-ES_tradnl"/>
                </w:rPr>
                <w:t>https://relatoria.colombiacompra.gov.co/normativa/ley-1712-de-2014/</w:t>
              </w:r>
            </w:hyperlink>
          </w:p>
          <w:p w14:paraId="0A33E2FB"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p>
          <w:p w14:paraId="03976977" w14:textId="77777777" w:rsidR="0032594D" w:rsidRPr="00CC2C47" w:rsidRDefault="0032594D" w:rsidP="0032594D">
            <w:pPr>
              <w:pStyle w:val="Prrafodelista"/>
              <w:numPr>
                <w:ilvl w:val="0"/>
                <w:numId w:val="17"/>
              </w:numPr>
              <w:spacing w:line="276" w:lineRule="auto"/>
              <w:ind w:right="709"/>
              <w:jc w:val="both"/>
              <w:rPr>
                <w:rStyle w:val="Hipervnculo"/>
                <w:rFonts w:ascii="Verdana" w:hAnsi="Verdana" w:cs="Arial"/>
                <w:color w:val="000000" w:themeColor="text1"/>
                <w:lang w:val="es-ES_tradnl"/>
              </w:rPr>
            </w:pPr>
            <w:r w:rsidRPr="00CC2C47">
              <w:rPr>
                <w:rFonts w:ascii="Verdana" w:hAnsi="Verdana" w:cs="Arial"/>
                <w:color w:val="000000" w:themeColor="text1"/>
                <w:lang w:val="es-ES_tradnl"/>
              </w:rPr>
              <w:t xml:space="preserve">Ley 1150 de 2007, artículo 2. Disponible en: </w:t>
            </w:r>
            <w:hyperlink r:id="rId13" w:history="1">
              <w:r w:rsidRPr="00CC2C47">
                <w:rPr>
                  <w:rStyle w:val="Hipervnculo"/>
                  <w:rFonts w:ascii="Verdana" w:hAnsi="Verdana" w:cs="Arial"/>
                  <w:lang w:val="es-ES_tradnl"/>
                </w:rPr>
                <w:t>https://relatoria.colombiacompra.gov.co/normativa/ley-1150-de-2007/</w:t>
              </w:r>
            </w:hyperlink>
          </w:p>
          <w:p w14:paraId="62B5A922"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p>
          <w:p w14:paraId="6E267250" w14:textId="77777777" w:rsidR="0032594D" w:rsidRPr="00CC2C47" w:rsidRDefault="0032594D" w:rsidP="0032594D">
            <w:pPr>
              <w:pStyle w:val="Prrafodelista"/>
              <w:numPr>
                <w:ilvl w:val="0"/>
                <w:numId w:val="17"/>
              </w:numPr>
              <w:spacing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 xml:space="preserve">Artículo </w:t>
            </w:r>
            <w:r w:rsidRPr="00CC2C47">
              <w:rPr>
                <w:rFonts w:ascii="Verdana" w:eastAsia="Calibri" w:hAnsi="Verdana" w:cs="Arial"/>
                <w:color w:val="000000" w:themeColor="text1"/>
              </w:rPr>
              <w:t xml:space="preserve">2.2.1.2.1.4.1 y </w:t>
            </w:r>
            <w:r w:rsidRPr="00CC2C47">
              <w:rPr>
                <w:rFonts w:ascii="Verdana" w:hAnsi="Verdana" w:cs="Arial"/>
                <w:color w:val="000000" w:themeColor="text1"/>
                <w:lang w:val="es-ES_tradnl"/>
              </w:rPr>
              <w:t>2.2.1.2.1.4.9</w:t>
            </w:r>
            <w:r w:rsidRPr="00CC2C47">
              <w:rPr>
                <w:rFonts w:ascii="Verdana" w:eastAsia="Times New Roman" w:hAnsi="Verdana" w:cs="Arial"/>
                <w:lang w:val="es-MX" w:eastAsia="es-ES_tradnl"/>
              </w:rPr>
              <w:t xml:space="preserve"> Decreto 1082 de 2015. </w:t>
            </w:r>
            <w:r w:rsidRPr="00CC2C47">
              <w:rPr>
                <w:rFonts w:ascii="Verdana" w:hAnsi="Verdana" w:cs="Arial"/>
                <w:color w:val="000000" w:themeColor="text1"/>
                <w:lang w:val="es-ES_tradnl"/>
              </w:rPr>
              <w:t>Disponible en</w:t>
            </w:r>
            <w:r w:rsidRPr="00CC2C47">
              <w:rPr>
                <w:rFonts w:ascii="Verdana" w:hAnsi="Verdana"/>
              </w:rPr>
              <w:t xml:space="preserve"> </w:t>
            </w:r>
          </w:p>
          <w:p w14:paraId="53FC55A8"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hyperlink r:id="rId14" w:history="1">
              <w:r w:rsidRPr="00CC2C47">
                <w:rPr>
                  <w:rStyle w:val="Hipervnculo"/>
                  <w:rFonts w:ascii="Verdana" w:eastAsia="Times New Roman" w:hAnsi="Verdana" w:cs="Arial"/>
                  <w:lang w:val="es-MX" w:eastAsia="es-ES_tradnl"/>
                </w:rPr>
                <w:t>https://relatoria.colombiacompra.gov.co/normativa/decreto-1082-de-2015/</w:t>
              </w:r>
            </w:hyperlink>
          </w:p>
          <w:p w14:paraId="126EEBC5"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p>
          <w:p w14:paraId="4457A0F5" w14:textId="77777777" w:rsidR="0032594D" w:rsidRPr="00CC2C47" w:rsidRDefault="0032594D" w:rsidP="0032594D">
            <w:pPr>
              <w:pStyle w:val="Prrafodelista"/>
              <w:numPr>
                <w:ilvl w:val="0"/>
                <w:numId w:val="17"/>
              </w:numPr>
              <w:spacing w:line="276" w:lineRule="auto"/>
              <w:ind w:right="709"/>
              <w:jc w:val="both"/>
              <w:rPr>
                <w:rFonts w:ascii="Verdana" w:hAnsi="Verdana"/>
              </w:rPr>
            </w:pPr>
            <w:r w:rsidRPr="00CC2C47">
              <w:rPr>
                <w:rFonts w:ascii="Verdana" w:hAnsi="Verdana" w:cs="Arial"/>
                <w:color w:val="000000" w:themeColor="text1"/>
                <w:lang w:val="es-ES_tradnl"/>
              </w:rPr>
              <w:t xml:space="preserve">Consejo de Estado, Sección Segunda, Sentencia de unificación por importancia jurídica del nueve (09) de septiembre de 2021. Radicado CE-SUJ2-025-21. Disponible en: </w:t>
            </w:r>
            <w:r w:rsidRPr="00CC2C47">
              <w:rPr>
                <w:rFonts w:ascii="Verdana" w:hAnsi="Verdana"/>
              </w:rPr>
              <w:t xml:space="preserve"> </w:t>
            </w:r>
          </w:p>
          <w:p w14:paraId="70C6C047" w14:textId="77777777" w:rsidR="0032594D" w:rsidRPr="00CC2C47" w:rsidRDefault="0032594D" w:rsidP="006866CF">
            <w:pPr>
              <w:pStyle w:val="Prrafodelista"/>
              <w:spacing w:line="276" w:lineRule="auto"/>
              <w:ind w:right="709"/>
              <w:jc w:val="both"/>
              <w:rPr>
                <w:rFonts w:ascii="Verdana" w:hAnsi="Verdana"/>
              </w:rPr>
            </w:pPr>
            <w:hyperlink r:id="rId15" w:history="1">
              <w:r w:rsidRPr="00CC2C47">
                <w:rPr>
                  <w:rStyle w:val="Hipervnculo"/>
                  <w:rFonts w:ascii="Verdana" w:hAnsi="Verdana"/>
                </w:rPr>
                <w:t>https://relatoria.colombiacompra.gov.co/providencias/05001-23-33-000-2013-01143-01_1317-16_ce-suj2-025-21/</w:t>
              </w:r>
            </w:hyperlink>
          </w:p>
          <w:p w14:paraId="13CB4581" w14:textId="77777777" w:rsidR="0032594D" w:rsidRPr="00CC2C47" w:rsidRDefault="0032594D" w:rsidP="006866CF">
            <w:pPr>
              <w:pStyle w:val="Prrafodelista"/>
              <w:spacing w:line="276" w:lineRule="auto"/>
              <w:ind w:right="709"/>
              <w:jc w:val="both"/>
              <w:rPr>
                <w:rFonts w:ascii="Verdana" w:hAnsi="Verdana"/>
              </w:rPr>
            </w:pPr>
          </w:p>
          <w:p w14:paraId="783613F1" w14:textId="2BCFD489" w:rsidR="002C5896" w:rsidRPr="002C5896" w:rsidRDefault="0032594D" w:rsidP="002C5896">
            <w:pPr>
              <w:pStyle w:val="Prrafodelista"/>
              <w:numPr>
                <w:ilvl w:val="0"/>
                <w:numId w:val="17"/>
              </w:numPr>
              <w:spacing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lastRenderedPageBreak/>
              <w:t xml:space="preserve">CONSEJO DE ESTADO. Sección Tercera. Subsección C. Sentencia del 2 de diciembre de 2013. Consejero Ponente: Jaime Orlando Santofimio Gamboa. </w:t>
            </w:r>
            <w:proofErr w:type="spellStart"/>
            <w:r w:rsidRPr="00CC2C47">
              <w:rPr>
                <w:rFonts w:ascii="Verdana" w:hAnsi="Verdana" w:cs="Arial"/>
                <w:color w:val="000000" w:themeColor="text1"/>
                <w:lang w:val="es-ES_tradnl"/>
              </w:rPr>
              <w:t>Exp</w:t>
            </w:r>
            <w:proofErr w:type="spellEnd"/>
            <w:r w:rsidRPr="00CC2C47">
              <w:rPr>
                <w:rFonts w:ascii="Verdana" w:hAnsi="Verdana" w:cs="Arial"/>
                <w:color w:val="000000" w:themeColor="text1"/>
                <w:lang w:val="es-ES_tradnl"/>
              </w:rPr>
              <w:t>. 41719. Disponible en:</w:t>
            </w:r>
            <w:r w:rsidRPr="00CC2C47">
              <w:rPr>
                <w:rFonts w:ascii="Verdana" w:hAnsi="Verdana"/>
              </w:rPr>
              <w:t xml:space="preserve"> </w:t>
            </w:r>
            <w:hyperlink r:id="rId16" w:history="1">
              <w:r w:rsidRPr="00CC2C47">
                <w:rPr>
                  <w:rStyle w:val="Hipervnculo"/>
                  <w:rFonts w:ascii="Verdana" w:hAnsi="Verdana" w:cs="Arial"/>
                  <w:lang w:val="es-ES_tradnl"/>
                </w:rPr>
                <w:t>https://relatoria.colombiacompra.gov.co/providencias/11001-03-26-000-2011-00039-00_41719/</w:t>
              </w:r>
            </w:hyperlink>
          </w:p>
        </w:tc>
      </w:tr>
    </w:tbl>
    <w:p w14:paraId="401EE534" w14:textId="77777777" w:rsidR="0032594D" w:rsidRPr="009322DA" w:rsidRDefault="0032594D" w:rsidP="0032594D">
      <w:pPr>
        <w:tabs>
          <w:tab w:val="left" w:pos="142"/>
          <w:tab w:val="left" w:pos="284"/>
        </w:tabs>
        <w:spacing w:after="0" w:line="276" w:lineRule="auto"/>
        <w:jc w:val="both"/>
        <w:rPr>
          <w:rFonts w:ascii="Verdana" w:eastAsia="Calibri" w:hAnsi="Verdana" w:cs="Arial"/>
        </w:rPr>
      </w:pPr>
    </w:p>
    <w:p w14:paraId="7C4BE370" w14:textId="77777777" w:rsidR="0032594D" w:rsidRDefault="0032594D" w:rsidP="0032594D">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066140F1" w14:textId="77777777" w:rsidR="0032594D" w:rsidRPr="009322DA" w:rsidRDefault="0032594D" w:rsidP="0032594D">
      <w:pPr>
        <w:tabs>
          <w:tab w:val="left" w:pos="142"/>
          <w:tab w:val="left" w:pos="284"/>
        </w:tabs>
        <w:spacing w:after="0" w:line="276" w:lineRule="auto"/>
        <w:jc w:val="both"/>
        <w:rPr>
          <w:rFonts w:ascii="Verdana" w:eastAsia="Century Gothic" w:hAnsi="Verdana" w:cs="Century Gothic"/>
          <w:b/>
          <w:bCs/>
          <w:lang w:val="es-ES"/>
        </w:rPr>
      </w:pPr>
    </w:p>
    <w:p w14:paraId="5C051DC3" w14:textId="77777777" w:rsidR="0032594D" w:rsidRPr="005B6FCD" w:rsidRDefault="0032594D" w:rsidP="0032594D">
      <w:pPr>
        <w:spacing w:after="0" w:line="276" w:lineRule="auto"/>
        <w:jc w:val="both"/>
        <w:rPr>
          <w:rFonts w:ascii="Verdana" w:hAnsi="Verdana" w:cs="Arial"/>
          <w:shd w:val="clear" w:color="auto" w:fill="FFFFFF"/>
        </w:rPr>
      </w:pPr>
      <w:r w:rsidRPr="005B6FCD">
        <w:rPr>
          <w:rFonts w:ascii="Verdana" w:hAnsi="Verdana" w:cs="Arial"/>
          <w:shd w:val="clear" w:color="auto" w:fill="FFFFFF"/>
        </w:rPr>
        <w:t>La Agencia Nacional de Contratación Pública – Colombia Compra Eficiente ha analizado los contratos de prestación de servicios artísticos, así como sus principales elementos, en los conceptos con radicado: C-491 del 14 de septiembre de 2021, C-517 del 30 de septiembre de 2021, C-181 del 07 de abril de 2022, C-966 del 01 de febrero de 2023</w:t>
      </w:r>
      <w:r>
        <w:rPr>
          <w:rFonts w:ascii="Verdana" w:hAnsi="Verdana" w:cs="Arial"/>
          <w:shd w:val="clear" w:color="auto" w:fill="FFFFFF"/>
        </w:rPr>
        <w:t>,</w:t>
      </w:r>
      <w:r w:rsidRPr="005B6FCD">
        <w:rPr>
          <w:rFonts w:ascii="Verdana" w:hAnsi="Verdana" w:cs="Arial"/>
          <w:shd w:val="clear" w:color="auto" w:fill="FFFFFF"/>
        </w:rPr>
        <w:t xml:space="preserve"> C-107 del 28 de mayo de 2024</w:t>
      </w:r>
      <w:r>
        <w:rPr>
          <w:rFonts w:ascii="Verdana" w:hAnsi="Verdana" w:cs="Arial"/>
          <w:shd w:val="clear" w:color="auto" w:fill="FFFFFF"/>
        </w:rPr>
        <w:t xml:space="preserve"> y C-101 de agosto de 2024</w:t>
      </w:r>
      <w:r w:rsidRPr="005B6FCD">
        <w:rPr>
          <w:rFonts w:ascii="Verdana" w:hAnsi="Verdana" w:cs="Arial"/>
          <w:shd w:val="clear" w:color="auto" w:fill="FFFFFF"/>
        </w:rPr>
        <w:t>. Estos y otros conceptos se encuentran disponibles para consulta en el Sistema de relatoría de la Agencia, al cual se puede acceder a través del siguiente enlace:</w:t>
      </w:r>
      <w:hyperlink r:id="rId17" w:history="1">
        <w:r w:rsidRPr="005B6FCD">
          <w:rPr>
            <w:rStyle w:val="Hipervnculo"/>
            <w:rFonts w:ascii="Verdana" w:hAnsi="Verdana" w:cs="Arial"/>
            <w:shd w:val="clear" w:color="auto" w:fill="FFFFFF"/>
            <w:lang w:val="es-ES"/>
          </w:rPr>
          <w:t>https://relatoria.colombiacompra.gov.co/busqueda/conceptos</w:t>
        </w:r>
      </w:hyperlink>
      <w:r w:rsidRPr="005B6FCD">
        <w:rPr>
          <w:rFonts w:ascii="Verdana" w:hAnsi="Verdana" w:cs="Arial"/>
          <w:shd w:val="clear" w:color="auto" w:fill="FFFFFF"/>
        </w:rPr>
        <w:t xml:space="preserve">. </w:t>
      </w:r>
    </w:p>
    <w:p w14:paraId="4B53B53B" w14:textId="77777777" w:rsidR="0032594D" w:rsidRDefault="0032594D" w:rsidP="0032594D">
      <w:pPr>
        <w:spacing w:after="0" w:line="276" w:lineRule="auto"/>
        <w:jc w:val="both"/>
        <w:rPr>
          <w:rFonts w:ascii="Verdana" w:eastAsia="Calibri" w:hAnsi="Verdana" w:cs="Arial"/>
          <w:color w:val="000000" w:themeColor="text1"/>
          <w:shd w:val="clear" w:color="auto" w:fill="FFFFFF"/>
        </w:rPr>
      </w:pPr>
    </w:p>
    <w:p w14:paraId="578082ED" w14:textId="77777777" w:rsidR="002C5896" w:rsidRPr="00B03483" w:rsidRDefault="002C5896" w:rsidP="002C5896">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8" w:tgtFrame="_blank" w:tooltip="Dirección URL original: https://www.colombiacompra.gov.co/sites/cce_public/files/cce_documents/manual_para_el_manejo_de_acuerdos_comerciales_vf.pdf. Haga clic o pulse si confía en este vínculo." w:history="1">
        <w:r w:rsidRPr="00B03483">
          <w:rPr>
            <w:rStyle w:val="Hipervnculo"/>
            <w:rFonts w:ascii="Verdana" w:hAnsi="Verdana"/>
            <w:sz w:val="22"/>
            <w:szCs w:val="22"/>
            <w:shd w:val="clear" w:color="auto" w:fill="FFFFFF"/>
            <w:lang w:val="es-CO"/>
          </w:rPr>
          <w:t>manual_para_el_manejo_de_acuerdos_comerciales_vf.pdf</w:t>
        </w:r>
      </w:hyperlink>
    </w:p>
    <w:p w14:paraId="782BB515" w14:textId="77777777" w:rsidR="002C5896" w:rsidRPr="00B03483" w:rsidRDefault="002C5896" w:rsidP="002C5896">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De otra parte, te contamos que ya publicamos el borrador de la nueva Guía para Incentivar la Participación de Mujeres en el Sistema de Compras y Contratación Pública. Conoce el documento y realiza tus comentarios hasta el 2 de diciembre de 2024</w:t>
      </w:r>
      <w:r w:rsidRPr="00B03483">
        <w:rPr>
          <w:rFonts w:ascii="Verdana" w:hAnsi="Verdana"/>
          <w:b/>
          <w:bCs/>
          <w:color w:val="000000"/>
          <w:sz w:val="22"/>
          <w:szCs w:val="22"/>
          <w:shd w:val="clear" w:color="auto" w:fill="FFFFFF"/>
          <w:lang w:val="es-CO"/>
        </w:rPr>
        <w:t> </w:t>
      </w:r>
      <w:r w:rsidRPr="00B03483">
        <w:rPr>
          <w:rFonts w:ascii="Verdana" w:hAnsi="Verdana"/>
          <w:color w:val="000000"/>
          <w:sz w:val="22"/>
          <w:szCs w:val="22"/>
          <w:shd w:val="clear" w:color="auto" w:fill="FFFFFF"/>
          <w:lang w:val="es-CO"/>
        </w:rPr>
        <w:t>a través de estos enlaces:</w:t>
      </w:r>
    </w:p>
    <w:p w14:paraId="3FCED18D" w14:textId="77777777" w:rsidR="002C5896" w:rsidRPr="00B03483" w:rsidRDefault="002C5896" w:rsidP="002C5896">
      <w:pPr>
        <w:pStyle w:val="Textonotapie"/>
        <w:numPr>
          <w:ilvl w:val="0"/>
          <w:numId w:val="20"/>
        </w:numPr>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Enlace página ANCP-CCE: </w:t>
      </w:r>
      <w:hyperlink r:id="rId19" w:tgtFrame="_blank" w:tooltip="Dirección URL original: https://www.colombiacompra.gov.co/content/convocatorias. Haga clic o pulse si confía en este vínculo." w:history="1">
        <w:r w:rsidRPr="00B03483">
          <w:rPr>
            <w:rStyle w:val="Hipervnculo"/>
            <w:rFonts w:ascii="Verdana" w:hAnsi="Verdana"/>
            <w:sz w:val="22"/>
            <w:szCs w:val="22"/>
            <w:shd w:val="clear" w:color="auto" w:fill="FFFFFF"/>
            <w:lang w:val="es-CO"/>
          </w:rPr>
          <w:t>https://www.colombiacompra.gov.co/content/convocatorias</w:t>
        </w:r>
      </w:hyperlink>
    </w:p>
    <w:p w14:paraId="7C49EFDA" w14:textId="77777777" w:rsidR="002C5896" w:rsidRPr="00B03483" w:rsidRDefault="002C5896" w:rsidP="002C5896">
      <w:pPr>
        <w:pStyle w:val="Textonotapie"/>
        <w:numPr>
          <w:ilvl w:val="0"/>
          <w:numId w:val="20"/>
        </w:numPr>
        <w:spacing w:line="276" w:lineRule="auto"/>
        <w:jc w:val="both"/>
        <w:rPr>
          <w:rFonts w:ascii="Verdana" w:hAnsi="Verdana"/>
          <w:color w:val="000000"/>
          <w:sz w:val="22"/>
          <w:szCs w:val="22"/>
          <w:shd w:val="clear" w:color="auto" w:fill="FFFFFF"/>
          <w:lang w:val="en-US"/>
        </w:rPr>
      </w:pPr>
      <w:r w:rsidRPr="00B03483">
        <w:rPr>
          <w:rFonts w:ascii="Verdana" w:hAnsi="Verdana"/>
          <w:color w:val="000000"/>
          <w:sz w:val="22"/>
          <w:szCs w:val="22"/>
          <w:shd w:val="clear" w:color="auto" w:fill="FFFFFF"/>
          <w:lang w:val="en-US"/>
        </w:rPr>
        <w:t>Enlace SUCOP:  </w:t>
      </w:r>
      <w:hyperlink r:id="rId20" w:tgtFrame="_blank" w:tooltip="Dirección URL original: https://www.sucop.gov.co/entidades/colombiacompra/Normativa?IDNorma=19201. Haga clic o pulse si confía en este vínculo." w:history="1">
        <w:r w:rsidRPr="00B03483">
          <w:rPr>
            <w:rStyle w:val="Hipervnculo"/>
            <w:rFonts w:ascii="Verdana" w:hAnsi="Verdana"/>
            <w:sz w:val="22"/>
            <w:szCs w:val="22"/>
            <w:shd w:val="clear" w:color="auto" w:fill="FFFFFF"/>
            <w:lang w:val="en-US"/>
          </w:rPr>
          <w:t>https://www.sucop.gov.co/entidades/colombiacompra/Normativa?IDNorma=19201</w:t>
        </w:r>
      </w:hyperlink>
    </w:p>
    <w:p w14:paraId="3B837209" w14:textId="77777777" w:rsidR="002C5896" w:rsidRPr="00B03483" w:rsidRDefault="002C5896" w:rsidP="002C5896">
      <w:pPr>
        <w:pStyle w:val="Textonotapie"/>
        <w:spacing w:line="276" w:lineRule="auto"/>
        <w:jc w:val="both"/>
        <w:rPr>
          <w:rFonts w:ascii="Verdana" w:hAnsi="Verdana"/>
          <w:color w:val="000000"/>
          <w:sz w:val="22"/>
          <w:szCs w:val="22"/>
          <w:shd w:val="clear" w:color="auto" w:fill="FFFFFF"/>
          <w:lang w:val="en-US"/>
        </w:rPr>
      </w:pPr>
      <w:r w:rsidRPr="00B03483">
        <w:rPr>
          <w:rFonts w:ascii="Verdana" w:hAnsi="Verdana"/>
          <w:color w:val="000000"/>
          <w:sz w:val="22"/>
          <w:szCs w:val="22"/>
          <w:shd w:val="clear" w:color="auto" w:fill="FFFFFF"/>
          <w:lang w:val="en-US"/>
        </w:rPr>
        <w:t> </w:t>
      </w:r>
    </w:p>
    <w:p w14:paraId="3CBA9637" w14:textId="77777777" w:rsidR="002C5896" w:rsidRPr="00B03483" w:rsidRDefault="002C5896" w:rsidP="002C5896">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 xml:space="preserve">También le invitamos a consultar la versión VII  de 2024 , del Boletín de Relatoría de la Subdirección de Gestión Contractual relacionado con las ASOCIACIONES </w:t>
      </w:r>
      <w:r w:rsidRPr="00B03483">
        <w:rPr>
          <w:rFonts w:ascii="Verdana" w:hAnsi="Verdana"/>
          <w:color w:val="000000"/>
          <w:sz w:val="22"/>
          <w:szCs w:val="22"/>
          <w:shd w:val="clear" w:color="auto" w:fill="FFFFFF"/>
          <w:lang w:val="es-CO"/>
        </w:rPr>
        <w:lastRenderedPageBreak/>
        <w:t>PÚBLICO POPULARES , el cual se puede descargar en la página web de la Agencia: </w:t>
      </w:r>
      <w:hyperlink r:id="rId21" w:tgtFrame="_blank" w:tooltip="Dirección URL original: https://www.colombiacompra.gov.co/sala-de-prensa/boletin-digital. Haga clic o pulse si confía en este vínculo." w:history="1">
        <w:r w:rsidRPr="00B03483">
          <w:rPr>
            <w:rStyle w:val="Hipervnculo"/>
            <w:rFonts w:ascii="Verdana" w:hAnsi="Verdana"/>
            <w:sz w:val="22"/>
            <w:szCs w:val="22"/>
            <w:shd w:val="clear" w:color="auto" w:fill="FFFFFF"/>
            <w:lang w:val="es-CO"/>
          </w:rPr>
          <w:t>https://www.colombiacompra.gov.co/sala-de-prensa/boletin-digital</w:t>
        </w:r>
      </w:hyperlink>
      <w:r w:rsidRPr="00B03483">
        <w:rPr>
          <w:rFonts w:ascii="Verdana" w:hAnsi="Verdana"/>
          <w:color w:val="000000"/>
          <w:sz w:val="22"/>
          <w:szCs w:val="22"/>
          <w:shd w:val="clear" w:color="auto" w:fill="FFFFFF"/>
          <w:lang w:val="es-CO"/>
        </w:rPr>
        <w:t> ".</w:t>
      </w:r>
    </w:p>
    <w:p w14:paraId="5D2198BE" w14:textId="77777777" w:rsidR="002C5896" w:rsidRPr="00B03483" w:rsidRDefault="002C5896" w:rsidP="002C5896">
      <w:pPr>
        <w:pStyle w:val="Textonotapie"/>
        <w:spacing w:line="276" w:lineRule="auto"/>
        <w:jc w:val="both"/>
        <w:rPr>
          <w:rFonts w:ascii="Verdana" w:hAnsi="Verdana"/>
          <w:color w:val="000000"/>
          <w:sz w:val="22"/>
          <w:szCs w:val="22"/>
          <w:shd w:val="clear" w:color="auto" w:fill="FFFFFF"/>
          <w:lang w:val="es-CO"/>
        </w:rPr>
      </w:pPr>
    </w:p>
    <w:p w14:paraId="6CED85EA" w14:textId="77777777" w:rsidR="002C5896" w:rsidRPr="00FD28DB" w:rsidRDefault="002C5896" w:rsidP="002C5896">
      <w:pPr>
        <w:pStyle w:val="Textonotapie"/>
        <w:spacing w:line="276" w:lineRule="auto"/>
        <w:jc w:val="both"/>
        <w:rPr>
          <w:rFonts w:ascii="Verdana" w:hAnsi="Verdana"/>
          <w:color w:val="000000"/>
          <w:sz w:val="22"/>
          <w:szCs w:val="22"/>
          <w:shd w:val="clear" w:color="auto" w:fill="FFFFFF"/>
          <w:lang w:val="es-ES"/>
        </w:rPr>
      </w:pPr>
      <w:r w:rsidRPr="00B03483">
        <w:rPr>
          <w:rFonts w:ascii="Verdana" w:hAnsi="Verdana"/>
          <w:color w:val="000000"/>
          <w:sz w:val="22"/>
          <w:szCs w:val="22"/>
          <w:shd w:val="clear" w:color="auto" w:fill="FFFFFF"/>
          <w:lang w:val="es-ES"/>
        </w:rPr>
        <w:t>De otra parte, te contamos que ya publicamos el borrador de la nueva Guía de Contratación Pública Sostenible y Socialmente Responsable. Conoce el documento y realiza tus comentarios hasta el 14 de noviembre de 2024 a través del siguiente enlace: </w:t>
      </w:r>
      <w:hyperlink r:id="rId22" w:tgtFrame="_blank" w:tooltip="Dirección URL original: https://www.sucop.gov.co/entidades/colombiacompra/Normativa?IDNorma=18320. Haga clic o pulse si confía en este vínculo." w:history="1">
        <w:r w:rsidRPr="00B03483">
          <w:rPr>
            <w:rStyle w:val="Hipervnculo"/>
            <w:rFonts w:ascii="Verdana" w:hAnsi="Verdana"/>
            <w:sz w:val="22"/>
            <w:szCs w:val="22"/>
            <w:shd w:val="clear" w:color="auto" w:fill="FFFFFF"/>
            <w:lang w:val="es-ES"/>
          </w:rPr>
          <w:t>https://www.sucop.gov.co/entidades/colombiacompra/Normativa?IDNorma=18320</w:t>
        </w:r>
      </w:hyperlink>
      <w:r w:rsidRPr="00FD28DB">
        <w:rPr>
          <w:rFonts w:ascii="Verdana" w:hAnsi="Verdana"/>
          <w:color w:val="000000"/>
          <w:sz w:val="22"/>
          <w:szCs w:val="22"/>
          <w:shd w:val="clear" w:color="auto" w:fill="FFFFFF"/>
          <w:lang w:val="es-ES"/>
        </w:rPr>
        <w:t>  </w:t>
      </w:r>
    </w:p>
    <w:p w14:paraId="7D800B23" w14:textId="77777777" w:rsidR="0032594D" w:rsidRPr="009322DA" w:rsidRDefault="0032594D" w:rsidP="0032594D">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34384A95" w14:textId="77777777" w:rsidR="0032594D" w:rsidRPr="0044528D" w:rsidRDefault="0032594D" w:rsidP="0032594D">
      <w:pPr>
        <w:spacing w:after="0" w:line="240" w:lineRule="auto"/>
        <w:jc w:val="both"/>
        <w:rPr>
          <w:rFonts w:ascii="Verdana" w:hAnsi="Verdana"/>
        </w:rPr>
      </w:pPr>
    </w:p>
    <w:p w14:paraId="6E91FC2F" w14:textId="77777777" w:rsidR="0032594D" w:rsidRPr="0044528D" w:rsidRDefault="0032594D" w:rsidP="0032594D">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718490E8" w14:textId="77777777" w:rsidR="0032594D" w:rsidRPr="0044528D" w:rsidRDefault="0032594D" w:rsidP="0032594D">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05B7FB9C" w14:textId="77777777" w:rsidR="0032594D" w:rsidRPr="0044528D" w:rsidRDefault="0032594D" w:rsidP="0032594D">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7E3C55BA" w14:textId="77777777" w:rsidR="0032594D" w:rsidRPr="0044528D" w:rsidRDefault="0032594D" w:rsidP="0032594D">
      <w:pPr>
        <w:widowControl w:val="0"/>
        <w:autoSpaceDE w:val="0"/>
        <w:autoSpaceDN w:val="0"/>
        <w:spacing w:after="0" w:line="276" w:lineRule="auto"/>
        <w:jc w:val="both"/>
        <w:rPr>
          <w:rFonts w:ascii="Verdana" w:hAnsi="Verdana"/>
        </w:rPr>
      </w:pPr>
    </w:p>
    <w:p w14:paraId="6BB1BA67" w14:textId="77777777" w:rsidR="0032594D" w:rsidRPr="009322DA" w:rsidRDefault="0032594D" w:rsidP="0032594D">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1C48E8BF" w14:textId="77777777" w:rsidR="0032594D" w:rsidRPr="009322DA" w:rsidRDefault="0032594D" w:rsidP="0032594D">
      <w:pPr>
        <w:widowControl w:val="0"/>
        <w:autoSpaceDE w:val="0"/>
        <w:autoSpaceDN w:val="0"/>
        <w:spacing w:after="0" w:line="276" w:lineRule="auto"/>
        <w:jc w:val="both"/>
        <w:rPr>
          <w:rFonts w:ascii="Verdana" w:eastAsia="Calibri" w:hAnsi="Verdana" w:cs="Arial"/>
        </w:rPr>
      </w:pPr>
    </w:p>
    <w:p w14:paraId="3415AD72" w14:textId="77777777" w:rsidR="0032594D" w:rsidRPr="009322DA" w:rsidRDefault="0032594D" w:rsidP="0032594D">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3EABC1E2" w14:textId="5B0FED23" w:rsidR="0032594D" w:rsidRPr="009322DA" w:rsidRDefault="00CC5ED7" w:rsidP="0032594D">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0D09432A" wp14:editId="12C37CF9">
            <wp:extent cx="3771900" cy="118110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3"/>
                    <a:stretch>
                      <a:fillRect/>
                    </a:stretch>
                  </pic:blipFill>
                  <pic:spPr>
                    <a:xfrm>
                      <a:off x="0" y="0"/>
                      <a:ext cx="3772437" cy="1181268"/>
                    </a:xfrm>
                    <a:prstGeom prst="rect">
                      <a:avLst/>
                    </a:prstGeom>
                  </pic:spPr>
                </pic:pic>
              </a:graphicData>
            </a:graphic>
          </wp:inline>
        </w:drawing>
      </w:r>
    </w:p>
    <w:tbl>
      <w:tblPr>
        <w:tblW w:w="70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6015"/>
      </w:tblGrid>
      <w:tr w:rsidR="002C5896" w:rsidRPr="00CE4481" w14:paraId="665F3A58" w14:textId="77777777" w:rsidTr="003746D7">
        <w:trPr>
          <w:trHeight w:val="430"/>
        </w:trPr>
        <w:tc>
          <w:tcPr>
            <w:tcW w:w="993" w:type="dxa"/>
            <w:tcBorders>
              <w:top w:val="nil"/>
              <w:left w:val="nil"/>
              <w:bottom w:val="nil"/>
              <w:right w:val="nil"/>
            </w:tcBorders>
            <w:vAlign w:val="center"/>
            <w:hideMark/>
          </w:tcPr>
          <w:p w14:paraId="5A03BBFE" w14:textId="77777777" w:rsidR="002C5896" w:rsidRPr="00CE4481" w:rsidRDefault="002C5896" w:rsidP="00F23AAD">
            <w:pPr>
              <w:spacing w:after="0"/>
              <w:jc w:val="both"/>
              <w:rPr>
                <w:rFonts w:ascii="Verdana" w:hAnsi="Verdana" w:cs="Arial"/>
                <w:sz w:val="16"/>
                <w:szCs w:val="16"/>
                <w:lang w:val="es-ES"/>
              </w:rPr>
            </w:pPr>
            <w:r w:rsidRPr="00CE4481">
              <w:rPr>
                <w:rFonts w:ascii="Verdana" w:hAnsi="Verdana" w:cs="Arial"/>
                <w:sz w:val="16"/>
                <w:szCs w:val="16"/>
                <w:lang w:val="es-ES"/>
              </w:rPr>
              <w:t>Elaboró: </w:t>
            </w:r>
          </w:p>
        </w:tc>
        <w:tc>
          <w:tcPr>
            <w:tcW w:w="6015" w:type="dxa"/>
            <w:tcBorders>
              <w:top w:val="nil"/>
              <w:left w:val="nil"/>
              <w:bottom w:val="dotted" w:sz="6" w:space="0" w:color="7F7F7F" w:themeColor="text1" w:themeTint="80"/>
              <w:right w:val="nil"/>
            </w:tcBorders>
            <w:vAlign w:val="center"/>
            <w:hideMark/>
          </w:tcPr>
          <w:p w14:paraId="5C4FF6C8" w14:textId="77777777" w:rsidR="002C5896" w:rsidRPr="00CE4481" w:rsidRDefault="002C5896" w:rsidP="00F23AAD">
            <w:pPr>
              <w:spacing w:after="0"/>
              <w:jc w:val="both"/>
              <w:rPr>
                <w:rFonts w:ascii="Verdana" w:hAnsi="Verdana" w:cs="Arial"/>
                <w:sz w:val="16"/>
                <w:szCs w:val="16"/>
                <w:lang w:val="es-ES"/>
              </w:rPr>
            </w:pPr>
            <w:r>
              <w:rPr>
                <w:rFonts w:ascii="Verdana" w:hAnsi="Verdana" w:cs="Arial"/>
                <w:sz w:val="16"/>
                <w:szCs w:val="16"/>
                <w:lang w:val="es-ES"/>
              </w:rPr>
              <w:t>Richard Andrés Montenegro Siefken</w:t>
            </w:r>
          </w:p>
          <w:p w14:paraId="02BB4BFF" w14:textId="77777777" w:rsidR="002C5896" w:rsidRPr="00CE4481" w:rsidRDefault="002C5896" w:rsidP="00F23AAD">
            <w:pPr>
              <w:spacing w:after="0"/>
              <w:jc w:val="both"/>
              <w:rPr>
                <w:rFonts w:ascii="Verdana" w:hAnsi="Verdana" w:cs="Arial"/>
                <w:sz w:val="16"/>
                <w:szCs w:val="16"/>
                <w:lang w:val="es-ES"/>
              </w:rPr>
            </w:pPr>
            <w:r>
              <w:rPr>
                <w:rFonts w:ascii="Verdana" w:hAnsi="Verdana" w:cs="Arial"/>
                <w:sz w:val="16"/>
                <w:szCs w:val="16"/>
                <w:lang w:val="es-ES"/>
              </w:rPr>
              <w:t>Contratista</w:t>
            </w:r>
            <w:r w:rsidRPr="00CE4481">
              <w:rPr>
                <w:rFonts w:ascii="Verdana" w:hAnsi="Verdana" w:cs="Arial"/>
                <w:sz w:val="16"/>
                <w:szCs w:val="16"/>
                <w:lang w:val="es-ES"/>
              </w:rPr>
              <w:t xml:space="preserve"> de la Subdirección de Gestión Contractual</w:t>
            </w:r>
          </w:p>
        </w:tc>
      </w:tr>
      <w:tr w:rsidR="002C5896" w:rsidRPr="00CE4481" w14:paraId="1AA7C56C" w14:textId="77777777" w:rsidTr="003746D7">
        <w:trPr>
          <w:trHeight w:val="430"/>
        </w:trPr>
        <w:tc>
          <w:tcPr>
            <w:tcW w:w="993" w:type="dxa"/>
            <w:tcBorders>
              <w:top w:val="nil"/>
              <w:left w:val="nil"/>
              <w:right w:val="nil"/>
            </w:tcBorders>
            <w:vAlign w:val="center"/>
          </w:tcPr>
          <w:p w14:paraId="6E4E3176" w14:textId="77777777" w:rsidR="002C5896" w:rsidRPr="00B03483" w:rsidRDefault="002C5896" w:rsidP="00F23AAD">
            <w:pPr>
              <w:spacing w:after="0"/>
              <w:rPr>
                <w:rStyle w:val="normaltextrun"/>
                <w:rFonts w:ascii="Verdana" w:eastAsia="Arial" w:hAnsi="Verdana"/>
                <w:color w:val="000000" w:themeColor="text1"/>
                <w:sz w:val="16"/>
                <w:szCs w:val="16"/>
                <w:lang w:val="es-ES"/>
              </w:rPr>
            </w:pPr>
            <w:r w:rsidRPr="00B03483">
              <w:rPr>
                <w:rStyle w:val="normaltextrun"/>
                <w:rFonts w:ascii="Verdana" w:eastAsia="Arial" w:hAnsi="Verdana"/>
                <w:color w:val="000000" w:themeColor="text1"/>
                <w:sz w:val="16"/>
                <w:szCs w:val="16"/>
                <w:lang w:val="es-ES"/>
              </w:rPr>
              <w:t>Revisó</w:t>
            </w:r>
          </w:p>
        </w:tc>
        <w:tc>
          <w:tcPr>
            <w:tcW w:w="6015" w:type="dxa"/>
            <w:tcBorders>
              <w:top w:val="dotted" w:sz="6" w:space="0" w:color="7F7F7F" w:themeColor="text1" w:themeTint="80"/>
              <w:left w:val="nil"/>
              <w:bottom w:val="dotted" w:sz="6" w:space="0" w:color="7F7F7F" w:themeColor="text1" w:themeTint="80"/>
              <w:right w:val="nil"/>
            </w:tcBorders>
            <w:vAlign w:val="center"/>
          </w:tcPr>
          <w:p w14:paraId="48CC7780" w14:textId="77777777" w:rsidR="002C5896" w:rsidRPr="00B03483" w:rsidRDefault="002C5896" w:rsidP="00F23AAD">
            <w:pPr>
              <w:spacing w:after="0"/>
              <w:rPr>
                <w:rStyle w:val="normaltextrun"/>
                <w:rFonts w:ascii="Verdana" w:eastAsia="Arial" w:hAnsi="Verdana" w:cs="Arial"/>
                <w:color w:val="000000" w:themeColor="text1"/>
                <w:sz w:val="16"/>
                <w:szCs w:val="16"/>
                <w:lang w:val="es-ES"/>
              </w:rPr>
            </w:pPr>
            <w:r w:rsidRPr="00B03483">
              <w:rPr>
                <w:rStyle w:val="normaltextrun"/>
                <w:rFonts w:ascii="Verdana" w:eastAsia="Arial" w:hAnsi="Verdana"/>
                <w:color w:val="000000" w:themeColor="text1"/>
                <w:sz w:val="16"/>
                <w:szCs w:val="16"/>
              </w:rPr>
              <w:t>Alejandro Raúl Sarmiento Cantillo</w:t>
            </w:r>
          </w:p>
          <w:p w14:paraId="6711383F" w14:textId="77777777" w:rsidR="002C5896" w:rsidRPr="00B03483" w:rsidRDefault="002C5896" w:rsidP="00F23AAD">
            <w:pPr>
              <w:spacing w:after="0"/>
              <w:rPr>
                <w:rStyle w:val="normaltextrun"/>
                <w:rFonts w:ascii="Verdana" w:eastAsia="Arial" w:hAnsi="Verdana"/>
                <w:color w:val="000000" w:themeColor="text1"/>
                <w:sz w:val="16"/>
                <w:szCs w:val="16"/>
                <w:lang w:val="es-ES"/>
              </w:rPr>
            </w:pPr>
            <w:r w:rsidRPr="00B03483">
              <w:rPr>
                <w:rStyle w:val="normaltextrun"/>
                <w:rFonts w:ascii="Verdana" w:eastAsia="Arial" w:hAnsi="Verdana" w:cs="Arial"/>
                <w:color w:val="000000" w:themeColor="text1"/>
                <w:sz w:val="16"/>
                <w:szCs w:val="16"/>
                <w:lang w:val="es-ES"/>
              </w:rPr>
              <w:t>Gestor código T1 grado 11 de la Subdirección de Gestión Contractual</w:t>
            </w:r>
          </w:p>
        </w:tc>
      </w:tr>
      <w:tr w:rsidR="002C5896" w:rsidRPr="00CE4481" w14:paraId="76CE8265" w14:textId="77777777" w:rsidTr="00CC5ED7">
        <w:trPr>
          <w:trHeight w:val="65"/>
        </w:trPr>
        <w:tc>
          <w:tcPr>
            <w:tcW w:w="993" w:type="dxa"/>
            <w:tcBorders>
              <w:top w:val="nil"/>
              <w:left w:val="nil"/>
              <w:bottom w:val="nil"/>
              <w:right w:val="nil"/>
            </w:tcBorders>
            <w:vAlign w:val="center"/>
            <w:hideMark/>
          </w:tcPr>
          <w:p w14:paraId="314D6F5E" w14:textId="77777777" w:rsidR="002C5896" w:rsidRPr="00CE4481" w:rsidRDefault="002C5896" w:rsidP="00F23AAD">
            <w:pPr>
              <w:spacing w:after="0"/>
              <w:jc w:val="both"/>
              <w:rPr>
                <w:rFonts w:ascii="Verdana" w:hAnsi="Verdana" w:cs="Arial"/>
                <w:sz w:val="16"/>
                <w:szCs w:val="16"/>
                <w:lang w:val="es-ES"/>
              </w:rPr>
            </w:pPr>
            <w:r w:rsidRPr="00CE4481">
              <w:rPr>
                <w:rFonts w:ascii="Verdana" w:hAnsi="Verdana" w:cs="Arial"/>
                <w:sz w:val="16"/>
                <w:szCs w:val="16"/>
                <w:lang w:val="es-ES"/>
              </w:rPr>
              <w:t>Aprobó: </w:t>
            </w:r>
          </w:p>
        </w:tc>
        <w:tc>
          <w:tcPr>
            <w:tcW w:w="6015" w:type="dxa"/>
            <w:tcBorders>
              <w:top w:val="dotted" w:sz="6" w:space="0" w:color="7F7F7F" w:themeColor="text1" w:themeTint="80"/>
              <w:left w:val="nil"/>
              <w:bottom w:val="dotted" w:sz="6" w:space="0" w:color="7F7F7F" w:themeColor="text1" w:themeTint="80"/>
              <w:right w:val="nil"/>
            </w:tcBorders>
            <w:vAlign w:val="center"/>
            <w:hideMark/>
          </w:tcPr>
          <w:p w14:paraId="02B6264B" w14:textId="77777777" w:rsidR="002C5896" w:rsidRPr="00CE4481" w:rsidRDefault="002C5896" w:rsidP="00F23AAD">
            <w:pPr>
              <w:spacing w:after="0"/>
              <w:rPr>
                <w:rFonts w:ascii="Verdana" w:eastAsia="Calibri" w:hAnsi="Verdana" w:cs="Arial"/>
                <w:sz w:val="16"/>
                <w:szCs w:val="16"/>
                <w:lang w:val="es-ES" w:eastAsia="es-ES"/>
              </w:rPr>
            </w:pPr>
            <w:r w:rsidRPr="00CE4481">
              <w:rPr>
                <w:rFonts w:ascii="Verdana" w:eastAsia="Calibri" w:hAnsi="Verdana" w:cs="Arial"/>
                <w:sz w:val="16"/>
                <w:szCs w:val="16"/>
                <w:lang w:val="es-ES" w:eastAsia="es-ES"/>
              </w:rPr>
              <w:t xml:space="preserve">Carolina Quintero </w:t>
            </w:r>
            <w:proofErr w:type="spellStart"/>
            <w:r w:rsidRPr="00CE4481">
              <w:rPr>
                <w:rFonts w:ascii="Verdana" w:eastAsia="Calibri" w:hAnsi="Verdana" w:cs="Arial"/>
                <w:sz w:val="16"/>
                <w:szCs w:val="16"/>
                <w:lang w:val="es-ES" w:eastAsia="es-ES"/>
              </w:rPr>
              <w:t>Gacharná</w:t>
            </w:r>
            <w:proofErr w:type="spellEnd"/>
          </w:p>
          <w:p w14:paraId="20E7C71E" w14:textId="77777777" w:rsidR="002C5896" w:rsidRPr="00CE4481" w:rsidRDefault="002C5896" w:rsidP="00F23AAD">
            <w:pPr>
              <w:spacing w:after="0"/>
              <w:jc w:val="both"/>
              <w:rPr>
                <w:rFonts w:ascii="Verdana" w:hAnsi="Verdana" w:cs="Arial"/>
                <w:sz w:val="16"/>
                <w:szCs w:val="16"/>
                <w:lang w:val="es-ES"/>
              </w:rPr>
            </w:pPr>
            <w:r w:rsidRPr="00CE4481">
              <w:rPr>
                <w:rFonts w:ascii="Verdana" w:hAnsi="Verdana" w:cs="Arial"/>
                <w:sz w:val="16"/>
                <w:szCs w:val="16"/>
                <w:lang w:val="es-ES"/>
              </w:rPr>
              <w:t>Subdirectora de Gestión Contractual ANCP – CCE</w:t>
            </w:r>
          </w:p>
        </w:tc>
      </w:tr>
    </w:tbl>
    <w:p w14:paraId="0F293BF4" w14:textId="7BBFAB11" w:rsidR="00127233" w:rsidRPr="0032594D" w:rsidRDefault="00127233" w:rsidP="00CC5ED7"/>
    <w:sectPr w:rsidR="00127233" w:rsidRPr="0032594D" w:rsidSect="007C0C0F">
      <w:headerReference w:type="default" r:id="rId24"/>
      <w:footerReference w:type="default" r:id="rId2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B106" w14:textId="77777777" w:rsidR="00B96B5B" w:rsidRDefault="00B96B5B" w:rsidP="004A1847">
      <w:pPr>
        <w:spacing w:after="0" w:line="240" w:lineRule="auto"/>
      </w:pPr>
      <w:r>
        <w:separator/>
      </w:r>
    </w:p>
  </w:endnote>
  <w:endnote w:type="continuationSeparator" w:id="0">
    <w:p w14:paraId="6AF82035" w14:textId="77777777" w:rsidR="00B96B5B" w:rsidRDefault="00B96B5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39B0E" w14:textId="77777777" w:rsidR="00B96B5B" w:rsidRDefault="00B96B5B" w:rsidP="004A1847">
      <w:pPr>
        <w:spacing w:after="0" w:line="240" w:lineRule="auto"/>
      </w:pPr>
      <w:r>
        <w:separator/>
      </w:r>
    </w:p>
  </w:footnote>
  <w:footnote w:type="continuationSeparator" w:id="0">
    <w:p w14:paraId="00B77030" w14:textId="77777777" w:rsidR="00B96B5B" w:rsidRDefault="00B96B5B" w:rsidP="004A1847">
      <w:pPr>
        <w:spacing w:after="0" w:line="240" w:lineRule="auto"/>
      </w:pPr>
      <w:r>
        <w:continuationSeparator/>
      </w:r>
    </w:p>
  </w:footnote>
  <w:footnote w:id="1">
    <w:p w14:paraId="6BD35A41" w14:textId="77777777" w:rsidR="0032594D" w:rsidRPr="003A0163" w:rsidRDefault="0032594D" w:rsidP="0032594D">
      <w:pPr>
        <w:pStyle w:val="Textoindependiente"/>
        <w:spacing w:line="276" w:lineRule="auto"/>
        <w:ind w:left="709" w:right="758"/>
        <w:jc w:val="both"/>
        <w:rPr>
          <w:rFonts w:ascii="Verdana" w:hAnsi="Verdana" w:cs="Arial"/>
          <w:color w:val="000000" w:themeColor="text1"/>
          <w:sz w:val="16"/>
          <w:szCs w:val="16"/>
        </w:rPr>
      </w:pPr>
      <w:r w:rsidRPr="003A0163">
        <w:rPr>
          <w:rStyle w:val="Refdenotaalpie"/>
          <w:rFonts w:ascii="Verdana" w:hAnsi="Verdana"/>
          <w:sz w:val="16"/>
          <w:szCs w:val="16"/>
        </w:rPr>
        <w:footnoteRef/>
      </w:r>
      <w:r w:rsidRPr="003A0163">
        <w:rPr>
          <w:rFonts w:ascii="Verdana" w:hAnsi="Verdana"/>
          <w:sz w:val="16"/>
          <w:szCs w:val="16"/>
        </w:rPr>
        <w:t xml:space="preserve"> </w:t>
      </w:r>
      <w:r w:rsidRPr="003A0163">
        <w:rPr>
          <w:rFonts w:ascii="Verdana" w:hAnsi="Verdana" w:cs="Arial"/>
          <w:color w:val="000000" w:themeColor="text1"/>
          <w:sz w:val="16"/>
          <w:szCs w:val="16"/>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263A5B4A" w14:textId="77777777" w:rsidR="0032594D" w:rsidRPr="003A0163" w:rsidRDefault="0032594D" w:rsidP="0032594D">
      <w:pPr>
        <w:pStyle w:val="Textoindependiente"/>
        <w:spacing w:line="276" w:lineRule="auto"/>
        <w:ind w:left="709" w:right="758"/>
        <w:jc w:val="both"/>
        <w:rPr>
          <w:rFonts w:ascii="Verdana" w:hAnsi="Verdana" w:cs="Arial"/>
          <w:color w:val="000000" w:themeColor="text1"/>
          <w:sz w:val="16"/>
          <w:szCs w:val="16"/>
        </w:rPr>
      </w:pPr>
      <w:r w:rsidRPr="003A0163">
        <w:rPr>
          <w:rFonts w:ascii="Verdana" w:hAnsi="Verdana" w:cs="Arial"/>
          <w:color w:val="000000" w:themeColor="text1"/>
          <w:sz w:val="16"/>
          <w:szCs w:val="16"/>
        </w:rPr>
        <w:t>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27CCDA1C" w14:textId="77777777" w:rsidR="0032594D" w:rsidRPr="003A0163" w:rsidRDefault="0032594D" w:rsidP="0032594D">
      <w:pPr>
        <w:pStyle w:val="Textoindependiente"/>
        <w:spacing w:line="276" w:lineRule="auto"/>
        <w:ind w:left="709" w:right="758"/>
        <w:jc w:val="both"/>
        <w:rPr>
          <w:rFonts w:ascii="Verdana" w:hAnsi="Verdana" w:cs="Arial"/>
          <w:color w:val="000000" w:themeColor="text1"/>
          <w:sz w:val="16"/>
          <w:szCs w:val="16"/>
        </w:rPr>
      </w:pPr>
      <w:r w:rsidRPr="003A0163">
        <w:rPr>
          <w:rFonts w:ascii="Verdana" w:hAnsi="Verdana" w:cs="Arial"/>
          <w:color w:val="000000" w:themeColor="text1"/>
          <w:sz w:val="16"/>
          <w:szCs w:val="16"/>
        </w:rPr>
        <w:t>La Entidad Estatal, para la contratación de trabajos artísticos que solamente puedan encomendarse a determinadas personas naturales, debe justificar esta situación en los estudios y documentos previos.”</w:t>
      </w:r>
    </w:p>
    <w:p w14:paraId="78D82ECC" w14:textId="77777777" w:rsidR="0032594D" w:rsidRDefault="0032594D" w:rsidP="0032594D">
      <w:pPr>
        <w:pStyle w:val="Textoindependiente"/>
        <w:spacing w:after="0" w:line="276" w:lineRule="auto"/>
        <w:ind w:left="720" w:right="104"/>
        <w:jc w:val="both"/>
        <w:rPr>
          <w:rFonts w:ascii="Verdana" w:eastAsia="Calibri" w:hAnsi="Verdana" w:cs="Arial"/>
          <w:color w:val="000000" w:themeColor="text1"/>
        </w:rPr>
      </w:pPr>
    </w:p>
    <w:p w14:paraId="18884504" w14:textId="77777777" w:rsidR="0032594D" w:rsidRPr="00D67AE9" w:rsidRDefault="0032594D" w:rsidP="0032594D">
      <w:pPr>
        <w:pStyle w:val="Textonotapie"/>
        <w:rPr>
          <w:lang w:val="es-ES"/>
        </w:rPr>
      </w:pPr>
    </w:p>
  </w:footnote>
  <w:footnote w:id="2">
    <w:p w14:paraId="3ECC7C80" w14:textId="77777777" w:rsidR="0032594D" w:rsidRDefault="0032594D" w:rsidP="0032594D">
      <w:pPr>
        <w:pStyle w:val="Textonotapie"/>
        <w:ind w:firstLine="709"/>
        <w:rPr>
          <w:rFonts w:ascii="Verdana" w:hAnsi="Verdana"/>
          <w:sz w:val="16"/>
          <w:szCs w:val="16"/>
          <w:lang w:val="es-CO"/>
        </w:rPr>
      </w:pPr>
      <w:r w:rsidRPr="00E24FF5">
        <w:rPr>
          <w:rStyle w:val="Refdenotaalpie"/>
          <w:rFonts w:ascii="Verdana" w:hAnsi="Verdana"/>
          <w:b/>
          <w:bCs/>
          <w:sz w:val="16"/>
          <w:szCs w:val="16"/>
        </w:rPr>
        <w:footnoteRef/>
      </w:r>
      <w:r w:rsidRPr="00E24FF5">
        <w:rPr>
          <w:rFonts w:ascii="Verdana" w:hAnsi="Verdana"/>
          <w:b/>
          <w:bCs/>
          <w:sz w:val="16"/>
          <w:szCs w:val="16"/>
        </w:rPr>
        <w:t xml:space="preserve"> </w:t>
      </w:r>
      <w:r w:rsidRPr="00553509">
        <w:rPr>
          <w:rFonts w:ascii="Verdana" w:hAnsi="Verdana"/>
          <w:sz w:val="16"/>
          <w:szCs w:val="16"/>
          <w:lang w:val="es-CO"/>
        </w:rPr>
        <w:t>Concepto C – 072 de 2023 expedido por la ANCP-CCE</w:t>
      </w:r>
    </w:p>
    <w:p w14:paraId="45D1105E" w14:textId="77777777" w:rsidR="0032594D" w:rsidRPr="00E24FF5" w:rsidRDefault="0032594D" w:rsidP="0032594D">
      <w:pPr>
        <w:pStyle w:val="Textonotapie"/>
        <w:ind w:firstLine="709"/>
        <w:rPr>
          <w:rFonts w:ascii="Verdana" w:hAnsi="Verdana"/>
          <w:b/>
          <w:bCs/>
          <w:sz w:val="16"/>
          <w:szCs w:val="16"/>
          <w:lang w:val="es-ES"/>
        </w:rPr>
      </w:pPr>
    </w:p>
  </w:footnote>
  <w:footnote w:id="3">
    <w:p w14:paraId="006DC623" w14:textId="77777777" w:rsidR="0032594D" w:rsidRPr="006A20BC" w:rsidRDefault="0032594D" w:rsidP="0032594D">
      <w:pPr>
        <w:pStyle w:val="Textonotapie"/>
        <w:ind w:firstLine="708"/>
        <w:jc w:val="both"/>
        <w:rPr>
          <w:rFonts w:ascii="Verdana" w:hAnsi="Verdana"/>
          <w:lang w:val="es-CO"/>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 xml:space="preserve">Artículo 2.2.1.2.1.4.1 del Decreto 1082 de 2015, señala: (…) </w:t>
      </w:r>
      <w:r w:rsidRPr="006A20BC">
        <w:rPr>
          <w:rFonts w:ascii="Verdana" w:hAnsi="Verdana"/>
          <w:sz w:val="16"/>
          <w:szCs w:val="16"/>
          <w:lang w:val="es-CO"/>
        </w:rPr>
        <w:t>Este acto administrativo no es necesario cuando el contrato a celebrar es de prestación de servicios profesionales y de apoyo a la gestión, y para los contratos de que tratan los literales (a) y (b) del artículo 2.2.1.2.1.4.3 del presente decreto. (…)</w:t>
      </w:r>
    </w:p>
    <w:p w14:paraId="0E56D3FB" w14:textId="77777777" w:rsidR="0032594D" w:rsidRPr="006A20BC" w:rsidRDefault="0032594D" w:rsidP="0032594D">
      <w:pPr>
        <w:pStyle w:val="Textonotapie"/>
        <w:ind w:firstLine="708"/>
        <w:jc w:val="both"/>
        <w:rPr>
          <w:rFonts w:ascii="Verdana" w:hAnsi="Verdana"/>
        </w:rPr>
      </w:pPr>
    </w:p>
  </w:footnote>
  <w:footnote w:id="4">
    <w:p w14:paraId="340EFE8E" w14:textId="77777777" w:rsidR="0032594D" w:rsidRPr="006A20BC" w:rsidRDefault="0032594D" w:rsidP="0032594D">
      <w:pPr>
        <w:pStyle w:val="Textonotapie"/>
        <w:ind w:firstLine="708"/>
        <w:rPr>
          <w:rFonts w:ascii="Verdana" w:hAnsi="Verdana"/>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Consejo de Estado, Sección Segunda, Sentencia de unificación por importancia jurídica del nueve (09) de septiembre de 2021. Radicado CE-SUJ2-025-21.</w:t>
      </w:r>
    </w:p>
    <w:p w14:paraId="3E485FAC" w14:textId="77777777" w:rsidR="0032594D" w:rsidRPr="006A20BC" w:rsidRDefault="0032594D" w:rsidP="0032594D">
      <w:pPr>
        <w:pStyle w:val="Textonotapie"/>
        <w:ind w:firstLine="708"/>
        <w:rPr>
          <w:rFonts w:ascii="Verdana" w:hAnsi="Verdana"/>
        </w:rPr>
      </w:pPr>
    </w:p>
  </w:footnote>
  <w:footnote w:id="5">
    <w:p w14:paraId="798B0FA7" w14:textId="77777777" w:rsidR="0032594D" w:rsidRPr="006A20BC" w:rsidRDefault="0032594D" w:rsidP="0032594D">
      <w:pPr>
        <w:pStyle w:val="Textonotapie"/>
        <w:ind w:firstLine="708"/>
        <w:jc w:val="both"/>
        <w:rPr>
          <w:rFonts w:ascii="Verdana" w:hAnsi="Verdana"/>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Numeral 2 del artículo 14 de la Ley 80 de 1993, señala: (…) Este acto administrativo no es necesario cuando el contrato a celebrar es de prestación de servicios profesionales y de apoyo a la gestión, y para los contratos de que tratan los literales (a) y (b) del artículo 2.2.1.2.1.4.3 del presente decreto. (…)</w:t>
      </w:r>
      <w:r w:rsidRPr="006A20BC">
        <w:rPr>
          <w:rFonts w:ascii="Verdana" w:hAnsi="Verdana"/>
          <w:lang w:val="es-CO"/>
        </w:rPr>
        <w:t xml:space="preserve"> </w:t>
      </w:r>
    </w:p>
  </w:footnote>
  <w:footnote w:id="6">
    <w:p w14:paraId="66E46ACF" w14:textId="77777777" w:rsidR="0032594D" w:rsidRPr="006A20BC" w:rsidRDefault="0032594D" w:rsidP="0032594D">
      <w:pPr>
        <w:pStyle w:val="Textonotapie"/>
        <w:ind w:firstLine="708"/>
        <w:rPr>
          <w:rFonts w:ascii="Verdana" w:hAnsi="Verdana"/>
          <w:sz w:val="16"/>
          <w:szCs w:val="16"/>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CONSEJO DE ESTADO. Sección Tercera. Subsección C. Sentencia del 2 de diciembre de 2013. Exp. 41719. Consejero Ponente: Jaime Orlando Santofimio Gamboa.</w:t>
      </w:r>
    </w:p>
    <w:p w14:paraId="63E26BD3" w14:textId="77777777" w:rsidR="0032594D" w:rsidRPr="006A20BC" w:rsidRDefault="0032594D" w:rsidP="0032594D">
      <w:pPr>
        <w:pStyle w:val="Textonotapie"/>
        <w:ind w:firstLine="708"/>
        <w:rPr>
          <w:rFonts w:ascii="Verdana" w:hAnsi="Verdana"/>
        </w:rPr>
      </w:pPr>
    </w:p>
  </w:footnote>
  <w:footnote w:id="7">
    <w:p w14:paraId="004F7BB0" w14:textId="77777777" w:rsidR="0032594D" w:rsidRDefault="0032594D" w:rsidP="0032594D">
      <w:pPr>
        <w:pStyle w:val="Textonotapie"/>
        <w:ind w:firstLine="709"/>
        <w:jc w:val="both"/>
        <w:rPr>
          <w:rFonts w:ascii="Verdana" w:hAnsi="Verdana"/>
          <w:sz w:val="16"/>
          <w:szCs w:val="16"/>
        </w:rPr>
      </w:pPr>
      <w:r w:rsidRPr="006A20BC">
        <w:rPr>
          <w:rStyle w:val="Refdenotaalpie"/>
          <w:rFonts w:ascii="Verdana" w:hAnsi="Verdana" w:cs="Arial"/>
          <w:color w:val="000000"/>
          <w:sz w:val="18"/>
          <w:szCs w:val="18"/>
        </w:rPr>
        <w:footnoteRef/>
      </w:r>
      <w:r w:rsidRPr="006A20BC">
        <w:rPr>
          <w:rFonts w:ascii="Verdana" w:hAnsi="Verdana" w:cs="Arial"/>
          <w:color w:val="000000"/>
          <w:sz w:val="18"/>
          <w:szCs w:val="18"/>
        </w:rPr>
        <w:t xml:space="preserve"> </w:t>
      </w:r>
      <w:r w:rsidRPr="006A20BC">
        <w:rPr>
          <w:rFonts w:ascii="Verdana" w:hAnsi="Verdana"/>
          <w:sz w:val="16"/>
          <w:szCs w:val="16"/>
        </w:rPr>
        <w:t>Íbídem.</w:t>
      </w:r>
    </w:p>
    <w:p w14:paraId="0448AFFC" w14:textId="77777777" w:rsidR="0032594D" w:rsidRPr="006A20BC" w:rsidRDefault="0032594D" w:rsidP="0032594D">
      <w:pPr>
        <w:pStyle w:val="Textonotapie"/>
        <w:ind w:firstLine="709"/>
        <w:jc w:val="both"/>
        <w:rPr>
          <w:rFonts w:ascii="Verdana" w:hAnsi="Verdana" w:cs="Arial"/>
          <w:color w:val="000000"/>
          <w:sz w:val="18"/>
          <w:szCs w:val="18"/>
          <w:lang w:val="es-ES"/>
        </w:rPr>
      </w:pPr>
    </w:p>
  </w:footnote>
  <w:footnote w:id="8">
    <w:p w14:paraId="73940DFE" w14:textId="77777777" w:rsidR="0032594D" w:rsidRDefault="0032594D" w:rsidP="0032594D">
      <w:pPr>
        <w:pStyle w:val="Textonotapie"/>
        <w:ind w:firstLine="709"/>
      </w:pPr>
      <w:r>
        <w:rPr>
          <w:rStyle w:val="Refdenotaalpie"/>
        </w:rPr>
        <w:footnoteRef/>
      </w:r>
      <w:r>
        <w:t xml:space="preserve"> Concepto C 707 de 2022 Expedido por la ANCP-CCE</w:t>
      </w:r>
    </w:p>
    <w:p w14:paraId="11E9C15F" w14:textId="77777777" w:rsidR="0032594D" w:rsidRPr="00B441C0" w:rsidRDefault="0032594D" w:rsidP="0032594D">
      <w:pPr>
        <w:pStyle w:val="Textonotapie"/>
        <w:ind w:firstLine="709"/>
        <w:rPr>
          <w:lang w:val="es-ES"/>
        </w:rPr>
      </w:pPr>
    </w:p>
  </w:footnote>
  <w:footnote w:id="9">
    <w:p w14:paraId="4FAC2304" w14:textId="77777777" w:rsidR="0032594D" w:rsidRPr="006A20BC" w:rsidRDefault="0032594D" w:rsidP="0032594D">
      <w:pPr>
        <w:pStyle w:val="Textonotapie"/>
        <w:ind w:firstLine="708"/>
        <w:jc w:val="both"/>
        <w:rPr>
          <w:rFonts w:ascii="Verdana" w:hAnsi="Verdana" w:cs="Arial"/>
          <w:sz w:val="19"/>
          <w:szCs w:val="19"/>
        </w:rPr>
      </w:pPr>
      <w:r w:rsidRPr="006A20BC">
        <w:rPr>
          <w:rStyle w:val="Refdenotaalpie"/>
          <w:rFonts w:ascii="Verdana" w:hAnsi="Verdana" w:cs="Arial"/>
          <w:sz w:val="19"/>
          <w:szCs w:val="19"/>
        </w:rPr>
        <w:footnoteRef/>
      </w:r>
      <w:r w:rsidRPr="006A20BC">
        <w:rPr>
          <w:rFonts w:ascii="Verdana" w:hAnsi="Verdana" w:cs="Arial"/>
          <w:sz w:val="19"/>
          <w:szCs w:val="19"/>
        </w:rPr>
        <w:t xml:space="preserve"> </w:t>
      </w:r>
      <w:r w:rsidRPr="006A20BC">
        <w:rPr>
          <w:rFonts w:ascii="Verdana" w:hAnsi="Verdana"/>
          <w:sz w:val="16"/>
          <w:szCs w:val="16"/>
        </w:rPr>
        <w:t xml:space="preserve">Respecto al alcance del literal h) del numeral 4 del artículo 2 de la Ley 1150 de 2007, la doctrina considera que «[…] El sentido de este enunciado normativo es que la razón que permite la contratación directa con dichas personas naturales es precisamente el conjunto de habilidades artísticas que reunen.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 (Cfr. DÍAZ DÍEZ, Cristian Andrés &amp; GÓMEZ VELÁSQUEZ, Alejandro. El contrato de prestación de servicios en el estatuto general de contratación de la administración pública: un tipo contractual de compleja celebración. Consultado el 27 de septiembre de 2021 en la página </w:t>
      </w:r>
      <w:hyperlink r:id="rId1" w:history="1">
        <w:r w:rsidRPr="006A20BC">
          <w:rPr>
            <w:sz w:val="16"/>
            <w:szCs w:val="16"/>
          </w:rPr>
          <w:t>https://revistas.javeriana.edu.co/files-articulos/VJ/139%20(2019-II)/82562148007/</w:t>
        </w:r>
      </w:hyperlink>
      <w:r w:rsidRPr="006A20BC">
        <w:rPr>
          <w:rFonts w:ascii="Verdana" w:hAnsi="Verdana"/>
          <w:sz w:val="16"/>
          <w:szCs w:val="16"/>
        </w:rPr>
        <w:t>).</w:t>
      </w:r>
      <w:r w:rsidRPr="006A20BC">
        <w:rPr>
          <w:rFonts w:ascii="Verdana" w:hAnsi="Verdana"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2C5DA8"/>
    <w:multiLevelType w:val="multilevel"/>
    <w:tmpl w:val="A4D6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471CDA"/>
    <w:multiLevelType w:val="hybridMultilevel"/>
    <w:tmpl w:val="643E2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D26707"/>
    <w:multiLevelType w:val="hybridMultilevel"/>
    <w:tmpl w:val="A3580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2"/>
  </w:num>
  <w:num w:numId="13" w16cid:durableId="1512908409">
    <w:abstractNumId w:val="4"/>
  </w:num>
  <w:num w:numId="14" w16cid:durableId="895897244">
    <w:abstractNumId w:val="16"/>
  </w:num>
  <w:num w:numId="15" w16cid:durableId="390349800">
    <w:abstractNumId w:val="11"/>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986087">
    <w:abstractNumId w:val="14"/>
  </w:num>
  <w:num w:numId="18" w16cid:durableId="1240015687">
    <w:abstractNumId w:val="5"/>
  </w:num>
  <w:num w:numId="19" w16cid:durableId="165172375">
    <w:abstractNumId w:val="17"/>
  </w:num>
  <w:num w:numId="20" w16cid:durableId="194788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C15F0"/>
    <w:rsid w:val="001C64A0"/>
    <w:rsid w:val="001D085A"/>
    <w:rsid w:val="001E4177"/>
    <w:rsid w:val="001F7DC6"/>
    <w:rsid w:val="002421BB"/>
    <w:rsid w:val="0025796E"/>
    <w:rsid w:val="002707A2"/>
    <w:rsid w:val="00271C3D"/>
    <w:rsid w:val="002951A0"/>
    <w:rsid w:val="002962BC"/>
    <w:rsid w:val="002A093D"/>
    <w:rsid w:val="002A0DD0"/>
    <w:rsid w:val="002A49AC"/>
    <w:rsid w:val="002A64FD"/>
    <w:rsid w:val="002C5896"/>
    <w:rsid w:val="002C7A84"/>
    <w:rsid w:val="002E4FD9"/>
    <w:rsid w:val="00322A85"/>
    <w:rsid w:val="00324168"/>
    <w:rsid w:val="0032594D"/>
    <w:rsid w:val="003448F4"/>
    <w:rsid w:val="003746D7"/>
    <w:rsid w:val="00374F5E"/>
    <w:rsid w:val="00377E3E"/>
    <w:rsid w:val="003A26D1"/>
    <w:rsid w:val="003A779E"/>
    <w:rsid w:val="003D0F4D"/>
    <w:rsid w:val="003D5B0D"/>
    <w:rsid w:val="003E0499"/>
    <w:rsid w:val="003F3941"/>
    <w:rsid w:val="00406575"/>
    <w:rsid w:val="0042722E"/>
    <w:rsid w:val="0044528D"/>
    <w:rsid w:val="0049728B"/>
    <w:rsid w:val="004A1847"/>
    <w:rsid w:val="004A305D"/>
    <w:rsid w:val="004C788A"/>
    <w:rsid w:val="004F21C4"/>
    <w:rsid w:val="004F685F"/>
    <w:rsid w:val="005566E8"/>
    <w:rsid w:val="00574867"/>
    <w:rsid w:val="00591460"/>
    <w:rsid w:val="00592628"/>
    <w:rsid w:val="005C3777"/>
    <w:rsid w:val="005C5CDC"/>
    <w:rsid w:val="005D476C"/>
    <w:rsid w:val="00610812"/>
    <w:rsid w:val="006219F8"/>
    <w:rsid w:val="00640613"/>
    <w:rsid w:val="00650FF7"/>
    <w:rsid w:val="00665D70"/>
    <w:rsid w:val="00671DAC"/>
    <w:rsid w:val="006900D9"/>
    <w:rsid w:val="006B2A2D"/>
    <w:rsid w:val="006D12F8"/>
    <w:rsid w:val="00706C16"/>
    <w:rsid w:val="00756841"/>
    <w:rsid w:val="007649AB"/>
    <w:rsid w:val="00771D0C"/>
    <w:rsid w:val="007833AC"/>
    <w:rsid w:val="007B268C"/>
    <w:rsid w:val="007B7171"/>
    <w:rsid w:val="007C0C0F"/>
    <w:rsid w:val="007C0CBE"/>
    <w:rsid w:val="007C3DC2"/>
    <w:rsid w:val="007E5497"/>
    <w:rsid w:val="00806F5F"/>
    <w:rsid w:val="00807CA2"/>
    <w:rsid w:val="00820278"/>
    <w:rsid w:val="008843B6"/>
    <w:rsid w:val="00891928"/>
    <w:rsid w:val="008A446D"/>
    <w:rsid w:val="008D180B"/>
    <w:rsid w:val="008F0EA7"/>
    <w:rsid w:val="009067E6"/>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6B66"/>
    <w:rsid w:val="00AB04B9"/>
    <w:rsid w:val="00AB0ADB"/>
    <w:rsid w:val="00AE0C61"/>
    <w:rsid w:val="00B01B1A"/>
    <w:rsid w:val="00B72CD3"/>
    <w:rsid w:val="00B72FFF"/>
    <w:rsid w:val="00B96B5B"/>
    <w:rsid w:val="00BA304A"/>
    <w:rsid w:val="00BC3D36"/>
    <w:rsid w:val="00BD7F72"/>
    <w:rsid w:val="00C04FB3"/>
    <w:rsid w:val="00C330EB"/>
    <w:rsid w:val="00C754BE"/>
    <w:rsid w:val="00C76B1C"/>
    <w:rsid w:val="00CB6357"/>
    <w:rsid w:val="00CC1B26"/>
    <w:rsid w:val="00CC5ED7"/>
    <w:rsid w:val="00CD03C4"/>
    <w:rsid w:val="00CD7C86"/>
    <w:rsid w:val="00D073C7"/>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07A7E"/>
    <w:rsid w:val="00F31EDC"/>
    <w:rsid w:val="00F462B3"/>
    <w:rsid w:val="00F5664F"/>
    <w:rsid w:val="00F666C4"/>
    <w:rsid w:val="00F76AFC"/>
    <w:rsid w:val="00FA47C0"/>
    <w:rsid w:val="00FB0D79"/>
    <w:rsid w:val="00FB5DD1"/>
    <w:rsid w:val="00FC2B5D"/>
    <w:rsid w:val="00FF1449"/>
    <w:rsid w:val="4D0B1D7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2594D"/>
    <w:pPr>
      <w:spacing w:line="240" w:lineRule="exact"/>
    </w:pPr>
    <w:rPr>
      <w:vertAlign w:val="superscript"/>
    </w:rPr>
  </w:style>
  <w:style w:type="table" w:customStyle="1" w:styleId="Tablaconcuadrcula1">
    <w:name w:val="Tabla con cuadrícula1"/>
    <w:basedOn w:val="Tablanormal"/>
    <w:next w:val="Tablaconcuadrcula"/>
    <w:uiPriority w:val="39"/>
    <w:qFormat/>
    <w:rsid w:val="003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32594D"/>
    <w:pPr>
      <w:spacing w:after="120"/>
    </w:pPr>
  </w:style>
  <w:style w:type="character" w:customStyle="1" w:styleId="TextoindependienteCar">
    <w:name w:val="Texto independiente Car"/>
    <w:basedOn w:val="Fuentedeprrafopredeter"/>
    <w:link w:val="Textoindependiente"/>
    <w:uiPriority w:val="1"/>
    <w:rsid w:val="0032594D"/>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2594D"/>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colombiacompra.gov.co%2Fsites%2Fcce_public%2Ffiles%2Fcce_documents%2Fmanual_para_el_manejo_de_acuerdos_comerciales_vf.pdf&amp;data=05%7C02%7Crichard.montenegro%40colombiacompra.gov.co%7C6192b0470d324981a09708dd0a6c28db%7C7b09041e245149d08cb179d5e3d8c1be%7C0%7C0%7C638678181870888306%7CUnknown%7CTWFpbGZsb3d8eyJFbXB0eU1hcGkiOnRydWUsIlYiOiIwLjAuMDAwMCIsIlAiOiJXaW4zMiIsIkFOIjoiTWFpbCIsIldUIjoyfQ%3D%3D%7C0%7C%7C%7C&amp;sdata=vFqsb63C8BLfx2dCgTygwronTaiHDzRWatf70Osgem8%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ala-de-prensa%2Fboletin-digital&amp;data=05%7C02%7Crichard.montenegro%40colombiacompra.gov.co%7C6192b0470d324981a09708dd0a6c28db%7C7b09041e245149d08cb179d5e3d8c1be%7C0%7C0%7C638678181870956554%7CUnknown%7CTWFpbGZsb3d8eyJFbXB0eU1hcGkiOnRydWUsIlYiOiIwLjAuMDAwMCIsIlAiOiJXaW4zMiIsIkFOIjoiTWFpbCIsIldUIjoyfQ%3D%3D%7C0%7C%7C%7C&amp;sdata=8lTLEULy0UvHb76H5sAIfCCgSBS%2FCvPh%2FSoM5lewfus%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normativa/ley-1712-de-2014/" TargetMode="External"/><Relationship Id="rId17" Type="http://schemas.openxmlformats.org/officeDocument/2006/relationships/hyperlink" Target="https://relatoria.colombiacompra.gov.co/busqueda/concepto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providencias/11001-03-26-000-2011-00039-00_41719/" TargetMode="External"/><Relationship Id="rId20" Type="http://schemas.openxmlformats.org/officeDocument/2006/relationships/hyperlink" Target="https://nam02.safelinks.protection.outlook.com/?url=https%3A%2F%2Fwww.sucop.gov.co%2Fentidades%2Fcolombiacompra%2FNormativa%3FIDNorma%3D19201&amp;data=05%7C02%7Crichard.montenegro%40colombiacompra.gov.co%7C6192b0470d324981a09708dd0a6c28db%7C7b09041e245149d08cb179d5e3d8c1be%7C0%7C0%7C638678181870936968%7CUnknown%7CTWFpbGZsb3d8eyJFbXB0eU1hcGkiOnRydWUsIlYiOiIwLjAuMDAwMCIsIlAiOiJXaW4zMiIsIkFOIjoiTWFpbCIsIldUIjoyfQ%3D%3D%7C0%7C%7C%7C&amp;sdata=V9sRJi0UW9maSpOwhkvFLw3wJZV5KL8NnvS%2BN7z9QAI%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mg9803@gmail.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elatoria.colombiacompra.gov.co/providencias/05001-23-33-000-2013-01143-01_1317-16_ce-suj2-025-21/" TargetMode="External"/><Relationship Id="rId23"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content%2Fconvocatorias&amp;data=05%7C02%7Crichard.montenegro%40colombiacompra.gov.co%7C6192b0470d324981a09708dd0a6c28db%7C7b09041e245149d08cb179d5e3d8c1be%7C0%7C0%7C638678181870912520%7CUnknown%7CTWFpbGZsb3d8eyJFbXB0eU1hcGkiOnRydWUsIlYiOiIwLjAuMDAwMCIsIlAiOiJXaW4zMiIsIkFOIjoiTWFpbCIsIldUIjoyfQ%3D%3D%7C0%7C%7C%7C&amp;sdata=vw0%2FvOrVO7B2r2KGXBXK8YtTq7NKoR%2BvcRRXqToAv3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decreto-1082-de-2015/" TargetMode="External"/><Relationship Id="rId22"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javeriana.edu.co/files-articulos/VJ/139%20(2019-II)/82562148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B75EFF8D-312B-427F-A33C-ACAFA7A2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3722</Words>
  <Characters>20472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2024-12-11T15:54:00Z</dcterms:created>
  <dcterms:modified xsi:type="dcterms:W3CDTF">2024-12-11T15:54:00Z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