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6E660" w14:textId="77777777" w:rsidR="00A83E4F" w:rsidRPr="00833CE2" w:rsidRDefault="00A83E4F" w:rsidP="00A83E4F">
      <w:pPr>
        <w:spacing w:after="0" w:line="240" w:lineRule="auto"/>
        <w:jc w:val="both"/>
        <w:rPr>
          <w:rFonts w:ascii="Verdana" w:eastAsia="Aptos" w:hAnsi="Verdana" w:cs="Arial"/>
          <w:b/>
          <w:sz w:val="20"/>
          <w:szCs w:val="20"/>
          <w:lang w:val="es-MX"/>
        </w:rPr>
      </w:pPr>
      <w:r w:rsidRPr="00833CE2">
        <w:rPr>
          <w:rFonts w:ascii="Verdana" w:eastAsia="Aptos" w:hAnsi="Verdana" w:cs="Arial"/>
          <w:b/>
          <w:sz w:val="20"/>
          <w:szCs w:val="20"/>
          <w:lang w:val="es-MX"/>
        </w:rPr>
        <w:t xml:space="preserve">PLIEGO DE CONDICIONES – Límites - Elaboración – Autonomía de la entidad - </w:t>
      </w:r>
    </w:p>
    <w:p w14:paraId="1270D8F4" w14:textId="77777777" w:rsidR="00A83E4F" w:rsidRPr="00833CE2" w:rsidRDefault="00A83E4F" w:rsidP="00A83E4F">
      <w:pPr>
        <w:spacing w:after="0" w:line="240" w:lineRule="auto"/>
        <w:jc w:val="both"/>
        <w:rPr>
          <w:rFonts w:ascii="Verdana" w:eastAsia="Aptos" w:hAnsi="Verdana" w:cs="Arial"/>
          <w:bCs/>
          <w:sz w:val="20"/>
          <w:szCs w:val="20"/>
          <w:lang w:val="es-MX"/>
        </w:rPr>
      </w:pPr>
    </w:p>
    <w:p w14:paraId="0E3FC795" w14:textId="77777777" w:rsidR="00A83E4F" w:rsidRPr="00833CE2" w:rsidRDefault="00A83E4F" w:rsidP="00A83E4F">
      <w:pPr>
        <w:spacing w:after="0" w:line="240" w:lineRule="auto"/>
        <w:jc w:val="both"/>
        <w:rPr>
          <w:rFonts w:ascii="Verdana" w:eastAsia="Calibri" w:hAnsi="Verdana" w:cs="Arial"/>
          <w:sz w:val="20"/>
          <w:szCs w:val="20"/>
        </w:rPr>
      </w:pPr>
      <w:r w:rsidRPr="00833CE2">
        <w:rPr>
          <w:rFonts w:ascii="Verdana" w:eastAsia="Aptos" w:hAnsi="Verdana" w:cs="Arial"/>
          <w:bCs/>
          <w:sz w:val="20"/>
          <w:szCs w:val="20"/>
          <w:lang w:val="es-MX"/>
        </w:rPr>
        <w:t xml:space="preserve">[…] </w:t>
      </w:r>
      <w:r w:rsidRPr="00833CE2">
        <w:rPr>
          <w:rFonts w:ascii="Verdana" w:eastAsia="Calibri" w:hAnsi="Verdana" w:cs="Arial"/>
          <w:sz w:val="20"/>
          <w:szCs w:val="20"/>
        </w:rPr>
        <w:t>las Entidades Estatales respecto de la estructuración de sus procesos de contratación, tienen unos límites procedimentales y sustanciales. Esto debido a que, la vocación de la ley y el reglamento es ser general y abstracto, por lo que pese a que las entidades deben ceñirse a las reglas allí dispuestas, serán estas las llamadas a llenar el contenido material del pliego de condiciones con fundamento en la información obtenida en la etapa de planeación, esto es, la necesidad concreta de la entidad, el presupuesto del proceso de selección, las condiciones propias del sector económico en el que se adelanta la contratación y demás factores. Lo anterior configura entonces, la potestad discrecional que le asiste a la Administración en la redacción y construcción de los pliegos de condiciones como expresión de la voluntad del ejecutor, ya que es este el que tiene el conocimiento específico requerido para la redacción del documento y será el llamado a ejecutar el proceso selección</w:t>
      </w:r>
    </w:p>
    <w:p w14:paraId="3FD868C9" w14:textId="77777777" w:rsidR="00A83E4F" w:rsidRPr="00833CE2" w:rsidRDefault="00A83E4F" w:rsidP="00A83E4F">
      <w:pPr>
        <w:spacing w:after="0" w:line="240" w:lineRule="auto"/>
        <w:jc w:val="both"/>
        <w:rPr>
          <w:rFonts w:ascii="Verdana" w:eastAsia="Calibri" w:hAnsi="Verdana" w:cs="Arial"/>
          <w:sz w:val="20"/>
          <w:szCs w:val="20"/>
        </w:rPr>
      </w:pPr>
    </w:p>
    <w:p w14:paraId="6C38AFB3" w14:textId="77777777" w:rsidR="00A83E4F" w:rsidRPr="00833CE2" w:rsidRDefault="00A83E4F" w:rsidP="00A83E4F">
      <w:pPr>
        <w:spacing w:after="0" w:line="240" w:lineRule="auto"/>
        <w:jc w:val="both"/>
        <w:rPr>
          <w:rFonts w:ascii="Verdana" w:eastAsia="Aptos" w:hAnsi="Verdana" w:cs="Arial"/>
          <w:b/>
          <w:lang w:val="es-MX"/>
        </w:rPr>
      </w:pPr>
      <w:r w:rsidRPr="00833CE2">
        <w:rPr>
          <w:rFonts w:ascii="Verdana" w:eastAsia="Aptos" w:hAnsi="Verdana" w:cs="Arial"/>
          <w:b/>
          <w:lang w:val="es-MX"/>
        </w:rPr>
        <w:t>SELECCIÓN DEL CONTRATISTA – Principio – Selección objetiva – Motivación subjetiva – Selección de la mejor oferta</w:t>
      </w:r>
    </w:p>
    <w:p w14:paraId="55B94735" w14:textId="77777777" w:rsidR="00A83E4F" w:rsidRPr="00833CE2" w:rsidRDefault="00A83E4F" w:rsidP="00A83E4F">
      <w:pPr>
        <w:spacing w:after="0" w:line="240" w:lineRule="auto"/>
        <w:jc w:val="both"/>
        <w:rPr>
          <w:rFonts w:ascii="Verdana" w:eastAsia="Aptos" w:hAnsi="Verdana" w:cs="Arial"/>
          <w:bCs/>
          <w:sz w:val="20"/>
          <w:szCs w:val="20"/>
          <w:lang w:val="es-MX"/>
        </w:rPr>
      </w:pPr>
    </w:p>
    <w:p w14:paraId="3FEDACB9" w14:textId="77777777" w:rsidR="00A83E4F" w:rsidRPr="00833CE2" w:rsidRDefault="00A83E4F" w:rsidP="00A83E4F">
      <w:pPr>
        <w:spacing w:after="0"/>
        <w:jc w:val="both"/>
        <w:rPr>
          <w:rFonts w:ascii="Verdana" w:eastAsia="Aptos" w:hAnsi="Verdana" w:cs="Arial"/>
          <w:bCs/>
          <w:sz w:val="20"/>
          <w:szCs w:val="20"/>
          <w:lang w:val="es-MX"/>
        </w:rPr>
      </w:pPr>
      <w:r w:rsidRPr="00833CE2">
        <w:rPr>
          <w:rFonts w:ascii="Verdana" w:eastAsia="Aptos" w:hAnsi="Verdana" w:cs="Arial"/>
          <w:bCs/>
          <w:sz w:val="20"/>
          <w:szCs w:val="20"/>
          <w:lang w:val="es-MX"/>
        </w:rPr>
        <w:t>[…] sobre esta última, es decir la selección objetiva, debe precisarse que al ser uno de los principios medulares de la contratación estatal, la selección del futuro contratista no puede motivarse en razones subjetivas que afecten la imparcialidad de la entidad pública, ya que, tal y como lo establece el artículo 5 de la Ley 1150 de 2007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capacidad jurídica, financiera y de organización, entre otros elementos que garanticen la escogencia de la mejor opción de negocio para la Entidad Estatal.</w:t>
      </w:r>
    </w:p>
    <w:p w14:paraId="1C080156" w14:textId="77777777" w:rsidR="00A83E4F" w:rsidRPr="00833CE2" w:rsidRDefault="00A83E4F" w:rsidP="00A83E4F">
      <w:pPr>
        <w:spacing w:after="0" w:line="240" w:lineRule="auto"/>
        <w:jc w:val="both"/>
        <w:rPr>
          <w:rFonts w:ascii="Verdana" w:eastAsia="Calibri" w:hAnsi="Verdana" w:cs="Arial"/>
          <w:sz w:val="20"/>
          <w:szCs w:val="20"/>
        </w:rPr>
      </w:pPr>
    </w:p>
    <w:p w14:paraId="7A2808B2" w14:textId="77777777" w:rsidR="00A83E4F" w:rsidRPr="00833CE2" w:rsidRDefault="00A83E4F" w:rsidP="00A83E4F">
      <w:pPr>
        <w:spacing w:after="0" w:line="240" w:lineRule="auto"/>
        <w:jc w:val="both"/>
        <w:rPr>
          <w:rFonts w:ascii="Verdana" w:eastAsia="Aptos" w:hAnsi="Verdana" w:cs="Arial"/>
          <w:b/>
          <w:lang w:val="es-MX"/>
        </w:rPr>
      </w:pPr>
      <w:r w:rsidRPr="00833CE2">
        <w:rPr>
          <w:rFonts w:ascii="Verdana" w:eastAsia="Aptos" w:hAnsi="Verdana" w:cs="Arial"/>
          <w:b/>
          <w:lang w:val="es-MX"/>
        </w:rPr>
        <w:t>PUBLICACIÓN EN SECOP – Documentos reservados – Documentos contractuales – Proceder de la entidad</w:t>
      </w:r>
    </w:p>
    <w:p w14:paraId="6CE2874D" w14:textId="77777777" w:rsidR="00A83E4F" w:rsidRPr="00833CE2" w:rsidRDefault="00A83E4F" w:rsidP="00A83E4F">
      <w:pPr>
        <w:spacing w:after="0"/>
        <w:jc w:val="both"/>
        <w:rPr>
          <w:rFonts w:ascii="Verdana" w:eastAsia="Aptos" w:hAnsi="Verdana" w:cs="Arial"/>
          <w:bCs/>
          <w:sz w:val="20"/>
          <w:szCs w:val="20"/>
          <w:lang w:val="es-MX"/>
        </w:rPr>
      </w:pPr>
    </w:p>
    <w:p w14:paraId="496D91E1" w14:textId="77777777" w:rsidR="00A83E4F" w:rsidRPr="00833CE2" w:rsidRDefault="00A83E4F" w:rsidP="00A83E4F">
      <w:pPr>
        <w:spacing w:after="0" w:line="240" w:lineRule="auto"/>
        <w:jc w:val="both"/>
        <w:rPr>
          <w:rFonts w:ascii="Verdana" w:eastAsia="Aptos" w:hAnsi="Verdana" w:cs="Arial"/>
          <w:bCs/>
          <w:sz w:val="20"/>
          <w:szCs w:val="20"/>
          <w:lang w:val="es-MX"/>
        </w:rPr>
      </w:pPr>
      <w:r w:rsidRPr="00833CE2">
        <w:rPr>
          <w:rFonts w:ascii="Verdana" w:eastAsia="Aptos" w:hAnsi="Verdana" w:cs="Arial"/>
          <w:bCs/>
          <w:sz w:val="20"/>
          <w:szCs w:val="20"/>
          <w:lang w:val="es-MX"/>
        </w:rPr>
        <w:t>[…] 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estos,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0B8236CA" w14:textId="77777777" w:rsidR="00A83E4F" w:rsidRPr="00833CE2" w:rsidRDefault="00A83E4F" w:rsidP="00A83E4F">
      <w:pPr>
        <w:spacing w:after="0" w:line="240" w:lineRule="auto"/>
        <w:rPr>
          <w:rFonts w:ascii="Aptos" w:eastAsia="Aptos" w:hAnsi="Aptos" w:cs="Times New Roman"/>
        </w:rPr>
      </w:pPr>
    </w:p>
    <w:p w14:paraId="1D7C92E4" w14:textId="77777777" w:rsidR="00A83E4F" w:rsidRPr="00833CE2" w:rsidRDefault="00A83E4F" w:rsidP="00A83E4F">
      <w:pPr>
        <w:spacing w:after="0" w:line="240" w:lineRule="auto"/>
        <w:rPr>
          <w:rFonts w:ascii="Verdana" w:eastAsia="Aptos" w:hAnsi="Verdana" w:cs="Times New Roman"/>
          <w:sz w:val="20"/>
          <w:szCs w:val="20"/>
        </w:rPr>
      </w:pPr>
    </w:p>
    <w:p w14:paraId="4F1BEE73" w14:textId="07AF9D2E" w:rsidR="00A83E4F" w:rsidRPr="00833CE2" w:rsidRDefault="00A83E4F" w:rsidP="00A83E4F">
      <w:pPr>
        <w:spacing w:after="0" w:line="240" w:lineRule="auto"/>
        <w:rPr>
          <w:rFonts w:ascii="Verdana" w:eastAsia="Geomanist Light" w:hAnsi="Verdana" w:cs="Arial"/>
          <w:lang w:val="es-MX"/>
        </w:rPr>
      </w:pPr>
      <w:r w:rsidRPr="00833CE2">
        <w:rPr>
          <w:rFonts w:ascii="Verdana" w:eastAsia="Geomanist Light" w:hAnsi="Verdana" w:cs="Arial"/>
          <w:lang w:val="es-MX"/>
        </w:rPr>
        <w:t>Bogotá D.C., [Día] de [</w:t>
      </w:r>
      <w:proofErr w:type="spellStart"/>
      <w:r w:rsidRPr="00833CE2">
        <w:rPr>
          <w:rFonts w:ascii="Verdana" w:eastAsia="Geomanist Light" w:hAnsi="Verdana" w:cs="Arial"/>
          <w:lang w:val="es-MX"/>
        </w:rPr>
        <w:t>Mes.NombreCapitalizado</w:t>
      </w:r>
      <w:proofErr w:type="spellEnd"/>
      <w:r w:rsidRPr="00833CE2">
        <w:rPr>
          <w:rFonts w:ascii="Verdana" w:eastAsia="Geomanist Light" w:hAnsi="Verdana" w:cs="Arial"/>
          <w:lang w:val="es-MX"/>
        </w:rPr>
        <w:t>] de [Año]</w:t>
      </w:r>
    </w:p>
    <w:p w14:paraId="7D977F66" w14:textId="4E54A50B" w:rsidR="00A83E4F" w:rsidRPr="00833CE2" w:rsidRDefault="00A83E4F" w:rsidP="00A83E4F">
      <w:pPr>
        <w:spacing w:after="0" w:line="240" w:lineRule="auto"/>
        <w:jc w:val="both"/>
        <w:rPr>
          <w:rFonts w:ascii="Verdana" w:eastAsia="Calibri" w:hAnsi="Verdana" w:cs="Arial"/>
          <w:lang w:val="es-ES"/>
        </w:rPr>
      </w:pPr>
    </w:p>
    <w:p w14:paraId="37FF7327" w14:textId="198A16D1" w:rsidR="00A83E4F" w:rsidRPr="00833CE2" w:rsidRDefault="00C74A40" w:rsidP="00A83E4F">
      <w:pPr>
        <w:spacing w:after="0" w:line="240" w:lineRule="auto"/>
        <w:jc w:val="right"/>
        <w:rPr>
          <w:rFonts w:ascii="Verdana" w:eastAsia="Calibri" w:hAnsi="Verdana" w:cs="Arial"/>
          <w:lang w:val="es-ES"/>
        </w:rPr>
      </w:pPr>
      <w:r w:rsidRPr="00C74A40">
        <w:rPr>
          <w:rFonts w:ascii="Verdana" w:eastAsia="Calibri" w:hAnsi="Verdana" w:cs="Arial"/>
          <w:lang w:val="es-ES" w:eastAsia="es-ES"/>
        </w:rPr>
        <w:drawing>
          <wp:anchor distT="0" distB="0" distL="114300" distR="114300" simplePos="0" relativeHeight="251659264" behindDoc="1" locked="0" layoutInCell="1" allowOverlap="1" wp14:anchorId="1BF6BCEE" wp14:editId="30F90432">
            <wp:simplePos x="0" y="0"/>
            <wp:positionH relativeFrom="margin">
              <wp:align>right</wp:align>
            </wp:positionH>
            <wp:positionV relativeFrom="paragraph">
              <wp:posOffset>9525</wp:posOffset>
            </wp:positionV>
            <wp:extent cx="2392818" cy="687931"/>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92818" cy="687931"/>
                    </a:xfrm>
                    <a:prstGeom prst="rect">
                      <a:avLst/>
                    </a:prstGeom>
                  </pic:spPr>
                </pic:pic>
              </a:graphicData>
            </a:graphic>
            <wp14:sizeRelH relativeFrom="margin">
              <wp14:pctWidth>0</wp14:pctWidth>
            </wp14:sizeRelH>
            <wp14:sizeRelV relativeFrom="margin">
              <wp14:pctHeight>0</wp14:pctHeight>
            </wp14:sizeRelV>
          </wp:anchor>
        </w:drawing>
      </w:r>
    </w:p>
    <w:p w14:paraId="5DF165D3" w14:textId="082F4C2D" w:rsidR="00A83E4F" w:rsidRPr="00833CE2" w:rsidRDefault="00A83E4F" w:rsidP="00A83E4F">
      <w:pPr>
        <w:spacing w:after="0" w:line="240" w:lineRule="auto"/>
        <w:jc w:val="both"/>
        <w:rPr>
          <w:rFonts w:ascii="Verdana" w:eastAsia="Calibri" w:hAnsi="Verdana" w:cs="Arial"/>
          <w:lang w:val="es-ES" w:eastAsia="es-ES"/>
        </w:rPr>
      </w:pPr>
      <w:r w:rsidRPr="00833CE2">
        <w:rPr>
          <w:rFonts w:ascii="Verdana" w:eastAsia="Calibri" w:hAnsi="Verdana" w:cs="Arial"/>
          <w:lang w:val="es-ES" w:eastAsia="es-ES"/>
        </w:rPr>
        <w:t>Señor</w:t>
      </w:r>
      <w:r w:rsidR="00C74A40" w:rsidRPr="00C74A40">
        <w:rPr>
          <w:noProof/>
          <w14:ligatures w14:val="standardContextual"/>
        </w:rPr>
        <w:t xml:space="preserve"> </w:t>
      </w:r>
    </w:p>
    <w:p w14:paraId="10DC3482" w14:textId="77777777" w:rsidR="00A83E4F" w:rsidRPr="00833CE2" w:rsidRDefault="00A83E4F" w:rsidP="00A83E4F">
      <w:pPr>
        <w:spacing w:after="0" w:line="240" w:lineRule="auto"/>
        <w:rPr>
          <w:rFonts w:ascii="Verdana" w:eastAsia="Calibri" w:hAnsi="Verdana" w:cs="Arial"/>
          <w:b/>
          <w:bCs/>
          <w:lang w:val="es-ES" w:eastAsia="es-ES"/>
        </w:rPr>
      </w:pPr>
      <w:r w:rsidRPr="00833CE2">
        <w:rPr>
          <w:rFonts w:ascii="Verdana" w:eastAsia="Calibri" w:hAnsi="Verdana" w:cs="Arial"/>
          <w:b/>
          <w:bCs/>
          <w:lang w:val="es-ES" w:eastAsia="es-ES"/>
        </w:rPr>
        <w:t xml:space="preserve">Amado </w:t>
      </w:r>
      <w:proofErr w:type="spellStart"/>
      <w:r w:rsidRPr="00833CE2">
        <w:rPr>
          <w:rFonts w:ascii="Verdana" w:eastAsia="Calibri" w:hAnsi="Verdana" w:cs="Arial"/>
          <w:b/>
          <w:bCs/>
          <w:lang w:val="es-ES" w:eastAsia="es-ES"/>
        </w:rPr>
        <w:t>Lobena</w:t>
      </w:r>
      <w:proofErr w:type="spellEnd"/>
      <w:r w:rsidRPr="00833CE2">
        <w:rPr>
          <w:rFonts w:ascii="Verdana" w:eastAsia="Calibri" w:hAnsi="Verdana" w:cs="Arial"/>
          <w:b/>
          <w:bCs/>
          <w:lang w:val="es-ES" w:eastAsia="es-ES"/>
        </w:rPr>
        <w:t xml:space="preserve"> Gutiérrez</w:t>
      </w:r>
    </w:p>
    <w:p w14:paraId="6AD7256F" w14:textId="77777777" w:rsidR="00A83E4F" w:rsidRPr="00833CE2" w:rsidRDefault="00601B1E" w:rsidP="00A83E4F">
      <w:pPr>
        <w:spacing w:after="0" w:line="240" w:lineRule="auto"/>
        <w:rPr>
          <w:rFonts w:ascii="Verdana" w:eastAsia="Aptos" w:hAnsi="Verdana" w:cs="Times New Roman"/>
        </w:rPr>
      </w:pPr>
      <w:hyperlink r:id="rId11" w:history="1">
        <w:r w:rsidR="00A83E4F" w:rsidRPr="00833CE2">
          <w:rPr>
            <w:rFonts w:ascii="Verdana" w:eastAsia="Aptos" w:hAnsi="Verdana" w:cs="Times New Roman"/>
            <w:color w:val="0000FF"/>
            <w:u w:val="single"/>
          </w:rPr>
          <w:t>controlciudadanoporelcambio@gmail.com</w:t>
        </w:r>
      </w:hyperlink>
      <w:r w:rsidR="00A83E4F" w:rsidRPr="00833CE2">
        <w:rPr>
          <w:rFonts w:ascii="Verdana" w:eastAsia="Aptos" w:hAnsi="Verdana" w:cs="Times New Roman"/>
        </w:rPr>
        <w:t xml:space="preserve"> </w:t>
      </w:r>
    </w:p>
    <w:p w14:paraId="5AC3F4BB" w14:textId="77777777" w:rsidR="00A83E4F" w:rsidRPr="00833CE2" w:rsidRDefault="00A83E4F" w:rsidP="00A83E4F">
      <w:pPr>
        <w:spacing w:after="0" w:line="240" w:lineRule="auto"/>
        <w:rPr>
          <w:rFonts w:ascii="Verdana" w:eastAsia="Calibri" w:hAnsi="Verdana" w:cs="Arial"/>
          <w:b/>
          <w:bCs/>
          <w:lang w:val="es-ES" w:eastAsia="es-ES"/>
        </w:rPr>
      </w:pPr>
      <w:r w:rsidRPr="00833CE2">
        <w:rPr>
          <w:rFonts w:ascii="Verdana" w:eastAsia="Calibri" w:hAnsi="Verdana" w:cs="Arial"/>
          <w:lang w:val="es-ES" w:eastAsia="es-ES"/>
        </w:rPr>
        <w:t>Ciudad</w:t>
      </w:r>
      <w:bookmarkStart w:id="0" w:name="_GoBack"/>
      <w:bookmarkEnd w:id="0"/>
    </w:p>
    <w:p w14:paraId="2A9088DF" w14:textId="77777777" w:rsidR="00A83E4F" w:rsidRPr="00833CE2" w:rsidRDefault="00A83E4F" w:rsidP="00A83E4F">
      <w:pPr>
        <w:spacing w:after="0" w:line="240" w:lineRule="auto"/>
        <w:rPr>
          <w:rFonts w:ascii="Verdana" w:eastAsia="Calibri" w:hAnsi="Verdana" w:cs="Arial"/>
          <w:b/>
          <w:bCs/>
          <w:lang w:val="es-ES_tradnl" w:eastAsia="es-ES_tradnl"/>
        </w:rPr>
      </w:pPr>
    </w:p>
    <w:p w14:paraId="05DF8BD0" w14:textId="77777777" w:rsidR="00A83E4F" w:rsidRPr="00833CE2" w:rsidRDefault="00A83E4F" w:rsidP="00A83E4F">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83E4F" w:rsidRPr="00833CE2" w14:paraId="33CDC270" w14:textId="77777777" w:rsidTr="009A7185">
        <w:trPr>
          <w:trHeight w:val="884"/>
        </w:trPr>
        <w:tc>
          <w:tcPr>
            <w:tcW w:w="2689" w:type="dxa"/>
          </w:tcPr>
          <w:p w14:paraId="6C0351E6" w14:textId="77777777" w:rsidR="00A83E4F" w:rsidRPr="00833CE2" w:rsidRDefault="00A83E4F" w:rsidP="009A7185">
            <w:pPr>
              <w:jc w:val="both"/>
              <w:rPr>
                <w:rFonts w:ascii="Verdana" w:eastAsia="Calibri" w:hAnsi="Verdana" w:cs="Arial"/>
                <w:b/>
                <w:bCs/>
                <w:lang w:val="es-ES_tradnl" w:eastAsia="es-ES_tradnl"/>
              </w:rPr>
            </w:pPr>
          </w:p>
        </w:tc>
        <w:tc>
          <w:tcPr>
            <w:tcW w:w="6100" w:type="dxa"/>
          </w:tcPr>
          <w:p w14:paraId="5669CC41" w14:textId="77777777" w:rsidR="00A83E4F" w:rsidRPr="00833CE2" w:rsidRDefault="00A83E4F" w:rsidP="009A7185">
            <w:pPr>
              <w:jc w:val="both"/>
              <w:rPr>
                <w:rFonts w:ascii="Verdana" w:eastAsia="Calibri" w:hAnsi="Verdana" w:cs="Arial"/>
                <w:b/>
                <w:bCs/>
                <w:lang w:val="es-ES" w:eastAsia="es-ES"/>
              </w:rPr>
            </w:pPr>
            <w:r w:rsidRPr="00833CE2">
              <w:rPr>
                <w:rFonts w:ascii="Verdana" w:eastAsia="Calibri" w:hAnsi="Verdana" w:cs="Arial"/>
                <w:b/>
                <w:bCs/>
                <w:lang w:val="es-ES" w:eastAsia="es-ES"/>
              </w:rPr>
              <w:t>Concepto C-765 de 2024</w:t>
            </w:r>
          </w:p>
        </w:tc>
      </w:tr>
      <w:tr w:rsidR="00A83E4F" w:rsidRPr="00833CE2" w14:paraId="4D96F693" w14:textId="77777777" w:rsidTr="009A7185">
        <w:trPr>
          <w:trHeight w:val="884"/>
        </w:trPr>
        <w:tc>
          <w:tcPr>
            <w:tcW w:w="2689" w:type="dxa"/>
          </w:tcPr>
          <w:p w14:paraId="77A920F2" w14:textId="77777777" w:rsidR="00A83E4F" w:rsidRPr="00833CE2" w:rsidRDefault="00A83E4F" w:rsidP="009A7185">
            <w:pPr>
              <w:jc w:val="both"/>
              <w:rPr>
                <w:rFonts w:ascii="Verdana" w:eastAsia="Calibri" w:hAnsi="Verdana" w:cs="Arial"/>
                <w:lang w:val="es-ES_tradnl" w:eastAsia="es-ES_tradnl"/>
              </w:rPr>
            </w:pPr>
            <w:r w:rsidRPr="00833CE2">
              <w:rPr>
                <w:rFonts w:ascii="Verdana" w:eastAsia="Calibri" w:hAnsi="Verdana" w:cs="Arial"/>
                <w:b/>
                <w:lang w:val="es-ES_tradnl" w:eastAsia="es-ES_tradnl"/>
              </w:rPr>
              <w:t>Temas:</w:t>
            </w:r>
            <w:r w:rsidRPr="00833CE2">
              <w:rPr>
                <w:rFonts w:ascii="Verdana" w:eastAsia="Calibri" w:hAnsi="Verdana" w:cs="Arial"/>
                <w:lang w:val="es-ES_tradnl" w:eastAsia="es-ES_tradnl"/>
              </w:rPr>
              <w:t xml:space="preserve">                   </w:t>
            </w:r>
          </w:p>
        </w:tc>
        <w:tc>
          <w:tcPr>
            <w:tcW w:w="6100" w:type="dxa"/>
          </w:tcPr>
          <w:p w14:paraId="2E61D116" w14:textId="77777777" w:rsidR="00A83E4F" w:rsidRPr="00833CE2" w:rsidRDefault="00A83E4F" w:rsidP="009A7185">
            <w:pPr>
              <w:jc w:val="both"/>
              <w:rPr>
                <w:rFonts w:ascii="Verdana" w:eastAsia="Calibri" w:hAnsi="Verdana" w:cs="Arial"/>
                <w:lang w:val="es-ES" w:eastAsia="es-ES"/>
              </w:rPr>
            </w:pPr>
            <w:r w:rsidRPr="00833CE2">
              <w:rPr>
                <w:rFonts w:ascii="Verdana" w:eastAsia="Calibri" w:hAnsi="Verdana" w:cs="Arial"/>
                <w:lang w:val="es-ES" w:eastAsia="es-ES"/>
              </w:rPr>
              <w:t>PLIEGO DE CONDICIONES -</w:t>
            </w:r>
            <w:r w:rsidRPr="00833CE2">
              <w:rPr>
                <w:rFonts w:ascii="Aptos" w:eastAsia="Aptos" w:hAnsi="Aptos" w:cs="Times New Roman"/>
              </w:rPr>
              <w:t xml:space="preserve"> </w:t>
            </w:r>
            <w:r w:rsidRPr="00833CE2">
              <w:rPr>
                <w:rFonts w:ascii="Verdana" w:eastAsia="Calibri" w:hAnsi="Verdana" w:cs="Arial"/>
                <w:lang w:val="es-ES" w:eastAsia="es-ES"/>
              </w:rPr>
              <w:t>Límites - Elaboración – Autonomía de la entidad / SELECCIÓN DEL CONTRATISTA - Principio – Selección objetiva – Motivación subjetiva – Selección de la mejor oferta / PUBLICACIÓN EN SECOP - Documentos reservados – Documentos contractuales – Proceder de la entidad</w:t>
            </w:r>
          </w:p>
          <w:p w14:paraId="799F057E" w14:textId="77777777" w:rsidR="00A83E4F" w:rsidRPr="00833CE2" w:rsidRDefault="00A83E4F" w:rsidP="009A7185">
            <w:pPr>
              <w:spacing w:line="276" w:lineRule="auto"/>
              <w:jc w:val="both"/>
              <w:rPr>
                <w:rFonts w:ascii="Verdana" w:eastAsia="Calibri" w:hAnsi="Verdana" w:cs="Arial"/>
                <w:lang w:val="es-ES" w:eastAsia="es-ES"/>
              </w:rPr>
            </w:pPr>
          </w:p>
          <w:p w14:paraId="64A29E12" w14:textId="77777777" w:rsidR="00A83E4F" w:rsidRPr="00833CE2" w:rsidRDefault="00A83E4F" w:rsidP="009A7185">
            <w:pPr>
              <w:spacing w:line="276" w:lineRule="auto"/>
              <w:jc w:val="both"/>
              <w:rPr>
                <w:rFonts w:ascii="Verdana" w:eastAsia="Calibri" w:hAnsi="Verdana" w:cs="Arial"/>
                <w:lang w:val="es-ES" w:eastAsia="es-ES"/>
              </w:rPr>
            </w:pPr>
          </w:p>
        </w:tc>
      </w:tr>
      <w:tr w:rsidR="00A83E4F" w:rsidRPr="00833CE2" w14:paraId="52204AD9" w14:textId="77777777" w:rsidTr="009A7185">
        <w:tc>
          <w:tcPr>
            <w:tcW w:w="2689" w:type="dxa"/>
          </w:tcPr>
          <w:p w14:paraId="337E3DAB" w14:textId="77777777" w:rsidR="00A83E4F" w:rsidRPr="00833CE2" w:rsidRDefault="00A83E4F" w:rsidP="009A7185">
            <w:pPr>
              <w:jc w:val="both"/>
              <w:rPr>
                <w:rFonts w:ascii="Verdana" w:eastAsia="Calibri" w:hAnsi="Verdana" w:cs="Arial"/>
                <w:b/>
                <w:lang w:val="es-ES_tradnl" w:eastAsia="es-ES_tradnl"/>
              </w:rPr>
            </w:pPr>
            <w:r w:rsidRPr="00833CE2">
              <w:rPr>
                <w:rFonts w:ascii="Verdana" w:eastAsia="Calibri" w:hAnsi="Verdana" w:cs="Arial"/>
                <w:b/>
                <w:lang w:val="es-ES_tradnl" w:eastAsia="es-ES_tradnl"/>
              </w:rPr>
              <w:t>Radicación:</w:t>
            </w:r>
            <w:r w:rsidRPr="00833CE2">
              <w:rPr>
                <w:rFonts w:ascii="Verdana" w:eastAsia="Calibri" w:hAnsi="Verdana" w:cs="Arial"/>
                <w:lang w:val="es-ES_tradnl" w:eastAsia="es-ES_tradnl"/>
              </w:rPr>
              <w:t xml:space="preserve">               </w:t>
            </w:r>
          </w:p>
        </w:tc>
        <w:tc>
          <w:tcPr>
            <w:tcW w:w="6100" w:type="dxa"/>
          </w:tcPr>
          <w:p w14:paraId="0D10A1EA" w14:textId="77777777" w:rsidR="00A83E4F" w:rsidRPr="00833CE2" w:rsidRDefault="00A83E4F" w:rsidP="009A7185">
            <w:pPr>
              <w:jc w:val="both"/>
              <w:rPr>
                <w:rFonts w:ascii="Verdana" w:eastAsia="Calibri" w:hAnsi="Verdana" w:cs="Arial"/>
                <w:lang w:val="es-ES_tradnl" w:eastAsia="es-ES_tradnl"/>
              </w:rPr>
            </w:pPr>
            <w:r w:rsidRPr="00833CE2">
              <w:rPr>
                <w:rFonts w:ascii="Verdana" w:eastAsia="Calibri" w:hAnsi="Verdana" w:cs="Arial"/>
                <w:lang w:val="es-ES_tradnl" w:eastAsia="es-ES_tradnl"/>
              </w:rPr>
              <w:t>Respuesta a consulta con radicado No.  P20241022010692</w:t>
            </w:r>
          </w:p>
        </w:tc>
      </w:tr>
    </w:tbl>
    <w:p w14:paraId="3BE4538E" w14:textId="77777777" w:rsidR="00A83E4F" w:rsidRPr="00833CE2" w:rsidRDefault="00A83E4F" w:rsidP="00A83E4F">
      <w:pPr>
        <w:spacing w:after="0" w:line="240" w:lineRule="auto"/>
        <w:jc w:val="both"/>
        <w:rPr>
          <w:rFonts w:ascii="Verdana" w:eastAsia="Calibri" w:hAnsi="Verdana" w:cs="Arial"/>
          <w:lang w:val="es-ES_tradnl" w:eastAsia="es-ES_tradnl"/>
        </w:rPr>
      </w:pPr>
    </w:p>
    <w:p w14:paraId="41663791" w14:textId="77777777" w:rsidR="00A83E4F" w:rsidRPr="00833CE2" w:rsidRDefault="00A83E4F" w:rsidP="00A83E4F">
      <w:pPr>
        <w:spacing w:after="0" w:line="240" w:lineRule="auto"/>
        <w:jc w:val="both"/>
        <w:rPr>
          <w:rFonts w:ascii="Verdana" w:eastAsia="Calibri" w:hAnsi="Verdana" w:cs="Arial"/>
          <w:lang w:val="es-ES_tradnl" w:eastAsia="es-ES_tradnl"/>
        </w:rPr>
      </w:pPr>
    </w:p>
    <w:p w14:paraId="096E8C5F" w14:textId="77777777" w:rsidR="00A83E4F" w:rsidRPr="00833CE2" w:rsidRDefault="00A83E4F" w:rsidP="00A83E4F">
      <w:pPr>
        <w:spacing w:after="0" w:line="276" w:lineRule="auto"/>
        <w:jc w:val="both"/>
        <w:rPr>
          <w:rFonts w:ascii="Verdana" w:eastAsia="Calibri" w:hAnsi="Verdana" w:cs="Arial"/>
          <w:lang w:val="es-ES" w:eastAsia="es-ES"/>
        </w:rPr>
      </w:pPr>
      <w:r w:rsidRPr="00833CE2">
        <w:rPr>
          <w:rFonts w:ascii="Verdana" w:eastAsia="Calibri" w:hAnsi="Verdana" w:cs="Arial"/>
          <w:lang w:val="es-ES" w:eastAsia="es-ES"/>
        </w:rPr>
        <w:t xml:space="preserve">Estimado señor </w:t>
      </w:r>
      <w:proofErr w:type="spellStart"/>
      <w:r w:rsidRPr="00833CE2">
        <w:rPr>
          <w:rFonts w:ascii="Verdana" w:eastAsia="Calibri" w:hAnsi="Verdana" w:cs="Arial"/>
          <w:lang w:val="es-ES" w:eastAsia="es-ES"/>
        </w:rPr>
        <w:t>Lobena</w:t>
      </w:r>
      <w:proofErr w:type="spellEnd"/>
      <w:r w:rsidRPr="00833CE2">
        <w:rPr>
          <w:rFonts w:ascii="Verdana" w:eastAsia="Calibri" w:hAnsi="Verdana" w:cs="Arial"/>
          <w:lang w:val="es-ES" w:eastAsia="es-ES"/>
        </w:rPr>
        <w:t xml:space="preserve">: </w:t>
      </w:r>
    </w:p>
    <w:p w14:paraId="710BD20E" w14:textId="77777777" w:rsidR="00A83E4F" w:rsidRPr="00833CE2" w:rsidRDefault="00A83E4F" w:rsidP="00A83E4F">
      <w:pPr>
        <w:tabs>
          <w:tab w:val="left" w:pos="3768"/>
        </w:tabs>
        <w:spacing w:after="0" w:line="276" w:lineRule="auto"/>
        <w:jc w:val="both"/>
        <w:rPr>
          <w:rFonts w:ascii="Verdana" w:eastAsia="Calibri" w:hAnsi="Verdana" w:cs="Arial"/>
          <w:lang w:val="es-ES" w:eastAsia="es-ES"/>
        </w:rPr>
      </w:pPr>
    </w:p>
    <w:p w14:paraId="6D86501B" w14:textId="77777777" w:rsidR="00A83E4F" w:rsidRPr="00833CE2" w:rsidRDefault="00A83E4F" w:rsidP="00A83E4F">
      <w:pPr>
        <w:spacing w:after="0" w:line="276" w:lineRule="auto"/>
        <w:jc w:val="both"/>
        <w:rPr>
          <w:rFonts w:ascii="Verdana" w:eastAsia="Calibri" w:hAnsi="Verdana" w:cs="Arial"/>
          <w:lang w:val="es-ES" w:eastAsia="es-ES"/>
        </w:rPr>
      </w:pPr>
      <w:r w:rsidRPr="00833CE2">
        <w:rPr>
          <w:rFonts w:ascii="Verdana" w:eastAsia="Calibri" w:hAnsi="Verdana" w:cs="Arial"/>
          <w:lang w:val="es-ES" w:eastAsia="es-ES"/>
        </w:rPr>
        <w:t>En ejercicio de la competencia otorgada por los artículos 3, numeral 5º, y 11, numeral 8º, del Decreto Ley 4170 de 2011,</w:t>
      </w:r>
      <w:r w:rsidRPr="00833CE2">
        <w:rPr>
          <w:rFonts w:ascii="Verdana" w:eastAsia="Arial MT" w:hAnsi="Verdana" w:cs="Arial MT"/>
          <w:lang w:val="es-ES" w:eastAsia="es-ES"/>
        </w:rPr>
        <w:t xml:space="preserve"> </w:t>
      </w:r>
      <w:r w:rsidRPr="00833CE2">
        <w:rPr>
          <w:rFonts w:ascii="Verdana" w:eastAsia="Aptos" w:hAnsi="Verdana" w:cs="Arial"/>
        </w:rPr>
        <w:t xml:space="preserve">así como lo establecido en el artículo 4 de la Resolución 1707 de 2018 expedida por esta Entidad, </w:t>
      </w:r>
      <w:r w:rsidRPr="00833CE2">
        <w:rPr>
          <w:rFonts w:ascii="Verdana" w:eastAsia="Calibri" w:hAnsi="Verdana" w:cs="Arial"/>
          <w:lang w:val="es-ES" w:eastAsia="es-ES"/>
        </w:rPr>
        <w:t xml:space="preserve">la Agencia Nacional de Contratación Pública – Colombia Compra Eficiente– responde su solicitud de petición de fecha del 22 de octubre de 2024, en la que realiza la siguiente consulta: </w:t>
      </w:r>
    </w:p>
    <w:p w14:paraId="54BC00BC" w14:textId="77777777" w:rsidR="00A83E4F" w:rsidRPr="00833CE2" w:rsidRDefault="00A83E4F" w:rsidP="00A83E4F">
      <w:pPr>
        <w:spacing w:after="0" w:line="276" w:lineRule="auto"/>
        <w:jc w:val="both"/>
        <w:rPr>
          <w:rFonts w:ascii="Verdana" w:eastAsia="Calibri" w:hAnsi="Verdana" w:cs="Arial"/>
          <w:lang w:val="es-ES" w:eastAsia="es-ES"/>
        </w:rPr>
      </w:pPr>
    </w:p>
    <w:p w14:paraId="4B751FE9" w14:textId="77777777" w:rsidR="00A83E4F" w:rsidRPr="00833CE2" w:rsidRDefault="00A83E4F" w:rsidP="00A83E4F">
      <w:pPr>
        <w:spacing w:after="0" w:line="240" w:lineRule="auto"/>
        <w:ind w:left="709" w:right="709"/>
        <w:jc w:val="both"/>
        <w:rPr>
          <w:rFonts w:ascii="Verdana" w:eastAsia="Calibri" w:hAnsi="Verdana" w:cs="Arial"/>
          <w:sz w:val="20"/>
          <w:szCs w:val="20"/>
          <w:lang w:val="es-MX"/>
        </w:rPr>
      </w:pPr>
      <w:r w:rsidRPr="00833CE2">
        <w:rPr>
          <w:rFonts w:ascii="Verdana" w:eastAsia="Calibri" w:hAnsi="Verdana" w:cs="Arial"/>
          <w:sz w:val="20"/>
          <w:szCs w:val="20"/>
          <w:lang w:val="es-MX"/>
        </w:rPr>
        <w:t xml:space="preserve">“1. </w:t>
      </w:r>
      <w:proofErr w:type="spellStart"/>
      <w:r w:rsidRPr="00833CE2">
        <w:rPr>
          <w:rFonts w:ascii="Verdana" w:eastAsia="Calibri" w:hAnsi="Verdana" w:cs="Arial"/>
          <w:sz w:val="20"/>
          <w:szCs w:val="20"/>
          <w:lang w:val="es-MX"/>
        </w:rPr>
        <w:t>Sirvase</w:t>
      </w:r>
      <w:proofErr w:type="spellEnd"/>
      <w:r w:rsidRPr="00833CE2">
        <w:rPr>
          <w:rFonts w:ascii="Verdana" w:eastAsia="Calibri" w:hAnsi="Verdana" w:cs="Arial"/>
          <w:sz w:val="20"/>
          <w:szCs w:val="20"/>
          <w:lang w:val="es-MX"/>
        </w:rPr>
        <w:t xml:space="preserve"> suministrar los links del </w:t>
      </w:r>
      <w:proofErr w:type="spellStart"/>
      <w:r w:rsidRPr="00833CE2">
        <w:rPr>
          <w:rFonts w:ascii="Verdana" w:eastAsia="Calibri" w:hAnsi="Verdana" w:cs="Arial"/>
          <w:sz w:val="20"/>
          <w:szCs w:val="20"/>
          <w:lang w:val="es-MX"/>
        </w:rPr>
        <w:t>secop</w:t>
      </w:r>
      <w:proofErr w:type="spellEnd"/>
      <w:r w:rsidRPr="00833CE2">
        <w:rPr>
          <w:rFonts w:ascii="Verdana" w:eastAsia="Calibri" w:hAnsi="Verdana" w:cs="Arial"/>
          <w:sz w:val="20"/>
          <w:szCs w:val="20"/>
          <w:lang w:val="es-MX"/>
        </w:rPr>
        <w:t xml:space="preserve"> 1, </w:t>
      </w:r>
      <w:proofErr w:type="spellStart"/>
      <w:r w:rsidRPr="00833CE2">
        <w:rPr>
          <w:rFonts w:ascii="Verdana" w:eastAsia="Calibri" w:hAnsi="Verdana" w:cs="Arial"/>
          <w:sz w:val="20"/>
          <w:szCs w:val="20"/>
          <w:lang w:val="es-MX"/>
        </w:rPr>
        <w:t>secop</w:t>
      </w:r>
      <w:proofErr w:type="spellEnd"/>
      <w:r w:rsidRPr="00833CE2">
        <w:rPr>
          <w:rFonts w:ascii="Verdana" w:eastAsia="Calibri" w:hAnsi="Verdana" w:cs="Arial"/>
          <w:sz w:val="20"/>
          <w:szCs w:val="20"/>
          <w:lang w:val="es-MX"/>
        </w:rPr>
        <w:t xml:space="preserve"> 2, y TVEC de los contratos y órdenes de compra que han sido suscritos por los asistentes a TODAS las rutas de la democratización, señalando únicamente de la lista de asistencia de cada sesión el NOMBRE DE LA EMPRESA, PERSONA NATURAL, UNIÓN TEMPORAL O CONSORCIO, Y NUMERO DE IDENTIFICACIÓN TRIBUTARIA, información pública por excelencia. </w:t>
      </w:r>
      <w:r w:rsidRPr="00833CE2">
        <w:rPr>
          <w:rFonts w:ascii="Verdana" w:eastAsia="Calibri" w:hAnsi="Verdana" w:cs="Arial"/>
          <w:sz w:val="20"/>
          <w:szCs w:val="20"/>
          <w:lang w:val="es-MX"/>
        </w:rPr>
        <w:lastRenderedPageBreak/>
        <w:t>Suministrar la lista de asistencia de todos los eventos de la ruta de la democratización EDITANDO LA INFORMACIÓN que sea sometida a reserva, lo cual no incluye la información solicitada.</w:t>
      </w:r>
    </w:p>
    <w:p w14:paraId="675611E6"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r w:rsidRPr="00833CE2">
        <w:rPr>
          <w:rFonts w:ascii="Verdana" w:eastAsia="Calibri" w:hAnsi="Verdana" w:cs="Arial"/>
          <w:sz w:val="20"/>
          <w:szCs w:val="20"/>
          <w:lang w:val="es-MX"/>
        </w:rPr>
        <w:t>Sírvase suministrar el link de los contratistas de la subdirección de negocios, que mecanismos de agregación están estructurando tales contratistas y cuantos servidores públicos también. Sírvase adjuntar documento de aprobación de los mecanismos que serán llevados a cabo en el año 2024.</w:t>
      </w:r>
    </w:p>
    <w:p w14:paraId="6BF97FBD"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r w:rsidRPr="00833CE2">
        <w:rPr>
          <w:rFonts w:ascii="Verdana" w:eastAsia="Calibri" w:hAnsi="Verdana" w:cs="Arial"/>
          <w:sz w:val="20"/>
          <w:szCs w:val="20"/>
          <w:lang w:val="es-MX"/>
        </w:rPr>
        <w:t>[…]</w:t>
      </w:r>
    </w:p>
    <w:p w14:paraId="5DA67809"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r w:rsidRPr="00833CE2">
        <w:rPr>
          <w:rFonts w:ascii="Verdana" w:eastAsia="Calibri" w:hAnsi="Verdana" w:cs="Arial"/>
          <w:sz w:val="20"/>
          <w:szCs w:val="20"/>
          <w:lang w:val="es-MX"/>
        </w:rPr>
        <w:t>Las entidades estatales, en sus pliegos de condiciones, deben incluir las condiciones o requisitos que leyes especiales establecen para ejercer la actividad comercial del proponente y contratista, vinculada al objeto por tratarse de una actividad regulada.? por ejemplo, salud, transporte, vigilancia?</w:t>
      </w:r>
    </w:p>
    <w:p w14:paraId="5657CD35"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proofErr w:type="gramStart"/>
      <w:r w:rsidRPr="00833CE2">
        <w:rPr>
          <w:rFonts w:ascii="Verdana" w:eastAsia="Calibri" w:hAnsi="Verdana" w:cs="Arial"/>
          <w:sz w:val="20"/>
          <w:szCs w:val="20"/>
          <w:lang w:val="es-MX"/>
        </w:rPr>
        <w:t xml:space="preserve">Si la entidad estatal, en su pliego de condiciones, no establece expresamente los requisitos que leyes especiales señalan para el ejercicio de una actividad que corresponde al objeto del contrato, </w:t>
      </w:r>
      <w:proofErr w:type="spellStart"/>
      <w:r w:rsidRPr="00833CE2">
        <w:rPr>
          <w:rFonts w:ascii="Verdana" w:eastAsia="Calibri" w:hAnsi="Verdana" w:cs="Arial"/>
          <w:sz w:val="20"/>
          <w:szCs w:val="20"/>
          <w:lang w:val="es-MX"/>
        </w:rPr>
        <w:t>esta</w:t>
      </w:r>
      <w:proofErr w:type="spellEnd"/>
      <w:r w:rsidRPr="00833CE2">
        <w:rPr>
          <w:rFonts w:ascii="Verdana" w:eastAsia="Calibri" w:hAnsi="Verdana" w:cs="Arial"/>
          <w:sz w:val="20"/>
          <w:szCs w:val="20"/>
          <w:lang w:val="es-MX"/>
        </w:rPr>
        <w:t xml:space="preserve"> excluida de aplicarlas?</w:t>
      </w:r>
      <w:proofErr w:type="gramEnd"/>
    </w:p>
    <w:p w14:paraId="01683F3A"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proofErr w:type="gramStart"/>
      <w:r w:rsidRPr="00833CE2">
        <w:rPr>
          <w:rFonts w:ascii="Verdana" w:eastAsia="Calibri" w:hAnsi="Verdana" w:cs="Arial"/>
          <w:sz w:val="20"/>
          <w:szCs w:val="20"/>
          <w:lang w:val="es-MX"/>
        </w:rPr>
        <w:t>Puede una entidad estatal aceptar la participación de un proponente en un proceso de selección si no cumple con los requisitos que leyes especiales establecen para el desarrollo de la actividad objeto del proceso, tales como, resoluciones de habilitación, permisos, resoluciones de homologación, inscripción en registros especiales?</w:t>
      </w:r>
      <w:proofErr w:type="gramEnd"/>
    </w:p>
    <w:p w14:paraId="174E46CD"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r w:rsidRPr="00833CE2">
        <w:rPr>
          <w:rFonts w:ascii="Verdana" w:eastAsia="Calibri" w:hAnsi="Verdana" w:cs="Arial"/>
          <w:sz w:val="20"/>
          <w:szCs w:val="20"/>
          <w:lang w:val="es-MX"/>
        </w:rPr>
        <w:t>puede una entidad estatal aceptar la participación de un proponente en un proceso si no cumple con los requisitos que leyes especiales establecen para el desarrollo de la actividad objeto del proceso, tales como, resoluciones de habilitación, permisos, resoluciones de homologación, inscripción en registros especiales?</w:t>
      </w:r>
    </w:p>
    <w:p w14:paraId="30FED8D4"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r w:rsidRPr="00833CE2">
        <w:rPr>
          <w:rFonts w:ascii="Verdana" w:eastAsia="Calibri" w:hAnsi="Verdana" w:cs="Arial"/>
          <w:sz w:val="20"/>
          <w:szCs w:val="20"/>
          <w:lang w:val="es-MX"/>
        </w:rPr>
        <w:t>puede una entidad estatal aceptar la participación de un proponente plural en un proceso de selección si solo uno de sus integrantes cumple con los requisitos que leyes especiales establecen para el desarrollo de la actividad objeto del proceso, tales como, resoluciones de habilitación, permisos, resoluciones de homologación, inscripción en registros especiales?</w:t>
      </w:r>
    </w:p>
    <w:p w14:paraId="3BD0FE64"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proofErr w:type="gramStart"/>
      <w:r w:rsidRPr="00833CE2">
        <w:rPr>
          <w:rFonts w:ascii="Verdana" w:eastAsia="Calibri" w:hAnsi="Verdana" w:cs="Arial"/>
          <w:sz w:val="20"/>
          <w:szCs w:val="20"/>
          <w:lang w:val="es-MX"/>
        </w:rPr>
        <w:t>La posibilidad de asociarse en unión temporal o consorcio para eludir el cumplimiento de requisitos especiales señalados por otros marcos regulatorios o específicos para el desarrollo legal de la actividad?</w:t>
      </w:r>
      <w:proofErr w:type="gramEnd"/>
    </w:p>
    <w:p w14:paraId="5BBC1B74"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r w:rsidRPr="00833CE2">
        <w:rPr>
          <w:rFonts w:ascii="Verdana" w:eastAsia="Calibri" w:hAnsi="Verdana" w:cs="Arial"/>
          <w:sz w:val="20"/>
          <w:szCs w:val="20"/>
          <w:lang w:val="es-MX"/>
        </w:rPr>
        <w:t>Si una norma especial expresamente establece que la actividad comercial de un privado solo puede adelantarse legalmente a partir de la autorización del Estado, puede una entidad tener como válida experiencia obtenida sin esa autorización o adquirida previamente a la autorización.</w:t>
      </w:r>
    </w:p>
    <w:p w14:paraId="5A76207C"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MX"/>
        </w:rPr>
      </w:pPr>
      <w:proofErr w:type="gramStart"/>
      <w:r w:rsidRPr="00833CE2">
        <w:rPr>
          <w:rFonts w:ascii="Verdana" w:eastAsia="Calibri" w:hAnsi="Verdana" w:cs="Arial"/>
          <w:sz w:val="20"/>
          <w:szCs w:val="20"/>
          <w:lang w:val="es-MX"/>
        </w:rPr>
        <w:t>Puede una respuesta de un oferente a un requerimiento de una entidad sobre precio artificialmente bajo, marcase como confidencial en seco2?</w:t>
      </w:r>
      <w:proofErr w:type="gramEnd"/>
      <w:r w:rsidRPr="00833CE2">
        <w:rPr>
          <w:rFonts w:ascii="Verdana" w:eastAsia="Calibri" w:hAnsi="Verdana" w:cs="Arial"/>
          <w:sz w:val="20"/>
          <w:szCs w:val="20"/>
          <w:lang w:val="es-MX"/>
        </w:rPr>
        <w:t xml:space="preserve">, </w:t>
      </w:r>
      <w:r w:rsidRPr="00833CE2">
        <w:rPr>
          <w:rFonts w:ascii="Verdana" w:eastAsia="Calibri" w:hAnsi="Verdana" w:cs="Arial"/>
          <w:sz w:val="20"/>
          <w:szCs w:val="20"/>
          <w:lang w:val="es-MX"/>
        </w:rPr>
        <w:lastRenderedPageBreak/>
        <w:t xml:space="preserve">La aceptación de términos y condiciones de </w:t>
      </w:r>
      <w:proofErr w:type="spellStart"/>
      <w:r w:rsidRPr="00833CE2">
        <w:rPr>
          <w:rFonts w:ascii="Verdana" w:eastAsia="Calibri" w:hAnsi="Verdana" w:cs="Arial"/>
          <w:sz w:val="20"/>
          <w:szCs w:val="20"/>
          <w:lang w:val="es-MX"/>
        </w:rPr>
        <w:t>secop</w:t>
      </w:r>
      <w:proofErr w:type="spellEnd"/>
      <w:r w:rsidRPr="00833CE2">
        <w:rPr>
          <w:rFonts w:ascii="Verdana" w:eastAsia="Calibri" w:hAnsi="Verdana" w:cs="Arial"/>
          <w:sz w:val="20"/>
          <w:szCs w:val="20"/>
          <w:lang w:val="es-MX"/>
        </w:rPr>
        <w:t xml:space="preserve"> 2 hace que toda la información que presente un proponente sea pública?</w:t>
      </w:r>
    </w:p>
    <w:p w14:paraId="00C90BBE" w14:textId="77777777" w:rsidR="00A83E4F" w:rsidRPr="00833CE2" w:rsidRDefault="00A83E4F" w:rsidP="00A83E4F">
      <w:pPr>
        <w:spacing w:before="120" w:after="0" w:line="240" w:lineRule="auto"/>
        <w:ind w:left="709" w:right="709"/>
        <w:jc w:val="both"/>
        <w:rPr>
          <w:rFonts w:ascii="Verdana" w:eastAsia="Calibri" w:hAnsi="Verdana" w:cs="Arial"/>
          <w:sz w:val="20"/>
          <w:szCs w:val="20"/>
          <w:lang w:val="es-ES" w:eastAsia="es-ES"/>
        </w:rPr>
      </w:pPr>
      <w:proofErr w:type="gramStart"/>
      <w:r w:rsidRPr="00833CE2">
        <w:rPr>
          <w:rFonts w:ascii="Verdana" w:eastAsia="Calibri" w:hAnsi="Verdana" w:cs="Arial"/>
          <w:sz w:val="20"/>
          <w:szCs w:val="20"/>
          <w:lang w:val="es-MX"/>
        </w:rPr>
        <w:t xml:space="preserve">Que debe hacer una entidad para señalar que cierto documento es reservado en </w:t>
      </w:r>
      <w:proofErr w:type="spellStart"/>
      <w:r w:rsidRPr="00833CE2">
        <w:rPr>
          <w:rFonts w:ascii="Verdana" w:eastAsia="Calibri" w:hAnsi="Verdana" w:cs="Arial"/>
          <w:sz w:val="20"/>
          <w:szCs w:val="20"/>
          <w:lang w:val="es-MX"/>
        </w:rPr>
        <w:t>secop</w:t>
      </w:r>
      <w:proofErr w:type="spellEnd"/>
      <w:r w:rsidRPr="00833CE2">
        <w:rPr>
          <w:rFonts w:ascii="Verdana" w:eastAsia="Calibri" w:hAnsi="Verdana" w:cs="Arial"/>
          <w:sz w:val="20"/>
          <w:szCs w:val="20"/>
          <w:lang w:val="es-MX"/>
        </w:rPr>
        <w:t>?</w:t>
      </w:r>
      <w:proofErr w:type="gramEnd"/>
      <w:r w:rsidRPr="00833CE2">
        <w:rPr>
          <w:rFonts w:ascii="Verdana" w:eastAsia="Calibri" w:hAnsi="Verdana" w:cs="Arial"/>
          <w:sz w:val="20"/>
          <w:szCs w:val="20"/>
          <w:lang w:val="es-MX"/>
        </w:rPr>
        <w:t xml:space="preserve"> debe motivar la decisión?” [sic]</w:t>
      </w:r>
    </w:p>
    <w:p w14:paraId="3BD43192" w14:textId="77777777" w:rsidR="00A83E4F" w:rsidRPr="00833CE2" w:rsidRDefault="00A83E4F" w:rsidP="00A83E4F">
      <w:pPr>
        <w:spacing w:before="120" w:after="120" w:line="276" w:lineRule="auto"/>
        <w:ind w:firstLine="709"/>
        <w:jc w:val="both"/>
        <w:rPr>
          <w:rFonts w:ascii="Verdana" w:eastAsia="Calibri" w:hAnsi="Verdana" w:cs="Arial"/>
          <w:szCs w:val="24"/>
          <w:lang w:val="es-ES_tradnl" w:eastAsia="es-ES_tradnl"/>
        </w:rPr>
      </w:pPr>
      <w:r w:rsidRPr="00833CE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567E74B2" w14:textId="77777777" w:rsidR="00A83E4F" w:rsidRPr="00833CE2" w:rsidRDefault="00A83E4F" w:rsidP="00A83E4F">
      <w:pPr>
        <w:spacing w:after="0" w:line="276" w:lineRule="auto"/>
        <w:ind w:firstLine="709"/>
        <w:jc w:val="both"/>
        <w:rPr>
          <w:rFonts w:ascii="Verdana" w:eastAsia="Calibri" w:hAnsi="Verdana" w:cs="Arial"/>
          <w:lang w:val="es-ES" w:eastAsia="es-ES"/>
        </w:rPr>
      </w:pPr>
      <w:r w:rsidRPr="00833CE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C4FC0FB" w14:textId="77777777" w:rsidR="00A83E4F" w:rsidRPr="00833CE2" w:rsidRDefault="00A83E4F" w:rsidP="00A83E4F">
      <w:pPr>
        <w:spacing w:after="0" w:line="276" w:lineRule="auto"/>
        <w:ind w:firstLine="709"/>
        <w:jc w:val="both"/>
        <w:rPr>
          <w:rFonts w:ascii="Verdana" w:eastAsia="Calibri" w:hAnsi="Verdana" w:cs="Arial"/>
          <w:lang w:val="es-ES" w:eastAsia="es-ES"/>
        </w:rPr>
      </w:pPr>
    </w:p>
    <w:p w14:paraId="2AAB41BD" w14:textId="77777777" w:rsidR="00A83E4F" w:rsidRPr="00833CE2" w:rsidRDefault="00A83E4F" w:rsidP="00A83E4F">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833CE2">
        <w:rPr>
          <w:rFonts w:ascii="Verdana" w:eastAsia="Arial" w:hAnsi="Verdana" w:cs="Arial"/>
          <w:b/>
          <w:bCs/>
          <w:lang w:val="es-ES"/>
        </w:rPr>
        <w:t>1. Problema planteado:</w:t>
      </w:r>
    </w:p>
    <w:p w14:paraId="0705C05D" w14:textId="77777777" w:rsidR="00A83E4F" w:rsidRPr="00833CE2" w:rsidRDefault="00A83E4F" w:rsidP="00A83E4F">
      <w:pPr>
        <w:tabs>
          <w:tab w:val="left" w:pos="426"/>
        </w:tabs>
        <w:spacing w:after="0" w:line="276" w:lineRule="auto"/>
        <w:jc w:val="both"/>
        <w:rPr>
          <w:rFonts w:ascii="Verdana" w:eastAsia="Century Gothic" w:hAnsi="Verdana" w:cs="Century Gothic"/>
          <w:lang w:val="es-ES"/>
        </w:rPr>
      </w:pPr>
    </w:p>
    <w:p w14:paraId="02B154F4" w14:textId="77777777" w:rsidR="00A83E4F" w:rsidRPr="00833CE2" w:rsidRDefault="00A83E4F" w:rsidP="00A83E4F">
      <w:pPr>
        <w:spacing w:after="0" w:line="276" w:lineRule="auto"/>
        <w:jc w:val="both"/>
        <w:rPr>
          <w:rFonts w:ascii="Verdana" w:eastAsia="Century Gothic" w:hAnsi="Verdana" w:cs="Century Gothic"/>
        </w:rPr>
      </w:pPr>
      <w:r w:rsidRPr="00833CE2">
        <w:rPr>
          <w:rFonts w:ascii="Verdana" w:eastAsia="Century Gothic" w:hAnsi="Verdana" w:cs="Century Gothic"/>
        </w:rPr>
        <w:t xml:space="preserve">De acuerdo con el contenido de su solicitud, le </w:t>
      </w:r>
      <w:proofErr w:type="gramStart"/>
      <w:r w:rsidRPr="00833CE2">
        <w:rPr>
          <w:rFonts w:ascii="Verdana" w:eastAsia="Century Gothic" w:hAnsi="Verdana" w:cs="Century Gothic"/>
        </w:rPr>
        <w:t>informamos</w:t>
      </w:r>
      <w:proofErr w:type="gramEnd"/>
      <w:r w:rsidRPr="00833CE2">
        <w:rPr>
          <w:rFonts w:ascii="Verdana" w:eastAsia="Century Gothic" w:hAnsi="Verdana" w:cs="Century Gothic"/>
        </w:rPr>
        <w:t xml:space="preserve"> por una parte, que sus preguntas relacionadas en el numeral 1, serán resueltas por </w:t>
      </w:r>
      <w:r>
        <w:rPr>
          <w:rFonts w:ascii="Verdana" w:eastAsia="Century Gothic" w:hAnsi="Verdana" w:cs="Century Gothic"/>
        </w:rPr>
        <w:t>el Grupo Interno de Trabajo de Articulación y Socialización del Sistema de Compras y Contratación Pública de la Dirección General</w:t>
      </w:r>
      <w:r w:rsidRPr="00833CE2">
        <w:rPr>
          <w:rFonts w:ascii="Verdana" w:eastAsia="Century Gothic" w:hAnsi="Verdana" w:cs="Century Gothic"/>
        </w:rPr>
        <w:t xml:space="preserve"> y la Subdirección de Negocios de esta Agencia, respuestas estas, que se adjuntarán al presente concepto. Por otra parte, en lo correspondiente a sus demás interrogantes, le indicamos que estos se resolverán desde los siguientes problemas jurídicos: i) ¿las Entidades Estatales son autónomas en la configuración de sus pliegos de condiciones?, </w:t>
      </w:r>
      <w:proofErr w:type="spellStart"/>
      <w:r w:rsidRPr="00833CE2">
        <w:rPr>
          <w:rFonts w:ascii="Verdana" w:eastAsia="Century Gothic" w:hAnsi="Verdana" w:cs="Century Gothic"/>
        </w:rPr>
        <w:t>ii</w:t>
      </w:r>
      <w:proofErr w:type="spellEnd"/>
      <w:r w:rsidRPr="00833CE2">
        <w:rPr>
          <w:rFonts w:ascii="Verdana" w:eastAsia="Century Gothic" w:hAnsi="Verdana" w:cs="Century Gothic"/>
        </w:rPr>
        <w:t xml:space="preserve">) ¿cómo deben las Entidades Estatales seleccionar a sus contratistas?, y </w:t>
      </w:r>
      <w:proofErr w:type="spellStart"/>
      <w:r w:rsidRPr="00833CE2">
        <w:rPr>
          <w:rFonts w:ascii="Verdana" w:eastAsia="Century Gothic" w:hAnsi="Verdana" w:cs="Century Gothic"/>
        </w:rPr>
        <w:t>iii</w:t>
      </w:r>
      <w:proofErr w:type="spellEnd"/>
      <w:r w:rsidRPr="00833CE2">
        <w:rPr>
          <w:rFonts w:ascii="Verdana" w:eastAsia="Century Gothic" w:hAnsi="Verdana" w:cs="Century Gothic"/>
        </w:rPr>
        <w:t>) ¿qué documentos no deben publicarse en el SECOP?</w:t>
      </w:r>
    </w:p>
    <w:p w14:paraId="6814CBB6" w14:textId="77777777" w:rsidR="00A83E4F" w:rsidRPr="00833CE2" w:rsidRDefault="00A83E4F" w:rsidP="00A83E4F">
      <w:pPr>
        <w:spacing w:after="0" w:line="276" w:lineRule="auto"/>
        <w:jc w:val="both"/>
        <w:rPr>
          <w:rFonts w:ascii="Verdana" w:eastAsia="Century Gothic" w:hAnsi="Verdana" w:cs="Century Gothic"/>
          <w:color w:val="7030A0"/>
        </w:rPr>
      </w:pPr>
    </w:p>
    <w:p w14:paraId="00D7F25F" w14:textId="77777777" w:rsidR="00A83E4F" w:rsidRPr="00833CE2" w:rsidRDefault="00A83E4F" w:rsidP="00A83E4F">
      <w:pPr>
        <w:widowControl w:val="0"/>
        <w:autoSpaceDE w:val="0"/>
        <w:autoSpaceDN w:val="0"/>
        <w:spacing w:before="1" w:after="0" w:line="240" w:lineRule="auto"/>
        <w:jc w:val="both"/>
        <w:outlineLvl w:val="0"/>
        <w:rPr>
          <w:rFonts w:ascii="Verdana" w:eastAsia="Arial" w:hAnsi="Verdana" w:cs="Arial"/>
          <w:b/>
          <w:bCs/>
          <w:lang w:val="es-ES"/>
        </w:rPr>
      </w:pPr>
      <w:r w:rsidRPr="00833CE2">
        <w:rPr>
          <w:rFonts w:ascii="Verdana" w:eastAsia="Arial" w:hAnsi="Verdana" w:cs="Arial"/>
          <w:b/>
          <w:bCs/>
          <w:lang w:val="es-ES"/>
        </w:rPr>
        <w:t>2. Respuestas:</w:t>
      </w:r>
    </w:p>
    <w:p w14:paraId="7779C42E" w14:textId="77777777" w:rsidR="00A83E4F" w:rsidRPr="00833CE2" w:rsidRDefault="00A83E4F" w:rsidP="00A83E4F">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83E4F" w:rsidRPr="00833CE2" w14:paraId="21867550" w14:textId="77777777" w:rsidTr="009A7185">
        <w:tc>
          <w:tcPr>
            <w:tcW w:w="8828" w:type="dxa"/>
            <w:shd w:val="clear" w:color="auto" w:fill="auto"/>
          </w:tcPr>
          <w:p w14:paraId="15681638" w14:textId="77777777" w:rsidR="00A83E4F" w:rsidRPr="00833CE2" w:rsidRDefault="00A83E4F" w:rsidP="009A7185">
            <w:pPr>
              <w:spacing w:line="276" w:lineRule="auto"/>
              <w:jc w:val="both"/>
              <w:rPr>
                <w:rFonts w:ascii="Verdana" w:eastAsia="Calibri" w:hAnsi="Verdana" w:cs="Arial"/>
                <w:lang w:val="es-ES"/>
              </w:rPr>
            </w:pPr>
            <w:bookmarkStart w:id="1" w:name="_Hlk171067516"/>
            <w:r w:rsidRPr="00833CE2">
              <w:rPr>
                <w:rFonts w:ascii="Verdana" w:eastAsia="Calibri" w:hAnsi="Verdana" w:cs="Arial"/>
                <w:lang w:val="es-ES"/>
              </w:rPr>
              <w:t>i) Las Entidades Estatales respecto de la estructuración de sus procesos de contratación, tienen la obligación de observar los límites procedimentales y sustanciales establecidos el Estatuto General de Contratación de la Administración Pública. Esto debido a que, la vocación de la ley y el reglamento es ser general y abstracto, por lo que pese a que las entidades deben ceñirse a las reglas allí dispuestas, serán estas las llamadas a llenar el contenido material del pliego de condiciones con fundamento en la información obtenida en la etapa de planeación, esto es, la necesidad concreta de la entidad, el presupuesto del proceso de selección, las condiciones propias del sector económico en el que se adelanta la contratación y demás factores. Lo anterior configura entonces, la potestad discrecional que le asiste a la Administración en la redacción y construcción de los pliegos de condiciones como expresión de la voluntad del ejecutor, ya que es este el que tiene el conocimiento específico requerido para la redacción del documento y será el llamado a ejecutar el proceso de contratación.</w:t>
            </w:r>
          </w:p>
          <w:p w14:paraId="55292AF3" w14:textId="77777777" w:rsidR="00A83E4F" w:rsidRPr="00833CE2" w:rsidRDefault="00A83E4F" w:rsidP="009A7185">
            <w:pPr>
              <w:spacing w:line="276" w:lineRule="auto"/>
              <w:jc w:val="both"/>
              <w:rPr>
                <w:rFonts w:ascii="Verdana" w:eastAsia="Calibri" w:hAnsi="Verdana" w:cs="Arial"/>
                <w:lang w:val="es-ES"/>
              </w:rPr>
            </w:pPr>
          </w:p>
          <w:p w14:paraId="2761867E" w14:textId="77777777" w:rsidR="00A83E4F" w:rsidRPr="00833CE2" w:rsidRDefault="00A83E4F" w:rsidP="009A7185">
            <w:pPr>
              <w:spacing w:line="276" w:lineRule="auto"/>
              <w:jc w:val="both"/>
              <w:rPr>
                <w:rFonts w:ascii="Verdana" w:eastAsia="Calibri" w:hAnsi="Verdana" w:cs="Arial"/>
                <w:lang w:val="es-ES"/>
              </w:rPr>
            </w:pPr>
            <w:proofErr w:type="spellStart"/>
            <w:r w:rsidRPr="00833CE2">
              <w:rPr>
                <w:rFonts w:ascii="Verdana" w:eastAsia="Calibri" w:hAnsi="Verdana" w:cs="Arial"/>
                <w:lang w:val="es-ES"/>
              </w:rPr>
              <w:t>ii</w:t>
            </w:r>
            <w:proofErr w:type="spellEnd"/>
            <w:r w:rsidRPr="00833CE2">
              <w:rPr>
                <w:rFonts w:ascii="Verdana" w:eastAsia="Calibri" w:hAnsi="Verdana" w:cs="Arial"/>
                <w:lang w:val="es-ES"/>
              </w:rPr>
              <w:t>) En función del principio de selección objetiva, la escogencia del futuro contratista no puede motivarse en razones subjetivas que afecten la imparcialidad de la Entidad Estatal. En ese sentido, se tiene que, el primer inciso del artículo 5 de la Ley 1150 de 2007, indica que “[e]s objetiva la selección en la cual la escogencia se haga al ofrecimiento más favorable a la entidad y a los fines que ella busca, sin tener en consideración factores de afecto o de interés y, en general, cualquier clase de motivación subjetiva”. En ese sentido se precisa, que la norma en cita señala que los factores de escogencia y calificación que establezcan las Entidades Estatales en los pliegos de condiciones o sus equivalentes, tendrán en cuenta criterios como la experiencia, capacidad jurídica, financiera y de organización, entre otros elementos que garanticen la escogencia de la mejor opción de negocio para la entidad.</w:t>
            </w:r>
          </w:p>
          <w:p w14:paraId="63715DEC" w14:textId="77777777" w:rsidR="00A83E4F" w:rsidRPr="00833CE2" w:rsidRDefault="00A83E4F" w:rsidP="009A7185">
            <w:pPr>
              <w:spacing w:line="276" w:lineRule="auto"/>
              <w:jc w:val="both"/>
              <w:rPr>
                <w:rFonts w:ascii="Verdana" w:eastAsia="Calibri" w:hAnsi="Verdana" w:cs="Arial"/>
                <w:lang w:val="es-ES"/>
              </w:rPr>
            </w:pPr>
          </w:p>
          <w:p w14:paraId="0F2D11E3" w14:textId="77777777" w:rsidR="00A83E4F" w:rsidRDefault="00A83E4F" w:rsidP="009A7185">
            <w:pPr>
              <w:spacing w:line="276" w:lineRule="auto"/>
              <w:jc w:val="both"/>
              <w:rPr>
                <w:rFonts w:ascii="Verdana" w:eastAsia="Calibri" w:hAnsi="Verdana" w:cs="Arial"/>
                <w:lang w:val="es-ES"/>
              </w:rPr>
            </w:pPr>
            <w:proofErr w:type="spellStart"/>
            <w:r w:rsidRPr="00833CE2">
              <w:rPr>
                <w:rFonts w:ascii="Verdana" w:eastAsia="Calibri" w:hAnsi="Verdana" w:cs="Arial"/>
                <w:lang w:val="es-ES"/>
              </w:rPr>
              <w:t>iii</w:t>
            </w:r>
            <w:proofErr w:type="spellEnd"/>
            <w:r w:rsidRPr="00833CE2">
              <w:rPr>
                <w:rFonts w:ascii="Verdana" w:eastAsia="Calibri" w:hAnsi="Verdana" w:cs="Arial"/>
                <w:lang w:val="es-ES"/>
              </w:rPr>
              <w:t xml:space="preserve">) 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w:t>
            </w:r>
            <w:r w:rsidRPr="00833CE2">
              <w:rPr>
                <w:rFonts w:ascii="Verdana" w:eastAsia="Calibri" w:hAnsi="Verdana" w:cs="Arial"/>
                <w:lang w:val="es-ES"/>
              </w:rPr>
              <w:lastRenderedPageBreak/>
              <w:t>estén cubiertas por ella”. Por ello, la Entidad Estatal puede dejar de publicar algún documento del proceso o aparte del mismo que contenga datos sensibles, clasificados o reservados, para no divulgarla, pero debe publicar los demás documentos o los apartados de estos,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4F13DB33" w14:textId="77777777" w:rsidR="00A83E4F" w:rsidRPr="00CC3D30" w:rsidRDefault="00A83E4F" w:rsidP="009A7185">
            <w:pPr>
              <w:spacing w:line="276" w:lineRule="auto"/>
              <w:jc w:val="both"/>
              <w:rPr>
                <w:rFonts w:ascii="Verdana" w:eastAsia="Calibri" w:hAnsi="Verdana" w:cs="Arial"/>
                <w:lang w:val="es-ES"/>
              </w:rPr>
            </w:pPr>
          </w:p>
          <w:p w14:paraId="47CD1409" w14:textId="77777777" w:rsidR="00A83E4F" w:rsidRPr="00833CE2" w:rsidRDefault="00A83E4F" w:rsidP="009A7185">
            <w:pPr>
              <w:spacing w:line="276" w:lineRule="auto"/>
              <w:jc w:val="both"/>
              <w:rPr>
                <w:rFonts w:ascii="Verdana" w:eastAsia="Calibri" w:hAnsi="Verdana" w:cs="Arial"/>
                <w:color w:val="7030A0"/>
                <w:lang w:val="es-ES"/>
              </w:rPr>
            </w:pPr>
            <w:r w:rsidRPr="00CC3D30">
              <w:rPr>
                <w:rFonts w:ascii="Verdana" w:eastAsia="Calibri" w:hAnsi="Verdana" w:cs="Arial"/>
                <w:lang w:val="es-ES"/>
              </w:rPr>
              <w:t>Finalmente</w:t>
            </w:r>
            <w:r>
              <w:rPr>
                <w:rFonts w:ascii="Verdana" w:eastAsia="Calibri" w:hAnsi="Verdana" w:cs="Arial"/>
                <w:lang w:val="es-ES"/>
              </w:rPr>
              <w:t xml:space="preserve"> se precisa, que la Agencia Nacional de Contratación Pública – Colombia Compra Eficiente, solo puede resolver consultas generales que deriven del marco interpretativo de las normas que rigen la contratación pública, por lo que, respecto de asuntos particulares, no podrá manifestarse.</w:t>
            </w:r>
          </w:p>
        </w:tc>
      </w:tr>
      <w:bookmarkEnd w:id="1"/>
    </w:tbl>
    <w:p w14:paraId="3E4F41F3" w14:textId="77777777" w:rsidR="00A83E4F" w:rsidRPr="00833CE2" w:rsidRDefault="00A83E4F" w:rsidP="00A83E4F">
      <w:pPr>
        <w:widowControl w:val="0"/>
        <w:autoSpaceDE w:val="0"/>
        <w:autoSpaceDN w:val="0"/>
        <w:spacing w:before="1" w:after="0" w:line="240" w:lineRule="auto"/>
        <w:ind w:left="360" w:hanging="360"/>
        <w:outlineLvl w:val="0"/>
        <w:rPr>
          <w:rFonts w:ascii="Verdana" w:eastAsia="Arial" w:hAnsi="Verdana" w:cs="Arial"/>
          <w:b/>
          <w:bCs/>
          <w:lang w:val="es-ES"/>
        </w:rPr>
      </w:pPr>
    </w:p>
    <w:p w14:paraId="01A1D07D" w14:textId="77777777" w:rsidR="00A83E4F" w:rsidRPr="00833CE2" w:rsidRDefault="00A83E4F" w:rsidP="00A83E4F">
      <w:pPr>
        <w:widowControl w:val="0"/>
        <w:autoSpaceDE w:val="0"/>
        <w:autoSpaceDN w:val="0"/>
        <w:spacing w:before="1" w:after="0" w:line="240" w:lineRule="auto"/>
        <w:ind w:left="360" w:hanging="360"/>
        <w:outlineLvl w:val="0"/>
        <w:rPr>
          <w:rFonts w:ascii="Verdana" w:eastAsia="Arial" w:hAnsi="Verdana" w:cs="Arial"/>
          <w:b/>
          <w:bCs/>
          <w:lang w:val="es-ES"/>
        </w:rPr>
      </w:pPr>
      <w:r w:rsidRPr="00833CE2">
        <w:rPr>
          <w:rFonts w:ascii="Verdana" w:eastAsia="Arial" w:hAnsi="Verdana" w:cs="Arial"/>
          <w:b/>
          <w:bCs/>
          <w:lang w:val="es-ES"/>
        </w:rPr>
        <w:t>3. Razones de la respuesta</w:t>
      </w:r>
    </w:p>
    <w:p w14:paraId="37C7EA48" w14:textId="77777777" w:rsidR="00A83E4F" w:rsidRPr="00833CE2" w:rsidRDefault="00A83E4F" w:rsidP="00A83E4F">
      <w:pPr>
        <w:spacing w:after="0" w:line="276" w:lineRule="auto"/>
        <w:jc w:val="both"/>
        <w:rPr>
          <w:rFonts w:ascii="Verdana" w:eastAsia="Calibri" w:hAnsi="Verdana" w:cs="Arial"/>
          <w:lang w:val="es-ES"/>
        </w:rPr>
      </w:pPr>
    </w:p>
    <w:p w14:paraId="0B739FB5" w14:textId="77777777" w:rsidR="00A83E4F" w:rsidRPr="00833CE2" w:rsidRDefault="00A83E4F" w:rsidP="00A83E4F">
      <w:pPr>
        <w:spacing w:after="0" w:line="276" w:lineRule="auto"/>
        <w:jc w:val="both"/>
        <w:rPr>
          <w:rFonts w:ascii="Verdana" w:eastAsia="Calibri" w:hAnsi="Verdana" w:cs="Arial"/>
          <w:lang w:val="es-ES"/>
        </w:rPr>
      </w:pPr>
      <w:r w:rsidRPr="00833CE2">
        <w:rPr>
          <w:rFonts w:ascii="Verdana" w:eastAsia="Calibri" w:hAnsi="Verdana" w:cs="Arial"/>
          <w:lang w:val="es-ES"/>
        </w:rPr>
        <w:t xml:space="preserve">Las respuestas anteriores se sustentan en las siguientes consideraciones: </w:t>
      </w:r>
    </w:p>
    <w:p w14:paraId="6DC28FA2" w14:textId="77777777" w:rsidR="00A83E4F" w:rsidRPr="00833CE2" w:rsidRDefault="00A83E4F" w:rsidP="00A83E4F">
      <w:pPr>
        <w:spacing w:after="0" w:line="276" w:lineRule="auto"/>
        <w:contextualSpacing/>
        <w:jc w:val="both"/>
        <w:rPr>
          <w:rFonts w:ascii="Verdana" w:eastAsia="Calibri" w:hAnsi="Verdana" w:cs="Arial"/>
          <w:lang w:val="es-ES"/>
        </w:rPr>
      </w:pPr>
    </w:p>
    <w:p w14:paraId="5C0D327C" w14:textId="77777777" w:rsidR="00A83E4F" w:rsidRPr="00833CE2" w:rsidRDefault="00A83E4F" w:rsidP="00A83E4F">
      <w:pPr>
        <w:numPr>
          <w:ilvl w:val="0"/>
          <w:numId w:val="3"/>
        </w:numPr>
        <w:spacing w:after="0" w:line="276" w:lineRule="auto"/>
        <w:contextualSpacing/>
        <w:jc w:val="both"/>
        <w:rPr>
          <w:rFonts w:ascii="Verdana" w:eastAsia="Calibri" w:hAnsi="Verdana" w:cs="Arial"/>
          <w:lang w:val="es-ES"/>
        </w:rPr>
      </w:pPr>
      <w:bookmarkStart w:id="2" w:name="_Hlk173311098"/>
      <w:r w:rsidRPr="00833CE2">
        <w:rPr>
          <w:rFonts w:ascii="Verdana" w:eastAsia="Calibri" w:hAnsi="Verdana" w:cs="Arial"/>
          <w:lang w:val="es-ES"/>
        </w:rPr>
        <w:t>La contratación pública involucra, entre otras relaciones, la interacción de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el Estatuto General de Contratación de la Administración Pública –Ley 80 de 1993, Ley 1150 de 2007, Decreto 1082 de 2015 y demás normas que lo adicionen, modifiquen o complementen–, con el fin de procurar un equilibrio y el cumplimiento de sus principios, entre otros objetivos.</w:t>
      </w:r>
    </w:p>
    <w:p w14:paraId="0156A9F9" w14:textId="77777777" w:rsidR="00A83E4F" w:rsidRPr="00833CE2" w:rsidRDefault="00A83E4F" w:rsidP="00A83E4F">
      <w:pPr>
        <w:spacing w:after="0" w:line="276" w:lineRule="auto"/>
        <w:ind w:left="720"/>
        <w:contextualSpacing/>
        <w:jc w:val="both"/>
        <w:rPr>
          <w:rFonts w:ascii="Verdana" w:eastAsia="Calibri" w:hAnsi="Verdana" w:cs="Arial"/>
          <w:lang w:val="es-ES"/>
        </w:rPr>
      </w:pPr>
    </w:p>
    <w:p w14:paraId="74C370A6" w14:textId="77777777" w:rsidR="00A83E4F" w:rsidRPr="00833CE2" w:rsidRDefault="00A83E4F" w:rsidP="00A83E4F">
      <w:pPr>
        <w:numPr>
          <w:ilvl w:val="0"/>
          <w:numId w:val="3"/>
        </w:numPr>
        <w:spacing w:after="0" w:line="276" w:lineRule="auto"/>
        <w:contextualSpacing/>
        <w:jc w:val="both"/>
        <w:rPr>
          <w:rFonts w:ascii="Verdana" w:eastAsia="Calibri" w:hAnsi="Verdana" w:cs="Arial"/>
          <w:lang w:val="es-ES"/>
        </w:rPr>
      </w:pPr>
      <w:r w:rsidRPr="00833CE2">
        <w:rPr>
          <w:rFonts w:ascii="Verdana" w:eastAsia="Calibri" w:hAnsi="Verdana" w:cs="Arial"/>
          <w:lang w:val="es-ES"/>
        </w:rPr>
        <w:t xml:space="preserve">En ese sentido, la normativa contractual contiene disposiciones que le indican a la Entidad Estatal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con la adquisición de que se trate, y que quedan </w:t>
      </w:r>
      <w:r w:rsidRPr="00833CE2">
        <w:rPr>
          <w:rFonts w:ascii="Verdana" w:eastAsia="Calibri" w:hAnsi="Verdana" w:cs="Arial"/>
          <w:lang w:val="es-ES"/>
        </w:rPr>
        <w:lastRenderedPageBreak/>
        <w:t>definidos en el pliego de condiciones</w:t>
      </w:r>
      <w:r w:rsidRPr="00833CE2">
        <w:rPr>
          <w:rFonts w:ascii="Verdana" w:eastAsia="Calibri" w:hAnsi="Verdana" w:cs="Arial"/>
          <w:color w:val="000000"/>
          <w:vertAlign w:val="superscript"/>
        </w:rPr>
        <w:footnoteReference w:id="1"/>
      </w:r>
      <w:r w:rsidRPr="00833CE2">
        <w:rPr>
          <w:rFonts w:ascii="Verdana" w:eastAsia="Calibri" w:hAnsi="Verdana" w:cs="Arial"/>
          <w:color w:val="000000"/>
        </w:rPr>
        <w:t>. La Ley 80 de 1993, en el artículo 24, regula el principio de transparencia, sobre el cual se indican reglas para el contenido del pliego de condiciones, así:</w:t>
      </w:r>
    </w:p>
    <w:p w14:paraId="08C57D2E" w14:textId="77777777" w:rsidR="00A83E4F" w:rsidRPr="00833CE2" w:rsidRDefault="00A83E4F" w:rsidP="00A83E4F">
      <w:pPr>
        <w:spacing w:after="0" w:line="276" w:lineRule="auto"/>
        <w:ind w:left="720"/>
        <w:contextualSpacing/>
        <w:jc w:val="both"/>
        <w:rPr>
          <w:rFonts w:ascii="Verdana" w:eastAsia="Calibri" w:hAnsi="Verdana" w:cs="Arial"/>
          <w:lang w:val="es-ES"/>
        </w:rPr>
      </w:pPr>
    </w:p>
    <w:p w14:paraId="1B6009E2"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r w:rsidRPr="00833CE2">
        <w:rPr>
          <w:rFonts w:ascii="Verdana" w:eastAsia="Calibri" w:hAnsi="Verdana" w:cs="Arial"/>
          <w:sz w:val="20"/>
          <w:szCs w:val="20"/>
          <w:lang w:val="es-ES"/>
        </w:rPr>
        <w:t>“[…]5o. En los pliegos de condiciones:</w:t>
      </w:r>
    </w:p>
    <w:p w14:paraId="4E67D11B"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p>
    <w:p w14:paraId="7FCDE6E0"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r w:rsidRPr="00833CE2">
        <w:rPr>
          <w:rFonts w:ascii="Verdana" w:eastAsia="Calibri" w:hAnsi="Verdana" w:cs="Arial"/>
          <w:sz w:val="20"/>
          <w:szCs w:val="20"/>
          <w:lang w:val="es-ES"/>
        </w:rPr>
        <w:t>a) Se indicarán los requisitos objetivos necesarios para participar en el correspondiente proceso de selección.</w:t>
      </w:r>
    </w:p>
    <w:p w14:paraId="191F1910"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p>
    <w:p w14:paraId="59112DB0"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r w:rsidRPr="00833CE2">
        <w:rPr>
          <w:rFonts w:ascii="Verdana" w:eastAsia="Calibri" w:hAnsi="Verdana" w:cs="Arial"/>
          <w:sz w:val="20"/>
          <w:szCs w:val="20"/>
          <w:lang w:val="es-ES"/>
        </w:rPr>
        <w:t>b) Se definirán reglas objetivas, justas, claras y completas que permitan la confección de ofrecimientos de la misma índole, aseguren una escogencia objetiva y eviten la declaratoria de desierta de la licitación.</w:t>
      </w:r>
    </w:p>
    <w:p w14:paraId="03129F98"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r w:rsidRPr="00833CE2">
        <w:rPr>
          <w:rFonts w:ascii="Verdana" w:eastAsia="Calibri" w:hAnsi="Verdana" w:cs="Arial"/>
          <w:sz w:val="20"/>
          <w:szCs w:val="20"/>
          <w:lang w:val="es-ES"/>
        </w:rPr>
        <w:t>[...]</w:t>
      </w:r>
    </w:p>
    <w:p w14:paraId="7C8137D9"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p>
    <w:p w14:paraId="0448716E"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r w:rsidRPr="00833CE2">
        <w:rPr>
          <w:rFonts w:ascii="Verdana" w:eastAsia="Calibri" w:hAnsi="Verdana" w:cs="Arial"/>
          <w:sz w:val="20"/>
          <w:szCs w:val="20"/>
          <w:lang w:val="es-ES"/>
        </w:rPr>
        <w:t>d) No se incluirán condiciones y exigencias de imposible cumplimiento, ni exenciones de la responsabilidad derivada de los datos, informes y documentos que se suministren.</w:t>
      </w:r>
    </w:p>
    <w:p w14:paraId="6A343B3C"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p>
    <w:p w14:paraId="70D1686D"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r w:rsidRPr="00833CE2">
        <w:rPr>
          <w:rFonts w:ascii="Verdana" w:eastAsia="Calibri" w:hAnsi="Verdana" w:cs="Arial"/>
          <w:sz w:val="20"/>
          <w:szCs w:val="20"/>
          <w:lang w:val="es-ES"/>
        </w:rPr>
        <w:t>e) Se definirán reglas que no induzcan a error a los proponentes y contratistas y que impidan la formulación de ofrecimientos de extensión ilimitada o que dependan de la voluntad exclusiva de la entidad.</w:t>
      </w:r>
    </w:p>
    <w:p w14:paraId="2CA01290"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r w:rsidRPr="00833CE2">
        <w:rPr>
          <w:rFonts w:ascii="Verdana" w:eastAsia="Calibri" w:hAnsi="Verdana" w:cs="Arial"/>
          <w:sz w:val="20"/>
          <w:szCs w:val="20"/>
          <w:lang w:val="es-ES"/>
        </w:rPr>
        <w:t>[…]”</w:t>
      </w:r>
    </w:p>
    <w:p w14:paraId="13F4E69F" w14:textId="77777777" w:rsidR="00A83E4F" w:rsidRPr="00833CE2" w:rsidRDefault="00A83E4F" w:rsidP="00A83E4F">
      <w:pPr>
        <w:spacing w:after="0" w:line="276" w:lineRule="auto"/>
        <w:ind w:left="720"/>
        <w:contextualSpacing/>
        <w:jc w:val="both"/>
        <w:rPr>
          <w:rFonts w:ascii="Verdana" w:eastAsia="Calibri" w:hAnsi="Verdana" w:cs="Arial"/>
          <w:lang w:val="es-ES"/>
        </w:rPr>
      </w:pPr>
    </w:p>
    <w:p w14:paraId="3540201A" w14:textId="77777777" w:rsidR="00A83E4F" w:rsidRPr="00833CE2" w:rsidRDefault="00A83E4F" w:rsidP="00A83E4F">
      <w:pPr>
        <w:numPr>
          <w:ilvl w:val="0"/>
          <w:numId w:val="3"/>
        </w:numPr>
        <w:spacing w:after="0" w:line="276" w:lineRule="auto"/>
        <w:contextualSpacing/>
        <w:jc w:val="both"/>
        <w:rPr>
          <w:rFonts w:ascii="Verdana" w:eastAsia="Calibri" w:hAnsi="Verdana" w:cs="Arial"/>
          <w:lang w:val="es-ES"/>
        </w:rPr>
      </w:pPr>
      <w:r w:rsidRPr="00833CE2">
        <w:rPr>
          <w:rFonts w:ascii="Verdana" w:eastAsia="Calibri" w:hAnsi="Verdana" w:cs="Arial"/>
          <w:lang w:val="es-ES"/>
        </w:rPr>
        <w:t>De la norma precitada se observa, que las Entidades Estatales respecto de la estructuración de sus procesos de contratación, tienen unos límites procedimentales y sustanciales. Esto debido a que, la vocación de la ley y el reglamento es ser general y abstracto, por lo que pese a que las entidades deben ceñirse a las reglas allí dispuestas, serán estas las llamadas a llenar el contenido material del pliego de condiciones con fundamento en la información obtenida en la etapa de planeación, esto es, la necesidad concreta de la entidad, el presupuesto del proceso de selección, las condiciones propias del sector económico en el que se adelanta la contratación y demás factores.</w:t>
      </w:r>
      <w:r w:rsidRPr="00833CE2">
        <w:rPr>
          <w:rFonts w:ascii="Aptos" w:eastAsia="Aptos" w:hAnsi="Aptos" w:cs="Times New Roman"/>
        </w:rPr>
        <w:t xml:space="preserve"> </w:t>
      </w:r>
      <w:r w:rsidRPr="00833CE2">
        <w:rPr>
          <w:rFonts w:ascii="Verdana" w:eastAsia="Calibri" w:hAnsi="Verdana" w:cs="Arial"/>
          <w:lang w:val="es-ES"/>
        </w:rPr>
        <w:t xml:space="preserve">Lo anterior configura entonces, la potestad discrecional que le asiste a la Administración en la redacción </w:t>
      </w:r>
      <w:r w:rsidRPr="00833CE2">
        <w:rPr>
          <w:rFonts w:ascii="Verdana" w:eastAsia="Calibri" w:hAnsi="Verdana" w:cs="Arial"/>
          <w:lang w:val="es-ES"/>
        </w:rPr>
        <w:lastRenderedPageBreak/>
        <w:t xml:space="preserve">y construcción de los pliegos de condiciones como expresión de la voluntad del ejecutor, ya que es este el que tiene el conocimiento específico requerido para la redacción del documento y será el llamado a ejecutar el proceso selección. Sobre el particular, el Consejo de Estado ha manifestado que: </w:t>
      </w:r>
    </w:p>
    <w:p w14:paraId="781C6414" w14:textId="77777777" w:rsidR="00A83E4F" w:rsidRPr="00833CE2" w:rsidRDefault="00A83E4F" w:rsidP="00A83E4F">
      <w:pPr>
        <w:spacing w:after="0" w:line="276" w:lineRule="auto"/>
        <w:ind w:left="720"/>
        <w:contextualSpacing/>
        <w:jc w:val="both"/>
        <w:rPr>
          <w:rFonts w:ascii="Verdana" w:eastAsia="Calibri" w:hAnsi="Verdana" w:cs="Arial"/>
          <w:lang w:val="es-ES"/>
        </w:rPr>
      </w:pPr>
    </w:p>
    <w:p w14:paraId="74383CE9" w14:textId="77777777" w:rsidR="00A83E4F" w:rsidRPr="00833CE2" w:rsidRDefault="00A83E4F" w:rsidP="00A83E4F">
      <w:pPr>
        <w:spacing w:after="0" w:line="240" w:lineRule="auto"/>
        <w:ind w:left="1287" w:right="1287"/>
        <w:contextualSpacing/>
        <w:jc w:val="both"/>
        <w:rPr>
          <w:rFonts w:ascii="Verdana" w:eastAsia="Calibri" w:hAnsi="Verdana" w:cs="Arial"/>
          <w:sz w:val="20"/>
          <w:szCs w:val="20"/>
          <w:lang w:val="es-ES"/>
        </w:rPr>
      </w:pPr>
      <w:r w:rsidRPr="00833CE2">
        <w:rPr>
          <w:rFonts w:ascii="Verdana" w:eastAsia="Calibri" w:hAnsi="Verdana" w:cs="Arial"/>
          <w:sz w:val="20"/>
          <w:szCs w:val="20"/>
          <w:lang w:val="es-ES"/>
        </w:rPr>
        <w:t>“En la contratación realizada por las entidades estatales rige el principio de la autonomía de la voluntad; ello significa que el ordenamiento jurídico otorga verdadera libertad para especificar el contenido y determinar las estipulaciones del negocio jurídico, las cuales deben enmarcarse dentro de las normas civiles y comerciales y aquellas previstas en el Estatuto de Contratación estatal. Por tanto, existe libertad en la determinación de la tipología contractual, porque como dispone el inciso 4 del artículo 40 de la Ley 80 de 1993, las partes pueden incluir “las modalidades, condiciones y en general, las cláusulas o estipulaciones que consideren necesarias y convenientes, siempre que no sean contrarias a la Constitución, la ley, el orden público y a los principios y finalidades de esta ley y a los de la buena administración.” Por tanto, como señala la jurisprudencia, “las actuaciones contractuales de la administración y las obligaciones surgidas de las estipulaciones del contrato, están definidas por los términos pactados, los cuales constituyen ley para las partes.” Así, el principio de la autonomía de la voluntad conlleva un reconocimiento de autodeterminación por parte de los sujetos contratantes, a los cuales se reconoce capacidad para regular aquellos intereses que le son propios. Es necesario hacer una salvedad, los intereses de los que aquí se habla tienen el alcance que el ordenamiento jurídico les permita, como quiera que la actividad de la Administración debe siempre estar enmarcada por el principio de legalidad</w:t>
      </w:r>
      <w:r w:rsidRPr="00833CE2">
        <w:rPr>
          <w:rFonts w:ascii="Verdana" w:eastAsia="Aptos" w:hAnsi="Verdana" w:cs="Arial"/>
          <w:bCs/>
          <w:iCs/>
          <w:sz w:val="20"/>
          <w:szCs w:val="20"/>
          <w:vertAlign w:val="superscript"/>
          <w:lang w:val="es-ES" w:eastAsia="es-MX"/>
        </w:rPr>
        <w:footnoteReference w:id="2"/>
      </w:r>
      <w:r w:rsidRPr="00833CE2">
        <w:rPr>
          <w:rFonts w:ascii="Verdana" w:eastAsia="Calibri" w:hAnsi="Verdana" w:cs="Arial"/>
          <w:sz w:val="20"/>
          <w:szCs w:val="20"/>
          <w:lang w:val="es-ES"/>
        </w:rPr>
        <w:t>”.</w:t>
      </w:r>
    </w:p>
    <w:p w14:paraId="2C85BB58" w14:textId="77777777" w:rsidR="00A83E4F" w:rsidRPr="00833CE2" w:rsidRDefault="00A83E4F" w:rsidP="00A83E4F">
      <w:pPr>
        <w:spacing w:after="0" w:line="276" w:lineRule="auto"/>
        <w:contextualSpacing/>
        <w:jc w:val="both"/>
        <w:rPr>
          <w:rFonts w:ascii="Verdana" w:eastAsia="Calibri" w:hAnsi="Verdana" w:cs="Arial"/>
          <w:lang w:val="es-ES"/>
        </w:rPr>
      </w:pPr>
    </w:p>
    <w:p w14:paraId="2170ECD2" w14:textId="77777777" w:rsidR="00A83E4F" w:rsidRPr="00833CE2" w:rsidRDefault="00A83E4F" w:rsidP="00A83E4F">
      <w:pPr>
        <w:numPr>
          <w:ilvl w:val="0"/>
          <w:numId w:val="3"/>
        </w:numPr>
        <w:spacing w:after="0"/>
        <w:contextualSpacing/>
        <w:jc w:val="both"/>
        <w:rPr>
          <w:rFonts w:ascii="Verdana" w:eastAsia="Arial" w:hAnsi="Verdana" w:cs="Arial"/>
          <w:color w:val="000000"/>
          <w:lang w:val="es-MX" w:eastAsia="es-CO"/>
        </w:rPr>
      </w:pPr>
      <w:r w:rsidRPr="00833CE2">
        <w:rPr>
          <w:rFonts w:ascii="Verdana" w:eastAsia="Arial" w:hAnsi="Verdana" w:cs="Arial"/>
          <w:color w:val="000000"/>
          <w:lang w:val="es-MX" w:eastAsia="es-CO"/>
        </w:rPr>
        <w:t xml:space="preserve">Aunado a lo anterior,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 </w:t>
      </w:r>
    </w:p>
    <w:p w14:paraId="043A0391" w14:textId="77777777" w:rsidR="00A83E4F" w:rsidRPr="00833CE2" w:rsidRDefault="00A83E4F" w:rsidP="00A83E4F">
      <w:pPr>
        <w:spacing w:after="0"/>
        <w:ind w:left="720"/>
        <w:contextualSpacing/>
        <w:jc w:val="both"/>
        <w:rPr>
          <w:rFonts w:ascii="Verdana" w:eastAsia="Arial" w:hAnsi="Verdana" w:cs="Arial"/>
          <w:color w:val="000000"/>
          <w:lang w:val="es-MX" w:eastAsia="es-CO"/>
        </w:rPr>
      </w:pPr>
    </w:p>
    <w:p w14:paraId="40A78BE5" w14:textId="77777777" w:rsidR="00A83E4F" w:rsidRPr="00833CE2" w:rsidRDefault="00A83E4F" w:rsidP="00A83E4F">
      <w:pPr>
        <w:spacing w:after="0" w:line="240" w:lineRule="auto"/>
        <w:ind w:left="1287" w:right="1287"/>
        <w:jc w:val="both"/>
        <w:rPr>
          <w:rFonts w:ascii="Verdana" w:eastAsia="Aptos" w:hAnsi="Verdana" w:cs="Arial"/>
          <w:sz w:val="20"/>
          <w:szCs w:val="20"/>
          <w:lang w:val="es-ES"/>
        </w:rPr>
      </w:pPr>
      <w:r w:rsidRPr="00833CE2">
        <w:rPr>
          <w:rFonts w:ascii="Verdana" w:eastAsia="Aptos" w:hAnsi="Verdana" w:cs="Arial"/>
          <w:sz w:val="20"/>
          <w:szCs w:val="20"/>
          <w:lang w:val="es-ES"/>
        </w:rPr>
        <w:t xml:space="preserve">“Si bien la Administración goza de una amplia facultad de configuración en relación con los requisitos, las exigencias y, en general, con las reglas que se adopten mediante los pliegos </w:t>
      </w:r>
      <w:r w:rsidRPr="00833CE2">
        <w:rPr>
          <w:rFonts w:ascii="Verdana" w:eastAsia="Aptos" w:hAnsi="Verdana" w:cs="Arial"/>
          <w:sz w:val="20"/>
          <w:szCs w:val="20"/>
          <w:lang w:val="es-ES"/>
        </w:rPr>
        <w:lastRenderedPageBreak/>
        <w:t>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833CE2">
        <w:rPr>
          <w:rFonts w:ascii="Verdana" w:eastAsia="Aptos" w:hAnsi="Verdana" w:cs="Arial"/>
          <w:color w:val="000000"/>
          <w:sz w:val="21"/>
          <w:szCs w:val="21"/>
          <w:vertAlign w:val="superscript"/>
        </w:rPr>
        <w:footnoteReference w:id="3"/>
      </w:r>
      <w:r w:rsidRPr="00833CE2">
        <w:rPr>
          <w:rFonts w:ascii="Verdana" w:eastAsia="Aptos" w:hAnsi="Verdana" w:cs="Arial"/>
          <w:sz w:val="20"/>
          <w:szCs w:val="20"/>
          <w:lang w:val="es-ES"/>
        </w:rPr>
        <w:t>”.</w:t>
      </w:r>
    </w:p>
    <w:p w14:paraId="76AEAF33" w14:textId="77777777" w:rsidR="00A83E4F" w:rsidRPr="00833CE2" w:rsidRDefault="00A83E4F" w:rsidP="00A83E4F">
      <w:pPr>
        <w:spacing w:after="0" w:line="276" w:lineRule="auto"/>
        <w:contextualSpacing/>
        <w:jc w:val="both"/>
        <w:rPr>
          <w:rFonts w:ascii="Verdana" w:eastAsia="Calibri" w:hAnsi="Verdana" w:cs="Arial"/>
        </w:rPr>
      </w:pPr>
    </w:p>
    <w:p w14:paraId="26841DA8" w14:textId="77777777" w:rsidR="00A83E4F" w:rsidRPr="00833CE2" w:rsidRDefault="00A83E4F" w:rsidP="00A83E4F">
      <w:pPr>
        <w:numPr>
          <w:ilvl w:val="0"/>
          <w:numId w:val="3"/>
        </w:numPr>
        <w:spacing w:after="0" w:line="276" w:lineRule="auto"/>
        <w:contextualSpacing/>
        <w:jc w:val="both"/>
        <w:rPr>
          <w:rFonts w:ascii="Verdana" w:eastAsia="Calibri" w:hAnsi="Verdana" w:cs="Arial"/>
        </w:rPr>
      </w:pPr>
      <w:r w:rsidRPr="00833CE2">
        <w:rPr>
          <w:rFonts w:ascii="Verdana" w:eastAsia="Calibri" w:hAnsi="Verdana" w:cs="Arial"/>
        </w:rPr>
        <w:t>Adicionalmente, el Alto Tribunal Administrativo ha determinado que el pliego de condiciones es ley para las partes, y en él se debe establecer la regulación del procedimiento de contratación, conforme a la ley, garantizando la selección objetiva del contratista</w:t>
      </w:r>
      <w:r w:rsidRPr="00833CE2">
        <w:rPr>
          <w:rFonts w:ascii="Verdana" w:eastAsia="Calibri" w:hAnsi="Verdana" w:cs="Arial"/>
          <w:color w:val="000000"/>
          <w:vertAlign w:val="superscript"/>
        </w:rPr>
        <w:footnoteReference w:id="4"/>
      </w:r>
      <w:r w:rsidRPr="00833CE2">
        <w:rPr>
          <w:rFonts w:ascii="Verdana" w:eastAsia="Calibri" w:hAnsi="Verdana" w:cs="Arial"/>
          <w:color w:val="000000"/>
        </w:rPr>
        <w:t>.</w:t>
      </w:r>
      <w:r w:rsidRPr="00833CE2">
        <w:rPr>
          <w:rFonts w:ascii="Verdana" w:eastAsia="Calibri" w:hAnsi="Verdana" w:cs="Arial"/>
        </w:rPr>
        <w:t xml:space="preserve">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w:t>
      </w:r>
      <w:proofErr w:type="spellStart"/>
      <w:r w:rsidRPr="00833CE2">
        <w:rPr>
          <w:rFonts w:ascii="Verdana" w:eastAsia="Calibri" w:hAnsi="Verdana" w:cs="Arial"/>
        </w:rPr>
        <w:t>ii</w:t>
      </w:r>
      <w:proofErr w:type="spellEnd"/>
      <w:r w:rsidRPr="00833CE2">
        <w:rPr>
          <w:rFonts w:ascii="Verdana" w:eastAsia="Calibri" w:hAnsi="Verdana" w:cs="Arial"/>
        </w:rPr>
        <w:t xml:space="preserve">) modalidad y criterios de selección, </w:t>
      </w:r>
      <w:proofErr w:type="spellStart"/>
      <w:r w:rsidRPr="00833CE2">
        <w:rPr>
          <w:rFonts w:ascii="Verdana" w:eastAsia="Calibri" w:hAnsi="Verdana" w:cs="Arial"/>
        </w:rPr>
        <w:t>iii</w:t>
      </w:r>
      <w:proofErr w:type="spellEnd"/>
      <w:r w:rsidRPr="00833CE2">
        <w:rPr>
          <w:rFonts w:ascii="Verdana" w:eastAsia="Calibri" w:hAnsi="Verdana" w:cs="Arial"/>
        </w:rPr>
        <w:t xml:space="preserve">) valoración económica del bien, obra o servicio, </w:t>
      </w:r>
      <w:proofErr w:type="spellStart"/>
      <w:r w:rsidRPr="00833CE2">
        <w:rPr>
          <w:rFonts w:ascii="Verdana" w:eastAsia="Calibri" w:hAnsi="Verdana" w:cs="Arial"/>
        </w:rPr>
        <w:t>iv</w:t>
      </w:r>
      <w:proofErr w:type="spellEnd"/>
      <w:r w:rsidRPr="00833CE2">
        <w:rPr>
          <w:rFonts w:ascii="Verdana" w:eastAsia="Calibri" w:hAnsi="Verdana" w:cs="Arial"/>
        </w:rPr>
        <w:t>) reglas de la presentación y manejo de las ofertas, v) riesgos y garantías, entre otros aspectos del contrato</w:t>
      </w:r>
      <w:r w:rsidRPr="00833CE2">
        <w:rPr>
          <w:rFonts w:ascii="Geomanist Light" w:eastAsia="Calibri" w:hAnsi="Geomanist Light" w:cs="Arial"/>
          <w:color w:val="000000"/>
          <w:vertAlign w:val="superscript"/>
        </w:rPr>
        <w:footnoteReference w:id="5"/>
      </w:r>
      <w:r w:rsidRPr="00833CE2">
        <w:rPr>
          <w:rFonts w:ascii="Verdana" w:eastAsia="Calibri" w:hAnsi="Verdana" w:cs="Arial"/>
        </w:rPr>
        <w:t>.</w:t>
      </w:r>
    </w:p>
    <w:p w14:paraId="35727FB0" w14:textId="77777777" w:rsidR="00A83E4F" w:rsidRPr="00833CE2" w:rsidRDefault="00A83E4F" w:rsidP="00A83E4F">
      <w:pPr>
        <w:spacing w:after="0" w:line="276" w:lineRule="auto"/>
        <w:ind w:firstLine="709"/>
        <w:contextualSpacing/>
        <w:jc w:val="both"/>
        <w:rPr>
          <w:rFonts w:ascii="Verdana" w:eastAsia="Calibri" w:hAnsi="Verdana" w:cs="Arial"/>
          <w:lang w:val="es-ES_tradnl" w:eastAsia="es-ES_tradnl"/>
        </w:rPr>
      </w:pPr>
    </w:p>
    <w:p w14:paraId="04994B9F" w14:textId="77777777" w:rsidR="00A83E4F" w:rsidRPr="00833CE2" w:rsidRDefault="00A83E4F" w:rsidP="00A83E4F">
      <w:pPr>
        <w:numPr>
          <w:ilvl w:val="0"/>
          <w:numId w:val="4"/>
        </w:numPr>
        <w:spacing w:after="0" w:line="276" w:lineRule="auto"/>
        <w:contextualSpacing/>
        <w:jc w:val="both"/>
        <w:rPr>
          <w:rFonts w:ascii="Verdana" w:eastAsia="Calibri" w:hAnsi="Verdana" w:cs="Arial"/>
          <w:shd w:val="clear" w:color="auto" w:fill="FFFFFF"/>
        </w:rPr>
      </w:pPr>
      <w:r w:rsidRPr="00833CE2">
        <w:rPr>
          <w:rFonts w:ascii="Verdana" w:eastAsia="Calibri" w:hAnsi="Verdana" w:cs="Arial"/>
          <w:shd w:val="clear" w:color="auto" w:fill="FFFFFF"/>
        </w:rPr>
        <w:t>De esta forma, se tiene que, el pliego de condiciones debe establecer las etapas del proceso de selección, así como las reglas, requisitos y condiciones aplicables en cada una de ellas. Entre estos aspectos se encuentran las causales de rechazo y factores de ponderación de las ofertas, así como los documentos que debe contener y las causas que impidan una selección objetiva. En ese orden, gran parte de la importancia del pliego de condiciones está determinada por el hecho que es el documento en el que se establecen las normas que van a regular etapa selección, a las que deberán sujetarse la administración y las oferentes a efectos de lograr una selección objetiva</w:t>
      </w:r>
      <w:r w:rsidRPr="00833CE2">
        <w:rPr>
          <w:rFonts w:ascii="Verdana" w:eastAsia="Aptos" w:hAnsi="Verdana" w:cs="Arial"/>
          <w:vertAlign w:val="superscript"/>
        </w:rPr>
        <w:footnoteReference w:id="6"/>
      </w:r>
      <w:r w:rsidRPr="00833CE2">
        <w:rPr>
          <w:rFonts w:ascii="Verdana" w:eastAsia="Aptos" w:hAnsi="Verdana" w:cs="Arial"/>
        </w:rPr>
        <w:t>.</w:t>
      </w:r>
    </w:p>
    <w:p w14:paraId="07F6CD96" w14:textId="77777777" w:rsidR="00A83E4F" w:rsidRPr="00833CE2" w:rsidRDefault="00A83E4F" w:rsidP="00A83E4F">
      <w:pPr>
        <w:spacing w:after="0" w:line="276" w:lineRule="auto"/>
        <w:ind w:left="720"/>
        <w:contextualSpacing/>
        <w:jc w:val="both"/>
        <w:rPr>
          <w:rFonts w:ascii="Verdana" w:eastAsia="Calibri" w:hAnsi="Verdana" w:cs="Arial"/>
          <w:shd w:val="clear" w:color="auto" w:fill="FFFFFF"/>
        </w:rPr>
      </w:pPr>
    </w:p>
    <w:p w14:paraId="22399729" w14:textId="77777777" w:rsidR="00A83E4F" w:rsidRPr="00833CE2" w:rsidRDefault="00A83E4F" w:rsidP="00A83E4F">
      <w:pPr>
        <w:numPr>
          <w:ilvl w:val="0"/>
          <w:numId w:val="4"/>
        </w:numPr>
        <w:spacing w:after="0" w:line="276" w:lineRule="auto"/>
        <w:contextualSpacing/>
        <w:jc w:val="both"/>
        <w:rPr>
          <w:rFonts w:ascii="Verdana" w:eastAsia="Calibri" w:hAnsi="Verdana" w:cs="Arial"/>
          <w:shd w:val="clear" w:color="auto" w:fill="FFFFFF"/>
        </w:rPr>
      </w:pPr>
      <w:r w:rsidRPr="00833CE2">
        <w:rPr>
          <w:rFonts w:ascii="Verdana" w:eastAsia="Calibri" w:hAnsi="Verdana" w:cs="Arial"/>
          <w:shd w:val="clear" w:color="auto" w:fill="FFFFFF"/>
        </w:rPr>
        <w:t>Particularmente sobre esta última, es decir la selección objetiva, debe precisarse que al ser uno de los principios medulares de la contratación estatal, la selección del futuro contratista no puede motivarse en razones subjetivas que afecten la imparcialidad de la entidad pública, ya que, tal y como lo establece el artículo 5 de la Ley 1150 de 2007 “[e]s objetiva la selección en la cual la escogencia se haga al ofrecimiento más favorable a la entidad y a los fines que ella busca, sin tener en consideración factores de afecto o de interés y, en general, cualquier clase de motivación subjetiva”.</w:t>
      </w:r>
      <w:r w:rsidRPr="00833CE2">
        <w:rPr>
          <w:rFonts w:ascii="Aptos" w:eastAsia="Aptos" w:hAnsi="Aptos" w:cs="Times New Roman"/>
        </w:rPr>
        <w:t xml:space="preserve"> </w:t>
      </w:r>
      <w:r w:rsidRPr="00833CE2">
        <w:rPr>
          <w:rFonts w:ascii="Verdana" w:eastAsia="Calibri" w:hAnsi="Verdana" w:cs="Arial"/>
          <w:color w:val="000000"/>
        </w:rPr>
        <w:t>Además, la norma citada agrega que los factores de escogencia y calificación que establezcan las entidades en los pliegos de condiciones o sus equivalentes, tendrán en cuenta criterios como la experiencia, capacidad jurídica, financiera y de organización, entre otros elementos que garanticen la escogencia de la mejor opción de negocio para la Entidad Estatal.</w:t>
      </w:r>
    </w:p>
    <w:p w14:paraId="1668C50E" w14:textId="77777777" w:rsidR="00A83E4F" w:rsidRPr="00833CE2" w:rsidRDefault="00A83E4F" w:rsidP="00A83E4F">
      <w:pPr>
        <w:spacing w:after="0"/>
        <w:ind w:left="720"/>
        <w:contextualSpacing/>
        <w:rPr>
          <w:rFonts w:ascii="Verdana" w:eastAsia="Calibri" w:hAnsi="Verdana" w:cs="Arial"/>
          <w:shd w:val="clear" w:color="auto" w:fill="FFFFFF"/>
        </w:rPr>
      </w:pPr>
    </w:p>
    <w:p w14:paraId="4C5C76AA" w14:textId="77777777" w:rsidR="00A83E4F" w:rsidRPr="00833CE2" w:rsidRDefault="00A83E4F" w:rsidP="00A83E4F">
      <w:pPr>
        <w:widowControl w:val="0"/>
        <w:numPr>
          <w:ilvl w:val="0"/>
          <w:numId w:val="1"/>
        </w:numPr>
        <w:autoSpaceDE w:val="0"/>
        <w:autoSpaceDN w:val="0"/>
        <w:spacing w:after="0" w:line="276" w:lineRule="auto"/>
        <w:contextualSpacing/>
        <w:jc w:val="both"/>
        <w:rPr>
          <w:rFonts w:ascii="Verdana" w:eastAsia="Aptos" w:hAnsi="Verdana" w:cs="Arial"/>
        </w:rPr>
      </w:pPr>
      <w:r w:rsidRPr="00833CE2">
        <w:rPr>
          <w:rFonts w:ascii="Verdana" w:eastAsia="Aptos" w:hAnsi="Verdana" w:cs="Arial"/>
        </w:rPr>
        <w:t xml:space="preserve">Ahora bien, y atendiendo al tema objeto de consulta, debe destacarse respecto de los documentos que tienen reserva de información pública y no deben publicarse en Sistema Electrónico para la Contratación Pública, en adelante SECOP, que el cumplimiento del deber de publicación de la documentación contractual debe armonizarse con las normas aplicables al tipo de información que estas contienen. Lo anterior significa que respecto de la información sometida a reserva o de la cual proceda un tratamiento especial que impida su publicidad, las entidades deberán </w:t>
      </w:r>
      <w:r w:rsidRPr="00833CE2">
        <w:rPr>
          <w:rFonts w:ascii="Verdana" w:eastAsia="Aptos" w:hAnsi="Verdana" w:cs="Arial"/>
        </w:rPr>
        <w:lastRenderedPageBreak/>
        <w:t>proceder de conformidad con el tratamiento que impongan tales normas, absteniéndose, de ser el caso, de publicar de los documentos del proceso, algunos de ellos o de sus apartes, en los que se evidencie este tipo de información.</w:t>
      </w:r>
    </w:p>
    <w:p w14:paraId="124123AA" w14:textId="77777777" w:rsidR="00A83E4F" w:rsidRPr="00833CE2" w:rsidRDefault="00A83E4F" w:rsidP="00A83E4F">
      <w:pPr>
        <w:widowControl w:val="0"/>
        <w:autoSpaceDE w:val="0"/>
        <w:autoSpaceDN w:val="0"/>
        <w:spacing w:after="0" w:line="276" w:lineRule="auto"/>
        <w:ind w:left="720"/>
        <w:contextualSpacing/>
        <w:jc w:val="both"/>
        <w:rPr>
          <w:rFonts w:ascii="Verdana" w:eastAsia="Aptos" w:hAnsi="Verdana" w:cs="Arial"/>
        </w:rPr>
      </w:pPr>
    </w:p>
    <w:p w14:paraId="6801E44E" w14:textId="77777777" w:rsidR="00A83E4F" w:rsidRPr="00833CE2" w:rsidRDefault="00A83E4F" w:rsidP="00A83E4F">
      <w:pPr>
        <w:widowControl w:val="0"/>
        <w:numPr>
          <w:ilvl w:val="0"/>
          <w:numId w:val="1"/>
        </w:numPr>
        <w:autoSpaceDE w:val="0"/>
        <w:autoSpaceDN w:val="0"/>
        <w:spacing w:after="0" w:line="276" w:lineRule="auto"/>
        <w:contextualSpacing/>
        <w:jc w:val="both"/>
        <w:rPr>
          <w:rFonts w:ascii="Verdana" w:eastAsia="Aptos" w:hAnsi="Verdana" w:cs="Arial"/>
        </w:rPr>
      </w:pPr>
      <w:r w:rsidRPr="00833CE2">
        <w:rPr>
          <w:rFonts w:ascii="Verdana" w:eastAsia="Aptos" w:hAnsi="Verdana" w:cs="Arial"/>
        </w:rPr>
        <w:t>En otras palabras, aunque el artículo 74 de la Constitución establezca que la información pública debe ser dada a conocer a la ciudadanía y así los documentos que hagan parte de la actividad contractual puedan catalogarse, inicialmente, como información pública, cuando dicha documentación contenga información sometida a alguna reserva, que establezca la Constitución o la ley, operan algunas restricciones a su publicidad. Sin embargo, esto no necesariamente convierte completamente el documento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 dicha disposición establece que la reserva de acceso a la información opera respecto al contenido de un documento público, pero no respecto de su existencia</w:t>
      </w:r>
      <w:r w:rsidRPr="00833CE2">
        <w:rPr>
          <w:rFonts w:ascii="Verdana" w:eastAsia="Calibri" w:hAnsi="Verdana" w:cs="Arial"/>
          <w:color w:val="000000"/>
          <w:vertAlign w:val="superscript"/>
          <w:lang w:val="es-ES_tradnl" w:eastAsia="en-GB"/>
        </w:rPr>
        <w:footnoteReference w:id="7"/>
      </w:r>
      <w:r w:rsidRPr="00833CE2">
        <w:rPr>
          <w:rFonts w:ascii="Verdana" w:eastAsia="Aptos" w:hAnsi="Verdana" w:cs="Arial"/>
        </w:rPr>
        <w:t>. Sin perjuicio de lo anterior, es posible que el contenido de todo el documento o expediente no deba ser objeto de publicidad por estar amparado de forma íntegra por la reserva, dada su conexión con las causales establecidas en la Constitución o la ley.</w:t>
      </w:r>
    </w:p>
    <w:p w14:paraId="2BA08357" w14:textId="77777777" w:rsidR="00A83E4F" w:rsidRPr="00833CE2" w:rsidRDefault="00A83E4F" w:rsidP="00A83E4F">
      <w:pPr>
        <w:widowControl w:val="0"/>
        <w:autoSpaceDE w:val="0"/>
        <w:autoSpaceDN w:val="0"/>
        <w:spacing w:after="0" w:line="276" w:lineRule="auto"/>
        <w:ind w:left="720"/>
        <w:contextualSpacing/>
        <w:jc w:val="both"/>
        <w:rPr>
          <w:rFonts w:ascii="Verdana" w:eastAsia="Aptos" w:hAnsi="Verdana" w:cs="Arial"/>
        </w:rPr>
      </w:pPr>
    </w:p>
    <w:p w14:paraId="47DB75E0" w14:textId="77777777" w:rsidR="00A83E4F" w:rsidRPr="00833CE2" w:rsidRDefault="00A83E4F" w:rsidP="00A83E4F">
      <w:pPr>
        <w:widowControl w:val="0"/>
        <w:numPr>
          <w:ilvl w:val="0"/>
          <w:numId w:val="1"/>
        </w:numPr>
        <w:autoSpaceDE w:val="0"/>
        <w:autoSpaceDN w:val="0"/>
        <w:spacing w:after="0" w:line="276" w:lineRule="auto"/>
        <w:contextualSpacing/>
        <w:jc w:val="both"/>
        <w:rPr>
          <w:rFonts w:ascii="Verdana" w:eastAsia="Aptos" w:hAnsi="Verdana" w:cs="Arial"/>
        </w:rPr>
      </w:pPr>
      <w:r w:rsidRPr="00833CE2">
        <w:rPr>
          <w:rFonts w:ascii="Verdana" w:eastAsia="Aptos" w:hAnsi="Verdana" w:cs="Arial"/>
        </w:rPr>
        <w:t xml:space="preserve">Por ello,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Así mismo, hay información que goza de protección </w:t>
      </w:r>
      <w:r w:rsidRPr="00833CE2">
        <w:rPr>
          <w:rFonts w:ascii="Verdana" w:eastAsia="Aptos" w:hAnsi="Verdana" w:cs="Arial"/>
        </w:rPr>
        <w:lastRenderedPageBreak/>
        <w:t>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artículo 2.2.2.25.1.3., numeral 3 –que compiló al Decreto 1377 de 2013 (art. 3)–, solo podrá divulgarse según las reglas establecidas en dichas normas.</w:t>
      </w:r>
    </w:p>
    <w:p w14:paraId="4945E0F9" w14:textId="77777777" w:rsidR="00A83E4F" w:rsidRPr="00833CE2" w:rsidRDefault="00A83E4F" w:rsidP="00A83E4F">
      <w:pPr>
        <w:spacing w:after="0"/>
        <w:ind w:left="720"/>
        <w:contextualSpacing/>
        <w:rPr>
          <w:rFonts w:ascii="Verdana" w:eastAsia="Aptos" w:hAnsi="Verdana" w:cs="Arial"/>
        </w:rPr>
      </w:pPr>
    </w:p>
    <w:p w14:paraId="18D49F0E" w14:textId="77777777" w:rsidR="00A83E4F" w:rsidRPr="00833CE2" w:rsidRDefault="00A83E4F" w:rsidP="00A83E4F">
      <w:pPr>
        <w:widowControl w:val="0"/>
        <w:numPr>
          <w:ilvl w:val="0"/>
          <w:numId w:val="1"/>
        </w:numPr>
        <w:autoSpaceDE w:val="0"/>
        <w:autoSpaceDN w:val="0"/>
        <w:spacing w:after="0" w:line="276" w:lineRule="auto"/>
        <w:contextualSpacing/>
        <w:jc w:val="both"/>
        <w:rPr>
          <w:rFonts w:ascii="Verdana" w:eastAsia="Aptos" w:hAnsi="Verdana" w:cs="Arial"/>
        </w:rPr>
      </w:pPr>
      <w:r w:rsidRPr="00833CE2">
        <w:rPr>
          <w:rFonts w:ascii="Verdana" w:eastAsia="Aptos" w:hAnsi="Verdana" w:cs="Arial"/>
        </w:rPr>
        <w:t>De esta forma, se tiene que 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estos,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2FE69376" w14:textId="77777777" w:rsidR="00A83E4F" w:rsidRPr="00833CE2" w:rsidRDefault="00A83E4F" w:rsidP="00A83E4F">
      <w:pPr>
        <w:widowControl w:val="0"/>
        <w:autoSpaceDE w:val="0"/>
        <w:autoSpaceDN w:val="0"/>
        <w:spacing w:after="0" w:line="276" w:lineRule="auto"/>
        <w:ind w:left="720"/>
        <w:contextualSpacing/>
        <w:jc w:val="both"/>
        <w:rPr>
          <w:rFonts w:ascii="Verdana" w:eastAsia="Aptos" w:hAnsi="Verdana" w:cs="Arial"/>
        </w:rPr>
      </w:pPr>
    </w:p>
    <w:p w14:paraId="3BB3D243" w14:textId="77777777" w:rsidR="00A83E4F" w:rsidRPr="00833CE2" w:rsidRDefault="00A83E4F" w:rsidP="00A83E4F">
      <w:pPr>
        <w:widowControl w:val="0"/>
        <w:numPr>
          <w:ilvl w:val="0"/>
          <w:numId w:val="1"/>
        </w:numPr>
        <w:autoSpaceDE w:val="0"/>
        <w:autoSpaceDN w:val="0"/>
        <w:spacing w:after="0" w:line="276" w:lineRule="auto"/>
        <w:contextualSpacing/>
        <w:jc w:val="both"/>
        <w:rPr>
          <w:rFonts w:ascii="Verdana" w:eastAsia="Calibri" w:hAnsi="Verdana" w:cs="Arial"/>
        </w:rPr>
      </w:pPr>
      <w:r w:rsidRPr="00833CE2">
        <w:rPr>
          <w:rFonts w:ascii="Verdana" w:eastAsia="Aptos" w:hAnsi="Verdana" w:cs="Arial"/>
        </w:rPr>
        <w:t>En efecto, de conformidad con la Constitución y la jurisprudencia de las altas cortes, la reserva de información pública solo puede crearla el constituyente o el legislador. Además, como se viene explicando, para efectos de la consulta realizada a la Agencia, las Leyes estatutarias 1712 de 2014 y la 1755 de 2015 –que sustituyó los artículos 13 a 33 de la Ley 1437 de 2011– establecen reservas particulares de información pública, coincidiendo ambas en establecer la reserva relacionada con la “defensa y seguridad nacional”</w:t>
      </w:r>
      <w:r w:rsidRPr="00833CE2">
        <w:rPr>
          <w:rFonts w:ascii="Arial" w:eastAsia="Calibri" w:hAnsi="Arial" w:cs="Arial"/>
          <w:color w:val="000000"/>
          <w:vertAlign w:val="superscript"/>
          <w:lang w:val="es-ES_tradnl" w:eastAsia="en-GB"/>
        </w:rPr>
        <w:footnoteReference w:id="8"/>
      </w:r>
      <w:r w:rsidRPr="00833CE2">
        <w:rPr>
          <w:rFonts w:ascii="Verdana" w:eastAsia="Aptos" w:hAnsi="Verdana" w:cs="Arial"/>
        </w:rPr>
        <w:t xml:space="preserve">. </w:t>
      </w:r>
    </w:p>
    <w:p w14:paraId="7C96173F" w14:textId="77777777" w:rsidR="00A83E4F" w:rsidRPr="00833CE2" w:rsidRDefault="00A83E4F" w:rsidP="00A83E4F">
      <w:pPr>
        <w:widowControl w:val="0"/>
        <w:autoSpaceDE w:val="0"/>
        <w:autoSpaceDN w:val="0"/>
        <w:spacing w:after="0" w:line="276" w:lineRule="auto"/>
        <w:ind w:left="720"/>
        <w:contextualSpacing/>
        <w:jc w:val="both"/>
        <w:rPr>
          <w:rFonts w:ascii="Verdana" w:eastAsia="Calibri" w:hAnsi="Verdana" w:cs="Arial"/>
        </w:rPr>
      </w:pPr>
    </w:p>
    <w:p w14:paraId="2506D3F5" w14:textId="77777777" w:rsidR="00A83E4F" w:rsidRPr="00833CE2" w:rsidRDefault="00A83E4F" w:rsidP="00A83E4F">
      <w:pPr>
        <w:widowControl w:val="0"/>
        <w:numPr>
          <w:ilvl w:val="0"/>
          <w:numId w:val="1"/>
        </w:numPr>
        <w:autoSpaceDE w:val="0"/>
        <w:autoSpaceDN w:val="0"/>
        <w:spacing w:after="0" w:line="276" w:lineRule="auto"/>
        <w:contextualSpacing/>
        <w:jc w:val="both"/>
        <w:rPr>
          <w:rFonts w:ascii="Verdana" w:eastAsia="Aptos" w:hAnsi="Verdana" w:cs="Arial"/>
        </w:rPr>
      </w:pPr>
      <w:r w:rsidRPr="00833CE2">
        <w:rPr>
          <w:rFonts w:ascii="Verdana" w:eastAsia="Calibri" w:hAnsi="Verdana" w:cs="Arial"/>
        </w:rPr>
        <w:t xml:space="preserve">Finalmente, </w:t>
      </w:r>
      <w:r w:rsidRPr="00833CE2">
        <w:rPr>
          <w:rFonts w:ascii="Verdana" w:eastAsia="Aptos" w:hAnsi="Verdana" w:cs="Arial"/>
        </w:rPr>
        <w:t>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ello, corresponderá a las Entidades Estatales, en virtud de las facultades legales que les han sido conferidas por el ordenamiento jurídico, determinar la forma en la que realizarán la liquidación de sus contratos.</w:t>
      </w:r>
    </w:p>
    <w:bookmarkEnd w:id="2"/>
    <w:p w14:paraId="11FE3274" w14:textId="77777777" w:rsidR="00A83E4F" w:rsidRPr="00833CE2" w:rsidRDefault="00A83E4F" w:rsidP="00A83E4F">
      <w:pPr>
        <w:spacing w:after="0" w:line="276" w:lineRule="auto"/>
        <w:ind w:left="720"/>
        <w:contextualSpacing/>
        <w:jc w:val="both"/>
        <w:rPr>
          <w:rFonts w:ascii="Verdana" w:eastAsia="Calibri" w:hAnsi="Verdana" w:cs="Arial"/>
        </w:rPr>
      </w:pPr>
    </w:p>
    <w:p w14:paraId="5FE23473" w14:textId="77777777" w:rsidR="00A83E4F" w:rsidRPr="00833CE2" w:rsidRDefault="00A83E4F" w:rsidP="00A83E4F">
      <w:pPr>
        <w:widowControl w:val="0"/>
        <w:autoSpaceDE w:val="0"/>
        <w:autoSpaceDN w:val="0"/>
        <w:spacing w:before="1" w:after="0" w:line="240" w:lineRule="auto"/>
        <w:outlineLvl w:val="0"/>
        <w:rPr>
          <w:rFonts w:ascii="Verdana" w:eastAsia="Arial" w:hAnsi="Verdana" w:cs="Arial"/>
          <w:b/>
          <w:bCs/>
          <w:lang w:val="es-ES"/>
        </w:rPr>
      </w:pPr>
      <w:r w:rsidRPr="00833CE2">
        <w:rPr>
          <w:rFonts w:ascii="Verdana" w:eastAsia="Arial" w:hAnsi="Verdana" w:cs="Arial"/>
          <w:b/>
          <w:bCs/>
          <w:lang w:val="es-ES"/>
        </w:rPr>
        <w:t>4.Referencias normativas, jurisprudenciales y otras fuentes:</w:t>
      </w:r>
    </w:p>
    <w:p w14:paraId="04031558" w14:textId="77777777" w:rsidR="00A83E4F" w:rsidRPr="00833CE2" w:rsidRDefault="00A83E4F" w:rsidP="00A83E4F">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83E4F" w:rsidRPr="00833CE2" w14:paraId="32DE654D" w14:textId="77777777" w:rsidTr="009A7185">
        <w:trPr>
          <w:trHeight w:val="870"/>
        </w:trPr>
        <w:tc>
          <w:tcPr>
            <w:tcW w:w="8647" w:type="dxa"/>
          </w:tcPr>
          <w:p w14:paraId="05568439" w14:textId="77777777" w:rsidR="00A83E4F" w:rsidRPr="00833CE2" w:rsidRDefault="00A83E4F" w:rsidP="00A83E4F">
            <w:pPr>
              <w:widowControl w:val="0"/>
              <w:numPr>
                <w:ilvl w:val="0"/>
                <w:numId w:val="2"/>
              </w:numPr>
              <w:autoSpaceDE w:val="0"/>
              <w:autoSpaceDN w:val="0"/>
              <w:spacing w:line="276" w:lineRule="auto"/>
              <w:contextualSpacing/>
              <w:jc w:val="both"/>
              <w:rPr>
                <w:rFonts w:ascii="Verdana" w:eastAsia="Aptos" w:hAnsi="Verdana" w:cs="Arial"/>
              </w:rPr>
            </w:pPr>
            <w:r w:rsidRPr="00833CE2">
              <w:rPr>
                <w:rFonts w:ascii="Verdana" w:eastAsia="Calibri" w:hAnsi="Verdana" w:cs="Arial"/>
                <w:lang w:val="es-ES"/>
              </w:rPr>
              <w:t>Ley 80 de 1993. Artículo 40</w:t>
            </w:r>
          </w:p>
          <w:p w14:paraId="631B3B79" w14:textId="77777777" w:rsidR="00A83E4F" w:rsidRPr="00833CE2" w:rsidRDefault="00A83E4F" w:rsidP="00A83E4F">
            <w:pPr>
              <w:widowControl w:val="0"/>
              <w:numPr>
                <w:ilvl w:val="0"/>
                <w:numId w:val="2"/>
              </w:numPr>
              <w:autoSpaceDE w:val="0"/>
              <w:autoSpaceDN w:val="0"/>
              <w:spacing w:line="276" w:lineRule="auto"/>
              <w:contextualSpacing/>
              <w:jc w:val="both"/>
              <w:rPr>
                <w:rFonts w:ascii="Verdana" w:eastAsia="Aptos" w:hAnsi="Verdana" w:cs="Arial"/>
              </w:rPr>
            </w:pPr>
            <w:r w:rsidRPr="00833CE2">
              <w:rPr>
                <w:rFonts w:ascii="Verdana" w:eastAsia="Calibri" w:hAnsi="Verdana" w:cs="Arial"/>
                <w:lang w:val="es-ES"/>
              </w:rPr>
              <w:t>Ley 1150 de 2007. Artículo 5</w:t>
            </w:r>
          </w:p>
          <w:p w14:paraId="26C576B6" w14:textId="77777777" w:rsidR="00A83E4F" w:rsidRPr="00833CE2" w:rsidRDefault="00A83E4F" w:rsidP="00A83E4F">
            <w:pPr>
              <w:widowControl w:val="0"/>
              <w:numPr>
                <w:ilvl w:val="0"/>
                <w:numId w:val="2"/>
              </w:numPr>
              <w:autoSpaceDE w:val="0"/>
              <w:autoSpaceDN w:val="0"/>
              <w:spacing w:line="276" w:lineRule="auto"/>
              <w:ind w:left="714" w:hanging="357"/>
              <w:jc w:val="both"/>
              <w:rPr>
                <w:rFonts w:ascii="Verdana" w:eastAsia="Aptos" w:hAnsi="Verdana" w:cs="Arial"/>
              </w:rPr>
            </w:pPr>
            <w:r w:rsidRPr="00833CE2">
              <w:rPr>
                <w:rFonts w:ascii="Verdana" w:eastAsia="Aptos" w:hAnsi="Verdana" w:cs="Arial"/>
              </w:rPr>
              <w:t>Constitución Política de 1991. Artículo 74</w:t>
            </w:r>
          </w:p>
          <w:p w14:paraId="0067F139" w14:textId="77777777" w:rsidR="00A83E4F" w:rsidRPr="00833CE2" w:rsidRDefault="00A83E4F" w:rsidP="00A83E4F">
            <w:pPr>
              <w:widowControl w:val="0"/>
              <w:numPr>
                <w:ilvl w:val="0"/>
                <w:numId w:val="2"/>
              </w:numPr>
              <w:autoSpaceDE w:val="0"/>
              <w:autoSpaceDN w:val="0"/>
              <w:spacing w:line="276" w:lineRule="auto"/>
              <w:contextualSpacing/>
              <w:jc w:val="both"/>
              <w:rPr>
                <w:rFonts w:ascii="Verdana" w:eastAsia="Aptos" w:hAnsi="Verdana" w:cs="Arial"/>
              </w:rPr>
            </w:pPr>
            <w:r w:rsidRPr="00833CE2">
              <w:rPr>
                <w:rFonts w:ascii="Verdana" w:eastAsia="Aptos" w:hAnsi="Verdana" w:cs="Arial"/>
              </w:rPr>
              <w:t>Ley 1712 de 2014. Artículo 18, 19 y 21</w:t>
            </w:r>
          </w:p>
          <w:p w14:paraId="2E9DC7AA" w14:textId="77777777" w:rsidR="00A83E4F" w:rsidRPr="00833CE2" w:rsidRDefault="00A83E4F" w:rsidP="00A83E4F">
            <w:pPr>
              <w:widowControl w:val="0"/>
              <w:numPr>
                <w:ilvl w:val="0"/>
                <w:numId w:val="2"/>
              </w:numPr>
              <w:autoSpaceDE w:val="0"/>
              <w:autoSpaceDN w:val="0"/>
              <w:spacing w:line="276" w:lineRule="auto"/>
              <w:contextualSpacing/>
              <w:jc w:val="both"/>
              <w:rPr>
                <w:rFonts w:ascii="Verdana" w:eastAsia="Aptos" w:hAnsi="Verdana" w:cs="Arial"/>
              </w:rPr>
            </w:pPr>
            <w:r w:rsidRPr="00833CE2">
              <w:rPr>
                <w:rFonts w:ascii="Verdana" w:eastAsia="Aptos" w:hAnsi="Verdana" w:cs="Arial"/>
              </w:rPr>
              <w:t>Ley 1437 de 2011. Artículo 24 y 25</w:t>
            </w:r>
          </w:p>
          <w:p w14:paraId="760181D3" w14:textId="77777777" w:rsidR="00A83E4F" w:rsidRPr="00833CE2" w:rsidRDefault="00A83E4F" w:rsidP="00A83E4F">
            <w:pPr>
              <w:widowControl w:val="0"/>
              <w:numPr>
                <w:ilvl w:val="0"/>
                <w:numId w:val="2"/>
              </w:numPr>
              <w:autoSpaceDE w:val="0"/>
              <w:autoSpaceDN w:val="0"/>
              <w:spacing w:line="276" w:lineRule="auto"/>
              <w:contextualSpacing/>
              <w:jc w:val="both"/>
              <w:rPr>
                <w:rFonts w:ascii="Verdana" w:eastAsia="Aptos" w:hAnsi="Verdana" w:cs="Arial"/>
              </w:rPr>
            </w:pPr>
            <w:r w:rsidRPr="00833CE2">
              <w:rPr>
                <w:rFonts w:ascii="Verdana" w:eastAsia="Aptos" w:hAnsi="Verdana" w:cs="Arial"/>
              </w:rPr>
              <w:t xml:space="preserve">Decreto 1082 de 2015. </w:t>
            </w:r>
            <w:r w:rsidRPr="00833CE2">
              <w:rPr>
                <w:rFonts w:ascii="Verdana" w:eastAsia="Aptos" w:hAnsi="Verdana" w:cs="Arial"/>
                <w:sz w:val="20"/>
                <w:szCs w:val="20"/>
              </w:rPr>
              <w:t>Artículo 2.2.1.1.2.1.3</w:t>
            </w:r>
          </w:p>
        </w:tc>
      </w:tr>
    </w:tbl>
    <w:p w14:paraId="18E1194F" w14:textId="77777777" w:rsidR="00A83E4F" w:rsidRPr="00833CE2" w:rsidRDefault="00A83E4F" w:rsidP="00A83E4F">
      <w:pPr>
        <w:widowControl w:val="0"/>
        <w:autoSpaceDE w:val="0"/>
        <w:autoSpaceDN w:val="0"/>
        <w:spacing w:after="0" w:line="276" w:lineRule="auto"/>
        <w:jc w:val="both"/>
        <w:rPr>
          <w:rFonts w:ascii="Verdana" w:eastAsia="Aptos" w:hAnsi="Verdana" w:cs="Arial"/>
        </w:rPr>
      </w:pPr>
    </w:p>
    <w:p w14:paraId="0E94B97A" w14:textId="77777777" w:rsidR="00A83E4F" w:rsidRPr="00833CE2" w:rsidRDefault="00A83E4F" w:rsidP="00A83E4F">
      <w:pPr>
        <w:widowControl w:val="0"/>
        <w:autoSpaceDE w:val="0"/>
        <w:autoSpaceDN w:val="0"/>
        <w:spacing w:before="1" w:after="0" w:line="240" w:lineRule="auto"/>
        <w:outlineLvl w:val="0"/>
        <w:rPr>
          <w:rFonts w:ascii="Verdana" w:eastAsia="Arial" w:hAnsi="Verdana" w:cs="Arial"/>
          <w:b/>
          <w:bCs/>
          <w:lang w:val="es-ES"/>
        </w:rPr>
      </w:pPr>
      <w:r w:rsidRPr="00833CE2">
        <w:rPr>
          <w:rFonts w:ascii="Verdana" w:eastAsia="Arial" w:hAnsi="Verdana" w:cs="Arial"/>
          <w:b/>
          <w:bCs/>
          <w:lang w:val="es-ES"/>
        </w:rPr>
        <w:t>5. Doctrina de la Agencia Nacional de Contratación Pública:</w:t>
      </w:r>
    </w:p>
    <w:p w14:paraId="7A9C459F" w14:textId="77777777" w:rsidR="00A83E4F" w:rsidRPr="00833CE2" w:rsidRDefault="00A83E4F" w:rsidP="00A83E4F">
      <w:pPr>
        <w:widowControl w:val="0"/>
        <w:autoSpaceDE w:val="0"/>
        <w:autoSpaceDN w:val="0"/>
        <w:spacing w:after="0" w:line="276" w:lineRule="auto"/>
        <w:jc w:val="both"/>
        <w:rPr>
          <w:rFonts w:ascii="Verdana" w:eastAsia="Aptos" w:hAnsi="Verdana" w:cs="Arial"/>
        </w:rPr>
      </w:pPr>
    </w:p>
    <w:p w14:paraId="5827EFD4" w14:textId="77777777" w:rsidR="00A83E4F" w:rsidRPr="00833CE2" w:rsidRDefault="00A83E4F" w:rsidP="00A83E4F">
      <w:pPr>
        <w:widowControl w:val="0"/>
        <w:autoSpaceDE w:val="0"/>
        <w:autoSpaceDN w:val="0"/>
        <w:spacing w:after="0" w:line="276" w:lineRule="auto"/>
        <w:jc w:val="both"/>
        <w:rPr>
          <w:rFonts w:ascii="Verdana" w:eastAsia="Aptos" w:hAnsi="Verdana" w:cs="Arial"/>
          <w:shd w:val="clear" w:color="auto" w:fill="FFFFFF"/>
          <w:lang w:val="es-ES"/>
        </w:rPr>
      </w:pPr>
      <w:r w:rsidRPr="00833CE2">
        <w:rPr>
          <w:rFonts w:ascii="Verdana" w:eastAsia="Aptos" w:hAnsi="Verdana" w:cs="Arial"/>
          <w:shd w:val="clear" w:color="auto" w:fill="FFFFFF"/>
          <w:lang w:val="es-ES"/>
        </w:rPr>
        <w:t xml:space="preserve">Sobre las generalidades del pliego de condiciones, esta Subdirección se ha manifestado en los conceptos C-693 del 24 de octubre de 2023, C-534 del 10 de octubre de 2024, C-404 del 11 de septiembre de 2024, C-427 del 13 de septiembre de 2024, C-714 del 25 de noviembre de 2024, entre otros. Adicionalmente, en lo concerniente a la publicidad de la información contractual en el SECOP, entre otros en los conceptos C-649 del 09 de septiembre de 2022, C-657 del 06 de noviembre de 2024, C-712 del 12 de noviembre de 2024, C-969 del 19 de noviembre de 2024, C-710 del 20 de noviembre de 2024.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833CE2">
          <w:rPr>
            <w:rFonts w:ascii="Verdana" w:eastAsia="Aptos" w:hAnsi="Verdana" w:cs="Arial"/>
            <w:color w:val="467886"/>
            <w:u w:val="single"/>
            <w:shd w:val="clear" w:color="auto" w:fill="FFFFFF"/>
            <w:lang w:val="es-ES"/>
          </w:rPr>
          <w:t>https://relatoria.colombiacompra.gov.co/</w:t>
        </w:r>
      </w:hyperlink>
      <w:r w:rsidRPr="00833CE2">
        <w:rPr>
          <w:rFonts w:ascii="Verdana" w:eastAsia="Aptos" w:hAnsi="Verdana" w:cs="Arial"/>
          <w:shd w:val="clear" w:color="auto" w:fill="FFFFFF"/>
          <w:lang w:val="es-ES"/>
        </w:rPr>
        <w:t>.</w:t>
      </w:r>
    </w:p>
    <w:p w14:paraId="0F2876A7" w14:textId="77777777" w:rsidR="00A83E4F" w:rsidRPr="00833CE2" w:rsidRDefault="00A83E4F" w:rsidP="00A83E4F">
      <w:pPr>
        <w:widowControl w:val="0"/>
        <w:autoSpaceDE w:val="0"/>
        <w:autoSpaceDN w:val="0"/>
        <w:spacing w:after="0" w:line="276" w:lineRule="auto"/>
        <w:jc w:val="both"/>
        <w:rPr>
          <w:rFonts w:ascii="Verdana" w:eastAsia="Aptos" w:hAnsi="Verdana" w:cs="Arial"/>
          <w:shd w:val="clear" w:color="auto" w:fill="FFFFFF"/>
          <w:lang w:val="es-ES"/>
        </w:rPr>
      </w:pPr>
    </w:p>
    <w:p w14:paraId="1E5CA7F5" w14:textId="77777777" w:rsidR="00A83E4F" w:rsidRPr="00833CE2" w:rsidRDefault="00A83E4F" w:rsidP="00A83E4F">
      <w:pPr>
        <w:spacing w:after="0" w:line="276" w:lineRule="auto"/>
        <w:jc w:val="both"/>
        <w:textAlignment w:val="baseline"/>
        <w:rPr>
          <w:rFonts w:ascii="Verdana" w:eastAsia="Times New Roman" w:hAnsi="Verdana" w:cs="Times New Roman"/>
          <w:color w:val="000000"/>
          <w:lang w:eastAsia="es-CO"/>
        </w:rPr>
      </w:pPr>
      <w:r w:rsidRPr="00833CE2">
        <w:rPr>
          <w:rFonts w:ascii="Verdana" w:eastAsia="Times New Roman" w:hAnsi="Verdana" w:cs="Times New Roman"/>
          <w:color w:val="000000"/>
          <w:lang w:eastAsia="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833CE2">
          <w:rPr>
            <w:rFonts w:ascii="Verdana" w:eastAsia="Times New Roman" w:hAnsi="Verdana" w:cs="Times New Roman"/>
            <w:color w:val="0000FF"/>
            <w:u w:val="single"/>
            <w:bdr w:val="none" w:sz="0" w:space="0" w:color="auto" w:frame="1"/>
            <w:lang w:eastAsia="es-CO"/>
          </w:rPr>
          <w:t>manual_para_el_manejo_de_acuerdos_comerciales_vf.pdf</w:t>
        </w:r>
      </w:hyperlink>
    </w:p>
    <w:p w14:paraId="63A419D3" w14:textId="77777777" w:rsidR="00A83E4F" w:rsidRPr="00833CE2" w:rsidRDefault="00A83E4F" w:rsidP="00A83E4F">
      <w:pPr>
        <w:spacing w:after="0" w:line="276" w:lineRule="auto"/>
        <w:jc w:val="both"/>
        <w:textAlignment w:val="baseline"/>
        <w:rPr>
          <w:rFonts w:ascii="Verdana" w:eastAsia="Times New Roman" w:hAnsi="Verdana" w:cs="Times New Roman"/>
          <w:color w:val="000000"/>
          <w:lang w:eastAsia="es-CO"/>
        </w:rPr>
      </w:pPr>
    </w:p>
    <w:p w14:paraId="297F99DB" w14:textId="77777777" w:rsidR="00A83E4F" w:rsidRPr="00833CE2" w:rsidRDefault="00A83E4F" w:rsidP="00A83E4F">
      <w:pPr>
        <w:spacing w:after="0" w:line="276" w:lineRule="auto"/>
        <w:jc w:val="both"/>
        <w:textAlignment w:val="baseline"/>
        <w:rPr>
          <w:rFonts w:ascii="Verdana" w:eastAsia="Times New Roman" w:hAnsi="Verdana" w:cs="Times New Roman"/>
          <w:color w:val="000000"/>
          <w:lang w:eastAsia="es-CO"/>
        </w:rPr>
      </w:pPr>
      <w:r w:rsidRPr="00833CE2">
        <w:rPr>
          <w:rFonts w:ascii="Verdana" w:eastAsia="Times New Roman" w:hAnsi="Verdana" w:cs="Times New Roman"/>
          <w:color w:val="000000"/>
          <w:lang w:eastAsia="es-CO"/>
        </w:rPr>
        <w:t>De otra parte, te contamos que ya publicamos el borrador de la nueva Guía para Incentivar la Participación de Mujeres en el Sistema de Compras y Contratación Pública. Conoce el documento y realiza tus comentarios hasta el 2 de diciembre de 2024</w:t>
      </w:r>
      <w:r w:rsidRPr="00833CE2">
        <w:rPr>
          <w:rFonts w:ascii="Verdana" w:eastAsia="Times New Roman" w:hAnsi="Verdana" w:cs="Times New Roman"/>
          <w:b/>
          <w:bCs/>
          <w:color w:val="000000"/>
          <w:lang w:eastAsia="es-CO"/>
        </w:rPr>
        <w:t> </w:t>
      </w:r>
      <w:r w:rsidRPr="00833CE2">
        <w:rPr>
          <w:rFonts w:ascii="Verdana" w:eastAsia="Times New Roman" w:hAnsi="Verdana" w:cs="Times New Roman"/>
          <w:color w:val="000000"/>
          <w:lang w:eastAsia="es-CO"/>
        </w:rPr>
        <w:t>a través de estos enlaces:</w:t>
      </w:r>
    </w:p>
    <w:p w14:paraId="1F3E371C" w14:textId="77777777" w:rsidR="00A83E4F" w:rsidRPr="00833CE2" w:rsidRDefault="00A83E4F" w:rsidP="00A83E4F">
      <w:pPr>
        <w:spacing w:after="0" w:line="276" w:lineRule="auto"/>
        <w:jc w:val="both"/>
        <w:textAlignment w:val="baseline"/>
        <w:rPr>
          <w:rFonts w:ascii="Verdana" w:eastAsia="Times New Roman" w:hAnsi="Verdana" w:cs="Times New Roman"/>
          <w:color w:val="000000"/>
          <w:lang w:eastAsia="es-CO"/>
        </w:rPr>
      </w:pPr>
    </w:p>
    <w:p w14:paraId="30D4EAC4" w14:textId="77777777" w:rsidR="00A83E4F" w:rsidRPr="00833CE2" w:rsidRDefault="00A83E4F" w:rsidP="00A83E4F">
      <w:pPr>
        <w:numPr>
          <w:ilvl w:val="0"/>
          <w:numId w:val="5"/>
        </w:numPr>
        <w:spacing w:after="0" w:line="240" w:lineRule="auto"/>
        <w:jc w:val="both"/>
        <w:rPr>
          <w:rFonts w:ascii="Verdana" w:eastAsia="Times New Roman" w:hAnsi="Verdana" w:cs="Times New Roman"/>
          <w:color w:val="000000"/>
          <w:lang w:eastAsia="es-CO"/>
        </w:rPr>
      </w:pPr>
      <w:r w:rsidRPr="00833CE2">
        <w:rPr>
          <w:rFonts w:ascii="Verdana" w:eastAsia="Times New Roman" w:hAnsi="Verdana" w:cs="Times New Roman"/>
          <w:color w:val="000000"/>
          <w:lang w:eastAsia="es-CO"/>
        </w:rPr>
        <w:t>Enlace página ANCP-CCE: </w:t>
      </w:r>
      <w:hyperlink r:id="rId14" w:tgtFrame="_blank" w:tooltip="Dirección URL original: https://www.colombiacompra.gov.co/content/convocatorias. Haga clic o pulse si confía en este vínculo." w:history="1">
        <w:r w:rsidRPr="00833CE2">
          <w:rPr>
            <w:rFonts w:ascii="Verdana" w:eastAsia="Times New Roman" w:hAnsi="Verdana" w:cs="Times New Roman"/>
            <w:color w:val="0000FF"/>
            <w:u w:val="single"/>
            <w:bdr w:val="none" w:sz="0" w:space="0" w:color="auto" w:frame="1"/>
            <w:lang w:eastAsia="es-CO"/>
          </w:rPr>
          <w:t>https://www.colombiacompra.gov.co/content/convocatorias</w:t>
        </w:r>
      </w:hyperlink>
    </w:p>
    <w:p w14:paraId="733F2084" w14:textId="77777777" w:rsidR="00A83E4F" w:rsidRPr="00833CE2" w:rsidRDefault="00A83E4F" w:rsidP="00A83E4F">
      <w:pPr>
        <w:numPr>
          <w:ilvl w:val="0"/>
          <w:numId w:val="5"/>
        </w:numPr>
        <w:spacing w:after="0" w:line="240" w:lineRule="auto"/>
        <w:jc w:val="both"/>
        <w:rPr>
          <w:rFonts w:ascii="Verdana" w:eastAsia="Times New Roman" w:hAnsi="Verdana" w:cs="Times New Roman"/>
          <w:color w:val="000000"/>
          <w:lang w:eastAsia="es-CO"/>
        </w:rPr>
      </w:pPr>
      <w:r w:rsidRPr="00833CE2">
        <w:rPr>
          <w:rFonts w:ascii="Verdana" w:eastAsia="Times New Roman" w:hAnsi="Verdana" w:cs="Times New Roman"/>
          <w:color w:val="000000"/>
          <w:lang w:eastAsia="es-CO"/>
        </w:rPr>
        <w:t>Enlace SUCOP:  </w:t>
      </w:r>
      <w:hyperlink r:id="rId15" w:tgtFrame="_blank" w:tooltip="Dirección URL original: https://www.sucop.gov.co/entidades/colombiacompra/Normativa?IDNorma=19201. Haga clic o pulse si confía en este vínculo." w:history="1">
        <w:r w:rsidRPr="00833CE2">
          <w:rPr>
            <w:rFonts w:ascii="Verdana" w:eastAsia="Times New Roman" w:hAnsi="Verdana" w:cs="Times New Roman"/>
            <w:color w:val="0000FF"/>
            <w:u w:val="single"/>
            <w:bdr w:val="none" w:sz="0" w:space="0" w:color="auto" w:frame="1"/>
            <w:lang w:eastAsia="es-CO"/>
          </w:rPr>
          <w:t>https://www.sucop.gov.co/entidades/colombiacompra/Normativa?IDNorma=19201</w:t>
        </w:r>
      </w:hyperlink>
    </w:p>
    <w:p w14:paraId="57CF5473" w14:textId="77777777" w:rsidR="00A83E4F" w:rsidRPr="00833CE2" w:rsidRDefault="00A83E4F" w:rsidP="00A83E4F">
      <w:pPr>
        <w:spacing w:after="0" w:line="240" w:lineRule="auto"/>
        <w:textAlignment w:val="baseline"/>
        <w:rPr>
          <w:rFonts w:ascii="Verdana" w:eastAsia="Times New Roman" w:hAnsi="Verdana" w:cs="Times New Roman"/>
          <w:color w:val="000000"/>
          <w:sz w:val="24"/>
          <w:szCs w:val="24"/>
          <w:lang w:eastAsia="es-CO"/>
        </w:rPr>
      </w:pPr>
      <w:r w:rsidRPr="00833CE2">
        <w:rPr>
          <w:rFonts w:ascii="Verdana" w:eastAsia="Times New Roman" w:hAnsi="Verdana" w:cs="Times New Roman"/>
          <w:color w:val="000000"/>
          <w:sz w:val="24"/>
          <w:szCs w:val="24"/>
          <w:lang w:eastAsia="es-CO"/>
        </w:rPr>
        <w:t> </w:t>
      </w:r>
    </w:p>
    <w:p w14:paraId="47E79A37" w14:textId="77777777" w:rsidR="00A83E4F" w:rsidRPr="00833CE2" w:rsidRDefault="00A83E4F" w:rsidP="00A83E4F">
      <w:pPr>
        <w:spacing w:after="0" w:line="276" w:lineRule="auto"/>
        <w:jc w:val="both"/>
        <w:textAlignment w:val="baseline"/>
        <w:rPr>
          <w:rFonts w:ascii="Verdana" w:eastAsia="Times New Roman" w:hAnsi="Verdana" w:cs="Times New Roman"/>
          <w:color w:val="000000"/>
          <w:lang w:eastAsia="es-CO"/>
        </w:rPr>
      </w:pPr>
      <w:r w:rsidRPr="00833CE2">
        <w:rPr>
          <w:rFonts w:ascii="Verdana" w:eastAsia="Times New Roman" w:hAnsi="Verdana" w:cs="Times New Roman"/>
          <w:color w:val="000000"/>
          <w:lang w:eastAsia="es-CO"/>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833CE2">
          <w:rPr>
            <w:rFonts w:ascii="Verdana" w:eastAsia="Times New Roman" w:hAnsi="Verdana" w:cs="Times New Roman"/>
            <w:color w:val="0000FF"/>
            <w:u w:val="single"/>
            <w:bdr w:val="none" w:sz="0" w:space="0" w:color="auto" w:frame="1"/>
            <w:lang w:eastAsia="es-CO"/>
          </w:rPr>
          <w:t>https://www.colombiacompra.gov.co/sala-de-prensa/boletin-digital</w:t>
        </w:r>
      </w:hyperlink>
      <w:r w:rsidRPr="00833CE2">
        <w:rPr>
          <w:rFonts w:ascii="Verdana" w:eastAsia="Times New Roman" w:hAnsi="Verdana" w:cs="Times New Roman"/>
          <w:color w:val="000000"/>
          <w:lang w:eastAsia="es-CO"/>
        </w:rPr>
        <w:t> ".</w:t>
      </w:r>
    </w:p>
    <w:p w14:paraId="1B14130A" w14:textId="77777777" w:rsidR="00A83E4F" w:rsidRPr="00833CE2" w:rsidRDefault="00A83E4F" w:rsidP="00A83E4F">
      <w:pPr>
        <w:widowControl w:val="0"/>
        <w:autoSpaceDE w:val="0"/>
        <w:autoSpaceDN w:val="0"/>
        <w:spacing w:after="0" w:line="276" w:lineRule="auto"/>
        <w:jc w:val="both"/>
        <w:rPr>
          <w:rFonts w:ascii="Verdana" w:eastAsia="Aptos" w:hAnsi="Verdana" w:cs="Arial"/>
          <w:shd w:val="clear" w:color="auto" w:fill="FFFFFF"/>
        </w:rPr>
      </w:pPr>
      <w:r w:rsidRPr="00833CE2">
        <w:rPr>
          <w:rFonts w:ascii="Verdana" w:eastAsia="Aptos" w:hAnsi="Verdana" w:cs="Arial"/>
          <w:shd w:val="clear" w:color="auto" w:fill="FFFFFF"/>
        </w:rPr>
        <w:t xml:space="preserve"> </w:t>
      </w:r>
    </w:p>
    <w:p w14:paraId="6C2B1F0D" w14:textId="77777777" w:rsidR="00A83E4F" w:rsidRPr="00833CE2" w:rsidRDefault="00A83E4F" w:rsidP="00A83E4F">
      <w:pPr>
        <w:widowControl w:val="0"/>
        <w:autoSpaceDE w:val="0"/>
        <w:autoSpaceDN w:val="0"/>
        <w:spacing w:after="0" w:line="276" w:lineRule="auto"/>
        <w:jc w:val="both"/>
        <w:rPr>
          <w:rFonts w:ascii="Verdana" w:eastAsia="Aptos" w:hAnsi="Verdana" w:cs="Arial"/>
          <w:shd w:val="clear" w:color="auto" w:fill="FFFFFF"/>
          <w:lang w:val="es-ES"/>
        </w:rPr>
      </w:pPr>
    </w:p>
    <w:p w14:paraId="4D532D4F" w14:textId="77777777" w:rsidR="00A83E4F" w:rsidRPr="00833CE2" w:rsidRDefault="00A83E4F" w:rsidP="00A83E4F">
      <w:pPr>
        <w:spacing w:after="0" w:line="240" w:lineRule="auto"/>
        <w:jc w:val="both"/>
        <w:rPr>
          <w:rFonts w:ascii="Verdana" w:eastAsia="Aptos" w:hAnsi="Verdana" w:cs="Times New Roman"/>
        </w:rPr>
      </w:pPr>
      <w:r w:rsidRPr="00833CE2">
        <w:rPr>
          <w:rFonts w:ascii="Verdana" w:eastAsia="Aptos" w:hAnsi="Verdana" w:cs="Times New Roman"/>
        </w:rPr>
        <w:t xml:space="preserve">Por último, lo invitamos a seguirnos en las redes sociales en las cuales se difunde información institucional: </w:t>
      </w:r>
    </w:p>
    <w:p w14:paraId="0AFE05A5" w14:textId="77777777" w:rsidR="00A83E4F" w:rsidRPr="00833CE2" w:rsidRDefault="00A83E4F" w:rsidP="00A83E4F">
      <w:pPr>
        <w:spacing w:after="0" w:line="240" w:lineRule="auto"/>
        <w:jc w:val="both"/>
        <w:rPr>
          <w:rFonts w:ascii="Verdana" w:eastAsia="Aptos" w:hAnsi="Verdana" w:cs="Times New Roman"/>
        </w:rPr>
      </w:pPr>
    </w:p>
    <w:p w14:paraId="4E2B4B87" w14:textId="77777777" w:rsidR="00A83E4F" w:rsidRPr="00833CE2" w:rsidRDefault="00A83E4F" w:rsidP="00A83E4F">
      <w:pPr>
        <w:spacing w:after="0" w:line="240" w:lineRule="auto"/>
        <w:jc w:val="both"/>
        <w:rPr>
          <w:rFonts w:ascii="Verdana" w:eastAsia="Aptos" w:hAnsi="Verdana" w:cs="Times New Roman"/>
        </w:rPr>
      </w:pPr>
      <w:r w:rsidRPr="00833CE2">
        <w:rPr>
          <w:rFonts w:ascii="Verdana" w:eastAsia="Aptos" w:hAnsi="Verdana" w:cs="Times New Roman"/>
        </w:rPr>
        <w:t xml:space="preserve">Twitter: </w:t>
      </w:r>
      <w:r w:rsidRPr="00833CE2">
        <w:rPr>
          <w:rFonts w:ascii="Verdana" w:eastAsia="Aptos" w:hAnsi="Verdana" w:cs="Arial"/>
          <w:color w:val="0000FF"/>
          <w:u w:val="single"/>
          <w:shd w:val="clear" w:color="auto" w:fill="FFFFFF"/>
          <w:lang w:val="es-ES"/>
        </w:rPr>
        <w:t>@colombiacompra</w:t>
      </w:r>
      <w:r w:rsidRPr="00833CE2">
        <w:rPr>
          <w:rFonts w:ascii="Verdana" w:eastAsia="Aptos" w:hAnsi="Verdana" w:cs="Times New Roman"/>
          <w:color w:val="156082"/>
        </w:rPr>
        <w:t xml:space="preserve"> </w:t>
      </w:r>
    </w:p>
    <w:p w14:paraId="6DFD69E9" w14:textId="77777777" w:rsidR="00A83E4F" w:rsidRPr="00833CE2" w:rsidRDefault="00A83E4F" w:rsidP="00A83E4F">
      <w:pPr>
        <w:spacing w:after="0" w:line="240" w:lineRule="auto"/>
        <w:jc w:val="both"/>
        <w:rPr>
          <w:rFonts w:ascii="Verdana" w:eastAsia="Aptos" w:hAnsi="Verdana" w:cs="Times New Roman"/>
        </w:rPr>
      </w:pPr>
      <w:r w:rsidRPr="00833CE2">
        <w:rPr>
          <w:rFonts w:ascii="Verdana" w:eastAsia="Aptos" w:hAnsi="Verdana" w:cs="Times New Roman"/>
        </w:rPr>
        <w:t xml:space="preserve">Facebook: </w:t>
      </w:r>
      <w:proofErr w:type="spellStart"/>
      <w:r w:rsidRPr="00833CE2">
        <w:rPr>
          <w:rFonts w:ascii="Verdana" w:eastAsia="Aptos" w:hAnsi="Verdana" w:cs="Arial"/>
          <w:color w:val="0000FF"/>
          <w:u w:val="single"/>
          <w:shd w:val="clear" w:color="auto" w:fill="FFFFFF"/>
          <w:lang w:val="es-ES"/>
        </w:rPr>
        <w:t>ColombiaCompraEficiente</w:t>
      </w:r>
      <w:proofErr w:type="spellEnd"/>
    </w:p>
    <w:p w14:paraId="2DD4F0C1" w14:textId="77777777" w:rsidR="00A83E4F" w:rsidRPr="00833CE2" w:rsidRDefault="00A83E4F" w:rsidP="00A83E4F">
      <w:pPr>
        <w:spacing w:after="0" w:line="240" w:lineRule="auto"/>
        <w:jc w:val="both"/>
        <w:rPr>
          <w:rFonts w:ascii="Verdana" w:eastAsia="Aptos" w:hAnsi="Verdana" w:cs="Times New Roman"/>
        </w:rPr>
      </w:pPr>
      <w:r w:rsidRPr="00833CE2">
        <w:rPr>
          <w:rFonts w:ascii="Verdana" w:eastAsia="Aptos" w:hAnsi="Verdana" w:cs="Times New Roman"/>
        </w:rPr>
        <w:t xml:space="preserve">LinkedIn: </w:t>
      </w:r>
      <w:r w:rsidRPr="00833CE2">
        <w:rPr>
          <w:rFonts w:ascii="Verdana" w:eastAsia="Aptos" w:hAnsi="Verdana" w:cs="Arial"/>
          <w:color w:val="0000FF"/>
          <w:u w:val="single"/>
          <w:shd w:val="clear" w:color="auto" w:fill="FFFFFF"/>
          <w:lang w:val="es-ES"/>
        </w:rPr>
        <w:t>Agencia Nacional de Contratación Pública - Colombia Compra Eficiente</w:t>
      </w:r>
      <w:r w:rsidRPr="00833CE2">
        <w:rPr>
          <w:rFonts w:ascii="Verdana" w:eastAsia="Aptos" w:hAnsi="Verdana" w:cs="Times New Roman"/>
          <w:color w:val="156082"/>
        </w:rPr>
        <w:t xml:space="preserve"> </w:t>
      </w:r>
      <w:r w:rsidRPr="00833CE2">
        <w:rPr>
          <w:rFonts w:ascii="Verdana" w:eastAsia="Aptos" w:hAnsi="Verdana" w:cs="Times New Roman"/>
        </w:rPr>
        <w:t xml:space="preserve">Instagram: </w:t>
      </w:r>
      <w:r w:rsidRPr="00833CE2">
        <w:rPr>
          <w:rFonts w:ascii="Verdana" w:eastAsia="Aptos" w:hAnsi="Verdana" w:cs="Arial"/>
          <w:color w:val="0000FF"/>
          <w:u w:val="single"/>
          <w:shd w:val="clear" w:color="auto" w:fill="FFFFFF"/>
          <w:lang w:val="es-ES"/>
        </w:rPr>
        <w:t>@colombiacompraeficiente_cce</w:t>
      </w:r>
    </w:p>
    <w:p w14:paraId="5D24DF2C" w14:textId="77777777" w:rsidR="00A83E4F" w:rsidRPr="00833CE2" w:rsidRDefault="00A83E4F" w:rsidP="00A83E4F">
      <w:pPr>
        <w:widowControl w:val="0"/>
        <w:autoSpaceDE w:val="0"/>
        <w:autoSpaceDN w:val="0"/>
        <w:spacing w:after="0" w:line="276" w:lineRule="auto"/>
        <w:jc w:val="both"/>
        <w:rPr>
          <w:rFonts w:ascii="Verdana" w:eastAsia="Aptos" w:hAnsi="Verdana" w:cs="Arial"/>
        </w:rPr>
      </w:pPr>
    </w:p>
    <w:p w14:paraId="6A928AA0" w14:textId="77777777" w:rsidR="00A83E4F" w:rsidRPr="00833CE2" w:rsidRDefault="00A83E4F" w:rsidP="00A83E4F">
      <w:pPr>
        <w:widowControl w:val="0"/>
        <w:autoSpaceDE w:val="0"/>
        <w:autoSpaceDN w:val="0"/>
        <w:spacing w:after="0" w:line="276" w:lineRule="auto"/>
        <w:jc w:val="both"/>
        <w:rPr>
          <w:rFonts w:ascii="Verdana" w:eastAsia="Aptos" w:hAnsi="Verdana" w:cs="Arial"/>
          <w:lang w:val="es-ES_tradnl"/>
        </w:rPr>
      </w:pPr>
      <w:r w:rsidRPr="00833CE2">
        <w:rPr>
          <w:rFonts w:ascii="Verdana" w:eastAsia="Aptos" w:hAnsi="Verdana" w:cs="Arial"/>
        </w:rPr>
        <w:t xml:space="preserve">Este concepto tiene el alcance previsto en el artículo 28 del Código de Procedimiento Administrativo y de lo Contencioso Administrativo </w:t>
      </w:r>
      <w:r w:rsidRPr="00833CE2">
        <w:rPr>
          <w:rFonts w:ascii="Verdana" w:eastAsia="Aptos" w:hAnsi="Verdana" w:cs="Arial"/>
          <w:lang w:val="es-ES_tradnl"/>
        </w:rPr>
        <w:t>y las expresiones aquí utilizadas con mayúscula inicial deben ser entendidas con el significado que les otorga el artículo 2.2.1.1.1.3.1. del Decreto 1082 de 2015.</w:t>
      </w:r>
    </w:p>
    <w:p w14:paraId="12DD0EB2" w14:textId="77777777" w:rsidR="00A83E4F" w:rsidRPr="00833CE2" w:rsidRDefault="00A83E4F" w:rsidP="00A83E4F">
      <w:pPr>
        <w:widowControl w:val="0"/>
        <w:autoSpaceDE w:val="0"/>
        <w:autoSpaceDN w:val="0"/>
        <w:spacing w:after="0" w:line="276" w:lineRule="auto"/>
        <w:jc w:val="both"/>
        <w:rPr>
          <w:rFonts w:ascii="Verdana" w:eastAsia="Aptos" w:hAnsi="Verdana" w:cs="Arial"/>
        </w:rPr>
      </w:pPr>
    </w:p>
    <w:p w14:paraId="45896BBA" w14:textId="77777777" w:rsidR="00A83E4F" w:rsidRPr="00833CE2" w:rsidRDefault="00A83E4F" w:rsidP="00A83E4F">
      <w:pPr>
        <w:spacing w:after="0" w:line="240" w:lineRule="auto"/>
        <w:rPr>
          <w:rFonts w:ascii="Verdana" w:eastAsia="Aptos" w:hAnsi="Verdana" w:cs="Arial"/>
          <w:lang w:eastAsia="es-CO"/>
        </w:rPr>
      </w:pPr>
      <w:r w:rsidRPr="00833CE2">
        <w:rPr>
          <w:rFonts w:ascii="Verdana" w:eastAsia="Times New Roman" w:hAnsi="Verdana" w:cs="Arial"/>
          <w:lang w:eastAsia="es-CO"/>
        </w:rPr>
        <w:t>Atentamente,</w:t>
      </w:r>
      <w:r w:rsidRPr="00833CE2">
        <w:rPr>
          <w:rFonts w:ascii="Verdana" w:eastAsia="Aptos" w:hAnsi="Verdana" w:cs="Arial"/>
          <w:lang w:eastAsia="es-CO"/>
        </w:rPr>
        <w:t xml:space="preserve"> </w:t>
      </w:r>
    </w:p>
    <w:p w14:paraId="43F686BA" w14:textId="72524F32" w:rsidR="00A83E4F" w:rsidRPr="00833CE2" w:rsidRDefault="00903098" w:rsidP="00A83E4F">
      <w:pPr>
        <w:spacing w:line="276" w:lineRule="auto"/>
        <w:jc w:val="center"/>
        <w:rPr>
          <w:rFonts w:ascii="Verdana" w:eastAsia="Aptos" w:hAnsi="Verdana" w:cs="Arial"/>
          <w:lang w:val="es-ES_tradnl" w:eastAsia="es-CO"/>
        </w:rPr>
      </w:pPr>
      <w:r w:rsidRPr="00903098">
        <w:rPr>
          <w:rFonts w:ascii="Verdana" w:eastAsia="Aptos" w:hAnsi="Verdana" w:cs="Arial"/>
          <w:noProof/>
          <w:lang w:eastAsia="es-CO"/>
        </w:rPr>
        <w:lastRenderedPageBreak/>
        <w:drawing>
          <wp:inline distT="0" distB="0" distL="0" distR="0" wp14:anchorId="681C36F2" wp14:editId="6117A6DB">
            <wp:extent cx="3771900" cy="1400175"/>
            <wp:effectExtent l="0" t="0" r="0" b="9525"/>
            <wp:docPr id="60462529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903098">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A83E4F" w:rsidRPr="00833CE2" w14:paraId="51527056" w14:textId="77777777" w:rsidTr="009A7185">
        <w:trPr>
          <w:trHeight w:val="286"/>
        </w:trPr>
        <w:tc>
          <w:tcPr>
            <w:tcW w:w="901" w:type="dxa"/>
            <w:vAlign w:val="center"/>
            <w:hideMark/>
          </w:tcPr>
          <w:p w14:paraId="639B6456"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5B651E1E"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Nasly Yeana Mosquera Rivas</w:t>
            </w:r>
          </w:p>
          <w:p w14:paraId="51414DCC"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Analista T2–06 de la Subdirección de Gestión Contractual</w:t>
            </w:r>
          </w:p>
        </w:tc>
      </w:tr>
      <w:tr w:rsidR="00A83E4F" w:rsidRPr="00833CE2" w14:paraId="7A965E2B" w14:textId="77777777" w:rsidTr="009A7185">
        <w:trPr>
          <w:trHeight w:val="299"/>
        </w:trPr>
        <w:tc>
          <w:tcPr>
            <w:tcW w:w="901" w:type="dxa"/>
            <w:vAlign w:val="center"/>
          </w:tcPr>
          <w:p w14:paraId="62AC7C4A"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0E29160D"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 xml:space="preserve">Adriana </w:t>
            </w:r>
            <w:proofErr w:type="spellStart"/>
            <w:r w:rsidRPr="00833CE2">
              <w:rPr>
                <w:rFonts w:ascii="Verdana" w:eastAsia="Aptos" w:hAnsi="Verdana" w:cs="Arial"/>
                <w:sz w:val="14"/>
                <w:szCs w:val="14"/>
                <w:lang w:eastAsia="es-ES"/>
              </w:rPr>
              <w:t>Katerine</w:t>
            </w:r>
            <w:proofErr w:type="spellEnd"/>
            <w:r w:rsidRPr="00833CE2">
              <w:rPr>
                <w:rFonts w:ascii="Verdana" w:eastAsia="Aptos" w:hAnsi="Verdana" w:cs="Arial"/>
                <w:sz w:val="14"/>
                <w:szCs w:val="14"/>
                <w:lang w:eastAsia="es-ES"/>
              </w:rPr>
              <w:t xml:space="preserve"> López Rodríguez</w:t>
            </w:r>
          </w:p>
          <w:p w14:paraId="593FAB2A"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Contratista de la Subdirección de Gestión Contractual</w:t>
            </w:r>
          </w:p>
        </w:tc>
      </w:tr>
      <w:tr w:rsidR="00A83E4F" w:rsidRPr="00833CE2" w14:paraId="713C6E2B" w14:textId="77777777" w:rsidTr="009A7185">
        <w:trPr>
          <w:trHeight w:val="272"/>
        </w:trPr>
        <w:tc>
          <w:tcPr>
            <w:tcW w:w="901" w:type="dxa"/>
            <w:vAlign w:val="center"/>
            <w:hideMark/>
          </w:tcPr>
          <w:p w14:paraId="75A797BF"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39756B9B"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Carolina Quintero Gacharná</w:t>
            </w:r>
          </w:p>
          <w:p w14:paraId="68ADDE77" w14:textId="77777777" w:rsidR="00A83E4F" w:rsidRPr="00833CE2" w:rsidRDefault="00A83E4F" w:rsidP="009A7185">
            <w:pPr>
              <w:rPr>
                <w:rFonts w:ascii="Verdana" w:eastAsia="Aptos" w:hAnsi="Verdana" w:cs="Arial"/>
                <w:sz w:val="14"/>
                <w:szCs w:val="14"/>
                <w:lang w:eastAsia="es-ES"/>
              </w:rPr>
            </w:pPr>
            <w:r w:rsidRPr="00833CE2">
              <w:rPr>
                <w:rFonts w:ascii="Verdana" w:eastAsia="Aptos" w:hAnsi="Verdana" w:cs="Arial"/>
                <w:sz w:val="14"/>
                <w:szCs w:val="14"/>
                <w:lang w:eastAsia="es-ES"/>
              </w:rPr>
              <w:t>Subdirectora de Gestión Contractual ANCP – CCE</w:t>
            </w:r>
          </w:p>
        </w:tc>
      </w:tr>
      <w:tr w:rsidR="00A83E4F" w:rsidRPr="00833CE2" w14:paraId="4ED03EE6" w14:textId="77777777" w:rsidTr="009A7185">
        <w:trPr>
          <w:trHeight w:val="272"/>
        </w:trPr>
        <w:tc>
          <w:tcPr>
            <w:tcW w:w="901" w:type="dxa"/>
            <w:vAlign w:val="center"/>
          </w:tcPr>
          <w:p w14:paraId="365B59E3" w14:textId="77777777" w:rsidR="00A83E4F" w:rsidRPr="00833CE2" w:rsidRDefault="00A83E4F" w:rsidP="009A7185">
            <w:pPr>
              <w:rPr>
                <w:rFonts w:ascii="Verdana" w:eastAsia="Aptos" w:hAnsi="Verdana" w:cs="Arial"/>
                <w:sz w:val="14"/>
                <w:szCs w:val="14"/>
                <w:lang w:eastAsia="es-ES"/>
              </w:rPr>
            </w:pPr>
            <w:r>
              <w:rPr>
                <w:rFonts w:ascii="Verdana" w:eastAsia="Aptos" w:hAnsi="Verdana" w:cs="Arial"/>
                <w:sz w:val="14"/>
                <w:szCs w:val="14"/>
                <w:lang w:eastAsia="es-ES"/>
              </w:rPr>
              <w:t>Anexos:</w:t>
            </w:r>
          </w:p>
        </w:tc>
        <w:tc>
          <w:tcPr>
            <w:tcW w:w="4344" w:type="dxa"/>
            <w:tcBorders>
              <w:top w:val="dotted" w:sz="4" w:space="0" w:color="7F7F7F"/>
              <w:left w:val="nil"/>
              <w:bottom w:val="dotted" w:sz="4" w:space="0" w:color="7F7F7F"/>
              <w:right w:val="nil"/>
            </w:tcBorders>
            <w:vAlign w:val="center"/>
          </w:tcPr>
          <w:p w14:paraId="69943374" w14:textId="77777777" w:rsidR="00A83E4F" w:rsidRDefault="00A83E4F" w:rsidP="009A7185">
            <w:pPr>
              <w:rPr>
                <w:rFonts w:ascii="Verdana" w:eastAsia="Aptos" w:hAnsi="Verdana" w:cs="Arial"/>
                <w:sz w:val="14"/>
                <w:szCs w:val="14"/>
                <w:lang w:eastAsia="es-ES"/>
              </w:rPr>
            </w:pPr>
            <w:r>
              <w:rPr>
                <w:rFonts w:ascii="Verdana" w:eastAsia="Aptos" w:hAnsi="Verdana" w:cs="Arial"/>
                <w:sz w:val="14"/>
                <w:szCs w:val="14"/>
                <w:lang w:eastAsia="es-ES"/>
              </w:rPr>
              <w:t>Respuesta del</w:t>
            </w:r>
            <w:r>
              <w:t xml:space="preserve"> </w:t>
            </w:r>
            <w:r w:rsidRPr="00D518BD">
              <w:rPr>
                <w:rFonts w:ascii="Verdana" w:eastAsia="Aptos" w:hAnsi="Verdana" w:cs="Arial"/>
                <w:sz w:val="14"/>
                <w:szCs w:val="14"/>
                <w:lang w:eastAsia="es-ES"/>
              </w:rPr>
              <w:t>Grupo Interno de Trabajo de Articulación y Socialización del Sistema de Compras y Contratación Pública de la Dirección General</w:t>
            </w:r>
          </w:p>
          <w:p w14:paraId="7586C8BF" w14:textId="77777777" w:rsidR="00A83E4F" w:rsidRPr="00833CE2" w:rsidRDefault="00A83E4F" w:rsidP="009A7185">
            <w:pPr>
              <w:rPr>
                <w:rFonts w:ascii="Verdana" w:eastAsia="Aptos" w:hAnsi="Verdana" w:cs="Arial"/>
                <w:sz w:val="14"/>
                <w:szCs w:val="14"/>
                <w:lang w:eastAsia="es-ES"/>
              </w:rPr>
            </w:pPr>
            <w:r>
              <w:rPr>
                <w:rFonts w:ascii="Verdana" w:eastAsia="Aptos" w:hAnsi="Verdana" w:cs="Arial"/>
                <w:sz w:val="14"/>
                <w:szCs w:val="14"/>
                <w:lang w:eastAsia="es-ES"/>
              </w:rPr>
              <w:t>Respuesta de</w:t>
            </w:r>
            <w:r w:rsidRPr="00D518BD">
              <w:rPr>
                <w:rFonts w:ascii="Verdana" w:eastAsia="Aptos" w:hAnsi="Verdana" w:cs="Arial"/>
                <w:sz w:val="14"/>
                <w:szCs w:val="14"/>
                <w:lang w:eastAsia="es-ES"/>
              </w:rPr>
              <w:t xml:space="preserve"> la Subdirección de Negocios</w:t>
            </w:r>
          </w:p>
        </w:tc>
      </w:tr>
    </w:tbl>
    <w:p w14:paraId="2609CC9B" w14:textId="77777777" w:rsidR="00A83E4F" w:rsidRPr="00833CE2" w:rsidRDefault="00A83E4F" w:rsidP="00A83E4F">
      <w:pPr>
        <w:spacing w:after="0" w:line="240" w:lineRule="auto"/>
        <w:rPr>
          <w:rFonts w:ascii="Verdana" w:eastAsia="Times New Roman" w:hAnsi="Verdana" w:cs="Arial"/>
          <w:sz w:val="24"/>
          <w:szCs w:val="24"/>
          <w:lang w:eastAsia="es-ES"/>
        </w:rPr>
      </w:pPr>
    </w:p>
    <w:p w14:paraId="60FB21FC" w14:textId="77777777" w:rsidR="00A83E4F" w:rsidRPr="00833CE2" w:rsidRDefault="00A83E4F" w:rsidP="00A83E4F">
      <w:pPr>
        <w:rPr>
          <w:rFonts w:ascii="Verdana" w:eastAsia="Aptos" w:hAnsi="Verdana" w:cs="Times New Roman"/>
        </w:rPr>
      </w:pPr>
    </w:p>
    <w:p w14:paraId="1D53ABEC" w14:textId="77777777" w:rsidR="00A83E4F" w:rsidRPr="00833CE2" w:rsidRDefault="00A83E4F" w:rsidP="00A83E4F">
      <w:pPr>
        <w:rPr>
          <w:rFonts w:ascii="Verdana" w:eastAsia="Aptos" w:hAnsi="Verdana" w:cs="Times New Roman"/>
        </w:rPr>
      </w:pPr>
    </w:p>
    <w:p w14:paraId="2DF73B60" w14:textId="77777777" w:rsidR="00A83E4F" w:rsidRPr="00833CE2" w:rsidRDefault="00A83E4F" w:rsidP="00A83E4F">
      <w:pPr>
        <w:rPr>
          <w:rFonts w:ascii="Aptos" w:eastAsia="Aptos" w:hAnsi="Aptos" w:cs="Times New Roman"/>
        </w:rPr>
      </w:pPr>
    </w:p>
    <w:p w14:paraId="00ADA606" w14:textId="77777777" w:rsidR="00A83E4F" w:rsidRPr="00833CE2" w:rsidRDefault="00A83E4F" w:rsidP="00A83E4F"/>
    <w:p w14:paraId="374B283F" w14:textId="77777777" w:rsidR="008E5C2E" w:rsidRDefault="008E5C2E"/>
    <w:sectPr w:rsidR="008E5C2E" w:rsidSect="00A83E4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383F5" w14:textId="77777777" w:rsidR="00A83E4F" w:rsidRDefault="00A83E4F" w:rsidP="00A83E4F">
      <w:pPr>
        <w:spacing w:after="0" w:line="240" w:lineRule="auto"/>
      </w:pPr>
      <w:r>
        <w:separator/>
      </w:r>
    </w:p>
  </w:endnote>
  <w:endnote w:type="continuationSeparator" w:id="0">
    <w:p w14:paraId="78DA7371" w14:textId="77777777" w:rsidR="00A83E4F" w:rsidRDefault="00A83E4F" w:rsidP="00A8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0CE59" w14:textId="77777777" w:rsidR="00420AB2" w:rsidRDefault="00420AB2">
    <w:pPr>
      <w:pStyle w:val="Piedepgina"/>
    </w:pPr>
  </w:p>
  <w:p w14:paraId="1D88E189" w14:textId="77777777" w:rsidR="00420AB2" w:rsidRPr="00174B77" w:rsidRDefault="00420AB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833CE2">
      <w:rPr>
        <w:rFonts w:ascii="Verdana" w:eastAsia="Times New Roman" w:hAnsi="Verdana" w:cs="Times New Roman"/>
        <w:b/>
        <w:bCs/>
        <w:sz w:val="16"/>
        <w:szCs w:val="16"/>
        <w:lang w:val="es-ES"/>
      </w:rPr>
      <w:t xml:space="preserve">pág. </w:t>
    </w:r>
    <w:r w:rsidRPr="00833CE2">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833CE2">
      <w:rPr>
        <w:rFonts w:ascii="Verdana" w:eastAsia="Times New Roman" w:hAnsi="Verdana"/>
        <w:b/>
        <w:bCs/>
        <w:sz w:val="16"/>
        <w:szCs w:val="16"/>
      </w:rPr>
      <w:fldChar w:fldCharType="separate"/>
    </w:r>
    <w:r w:rsidRPr="00833CE2">
      <w:rPr>
        <w:rFonts w:ascii="Verdana" w:eastAsia="Times New Roman" w:hAnsi="Verdana"/>
        <w:b/>
        <w:bCs/>
        <w:sz w:val="16"/>
        <w:szCs w:val="16"/>
      </w:rPr>
      <w:t>1</w:t>
    </w:r>
    <w:r w:rsidRPr="00833CE2">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740F6E6" w14:textId="77777777" w:rsidR="00420AB2" w:rsidRDefault="00420AB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24C9CE4" w14:textId="77777777" w:rsidR="00420AB2" w:rsidRPr="00E41027" w:rsidRDefault="00420AB2" w:rsidP="00D520D8">
    <w:pPr>
      <w:spacing w:after="0"/>
      <w:jc w:val="both"/>
      <w:rPr>
        <w:rFonts w:ascii="Verdana" w:hAnsi="Verdana"/>
        <w:sz w:val="18"/>
        <w:szCs w:val="18"/>
      </w:rPr>
    </w:pPr>
    <w:r w:rsidRPr="00E41027">
      <w:rPr>
        <w:rFonts w:ascii="Verdana" w:hAnsi="Verdana"/>
        <w:sz w:val="18"/>
        <w:szCs w:val="18"/>
      </w:rPr>
      <w:t>Mesa de servicio: (+57) 601 7456788</w:t>
    </w:r>
  </w:p>
  <w:p w14:paraId="502B874E" w14:textId="77777777" w:rsidR="00420AB2" w:rsidRDefault="00420AB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461C6" w14:textId="77777777" w:rsidR="00A83E4F" w:rsidRDefault="00A83E4F" w:rsidP="00A83E4F">
      <w:pPr>
        <w:spacing w:after="0" w:line="240" w:lineRule="auto"/>
      </w:pPr>
      <w:r>
        <w:separator/>
      </w:r>
    </w:p>
  </w:footnote>
  <w:footnote w:type="continuationSeparator" w:id="0">
    <w:p w14:paraId="142FCCD1" w14:textId="77777777" w:rsidR="00A83E4F" w:rsidRDefault="00A83E4F" w:rsidP="00A83E4F">
      <w:pPr>
        <w:spacing w:after="0" w:line="240" w:lineRule="auto"/>
      </w:pPr>
      <w:r>
        <w:continuationSeparator/>
      </w:r>
    </w:p>
  </w:footnote>
  <w:footnote w:id="1">
    <w:p w14:paraId="28E5CA44" w14:textId="77777777" w:rsidR="00A83E4F" w:rsidRPr="00833CE2" w:rsidRDefault="00A83E4F" w:rsidP="00A83E4F">
      <w:pPr>
        <w:pStyle w:val="Textonotapie"/>
        <w:ind w:firstLine="708"/>
        <w:jc w:val="both"/>
        <w:rPr>
          <w:rFonts w:ascii="Verdana" w:hAnsi="Verdana" w:cs="Arial"/>
          <w:color w:val="000000"/>
          <w:sz w:val="12"/>
          <w:szCs w:val="12"/>
        </w:rPr>
      </w:pPr>
      <w:r w:rsidRPr="00833CE2">
        <w:rPr>
          <w:rStyle w:val="Refdenotaalpie"/>
          <w:rFonts w:ascii="Verdana" w:hAnsi="Verdana" w:cs="Arial"/>
          <w:color w:val="000000"/>
          <w:sz w:val="12"/>
          <w:szCs w:val="12"/>
        </w:rPr>
        <w:footnoteRef/>
      </w:r>
      <w:r w:rsidRPr="00833CE2">
        <w:rPr>
          <w:rFonts w:ascii="Verdana" w:hAnsi="Verdana" w:cs="Arial"/>
          <w:color w:val="000000"/>
          <w:sz w:val="12"/>
          <w:szCs w:val="12"/>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128D6C35"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w:t>
      </w:r>
    </w:p>
    <w:p w14:paraId="567CF2C0"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12798881"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w:t>
      </w:r>
    </w:p>
    <w:p w14:paraId="5B768970" w14:textId="77777777" w:rsidR="00A83E4F" w:rsidRPr="00833CE2" w:rsidRDefault="00A83E4F" w:rsidP="00A83E4F">
      <w:pPr>
        <w:pStyle w:val="Textonotapie"/>
        <w:jc w:val="both"/>
        <w:rPr>
          <w:rFonts w:ascii="Verdana" w:hAnsi="Verdana" w:cs="Arial"/>
          <w:color w:val="000000"/>
          <w:sz w:val="12"/>
          <w:szCs w:val="12"/>
          <w:lang w:val="es-ES"/>
        </w:rPr>
      </w:pPr>
    </w:p>
  </w:footnote>
  <w:footnote w:id="2">
    <w:p w14:paraId="6D837FF3" w14:textId="77777777" w:rsidR="00A83E4F" w:rsidRDefault="00A83E4F" w:rsidP="00A83E4F">
      <w:pPr>
        <w:pStyle w:val="Textonotapie"/>
        <w:ind w:firstLine="708"/>
        <w:jc w:val="both"/>
        <w:rPr>
          <w:rFonts w:ascii="Verdana" w:eastAsia="Times New Roman" w:hAnsi="Verdana" w:cs="Arial"/>
          <w:sz w:val="12"/>
          <w:szCs w:val="12"/>
          <w:lang w:val="es-CO" w:eastAsia="es-CO"/>
        </w:rPr>
      </w:pPr>
      <w:r w:rsidRPr="003B003F">
        <w:rPr>
          <w:rStyle w:val="Refdenotaalpie"/>
          <w:rFonts w:ascii="Verdana" w:hAnsi="Verdana"/>
          <w:sz w:val="12"/>
          <w:szCs w:val="12"/>
        </w:rPr>
        <w:footnoteRef/>
      </w:r>
      <w:r w:rsidRPr="003B003F">
        <w:rPr>
          <w:rFonts w:ascii="Verdana" w:hAnsi="Verdana"/>
          <w:sz w:val="12"/>
          <w:szCs w:val="12"/>
        </w:rPr>
        <w:t xml:space="preserve"> </w:t>
      </w:r>
      <w:r w:rsidRPr="003B003F">
        <w:rPr>
          <w:rFonts w:ascii="Verdana" w:eastAsia="Times New Roman" w:hAnsi="Verdana" w:cs="Arial"/>
          <w:sz w:val="12"/>
          <w:szCs w:val="12"/>
          <w:lang w:val="es-CO" w:eastAsia="es-CO"/>
        </w:rPr>
        <w:t>Consejo de Estado. Sección Tercera. Sentencia del 14 de abril de 2010. Exp. 36054 C.P. Enrique Gil Botero</w:t>
      </w:r>
    </w:p>
    <w:p w14:paraId="68D08D8D" w14:textId="77777777" w:rsidR="00A83E4F" w:rsidRPr="003B003F" w:rsidRDefault="00A83E4F" w:rsidP="00A83E4F">
      <w:pPr>
        <w:pStyle w:val="Textonotapie"/>
        <w:ind w:firstLine="708"/>
        <w:jc w:val="both"/>
        <w:rPr>
          <w:rFonts w:ascii="Verdana" w:hAnsi="Verdana"/>
          <w:sz w:val="12"/>
          <w:szCs w:val="12"/>
          <w:lang w:val="es-CO"/>
        </w:rPr>
      </w:pPr>
    </w:p>
  </w:footnote>
  <w:footnote w:id="3">
    <w:p w14:paraId="23D3593A" w14:textId="77777777" w:rsidR="00A83E4F" w:rsidRPr="00833CE2" w:rsidRDefault="00A83E4F" w:rsidP="00A83E4F">
      <w:pPr>
        <w:pStyle w:val="Textonotapie"/>
        <w:ind w:firstLine="708"/>
        <w:jc w:val="both"/>
        <w:rPr>
          <w:rFonts w:ascii="Verdana" w:hAnsi="Verdana" w:cs="Arial"/>
          <w:color w:val="000000"/>
          <w:sz w:val="12"/>
          <w:szCs w:val="12"/>
          <w:lang w:val="es-ES"/>
        </w:rPr>
      </w:pPr>
      <w:r w:rsidRPr="00833CE2">
        <w:rPr>
          <w:rStyle w:val="Refdenotaalpie"/>
          <w:rFonts w:ascii="Verdana" w:hAnsi="Verdana" w:cs="Arial"/>
          <w:color w:val="000000"/>
          <w:sz w:val="12"/>
          <w:szCs w:val="12"/>
        </w:rPr>
        <w:footnoteRef/>
      </w:r>
      <w:r w:rsidRPr="00833CE2">
        <w:rPr>
          <w:rFonts w:ascii="Verdana" w:hAnsi="Verdana" w:cs="Arial"/>
          <w:color w:val="000000"/>
          <w:sz w:val="12"/>
          <w:szCs w:val="12"/>
        </w:rPr>
        <w:t xml:space="preserve"> CONSEJO DE ESTADO. Sección Tercera. Sentencia del 11 de noviembre de 2009. Exp. 17.366. C.P. Mauricio Fajardo Gómez.</w:t>
      </w:r>
    </w:p>
  </w:footnote>
  <w:footnote w:id="4">
    <w:p w14:paraId="7E12DB56" w14:textId="77777777" w:rsidR="00A83E4F" w:rsidRPr="00833CE2" w:rsidRDefault="00A83E4F" w:rsidP="00A83E4F">
      <w:pPr>
        <w:pStyle w:val="Textonotapie"/>
        <w:ind w:firstLine="708"/>
        <w:jc w:val="both"/>
        <w:rPr>
          <w:rFonts w:ascii="Verdana" w:hAnsi="Verdana" w:cs="Arial"/>
          <w:color w:val="000000"/>
          <w:sz w:val="12"/>
          <w:szCs w:val="12"/>
        </w:rPr>
      </w:pPr>
    </w:p>
    <w:p w14:paraId="34756735" w14:textId="77777777" w:rsidR="00A83E4F" w:rsidRPr="00833CE2" w:rsidRDefault="00A83E4F" w:rsidP="00A83E4F">
      <w:pPr>
        <w:pStyle w:val="Textonotapie"/>
        <w:ind w:firstLine="708"/>
        <w:jc w:val="both"/>
        <w:rPr>
          <w:rFonts w:ascii="Verdana" w:hAnsi="Verdana" w:cs="Arial"/>
          <w:color w:val="000000"/>
          <w:sz w:val="12"/>
          <w:szCs w:val="12"/>
        </w:rPr>
      </w:pPr>
      <w:r w:rsidRPr="00833CE2">
        <w:rPr>
          <w:rStyle w:val="Refdenotaalpie"/>
          <w:rFonts w:ascii="Verdana" w:hAnsi="Verdana" w:cs="Arial"/>
          <w:color w:val="000000"/>
          <w:sz w:val="12"/>
          <w:szCs w:val="12"/>
        </w:rPr>
        <w:footnoteRef/>
      </w:r>
      <w:r w:rsidRPr="00833CE2">
        <w:rPr>
          <w:rFonts w:ascii="Verdana" w:hAnsi="Verdana" w:cs="Arial"/>
          <w:color w:val="000000"/>
          <w:sz w:val="12"/>
          <w:szCs w:val="12"/>
        </w:rPr>
        <w:t xml:space="preserve"> CONSEJO DE ESTADO. Sección Tercera. Sentencia del 24 de julio de 2013. Exp.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p>
    <w:p w14:paraId="17052490" w14:textId="77777777" w:rsidR="00A83E4F" w:rsidRPr="00833CE2" w:rsidRDefault="00A83E4F" w:rsidP="00A83E4F">
      <w:pPr>
        <w:pStyle w:val="Textonotapie"/>
        <w:ind w:firstLine="708"/>
        <w:jc w:val="both"/>
        <w:rPr>
          <w:rFonts w:ascii="Verdana" w:hAnsi="Verdana" w:cs="Arial"/>
          <w:color w:val="000000"/>
          <w:sz w:val="12"/>
          <w:szCs w:val="12"/>
          <w:lang w:val="es-ES"/>
        </w:rPr>
      </w:pPr>
    </w:p>
  </w:footnote>
  <w:footnote w:id="5">
    <w:p w14:paraId="3B5866A7" w14:textId="77777777" w:rsidR="00A83E4F" w:rsidRPr="00833CE2" w:rsidRDefault="00A83E4F" w:rsidP="00A83E4F">
      <w:pPr>
        <w:pStyle w:val="Textonotapie"/>
        <w:ind w:firstLine="708"/>
        <w:jc w:val="both"/>
        <w:rPr>
          <w:rFonts w:ascii="Verdana" w:hAnsi="Verdana" w:cs="Arial"/>
          <w:color w:val="000000"/>
          <w:sz w:val="12"/>
          <w:szCs w:val="12"/>
        </w:rPr>
      </w:pPr>
      <w:r w:rsidRPr="00833CE2">
        <w:rPr>
          <w:rStyle w:val="Refdenotaalpie"/>
          <w:rFonts w:ascii="Verdana" w:hAnsi="Verdana" w:cs="Arial"/>
          <w:color w:val="000000"/>
          <w:sz w:val="12"/>
          <w:szCs w:val="12"/>
        </w:rPr>
        <w:footnoteRef/>
      </w:r>
      <w:r w:rsidRPr="00833CE2">
        <w:rPr>
          <w:rFonts w:ascii="Verdana" w:hAnsi="Verdana" w:cs="Arial"/>
          <w:color w:val="000000"/>
          <w:sz w:val="12"/>
          <w:szCs w:val="12"/>
        </w:rPr>
        <w:t xml:space="preserve"> Decreto 1082 de 2015: “Artículo 2.2.1.1.2.1.3. Pliegos de condiciones. Los pliegos de condiciones deben contener por lo menos la siguiente información:</w:t>
      </w:r>
    </w:p>
    <w:p w14:paraId="4966F34D"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1. La descripción técnica, detallada y completa del bien o servicio objeto del contrato, identificado con el cuarto nivel del Clasificador de Bienes y Servicios, de ser posible o de lo contrario con el tercer nivel del mismo.</w:t>
      </w:r>
    </w:p>
    <w:p w14:paraId="0D90BAA0"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2. La modalidad del proceso de selección y su justificación.</w:t>
      </w:r>
    </w:p>
    <w:p w14:paraId="045443F3"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3. Los criterios de selección, incluyendo los factores de desempate y los incentivos cuando a ello haya lugar.</w:t>
      </w:r>
    </w:p>
    <w:p w14:paraId="2FBF811E"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4. Las condiciones de costo y/o calidad que la Entidad Estatal debe tener en cuenta para la selección objetiva, de acuerdo con la modalidad de selección del contratista.</w:t>
      </w:r>
    </w:p>
    <w:p w14:paraId="60C92C72"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5.    Las reglas aplicables a la presentación de las ofertas, su evaluación y a la adjudicación del contrato.</w:t>
      </w:r>
    </w:p>
    <w:p w14:paraId="20BAF55F"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6. Las causas que dan lugar a rechazar una oferta.</w:t>
      </w:r>
    </w:p>
    <w:p w14:paraId="3F63FCD4"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7. El valor del contrato, el plazo, el cronograma de pagos y la determinación de si debe haber lugar a la entrega de anticipo, y si hubiere, indicar su valor, el cual debe tener en cuenta los rendimientos que este pueda generar.</w:t>
      </w:r>
    </w:p>
    <w:p w14:paraId="79E71725"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8. Los Riesgos asociados al contrato, la forma de mitigarlos y la asignación del Riesgo entre las partes contratantes.</w:t>
      </w:r>
    </w:p>
    <w:p w14:paraId="316FE73F"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9. Las garantías exigidas en el Proceso de Contratación y sus condiciones.</w:t>
      </w:r>
    </w:p>
    <w:p w14:paraId="2D0718A8"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10. La mención de si la Entidad Estatal y el contrato objeto de los pliegos de condiciones están cubiertos por un Acuerdo Comercial.</w:t>
      </w:r>
    </w:p>
    <w:p w14:paraId="0449A46D"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11. Los términos, condiciones y minuta del contrato.</w:t>
      </w:r>
    </w:p>
    <w:p w14:paraId="18359057"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12. Los términos de la supervisión y/o de la interventoría del contrato.</w:t>
      </w:r>
    </w:p>
    <w:p w14:paraId="59EF098F"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13. El plazo dentro del cual la Entidad Estatal puede expedir Adendas.</w:t>
      </w:r>
    </w:p>
    <w:p w14:paraId="424E9661" w14:textId="77777777" w:rsidR="00A83E4F" w:rsidRPr="00833CE2" w:rsidRDefault="00A83E4F" w:rsidP="00A83E4F">
      <w:pPr>
        <w:pStyle w:val="Textonotapie"/>
        <w:ind w:firstLine="708"/>
        <w:jc w:val="both"/>
        <w:rPr>
          <w:rFonts w:ascii="Verdana" w:hAnsi="Verdana" w:cs="Arial"/>
          <w:color w:val="000000"/>
          <w:sz w:val="12"/>
          <w:szCs w:val="12"/>
        </w:rPr>
      </w:pPr>
      <w:r w:rsidRPr="00833CE2">
        <w:rPr>
          <w:rFonts w:ascii="Verdana" w:hAnsi="Verdana" w:cs="Arial"/>
          <w:color w:val="000000"/>
          <w:sz w:val="12"/>
          <w:szCs w:val="12"/>
        </w:rPr>
        <w:t>14. El Cronograma”.</w:t>
      </w:r>
    </w:p>
    <w:p w14:paraId="5BEBE280" w14:textId="77777777" w:rsidR="00A83E4F" w:rsidRPr="00833CE2" w:rsidRDefault="00A83E4F" w:rsidP="00A83E4F">
      <w:pPr>
        <w:pStyle w:val="Textonotapie"/>
        <w:jc w:val="both"/>
        <w:rPr>
          <w:rFonts w:ascii="Verdana" w:hAnsi="Verdana" w:cs="Arial"/>
          <w:color w:val="000000"/>
          <w:sz w:val="12"/>
          <w:szCs w:val="12"/>
        </w:rPr>
      </w:pPr>
    </w:p>
  </w:footnote>
  <w:footnote w:id="6">
    <w:p w14:paraId="035D2B7C" w14:textId="77777777" w:rsidR="00A83E4F" w:rsidRPr="003B003F" w:rsidRDefault="00A83E4F" w:rsidP="00A83E4F">
      <w:pPr>
        <w:pStyle w:val="Textonotapie"/>
        <w:ind w:firstLine="708"/>
        <w:jc w:val="both"/>
        <w:rPr>
          <w:rFonts w:ascii="Verdana" w:hAnsi="Verdana" w:cs="Arial"/>
          <w:sz w:val="12"/>
          <w:szCs w:val="12"/>
        </w:rPr>
      </w:pPr>
      <w:r w:rsidRPr="003B003F">
        <w:rPr>
          <w:rStyle w:val="Refdenotaalpie"/>
          <w:rFonts w:ascii="Verdana" w:hAnsi="Verdana" w:cs="Arial"/>
          <w:sz w:val="12"/>
          <w:szCs w:val="12"/>
        </w:rPr>
        <w:footnoteRef/>
      </w:r>
      <w:r w:rsidRPr="003B003F">
        <w:rPr>
          <w:rFonts w:ascii="Verdana" w:hAnsi="Verdana" w:cs="Arial"/>
          <w:sz w:val="12"/>
          <w:szCs w:val="12"/>
        </w:rPr>
        <w:t xml:space="preserve"> GONZÁLEZ LÓPEZ, Edgar</w:t>
      </w:r>
      <w:r w:rsidRPr="003B003F">
        <w:rPr>
          <w:rFonts w:ascii="Verdana" w:hAnsi="Verdana" w:cs="Arial"/>
          <w:i/>
          <w:iCs/>
          <w:sz w:val="12"/>
          <w:szCs w:val="12"/>
        </w:rPr>
        <w:t xml:space="preserve">. </w:t>
      </w:r>
      <w:r w:rsidRPr="003B003F">
        <w:rPr>
          <w:rFonts w:ascii="Verdana" w:hAnsi="Verdana" w:cs="Arial"/>
          <w:sz w:val="12"/>
          <w:szCs w:val="12"/>
        </w:rPr>
        <w:t xml:space="preserve">El pliego de condiciones en la contratación. La reforma consagrada en la Ley 1150 de 2007 y sus decretos reglamentarios. Universidad Externado de Colombia. Primera edición, 2010, pp. 64.  </w:t>
      </w:r>
    </w:p>
  </w:footnote>
  <w:footnote w:id="7">
    <w:p w14:paraId="2859E580" w14:textId="77777777" w:rsidR="00A83E4F" w:rsidRPr="003B003F" w:rsidRDefault="00A83E4F" w:rsidP="00A83E4F">
      <w:pPr>
        <w:pStyle w:val="Textonotapie"/>
        <w:ind w:firstLine="708"/>
        <w:jc w:val="both"/>
        <w:rPr>
          <w:rFonts w:ascii="Verdana" w:hAnsi="Verdana" w:cs="Arial"/>
          <w:sz w:val="12"/>
          <w:szCs w:val="12"/>
        </w:rPr>
      </w:pPr>
      <w:r w:rsidRPr="003B003F">
        <w:rPr>
          <w:rStyle w:val="Refdenotaalpie"/>
          <w:rFonts w:ascii="Verdana" w:hAnsi="Verdana" w:cs="Arial"/>
          <w:sz w:val="12"/>
          <w:szCs w:val="12"/>
        </w:rPr>
        <w:footnoteRef/>
      </w:r>
      <w:r w:rsidRPr="003B003F">
        <w:rPr>
          <w:rFonts w:ascii="Verdana" w:hAnsi="Verdana" w:cs="Arial"/>
          <w:sz w:val="12"/>
          <w:szCs w:val="12"/>
        </w:rPr>
        <w:t xml:space="preserve"> </w:t>
      </w:r>
      <w:r>
        <w:rPr>
          <w:rFonts w:ascii="Verdana" w:hAnsi="Verdana" w:cs="Arial"/>
          <w:sz w:val="12"/>
          <w:szCs w:val="12"/>
        </w:rPr>
        <w:t>“</w:t>
      </w:r>
      <w:r w:rsidRPr="003B003F">
        <w:rPr>
          <w:rFonts w:ascii="Verdana" w:hAnsi="Verdana" w:cs="Arial"/>
          <w:sz w:val="12"/>
          <w:szCs w:val="12"/>
        </w:rPr>
        <w:t>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w:t>
      </w:r>
    </w:p>
    <w:p w14:paraId="1BC634D9" w14:textId="77777777" w:rsidR="00A83E4F" w:rsidRPr="003B003F" w:rsidRDefault="00A83E4F" w:rsidP="00A83E4F">
      <w:pPr>
        <w:pStyle w:val="Textonotapie"/>
        <w:ind w:firstLine="708"/>
        <w:jc w:val="both"/>
        <w:rPr>
          <w:rFonts w:ascii="Verdana" w:hAnsi="Verdana" w:cs="Arial"/>
          <w:sz w:val="12"/>
          <w:szCs w:val="12"/>
        </w:rPr>
      </w:pPr>
      <w:r w:rsidRPr="003B003F">
        <w:rPr>
          <w:rFonts w:ascii="Verdana" w:hAnsi="Verdana" w:cs="Arial"/>
          <w:sz w:val="12"/>
          <w:szCs w:val="12"/>
        </w:rPr>
        <w:t>Ninguna autoridad pública puede negarse a indicar si un documento obra o no en su poder o negar la divulgación de un documento, salvo que el daño causado al interés protegido sea mayor al interés público de obtener acceso a la información.</w:t>
      </w:r>
    </w:p>
    <w:p w14:paraId="1DE6180A" w14:textId="77777777" w:rsidR="00A83E4F" w:rsidRPr="003B003F" w:rsidRDefault="00A83E4F" w:rsidP="00A83E4F">
      <w:pPr>
        <w:pStyle w:val="Textonotapie"/>
        <w:ind w:firstLine="708"/>
        <w:jc w:val="both"/>
        <w:rPr>
          <w:rFonts w:ascii="Verdana" w:hAnsi="Verdana" w:cs="Arial"/>
          <w:sz w:val="12"/>
          <w:szCs w:val="12"/>
          <w:lang w:val="es-CO"/>
        </w:rPr>
      </w:pPr>
      <w:r w:rsidRPr="003B003F">
        <w:rPr>
          <w:rFonts w:ascii="Verdana" w:hAnsi="Verdana" w:cs="Arial"/>
          <w:sz w:val="12"/>
          <w:szCs w:val="12"/>
        </w:rPr>
        <w:t>Las excepciones de acceso a la información contenidas en la presente ley no aplican en casos de violación de derechos humanos o delitos de lesa humanidad, y en todo caso deberán protegerse los derechos de las víctimas de dichas violaciones</w:t>
      </w:r>
      <w:r>
        <w:rPr>
          <w:rFonts w:ascii="Verdana" w:hAnsi="Verdana" w:cs="Arial"/>
          <w:sz w:val="12"/>
          <w:szCs w:val="12"/>
        </w:rPr>
        <w:t>”</w:t>
      </w:r>
      <w:r w:rsidRPr="003B003F">
        <w:rPr>
          <w:rFonts w:ascii="Verdana" w:hAnsi="Verdana" w:cs="Arial"/>
          <w:sz w:val="12"/>
          <w:szCs w:val="12"/>
        </w:rPr>
        <w:t>.</w:t>
      </w:r>
    </w:p>
  </w:footnote>
  <w:footnote w:id="8">
    <w:p w14:paraId="1F34FBBF" w14:textId="77777777" w:rsidR="00A83E4F" w:rsidRPr="003B003F" w:rsidRDefault="00A83E4F" w:rsidP="00A83E4F">
      <w:pPr>
        <w:pStyle w:val="Textonotapie"/>
        <w:ind w:firstLine="708"/>
        <w:jc w:val="both"/>
        <w:rPr>
          <w:rFonts w:ascii="Verdana" w:hAnsi="Verdana" w:cs="Arial"/>
          <w:sz w:val="12"/>
          <w:szCs w:val="12"/>
        </w:rPr>
      </w:pPr>
      <w:r w:rsidRPr="003B003F">
        <w:rPr>
          <w:rStyle w:val="Refdenotaalpie"/>
          <w:rFonts w:ascii="Verdana" w:hAnsi="Verdana" w:cs="Arial"/>
          <w:sz w:val="12"/>
          <w:szCs w:val="12"/>
        </w:rPr>
        <w:footnoteRef/>
      </w:r>
      <w:r w:rsidRPr="003B003F">
        <w:rPr>
          <w:rFonts w:ascii="Verdana" w:hAnsi="Verdana" w:cs="Arial"/>
          <w:sz w:val="12"/>
          <w:szCs w:val="12"/>
        </w:rPr>
        <w:t xml:space="preserve"> Ley 1712 de 2014. </w:t>
      </w:r>
      <w:r>
        <w:rPr>
          <w:rFonts w:ascii="Verdana" w:hAnsi="Verdana" w:cs="Arial"/>
          <w:sz w:val="12"/>
          <w:szCs w:val="12"/>
        </w:rPr>
        <w:t>“</w:t>
      </w:r>
      <w:r w:rsidRPr="003B003F">
        <w:rPr>
          <w:rFonts w:ascii="Verdana" w:hAnsi="Verdana" w:cs="Arial"/>
          <w:sz w:val="12"/>
          <w:szCs w:val="12"/>
        </w:rPr>
        <w:t>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4EAA8622" w14:textId="77777777" w:rsidR="00A83E4F" w:rsidRPr="008853DD" w:rsidRDefault="00A83E4F" w:rsidP="00A83E4F">
      <w:pPr>
        <w:pStyle w:val="Textonotapie"/>
        <w:ind w:firstLine="708"/>
        <w:jc w:val="both"/>
        <w:rPr>
          <w:rFonts w:ascii="Verdana" w:hAnsi="Verdana" w:cs="Arial"/>
          <w:sz w:val="8"/>
          <w:szCs w:val="8"/>
        </w:rPr>
      </w:pPr>
      <w:r w:rsidRPr="003B003F">
        <w:rPr>
          <w:rFonts w:ascii="Verdana" w:hAnsi="Verdana" w:cs="Arial"/>
          <w:sz w:val="12"/>
          <w:szCs w:val="12"/>
        </w:rPr>
        <w:t>a) La defensa y seguridad nacional;</w:t>
      </w:r>
      <w:r>
        <w:rPr>
          <w:rFonts w:ascii="Verdana" w:hAnsi="Verdana" w:cs="Arial"/>
          <w:sz w:val="8"/>
          <w:szCs w:val="8"/>
        </w:rPr>
        <w:t>”.</w:t>
      </w:r>
    </w:p>
    <w:p w14:paraId="7EE8A595" w14:textId="77777777" w:rsidR="00A83E4F" w:rsidRPr="003B003F" w:rsidRDefault="00A83E4F" w:rsidP="00A83E4F">
      <w:pPr>
        <w:pStyle w:val="Textonotapie"/>
        <w:ind w:firstLine="708"/>
        <w:jc w:val="both"/>
        <w:rPr>
          <w:rFonts w:ascii="Verdana" w:hAnsi="Verdana" w:cs="Arial"/>
          <w:sz w:val="12"/>
          <w:szCs w:val="12"/>
        </w:rPr>
      </w:pPr>
      <w:r w:rsidRPr="003B003F">
        <w:rPr>
          <w:rFonts w:ascii="Verdana" w:hAnsi="Verdana" w:cs="Arial"/>
          <w:sz w:val="12"/>
          <w:szCs w:val="12"/>
        </w:rPr>
        <w:t xml:space="preserve">De otro lado, el artículo 24 de la Ley 1437 de 2011, sustituido por la Ley 1755 de 2015 establece: </w:t>
      </w:r>
      <w:r>
        <w:rPr>
          <w:rFonts w:ascii="Verdana" w:hAnsi="Verdana" w:cs="Arial"/>
          <w:sz w:val="12"/>
          <w:szCs w:val="12"/>
        </w:rPr>
        <w:t>“</w:t>
      </w:r>
      <w:r w:rsidRPr="003B003F">
        <w:rPr>
          <w:rFonts w:ascii="Verdana" w:hAnsi="Verdana" w:cs="Arial"/>
          <w:sz w:val="12"/>
          <w:szCs w:val="12"/>
        </w:rPr>
        <w:t>Artículo 24. Informaciones y documentos reservados. Solo tendrán carácter reservado las informaciones y documentos expresamente sometidos a reserva por la Constitución Política o la ley, y en especial:</w:t>
      </w:r>
    </w:p>
    <w:p w14:paraId="3E254029" w14:textId="77777777" w:rsidR="00A83E4F" w:rsidRPr="003B003F" w:rsidRDefault="00A83E4F" w:rsidP="00A83E4F">
      <w:pPr>
        <w:pStyle w:val="Textonotapie"/>
        <w:ind w:firstLine="708"/>
        <w:jc w:val="both"/>
        <w:rPr>
          <w:rFonts w:ascii="Verdana" w:hAnsi="Verdana" w:cs="Arial"/>
          <w:sz w:val="12"/>
          <w:szCs w:val="12"/>
        </w:rPr>
      </w:pPr>
      <w:r w:rsidRPr="003B003F">
        <w:rPr>
          <w:rFonts w:ascii="Verdana" w:hAnsi="Verdana" w:cs="Arial"/>
          <w:sz w:val="12"/>
          <w:szCs w:val="12"/>
        </w:rPr>
        <w:t>1. Los relacionados con la defensa o seguridad nacionales</w:t>
      </w:r>
      <w:r>
        <w:rPr>
          <w:rFonts w:ascii="Verdana" w:hAnsi="Verdana" w:cs="Arial"/>
          <w:sz w:val="12"/>
          <w:szCs w:val="12"/>
        </w:rPr>
        <w:t>”</w:t>
      </w:r>
      <w:r w:rsidRPr="003B003F">
        <w:rPr>
          <w:rFonts w:ascii="Verdana" w:hAnsi="Verdana" w:cs="Arial"/>
          <w:sz w:val="12"/>
          <w:szCs w:val="12"/>
        </w:rPr>
        <w:t>.</w:t>
      </w:r>
    </w:p>
    <w:p w14:paraId="361B48A0" w14:textId="77777777" w:rsidR="00A83E4F" w:rsidRPr="003B003F" w:rsidRDefault="00A83E4F" w:rsidP="00A83E4F">
      <w:pPr>
        <w:pStyle w:val="Textonotapie"/>
        <w:ind w:firstLine="708"/>
        <w:jc w:val="both"/>
        <w:rPr>
          <w:rFonts w:ascii="Verdana" w:hAnsi="Verdana" w:cs="Arial"/>
          <w:sz w:val="12"/>
          <w:szCs w:val="1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F2E6" w14:textId="77777777" w:rsidR="00420AB2" w:rsidRDefault="00420AB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851457E" wp14:editId="10E3CF5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E94F00E" wp14:editId="02CA013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51C340D" w14:textId="77777777" w:rsidR="00420AB2" w:rsidRDefault="00420AB2">
    <w:pPr>
      <w:pStyle w:val="Encabezado"/>
    </w:pPr>
  </w:p>
  <w:p w14:paraId="6605B009" w14:textId="77777777" w:rsidR="00420AB2" w:rsidRDefault="00420AB2" w:rsidP="004A305D">
    <w:pPr>
      <w:spacing w:after="0"/>
      <w:rPr>
        <w:rFonts w:ascii="Verdana" w:hAnsi="Verdana"/>
        <w:b/>
        <w:bCs/>
      </w:rPr>
    </w:pPr>
  </w:p>
  <w:p w14:paraId="033F36E5" w14:textId="77777777" w:rsidR="00420AB2" w:rsidRPr="00DC39FC" w:rsidRDefault="00420AB2" w:rsidP="004A305D">
    <w:pPr>
      <w:spacing w:after="0"/>
      <w:rPr>
        <w:rFonts w:ascii="Verdana" w:hAnsi="Verdana"/>
        <w:b/>
        <w:bCs/>
      </w:rPr>
    </w:pPr>
    <w:r w:rsidRPr="00DC39FC">
      <w:rPr>
        <w:rFonts w:ascii="Verdana" w:hAnsi="Verdana"/>
        <w:b/>
        <w:bCs/>
      </w:rPr>
      <w:t>FORMATO PQRSD</w:t>
    </w:r>
  </w:p>
  <w:p w14:paraId="2B2998B4" w14:textId="77777777" w:rsidR="00420AB2" w:rsidRPr="004A305D" w:rsidRDefault="00420AB2" w:rsidP="00B01B1A">
    <w:pPr>
      <w:spacing w:after="0" w:line="120" w:lineRule="auto"/>
      <w:rPr>
        <w:rFonts w:ascii="Century Gothic" w:eastAsia="Geo" w:hAnsi="Century Gothic" w:cs="Geo"/>
        <w:sz w:val="16"/>
        <w:szCs w:val="16"/>
        <w:lang w:eastAsia="es-CO"/>
      </w:rPr>
    </w:pPr>
  </w:p>
  <w:p w14:paraId="75D3FCFE" w14:textId="77777777" w:rsidR="00420AB2" w:rsidRDefault="00420AB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7639"/>
    <w:multiLevelType w:val="multilevel"/>
    <w:tmpl w:val="93EE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4F"/>
    <w:rsid w:val="0008619A"/>
    <w:rsid w:val="001601F7"/>
    <w:rsid w:val="00292BA8"/>
    <w:rsid w:val="00420AB2"/>
    <w:rsid w:val="005727E1"/>
    <w:rsid w:val="005818E2"/>
    <w:rsid w:val="008E5C2E"/>
    <w:rsid w:val="00903098"/>
    <w:rsid w:val="00A83E4F"/>
    <w:rsid w:val="00C74A4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3CE2"/>
  <w15:chartTrackingRefBased/>
  <w15:docId w15:val="{8F35C9B2-C0DE-4DB2-B0B5-CCBEC414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4F"/>
    <w:rPr>
      <w:kern w:val="0"/>
      <w14:ligatures w14:val="none"/>
    </w:rPr>
  </w:style>
  <w:style w:type="paragraph" w:styleId="Ttulo1">
    <w:name w:val="heading 1"/>
    <w:basedOn w:val="Normal"/>
    <w:next w:val="Normal"/>
    <w:link w:val="Ttulo1Car"/>
    <w:uiPriority w:val="9"/>
    <w:qFormat/>
    <w:rsid w:val="00A83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3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3E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3E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3E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3E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3E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3E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3E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3E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3E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3E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3E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3E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3E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3E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3E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3E4F"/>
    <w:rPr>
      <w:rFonts w:eastAsiaTheme="majorEastAsia" w:cstheme="majorBidi"/>
      <w:color w:val="272727" w:themeColor="text1" w:themeTint="D8"/>
    </w:rPr>
  </w:style>
  <w:style w:type="paragraph" w:styleId="Ttulo">
    <w:name w:val="Title"/>
    <w:basedOn w:val="Normal"/>
    <w:next w:val="Normal"/>
    <w:link w:val="TtuloCar"/>
    <w:uiPriority w:val="10"/>
    <w:qFormat/>
    <w:rsid w:val="00A83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3E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3E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3E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3E4F"/>
    <w:pPr>
      <w:spacing w:before="160"/>
      <w:jc w:val="center"/>
    </w:pPr>
    <w:rPr>
      <w:i/>
      <w:iCs/>
      <w:color w:val="404040" w:themeColor="text1" w:themeTint="BF"/>
    </w:rPr>
  </w:style>
  <w:style w:type="character" w:customStyle="1" w:styleId="CitaCar">
    <w:name w:val="Cita Car"/>
    <w:basedOn w:val="Fuentedeprrafopredeter"/>
    <w:link w:val="Cita"/>
    <w:uiPriority w:val="29"/>
    <w:rsid w:val="00A83E4F"/>
    <w:rPr>
      <w:i/>
      <w:iCs/>
      <w:color w:val="404040" w:themeColor="text1" w:themeTint="BF"/>
    </w:rPr>
  </w:style>
  <w:style w:type="paragraph" w:styleId="Prrafodelista">
    <w:name w:val="List Paragraph"/>
    <w:basedOn w:val="Normal"/>
    <w:uiPriority w:val="34"/>
    <w:qFormat/>
    <w:rsid w:val="00A83E4F"/>
    <w:pPr>
      <w:ind w:left="720"/>
      <w:contextualSpacing/>
    </w:pPr>
  </w:style>
  <w:style w:type="character" w:styleId="nfasisintenso">
    <w:name w:val="Intense Emphasis"/>
    <w:basedOn w:val="Fuentedeprrafopredeter"/>
    <w:uiPriority w:val="21"/>
    <w:qFormat/>
    <w:rsid w:val="00A83E4F"/>
    <w:rPr>
      <w:i/>
      <w:iCs/>
      <w:color w:val="0F4761" w:themeColor="accent1" w:themeShade="BF"/>
    </w:rPr>
  </w:style>
  <w:style w:type="paragraph" w:styleId="Citadestacada">
    <w:name w:val="Intense Quote"/>
    <w:basedOn w:val="Normal"/>
    <w:next w:val="Normal"/>
    <w:link w:val="CitadestacadaCar"/>
    <w:uiPriority w:val="30"/>
    <w:qFormat/>
    <w:rsid w:val="00A83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3E4F"/>
    <w:rPr>
      <w:i/>
      <w:iCs/>
      <w:color w:val="0F4761" w:themeColor="accent1" w:themeShade="BF"/>
    </w:rPr>
  </w:style>
  <w:style w:type="character" w:styleId="Referenciaintensa">
    <w:name w:val="Intense Reference"/>
    <w:basedOn w:val="Fuentedeprrafopredeter"/>
    <w:uiPriority w:val="32"/>
    <w:qFormat/>
    <w:rsid w:val="00A83E4F"/>
    <w:rPr>
      <w:b/>
      <w:bCs/>
      <w:smallCaps/>
      <w:color w:val="0F4761" w:themeColor="accent1" w:themeShade="BF"/>
      <w:spacing w:val="5"/>
    </w:rPr>
  </w:style>
  <w:style w:type="paragraph" w:styleId="Encabezado">
    <w:name w:val="header"/>
    <w:basedOn w:val="Normal"/>
    <w:link w:val="EncabezadoCar"/>
    <w:uiPriority w:val="99"/>
    <w:unhideWhenUsed/>
    <w:rsid w:val="00A83E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E4F"/>
    <w:rPr>
      <w:kern w:val="0"/>
      <w14:ligatures w14:val="none"/>
    </w:rPr>
  </w:style>
  <w:style w:type="paragraph" w:styleId="Piedepgina">
    <w:name w:val="footer"/>
    <w:basedOn w:val="Normal"/>
    <w:link w:val="PiedepginaCar"/>
    <w:uiPriority w:val="99"/>
    <w:unhideWhenUsed/>
    <w:rsid w:val="00A83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E4F"/>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83E4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A83E4F"/>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A83E4F"/>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83E4F"/>
    <w:rPr>
      <w:vertAlign w:val="superscript"/>
    </w:rPr>
  </w:style>
  <w:style w:type="table" w:styleId="Tablaconcuadrcula">
    <w:name w:val="Table Grid"/>
    <w:basedOn w:val="Tablanormal"/>
    <w:uiPriority w:val="39"/>
    <w:qFormat/>
    <w:rsid w:val="00A83E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83E4F"/>
    <w:pPr>
      <w:spacing w:line="240" w:lineRule="exact"/>
    </w:pPr>
    <w:rPr>
      <w:kern w:val="2"/>
      <w:vertAlign w:val="superscript"/>
      <w14:ligatures w14:val="standardContextual"/>
    </w:rPr>
  </w:style>
  <w:style w:type="table" w:customStyle="1" w:styleId="Tablaconcuadrcula11">
    <w:name w:val="Tabla con cuadrícula11"/>
    <w:basedOn w:val="Tablanormal"/>
    <w:next w:val="Tablaconcuadrcula"/>
    <w:uiPriority w:val="59"/>
    <w:qFormat/>
    <w:rsid w:val="00A83E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nasly.mosquera%40colombiacompra.gov.co%7C6192b0470d324981a09708dd0a6c28db%7C7b09041e245149d08cb179d5e3d8c1be%7C0%7C0%7C638678181871504615%7CUnknown%7CTWFpbGZsb3d8eyJFbXB0eU1hcGkiOnRydWUsIlYiOiIwLjAuMDAwMCIsIlAiOiJXaW4zMiIsIkFOIjoiTWFpbCIsIldUIjoyfQ%3D%3D%7C0%7C%7C%7C&amp;sdata=PZ4Q9UmFuWHyzXNxvljfxpaa%2F7anMTziVh%2FF0lPERu8%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nasly.mosquera%40colombiacompra.gov.co%7C6192b0470d324981a09708dd0a6c28db%7C7b09041e245149d08cb179d5e3d8c1be%7C0%7C0%7C638678181871561850%7CUnknown%7CTWFpbGZsb3d8eyJFbXB0eU1hcGkiOnRydWUsIlYiOiIwLjAuMDAwMCIsIlAiOiJXaW4zMiIsIkFOIjoiTWFpbCIsIldUIjoyfQ%3D%3D%7C0%7C%7C%7C&amp;sdata=d8njxlfTQkXpB8bcjKJcjmmAbbvqPKMstwOAPJnVrX4%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rolciudadanoporelcambio@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9201&amp;data=05%7C02%7Cnasly.mosquera%40colombiacompra.gov.co%7C6192b0470d324981a09708dd0a6c28db%7C7b09041e245149d08cb179d5e3d8c1be%7C0%7C0%7C638678181871544398%7CUnknown%7CTWFpbGZsb3d8eyJFbXB0eU1hcGkiOnRydWUsIlYiOiIwLjAuMDAwMCIsIlAiOiJXaW4zMiIsIkFOIjoiTWFpbCIsIldUIjoyfQ%3D%3D%7C0%7C%7C%7C&amp;sdata=CFBFMd%2FvDbztxCgzK10MgR3BqR83Ho2SvsuIMOjmqco%3D&amp;reserved=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convocatorias&amp;data=05%7C02%7Cnasly.mosquera%40colombiacompra.gov.co%7C6192b0470d324981a09708dd0a6c28db%7C7b09041e245149d08cb179d5e3d8c1be%7C0%7C0%7C638678181871526809%7CUnknown%7CTWFpbGZsb3d8eyJFbXB0eU1hcGkiOnRydWUsIlYiOiIwLjAuMDAwMCIsIlAiOiJXaW4zMiIsIkFOIjoiTWFpbCIsIldUIjoyfQ%3D%3D%7C0%7C%7C%7C&amp;sdata=GLl%2Fg9s4VqXjfSH9dwXMxGRU8K9eL2nr7qHoRbgPJdk%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40F9FE-D704-4EAC-9DCD-CB0B21DD70B9}">
  <ds:schemaRefs>
    <ds:schemaRef ds:uri="http://schemas.microsoft.com/sharepoint/v3/contenttype/forms"/>
  </ds:schemaRefs>
</ds:datastoreItem>
</file>

<file path=customXml/itemProps2.xml><?xml version="1.0" encoding="utf-8"?>
<ds:datastoreItem xmlns:ds="http://schemas.openxmlformats.org/officeDocument/2006/customXml" ds:itemID="{C8587154-6B28-49CA-BE52-38237A1D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29AA5-8181-482C-8846-1AB4B6335779}">
  <ds:schemaRefs>
    <ds:schemaRef ds:uri="http://schemas.microsoft.com/office/2006/documentManagement/types"/>
    <ds:schemaRef ds:uri="http://schemas.microsoft.com/office/2006/metadata/properties"/>
    <ds:schemaRef ds:uri="http://purl.org/dc/elements/1.1/"/>
    <ds:schemaRef ds:uri="9d85dbaf-23eb-4e57-a637-93dcacc8b1a1"/>
    <ds:schemaRef ds:uri="http://schemas.openxmlformats.org/package/2006/metadata/core-properties"/>
    <ds:schemaRef ds:uri="http://schemas.microsoft.com/office/infopath/2007/PartnerControls"/>
    <ds:schemaRef ds:uri="http://purl.org/dc/term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5145</Words>
  <Characters>28300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cp:lastModifiedBy>
  <cp:revision>2</cp:revision>
  <dcterms:created xsi:type="dcterms:W3CDTF">2024-12-10T20:22:00Z</dcterms:created>
  <dcterms:modified xsi:type="dcterms:W3CDTF">2024-12-10T20:22:00Z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