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5C216" w14:textId="77777777" w:rsidR="00BE1120" w:rsidRPr="00AF1555" w:rsidRDefault="00BE1120" w:rsidP="00BE1120">
      <w:pPr>
        <w:tabs>
          <w:tab w:val="left" w:pos="709"/>
        </w:tabs>
        <w:spacing w:after="0" w:line="240" w:lineRule="auto"/>
        <w:jc w:val="both"/>
        <w:rPr>
          <w:rFonts w:ascii="Verdana" w:eastAsia="Calibri" w:hAnsi="Verdana" w:cs="Arial"/>
          <w:bCs/>
          <w:sz w:val="20"/>
          <w:szCs w:val="20"/>
          <w:lang w:val="es-ES_tradnl" w:eastAsia="es-ES_tradnl"/>
        </w:rPr>
      </w:pPr>
    </w:p>
    <w:p w14:paraId="61B3C033" w14:textId="77777777" w:rsidR="00BE1120" w:rsidRPr="00AF1555" w:rsidRDefault="00BE1120" w:rsidP="00BE1120">
      <w:pPr>
        <w:spacing w:after="0" w:line="240" w:lineRule="auto"/>
        <w:jc w:val="both"/>
        <w:rPr>
          <w:rFonts w:ascii="Verdana" w:eastAsia="Calibri" w:hAnsi="Verdana" w:cs="Arial"/>
          <w:b/>
          <w:color w:val="000000" w:themeColor="text1"/>
          <w:lang w:val="es-ES"/>
        </w:rPr>
      </w:pPr>
      <w:r w:rsidRPr="00E95799">
        <w:rPr>
          <w:rFonts w:ascii="Verdana" w:eastAsia="Calibri" w:hAnsi="Verdana" w:cs="Arial"/>
          <w:b/>
          <w:color w:val="000000" w:themeColor="text1"/>
          <w:lang w:val="es-ES"/>
        </w:rPr>
        <w:t>LIQUIDACIÓN – Definición – Objetivo</w:t>
      </w:r>
      <w:r w:rsidRPr="00AF1555">
        <w:rPr>
          <w:rFonts w:ascii="Verdana" w:eastAsia="Calibri" w:hAnsi="Verdana" w:cs="Arial"/>
          <w:b/>
          <w:color w:val="000000" w:themeColor="text1"/>
          <w:lang w:val="es-ES"/>
        </w:rPr>
        <w:t xml:space="preserve"> </w:t>
      </w:r>
    </w:p>
    <w:p w14:paraId="47E14842" w14:textId="77777777" w:rsidR="00BE1120" w:rsidRPr="00AF1555" w:rsidRDefault="00BE1120" w:rsidP="00BE1120">
      <w:pPr>
        <w:spacing w:after="0" w:line="240" w:lineRule="auto"/>
        <w:jc w:val="both"/>
        <w:rPr>
          <w:rFonts w:ascii="Verdana" w:eastAsia="Calibri" w:hAnsi="Verdana" w:cs="Arial"/>
          <w:bCs/>
          <w:color w:val="000000" w:themeColor="text1"/>
          <w:sz w:val="20"/>
          <w:szCs w:val="20"/>
          <w:lang w:val="es-ES"/>
        </w:rPr>
      </w:pPr>
    </w:p>
    <w:p w14:paraId="289DDCC0" w14:textId="77777777" w:rsidR="00BE1120" w:rsidRPr="00AF1555" w:rsidRDefault="00BE1120" w:rsidP="00BE1120">
      <w:pPr>
        <w:spacing w:after="0" w:line="240" w:lineRule="auto"/>
        <w:jc w:val="both"/>
        <w:rPr>
          <w:rFonts w:ascii="Verdana" w:eastAsia="Calibri" w:hAnsi="Verdana" w:cs="Arial"/>
          <w:color w:val="000000" w:themeColor="text1"/>
          <w:sz w:val="20"/>
          <w:szCs w:val="20"/>
          <w:lang w:val="es-ES_tradnl"/>
        </w:rPr>
      </w:pPr>
      <w:r>
        <w:rPr>
          <w:rFonts w:ascii="Verdana" w:eastAsia="Calibri" w:hAnsi="Verdana" w:cs="Arial"/>
          <w:color w:val="000000" w:themeColor="text1"/>
          <w:sz w:val="20"/>
          <w:szCs w:val="20"/>
          <w:lang w:val="es-ES_tradnl" w:eastAsia="es-ES_tradnl"/>
        </w:rPr>
        <w:t>L</w:t>
      </w:r>
      <w:r w:rsidRPr="00E95799">
        <w:rPr>
          <w:rFonts w:ascii="Verdana" w:eastAsia="Calibri" w:hAnsi="Verdana" w:cs="Arial"/>
          <w:color w:val="000000" w:themeColor="text1"/>
          <w:sz w:val="20"/>
          <w:szCs w:val="20"/>
          <w:lang w:val="es-ES_tradnl" w:eastAsia="es-ES_tradnl"/>
        </w:rPr>
        <w:t>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liquidar supone un ajuste en relación con las cuentas y el estado de cumplimiento del contrato estatal y, por el otro, que la liquidación debe incluir el análisis de las condiciones de calidad y oportunidad en la entrega de los bienes, obras o servicios, así como el balance económico y el comportamiento financiero del negocio</w:t>
      </w:r>
      <w:r w:rsidRPr="00AF1555">
        <w:rPr>
          <w:rFonts w:ascii="Verdana" w:eastAsia="Calibri" w:hAnsi="Verdana" w:cs="Arial"/>
          <w:color w:val="000000" w:themeColor="text1"/>
          <w:sz w:val="20"/>
          <w:szCs w:val="20"/>
          <w:lang w:val="es-ES_tradnl"/>
        </w:rPr>
        <w:t>.</w:t>
      </w:r>
    </w:p>
    <w:p w14:paraId="4B2A843F" w14:textId="77777777" w:rsidR="00BE1120" w:rsidRPr="00AF1555" w:rsidRDefault="00BE1120" w:rsidP="00BE1120">
      <w:pPr>
        <w:spacing w:after="0" w:line="240" w:lineRule="auto"/>
        <w:rPr>
          <w:rFonts w:ascii="Verdana" w:eastAsia="Geomanist Light" w:hAnsi="Verdana" w:cs="Arial"/>
          <w:color w:val="000000" w:themeColor="text1"/>
          <w:sz w:val="20"/>
          <w:szCs w:val="20"/>
          <w:lang w:val="es-ES_tradnl"/>
        </w:rPr>
      </w:pPr>
    </w:p>
    <w:p w14:paraId="39203E34" w14:textId="77777777" w:rsidR="00BE1120" w:rsidRPr="00AF1555" w:rsidRDefault="00BE1120" w:rsidP="00BE1120">
      <w:pPr>
        <w:spacing w:after="0" w:line="240" w:lineRule="auto"/>
        <w:jc w:val="both"/>
        <w:rPr>
          <w:rFonts w:ascii="Verdana" w:eastAsia="Calibri" w:hAnsi="Verdana" w:cs="Arial"/>
          <w:b/>
          <w:lang w:val="es-ES"/>
        </w:rPr>
      </w:pPr>
      <w:r w:rsidRPr="00E95799">
        <w:rPr>
          <w:rFonts w:ascii="Verdana" w:eastAsia="Calibri" w:hAnsi="Verdana" w:cs="Arial"/>
          <w:b/>
          <w:lang w:val="es-ES"/>
        </w:rPr>
        <w:t>LIQUIDACIÓN</w:t>
      </w:r>
      <w:r>
        <w:rPr>
          <w:rFonts w:ascii="Verdana" w:eastAsia="Calibri" w:hAnsi="Verdana" w:cs="Arial"/>
          <w:b/>
          <w:lang w:val="es-ES"/>
        </w:rPr>
        <w:t xml:space="preserve"> </w:t>
      </w:r>
      <w:r w:rsidRPr="00E95799">
        <w:rPr>
          <w:rFonts w:ascii="Verdana" w:eastAsia="Calibri" w:hAnsi="Verdana" w:cs="Arial"/>
          <w:b/>
          <w:lang w:val="es-ES"/>
        </w:rPr>
        <w:t>– Normativa – Oportunidad</w:t>
      </w:r>
    </w:p>
    <w:p w14:paraId="24FF1826" w14:textId="77777777" w:rsidR="00BE1120" w:rsidRPr="00AF1555" w:rsidRDefault="00BE1120" w:rsidP="00BE1120">
      <w:pPr>
        <w:spacing w:after="0" w:line="240" w:lineRule="auto"/>
        <w:jc w:val="both"/>
        <w:rPr>
          <w:rFonts w:ascii="Verdana" w:eastAsia="Calibri" w:hAnsi="Verdana" w:cs="Arial"/>
          <w:b/>
          <w:sz w:val="20"/>
          <w:szCs w:val="20"/>
          <w:lang w:val="es-ES"/>
        </w:rPr>
      </w:pPr>
    </w:p>
    <w:p w14:paraId="694E39AD" w14:textId="77777777" w:rsidR="00BE1120" w:rsidRPr="00E95799" w:rsidRDefault="00BE1120" w:rsidP="00BE1120">
      <w:pPr>
        <w:spacing w:after="0" w:line="240" w:lineRule="auto"/>
        <w:jc w:val="both"/>
        <w:rPr>
          <w:rFonts w:ascii="Verdana" w:eastAsia="Calibri" w:hAnsi="Verdana" w:cs="Arial"/>
          <w:bCs/>
          <w:sz w:val="20"/>
          <w:szCs w:val="20"/>
          <w:lang w:val="es-ES"/>
        </w:rPr>
      </w:pPr>
      <w:r w:rsidRPr="00E95799">
        <w:rPr>
          <w:rFonts w:ascii="Verdana" w:eastAsia="Calibri" w:hAnsi="Verdana" w:cs="Arial"/>
          <w:bCs/>
          <w:sz w:val="20"/>
          <w:szCs w:val="20"/>
          <w:lang w:val="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w:t>
      </w:r>
    </w:p>
    <w:p w14:paraId="790793CF" w14:textId="77777777" w:rsidR="00BE1120" w:rsidRDefault="00BE1120" w:rsidP="00BE1120">
      <w:pPr>
        <w:spacing w:after="0" w:line="240" w:lineRule="auto"/>
        <w:jc w:val="both"/>
        <w:rPr>
          <w:rFonts w:ascii="Verdana" w:eastAsia="Calibri" w:hAnsi="Verdana" w:cs="Arial"/>
          <w:bCs/>
          <w:sz w:val="20"/>
          <w:szCs w:val="20"/>
          <w:lang w:val="es-ES"/>
        </w:rPr>
      </w:pPr>
      <w:r>
        <w:rPr>
          <w:rFonts w:ascii="Verdana" w:eastAsia="Calibri" w:hAnsi="Verdana" w:cs="Arial"/>
          <w:bCs/>
          <w:sz w:val="20"/>
          <w:szCs w:val="20"/>
          <w:lang w:val="es-ES"/>
        </w:rPr>
        <w:t>[</w:t>
      </w:r>
      <w:r w:rsidRPr="00E95799">
        <w:rPr>
          <w:rFonts w:ascii="Verdana" w:eastAsia="Calibri" w:hAnsi="Verdana" w:cs="Arial"/>
          <w:bCs/>
          <w:sz w:val="20"/>
          <w:szCs w:val="20"/>
          <w:lang w:val="es-ES"/>
        </w:rPr>
        <w:t>…</w:t>
      </w:r>
      <w:r>
        <w:rPr>
          <w:rFonts w:ascii="Verdana" w:eastAsia="Calibri" w:hAnsi="Verdana" w:cs="Arial"/>
          <w:bCs/>
          <w:sz w:val="20"/>
          <w:szCs w:val="20"/>
          <w:lang w:val="es-ES"/>
        </w:rPr>
        <w:t>]</w:t>
      </w:r>
    </w:p>
    <w:p w14:paraId="32BE76F8" w14:textId="77777777" w:rsidR="00BE1120" w:rsidRPr="00E95799" w:rsidRDefault="00BE1120" w:rsidP="00BE1120">
      <w:pPr>
        <w:spacing w:after="0" w:line="240" w:lineRule="auto"/>
        <w:jc w:val="both"/>
        <w:rPr>
          <w:rFonts w:ascii="Verdana" w:eastAsia="Calibri" w:hAnsi="Verdana" w:cs="Arial"/>
          <w:bCs/>
          <w:sz w:val="20"/>
          <w:szCs w:val="20"/>
          <w:lang w:val="es-ES"/>
        </w:rPr>
      </w:pPr>
    </w:p>
    <w:p w14:paraId="4FE6CADB" w14:textId="77777777" w:rsidR="00BE1120" w:rsidRPr="00AF1555" w:rsidRDefault="00BE1120" w:rsidP="00BE1120">
      <w:pPr>
        <w:spacing w:after="0" w:line="240" w:lineRule="auto"/>
        <w:jc w:val="both"/>
        <w:rPr>
          <w:rFonts w:ascii="Verdana" w:eastAsia="Calibri" w:hAnsi="Verdana" w:cs="Arial"/>
          <w:color w:val="000000"/>
          <w:sz w:val="20"/>
          <w:szCs w:val="20"/>
          <w:lang w:val="es-ES_tradnl"/>
        </w:rPr>
      </w:pPr>
      <w:r w:rsidRPr="00E95799">
        <w:rPr>
          <w:rFonts w:ascii="Verdana" w:eastAsia="Calibri" w:hAnsi="Verdana" w:cs="Arial"/>
          <w:bCs/>
          <w:sz w:val="20"/>
          <w:szCs w:val="20"/>
          <w:lang w:val="es-ES"/>
        </w:rPr>
        <w:t>Por tanto, si se trata de un contrato en el cual no existe pacto sobre el término para la liquidación bilateral, el término supletivo aplicaría, y se podría liquidar el contrato dentro de los 4 meses siguientes a la terminación del contrato,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r w:rsidRPr="00AF1555">
        <w:rPr>
          <w:rFonts w:ascii="Verdana" w:eastAsia="Calibri" w:hAnsi="Verdana" w:cs="Arial"/>
          <w:color w:val="000000"/>
          <w:sz w:val="20"/>
          <w:szCs w:val="20"/>
          <w:lang w:val="es-ES_tradnl"/>
        </w:rPr>
        <w:t>.</w:t>
      </w:r>
    </w:p>
    <w:p w14:paraId="64010754" w14:textId="77777777" w:rsidR="00BE1120" w:rsidRPr="00AF1555" w:rsidRDefault="00BE1120" w:rsidP="00BE1120">
      <w:pPr>
        <w:spacing w:after="0" w:line="240" w:lineRule="auto"/>
        <w:rPr>
          <w:rFonts w:ascii="Verdana" w:eastAsia="Geomanist Light" w:hAnsi="Verdana" w:cs="Arial"/>
          <w:color w:val="000000" w:themeColor="text1"/>
          <w:sz w:val="20"/>
          <w:szCs w:val="20"/>
          <w:lang w:val="es-ES_tradnl"/>
        </w:rPr>
      </w:pPr>
    </w:p>
    <w:p w14:paraId="1682FE34" w14:textId="77777777" w:rsidR="00BE1120" w:rsidRPr="00AF1555" w:rsidRDefault="00BE1120" w:rsidP="00BE1120">
      <w:pPr>
        <w:tabs>
          <w:tab w:val="left" w:pos="426"/>
        </w:tabs>
        <w:spacing w:after="0" w:line="240" w:lineRule="auto"/>
        <w:jc w:val="both"/>
        <w:rPr>
          <w:rFonts w:ascii="Verdana" w:hAnsi="Verdana" w:cs="Arial"/>
          <w:b/>
          <w:lang w:eastAsia="es-CO"/>
        </w:rPr>
      </w:pPr>
      <w:r>
        <w:rPr>
          <w:rFonts w:ascii="Verdana" w:hAnsi="Verdana" w:cs="Arial"/>
          <w:b/>
          <w:lang w:val="es-ES_tradnl" w:eastAsia="es-CO"/>
        </w:rPr>
        <w:t>RESTABLECIMIENTO DE LA ECUACIÓN ECONÓMICA</w:t>
      </w:r>
      <w:r>
        <w:rPr>
          <w:rFonts w:ascii="Verdana" w:hAnsi="Verdana" w:cs="Arial"/>
          <w:b/>
          <w:lang w:eastAsia="es-CO"/>
        </w:rPr>
        <w:t xml:space="preserve"> – Liquidación – Contenido – Limitaciones</w:t>
      </w:r>
      <w:r w:rsidRPr="00AF1555">
        <w:rPr>
          <w:rFonts w:ascii="Verdana" w:hAnsi="Verdana" w:cs="Arial"/>
          <w:b/>
          <w:lang w:eastAsia="es-CO"/>
        </w:rPr>
        <w:t xml:space="preserve">  </w:t>
      </w:r>
    </w:p>
    <w:p w14:paraId="3A5EDED1" w14:textId="77777777" w:rsidR="00BE1120" w:rsidRPr="00AF1555" w:rsidRDefault="00BE1120" w:rsidP="00BE1120">
      <w:pPr>
        <w:tabs>
          <w:tab w:val="left" w:pos="426"/>
        </w:tabs>
        <w:spacing w:after="0" w:line="240" w:lineRule="auto"/>
        <w:jc w:val="both"/>
        <w:rPr>
          <w:rFonts w:ascii="Verdana" w:hAnsi="Verdana" w:cs="Arial"/>
          <w:b/>
          <w:sz w:val="20"/>
          <w:szCs w:val="20"/>
          <w:lang w:eastAsia="es-CO"/>
        </w:rPr>
      </w:pPr>
    </w:p>
    <w:p w14:paraId="6496CE2B" w14:textId="77777777" w:rsidR="00BE1120" w:rsidRDefault="00BE1120" w:rsidP="00BE1120">
      <w:pPr>
        <w:spacing w:after="0" w:line="240" w:lineRule="auto"/>
        <w:jc w:val="both"/>
        <w:rPr>
          <w:rFonts w:ascii="Verdana" w:hAnsi="Verdana" w:cs="Arial"/>
          <w:bCs/>
          <w:lang w:eastAsia="es-CO"/>
        </w:rPr>
      </w:pPr>
      <w:r>
        <w:rPr>
          <w:rFonts w:ascii="Verdana" w:hAnsi="Verdana" w:cs="Arial"/>
          <w:bCs/>
          <w:lang w:eastAsia="es-CO"/>
        </w:rPr>
        <w:t>D</w:t>
      </w:r>
      <w:r w:rsidRPr="00980CEC">
        <w:rPr>
          <w:rFonts w:ascii="Verdana" w:hAnsi="Verdana" w:cs="Arial"/>
          <w:bCs/>
          <w:lang w:eastAsia="es-CO"/>
        </w:rPr>
        <w:t>e los incisos segundo y tercero del artículo 60 del EGCAP se desprende que en la liquidación “[…] las partes acordarán los ajustes, revisiones y reconocimientos a que haya lugar” y en ella “[…] constarán los acuerdos, conciliaciones y transacciones a que llegaren las partes para poner fin a las divergencias presentadas y poder declararse a paz y salvo”. Esto hace que la liquidación no sólo sea un mecanismo alternativo de solución de conflictos, sino también un medio para resolver asuntos relacionados con el desequilibrio económico del contrato. Sobre esta última faceta, la doctrina explica que la norma en comento consagra una posibilidad para que las entidades públicas garanticen el equilibrio económico si éste resultó afectado en la ejecución del negocio jurídico, así que la liquidación es el momento oportuno para resolver las diferencias existentes.</w:t>
      </w:r>
    </w:p>
    <w:p w14:paraId="08702416" w14:textId="77777777" w:rsidR="00BE1120" w:rsidRPr="00980CEC" w:rsidRDefault="00BE1120" w:rsidP="00BE1120">
      <w:pPr>
        <w:spacing w:after="0" w:line="240" w:lineRule="auto"/>
        <w:jc w:val="both"/>
        <w:rPr>
          <w:rFonts w:ascii="Verdana" w:hAnsi="Verdana" w:cs="Arial"/>
          <w:bCs/>
          <w:lang w:eastAsia="es-CO"/>
        </w:rPr>
      </w:pPr>
    </w:p>
    <w:p w14:paraId="51251903" w14:textId="77777777" w:rsidR="00BE1120" w:rsidRPr="003C1B7C" w:rsidRDefault="00BE1120" w:rsidP="00BE1120">
      <w:pPr>
        <w:spacing w:after="0" w:line="240" w:lineRule="auto"/>
        <w:jc w:val="both"/>
        <w:rPr>
          <w:rFonts w:ascii="Verdana" w:eastAsia="Geomanist Light" w:hAnsi="Verdana" w:cs="Arial"/>
          <w:color w:val="000000" w:themeColor="text1"/>
        </w:rPr>
      </w:pPr>
      <w:r w:rsidRPr="00980CEC">
        <w:rPr>
          <w:rFonts w:ascii="Verdana" w:hAnsi="Verdana" w:cs="Arial"/>
          <w:bCs/>
          <w:lang w:eastAsia="es-CO"/>
        </w:rPr>
        <w:t xml:space="preserve">No obstante, de acuerdo con la Sentencia de Unificación del 19 de noviembre de 2012 de la Sala Plena del Consejo de Estado, por regla general, no es posible </w:t>
      </w:r>
      <w:r w:rsidRPr="00980CEC">
        <w:rPr>
          <w:rFonts w:ascii="Verdana" w:hAnsi="Verdana" w:cs="Arial"/>
          <w:bCs/>
          <w:lang w:eastAsia="es-CO"/>
        </w:rPr>
        <w:lastRenderedPageBreak/>
        <w:t>solicitar reconocimientos económicos por la ejecución de obras extras o adicionales, sin la previa suscripción de un contrato adicional que las justifique. Esto en la medida que los artículos 39 y 41 del EGCAP disponen que los contratos estatales son solemnes y, por tanto, requieren formalidad escrita, salvo que se presente una situación de urgencia manifiesta. De cara al artículo 10 del CPACA, considerando las tres (3) excepciones contempladas en dicha sentencia, en la actualidad está limitada la posibilidad de reconocer en la liquidación actividades no incluidas dentro del contrato. Así, su pago no sólo está sujeto al soporte probatorio, sino que la decisión también debe armonizarse con la doctrina fijada por el máximo órgano de la jurisdicción contenciosa administrativa</w:t>
      </w:r>
      <w:r w:rsidRPr="003C1B7C">
        <w:rPr>
          <w:rFonts w:ascii="Verdana" w:eastAsia="Geomanist Light" w:hAnsi="Verdana" w:cs="Arial"/>
          <w:color w:val="000000" w:themeColor="text1"/>
        </w:rPr>
        <w:t>.</w:t>
      </w:r>
    </w:p>
    <w:p w14:paraId="173D6AB3" w14:textId="77777777" w:rsidR="00BE1120" w:rsidRPr="007D2590" w:rsidRDefault="00BE1120" w:rsidP="00BE1120">
      <w:pPr>
        <w:spacing w:after="0" w:line="240" w:lineRule="auto"/>
        <w:rPr>
          <w:rFonts w:ascii="Verdana" w:eastAsia="Geomanist Light" w:hAnsi="Verdana" w:cs="Arial"/>
          <w:color w:val="000000" w:themeColor="text1"/>
          <w:sz w:val="20"/>
          <w:szCs w:val="20"/>
        </w:rPr>
      </w:pPr>
    </w:p>
    <w:p w14:paraId="674ED58A" w14:textId="77777777" w:rsidR="00BE1120" w:rsidRDefault="00BE1120" w:rsidP="00C92EDD">
      <w:pPr>
        <w:spacing w:after="0" w:line="240" w:lineRule="auto"/>
        <w:rPr>
          <w:rFonts w:ascii="Verdana" w:eastAsia="Geomanist Light" w:hAnsi="Verdana" w:cs="Arial"/>
          <w:color w:val="000000" w:themeColor="text1"/>
        </w:rPr>
      </w:pPr>
    </w:p>
    <w:p w14:paraId="733E9D62" w14:textId="77777777" w:rsidR="00BE1120" w:rsidRDefault="00BE1120" w:rsidP="00C92EDD">
      <w:pPr>
        <w:spacing w:after="0" w:line="240" w:lineRule="auto"/>
        <w:rPr>
          <w:rFonts w:ascii="Verdana" w:eastAsia="Geomanist Light" w:hAnsi="Verdana" w:cs="Arial"/>
          <w:color w:val="000000" w:themeColor="text1"/>
        </w:rPr>
      </w:pPr>
    </w:p>
    <w:p w14:paraId="67CB19A7" w14:textId="77777777" w:rsidR="00BE1120" w:rsidRDefault="00BE1120" w:rsidP="00C92EDD">
      <w:pPr>
        <w:spacing w:after="0" w:line="240" w:lineRule="auto"/>
        <w:rPr>
          <w:rFonts w:ascii="Verdana" w:eastAsia="Geomanist Light" w:hAnsi="Verdana" w:cs="Arial"/>
          <w:color w:val="000000" w:themeColor="text1"/>
        </w:rPr>
      </w:pPr>
    </w:p>
    <w:p w14:paraId="3010D6C0" w14:textId="77777777" w:rsidR="00BE1120" w:rsidRDefault="00BE1120" w:rsidP="00C92EDD">
      <w:pPr>
        <w:spacing w:after="0" w:line="240" w:lineRule="auto"/>
        <w:rPr>
          <w:rFonts w:ascii="Verdana" w:eastAsia="Geomanist Light" w:hAnsi="Verdana" w:cs="Arial"/>
          <w:color w:val="000000" w:themeColor="text1"/>
        </w:rPr>
      </w:pPr>
    </w:p>
    <w:p w14:paraId="7AB38B4D" w14:textId="77777777" w:rsidR="00BE1120" w:rsidRDefault="00BE1120" w:rsidP="00C92EDD">
      <w:pPr>
        <w:spacing w:after="0" w:line="240" w:lineRule="auto"/>
        <w:rPr>
          <w:rFonts w:ascii="Verdana" w:eastAsia="Geomanist Light" w:hAnsi="Verdana" w:cs="Arial"/>
          <w:color w:val="000000" w:themeColor="text1"/>
        </w:rPr>
      </w:pPr>
    </w:p>
    <w:p w14:paraId="319ACEE3" w14:textId="77777777" w:rsidR="00BE1120" w:rsidRDefault="00BE1120" w:rsidP="00C92EDD">
      <w:pPr>
        <w:spacing w:after="0" w:line="240" w:lineRule="auto"/>
        <w:rPr>
          <w:rFonts w:ascii="Verdana" w:eastAsia="Geomanist Light" w:hAnsi="Verdana" w:cs="Arial"/>
          <w:color w:val="000000" w:themeColor="text1"/>
        </w:rPr>
      </w:pPr>
    </w:p>
    <w:p w14:paraId="5EC9051A" w14:textId="77777777" w:rsidR="00BE1120" w:rsidRDefault="00BE1120" w:rsidP="00C92EDD">
      <w:pPr>
        <w:spacing w:after="0" w:line="240" w:lineRule="auto"/>
        <w:rPr>
          <w:rFonts w:ascii="Verdana" w:eastAsia="Geomanist Light" w:hAnsi="Verdana" w:cs="Arial"/>
          <w:color w:val="000000" w:themeColor="text1"/>
        </w:rPr>
      </w:pPr>
    </w:p>
    <w:p w14:paraId="7D68E28A" w14:textId="77777777" w:rsidR="00BE1120" w:rsidRDefault="00BE1120" w:rsidP="00C92EDD">
      <w:pPr>
        <w:spacing w:after="0" w:line="240" w:lineRule="auto"/>
        <w:rPr>
          <w:rFonts w:ascii="Verdana" w:eastAsia="Geomanist Light" w:hAnsi="Verdana" w:cs="Arial"/>
          <w:color w:val="000000" w:themeColor="text1"/>
        </w:rPr>
      </w:pPr>
    </w:p>
    <w:p w14:paraId="7A4EFD8F" w14:textId="77777777" w:rsidR="00BE1120" w:rsidRDefault="00BE1120" w:rsidP="00C92EDD">
      <w:pPr>
        <w:spacing w:after="0" w:line="240" w:lineRule="auto"/>
        <w:rPr>
          <w:rFonts w:ascii="Verdana" w:eastAsia="Geomanist Light" w:hAnsi="Verdana" w:cs="Arial"/>
          <w:color w:val="000000" w:themeColor="text1"/>
        </w:rPr>
      </w:pPr>
    </w:p>
    <w:p w14:paraId="2BFBC444" w14:textId="77777777" w:rsidR="00BE1120" w:rsidRDefault="00BE1120" w:rsidP="00C92EDD">
      <w:pPr>
        <w:spacing w:after="0" w:line="240" w:lineRule="auto"/>
        <w:rPr>
          <w:rFonts w:ascii="Verdana" w:eastAsia="Geomanist Light" w:hAnsi="Verdana" w:cs="Arial"/>
          <w:color w:val="000000" w:themeColor="text1"/>
        </w:rPr>
      </w:pPr>
    </w:p>
    <w:p w14:paraId="02E44618" w14:textId="77777777" w:rsidR="00BE1120" w:rsidRDefault="00BE1120" w:rsidP="00C92EDD">
      <w:pPr>
        <w:spacing w:after="0" w:line="240" w:lineRule="auto"/>
        <w:rPr>
          <w:rFonts w:ascii="Verdana" w:eastAsia="Geomanist Light" w:hAnsi="Verdana" w:cs="Arial"/>
          <w:color w:val="000000" w:themeColor="text1"/>
        </w:rPr>
      </w:pPr>
    </w:p>
    <w:p w14:paraId="61DAA5B7" w14:textId="77777777" w:rsidR="00BE1120" w:rsidRDefault="00BE1120" w:rsidP="00C92EDD">
      <w:pPr>
        <w:spacing w:after="0" w:line="240" w:lineRule="auto"/>
        <w:rPr>
          <w:rFonts w:ascii="Verdana" w:eastAsia="Geomanist Light" w:hAnsi="Verdana" w:cs="Arial"/>
          <w:color w:val="000000" w:themeColor="text1"/>
        </w:rPr>
      </w:pPr>
    </w:p>
    <w:p w14:paraId="5343A4C7" w14:textId="77777777" w:rsidR="00BE1120" w:rsidRDefault="00BE1120" w:rsidP="00C92EDD">
      <w:pPr>
        <w:spacing w:after="0" w:line="240" w:lineRule="auto"/>
        <w:rPr>
          <w:rFonts w:ascii="Verdana" w:eastAsia="Geomanist Light" w:hAnsi="Verdana" w:cs="Arial"/>
          <w:color w:val="000000" w:themeColor="text1"/>
        </w:rPr>
      </w:pPr>
    </w:p>
    <w:p w14:paraId="7D52729D" w14:textId="77777777" w:rsidR="00BE1120" w:rsidRDefault="00BE1120" w:rsidP="00C92EDD">
      <w:pPr>
        <w:spacing w:after="0" w:line="240" w:lineRule="auto"/>
        <w:rPr>
          <w:rFonts w:ascii="Verdana" w:eastAsia="Geomanist Light" w:hAnsi="Verdana" w:cs="Arial"/>
          <w:color w:val="000000" w:themeColor="text1"/>
        </w:rPr>
      </w:pPr>
    </w:p>
    <w:p w14:paraId="32ACC0F7" w14:textId="77777777" w:rsidR="00BE1120" w:rsidRDefault="00BE1120" w:rsidP="00C92EDD">
      <w:pPr>
        <w:spacing w:after="0" w:line="240" w:lineRule="auto"/>
        <w:rPr>
          <w:rFonts w:ascii="Verdana" w:eastAsia="Geomanist Light" w:hAnsi="Verdana" w:cs="Arial"/>
          <w:color w:val="000000" w:themeColor="text1"/>
        </w:rPr>
      </w:pPr>
    </w:p>
    <w:p w14:paraId="768A9A8B" w14:textId="77777777" w:rsidR="00BE1120" w:rsidRDefault="00BE1120" w:rsidP="00C92EDD">
      <w:pPr>
        <w:spacing w:after="0" w:line="240" w:lineRule="auto"/>
        <w:rPr>
          <w:rFonts w:ascii="Verdana" w:eastAsia="Geomanist Light" w:hAnsi="Verdana" w:cs="Arial"/>
          <w:color w:val="000000" w:themeColor="text1"/>
        </w:rPr>
      </w:pPr>
    </w:p>
    <w:p w14:paraId="488E3147" w14:textId="77777777" w:rsidR="00BE1120" w:rsidRDefault="00BE1120" w:rsidP="00C92EDD">
      <w:pPr>
        <w:spacing w:after="0" w:line="240" w:lineRule="auto"/>
        <w:rPr>
          <w:rFonts w:ascii="Verdana" w:eastAsia="Geomanist Light" w:hAnsi="Verdana" w:cs="Arial"/>
          <w:color w:val="000000" w:themeColor="text1"/>
        </w:rPr>
      </w:pPr>
    </w:p>
    <w:p w14:paraId="6EF06753" w14:textId="77777777" w:rsidR="00BE1120" w:rsidRDefault="00BE1120" w:rsidP="00C92EDD">
      <w:pPr>
        <w:spacing w:after="0" w:line="240" w:lineRule="auto"/>
        <w:rPr>
          <w:rFonts w:ascii="Verdana" w:eastAsia="Geomanist Light" w:hAnsi="Verdana" w:cs="Arial"/>
          <w:color w:val="000000" w:themeColor="text1"/>
        </w:rPr>
      </w:pPr>
    </w:p>
    <w:p w14:paraId="27993CB1" w14:textId="77777777" w:rsidR="00BE1120" w:rsidRDefault="00BE1120" w:rsidP="00C92EDD">
      <w:pPr>
        <w:spacing w:after="0" w:line="240" w:lineRule="auto"/>
        <w:rPr>
          <w:rFonts w:ascii="Verdana" w:eastAsia="Geomanist Light" w:hAnsi="Verdana" w:cs="Arial"/>
          <w:color w:val="000000" w:themeColor="text1"/>
        </w:rPr>
      </w:pPr>
    </w:p>
    <w:p w14:paraId="4BA1253E" w14:textId="77777777" w:rsidR="00BE1120" w:rsidRDefault="00BE1120" w:rsidP="00C92EDD">
      <w:pPr>
        <w:spacing w:after="0" w:line="240" w:lineRule="auto"/>
        <w:rPr>
          <w:rFonts w:ascii="Verdana" w:eastAsia="Geomanist Light" w:hAnsi="Verdana" w:cs="Arial"/>
          <w:color w:val="000000" w:themeColor="text1"/>
        </w:rPr>
      </w:pPr>
    </w:p>
    <w:p w14:paraId="32576B4F" w14:textId="77777777" w:rsidR="00BE1120" w:rsidRDefault="00BE1120" w:rsidP="00C92EDD">
      <w:pPr>
        <w:spacing w:after="0" w:line="240" w:lineRule="auto"/>
        <w:rPr>
          <w:rFonts w:ascii="Verdana" w:eastAsia="Geomanist Light" w:hAnsi="Verdana" w:cs="Arial"/>
          <w:color w:val="000000" w:themeColor="text1"/>
        </w:rPr>
      </w:pPr>
    </w:p>
    <w:p w14:paraId="0179F11A" w14:textId="77777777" w:rsidR="00BE1120" w:rsidRDefault="00BE1120" w:rsidP="00C92EDD">
      <w:pPr>
        <w:spacing w:after="0" w:line="240" w:lineRule="auto"/>
        <w:rPr>
          <w:rFonts w:ascii="Verdana" w:eastAsia="Geomanist Light" w:hAnsi="Verdana" w:cs="Arial"/>
          <w:color w:val="000000" w:themeColor="text1"/>
        </w:rPr>
      </w:pPr>
    </w:p>
    <w:p w14:paraId="65E2BB5D" w14:textId="77777777" w:rsidR="00BE1120" w:rsidRDefault="00BE1120" w:rsidP="00C92EDD">
      <w:pPr>
        <w:spacing w:after="0" w:line="240" w:lineRule="auto"/>
        <w:rPr>
          <w:rFonts w:ascii="Verdana" w:eastAsia="Geomanist Light" w:hAnsi="Verdana" w:cs="Arial"/>
          <w:color w:val="000000" w:themeColor="text1"/>
        </w:rPr>
      </w:pPr>
    </w:p>
    <w:p w14:paraId="56595D54" w14:textId="77777777" w:rsidR="00BE1120" w:rsidRDefault="00BE1120" w:rsidP="00C92EDD">
      <w:pPr>
        <w:spacing w:after="0" w:line="240" w:lineRule="auto"/>
        <w:rPr>
          <w:rFonts w:ascii="Verdana" w:eastAsia="Geomanist Light" w:hAnsi="Verdana" w:cs="Arial"/>
          <w:color w:val="000000" w:themeColor="text1"/>
        </w:rPr>
      </w:pPr>
    </w:p>
    <w:p w14:paraId="665780DD" w14:textId="77777777" w:rsidR="00BE1120" w:rsidRDefault="00BE1120" w:rsidP="00C92EDD">
      <w:pPr>
        <w:spacing w:after="0" w:line="240" w:lineRule="auto"/>
        <w:rPr>
          <w:rFonts w:ascii="Verdana" w:eastAsia="Geomanist Light" w:hAnsi="Verdana" w:cs="Arial"/>
          <w:color w:val="000000" w:themeColor="text1"/>
        </w:rPr>
      </w:pPr>
    </w:p>
    <w:p w14:paraId="42077274" w14:textId="77777777" w:rsidR="00BE1120" w:rsidRDefault="00BE1120" w:rsidP="00C92EDD">
      <w:pPr>
        <w:spacing w:after="0" w:line="240" w:lineRule="auto"/>
        <w:rPr>
          <w:rFonts w:ascii="Verdana" w:eastAsia="Geomanist Light" w:hAnsi="Verdana" w:cs="Arial"/>
          <w:color w:val="000000" w:themeColor="text1"/>
        </w:rPr>
      </w:pPr>
    </w:p>
    <w:p w14:paraId="54CA78AF" w14:textId="77777777" w:rsidR="00BE1120" w:rsidRDefault="00BE1120" w:rsidP="00C92EDD">
      <w:pPr>
        <w:spacing w:after="0" w:line="240" w:lineRule="auto"/>
        <w:rPr>
          <w:rFonts w:ascii="Verdana" w:eastAsia="Geomanist Light" w:hAnsi="Verdana" w:cs="Arial"/>
          <w:color w:val="000000" w:themeColor="text1"/>
        </w:rPr>
      </w:pPr>
    </w:p>
    <w:p w14:paraId="5E376A92" w14:textId="77777777" w:rsidR="00BE1120" w:rsidRDefault="00BE1120" w:rsidP="00C92EDD">
      <w:pPr>
        <w:spacing w:after="0" w:line="240" w:lineRule="auto"/>
        <w:rPr>
          <w:rFonts w:ascii="Verdana" w:eastAsia="Geomanist Light" w:hAnsi="Verdana" w:cs="Arial"/>
          <w:color w:val="000000" w:themeColor="text1"/>
        </w:rPr>
      </w:pPr>
    </w:p>
    <w:p w14:paraId="18A7C458" w14:textId="77777777" w:rsidR="00BE1120" w:rsidRDefault="00BE1120" w:rsidP="00C92EDD">
      <w:pPr>
        <w:spacing w:after="0" w:line="240" w:lineRule="auto"/>
        <w:rPr>
          <w:rFonts w:ascii="Verdana" w:eastAsia="Geomanist Light" w:hAnsi="Verdana" w:cs="Arial"/>
          <w:color w:val="000000" w:themeColor="text1"/>
        </w:rPr>
      </w:pPr>
    </w:p>
    <w:p w14:paraId="3D8A8EC3" w14:textId="77777777" w:rsidR="00BE1120" w:rsidRDefault="00BE1120" w:rsidP="00C92EDD">
      <w:pPr>
        <w:spacing w:after="0" w:line="240" w:lineRule="auto"/>
        <w:rPr>
          <w:rFonts w:ascii="Verdana" w:eastAsia="Geomanist Light" w:hAnsi="Verdana" w:cs="Arial"/>
          <w:color w:val="000000" w:themeColor="text1"/>
        </w:rPr>
      </w:pPr>
    </w:p>
    <w:p w14:paraId="43F20CF5" w14:textId="77777777" w:rsidR="00BE1120" w:rsidRPr="00BE1120" w:rsidRDefault="00BE1120" w:rsidP="00C92EDD">
      <w:pPr>
        <w:spacing w:after="0" w:line="240" w:lineRule="auto"/>
        <w:rPr>
          <w:rFonts w:ascii="Verdana" w:eastAsia="Geomanist Light" w:hAnsi="Verdana" w:cs="Arial"/>
          <w:color w:val="000000" w:themeColor="text1"/>
        </w:rPr>
      </w:pPr>
    </w:p>
    <w:p w14:paraId="2FEBB7F4" w14:textId="77777777" w:rsidR="00BE1120" w:rsidRDefault="00BE1120" w:rsidP="00C92EDD">
      <w:pPr>
        <w:spacing w:after="0" w:line="240" w:lineRule="auto"/>
        <w:rPr>
          <w:rFonts w:ascii="Verdana" w:eastAsia="Geomanist Light" w:hAnsi="Verdana" w:cs="Arial"/>
          <w:color w:val="000000" w:themeColor="text1"/>
          <w:lang w:val="es-MX"/>
        </w:rPr>
      </w:pPr>
    </w:p>
    <w:p w14:paraId="7D02DF22" w14:textId="77777777" w:rsidR="00BE1120" w:rsidRDefault="00BE1120" w:rsidP="00C92EDD">
      <w:pPr>
        <w:spacing w:after="0" w:line="240" w:lineRule="auto"/>
        <w:rPr>
          <w:rFonts w:ascii="Verdana" w:eastAsia="Geomanist Light" w:hAnsi="Verdana" w:cs="Arial"/>
          <w:color w:val="000000" w:themeColor="text1"/>
          <w:lang w:val="es-MX"/>
        </w:rPr>
      </w:pPr>
    </w:p>
    <w:p w14:paraId="3FF9E852" w14:textId="00FCCAF6" w:rsidR="00C92EDD" w:rsidRPr="00593A5F" w:rsidRDefault="00C92EDD" w:rsidP="00C92EDD">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8C33A0" w:rsidRPr="008C33A0">
        <w:rPr>
          <w:rFonts w:ascii="Verdana" w:eastAsia="Geomanist Light" w:hAnsi="Verdana" w:cs="Arial"/>
          <w:color w:val="201F1E"/>
          <w:lang w:val="es-MX"/>
        </w:rPr>
        <w:t>20 de Noviembre de 2024</w:t>
      </w:r>
    </w:p>
    <w:p w14:paraId="715268EE" w14:textId="77777777" w:rsidR="00C92EDD" w:rsidRDefault="00C92EDD" w:rsidP="00C92EDD">
      <w:pPr>
        <w:spacing w:after="0" w:line="240" w:lineRule="auto"/>
        <w:jc w:val="both"/>
        <w:rPr>
          <w:rFonts w:ascii="Verdana" w:eastAsia="Calibri" w:hAnsi="Verdana" w:cs="Arial"/>
          <w:color w:val="000000"/>
          <w:lang w:val="es-ES"/>
        </w:rPr>
      </w:pPr>
    </w:p>
    <w:p w14:paraId="1E8771AE" w14:textId="1F2AEC40" w:rsidR="008C33A0" w:rsidRDefault="008C33A0" w:rsidP="008C33A0">
      <w:pPr>
        <w:spacing w:after="0" w:line="240" w:lineRule="auto"/>
        <w:jc w:val="right"/>
        <w:rPr>
          <w:rFonts w:ascii="Verdana" w:eastAsia="Calibri" w:hAnsi="Verdana" w:cs="Arial"/>
          <w:color w:val="000000"/>
          <w:lang w:val="es-ES"/>
        </w:rPr>
      </w:pPr>
      <w:r w:rsidRPr="008C33A0">
        <w:rPr>
          <w:rFonts w:ascii="Verdana" w:eastAsia="Calibri" w:hAnsi="Verdana" w:cs="Arial"/>
          <w:noProof/>
          <w:color w:val="000000"/>
          <w:lang w:val="es-ES"/>
        </w:rPr>
        <w:drawing>
          <wp:inline distT="0" distB="0" distL="0" distR="0" wp14:anchorId="4CB60DEB" wp14:editId="7F40D2D3">
            <wp:extent cx="3238500" cy="901700"/>
            <wp:effectExtent l="0" t="0" r="0" b="0"/>
            <wp:docPr id="5774586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58623" name=""/>
                    <pic:cNvPicPr/>
                  </pic:nvPicPr>
                  <pic:blipFill>
                    <a:blip r:embed="rId10"/>
                    <a:stretch>
                      <a:fillRect/>
                    </a:stretch>
                  </pic:blipFill>
                  <pic:spPr>
                    <a:xfrm>
                      <a:off x="0" y="0"/>
                      <a:ext cx="3238500" cy="901700"/>
                    </a:xfrm>
                    <a:prstGeom prst="rect">
                      <a:avLst/>
                    </a:prstGeom>
                  </pic:spPr>
                </pic:pic>
              </a:graphicData>
            </a:graphic>
          </wp:inline>
        </w:drawing>
      </w:r>
    </w:p>
    <w:p w14:paraId="019055D2" w14:textId="77777777" w:rsidR="00C92EDD" w:rsidRPr="00593A5F" w:rsidRDefault="00C92EDD" w:rsidP="00C92EDD">
      <w:pPr>
        <w:spacing w:after="0" w:line="240" w:lineRule="auto"/>
        <w:jc w:val="both"/>
        <w:rPr>
          <w:rFonts w:ascii="Verdana" w:eastAsia="Calibri" w:hAnsi="Verdana" w:cs="Arial"/>
          <w:color w:val="000000"/>
          <w:lang w:val="es-ES"/>
        </w:rPr>
      </w:pPr>
    </w:p>
    <w:p w14:paraId="19390739" w14:textId="77777777" w:rsidR="00C92EDD" w:rsidRPr="00B96799" w:rsidRDefault="00C92EDD" w:rsidP="00C92EDD">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3BD6D672" w14:textId="77777777" w:rsidR="00C92EDD" w:rsidRDefault="00C92EDD" w:rsidP="00C92EDD">
      <w:pPr>
        <w:spacing w:after="0" w:line="240" w:lineRule="auto"/>
        <w:rPr>
          <w:rFonts w:ascii="Verdana" w:eastAsia="Calibri" w:hAnsi="Verdana" w:cs="Arial"/>
          <w:b/>
          <w:lang w:val="es-ES_tradnl" w:eastAsia="es-ES_tradnl"/>
        </w:rPr>
      </w:pPr>
      <w:r w:rsidRPr="001B55F4">
        <w:rPr>
          <w:rFonts w:ascii="Verdana" w:eastAsia="Calibri" w:hAnsi="Verdana" w:cs="Arial"/>
          <w:b/>
          <w:lang w:val="es-ES_tradnl" w:eastAsia="es-ES_tradnl"/>
        </w:rPr>
        <w:t xml:space="preserve">Carlos Alberto Londoño Quintero </w:t>
      </w:r>
    </w:p>
    <w:p w14:paraId="3BEDB65C" w14:textId="77777777" w:rsidR="00C92EDD" w:rsidRPr="001B55F4" w:rsidRDefault="00C92EDD" w:rsidP="00C92EDD">
      <w:pPr>
        <w:spacing w:after="0" w:line="240" w:lineRule="auto"/>
        <w:rPr>
          <w:rFonts w:ascii="Verdana" w:hAnsi="Verdana"/>
        </w:rPr>
      </w:pPr>
      <w:hyperlink r:id="rId11" w:history="1">
        <w:r w:rsidRPr="001B55F4">
          <w:rPr>
            <w:rStyle w:val="Hipervnculo"/>
            <w:rFonts w:ascii="Verdana" w:hAnsi="Verdana"/>
          </w:rPr>
          <w:t>lonquintero@yahoo.es</w:t>
        </w:r>
      </w:hyperlink>
    </w:p>
    <w:p w14:paraId="2979A89C" w14:textId="77777777" w:rsidR="00C92EDD" w:rsidRDefault="00C92EDD" w:rsidP="00C92EDD">
      <w:pPr>
        <w:spacing w:after="0" w:line="240" w:lineRule="auto"/>
        <w:rPr>
          <w:rFonts w:ascii="Verdana" w:eastAsia="Calibri" w:hAnsi="Verdana" w:cs="Arial"/>
          <w:lang w:val="es-ES" w:eastAsia="es-ES"/>
        </w:rPr>
      </w:pPr>
      <w:r>
        <w:rPr>
          <w:rFonts w:ascii="Verdana" w:eastAsia="Calibri" w:hAnsi="Verdana" w:cs="Arial"/>
          <w:lang w:val="es-ES" w:eastAsia="es-ES"/>
        </w:rPr>
        <w:t xml:space="preserve">Medellín, Antioquia </w:t>
      </w:r>
    </w:p>
    <w:p w14:paraId="3B46438F" w14:textId="77777777" w:rsidR="00C92EDD" w:rsidRPr="00593A5F" w:rsidRDefault="00C92EDD" w:rsidP="00C92EDD">
      <w:pPr>
        <w:spacing w:after="0" w:line="240" w:lineRule="auto"/>
        <w:rPr>
          <w:rFonts w:ascii="Verdana" w:eastAsia="Calibri" w:hAnsi="Verdana" w:cs="Arial"/>
          <w:b/>
          <w:bCs/>
          <w:color w:val="000000"/>
          <w:lang w:val="es-ES_tradnl" w:eastAsia="es-ES_tradnl"/>
        </w:rPr>
      </w:pPr>
    </w:p>
    <w:p w14:paraId="119AAB74" w14:textId="77777777" w:rsidR="00C92EDD" w:rsidRPr="00593A5F" w:rsidRDefault="00C92EDD" w:rsidP="00C92EDD">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92EDD" w:rsidRPr="00593A5F" w14:paraId="001F17D1" w14:textId="77777777" w:rsidTr="00CE7001">
        <w:trPr>
          <w:trHeight w:val="884"/>
        </w:trPr>
        <w:tc>
          <w:tcPr>
            <w:tcW w:w="2689" w:type="dxa"/>
          </w:tcPr>
          <w:p w14:paraId="75B04732" w14:textId="77777777" w:rsidR="00C92EDD" w:rsidRPr="00C00976" w:rsidRDefault="00C92EDD" w:rsidP="00CE7001">
            <w:pPr>
              <w:jc w:val="both"/>
              <w:rPr>
                <w:rFonts w:ascii="Verdana" w:eastAsia="Calibri" w:hAnsi="Verdana" w:cs="Arial"/>
                <w:b/>
                <w:bCs/>
                <w:color w:val="7030A0"/>
                <w:lang w:val="es-ES_tradnl" w:eastAsia="es-ES_tradnl"/>
              </w:rPr>
            </w:pPr>
          </w:p>
        </w:tc>
        <w:tc>
          <w:tcPr>
            <w:tcW w:w="6100" w:type="dxa"/>
          </w:tcPr>
          <w:p w14:paraId="06A84300" w14:textId="77777777" w:rsidR="00C92EDD" w:rsidRPr="00C00976" w:rsidRDefault="00C92EDD" w:rsidP="00CE7001">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774</w:t>
            </w:r>
            <w:r w:rsidRPr="008E6AD9">
              <w:rPr>
                <w:rFonts w:ascii="Verdana" w:eastAsia="Calibri" w:hAnsi="Verdana" w:cs="Arial"/>
                <w:b/>
                <w:bCs/>
                <w:lang w:val="es-ES" w:eastAsia="es-ES"/>
              </w:rPr>
              <w:t xml:space="preserve"> de 2024</w:t>
            </w:r>
          </w:p>
        </w:tc>
      </w:tr>
      <w:tr w:rsidR="00C92EDD" w:rsidRPr="00593A5F" w14:paraId="51209926" w14:textId="77777777" w:rsidTr="00CE7001">
        <w:trPr>
          <w:trHeight w:val="884"/>
        </w:trPr>
        <w:tc>
          <w:tcPr>
            <w:tcW w:w="2689" w:type="dxa"/>
          </w:tcPr>
          <w:p w14:paraId="43E164F9" w14:textId="77777777" w:rsidR="00C92EDD" w:rsidRPr="00593A5F" w:rsidRDefault="00C92EDD" w:rsidP="00CE7001">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38EB7934" w14:textId="77777777" w:rsidR="00C92EDD" w:rsidRPr="00A11406" w:rsidRDefault="00C92EDD" w:rsidP="00CE7001">
            <w:pPr>
              <w:spacing w:line="276" w:lineRule="auto"/>
              <w:jc w:val="both"/>
              <w:rPr>
                <w:rFonts w:ascii="Verdana" w:eastAsia="Calibri" w:hAnsi="Verdana" w:cs="Arial"/>
                <w:lang w:val="es-ES" w:eastAsia="es-ES"/>
              </w:rPr>
            </w:pPr>
            <w:r w:rsidRPr="00980CEC">
              <w:rPr>
                <w:rFonts w:ascii="Verdana" w:eastAsia="Calibri" w:hAnsi="Verdana" w:cs="Arial"/>
                <w:lang w:val="es-ES" w:eastAsia="es-ES"/>
              </w:rPr>
              <w:t>LIQUIDACIÓN – Definición – Objetivo</w:t>
            </w:r>
            <w:r>
              <w:rPr>
                <w:rFonts w:ascii="Verdana" w:eastAsia="Calibri" w:hAnsi="Verdana" w:cs="Arial"/>
                <w:lang w:val="es-ES" w:eastAsia="es-ES"/>
              </w:rPr>
              <w:t xml:space="preserve"> / </w:t>
            </w:r>
            <w:r w:rsidRPr="00980CEC">
              <w:rPr>
                <w:rFonts w:ascii="Verdana" w:eastAsia="Calibri" w:hAnsi="Verdana" w:cs="Arial"/>
                <w:lang w:val="es-ES" w:eastAsia="es-ES"/>
              </w:rPr>
              <w:t>LIQUIDACIÓN – Normativa – Oportunidad</w:t>
            </w:r>
            <w:r>
              <w:rPr>
                <w:rFonts w:ascii="Verdana" w:eastAsia="Calibri" w:hAnsi="Verdana" w:cs="Arial"/>
                <w:lang w:val="es-ES" w:eastAsia="es-ES"/>
              </w:rPr>
              <w:t xml:space="preserve"> / </w:t>
            </w:r>
            <w:r w:rsidRPr="00980CEC">
              <w:rPr>
                <w:rFonts w:ascii="Verdana" w:eastAsia="Calibri" w:hAnsi="Verdana" w:cs="Arial"/>
                <w:lang w:val="es-ES" w:eastAsia="es-ES"/>
              </w:rPr>
              <w:t xml:space="preserve">RESTABLECIMIENTO DE LA ECUACIÓN ECONÓMICA – Liquidación – Contenido – Limitaciones  </w:t>
            </w:r>
            <w:r w:rsidRPr="003C1B7C">
              <w:rPr>
                <w:rFonts w:ascii="Verdana" w:eastAsia="Calibri" w:hAnsi="Verdana" w:cs="Arial"/>
                <w:lang w:val="es-ES" w:eastAsia="es-ES"/>
              </w:rPr>
              <w:t xml:space="preserve">  </w:t>
            </w:r>
            <w:r w:rsidRPr="00B6323A">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3C959276" w14:textId="77777777" w:rsidR="00C92EDD" w:rsidRPr="00593A5F" w:rsidRDefault="00C92EDD" w:rsidP="00CE7001">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C92EDD" w:rsidRPr="008E6AD9" w14:paraId="613F7292" w14:textId="77777777" w:rsidTr="00CE7001">
        <w:tc>
          <w:tcPr>
            <w:tcW w:w="2689" w:type="dxa"/>
          </w:tcPr>
          <w:p w14:paraId="6AA0304D" w14:textId="77777777" w:rsidR="00C92EDD" w:rsidRPr="008E6AD9" w:rsidRDefault="00C92EDD" w:rsidP="00CE7001">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1E69F096" w14:textId="77777777" w:rsidR="00C92EDD" w:rsidRPr="008E6AD9" w:rsidRDefault="00C92EDD" w:rsidP="00CE7001">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E139C8">
              <w:rPr>
                <w:rFonts w:ascii="Verdana" w:eastAsia="Calibri" w:hAnsi="Verdana" w:cs="Arial"/>
                <w:lang w:val="es-ES_tradnl" w:eastAsia="es-ES_tradnl"/>
              </w:rPr>
              <w:t>P20241024010805</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5A1B4133" w14:textId="77777777" w:rsidR="00C92EDD" w:rsidRPr="00593A5F" w:rsidRDefault="00C92EDD" w:rsidP="00C92EDD">
      <w:pPr>
        <w:spacing w:after="0" w:line="240" w:lineRule="auto"/>
        <w:jc w:val="both"/>
        <w:rPr>
          <w:rFonts w:ascii="Verdana" w:eastAsia="Calibri" w:hAnsi="Verdana" w:cs="Arial"/>
          <w:color w:val="000000"/>
          <w:lang w:val="es-ES_tradnl" w:eastAsia="es-ES_tradnl"/>
        </w:rPr>
      </w:pPr>
    </w:p>
    <w:p w14:paraId="62A12C86" w14:textId="77777777" w:rsidR="00C92EDD" w:rsidRPr="00593A5F" w:rsidRDefault="00C92EDD" w:rsidP="00C92EDD">
      <w:pPr>
        <w:spacing w:after="0" w:line="240" w:lineRule="auto"/>
        <w:jc w:val="both"/>
        <w:rPr>
          <w:rFonts w:ascii="Verdana" w:eastAsia="Calibri" w:hAnsi="Verdana" w:cs="Arial"/>
          <w:color w:val="000000"/>
          <w:lang w:val="es-ES_tradnl" w:eastAsia="es-ES_tradnl"/>
        </w:rPr>
      </w:pPr>
    </w:p>
    <w:p w14:paraId="5C35F934" w14:textId="77777777" w:rsidR="00C92EDD" w:rsidRPr="008E6AD9" w:rsidRDefault="00C92EDD" w:rsidP="00C92EDD">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1B55F4">
        <w:rPr>
          <w:rFonts w:ascii="Verdana" w:eastAsia="Calibri" w:hAnsi="Verdana" w:cs="Arial"/>
          <w:lang w:val="es-ES" w:eastAsia="es-ES"/>
        </w:rPr>
        <w:t>Londoño Quintero</w:t>
      </w:r>
      <w:r w:rsidRPr="008E6AD9">
        <w:rPr>
          <w:rFonts w:ascii="Verdana" w:eastAsia="Calibri" w:hAnsi="Verdana" w:cs="Arial"/>
          <w:lang w:val="es-ES" w:eastAsia="es-ES"/>
        </w:rPr>
        <w:t xml:space="preserve">: </w:t>
      </w:r>
    </w:p>
    <w:p w14:paraId="1DA628A5" w14:textId="77777777" w:rsidR="00C92EDD" w:rsidRDefault="00C92EDD" w:rsidP="00C92EDD">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A71F2E0" w14:textId="77777777" w:rsidR="00C92EDD" w:rsidRPr="00593A5F" w:rsidRDefault="00C92EDD" w:rsidP="00C92EDD">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24 de octubre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507F1FF0" w14:textId="77777777" w:rsidR="00C92EDD" w:rsidRPr="00272A7B" w:rsidRDefault="00C92EDD" w:rsidP="00876BEB">
      <w:pPr>
        <w:pStyle w:val="Prrafodelista"/>
        <w:tabs>
          <w:tab w:val="left" w:pos="142"/>
          <w:tab w:val="left" w:pos="284"/>
        </w:tabs>
        <w:spacing w:after="0" w:line="276" w:lineRule="auto"/>
        <w:ind w:left="0"/>
        <w:jc w:val="both"/>
        <w:rPr>
          <w:rFonts w:ascii="Verdana" w:eastAsia="Century Gothic" w:hAnsi="Verdana" w:cs="Century Gothic"/>
          <w:b/>
          <w:bCs/>
        </w:rPr>
      </w:pPr>
    </w:p>
    <w:p w14:paraId="37F92C9B" w14:textId="77777777" w:rsidR="00C92EDD" w:rsidRPr="001B55F4" w:rsidRDefault="00C92EDD" w:rsidP="00C92EDD">
      <w:pPr>
        <w:spacing w:after="12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1B55F4">
        <w:rPr>
          <w:rFonts w:ascii="Verdana" w:eastAsia="Century Gothic" w:hAnsi="Verdana" w:cs="Century Gothic"/>
          <w:sz w:val="21"/>
          <w:szCs w:val="21"/>
          <w:lang w:val="es-ES"/>
        </w:rPr>
        <w:t>1.</w:t>
      </w:r>
      <w:r>
        <w:rPr>
          <w:rFonts w:ascii="Verdana" w:eastAsia="Century Gothic" w:hAnsi="Verdana" w:cs="Century Gothic"/>
          <w:sz w:val="21"/>
          <w:szCs w:val="21"/>
          <w:lang w:val="es-ES"/>
        </w:rPr>
        <w:t xml:space="preserve"> </w:t>
      </w:r>
      <w:r w:rsidRPr="001B55F4">
        <w:rPr>
          <w:rFonts w:ascii="Verdana" w:eastAsia="Century Gothic" w:hAnsi="Verdana" w:cs="Century Gothic"/>
          <w:sz w:val="21"/>
          <w:szCs w:val="21"/>
          <w:lang w:val="es-ES"/>
        </w:rPr>
        <w:t xml:space="preserve">¿Es procedente dentro de la ejecución de un contrato de Obra Pública en el que se generó un desequilibrio económico-financiero, pagar el mismo dentro de la liquidación del contrato? </w:t>
      </w:r>
    </w:p>
    <w:p w14:paraId="6D30F7CB" w14:textId="77777777" w:rsidR="00C92EDD" w:rsidRDefault="00C92EDD" w:rsidP="00C92EDD">
      <w:pPr>
        <w:spacing w:after="0" w:line="240" w:lineRule="auto"/>
        <w:ind w:left="709" w:right="709"/>
        <w:jc w:val="both"/>
        <w:rPr>
          <w:rFonts w:ascii="Verdana" w:eastAsia="Century Gothic" w:hAnsi="Verdana" w:cs="Century Gothic"/>
          <w:sz w:val="21"/>
          <w:szCs w:val="21"/>
          <w:lang w:val="es-ES"/>
        </w:rPr>
      </w:pPr>
      <w:r w:rsidRPr="001B55F4">
        <w:rPr>
          <w:rFonts w:ascii="Verdana" w:eastAsia="Century Gothic" w:hAnsi="Verdana" w:cs="Century Gothic"/>
          <w:sz w:val="21"/>
          <w:szCs w:val="21"/>
          <w:lang w:val="es-ES"/>
        </w:rPr>
        <w:t xml:space="preserve">2. De no darse el primer escenario planteado en el primer punto, lo adecuado y ajustado a la normatividad vigente, ¿sería perfeccionar y legalizar un contrato adicional para reconocer el monto del </w:t>
      </w:r>
      <w:r w:rsidRPr="001B55F4">
        <w:rPr>
          <w:rFonts w:ascii="Verdana" w:eastAsia="Century Gothic" w:hAnsi="Verdana" w:cs="Century Gothic"/>
          <w:sz w:val="21"/>
          <w:szCs w:val="21"/>
          <w:lang w:val="es-ES"/>
        </w:rPr>
        <w:lastRenderedPageBreak/>
        <w:t>desequilibrio económico-financiero generado dentro de la ejecución contractual?</w:t>
      </w:r>
      <w:r>
        <w:rPr>
          <w:rFonts w:ascii="Verdana" w:eastAsia="Century Gothic" w:hAnsi="Verdana" w:cs="Century Gothic"/>
          <w:sz w:val="21"/>
          <w:szCs w:val="21"/>
          <w:lang w:val="es-ES"/>
        </w:rPr>
        <w:t>”</w:t>
      </w:r>
      <w:r w:rsidRPr="0090408E">
        <w:rPr>
          <w:rFonts w:ascii="Verdana" w:eastAsia="Century Gothic" w:hAnsi="Verdana" w:cs="Century Gothic"/>
          <w:sz w:val="21"/>
          <w:szCs w:val="21"/>
          <w:lang w:val="es-ES"/>
        </w:rPr>
        <w:t>.</w:t>
      </w:r>
      <w:r w:rsidRPr="006040CE">
        <w:rPr>
          <w:rFonts w:ascii="Verdana" w:eastAsia="Century Gothic" w:hAnsi="Verdana" w:cs="Century Gothic"/>
          <w:sz w:val="21"/>
          <w:szCs w:val="21"/>
          <w:lang w:val="es-ES"/>
        </w:rPr>
        <w:t xml:space="preserve"> </w:t>
      </w:r>
    </w:p>
    <w:p w14:paraId="0A9F1D83" w14:textId="77777777" w:rsidR="00C92EDD" w:rsidRPr="00990C98" w:rsidRDefault="00C92EDD" w:rsidP="00C92EDD">
      <w:pPr>
        <w:spacing w:after="0" w:line="276" w:lineRule="auto"/>
        <w:ind w:left="709" w:right="709"/>
        <w:jc w:val="both"/>
        <w:rPr>
          <w:rFonts w:ascii="Verdana" w:eastAsia="Century Gothic" w:hAnsi="Verdana" w:cs="Century Gothic"/>
          <w:lang w:val="es-ES"/>
        </w:rPr>
      </w:pPr>
    </w:p>
    <w:p w14:paraId="153BDA52" w14:textId="77777777" w:rsidR="00C92EDD" w:rsidRPr="00A652FF" w:rsidRDefault="00C92EDD" w:rsidP="00C92EDD">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4334A51" w14:textId="77777777" w:rsidR="00C92EDD" w:rsidRDefault="00C92EDD" w:rsidP="00C92EDD">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EB6C6B1" w14:textId="77777777" w:rsidR="00C92EDD" w:rsidRPr="00593A5F" w:rsidRDefault="00C92EDD" w:rsidP="00C92EDD">
      <w:pPr>
        <w:spacing w:after="0" w:line="276" w:lineRule="auto"/>
        <w:ind w:firstLine="709"/>
        <w:jc w:val="both"/>
        <w:rPr>
          <w:rFonts w:ascii="Verdana" w:eastAsia="Calibri" w:hAnsi="Verdana" w:cs="Arial"/>
          <w:color w:val="000000"/>
          <w:lang w:val="es-ES" w:eastAsia="es-ES"/>
        </w:rPr>
      </w:pPr>
    </w:p>
    <w:p w14:paraId="34F12FCB" w14:textId="77777777" w:rsidR="00C92EDD" w:rsidRPr="00593A5F" w:rsidRDefault="00C92EDD" w:rsidP="00C92ED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23C36121" w14:textId="77777777" w:rsidR="00C92EDD" w:rsidRPr="00593A5F" w:rsidRDefault="00C92EDD" w:rsidP="00C92EDD">
      <w:pPr>
        <w:tabs>
          <w:tab w:val="left" w:pos="426"/>
        </w:tabs>
        <w:spacing w:after="0" w:line="276" w:lineRule="auto"/>
        <w:jc w:val="both"/>
        <w:rPr>
          <w:rFonts w:ascii="Verdana" w:eastAsia="Century Gothic" w:hAnsi="Verdana" w:cs="Century Gothic"/>
          <w:lang w:val="es-ES"/>
        </w:rPr>
      </w:pPr>
    </w:p>
    <w:p w14:paraId="1971F56C" w14:textId="77777777" w:rsidR="00C92EDD" w:rsidRPr="00593A5F" w:rsidRDefault="00C92EDD" w:rsidP="00C92EDD">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¿cuál es marco jurídico y el contenido de la liquidación de los contratos para efectos del restablecimiento económico de la ecuación contractual?       </w:t>
      </w:r>
      <w:r w:rsidRPr="00C00976">
        <w:rPr>
          <w:rFonts w:ascii="Verdana" w:eastAsia="Century Gothic" w:hAnsi="Verdana" w:cs="Century Gothic"/>
          <w:color w:val="7030A0"/>
        </w:rPr>
        <w:t xml:space="preserve"> </w:t>
      </w:r>
    </w:p>
    <w:p w14:paraId="43E1002F" w14:textId="77777777" w:rsidR="00C92EDD" w:rsidRPr="004B140F" w:rsidRDefault="00C92EDD" w:rsidP="00C92EDD">
      <w:pPr>
        <w:spacing w:after="0" w:line="276" w:lineRule="auto"/>
        <w:jc w:val="both"/>
        <w:rPr>
          <w:rFonts w:ascii="Verdana" w:eastAsia="Calibri" w:hAnsi="Verdana" w:cs="Arial"/>
          <w:color w:val="7030A0"/>
        </w:rPr>
      </w:pPr>
    </w:p>
    <w:p w14:paraId="29D0DDA6" w14:textId="77777777" w:rsidR="00C92EDD" w:rsidRPr="00593A5F" w:rsidRDefault="00C92EDD" w:rsidP="00C92ED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CD3E339" w14:textId="77777777" w:rsidR="00C92EDD" w:rsidRPr="00593A5F" w:rsidRDefault="00C92EDD" w:rsidP="00C92ED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92EDD" w:rsidRPr="00593A5F" w14:paraId="0E2B3F96" w14:textId="77777777" w:rsidTr="00CE7001">
        <w:trPr>
          <w:jc w:val="center"/>
        </w:trPr>
        <w:tc>
          <w:tcPr>
            <w:tcW w:w="8828" w:type="dxa"/>
            <w:shd w:val="clear" w:color="auto" w:fill="auto"/>
          </w:tcPr>
          <w:p w14:paraId="77C0EB34" w14:textId="77777777" w:rsidR="00C92EDD" w:rsidRDefault="00C92EDD" w:rsidP="00CE7001">
            <w:pPr>
              <w:spacing w:after="120" w:line="276" w:lineRule="auto"/>
              <w:jc w:val="both"/>
              <w:rPr>
                <w:rFonts w:ascii="Verdana" w:eastAsia="Times New Roman" w:hAnsi="Verdana" w:cs="Arial"/>
                <w:color w:val="000000"/>
                <w:bdr w:val="none" w:sz="0" w:space="0" w:color="auto" w:frame="1"/>
                <w:shd w:val="clear" w:color="auto" w:fill="FFFFFF"/>
                <w:lang w:eastAsia="es-ES_tradnl"/>
              </w:rPr>
            </w:pPr>
            <w:bookmarkStart w:id="1" w:name="_Hlk171694685"/>
            <w:r w:rsidRPr="00E648DC">
              <w:rPr>
                <w:rFonts w:ascii="Verdana" w:hAnsi="Verdana"/>
              </w:rPr>
              <w:t>Con</w:t>
            </w:r>
            <w:r>
              <w:rPr>
                <w:rFonts w:ascii="Verdana" w:hAnsi="Verdana"/>
              </w:rPr>
              <w:t xml:space="preserve">forme a la interpretación de las normas generales del sistema de compras públicas, de </w:t>
            </w:r>
            <w:r>
              <w:rPr>
                <w:rFonts w:ascii="Verdana" w:eastAsia="Times New Roman" w:hAnsi="Verdana" w:cs="Arial"/>
                <w:color w:val="000000"/>
                <w:bdr w:val="none" w:sz="0" w:space="0" w:color="auto" w:frame="1"/>
                <w:shd w:val="clear" w:color="auto" w:fill="FFFFFF"/>
                <w:lang w:eastAsia="es-ES_tradnl"/>
              </w:rPr>
              <w:t xml:space="preserve">los incisos segundo y tercero del artículo 60 del EGCAP se desprende que en la liquidación “[…] </w:t>
            </w:r>
            <w:r w:rsidRPr="00D118AB">
              <w:rPr>
                <w:rFonts w:ascii="Verdana" w:eastAsia="Times New Roman" w:hAnsi="Verdana" w:cs="Arial"/>
                <w:color w:val="000000"/>
                <w:bdr w:val="none" w:sz="0" w:space="0" w:color="auto" w:frame="1"/>
                <w:shd w:val="clear" w:color="auto" w:fill="FFFFFF"/>
                <w:lang w:eastAsia="es-ES_tradnl"/>
              </w:rPr>
              <w:t>las partes acordarán los ajustes, revisiones y reconocimientos a que haya lugar</w:t>
            </w:r>
            <w:r>
              <w:rPr>
                <w:rFonts w:ascii="Verdana" w:eastAsia="Times New Roman" w:hAnsi="Verdana" w:cs="Arial"/>
                <w:color w:val="000000"/>
                <w:bdr w:val="none" w:sz="0" w:space="0" w:color="auto" w:frame="1"/>
                <w:shd w:val="clear" w:color="auto" w:fill="FFFFFF"/>
                <w:lang w:eastAsia="es-ES_tradnl"/>
              </w:rPr>
              <w:t xml:space="preserve">” y en ella “[…] </w:t>
            </w:r>
            <w:r w:rsidRPr="00D118AB">
              <w:rPr>
                <w:rFonts w:ascii="Verdana" w:eastAsia="Times New Roman" w:hAnsi="Verdana" w:cs="Arial"/>
                <w:color w:val="000000"/>
                <w:bdr w:val="none" w:sz="0" w:space="0" w:color="auto" w:frame="1"/>
                <w:shd w:val="clear" w:color="auto" w:fill="FFFFFF"/>
                <w:lang w:eastAsia="es-ES_tradnl"/>
              </w:rPr>
              <w:t>constarán los acuerdos, conciliaciones y transacciones a que llegaren las partes para poner fin a las divergencias presentadas y poder declararse a paz y salvo</w:t>
            </w:r>
            <w:r>
              <w:rPr>
                <w:rFonts w:ascii="Verdana" w:eastAsia="Times New Roman" w:hAnsi="Verdana" w:cs="Arial"/>
                <w:color w:val="000000"/>
                <w:bdr w:val="none" w:sz="0" w:space="0" w:color="auto" w:frame="1"/>
                <w:shd w:val="clear" w:color="auto" w:fill="FFFFFF"/>
                <w:lang w:eastAsia="es-ES_tradnl"/>
              </w:rPr>
              <w:t>”</w:t>
            </w:r>
            <w:r w:rsidRPr="00D118AB">
              <w:rPr>
                <w:rFonts w:ascii="Verdana" w:eastAsia="Times New Roman" w:hAnsi="Verdana" w:cs="Arial"/>
                <w:color w:val="000000"/>
                <w:bdr w:val="none" w:sz="0" w:space="0" w:color="auto" w:frame="1"/>
                <w:shd w:val="clear" w:color="auto" w:fill="FFFFFF"/>
                <w:lang w:eastAsia="es-ES_tradnl"/>
              </w:rPr>
              <w:t>.</w:t>
            </w:r>
            <w:r>
              <w:rPr>
                <w:rFonts w:ascii="Verdana" w:eastAsia="Times New Roman" w:hAnsi="Verdana" w:cs="Arial"/>
                <w:color w:val="000000"/>
                <w:bdr w:val="none" w:sz="0" w:space="0" w:color="auto" w:frame="1"/>
                <w:shd w:val="clear" w:color="auto" w:fill="FFFFFF"/>
                <w:lang w:eastAsia="es-ES_tradnl"/>
              </w:rPr>
              <w:t xml:space="preserve"> Esto hace que la liquidación no sólo sea un mecanismo alternativo de solución de conflictos, sino también un medio para resolver asuntos relacionados con el </w:t>
            </w:r>
            <w:r>
              <w:rPr>
                <w:rFonts w:ascii="Verdana" w:eastAsia="Times New Roman" w:hAnsi="Verdana" w:cs="Arial"/>
                <w:color w:val="000000"/>
                <w:bdr w:val="none" w:sz="0" w:space="0" w:color="auto" w:frame="1"/>
                <w:shd w:val="clear" w:color="auto" w:fill="FFFFFF"/>
                <w:lang w:eastAsia="es-ES_tradnl"/>
              </w:rPr>
              <w:lastRenderedPageBreak/>
              <w:t>desequilibrio económico del contrato. Sobre esta última faceta, la doctrina explica que la norma en comento consagra una posibilidad para que las entidades públicas garanticen el equilibrio económico si éste resultó afectado en la ejecución del negocio jurídico, así que la liquidación es el momento oportuno para resolver las diferencias existentes.</w:t>
            </w:r>
          </w:p>
          <w:p w14:paraId="3F0C2081" w14:textId="77777777" w:rsidR="00C92EDD" w:rsidRDefault="00C92EDD" w:rsidP="00CE7001">
            <w:pPr>
              <w:spacing w:after="120" w:line="276" w:lineRule="auto"/>
              <w:ind w:firstLine="595"/>
              <w:jc w:val="both"/>
              <w:rPr>
                <w:rFonts w:ascii="Verdana" w:eastAsia="Times New Roman" w:hAnsi="Verdana" w:cs="Arial"/>
                <w:color w:val="000000"/>
                <w:bdr w:val="none" w:sz="0" w:space="0" w:color="auto" w:frame="1"/>
                <w:shd w:val="clear" w:color="auto" w:fill="FFFFFF"/>
                <w:lang w:eastAsia="es-ES_tradnl"/>
              </w:rPr>
            </w:pPr>
            <w:r>
              <w:rPr>
                <w:rFonts w:ascii="Verdana" w:hAnsi="Verdana"/>
              </w:rPr>
              <w:t>No obstante, d</w:t>
            </w:r>
            <w:r>
              <w:rPr>
                <w:rFonts w:ascii="Verdana" w:eastAsia="Times New Roman" w:hAnsi="Verdana" w:cs="Arial"/>
                <w:color w:val="000000"/>
                <w:bdr w:val="none" w:sz="0" w:space="0" w:color="auto" w:frame="1"/>
                <w:shd w:val="clear" w:color="auto" w:fill="FFFFFF"/>
                <w:lang w:eastAsia="es-ES_tradnl"/>
              </w:rPr>
              <w:t xml:space="preserve">e acuerdo con la Sentencia de Unificación del 19 de noviembre de 2012 de la Sala Plena del Consejo de Estado, </w:t>
            </w:r>
            <w:r>
              <w:rPr>
                <w:rFonts w:ascii="Verdana" w:eastAsia="Times New Roman" w:hAnsi="Verdana" w:cs="Arial"/>
                <w:i/>
                <w:iCs/>
                <w:color w:val="000000"/>
                <w:bdr w:val="none" w:sz="0" w:space="0" w:color="auto" w:frame="1"/>
                <w:shd w:val="clear" w:color="auto" w:fill="FFFFFF"/>
                <w:lang w:eastAsia="es-ES_tradnl"/>
              </w:rPr>
              <w:t>por regla general</w:t>
            </w:r>
            <w:r w:rsidRPr="004474BA">
              <w:rPr>
                <w:rFonts w:ascii="Verdana" w:eastAsia="Times New Roman" w:hAnsi="Verdana" w:cs="Arial"/>
                <w:color w:val="000000"/>
                <w:bdr w:val="none" w:sz="0" w:space="0" w:color="auto" w:frame="1"/>
                <w:shd w:val="clear" w:color="auto" w:fill="FFFFFF"/>
                <w:lang w:eastAsia="es-ES_tradnl"/>
              </w:rPr>
              <w:t>,</w:t>
            </w:r>
            <w:r>
              <w:rPr>
                <w:rFonts w:ascii="Verdana" w:eastAsia="Times New Roman" w:hAnsi="Verdana" w:cs="Arial"/>
                <w:color w:val="000000"/>
                <w:bdr w:val="none" w:sz="0" w:space="0" w:color="auto" w:frame="1"/>
                <w:shd w:val="clear" w:color="auto" w:fill="FFFFFF"/>
                <w:lang w:eastAsia="es-ES_tradnl"/>
              </w:rPr>
              <w:t xml:space="preserve"> no es posible solicitar reconocimientos económicos por la ejecución de obras extras o adicionales, sin la previa suscripción de un contrato adicional que las justifique. Esto en la medida que los artículos 39 y 41 del EGCAP disponen que los contratos estatales son solemnes y, por tanto, requieren formalidad escrita, salvo que se presente una situación de urgencia manifiesta. </w:t>
            </w:r>
            <w:r>
              <w:rPr>
                <w:rFonts w:ascii="Verdana" w:hAnsi="Verdana"/>
              </w:rPr>
              <w:t xml:space="preserve">De cara al artículo 10 del CPACA, considerando las tres (3) excepciones contempladas en dicha sentencia, </w:t>
            </w:r>
            <w:r>
              <w:rPr>
                <w:rFonts w:ascii="Verdana" w:eastAsia="Times New Roman" w:hAnsi="Verdana" w:cs="Arial"/>
                <w:color w:val="000000"/>
                <w:bdr w:val="none" w:sz="0" w:space="0" w:color="auto" w:frame="1"/>
                <w:shd w:val="clear" w:color="auto" w:fill="FFFFFF"/>
                <w:lang w:eastAsia="es-ES_tradnl"/>
              </w:rPr>
              <w:t>en la actualidad está limitada la posibilidad de reconocer en la liquidación actividades no incluidas dentro del contrato. Así, su pago no sólo está sujeto al soporte probatorio, sino que la decisión también debe armonizarse con la doctrina fijada por el máximo órgano de la jurisdicción contenciosa administrativa.</w:t>
            </w:r>
          </w:p>
          <w:p w14:paraId="11781D87" w14:textId="77777777" w:rsidR="00C92EDD" w:rsidRDefault="00C92EDD" w:rsidP="00CE7001">
            <w:pPr>
              <w:spacing w:line="276" w:lineRule="auto"/>
              <w:ind w:firstLine="595"/>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los reconocimientos económicos derivados del desequilibrio en el contrato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Por tanto, </w:t>
            </w:r>
            <w:r w:rsidRPr="00301910">
              <w:rPr>
                <w:rFonts w:ascii="Verdana" w:hAnsi="Verdana" w:cs="Arial"/>
                <w:lang w:eastAsia="es-ES"/>
              </w:rPr>
              <w:t>cada entidad definirá la forma de adelantar su gestión contractual, sin que sea atribución de Colombia Compra Eficiente validar sus actuaciones.</w:t>
            </w:r>
          </w:p>
          <w:p w14:paraId="4F47BD05" w14:textId="77777777" w:rsidR="00C92EDD" w:rsidRPr="004474BA" w:rsidRDefault="00C92EDD" w:rsidP="00257BBE">
            <w:pPr>
              <w:spacing w:line="276" w:lineRule="auto"/>
              <w:jc w:val="both"/>
              <w:rPr>
                <w:rFonts w:ascii="Verdana" w:eastAsia="Times New Roman" w:hAnsi="Verdana" w:cs="Arial"/>
                <w:color w:val="000000"/>
                <w:bdr w:val="none" w:sz="0" w:space="0" w:color="auto" w:frame="1"/>
                <w:shd w:val="clear" w:color="auto" w:fill="FFFFFF"/>
                <w:lang w:eastAsia="es-ES_tradnl"/>
              </w:rPr>
            </w:pPr>
          </w:p>
        </w:tc>
      </w:tr>
    </w:tbl>
    <w:p w14:paraId="2C331E02" w14:textId="77777777" w:rsidR="00C92EDD" w:rsidRPr="00593A5F" w:rsidRDefault="00C92EDD" w:rsidP="00C92EDD">
      <w:pPr>
        <w:tabs>
          <w:tab w:val="left" w:pos="142"/>
          <w:tab w:val="left" w:pos="284"/>
        </w:tabs>
        <w:spacing w:after="0" w:line="276" w:lineRule="auto"/>
        <w:jc w:val="both"/>
        <w:rPr>
          <w:rFonts w:ascii="Verdana" w:eastAsia="Century Gothic" w:hAnsi="Verdana" w:cs="Century Gothic"/>
          <w:b/>
          <w:bCs/>
          <w:lang w:val="es-ES"/>
        </w:rPr>
      </w:pPr>
    </w:p>
    <w:bookmarkEnd w:id="1"/>
    <w:p w14:paraId="4012F543" w14:textId="77777777" w:rsidR="00C92EDD" w:rsidRPr="00593A5F" w:rsidRDefault="00C92EDD" w:rsidP="00C92ED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257F092" w14:textId="77777777" w:rsidR="00C92EDD" w:rsidRPr="00593A5F" w:rsidRDefault="00C92EDD" w:rsidP="00C92EDD">
      <w:pPr>
        <w:spacing w:after="0" w:line="276" w:lineRule="auto"/>
        <w:jc w:val="both"/>
        <w:rPr>
          <w:rFonts w:ascii="Verdana" w:eastAsia="Calibri" w:hAnsi="Verdana" w:cs="Arial"/>
          <w:color w:val="7030A0"/>
          <w:lang w:val="es-ES"/>
        </w:rPr>
      </w:pPr>
    </w:p>
    <w:p w14:paraId="72B4D3B9" w14:textId="77777777" w:rsidR="00C92EDD" w:rsidRDefault="00C92EDD" w:rsidP="00C92EDD">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1E2B5360" w14:textId="77777777" w:rsidR="00C92EDD" w:rsidRPr="00415608" w:rsidRDefault="00C92EDD" w:rsidP="00C92EDD">
      <w:pPr>
        <w:spacing w:after="0" w:line="276" w:lineRule="auto"/>
        <w:jc w:val="both"/>
        <w:rPr>
          <w:rFonts w:ascii="Verdana" w:eastAsia="Calibri" w:hAnsi="Verdana" w:cs="Arial"/>
          <w:lang w:val="es-ES"/>
        </w:rPr>
      </w:pPr>
    </w:p>
    <w:p w14:paraId="7F2A4464" w14:textId="77777777" w:rsidR="00C92EDD" w:rsidRPr="00FB5FC4" w:rsidRDefault="00C92EDD" w:rsidP="00C92EDD">
      <w:pPr>
        <w:spacing w:after="0" w:line="276" w:lineRule="auto"/>
        <w:jc w:val="both"/>
        <w:rPr>
          <w:rFonts w:ascii="Verdana" w:eastAsia="Calibri" w:hAnsi="Verdana" w:cs="Arial"/>
          <w:color w:val="000000"/>
          <w:lang w:val="es-ES_tradnl"/>
        </w:rPr>
      </w:pPr>
      <w:r w:rsidRPr="00FB5FC4">
        <w:rPr>
          <w:rFonts w:ascii="Verdana" w:eastAsia="Calibri" w:hAnsi="Verdana" w:cs="Arial"/>
          <w:color w:val="000000"/>
          <w:lang w:val="es-ES_tradnl"/>
        </w:rPr>
        <w:t>La liquidación es el momento en el cual, una vez concluido el contrato estatal, las partes cruzan cuentas respecto de sus obligaciones</w:t>
      </w:r>
      <w:r>
        <w:rPr>
          <w:rFonts w:ascii="Verdana" w:eastAsia="Calibri" w:hAnsi="Verdana" w:cs="Arial"/>
          <w:color w:val="000000"/>
          <w:lang w:val="es-ES_tradnl"/>
        </w:rPr>
        <w:t>.</w:t>
      </w:r>
      <w:r w:rsidRPr="00FB5FC4">
        <w:rPr>
          <w:rFonts w:ascii="Verdana" w:eastAsia="Calibri" w:hAnsi="Verdana" w:cs="Arial"/>
          <w:color w:val="000000"/>
          <w:lang w:val="es-ES_tradnl"/>
        </w:rPr>
        <w:t xml:space="preserve"> </w:t>
      </w:r>
      <w:r>
        <w:rPr>
          <w:rFonts w:ascii="Verdana" w:eastAsia="Calibri" w:hAnsi="Verdana" w:cs="Arial"/>
          <w:color w:val="000000"/>
          <w:lang w:val="es-ES_tradnl"/>
        </w:rPr>
        <w:t>P</w:t>
      </w:r>
      <w:r w:rsidRPr="00FB5FC4">
        <w:rPr>
          <w:rFonts w:ascii="Verdana" w:eastAsia="Calibri" w:hAnsi="Verdana" w:cs="Arial"/>
          <w:color w:val="000000"/>
          <w:lang w:val="es-ES_tradnl"/>
        </w:rPr>
        <w:t xml:space="preserve">or tanto, su objetivo es determinar si pueden declararse a paz y salvo mutuo o si, por el contrario, existen aún obligaciones por cumplir, para acordar la forma en que deben ser </w:t>
      </w:r>
      <w:r>
        <w:rPr>
          <w:rFonts w:ascii="Verdana" w:eastAsia="Calibri" w:hAnsi="Verdana" w:cs="Arial"/>
          <w:color w:val="000000"/>
          <w:lang w:val="es-ES_tradnl"/>
        </w:rPr>
        <w:lastRenderedPageBreak/>
        <w:t>finalizadas</w:t>
      </w:r>
      <w:r w:rsidRPr="00FB5FC4">
        <w:rPr>
          <w:rFonts w:ascii="Verdana" w:eastAsia="Calibri" w:hAnsi="Verdana" w:cs="Arial"/>
          <w:color w:val="000000"/>
          <w:vertAlign w:val="superscript"/>
          <w:lang w:val="es-ES_tradnl"/>
        </w:rPr>
        <w:footnoteReference w:id="2"/>
      </w:r>
      <w:r w:rsidRPr="00FB5FC4">
        <w:rPr>
          <w:rFonts w:ascii="Verdana" w:eastAsia="Calibri" w:hAnsi="Verdana" w:cs="Arial"/>
          <w:color w:val="000000"/>
          <w:lang w:val="es-ES_tradnl"/>
        </w:rPr>
        <w:t>. En armonía con lo anterior, la doctrina ha definido la liquidación de la siguiente manera:</w:t>
      </w:r>
    </w:p>
    <w:p w14:paraId="138EAB37" w14:textId="77777777" w:rsidR="00C92EDD" w:rsidRPr="00FB5FC4" w:rsidRDefault="00C92EDD" w:rsidP="00C92EDD">
      <w:pPr>
        <w:spacing w:after="0" w:line="276" w:lineRule="auto"/>
        <w:jc w:val="both"/>
        <w:rPr>
          <w:rFonts w:ascii="Verdana" w:eastAsia="Calibri" w:hAnsi="Verdana" w:cs="Arial"/>
          <w:color w:val="000000"/>
          <w:lang w:val="es-ES_tradnl"/>
        </w:rPr>
      </w:pPr>
    </w:p>
    <w:p w14:paraId="634B0C42" w14:textId="77777777" w:rsidR="00C92EDD" w:rsidRPr="00FB5FC4" w:rsidRDefault="00C92EDD" w:rsidP="00C92EDD">
      <w:pPr>
        <w:spacing w:after="0" w:line="240" w:lineRule="auto"/>
        <w:ind w:left="709" w:right="758"/>
        <w:jc w:val="both"/>
        <w:rPr>
          <w:rFonts w:ascii="Verdana" w:eastAsia="Calibri" w:hAnsi="Verdana" w:cs="Arial"/>
          <w:sz w:val="21"/>
          <w:szCs w:val="21"/>
          <w:lang w:val="es-MX"/>
        </w:rPr>
      </w:pPr>
      <w:r w:rsidRPr="00FB5FC4">
        <w:rPr>
          <w:rFonts w:ascii="Verdana" w:eastAsia="Calibri" w:hAnsi="Verdana" w:cs="Arial"/>
          <w:i/>
          <w:iCs/>
          <w:color w:val="000000"/>
          <w:sz w:val="21"/>
          <w:szCs w:val="21"/>
          <w:lang w:val="es-ES_tradnl"/>
        </w:rPr>
        <w:t>“</w:t>
      </w:r>
      <w:r w:rsidRPr="00FB5FC4">
        <w:rPr>
          <w:rFonts w:ascii="Verdana" w:eastAsia="Calibri" w:hAnsi="Verdana" w:cs="Arial"/>
          <w:sz w:val="21"/>
          <w:szCs w:val="21"/>
          <w:lang w:val="es-MX"/>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Pr>
          <w:rFonts w:ascii="Verdana" w:eastAsia="Calibri" w:hAnsi="Verdana" w:cs="Arial"/>
          <w:sz w:val="21"/>
          <w:szCs w:val="21"/>
          <w:lang w:val="es-MX"/>
        </w:rPr>
        <w:t>”</w:t>
      </w:r>
      <w:r w:rsidRPr="00FB5FC4">
        <w:rPr>
          <w:rFonts w:ascii="Verdana" w:eastAsia="Calibri" w:hAnsi="Verdana" w:cs="Arial"/>
          <w:sz w:val="21"/>
          <w:szCs w:val="21"/>
          <w:vertAlign w:val="superscript"/>
          <w:lang w:val="es-MX"/>
        </w:rPr>
        <w:footnoteReference w:id="3"/>
      </w:r>
      <w:r w:rsidRPr="00FB5FC4">
        <w:rPr>
          <w:rFonts w:ascii="Verdana" w:eastAsia="Calibri" w:hAnsi="Verdana" w:cs="Arial"/>
          <w:sz w:val="21"/>
          <w:szCs w:val="21"/>
          <w:lang w:val="es-MX"/>
        </w:rPr>
        <w:t>.</w:t>
      </w:r>
    </w:p>
    <w:p w14:paraId="5122316B" w14:textId="77777777" w:rsidR="00C92EDD" w:rsidRPr="00FB5FC4" w:rsidRDefault="00C92EDD" w:rsidP="00C92EDD">
      <w:pPr>
        <w:spacing w:after="0" w:line="276" w:lineRule="auto"/>
        <w:jc w:val="both"/>
        <w:rPr>
          <w:rFonts w:ascii="Verdana" w:eastAsia="Calibri" w:hAnsi="Verdana" w:cs="Arial"/>
          <w:color w:val="000000"/>
          <w:lang w:val="es-ES_tradnl"/>
        </w:rPr>
      </w:pPr>
    </w:p>
    <w:p w14:paraId="27CEAFDD" w14:textId="77777777" w:rsidR="00C92EDD" w:rsidRPr="00FB5FC4" w:rsidRDefault="00C92EDD" w:rsidP="00C92EDD">
      <w:pPr>
        <w:spacing w:after="120" w:line="276" w:lineRule="auto"/>
        <w:ind w:firstLine="709"/>
        <w:jc w:val="both"/>
        <w:rPr>
          <w:rFonts w:ascii="Verdana" w:eastAsia="Times New Roman" w:hAnsi="Verdana" w:cs="Arial"/>
          <w:color w:val="000000"/>
          <w:sz w:val="21"/>
          <w:szCs w:val="21"/>
          <w:lang w:val="es-ES_tradnl" w:eastAsia="es-ES_tradnl"/>
        </w:rPr>
      </w:pPr>
      <w:r>
        <w:rPr>
          <w:rFonts w:ascii="Verdana" w:eastAsia="Times New Roman" w:hAnsi="Verdana" w:cs="Arial"/>
          <w:color w:val="000000"/>
          <w:szCs w:val="24"/>
          <w:lang w:val="es-ES_tradnl" w:eastAsia="es-ES_tradnl"/>
        </w:rPr>
        <w:t>S</w:t>
      </w:r>
      <w:r w:rsidRPr="00FB5FC4">
        <w:rPr>
          <w:rFonts w:ascii="Verdana" w:eastAsia="Times New Roman" w:hAnsi="Verdana" w:cs="Arial"/>
          <w:color w:val="000000"/>
          <w:szCs w:val="24"/>
          <w:lang w:val="es-ES_tradnl" w:eastAsia="es-ES_tradnl"/>
        </w:rPr>
        <w:t xml:space="preserve">egún la jurisprudencia, la liquidación es el ajuste de cuentas donde las partes hacen un balance económico, técnico y jurídico del cumplimiento de las obligaciones que tienen a su cargo. Así lo manifestó el Consejo de Estado en la </w:t>
      </w:r>
      <w:r>
        <w:rPr>
          <w:rFonts w:ascii="Verdana" w:eastAsia="Times New Roman" w:hAnsi="Verdana" w:cs="Arial"/>
          <w:color w:val="000000"/>
          <w:szCs w:val="24"/>
          <w:lang w:val="es-ES_tradnl" w:eastAsia="es-ES_tradnl"/>
        </w:rPr>
        <w:t>S</w:t>
      </w:r>
      <w:r w:rsidRPr="00FB5FC4">
        <w:rPr>
          <w:rFonts w:ascii="Verdana" w:eastAsia="Times New Roman" w:hAnsi="Verdana" w:cs="Arial"/>
          <w:color w:val="000000"/>
          <w:szCs w:val="24"/>
          <w:lang w:val="es-ES_tradnl" w:eastAsia="es-ES_tradnl"/>
        </w:rPr>
        <w:t xml:space="preserve">entencia del 20 de octubre de 2014, en la que consideró, por un lado, que </w:t>
      </w:r>
      <w:r w:rsidRPr="00FB5FC4">
        <w:rPr>
          <w:rFonts w:ascii="Verdana" w:eastAsia="Times New Roman" w:hAnsi="Verdana" w:cs="Arial"/>
          <w:i/>
          <w:iCs/>
          <w:color w:val="000000"/>
          <w:szCs w:val="24"/>
          <w:lang w:val="es-ES_tradnl" w:eastAsia="es-ES_tradnl"/>
        </w:rPr>
        <w:t>liquidar</w:t>
      </w:r>
      <w:r w:rsidRPr="00FB5FC4">
        <w:rPr>
          <w:rFonts w:ascii="Verdana" w:eastAsia="Times New Roman" w:hAnsi="Verdana" w:cs="Arial"/>
          <w:color w:val="000000"/>
          <w:szCs w:val="24"/>
          <w:lang w:val="es-ES_tradnl" w:eastAsia="es-ES_tradnl"/>
        </w:rPr>
        <w:t xml:space="preserve"> supone un ajuste en relación con las cuentas y el estado de cumplimiento del contrato estatal y, por el otro, que la </w:t>
      </w:r>
      <w:r w:rsidRPr="00FB5FC4">
        <w:rPr>
          <w:rFonts w:ascii="Verdana" w:eastAsia="Times New Roman" w:hAnsi="Verdana" w:cs="Arial"/>
          <w:i/>
          <w:iCs/>
          <w:color w:val="000000"/>
          <w:szCs w:val="24"/>
          <w:lang w:val="es-ES_tradnl" w:eastAsia="es-ES_tradnl"/>
        </w:rPr>
        <w:t>liquidación</w:t>
      </w:r>
      <w:r w:rsidRPr="00FB5FC4">
        <w:rPr>
          <w:rFonts w:ascii="Verdana" w:eastAsia="Times New Roman" w:hAnsi="Verdana" w:cs="Arial"/>
          <w:color w:val="000000"/>
          <w:szCs w:val="24"/>
          <w:lang w:val="es-ES_tradnl" w:eastAsia="es-ES_tradnl"/>
        </w:rPr>
        <w:t xml:space="preserve"> debe incluir el análisis de las condiciones de calidad y oportunidad en la entrega de los bienes, obras o </w:t>
      </w:r>
      <w:r w:rsidRPr="00FB5FC4">
        <w:rPr>
          <w:rFonts w:ascii="Verdana" w:eastAsia="Times New Roman" w:hAnsi="Verdana" w:cs="Arial"/>
          <w:color w:val="000000"/>
          <w:szCs w:val="24"/>
          <w:lang w:val="es-ES_tradnl" w:eastAsia="es-ES_tradnl"/>
        </w:rPr>
        <w:lastRenderedPageBreak/>
        <w:t>servicios, así como el balance económico y el comportamiento financiero del negocio</w:t>
      </w:r>
      <w:r w:rsidRPr="00FB5FC4">
        <w:rPr>
          <w:rFonts w:ascii="Verdana" w:eastAsia="Times New Roman" w:hAnsi="Verdana" w:cs="Arial"/>
          <w:color w:val="000000"/>
          <w:szCs w:val="24"/>
          <w:vertAlign w:val="superscript"/>
          <w:lang w:val="es-ES_tradnl" w:eastAsia="es-ES_tradnl"/>
        </w:rPr>
        <w:footnoteReference w:id="4"/>
      </w:r>
      <w:r w:rsidRPr="00FB5FC4">
        <w:rPr>
          <w:rFonts w:ascii="Verdana" w:eastAsia="Times New Roman" w:hAnsi="Verdana" w:cs="Arial"/>
          <w:color w:val="000000"/>
          <w:szCs w:val="24"/>
          <w:lang w:val="es-ES_tradnl" w:eastAsia="es-ES_tradnl"/>
        </w:rPr>
        <w:t xml:space="preserve">. </w:t>
      </w:r>
    </w:p>
    <w:p w14:paraId="3F3D6A88" w14:textId="77777777" w:rsidR="00C92EDD" w:rsidRPr="00FB5FC4" w:rsidRDefault="00C92EDD" w:rsidP="00C92EDD">
      <w:pPr>
        <w:spacing w:after="0" w:line="276" w:lineRule="auto"/>
        <w:ind w:firstLine="709"/>
        <w:jc w:val="both"/>
        <w:rPr>
          <w:rFonts w:ascii="Verdana" w:eastAsia="Calibri" w:hAnsi="Verdana" w:cs="Arial"/>
          <w:color w:val="000000"/>
          <w:lang w:val="es-ES_tradnl"/>
        </w:rPr>
      </w:pPr>
      <w:r w:rsidRPr="00FB5FC4">
        <w:rPr>
          <w:rFonts w:ascii="Verdana" w:eastAsia="Calibri" w:hAnsi="Verdana" w:cs="Arial"/>
          <w:color w:val="000000"/>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322CB48E" w14:textId="77777777" w:rsidR="00C92EDD" w:rsidRPr="00D71733" w:rsidRDefault="00C92EDD" w:rsidP="00C92EDD">
      <w:pPr>
        <w:spacing w:after="0" w:line="276" w:lineRule="auto"/>
        <w:ind w:firstLine="708"/>
        <w:jc w:val="both"/>
        <w:rPr>
          <w:rFonts w:ascii="Verdana" w:eastAsia="Calibri" w:hAnsi="Verdana" w:cs="Arial"/>
          <w:lang w:val="es-ES"/>
        </w:rPr>
      </w:pPr>
    </w:p>
    <w:p w14:paraId="78177A8F" w14:textId="77777777" w:rsidR="00C92EDD" w:rsidRPr="00D71733" w:rsidRDefault="00C92EDD" w:rsidP="00C92EDD">
      <w:pPr>
        <w:spacing w:after="0" w:line="240" w:lineRule="auto"/>
        <w:ind w:left="709" w:right="758"/>
        <w:jc w:val="both"/>
        <w:rPr>
          <w:rFonts w:ascii="Verdana" w:eastAsia="Calibri" w:hAnsi="Verdana" w:cs="Arial"/>
          <w:sz w:val="21"/>
          <w:szCs w:val="21"/>
          <w:lang w:val="es-MX"/>
        </w:rPr>
      </w:pPr>
      <w:r w:rsidRPr="00D71733">
        <w:rPr>
          <w:rFonts w:ascii="Verdana" w:eastAsia="Calibri" w:hAnsi="Verdana" w:cs="Arial"/>
          <w:sz w:val="21"/>
          <w:szCs w:val="21"/>
          <w:lang w:val="es-ES"/>
        </w:rPr>
        <w:t>“</w:t>
      </w:r>
      <w:r w:rsidRPr="00D71733">
        <w:rPr>
          <w:rFonts w:ascii="Verdana" w:eastAsia="Calibri" w:hAnsi="Verdana" w:cs="Arial"/>
          <w:sz w:val="21"/>
          <w:szCs w:val="21"/>
          <w:lang w:val="es-MX"/>
        </w:rPr>
        <w:t xml:space="preserve">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w:t>
      </w:r>
      <w:r>
        <w:rPr>
          <w:rFonts w:ascii="Verdana" w:eastAsia="Calibri" w:hAnsi="Verdana" w:cs="Arial"/>
          <w:sz w:val="23"/>
          <w:szCs w:val="23"/>
          <w:lang w:val="es-MX"/>
        </w:rPr>
        <w:t>‘</w:t>
      </w:r>
      <w:r w:rsidRPr="00D71733">
        <w:rPr>
          <w:rFonts w:ascii="Verdana" w:eastAsia="Calibri" w:hAnsi="Verdana" w:cs="Arial"/>
          <w:sz w:val="21"/>
          <w:szCs w:val="21"/>
          <w:lang w:val="es-MX"/>
        </w:rPr>
        <w:t>los acuerdos, conciliaciones y transacciones a que llegaren las partes para poner fin a las divergencias presentadas y poder declararse a paz y salvo</w:t>
      </w:r>
      <w:r>
        <w:rPr>
          <w:rFonts w:ascii="Verdana" w:eastAsia="Calibri" w:hAnsi="Verdana" w:cs="Arial"/>
          <w:sz w:val="21"/>
          <w:szCs w:val="21"/>
          <w:lang w:val="es-MX"/>
        </w:rPr>
        <w:t>’</w:t>
      </w:r>
      <w:r w:rsidRPr="00D71733">
        <w:rPr>
          <w:rFonts w:ascii="Verdana" w:eastAsia="Calibri" w:hAnsi="Verdana" w:cs="Arial"/>
          <w:sz w:val="21"/>
          <w:szCs w:val="21"/>
          <w:lang w:val="es-MX"/>
        </w:rPr>
        <w:t>”</w:t>
      </w:r>
      <w:r w:rsidRPr="00D71733">
        <w:rPr>
          <w:rFonts w:ascii="Verdana" w:eastAsia="Calibri" w:hAnsi="Verdana" w:cs="Arial"/>
          <w:sz w:val="21"/>
          <w:szCs w:val="21"/>
          <w:vertAlign w:val="superscript"/>
          <w:lang w:val="es-MX"/>
        </w:rPr>
        <w:footnoteReference w:id="5"/>
      </w:r>
      <w:r>
        <w:rPr>
          <w:rFonts w:ascii="Verdana" w:eastAsia="Calibri" w:hAnsi="Verdana" w:cs="Arial"/>
          <w:sz w:val="21"/>
          <w:szCs w:val="21"/>
          <w:lang w:val="es-MX"/>
        </w:rPr>
        <w:t>.</w:t>
      </w:r>
    </w:p>
    <w:p w14:paraId="37C5AB06" w14:textId="77777777" w:rsidR="00C92EDD" w:rsidRPr="0074179E" w:rsidRDefault="00C92EDD" w:rsidP="00C92EDD">
      <w:pPr>
        <w:spacing w:after="0" w:line="276" w:lineRule="auto"/>
        <w:ind w:left="709" w:right="758"/>
        <w:jc w:val="both"/>
        <w:rPr>
          <w:rFonts w:ascii="Verdana" w:eastAsia="Calibri" w:hAnsi="Verdana" w:cs="Arial"/>
          <w:lang w:val="es-MX"/>
        </w:rPr>
      </w:pPr>
    </w:p>
    <w:p w14:paraId="353ECE63" w14:textId="77777777" w:rsidR="00C92EDD" w:rsidRPr="00FB5FC4" w:rsidRDefault="00C92EDD" w:rsidP="00C92EDD">
      <w:pPr>
        <w:spacing w:after="120" w:line="276" w:lineRule="auto"/>
        <w:ind w:firstLine="708"/>
        <w:jc w:val="both"/>
        <w:rPr>
          <w:rFonts w:ascii="Verdana" w:eastAsia="Calibri" w:hAnsi="Verdana" w:cs="Arial"/>
          <w:color w:val="000000"/>
          <w:lang w:val="es-ES_tradnl"/>
        </w:rPr>
      </w:pPr>
      <w:r w:rsidRPr="00FB5FC4">
        <w:rPr>
          <w:rFonts w:ascii="Verdana" w:eastAsia="Calibri" w:hAnsi="Verdana" w:cs="Arial"/>
          <w:color w:val="000000"/>
          <w:lang w:val="es-ES_tradnl"/>
        </w:rPr>
        <w:t>Así las cosas, de acuerdo con el artículo 60 de la Ley 80 de 1993, los contratos de tracto sucesivo, aquellos cuyo cumplimiento o ejecución se prolongue en el tiempo y los demás que lo requieran “</w:t>
      </w:r>
      <w:r w:rsidRPr="00D71733">
        <w:rPr>
          <w:rFonts w:ascii="Verdana" w:eastAsia="Calibri" w:hAnsi="Verdana" w:cs="Arial"/>
          <w:color w:val="000000"/>
          <w:lang w:val="es-ES_tradnl"/>
        </w:rPr>
        <w:t>serán objeto de liquidación</w:t>
      </w:r>
      <w:r w:rsidRPr="00FB5FC4">
        <w:rPr>
          <w:rFonts w:ascii="Verdana" w:eastAsia="Calibri" w:hAnsi="Verdana" w:cs="Arial"/>
          <w:color w:val="000000"/>
          <w:lang w:val="es-ES_tradnl"/>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FB5FC4">
        <w:rPr>
          <w:rFonts w:ascii="Verdana" w:eastAsia="Calibri" w:hAnsi="Verdana" w:cs="Arial"/>
          <w:color w:val="000000"/>
          <w:vertAlign w:val="superscript"/>
          <w:lang w:val="es-ES_tradnl"/>
        </w:rPr>
        <w:footnoteReference w:id="6"/>
      </w:r>
      <w:r w:rsidRPr="00FB5FC4">
        <w:rPr>
          <w:rFonts w:ascii="Verdana" w:eastAsia="Calibri" w:hAnsi="Verdana" w:cs="Arial"/>
          <w:color w:val="000000"/>
          <w:lang w:val="es-ES_tradnl"/>
        </w:rPr>
        <w:t xml:space="preserve">, así como la probabilidad de que puedan surgir diferencias durante la ejecución del contrato; sin perjuicio de que, como </w:t>
      </w:r>
      <w:r w:rsidRPr="00FB5FC4">
        <w:rPr>
          <w:rFonts w:ascii="Verdana" w:eastAsia="Calibri" w:hAnsi="Verdana" w:cs="Arial"/>
          <w:color w:val="000000"/>
          <w:lang w:val="es-ES_tradnl"/>
        </w:rPr>
        <w:lastRenderedPageBreak/>
        <w:t xml:space="preserve">se indicó, todos los contratos estatales de </w:t>
      </w:r>
      <w:r w:rsidRPr="00FB5FC4">
        <w:rPr>
          <w:rFonts w:ascii="Verdana" w:eastAsia="Calibri" w:hAnsi="Verdana" w:cs="Arial"/>
          <w:i/>
          <w:iCs/>
          <w:color w:val="000000"/>
          <w:lang w:val="es-ES_tradnl"/>
        </w:rPr>
        <w:t>tracto sucesivo</w:t>
      </w:r>
      <w:r w:rsidRPr="00FB5FC4">
        <w:rPr>
          <w:rFonts w:ascii="Verdana" w:eastAsia="Calibri" w:hAnsi="Verdana" w:cs="Arial"/>
          <w:color w:val="000000"/>
          <w:lang w:val="es-ES_tradnl"/>
        </w:rPr>
        <w:t xml:space="preserve"> o aquellos cuya ejecución se prolongue en el tiempo siempre deban liquidarse, convirtiéndose en estos contratos en una cláusula de la naturaleza, conforme a la clasificación prevista en el Código Civil.</w:t>
      </w:r>
    </w:p>
    <w:p w14:paraId="45807133" w14:textId="77777777" w:rsidR="00C92EDD" w:rsidRPr="00FB5FC4" w:rsidRDefault="00C92EDD" w:rsidP="00C92EDD">
      <w:pPr>
        <w:spacing w:after="120" w:line="276" w:lineRule="auto"/>
        <w:ind w:firstLine="708"/>
        <w:jc w:val="both"/>
        <w:rPr>
          <w:rFonts w:ascii="Verdana" w:eastAsia="Calibri" w:hAnsi="Verdana" w:cs="Arial"/>
          <w:color w:val="000000"/>
          <w:lang w:val="es-ES"/>
        </w:rPr>
      </w:pPr>
      <w:r w:rsidRPr="48F52B08">
        <w:rPr>
          <w:rFonts w:ascii="Verdana" w:eastAsia="Calibri" w:hAnsi="Verdana" w:cs="Arial"/>
          <w:color w:val="000000"/>
          <w:lang w:val="es-ES"/>
        </w:rPr>
        <w:t>Por su parte, el artículo 11 de la Ley 1150 de 2007 contiene las reglas de tipo procedimental para liquidar los contratos estatales, las cuales se pasan a explicar</w:t>
      </w:r>
      <w:r w:rsidRPr="48F52B08">
        <w:rPr>
          <w:rFonts w:ascii="Verdana" w:eastAsia="Calibri" w:hAnsi="Verdana" w:cs="Arial"/>
          <w:color w:val="000000"/>
          <w:vertAlign w:val="superscript"/>
          <w:lang w:val="es-ES"/>
        </w:rPr>
        <w:footnoteReference w:id="7"/>
      </w:r>
      <w:r w:rsidRPr="48F52B08">
        <w:rPr>
          <w:rFonts w:ascii="Verdana" w:eastAsia="Calibri" w:hAnsi="Verdana" w:cs="Arial"/>
          <w:color w:val="000000"/>
          <w:lang w:val="es-ES"/>
        </w:rPr>
        <w:t xml:space="preserve">.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48F52B08">
        <w:rPr>
          <w:rFonts w:ascii="Verdana" w:eastAsia="Calibri" w:hAnsi="Verdana" w:cs="Arial"/>
          <w:color w:val="000000"/>
          <w:lang w:val="es-ES"/>
        </w:rPr>
        <w:t>ii</w:t>
      </w:r>
      <w:proofErr w:type="spellEnd"/>
      <w:r w:rsidRPr="48F52B08">
        <w:rPr>
          <w:rFonts w:ascii="Verdana" w:eastAsia="Calibri" w:hAnsi="Verdana" w:cs="Arial"/>
          <w:color w:val="000000"/>
          <w:lang w:val="es-ES"/>
        </w:rPr>
        <w:t xml:space="preserve">) la expedición del acto administrativo que ordene la terminación del contrato; o, </w:t>
      </w:r>
      <w:proofErr w:type="spellStart"/>
      <w:r w:rsidRPr="48F52B08">
        <w:rPr>
          <w:rFonts w:ascii="Verdana" w:eastAsia="Calibri" w:hAnsi="Verdana" w:cs="Arial"/>
          <w:color w:val="000000"/>
          <w:lang w:val="es-ES"/>
        </w:rPr>
        <w:t>iii</w:t>
      </w:r>
      <w:proofErr w:type="spellEnd"/>
      <w:r w:rsidRPr="48F52B08">
        <w:rPr>
          <w:rFonts w:ascii="Verdana" w:eastAsia="Calibri" w:hAnsi="Verdana" w:cs="Arial"/>
          <w:color w:val="000000"/>
          <w:lang w:val="es-ES"/>
        </w:rPr>
        <w:t>) la fecha del acuerdo que disponga la terminación del contrato.</w:t>
      </w:r>
    </w:p>
    <w:p w14:paraId="6B838512" w14:textId="77777777" w:rsidR="00C92EDD" w:rsidRPr="004B5D6E" w:rsidRDefault="00C92EDD" w:rsidP="00C92EDD">
      <w:pPr>
        <w:spacing w:after="120" w:line="276" w:lineRule="auto"/>
        <w:ind w:firstLine="709"/>
        <w:jc w:val="both"/>
        <w:rPr>
          <w:rFonts w:ascii="Verdana" w:eastAsia="Times New Roman" w:hAnsi="Verdana" w:cs="Arial"/>
          <w:lang w:val="es-ES_tradnl" w:eastAsia="es-ES_tradnl"/>
        </w:rPr>
      </w:pPr>
      <w:r w:rsidRPr="00FB5FC4">
        <w:rPr>
          <w:rFonts w:ascii="Verdana" w:eastAsia="Times New Roman" w:hAnsi="Verdana" w:cs="Arial"/>
          <w:szCs w:val="24"/>
          <w:lang w:val="es-ES_tradnl" w:eastAsia="es-ES_tradnl"/>
        </w:rPr>
        <w:t xml:space="preserve">El </w:t>
      </w:r>
      <w:r w:rsidRPr="004B5D6E">
        <w:rPr>
          <w:rFonts w:ascii="Verdana" w:eastAsia="Times New Roman" w:hAnsi="Verdana" w:cs="Arial"/>
          <w:szCs w:val="24"/>
          <w:lang w:val="es-ES_tradnl" w:eastAsia="es-ES_tradnl"/>
        </w:rPr>
        <w:t>artículo 11 de la Ley 1150 de 2007 señala que la liquidación de mutuo acuerdo deberá realizar dentro del plazo previsto en “</w:t>
      </w:r>
      <w:r w:rsidRPr="004B5D6E">
        <w:rPr>
          <w:rFonts w:ascii="Verdana" w:eastAsia="Times New Roman" w:hAnsi="Verdana" w:cs="Arial"/>
          <w:lang w:val="es-ES_tradnl" w:eastAsia="es-ES_tradnl"/>
        </w:rPr>
        <w:t>los pliegos de condiciones o sus equivalentes, o dentro del que acuerden las partes para el efecto”. Para dilucidar a qué se refiere la norma con “equivalentes” resulta necesario tener presente que el pliego de condiciones es un documento contentivo de las reglas aplicables a un determinado proceso de selección, que “</w:t>
      </w:r>
      <w:r w:rsidRPr="004B5D6E">
        <w:rPr>
          <w:rFonts w:ascii="Verdana" w:eastAsia="Times New Roman" w:hAnsi="Verdana" w:cs="Arial"/>
          <w:szCs w:val="24"/>
          <w:lang w:val="es-ES_tradnl" w:eastAsia="es-ES_tradn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w:t>
      </w:r>
      <w:r w:rsidRPr="004B5D6E">
        <w:rPr>
          <w:rFonts w:ascii="Verdana" w:eastAsia="Times New Roman" w:hAnsi="Verdana" w:cs="Arial"/>
          <w:lang w:val="es-ES_tradnl" w:eastAsia="es-ES_tradnl"/>
        </w:rPr>
        <w:t xml:space="preserve">] constituye la ley tanto del procedimiento administrativo </w:t>
      </w:r>
      <w:r w:rsidRPr="004B5D6E">
        <w:rPr>
          <w:rFonts w:ascii="Verdana" w:eastAsia="Times New Roman" w:hAnsi="Verdana" w:cs="Arial"/>
          <w:lang w:val="es-ES_tradnl" w:eastAsia="es-ES_tradnl"/>
        </w:rPr>
        <w:lastRenderedPageBreak/>
        <w:t>de selección del contratista, como del contrato a</w:t>
      </w:r>
      <w:r w:rsidRPr="004B5D6E">
        <w:rPr>
          <w:rFonts w:ascii="Verdana" w:eastAsia="Times New Roman" w:hAnsi="Verdana" w:cs="Arial"/>
          <w:spacing w:val="-7"/>
          <w:lang w:val="es-ES_tradnl" w:eastAsia="es-ES_tradnl"/>
        </w:rPr>
        <w:t xml:space="preserve"> </w:t>
      </w:r>
      <w:r w:rsidRPr="004B5D6E">
        <w:rPr>
          <w:rFonts w:ascii="Verdana" w:eastAsia="Times New Roman" w:hAnsi="Verdana" w:cs="Arial"/>
          <w:lang w:val="es-ES_tradnl" w:eastAsia="es-ES_tradnl"/>
        </w:rPr>
        <w:t>celebrar”</w:t>
      </w:r>
      <w:r w:rsidRPr="004B5D6E">
        <w:rPr>
          <w:rFonts w:ascii="Verdana" w:eastAsia="Times New Roman" w:hAnsi="Verdana" w:cs="Arial"/>
          <w:vertAlign w:val="superscript"/>
          <w:lang w:val="es-ES_tradnl" w:eastAsia="es-ES_tradnl"/>
        </w:rPr>
        <w:footnoteReference w:id="8"/>
      </w:r>
      <w:r w:rsidRPr="004B5D6E">
        <w:rPr>
          <w:rFonts w:ascii="Verdana" w:eastAsia="Times New Roman" w:hAnsi="Verdana" w:cs="Arial"/>
          <w:lang w:val="es-ES_tradnl" w:eastAsia="es-ES_tradnl"/>
        </w:rPr>
        <w:t>. A partir de tales características debe determinarse la equivalencia de un documento con un pliego de condiciones, la cual puede ejemplificar</w:t>
      </w:r>
      <w:r>
        <w:rPr>
          <w:rFonts w:ascii="Verdana" w:eastAsia="Times New Roman" w:hAnsi="Verdana" w:cs="Arial"/>
          <w:lang w:val="es-ES_tradnl" w:eastAsia="es-ES_tradnl"/>
        </w:rPr>
        <w:t>se</w:t>
      </w:r>
      <w:r w:rsidRPr="004B5D6E">
        <w:rPr>
          <w:rFonts w:ascii="Verdana" w:eastAsia="Times New Roman" w:hAnsi="Verdana" w:cs="Arial"/>
          <w:lang w:val="es-ES_tradnl" w:eastAsia="es-ES_tradnl"/>
        </w:rPr>
        <w:t xml:space="preserve"> claramente con la invitación a participar en los procesos de mínima cuantía</w:t>
      </w:r>
      <w:r w:rsidRPr="004B5D6E">
        <w:rPr>
          <w:rFonts w:ascii="Verdana" w:eastAsia="Times New Roman" w:hAnsi="Verdana" w:cs="Arial"/>
          <w:vertAlign w:val="superscript"/>
          <w:lang w:val="es-ES_tradnl" w:eastAsia="es-ES_tradnl"/>
        </w:rPr>
        <w:footnoteReference w:id="9"/>
      </w:r>
      <w:r w:rsidRPr="004B5D6E">
        <w:rPr>
          <w:rFonts w:ascii="Verdana" w:eastAsia="Times New Roman" w:hAnsi="Verdana" w:cs="Arial"/>
          <w:lang w:val="es-ES_tradnl" w:eastAsia="es-ES_tradnl"/>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r w:rsidRPr="0074179E">
        <w:rPr>
          <w:rFonts w:ascii="Verdana" w:eastAsia="Times New Roman" w:hAnsi="Verdana" w:cs="Arial"/>
          <w:i/>
          <w:iCs/>
          <w:lang w:val="es-ES_tradnl" w:eastAsia="es-ES_tradnl"/>
        </w:rPr>
        <w:t>ibidem</w:t>
      </w:r>
      <w:r w:rsidRPr="004B5D6E">
        <w:rPr>
          <w:rFonts w:ascii="Verdana" w:eastAsia="Times New Roman" w:hAnsi="Verdana" w:cs="Arial"/>
          <w:lang w:val="es-ES_tradnl" w:eastAsia="es-ES_tradnl"/>
        </w:rPr>
        <w:t xml:space="preserve">, dentro del cual es viable establecer el plazo para la liquidación de mutuo acuerdo. </w:t>
      </w:r>
    </w:p>
    <w:p w14:paraId="2F94F1AF" w14:textId="77777777" w:rsidR="00C92EDD" w:rsidRPr="00FB5FC4" w:rsidRDefault="00C92EDD" w:rsidP="00C92EDD">
      <w:pPr>
        <w:spacing w:after="120" w:line="276" w:lineRule="auto"/>
        <w:ind w:firstLine="709"/>
        <w:jc w:val="both"/>
        <w:rPr>
          <w:rFonts w:ascii="Verdana" w:eastAsia="Times New Roman" w:hAnsi="Verdana" w:cs="Arial"/>
          <w:lang w:val="es-ES" w:eastAsia="es-ES"/>
        </w:rPr>
      </w:pPr>
      <w:r w:rsidRPr="48F52B08">
        <w:rPr>
          <w:rFonts w:ascii="Verdana" w:eastAsia="Times New Roman" w:hAnsi="Verdana" w:cs="Arial"/>
          <w:lang w:val="es-ES" w:eastAsia="es-ES"/>
        </w:rPr>
        <w:t>De otra parte, cuando el artículo 11 de la Ley 1150 de 2007 hace referencia al término que “acuerden las partes”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implica una modificación del contrato. Por tal razón, su celebración debe cumplir con los requisitos del negocio jurídico, ameritando la concurrencia de capacidad jurídica de los agentes, un consentimiento libre de vicios, un objeto y causa lícita, así como la formalidad escrita requerida en materia de contratación estatal</w:t>
      </w:r>
      <w:r w:rsidRPr="48F52B08">
        <w:rPr>
          <w:rFonts w:ascii="Verdana" w:eastAsia="Times New Roman" w:hAnsi="Verdana" w:cs="Arial"/>
          <w:vertAlign w:val="superscript"/>
          <w:lang w:val="es-ES" w:eastAsia="es-ES"/>
        </w:rPr>
        <w:footnoteReference w:id="10"/>
      </w:r>
      <w:r w:rsidRPr="48F52B08">
        <w:rPr>
          <w:rFonts w:ascii="Verdana" w:eastAsia="Times New Roman" w:hAnsi="Verdana" w:cs="Arial"/>
          <w:lang w:val="es-ES" w:eastAsia="es-ES"/>
        </w:rPr>
        <w:t xml:space="preserve">. </w:t>
      </w:r>
    </w:p>
    <w:p w14:paraId="0008A0DE" w14:textId="77777777" w:rsidR="00C92EDD" w:rsidRPr="00FB5FC4" w:rsidRDefault="00C92EDD" w:rsidP="00C92EDD">
      <w:pPr>
        <w:spacing w:after="120" w:line="276" w:lineRule="auto"/>
        <w:ind w:firstLine="709"/>
        <w:jc w:val="both"/>
        <w:rPr>
          <w:rFonts w:ascii="Verdana" w:eastAsia="Calibri" w:hAnsi="Verdana" w:cs="Arial"/>
          <w:lang w:val="es-ES"/>
        </w:rPr>
      </w:pPr>
      <w:r w:rsidRPr="48F52B08">
        <w:rPr>
          <w:rFonts w:ascii="Verdana" w:eastAsia="Calibri" w:hAnsi="Verdana" w:cs="Arial"/>
          <w:lang w:val="es-ES"/>
        </w:rPr>
        <w:lastRenderedPageBreak/>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48F52B08">
        <w:rPr>
          <w:rFonts w:ascii="Verdana" w:eastAsia="Calibri" w:hAnsi="Verdana" w:cs="Arial"/>
          <w:vertAlign w:val="superscript"/>
          <w:lang w:val="es-ES"/>
        </w:rPr>
        <w:footnoteReference w:id="11"/>
      </w:r>
      <w:r w:rsidRPr="48F52B08">
        <w:rPr>
          <w:rFonts w:ascii="Verdana" w:eastAsia="Calibri" w:hAnsi="Verdana" w:cs="Arial"/>
          <w:lang w:val="es-ES"/>
        </w:rPr>
        <w:t>, lo cual implica que las mismas se desarrollen en procura de la economía y la celeridad</w:t>
      </w:r>
      <w:r w:rsidRPr="48F52B08">
        <w:rPr>
          <w:rFonts w:ascii="Verdana" w:eastAsia="Calibri" w:hAnsi="Verdana" w:cs="Arial"/>
          <w:vertAlign w:val="superscript"/>
          <w:lang w:val="es-ES"/>
        </w:rPr>
        <w:footnoteReference w:id="12"/>
      </w:r>
      <w:r w:rsidRPr="48F52B08">
        <w:rPr>
          <w:rFonts w:ascii="Verdana" w:eastAsia="Calibri" w:hAnsi="Verdana" w:cs="Arial"/>
          <w:lang w:val="es-ES"/>
        </w:rPr>
        <w:t>. Esto significa que, en ejercicio de la facultad que les asiste para fijar el plazo para la liquidación bilateral, las partes deben actuar en garantía de estos principios, por lo que el término que se acuerde debe fijarse de manera razonable.</w:t>
      </w:r>
    </w:p>
    <w:p w14:paraId="66101367" w14:textId="77777777" w:rsidR="00C92EDD" w:rsidRPr="00FB5FC4" w:rsidRDefault="00C92EDD" w:rsidP="00C92EDD">
      <w:pPr>
        <w:spacing w:after="120" w:line="276" w:lineRule="auto"/>
        <w:ind w:firstLine="709"/>
        <w:jc w:val="both"/>
        <w:rPr>
          <w:rFonts w:ascii="Verdana" w:eastAsia="Calibri" w:hAnsi="Verdana" w:cs="Arial"/>
          <w:color w:val="000000"/>
          <w:lang w:val="es-ES_tradnl"/>
        </w:rPr>
      </w:pPr>
      <w:r w:rsidRPr="00FB5FC4">
        <w:rPr>
          <w:rFonts w:ascii="Verdana" w:eastAsia="Calibri" w:hAnsi="Verdana" w:cs="Arial"/>
          <w:color w:val="000000"/>
          <w:lang w:val="es-ES_tradnl"/>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FB5FC4">
        <w:rPr>
          <w:rFonts w:ascii="Verdana" w:eastAsia="Calibri" w:hAnsi="Verdana" w:cs="Arial"/>
          <w:color w:val="000000"/>
          <w:vertAlign w:val="superscript"/>
          <w:lang w:val="es-ES_tradnl"/>
        </w:rPr>
        <w:footnoteReference w:id="13"/>
      </w:r>
      <w:r w:rsidRPr="00FB5FC4">
        <w:rPr>
          <w:rFonts w:ascii="Verdana" w:eastAsia="Calibri" w:hAnsi="Verdana" w:cs="Arial"/>
          <w:color w:val="000000"/>
          <w:lang w:val="es-ES_tradnl"/>
        </w:rPr>
        <w:t>, de manera que el contrato pueda liquida</w:t>
      </w:r>
      <w:r>
        <w:rPr>
          <w:rFonts w:ascii="Verdana" w:eastAsia="Calibri" w:hAnsi="Verdana" w:cs="Arial"/>
          <w:color w:val="000000"/>
          <w:lang w:val="es-ES_tradnl"/>
        </w:rPr>
        <w:t>rse</w:t>
      </w:r>
      <w:r w:rsidRPr="00FB5FC4">
        <w:rPr>
          <w:rFonts w:ascii="Verdana" w:eastAsia="Calibri" w:hAnsi="Verdana" w:cs="Arial"/>
          <w:color w:val="000000"/>
          <w:lang w:val="es-ES_tradnl"/>
        </w:rPr>
        <w:t xml:space="preserve"> bilateralmente, bien sea en el plazo previsto en el pliego de condiciones, el acordado por las partes, o el supletivo de cuatro meses señalado en la ley, según corresponda. Esta liquidación bilateral puede ser total o parcial</w:t>
      </w:r>
      <w:r w:rsidRPr="00FB5FC4">
        <w:rPr>
          <w:rFonts w:ascii="Verdana" w:eastAsia="Calibri" w:hAnsi="Verdana" w:cs="Arial"/>
          <w:iCs/>
          <w:color w:val="000000"/>
          <w:vertAlign w:val="superscript"/>
          <w:lang w:val="es-ES_tradnl"/>
        </w:rPr>
        <w:footnoteReference w:id="14"/>
      </w:r>
      <w:r w:rsidRPr="00FB5FC4">
        <w:rPr>
          <w:rFonts w:ascii="Verdana" w:eastAsia="Calibri" w:hAnsi="Verdana" w:cs="Arial"/>
          <w:color w:val="000000"/>
          <w:lang w:val="es-ES_tradnl"/>
        </w:rPr>
        <w:t xml:space="preserve">, y </w:t>
      </w:r>
      <w:r w:rsidRPr="00FB5FC4">
        <w:rPr>
          <w:rFonts w:ascii="Verdana" w:eastAsia="Calibri" w:hAnsi="Verdana" w:cs="Arial"/>
          <w:iCs/>
          <w:color w:val="000000"/>
          <w:lang w:val="es-ES_tradnl"/>
        </w:rPr>
        <w:t xml:space="preserve">el documento </w:t>
      </w:r>
      <w:r w:rsidRPr="00FB5FC4">
        <w:rPr>
          <w:rFonts w:ascii="Verdana" w:eastAsia="Calibri" w:hAnsi="Verdana" w:cs="Arial"/>
          <w:iCs/>
          <w:color w:val="000000"/>
          <w:lang w:val="es-ES_tradnl"/>
        </w:rPr>
        <w:lastRenderedPageBreak/>
        <w:t>que la contiene presta mérito ejecutivo, siempre que se satisfagan los elementos para considerarlo como tal</w:t>
      </w:r>
      <w:r w:rsidRPr="00FB5FC4">
        <w:rPr>
          <w:rFonts w:ascii="Verdana" w:eastAsia="Calibri" w:hAnsi="Verdana" w:cs="Arial"/>
          <w:color w:val="000000"/>
          <w:lang w:val="es-ES_tradnl"/>
        </w:rPr>
        <w:t>.</w:t>
      </w:r>
    </w:p>
    <w:p w14:paraId="11C53D73" w14:textId="77777777" w:rsidR="00C92EDD" w:rsidRPr="00FB5FC4" w:rsidRDefault="00C92EDD" w:rsidP="00C92EDD">
      <w:pPr>
        <w:spacing w:after="0" w:line="276" w:lineRule="auto"/>
        <w:ind w:firstLine="705"/>
        <w:jc w:val="both"/>
        <w:rPr>
          <w:rFonts w:ascii="Verdana" w:eastAsia="Times New Roman" w:hAnsi="Verdana" w:cs="Arial"/>
          <w:color w:val="000000"/>
          <w:lang w:eastAsia="es-ES_tradnl"/>
        </w:rPr>
      </w:pPr>
      <w:r w:rsidRPr="00FB5FC4">
        <w:rPr>
          <w:rFonts w:ascii="Verdana" w:eastAsia="Times New Roman" w:hAnsi="Verdana" w:cs="Arial"/>
          <w:color w:val="000000"/>
          <w:bdr w:val="none" w:sz="0" w:space="0" w:color="auto" w:frame="1"/>
          <w:shd w:val="clear" w:color="auto" w:fill="FFFFFF"/>
          <w:lang w:val="es-ES" w:eastAsia="es-ES_tradnl"/>
        </w:rPr>
        <w:t xml:space="preserve">Si no es posible efectuar la liquidación de manera bilateral, el ordenamiento jurídico prevé una facultad, de carácter subsidiario, para que la Entidad Estatal realice la liquidación unilateralmente. En relación con este aspecto, la </w:t>
      </w:r>
      <w:r w:rsidRPr="00FB5FC4">
        <w:rPr>
          <w:rFonts w:ascii="Verdana" w:eastAsia="Times New Roman" w:hAnsi="Verdana" w:cs="Arial"/>
          <w:color w:val="000000"/>
          <w:bdr w:val="none" w:sz="0" w:space="0" w:color="auto" w:frame="1"/>
          <w:shd w:val="clear" w:color="auto" w:fill="FFFFFF"/>
          <w:lang w:val="es-MX" w:eastAsia="es-ES_tradnl"/>
        </w:rPr>
        <w:t xml:space="preserve">Sala de Consulta y Servicio Civil del </w:t>
      </w:r>
      <w:r w:rsidRPr="00FB5FC4">
        <w:rPr>
          <w:rFonts w:ascii="Verdana" w:eastAsia="Times New Roman" w:hAnsi="Verdana" w:cs="Arial"/>
          <w:color w:val="000000"/>
          <w:bdr w:val="none" w:sz="0" w:space="0" w:color="auto" w:frame="1"/>
          <w:shd w:val="clear" w:color="auto" w:fill="FFFFFF"/>
          <w:lang w:val="es-ES" w:eastAsia="es-ES_tradnl"/>
        </w:rPr>
        <w:t>Consejo de Estado</w:t>
      </w:r>
      <w:r w:rsidRPr="00FB5FC4">
        <w:rPr>
          <w:rFonts w:ascii="Verdana" w:eastAsia="Times New Roman" w:hAnsi="Verdana" w:cs="Arial"/>
          <w:color w:val="000000"/>
          <w:bdr w:val="none" w:sz="0" w:space="0" w:color="auto" w:frame="1"/>
          <w:shd w:val="clear" w:color="auto" w:fill="FFFFFF"/>
          <w:lang w:val="es-MX" w:eastAsia="es-ES_tradnl"/>
        </w:rPr>
        <w:t>, en concepto del 28 de junio de 2016, manifestó que:  </w:t>
      </w:r>
    </w:p>
    <w:p w14:paraId="56D31C86" w14:textId="77777777" w:rsidR="00C92EDD" w:rsidRPr="00FB5FC4" w:rsidRDefault="00C92EDD" w:rsidP="00C92EDD">
      <w:pPr>
        <w:spacing w:after="0" w:line="276" w:lineRule="auto"/>
        <w:ind w:left="705" w:right="750"/>
        <w:jc w:val="both"/>
        <w:rPr>
          <w:rFonts w:ascii="Verdana" w:eastAsia="Times New Roman" w:hAnsi="Verdana" w:cs="Arial"/>
          <w:color w:val="000000"/>
          <w:lang w:eastAsia="es-ES_tradnl"/>
        </w:rPr>
      </w:pPr>
    </w:p>
    <w:p w14:paraId="7BFA1FE9" w14:textId="77777777" w:rsidR="00C92EDD" w:rsidRPr="004B5D6E" w:rsidRDefault="00C92EDD" w:rsidP="00C92EDD">
      <w:pPr>
        <w:spacing w:after="0" w:line="240" w:lineRule="auto"/>
        <w:ind w:left="705" w:right="750"/>
        <w:jc w:val="both"/>
        <w:rPr>
          <w:rFonts w:ascii="Verdana" w:eastAsia="Times New Roman" w:hAnsi="Verdana" w:cs="Arial"/>
          <w:color w:val="000000"/>
          <w:sz w:val="21"/>
          <w:szCs w:val="21"/>
          <w:lang w:eastAsia="es-ES_tradnl"/>
        </w:rPr>
      </w:pPr>
      <w:r w:rsidRPr="004B5D6E">
        <w:rPr>
          <w:rFonts w:ascii="Verdana" w:eastAsia="Times New Roman" w:hAnsi="Verdana" w:cs="Arial"/>
          <w:i/>
          <w:iCs/>
          <w:sz w:val="21"/>
          <w:szCs w:val="21"/>
          <w:lang w:val="es-ES_tradnl" w:eastAsia="es-ES_tradnl"/>
        </w:rPr>
        <w:t>“</w:t>
      </w:r>
      <w:r w:rsidRPr="004B5D6E">
        <w:rPr>
          <w:rFonts w:ascii="Verdana" w:eastAsia="Calibri" w:hAnsi="Verdana" w:cs="Arial"/>
          <w:color w:val="000000"/>
          <w:sz w:val="21"/>
          <w:szCs w:val="21"/>
          <w:lang w:val="es-ES" w:eastAsia="es-ES_tradnl"/>
        </w:rPr>
        <w:t>[</w:t>
      </w:r>
      <w:r w:rsidRPr="004B5D6E">
        <w:rPr>
          <w:rFonts w:ascii="Verdana" w:eastAsia="Times New Roman" w:hAnsi="Verdana" w:cs="Arial"/>
          <w:color w:val="000000"/>
          <w:sz w:val="21"/>
          <w:szCs w:val="21"/>
          <w:bdr w:val="none" w:sz="0" w:space="0" w:color="auto" w:frame="1"/>
          <w:shd w:val="clear" w:color="auto" w:fill="FFFFFF"/>
          <w:lang w:eastAsia="es-ES_tradnl"/>
        </w:rPr>
        <w:t>…]</w:t>
      </w:r>
      <w:r w:rsidRPr="004B5D6E">
        <w:rPr>
          <w:rFonts w:ascii="Verdana" w:eastAsia="Times New Roman" w:hAnsi="Verdana" w:cs="Arial"/>
          <w:color w:val="000000"/>
          <w:sz w:val="21"/>
          <w:szCs w:val="21"/>
          <w:bdr w:val="none" w:sz="0" w:space="0" w:color="auto" w:frame="1"/>
          <w:shd w:val="clear" w:color="auto" w:fill="FFFFFF"/>
          <w:lang w:val="es-ES" w:eastAsia="es-ES_tradnl"/>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Pr>
          <w:rFonts w:ascii="Verdana" w:eastAsia="Times New Roman" w:hAnsi="Verdana" w:cs="Arial"/>
          <w:color w:val="000000"/>
          <w:sz w:val="21"/>
          <w:szCs w:val="21"/>
          <w:bdr w:val="none" w:sz="0" w:space="0" w:color="auto" w:frame="1"/>
          <w:shd w:val="clear" w:color="auto" w:fill="FFFFFF"/>
          <w:lang w:val="es-ES" w:eastAsia="es-ES_tradnl"/>
        </w:rPr>
        <w:t>”</w:t>
      </w:r>
      <w:r w:rsidRPr="00E232EE">
        <w:rPr>
          <w:rFonts w:ascii="Verdana" w:eastAsia="Times New Roman" w:hAnsi="Verdana" w:cs="Arial"/>
          <w:color w:val="000000"/>
          <w:sz w:val="21"/>
          <w:szCs w:val="21"/>
          <w:bdr w:val="none" w:sz="0" w:space="0" w:color="auto" w:frame="1"/>
          <w:shd w:val="clear" w:color="auto" w:fill="FFFFFF"/>
          <w:vertAlign w:val="superscript"/>
          <w:lang w:val="es-MX" w:eastAsia="es-ES_tradnl"/>
        </w:rPr>
        <w:footnoteReference w:id="15"/>
      </w:r>
      <w:r w:rsidRPr="004B5D6E">
        <w:rPr>
          <w:rFonts w:ascii="Verdana" w:eastAsia="Times New Roman" w:hAnsi="Verdana" w:cs="Arial"/>
          <w:color w:val="000000"/>
          <w:sz w:val="21"/>
          <w:szCs w:val="21"/>
          <w:bdr w:val="none" w:sz="0" w:space="0" w:color="auto" w:frame="1"/>
          <w:shd w:val="clear" w:color="auto" w:fill="FFFFFF"/>
          <w:lang w:val="es-ES" w:eastAsia="es-ES_tradnl"/>
        </w:rPr>
        <w:t>. </w:t>
      </w:r>
      <w:r w:rsidRPr="004B5D6E">
        <w:rPr>
          <w:rFonts w:ascii="Verdana" w:eastAsia="Times New Roman" w:hAnsi="Verdana" w:cs="Arial"/>
          <w:color w:val="000000"/>
          <w:sz w:val="21"/>
          <w:szCs w:val="21"/>
          <w:bdr w:val="none" w:sz="0" w:space="0" w:color="auto" w:frame="1"/>
          <w:shd w:val="clear" w:color="auto" w:fill="FFFFFF"/>
          <w:lang w:eastAsia="es-ES_tradnl"/>
        </w:rPr>
        <w:t>  </w:t>
      </w:r>
    </w:p>
    <w:p w14:paraId="45A728AD" w14:textId="77777777" w:rsidR="00C92EDD" w:rsidRPr="00FB5FC4" w:rsidRDefault="00C92EDD" w:rsidP="00C92EDD">
      <w:pPr>
        <w:spacing w:after="0" w:line="276" w:lineRule="auto"/>
        <w:ind w:left="705" w:right="750"/>
        <w:jc w:val="both"/>
        <w:rPr>
          <w:rFonts w:ascii="Verdana" w:eastAsia="Times New Roman" w:hAnsi="Verdana" w:cs="Arial"/>
          <w:color w:val="000000"/>
          <w:lang w:eastAsia="es-ES_tradnl"/>
        </w:rPr>
      </w:pPr>
    </w:p>
    <w:p w14:paraId="38D0586E" w14:textId="77777777" w:rsidR="00C92EDD" w:rsidRPr="00FB5FC4" w:rsidRDefault="00C92EDD" w:rsidP="00C92EDD">
      <w:pPr>
        <w:spacing w:after="120" w:line="276" w:lineRule="auto"/>
        <w:ind w:firstLine="705"/>
        <w:jc w:val="both"/>
        <w:rPr>
          <w:rFonts w:ascii="Verdana" w:eastAsia="Times New Roman" w:hAnsi="Verdana" w:cs="Arial"/>
          <w:color w:val="000000"/>
          <w:lang w:eastAsia="es-ES_tradnl"/>
        </w:rPr>
      </w:pPr>
      <w:bookmarkStart w:id="9" w:name="_Hlk141851266"/>
      <w:r w:rsidRPr="00FB5FC4">
        <w:rPr>
          <w:rFonts w:ascii="Verdana" w:eastAsia="Times New Roman" w:hAnsi="Verdana" w:cs="Arial"/>
          <w:color w:val="000000"/>
          <w:bdr w:val="none" w:sz="0" w:space="0" w:color="auto" w:frame="1"/>
          <w:shd w:val="clear" w:color="auto" w:fill="FFFFFF"/>
          <w:lang w:val="es-ES" w:eastAsia="es-ES_tradnl"/>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2BDD36CC" w14:textId="77777777" w:rsidR="00C92EDD" w:rsidRPr="00FB5FC4" w:rsidRDefault="00C92EDD" w:rsidP="00C92EDD">
      <w:pPr>
        <w:spacing w:after="0" w:line="276" w:lineRule="auto"/>
        <w:ind w:firstLine="705"/>
        <w:jc w:val="both"/>
        <w:rPr>
          <w:rFonts w:ascii="Verdana" w:eastAsia="Times New Roman" w:hAnsi="Verdana" w:cs="Arial"/>
          <w:color w:val="000000"/>
          <w:bdr w:val="none" w:sz="0" w:space="0" w:color="auto" w:frame="1"/>
          <w:shd w:val="clear" w:color="auto" w:fill="FFFFFF"/>
          <w:lang w:eastAsia="es-ES_tradnl"/>
        </w:rPr>
      </w:pPr>
      <w:r w:rsidRPr="00FB5FC4">
        <w:rPr>
          <w:rFonts w:ascii="Verdana" w:eastAsia="Times New Roman" w:hAnsi="Verdana" w:cs="Arial"/>
          <w:color w:val="000000"/>
          <w:bdr w:val="none" w:sz="0" w:space="0" w:color="auto" w:frame="1"/>
          <w:shd w:val="clear" w:color="auto" w:fill="FFFFFF"/>
          <w:lang w:val="es-ES" w:eastAsia="es-ES_tradnl"/>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w:t>
      </w:r>
      <w:bookmarkEnd w:id="9"/>
      <w:r w:rsidRPr="00FB5FC4">
        <w:rPr>
          <w:rFonts w:ascii="Verdana" w:eastAsia="Times New Roman" w:hAnsi="Verdana" w:cs="Arial"/>
          <w:color w:val="000000"/>
          <w:bdr w:val="none" w:sz="0" w:space="0" w:color="auto" w:frame="1"/>
          <w:shd w:val="clear" w:color="auto" w:fill="FFFFFF"/>
          <w:lang w:val="es-ES" w:eastAsia="es-ES_tradnl"/>
        </w:rPr>
        <w:t xml:space="preserve">En este sentido, en decisión de unificación de la </w:t>
      </w:r>
      <w:r w:rsidRPr="00FB5FC4">
        <w:rPr>
          <w:rFonts w:ascii="Verdana" w:eastAsia="Times New Roman" w:hAnsi="Verdana" w:cs="Arial"/>
          <w:color w:val="000000"/>
          <w:bdr w:val="none" w:sz="0" w:space="0" w:color="auto" w:frame="1"/>
          <w:shd w:val="clear" w:color="auto" w:fill="FFFFFF"/>
          <w:lang w:val="es-MX" w:eastAsia="es-ES_tradnl"/>
        </w:rPr>
        <w:t>Sección Tercera</w:t>
      </w:r>
      <w:r w:rsidRPr="00FB5FC4">
        <w:rPr>
          <w:rFonts w:ascii="Verdana" w:eastAsia="Times New Roman" w:hAnsi="Verdana" w:cs="Arial"/>
          <w:color w:val="000000"/>
          <w:bdr w:val="none" w:sz="0" w:space="0" w:color="auto" w:frame="1"/>
          <w:shd w:val="clear" w:color="auto" w:fill="FFFFFF"/>
          <w:lang w:val="es-ES" w:eastAsia="es-ES_tradnl"/>
        </w:rPr>
        <w:t xml:space="preserve"> del Consejo de Estado del</w:t>
      </w:r>
      <w:r w:rsidRPr="00FB5FC4">
        <w:rPr>
          <w:rFonts w:ascii="Verdana" w:eastAsia="Times New Roman" w:hAnsi="Verdana" w:cs="Arial"/>
          <w:color w:val="000000"/>
          <w:bdr w:val="none" w:sz="0" w:space="0" w:color="auto" w:frame="1"/>
          <w:shd w:val="clear" w:color="auto" w:fill="FFFFFF"/>
          <w:lang w:val="es-MX" w:eastAsia="es-ES_tradnl"/>
        </w:rPr>
        <w:t> </w:t>
      </w:r>
      <w:r w:rsidRPr="00FB5FC4">
        <w:rPr>
          <w:rFonts w:ascii="Verdana" w:eastAsia="Times New Roman" w:hAnsi="Verdana" w:cs="Arial"/>
          <w:color w:val="000000"/>
          <w:bdr w:val="none" w:sz="0" w:space="0" w:color="auto" w:frame="1"/>
          <w:shd w:val="clear" w:color="auto" w:fill="FFFFFF"/>
          <w:lang w:eastAsia="es-ES_tradnl"/>
        </w:rPr>
        <w:t>1 de agosto de 2019, se expresó: </w:t>
      </w:r>
    </w:p>
    <w:p w14:paraId="608C0AD9" w14:textId="77777777" w:rsidR="00C92EDD" w:rsidRPr="00FB5FC4" w:rsidRDefault="00C92EDD" w:rsidP="00C92EDD">
      <w:pPr>
        <w:spacing w:after="0" w:line="276" w:lineRule="auto"/>
        <w:ind w:firstLine="705"/>
        <w:jc w:val="both"/>
        <w:rPr>
          <w:rFonts w:ascii="Verdana" w:eastAsia="Times New Roman" w:hAnsi="Verdana" w:cs="Arial"/>
          <w:color w:val="000000"/>
          <w:lang w:eastAsia="es-ES_tradnl"/>
        </w:rPr>
      </w:pPr>
    </w:p>
    <w:p w14:paraId="7788FF65" w14:textId="77777777" w:rsidR="00C92EDD" w:rsidRPr="004B5D6E" w:rsidRDefault="00C92EDD" w:rsidP="00C92EDD">
      <w:pPr>
        <w:spacing w:after="0" w:line="240" w:lineRule="auto"/>
        <w:ind w:left="705" w:right="750"/>
        <w:jc w:val="both"/>
        <w:rPr>
          <w:rFonts w:ascii="Verdana" w:eastAsia="Times New Roman" w:hAnsi="Verdana" w:cs="Arial"/>
          <w:color w:val="000000"/>
          <w:sz w:val="21"/>
          <w:szCs w:val="21"/>
          <w:lang w:eastAsia="es-ES_tradnl"/>
        </w:rPr>
      </w:pPr>
      <w:r w:rsidRPr="004B5D6E">
        <w:rPr>
          <w:rFonts w:ascii="Verdana" w:eastAsia="Times New Roman" w:hAnsi="Verdana" w:cs="Arial"/>
          <w:sz w:val="21"/>
          <w:szCs w:val="21"/>
          <w:lang w:val="es-ES_tradnl" w:eastAsia="es-ES_tradnl"/>
        </w:rPr>
        <w:t>“</w:t>
      </w:r>
      <w:r w:rsidRPr="004B5D6E">
        <w:rPr>
          <w:rFonts w:ascii="Verdana" w:eastAsia="Times New Roman" w:hAnsi="Verdana" w:cs="Arial"/>
          <w:color w:val="000000"/>
          <w:sz w:val="21"/>
          <w:szCs w:val="21"/>
          <w:bdr w:val="none" w:sz="0" w:space="0" w:color="auto" w:frame="1"/>
          <w:shd w:val="clear" w:color="auto" w:fill="FFFFFF"/>
          <w:lang w:val="es-ES" w:eastAsia="es-ES_tradnl"/>
        </w:rPr>
        <w:t xml:space="preserve">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w:t>
      </w:r>
      <w:r w:rsidRPr="004B5D6E">
        <w:rPr>
          <w:rFonts w:ascii="Verdana" w:eastAsia="Times New Roman" w:hAnsi="Verdana" w:cs="Arial"/>
          <w:color w:val="000000"/>
          <w:sz w:val="21"/>
          <w:szCs w:val="21"/>
          <w:bdr w:val="none" w:sz="0" w:space="0" w:color="auto" w:frame="1"/>
          <w:shd w:val="clear" w:color="auto" w:fill="FFFFFF"/>
          <w:lang w:val="es-ES" w:eastAsia="es-ES_tradnl"/>
        </w:rPr>
        <w:lastRenderedPageBreak/>
        <w:t>e  incluso, después de haber pasado los dos meses subsiguientes a dicho vencimiento sin que la administración lo hubiera liquidado unilateralmente, bajo condición de que el acuerdo </w:t>
      </w:r>
      <w:proofErr w:type="spellStart"/>
      <w:r w:rsidRPr="004B5D6E">
        <w:rPr>
          <w:rFonts w:ascii="Verdana" w:eastAsia="Times New Roman" w:hAnsi="Verdana" w:cs="Arial"/>
          <w:color w:val="000000"/>
          <w:sz w:val="21"/>
          <w:szCs w:val="21"/>
          <w:bdr w:val="none" w:sz="0" w:space="0" w:color="auto" w:frame="1"/>
          <w:shd w:val="clear" w:color="auto" w:fill="FFFFFF"/>
          <w:lang w:val="es-ES" w:eastAsia="es-ES_tradnl"/>
        </w:rPr>
        <w:t>liquidatorio</w:t>
      </w:r>
      <w:proofErr w:type="spellEnd"/>
      <w:r w:rsidRPr="004B5D6E">
        <w:rPr>
          <w:rFonts w:ascii="Verdana" w:eastAsia="Times New Roman" w:hAnsi="Verdana" w:cs="Arial"/>
          <w:color w:val="000000"/>
          <w:sz w:val="21"/>
          <w:szCs w:val="21"/>
          <w:bdr w:val="none" w:sz="0" w:space="0" w:color="auto" w:frame="1"/>
          <w:shd w:val="clear" w:color="auto" w:fill="FFFFFF"/>
          <w:lang w:val="es-ES" w:eastAsia="es-ES_tradnl"/>
        </w:rPr>
        <w:t> se logre dentro del lapso de dos años contados a partir del vencimiento del término legalmente conocido para la liquidación unilateral, pues ese es el lapso que el ordenamiento ha fijado para el ejercicio oportuno de la acción</w:t>
      </w:r>
      <w:r w:rsidRPr="004B5D6E">
        <w:rPr>
          <w:rFonts w:ascii="Verdana" w:eastAsia="Times New Roman" w:hAnsi="Verdana" w:cs="Arial"/>
          <w:sz w:val="21"/>
          <w:szCs w:val="21"/>
          <w:lang w:val="es-ES_tradnl" w:eastAsia="es-ES_tradnl"/>
        </w:rPr>
        <w:t>”</w:t>
      </w:r>
      <w:r w:rsidRPr="004B5D6E">
        <w:rPr>
          <w:rFonts w:ascii="Verdana" w:eastAsia="Times New Roman" w:hAnsi="Verdana" w:cs="Arial"/>
          <w:color w:val="000000"/>
          <w:bdr w:val="none" w:sz="0" w:space="0" w:color="auto" w:frame="1"/>
          <w:shd w:val="clear" w:color="auto" w:fill="FFFFFF"/>
          <w:vertAlign w:val="superscript"/>
          <w:lang w:eastAsia="es-ES_tradnl"/>
        </w:rPr>
        <w:t xml:space="preserve"> </w:t>
      </w:r>
      <w:r w:rsidRPr="004B5D6E">
        <w:rPr>
          <w:rFonts w:ascii="Verdana" w:eastAsia="Times New Roman" w:hAnsi="Verdana" w:cs="Arial"/>
          <w:color w:val="000000"/>
          <w:bdr w:val="none" w:sz="0" w:space="0" w:color="auto" w:frame="1"/>
          <w:shd w:val="clear" w:color="auto" w:fill="FFFFFF"/>
          <w:vertAlign w:val="superscript"/>
          <w:lang w:eastAsia="es-ES_tradnl"/>
        </w:rPr>
        <w:footnoteReference w:id="16"/>
      </w:r>
      <w:r w:rsidRPr="004B5D6E">
        <w:rPr>
          <w:rFonts w:ascii="Verdana" w:eastAsia="Times New Roman" w:hAnsi="Verdana" w:cs="Arial"/>
          <w:sz w:val="21"/>
          <w:szCs w:val="21"/>
          <w:lang w:val="es-ES_tradnl" w:eastAsia="es-ES_tradnl"/>
        </w:rPr>
        <w:t>.</w:t>
      </w:r>
      <w:r w:rsidRPr="004B5D6E">
        <w:rPr>
          <w:rFonts w:ascii="Verdana" w:eastAsia="Times New Roman" w:hAnsi="Verdana" w:cs="Arial"/>
          <w:color w:val="000000"/>
          <w:sz w:val="21"/>
          <w:szCs w:val="21"/>
          <w:bdr w:val="none" w:sz="0" w:space="0" w:color="auto" w:frame="1"/>
          <w:shd w:val="clear" w:color="auto" w:fill="FFFFFF"/>
          <w:lang w:val="es-ES" w:eastAsia="es-ES_tradnl"/>
        </w:rPr>
        <w:t> </w:t>
      </w:r>
    </w:p>
    <w:p w14:paraId="5DBABA5A" w14:textId="77777777" w:rsidR="00C92EDD" w:rsidRPr="00FB5FC4" w:rsidRDefault="00C92EDD" w:rsidP="00C92EDD">
      <w:pPr>
        <w:spacing w:after="0" w:line="276" w:lineRule="auto"/>
        <w:ind w:firstLine="708"/>
        <w:jc w:val="both"/>
        <w:rPr>
          <w:rFonts w:ascii="Verdana" w:eastAsia="Times New Roman" w:hAnsi="Verdana" w:cs="Arial"/>
          <w:color w:val="000000"/>
          <w:lang w:eastAsia="es-ES_tradnl"/>
        </w:rPr>
      </w:pPr>
    </w:p>
    <w:p w14:paraId="5F8C07DA" w14:textId="77777777" w:rsidR="00C92EDD" w:rsidRDefault="00C92EDD" w:rsidP="00C92EDD">
      <w:pPr>
        <w:tabs>
          <w:tab w:val="left" w:pos="709"/>
        </w:tabs>
        <w:spacing w:after="120" w:line="276" w:lineRule="auto"/>
        <w:jc w:val="both"/>
        <w:rPr>
          <w:rFonts w:ascii="Verdana" w:eastAsia="Times New Roman" w:hAnsi="Verdana" w:cs="Arial"/>
          <w:color w:val="000000"/>
          <w:bdr w:val="none" w:sz="0" w:space="0" w:color="auto" w:frame="1"/>
          <w:shd w:val="clear" w:color="auto" w:fill="FFFFFF"/>
          <w:lang w:eastAsia="es-ES_tradnl"/>
        </w:rPr>
      </w:pPr>
      <w:r>
        <w:rPr>
          <w:rFonts w:ascii="Verdana" w:eastAsia="Times New Roman" w:hAnsi="Verdana" w:cs="Arial"/>
          <w:color w:val="000000"/>
          <w:bdr w:val="none" w:sz="0" w:space="0" w:color="auto" w:frame="1"/>
          <w:shd w:val="clear" w:color="auto" w:fill="FFFFFF"/>
          <w:lang w:eastAsia="es-ES_tradnl"/>
        </w:rPr>
        <w:tab/>
      </w:r>
      <w:r w:rsidRPr="00FB5FC4">
        <w:rPr>
          <w:rFonts w:ascii="Verdana" w:eastAsia="Times New Roman" w:hAnsi="Verdana" w:cs="Arial"/>
          <w:color w:val="000000"/>
          <w:bdr w:val="none" w:sz="0" w:space="0" w:color="auto" w:frame="1"/>
          <w:shd w:val="clear" w:color="auto" w:fill="FFFFFF"/>
          <w:lang w:eastAsia="es-ES_tradnl"/>
        </w:rPr>
        <w:t>A su turno</w:t>
      </w:r>
      <w:r>
        <w:rPr>
          <w:rFonts w:ascii="Verdana" w:eastAsia="Times New Roman" w:hAnsi="Verdana" w:cs="Arial"/>
          <w:color w:val="000000"/>
          <w:bdr w:val="none" w:sz="0" w:space="0" w:color="auto" w:frame="1"/>
          <w:shd w:val="clear" w:color="auto" w:fill="FFFFFF"/>
          <w:lang w:eastAsia="es-ES_tradnl"/>
        </w:rPr>
        <w:t xml:space="preserve">, la liquidación judicial hace parte de una de las pretensiones que admite el medio de control de controversias contractuales. Al respecto, el artículo 141 de la Ley 1437 de 2011 dispone que “[…] </w:t>
      </w:r>
      <w:r w:rsidRPr="00F915F3">
        <w:rPr>
          <w:rFonts w:ascii="Verdana" w:eastAsia="Times New Roman" w:hAnsi="Verdana" w:cs="Arial"/>
          <w:color w:val="000000"/>
          <w:bdr w:val="none" w:sz="0" w:space="0" w:color="auto" w:frame="1"/>
          <w:shd w:val="clear" w:color="auto" w:fill="FFFFFF"/>
          <w:lang w:eastAsia="es-ES_tradnl"/>
        </w:rPr>
        <w:t xml:space="preserve">el interesado podrá </w:t>
      </w:r>
      <w:bookmarkStart w:id="10" w:name="_Hlk172560769"/>
      <w:r w:rsidRPr="00F915F3">
        <w:rPr>
          <w:rFonts w:ascii="Verdana" w:eastAsia="Times New Roman" w:hAnsi="Verdana" w:cs="Arial"/>
          <w:color w:val="000000"/>
          <w:bdr w:val="none" w:sz="0" w:space="0" w:color="auto" w:frame="1"/>
          <w:shd w:val="clear" w:color="auto" w:fill="FFFFFF"/>
          <w:lang w:eastAsia="es-ES_tradnl"/>
        </w:rPr>
        <w:t>solicitar la liquidación judicial</w:t>
      </w:r>
      <w:bookmarkEnd w:id="10"/>
      <w:r w:rsidRPr="00F915F3">
        <w:rPr>
          <w:rFonts w:ascii="Verdana" w:eastAsia="Times New Roman" w:hAnsi="Verdana" w:cs="Arial"/>
          <w:color w:val="000000"/>
          <w:bdr w:val="none" w:sz="0" w:space="0" w:color="auto" w:frame="1"/>
          <w:shd w:val="clear" w:color="auto" w:fill="FFFFFF"/>
          <w:lang w:eastAsia="es-ES_tradnl"/>
        </w:rPr>
        <w:t xml:space="preserve">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r>
        <w:rPr>
          <w:rFonts w:ascii="Verdana" w:eastAsia="Times New Roman" w:hAnsi="Verdana" w:cs="Arial"/>
          <w:color w:val="000000"/>
          <w:bdr w:val="none" w:sz="0" w:space="0" w:color="auto" w:frame="1"/>
          <w:shd w:val="clear" w:color="auto" w:fill="FFFFFF"/>
          <w:lang w:eastAsia="es-ES_tradnl"/>
        </w:rPr>
        <w:t>”</w:t>
      </w:r>
      <w:r w:rsidRPr="00F915F3">
        <w:rPr>
          <w:rFonts w:ascii="Verdana" w:eastAsia="Times New Roman" w:hAnsi="Verdana" w:cs="Arial"/>
          <w:color w:val="000000"/>
          <w:bdr w:val="none" w:sz="0" w:space="0" w:color="auto" w:frame="1"/>
          <w:shd w:val="clear" w:color="auto" w:fill="FFFFFF"/>
          <w:lang w:eastAsia="es-ES_tradnl"/>
        </w:rPr>
        <w:t>.</w:t>
      </w:r>
      <w:r>
        <w:rPr>
          <w:rFonts w:ascii="Verdana" w:eastAsia="Times New Roman" w:hAnsi="Verdana" w:cs="Arial"/>
          <w:color w:val="000000"/>
          <w:bdr w:val="none" w:sz="0" w:space="0" w:color="auto" w:frame="1"/>
          <w:shd w:val="clear" w:color="auto" w:fill="FFFFFF"/>
          <w:lang w:eastAsia="es-ES_tradnl"/>
        </w:rPr>
        <w:t xml:space="preserve"> Bajo esta perspectiva, para la entidad cesa la facultad de liquidar bilateral o unilateralmente, ya que el tema pasa de la administración a la jurisdicción.</w:t>
      </w:r>
    </w:p>
    <w:p w14:paraId="1A162B63" w14:textId="77777777" w:rsidR="00C92EDD" w:rsidRDefault="00C92EDD" w:rsidP="00C92EDD">
      <w:pPr>
        <w:tabs>
          <w:tab w:val="left" w:pos="709"/>
        </w:tabs>
        <w:spacing w:after="0" w:line="276" w:lineRule="auto"/>
        <w:jc w:val="both"/>
        <w:rPr>
          <w:rFonts w:ascii="Verdana" w:eastAsia="Times New Roman" w:hAnsi="Verdana" w:cs="Arial"/>
          <w:color w:val="000000"/>
          <w:bdr w:val="none" w:sz="0" w:space="0" w:color="auto" w:frame="1"/>
          <w:shd w:val="clear" w:color="auto" w:fill="FFFFFF"/>
          <w:lang w:eastAsia="es-ES_tradnl"/>
        </w:rPr>
      </w:pPr>
      <w:r>
        <w:rPr>
          <w:rFonts w:ascii="Verdana" w:eastAsia="Times New Roman" w:hAnsi="Verdana" w:cs="Arial"/>
          <w:color w:val="000000"/>
          <w:bdr w:val="none" w:sz="0" w:space="0" w:color="auto" w:frame="1"/>
          <w:shd w:val="clear" w:color="auto" w:fill="FFFFFF"/>
          <w:lang w:eastAsia="es-ES_tradnl"/>
        </w:rPr>
        <w:tab/>
      </w:r>
      <w:r w:rsidRPr="004474BA">
        <w:rPr>
          <w:rFonts w:ascii="Verdana" w:eastAsia="Times New Roman" w:hAnsi="Verdana" w:cs="Arial"/>
          <w:color w:val="000000"/>
          <w:bdr w:val="none" w:sz="0" w:space="0" w:color="auto" w:frame="1"/>
          <w:shd w:val="clear" w:color="auto" w:fill="FFFFFF"/>
          <w:lang w:eastAsia="es-ES_tradnl"/>
        </w:rPr>
        <w:t>Respecto al contenido de la liquidación</w:t>
      </w:r>
      <w:r>
        <w:rPr>
          <w:rFonts w:ascii="Verdana" w:eastAsia="Times New Roman" w:hAnsi="Verdana" w:cs="Arial"/>
          <w:color w:val="000000"/>
          <w:bdr w:val="none" w:sz="0" w:space="0" w:color="auto" w:frame="1"/>
          <w:shd w:val="clear" w:color="auto" w:fill="FFFFFF"/>
          <w:lang w:eastAsia="es-ES_tradnl"/>
        </w:rPr>
        <w:t xml:space="preserve">, conforme a los incisos segundo y tercero del artículo 60 del EGCAP, “[…] </w:t>
      </w:r>
      <w:r w:rsidRPr="00D118AB">
        <w:rPr>
          <w:rFonts w:ascii="Verdana" w:eastAsia="Times New Roman" w:hAnsi="Verdana" w:cs="Arial"/>
          <w:color w:val="000000"/>
          <w:bdr w:val="none" w:sz="0" w:space="0" w:color="auto" w:frame="1"/>
          <w:shd w:val="clear" w:color="auto" w:fill="FFFFFF"/>
          <w:lang w:eastAsia="es-ES_tradnl"/>
        </w:rPr>
        <w:t>las partes acordarán los ajustes, revisiones y reconocimientos a que haya lugar</w:t>
      </w:r>
      <w:r>
        <w:rPr>
          <w:rFonts w:ascii="Verdana" w:eastAsia="Times New Roman" w:hAnsi="Verdana" w:cs="Arial"/>
          <w:color w:val="000000"/>
          <w:bdr w:val="none" w:sz="0" w:space="0" w:color="auto" w:frame="1"/>
          <w:shd w:val="clear" w:color="auto" w:fill="FFFFFF"/>
          <w:lang w:eastAsia="es-ES_tradnl"/>
        </w:rPr>
        <w:t xml:space="preserve">” y en ella “[…] </w:t>
      </w:r>
      <w:r w:rsidRPr="00D118AB">
        <w:rPr>
          <w:rFonts w:ascii="Verdana" w:eastAsia="Times New Roman" w:hAnsi="Verdana" w:cs="Arial"/>
          <w:color w:val="000000"/>
          <w:bdr w:val="none" w:sz="0" w:space="0" w:color="auto" w:frame="1"/>
          <w:shd w:val="clear" w:color="auto" w:fill="FFFFFF"/>
          <w:lang w:eastAsia="es-ES_tradnl"/>
        </w:rPr>
        <w:t>constarán los acuerdos, conciliaciones y transacciones a que llegaren las partes para poner fin a las divergencias presentadas y poder declararse a paz y salvo</w:t>
      </w:r>
      <w:r>
        <w:rPr>
          <w:rFonts w:ascii="Verdana" w:eastAsia="Times New Roman" w:hAnsi="Verdana" w:cs="Arial"/>
          <w:color w:val="000000"/>
          <w:bdr w:val="none" w:sz="0" w:space="0" w:color="auto" w:frame="1"/>
          <w:shd w:val="clear" w:color="auto" w:fill="FFFFFF"/>
          <w:lang w:eastAsia="es-ES_tradnl"/>
        </w:rPr>
        <w:t>”</w:t>
      </w:r>
      <w:r w:rsidRPr="00D118AB">
        <w:rPr>
          <w:rFonts w:ascii="Verdana" w:eastAsia="Times New Roman" w:hAnsi="Verdana" w:cs="Arial"/>
          <w:color w:val="000000"/>
          <w:bdr w:val="none" w:sz="0" w:space="0" w:color="auto" w:frame="1"/>
          <w:shd w:val="clear" w:color="auto" w:fill="FFFFFF"/>
          <w:lang w:eastAsia="es-ES_tradnl"/>
        </w:rPr>
        <w:t>.</w:t>
      </w:r>
      <w:r>
        <w:rPr>
          <w:rFonts w:ascii="Verdana" w:eastAsia="Times New Roman" w:hAnsi="Verdana" w:cs="Arial"/>
          <w:color w:val="000000"/>
          <w:bdr w:val="none" w:sz="0" w:space="0" w:color="auto" w:frame="1"/>
          <w:shd w:val="clear" w:color="auto" w:fill="FFFFFF"/>
          <w:lang w:eastAsia="es-ES_tradnl"/>
        </w:rPr>
        <w:t xml:space="preserve"> Esto hace que la liquidación no sólo sea un mecanismo alternativo de solución de conflictos, sino también un medio para resolver asuntos relacionados con el desequilibrio económico del contrato. Sobre esta última faceta, la doctrina explica que la norma en comento consagra una posibilidad para que las entidades públicas garanticen el equilibrio económico si éste resultó afectado en la ejecución del negocio jurídico, así que la liquidación es el momento oportuno para resolver las diferencias existentes. De esta manera: </w:t>
      </w:r>
    </w:p>
    <w:p w14:paraId="5F8B2BBC" w14:textId="77777777" w:rsidR="00C92EDD" w:rsidRDefault="00C92EDD" w:rsidP="00C92EDD">
      <w:pPr>
        <w:tabs>
          <w:tab w:val="left" w:pos="709"/>
        </w:tabs>
        <w:spacing w:after="0" w:line="276" w:lineRule="auto"/>
        <w:jc w:val="both"/>
        <w:rPr>
          <w:rFonts w:ascii="Verdana" w:eastAsia="Times New Roman" w:hAnsi="Verdana" w:cs="Arial"/>
          <w:color w:val="000000"/>
          <w:bdr w:val="none" w:sz="0" w:space="0" w:color="auto" w:frame="1"/>
          <w:shd w:val="clear" w:color="auto" w:fill="FFFFFF"/>
          <w:lang w:eastAsia="es-ES_tradnl"/>
        </w:rPr>
      </w:pPr>
    </w:p>
    <w:p w14:paraId="7919C307" w14:textId="77777777" w:rsidR="00C92EDD" w:rsidRPr="00EE5044" w:rsidRDefault="00C92EDD" w:rsidP="00C92EDD">
      <w:pPr>
        <w:tabs>
          <w:tab w:val="left" w:pos="709"/>
        </w:tabs>
        <w:spacing w:after="0" w:line="240" w:lineRule="auto"/>
        <w:ind w:left="709" w:right="709"/>
        <w:jc w:val="both"/>
        <w:rPr>
          <w:rFonts w:ascii="Verdana" w:eastAsia="Times New Roman" w:hAnsi="Verdana" w:cs="Arial"/>
          <w:color w:val="000000"/>
          <w:sz w:val="21"/>
          <w:szCs w:val="21"/>
          <w:bdr w:val="none" w:sz="0" w:space="0" w:color="auto" w:frame="1"/>
          <w:shd w:val="clear" w:color="auto" w:fill="FFFFFF"/>
          <w:lang w:eastAsia="es-ES_tradnl"/>
        </w:rPr>
      </w:pPr>
      <w:r w:rsidRPr="00EE5044">
        <w:rPr>
          <w:rFonts w:ascii="Verdana" w:eastAsia="Times New Roman" w:hAnsi="Verdana" w:cs="Arial"/>
          <w:color w:val="000000"/>
          <w:sz w:val="21"/>
          <w:szCs w:val="21"/>
          <w:bdr w:val="none" w:sz="0" w:space="0" w:color="auto" w:frame="1"/>
          <w:shd w:val="clear" w:color="auto" w:fill="FFFFFF"/>
          <w:lang w:eastAsia="es-ES_tradnl"/>
        </w:rPr>
        <w:t xml:space="preserve">“A través de la liquidación de los contratos se busca en especial establecer el equilibrio final en las relaciones suscitadas entre la entidad estatal y el contratista, con el objeto de dejar niveladas las prestaciones y derechos surgidos del negocio jurídico. En este sentido, el principio de la conmutatividad, entendido como la equivalencia obvia que debe existir entre lo que se da o hace por una parte y lo que se recibe por la otra, se torna en regla vinculante e imperativa, que debe </w:t>
      </w:r>
      <w:r w:rsidRPr="00EE5044">
        <w:rPr>
          <w:rFonts w:ascii="Verdana" w:eastAsia="Times New Roman" w:hAnsi="Verdana" w:cs="Arial"/>
          <w:color w:val="000000"/>
          <w:sz w:val="21"/>
          <w:szCs w:val="21"/>
          <w:bdr w:val="none" w:sz="0" w:space="0" w:color="auto" w:frame="1"/>
          <w:shd w:val="clear" w:color="auto" w:fill="FFFFFF"/>
          <w:lang w:eastAsia="es-ES_tradnl"/>
        </w:rPr>
        <w:lastRenderedPageBreak/>
        <w:t>ser restablecida al final de la relación jurídica, con el propósito de que el negocio finalmente sea equivalente entre las partes”</w:t>
      </w:r>
      <w:r w:rsidRPr="00EE5044">
        <w:rPr>
          <w:rStyle w:val="Refdenotaalpie"/>
          <w:rFonts w:ascii="Verdana" w:eastAsia="Times New Roman" w:hAnsi="Verdana" w:cs="Arial"/>
          <w:color w:val="000000"/>
          <w:sz w:val="21"/>
          <w:szCs w:val="21"/>
          <w:bdr w:val="none" w:sz="0" w:space="0" w:color="auto" w:frame="1"/>
          <w:shd w:val="clear" w:color="auto" w:fill="FFFFFF"/>
          <w:lang w:eastAsia="es-ES_tradnl"/>
        </w:rPr>
        <w:footnoteReference w:id="17"/>
      </w:r>
      <w:r w:rsidRPr="00EE5044">
        <w:rPr>
          <w:rFonts w:ascii="Verdana" w:eastAsia="Times New Roman" w:hAnsi="Verdana" w:cs="Arial"/>
          <w:color w:val="000000"/>
          <w:sz w:val="21"/>
          <w:szCs w:val="21"/>
          <w:bdr w:val="none" w:sz="0" w:space="0" w:color="auto" w:frame="1"/>
          <w:shd w:val="clear" w:color="auto" w:fill="FFFFFF"/>
          <w:lang w:eastAsia="es-ES_tradnl"/>
        </w:rPr>
        <w:t xml:space="preserve">. </w:t>
      </w:r>
    </w:p>
    <w:p w14:paraId="6C5BEDC9" w14:textId="77777777" w:rsidR="00C92EDD" w:rsidRDefault="00C92EDD" w:rsidP="00C92EDD">
      <w:pPr>
        <w:tabs>
          <w:tab w:val="left" w:pos="709"/>
        </w:tabs>
        <w:spacing w:after="0" w:line="276" w:lineRule="auto"/>
        <w:jc w:val="both"/>
        <w:rPr>
          <w:rFonts w:ascii="Verdana" w:eastAsia="Times New Roman" w:hAnsi="Verdana" w:cs="Arial"/>
          <w:color w:val="000000"/>
          <w:bdr w:val="none" w:sz="0" w:space="0" w:color="auto" w:frame="1"/>
          <w:shd w:val="clear" w:color="auto" w:fill="FFFFFF"/>
          <w:lang w:eastAsia="es-ES_tradnl"/>
        </w:rPr>
      </w:pPr>
    </w:p>
    <w:p w14:paraId="1DBE16CE" w14:textId="77777777" w:rsidR="00C92EDD" w:rsidRDefault="00C92EDD" w:rsidP="00C92EDD">
      <w:pPr>
        <w:tabs>
          <w:tab w:val="left" w:pos="709"/>
        </w:tabs>
        <w:spacing w:after="0" w:line="276" w:lineRule="auto"/>
        <w:jc w:val="both"/>
        <w:rPr>
          <w:rFonts w:ascii="Verdana" w:eastAsia="Times New Roman" w:hAnsi="Verdana" w:cs="Arial"/>
          <w:color w:val="000000"/>
          <w:bdr w:val="none" w:sz="0" w:space="0" w:color="auto" w:frame="1"/>
          <w:shd w:val="clear" w:color="auto" w:fill="FFFFFF"/>
          <w:lang w:eastAsia="es-ES_tradnl"/>
        </w:rPr>
      </w:pPr>
      <w:r>
        <w:rPr>
          <w:rFonts w:ascii="Verdana" w:eastAsia="Times New Roman" w:hAnsi="Verdana" w:cs="Arial"/>
          <w:color w:val="000000"/>
          <w:bdr w:val="none" w:sz="0" w:space="0" w:color="auto" w:frame="1"/>
          <w:shd w:val="clear" w:color="auto" w:fill="FFFFFF"/>
          <w:lang w:eastAsia="es-ES_tradnl"/>
        </w:rPr>
        <w:tab/>
        <w:t xml:space="preserve">De acuerdo con la Sentencia de Unificación del 19 de noviembre de 2012 de la Sala Plena del Consejo de Estado, </w:t>
      </w:r>
      <w:r>
        <w:rPr>
          <w:rFonts w:ascii="Verdana" w:eastAsia="Times New Roman" w:hAnsi="Verdana" w:cs="Arial"/>
          <w:i/>
          <w:iCs/>
          <w:color w:val="000000"/>
          <w:bdr w:val="none" w:sz="0" w:space="0" w:color="auto" w:frame="1"/>
          <w:shd w:val="clear" w:color="auto" w:fill="FFFFFF"/>
          <w:lang w:eastAsia="es-ES_tradnl"/>
        </w:rPr>
        <w:t>por regla general,</w:t>
      </w:r>
      <w:r>
        <w:rPr>
          <w:rFonts w:ascii="Verdana" w:eastAsia="Times New Roman" w:hAnsi="Verdana" w:cs="Arial"/>
          <w:color w:val="000000"/>
          <w:bdr w:val="none" w:sz="0" w:space="0" w:color="auto" w:frame="1"/>
          <w:shd w:val="clear" w:color="auto" w:fill="FFFFFF"/>
          <w:lang w:eastAsia="es-ES_tradnl"/>
        </w:rPr>
        <w:t xml:space="preserve"> no es posible solicitar reconocimientos económicos por la ejecución de obras extras o adicionales, sin la previa suscripción de un contrato adicional que las justifique. Esto en la medida que los artículos 39 y 41 del EGCAP disponen que los contratos estatales son solemnes y, por tanto, requieren formalidad escrita, salvo que se presente una situación de urgencia manifiesta. Dentro de esta línea:</w:t>
      </w:r>
    </w:p>
    <w:p w14:paraId="207DAE23" w14:textId="77777777" w:rsidR="00C92EDD" w:rsidRDefault="00C92EDD" w:rsidP="00C92EDD">
      <w:pPr>
        <w:tabs>
          <w:tab w:val="left" w:pos="709"/>
        </w:tabs>
        <w:spacing w:after="0" w:line="276" w:lineRule="auto"/>
        <w:jc w:val="both"/>
        <w:rPr>
          <w:rFonts w:ascii="Verdana" w:eastAsia="Times New Roman" w:hAnsi="Verdana" w:cs="Arial"/>
          <w:color w:val="000000"/>
          <w:bdr w:val="none" w:sz="0" w:space="0" w:color="auto" w:frame="1"/>
          <w:shd w:val="clear" w:color="auto" w:fill="FFFFFF"/>
          <w:lang w:eastAsia="es-ES_tradnl"/>
        </w:rPr>
      </w:pPr>
    </w:p>
    <w:p w14:paraId="108E2B44" w14:textId="77777777" w:rsidR="00C92EDD" w:rsidRPr="001C48E6" w:rsidRDefault="00C92EDD" w:rsidP="00C92EDD">
      <w:pPr>
        <w:tabs>
          <w:tab w:val="left" w:pos="709"/>
        </w:tabs>
        <w:spacing w:after="0" w:line="240" w:lineRule="auto"/>
        <w:ind w:left="709" w:right="709"/>
        <w:jc w:val="both"/>
        <w:rPr>
          <w:rFonts w:ascii="Verdana" w:eastAsia="Times New Roman" w:hAnsi="Verdana" w:cs="Arial"/>
          <w:color w:val="000000"/>
          <w:sz w:val="21"/>
          <w:szCs w:val="21"/>
          <w:bdr w:val="none" w:sz="0" w:space="0" w:color="auto" w:frame="1"/>
          <w:shd w:val="clear" w:color="auto" w:fill="FFFFFF"/>
          <w:lang w:eastAsia="es-ES_tradnl"/>
        </w:rPr>
      </w:pPr>
      <w:r w:rsidRPr="001C48E6">
        <w:rPr>
          <w:rFonts w:ascii="Verdana" w:eastAsia="Times New Roman" w:hAnsi="Verdana" w:cs="Arial"/>
          <w:color w:val="000000"/>
          <w:sz w:val="21"/>
          <w:szCs w:val="21"/>
          <w:bdr w:val="none" w:sz="0" w:space="0" w:color="auto" w:frame="1"/>
          <w:shd w:val="clear" w:color="auto" w:fill="FFFFFF"/>
          <w:lang w:eastAsia="es-ES_tradnl"/>
        </w:rPr>
        <w:t>“EL E.C. establece que en el acta de liquidación del contrato podrán efectuarse las transacciones a las que hubiere lugar. Se trata de un mecanismo de solucionar eventuales conflictos de orden contractual, por esto, no se podrán incorporar reconocimientos que se han causado y que resulten ajenos a las obligaciones contractuales y legales. Aquellas actividades ejecutadas por el contratista que no se desprendan o se encuentren incorporadas en el contrato, no podrán ser reconocidas en el acta de liquidación. Esto no significa que a la entidad se le cierre la posibilidad de solucionar directamente el conflicto, pero, podrá precaverlo, suscribiendo un contrato de transacción con las formalidades establecidas en nuestro ordenamiento”</w:t>
      </w:r>
      <w:r>
        <w:rPr>
          <w:rStyle w:val="Refdenotaalpie"/>
          <w:rFonts w:ascii="Verdana" w:eastAsia="Times New Roman" w:hAnsi="Verdana" w:cs="Arial"/>
          <w:color w:val="000000"/>
          <w:sz w:val="21"/>
          <w:szCs w:val="21"/>
          <w:bdr w:val="none" w:sz="0" w:space="0" w:color="auto" w:frame="1"/>
          <w:shd w:val="clear" w:color="auto" w:fill="FFFFFF"/>
          <w:lang w:eastAsia="es-ES_tradnl"/>
        </w:rPr>
        <w:footnoteReference w:id="18"/>
      </w:r>
      <w:r w:rsidRPr="001C48E6">
        <w:rPr>
          <w:rFonts w:ascii="Verdana" w:eastAsia="Times New Roman" w:hAnsi="Verdana" w:cs="Arial"/>
          <w:color w:val="000000"/>
          <w:sz w:val="21"/>
          <w:szCs w:val="21"/>
          <w:bdr w:val="none" w:sz="0" w:space="0" w:color="auto" w:frame="1"/>
          <w:shd w:val="clear" w:color="auto" w:fill="FFFFFF"/>
          <w:lang w:eastAsia="es-ES_tradnl"/>
        </w:rPr>
        <w:t xml:space="preserve">.  </w:t>
      </w:r>
    </w:p>
    <w:p w14:paraId="391E8C2C" w14:textId="77777777" w:rsidR="00C92EDD" w:rsidRDefault="00C92EDD" w:rsidP="00C92EDD">
      <w:pPr>
        <w:tabs>
          <w:tab w:val="left" w:pos="709"/>
        </w:tabs>
        <w:spacing w:after="0" w:line="276" w:lineRule="auto"/>
        <w:jc w:val="both"/>
        <w:rPr>
          <w:rFonts w:ascii="Verdana" w:eastAsia="Times New Roman" w:hAnsi="Verdana" w:cs="Arial"/>
          <w:color w:val="000000"/>
          <w:bdr w:val="none" w:sz="0" w:space="0" w:color="auto" w:frame="1"/>
          <w:shd w:val="clear" w:color="auto" w:fill="FFFFFF"/>
          <w:lang w:eastAsia="es-ES_tradnl"/>
        </w:rPr>
      </w:pPr>
    </w:p>
    <w:p w14:paraId="63F43DDD" w14:textId="77777777" w:rsidR="00C92EDD" w:rsidRDefault="00C92EDD" w:rsidP="00C92EDD">
      <w:pPr>
        <w:tabs>
          <w:tab w:val="left" w:pos="709"/>
        </w:tabs>
        <w:spacing w:after="120" w:line="276" w:lineRule="auto"/>
        <w:jc w:val="both"/>
        <w:rPr>
          <w:rFonts w:ascii="Verdana" w:eastAsia="Times New Roman" w:hAnsi="Verdana" w:cs="Arial"/>
          <w:color w:val="000000"/>
          <w:bdr w:val="none" w:sz="0" w:space="0" w:color="auto" w:frame="1"/>
          <w:shd w:val="clear" w:color="auto" w:fill="FFFFFF"/>
          <w:lang w:eastAsia="es-ES_tradnl"/>
        </w:rPr>
      </w:pPr>
      <w:r>
        <w:rPr>
          <w:rFonts w:ascii="Verdana" w:eastAsia="Times New Roman" w:hAnsi="Verdana" w:cs="Arial"/>
          <w:color w:val="000000"/>
          <w:bdr w:val="none" w:sz="0" w:space="0" w:color="auto" w:frame="1"/>
          <w:shd w:val="clear" w:color="auto" w:fill="FFFFFF"/>
          <w:lang w:eastAsia="es-ES_tradnl"/>
        </w:rPr>
        <w:tab/>
      </w:r>
      <w:r w:rsidRPr="001C48E6">
        <w:rPr>
          <w:rFonts w:ascii="Verdana" w:eastAsia="Times New Roman" w:hAnsi="Verdana" w:cs="Arial"/>
          <w:i/>
          <w:iCs/>
          <w:color w:val="000000"/>
          <w:bdr w:val="none" w:sz="0" w:space="0" w:color="auto" w:frame="1"/>
          <w:shd w:val="clear" w:color="auto" w:fill="FFFFFF"/>
          <w:lang w:eastAsia="es-ES_tradnl"/>
        </w:rPr>
        <w:t>Excepcionalmente</w:t>
      </w:r>
      <w:r>
        <w:rPr>
          <w:rFonts w:ascii="Verdana" w:eastAsia="Times New Roman" w:hAnsi="Verdana" w:cs="Arial"/>
          <w:color w:val="000000"/>
          <w:bdr w:val="none" w:sz="0" w:space="0" w:color="auto" w:frame="1"/>
          <w:shd w:val="clear" w:color="auto" w:fill="FFFFFF"/>
          <w:lang w:eastAsia="es-ES_tradnl"/>
        </w:rPr>
        <w:t xml:space="preserve">, la jurisprudencia citada admitió la posibilidad de reconocer al contratista la ejecución de obras extras o adicionales en tres (3) eventos de interpretación restrictiva: i) cuando existe prueba fehaciente de que la ejecución de obras o servicios extras o adicionales o el suministro de bienes, por fuera del objeto contractual, se haya realizado por la imposición de la entidad, en ejercicio de su autoridad; </w:t>
      </w:r>
      <w:proofErr w:type="spellStart"/>
      <w:r>
        <w:rPr>
          <w:rFonts w:ascii="Verdana" w:eastAsia="Times New Roman" w:hAnsi="Verdana" w:cs="Arial"/>
          <w:color w:val="000000"/>
          <w:bdr w:val="none" w:sz="0" w:space="0" w:color="auto" w:frame="1"/>
          <w:shd w:val="clear" w:color="auto" w:fill="FFFFFF"/>
          <w:lang w:eastAsia="es-ES_tradnl"/>
        </w:rPr>
        <w:t>ii</w:t>
      </w:r>
      <w:proofErr w:type="spellEnd"/>
      <w:r>
        <w:rPr>
          <w:rFonts w:ascii="Verdana" w:eastAsia="Times New Roman" w:hAnsi="Verdana" w:cs="Arial"/>
          <w:color w:val="000000"/>
          <w:bdr w:val="none" w:sz="0" w:space="0" w:color="auto" w:frame="1"/>
          <w:shd w:val="clear" w:color="auto" w:fill="FFFFFF"/>
          <w:lang w:eastAsia="es-ES_tradnl"/>
        </w:rPr>
        <w:t xml:space="preserve">) que fueran urgentes para evitar una lesión inminente e irreversible al derecho a la salud; y </w:t>
      </w:r>
      <w:proofErr w:type="spellStart"/>
      <w:r>
        <w:rPr>
          <w:rFonts w:ascii="Verdana" w:eastAsia="Times New Roman" w:hAnsi="Verdana" w:cs="Arial"/>
          <w:color w:val="000000"/>
          <w:bdr w:val="none" w:sz="0" w:space="0" w:color="auto" w:frame="1"/>
          <w:shd w:val="clear" w:color="auto" w:fill="FFFFFF"/>
          <w:lang w:eastAsia="es-ES_tradnl"/>
        </w:rPr>
        <w:t>iii</w:t>
      </w:r>
      <w:proofErr w:type="spellEnd"/>
      <w:r>
        <w:rPr>
          <w:rFonts w:ascii="Verdana" w:eastAsia="Times New Roman" w:hAnsi="Verdana" w:cs="Arial"/>
          <w:color w:val="000000"/>
          <w:bdr w:val="none" w:sz="0" w:space="0" w:color="auto" w:frame="1"/>
          <w:shd w:val="clear" w:color="auto" w:fill="FFFFFF"/>
          <w:lang w:eastAsia="es-ES_tradnl"/>
        </w:rPr>
        <w:t xml:space="preserve">) cuando se omite el decreto de la urgencia manifiesta y concurren las circunstancias para que ésta hubiera sido declarada.  </w:t>
      </w:r>
    </w:p>
    <w:p w14:paraId="2BF624DF" w14:textId="77777777" w:rsidR="00C92EDD" w:rsidRDefault="00C92EDD" w:rsidP="00C92EDD">
      <w:pPr>
        <w:tabs>
          <w:tab w:val="left" w:pos="709"/>
        </w:tabs>
        <w:spacing w:after="120" w:line="276" w:lineRule="auto"/>
        <w:jc w:val="both"/>
        <w:rPr>
          <w:rFonts w:ascii="Verdana" w:eastAsia="Times New Roman" w:hAnsi="Verdana" w:cs="Arial"/>
          <w:color w:val="000000"/>
          <w:bdr w:val="none" w:sz="0" w:space="0" w:color="auto" w:frame="1"/>
          <w:shd w:val="clear" w:color="auto" w:fill="FFFFFF"/>
          <w:lang w:eastAsia="es-ES_tradnl"/>
        </w:rPr>
      </w:pPr>
      <w:r>
        <w:rPr>
          <w:rFonts w:ascii="Verdana" w:eastAsia="Times New Roman" w:hAnsi="Verdana" w:cs="Arial"/>
          <w:color w:val="000000"/>
          <w:bdr w:val="none" w:sz="0" w:space="0" w:color="auto" w:frame="1"/>
          <w:shd w:val="clear" w:color="auto" w:fill="FFFFFF"/>
          <w:lang w:eastAsia="es-ES_tradnl"/>
        </w:rPr>
        <w:tab/>
        <w:t>Conforme al artículo 10 de la Ley 1437 de 2011, “</w:t>
      </w:r>
      <w:r w:rsidRPr="005C17FE">
        <w:rPr>
          <w:rFonts w:ascii="Verdana" w:eastAsia="Times New Roman" w:hAnsi="Verdana" w:cs="Arial"/>
          <w:color w:val="000000"/>
          <w:bdr w:val="none" w:sz="0" w:space="0" w:color="auto" w:frame="1"/>
          <w:shd w:val="clear" w:color="auto" w:fill="FFFFFF"/>
          <w:lang w:eastAsia="es-ES_tradnl"/>
        </w:rPr>
        <w:t xml:space="preserve">Al resolver los asuntos de su competencia, las autoridades aplicarán las disposiciones constitucionales, legales y reglamentarias de manera uniforme a situaciones que tengan los mismos supuestos fácticos y jurídicos. </w:t>
      </w:r>
      <w:r w:rsidRPr="005C17FE">
        <w:rPr>
          <w:rFonts w:ascii="Verdana" w:eastAsia="Times New Roman" w:hAnsi="Verdana" w:cs="Arial"/>
          <w:i/>
          <w:iCs/>
          <w:color w:val="000000"/>
          <w:bdr w:val="none" w:sz="0" w:space="0" w:color="auto" w:frame="1"/>
          <w:shd w:val="clear" w:color="auto" w:fill="FFFFFF"/>
          <w:lang w:eastAsia="es-ES_tradnl"/>
        </w:rPr>
        <w:t xml:space="preserve">Con este propósito, al adoptar las </w:t>
      </w:r>
      <w:r w:rsidRPr="005C17FE">
        <w:rPr>
          <w:rFonts w:ascii="Verdana" w:eastAsia="Times New Roman" w:hAnsi="Verdana" w:cs="Arial"/>
          <w:i/>
          <w:iCs/>
          <w:color w:val="000000"/>
          <w:bdr w:val="none" w:sz="0" w:space="0" w:color="auto" w:frame="1"/>
          <w:shd w:val="clear" w:color="auto" w:fill="FFFFFF"/>
          <w:lang w:eastAsia="es-ES_tradnl"/>
        </w:rPr>
        <w:lastRenderedPageBreak/>
        <w:t>decisiones de su competencia, deberán tener en cuenta las sentencias de unificación jurisprudencial del Consejo de Estado en las que se interpreten y apliquen dichas normas</w:t>
      </w:r>
      <w:r>
        <w:rPr>
          <w:rFonts w:ascii="Verdana" w:eastAsia="Times New Roman" w:hAnsi="Verdana" w:cs="Arial"/>
          <w:color w:val="000000"/>
          <w:bdr w:val="none" w:sz="0" w:space="0" w:color="auto" w:frame="1"/>
          <w:shd w:val="clear" w:color="auto" w:fill="FFFFFF"/>
          <w:lang w:eastAsia="es-ES_tradnl"/>
        </w:rPr>
        <w:t>” (Énfasis fuera de texto)</w:t>
      </w:r>
      <w:r w:rsidRPr="005C17FE">
        <w:rPr>
          <w:rFonts w:ascii="Verdana" w:eastAsia="Times New Roman" w:hAnsi="Verdana" w:cs="Arial"/>
          <w:color w:val="000000"/>
          <w:bdr w:val="none" w:sz="0" w:space="0" w:color="auto" w:frame="1"/>
          <w:shd w:val="clear" w:color="auto" w:fill="FFFFFF"/>
          <w:lang w:eastAsia="es-ES_tradnl"/>
        </w:rPr>
        <w:t>.</w:t>
      </w:r>
      <w:r>
        <w:rPr>
          <w:rFonts w:ascii="Verdana" w:eastAsia="Times New Roman" w:hAnsi="Verdana" w:cs="Arial"/>
          <w:color w:val="000000"/>
          <w:bdr w:val="none" w:sz="0" w:space="0" w:color="auto" w:frame="1"/>
          <w:shd w:val="clear" w:color="auto" w:fill="FFFFFF"/>
          <w:lang w:eastAsia="es-ES_tradnl"/>
        </w:rPr>
        <w:t xml:space="preserve"> Por tanto, en la actualidad está limitada la posibilidad de reconocer en la liquidación actividades no incluidas dentro del contrato; razón por la cual, su pago no sólo está sujeto al soporte probatorio, sino que la decisión también debe armonizarse con la doctrina fijada por el máximo órgano de la jurisdicción contenciosa administrativa</w:t>
      </w:r>
      <w:r>
        <w:rPr>
          <w:rStyle w:val="Refdenotaalpie"/>
          <w:rFonts w:ascii="Verdana" w:eastAsia="Times New Roman" w:hAnsi="Verdana" w:cs="Arial"/>
          <w:color w:val="000000"/>
          <w:bdr w:val="none" w:sz="0" w:space="0" w:color="auto" w:frame="1"/>
          <w:shd w:val="clear" w:color="auto" w:fill="FFFFFF"/>
          <w:lang w:eastAsia="es-ES_tradnl"/>
        </w:rPr>
        <w:footnoteReference w:id="19"/>
      </w:r>
      <w:r>
        <w:rPr>
          <w:rFonts w:ascii="Verdana" w:eastAsia="Times New Roman" w:hAnsi="Verdana" w:cs="Arial"/>
          <w:color w:val="000000"/>
          <w:bdr w:val="none" w:sz="0" w:space="0" w:color="auto" w:frame="1"/>
          <w:shd w:val="clear" w:color="auto" w:fill="FFFFFF"/>
          <w:lang w:eastAsia="es-ES_tradnl"/>
        </w:rPr>
        <w:t xml:space="preserve">.  </w:t>
      </w:r>
    </w:p>
    <w:p w14:paraId="1CF153D5" w14:textId="77777777" w:rsidR="00C92EDD" w:rsidRPr="006162A9" w:rsidRDefault="00C92EDD" w:rsidP="00C92EDD">
      <w:pPr>
        <w:widowControl w:val="0"/>
        <w:autoSpaceDE w:val="0"/>
        <w:autoSpaceDN w:val="0"/>
        <w:spacing w:after="0" w:line="276" w:lineRule="auto"/>
        <w:ind w:firstLine="708"/>
        <w:jc w:val="both"/>
        <w:rPr>
          <w:rFonts w:ascii="Verdana" w:hAnsi="Verdana"/>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los reconocimientos económicos derivados del desequilibrio en el contrato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7129DD88" w14:textId="77777777" w:rsidR="00C92EDD" w:rsidRPr="00301910" w:rsidRDefault="00C92EDD" w:rsidP="00C92EDD">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6E248B5C" w14:textId="77777777" w:rsidR="00C92EDD" w:rsidRPr="00182C89" w:rsidRDefault="00C92EDD" w:rsidP="00C92EDD">
      <w:pPr>
        <w:tabs>
          <w:tab w:val="left" w:pos="709"/>
        </w:tabs>
        <w:spacing w:after="0" w:line="276" w:lineRule="auto"/>
        <w:jc w:val="both"/>
        <w:rPr>
          <w:rFonts w:ascii="Verdana" w:eastAsia="Calibri" w:hAnsi="Verdana" w:cs="Arial"/>
          <w:color w:val="000000" w:themeColor="text1"/>
        </w:rPr>
      </w:pPr>
    </w:p>
    <w:p w14:paraId="0B034A47" w14:textId="77777777" w:rsidR="00C92EDD" w:rsidRPr="00593A5F" w:rsidRDefault="00C92EDD" w:rsidP="00C92ED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18453108" w14:textId="77777777" w:rsidR="00C92EDD" w:rsidRPr="00593A5F" w:rsidRDefault="00C92EDD" w:rsidP="00C92EDD">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92EDD" w:rsidRPr="002407CE" w14:paraId="230C1EFF" w14:textId="77777777" w:rsidTr="00CE7001">
        <w:trPr>
          <w:trHeight w:val="870"/>
          <w:jc w:val="center"/>
        </w:trPr>
        <w:tc>
          <w:tcPr>
            <w:tcW w:w="8647" w:type="dxa"/>
          </w:tcPr>
          <w:p w14:paraId="3176ABF7" w14:textId="77777777" w:rsidR="00C92EDD" w:rsidRDefault="00C92EDD" w:rsidP="00C92EDD">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 xml:space="preserve">Ley 80 de 1993, artículos 39, 41 y 60. </w:t>
            </w:r>
          </w:p>
          <w:p w14:paraId="30AFF514" w14:textId="77777777" w:rsidR="00C92EDD" w:rsidRPr="00B478FA" w:rsidRDefault="00C92EDD" w:rsidP="00CE7001">
            <w:pPr>
              <w:pStyle w:val="Prrafodelista"/>
              <w:widowControl w:val="0"/>
              <w:autoSpaceDE w:val="0"/>
              <w:autoSpaceDN w:val="0"/>
              <w:spacing w:line="276" w:lineRule="auto"/>
              <w:jc w:val="both"/>
              <w:rPr>
                <w:rFonts w:ascii="Verdana" w:hAnsi="Verdana" w:cs="Arial"/>
                <w:sz w:val="12"/>
                <w:szCs w:val="12"/>
              </w:rPr>
            </w:pPr>
          </w:p>
          <w:p w14:paraId="6959CBA4" w14:textId="77777777" w:rsidR="00C92EDD" w:rsidRDefault="00C92EDD" w:rsidP="00C92EDD">
            <w:pPr>
              <w:pStyle w:val="Prrafodelista"/>
              <w:widowControl w:val="0"/>
              <w:numPr>
                <w:ilvl w:val="0"/>
                <w:numId w:val="17"/>
              </w:numPr>
              <w:autoSpaceDE w:val="0"/>
              <w:autoSpaceDN w:val="0"/>
              <w:spacing w:line="276" w:lineRule="auto"/>
              <w:jc w:val="both"/>
              <w:rPr>
                <w:rFonts w:ascii="Verdana" w:hAnsi="Verdana" w:cs="Arial"/>
              </w:rPr>
            </w:pPr>
            <w:r w:rsidRPr="00EA612E">
              <w:rPr>
                <w:rFonts w:ascii="Verdana" w:hAnsi="Verdana" w:cs="Arial"/>
              </w:rPr>
              <w:t xml:space="preserve">Ley 1150 de 2007, artículo </w:t>
            </w:r>
            <w:r>
              <w:rPr>
                <w:rFonts w:ascii="Verdana" w:hAnsi="Verdana" w:cs="Arial"/>
              </w:rPr>
              <w:t>11</w:t>
            </w:r>
            <w:r w:rsidRPr="00EA612E">
              <w:rPr>
                <w:rFonts w:ascii="Verdana" w:hAnsi="Verdana" w:cs="Arial"/>
              </w:rPr>
              <w:t xml:space="preserve">. </w:t>
            </w:r>
          </w:p>
          <w:p w14:paraId="34E64871" w14:textId="77777777" w:rsidR="00C92EDD" w:rsidRPr="00B478FA" w:rsidRDefault="00C92EDD" w:rsidP="00CE7001">
            <w:pPr>
              <w:widowControl w:val="0"/>
              <w:autoSpaceDE w:val="0"/>
              <w:autoSpaceDN w:val="0"/>
              <w:spacing w:line="276" w:lineRule="auto"/>
              <w:jc w:val="both"/>
              <w:rPr>
                <w:rFonts w:ascii="Verdana" w:hAnsi="Verdana" w:cs="Arial"/>
                <w:sz w:val="12"/>
                <w:szCs w:val="12"/>
              </w:rPr>
            </w:pPr>
          </w:p>
          <w:p w14:paraId="0175E62E" w14:textId="77777777" w:rsidR="00C92EDD" w:rsidRPr="001C6C6F" w:rsidRDefault="00C92EDD" w:rsidP="00C92EDD">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Ley 1437 de 2011</w:t>
            </w:r>
            <w:r w:rsidRPr="00EA612E">
              <w:rPr>
                <w:rFonts w:ascii="Verdana" w:hAnsi="Verdana" w:cs="Arial"/>
              </w:rPr>
              <w:t xml:space="preserve">, artículos </w:t>
            </w:r>
            <w:r>
              <w:rPr>
                <w:rFonts w:ascii="Verdana" w:hAnsi="Verdana" w:cs="Arial"/>
              </w:rPr>
              <w:t>10, 141 y 164</w:t>
            </w:r>
            <w:r w:rsidRPr="00EA612E">
              <w:rPr>
                <w:rFonts w:ascii="Verdana" w:hAnsi="Verdana" w:cs="Arial"/>
              </w:rPr>
              <w:t>.</w:t>
            </w:r>
          </w:p>
        </w:tc>
      </w:tr>
    </w:tbl>
    <w:p w14:paraId="230DDD87" w14:textId="77777777" w:rsidR="00C92EDD" w:rsidRPr="002407CE" w:rsidRDefault="00C92EDD" w:rsidP="00C92EDD">
      <w:pPr>
        <w:widowControl w:val="0"/>
        <w:autoSpaceDE w:val="0"/>
        <w:autoSpaceDN w:val="0"/>
        <w:spacing w:after="0" w:line="276" w:lineRule="auto"/>
        <w:jc w:val="both"/>
        <w:rPr>
          <w:rFonts w:ascii="Verdana" w:hAnsi="Verdana" w:cs="Arial"/>
        </w:rPr>
      </w:pPr>
    </w:p>
    <w:p w14:paraId="65F84E8F" w14:textId="77777777" w:rsidR="00C92EDD" w:rsidRPr="00593A5F" w:rsidRDefault="00C92EDD" w:rsidP="00C92ED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1EAA33A" w14:textId="77777777" w:rsidR="00C92EDD" w:rsidRPr="00593A5F" w:rsidRDefault="00C92EDD" w:rsidP="00C92EDD">
      <w:pPr>
        <w:widowControl w:val="0"/>
        <w:autoSpaceDE w:val="0"/>
        <w:autoSpaceDN w:val="0"/>
        <w:spacing w:after="0" w:line="276" w:lineRule="auto"/>
        <w:jc w:val="both"/>
        <w:rPr>
          <w:rFonts w:ascii="Verdana" w:hAnsi="Verdana" w:cs="Arial"/>
        </w:rPr>
      </w:pPr>
    </w:p>
    <w:p w14:paraId="218486B8" w14:textId="77777777" w:rsidR="00C92EDD" w:rsidRDefault="00C92EDD" w:rsidP="00C92EDD">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5344DB">
        <w:rPr>
          <w:rStyle w:val="normaltextrun"/>
          <w:rFonts w:ascii="Verdana" w:hAnsi="Verdana" w:cs="Arial"/>
          <w:shd w:val="clear" w:color="auto" w:fill="FFFFFF"/>
        </w:rPr>
        <w:t>Esta Subdirección se ha pronunciado sobre la liquidación en los Conceptos 4201912000004908 del 27 de septiembre de 2019, CU-028 de 25 de febrero de 2020, C-221 de 21 de abril de 2020, C-078 del 17 de marzo de 2021, C-220 del 18 de mayo de 2021, C-444 del 23 de julio de 2021, C-747 del 8 de noviembre de 2022, C-739 de del 29 de noviembre de 2022, C- 176 de 3 de mayo de 2023</w:t>
      </w:r>
      <w:r>
        <w:rPr>
          <w:rStyle w:val="normaltextrun"/>
          <w:rFonts w:ascii="Verdana" w:hAnsi="Verdana" w:cs="Arial"/>
          <w:shd w:val="clear" w:color="auto" w:fill="FFFFFF"/>
        </w:rPr>
        <w:t>,</w:t>
      </w:r>
      <w:r w:rsidRPr="005344DB">
        <w:rPr>
          <w:rStyle w:val="normaltextrun"/>
          <w:rFonts w:ascii="Verdana" w:hAnsi="Verdana" w:cs="Arial"/>
          <w:shd w:val="clear" w:color="auto" w:fill="FFFFFF"/>
        </w:rPr>
        <w:t xml:space="preserve"> C-158 del 6 de junio de 2023</w:t>
      </w:r>
      <w:r>
        <w:rPr>
          <w:rStyle w:val="normaltextrun"/>
          <w:rFonts w:ascii="Verdana" w:hAnsi="Verdana" w:cs="Arial"/>
          <w:shd w:val="clear" w:color="auto" w:fill="FFFFFF"/>
        </w:rPr>
        <w:t>, C-326 del 15 de agosto de 2024 y C-568 del 18 de octubre de 2024</w:t>
      </w:r>
      <w:r w:rsidRPr="008D0AB0">
        <w:rPr>
          <w:rStyle w:val="normaltextrun"/>
          <w:rFonts w:ascii="Verdana" w:hAnsi="Verdana" w:cs="Arial"/>
          <w:shd w:val="clear" w:color="auto" w:fill="FFFFFF"/>
        </w:rPr>
        <w:t xml:space="preserve">. Estos y otros 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7430FF7C" w14:textId="77777777" w:rsidR="00C92EDD" w:rsidRDefault="00C92EDD" w:rsidP="00C92EDD">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6C62332" w14:textId="77777777" w:rsidR="00C92EDD" w:rsidRPr="00A1554D" w:rsidRDefault="00C92EDD" w:rsidP="00C92EDD">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3"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sidRPr="00096788">
        <w:rPr>
          <w:rFonts w:ascii="Verdana" w:hAnsi="Verdana" w:cs="Arial"/>
          <w:color w:val="000000" w:themeColor="text1"/>
          <w:shd w:val="clear" w:color="auto" w:fill="FFFFFF"/>
        </w:rPr>
        <w:t>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4A410543" w14:textId="77777777" w:rsidR="00C92EDD" w:rsidRPr="00E648DC" w:rsidRDefault="00C92EDD" w:rsidP="00C92EDD">
      <w:pPr>
        <w:widowControl w:val="0"/>
        <w:autoSpaceDE w:val="0"/>
        <w:autoSpaceDN w:val="0"/>
        <w:spacing w:after="0" w:line="276" w:lineRule="auto"/>
        <w:jc w:val="both"/>
        <w:rPr>
          <w:rFonts w:ascii="Verdana" w:hAnsi="Verdana" w:cs="Arial"/>
          <w:lang w:val="es-MX"/>
        </w:rPr>
      </w:pPr>
    </w:p>
    <w:p w14:paraId="3B73BBD9" w14:textId="77777777" w:rsidR="00C92EDD" w:rsidRPr="00593A5F" w:rsidRDefault="00C92EDD" w:rsidP="00C92EDD">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1FA4BDF" w14:textId="77777777" w:rsidR="00C92EDD" w:rsidRPr="00593A5F" w:rsidRDefault="00C92EDD" w:rsidP="00C92EDD">
      <w:pPr>
        <w:widowControl w:val="0"/>
        <w:autoSpaceDE w:val="0"/>
        <w:autoSpaceDN w:val="0"/>
        <w:spacing w:after="0" w:line="276" w:lineRule="auto"/>
        <w:jc w:val="both"/>
        <w:rPr>
          <w:rFonts w:ascii="Verdana" w:hAnsi="Verdana" w:cs="Arial"/>
        </w:rPr>
      </w:pPr>
    </w:p>
    <w:p w14:paraId="5A3D9442" w14:textId="77777777" w:rsidR="00C92EDD" w:rsidRPr="00593A5F" w:rsidRDefault="00C92EDD" w:rsidP="00C92EDD">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76D978C" w14:textId="3EA02382" w:rsidR="00C92EDD" w:rsidRPr="00593A5F" w:rsidRDefault="009101B6" w:rsidP="00C92EDD">
      <w:pPr>
        <w:spacing w:line="276" w:lineRule="auto"/>
        <w:jc w:val="center"/>
        <w:rPr>
          <w:rFonts w:ascii="Verdana" w:hAnsi="Verdana" w:cs="Arial"/>
          <w:color w:val="000000"/>
          <w:lang w:val="es-ES_tradnl" w:eastAsia="es-CO"/>
        </w:rPr>
      </w:pPr>
      <w:r>
        <w:rPr>
          <w:noProof/>
        </w:rPr>
        <w:drawing>
          <wp:inline distT="0" distB="0" distL="0" distR="0" wp14:anchorId="207EF6B7" wp14:editId="41CB7EB5">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92EDD" w:rsidRPr="00593A5F" w14:paraId="7CCA5A55" w14:textId="77777777" w:rsidTr="00CE7001">
        <w:trPr>
          <w:trHeight w:val="315"/>
        </w:trPr>
        <w:tc>
          <w:tcPr>
            <w:tcW w:w="893" w:type="dxa"/>
            <w:vAlign w:val="center"/>
            <w:hideMark/>
          </w:tcPr>
          <w:p w14:paraId="125B9B19" w14:textId="77777777" w:rsidR="00C92EDD" w:rsidRPr="003751C7" w:rsidRDefault="00C92EDD" w:rsidP="00CE7001">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F59BB43" w14:textId="77777777" w:rsidR="00C92EDD" w:rsidRPr="00254A7A" w:rsidRDefault="00C92EDD" w:rsidP="00CE7001">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1071E77D" w14:textId="77777777" w:rsidR="00C92EDD" w:rsidRPr="00254A7A" w:rsidRDefault="00C92EDD" w:rsidP="00CE7001">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92EDD" w:rsidRPr="00593A5F" w14:paraId="0959F21C" w14:textId="77777777" w:rsidTr="00CE7001">
        <w:trPr>
          <w:trHeight w:val="330"/>
        </w:trPr>
        <w:tc>
          <w:tcPr>
            <w:tcW w:w="893" w:type="dxa"/>
            <w:vAlign w:val="center"/>
            <w:hideMark/>
          </w:tcPr>
          <w:p w14:paraId="79F86A5C" w14:textId="77777777" w:rsidR="00C92EDD" w:rsidRPr="003751C7" w:rsidRDefault="00C92EDD" w:rsidP="00CE7001">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A153273" w14:textId="77777777" w:rsidR="00C92EDD" w:rsidRPr="00254A7A" w:rsidRDefault="00C92EDD" w:rsidP="00CE7001">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2A3D3654" w14:textId="77777777" w:rsidR="00C92EDD" w:rsidRPr="00254A7A" w:rsidRDefault="00C92EDD" w:rsidP="00CE7001">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C92EDD" w:rsidRPr="00593A5F" w14:paraId="3CA379E1" w14:textId="77777777" w:rsidTr="00CE7001">
        <w:trPr>
          <w:trHeight w:val="300"/>
        </w:trPr>
        <w:tc>
          <w:tcPr>
            <w:tcW w:w="893" w:type="dxa"/>
            <w:vAlign w:val="center"/>
          </w:tcPr>
          <w:p w14:paraId="5AA9DB7C" w14:textId="77777777" w:rsidR="00C92EDD" w:rsidRPr="003751C7" w:rsidRDefault="00C92EDD" w:rsidP="00CE7001">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156108B" w14:textId="77777777" w:rsidR="00C92EDD" w:rsidRPr="003751C7" w:rsidRDefault="00C92EDD" w:rsidP="00CE7001">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DC57EF0" w14:textId="77777777" w:rsidR="00C92EDD" w:rsidRPr="003751C7" w:rsidRDefault="00C92EDD" w:rsidP="00CE7001">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66878B85" w14:textId="77777777" w:rsidR="00C92EDD" w:rsidRPr="00593A5F" w:rsidRDefault="00C92EDD" w:rsidP="00C92EDD">
      <w:pPr>
        <w:spacing w:after="0" w:line="240" w:lineRule="auto"/>
        <w:rPr>
          <w:rFonts w:ascii="Verdana" w:eastAsia="Times New Roman" w:hAnsi="Verdana" w:cs="Arial"/>
          <w:sz w:val="24"/>
          <w:szCs w:val="24"/>
          <w:lang w:eastAsia="es-ES"/>
        </w:rPr>
      </w:pPr>
    </w:p>
    <w:p w14:paraId="0F293BF4" w14:textId="7BBFAB11" w:rsidR="00127233" w:rsidRPr="0044466F" w:rsidRDefault="00127233" w:rsidP="0044466F"/>
    <w:sectPr w:rsidR="00127233" w:rsidRPr="0044466F"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44E0D" w14:textId="77777777" w:rsidR="00BA7950" w:rsidRDefault="00BA7950" w:rsidP="004A1847">
      <w:pPr>
        <w:spacing w:after="0" w:line="240" w:lineRule="auto"/>
      </w:pPr>
      <w:r>
        <w:separator/>
      </w:r>
    </w:p>
  </w:endnote>
  <w:endnote w:type="continuationSeparator" w:id="0">
    <w:p w14:paraId="434F47B0" w14:textId="77777777" w:rsidR="00BA7950" w:rsidRDefault="00BA7950" w:rsidP="004A1847">
      <w:pPr>
        <w:spacing w:after="0" w:line="240" w:lineRule="auto"/>
      </w:pPr>
      <w:r>
        <w:continuationSeparator/>
      </w:r>
    </w:p>
  </w:endnote>
  <w:endnote w:type="continuationNotice" w:id="1">
    <w:p w14:paraId="24593A2A" w14:textId="77777777" w:rsidR="00BA7950" w:rsidRDefault="00BA7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AAD84" w14:textId="77777777" w:rsidR="00BA7950" w:rsidRDefault="00BA7950" w:rsidP="004A1847">
      <w:pPr>
        <w:spacing w:after="0" w:line="240" w:lineRule="auto"/>
      </w:pPr>
      <w:r>
        <w:separator/>
      </w:r>
    </w:p>
  </w:footnote>
  <w:footnote w:type="continuationSeparator" w:id="0">
    <w:p w14:paraId="2928151C" w14:textId="77777777" w:rsidR="00BA7950" w:rsidRDefault="00BA7950" w:rsidP="004A1847">
      <w:pPr>
        <w:spacing w:after="0" w:line="240" w:lineRule="auto"/>
      </w:pPr>
      <w:r>
        <w:continuationSeparator/>
      </w:r>
    </w:p>
  </w:footnote>
  <w:footnote w:type="continuationNotice" w:id="1">
    <w:p w14:paraId="095C70A6" w14:textId="77777777" w:rsidR="00BA7950" w:rsidRDefault="00BA7950">
      <w:pPr>
        <w:spacing w:after="0" w:line="240" w:lineRule="auto"/>
      </w:pPr>
    </w:p>
  </w:footnote>
  <w:footnote w:id="2">
    <w:p w14:paraId="6D9F29F2" w14:textId="77777777" w:rsidR="00C92EDD" w:rsidRPr="008457D2" w:rsidRDefault="00C92EDD" w:rsidP="00175B85">
      <w:pPr>
        <w:pStyle w:val="Textonotapie"/>
        <w:ind w:firstLine="708"/>
        <w:jc w:val="both"/>
        <w:rPr>
          <w:rFonts w:ascii="Verdana" w:hAnsi="Verdana" w:cs="Arial"/>
          <w:color w:val="000000"/>
          <w:sz w:val="16"/>
          <w:szCs w:val="16"/>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8457D2">
        <w:rPr>
          <w:rFonts w:ascii="Verdana" w:hAnsi="Verdana" w:cs="Arial"/>
          <w:color w:val="000000"/>
          <w:sz w:val="16"/>
          <w:szCs w:val="16"/>
          <w:shd w:val="clear" w:color="auto" w:fill="FFFFFF"/>
        </w:rPr>
        <w:t>” (</w:t>
      </w:r>
      <w:r w:rsidRPr="008457D2">
        <w:rPr>
          <w:rFonts w:ascii="Verdana" w:hAnsi="Verdana" w:cs="Arial"/>
          <w:color w:val="000000"/>
          <w:sz w:val="16"/>
          <w:szCs w:val="16"/>
        </w:rPr>
        <w:t>EXPOSITO, Juan Carlos. Forma y contenido del contrato estatal. Bogotá: Universidad Externado de Colombia, p. 89 y 90).</w:t>
      </w:r>
    </w:p>
  </w:footnote>
  <w:footnote w:id="3">
    <w:p w14:paraId="0E191FC1" w14:textId="77777777" w:rsidR="00C92EDD" w:rsidRPr="008457D2" w:rsidRDefault="00C92EDD" w:rsidP="00175B85">
      <w:pPr>
        <w:pStyle w:val="Textonotapie"/>
        <w:ind w:firstLine="708"/>
        <w:jc w:val="both"/>
        <w:rPr>
          <w:rFonts w:ascii="Verdana" w:hAnsi="Verdana" w:cs="Arial"/>
          <w:color w:val="000000"/>
          <w:sz w:val="16"/>
          <w:szCs w:val="16"/>
          <w:lang w:val="es-CO"/>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DÍAZ DÍEZ, Cristian Andrés. La liquidación. Serie: Las Cláusulas del Contrato Estatal. Medellín: Librería Jurídica Sánchez y Centro de Estudios de Derecho Administrativo –CEDA–, 2013, pp. 53-54.</w:t>
      </w:r>
    </w:p>
  </w:footnote>
  <w:footnote w:id="4">
    <w:p w14:paraId="74E3E5BC" w14:textId="77777777" w:rsidR="00C92EDD" w:rsidRPr="008457D2" w:rsidRDefault="00C92EDD" w:rsidP="00175B85">
      <w:pPr>
        <w:spacing w:after="0"/>
        <w:ind w:firstLine="708"/>
        <w:jc w:val="both"/>
        <w:rPr>
          <w:rFonts w:ascii="Verdana" w:hAnsi="Verdana" w:cs="Arial"/>
          <w:color w:val="000000"/>
          <w:sz w:val="16"/>
          <w:szCs w:val="16"/>
          <w:lang w:val="es-ES"/>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5">
    <w:p w14:paraId="65F14718" w14:textId="77777777" w:rsidR="00C92EDD" w:rsidRPr="008457D2" w:rsidRDefault="00C92EDD" w:rsidP="00175B85">
      <w:pPr>
        <w:pStyle w:val="Textonotapie"/>
        <w:ind w:firstLine="708"/>
        <w:jc w:val="both"/>
        <w:rPr>
          <w:rFonts w:ascii="Verdana" w:hAnsi="Verdana" w:cs="Arial"/>
          <w:color w:val="000000"/>
          <w:sz w:val="16"/>
          <w:szCs w:val="16"/>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EXPÓSITO VÉLEZ, Juan Carlos. Forma y contenido del contrato estatal, p. 90.</w:t>
      </w:r>
    </w:p>
  </w:footnote>
  <w:footnote w:id="6">
    <w:p w14:paraId="74414FD6" w14:textId="77777777" w:rsidR="00C92EDD" w:rsidRPr="008457D2" w:rsidRDefault="00C92EDD" w:rsidP="00175B85">
      <w:pPr>
        <w:pStyle w:val="Textonotapie"/>
        <w:ind w:firstLine="708"/>
        <w:jc w:val="both"/>
        <w:rPr>
          <w:rFonts w:ascii="Verdana" w:hAnsi="Verdana" w:cs="Arial"/>
          <w:color w:val="000000"/>
          <w:sz w:val="16"/>
          <w:szCs w:val="16"/>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CONSEJO DE ESTADO, Sala de Consulta y Servicio Civil. Radicado No. 1453. Concepto de 6 de agosto de 2003. MP. Augusto Trejos.</w:t>
      </w:r>
    </w:p>
  </w:footnote>
  <w:footnote w:id="7">
    <w:p w14:paraId="08A0C912" w14:textId="77777777" w:rsidR="00C92EDD" w:rsidRPr="008457D2" w:rsidRDefault="00C92EDD" w:rsidP="00175B85">
      <w:pPr>
        <w:pStyle w:val="Textonotapie"/>
        <w:ind w:firstLine="708"/>
        <w:jc w:val="both"/>
        <w:rPr>
          <w:rFonts w:ascii="Verdana" w:hAnsi="Verdana" w:cs="Arial"/>
          <w:color w:val="000000"/>
          <w:sz w:val="16"/>
          <w:szCs w:val="16"/>
          <w:lang w:val="es-ES"/>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w:t>
      </w:r>
      <w:r w:rsidRPr="008457D2">
        <w:rPr>
          <w:rFonts w:ascii="Verdana" w:hAnsi="Verdana" w:cs="Arial"/>
          <w:color w:val="000000"/>
          <w:sz w:val="16"/>
          <w:szCs w:val="16"/>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1B4E627A" w14:textId="77777777" w:rsidR="00C92EDD" w:rsidRPr="008457D2" w:rsidRDefault="00C92EDD" w:rsidP="00175B85">
      <w:pPr>
        <w:pStyle w:val="Textonotapie"/>
        <w:ind w:firstLine="708"/>
        <w:jc w:val="both"/>
        <w:rPr>
          <w:rFonts w:ascii="Verdana" w:hAnsi="Verdana" w:cs="Arial"/>
          <w:color w:val="000000"/>
          <w:sz w:val="16"/>
          <w:szCs w:val="16"/>
          <w:lang w:val="es-ES"/>
        </w:rPr>
      </w:pPr>
      <w:r w:rsidRPr="008457D2">
        <w:rPr>
          <w:rFonts w:ascii="Verdana" w:hAnsi="Verdana" w:cs="Arial"/>
          <w:color w:val="000000"/>
          <w:sz w:val="16"/>
          <w:szCs w:val="16"/>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292498DF" w14:textId="77777777" w:rsidR="00C92EDD" w:rsidRPr="008457D2" w:rsidRDefault="00C92EDD" w:rsidP="00175B85">
      <w:pPr>
        <w:pStyle w:val="Textonotapie"/>
        <w:ind w:firstLine="708"/>
        <w:jc w:val="both"/>
        <w:rPr>
          <w:rFonts w:ascii="Verdana" w:hAnsi="Verdana" w:cs="Arial"/>
          <w:color w:val="000000"/>
          <w:sz w:val="16"/>
          <w:szCs w:val="16"/>
          <w:lang w:val="es-ES"/>
        </w:rPr>
      </w:pPr>
      <w:r w:rsidRPr="008457D2">
        <w:rPr>
          <w:rFonts w:ascii="Verdana" w:hAnsi="Verdana" w:cs="Arial"/>
          <w:color w:val="000000"/>
          <w:sz w:val="16"/>
          <w:szCs w:val="16"/>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7C095F7A" w14:textId="77777777" w:rsidR="00C92EDD" w:rsidRPr="008457D2" w:rsidRDefault="00C92EDD" w:rsidP="00175B85">
      <w:pPr>
        <w:pStyle w:val="Textonotapie"/>
        <w:ind w:firstLine="708"/>
        <w:jc w:val="both"/>
        <w:rPr>
          <w:rFonts w:ascii="Verdana" w:hAnsi="Verdana" w:cs="Arial"/>
          <w:color w:val="000000"/>
          <w:sz w:val="16"/>
          <w:szCs w:val="16"/>
          <w:lang w:val="es-ES"/>
        </w:rPr>
      </w:pPr>
      <w:r w:rsidRPr="008457D2">
        <w:rPr>
          <w:rFonts w:ascii="Verdana" w:hAnsi="Verdana" w:cs="Arial"/>
          <w:color w:val="000000"/>
          <w:sz w:val="16"/>
          <w:szCs w:val="16"/>
          <w:lang w:val="es-ES"/>
        </w:rPr>
        <w:t>Los contratistas tendrán derecho a efectuar salvedades a la liquidación por mutuo acuerdo, y en este evento la liquidación unilateral solo procederá en relación con los aspectos que no hayan sido objeto de acuerdo”.</w:t>
      </w:r>
    </w:p>
  </w:footnote>
  <w:footnote w:id="8">
    <w:p w14:paraId="0EA0BB91" w14:textId="77777777" w:rsidR="00C92EDD" w:rsidRPr="008457D2" w:rsidRDefault="00C92EDD" w:rsidP="00175B85">
      <w:pPr>
        <w:pStyle w:val="Textonotapie"/>
        <w:ind w:firstLine="709"/>
        <w:jc w:val="both"/>
        <w:rPr>
          <w:rFonts w:ascii="Verdana" w:hAnsi="Verdana" w:cs="Arial"/>
          <w:color w:val="000000"/>
          <w:sz w:val="16"/>
          <w:szCs w:val="16"/>
          <w:lang w:val="es-CO"/>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CONSEJO DE ESTADO, Sección Tercera, Subsección C, Sentencia del 24 de julio de 2013, radicado No. 25.642, Consejero Ponente Enrique Gil Botero.</w:t>
      </w:r>
    </w:p>
  </w:footnote>
  <w:footnote w:id="9">
    <w:p w14:paraId="474860E6" w14:textId="77777777" w:rsidR="00C92EDD" w:rsidRPr="008457D2" w:rsidRDefault="00C92EDD" w:rsidP="00175B85">
      <w:pPr>
        <w:pStyle w:val="NormalWeb"/>
        <w:spacing w:before="0" w:beforeAutospacing="0" w:after="0" w:afterAutospacing="0"/>
        <w:ind w:firstLine="709"/>
        <w:jc w:val="both"/>
        <w:rPr>
          <w:rFonts w:ascii="Verdana" w:hAnsi="Verdana" w:cs="Arial"/>
          <w:color w:val="000000"/>
          <w:sz w:val="16"/>
          <w:szCs w:val="16"/>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Decreto 1082 de 2015 “</w:t>
      </w:r>
      <w:r w:rsidRPr="008457D2">
        <w:rPr>
          <w:rStyle w:val="Textoennegrita"/>
          <w:rFonts w:ascii="Verdana" w:hAnsi="Verdana" w:cs="Arial"/>
          <w:color w:val="000000"/>
          <w:sz w:val="16"/>
          <w:szCs w:val="16"/>
        </w:rPr>
        <w:t>Artículo 2.2.1.2.1.5.2. </w:t>
      </w:r>
      <w:r w:rsidRPr="008457D2">
        <w:rPr>
          <w:rStyle w:val="nfasis"/>
          <w:rFonts w:ascii="Verdana" w:eastAsia="MS Mincho" w:hAnsi="Verdana" w:cs="Arial"/>
          <w:color w:val="000000"/>
          <w:sz w:val="16"/>
          <w:szCs w:val="16"/>
        </w:rPr>
        <w:t>Procedimiento para la contratación de mínima cuantía. </w:t>
      </w:r>
      <w:r w:rsidRPr="008457D2">
        <w:rPr>
          <w:rFonts w:ascii="Verdana" w:hAnsi="Verdana" w:cs="Arial"/>
          <w:color w:val="000000"/>
          <w:sz w:val="16"/>
          <w:szCs w:val="16"/>
        </w:rPr>
        <w:t>Las siguientes reglas son aplicables a la contratación cuyo valor no excede del 10% de la menor cuantía de la Entidad Estatal, independientemente de su objeto: </w:t>
      </w:r>
    </w:p>
    <w:p w14:paraId="3EBA2C60" w14:textId="77777777" w:rsidR="00C92EDD" w:rsidRPr="008457D2" w:rsidRDefault="00C92EDD" w:rsidP="00175B85">
      <w:pPr>
        <w:pStyle w:val="NormalWeb"/>
        <w:spacing w:before="0" w:beforeAutospacing="0" w:after="0" w:afterAutospacing="0"/>
        <w:jc w:val="both"/>
        <w:rPr>
          <w:rFonts w:ascii="Verdana" w:hAnsi="Verdana" w:cs="Arial"/>
          <w:color w:val="000000"/>
          <w:sz w:val="16"/>
          <w:szCs w:val="16"/>
        </w:rPr>
      </w:pPr>
      <w:r w:rsidRPr="008457D2">
        <w:rPr>
          <w:rFonts w:ascii="Verdana" w:hAnsi="Verdana" w:cs="Arial"/>
          <w:color w:val="000000"/>
          <w:sz w:val="16"/>
          <w:szCs w:val="16"/>
        </w:rPr>
        <w:t>  </w:t>
      </w:r>
      <w:r w:rsidRPr="008457D2">
        <w:rPr>
          <w:rFonts w:ascii="Verdana" w:hAnsi="Verdana" w:cs="Arial"/>
          <w:color w:val="000000"/>
          <w:sz w:val="16"/>
          <w:szCs w:val="16"/>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footnote>
  <w:footnote w:id="10">
    <w:p w14:paraId="07452A08" w14:textId="77777777" w:rsidR="00C92EDD" w:rsidRPr="008457D2" w:rsidRDefault="00C92EDD" w:rsidP="00175B85">
      <w:pPr>
        <w:pStyle w:val="NormalWeb"/>
        <w:spacing w:before="0" w:beforeAutospacing="0" w:after="0" w:afterAutospacing="0"/>
        <w:ind w:firstLine="720"/>
        <w:jc w:val="both"/>
        <w:rPr>
          <w:rFonts w:ascii="Verdana" w:hAnsi="Verdana" w:cs="Arial"/>
          <w:color w:val="000000"/>
          <w:sz w:val="16"/>
          <w:szCs w:val="16"/>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Ley 80 de 1993 “</w:t>
      </w:r>
      <w:r w:rsidRPr="008457D2">
        <w:rPr>
          <w:rStyle w:val="Textoennegrita"/>
          <w:rFonts w:ascii="Verdana" w:hAnsi="Verdana" w:cs="Arial"/>
          <w:color w:val="000000"/>
          <w:sz w:val="16"/>
          <w:szCs w:val="16"/>
        </w:rPr>
        <w:t>Articulo 39. De la forma del contrato estatal. </w:t>
      </w:r>
      <w:r w:rsidRPr="008457D2">
        <w:rPr>
          <w:rFonts w:ascii="Verdana" w:hAnsi="Verdana" w:cs="Arial"/>
          <w:color w:val="000000"/>
          <w:sz w:val="16"/>
          <w:szCs w:val="16"/>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036A2F81" w14:textId="77777777" w:rsidR="00C92EDD" w:rsidRPr="008457D2" w:rsidRDefault="00C92EDD" w:rsidP="00175B85">
      <w:pPr>
        <w:pStyle w:val="NormalWeb"/>
        <w:spacing w:before="0" w:beforeAutospacing="0" w:after="0" w:afterAutospacing="0"/>
        <w:jc w:val="both"/>
        <w:rPr>
          <w:rFonts w:ascii="Verdana" w:hAnsi="Verdana" w:cs="Arial"/>
          <w:color w:val="000000"/>
          <w:sz w:val="16"/>
          <w:szCs w:val="16"/>
        </w:rPr>
      </w:pPr>
      <w:r w:rsidRPr="008457D2">
        <w:rPr>
          <w:rFonts w:ascii="Verdana" w:hAnsi="Verdana" w:cs="Arial"/>
          <w:color w:val="000000"/>
          <w:sz w:val="16"/>
          <w:szCs w:val="16"/>
        </w:rPr>
        <w:t>  </w:t>
      </w:r>
      <w:r w:rsidRPr="008457D2">
        <w:rPr>
          <w:rFonts w:ascii="Verdana" w:hAnsi="Verdana" w:cs="Arial"/>
          <w:color w:val="000000"/>
          <w:sz w:val="16"/>
          <w:szCs w:val="16"/>
        </w:rPr>
        <w:tab/>
        <w:t>[…]</w:t>
      </w:r>
      <w:bookmarkStart w:id="2" w:name="ver_1790147"/>
      <w:bookmarkStart w:id="3" w:name="ver_30220791"/>
      <w:bookmarkStart w:id="4" w:name="ver_1790148"/>
      <w:bookmarkEnd w:id="2"/>
      <w:bookmarkEnd w:id="3"/>
    </w:p>
    <w:p w14:paraId="1BAD1CFD" w14:textId="77777777" w:rsidR="00C92EDD" w:rsidRPr="008457D2" w:rsidRDefault="00C92EDD" w:rsidP="00175B85">
      <w:pPr>
        <w:pStyle w:val="NormalWeb"/>
        <w:spacing w:before="0" w:beforeAutospacing="0" w:after="0" w:afterAutospacing="0"/>
        <w:ind w:firstLine="720"/>
        <w:jc w:val="both"/>
        <w:rPr>
          <w:rFonts w:ascii="Verdana" w:hAnsi="Verdana" w:cs="Arial"/>
          <w:color w:val="000000"/>
          <w:sz w:val="16"/>
          <w:szCs w:val="16"/>
        </w:rPr>
      </w:pPr>
      <w:r w:rsidRPr="008457D2">
        <w:rPr>
          <w:rStyle w:val="Textoennegrita"/>
          <w:rFonts w:ascii="Verdana" w:hAnsi="Verdana" w:cs="Arial"/>
          <w:color w:val="000000"/>
          <w:sz w:val="16"/>
          <w:szCs w:val="16"/>
        </w:rPr>
        <w:t>Artículo 40. Del contenido del contrato estatal.</w:t>
      </w:r>
      <w:r w:rsidRPr="008457D2">
        <w:rPr>
          <w:rFonts w:ascii="Verdana" w:hAnsi="Verdana" w:cs="Arial"/>
          <w:color w:val="000000"/>
          <w:sz w:val="16"/>
          <w:szCs w:val="16"/>
        </w:rPr>
        <w:t> Las estipulaciones de los contratos serán las que de acuerdo con las normas civiles, comerciales y las previstas en esta ley, correspondan a su esencia y naturaleza. </w:t>
      </w:r>
    </w:p>
    <w:p w14:paraId="5B3DE76E" w14:textId="77777777" w:rsidR="00C92EDD" w:rsidRPr="008457D2" w:rsidRDefault="00C92EDD" w:rsidP="00175B85">
      <w:pPr>
        <w:pStyle w:val="NormalWeb"/>
        <w:spacing w:before="0" w:beforeAutospacing="0" w:after="0" w:afterAutospacing="0"/>
        <w:ind w:firstLine="720"/>
        <w:jc w:val="both"/>
        <w:rPr>
          <w:rFonts w:ascii="Verdana" w:hAnsi="Verdana" w:cs="Arial"/>
          <w:color w:val="000000"/>
          <w:sz w:val="16"/>
          <w:szCs w:val="16"/>
        </w:rPr>
      </w:pPr>
      <w:r w:rsidRPr="008457D2">
        <w:rPr>
          <w:rFonts w:ascii="Verdana" w:hAnsi="Verdana" w:cs="Arial"/>
          <w:color w:val="000000"/>
          <w:sz w:val="16"/>
          <w:szCs w:val="16"/>
        </w:rPr>
        <w:t>Las entidades podrán celebrar los contratos y acuerdos que permitan la autonomía de la voluntad y requieran el cumplimiento de los fines estatales. </w:t>
      </w:r>
    </w:p>
    <w:p w14:paraId="70E458C6" w14:textId="77777777" w:rsidR="00C92EDD" w:rsidRPr="008457D2" w:rsidRDefault="00C92EDD" w:rsidP="00175B85">
      <w:pPr>
        <w:pStyle w:val="NormalWeb"/>
        <w:spacing w:before="0" w:beforeAutospacing="0" w:after="0" w:afterAutospacing="0"/>
        <w:jc w:val="both"/>
        <w:rPr>
          <w:rFonts w:ascii="Verdana" w:hAnsi="Verdana" w:cs="Arial"/>
          <w:color w:val="000000"/>
          <w:sz w:val="16"/>
          <w:szCs w:val="16"/>
        </w:rPr>
      </w:pPr>
      <w:r w:rsidRPr="008457D2">
        <w:rPr>
          <w:rFonts w:ascii="Verdana" w:hAnsi="Verdana" w:cs="Arial"/>
          <w:color w:val="000000"/>
          <w:sz w:val="16"/>
          <w:szCs w:val="16"/>
        </w:rPr>
        <w:t>  </w:t>
      </w:r>
      <w:r w:rsidRPr="008457D2">
        <w:rPr>
          <w:rFonts w:ascii="Verdana" w:hAnsi="Verdana" w:cs="Arial"/>
          <w:color w:val="000000"/>
          <w:sz w:val="16"/>
          <w:szCs w:val="16"/>
        </w:rPr>
        <w:tab/>
        <w:t>[…]  </w:t>
      </w:r>
    </w:p>
    <w:p w14:paraId="032EA0C4" w14:textId="77777777" w:rsidR="00C92EDD" w:rsidRPr="008457D2" w:rsidRDefault="00C92EDD" w:rsidP="00175B85">
      <w:pPr>
        <w:pStyle w:val="NormalWeb"/>
        <w:spacing w:before="0" w:beforeAutospacing="0" w:after="0" w:afterAutospacing="0"/>
        <w:ind w:firstLine="720"/>
        <w:jc w:val="both"/>
        <w:rPr>
          <w:rFonts w:ascii="Verdana" w:hAnsi="Verdana" w:cs="Arial"/>
          <w:color w:val="000000"/>
          <w:sz w:val="16"/>
          <w:szCs w:val="16"/>
        </w:rPr>
      </w:pPr>
      <w:bookmarkStart w:id="5" w:name="ver_30161420"/>
      <w:bookmarkStart w:id="6" w:name="ver_1790149"/>
      <w:bookmarkStart w:id="7" w:name="ver_30161408"/>
      <w:bookmarkStart w:id="8" w:name="ver_30161443"/>
      <w:bookmarkEnd w:id="4"/>
      <w:bookmarkEnd w:id="5"/>
      <w:bookmarkEnd w:id="6"/>
      <w:bookmarkEnd w:id="7"/>
      <w:bookmarkEnd w:id="8"/>
      <w:r w:rsidRPr="008457D2">
        <w:rPr>
          <w:rStyle w:val="Textoennegrita"/>
          <w:rFonts w:ascii="Verdana" w:hAnsi="Verdana" w:cs="Arial"/>
          <w:color w:val="000000"/>
          <w:sz w:val="16"/>
          <w:szCs w:val="16"/>
        </w:rPr>
        <w:t>Artículo 41. Del perfeccionamiento del contrato.</w:t>
      </w:r>
      <w:r w:rsidRPr="008457D2">
        <w:rPr>
          <w:rFonts w:ascii="Verdana" w:hAnsi="Verdana" w:cs="Arial"/>
          <w:color w:val="000000"/>
          <w:sz w:val="16"/>
          <w:szCs w:val="16"/>
        </w:rPr>
        <w:t> Los contratos del Estado se perfeccionan cuando se logre acuerdo sobre el objeto y la contraprestación y éste se eleve a escrito […]”.</w:t>
      </w:r>
    </w:p>
  </w:footnote>
  <w:footnote w:id="11">
    <w:p w14:paraId="2EDA23D8" w14:textId="77777777" w:rsidR="00C92EDD" w:rsidRPr="008457D2" w:rsidRDefault="00C92EDD" w:rsidP="00175B85">
      <w:pPr>
        <w:pStyle w:val="Textonotapie"/>
        <w:ind w:firstLine="709"/>
        <w:jc w:val="both"/>
        <w:rPr>
          <w:rFonts w:ascii="Verdana" w:hAnsi="Verdana" w:cs="Arial"/>
          <w:color w:val="000000"/>
          <w:sz w:val="16"/>
          <w:szCs w:val="16"/>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Ley 80 de 1993 “</w:t>
      </w:r>
      <w:r w:rsidRPr="008457D2">
        <w:rPr>
          <w:rStyle w:val="Textoennegrita"/>
          <w:rFonts w:ascii="Verdana" w:hAnsi="Verdana" w:cs="Arial"/>
          <w:color w:val="000000"/>
          <w:sz w:val="16"/>
          <w:szCs w:val="16"/>
        </w:rPr>
        <w:t>Artículo 77. De la normatividad aplicable en las actuaciones administrativas.</w:t>
      </w:r>
      <w:r w:rsidRPr="008457D2">
        <w:rPr>
          <w:rFonts w:ascii="Verdana" w:hAnsi="Verdana" w:cs="Arial"/>
          <w:color w:val="000000"/>
          <w:sz w:val="16"/>
          <w:szCs w:val="16"/>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footnote>
  <w:footnote w:id="12">
    <w:p w14:paraId="019DE87F" w14:textId="77777777" w:rsidR="00C92EDD" w:rsidRPr="008457D2" w:rsidRDefault="00C92EDD" w:rsidP="00175B85">
      <w:pPr>
        <w:pStyle w:val="NormalWeb"/>
        <w:spacing w:before="0" w:beforeAutospacing="0" w:after="0" w:afterAutospacing="0"/>
        <w:ind w:firstLine="709"/>
        <w:jc w:val="both"/>
        <w:rPr>
          <w:rFonts w:ascii="Verdana" w:hAnsi="Verdana" w:cs="Arial"/>
          <w:color w:val="000000"/>
          <w:sz w:val="16"/>
          <w:szCs w:val="16"/>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Ley 80 de 1993 “</w:t>
      </w:r>
      <w:r w:rsidRPr="008457D2">
        <w:rPr>
          <w:rStyle w:val="Textoennegrita"/>
          <w:rFonts w:ascii="Verdana" w:hAnsi="Verdana" w:cs="Arial"/>
          <w:color w:val="000000"/>
          <w:sz w:val="16"/>
          <w:szCs w:val="16"/>
        </w:rPr>
        <w:t>Artículo 25. Del principio de economía.</w:t>
      </w:r>
      <w:r w:rsidRPr="008457D2">
        <w:rPr>
          <w:rFonts w:ascii="Verdana" w:hAnsi="Verdana" w:cs="Arial"/>
          <w:color w:val="000000"/>
          <w:sz w:val="16"/>
          <w:szCs w:val="16"/>
        </w:rPr>
        <w:t> En virtud de este principio: </w:t>
      </w:r>
    </w:p>
    <w:p w14:paraId="21ECFE25" w14:textId="77777777" w:rsidR="00C92EDD" w:rsidRPr="008457D2" w:rsidRDefault="00C92EDD" w:rsidP="00175B85">
      <w:pPr>
        <w:pStyle w:val="NormalWeb"/>
        <w:spacing w:before="0" w:beforeAutospacing="0" w:after="0" w:afterAutospacing="0"/>
        <w:ind w:firstLine="709"/>
        <w:jc w:val="both"/>
        <w:rPr>
          <w:rFonts w:ascii="Verdana" w:hAnsi="Verdana" w:cs="Arial"/>
          <w:color w:val="000000"/>
          <w:sz w:val="16"/>
          <w:szCs w:val="16"/>
        </w:rPr>
      </w:pPr>
      <w:r w:rsidRPr="008457D2">
        <w:rPr>
          <w:rFonts w:ascii="Verdana" w:hAnsi="Verdana" w:cs="Arial"/>
          <w:color w:val="000000"/>
          <w:sz w:val="16"/>
          <w:szCs w:val="16"/>
        </w:rPr>
        <w:t>[…]</w:t>
      </w:r>
    </w:p>
    <w:p w14:paraId="1BDE9927" w14:textId="77777777" w:rsidR="00C92EDD" w:rsidRPr="008457D2" w:rsidRDefault="00C92EDD" w:rsidP="00175B85">
      <w:pPr>
        <w:pStyle w:val="NormalWeb"/>
        <w:spacing w:before="0" w:beforeAutospacing="0" w:after="0" w:afterAutospacing="0"/>
        <w:ind w:firstLine="709"/>
        <w:jc w:val="both"/>
        <w:rPr>
          <w:rFonts w:ascii="Verdana" w:hAnsi="Verdana" w:cs="Arial"/>
          <w:color w:val="000000"/>
          <w:sz w:val="16"/>
          <w:szCs w:val="16"/>
        </w:rPr>
      </w:pPr>
      <w:r w:rsidRPr="008457D2">
        <w:rPr>
          <w:rFonts w:ascii="Verdana" w:hAnsi="Verdana" w:cs="Arial"/>
          <w:color w:val="000000"/>
          <w:sz w:val="16"/>
          <w:szCs w:val="16"/>
        </w:rPr>
        <w:t>4o. Los trámites se adelantarán con austeridad de tiempo, medios y gastos y se impedirán las dilaciones y los retardos en la ejecución del contrato. </w:t>
      </w:r>
    </w:p>
    <w:p w14:paraId="45A625A0" w14:textId="77777777" w:rsidR="00C92EDD" w:rsidRPr="008457D2" w:rsidRDefault="00C92EDD" w:rsidP="00175B85">
      <w:pPr>
        <w:pStyle w:val="NormalWeb"/>
        <w:spacing w:before="0" w:beforeAutospacing="0" w:after="0" w:afterAutospacing="0"/>
        <w:jc w:val="both"/>
        <w:rPr>
          <w:rFonts w:ascii="Verdana" w:hAnsi="Verdana" w:cs="Arial"/>
          <w:color w:val="000000"/>
          <w:sz w:val="16"/>
          <w:szCs w:val="16"/>
        </w:rPr>
      </w:pPr>
      <w:r w:rsidRPr="008457D2">
        <w:rPr>
          <w:rFonts w:ascii="Verdana" w:hAnsi="Verdana" w:cs="Arial"/>
          <w:color w:val="000000"/>
          <w:sz w:val="16"/>
          <w:szCs w:val="16"/>
        </w:rPr>
        <w:t>  </w:t>
      </w:r>
      <w:r w:rsidRPr="008457D2">
        <w:rPr>
          <w:rFonts w:ascii="Verdana" w:hAnsi="Verdana" w:cs="Arial"/>
          <w:color w:val="000000"/>
          <w:sz w:val="16"/>
          <w:szCs w:val="16"/>
        </w:rPr>
        <w:tab/>
        <w:t>5o. Se adoptarán procedimientos que garanticen la pronta solución de las diferencias y controversias que con motivo de la celebración y ejecución del contrato se presenten […]”.</w:t>
      </w:r>
    </w:p>
  </w:footnote>
  <w:footnote w:id="13">
    <w:p w14:paraId="11FE5304" w14:textId="77777777" w:rsidR="00C92EDD" w:rsidRPr="008457D2" w:rsidRDefault="00C92EDD" w:rsidP="00175B85">
      <w:pPr>
        <w:pStyle w:val="Textonotapie"/>
        <w:ind w:firstLine="708"/>
        <w:jc w:val="both"/>
        <w:rPr>
          <w:rFonts w:ascii="Verdana" w:hAnsi="Verdana" w:cs="Arial"/>
          <w:color w:val="000000"/>
          <w:sz w:val="16"/>
          <w:szCs w:val="16"/>
          <w:lang w:val="es-ES"/>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COLOMBIA COMPRA EFICIENTE. Guía para la Liquidación de los Procesos de Contratación. página 5, disponible en: </w:t>
      </w:r>
      <w:hyperlink r:id="rId1" w:history="1">
        <w:r w:rsidRPr="008457D2">
          <w:rPr>
            <w:rStyle w:val="Hipervnculo"/>
            <w:rFonts w:ascii="Verdana" w:hAnsi="Verdana" w:cs="Arial"/>
            <w:sz w:val="16"/>
            <w:szCs w:val="16"/>
          </w:rPr>
          <w:t xml:space="preserve">https://www.colombiacompra.gov.co/sites/cce_public/files/cce_documents/cce_guia_liquidacion_procesos.pdf  </w:t>
        </w:r>
      </w:hyperlink>
    </w:p>
  </w:footnote>
  <w:footnote w:id="14">
    <w:p w14:paraId="64C38130" w14:textId="77777777" w:rsidR="00C92EDD" w:rsidRPr="008457D2" w:rsidRDefault="00C92EDD" w:rsidP="00175B85">
      <w:pPr>
        <w:pStyle w:val="Textonotapie"/>
        <w:ind w:firstLine="708"/>
        <w:jc w:val="both"/>
        <w:rPr>
          <w:rFonts w:ascii="Verdana" w:hAnsi="Verdana" w:cs="Arial"/>
          <w:color w:val="000000"/>
          <w:sz w:val="16"/>
          <w:szCs w:val="16"/>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15">
    <w:p w14:paraId="3B400C3E" w14:textId="77777777" w:rsidR="00C92EDD" w:rsidRPr="008457D2" w:rsidRDefault="00C92EDD" w:rsidP="00175B85">
      <w:pPr>
        <w:pStyle w:val="Textonotapie"/>
        <w:ind w:firstLine="708"/>
        <w:jc w:val="both"/>
        <w:rPr>
          <w:rFonts w:ascii="Verdana" w:hAnsi="Verdana" w:cs="Arial"/>
          <w:color w:val="000000"/>
          <w:sz w:val="16"/>
          <w:szCs w:val="16"/>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CONSEJO DE ESTADO. Sala de Consulta y Servicio Civil. Concepto de 28 de Junio de 2016. Radicación: 2253. C.P. Álvaro Namén Vargas. </w:t>
      </w:r>
    </w:p>
  </w:footnote>
  <w:footnote w:id="16">
    <w:p w14:paraId="23227F64" w14:textId="77777777" w:rsidR="00C92EDD" w:rsidRPr="008457D2" w:rsidRDefault="00C92EDD" w:rsidP="00175B85">
      <w:pPr>
        <w:pStyle w:val="Textonotapie"/>
        <w:ind w:firstLine="708"/>
        <w:jc w:val="both"/>
        <w:rPr>
          <w:rFonts w:ascii="Verdana" w:hAnsi="Verdana"/>
          <w:color w:val="000000"/>
          <w:sz w:val="16"/>
          <w:szCs w:val="16"/>
          <w:lang w:val="es-ES"/>
        </w:rPr>
      </w:pPr>
      <w:r w:rsidRPr="008457D2">
        <w:rPr>
          <w:rStyle w:val="Refdenotaalpie"/>
          <w:rFonts w:ascii="Verdana" w:hAnsi="Verdana" w:cs="Arial"/>
          <w:color w:val="000000"/>
          <w:sz w:val="16"/>
          <w:szCs w:val="16"/>
        </w:rPr>
        <w:footnoteRef/>
      </w:r>
      <w:r w:rsidRPr="008457D2">
        <w:rPr>
          <w:rFonts w:ascii="Verdana" w:hAnsi="Verdana" w:cs="Arial"/>
          <w:color w:val="000000"/>
          <w:sz w:val="16"/>
          <w:szCs w:val="16"/>
        </w:rPr>
        <w:t xml:space="preserve"> CONSEJO DE ESTADO. Sección Tercera. </w:t>
      </w:r>
      <w:r w:rsidRPr="008457D2">
        <w:rPr>
          <w:rFonts w:ascii="Verdana" w:hAnsi="Verdana" w:cs="Arial"/>
          <w:color w:val="000000"/>
          <w:sz w:val="16"/>
          <w:szCs w:val="16"/>
          <w:lang w:val="es-CO"/>
        </w:rPr>
        <w:t xml:space="preserve">Sala Plena. Auto del 1 de agosto de 2019. </w:t>
      </w:r>
      <w:r w:rsidRPr="008457D2">
        <w:rPr>
          <w:rFonts w:ascii="Verdana" w:hAnsi="Verdana" w:cs="Arial"/>
          <w:color w:val="000000"/>
          <w:sz w:val="16"/>
          <w:szCs w:val="16"/>
        </w:rPr>
        <w:t xml:space="preserve">Exp. 62009. C.P. Jaime Enrique Rodríguez Navas. </w:t>
      </w:r>
      <w:r w:rsidRPr="008457D2">
        <w:rPr>
          <w:rFonts w:ascii="Verdana" w:hAnsi="Verdana"/>
          <w:color w:val="000000"/>
          <w:sz w:val="16"/>
          <w:szCs w:val="16"/>
          <w:lang w:val="es-ES"/>
        </w:rPr>
        <w:t xml:space="preserve"> </w:t>
      </w:r>
    </w:p>
  </w:footnote>
  <w:footnote w:id="17">
    <w:p w14:paraId="7D7DE323" w14:textId="77777777" w:rsidR="00C92EDD" w:rsidRPr="0015662D" w:rsidRDefault="00C92EDD" w:rsidP="00175B85">
      <w:pPr>
        <w:pStyle w:val="Textonotapie"/>
        <w:ind w:firstLine="708"/>
        <w:jc w:val="both"/>
        <w:rPr>
          <w:rFonts w:ascii="Verdana" w:hAnsi="Verdana"/>
          <w:sz w:val="16"/>
          <w:szCs w:val="16"/>
          <w:lang w:val="es-CO"/>
        </w:rPr>
      </w:pPr>
      <w:r w:rsidRPr="00EF0AFF">
        <w:rPr>
          <w:rStyle w:val="Refdenotaalpie"/>
          <w:rFonts w:ascii="Verdana" w:hAnsi="Verdana"/>
          <w:sz w:val="16"/>
          <w:szCs w:val="16"/>
        </w:rPr>
        <w:footnoteRef/>
      </w:r>
      <w:r w:rsidRPr="00EF0AFF">
        <w:rPr>
          <w:rFonts w:ascii="Verdana" w:hAnsi="Verdana"/>
          <w:sz w:val="16"/>
          <w:szCs w:val="16"/>
        </w:rPr>
        <w:t xml:space="preserve"> </w:t>
      </w:r>
      <w:r>
        <w:rPr>
          <w:rFonts w:ascii="Verdana" w:hAnsi="Verdana"/>
          <w:sz w:val="16"/>
          <w:szCs w:val="16"/>
        </w:rPr>
        <w:t>SANTOFIMIO GAMBOA, Jaime Orlando. Tratado de derecho administrativo: contratación indebida. Tomo IV. Bogotá: Universidad Externado de Colombia, 2004. pp. 388-389.</w:t>
      </w:r>
    </w:p>
  </w:footnote>
  <w:footnote w:id="18">
    <w:p w14:paraId="617F9E50" w14:textId="77777777" w:rsidR="00C92EDD" w:rsidRPr="001C48E6" w:rsidRDefault="00C92EDD" w:rsidP="00175B85">
      <w:pPr>
        <w:pStyle w:val="Textonotapie"/>
        <w:ind w:firstLine="708"/>
        <w:jc w:val="both"/>
        <w:rPr>
          <w:rFonts w:ascii="Verdana" w:hAnsi="Verdana"/>
          <w:sz w:val="16"/>
          <w:szCs w:val="16"/>
          <w:lang w:val="es-CO"/>
        </w:rPr>
      </w:pPr>
      <w:r w:rsidRPr="001C48E6">
        <w:rPr>
          <w:rStyle w:val="Refdenotaalpie"/>
          <w:rFonts w:ascii="Verdana" w:hAnsi="Verdana"/>
          <w:sz w:val="16"/>
          <w:szCs w:val="16"/>
        </w:rPr>
        <w:footnoteRef/>
      </w:r>
      <w:r w:rsidRPr="001C48E6">
        <w:rPr>
          <w:rFonts w:ascii="Verdana" w:hAnsi="Verdana"/>
          <w:sz w:val="16"/>
          <w:szCs w:val="16"/>
        </w:rPr>
        <w:t xml:space="preserve"> </w:t>
      </w:r>
      <w:r>
        <w:rPr>
          <w:rFonts w:ascii="Verdana" w:hAnsi="Verdana"/>
          <w:sz w:val="16"/>
          <w:szCs w:val="16"/>
        </w:rPr>
        <w:t>PINO RICCI, Jorge. El régimen jurídico de los contratos estatales. Bogotá: Universidad Externado de Colombia, 2005. pp. 376-377.</w:t>
      </w:r>
    </w:p>
  </w:footnote>
  <w:footnote w:id="19">
    <w:p w14:paraId="77E952C7" w14:textId="77777777" w:rsidR="00C92EDD" w:rsidRPr="008D4595" w:rsidRDefault="00C92EDD" w:rsidP="00175B85">
      <w:pPr>
        <w:pStyle w:val="Textonotapie"/>
        <w:ind w:firstLine="708"/>
        <w:jc w:val="both"/>
        <w:rPr>
          <w:rFonts w:ascii="Verdana" w:hAnsi="Verdana" w:cs="Arial"/>
          <w:color w:val="000000"/>
          <w:sz w:val="16"/>
          <w:szCs w:val="16"/>
          <w:lang w:val="es-CO"/>
        </w:rPr>
      </w:pPr>
      <w:r w:rsidRPr="008D4595">
        <w:rPr>
          <w:rStyle w:val="Refdenotaalpie"/>
          <w:rFonts w:ascii="Verdana" w:hAnsi="Verdana"/>
          <w:sz w:val="16"/>
          <w:szCs w:val="16"/>
        </w:rPr>
        <w:footnoteRef/>
      </w:r>
      <w:r w:rsidRPr="008D4595">
        <w:rPr>
          <w:rFonts w:ascii="Verdana" w:hAnsi="Verdana"/>
          <w:sz w:val="16"/>
          <w:szCs w:val="16"/>
        </w:rPr>
        <w:t xml:space="preserve"> </w:t>
      </w:r>
      <w:r w:rsidRPr="008457D2">
        <w:rPr>
          <w:rFonts w:ascii="Verdana" w:hAnsi="Verdana" w:cs="Arial"/>
          <w:color w:val="000000"/>
          <w:sz w:val="16"/>
          <w:szCs w:val="16"/>
        </w:rPr>
        <w:t xml:space="preserve">DÍAZ DÍEZ, Cristian Andrés. La liquidación. Serie: Las Cláusulas del Contrato Estatal. Medellín: Librería Jurídica Sánchez y Centro de Estudios de Derecho Administrativo –CEDA–, 2013, pp. </w:t>
      </w:r>
      <w:r>
        <w:rPr>
          <w:rFonts w:ascii="Verdana" w:hAnsi="Verdana" w:cs="Arial"/>
          <w:color w:val="000000"/>
          <w:sz w:val="16"/>
          <w:szCs w:val="16"/>
        </w:rPr>
        <w:t>158-159</w:t>
      </w:r>
      <w:r w:rsidRPr="008457D2">
        <w:rPr>
          <w:rFonts w:ascii="Verdana" w:hAnsi="Verdana"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0D9D"/>
    <w:rsid w:val="00042F53"/>
    <w:rsid w:val="00061B2A"/>
    <w:rsid w:val="00082362"/>
    <w:rsid w:val="000A683E"/>
    <w:rsid w:val="000B19B9"/>
    <w:rsid w:val="000D0334"/>
    <w:rsid w:val="000F6486"/>
    <w:rsid w:val="00125105"/>
    <w:rsid w:val="00127233"/>
    <w:rsid w:val="00132C8B"/>
    <w:rsid w:val="00175B85"/>
    <w:rsid w:val="001859E1"/>
    <w:rsid w:val="001E4177"/>
    <w:rsid w:val="001F7DC6"/>
    <w:rsid w:val="002421BB"/>
    <w:rsid w:val="0025796E"/>
    <w:rsid w:val="00257BB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E4868"/>
    <w:rsid w:val="003F3941"/>
    <w:rsid w:val="00406575"/>
    <w:rsid w:val="0042722E"/>
    <w:rsid w:val="0044466F"/>
    <w:rsid w:val="0044528D"/>
    <w:rsid w:val="004A1847"/>
    <w:rsid w:val="004A305D"/>
    <w:rsid w:val="004F21C4"/>
    <w:rsid w:val="004F685F"/>
    <w:rsid w:val="005566E8"/>
    <w:rsid w:val="00574867"/>
    <w:rsid w:val="00591460"/>
    <w:rsid w:val="00592628"/>
    <w:rsid w:val="005C3777"/>
    <w:rsid w:val="005C5CDC"/>
    <w:rsid w:val="005D476C"/>
    <w:rsid w:val="00610812"/>
    <w:rsid w:val="006219F8"/>
    <w:rsid w:val="00650FF7"/>
    <w:rsid w:val="00665D70"/>
    <w:rsid w:val="006707D0"/>
    <w:rsid w:val="00671DAC"/>
    <w:rsid w:val="006900D9"/>
    <w:rsid w:val="006D12F8"/>
    <w:rsid w:val="00706C16"/>
    <w:rsid w:val="00756841"/>
    <w:rsid w:val="007649AB"/>
    <w:rsid w:val="00771D0C"/>
    <w:rsid w:val="007833AC"/>
    <w:rsid w:val="007B268C"/>
    <w:rsid w:val="007B7171"/>
    <w:rsid w:val="007C0C0F"/>
    <w:rsid w:val="007C3DC2"/>
    <w:rsid w:val="007D526F"/>
    <w:rsid w:val="007E5497"/>
    <w:rsid w:val="00806F5F"/>
    <w:rsid w:val="00807DF5"/>
    <w:rsid w:val="00820278"/>
    <w:rsid w:val="008378FF"/>
    <w:rsid w:val="00876BEB"/>
    <w:rsid w:val="008843B6"/>
    <w:rsid w:val="00891928"/>
    <w:rsid w:val="008A446D"/>
    <w:rsid w:val="008C33A0"/>
    <w:rsid w:val="008D180B"/>
    <w:rsid w:val="008F0EA7"/>
    <w:rsid w:val="009101B6"/>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80145"/>
    <w:rsid w:val="00A857CD"/>
    <w:rsid w:val="00AB0ADB"/>
    <w:rsid w:val="00B01B1A"/>
    <w:rsid w:val="00B72CD3"/>
    <w:rsid w:val="00B72FFF"/>
    <w:rsid w:val="00B804D8"/>
    <w:rsid w:val="00BA7950"/>
    <w:rsid w:val="00BC3D36"/>
    <w:rsid w:val="00BD7F72"/>
    <w:rsid w:val="00BE1120"/>
    <w:rsid w:val="00C04FB3"/>
    <w:rsid w:val="00C330EB"/>
    <w:rsid w:val="00C754BE"/>
    <w:rsid w:val="00C76B1C"/>
    <w:rsid w:val="00C92EDD"/>
    <w:rsid w:val="00CB6357"/>
    <w:rsid w:val="00CC1B26"/>
    <w:rsid w:val="00CD0DFA"/>
    <w:rsid w:val="00D423A2"/>
    <w:rsid w:val="00D520D8"/>
    <w:rsid w:val="00D63AC2"/>
    <w:rsid w:val="00D7383B"/>
    <w:rsid w:val="00DA231B"/>
    <w:rsid w:val="00DA23A0"/>
    <w:rsid w:val="00DC39FC"/>
    <w:rsid w:val="00DE0EC4"/>
    <w:rsid w:val="00DF5254"/>
    <w:rsid w:val="00E16408"/>
    <w:rsid w:val="00E20894"/>
    <w:rsid w:val="00E2375B"/>
    <w:rsid w:val="00E245AB"/>
    <w:rsid w:val="00E2764C"/>
    <w:rsid w:val="00E27F2E"/>
    <w:rsid w:val="00E413EA"/>
    <w:rsid w:val="00E50AFE"/>
    <w:rsid w:val="00E75C92"/>
    <w:rsid w:val="00E771DC"/>
    <w:rsid w:val="00E86E96"/>
    <w:rsid w:val="00E8772A"/>
    <w:rsid w:val="00E90F6B"/>
    <w:rsid w:val="00E92C27"/>
    <w:rsid w:val="00EA0E3D"/>
    <w:rsid w:val="00EC38A7"/>
    <w:rsid w:val="00EE1AA8"/>
    <w:rsid w:val="00F304FB"/>
    <w:rsid w:val="00F31EDC"/>
    <w:rsid w:val="00F462B3"/>
    <w:rsid w:val="00F547F8"/>
    <w:rsid w:val="00F5664F"/>
    <w:rsid w:val="00F666C4"/>
    <w:rsid w:val="00F76AFC"/>
    <w:rsid w:val="00FA47C0"/>
    <w:rsid w:val="00FB5DD1"/>
    <w:rsid w:val="00FC2B5D"/>
    <w:rsid w:val="00FE1E29"/>
    <w:rsid w:val="00FF1449"/>
    <w:rsid w:val="48F52B0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92ED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92EDD"/>
    <w:rPr>
      <w:rFonts w:ascii="Geomanist Light" w:hAnsi="Geomanist Light"/>
      <w:lang w:val="es-ES"/>
    </w:rPr>
  </w:style>
  <w:style w:type="character" w:styleId="Textoennegrita">
    <w:name w:val="Strong"/>
    <w:basedOn w:val="Fuentedeprrafopredeter"/>
    <w:uiPriority w:val="22"/>
    <w:qFormat/>
    <w:rsid w:val="00C92EDD"/>
    <w:rPr>
      <w:b/>
      <w:bCs/>
    </w:rPr>
  </w:style>
  <w:style w:type="character" w:styleId="nfasis">
    <w:name w:val="Emphasis"/>
    <w:basedOn w:val="Fuentedeprrafopredeter"/>
    <w:uiPriority w:val="20"/>
    <w:qFormat/>
    <w:rsid w:val="00C92E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nquintero@yahoo.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ceficiente.sharepoint.com/sites/SGDEA/TRD_254/EXPEDIENTE_1668/DOCUMENTO_407171/DOCUMENTO_40717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CD18D-4871-42DB-8B17-B1737A07E95D}"/>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4744</Words>
  <Characters>26092</Characters>
  <Application>Microsoft Office Word</Application>
  <DocSecurity>0</DocSecurity>
  <Lines>217</Lines>
  <Paragraphs>61</Paragraphs>
  <ScaleCrop>false</ScaleCrop>
  <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2024-11-20T00:29:00Z</dcterms:created>
  <dcterms:modified xsi:type="dcterms:W3CDTF">2024-11-21T03:13:00Z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