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8F975" w14:textId="77777777" w:rsidR="00890BE4" w:rsidRDefault="00890BE4" w:rsidP="002B5168">
      <w:pPr>
        <w:spacing w:after="0" w:line="240" w:lineRule="auto"/>
        <w:rPr>
          <w:rFonts w:ascii="Verdana" w:eastAsia="Geomanist Light" w:hAnsi="Verdana" w:cs="Arial"/>
          <w:lang w:val="es-ES_tradnl"/>
        </w:rPr>
      </w:pPr>
      <w:bookmarkStart w:id="0" w:name="_Hlk143780582"/>
    </w:p>
    <w:p w14:paraId="460EF6C6" w14:textId="77777777" w:rsidR="00890BE4" w:rsidRDefault="00890BE4" w:rsidP="002B5168">
      <w:pPr>
        <w:spacing w:after="0" w:line="240" w:lineRule="auto"/>
        <w:rPr>
          <w:rFonts w:ascii="Verdana" w:eastAsia="Geomanist Light" w:hAnsi="Verdana" w:cs="Arial"/>
          <w:lang w:val="es-ES_tradnl"/>
        </w:rPr>
      </w:pPr>
    </w:p>
    <w:p w14:paraId="039811EE" w14:textId="77777777" w:rsidR="00890BE4" w:rsidRPr="008C6F01" w:rsidRDefault="00890BE4" w:rsidP="00890BE4">
      <w:pPr>
        <w:spacing w:after="0" w:line="240" w:lineRule="auto"/>
        <w:rPr>
          <w:rFonts w:ascii="Verdana" w:eastAsia="Geomanist Light" w:hAnsi="Verdana" w:cs="Arial"/>
          <w:b/>
          <w:bCs/>
          <w:lang w:val="es-ES_tradnl"/>
        </w:rPr>
      </w:pPr>
    </w:p>
    <w:p w14:paraId="7BF489BC" w14:textId="77777777" w:rsidR="00890BE4" w:rsidRPr="008C6F01" w:rsidRDefault="00890BE4" w:rsidP="00890BE4">
      <w:pPr>
        <w:spacing w:after="0" w:line="240" w:lineRule="auto"/>
        <w:rPr>
          <w:rFonts w:ascii="Verdana" w:eastAsia="Geomanist Light" w:hAnsi="Verdana" w:cs="Arial"/>
          <w:b/>
          <w:bCs/>
          <w:lang w:val="es-ES_tradnl"/>
        </w:rPr>
      </w:pPr>
      <w:r w:rsidRPr="008C6F01">
        <w:rPr>
          <w:rFonts w:ascii="Verdana" w:hAnsi="Verdana"/>
          <w:b/>
          <w:bCs/>
        </w:rPr>
        <w:t xml:space="preserve">LEY 2069 DE 2020-Finalidad-Aplicación </w:t>
      </w:r>
    </w:p>
    <w:p w14:paraId="6F54ECED" w14:textId="77777777" w:rsidR="00890BE4" w:rsidRDefault="00890BE4" w:rsidP="00890BE4">
      <w:pPr>
        <w:spacing w:after="0" w:line="240" w:lineRule="auto"/>
        <w:rPr>
          <w:rFonts w:ascii="Verdana" w:eastAsia="Geomanist Light" w:hAnsi="Verdana" w:cs="Arial"/>
          <w:lang w:val="es-ES_tradnl"/>
        </w:rPr>
      </w:pPr>
    </w:p>
    <w:p w14:paraId="28123536" w14:textId="77777777" w:rsidR="00890BE4" w:rsidRPr="008C6F01" w:rsidRDefault="00890BE4" w:rsidP="00890BE4">
      <w:pPr>
        <w:spacing w:after="120" w:line="276" w:lineRule="auto"/>
        <w:jc w:val="both"/>
        <w:rPr>
          <w:rFonts w:ascii="Verdana" w:hAnsi="Verdana"/>
          <w:sz w:val="20"/>
          <w:szCs w:val="20"/>
        </w:rPr>
      </w:pPr>
      <w:r w:rsidRPr="008C6F01">
        <w:rPr>
          <w:rFonts w:ascii="Verdana" w:hAnsi="Verdana"/>
          <w:sz w:val="20"/>
          <w:szCs w:val="20"/>
        </w:rPr>
        <w:t>El 31 de diciembre de 2020 se promulgó la Ley 2069, “</w:t>
      </w:r>
      <w:r w:rsidRPr="008C6F01">
        <w:rPr>
          <w:rFonts w:ascii="Verdana" w:hAnsi="Verdana"/>
          <w:i/>
          <w:iCs/>
          <w:sz w:val="20"/>
          <w:szCs w:val="20"/>
        </w:rPr>
        <w:t>Por medio de la cual se impulsa el emprendimiento en Colombia</w:t>
      </w:r>
      <w:r w:rsidRPr="008C6F01">
        <w:rPr>
          <w:rFonts w:ascii="Verdana" w:hAnsi="Verdana"/>
          <w:sz w:val="20"/>
          <w:szCs w:val="20"/>
        </w:rPr>
        <w:t>”. En cuanto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w:t>
      </w:r>
      <w:r>
        <w:rPr>
          <w:rFonts w:ascii="Verdana" w:hAnsi="Verdana"/>
          <w:sz w:val="20"/>
          <w:szCs w:val="20"/>
        </w:rPr>
        <w:t xml:space="preserve"> </w:t>
      </w:r>
      <w:r w:rsidRPr="008C6F01">
        <w:rPr>
          <w:rFonts w:ascii="Verdana" w:hAnsi="Verdana"/>
          <w:sz w:val="20"/>
          <w:szCs w:val="20"/>
        </w:rPr>
        <w:t xml:space="preserve"> , así como incentivos a favor de aquellas dentro del sistema de compras y contratación pública.</w:t>
      </w:r>
    </w:p>
    <w:p w14:paraId="5D902EDC" w14:textId="77777777" w:rsidR="00890BE4" w:rsidRPr="008C6F01" w:rsidRDefault="00890BE4" w:rsidP="00890BE4">
      <w:pPr>
        <w:spacing w:after="120" w:line="276" w:lineRule="auto"/>
        <w:jc w:val="both"/>
        <w:rPr>
          <w:rFonts w:ascii="Verdana" w:hAnsi="Verdana"/>
          <w:sz w:val="20"/>
          <w:szCs w:val="20"/>
        </w:rPr>
      </w:pPr>
      <w:r w:rsidRPr="008C6F01">
        <w:rPr>
          <w:rFonts w:ascii="Verdana" w:hAnsi="Verdana"/>
          <w:sz w:val="20"/>
          <w:szCs w:val="20"/>
        </w:rPr>
        <w:tab/>
        <w:t xml:space="preserve">En función de esta finalidad, el artículo 31 de la Ley 2069 de 2020 estableció que las entidades estatales de acuerdo con el análisis del sector deben implementar requisitos diferenciales y puntajes adicionales función del tamaño empresarial para la promoción del acceso de las mipymes al mercado de Compras Públicas. La aplicación de estos criterios, por disposición expresa del referido artículo, quedó condicionada por la expedición de su reglamentación </w:t>
      </w:r>
    </w:p>
    <w:p w14:paraId="7F628A61" w14:textId="77777777" w:rsidR="00890BE4" w:rsidRPr="008C6F01" w:rsidRDefault="00890BE4" w:rsidP="00890BE4">
      <w:pPr>
        <w:spacing w:after="120" w:line="276" w:lineRule="auto"/>
        <w:jc w:val="both"/>
        <w:rPr>
          <w:rFonts w:ascii="Verdana" w:eastAsia="Arial" w:hAnsi="Verdana" w:cs="Arial"/>
          <w:sz w:val="20"/>
          <w:szCs w:val="20"/>
          <w:lang w:eastAsia="es-MX"/>
        </w:rPr>
      </w:pPr>
      <w:r w:rsidRPr="008C6F01">
        <w:rPr>
          <w:rFonts w:ascii="Verdana" w:hAnsi="Verdana"/>
          <w:sz w:val="20"/>
          <w:szCs w:val="20"/>
        </w:rPr>
        <w:t xml:space="preserve"> </w:t>
      </w:r>
      <w:r w:rsidRPr="008C6F01">
        <w:rPr>
          <w:rFonts w:ascii="Verdana" w:hAnsi="Verdana"/>
          <w:sz w:val="20"/>
          <w:szCs w:val="20"/>
        </w:rPr>
        <w:tab/>
      </w:r>
      <w:r w:rsidRPr="008C6F01">
        <w:rPr>
          <w:rFonts w:ascii="Verdana" w:eastAsia="Times New Roman" w:hAnsi="Verdana" w:cs="Arial"/>
          <w:color w:val="000000" w:themeColor="text1"/>
          <w:sz w:val="20"/>
          <w:szCs w:val="20"/>
          <w:lang w:eastAsia="es-MX"/>
        </w:rPr>
        <w:t xml:space="preserve">El artículo 3 del Decreto 1860 de 2021, adicionó </w:t>
      </w:r>
      <w:r w:rsidRPr="008C6F01">
        <w:rPr>
          <w:rFonts w:ascii="Verdana" w:eastAsia="Times New Roman" w:hAnsi="Verdana" w:cs="Arial"/>
          <w:bCs/>
          <w:color w:val="000000" w:themeColor="text1"/>
          <w:sz w:val="20"/>
          <w:szCs w:val="20"/>
          <w:lang w:eastAsia="es-MX"/>
        </w:rPr>
        <w:t xml:space="preserve">el artículo 2.2.1.2.4.2.18 al </w:t>
      </w:r>
      <w:r w:rsidRPr="008C6F01">
        <w:rPr>
          <w:rFonts w:ascii="Verdana" w:eastAsia="Times New Roman" w:hAnsi="Verdana" w:cs="Arial"/>
          <w:sz w:val="20"/>
          <w:szCs w:val="20"/>
          <w:lang w:eastAsia="es-MX"/>
        </w:rPr>
        <w:t xml:space="preserve">Decreto 1082 de 2015 regulando los criterios diferenciales para Mipyme establecidos por el artículo 31 de la Ley 2069 de 2020. En virtud de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Mipyme domiciliadas en Colombia. </w:t>
      </w:r>
    </w:p>
    <w:p w14:paraId="0263B0FD" w14:textId="77777777" w:rsidR="00890BE4" w:rsidRPr="008C6F01" w:rsidRDefault="00890BE4" w:rsidP="00890BE4">
      <w:pPr>
        <w:spacing w:after="0" w:line="240" w:lineRule="auto"/>
        <w:jc w:val="both"/>
        <w:rPr>
          <w:rFonts w:ascii="Verdana" w:eastAsia="Geomanist Light" w:hAnsi="Verdana" w:cs="Arial"/>
        </w:rPr>
      </w:pPr>
    </w:p>
    <w:p w14:paraId="4589963A" w14:textId="77777777" w:rsidR="00890BE4" w:rsidRDefault="00890BE4" w:rsidP="00890BE4">
      <w:pPr>
        <w:spacing w:after="0" w:line="240" w:lineRule="auto"/>
        <w:jc w:val="both"/>
        <w:rPr>
          <w:rFonts w:ascii="Verdana" w:eastAsia="Geomanist Light" w:hAnsi="Verdana" w:cs="Arial"/>
          <w:lang w:val="es-ES_tradnl"/>
        </w:rPr>
      </w:pPr>
    </w:p>
    <w:p w14:paraId="4A551161" w14:textId="77777777" w:rsidR="00890BE4" w:rsidRDefault="00890BE4" w:rsidP="00890BE4">
      <w:pPr>
        <w:spacing w:after="0" w:line="240" w:lineRule="auto"/>
        <w:jc w:val="both"/>
        <w:rPr>
          <w:rFonts w:ascii="Verdana" w:eastAsia="Geomanist Light" w:hAnsi="Verdana" w:cs="Arial"/>
          <w:lang w:val="es-ES_tradnl"/>
        </w:rPr>
      </w:pPr>
    </w:p>
    <w:p w14:paraId="3C888CB5" w14:textId="77777777" w:rsidR="00890BE4" w:rsidRDefault="00890BE4" w:rsidP="00890BE4">
      <w:pPr>
        <w:spacing w:after="0" w:line="240" w:lineRule="auto"/>
        <w:jc w:val="both"/>
        <w:rPr>
          <w:rFonts w:ascii="Verdana" w:eastAsia="Geomanist Light" w:hAnsi="Verdana" w:cs="Arial"/>
          <w:lang w:val="es-ES_tradnl"/>
        </w:rPr>
      </w:pPr>
    </w:p>
    <w:p w14:paraId="5D8AC6C1" w14:textId="77777777" w:rsidR="00890BE4" w:rsidRDefault="00890BE4" w:rsidP="00890BE4">
      <w:pPr>
        <w:spacing w:after="0" w:line="240" w:lineRule="auto"/>
        <w:jc w:val="both"/>
        <w:rPr>
          <w:rFonts w:ascii="Verdana" w:eastAsia="Geomanist Light" w:hAnsi="Verdana" w:cs="Arial"/>
          <w:lang w:val="es-ES_tradnl"/>
        </w:rPr>
      </w:pPr>
    </w:p>
    <w:p w14:paraId="2FF7D380" w14:textId="77777777" w:rsidR="00890BE4" w:rsidRDefault="00890BE4" w:rsidP="00890BE4">
      <w:pPr>
        <w:spacing w:after="0" w:line="240" w:lineRule="auto"/>
        <w:rPr>
          <w:rFonts w:ascii="Verdana" w:eastAsia="Geomanist Light" w:hAnsi="Verdana" w:cs="Arial"/>
          <w:lang w:val="es-ES_tradnl"/>
        </w:rPr>
      </w:pPr>
    </w:p>
    <w:p w14:paraId="517992DE" w14:textId="77777777" w:rsidR="00890BE4" w:rsidRDefault="00890BE4" w:rsidP="00890BE4">
      <w:pPr>
        <w:spacing w:after="0" w:line="240" w:lineRule="auto"/>
        <w:rPr>
          <w:rFonts w:ascii="Verdana" w:eastAsia="Geomanist Light" w:hAnsi="Verdana" w:cs="Arial"/>
          <w:lang w:val="es-ES_tradnl"/>
        </w:rPr>
      </w:pPr>
    </w:p>
    <w:p w14:paraId="40041F6C" w14:textId="77777777" w:rsidR="00890BE4" w:rsidRDefault="00890BE4" w:rsidP="00890BE4">
      <w:pPr>
        <w:spacing w:after="0" w:line="240" w:lineRule="auto"/>
        <w:rPr>
          <w:rFonts w:ascii="Verdana" w:eastAsia="Geomanist Light" w:hAnsi="Verdana" w:cs="Arial"/>
          <w:lang w:val="es-ES_tradnl"/>
        </w:rPr>
      </w:pPr>
    </w:p>
    <w:p w14:paraId="793644BA" w14:textId="77777777" w:rsidR="00890BE4" w:rsidRDefault="00890BE4" w:rsidP="00890BE4">
      <w:pPr>
        <w:spacing w:after="0" w:line="240" w:lineRule="auto"/>
        <w:rPr>
          <w:rFonts w:ascii="Verdana" w:eastAsia="Geomanist Light" w:hAnsi="Verdana" w:cs="Arial"/>
          <w:lang w:val="es-ES_tradnl"/>
        </w:rPr>
      </w:pPr>
    </w:p>
    <w:p w14:paraId="31F79340" w14:textId="77777777" w:rsidR="00890BE4" w:rsidRDefault="00890BE4" w:rsidP="00890BE4">
      <w:pPr>
        <w:spacing w:after="0" w:line="240" w:lineRule="auto"/>
        <w:rPr>
          <w:rFonts w:ascii="Verdana" w:eastAsia="Geomanist Light" w:hAnsi="Verdana" w:cs="Arial"/>
          <w:lang w:val="es-ES_tradnl"/>
        </w:rPr>
      </w:pPr>
    </w:p>
    <w:p w14:paraId="01D8C583" w14:textId="77777777" w:rsidR="00890BE4" w:rsidRDefault="00890BE4" w:rsidP="00890BE4">
      <w:pPr>
        <w:spacing w:after="0" w:line="240" w:lineRule="auto"/>
        <w:rPr>
          <w:rFonts w:ascii="Verdana" w:eastAsia="Geomanist Light" w:hAnsi="Verdana" w:cs="Arial"/>
          <w:lang w:val="es-ES_tradnl"/>
        </w:rPr>
      </w:pPr>
    </w:p>
    <w:p w14:paraId="741DDC19" w14:textId="77777777" w:rsidR="00890BE4" w:rsidRDefault="00890BE4" w:rsidP="00890BE4">
      <w:pPr>
        <w:spacing w:after="0" w:line="240" w:lineRule="auto"/>
        <w:rPr>
          <w:rFonts w:ascii="Verdana" w:eastAsia="Geomanist Light" w:hAnsi="Verdana" w:cs="Arial"/>
          <w:lang w:val="es-ES_tradnl"/>
        </w:rPr>
      </w:pPr>
    </w:p>
    <w:p w14:paraId="38919D0D" w14:textId="77777777" w:rsidR="00890BE4" w:rsidRDefault="00890BE4" w:rsidP="00890BE4">
      <w:pPr>
        <w:spacing w:after="0" w:line="240" w:lineRule="auto"/>
        <w:rPr>
          <w:rFonts w:ascii="Verdana" w:eastAsia="Geomanist Light" w:hAnsi="Verdana" w:cs="Arial"/>
          <w:lang w:val="es-ES_tradnl"/>
        </w:rPr>
      </w:pPr>
    </w:p>
    <w:p w14:paraId="4542D0C4" w14:textId="77777777" w:rsidR="00890BE4" w:rsidRDefault="00890BE4" w:rsidP="00890BE4">
      <w:pPr>
        <w:spacing w:after="0" w:line="240" w:lineRule="auto"/>
        <w:rPr>
          <w:rFonts w:ascii="Verdana" w:eastAsia="Geomanist Light" w:hAnsi="Verdana" w:cs="Arial"/>
          <w:lang w:val="es-ES_tradnl"/>
        </w:rPr>
      </w:pPr>
    </w:p>
    <w:p w14:paraId="2F4FCF43" w14:textId="77777777" w:rsidR="00890BE4" w:rsidRPr="008C6F01" w:rsidRDefault="00890BE4" w:rsidP="00890BE4">
      <w:pPr>
        <w:spacing w:after="0" w:line="240" w:lineRule="auto"/>
        <w:rPr>
          <w:rFonts w:ascii="Verdana" w:eastAsia="Geomanist Light" w:hAnsi="Verdana" w:cs="Arial"/>
          <w:b/>
          <w:bCs/>
          <w:lang w:val="es-ES_tradnl"/>
        </w:rPr>
      </w:pPr>
    </w:p>
    <w:p w14:paraId="23CF11F0" w14:textId="77777777" w:rsidR="00890BE4" w:rsidRDefault="00890BE4" w:rsidP="00890BE4">
      <w:pPr>
        <w:spacing w:after="0" w:line="240" w:lineRule="auto"/>
        <w:rPr>
          <w:rFonts w:ascii="Verdana" w:eastAsia="Calibri" w:hAnsi="Verdana" w:cs="Arial"/>
          <w:color w:val="000000" w:themeColor="text1"/>
          <w:lang w:val="es-ES_tradnl"/>
        </w:rPr>
      </w:pPr>
      <w:r w:rsidRPr="008C6F01">
        <w:rPr>
          <w:rFonts w:ascii="Verdana" w:eastAsia="Calibri" w:hAnsi="Verdana" w:cs="Arial"/>
          <w:b/>
          <w:bCs/>
          <w:color w:val="000000" w:themeColor="text1"/>
          <w:lang w:val="es-ES_tradnl"/>
        </w:rPr>
        <w:t>LAS ENTIDADES DE ECONOMÍA SOLIDARIA-</w:t>
      </w:r>
      <w:r>
        <w:rPr>
          <w:rFonts w:ascii="Verdana" w:eastAsia="Calibri" w:hAnsi="Verdana" w:cs="Arial"/>
          <w:color w:val="000000" w:themeColor="text1"/>
          <w:lang w:val="es-ES_tradnl"/>
        </w:rPr>
        <w:t xml:space="preserve"> </w:t>
      </w:r>
      <w:r w:rsidRPr="008C6F01">
        <w:rPr>
          <w:rFonts w:ascii="Verdana" w:eastAsia="Calibri" w:hAnsi="Verdana" w:cs="Arial"/>
          <w:b/>
          <w:bCs/>
          <w:color w:val="000000" w:themeColor="text1"/>
          <w:lang w:val="es-ES_tradnl"/>
        </w:rPr>
        <w:t>Disposición</w:t>
      </w:r>
      <w:r>
        <w:rPr>
          <w:rFonts w:ascii="Verdana" w:eastAsia="Calibri" w:hAnsi="Verdana" w:cs="Arial"/>
          <w:color w:val="000000" w:themeColor="text1"/>
          <w:lang w:val="es-ES_tradnl"/>
        </w:rPr>
        <w:t xml:space="preserve"> </w:t>
      </w:r>
      <w:r w:rsidRPr="00311100">
        <w:rPr>
          <w:rFonts w:ascii="Verdana" w:eastAsia="Calibri" w:hAnsi="Verdana" w:cs="Arial"/>
          <w:color w:val="000000" w:themeColor="text1"/>
          <w:lang w:val="es-ES_tradnl"/>
        </w:rPr>
        <w:t xml:space="preserve"> </w:t>
      </w:r>
    </w:p>
    <w:p w14:paraId="59EFDA6F" w14:textId="77777777" w:rsidR="00890BE4" w:rsidRDefault="00890BE4" w:rsidP="00890BE4">
      <w:pPr>
        <w:spacing w:after="0" w:line="240" w:lineRule="auto"/>
        <w:jc w:val="both"/>
        <w:rPr>
          <w:rFonts w:ascii="Verdana" w:eastAsia="Calibri" w:hAnsi="Verdana" w:cs="Arial"/>
          <w:color w:val="000000" w:themeColor="text1"/>
          <w:lang w:val="es-ES_tradnl"/>
        </w:rPr>
      </w:pPr>
    </w:p>
    <w:p w14:paraId="619BC1A5" w14:textId="77777777" w:rsidR="00890BE4" w:rsidRDefault="00890BE4" w:rsidP="00890BE4">
      <w:pPr>
        <w:spacing w:after="0" w:line="240" w:lineRule="auto"/>
        <w:jc w:val="both"/>
        <w:rPr>
          <w:rFonts w:ascii="Verdana" w:eastAsia="Calibri" w:hAnsi="Verdana" w:cs="Arial"/>
          <w:color w:val="000000" w:themeColor="text1"/>
          <w:lang w:val="es-ES_tradnl"/>
        </w:rPr>
      </w:pPr>
    </w:p>
    <w:p w14:paraId="2F60B14E" w14:textId="77777777" w:rsidR="00890BE4" w:rsidRDefault="00890BE4" w:rsidP="00890BE4">
      <w:pPr>
        <w:spacing w:after="0" w:line="240" w:lineRule="auto"/>
        <w:jc w:val="both"/>
        <w:rPr>
          <w:rFonts w:ascii="Verdana" w:eastAsia="Geomanist Light" w:hAnsi="Verdana" w:cs="Arial"/>
          <w:lang w:val="es-ES_tradnl"/>
        </w:rPr>
      </w:pPr>
      <w:r>
        <w:rPr>
          <w:rFonts w:ascii="Verdana" w:eastAsia="Calibri" w:hAnsi="Verdana" w:cs="Arial"/>
          <w:color w:val="000000" w:themeColor="text1"/>
          <w:lang w:val="es-ES_tradnl"/>
        </w:rPr>
        <w:t>D</w:t>
      </w:r>
      <w:r w:rsidRPr="00311100">
        <w:rPr>
          <w:rFonts w:ascii="Verdana" w:eastAsia="Calibri" w:hAnsi="Verdana" w:cs="Arial"/>
          <w:color w:val="000000" w:themeColor="text1"/>
          <w:lang w:val="es-ES_tradnl"/>
        </w:rPr>
        <w:t>isponiendo además que estas deberán ser clasificadas como mipymes, de conformidad con el artículo 2 de la Ley 590 de 2000 y el Decreto 957 de 2019,. El principal efecto de esta norma es que, entidades que desarrollan actividades económicas sin fines lucrativos, como las cooperativas, asociaciones mutualistas</w:t>
      </w:r>
      <w:r>
        <w:rPr>
          <w:rFonts w:ascii="Verdana" w:eastAsia="Calibri" w:hAnsi="Verdana" w:cs="Arial"/>
          <w:color w:val="000000" w:themeColor="text1"/>
          <w:lang w:val="es-ES_tradnl"/>
        </w:rPr>
        <w:t xml:space="preserve"> </w:t>
      </w:r>
      <w:r w:rsidRPr="00311100">
        <w:rPr>
          <w:rFonts w:ascii="Verdana" w:eastAsia="Calibri" w:hAnsi="Verdana" w:cs="Arial"/>
          <w:color w:val="000000" w:themeColor="text1"/>
          <w:lang w:val="es-ES_tradnl"/>
        </w:rPr>
        <w:t xml:space="preserve"> y las demás entidades de economía solidaria, al ser consideradas como mipymes, les son aplicables las prerrogativas establecidas en los artículos 31 de la Ley 2069 de 2020 y 2.2.1.2.4.2.18 del Decreto 1082 de 2015.  </w:t>
      </w:r>
      <w:r w:rsidRPr="00311100">
        <w:rPr>
          <w:rFonts w:ascii="Verdana" w:eastAsia="Calibri" w:hAnsi="Verdana" w:cs="Arial"/>
          <w:color w:val="000000" w:themeColor="text1"/>
          <w:lang w:val="es-ES_tradnl"/>
        </w:rPr>
        <w:tab/>
      </w:r>
    </w:p>
    <w:p w14:paraId="2B7ED96D" w14:textId="77777777" w:rsidR="00890BE4" w:rsidRDefault="00890BE4" w:rsidP="00890BE4">
      <w:pPr>
        <w:spacing w:after="0" w:line="240" w:lineRule="auto"/>
        <w:jc w:val="both"/>
        <w:rPr>
          <w:rFonts w:ascii="Verdana" w:eastAsia="Geomanist Light" w:hAnsi="Verdana" w:cs="Arial"/>
          <w:lang w:val="es-ES_tradnl"/>
        </w:rPr>
      </w:pPr>
    </w:p>
    <w:p w14:paraId="3C67E724" w14:textId="77777777" w:rsidR="00890BE4" w:rsidRDefault="00890BE4" w:rsidP="00890BE4">
      <w:pPr>
        <w:spacing w:after="0" w:line="240" w:lineRule="auto"/>
        <w:jc w:val="both"/>
        <w:rPr>
          <w:rFonts w:ascii="Verdana" w:eastAsia="Geomanist Light" w:hAnsi="Verdana" w:cs="Arial"/>
          <w:lang w:val="es-ES_tradnl"/>
        </w:rPr>
      </w:pPr>
    </w:p>
    <w:p w14:paraId="791B20EC" w14:textId="77777777" w:rsidR="00890BE4" w:rsidRDefault="00890BE4" w:rsidP="00890BE4">
      <w:pPr>
        <w:spacing w:after="0" w:line="240" w:lineRule="auto"/>
        <w:jc w:val="both"/>
        <w:rPr>
          <w:rFonts w:ascii="Verdana" w:eastAsia="Geomanist Light" w:hAnsi="Verdana" w:cs="Arial"/>
          <w:lang w:val="es-ES_tradnl"/>
        </w:rPr>
      </w:pPr>
    </w:p>
    <w:p w14:paraId="20CAFD90" w14:textId="77777777" w:rsidR="00890BE4" w:rsidRDefault="00890BE4" w:rsidP="00890BE4">
      <w:pPr>
        <w:spacing w:after="0" w:line="240" w:lineRule="auto"/>
        <w:jc w:val="both"/>
        <w:rPr>
          <w:rFonts w:ascii="Verdana" w:eastAsia="Geomanist Light" w:hAnsi="Verdana" w:cs="Arial"/>
          <w:lang w:val="es-ES_tradnl"/>
        </w:rPr>
      </w:pPr>
    </w:p>
    <w:p w14:paraId="1521FBAF" w14:textId="77777777" w:rsidR="00890BE4" w:rsidRDefault="00890BE4" w:rsidP="002B5168">
      <w:pPr>
        <w:spacing w:after="0" w:line="240" w:lineRule="auto"/>
        <w:rPr>
          <w:rFonts w:ascii="Verdana" w:eastAsia="Geomanist Light" w:hAnsi="Verdana" w:cs="Arial"/>
          <w:lang w:val="es-ES_tradnl"/>
        </w:rPr>
      </w:pPr>
    </w:p>
    <w:p w14:paraId="31FE9D6E" w14:textId="77777777" w:rsidR="00890BE4" w:rsidRDefault="00890BE4" w:rsidP="002B5168">
      <w:pPr>
        <w:spacing w:after="0" w:line="240" w:lineRule="auto"/>
        <w:rPr>
          <w:rFonts w:ascii="Verdana" w:eastAsia="Geomanist Light" w:hAnsi="Verdana" w:cs="Arial"/>
          <w:lang w:val="es-ES_tradnl"/>
        </w:rPr>
      </w:pPr>
    </w:p>
    <w:p w14:paraId="2B44AFB3" w14:textId="77777777" w:rsidR="00890BE4" w:rsidRDefault="00890BE4" w:rsidP="002B5168">
      <w:pPr>
        <w:spacing w:after="0" w:line="240" w:lineRule="auto"/>
        <w:rPr>
          <w:rFonts w:ascii="Verdana" w:eastAsia="Geomanist Light" w:hAnsi="Verdana" w:cs="Arial"/>
          <w:lang w:val="es-ES_tradnl"/>
        </w:rPr>
      </w:pPr>
    </w:p>
    <w:p w14:paraId="0FBEFD88" w14:textId="77777777" w:rsidR="00890BE4" w:rsidRDefault="00890BE4" w:rsidP="002B5168">
      <w:pPr>
        <w:spacing w:after="0" w:line="240" w:lineRule="auto"/>
        <w:rPr>
          <w:rFonts w:ascii="Verdana" w:eastAsia="Geomanist Light" w:hAnsi="Verdana" w:cs="Arial"/>
          <w:lang w:val="es-ES_tradnl"/>
        </w:rPr>
      </w:pPr>
    </w:p>
    <w:p w14:paraId="115AB357" w14:textId="77777777" w:rsidR="00890BE4" w:rsidRDefault="00890BE4" w:rsidP="002B5168">
      <w:pPr>
        <w:spacing w:after="0" w:line="240" w:lineRule="auto"/>
        <w:rPr>
          <w:rFonts w:ascii="Verdana" w:eastAsia="Geomanist Light" w:hAnsi="Verdana" w:cs="Arial"/>
          <w:lang w:val="es-ES_tradnl"/>
        </w:rPr>
      </w:pPr>
    </w:p>
    <w:p w14:paraId="1DBE831B" w14:textId="77777777" w:rsidR="00890BE4" w:rsidRDefault="00890BE4" w:rsidP="002B5168">
      <w:pPr>
        <w:spacing w:after="0" w:line="240" w:lineRule="auto"/>
        <w:rPr>
          <w:rFonts w:ascii="Verdana" w:eastAsia="Geomanist Light" w:hAnsi="Verdana" w:cs="Arial"/>
          <w:lang w:val="es-ES_tradnl"/>
        </w:rPr>
      </w:pPr>
    </w:p>
    <w:p w14:paraId="33F5E676" w14:textId="77777777" w:rsidR="00890BE4" w:rsidRDefault="00890BE4" w:rsidP="002B5168">
      <w:pPr>
        <w:spacing w:after="0" w:line="240" w:lineRule="auto"/>
        <w:rPr>
          <w:rFonts w:ascii="Verdana" w:eastAsia="Geomanist Light" w:hAnsi="Verdana" w:cs="Arial"/>
          <w:lang w:val="es-ES_tradnl"/>
        </w:rPr>
      </w:pPr>
    </w:p>
    <w:p w14:paraId="7C8D46BC" w14:textId="77777777" w:rsidR="00890BE4" w:rsidRDefault="00890BE4" w:rsidP="002B5168">
      <w:pPr>
        <w:spacing w:after="0" w:line="240" w:lineRule="auto"/>
        <w:rPr>
          <w:rFonts w:ascii="Verdana" w:eastAsia="Geomanist Light" w:hAnsi="Verdana" w:cs="Arial"/>
          <w:lang w:val="es-ES_tradnl"/>
        </w:rPr>
      </w:pPr>
    </w:p>
    <w:p w14:paraId="5FB75955" w14:textId="77777777" w:rsidR="00890BE4" w:rsidRDefault="00890BE4" w:rsidP="002B5168">
      <w:pPr>
        <w:spacing w:after="0" w:line="240" w:lineRule="auto"/>
        <w:rPr>
          <w:rFonts w:ascii="Verdana" w:eastAsia="Geomanist Light" w:hAnsi="Verdana" w:cs="Arial"/>
          <w:lang w:val="es-ES_tradnl"/>
        </w:rPr>
      </w:pPr>
    </w:p>
    <w:p w14:paraId="1A464B84" w14:textId="77777777" w:rsidR="00890BE4" w:rsidRDefault="00890BE4" w:rsidP="002B5168">
      <w:pPr>
        <w:spacing w:after="0" w:line="240" w:lineRule="auto"/>
        <w:rPr>
          <w:rFonts w:ascii="Verdana" w:eastAsia="Geomanist Light" w:hAnsi="Verdana" w:cs="Arial"/>
          <w:lang w:val="es-ES_tradnl"/>
        </w:rPr>
      </w:pPr>
    </w:p>
    <w:p w14:paraId="42202BC2" w14:textId="77777777" w:rsidR="00890BE4" w:rsidRDefault="00890BE4" w:rsidP="002B5168">
      <w:pPr>
        <w:spacing w:after="0" w:line="240" w:lineRule="auto"/>
        <w:rPr>
          <w:rFonts w:ascii="Verdana" w:eastAsia="Geomanist Light" w:hAnsi="Verdana" w:cs="Arial"/>
          <w:lang w:val="es-ES_tradnl"/>
        </w:rPr>
      </w:pPr>
    </w:p>
    <w:p w14:paraId="6DFFBC06" w14:textId="77777777" w:rsidR="00890BE4" w:rsidRDefault="00890BE4" w:rsidP="002B5168">
      <w:pPr>
        <w:spacing w:after="0" w:line="240" w:lineRule="auto"/>
        <w:rPr>
          <w:rFonts w:ascii="Verdana" w:eastAsia="Geomanist Light" w:hAnsi="Verdana" w:cs="Arial"/>
          <w:lang w:val="es-ES_tradnl"/>
        </w:rPr>
      </w:pPr>
    </w:p>
    <w:p w14:paraId="21B4B893" w14:textId="77777777" w:rsidR="00890BE4" w:rsidRDefault="00890BE4" w:rsidP="002B5168">
      <w:pPr>
        <w:spacing w:after="0" w:line="240" w:lineRule="auto"/>
        <w:rPr>
          <w:rFonts w:ascii="Verdana" w:eastAsia="Geomanist Light" w:hAnsi="Verdana" w:cs="Arial"/>
          <w:lang w:val="es-ES_tradnl"/>
        </w:rPr>
      </w:pPr>
    </w:p>
    <w:p w14:paraId="5F86EC80" w14:textId="77777777" w:rsidR="00890BE4" w:rsidRDefault="00890BE4" w:rsidP="002B5168">
      <w:pPr>
        <w:spacing w:after="0" w:line="240" w:lineRule="auto"/>
        <w:rPr>
          <w:rFonts w:ascii="Verdana" w:eastAsia="Geomanist Light" w:hAnsi="Verdana" w:cs="Arial"/>
          <w:lang w:val="es-ES_tradnl"/>
        </w:rPr>
      </w:pPr>
    </w:p>
    <w:p w14:paraId="4D440EC0" w14:textId="77777777" w:rsidR="00890BE4" w:rsidRDefault="00890BE4" w:rsidP="002B5168">
      <w:pPr>
        <w:spacing w:after="0" w:line="240" w:lineRule="auto"/>
        <w:rPr>
          <w:rFonts w:ascii="Verdana" w:eastAsia="Geomanist Light" w:hAnsi="Verdana" w:cs="Arial"/>
          <w:lang w:val="es-ES_tradnl"/>
        </w:rPr>
      </w:pPr>
    </w:p>
    <w:p w14:paraId="1D90F612" w14:textId="77777777" w:rsidR="00890BE4" w:rsidRDefault="00890BE4" w:rsidP="002B5168">
      <w:pPr>
        <w:spacing w:after="0" w:line="240" w:lineRule="auto"/>
        <w:rPr>
          <w:rFonts w:ascii="Verdana" w:eastAsia="Geomanist Light" w:hAnsi="Verdana" w:cs="Arial"/>
          <w:lang w:val="es-ES_tradnl"/>
        </w:rPr>
      </w:pPr>
    </w:p>
    <w:p w14:paraId="579BE77A" w14:textId="77777777" w:rsidR="00890BE4" w:rsidRDefault="00890BE4" w:rsidP="002B5168">
      <w:pPr>
        <w:spacing w:after="0" w:line="240" w:lineRule="auto"/>
        <w:rPr>
          <w:rFonts w:ascii="Verdana" w:eastAsia="Geomanist Light" w:hAnsi="Verdana" w:cs="Arial"/>
          <w:lang w:val="es-ES_tradnl"/>
        </w:rPr>
      </w:pPr>
    </w:p>
    <w:p w14:paraId="18168C2C" w14:textId="77777777" w:rsidR="00890BE4" w:rsidRDefault="00890BE4" w:rsidP="002B5168">
      <w:pPr>
        <w:spacing w:after="0" w:line="240" w:lineRule="auto"/>
        <w:rPr>
          <w:rFonts w:ascii="Verdana" w:eastAsia="Geomanist Light" w:hAnsi="Verdana" w:cs="Arial"/>
          <w:lang w:val="es-ES_tradnl"/>
        </w:rPr>
      </w:pPr>
    </w:p>
    <w:p w14:paraId="335419B2" w14:textId="77777777" w:rsidR="00890BE4" w:rsidRDefault="00890BE4" w:rsidP="002B5168">
      <w:pPr>
        <w:spacing w:after="0" w:line="240" w:lineRule="auto"/>
        <w:rPr>
          <w:rFonts w:ascii="Verdana" w:eastAsia="Geomanist Light" w:hAnsi="Verdana" w:cs="Arial"/>
          <w:lang w:val="es-ES_tradnl"/>
        </w:rPr>
      </w:pPr>
    </w:p>
    <w:p w14:paraId="2DCFD8C1" w14:textId="77777777" w:rsidR="00890BE4" w:rsidRDefault="00890BE4" w:rsidP="002B5168">
      <w:pPr>
        <w:spacing w:after="0" w:line="240" w:lineRule="auto"/>
        <w:rPr>
          <w:rFonts w:ascii="Verdana" w:eastAsia="Geomanist Light" w:hAnsi="Verdana" w:cs="Arial"/>
          <w:lang w:val="es-ES_tradnl"/>
        </w:rPr>
      </w:pPr>
    </w:p>
    <w:p w14:paraId="4A83739D" w14:textId="77777777" w:rsidR="00890BE4" w:rsidRDefault="00890BE4" w:rsidP="002B5168">
      <w:pPr>
        <w:spacing w:after="0" w:line="240" w:lineRule="auto"/>
        <w:rPr>
          <w:rFonts w:ascii="Verdana" w:eastAsia="Geomanist Light" w:hAnsi="Verdana" w:cs="Arial"/>
          <w:lang w:val="es-ES_tradnl"/>
        </w:rPr>
      </w:pPr>
    </w:p>
    <w:p w14:paraId="235956CD" w14:textId="77777777" w:rsidR="00890BE4" w:rsidRDefault="00890BE4" w:rsidP="002B5168">
      <w:pPr>
        <w:spacing w:after="0" w:line="240" w:lineRule="auto"/>
        <w:rPr>
          <w:rFonts w:ascii="Verdana" w:eastAsia="Geomanist Light" w:hAnsi="Verdana" w:cs="Arial"/>
          <w:lang w:val="es-ES_tradnl"/>
        </w:rPr>
      </w:pPr>
    </w:p>
    <w:p w14:paraId="48B6A559" w14:textId="77777777" w:rsidR="00890BE4" w:rsidRDefault="00890BE4" w:rsidP="002B5168">
      <w:pPr>
        <w:spacing w:after="0" w:line="240" w:lineRule="auto"/>
        <w:rPr>
          <w:rFonts w:ascii="Verdana" w:eastAsia="Geomanist Light" w:hAnsi="Verdana" w:cs="Arial"/>
          <w:lang w:val="es-ES_tradnl"/>
        </w:rPr>
      </w:pPr>
    </w:p>
    <w:p w14:paraId="25A95C2D" w14:textId="77777777" w:rsidR="00890BE4" w:rsidRDefault="00890BE4" w:rsidP="002B5168">
      <w:pPr>
        <w:spacing w:after="0" w:line="240" w:lineRule="auto"/>
        <w:rPr>
          <w:rFonts w:ascii="Verdana" w:eastAsia="Geomanist Light" w:hAnsi="Verdana" w:cs="Arial"/>
          <w:lang w:val="es-ES_tradnl"/>
        </w:rPr>
      </w:pPr>
    </w:p>
    <w:p w14:paraId="48280958" w14:textId="77777777" w:rsidR="00890BE4" w:rsidRDefault="00890BE4" w:rsidP="002B5168">
      <w:pPr>
        <w:spacing w:after="0" w:line="240" w:lineRule="auto"/>
        <w:rPr>
          <w:rFonts w:ascii="Verdana" w:eastAsia="Geomanist Light" w:hAnsi="Verdana" w:cs="Arial"/>
          <w:lang w:val="es-ES_tradnl"/>
        </w:rPr>
      </w:pPr>
    </w:p>
    <w:p w14:paraId="271A9A6E" w14:textId="77777777" w:rsidR="00890BE4" w:rsidRDefault="00890BE4" w:rsidP="002B5168">
      <w:pPr>
        <w:spacing w:after="0" w:line="240" w:lineRule="auto"/>
        <w:rPr>
          <w:rFonts w:ascii="Verdana" w:eastAsia="Geomanist Light" w:hAnsi="Verdana" w:cs="Arial"/>
          <w:lang w:val="es-ES_tradnl"/>
        </w:rPr>
      </w:pPr>
    </w:p>
    <w:p w14:paraId="6C28C589" w14:textId="77777777" w:rsidR="00890BE4" w:rsidRDefault="00890BE4" w:rsidP="002B5168">
      <w:pPr>
        <w:spacing w:after="0" w:line="240" w:lineRule="auto"/>
        <w:rPr>
          <w:rFonts w:ascii="Verdana" w:eastAsia="Geomanist Light" w:hAnsi="Verdana" w:cs="Arial"/>
          <w:lang w:val="es-ES_tradnl"/>
        </w:rPr>
      </w:pPr>
    </w:p>
    <w:p w14:paraId="173C2697" w14:textId="77777777" w:rsidR="00890BE4" w:rsidRDefault="00890BE4" w:rsidP="002B5168">
      <w:pPr>
        <w:spacing w:after="0" w:line="240" w:lineRule="auto"/>
        <w:rPr>
          <w:rFonts w:ascii="Verdana" w:eastAsia="Geomanist Light" w:hAnsi="Verdana" w:cs="Arial"/>
          <w:lang w:val="es-ES_tradnl"/>
        </w:rPr>
      </w:pPr>
    </w:p>
    <w:p w14:paraId="11F15140" w14:textId="77777777" w:rsidR="00890BE4" w:rsidRDefault="00890BE4" w:rsidP="002B5168">
      <w:pPr>
        <w:spacing w:after="0" w:line="240" w:lineRule="auto"/>
        <w:rPr>
          <w:rFonts w:ascii="Verdana" w:eastAsia="Geomanist Light" w:hAnsi="Verdana" w:cs="Arial"/>
          <w:lang w:val="es-ES_tradnl"/>
        </w:rPr>
      </w:pPr>
    </w:p>
    <w:p w14:paraId="15415067" w14:textId="77777777" w:rsidR="00890BE4" w:rsidRDefault="00890BE4" w:rsidP="002B5168">
      <w:pPr>
        <w:spacing w:after="0" w:line="240" w:lineRule="auto"/>
        <w:rPr>
          <w:rFonts w:ascii="Verdana" w:eastAsia="Geomanist Light" w:hAnsi="Verdana" w:cs="Arial"/>
          <w:lang w:val="es-ES_tradnl"/>
        </w:rPr>
      </w:pPr>
    </w:p>
    <w:p w14:paraId="61B7AFE9" w14:textId="594B344D" w:rsidR="007E4284" w:rsidRDefault="00840ED2" w:rsidP="00E245AB">
      <w:pPr>
        <w:spacing w:after="0"/>
        <w:rPr>
          <w:rFonts w:ascii="Verdana" w:hAnsi="Verdana"/>
        </w:rPr>
      </w:pPr>
      <w:bookmarkStart w:id="1" w:name="_Hlk181166130"/>
      <w:r>
        <w:rPr>
          <w:rFonts w:ascii="Verdana" w:hAnsi="Verdana"/>
          <w:noProof/>
        </w:rPr>
        <w:drawing>
          <wp:anchor distT="0" distB="0" distL="114300" distR="114300" simplePos="0" relativeHeight="251658240" behindDoc="0" locked="0" layoutInCell="1" allowOverlap="1" wp14:anchorId="60D51DE4" wp14:editId="0FA527C0">
            <wp:simplePos x="0" y="0"/>
            <wp:positionH relativeFrom="column">
              <wp:posOffset>3184022</wp:posOffset>
            </wp:positionH>
            <wp:positionV relativeFrom="paragraph">
              <wp:posOffset>50159</wp:posOffset>
            </wp:positionV>
            <wp:extent cx="2686050" cy="819150"/>
            <wp:effectExtent l="0" t="0" r="0" b="0"/>
            <wp:wrapNone/>
            <wp:docPr id="9388274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6050"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00E245AB" w:rsidRPr="0044528D">
        <w:rPr>
          <w:rFonts w:ascii="Verdana" w:hAnsi="Verdana"/>
        </w:rPr>
        <w:t xml:space="preserve">Bogotá D.C., </w:t>
      </w:r>
      <w:r>
        <w:rPr>
          <w:rFonts w:ascii="Verdana" w:hAnsi="Verdana"/>
        </w:rPr>
        <w:t>09 Diciembre 2024</w:t>
      </w:r>
    </w:p>
    <w:bookmarkEnd w:id="1"/>
    <w:p w14:paraId="79BAB92E" w14:textId="0D447CD1" w:rsidR="007E4284" w:rsidRDefault="007E4284" w:rsidP="00E245AB">
      <w:pPr>
        <w:spacing w:after="0"/>
        <w:rPr>
          <w:rFonts w:ascii="Verdana" w:hAnsi="Verdana"/>
        </w:rPr>
      </w:pPr>
    </w:p>
    <w:p w14:paraId="7AED0527" w14:textId="482FC90B" w:rsidR="007E4284" w:rsidRPr="00560511" w:rsidRDefault="007E4284" w:rsidP="007E4284">
      <w:pPr>
        <w:spacing w:after="0" w:line="240" w:lineRule="auto"/>
        <w:jc w:val="both"/>
        <w:rPr>
          <w:rFonts w:ascii="Verdana" w:eastAsia="Calibri" w:hAnsi="Verdana" w:cs="Arial"/>
          <w:lang w:eastAsia="es-ES"/>
        </w:rPr>
      </w:pPr>
      <w:bookmarkStart w:id="2" w:name="_Hlk180638295"/>
      <w:bookmarkStart w:id="3" w:name="_Hlk181166167"/>
      <w:r w:rsidRPr="00560511">
        <w:rPr>
          <w:rFonts w:ascii="Verdana" w:eastAsia="Calibri" w:hAnsi="Verdana" w:cs="Arial"/>
          <w:lang w:eastAsia="es-ES"/>
        </w:rPr>
        <w:t>Señor</w:t>
      </w:r>
    </w:p>
    <w:p w14:paraId="18E0EB05" w14:textId="77777777" w:rsidR="009C7820" w:rsidRDefault="009C7820" w:rsidP="007E4284">
      <w:pPr>
        <w:spacing w:after="0" w:line="240" w:lineRule="auto"/>
        <w:rPr>
          <w:rFonts w:ascii="Verdana" w:eastAsia="Calibri" w:hAnsi="Verdana" w:cs="Arial"/>
          <w:b/>
          <w:bCs/>
          <w:lang w:eastAsia="es-ES_tradnl"/>
        </w:rPr>
      </w:pPr>
      <w:r w:rsidRPr="009C7820">
        <w:rPr>
          <w:rFonts w:ascii="Verdana" w:eastAsia="Calibri" w:hAnsi="Verdana" w:cs="Arial"/>
          <w:b/>
          <w:bCs/>
          <w:lang w:eastAsia="es-ES_tradnl"/>
        </w:rPr>
        <w:t>JOSE JONATAN VALVERDE VALENCIA</w:t>
      </w:r>
    </w:p>
    <w:p w14:paraId="54718FE2" w14:textId="5DD89803" w:rsidR="009C7820" w:rsidRPr="009C7820" w:rsidRDefault="00254474" w:rsidP="007E4284">
      <w:pPr>
        <w:spacing w:after="0" w:line="240" w:lineRule="auto"/>
        <w:rPr>
          <w:rFonts w:ascii="Verdana" w:hAnsi="Verdana"/>
        </w:rPr>
      </w:pPr>
      <w:hyperlink r:id="rId12" w:history="1">
        <w:r w:rsidR="009C7820" w:rsidRPr="009C7820">
          <w:rPr>
            <w:rStyle w:val="Hipervnculo"/>
            <w:rFonts w:ascii="Verdana" w:hAnsi="Verdana"/>
          </w:rPr>
          <w:t>jv.empresarial27@gmail.com</w:t>
        </w:r>
      </w:hyperlink>
    </w:p>
    <w:p w14:paraId="1458EAD2" w14:textId="4B284E70" w:rsidR="007E4284" w:rsidRPr="00B96799" w:rsidRDefault="007E4284" w:rsidP="007E4284">
      <w:pPr>
        <w:spacing w:after="0" w:line="240" w:lineRule="auto"/>
        <w:rPr>
          <w:rFonts w:ascii="Verdana" w:eastAsia="Calibri" w:hAnsi="Verdana" w:cs="Arial"/>
          <w:b/>
          <w:bCs/>
          <w:lang w:val="es-ES" w:eastAsia="es-ES"/>
        </w:rPr>
      </w:pPr>
      <w:r>
        <w:rPr>
          <w:rFonts w:ascii="Verdana" w:eastAsia="Calibri" w:hAnsi="Verdana" w:cs="Arial"/>
          <w:lang w:val="es-ES" w:eastAsia="es-ES"/>
        </w:rPr>
        <w:t>B</w:t>
      </w:r>
      <w:r w:rsidR="008974FD">
        <w:rPr>
          <w:rFonts w:ascii="Verdana" w:eastAsia="Calibri" w:hAnsi="Verdana" w:cs="Arial"/>
          <w:lang w:val="es-ES" w:eastAsia="es-ES"/>
        </w:rPr>
        <w:t>uenaventura (Valle del Cauca)</w:t>
      </w:r>
    </w:p>
    <w:p w14:paraId="323534CF" w14:textId="77777777" w:rsidR="007E4284" w:rsidRPr="00593A5F" w:rsidRDefault="007E4284" w:rsidP="007E4284">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E4284" w:rsidRPr="00593A5F" w14:paraId="7B89B37C" w14:textId="77777777" w:rsidTr="00847DDA">
        <w:trPr>
          <w:trHeight w:val="884"/>
        </w:trPr>
        <w:tc>
          <w:tcPr>
            <w:tcW w:w="2410" w:type="dxa"/>
          </w:tcPr>
          <w:p w14:paraId="3E37BDB8" w14:textId="77777777" w:rsidR="007E4284" w:rsidRPr="00E5644F" w:rsidRDefault="007E4284">
            <w:pPr>
              <w:jc w:val="both"/>
              <w:rPr>
                <w:rFonts w:ascii="Verdana" w:eastAsia="Calibri" w:hAnsi="Verdana" w:cs="Arial"/>
                <w:b/>
                <w:bCs/>
                <w:color w:val="7030A0"/>
                <w:lang w:val="es-ES_tradnl" w:eastAsia="es-ES_tradnl"/>
              </w:rPr>
            </w:pPr>
          </w:p>
        </w:tc>
        <w:tc>
          <w:tcPr>
            <w:tcW w:w="6804" w:type="dxa"/>
            <w:gridSpan w:val="2"/>
          </w:tcPr>
          <w:p w14:paraId="7B76117C" w14:textId="373837E9" w:rsidR="007E4284" w:rsidRPr="00E5644F" w:rsidRDefault="007E4284">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982D39">
              <w:rPr>
                <w:rFonts w:ascii="Verdana" w:eastAsia="Calibri" w:hAnsi="Verdana" w:cs="Arial"/>
                <w:b/>
                <w:bCs/>
                <w:lang w:val="es-ES" w:eastAsia="es-ES"/>
              </w:rPr>
              <w:t>7</w:t>
            </w:r>
            <w:r w:rsidR="009C7820">
              <w:rPr>
                <w:rFonts w:ascii="Verdana" w:eastAsia="Calibri" w:hAnsi="Verdana" w:cs="Arial"/>
                <w:b/>
                <w:bCs/>
                <w:lang w:val="es-ES" w:eastAsia="es-ES"/>
              </w:rPr>
              <w:t>76</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2024</w:t>
            </w:r>
          </w:p>
        </w:tc>
      </w:tr>
      <w:tr w:rsidR="007E4284" w:rsidRPr="00593A5F" w14:paraId="2C0FD36D" w14:textId="77777777" w:rsidTr="00847DDA">
        <w:trPr>
          <w:trHeight w:val="884"/>
        </w:trPr>
        <w:tc>
          <w:tcPr>
            <w:tcW w:w="2410" w:type="dxa"/>
          </w:tcPr>
          <w:p w14:paraId="6CB79C8C" w14:textId="77777777" w:rsidR="007E4284" w:rsidRPr="00593A5F" w:rsidRDefault="007E42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6EC56ABF" w14:textId="77777777" w:rsidR="00840ED2" w:rsidRPr="00840ED2" w:rsidRDefault="00840ED2" w:rsidP="00840ED2">
            <w:pPr>
              <w:spacing w:line="276" w:lineRule="auto"/>
              <w:jc w:val="both"/>
              <w:rPr>
                <w:rFonts w:ascii="Verdana" w:hAnsi="Verdana" w:cs="Arial"/>
                <w:bCs/>
                <w:lang w:val="es-ES_tradnl" w:eastAsia="es-ES"/>
              </w:rPr>
            </w:pPr>
            <w:r w:rsidRPr="00840ED2">
              <w:rPr>
                <w:rFonts w:ascii="Verdana" w:hAnsi="Verdana" w:cs="Arial"/>
                <w:bCs/>
                <w:lang w:val="es-ES_tradnl" w:eastAsia="es-ES"/>
              </w:rPr>
              <w:t>LEY DE EMPRENDIMIENTO – Ley 2069 de 2020 – Contratación</w:t>
            </w:r>
          </w:p>
          <w:p w14:paraId="71361C9B" w14:textId="7F471D7A" w:rsidR="00840ED2" w:rsidRPr="00840ED2" w:rsidRDefault="00840ED2" w:rsidP="00840ED2">
            <w:pPr>
              <w:spacing w:line="276" w:lineRule="auto"/>
              <w:jc w:val="both"/>
              <w:rPr>
                <w:rFonts w:ascii="Verdana" w:hAnsi="Verdana" w:cs="Arial"/>
                <w:bCs/>
                <w:lang w:val="es-ES_tradnl" w:eastAsia="es-ES"/>
              </w:rPr>
            </w:pPr>
            <w:r w:rsidRPr="00840ED2">
              <w:rPr>
                <w:rFonts w:ascii="Verdana" w:hAnsi="Verdana" w:cs="Arial"/>
                <w:bCs/>
                <w:lang w:val="es-ES_tradnl" w:eastAsia="es-ES"/>
              </w:rPr>
              <w:t>estatal – Incentivos / CONVOCATORIAS LIMITADAS A</w:t>
            </w:r>
            <w:r>
              <w:rPr>
                <w:rFonts w:ascii="Verdana" w:hAnsi="Verdana" w:cs="Arial"/>
                <w:bCs/>
                <w:lang w:val="es-ES_tradnl" w:eastAsia="es-ES"/>
              </w:rPr>
              <w:t xml:space="preserve"> </w:t>
            </w:r>
            <w:r w:rsidRPr="00840ED2">
              <w:rPr>
                <w:rFonts w:ascii="Verdana" w:hAnsi="Verdana" w:cs="Arial"/>
                <w:bCs/>
                <w:lang w:val="es-ES_tradnl" w:eastAsia="es-ES"/>
              </w:rPr>
              <w:t>MIPYMES /– Finalidad – Alcance – ENTIDADES DE ECONOMÍA</w:t>
            </w:r>
          </w:p>
          <w:p w14:paraId="3F2C9610" w14:textId="77777777" w:rsidR="00485E57" w:rsidRDefault="00840ED2" w:rsidP="00840ED2">
            <w:pPr>
              <w:spacing w:line="276" w:lineRule="auto"/>
              <w:jc w:val="both"/>
              <w:rPr>
                <w:rFonts w:ascii="Verdana" w:hAnsi="Verdana" w:cs="Arial"/>
                <w:bCs/>
                <w:lang w:val="es-ES_tradnl" w:eastAsia="es-ES"/>
              </w:rPr>
            </w:pPr>
            <w:r w:rsidRPr="00840ED2">
              <w:rPr>
                <w:rFonts w:ascii="Verdana" w:hAnsi="Verdana" w:cs="Arial"/>
                <w:bCs/>
                <w:lang w:val="es-ES_tradnl" w:eastAsia="es-ES"/>
              </w:rPr>
              <w:t>SOLIDARIA – Asimilación a Mipymes – Cooperativas –</w:t>
            </w:r>
            <w:r>
              <w:rPr>
                <w:rFonts w:ascii="Verdana" w:hAnsi="Verdana" w:cs="Arial"/>
                <w:bCs/>
                <w:lang w:val="es-ES_tradnl" w:eastAsia="es-ES"/>
              </w:rPr>
              <w:t xml:space="preserve"> </w:t>
            </w:r>
            <w:r w:rsidRPr="00840ED2">
              <w:rPr>
                <w:rFonts w:ascii="Verdana" w:hAnsi="Verdana" w:cs="Arial"/>
                <w:bCs/>
                <w:lang w:val="es-ES_tradnl" w:eastAsia="es-ES"/>
              </w:rPr>
              <w:t>Asociaciones mutualistas – Demás entidades de economía</w:t>
            </w:r>
            <w:r>
              <w:rPr>
                <w:rFonts w:ascii="Verdana" w:hAnsi="Verdana" w:cs="Arial"/>
                <w:bCs/>
                <w:lang w:val="es-ES_tradnl" w:eastAsia="es-ES"/>
              </w:rPr>
              <w:t xml:space="preserve"> </w:t>
            </w:r>
            <w:r w:rsidRPr="00840ED2">
              <w:rPr>
                <w:rFonts w:ascii="Verdana" w:hAnsi="Verdana" w:cs="Arial"/>
                <w:bCs/>
                <w:lang w:val="es-ES_tradnl" w:eastAsia="es-ES"/>
              </w:rPr>
              <w:t>solidaria – Ley 2069 – Participación en convocatorias limitadas</w:t>
            </w:r>
          </w:p>
          <w:p w14:paraId="1E5FA8A8" w14:textId="77777777" w:rsidR="00840ED2" w:rsidRDefault="00840ED2" w:rsidP="00840ED2">
            <w:pPr>
              <w:spacing w:line="276" w:lineRule="auto"/>
              <w:jc w:val="both"/>
              <w:rPr>
                <w:rFonts w:ascii="Verdana" w:eastAsia="Calibri" w:hAnsi="Verdana" w:cs="Arial"/>
                <w:bCs/>
                <w:lang w:val="es-ES_tradnl" w:eastAsia="es-ES"/>
              </w:rPr>
            </w:pPr>
          </w:p>
          <w:p w14:paraId="4D3602A2" w14:textId="2C85A6E0" w:rsidR="00840ED2" w:rsidRPr="00E6165F" w:rsidRDefault="00840ED2" w:rsidP="00840ED2">
            <w:pPr>
              <w:spacing w:line="276" w:lineRule="auto"/>
              <w:jc w:val="both"/>
              <w:rPr>
                <w:rFonts w:ascii="Verdana" w:eastAsia="Calibri" w:hAnsi="Verdana" w:cs="Arial"/>
                <w:lang w:val="es-ES" w:eastAsia="es-ES"/>
              </w:rPr>
            </w:pPr>
          </w:p>
        </w:tc>
      </w:tr>
      <w:tr w:rsidR="007E4284" w:rsidRPr="00593A5F" w14:paraId="614F6563" w14:textId="77777777" w:rsidTr="00847DDA">
        <w:tc>
          <w:tcPr>
            <w:tcW w:w="2410" w:type="dxa"/>
          </w:tcPr>
          <w:p w14:paraId="762EB684" w14:textId="77777777" w:rsidR="007E4284" w:rsidRPr="006730E9" w:rsidRDefault="007E42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91CCF73" w14:textId="6E8EC20C" w:rsidR="007E4284" w:rsidRPr="006730E9" w:rsidRDefault="007E42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9C7820" w:rsidRPr="009C7820">
              <w:rPr>
                <w:rFonts w:ascii="Verdana" w:eastAsia="Calibri" w:hAnsi="Verdana" w:cs="Arial"/>
                <w:lang w:val="es-ES_tradnl" w:eastAsia="es-ES_tradnl"/>
              </w:rPr>
              <w:t>P20241024010825</w:t>
            </w:r>
          </w:p>
        </w:tc>
      </w:tr>
      <w:tr w:rsidR="00847DDA" w:rsidRPr="00DB23D2" w14:paraId="04974AB6" w14:textId="77777777" w:rsidTr="00847DDA">
        <w:trPr>
          <w:gridAfter w:val="1"/>
          <w:wAfter w:w="336" w:type="dxa"/>
          <w:trHeight w:val="233"/>
        </w:trPr>
        <w:tc>
          <w:tcPr>
            <w:tcW w:w="8878" w:type="dxa"/>
            <w:gridSpan w:val="2"/>
          </w:tcPr>
          <w:p w14:paraId="0EE1B988" w14:textId="1E9A67DE" w:rsidR="00847DDA" w:rsidRPr="00DB23D2" w:rsidRDefault="00847DDA" w:rsidP="00F945CE">
            <w:pPr>
              <w:spacing w:after="120" w:line="276" w:lineRule="auto"/>
              <w:jc w:val="both"/>
              <w:rPr>
                <w:rFonts w:ascii="Verdana" w:eastAsia="Calibri" w:hAnsi="Verdana" w:cs="Arial"/>
                <w:lang w:val="es-ES_tradnl" w:eastAsia="es-ES"/>
              </w:rPr>
            </w:pPr>
          </w:p>
        </w:tc>
      </w:tr>
    </w:tbl>
    <w:p w14:paraId="506DCE70" w14:textId="7BB27236" w:rsidR="007E4284" w:rsidRPr="006730E9" w:rsidRDefault="007E4284" w:rsidP="007E428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85E57">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 xml:space="preserve">señor </w:t>
      </w:r>
      <w:r w:rsidR="00982D39">
        <w:rPr>
          <w:rFonts w:ascii="Verdana" w:eastAsia="Calibri" w:hAnsi="Verdana" w:cs="Arial"/>
          <w:lang w:val="es-ES" w:eastAsia="es-ES"/>
        </w:rPr>
        <w:t>V</w:t>
      </w:r>
      <w:r w:rsidR="009C7820">
        <w:rPr>
          <w:rFonts w:ascii="Verdana" w:eastAsia="Calibri" w:hAnsi="Verdana" w:cs="Arial"/>
          <w:lang w:val="es-ES" w:eastAsia="es-ES"/>
        </w:rPr>
        <w:t>alverde</w:t>
      </w:r>
      <w:r>
        <w:rPr>
          <w:rFonts w:ascii="Verdana" w:eastAsia="Calibri" w:hAnsi="Verdana" w:cs="Arial"/>
          <w:lang w:val="es-ES" w:eastAsia="es-ES"/>
        </w:rPr>
        <w:t>;</w:t>
      </w:r>
      <w:r w:rsidRPr="006730E9">
        <w:rPr>
          <w:rFonts w:ascii="Verdana" w:eastAsia="Calibri" w:hAnsi="Verdana" w:cs="Arial"/>
          <w:lang w:val="es-ES" w:eastAsia="es-ES"/>
        </w:rPr>
        <w:t xml:space="preserve"> </w:t>
      </w:r>
    </w:p>
    <w:p w14:paraId="1F9587AA" w14:textId="77777777" w:rsidR="007E4284" w:rsidRDefault="007E4284" w:rsidP="007E428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824A97" w14:textId="76A76F8B" w:rsidR="007E4284" w:rsidRPr="006730E9" w:rsidRDefault="007E4284" w:rsidP="007E428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D57942">
        <w:rPr>
          <w:rFonts w:ascii="Verdana" w:eastAsia="Calibri" w:hAnsi="Verdana" w:cs="Arial"/>
          <w:lang w:val="es-ES" w:eastAsia="es-ES"/>
        </w:rPr>
        <w:t xml:space="preserve">y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9C7820">
        <w:rPr>
          <w:rFonts w:ascii="Verdana" w:eastAsia="Calibri" w:hAnsi="Verdana" w:cs="Arial"/>
          <w:lang w:val="es-ES" w:eastAsia="es-ES"/>
        </w:rPr>
        <w:t>24</w:t>
      </w:r>
      <w:r w:rsidRPr="00E5644F">
        <w:rPr>
          <w:rFonts w:ascii="Verdana" w:eastAsia="Calibri" w:hAnsi="Verdana" w:cs="Arial"/>
          <w:lang w:val="es-ES" w:eastAsia="es-ES"/>
        </w:rPr>
        <w:t xml:space="preserve"> de </w:t>
      </w:r>
      <w:r w:rsidR="00982D39">
        <w:rPr>
          <w:rFonts w:ascii="Verdana" w:eastAsia="Calibri" w:hAnsi="Verdana" w:cs="Arial"/>
          <w:lang w:val="es-ES" w:eastAsia="es-ES"/>
        </w:rPr>
        <w:t>octubre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F7467CA" w14:textId="77777777" w:rsidR="007E4284" w:rsidRPr="00326382" w:rsidRDefault="007E4284" w:rsidP="009C7820">
      <w:pPr>
        <w:spacing w:after="0" w:line="240" w:lineRule="auto"/>
        <w:ind w:left="709" w:right="474"/>
        <w:jc w:val="both"/>
        <w:rPr>
          <w:rFonts w:ascii="Verdana" w:hAnsi="Verdana" w:cs="Arial"/>
          <w:sz w:val="20"/>
          <w:szCs w:val="20"/>
          <w:shd w:val="clear" w:color="auto" w:fill="FFFFFF"/>
        </w:rPr>
      </w:pPr>
      <w:bookmarkStart w:id="4" w:name="_Hlk95313578"/>
    </w:p>
    <w:bookmarkEnd w:id="4"/>
    <w:p w14:paraId="7FBE5731" w14:textId="7C73F072" w:rsidR="007E4284" w:rsidRPr="00426DC2" w:rsidRDefault="007E4284" w:rsidP="00426DC2">
      <w:pPr>
        <w:pStyle w:val="Prrafodelista"/>
        <w:tabs>
          <w:tab w:val="left" w:pos="142"/>
          <w:tab w:val="left" w:pos="284"/>
        </w:tabs>
        <w:ind w:left="425" w:right="474"/>
        <w:jc w:val="both"/>
        <w:rPr>
          <w:rFonts w:ascii="Verdana" w:eastAsia="Century Gothic" w:hAnsi="Verdana" w:cs="Century Gothic"/>
          <w:i/>
          <w:iCs/>
          <w:lang w:val="es-CO"/>
        </w:rPr>
      </w:pPr>
      <w:r w:rsidRPr="00263A88">
        <w:rPr>
          <w:rFonts w:ascii="Verdana" w:eastAsia="Century Gothic" w:hAnsi="Verdana" w:cs="Century Gothic"/>
          <w:i/>
          <w:iCs/>
          <w:lang w:val="es-CO"/>
        </w:rPr>
        <w:t>(…)</w:t>
      </w:r>
      <w:r w:rsidR="00D15311">
        <w:rPr>
          <w:rFonts w:ascii="Verdana" w:eastAsia="Century Gothic" w:hAnsi="Verdana" w:cs="Century Gothic"/>
          <w:i/>
          <w:iCs/>
          <w:lang w:val="es-CO"/>
        </w:rPr>
        <w:t xml:space="preserve"> </w:t>
      </w:r>
      <w:r w:rsidR="009C7820" w:rsidRPr="00426DC2">
        <w:rPr>
          <w:rFonts w:ascii="Verdana" w:eastAsia="Century Gothic" w:hAnsi="Verdana" w:cs="Century Gothic"/>
          <w:i/>
          <w:iCs/>
          <w:lang w:val="es-CO"/>
        </w:rPr>
        <w:t xml:space="preserve">¿Solicito muy amablemente me den claridad si una fundación sin ánimo de lucro que en su RUP y Certificado de existencia legal tiene un tamaño empresarial MICRO puede hacer limitación a MIPYMES a un proceso se selección abreviada de menor cuantía? </w:t>
      </w:r>
      <w:r w:rsidR="00D15311" w:rsidRPr="00426DC2">
        <w:rPr>
          <w:rFonts w:ascii="Verdana" w:eastAsia="Century Gothic" w:hAnsi="Verdana" w:cs="Century Gothic"/>
          <w:i/>
          <w:iCs/>
        </w:rPr>
        <w:t>(…)</w:t>
      </w:r>
    </w:p>
    <w:p w14:paraId="6AAFAC65" w14:textId="24985660" w:rsidR="00D209FA" w:rsidRDefault="00D209FA" w:rsidP="00840ED2">
      <w:pPr>
        <w:tabs>
          <w:tab w:val="left" w:pos="142"/>
          <w:tab w:val="left" w:pos="284"/>
        </w:tabs>
        <w:spacing w:after="0" w:line="240" w:lineRule="auto"/>
        <w:ind w:right="1185"/>
        <w:jc w:val="both"/>
        <w:rPr>
          <w:rFonts w:ascii="Verdana" w:eastAsia="Century Gothic" w:hAnsi="Verdana" w:cs="Century Gothic"/>
          <w:i/>
          <w:iCs/>
        </w:rPr>
      </w:pPr>
    </w:p>
    <w:p w14:paraId="0D9B8438" w14:textId="77777777" w:rsidR="00840ED2" w:rsidRDefault="00840ED2" w:rsidP="00840ED2">
      <w:pPr>
        <w:tabs>
          <w:tab w:val="left" w:pos="142"/>
          <w:tab w:val="left" w:pos="284"/>
        </w:tabs>
        <w:spacing w:after="0" w:line="240" w:lineRule="auto"/>
        <w:ind w:right="49"/>
        <w:jc w:val="both"/>
        <w:rPr>
          <w:rFonts w:ascii="Verdana" w:hAnsi="Verdana"/>
        </w:rPr>
      </w:pPr>
      <w:r>
        <w:rPr>
          <w:rFonts w:ascii="Verdana" w:hAnsi="Verdana"/>
        </w:rPr>
        <w:tab/>
      </w:r>
      <w:r>
        <w:rPr>
          <w:rFonts w:ascii="Verdana" w:hAnsi="Verdana"/>
        </w:rPr>
        <w:tab/>
      </w:r>
      <w:r>
        <w:rPr>
          <w:rFonts w:ascii="Verdana" w:hAnsi="Verdana"/>
        </w:rPr>
        <w:tab/>
      </w:r>
      <w:r w:rsidRPr="00840ED2">
        <w:rPr>
          <w:rFonts w:ascii="Verdana" w:hAnsi="Verdana"/>
        </w:rPr>
        <w:t xml:space="preserve">De manera preliminar, resulta necesario acotar que esta entidad solo tiene competencia para responder consultas sobre la aplicación de normas de carácter general en materia de compras y contratación pública. En ese sentido, </w:t>
      </w:r>
      <w:r w:rsidRPr="00840ED2">
        <w:rPr>
          <w:rFonts w:ascii="Verdana" w:hAnsi="Verdana"/>
        </w:rPr>
        <w:lastRenderedPageBreak/>
        <w:t>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336601E" w14:textId="63ED24B1" w:rsidR="00840ED2" w:rsidRDefault="00840ED2" w:rsidP="00840ED2">
      <w:pPr>
        <w:tabs>
          <w:tab w:val="left" w:pos="142"/>
          <w:tab w:val="left" w:pos="284"/>
        </w:tabs>
        <w:spacing w:after="0" w:line="240" w:lineRule="auto"/>
        <w:ind w:right="49"/>
        <w:jc w:val="both"/>
        <w:rPr>
          <w:rFonts w:ascii="Verdana" w:hAnsi="Verdana"/>
        </w:rPr>
      </w:pPr>
      <w:r>
        <w:rPr>
          <w:rFonts w:ascii="Verdana" w:hAnsi="Verdana"/>
        </w:rPr>
        <w:tab/>
      </w:r>
      <w:r>
        <w:rPr>
          <w:rFonts w:ascii="Verdana" w:hAnsi="Verdana"/>
        </w:rPr>
        <w:tab/>
      </w:r>
      <w:r>
        <w:rPr>
          <w:rFonts w:ascii="Verdana" w:hAnsi="Verdana"/>
        </w:rPr>
        <w:tab/>
      </w:r>
      <w:r w:rsidRPr="00840ED2">
        <w:rPr>
          <w:rFonts w:ascii="Verdana" w:hAnsi="Verdana"/>
        </w:rPr>
        <w:t xml:space="preserve"> 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BA57F9B" w14:textId="77777777" w:rsidR="00840ED2" w:rsidRPr="00840ED2" w:rsidRDefault="00840ED2" w:rsidP="00840ED2">
      <w:pPr>
        <w:tabs>
          <w:tab w:val="left" w:pos="142"/>
          <w:tab w:val="left" w:pos="284"/>
        </w:tabs>
        <w:spacing w:after="0" w:line="240" w:lineRule="auto"/>
        <w:ind w:right="49"/>
        <w:jc w:val="both"/>
        <w:rPr>
          <w:rFonts w:ascii="Verdana" w:eastAsia="Century Gothic" w:hAnsi="Verdana" w:cs="Century Gothic"/>
        </w:rPr>
      </w:pPr>
    </w:p>
    <w:p w14:paraId="2A463E1B" w14:textId="392B5304" w:rsidR="007E4284" w:rsidRPr="00593A5F" w:rsidRDefault="007E4284" w:rsidP="007E42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 xml:space="preserve">Problema </w:t>
      </w:r>
      <w:r w:rsidR="0028778A">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63C967C0" w14:textId="77777777" w:rsidR="007E4284" w:rsidRPr="00593A5F" w:rsidRDefault="007E4284" w:rsidP="007E4284">
      <w:pPr>
        <w:tabs>
          <w:tab w:val="left" w:pos="426"/>
        </w:tabs>
        <w:spacing w:after="0" w:line="276" w:lineRule="auto"/>
        <w:jc w:val="both"/>
        <w:rPr>
          <w:rFonts w:ascii="Verdana" w:eastAsia="Century Gothic" w:hAnsi="Verdana" w:cs="Century Gothic"/>
          <w:lang w:val="es-ES"/>
        </w:rPr>
      </w:pPr>
    </w:p>
    <w:p w14:paraId="3E7CBB4F" w14:textId="20252E84" w:rsidR="0028778A" w:rsidRDefault="00ED23CC" w:rsidP="004B5F84">
      <w:pPr>
        <w:pStyle w:val="Prrafodelista"/>
        <w:ind w:left="0" w:right="49"/>
        <w:jc w:val="both"/>
        <w:rPr>
          <w:rFonts w:ascii="Verdana" w:eastAsia="Century Gothic" w:hAnsi="Verdana" w:cs="Century Gothic"/>
          <w:i/>
          <w:iCs/>
        </w:rPr>
      </w:pPr>
      <w:r w:rsidRPr="00B22D91">
        <w:rPr>
          <w:rFonts w:ascii="Verdana" w:eastAsia="Century Gothic" w:hAnsi="Verdana" w:cs="Century Gothic"/>
        </w:rPr>
        <w:t>De acuerdo con el contenido de su solicitud, esta Agencia resolverá</w:t>
      </w:r>
      <w:r w:rsidR="00F365E7" w:rsidRPr="00B22D91">
        <w:rPr>
          <w:rFonts w:ascii="Verdana" w:eastAsia="Century Gothic" w:hAnsi="Verdana" w:cs="Century Gothic"/>
        </w:rPr>
        <w:t xml:space="preserve"> </w:t>
      </w:r>
      <w:r w:rsidR="00B22D91">
        <w:rPr>
          <w:rFonts w:ascii="Verdana" w:eastAsia="Century Gothic" w:hAnsi="Verdana" w:cs="Century Gothic"/>
        </w:rPr>
        <w:t xml:space="preserve">el siguiente </w:t>
      </w:r>
      <w:r w:rsidRPr="00B22D91">
        <w:rPr>
          <w:rFonts w:ascii="Verdana" w:eastAsia="Century Gothic" w:hAnsi="Verdana" w:cs="Century Gothic"/>
        </w:rPr>
        <w:t>problema jurídico:</w:t>
      </w:r>
      <w:r w:rsidR="008A3D98">
        <w:rPr>
          <w:rFonts w:ascii="Verdana" w:eastAsia="Century Gothic" w:hAnsi="Verdana" w:cs="Century Gothic"/>
          <w:i/>
          <w:iCs/>
        </w:rPr>
        <w:t xml:space="preserve"> </w:t>
      </w:r>
      <w:r w:rsidR="0028778A" w:rsidRPr="0028778A">
        <w:rPr>
          <w:rFonts w:ascii="Verdana" w:eastAsia="Century Gothic" w:hAnsi="Verdana" w:cs="Century Gothic"/>
          <w:i/>
          <w:iCs/>
        </w:rPr>
        <w:t xml:space="preserve">¿Puede una entidad sin ánimo de lucro </w:t>
      </w:r>
      <w:r w:rsidR="00840ED2">
        <w:rPr>
          <w:rFonts w:ascii="Verdana" w:eastAsia="Century Gothic" w:hAnsi="Verdana" w:cs="Century Gothic"/>
          <w:i/>
          <w:iCs/>
        </w:rPr>
        <w:t>solicitar</w:t>
      </w:r>
      <w:r w:rsidR="0028778A">
        <w:rPr>
          <w:rFonts w:ascii="Verdana" w:eastAsia="Century Gothic" w:hAnsi="Verdana" w:cs="Century Gothic"/>
          <w:i/>
          <w:iCs/>
        </w:rPr>
        <w:t xml:space="preserve"> la limitación </w:t>
      </w:r>
      <w:r w:rsidR="0028778A" w:rsidRPr="0028778A">
        <w:rPr>
          <w:rFonts w:ascii="Verdana" w:eastAsia="Century Gothic" w:hAnsi="Verdana" w:cs="Century Gothic"/>
          <w:i/>
          <w:iCs/>
        </w:rPr>
        <w:t xml:space="preserve"> </w:t>
      </w:r>
      <w:r w:rsidR="00840ED2">
        <w:rPr>
          <w:rFonts w:ascii="Verdana" w:eastAsia="Century Gothic" w:hAnsi="Verdana" w:cs="Century Gothic"/>
          <w:i/>
          <w:iCs/>
        </w:rPr>
        <w:t>a</w:t>
      </w:r>
      <w:r w:rsidR="0028778A" w:rsidRPr="0028778A">
        <w:rPr>
          <w:rFonts w:ascii="Verdana" w:eastAsia="Century Gothic" w:hAnsi="Verdana" w:cs="Century Gothic"/>
          <w:i/>
          <w:iCs/>
        </w:rPr>
        <w:t xml:space="preserve"> </w:t>
      </w:r>
      <w:r w:rsidR="0028778A">
        <w:rPr>
          <w:rFonts w:ascii="Verdana" w:eastAsia="Century Gothic" w:hAnsi="Verdana" w:cs="Century Gothic"/>
          <w:i/>
          <w:iCs/>
        </w:rPr>
        <w:t>M</w:t>
      </w:r>
      <w:r w:rsidR="0028778A" w:rsidRPr="0028778A">
        <w:rPr>
          <w:rFonts w:ascii="Verdana" w:eastAsia="Century Gothic" w:hAnsi="Verdana" w:cs="Century Gothic"/>
          <w:i/>
          <w:iCs/>
        </w:rPr>
        <w:t xml:space="preserve">ipymes </w:t>
      </w:r>
      <w:r w:rsidR="0028778A">
        <w:rPr>
          <w:rFonts w:ascii="Verdana" w:eastAsia="Century Gothic" w:hAnsi="Verdana" w:cs="Century Gothic"/>
          <w:i/>
          <w:iCs/>
        </w:rPr>
        <w:t xml:space="preserve">en el marco de un proceso de contratación de </w:t>
      </w:r>
      <w:r w:rsidR="0028778A" w:rsidRPr="009C7820">
        <w:rPr>
          <w:rFonts w:ascii="Verdana" w:eastAsia="Century Gothic" w:hAnsi="Verdana" w:cs="Century Gothic"/>
          <w:i/>
          <w:iCs/>
          <w:lang w:val="es-CO"/>
        </w:rPr>
        <w:t>selección abreviada de menor cuantía?</w:t>
      </w:r>
    </w:p>
    <w:p w14:paraId="4928B7F1" w14:textId="77777777" w:rsidR="0028778A" w:rsidRDefault="0028778A" w:rsidP="004B5F84">
      <w:pPr>
        <w:pStyle w:val="Prrafodelista"/>
        <w:ind w:left="0" w:right="49"/>
        <w:jc w:val="both"/>
        <w:rPr>
          <w:rFonts w:ascii="Verdana" w:eastAsia="Century Gothic" w:hAnsi="Verdana" w:cs="Century Gothic"/>
          <w:i/>
          <w:iCs/>
        </w:rPr>
      </w:pPr>
    </w:p>
    <w:p w14:paraId="46FF434C" w14:textId="77777777" w:rsidR="007E4284" w:rsidRPr="00593A5F" w:rsidRDefault="007E4284" w:rsidP="007E42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9C585E9" w14:textId="77777777" w:rsidR="007E4284" w:rsidRPr="00593A5F" w:rsidRDefault="007E4284" w:rsidP="007E428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E4284" w:rsidRPr="00593A5F" w14:paraId="17A28E7E" w14:textId="77777777">
        <w:tc>
          <w:tcPr>
            <w:tcW w:w="8828" w:type="dxa"/>
            <w:shd w:val="clear" w:color="auto" w:fill="auto"/>
          </w:tcPr>
          <w:p w14:paraId="551CB911" w14:textId="0DEE5F97" w:rsidR="00EF3BDD" w:rsidRPr="00840ED2" w:rsidRDefault="00840ED2" w:rsidP="00EF3BDD">
            <w:pPr>
              <w:spacing w:line="276" w:lineRule="auto"/>
              <w:jc w:val="both"/>
              <w:rPr>
                <w:rFonts w:ascii="Verdana" w:eastAsia="Century Gothic" w:hAnsi="Verdana" w:cs="Century Gothic"/>
              </w:rPr>
            </w:pPr>
            <w:r w:rsidRPr="00840ED2">
              <w:rPr>
                <w:rFonts w:ascii="Verdana" w:hAnsi="Verdana"/>
              </w:rPr>
              <w:t>El artículo 2.2.1.2.4.2.2 del Decreto 1082 de 2015 señala de forma taxativa los requisitos que deben cumplir las Entidades Estatales para establecer una limitación a favor de las Mipymes dentro de un proceso de contratación. En ese orden de ideas comoquiera que, por regla general, las entidades sin ánimo de lucro no desarrollan actividades explotación económica conforme al artículo 2 de la Ley 590 del 2000, estas no son clasificadas como Mipymes de acuerdo con el artículo 2.2.1.13.2.2. del Decreto 1074 de 2015. En atención a esto, las entidades sin ánimo de lucro como las fundaciones, corporaciones y asociaciones civiles no pueden solicitar la limitación a Mipymes en el marco de un proceso de contratación.</w:t>
            </w:r>
          </w:p>
          <w:p w14:paraId="49F49FF6" w14:textId="77777777" w:rsidR="00EF3BDD" w:rsidRDefault="00EF3BDD" w:rsidP="00EF3BDD">
            <w:pPr>
              <w:spacing w:line="276" w:lineRule="auto"/>
              <w:jc w:val="both"/>
              <w:rPr>
                <w:rFonts w:ascii="Verdana" w:eastAsia="Century Gothic" w:hAnsi="Verdana" w:cs="Century Gothic"/>
              </w:rPr>
            </w:pPr>
          </w:p>
          <w:p w14:paraId="1B25E3D8" w14:textId="6679744B" w:rsidR="00694654" w:rsidRPr="00831CDD" w:rsidRDefault="00840ED2" w:rsidP="00EF3BDD">
            <w:pPr>
              <w:spacing w:after="120" w:line="276" w:lineRule="auto"/>
              <w:jc w:val="both"/>
              <w:rPr>
                <w:rFonts w:ascii="Verdana" w:hAnsi="Verdana" w:cs="Arial"/>
                <w:bCs/>
                <w:color w:val="000000" w:themeColor="text1"/>
              </w:rPr>
            </w:pPr>
            <w:r>
              <w:rPr>
                <w:rFonts w:ascii="Verdana" w:eastAsia="Century Gothic" w:hAnsi="Verdana" w:cs="Century Gothic"/>
              </w:rPr>
              <w:t>No obstante</w:t>
            </w:r>
            <w:r w:rsidR="00EF3BDD">
              <w:rPr>
                <w:rFonts w:ascii="Verdana" w:eastAsia="Century Gothic" w:hAnsi="Verdana" w:cs="Century Gothic"/>
              </w:rPr>
              <w:t xml:space="preserve"> lo anterior, en virtud de lo establecido en el artículo 23 de la Ley 2069 de 2020, las entidades sin ánimo de lucro que pertenecen a la economía solidaría si pueden acceder a estos puntajes, siempre que se ubiquen dentro </w:t>
            </w:r>
            <w:r w:rsidR="00EF3BDD">
              <w:rPr>
                <w:rFonts w:ascii="Verdana" w:eastAsia="Century Gothic" w:hAnsi="Verdana" w:cs="Century Gothic"/>
              </w:rPr>
              <w:lastRenderedPageBreak/>
              <w:t xml:space="preserve">del segmento de mipymes de acuerdo con el artículo </w:t>
            </w:r>
            <w:r w:rsidR="00EF3BDD" w:rsidRPr="007E2DF6">
              <w:rPr>
                <w:rFonts w:ascii="Verdana" w:hAnsi="Verdana" w:cs="Arial"/>
                <w:lang w:val="es-ES_tradnl"/>
              </w:rPr>
              <w:t>2.2.1.13.2.2</w:t>
            </w:r>
            <w:r w:rsidR="00EF3BDD">
              <w:rPr>
                <w:rFonts w:ascii="Verdana" w:hAnsi="Verdana" w:cs="Arial"/>
                <w:lang w:val="es-ES_tradnl"/>
              </w:rPr>
              <w:t xml:space="preserve"> del Decreto 1074 de 2015.</w:t>
            </w:r>
          </w:p>
        </w:tc>
      </w:tr>
      <w:tr w:rsidR="007E4284" w:rsidRPr="00593A5F" w14:paraId="2A7558CB" w14:textId="77777777">
        <w:tc>
          <w:tcPr>
            <w:tcW w:w="8828" w:type="dxa"/>
            <w:shd w:val="clear" w:color="auto" w:fill="auto"/>
          </w:tcPr>
          <w:p w14:paraId="52413404" w14:textId="77777777" w:rsidR="007E4284" w:rsidRPr="002973E9" w:rsidRDefault="007E4284">
            <w:pPr>
              <w:spacing w:line="276" w:lineRule="auto"/>
              <w:jc w:val="both"/>
              <w:rPr>
                <w:rFonts w:ascii="Verdana" w:eastAsia="Calibri" w:hAnsi="Verdana" w:cs="Arial"/>
                <w:lang w:val="es-ES"/>
              </w:rPr>
            </w:pPr>
          </w:p>
        </w:tc>
      </w:tr>
    </w:tbl>
    <w:p w14:paraId="72DC2754" w14:textId="77777777" w:rsidR="007E4284" w:rsidRDefault="007E4284" w:rsidP="007E4284">
      <w:pPr>
        <w:tabs>
          <w:tab w:val="left" w:pos="142"/>
          <w:tab w:val="left" w:pos="284"/>
        </w:tabs>
        <w:spacing w:after="0" w:line="276" w:lineRule="auto"/>
        <w:jc w:val="both"/>
        <w:rPr>
          <w:rFonts w:ascii="Verdana" w:eastAsia="Century Gothic" w:hAnsi="Verdana" w:cs="Century Gothic"/>
          <w:b/>
          <w:bCs/>
          <w:lang w:val="es-ES"/>
        </w:rPr>
      </w:pPr>
    </w:p>
    <w:p w14:paraId="02DDBB94" w14:textId="77777777" w:rsidR="007E4284" w:rsidRPr="00593A5F" w:rsidRDefault="007E4284" w:rsidP="007E42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F71CC33" w14:textId="77777777" w:rsidR="007E4284" w:rsidRPr="00593A5F" w:rsidRDefault="007E4284" w:rsidP="007E4284">
      <w:pPr>
        <w:spacing w:after="0" w:line="276" w:lineRule="auto"/>
        <w:jc w:val="both"/>
        <w:rPr>
          <w:rFonts w:ascii="Verdana" w:eastAsia="Calibri" w:hAnsi="Verdana" w:cs="Arial"/>
          <w:color w:val="7030A0"/>
          <w:lang w:val="es-ES"/>
        </w:rPr>
      </w:pPr>
    </w:p>
    <w:p w14:paraId="4B13D71C" w14:textId="4DF62019" w:rsidR="009063E3" w:rsidRDefault="00503C19" w:rsidP="00DE1934">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3213EE01" w14:textId="77777777" w:rsidR="00DE1934" w:rsidRDefault="00DE1934" w:rsidP="00DE1934">
      <w:pPr>
        <w:spacing w:after="0" w:line="276" w:lineRule="auto"/>
        <w:jc w:val="both"/>
        <w:rPr>
          <w:rFonts w:ascii="Verdana" w:eastAsia="Calibri" w:hAnsi="Verdana" w:cs="Arial"/>
          <w:lang w:val="es-ES"/>
        </w:rPr>
      </w:pPr>
    </w:p>
    <w:p w14:paraId="320924A9" w14:textId="77777777" w:rsidR="00840ED2" w:rsidRPr="00840ED2" w:rsidRDefault="00840ED2" w:rsidP="00DE1934">
      <w:pPr>
        <w:pStyle w:val="Prrafodelista"/>
        <w:numPr>
          <w:ilvl w:val="0"/>
          <w:numId w:val="44"/>
        </w:numPr>
        <w:spacing w:after="120" w:line="276" w:lineRule="auto"/>
        <w:jc w:val="both"/>
        <w:rPr>
          <w:rFonts w:ascii="Verdana" w:hAnsi="Verdana"/>
        </w:rPr>
      </w:pPr>
      <w:r w:rsidRPr="00840ED2">
        <w:rPr>
          <w:rFonts w:ascii="Verdana" w:hAnsi="Verdana"/>
        </w:rPr>
        <w:t>El 31 de diciembre se promulgó la Ley 2069 de 2020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los decretos correspondientes que permitan la cumplida ejecución de esta Ley, potestad que fue ejercida mediante la expedición del Decreto 1860 de 2021, al cual se hará referencia más adelante.</w:t>
      </w:r>
      <w:bookmarkStart w:id="5" w:name="_Hlk184213842"/>
    </w:p>
    <w:p w14:paraId="4E8E3A8A" w14:textId="0E8474E8" w:rsidR="00DE1934" w:rsidRPr="008B738F" w:rsidRDefault="00840ED2" w:rsidP="00DE1934">
      <w:pPr>
        <w:pStyle w:val="Prrafodelista"/>
        <w:numPr>
          <w:ilvl w:val="0"/>
          <w:numId w:val="44"/>
        </w:numPr>
        <w:spacing w:after="120" w:line="276" w:lineRule="auto"/>
        <w:jc w:val="both"/>
        <w:rPr>
          <w:rFonts w:ascii="Verdana" w:hAnsi="Verdana"/>
        </w:rPr>
      </w:pPr>
      <w:r w:rsidRPr="00840ED2">
        <w:rPr>
          <w:rFonts w:ascii="Verdana" w:hAnsi="Verdana"/>
        </w:rPr>
        <w:t>En cuanto al contenido de la Ley 2069 de 2020, es importante señalar que, como dispone su artículo 1, esta “tiene por objeto establecer un marco regulatorio que propicie el emprendimiento y el crecimiento, consolidación y sostenibilidad de las empresas, con el fin de aumentar el bienestar social y generar equidad”</w:t>
      </w:r>
      <w:r w:rsidRPr="00840ED2">
        <w:rPr>
          <w:rStyle w:val="Refdenotaalpie"/>
          <w:rFonts w:ascii="Verdana" w:hAnsi="Verdana"/>
        </w:rPr>
        <w:footnoteReference w:id="1"/>
      </w:r>
      <w:r w:rsidRPr="00840ED2">
        <w:rPr>
          <w:rFonts w:ascii="Verdana" w:hAnsi="Verdana"/>
        </w:rPr>
        <w:t xml:space="preserve"> .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w:t>
      </w:r>
      <w:r w:rsidRPr="00840ED2">
        <w:rPr>
          <w:rStyle w:val="Refdenotaalpie"/>
          <w:rFonts w:ascii="Verdana" w:hAnsi="Verdana"/>
        </w:rPr>
        <w:footnoteReference w:id="2"/>
      </w:r>
      <w:r w:rsidRPr="00840ED2">
        <w:rPr>
          <w:rFonts w:ascii="Verdana" w:hAnsi="Verdana"/>
        </w:rPr>
        <w:t xml:space="preserve"> , así como incentivos a favor de aquellas dentro del sistema de compras y contratación pública</w:t>
      </w:r>
      <w:r w:rsidRPr="00840ED2">
        <w:rPr>
          <w:rStyle w:val="Refdenotaalpie"/>
          <w:rFonts w:ascii="Verdana" w:hAnsi="Verdana"/>
        </w:rPr>
        <w:footnoteReference w:id="3"/>
      </w:r>
      <w:r w:rsidRPr="00840ED2">
        <w:rPr>
          <w:rFonts w:ascii="Verdana" w:hAnsi="Verdana"/>
        </w:rPr>
        <w:t>. También se consagran mecanismos de acceso al financiamiento</w:t>
      </w:r>
      <w:r>
        <w:rPr>
          <w:rStyle w:val="Refdenotaalpie"/>
          <w:rFonts w:ascii="Verdana" w:hAnsi="Verdana"/>
        </w:rPr>
        <w:footnoteReference w:id="4"/>
      </w:r>
      <w:r w:rsidRPr="00840ED2">
        <w:rPr>
          <w:rFonts w:ascii="Verdana" w:hAnsi="Verdana"/>
        </w:rPr>
        <w:t xml:space="preserve">, se unifican las fuentes de emprendimiento y de desarrollo empresarial, para fortalecer y promover los distintos sectores de la </w:t>
      </w:r>
      <w:r w:rsidRPr="008B738F">
        <w:rPr>
          <w:rFonts w:ascii="Verdana" w:hAnsi="Verdana"/>
        </w:rPr>
        <w:lastRenderedPageBreak/>
        <w:t>economía</w:t>
      </w:r>
      <w:r w:rsidRPr="008B738F">
        <w:rPr>
          <w:rStyle w:val="Refdenotaalpie"/>
          <w:rFonts w:ascii="Verdana" w:hAnsi="Verdana"/>
        </w:rPr>
        <w:footnoteReference w:id="5"/>
      </w:r>
      <w:r w:rsidRPr="008B738F">
        <w:rPr>
          <w:rFonts w:ascii="Verdana" w:hAnsi="Verdana"/>
        </w:rPr>
        <w:t xml:space="preserve"> y se prevén medidas de educación para el emprendimiento y la innovación</w:t>
      </w:r>
      <w:r w:rsidRPr="008B738F">
        <w:rPr>
          <w:rStyle w:val="Refdenotaalpie"/>
          <w:rFonts w:ascii="Verdana" w:hAnsi="Verdana"/>
        </w:rPr>
        <w:footnoteReference w:id="6"/>
      </w:r>
      <w:r w:rsidRPr="008B738F">
        <w:rPr>
          <w:rFonts w:ascii="Verdana" w:hAnsi="Verdana"/>
        </w:rPr>
        <w:t>.</w:t>
      </w:r>
    </w:p>
    <w:p w14:paraId="0A859C83" w14:textId="6B0A2486" w:rsidR="00840ED2" w:rsidRPr="008B738F" w:rsidRDefault="00840ED2" w:rsidP="00DE1934">
      <w:pPr>
        <w:pStyle w:val="Prrafodelista"/>
        <w:numPr>
          <w:ilvl w:val="0"/>
          <w:numId w:val="44"/>
        </w:numPr>
        <w:spacing w:after="120" w:line="276" w:lineRule="auto"/>
        <w:jc w:val="both"/>
        <w:rPr>
          <w:rFonts w:ascii="Verdana" w:hAnsi="Verdana"/>
        </w:rPr>
      </w:pPr>
      <w:r w:rsidRPr="008B738F">
        <w:rPr>
          <w:rFonts w:ascii="Verdana" w:hAnsi="Verdana"/>
        </w:rPr>
        <w:t xml:space="preserve">De esta forma, debe precisarse que parte de la Ley 2069 de 2020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 </w:t>
      </w:r>
      <w:r w:rsidR="008B738F" w:rsidRPr="008B738F">
        <w:rPr>
          <w:rStyle w:val="Refdenotaalpie"/>
          <w:rFonts w:ascii="Verdana" w:hAnsi="Verdana"/>
        </w:rPr>
        <w:footnoteReference w:id="7"/>
      </w:r>
      <w:r>
        <w:t xml:space="preserve"> .</w:t>
      </w:r>
    </w:p>
    <w:p w14:paraId="7F280BE2" w14:textId="3AA31B46" w:rsidR="008B738F" w:rsidRPr="00915846" w:rsidRDefault="008B738F" w:rsidP="00DE1934">
      <w:pPr>
        <w:pStyle w:val="Prrafodelista"/>
        <w:numPr>
          <w:ilvl w:val="0"/>
          <w:numId w:val="44"/>
        </w:numPr>
        <w:spacing w:after="120" w:line="276" w:lineRule="auto"/>
        <w:jc w:val="both"/>
        <w:rPr>
          <w:rFonts w:ascii="Verdana" w:hAnsi="Verdana"/>
        </w:rPr>
      </w:pPr>
      <w:r w:rsidRPr="008B738F">
        <w:rPr>
          <w:rFonts w:ascii="Verdana" w:hAnsi="Verdana"/>
        </w:rPr>
        <w:t xml:space="preserve">En ese contexto, como se indicó previamente,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III de la Ley 2069 </w:t>
      </w:r>
      <w:r w:rsidRPr="00915846">
        <w:rPr>
          <w:rFonts w:ascii="Verdana" w:hAnsi="Verdana"/>
        </w:rPr>
        <w:t>de 2020 –con excepción de los artículos 33 y 36–, realizando las</w:t>
      </w:r>
      <w:r w:rsidRPr="00915846">
        <w:rPr>
          <w:rFonts w:ascii="Verdana" w:hAnsi="Verdana"/>
        </w:rPr>
        <w:t xml:space="preserve"> </w:t>
      </w:r>
      <w:r w:rsidRPr="00915846">
        <w:rPr>
          <w:rFonts w:ascii="Verdana" w:hAnsi="Verdana"/>
        </w:rPr>
        <w:t>adecuaciones requeridas para aplicar estas disposiciones, tal como indica el artículo 1 del Decreto 1860 de 2021</w:t>
      </w:r>
      <w:r w:rsidRPr="00915846">
        <w:rPr>
          <w:rStyle w:val="Refdenotaalpie"/>
          <w:rFonts w:ascii="Verdana" w:hAnsi="Verdana"/>
        </w:rPr>
        <w:footnoteReference w:id="8"/>
      </w:r>
    </w:p>
    <w:p w14:paraId="1E5A1470" w14:textId="17B9F24D"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Ahora bien, se tiene que el artículo 12 de la Ley 1150 de 2007, modificado por el artículo 34 de la Ley 2069 de 2020</w:t>
      </w:r>
      <w:r w:rsidRPr="00915846">
        <w:rPr>
          <w:rStyle w:val="Refdenotaalpie"/>
          <w:rFonts w:ascii="Verdana" w:hAnsi="Verdana"/>
        </w:rPr>
        <w:footnoteReference w:id="9"/>
      </w:r>
      <w:r w:rsidRPr="00915846">
        <w:rPr>
          <w:rFonts w:ascii="Verdana" w:hAnsi="Verdana"/>
        </w:rPr>
        <w:t xml:space="preserve"> , dispone que en desarrollo de </w:t>
      </w:r>
      <w:r w:rsidRPr="00915846">
        <w:rPr>
          <w:rFonts w:ascii="Verdana" w:hAnsi="Verdana"/>
        </w:rPr>
        <w:lastRenderedPageBreak/>
        <w:t>los Procesos de Contratación, las Entidades Estatales indistintamente de su régimen de contratación, los patrimonios autónomos constituidos por Entidades Estatales y los particulares que ejecuten recursos públicos deberán desarrollar convocatorias limitadas a Mipymes en las que, previo a la expedición del acto de apertura del proceso respectivo, se haya manifestado el interés de por lo menos dos (2) Mipymes. Estas convocatorias fueron reglamentadas por el artículo 5 del Decreto 1860 de</w:t>
      </w:r>
      <w:r w:rsidRPr="00915846">
        <w:rPr>
          <w:rFonts w:ascii="Verdana" w:hAnsi="Verdana"/>
        </w:rPr>
        <w:t xml:space="preserve"> </w:t>
      </w:r>
      <w:r w:rsidRPr="00915846">
        <w:rPr>
          <w:rFonts w:ascii="Verdana" w:hAnsi="Verdana"/>
        </w:rPr>
        <w:t>2021, el cual modificó los artículos 2.2.1.2.4.2.2, 2.2.1.2.4.2.3 y</w:t>
      </w:r>
      <w:r w:rsidRPr="00915846">
        <w:rPr>
          <w:rFonts w:ascii="Verdana" w:hAnsi="Verdana"/>
        </w:rPr>
        <w:t xml:space="preserve"> </w:t>
      </w:r>
      <w:r w:rsidRPr="00915846">
        <w:rPr>
          <w:rFonts w:ascii="Verdana" w:hAnsi="Verdana"/>
        </w:rPr>
        <w:t>2.2.1.2.4.2.4 del Decreto 1082 de 2015</w:t>
      </w:r>
      <w:r w:rsidRPr="00915846">
        <w:rPr>
          <w:rStyle w:val="Refdenotaalpie"/>
          <w:rFonts w:ascii="Verdana" w:hAnsi="Verdana"/>
        </w:rPr>
        <w:footnoteReference w:id="10"/>
      </w:r>
      <w:r w:rsidRPr="00915846">
        <w:rPr>
          <w:rFonts w:ascii="Verdana" w:hAnsi="Verdana"/>
        </w:rPr>
        <w:t>.</w:t>
      </w:r>
    </w:p>
    <w:p w14:paraId="53912E32" w14:textId="008E60AD"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lastRenderedPageBreak/>
        <w:t>De acuerdo con estas disposiciones, las Entidades Estales están llamadas a limitar la participación exclusiva de Mipymes en todos los procesos de Contratación que adelanten bajo las modalidades de selección competitivas. De suerte que en este tipo de procesos quedan excluidos los proponentes que no acrediten un tamaño empresarial de micro, pequeña o mediana empresa como es el caso de las las entidades sin ánimo de lucro como las fundaciones, corporaciones y asociaciones civiles las cuales no pueden solicitar la limitación a Mipymes en el marco de un proceso de contratación.</w:t>
      </w:r>
    </w:p>
    <w:p w14:paraId="711F6E30" w14:textId="0188C87A"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Ahora bien, por otra parte, el artículo 31 de la Ley 2069 de 2020 estableció que las entidades estatales de acuerdo con el análisis del sector deben</w:t>
      </w:r>
      <w:r w:rsidRPr="00915846">
        <w:rPr>
          <w:rFonts w:ascii="Verdana" w:hAnsi="Verdana"/>
        </w:rPr>
        <w:t xml:space="preserve"> </w:t>
      </w:r>
      <w:r w:rsidRPr="00915846">
        <w:rPr>
          <w:rFonts w:ascii="Verdana" w:hAnsi="Verdana"/>
        </w:rPr>
        <w:t>implementar requisitos diferenciales y puntajes adicionales función del tamaño empresarial para la promoción del acceso de las mipymes al mercado de Compras Públicas. La aplicación de estos criterios, por disposición expresa del referido artículo, quedó condicionada por la expedición de su reglamentación.</w:t>
      </w:r>
    </w:p>
    <w:p w14:paraId="777F8F90" w14:textId="44705F76"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Por su parte el artículo 3 del Decreto 1860 de 2021, adicionó el artículo 2.2.1.2.4.2.18 al Decreto 1082 de 2015 regulando los criterios diferenciales para Mipyme establecidos por el artículo 31 de la Ley 2069 de 2020. En virtud de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Mipyme domiciliadas en Colombia.</w:t>
      </w:r>
    </w:p>
    <w:p w14:paraId="260AFAED" w14:textId="7020FCB1"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 xml:space="preserve">Estos criterios en favor de las Mipyme buscan reducir las asimetrías entre estas y las grandes empresas para vincularse como proveedoras al mercado de compras públicas y, en consecuencia, promover y facilitar la participación en los procedimientos de selección competitivos de las Mipyme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ii) número de contratos para la acreditación de la experiencia, iii) índices de capacidad financiera, </w:t>
      </w:r>
      <w:r w:rsidRPr="00915846">
        <w:rPr>
          <w:rFonts w:ascii="Verdana" w:hAnsi="Verdana"/>
        </w:rPr>
        <w:lastRenderedPageBreak/>
        <w:t>iv) índices de capacidad organizacional y v) valor de la garantía de seriedad de la oferta.</w:t>
      </w:r>
    </w:p>
    <w:p w14:paraId="3C8B0CE2" w14:textId="3B9531AA"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Lo anterior significa que para la determinación de los criterios diferenciales para Mipyme, las entidades podrán escoger uno o algunos de estos requisitos habilitantes, los cuales deberán fijarse respetando las condiciones habilitantes requeridas para el cumplimiento adecuado del contrato. En tal sentido, se establecerán condiciones más exigentes respecto a alguno o algunos de los criterios de participación antes enunciados frente a los demás proponentes que concurran al procedimiento de selección que no sean Mipyme.</w:t>
      </w:r>
    </w:p>
    <w:p w14:paraId="659F198D" w14:textId="191F95D9"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Asimismo, el decreto dispone que, con excepción de los procedimientos de selección abreviada por subasta inversa y de mínima cuantía, las entidades sometidas al Estatuto General de Contratación de la Administración Pública, teniendo en cuenta los criterios de clasificación empresarial, podrán establecer puntajes adicionales que en ningún caso podrán superar el cero punto veinticinco por ciento (0.25%) del valor total de los puntos establecidos en los pliegos de condiciones o documentos equivalentes. Como se observa, se estableció un porcentaje techo para el respectivo puntaje adicional, lo que significa que las entidades pueden otorgar el puntaje máximo de hasta el cero punto veinticinco por ciento (0.25%) del valor total de los puntos establecidos o un puntaje menor; esto con el objeto de que la aplicación del incentivo no vaya en desmedro de la escogencia de la oferta más favorable para la entidad, conforme el deber de selección objetiva exige, por lo que el reglamento estimó como adecuado el porcentaje señalado.</w:t>
      </w:r>
    </w:p>
    <w:p w14:paraId="6BC458AB" w14:textId="75762A34"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En lo relativo a la aplicación de los criterios diferenciales y puntajes adicionales para proponentes plurales solo se aplicarán si por lo menos uno de los integrantes acredita la calidad de Mipyme y tiene una participación igual o superior al diez por ciento (10%) en el consorcio o en la unión temporal. Así mismo, de conformidad con el parágrafo 3 del artículo 2.2.1.2.4.2.18 del Decreto 1082 de 2015 los criterios diferenciales y puntajes adicionales en favor de las micro, pequeñas y medianas empresas no se aplicarán cuando se limiten las convocatorias a Mipyme en los términos de los artículos 2.2.1.2.4.2.2 y 2.2.1.2.4.2.3 del Decreto 1082 de 2015.</w:t>
      </w:r>
    </w:p>
    <w:p w14:paraId="513E0407" w14:textId="645B0812"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 xml:space="preserve">Ahora bien, en la medida en que la limitación de convocatorias regulada en el Decreto 1082 de 2015, solo resulta aplicable a las mipymes, la posibilidad de que una ESAL accedan a esto dependerá de que esta pueda </w:t>
      </w:r>
      <w:r w:rsidRPr="00915846">
        <w:rPr>
          <w:rFonts w:ascii="Verdana" w:hAnsi="Verdana"/>
        </w:rPr>
        <w:lastRenderedPageBreak/>
        <w:t>ser considerada una mipyme, calidad que está ligada al desarrollo de actividad empresarial. Al respecto, resulta pertinente traer a colación el artículo 43 de la Ley 1450 de 2011 que modificó el artículo 2 de la Ley 590 de 2000, el cual define la empresa como toda unidad de explotación económica que realiza una persona natural o jurídica en actividades agropecuarias, industriales, comerciales o de servicios</w:t>
      </w:r>
      <w:r w:rsidRPr="00915846">
        <w:rPr>
          <w:rStyle w:val="Refdenotaalpie"/>
          <w:rFonts w:ascii="Verdana" w:hAnsi="Verdana"/>
        </w:rPr>
        <w:footnoteReference w:id="11"/>
      </w:r>
      <w:r w:rsidRPr="00915846">
        <w:rPr>
          <w:rFonts w:ascii="Verdana" w:hAnsi="Verdana"/>
        </w:rPr>
        <w:t>Además, establece que estas se clasifican en micro, pequeña, mediana y gran empresa, de acuerdo con los criterios del número de trabajadores totales, el valor de ventas brutales anuales y el valor de activos totales. Ahora bien, el artículo 2.2.1.13.2.2. del Decreto 1074 de 2015, adicionado por el Decreto 957 de 2019, establece que:</w:t>
      </w:r>
    </w:p>
    <w:p w14:paraId="13518564" w14:textId="67FFBFD1"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La microempresa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p>
    <w:p w14:paraId="596E9821" w14:textId="3CF6C4FD"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La pequeña empresa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w:t>
      </w:r>
      <w:r w:rsidRPr="00915846">
        <w:rPr>
          <w:rFonts w:ascii="Verdana" w:hAnsi="Verdana"/>
        </w:rPr>
        <w:t xml:space="preserve"> </w:t>
      </w:r>
      <w:r w:rsidRPr="00915846">
        <w:rPr>
          <w:rFonts w:ascii="Verdana" w:hAnsi="Verdana"/>
        </w:rPr>
        <w:t xml:space="preserve">(32.988 UVT) e inferiores o iguales a ciento treinta y un mil novecientos cincuenta y uno Unidades de Valor Tributario (131. 951 UVT)”; y en el sector comercio, la que sus “ingresos por actividades ordinarias anuales </w:t>
      </w:r>
      <w:r w:rsidRPr="00915846">
        <w:rPr>
          <w:rFonts w:ascii="Verdana" w:hAnsi="Verdana"/>
        </w:rPr>
        <w:lastRenderedPageBreak/>
        <w:t>sean superiores a cuarenta y cuatro mil setecientos sesenta y nueve Unidades de Valor Tributario (44.769 UVT) e inferiores o iguales a cuatrocientos treinta y un mil ciento noventa y seis Unidades de Valor Tributario (431.196 UVT)”.</w:t>
      </w:r>
    </w:p>
    <w:p w14:paraId="3076A441" w14:textId="433FAD2D"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La mediana empresa,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w:t>
      </w:r>
      <w:r w:rsidRPr="00915846">
        <w:rPr>
          <w:rStyle w:val="Refdenotaalpie"/>
          <w:rFonts w:ascii="Verdana" w:hAnsi="Verdana"/>
        </w:rPr>
        <w:footnoteReference w:id="12"/>
      </w:r>
      <w:r w:rsidRPr="00915846">
        <w:rPr>
          <w:rFonts w:ascii="Verdana" w:hAnsi="Verdana"/>
        </w:rPr>
        <w:t xml:space="preserve"> ”.</w:t>
      </w:r>
    </w:p>
    <w:p w14:paraId="7CE37CCC" w14:textId="447D123E" w:rsidR="008B738F" w:rsidRPr="00915846" w:rsidRDefault="008B738F" w:rsidP="008B738F">
      <w:pPr>
        <w:pStyle w:val="Prrafodelista"/>
        <w:numPr>
          <w:ilvl w:val="0"/>
          <w:numId w:val="44"/>
        </w:numPr>
        <w:spacing w:after="120" w:line="276" w:lineRule="auto"/>
        <w:jc w:val="both"/>
        <w:rPr>
          <w:rFonts w:ascii="Verdana" w:hAnsi="Verdana"/>
        </w:rPr>
      </w:pPr>
      <w:r w:rsidRPr="00915846">
        <w:rPr>
          <w:rFonts w:ascii="Verdana" w:hAnsi="Verdana"/>
        </w:rPr>
        <w:t>En atención a lo dispuesto en el artículo el artículo 2 de la Ley 590 de 2000, modificado y lo reglamentado en el artículo 2.2.1.13.2.2. del Decreto 1074 de 2015, es claro que solo pueden ser consideradas mipymes las empresas, entendidas estas como las unidades de explotación económica que buscan el reparto de utilidades entre los miembros de la empresa. De esta forma, 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estas no pueden acceder a los incentivos contractuales establecidos en favor de la mipymes. Esto no significa que las ESAL no puedan participar en términos de igualdad con los demás oferentes, en</w:t>
      </w:r>
      <w:r w:rsidRPr="00915846">
        <w:rPr>
          <w:rFonts w:ascii="Verdana" w:hAnsi="Verdana"/>
        </w:rPr>
        <w:t xml:space="preserve"> </w:t>
      </w:r>
      <w:r w:rsidRPr="00915846">
        <w:rPr>
          <w:rFonts w:ascii="Verdana" w:hAnsi="Verdana"/>
        </w:rPr>
        <w:t>los diferentes procesos contractuales que regula el Estatuto General de Contratación de la Administración Pública, salvo aquellos procesos contractuales limitados a Mipymes de conformidad con los artículos 2.2.1.2.4.2.2 y 2.2.1.2.4.2.3 del Decreto 1082 de 2015.</w:t>
      </w:r>
    </w:p>
    <w:p w14:paraId="0D31B3C3" w14:textId="2239B39A" w:rsidR="008B738F" w:rsidRPr="00915846" w:rsidRDefault="00915846" w:rsidP="008B738F">
      <w:pPr>
        <w:pStyle w:val="Prrafodelista"/>
        <w:numPr>
          <w:ilvl w:val="0"/>
          <w:numId w:val="44"/>
        </w:numPr>
        <w:spacing w:after="120" w:line="276" w:lineRule="auto"/>
        <w:jc w:val="both"/>
        <w:rPr>
          <w:rFonts w:ascii="Verdana" w:hAnsi="Verdana"/>
        </w:rPr>
      </w:pPr>
      <w:r w:rsidRPr="00915846">
        <w:rPr>
          <w:rFonts w:ascii="Verdana" w:hAnsi="Verdana"/>
        </w:rPr>
        <w:lastRenderedPageBreak/>
        <w:t>La anterior conclusión admite cierto matiz respecto de las entidades economía solidaria en virtud de lo establecido en el artículo 23 de la Ley 2069 de 2020. Dicha norma asimila a empresas a las entidades de economía solidaria, disponiendo además que estas deberán ser clasificadas como mipymes, de conformidad con el artículo 2 de la Ley 590 de 2000 y el Decreto 957 de 2019</w:t>
      </w:r>
      <w:r w:rsidRPr="00915846">
        <w:rPr>
          <w:rStyle w:val="Refdenotaalpie"/>
          <w:rFonts w:ascii="Verdana" w:hAnsi="Verdana"/>
        </w:rPr>
        <w:footnoteReference w:id="13"/>
      </w:r>
      <w:r w:rsidRPr="00915846">
        <w:rPr>
          <w:rFonts w:ascii="Verdana" w:hAnsi="Verdana"/>
        </w:rPr>
        <w:t xml:space="preserve"> . El principal efecto de esta norma es que, entidades que desarrollan actividades económicas sin fines lucrativos, como las cooperativas</w:t>
      </w:r>
      <w:r w:rsidRPr="00915846">
        <w:rPr>
          <w:rStyle w:val="Refdenotaalpie"/>
          <w:rFonts w:ascii="Verdana" w:hAnsi="Verdana"/>
        </w:rPr>
        <w:footnoteReference w:id="14"/>
      </w:r>
      <w:r w:rsidRPr="00915846">
        <w:rPr>
          <w:rFonts w:ascii="Verdana" w:hAnsi="Verdana"/>
        </w:rPr>
        <w:t>, asociaciones mutualistas</w:t>
      </w:r>
      <w:r w:rsidRPr="00915846">
        <w:rPr>
          <w:rStyle w:val="Refdenotaalpie"/>
          <w:rFonts w:ascii="Verdana" w:hAnsi="Verdana"/>
        </w:rPr>
        <w:footnoteReference w:id="15"/>
      </w:r>
      <w:r w:rsidRPr="00915846">
        <w:rPr>
          <w:rFonts w:ascii="Verdana" w:hAnsi="Verdana"/>
        </w:rPr>
        <w:t xml:space="preserve"> y las demás entidades de economía solidaria</w:t>
      </w:r>
      <w:r w:rsidRPr="00915846">
        <w:rPr>
          <w:rStyle w:val="Refdenotaalpie"/>
          <w:rFonts w:ascii="Verdana" w:hAnsi="Verdana"/>
        </w:rPr>
        <w:footnoteReference w:id="16"/>
      </w:r>
      <w:r w:rsidRPr="00915846">
        <w:rPr>
          <w:rFonts w:ascii="Verdana" w:hAnsi="Verdana"/>
        </w:rPr>
        <w:t>, al ser consideradas como mipymes, les son aplicables las prerrogativas establecidas en los artículos 31 de la Ley 2069 de 2020 y 2.2.1.2.4.2.18 del Decreto 1082 de 2015.</w:t>
      </w:r>
    </w:p>
    <w:p w14:paraId="5F48067D" w14:textId="3C7461B5" w:rsidR="00DE1934" w:rsidRPr="00915846" w:rsidRDefault="00DE1934" w:rsidP="00DE1934">
      <w:pPr>
        <w:spacing w:after="120" w:line="276" w:lineRule="auto"/>
        <w:jc w:val="both"/>
        <w:rPr>
          <w:rFonts w:ascii="Verdana" w:hAnsi="Verdana" w:cs="Arial"/>
          <w:lang w:val="es-ES"/>
        </w:rPr>
      </w:pPr>
      <w:r w:rsidRPr="00CE2B89">
        <w:rPr>
          <w:rFonts w:ascii="Verdana" w:hAnsi="Verdana"/>
        </w:rPr>
        <w:t xml:space="preserve"> </w:t>
      </w:r>
      <w:r w:rsidRPr="00CE2B89">
        <w:rPr>
          <w:rFonts w:ascii="Verdana" w:hAnsi="Verdana"/>
        </w:rPr>
        <w:tab/>
      </w:r>
      <w:bookmarkEnd w:id="5"/>
      <w:r w:rsidRPr="00311100">
        <w:rPr>
          <w:rFonts w:ascii="Verdana" w:eastAsia="Calibri" w:hAnsi="Verdana" w:cs="Arial"/>
          <w:color w:val="000000" w:themeColor="text1"/>
          <w:lang w:val="es-ES_tradnl"/>
        </w:rPr>
        <w:tab/>
      </w:r>
    </w:p>
    <w:p w14:paraId="692DC618" w14:textId="77777777" w:rsidR="00DE1934" w:rsidRPr="00A37605" w:rsidRDefault="00DE1934" w:rsidP="00DE193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Referencias normativas, jurisprudenciales y otras fuentes:</w:t>
      </w:r>
    </w:p>
    <w:p w14:paraId="1C157B03" w14:textId="77777777" w:rsidR="00DE1934" w:rsidRPr="00A37605" w:rsidRDefault="00DE1934" w:rsidP="00DE1934">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E1934" w:rsidRPr="00A37605" w14:paraId="21E48243" w14:textId="77777777" w:rsidTr="00E1079D">
        <w:trPr>
          <w:trHeight w:val="870"/>
        </w:trPr>
        <w:tc>
          <w:tcPr>
            <w:tcW w:w="8647" w:type="dxa"/>
            <w:tcBorders>
              <w:top w:val="dotted" w:sz="4" w:space="0" w:color="auto"/>
              <w:left w:val="dotted" w:sz="4" w:space="0" w:color="auto"/>
              <w:bottom w:val="dotted" w:sz="4" w:space="0" w:color="auto"/>
              <w:right w:val="dotted" w:sz="4" w:space="0" w:color="auto"/>
            </w:tcBorders>
          </w:tcPr>
          <w:p w14:paraId="0F1A3D12" w14:textId="77777777" w:rsidR="00915846" w:rsidRPr="00915846"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t xml:space="preserve">Ley 1150 de 2007, artículo 12. </w:t>
            </w:r>
          </w:p>
          <w:p w14:paraId="76E7F890" w14:textId="77777777" w:rsidR="00915846" w:rsidRPr="00915846"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t xml:space="preserve">Ley 1450 de 2011, artículo 43. </w:t>
            </w:r>
          </w:p>
          <w:p w14:paraId="3B447F58" w14:textId="77777777" w:rsidR="00915846" w:rsidRPr="00915846"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lastRenderedPageBreak/>
              <w:t xml:space="preserve">Ley 2069 de 2020, artículo 34, artículo 23, artículo 22. </w:t>
            </w:r>
          </w:p>
          <w:p w14:paraId="2B2042C8" w14:textId="77777777" w:rsidR="00915846" w:rsidRPr="00915846"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t xml:space="preserve">Ley 2143 de 2021, artículo 1 </w:t>
            </w:r>
          </w:p>
          <w:p w14:paraId="3B504AB4" w14:textId="77777777" w:rsidR="00915846" w:rsidRPr="00915846"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t xml:space="preserve">Decreto 1074 de 2015, artículo 2.2.1.13.2.2. </w:t>
            </w:r>
          </w:p>
          <w:p w14:paraId="701B4F26" w14:textId="77777777" w:rsidR="00915846" w:rsidRPr="00915846"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t xml:space="preserve">Decreto 1082 de 2015, artículos 2.2.1.2.4.2.2, 2.2.1.2.4.2.3 y 2.2.1.2.4.2.18 </w:t>
            </w:r>
          </w:p>
          <w:p w14:paraId="524DA5FE" w14:textId="77777777" w:rsidR="00915846" w:rsidRPr="00915846"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t xml:space="preserve">Decreto 957 de 2019. </w:t>
            </w:r>
          </w:p>
          <w:p w14:paraId="6E49D7B1" w14:textId="62B84576" w:rsidR="00DE1934" w:rsidRPr="00A37605" w:rsidRDefault="00915846" w:rsidP="002B5168">
            <w:pPr>
              <w:widowControl w:val="0"/>
              <w:numPr>
                <w:ilvl w:val="0"/>
                <w:numId w:val="43"/>
              </w:numPr>
              <w:autoSpaceDE w:val="0"/>
              <w:autoSpaceDN w:val="0"/>
              <w:spacing w:after="120" w:line="276" w:lineRule="auto"/>
              <w:ind w:left="714" w:hanging="357"/>
              <w:jc w:val="both"/>
              <w:rPr>
                <w:rFonts w:ascii="Verdana" w:hAnsi="Verdana" w:cs="Arial"/>
              </w:rPr>
            </w:pPr>
            <w:r w:rsidRPr="00915846">
              <w:rPr>
                <w:rFonts w:ascii="Verdana" w:hAnsi="Verdana" w:cs="Arial"/>
              </w:rPr>
              <w:t>Decreto 1860 de 2021, artículo 3.</w:t>
            </w:r>
          </w:p>
        </w:tc>
      </w:tr>
    </w:tbl>
    <w:p w14:paraId="5665F99D" w14:textId="77777777" w:rsidR="00DE1934" w:rsidRPr="00A37605" w:rsidRDefault="00DE1934" w:rsidP="00DE1934">
      <w:pPr>
        <w:tabs>
          <w:tab w:val="left" w:pos="142"/>
          <w:tab w:val="left" w:pos="284"/>
        </w:tabs>
        <w:spacing w:after="0" w:line="276" w:lineRule="auto"/>
        <w:jc w:val="both"/>
        <w:rPr>
          <w:rFonts w:ascii="Verdana" w:eastAsia="Calibri" w:hAnsi="Verdana" w:cs="Arial"/>
        </w:rPr>
      </w:pPr>
    </w:p>
    <w:p w14:paraId="2125DB7F" w14:textId="77777777" w:rsidR="00DE1934" w:rsidRPr="00A37605" w:rsidRDefault="00DE1934" w:rsidP="00DE193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Doctrina de la Agencia Nacional de Contratación Pública:</w:t>
      </w:r>
    </w:p>
    <w:p w14:paraId="44625A59" w14:textId="77777777" w:rsidR="00DE1934" w:rsidRPr="00A37605" w:rsidRDefault="00DE1934" w:rsidP="00DE1934">
      <w:pPr>
        <w:widowControl w:val="0"/>
        <w:autoSpaceDE w:val="0"/>
        <w:autoSpaceDN w:val="0"/>
        <w:spacing w:after="0" w:line="276" w:lineRule="auto"/>
        <w:jc w:val="both"/>
        <w:rPr>
          <w:rFonts w:ascii="Verdana" w:eastAsia="Calibri" w:hAnsi="Verdana" w:cs="Arial"/>
        </w:rPr>
      </w:pPr>
    </w:p>
    <w:p w14:paraId="6CA4CA99" w14:textId="002BD8E8" w:rsidR="00DE1934" w:rsidRPr="00915846" w:rsidRDefault="00915846" w:rsidP="007E4284">
      <w:pPr>
        <w:widowControl w:val="0"/>
        <w:autoSpaceDE w:val="0"/>
        <w:autoSpaceDN w:val="0"/>
        <w:spacing w:after="0" w:line="276" w:lineRule="auto"/>
        <w:jc w:val="both"/>
        <w:rPr>
          <w:rFonts w:ascii="Verdana" w:hAnsi="Verdana"/>
        </w:rPr>
      </w:pPr>
      <w:r w:rsidRPr="00915846">
        <w:rPr>
          <w:rFonts w:ascii="Verdana" w:hAnsi="Verdana"/>
        </w:rPr>
        <w:t>La Agencia Nacional de Contratación Pública – Colombia Compra Eficiente se ha pronunciado en diferentes conceptos sobre la posibilidad de participación de las entidades sin ánimo de lucro – desde ahora ESAL – en procesos contractuales limitados a MiPymes. Al respecto expidió el concepto del 21 de julio de 2016 −radicado No. E20161300000072−, reiterado en los conceptos del 20, 21 y 22 de agosto y el 17 de septiembre de 2019 −radicados Nos. 2201913000006007, 2201913000006081, 2201913000006151 y 2201913000006895−, C-258 del 17 de abril, C-413 de 30 de junio de 2020, C-705 del 7 de diciembre de 2020, C728 del 14 de diciembre de 2020, C-160 del 20 de abril de 2021, C-474 del 26 de julio de 2022, C-020 del 14 de febrero de 2023, C-587 de septiembre de 2022, C-094 de junio de 2024, C-206 del 02 de agosto de 2024 y C-623 del 30 de octubre de 2024.</w:t>
      </w:r>
    </w:p>
    <w:p w14:paraId="2D2CDD53" w14:textId="77777777" w:rsidR="00915846" w:rsidRPr="00915846" w:rsidRDefault="00915846" w:rsidP="007E4284">
      <w:pPr>
        <w:widowControl w:val="0"/>
        <w:autoSpaceDE w:val="0"/>
        <w:autoSpaceDN w:val="0"/>
        <w:spacing w:after="0" w:line="276" w:lineRule="auto"/>
        <w:jc w:val="both"/>
        <w:rPr>
          <w:rFonts w:ascii="Verdana" w:hAnsi="Verdana" w:cs="Arial"/>
          <w:color w:val="000000" w:themeColor="text1"/>
          <w:shd w:val="clear" w:color="auto" w:fill="FFFFFF"/>
        </w:rPr>
      </w:pPr>
    </w:p>
    <w:p w14:paraId="635FD400" w14:textId="35AA1C64" w:rsidR="007E4284" w:rsidRPr="00915846" w:rsidRDefault="00D16885" w:rsidP="007E4284">
      <w:pPr>
        <w:widowControl w:val="0"/>
        <w:autoSpaceDE w:val="0"/>
        <w:autoSpaceDN w:val="0"/>
        <w:spacing w:after="0" w:line="276" w:lineRule="auto"/>
        <w:jc w:val="both"/>
        <w:rPr>
          <w:rFonts w:ascii="Verdana" w:hAnsi="Verdana" w:cs="Arial"/>
          <w:color w:val="000000" w:themeColor="text1"/>
          <w:shd w:val="clear" w:color="auto" w:fill="FFFFFF"/>
        </w:rPr>
      </w:pPr>
      <w:r w:rsidRPr="00915846">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history="1">
        <w:r w:rsidRPr="00915846">
          <w:rPr>
            <w:rStyle w:val="Hipervnculo"/>
            <w:rFonts w:ascii="Verdana" w:hAnsi="Verdana" w:cs="Arial"/>
            <w:shd w:val="clear" w:color="auto" w:fill="FFFFFF"/>
          </w:rPr>
          <w:t>https://relatoria.colombiacompra.gov.co/</w:t>
        </w:r>
      </w:hyperlink>
      <w:r w:rsidRPr="00915846">
        <w:rPr>
          <w:rFonts w:ascii="Verdana" w:hAnsi="Verdana" w:cs="Arial"/>
          <w:color w:val="000000" w:themeColor="text1"/>
          <w:shd w:val="clear" w:color="auto" w:fill="FFFFFF"/>
        </w:rPr>
        <w:t>. </w:t>
      </w:r>
    </w:p>
    <w:p w14:paraId="492E1255" w14:textId="77777777" w:rsidR="00D16885" w:rsidRPr="00915846" w:rsidRDefault="00D16885" w:rsidP="007E428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452A5A7" w14:textId="77777777" w:rsidR="00915846" w:rsidRPr="00915846" w:rsidRDefault="00915846" w:rsidP="00C36081">
      <w:pPr>
        <w:widowControl w:val="0"/>
        <w:autoSpaceDE w:val="0"/>
        <w:autoSpaceDN w:val="0"/>
        <w:spacing w:after="0" w:line="276" w:lineRule="auto"/>
        <w:jc w:val="both"/>
        <w:rPr>
          <w:rFonts w:ascii="Verdana" w:hAnsi="Verdana"/>
        </w:rPr>
      </w:pPr>
      <w:r w:rsidRPr="00915846">
        <w:rPr>
          <w:rFonts w:ascii="Verdana" w:hAnsi="Verdana"/>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w:t>
      </w:r>
      <w:r w:rsidRPr="00915846">
        <w:rPr>
          <w:rFonts w:ascii="Verdana" w:hAnsi="Verdana"/>
        </w:rPr>
        <w:t xml:space="preserve"> </w:t>
      </w:r>
      <w:r w:rsidRPr="00915846">
        <w:rPr>
          <w:rFonts w:ascii="Verdana" w:hAnsi="Verdana"/>
        </w:rPr>
        <w:t>versión actualizada en el siguiente enlace: manual_para_el_manejo_de_acuerdos_comerciales_vf.pdf</w:t>
      </w:r>
      <w:r w:rsidRPr="00915846">
        <w:rPr>
          <w:rFonts w:ascii="Verdana" w:hAnsi="Verdana"/>
        </w:rPr>
        <w:t xml:space="preserve"> </w:t>
      </w:r>
    </w:p>
    <w:p w14:paraId="6FB2C0B7" w14:textId="600614A3" w:rsidR="00915846" w:rsidRPr="00915846" w:rsidRDefault="00915846" w:rsidP="00C36081">
      <w:pPr>
        <w:widowControl w:val="0"/>
        <w:autoSpaceDE w:val="0"/>
        <w:autoSpaceDN w:val="0"/>
        <w:spacing w:after="0" w:line="276" w:lineRule="auto"/>
        <w:jc w:val="both"/>
        <w:rPr>
          <w:rFonts w:ascii="Verdana" w:hAnsi="Verdana"/>
        </w:rPr>
      </w:pPr>
      <w:r w:rsidRPr="00915846">
        <w:rPr>
          <w:rFonts w:ascii="Verdana" w:hAnsi="Verdana"/>
        </w:rPr>
        <w:t xml:space="preserve"> </w:t>
      </w:r>
    </w:p>
    <w:p w14:paraId="0B30DD57" w14:textId="77777777" w:rsidR="00915846" w:rsidRPr="00915846" w:rsidRDefault="00915846" w:rsidP="00C36081">
      <w:pPr>
        <w:widowControl w:val="0"/>
        <w:autoSpaceDE w:val="0"/>
        <w:autoSpaceDN w:val="0"/>
        <w:spacing w:after="0" w:line="276" w:lineRule="auto"/>
        <w:jc w:val="both"/>
        <w:rPr>
          <w:rFonts w:ascii="Verdana" w:hAnsi="Verdana"/>
        </w:rPr>
      </w:pPr>
      <w:r w:rsidRPr="00915846">
        <w:rPr>
          <w:rFonts w:ascii="Verdana" w:hAnsi="Verdana"/>
        </w:rPr>
        <w:lastRenderedPageBreak/>
        <w:t xml:space="preserve">De otra parte, te contamos que ya publicamos el borrador de la nueva Guía para Incentivar la Participación de Mujeres en el Sistema de Compras y Contratación Pública. Conoce el documento y realiza tus comentarios hasta el 2 de diciembre de 2024 a través de estos enlaces: </w:t>
      </w:r>
    </w:p>
    <w:p w14:paraId="3CA1B920" w14:textId="77777777" w:rsidR="00915846" w:rsidRPr="00915846" w:rsidRDefault="00915846" w:rsidP="00915846">
      <w:pPr>
        <w:pStyle w:val="Prrafodelista"/>
        <w:widowControl w:val="0"/>
        <w:numPr>
          <w:ilvl w:val="0"/>
          <w:numId w:val="45"/>
        </w:numPr>
        <w:autoSpaceDE w:val="0"/>
        <w:autoSpaceDN w:val="0"/>
        <w:spacing w:after="0" w:line="276" w:lineRule="auto"/>
        <w:jc w:val="both"/>
        <w:rPr>
          <w:rFonts w:ascii="Verdana" w:hAnsi="Verdana"/>
        </w:rPr>
      </w:pPr>
      <w:r w:rsidRPr="00915846">
        <w:rPr>
          <w:rFonts w:ascii="Verdana" w:hAnsi="Verdana"/>
        </w:rPr>
        <w:t>Enlace página ANCP CCE: https://www.colombiacompra.gov.co/content/ convocatorias</w:t>
      </w:r>
    </w:p>
    <w:p w14:paraId="7C63E80C" w14:textId="2347E2C8" w:rsidR="00915846" w:rsidRPr="00915846" w:rsidRDefault="00915846" w:rsidP="00915846">
      <w:pPr>
        <w:pStyle w:val="Prrafodelista"/>
        <w:widowControl w:val="0"/>
        <w:numPr>
          <w:ilvl w:val="0"/>
          <w:numId w:val="45"/>
        </w:numPr>
        <w:autoSpaceDE w:val="0"/>
        <w:autoSpaceDN w:val="0"/>
        <w:spacing w:after="0" w:line="276" w:lineRule="auto"/>
        <w:jc w:val="both"/>
        <w:rPr>
          <w:rFonts w:ascii="Verdana" w:hAnsi="Verdana"/>
        </w:rPr>
      </w:pPr>
      <w:r w:rsidRPr="00915846">
        <w:rPr>
          <w:rFonts w:ascii="Verdana" w:hAnsi="Verdana"/>
        </w:rPr>
        <w:t>Enlace SUCOP: https://www.sucop.gov.co/entidades/colombiacompra /Normativa?IDNorma=19201</w:t>
      </w:r>
      <w:r w:rsidRPr="00915846">
        <w:rPr>
          <w:rFonts w:ascii="Verdana" w:hAnsi="Verdana"/>
        </w:rPr>
        <w:t xml:space="preserve"> </w:t>
      </w:r>
      <w:r w:rsidRPr="00915846">
        <w:rPr>
          <w:rFonts w:ascii="Verdana" w:hAnsi="Verdana"/>
        </w:rPr>
        <w:t xml:space="preserve"> </w:t>
      </w:r>
    </w:p>
    <w:p w14:paraId="27751F33" w14:textId="77777777" w:rsidR="00915846" w:rsidRPr="00915846" w:rsidRDefault="00915846" w:rsidP="00C36081">
      <w:pPr>
        <w:widowControl w:val="0"/>
        <w:autoSpaceDE w:val="0"/>
        <w:autoSpaceDN w:val="0"/>
        <w:spacing w:after="0" w:line="276" w:lineRule="auto"/>
        <w:jc w:val="both"/>
        <w:rPr>
          <w:rFonts w:ascii="Verdana" w:hAnsi="Verdana"/>
        </w:rPr>
      </w:pPr>
    </w:p>
    <w:p w14:paraId="7607C864" w14:textId="1FCA1ADC" w:rsidR="00915846" w:rsidRPr="00915846" w:rsidRDefault="00915846" w:rsidP="00C36081">
      <w:pPr>
        <w:widowControl w:val="0"/>
        <w:autoSpaceDE w:val="0"/>
        <w:autoSpaceDN w:val="0"/>
        <w:spacing w:after="0" w:line="276" w:lineRule="auto"/>
        <w:jc w:val="both"/>
        <w:rPr>
          <w:rFonts w:ascii="Verdana" w:hAnsi="Verdana"/>
        </w:rPr>
      </w:pPr>
      <w:r w:rsidRPr="00915846">
        <w:rPr>
          <w:rFonts w:ascii="Verdana" w:hAnsi="Verdana"/>
        </w:rPr>
        <w:t>También le invitamos a consultar la versión VII de 2024 , del Boletín de Relatoría de la Subdirección de Gestión Contractual relacionado con las ASOCIACIONES PÚBLICO POPULARES , el cual se puede descargar en la página web de la Agencia: https://www.colombiacompra.gov.co/sala-deprensa/boletin-digital</w:t>
      </w:r>
    </w:p>
    <w:p w14:paraId="3D809247" w14:textId="77777777" w:rsidR="00915846" w:rsidRDefault="00915846" w:rsidP="00C36081">
      <w:pPr>
        <w:widowControl w:val="0"/>
        <w:autoSpaceDE w:val="0"/>
        <w:autoSpaceDN w:val="0"/>
        <w:spacing w:after="0" w:line="276" w:lineRule="auto"/>
        <w:jc w:val="both"/>
      </w:pPr>
    </w:p>
    <w:p w14:paraId="542B0167" w14:textId="3F65CB3E" w:rsidR="007E4284" w:rsidRPr="003E2460" w:rsidRDefault="00D16885" w:rsidP="00915846">
      <w:pPr>
        <w:widowControl w:val="0"/>
        <w:autoSpaceDE w:val="0"/>
        <w:autoSpaceDN w:val="0"/>
        <w:spacing w:after="0" w:line="276" w:lineRule="auto"/>
        <w:jc w:val="both"/>
        <w:rPr>
          <w:rFonts w:ascii="Verdana" w:hAnsi="Verdana"/>
        </w:rPr>
      </w:pPr>
      <w:r w:rsidRPr="00D16885">
        <w:rPr>
          <w:rFonts w:ascii="Verdana" w:hAnsi="Verdana" w:cs="Arial"/>
          <w:color w:val="000000" w:themeColor="text1"/>
          <w:shd w:val="clear" w:color="auto" w:fill="FFFFFF"/>
        </w:rPr>
        <w:t> </w:t>
      </w:r>
      <w:r w:rsidR="007E4284" w:rsidRPr="003E2460">
        <w:rPr>
          <w:rFonts w:ascii="Verdana" w:hAnsi="Verdana"/>
        </w:rPr>
        <w:t xml:space="preserve">Por último, lo invitamos a seguirnos en las redes sociales en las cuales se difunde información institucional: </w:t>
      </w:r>
    </w:p>
    <w:p w14:paraId="10E1BD43" w14:textId="77777777" w:rsidR="007E4284" w:rsidRPr="003E2460" w:rsidRDefault="007E4284" w:rsidP="007E4284">
      <w:pPr>
        <w:spacing w:after="0" w:line="240" w:lineRule="auto"/>
        <w:jc w:val="both"/>
        <w:rPr>
          <w:rFonts w:ascii="Verdana" w:hAnsi="Verdana"/>
        </w:rPr>
      </w:pPr>
    </w:p>
    <w:p w14:paraId="3F267BF2"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426DCD21"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09633924"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3E93DEDD" w14:textId="77777777" w:rsidR="007E4284" w:rsidRPr="00593A5F" w:rsidRDefault="007E4284" w:rsidP="007E4284">
      <w:pPr>
        <w:widowControl w:val="0"/>
        <w:autoSpaceDE w:val="0"/>
        <w:autoSpaceDN w:val="0"/>
        <w:spacing w:after="0" w:line="276" w:lineRule="auto"/>
        <w:jc w:val="both"/>
        <w:rPr>
          <w:rFonts w:ascii="Verdana" w:hAnsi="Verdana" w:cs="Arial"/>
        </w:rPr>
      </w:pPr>
    </w:p>
    <w:p w14:paraId="49D99462" w14:textId="77777777" w:rsidR="007E4284" w:rsidRPr="00593A5F" w:rsidRDefault="007E4284" w:rsidP="007E428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B1E541C" w14:textId="77777777" w:rsidR="007E4284" w:rsidRPr="00593A5F" w:rsidRDefault="007E4284" w:rsidP="007E4284">
      <w:pPr>
        <w:widowControl w:val="0"/>
        <w:autoSpaceDE w:val="0"/>
        <w:autoSpaceDN w:val="0"/>
        <w:spacing w:after="0" w:line="276" w:lineRule="auto"/>
        <w:jc w:val="both"/>
        <w:rPr>
          <w:rFonts w:ascii="Verdana" w:hAnsi="Verdana" w:cs="Arial"/>
        </w:rPr>
      </w:pPr>
    </w:p>
    <w:p w14:paraId="158D8E37" w14:textId="2B66A31E" w:rsidR="007E4284" w:rsidRPr="00593A5F" w:rsidRDefault="007E4284" w:rsidP="007E428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29597DD" w14:textId="6E061F33" w:rsidR="007E4284" w:rsidRDefault="007E4284" w:rsidP="007E4284">
      <w:pPr>
        <w:spacing w:line="276" w:lineRule="auto"/>
        <w:jc w:val="center"/>
        <w:rPr>
          <w:rFonts w:ascii="Verdana" w:hAnsi="Verdana"/>
          <w:noProof/>
        </w:rPr>
      </w:pPr>
    </w:p>
    <w:p w14:paraId="06D7CEF8" w14:textId="77777777" w:rsidR="00AD547D" w:rsidRDefault="00AD547D" w:rsidP="007E4284">
      <w:pPr>
        <w:spacing w:line="276" w:lineRule="auto"/>
        <w:jc w:val="center"/>
        <w:rPr>
          <w:rFonts w:ascii="Verdana" w:hAnsi="Verdana" w:cs="Arial"/>
          <w:noProof/>
          <w:color w:val="000000"/>
          <w:lang w:val="es-ES_tradnl" w:eastAsia="es-CO"/>
        </w:rPr>
      </w:pPr>
    </w:p>
    <w:p w14:paraId="4E81025E" w14:textId="68064A0C" w:rsidR="00AD547D" w:rsidRPr="00AD547D" w:rsidRDefault="00AD547D" w:rsidP="00AD547D">
      <w:pPr>
        <w:spacing w:line="276" w:lineRule="auto"/>
        <w:jc w:val="center"/>
        <w:rPr>
          <w:rFonts w:ascii="Verdana" w:hAnsi="Verdana" w:cs="Arial"/>
          <w:noProof/>
          <w:color w:val="000000"/>
          <w:lang w:eastAsia="es-CO"/>
        </w:rPr>
      </w:pPr>
      <w:r w:rsidRPr="00AD547D">
        <w:rPr>
          <w:rFonts w:ascii="Verdana" w:hAnsi="Verdana" w:cs="Arial"/>
          <w:noProof/>
          <w:color w:val="000000"/>
          <w:lang w:eastAsia="es-CO"/>
        </w:rPr>
        <w:lastRenderedPageBreak/>
        <w:drawing>
          <wp:inline distT="0" distB="0" distL="0" distR="0" wp14:anchorId="57A0CA62" wp14:editId="3E2B9ADF">
            <wp:extent cx="3830955" cy="1644562"/>
            <wp:effectExtent l="0" t="0" r="0" b="0"/>
            <wp:docPr id="1103872866" name="Imagen 3"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872866" name="Imagen 3" descr="Texto&#10;&#10;Descripción generada automáticamente con confianza baj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40460" cy="1648642"/>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E4284" w:rsidRPr="00593A5F" w14:paraId="10E97FCB" w14:textId="77777777">
        <w:trPr>
          <w:trHeight w:val="315"/>
        </w:trPr>
        <w:tc>
          <w:tcPr>
            <w:tcW w:w="893" w:type="dxa"/>
            <w:vAlign w:val="center"/>
            <w:hideMark/>
          </w:tcPr>
          <w:p w14:paraId="6FEFE8DA"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1C4DEDE" w14:textId="77777777" w:rsidR="007E4284" w:rsidRPr="002B5168" w:rsidRDefault="007E4284">
            <w:pPr>
              <w:contextualSpacing/>
              <w:rPr>
                <w:rFonts w:ascii="Verdana" w:eastAsia="Arial" w:hAnsi="Verdana" w:cs="Arial"/>
                <w:color w:val="7030A0"/>
                <w:sz w:val="16"/>
                <w:szCs w:val="16"/>
              </w:rPr>
            </w:pPr>
            <w:r w:rsidRPr="002B5168">
              <w:rPr>
                <w:rStyle w:val="normaltextrun"/>
                <w:rFonts w:ascii="Verdana" w:hAnsi="Verdana"/>
                <w:sz w:val="16"/>
                <w:szCs w:val="16"/>
              </w:rPr>
              <w:t>Christian Camilo Orjuela Galeano</w:t>
            </w:r>
          </w:p>
          <w:p w14:paraId="58A6C53C" w14:textId="77777777" w:rsidR="007E4284" w:rsidRPr="002B5168" w:rsidRDefault="007E4284">
            <w:pPr>
              <w:contextualSpacing/>
              <w:rPr>
                <w:rFonts w:ascii="Verdana" w:eastAsia="Arial" w:hAnsi="Verdana" w:cs="Arial"/>
                <w:sz w:val="16"/>
                <w:szCs w:val="16"/>
              </w:rPr>
            </w:pPr>
            <w:r w:rsidRPr="002B5168">
              <w:rPr>
                <w:rStyle w:val="normaltextrun"/>
                <w:rFonts w:ascii="Verdana" w:eastAsia="Arial" w:hAnsi="Verdana" w:cs="Arial"/>
                <w:sz w:val="16"/>
                <w:szCs w:val="16"/>
              </w:rPr>
              <w:t>Contratista de la Subdirección de Gestión Contractual</w:t>
            </w:r>
          </w:p>
        </w:tc>
      </w:tr>
      <w:tr w:rsidR="007E4284" w:rsidRPr="00593A5F" w14:paraId="060045CC" w14:textId="77777777">
        <w:trPr>
          <w:trHeight w:val="330"/>
        </w:trPr>
        <w:tc>
          <w:tcPr>
            <w:tcW w:w="893" w:type="dxa"/>
            <w:vAlign w:val="center"/>
            <w:hideMark/>
          </w:tcPr>
          <w:p w14:paraId="68D83EEC"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F2DC12" w14:textId="6260DAD0" w:rsidR="007E4284" w:rsidRPr="002B5168" w:rsidRDefault="00C43246">
            <w:pPr>
              <w:pStyle w:val="paragraph"/>
              <w:spacing w:before="0" w:beforeAutospacing="0" w:after="0" w:afterAutospacing="0"/>
              <w:contextualSpacing/>
              <w:textAlignment w:val="baseline"/>
              <w:rPr>
                <w:rStyle w:val="normaltextrun"/>
                <w:rFonts w:ascii="Verdana" w:hAnsi="Verdana" w:cstheme="minorHAnsi"/>
                <w:sz w:val="16"/>
                <w:szCs w:val="16"/>
              </w:rPr>
            </w:pPr>
            <w:r w:rsidRPr="002B5168">
              <w:rPr>
                <w:rStyle w:val="normaltextrun"/>
                <w:rFonts w:ascii="Verdana" w:hAnsi="Verdana" w:cstheme="minorHAnsi"/>
                <w:sz w:val="16"/>
                <w:szCs w:val="16"/>
              </w:rPr>
              <w:t>Xime</w:t>
            </w:r>
            <w:r w:rsidR="002B5168">
              <w:rPr>
                <w:rStyle w:val="normaltextrun"/>
                <w:rFonts w:ascii="Verdana" w:hAnsi="Verdana" w:cstheme="minorHAnsi"/>
                <w:sz w:val="16"/>
                <w:szCs w:val="16"/>
              </w:rPr>
              <w:t>n</w:t>
            </w:r>
            <w:r w:rsidRPr="002B5168">
              <w:rPr>
                <w:rStyle w:val="normaltextrun"/>
                <w:rFonts w:ascii="Verdana" w:hAnsi="Verdana" w:cstheme="minorHAnsi"/>
                <w:sz w:val="16"/>
                <w:szCs w:val="16"/>
              </w:rPr>
              <w:t xml:space="preserve">a Rios Lopez </w:t>
            </w:r>
          </w:p>
          <w:p w14:paraId="61F16D70" w14:textId="0DC30B69" w:rsidR="007E4284" w:rsidRPr="002B5168" w:rsidRDefault="002B5168">
            <w:pPr>
              <w:pStyle w:val="paragraph"/>
              <w:spacing w:before="0" w:beforeAutospacing="0" w:after="0" w:afterAutospacing="0"/>
              <w:contextualSpacing/>
              <w:textAlignment w:val="baseline"/>
              <w:rPr>
                <w:rFonts w:ascii="Verdana" w:hAnsi="Verdana" w:cs="Segoe UI"/>
                <w:sz w:val="16"/>
                <w:szCs w:val="16"/>
              </w:rPr>
            </w:pPr>
            <w:r w:rsidRPr="002B5168">
              <w:rPr>
                <w:rStyle w:val="normaltextrun"/>
                <w:rFonts w:ascii="Verdana" w:eastAsia="Arial" w:hAnsi="Verdana" w:cs="Arial"/>
                <w:sz w:val="16"/>
                <w:szCs w:val="16"/>
              </w:rPr>
              <w:t>Gestor</w:t>
            </w:r>
            <w:r w:rsidR="007E4284" w:rsidRPr="002B5168">
              <w:rPr>
                <w:rStyle w:val="normaltextrun"/>
                <w:rFonts w:ascii="Verdana" w:eastAsia="Arial" w:hAnsi="Verdana" w:cs="Arial"/>
                <w:sz w:val="16"/>
                <w:szCs w:val="16"/>
              </w:rPr>
              <w:t xml:space="preserve"> Subdirección de Gestión Contractual</w:t>
            </w:r>
          </w:p>
        </w:tc>
      </w:tr>
      <w:tr w:rsidR="007E4284" w:rsidRPr="00593A5F" w14:paraId="06EB7A78" w14:textId="77777777">
        <w:trPr>
          <w:trHeight w:val="300"/>
        </w:trPr>
        <w:tc>
          <w:tcPr>
            <w:tcW w:w="893" w:type="dxa"/>
            <w:vAlign w:val="center"/>
          </w:tcPr>
          <w:p w14:paraId="538249FF"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5D9FE4" w14:textId="77777777" w:rsidR="007E4284" w:rsidRPr="002B5168" w:rsidRDefault="007E4284">
            <w:pPr>
              <w:contextualSpacing/>
              <w:rPr>
                <w:rFonts w:ascii="Verdana" w:eastAsia="Calibri" w:hAnsi="Verdana" w:cs="Arial"/>
                <w:sz w:val="16"/>
                <w:szCs w:val="16"/>
                <w:lang w:val="pt-BR" w:eastAsia="es-ES"/>
              </w:rPr>
            </w:pPr>
            <w:r w:rsidRPr="002B5168">
              <w:rPr>
                <w:rFonts w:ascii="Verdana" w:eastAsia="Calibri" w:hAnsi="Verdana" w:cs="Arial"/>
                <w:sz w:val="16"/>
                <w:szCs w:val="16"/>
                <w:lang w:val="pt-BR" w:eastAsia="es-ES"/>
              </w:rPr>
              <w:t>Carolina Quintero Gacharná</w:t>
            </w:r>
          </w:p>
          <w:p w14:paraId="4ACBC904" w14:textId="77777777" w:rsidR="007E4284" w:rsidRPr="002B5168" w:rsidRDefault="007E4284">
            <w:pPr>
              <w:contextualSpacing/>
              <w:rPr>
                <w:rFonts w:ascii="Verdana" w:eastAsia="Calibri" w:hAnsi="Verdana" w:cs="Arial"/>
                <w:sz w:val="16"/>
                <w:szCs w:val="16"/>
                <w:lang w:val="pt-BR" w:eastAsia="es-ES"/>
              </w:rPr>
            </w:pPr>
            <w:r w:rsidRPr="002B5168">
              <w:rPr>
                <w:rFonts w:ascii="Verdana" w:eastAsia="Calibri" w:hAnsi="Verdana" w:cs="Arial"/>
                <w:sz w:val="16"/>
                <w:szCs w:val="16"/>
                <w:lang w:eastAsia="es-ES"/>
              </w:rPr>
              <w:t>Subdirectora</w:t>
            </w:r>
            <w:r w:rsidRPr="002B5168">
              <w:rPr>
                <w:rFonts w:ascii="Verdana" w:eastAsia="Calibri" w:hAnsi="Verdana" w:cs="Arial"/>
                <w:sz w:val="16"/>
                <w:szCs w:val="16"/>
                <w:lang w:val="pt-BR" w:eastAsia="es-ES"/>
              </w:rPr>
              <w:t xml:space="preserve"> de Gestión Contractual ANCP – CCE</w:t>
            </w:r>
          </w:p>
        </w:tc>
      </w:tr>
      <w:bookmarkEnd w:id="0"/>
      <w:bookmarkEnd w:id="2"/>
      <w:bookmarkEnd w:id="3"/>
    </w:tbl>
    <w:p w14:paraId="12C6032C" w14:textId="77777777" w:rsidR="007E4284" w:rsidRPr="00593A5F" w:rsidRDefault="007E4284" w:rsidP="00D963EA">
      <w:pPr>
        <w:spacing w:after="0" w:line="240" w:lineRule="auto"/>
        <w:rPr>
          <w:rFonts w:ascii="Verdana" w:eastAsia="Times New Roman" w:hAnsi="Verdana" w:cs="Arial"/>
          <w:sz w:val="24"/>
          <w:szCs w:val="24"/>
          <w:lang w:eastAsia="es-ES"/>
        </w:rPr>
      </w:pPr>
    </w:p>
    <w:sectPr w:rsidR="007E4284" w:rsidRPr="00593A5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6D420" w14:textId="77777777" w:rsidR="00254474" w:rsidRDefault="00254474" w:rsidP="004A1847">
      <w:pPr>
        <w:spacing w:after="0" w:line="240" w:lineRule="auto"/>
      </w:pPr>
      <w:r>
        <w:separator/>
      </w:r>
    </w:p>
  </w:endnote>
  <w:endnote w:type="continuationSeparator" w:id="0">
    <w:p w14:paraId="7C62019C" w14:textId="77777777" w:rsidR="00254474" w:rsidRDefault="0025447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D580D" w14:textId="77777777" w:rsidR="00254474" w:rsidRDefault="00254474" w:rsidP="004A1847">
      <w:pPr>
        <w:spacing w:after="0" w:line="240" w:lineRule="auto"/>
      </w:pPr>
      <w:r>
        <w:separator/>
      </w:r>
    </w:p>
  </w:footnote>
  <w:footnote w:type="continuationSeparator" w:id="0">
    <w:p w14:paraId="483305DE" w14:textId="77777777" w:rsidR="00254474" w:rsidRDefault="00254474" w:rsidP="004A1847">
      <w:pPr>
        <w:spacing w:after="0" w:line="240" w:lineRule="auto"/>
      </w:pPr>
      <w:r>
        <w:continuationSeparator/>
      </w:r>
    </w:p>
  </w:footnote>
  <w:footnote w:id="1">
    <w:p w14:paraId="0026692E" w14:textId="00263B34" w:rsidR="00840ED2" w:rsidRPr="00915846" w:rsidRDefault="00840ED2">
      <w:pPr>
        <w:pStyle w:val="Textonotapie"/>
        <w:rPr>
          <w:rFonts w:ascii="Verdana" w:hAnsi="Verdana"/>
          <w:sz w:val="16"/>
          <w:szCs w:val="16"/>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 xml:space="preserve">Texto del Proyecto de Ley 122 de 2020 Cámara. Exposición de motivos. Consultado el 29 de diciembre de 2021 en la página web: </w:t>
      </w:r>
      <w:hyperlink r:id="rId1" w:history="1">
        <w:r w:rsidRPr="00915846">
          <w:rPr>
            <w:rStyle w:val="Hipervnculo"/>
            <w:rFonts w:ascii="Verdana" w:hAnsi="Verdana"/>
            <w:sz w:val="16"/>
            <w:szCs w:val="16"/>
          </w:rPr>
          <w:t>http://leyes.senado.gov.co/proyectos/index.php/textos-radicados-senado/p-ley-2020-2021/1957-proyecto-de-ley161-de-2020</w:t>
        </w:r>
      </w:hyperlink>
    </w:p>
  </w:footnote>
  <w:footnote w:id="2">
    <w:p w14:paraId="7A7DF7A8" w14:textId="5C3783C2" w:rsidR="00840ED2" w:rsidRPr="00915846" w:rsidRDefault="00840ED2">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Artículos 2 al 29.</w:t>
      </w:r>
    </w:p>
  </w:footnote>
  <w:footnote w:id="3">
    <w:p w14:paraId="045CA84A" w14:textId="1C0E95F3" w:rsidR="00840ED2" w:rsidRPr="00915846" w:rsidRDefault="00840ED2">
      <w:pPr>
        <w:pStyle w:val="Textonotapie"/>
        <w:rPr>
          <w:rFonts w:ascii="Verdana" w:hAnsi="Verdana"/>
          <w:sz w:val="16"/>
          <w:szCs w:val="16"/>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Artículos 30 al 36.</w:t>
      </w:r>
    </w:p>
  </w:footnote>
  <w:footnote w:id="4">
    <w:p w14:paraId="7807BC55" w14:textId="26E73C1F" w:rsidR="00840ED2" w:rsidRPr="00840ED2" w:rsidRDefault="00840ED2">
      <w:pPr>
        <w:pStyle w:val="Textonotapie"/>
        <w:rPr>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Artículos 37 al 45</w:t>
      </w:r>
    </w:p>
  </w:footnote>
  <w:footnote w:id="5">
    <w:p w14:paraId="5D331091" w14:textId="6C59EA7E" w:rsidR="00840ED2" w:rsidRPr="00915846" w:rsidRDefault="00840ED2">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Artículos 46 al 73.</w:t>
      </w:r>
    </w:p>
  </w:footnote>
  <w:footnote w:id="6">
    <w:p w14:paraId="03D04CD8" w14:textId="0CFF703E" w:rsidR="00840ED2" w:rsidRPr="00915846" w:rsidRDefault="00840ED2">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Artículos 74 al 83.</w:t>
      </w:r>
    </w:p>
  </w:footnote>
  <w:footnote w:id="7">
    <w:p w14:paraId="1EC86174" w14:textId="3E4526D0" w:rsidR="008B738F" w:rsidRPr="00915846" w:rsidRDefault="008B738F">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CONGRESO DE LA REPÚBLICA. Gaceta No. 670 del 11 de agosto de 2020. Exposición de motivos del Proyecto de Ley No. 122 de 2020 Cámara. p. 13.</w:t>
      </w:r>
    </w:p>
  </w:footnote>
  <w:footnote w:id="8">
    <w:p w14:paraId="592C70D8" w14:textId="331F6AC4" w:rsidR="008B738F" w:rsidRPr="008B738F" w:rsidRDefault="008B738F">
      <w:pPr>
        <w:pStyle w:val="Textonotapie"/>
        <w:rPr>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Decreto 1860 de 2021. “Artículo 1. Objeto. El presente Decreto tiene como propósito reglamentar los artículos 30, 31, 32,34 y 35 de la Ley 2069 de 2020, en relación con: el procedimiento de mínima cuantía, incluyendo disposiciones particulares que se refieren a la contratación con Mipyme y grandes almacenes; los criterios diferenciales para Mipyme, y la definición y los criterios diferenciales para los emprendimientos y empresas de mujeres; las convocatorias limitadas a Mipyme; el fomento a la ejecución de contratos estatales por parte de población en pobreza extrema, desplazados por la violencia, personas en proceso de reintegración o reincorporación y, sujetos de especial protección constitucional; así como la acreditación de los factores de desempate previstos en la Ley de Emprendimiento”.</w:t>
      </w:r>
    </w:p>
  </w:footnote>
  <w:footnote w:id="9">
    <w:p w14:paraId="0F373439" w14:textId="625B55C8" w:rsidR="008B738F" w:rsidRPr="00915846" w:rsidRDefault="008B738F">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En efecto, el artículo 34 de la Ley 2069 de 2020 establece: “Modifíquese el artículo 12 de la Ley 1150 de 2007, el cual quedará así: "Artículo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 “Asimismo, el reglamento podrá establecer condiciones preferenciales a favor de la oferta de bienes y servicios producidos por las Mipyme respetando los montos y las condiciones contenidas en los compromisos internacionales vigentes, cuando sean aplicables. “En todo caso, se deberá garantizar la satisfacción de las condiciones técnicas y económicas requeridas en el Proceso de Contratación. “De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 “Parágrafo Primero. En los Procesos de Contratación que se desarrollen con base en el primer inciso, las entidades podrán realizar las convocatorias limitadas que beneficien a las Mipyme del ámbito municipal o departamental correspondiente al de la ejecución del contrato. “Parágrafo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 “Parágrafo Tercero. En la ejecución de los contratos a que se refiere el presente artículo, las entidades y los contratistas, deberán observar lo dispuesto en los artículos 90 a 95 de la Ley 418 de 1997 y las normas que la modifiquen, adicionen o subroguen.</w:t>
      </w:r>
    </w:p>
  </w:footnote>
  <w:footnote w:id="10">
    <w:p w14:paraId="5595F8A1" w14:textId="3945BC6C" w:rsidR="008B738F" w:rsidRPr="00915846" w:rsidRDefault="008B738F">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Decreto 1082 de 2015: “Artículo 2.2.1.2.4.2.2. Convocatorías Iímítadas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1. El valor del Proceso de Contratación sea menor a ciento veinticinco mil dólares de los Estados Unidos de América (US$125.000), liquidados con la tasa de cambio que para el efecto determina cada dos años el Ministerio de Comercio, Industria y Turismo. 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 Parágrafo. Las cooperativas y demás entidades de economía solidaria, siempre que tengan la calidad de Mipyme, podrán solicitar y participar en las convocatorias limitadas en las mismas condiciones dispuestas en el presente artículo. 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 Artículo 2.2.1.2.4.2.4. Acreditación de requisitos para participar en convocatorias limitadas</w:t>
      </w:r>
    </w:p>
  </w:footnote>
  <w:footnote w:id="11">
    <w:p w14:paraId="1D513303" w14:textId="06D0DC76" w:rsidR="008B738F" w:rsidRPr="00915846" w:rsidRDefault="008B738F">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Ley 1450 de 2011: “Artículo 43. Definiciones de tamaño empresarial. El artículo 2° de la Ley 590 de 2000, quedará así: "Artículo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“1. Número de trabajadores totales. 2. Valor de ventas brutas anuales. 3. Valor activos totales. Para efectos de los beneficios otorgados por el Gobierno nacional a las micro, pequeñas y medianas empresas el criterio determinante será el valor de ventas brutas anuales. Parágrafo 1°. El Gobierno Nacional reglamentará los rangos que aplicarán para los tres criterios e incluirá especificidades sectoriales en los casos que considere necesario. Parágrafo 2°. Las definiciones contenidas en el artículo 2° de la Ley 590 de 2000 continuarán vigentes hasta tanto entren a regir las normas reglamentarias que profiera el Gobierno Nacional en desarrollo de lo previsto en el presente artículo ”.</w:t>
      </w:r>
    </w:p>
  </w:footnote>
  <w:footnote w:id="12">
    <w:p w14:paraId="7CC27818" w14:textId="430C0516" w:rsidR="008B738F" w:rsidRPr="00915846" w:rsidRDefault="008B738F">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Artículo 2.2.1.13.2.2. del Decreto 1074 de 2015, adicionado por el Decreto 957 de 2019.</w:t>
      </w:r>
    </w:p>
  </w:footnote>
  <w:footnote w:id="13">
    <w:p w14:paraId="28D5E694" w14:textId="5E6A4C45" w:rsidR="00915846" w:rsidRPr="00915846" w:rsidRDefault="00915846">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Ley 2069 de 2020: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 w:id="14">
    <w:p w14:paraId="490BF8BE" w14:textId="513D74D4" w:rsidR="00915846" w:rsidRPr="00915846" w:rsidRDefault="00915846">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El artículo 4 de la Ley 79 de 1988 establece que “Es cooperativa la empresa asociativa sin ánimo de lucro; en la cual los trabajadores o los usuarios, según el caso, son simultáneamente los aportantes y los gestores de la empresa, creada con el objeto de producir o distribuir conjunta y eficientemente bienes o servicios para satisfacer las necesidades de sus asociados y de la comunidad en general”.</w:t>
      </w:r>
    </w:p>
  </w:footnote>
  <w:footnote w:id="15">
    <w:p w14:paraId="021C1C99" w14:textId="164EF271" w:rsidR="00915846" w:rsidRPr="00915846" w:rsidRDefault="00915846">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 xml:space="preserve"> El artículo 2 de la Ley 2143 de 2021 establece la naturaleza jurídica de las asociaciones mutualistas, estableciendo que:” Las asociaciones mutualistas son empresas de economía solidaria, de derecho privado, cuya naturaleza es sin ánimo de lucro, inspiradas en la solidaridad, con fines de interés social, constituidas libre y democráticamente por la asociación de personas naturales, personas jurídicas sin ánimo de lucro, o la mezcla de las anteriores, que se comprometen a realizar contribuciones al fondo social mutual, con el objeto de ayudarse mutuamente para la satisfacción de sus necesidades y de la comunidad en general, siempre en razón del interés social o del bienestar colectivo. Las asociaciones mutualistas podrán realizar todo tipo de actividades relacionadas con la previsión, la promoción, la protección social, así como constituir y organizar emprendimientos asociativos para la producción de bienes y otros servicios buscando el mejoramiento económico, cultural y social de sus asociados y la comunidad</w:t>
      </w:r>
    </w:p>
  </w:footnote>
  <w:footnote w:id="16">
    <w:p w14:paraId="1AABE8CC" w14:textId="42832ED4" w:rsidR="00915846" w:rsidRPr="00915846" w:rsidRDefault="00915846">
      <w:pPr>
        <w:pStyle w:val="Textonotapie"/>
        <w:rPr>
          <w:rFonts w:ascii="Verdana" w:hAnsi="Verdana"/>
          <w:sz w:val="16"/>
          <w:szCs w:val="16"/>
          <w:lang w:val="es-CO"/>
        </w:rPr>
      </w:pPr>
      <w:r w:rsidRPr="00915846">
        <w:rPr>
          <w:rStyle w:val="Refdenotaalpie"/>
          <w:rFonts w:ascii="Verdana" w:hAnsi="Verdana"/>
          <w:sz w:val="16"/>
          <w:szCs w:val="16"/>
        </w:rPr>
        <w:footnoteRef/>
      </w:r>
      <w:r w:rsidRPr="00915846">
        <w:rPr>
          <w:rFonts w:ascii="Verdana" w:hAnsi="Verdana"/>
          <w:sz w:val="16"/>
          <w:szCs w:val="16"/>
        </w:rPr>
        <w:t xml:space="preserve"> </w:t>
      </w:r>
      <w:r w:rsidRPr="00915846">
        <w:rPr>
          <w:rFonts w:ascii="Verdana" w:hAnsi="Verdana"/>
          <w:sz w:val="16"/>
          <w:szCs w:val="16"/>
        </w:rPr>
        <w:t>El artículo 2 de la Ley 454 de 1998 define a la economía solidaría como el “[…]sistema socioeconómico, cultural y ambiental conformado por el conjunto de fuerzas sociales organizadas en formas asociativas identificadas por prácticas autogestionarias solidarias, democráticas y humanistas, sin ánimo de lucro para el desarrollo integral del ser humano como sujeto, actor y fin de la economía”. En concordancia con esto, el artículo 6 de dicha ley caracteriza a las organizaciones de economía solidaria estableciendo que estas son “[…] personas jurídicas organizadas para realizar actividades sin ánimo de lucro, en las cuales los trabajadores o los usuarios según el caso, son simultáneamente sus aportantes y gestores, creadas con el objeto de producir, distribuir y consumir conjunta y eficientemente, bienes y servicios para satisfacer las necesidades de sus miembros y al desarrollo de obras de servicio a la comunidad en general[…]”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9" type="#_x0000_t75" style="width:10.7pt;height:10.7pt" o:bullet="t">
        <v:imagedata r:id="rId1" o:title="mso1B13"/>
      </v:shape>
    </w:pict>
  </w:numPicBullet>
  <w:abstractNum w:abstractNumId="0" w15:restartNumberingAfterBreak="0">
    <w:nsid w:val="CB4AAA1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6A040D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9500AC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0769791B"/>
    <w:multiLevelType w:val="hybridMultilevel"/>
    <w:tmpl w:val="96FCB5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8B77C31"/>
    <w:multiLevelType w:val="hybridMultilevel"/>
    <w:tmpl w:val="34283982"/>
    <w:lvl w:ilvl="0" w:tplc="2AF43E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8" w15:restartNumberingAfterBreak="0">
    <w:nsid w:val="12062785"/>
    <w:multiLevelType w:val="hybridMultilevel"/>
    <w:tmpl w:val="F7E821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780C9E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CF64647"/>
    <w:multiLevelType w:val="hybridMultilevel"/>
    <w:tmpl w:val="A082085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8D6515"/>
    <w:multiLevelType w:val="hybridMultilevel"/>
    <w:tmpl w:val="67407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C768F7"/>
    <w:multiLevelType w:val="hybridMultilevel"/>
    <w:tmpl w:val="43907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C6976D1"/>
    <w:multiLevelType w:val="hybridMultilevel"/>
    <w:tmpl w:val="85AC81C6"/>
    <w:lvl w:ilvl="0" w:tplc="5A1652F2">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1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9D726F5"/>
    <w:multiLevelType w:val="hybridMultilevel"/>
    <w:tmpl w:val="41D29B5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46CC4EF7"/>
    <w:multiLevelType w:val="hybridMultilevel"/>
    <w:tmpl w:val="1FCAE4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C4A6B7C"/>
    <w:multiLevelType w:val="hybridMultilevel"/>
    <w:tmpl w:val="629EB0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1E463C4"/>
    <w:multiLevelType w:val="hybridMultilevel"/>
    <w:tmpl w:val="3EA81E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43C45D7"/>
    <w:multiLevelType w:val="hybridMultilevel"/>
    <w:tmpl w:val="9FB0C25A"/>
    <w:lvl w:ilvl="0" w:tplc="24042206">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30" w15:restartNumberingAfterBreak="0">
    <w:nsid w:val="626515E4"/>
    <w:multiLevelType w:val="hybridMultilevel"/>
    <w:tmpl w:val="8B3A9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2" w15:restartNumberingAfterBreak="0">
    <w:nsid w:val="664113CD"/>
    <w:multiLevelType w:val="multilevel"/>
    <w:tmpl w:val="713C718E"/>
    <w:lvl w:ilvl="0">
      <w:start w:val="1"/>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545" w:hanging="428"/>
      </w:pPr>
      <w:rPr>
        <w:rFonts w:ascii="Arial" w:eastAsia="Arial" w:hAnsi="Arial" w:cs="Arial" w:hint="default"/>
        <w:b/>
        <w:bCs/>
        <w:spacing w:val="-1"/>
        <w:w w:val="100"/>
        <w:sz w:val="22"/>
        <w:szCs w:val="22"/>
        <w:lang w:val="es-ES" w:eastAsia="en-US" w:bidi="ar-SA"/>
      </w:rPr>
    </w:lvl>
    <w:lvl w:ilvl="2">
      <w:start w:val="1"/>
      <w:numFmt w:val="decimal"/>
      <w:lvlText w:val="%3."/>
      <w:lvlJc w:val="left"/>
      <w:pPr>
        <w:ind w:left="827" w:hanging="233"/>
      </w:pPr>
      <w:rPr>
        <w:rFonts w:ascii="Arial" w:eastAsia="Arial" w:hAnsi="Arial" w:cs="Arial" w:hint="default"/>
        <w:b/>
        <w:bCs/>
        <w:i/>
        <w:iCs/>
        <w:spacing w:val="-1"/>
        <w:w w:val="100"/>
        <w:sz w:val="21"/>
        <w:szCs w:val="21"/>
        <w:lang w:val="es-ES" w:eastAsia="en-US" w:bidi="ar-SA"/>
      </w:rPr>
    </w:lvl>
    <w:lvl w:ilvl="3">
      <w:numFmt w:val="bullet"/>
      <w:lvlText w:val="•"/>
      <w:lvlJc w:val="left"/>
      <w:pPr>
        <w:ind w:left="1930" w:hanging="233"/>
      </w:pPr>
      <w:rPr>
        <w:rFonts w:hint="default"/>
        <w:lang w:val="es-ES" w:eastAsia="en-US" w:bidi="ar-SA"/>
      </w:rPr>
    </w:lvl>
    <w:lvl w:ilvl="4">
      <w:numFmt w:val="bullet"/>
      <w:lvlText w:val="•"/>
      <w:lvlJc w:val="left"/>
      <w:pPr>
        <w:ind w:left="3040" w:hanging="233"/>
      </w:pPr>
      <w:rPr>
        <w:rFonts w:hint="default"/>
        <w:lang w:val="es-ES" w:eastAsia="en-US" w:bidi="ar-SA"/>
      </w:rPr>
    </w:lvl>
    <w:lvl w:ilvl="5">
      <w:numFmt w:val="bullet"/>
      <w:lvlText w:val="•"/>
      <w:lvlJc w:val="left"/>
      <w:pPr>
        <w:ind w:left="4150" w:hanging="233"/>
      </w:pPr>
      <w:rPr>
        <w:rFonts w:hint="default"/>
        <w:lang w:val="es-ES" w:eastAsia="en-US" w:bidi="ar-SA"/>
      </w:rPr>
    </w:lvl>
    <w:lvl w:ilvl="6">
      <w:numFmt w:val="bullet"/>
      <w:lvlText w:val="•"/>
      <w:lvlJc w:val="left"/>
      <w:pPr>
        <w:ind w:left="5260" w:hanging="233"/>
      </w:pPr>
      <w:rPr>
        <w:rFonts w:hint="default"/>
        <w:lang w:val="es-ES" w:eastAsia="en-US" w:bidi="ar-SA"/>
      </w:rPr>
    </w:lvl>
    <w:lvl w:ilvl="7">
      <w:numFmt w:val="bullet"/>
      <w:lvlText w:val="•"/>
      <w:lvlJc w:val="left"/>
      <w:pPr>
        <w:ind w:left="6370" w:hanging="233"/>
      </w:pPr>
      <w:rPr>
        <w:rFonts w:hint="default"/>
        <w:lang w:val="es-ES" w:eastAsia="en-US" w:bidi="ar-SA"/>
      </w:rPr>
    </w:lvl>
    <w:lvl w:ilvl="8">
      <w:numFmt w:val="bullet"/>
      <w:lvlText w:val="•"/>
      <w:lvlJc w:val="left"/>
      <w:pPr>
        <w:ind w:left="7480" w:hanging="233"/>
      </w:pPr>
      <w:rPr>
        <w:rFonts w:hint="default"/>
        <w:lang w:val="es-ES" w:eastAsia="en-US" w:bidi="ar-SA"/>
      </w:rPr>
    </w:lvl>
  </w:abstractNum>
  <w:abstractNum w:abstractNumId="33"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CA70499"/>
    <w:multiLevelType w:val="hybridMultilevel"/>
    <w:tmpl w:val="22928C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3AD506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7BBA70D6"/>
    <w:multiLevelType w:val="hybridMultilevel"/>
    <w:tmpl w:val="283E42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0"/>
  </w:num>
  <w:num w:numId="2">
    <w:abstractNumId w:val="5"/>
  </w:num>
  <w:num w:numId="3">
    <w:abstractNumId w:val="16"/>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38"/>
  </w:num>
  <w:num w:numId="7">
    <w:abstractNumId w:val="18"/>
  </w:num>
  <w:num w:numId="8">
    <w:abstractNumId w:val="35"/>
  </w:num>
  <w:num w:numId="9">
    <w:abstractNumId w:val="22"/>
  </w:num>
  <w:num w:numId="10">
    <w:abstractNumId w:val="34"/>
  </w:num>
  <w:num w:numId="11">
    <w:abstractNumId w:val="23"/>
  </w:num>
  <w:num w:numId="12">
    <w:abstractNumId w:val="4"/>
  </w:num>
  <w:num w:numId="13">
    <w:abstractNumId w:val="12"/>
  </w:num>
  <w:num w:numId="14">
    <w:abstractNumId w:val="39"/>
  </w:num>
  <w:num w:numId="15">
    <w:abstractNumId w:val="31"/>
  </w:num>
  <w:num w:numId="16">
    <w:abstractNumId w:val="3"/>
  </w:num>
  <w:num w:numId="17">
    <w:abstractNumId w:val="7"/>
  </w:num>
  <w:num w:numId="18">
    <w:abstractNumId w:val="40"/>
  </w:num>
  <w:num w:numId="19">
    <w:abstractNumId w:val="1"/>
  </w:num>
  <w:num w:numId="20">
    <w:abstractNumId w:val="15"/>
  </w:num>
  <w:num w:numId="21">
    <w:abstractNumId w:val="29"/>
  </w:num>
  <w:num w:numId="22">
    <w:abstractNumId w:val="32"/>
  </w:num>
  <w:num w:numId="23">
    <w:abstractNumId w:val="14"/>
  </w:num>
  <w:num w:numId="24">
    <w:abstractNumId w:val="30"/>
  </w:num>
  <w:num w:numId="25">
    <w:abstractNumId w:val="13"/>
  </w:num>
  <w:num w:numId="26">
    <w:abstractNumId w:val="11"/>
  </w:num>
  <w:num w:numId="27">
    <w:abstractNumId w:val="24"/>
  </w:num>
  <w:num w:numId="28">
    <w:abstractNumId w:val="42"/>
  </w:num>
  <w:num w:numId="29">
    <w:abstractNumId w:val="27"/>
  </w:num>
  <w:num w:numId="30">
    <w:abstractNumId w:val="26"/>
  </w:num>
  <w:num w:numId="31">
    <w:abstractNumId w:val="19"/>
  </w:num>
  <w:num w:numId="32">
    <w:abstractNumId w:val="6"/>
  </w:num>
  <w:num w:numId="33">
    <w:abstractNumId w:val="17"/>
  </w:num>
  <w:num w:numId="34">
    <w:abstractNumId w:val="2"/>
  </w:num>
  <w:num w:numId="35">
    <w:abstractNumId w:val="0"/>
  </w:num>
  <w:num w:numId="36">
    <w:abstractNumId w:val="41"/>
  </w:num>
  <w:num w:numId="37">
    <w:abstractNumId w:val="9"/>
  </w:num>
  <w:num w:numId="38">
    <w:abstractNumId w:val="33"/>
  </w:num>
  <w:num w:numId="39">
    <w:abstractNumId w:val="10"/>
  </w:num>
  <w:num w:numId="40">
    <w:abstractNumId w:val="21"/>
  </w:num>
  <w:num w:numId="41">
    <w:abstractNumId w:val="28"/>
  </w:num>
  <w:num w:numId="42">
    <w:abstractNumId w:val="8"/>
  </w:num>
  <w:num w:numId="43">
    <w:abstractNumId w:val="37"/>
  </w:num>
  <w:num w:numId="44">
    <w:abstractNumId w:val="25"/>
  </w:num>
  <w:num w:numId="4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DF9"/>
    <w:rsid w:val="000178A7"/>
    <w:rsid w:val="00020EB3"/>
    <w:rsid w:val="000260A3"/>
    <w:rsid w:val="000429E4"/>
    <w:rsid w:val="000528E8"/>
    <w:rsid w:val="00061B2A"/>
    <w:rsid w:val="000653D2"/>
    <w:rsid w:val="00082362"/>
    <w:rsid w:val="000A683E"/>
    <w:rsid w:val="000B1198"/>
    <w:rsid w:val="000B19B9"/>
    <w:rsid w:val="000B4233"/>
    <w:rsid w:val="000C3898"/>
    <w:rsid w:val="000D0334"/>
    <w:rsid w:val="000F57DE"/>
    <w:rsid w:val="000F6486"/>
    <w:rsid w:val="00105DE8"/>
    <w:rsid w:val="00125105"/>
    <w:rsid w:val="00127233"/>
    <w:rsid w:val="00131873"/>
    <w:rsid w:val="00152D71"/>
    <w:rsid w:val="001568CE"/>
    <w:rsid w:val="00167683"/>
    <w:rsid w:val="00176AD1"/>
    <w:rsid w:val="00196126"/>
    <w:rsid w:val="001A151B"/>
    <w:rsid w:val="001A3A8A"/>
    <w:rsid w:val="001A5B8C"/>
    <w:rsid w:val="001B48A8"/>
    <w:rsid w:val="001D4DE0"/>
    <w:rsid w:val="001E1142"/>
    <w:rsid w:val="001E4177"/>
    <w:rsid w:val="001F1804"/>
    <w:rsid w:val="001F3969"/>
    <w:rsid w:val="001F6834"/>
    <w:rsid w:val="001F7DC6"/>
    <w:rsid w:val="00200416"/>
    <w:rsid w:val="00204574"/>
    <w:rsid w:val="002376C2"/>
    <w:rsid w:val="002421BB"/>
    <w:rsid w:val="002424C4"/>
    <w:rsid w:val="00254474"/>
    <w:rsid w:val="0025796E"/>
    <w:rsid w:val="002627D4"/>
    <w:rsid w:val="00263A88"/>
    <w:rsid w:val="00263CE9"/>
    <w:rsid w:val="002707A2"/>
    <w:rsid w:val="0028778A"/>
    <w:rsid w:val="002951A0"/>
    <w:rsid w:val="002962BC"/>
    <w:rsid w:val="002A093D"/>
    <w:rsid w:val="002A0DD0"/>
    <w:rsid w:val="002A49AC"/>
    <w:rsid w:val="002A64FD"/>
    <w:rsid w:val="002B5168"/>
    <w:rsid w:val="002C7A84"/>
    <w:rsid w:val="002E2804"/>
    <w:rsid w:val="002E4FD9"/>
    <w:rsid w:val="0030203C"/>
    <w:rsid w:val="00303188"/>
    <w:rsid w:val="003123C7"/>
    <w:rsid w:val="003204F0"/>
    <w:rsid w:val="00322A85"/>
    <w:rsid w:val="00324168"/>
    <w:rsid w:val="00327346"/>
    <w:rsid w:val="003448F4"/>
    <w:rsid w:val="00347B2E"/>
    <w:rsid w:val="00360C1A"/>
    <w:rsid w:val="003621D1"/>
    <w:rsid w:val="00374F5E"/>
    <w:rsid w:val="00377E3E"/>
    <w:rsid w:val="0038146B"/>
    <w:rsid w:val="003910C3"/>
    <w:rsid w:val="003A26D1"/>
    <w:rsid w:val="003A779E"/>
    <w:rsid w:val="003C6C4F"/>
    <w:rsid w:val="003D0F4D"/>
    <w:rsid w:val="003D5B0D"/>
    <w:rsid w:val="003E0499"/>
    <w:rsid w:val="003E76ED"/>
    <w:rsid w:val="003F3941"/>
    <w:rsid w:val="003F79C3"/>
    <w:rsid w:val="00402A22"/>
    <w:rsid w:val="00406575"/>
    <w:rsid w:val="004268E4"/>
    <w:rsid w:val="00426DC2"/>
    <w:rsid w:val="0042722E"/>
    <w:rsid w:val="00441752"/>
    <w:rsid w:val="0044528D"/>
    <w:rsid w:val="004455B8"/>
    <w:rsid w:val="00445757"/>
    <w:rsid w:val="00452A0F"/>
    <w:rsid w:val="00485E57"/>
    <w:rsid w:val="0049064A"/>
    <w:rsid w:val="004942CE"/>
    <w:rsid w:val="004A1847"/>
    <w:rsid w:val="004A1FBE"/>
    <w:rsid w:val="004A305D"/>
    <w:rsid w:val="004B5F84"/>
    <w:rsid w:val="004F21C4"/>
    <w:rsid w:val="004F685F"/>
    <w:rsid w:val="00500C3E"/>
    <w:rsid w:val="00503C19"/>
    <w:rsid w:val="00504F7B"/>
    <w:rsid w:val="0052137A"/>
    <w:rsid w:val="00530F39"/>
    <w:rsid w:val="0053497F"/>
    <w:rsid w:val="005411E8"/>
    <w:rsid w:val="005434E9"/>
    <w:rsid w:val="005566E8"/>
    <w:rsid w:val="0057363F"/>
    <w:rsid w:val="00574867"/>
    <w:rsid w:val="005773E9"/>
    <w:rsid w:val="00591460"/>
    <w:rsid w:val="00592628"/>
    <w:rsid w:val="005A4341"/>
    <w:rsid w:val="005A44D7"/>
    <w:rsid w:val="005A7ADE"/>
    <w:rsid w:val="005A7AF3"/>
    <w:rsid w:val="005C3777"/>
    <w:rsid w:val="005C5CDC"/>
    <w:rsid w:val="005D476C"/>
    <w:rsid w:val="005D495C"/>
    <w:rsid w:val="005E1068"/>
    <w:rsid w:val="005F30D4"/>
    <w:rsid w:val="006107D7"/>
    <w:rsid w:val="00610812"/>
    <w:rsid w:val="006219F8"/>
    <w:rsid w:val="006408EC"/>
    <w:rsid w:val="00650FF7"/>
    <w:rsid w:val="0066197B"/>
    <w:rsid w:val="00665D70"/>
    <w:rsid w:val="0066669E"/>
    <w:rsid w:val="00671DAC"/>
    <w:rsid w:val="006900D9"/>
    <w:rsid w:val="00694654"/>
    <w:rsid w:val="006956EC"/>
    <w:rsid w:val="006B6A68"/>
    <w:rsid w:val="006D12F8"/>
    <w:rsid w:val="006D51B6"/>
    <w:rsid w:val="006E36AD"/>
    <w:rsid w:val="00706C16"/>
    <w:rsid w:val="007204CA"/>
    <w:rsid w:val="00724070"/>
    <w:rsid w:val="00727DDD"/>
    <w:rsid w:val="00756841"/>
    <w:rsid w:val="007649AB"/>
    <w:rsid w:val="00771D0C"/>
    <w:rsid w:val="007833AC"/>
    <w:rsid w:val="00783F94"/>
    <w:rsid w:val="007B268C"/>
    <w:rsid w:val="007B7171"/>
    <w:rsid w:val="007C0C0F"/>
    <w:rsid w:val="007C3DC2"/>
    <w:rsid w:val="007D46F1"/>
    <w:rsid w:val="007E08E1"/>
    <w:rsid w:val="007E4284"/>
    <w:rsid w:val="007E5497"/>
    <w:rsid w:val="00806F5F"/>
    <w:rsid w:val="00820278"/>
    <w:rsid w:val="00826C01"/>
    <w:rsid w:val="00830A9A"/>
    <w:rsid w:val="00831CDD"/>
    <w:rsid w:val="00840ED2"/>
    <w:rsid w:val="008419F4"/>
    <w:rsid w:val="00843C98"/>
    <w:rsid w:val="00847DDA"/>
    <w:rsid w:val="0086225C"/>
    <w:rsid w:val="00862ACC"/>
    <w:rsid w:val="0087001C"/>
    <w:rsid w:val="00871E9D"/>
    <w:rsid w:val="0087346C"/>
    <w:rsid w:val="0087417A"/>
    <w:rsid w:val="008843B6"/>
    <w:rsid w:val="0088719E"/>
    <w:rsid w:val="00890BE4"/>
    <w:rsid w:val="00891928"/>
    <w:rsid w:val="008974FD"/>
    <w:rsid w:val="008A247D"/>
    <w:rsid w:val="008A3D98"/>
    <w:rsid w:val="008A446D"/>
    <w:rsid w:val="008B738F"/>
    <w:rsid w:val="008D180B"/>
    <w:rsid w:val="008D793C"/>
    <w:rsid w:val="008E644F"/>
    <w:rsid w:val="008E678A"/>
    <w:rsid w:val="008E6A1C"/>
    <w:rsid w:val="008F0EA7"/>
    <w:rsid w:val="009063E3"/>
    <w:rsid w:val="0091453F"/>
    <w:rsid w:val="00915846"/>
    <w:rsid w:val="00923EEF"/>
    <w:rsid w:val="0093625A"/>
    <w:rsid w:val="009419F9"/>
    <w:rsid w:val="009549FC"/>
    <w:rsid w:val="009564F9"/>
    <w:rsid w:val="0095685E"/>
    <w:rsid w:val="00957152"/>
    <w:rsid w:val="00960D42"/>
    <w:rsid w:val="00961B09"/>
    <w:rsid w:val="00961C58"/>
    <w:rsid w:val="00965334"/>
    <w:rsid w:val="0097093E"/>
    <w:rsid w:val="0097111E"/>
    <w:rsid w:val="00971A5E"/>
    <w:rsid w:val="00982D39"/>
    <w:rsid w:val="009917B5"/>
    <w:rsid w:val="009940B4"/>
    <w:rsid w:val="009A0DFA"/>
    <w:rsid w:val="009A6DEA"/>
    <w:rsid w:val="009B2D26"/>
    <w:rsid w:val="009C71FA"/>
    <w:rsid w:val="009C72E7"/>
    <w:rsid w:val="009C7820"/>
    <w:rsid w:val="009C7ED5"/>
    <w:rsid w:val="009D1FA0"/>
    <w:rsid w:val="009D3058"/>
    <w:rsid w:val="009D3D7B"/>
    <w:rsid w:val="009D4BB6"/>
    <w:rsid w:val="009F0C3C"/>
    <w:rsid w:val="009F3A13"/>
    <w:rsid w:val="00A122D3"/>
    <w:rsid w:val="00A17F13"/>
    <w:rsid w:val="00A20739"/>
    <w:rsid w:val="00A307A2"/>
    <w:rsid w:val="00A33C78"/>
    <w:rsid w:val="00A6406E"/>
    <w:rsid w:val="00A71FA6"/>
    <w:rsid w:val="00A81B68"/>
    <w:rsid w:val="00A8439D"/>
    <w:rsid w:val="00A86A9B"/>
    <w:rsid w:val="00AA20D5"/>
    <w:rsid w:val="00AA7E70"/>
    <w:rsid w:val="00AB0ADB"/>
    <w:rsid w:val="00AD059F"/>
    <w:rsid w:val="00AD547D"/>
    <w:rsid w:val="00B01B1A"/>
    <w:rsid w:val="00B22D91"/>
    <w:rsid w:val="00B25360"/>
    <w:rsid w:val="00B52870"/>
    <w:rsid w:val="00B61DC6"/>
    <w:rsid w:val="00B72CD3"/>
    <w:rsid w:val="00B72FFF"/>
    <w:rsid w:val="00B804FB"/>
    <w:rsid w:val="00BA5844"/>
    <w:rsid w:val="00BB2012"/>
    <w:rsid w:val="00BC3D36"/>
    <w:rsid w:val="00BC5130"/>
    <w:rsid w:val="00BC5684"/>
    <w:rsid w:val="00BD7F72"/>
    <w:rsid w:val="00BE43DD"/>
    <w:rsid w:val="00BF35DB"/>
    <w:rsid w:val="00BF42BF"/>
    <w:rsid w:val="00BF7795"/>
    <w:rsid w:val="00C04A9C"/>
    <w:rsid w:val="00C04FB3"/>
    <w:rsid w:val="00C07B0F"/>
    <w:rsid w:val="00C13B97"/>
    <w:rsid w:val="00C15405"/>
    <w:rsid w:val="00C330EB"/>
    <w:rsid w:val="00C36081"/>
    <w:rsid w:val="00C43246"/>
    <w:rsid w:val="00C53DA6"/>
    <w:rsid w:val="00C754BE"/>
    <w:rsid w:val="00C76B1C"/>
    <w:rsid w:val="00C85952"/>
    <w:rsid w:val="00C90A74"/>
    <w:rsid w:val="00CB6357"/>
    <w:rsid w:val="00CC1B26"/>
    <w:rsid w:val="00CD5157"/>
    <w:rsid w:val="00CE54C6"/>
    <w:rsid w:val="00CF0735"/>
    <w:rsid w:val="00D15311"/>
    <w:rsid w:val="00D16885"/>
    <w:rsid w:val="00D17438"/>
    <w:rsid w:val="00D209FA"/>
    <w:rsid w:val="00D3408D"/>
    <w:rsid w:val="00D36C5C"/>
    <w:rsid w:val="00D423A2"/>
    <w:rsid w:val="00D424EA"/>
    <w:rsid w:val="00D463E7"/>
    <w:rsid w:val="00D47181"/>
    <w:rsid w:val="00D520D8"/>
    <w:rsid w:val="00D53C81"/>
    <w:rsid w:val="00D57942"/>
    <w:rsid w:val="00D63AC2"/>
    <w:rsid w:val="00D7383B"/>
    <w:rsid w:val="00D829A3"/>
    <w:rsid w:val="00D963EA"/>
    <w:rsid w:val="00DA020C"/>
    <w:rsid w:val="00DA231B"/>
    <w:rsid w:val="00DA23A0"/>
    <w:rsid w:val="00DA43F8"/>
    <w:rsid w:val="00DB55F9"/>
    <w:rsid w:val="00DC39FC"/>
    <w:rsid w:val="00DD23CA"/>
    <w:rsid w:val="00DD313F"/>
    <w:rsid w:val="00DD72BF"/>
    <w:rsid w:val="00DE1934"/>
    <w:rsid w:val="00DE292E"/>
    <w:rsid w:val="00DF5254"/>
    <w:rsid w:val="00E00129"/>
    <w:rsid w:val="00E16408"/>
    <w:rsid w:val="00E20894"/>
    <w:rsid w:val="00E245AB"/>
    <w:rsid w:val="00E2764C"/>
    <w:rsid w:val="00E27F2E"/>
    <w:rsid w:val="00E33232"/>
    <w:rsid w:val="00E413EA"/>
    <w:rsid w:val="00E50AFE"/>
    <w:rsid w:val="00E75C92"/>
    <w:rsid w:val="00E771DC"/>
    <w:rsid w:val="00E80A1B"/>
    <w:rsid w:val="00E859C1"/>
    <w:rsid w:val="00E8772A"/>
    <w:rsid w:val="00E90F6B"/>
    <w:rsid w:val="00E92C27"/>
    <w:rsid w:val="00EA0E3D"/>
    <w:rsid w:val="00EC38A7"/>
    <w:rsid w:val="00ED23CC"/>
    <w:rsid w:val="00EE1AA8"/>
    <w:rsid w:val="00EF3BDD"/>
    <w:rsid w:val="00F00835"/>
    <w:rsid w:val="00F03026"/>
    <w:rsid w:val="00F15AE8"/>
    <w:rsid w:val="00F31DD9"/>
    <w:rsid w:val="00F31EDC"/>
    <w:rsid w:val="00F365E7"/>
    <w:rsid w:val="00F462B3"/>
    <w:rsid w:val="00F53FE4"/>
    <w:rsid w:val="00F5664F"/>
    <w:rsid w:val="00F616F2"/>
    <w:rsid w:val="00F666C4"/>
    <w:rsid w:val="00F70D14"/>
    <w:rsid w:val="00F76AFC"/>
    <w:rsid w:val="00F830FC"/>
    <w:rsid w:val="00FA47C0"/>
    <w:rsid w:val="00FB17AC"/>
    <w:rsid w:val="00FB5DD1"/>
    <w:rsid w:val="00FB61DF"/>
    <w:rsid w:val="00FC2B5D"/>
    <w:rsid w:val="00FE2CF7"/>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FA8F01DB-8DBC-48B2-86AB-4D339AC6F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429E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E4284"/>
    <w:rPr>
      <w:rFonts w:ascii="Geomanist Light" w:hAnsi="Geomanist Light"/>
      <w:lang w:val="es-ES"/>
    </w:rPr>
  </w:style>
  <w:style w:type="character" w:customStyle="1" w:styleId="superscript">
    <w:name w:val="superscript"/>
    <w:basedOn w:val="Fuentedeprrafopredeter"/>
    <w:rsid w:val="007E4284"/>
  </w:style>
  <w:style w:type="character" w:styleId="Refdecomentario">
    <w:name w:val="annotation reference"/>
    <w:basedOn w:val="Fuentedeprrafopredeter"/>
    <w:uiPriority w:val="99"/>
    <w:semiHidden/>
    <w:unhideWhenUsed/>
    <w:rsid w:val="00FE2CF7"/>
    <w:rPr>
      <w:sz w:val="16"/>
      <w:szCs w:val="16"/>
    </w:rPr>
  </w:style>
  <w:style w:type="paragraph" w:styleId="Textocomentario">
    <w:name w:val="annotation text"/>
    <w:basedOn w:val="Normal"/>
    <w:link w:val="TextocomentarioCar"/>
    <w:uiPriority w:val="99"/>
    <w:unhideWhenUsed/>
    <w:rsid w:val="00FE2CF7"/>
    <w:pPr>
      <w:spacing w:line="240" w:lineRule="auto"/>
    </w:pPr>
    <w:rPr>
      <w:sz w:val="20"/>
      <w:szCs w:val="20"/>
    </w:rPr>
  </w:style>
  <w:style w:type="character" w:customStyle="1" w:styleId="TextocomentarioCar">
    <w:name w:val="Texto comentario Car"/>
    <w:basedOn w:val="Fuentedeprrafopredeter"/>
    <w:link w:val="Textocomentario"/>
    <w:uiPriority w:val="99"/>
    <w:rsid w:val="00FE2CF7"/>
    <w:rPr>
      <w:sz w:val="20"/>
      <w:szCs w:val="20"/>
    </w:rPr>
  </w:style>
  <w:style w:type="paragraph" w:styleId="Asuntodelcomentario">
    <w:name w:val="annotation subject"/>
    <w:basedOn w:val="Textocomentario"/>
    <w:next w:val="Textocomentario"/>
    <w:link w:val="AsuntodelcomentarioCar"/>
    <w:uiPriority w:val="99"/>
    <w:semiHidden/>
    <w:unhideWhenUsed/>
    <w:rsid w:val="00FE2CF7"/>
    <w:rPr>
      <w:b/>
      <w:bCs/>
    </w:rPr>
  </w:style>
  <w:style w:type="character" w:customStyle="1" w:styleId="AsuntodelcomentarioCar">
    <w:name w:val="Asunto del comentario Car"/>
    <w:basedOn w:val="TextocomentarioCar"/>
    <w:link w:val="Asuntodelcomentario"/>
    <w:uiPriority w:val="99"/>
    <w:semiHidden/>
    <w:rsid w:val="00FE2CF7"/>
    <w:rPr>
      <w:b/>
      <w:bCs/>
      <w:sz w:val="20"/>
      <w:szCs w:val="20"/>
    </w:rPr>
  </w:style>
  <w:style w:type="paragraph" w:styleId="Textoindependiente">
    <w:name w:val="Body Text"/>
    <w:basedOn w:val="Normal"/>
    <w:link w:val="TextoindependienteCar"/>
    <w:uiPriority w:val="99"/>
    <w:unhideWhenUsed/>
    <w:rsid w:val="006408EC"/>
    <w:pPr>
      <w:spacing w:after="0" w:line="360" w:lineRule="auto"/>
      <w:jc w:val="both"/>
    </w:pPr>
    <w:rPr>
      <w:rFonts w:ascii="Century Gothic" w:eastAsia="Times New Roman" w:hAnsi="Century Gothic" w:cs="Times New Roman"/>
      <w:szCs w:val="24"/>
      <w:lang w:val="es-ES" w:eastAsia="es-ES"/>
    </w:rPr>
  </w:style>
  <w:style w:type="character" w:customStyle="1" w:styleId="TextoindependienteCar">
    <w:name w:val="Texto independiente Car"/>
    <w:basedOn w:val="Fuentedeprrafopredeter"/>
    <w:link w:val="Textoindependiente"/>
    <w:uiPriority w:val="99"/>
    <w:rsid w:val="006408EC"/>
    <w:rPr>
      <w:rFonts w:ascii="Century Gothic" w:eastAsia="Times New Roman" w:hAnsi="Century Gothic" w:cs="Times New Roman"/>
      <w:szCs w:val="24"/>
      <w:lang w:val="es-ES" w:eastAsia="es-ES"/>
    </w:rPr>
  </w:style>
  <w:style w:type="character" w:customStyle="1" w:styleId="Hipervnculo1">
    <w:name w:val="Hipervínculo1"/>
    <w:basedOn w:val="Fuentedeprrafopredeter"/>
    <w:uiPriority w:val="99"/>
    <w:unhideWhenUsed/>
    <w:rsid w:val="00826C01"/>
    <w:rPr>
      <w:color w:val="F2F2F2"/>
      <w:u w:val="single"/>
    </w:rPr>
  </w:style>
  <w:style w:type="paragraph" w:styleId="Subttulo">
    <w:name w:val="Subtitle"/>
    <w:basedOn w:val="Normal"/>
    <w:next w:val="Normal"/>
    <w:link w:val="SubttuloCar"/>
    <w:uiPriority w:val="11"/>
    <w:qFormat/>
    <w:rsid w:val="0086225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6225C"/>
    <w:rPr>
      <w:rFonts w:eastAsiaTheme="majorEastAsia" w:cstheme="majorBidi"/>
      <w:color w:val="595959" w:themeColor="text1" w:themeTint="A6"/>
      <w:spacing w:val="15"/>
      <w:sz w:val="28"/>
      <w:szCs w:val="28"/>
    </w:rPr>
  </w:style>
  <w:style w:type="character" w:customStyle="1" w:styleId="NormalWebCar">
    <w:name w:val="Normal (Web) Car"/>
    <w:link w:val="NormalWeb"/>
    <w:uiPriority w:val="99"/>
    <w:rsid w:val="009063E3"/>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DE19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23601">
      <w:bodyDiv w:val="1"/>
      <w:marLeft w:val="0"/>
      <w:marRight w:val="0"/>
      <w:marTop w:val="0"/>
      <w:marBottom w:val="0"/>
      <w:divBdr>
        <w:top w:val="none" w:sz="0" w:space="0" w:color="auto"/>
        <w:left w:val="none" w:sz="0" w:space="0" w:color="auto"/>
        <w:bottom w:val="none" w:sz="0" w:space="0" w:color="auto"/>
        <w:right w:val="none" w:sz="0" w:space="0" w:color="auto"/>
      </w:divBdr>
    </w:div>
    <w:div w:id="88818982">
      <w:bodyDiv w:val="1"/>
      <w:marLeft w:val="0"/>
      <w:marRight w:val="0"/>
      <w:marTop w:val="0"/>
      <w:marBottom w:val="0"/>
      <w:divBdr>
        <w:top w:val="none" w:sz="0" w:space="0" w:color="auto"/>
        <w:left w:val="none" w:sz="0" w:space="0" w:color="auto"/>
        <w:bottom w:val="none" w:sz="0" w:space="0" w:color="auto"/>
        <w:right w:val="none" w:sz="0" w:space="0" w:color="auto"/>
      </w:divBdr>
    </w:div>
    <w:div w:id="105387671">
      <w:bodyDiv w:val="1"/>
      <w:marLeft w:val="0"/>
      <w:marRight w:val="0"/>
      <w:marTop w:val="0"/>
      <w:marBottom w:val="0"/>
      <w:divBdr>
        <w:top w:val="none" w:sz="0" w:space="0" w:color="auto"/>
        <w:left w:val="none" w:sz="0" w:space="0" w:color="auto"/>
        <w:bottom w:val="none" w:sz="0" w:space="0" w:color="auto"/>
        <w:right w:val="none" w:sz="0" w:space="0" w:color="auto"/>
      </w:divBdr>
      <w:divsChild>
        <w:div w:id="1787045836">
          <w:marLeft w:val="0"/>
          <w:marRight w:val="0"/>
          <w:marTop w:val="0"/>
          <w:marBottom w:val="0"/>
          <w:divBdr>
            <w:top w:val="none" w:sz="0" w:space="0" w:color="auto"/>
            <w:left w:val="none" w:sz="0" w:space="0" w:color="auto"/>
            <w:bottom w:val="none" w:sz="0" w:space="0" w:color="auto"/>
            <w:right w:val="none" w:sz="0" w:space="0" w:color="auto"/>
          </w:divBdr>
        </w:div>
        <w:div w:id="1132286920">
          <w:marLeft w:val="0"/>
          <w:marRight w:val="0"/>
          <w:marTop w:val="0"/>
          <w:marBottom w:val="0"/>
          <w:divBdr>
            <w:top w:val="none" w:sz="0" w:space="0" w:color="auto"/>
            <w:left w:val="none" w:sz="0" w:space="0" w:color="auto"/>
            <w:bottom w:val="none" w:sz="0" w:space="0" w:color="auto"/>
            <w:right w:val="none" w:sz="0" w:space="0" w:color="auto"/>
          </w:divBdr>
        </w:div>
        <w:div w:id="811796940">
          <w:marLeft w:val="0"/>
          <w:marRight w:val="0"/>
          <w:marTop w:val="0"/>
          <w:marBottom w:val="0"/>
          <w:divBdr>
            <w:top w:val="none" w:sz="0" w:space="0" w:color="auto"/>
            <w:left w:val="none" w:sz="0" w:space="0" w:color="auto"/>
            <w:bottom w:val="none" w:sz="0" w:space="0" w:color="auto"/>
            <w:right w:val="none" w:sz="0" w:space="0" w:color="auto"/>
          </w:divBdr>
        </w:div>
        <w:div w:id="1582368164">
          <w:marLeft w:val="0"/>
          <w:marRight w:val="0"/>
          <w:marTop w:val="0"/>
          <w:marBottom w:val="0"/>
          <w:divBdr>
            <w:top w:val="none" w:sz="0" w:space="0" w:color="auto"/>
            <w:left w:val="none" w:sz="0" w:space="0" w:color="auto"/>
            <w:bottom w:val="none" w:sz="0" w:space="0" w:color="auto"/>
            <w:right w:val="none" w:sz="0" w:space="0" w:color="auto"/>
          </w:divBdr>
        </w:div>
        <w:div w:id="1805199383">
          <w:marLeft w:val="0"/>
          <w:marRight w:val="0"/>
          <w:marTop w:val="0"/>
          <w:marBottom w:val="0"/>
          <w:divBdr>
            <w:top w:val="none" w:sz="0" w:space="0" w:color="auto"/>
            <w:left w:val="none" w:sz="0" w:space="0" w:color="auto"/>
            <w:bottom w:val="none" w:sz="0" w:space="0" w:color="auto"/>
            <w:right w:val="none" w:sz="0" w:space="0" w:color="auto"/>
          </w:divBdr>
        </w:div>
        <w:div w:id="1079444067">
          <w:marLeft w:val="0"/>
          <w:marRight w:val="0"/>
          <w:marTop w:val="0"/>
          <w:marBottom w:val="0"/>
          <w:divBdr>
            <w:top w:val="none" w:sz="0" w:space="0" w:color="auto"/>
            <w:left w:val="none" w:sz="0" w:space="0" w:color="auto"/>
            <w:bottom w:val="none" w:sz="0" w:space="0" w:color="auto"/>
            <w:right w:val="none" w:sz="0" w:space="0" w:color="auto"/>
          </w:divBdr>
        </w:div>
        <w:div w:id="1068310866">
          <w:marLeft w:val="0"/>
          <w:marRight w:val="0"/>
          <w:marTop w:val="0"/>
          <w:marBottom w:val="0"/>
          <w:divBdr>
            <w:top w:val="none" w:sz="0" w:space="0" w:color="auto"/>
            <w:left w:val="none" w:sz="0" w:space="0" w:color="auto"/>
            <w:bottom w:val="none" w:sz="0" w:space="0" w:color="auto"/>
            <w:right w:val="none" w:sz="0" w:space="0" w:color="auto"/>
          </w:divBdr>
        </w:div>
        <w:div w:id="1990671581">
          <w:marLeft w:val="0"/>
          <w:marRight w:val="0"/>
          <w:marTop w:val="0"/>
          <w:marBottom w:val="0"/>
          <w:divBdr>
            <w:top w:val="none" w:sz="0" w:space="0" w:color="auto"/>
            <w:left w:val="none" w:sz="0" w:space="0" w:color="auto"/>
            <w:bottom w:val="none" w:sz="0" w:space="0" w:color="auto"/>
            <w:right w:val="none" w:sz="0" w:space="0" w:color="auto"/>
          </w:divBdr>
        </w:div>
        <w:div w:id="717434276">
          <w:marLeft w:val="0"/>
          <w:marRight w:val="0"/>
          <w:marTop w:val="0"/>
          <w:marBottom w:val="0"/>
          <w:divBdr>
            <w:top w:val="none" w:sz="0" w:space="0" w:color="auto"/>
            <w:left w:val="none" w:sz="0" w:space="0" w:color="auto"/>
            <w:bottom w:val="none" w:sz="0" w:space="0" w:color="auto"/>
            <w:right w:val="none" w:sz="0" w:space="0" w:color="auto"/>
          </w:divBdr>
        </w:div>
        <w:div w:id="1894805643">
          <w:marLeft w:val="0"/>
          <w:marRight w:val="0"/>
          <w:marTop w:val="0"/>
          <w:marBottom w:val="0"/>
          <w:divBdr>
            <w:top w:val="none" w:sz="0" w:space="0" w:color="auto"/>
            <w:left w:val="none" w:sz="0" w:space="0" w:color="auto"/>
            <w:bottom w:val="none" w:sz="0" w:space="0" w:color="auto"/>
            <w:right w:val="none" w:sz="0" w:space="0" w:color="auto"/>
          </w:divBdr>
        </w:div>
        <w:div w:id="906574269">
          <w:marLeft w:val="0"/>
          <w:marRight w:val="0"/>
          <w:marTop w:val="0"/>
          <w:marBottom w:val="0"/>
          <w:divBdr>
            <w:top w:val="none" w:sz="0" w:space="0" w:color="auto"/>
            <w:left w:val="none" w:sz="0" w:space="0" w:color="auto"/>
            <w:bottom w:val="none" w:sz="0" w:space="0" w:color="auto"/>
            <w:right w:val="none" w:sz="0" w:space="0" w:color="auto"/>
          </w:divBdr>
        </w:div>
        <w:div w:id="443772384">
          <w:marLeft w:val="0"/>
          <w:marRight w:val="0"/>
          <w:marTop w:val="0"/>
          <w:marBottom w:val="0"/>
          <w:divBdr>
            <w:top w:val="none" w:sz="0" w:space="0" w:color="auto"/>
            <w:left w:val="none" w:sz="0" w:space="0" w:color="auto"/>
            <w:bottom w:val="none" w:sz="0" w:space="0" w:color="auto"/>
            <w:right w:val="none" w:sz="0" w:space="0" w:color="auto"/>
          </w:divBdr>
        </w:div>
        <w:div w:id="1197694946">
          <w:marLeft w:val="0"/>
          <w:marRight w:val="0"/>
          <w:marTop w:val="0"/>
          <w:marBottom w:val="0"/>
          <w:divBdr>
            <w:top w:val="none" w:sz="0" w:space="0" w:color="auto"/>
            <w:left w:val="none" w:sz="0" w:space="0" w:color="auto"/>
            <w:bottom w:val="none" w:sz="0" w:space="0" w:color="auto"/>
            <w:right w:val="none" w:sz="0" w:space="0" w:color="auto"/>
          </w:divBdr>
        </w:div>
        <w:div w:id="2034334192">
          <w:marLeft w:val="0"/>
          <w:marRight w:val="0"/>
          <w:marTop w:val="0"/>
          <w:marBottom w:val="0"/>
          <w:divBdr>
            <w:top w:val="none" w:sz="0" w:space="0" w:color="auto"/>
            <w:left w:val="none" w:sz="0" w:space="0" w:color="auto"/>
            <w:bottom w:val="none" w:sz="0" w:space="0" w:color="auto"/>
            <w:right w:val="none" w:sz="0" w:space="0" w:color="auto"/>
          </w:divBdr>
        </w:div>
        <w:div w:id="401026598">
          <w:marLeft w:val="0"/>
          <w:marRight w:val="0"/>
          <w:marTop w:val="0"/>
          <w:marBottom w:val="0"/>
          <w:divBdr>
            <w:top w:val="none" w:sz="0" w:space="0" w:color="auto"/>
            <w:left w:val="none" w:sz="0" w:space="0" w:color="auto"/>
            <w:bottom w:val="none" w:sz="0" w:space="0" w:color="auto"/>
            <w:right w:val="none" w:sz="0" w:space="0" w:color="auto"/>
          </w:divBdr>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3245806">
      <w:bodyDiv w:val="1"/>
      <w:marLeft w:val="0"/>
      <w:marRight w:val="0"/>
      <w:marTop w:val="0"/>
      <w:marBottom w:val="0"/>
      <w:divBdr>
        <w:top w:val="none" w:sz="0" w:space="0" w:color="auto"/>
        <w:left w:val="none" w:sz="0" w:space="0" w:color="auto"/>
        <w:bottom w:val="none" w:sz="0" w:space="0" w:color="auto"/>
        <w:right w:val="none" w:sz="0" w:space="0" w:color="auto"/>
      </w:divBdr>
    </w:div>
    <w:div w:id="340861001">
      <w:bodyDiv w:val="1"/>
      <w:marLeft w:val="0"/>
      <w:marRight w:val="0"/>
      <w:marTop w:val="0"/>
      <w:marBottom w:val="0"/>
      <w:divBdr>
        <w:top w:val="none" w:sz="0" w:space="0" w:color="auto"/>
        <w:left w:val="none" w:sz="0" w:space="0" w:color="auto"/>
        <w:bottom w:val="none" w:sz="0" w:space="0" w:color="auto"/>
        <w:right w:val="none" w:sz="0" w:space="0" w:color="auto"/>
      </w:divBdr>
      <w:divsChild>
        <w:div w:id="52392029">
          <w:marLeft w:val="0"/>
          <w:marRight w:val="0"/>
          <w:marTop w:val="0"/>
          <w:marBottom w:val="0"/>
          <w:divBdr>
            <w:top w:val="none" w:sz="0" w:space="0" w:color="auto"/>
            <w:left w:val="none" w:sz="0" w:space="0" w:color="auto"/>
            <w:bottom w:val="none" w:sz="0" w:space="0" w:color="auto"/>
            <w:right w:val="none" w:sz="0" w:space="0" w:color="auto"/>
          </w:divBdr>
        </w:div>
        <w:div w:id="1025055056">
          <w:marLeft w:val="0"/>
          <w:marRight w:val="0"/>
          <w:marTop w:val="0"/>
          <w:marBottom w:val="0"/>
          <w:divBdr>
            <w:top w:val="none" w:sz="0" w:space="0" w:color="auto"/>
            <w:left w:val="none" w:sz="0" w:space="0" w:color="auto"/>
            <w:bottom w:val="none" w:sz="0" w:space="0" w:color="auto"/>
            <w:right w:val="none" w:sz="0" w:space="0" w:color="auto"/>
          </w:divBdr>
        </w:div>
      </w:divsChild>
    </w:div>
    <w:div w:id="501429416">
      <w:bodyDiv w:val="1"/>
      <w:marLeft w:val="0"/>
      <w:marRight w:val="0"/>
      <w:marTop w:val="0"/>
      <w:marBottom w:val="0"/>
      <w:divBdr>
        <w:top w:val="none" w:sz="0" w:space="0" w:color="auto"/>
        <w:left w:val="none" w:sz="0" w:space="0" w:color="auto"/>
        <w:bottom w:val="none" w:sz="0" w:space="0" w:color="auto"/>
        <w:right w:val="none" w:sz="0" w:space="0" w:color="auto"/>
      </w:divBdr>
      <w:divsChild>
        <w:div w:id="1893999500">
          <w:marLeft w:val="0"/>
          <w:marRight w:val="0"/>
          <w:marTop w:val="0"/>
          <w:marBottom w:val="0"/>
          <w:divBdr>
            <w:top w:val="none" w:sz="0" w:space="0" w:color="auto"/>
            <w:left w:val="none" w:sz="0" w:space="0" w:color="auto"/>
            <w:bottom w:val="none" w:sz="0" w:space="0" w:color="auto"/>
            <w:right w:val="none" w:sz="0" w:space="0" w:color="auto"/>
          </w:divBdr>
        </w:div>
        <w:div w:id="1194226046">
          <w:marLeft w:val="0"/>
          <w:marRight w:val="0"/>
          <w:marTop w:val="0"/>
          <w:marBottom w:val="0"/>
          <w:divBdr>
            <w:top w:val="none" w:sz="0" w:space="0" w:color="auto"/>
            <w:left w:val="none" w:sz="0" w:space="0" w:color="auto"/>
            <w:bottom w:val="none" w:sz="0" w:space="0" w:color="auto"/>
            <w:right w:val="none" w:sz="0" w:space="0" w:color="auto"/>
          </w:divBdr>
        </w:div>
        <w:div w:id="264852099">
          <w:marLeft w:val="0"/>
          <w:marRight w:val="0"/>
          <w:marTop w:val="0"/>
          <w:marBottom w:val="0"/>
          <w:divBdr>
            <w:top w:val="none" w:sz="0" w:space="0" w:color="auto"/>
            <w:left w:val="none" w:sz="0" w:space="0" w:color="auto"/>
            <w:bottom w:val="none" w:sz="0" w:space="0" w:color="auto"/>
            <w:right w:val="none" w:sz="0" w:space="0" w:color="auto"/>
          </w:divBdr>
        </w:div>
        <w:div w:id="149905688">
          <w:marLeft w:val="0"/>
          <w:marRight w:val="0"/>
          <w:marTop w:val="0"/>
          <w:marBottom w:val="0"/>
          <w:divBdr>
            <w:top w:val="none" w:sz="0" w:space="0" w:color="auto"/>
            <w:left w:val="none" w:sz="0" w:space="0" w:color="auto"/>
            <w:bottom w:val="none" w:sz="0" w:space="0" w:color="auto"/>
            <w:right w:val="none" w:sz="0" w:space="0" w:color="auto"/>
          </w:divBdr>
        </w:div>
        <w:div w:id="766392320">
          <w:marLeft w:val="0"/>
          <w:marRight w:val="0"/>
          <w:marTop w:val="0"/>
          <w:marBottom w:val="0"/>
          <w:divBdr>
            <w:top w:val="none" w:sz="0" w:space="0" w:color="auto"/>
            <w:left w:val="none" w:sz="0" w:space="0" w:color="auto"/>
            <w:bottom w:val="none" w:sz="0" w:space="0" w:color="auto"/>
            <w:right w:val="none" w:sz="0" w:space="0" w:color="auto"/>
          </w:divBdr>
        </w:div>
        <w:div w:id="1112555544">
          <w:marLeft w:val="0"/>
          <w:marRight w:val="0"/>
          <w:marTop w:val="0"/>
          <w:marBottom w:val="0"/>
          <w:divBdr>
            <w:top w:val="none" w:sz="0" w:space="0" w:color="auto"/>
            <w:left w:val="none" w:sz="0" w:space="0" w:color="auto"/>
            <w:bottom w:val="none" w:sz="0" w:space="0" w:color="auto"/>
            <w:right w:val="none" w:sz="0" w:space="0" w:color="auto"/>
          </w:divBdr>
        </w:div>
        <w:div w:id="857087325">
          <w:marLeft w:val="0"/>
          <w:marRight w:val="0"/>
          <w:marTop w:val="0"/>
          <w:marBottom w:val="0"/>
          <w:divBdr>
            <w:top w:val="none" w:sz="0" w:space="0" w:color="auto"/>
            <w:left w:val="none" w:sz="0" w:space="0" w:color="auto"/>
            <w:bottom w:val="none" w:sz="0" w:space="0" w:color="auto"/>
            <w:right w:val="none" w:sz="0" w:space="0" w:color="auto"/>
          </w:divBdr>
        </w:div>
        <w:div w:id="487594034">
          <w:marLeft w:val="0"/>
          <w:marRight w:val="0"/>
          <w:marTop w:val="0"/>
          <w:marBottom w:val="0"/>
          <w:divBdr>
            <w:top w:val="none" w:sz="0" w:space="0" w:color="auto"/>
            <w:left w:val="none" w:sz="0" w:space="0" w:color="auto"/>
            <w:bottom w:val="none" w:sz="0" w:space="0" w:color="auto"/>
            <w:right w:val="none" w:sz="0" w:space="0" w:color="auto"/>
          </w:divBdr>
        </w:div>
        <w:div w:id="1642684833">
          <w:marLeft w:val="0"/>
          <w:marRight w:val="0"/>
          <w:marTop w:val="0"/>
          <w:marBottom w:val="0"/>
          <w:divBdr>
            <w:top w:val="none" w:sz="0" w:space="0" w:color="auto"/>
            <w:left w:val="none" w:sz="0" w:space="0" w:color="auto"/>
            <w:bottom w:val="none" w:sz="0" w:space="0" w:color="auto"/>
            <w:right w:val="none" w:sz="0" w:space="0" w:color="auto"/>
          </w:divBdr>
        </w:div>
        <w:div w:id="57217864">
          <w:marLeft w:val="0"/>
          <w:marRight w:val="0"/>
          <w:marTop w:val="0"/>
          <w:marBottom w:val="0"/>
          <w:divBdr>
            <w:top w:val="none" w:sz="0" w:space="0" w:color="auto"/>
            <w:left w:val="none" w:sz="0" w:space="0" w:color="auto"/>
            <w:bottom w:val="none" w:sz="0" w:space="0" w:color="auto"/>
            <w:right w:val="none" w:sz="0" w:space="0" w:color="auto"/>
          </w:divBdr>
        </w:div>
        <w:div w:id="1358509804">
          <w:marLeft w:val="0"/>
          <w:marRight w:val="0"/>
          <w:marTop w:val="0"/>
          <w:marBottom w:val="0"/>
          <w:divBdr>
            <w:top w:val="none" w:sz="0" w:space="0" w:color="auto"/>
            <w:left w:val="none" w:sz="0" w:space="0" w:color="auto"/>
            <w:bottom w:val="none" w:sz="0" w:space="0" w:color="auto"/>
            <w:right w:val="none" w:sz="0" w:space="0" w:color="auto"/>
          </w:divBdr>
        </w:div>
        <w:div w:id="125199560">
          <w:marLeft w:val="0"/>
          <w:marRight w:val="0"/>
          <w:marTop w:val="0"/>
          <w:marBottom w:val="0"/>
          <w:divBdr>
            <w:top w:val="none" w:sz="0" w:space="0" w:color="auto"/>
            <w:left w:val="none" w:sz="0" w:space="0" w:color="auto"/>
            <w:bottom w:val="none" w:sz="0" w:space="0" w:color="auto"/>
            <w:right w:val="none" w:sz="0" w:space="0" w:color="auto"/>
          </w:divBdr>
        </w:div>
        <w:div w:id="1806658042">
          <w:marLeft w:val="0"/>
          <w:marRight w:val="0"/>
          <w:marTop w:val="0"/>
          <w:marBottom w:val="0"/>
          <w:divBdr>
            <w:top w:val="none" w:sz="0" w:space="0" w:color="auto"/>
            <w:left w:val="none" w:sz="0" w:space="0" w:color="auto"/>
            <w:bottom w:val="none" w:sz="0" w:space="0" w:color="auto"/>
            <w:right w:val="none" w:sz="0" w:space="0" w:color="auto"/>
          </w:divBdr>
        </w:div>
        <w:div w:id="907230738">
          <w:marLeft w:val="0"/>
          <w:marRight w:val="0"/>
          <w:marTop w:val="0"/>
          <w:marBottom w:val="0"/>
          <w:divBdr>
            <w:top w:val="none" w:sz="0" w:space="0" w:color="auto"/>
            <w:left w:val="none" w:sz="0" w:space="0" w:color="auto"/>
            <w:bottom w:val="none" w:sz="0" w:space="0" w:color="auto"/>
            <w:right w:val="none" w:sz="0" w:space="0" w:color="auto"/>
          </w:divBdr>
        </w:div>
        <w:div w:id="1551066930">
          <w:marLeft w:val="0"/>
          <w:marRight w:val="0"/>
          <w:marTop w:val="0"/>
          <w:marBottom w:val="0"/>
          <w:divBdr>
            <w:top w:val="none" w:sz="0" w:space="0" w:color="auto"/>
            <w:left w:val="none" w:sz="0" w:space="0" w:color="auto"/>
            <w:bottom w:val="none" w:sz="0" w:space="0" w:color="auto"/>
            <w:right w:val="none" w:sz="0" w:space="0" w:color="auto"/>
          </w:divBdr>
        </w:div>
      </w:divsChild>
    </w:div>
    <w:div w:id="58866232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3105292">
      <w:bodyDiv w:val="1"/>
      <w:marLeft w:val="0"/>
      <w:marRight w:val="0"/>
      <w:marTop w:val="0"/>
      <w:marBottom w:val="0"/>
      <w:divBdr>
        <w:top w:val="none" w:sz="0" w:space="0" w:color="auto"/>
        <w:left w:val="none" w:sz="0" w:space="0" w:color="auto"/>
        <w:bottom w:val="none" w:sz="0" w:space="0" w:color="auto"/>
        <w:right w:val="none" w:sz="0" w:space="0" w:color="auto"/>
      </w:divBdr>
    </w:div>
    <w:div w:id="124973058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291937720">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48113002">
      <w:bodyDiv w:val="1"/>
      <w:marLeft w:val="0"/>
      <w:marRight w:val="0"/>
      <w:marTop w:val="0"/>
      <w:marBottom w:val="0"/>
      <w:divBdr>
        <w:top w:val="none" w:sz="0" w:space="0" w:color="auto"/>
        <w:left w:val="none" w:sz="0" w:space="0" w:color="auto"/>
        <w:bottom w:val="none" w:sz="0" w:space="0" w:color="auto"/>
        <w:right w:val="none" w:sz="0" w:space="0" w:color="auto"/>
      </w:divBdr>
    </w:div>
    <w:div w:id="1548293287">
      <w:bodyDiv w:val="1"/>
      <w:marLeft w:val="0"/>
      <w:marRight w:val="0"/>
      <w:marTop w:val="0"/>
      <w:marBottom w:val="0"/>
      <w:divBdr>
        <w:top w:val="none" w:sz="0" w:space="0" w:color="auto"/>
        <w:left w:val="none" w:sz="0" w:space="0" w:color="auto"/>
        <w:bottom w:val="none" w:sz="0" w:space="0" w:color="auto"/>
        <w:right w:val="none" w:sz="0" w:space="0" w:color="auto"/>
      </w:divBdr>
    </w:div>
    <w:div w:id="1628395367">
      <w:bodyDiv w:val="1"/>
      <w:marLeft w:val="0"/>
      <w:marRight w:val="0"/>
      <w:marTop w:val="0"/>
      <w:marBottom w:val="0"/>
      <w:divBdr>
        <w:top w:val="none" w:sz="0" w:space="0" w:color="auto"/>
        <w:left w:val="none" w:sz="0" w:space="0" w:color="auto"/>
        <w:bottom w:val="none" w:sz="0" w:space="0" w:color="auto"/>
        <w:right w:val="none" w:sz="0" w:space="0" w:color="auto"/>
      </w:divBdr>
      <w:divsChild>
        <w:div w:id="1332220306">
          <w:marLeft w:val="0"/>
          <w:marRight w:val="0"/>
          <w:marTop w:val="0"/>
          <w:marBottom w:val="0"/>
          <w:divBdr>
            <w:top w:val="none" w:sz="0" w:space="0" w:color="auto"/>
            <w:left w:val="none" w:sz="0" w:space="0" w:color="auto"/>
            <w:bottom w:val="none" w:sz="0" w:space="0" w:color="auto"/>
            <w:right w:val="none" w:sz="0" w:space="0" w:color="auto"/>
          </w:divBdr>
        </w:div>
        <w:div w:id="493423049">
          <w:marLeft w:val="0"/>
          <w:marRight w:val="0"/>
          <w:marTop w:val="0"/>
          <w:marBottom w:val="0"/>
          <w:divBdr>
            <w:top w:val="none" w:sz="0" w:space="0" w:color="auto"/>
            <w:left w:val="none" w:sz="0" w:space="0" w:color="auto"/>
            <w:bottom w:val="none" w:sz="0" w:space="0" w:color="auto"/>
            <w:right w:val="none" w:sz="0" w:space="0" w:color="auto"/>
          </w:divBdr>
        </w:div>
      </w:divsChild>
    </w:div>
    <w:div w:id="1778140693">
      <w:bodyDiv w:val="1"/>
      <w:marLeft w:val="0"/>
      <w:marRight w:val="0"/>
      <w:marTop w:val="0"/>
      <w:marBottom w:val="0"/>
      <w:divBdr>
        <w:top w:val="none" w:sz="0" w:space="0" w:color="auto"/>
        <w:left w:val="none" w:sz="0" w:space="0" w:color="auto"/>
        <w:bottom w:val="none" w:sz="0" w:space="0" w:color="auto"/>
        <w:right w:val="none" w:sz="0" w:space="0" w:color="auto"/>
      </w:divBdr>
    </w:div>
    <w:div w:id="195759140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v.empresarial27@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footnotes.xml.rels><?xml version="1.0" encoding="UTF-8" standalone="yes"?>
<Relationships xmlns="http://schemas.openxmlformats.org/package/2006/relationships"><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AF73877C-C681-412F-8CDC-D729C8E550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DDB392-B908-4004-92D4-CBA7D1126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10563</TotalTime>
  <Pages>15</Pages>
  <Words>3841</Words>
  <Characters>21129</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26</cp:revision>
  <cp:lastPrinted>2023-01-10T21:18:00Z</cp:lastPrinted>
  <dcterms:created xsi:type="dcterms:W3CDTF">2024-09-13T16:42:00Z</dcterms:created>
  <dcterms:modified xsi:type="dcterms:W3CDTF">2025-10-08T19:45:00Z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