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975" w14:textId="77777777" w:rsidR="00890BE4" w:rsidRDefault="00890BE4" w:rsidP="002B5168">
      <w:pPr>
        <w:spacing w:after="0" w:line="240" w:lineRule="auto"/>
        <w:rPr>
          <w:rFonts w:ascii="Verdana" w:eastAsia="Geomanist Light" w:hAnsi="Verdana" w:cs="Arial"/>
          <w:lang w:val="es-ES_tradnl"/>
        </w:rPr>
      </w:pPr>
      <w:bookmarkStart w:id="0" w:name="_Hlk143780582"/>
    </w:p>
    <w:p w14:paraId="460EF6C6" w14:textId="77777777" w:rsidR="00890BE4" w:rsidRDefault="00890BE4" w:rsidP="002B5168">
      <w:pPr>
        <w:spacing w:after="0" w:line="240" w:lineRule="auto"/>
        <w:rPr>
          <w:rFonts w:ascii="Verdana" w:eastAsia="Geomanist Light" w:hAnsi="Verdana" w:cs="Arial"/>
          <w:lang w:val="es-ES_tradnl"/>
        </w:rPr>
      </w:pPr>
    </w:p>
    <w:p w14:paraId="039811EE" w14:textId="77777777" w:rsidR="00890BE4" w:rsidRPr="008C6F01" w:rsidRDefault="00890BE4" w:rsidP="00890BE4">
      <w:pPr>
        <w:spacing w:after="0" w:line="240" w:lineRule="auto"/>
        <w:rPr>
          <w:rFonts w:ascii="Verdana" w:eastAsia="Geomanist Light" w:hAnsi="Verdana" w:cs="Arial"/>
          <w:b/>
          <w:bCs/>
          <w:lang w:val="es-ES_tradnl"/>
        </w:rPr>
      </w:pPr>
    </w:p>
    <w:p w14:paraId="7BF489BC" w14:textId="77777777" w:rsidR="00890BE4" w:rsidRPr="008C6F01" w:rsidRDefault="00890BE4" w:rsidP="00890BE4">
      <w:pPr>
        <w:spacing w:after="0" w:line="240" w:lineRule="auto"/>
        <w:rPr>
          <w:rFonts w:ascii="Verdana" w:eastAsia="Geomanist Light" w:hAnsi="Verdana" w:cs="Arial"/>
          <w:b/>
          <w:bCs/>
          <w:lang w:val="es-ES_tradnl"/>
        </w:rPr>
      </w:pPr>
      <w:r w:rsidRPr="008C6F01">
        <w:rPr>
          <w:rFonts w:ascii="Verdana" w:hAnsi="Verdana"/>
          <w:b/>
          <w:bCs/>
        </w:rPr>
        <w:t xml:space="preserve">LEY 2069 DE 2020-Finalidad-Aplicación </w:t>
      </w:r>
    </w:p>
    <w:p w14:paraId="6F54ECED" w14:textId="77777777" w:rsidR="00890BE4" w:rsidRDefault="00890BE4" w:rsidP="00890BE4">
      <w:pPr>
        <w:spacing w:after="0" w:line="240" w:lineRule="auto"/>
        <w:rPr>
          <w:rFonts w:ascii="Verdana" w:eastAsia="Geomanist Light" w:hAnsi="Verdana" w:cs="Arial"/>
          <w:lang w:val="es-ES_tradnl"/>
        </w:rPr>
      </w:pPr>
    </w:p>
    <w:p w14:paraId="28123536" w14:textId="77777777" w:rsidR="00890BE4" w:rsidRPr="008C6F01" w:rsidRDefault="00890BE4" w:rsidP="00890BE4">
      <w:pPr>
        <w:spacing w:after="120" w:line="276" w:lineRule="auto"/>
        <w:jc w:val="both"/>
        <w:rPr>
          <w:rFonts w:ascii="Verdana" w:hAnsi="Verdana"/>
          <w:sz w:val="20"/>
          <w:szCs w:val="20"/>
        </w:rPr>
      </w:pPr>
      <w:r w:rsidRPr="008C6F01">
        <w:rPr>
          <w:rFonts w:ascii="Verdana" w:hAnsi="Verdana"/>
          <w:sz w:val="20"/>
          <w:szCs w:val="20"/>
        </w:rPr>
        <w:t>El 31 de diciembre de 2020 se promulgó la Ley 2069, “</w:t>
      </w:r>
      <w:r w:rsidRPr="008C6F01">
        <w:rPr>
          <w:rFonts w:ascii="Verdana" w:hAnsi="Verdana"/>
          <w:i/>
          <w:iCs/>
          <w:sz w:val="20"/>
          <w:szCs w:val="20"/>
        </w:rPr>
        <w:t>Por medio de la cual se impulsa el emprendimiento en Colombia</w:t>
      </w:r>
      <w:r w:rsidRPr="008C6F01">
        <w:rPr>
          <w:rFonts w:ascii="Verdana" w:hAnsi="Verdana"/>
          <w:sz w:val="20"/>
          <w:szCs w:val="20"/>
        </w:rPr>
        <w:t xml:space="preserve">”.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C6F01">
        <w:rPr>
          <w:rFonts w:ascii="Verdana" w:hAnsi="Verdana"/>
          <w:sz w:val="20"/>
          <w:szCs w:val="20"/>
        </w:rPr>
        <w:t>de acuerdo a</w:t>
      </w:r>
      <w:proofErr w:type="gramEnd"/>
      <w:r w:rsidRPr="008C6F01">
        <w:rPr>
          <w:rFonts w:ascii="Verdana" w:hAnsi="Verdana"/>
          <w:sz w:val="20"/>
          <w:szCs w:val="20"/>
        </w:rPr>
        <w:t xml:space="preserve"> las realidades socioeconómicas de cada región”. En desarrollo de esta finalidad, se establecen medidas de apoyo para las micro, pequeñas y medianas empresas –</w:t>
      </w:r>
      <w:proofErr w:type="spellStart"/>
      <w:r w:rsidRPr="008C6F01">
        <w:rPr>
          <w:rFonts w:ascii="Verdana" w:hAnsi="Verdana"/>
          <w:sz w:val="20"/>
          <w:szCs w:val="20"/>
        </w:rPr>
        <w:t>mipymes</w:t>
      </w:r>
      <w:proofErr w:type="spellEnd"/>
      <w:r w:rsidRPr="008C6F01">
        <w:rPr>
          <w:rFonts w:ascii="Verdana" w:hAnsi="Verdana"/>
          <w:sz w:val="20"/>
          <w:szCs w:val="20"/>
        </w:rPr>
        <w:t xml:space="preserve">–, mediante la racionalización y simplificación de los trámites y </w:t>
      </w:r>
      <w:proofErr w:type="gramStart"/>
      <w:r w:rsidRPr="008C6F01">
        <w:rPr>
          <w:rFonts w:ascii="Verdana" w:hAnsi="Verdana"/>
          <w:sz w:val="20"/>
          <w:szCs w:val="20"/>
        </w:rPr>
        <w:t>tarifas</w:t>
      </w:r>
      <w:r>
        <w:rPr>
          <w:rFonts w:ascii="Verdana" w:hAnsi="Verdana"/>
          <w:sz w:val="20"/>
          <w:szCs w:val="20"/>
        </w:rPr>
        <w:t xml:space="preserve"> </w:t>
      </w:r>
      <w:r w:rsidRPr="008C6F01">
        <w:rPr>
          <w:rFonts w:ascii="Verdana" w:hAnsi="Verdana"/>
          <w:sz w:val="20"/>
          <w:szCs w:val="20"/>
        </w:rPr>
        <w:t xml:space="preserve"> ,</w:t>
      </w:r>
      <w:proofErr w:type="gramEnd"/>
      <w:r w:rsidRPr="008C6F01">
        <w:rPr>
          <w:rFonts w:ascii="Verdana" w:hAnsi="Verdana"/>
          <w:sz w:val="20"/>
          <w:szCs w:val="20"/>
        </w:rPr>
        <w:t xml:space="preserve"> así como incentivos a favor de aquellas dentro del sistema de compras y contratación pública.</w:t>
      </w:r>
    </w:p>
    <w:p w14:paraId="5D902EDC" w14:textId="77777777" w:rsidR="00890BE4" w:rsidRPr="008C6F01" w:rsidRDefault="00890BE4" w:rsidP="00890BE4">
      <w:pPr>
        <w:spacing w:after="120" w:line="276" w:lineRule="auto"/>
        <w:jc w:val="both"/>
        <w:rPr>
          <w:rFonts w:ascii="Verdana" w:hAnsi="Verdana"/>
          <w:sz w:val="20"/>
          <w:szCs w:val="20"/>
        </w:rPr>
      </w:pPr>
      <w:r w:rsidRPr="008C6F01">
        <w:rPr>
          <w:rFonts w:ascii="Verdana" w:hAnsi="Verdana"/>
          <w:sz w:val="20"/>
          <w:szCs w:val="20"/>
        </w:rPr>
        <w:tab/>
        <w:t xml:space="preserve">En función de esta finalidad, el artículo 31 de la Ley 2069 de 2020 estableció que las entidades estatales de acuerdo con el análisis del sector deben implementar requisitos diferenciales y puntajes adicionales función del tamaño empresarial para la promoción del acceso de las </w:t>
      </w:r>
      <w:proofErr w:type="spellStart"/>
      <w:r w:rsidRPr="008C6F01">
        <w:rPr>
          <w:rFonts w:ascii="Verdana" w:hAnsi="Verdana"/>
          <w:sz w:val="20"/>
          <w:szCs w:val="20"/>
        </w:rPr>
        <w:t>mipymes</w:t>
      </w:r>
      <w:proofErr w:type="spellEnd"/>
      <w:r w:rsidRPr="008C6F01">
        <w:rPr>
          <w:rFonts w:ascii="Verdana" w:hAnsi="Verdana"/>
          <w:sz w:val="20"/>
          <w:szCs w:val="20"/>
        </w:rPr>
        <w:t xml:space="preserve"> al mercado de Compras Públicas. La aplicación de estos criterios, por disposición expresa del referido artículo, quedó condicionada por la expedición de su reglamentación </w:t>
      </w:r>
    </w:p>
    <w:p w14:paraId="7F628A61" w14:textId="77777777" w:rsidR="00890BE4" w:rsidRPr="008C6F01" w:rsidRDefault="00890BE4" w:rsidP="00890BE4">
      <w:pPr>
        <w:spacing w:after="120" w:line="276" w:lineRule="auto"/>
        <w:jc w:val="both"/>
        <w:rPr>
          <w:rFonts w:ascii="Verdana" w:eastAsia="Arial" w:hAnsi="Verdana" w:cs="Arial"/>
          <w:sz w:val="20"/>
          <w:szCs w:val="20"/>
          <w:lang w:eastAsia="es-MX"/>
        </w:rPr>
      </w:pPr>
      <w:r w:rsidRPr="008C6F01">
        <w:rPr>
          <w:rFonts w:ascii="Verdana" w:hAnsi="Verdana"/>
          <w:sz w:val="20"/>
          <w:szCs w:val="20"/>
        </w:rPr>
        <w:t xml:space="preserve"> </w:t>
      </w:r>
      <w:r w:rsidRPr="008C6F01">
        <w:rPr>
          <w:rFonts w:ascii="Verdana" w:hAnsi="Verdana"/>
          <w:sz w:val="20"/>
          <w:szCs w:val="20"/>
        </w:rPr>
        <w:tab/>
      </w:r>
      <w:r w:rsidRPr="008C6F01">
        <w:rPr>
          <w:rFonts w:ascii="Verdana" w:eastAsia="Times New Roman" w:hAnsi="Verdana" w:cs="Arial"/>
          <w:color w:val="000000" w:themeColor="text1"/>
          <w:sz w:val="20"/>
          <w:szCs w:val="20"/>
          <w:lang w:eastAsia="es-MX"/>
        </w:rPr>
        <w:t xml:space="preserve">El artículo 3 del Decreto 1860 de 2021, adicionó </w:t>
      </w:r>
      <w:r w:rsidRPr="008C6F01">
        <w:rPr>
          <w:rFonts w:ascii="Verdana" w:eastAsia="Times New Roman" w:hAnsi="Verdana" w:cs="Arial"/>
          <w:bCs/>
          <w:color w:val="000000" w:themeColor="text1"/>
          <w:sz w:val="20"/>
          <w:szCs w:val="20"/>
          <w:lang w:eastAsia="es-MX"/>
        </w:rPr>
        <w:t xml:space="preserve">el artículo 2.2.1.2.4.2.18 al </w:t>
      </w:r>
      <w:r w:rsidRPr="008C6F01">
        <w:rPr>
          <w:rFonts w:ascii="Verdana" w:eastAsia="Times New Roman" w:hAnsi="Verdana" w:cs="Arial"/>
          <w:sz w:val="20"/>
          <w:szCs w:val="20"/>
          <w:lang w:eastAsia="es-MX"/>
        </w:rPr>
        <w:t xml:space="preserve">Decreto 1082 de 2015 regulando los criterios diferenciales para </w:t>
      </w:r>
      <w:proofErr w:type="spellStart"/>
      <w:r w:rsidRPr="008C6F01">
        <w:rPr>
          <w:rFonts w:ascii="Verdana" w:eastAsia="Times New Roman" w:hAnsi="Verdana" w:cs="Arial"/>
          <w:sz w:val="20"/>
          <w:szCs w:val="20"/>
          <w:lang w:eastAsia="es-MX"/>
        </w:rPr>
        <w:t>Mipyme</w:t>
      </w:r>
      <w:proofErr w:type="spellEnd"/>
      <w:r w:rsidRPr="008C6F01">
        <w:rPr>
          <w:rFonts w:ascii="Verdana" w:eastAsia="Times New Roman" w:hAnsi="Verdana" w:cs="Arial"/>
          <w:sz w:val="20"/>
          <w:szCs w:val="20"/>
          <w:lang w:eastAsia="es-MX"/>
        </w:rPr>
        <w:t xml:space="preserve"> establecidos por el artículo 31 de la Ley 2069 de 2020. En virtud de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8C6F01">
        <w:rPr>
          <w:rFonts w:ascii="Verdana" w:eastAsia="Times New Roman" w:hAnsi="Verdana" w:cs="Arial"/>
          <w:sz w:val="20"/>
          <w:szCs w:val="20"/>
          <w:lang w:eastAsia="es-MX"/>
        </w:rPr>
        <w:t>Mipyme</w:t>
      </w:r>
      <w:proofErr w:type="spellEnd"/>
      <w:r w:rsidRPr="008C6F01">
        <w:rPr>
          <w:rFonts w:ascii="Verdana" w:eastAsia="Times New Roman" w:hAnsi="Verdana" w:cs="Arial"/>
          <w:sz w:val="20"/>
          <w:szCs w:val="20"/>
          <w:lang w:eastAsia="es-MX"/>
        </w:rPr>
        <w:t xml:space="preserve"> domiciliadas en Colombia. </w:t>
      </w:r>
    </w:p>
    <w:p w14:paraId="0263B0FD" w14:textId="77777777" w:rsidR="00890BE4" w:rsidRPr="008C6F01" w:rsidRDefault="00890BE4" w:rsidP="00890BE4">
      <w:pPr>
        <w:spacing w:after="0" w:line="240" w:lineRule="auto"/>
        <w:jc w:val="both"/>
        <w:rPr>
          <w:rFonts w:ascii="Verdana" w:eastAsia="Geomanist Light" w:hAnsi="Verdana" w:cs="Arial"/>
        </w:rPr>
      </w:pPr>
    </w:p>
    <w:p w14:paraId="4589963A" w14:textId="77777777" w:rsidR="00890BE4" w:rsidRDefault="00890BE4" w:rsidP="00890BE4">
      <w:pPr>
        <w:spacing w:after="0" w:line="240" w:lineRule="auto"/>
        <w:jc w:val="both"/>
        <w:rPr>
          <w:rFonts w:ascii="Verdana" w:eastAsia="Geomanist Light" w:hAnsi="Verdana" w:cs="Arial"/>
          <w:lang w:val="es-ES_tradnl"/>
        </w:rPr>
      </w:pPr>
    </w:p>
    <w:p w14:paraId="4A551161" w14:textId="77777777" w:rsidR="00890BE4" w:rsidRDefault="00890BE4" w:rsidP="00890BE4">
      <w:pPr>
        <w:spacing w:after="0" w:line="240" w:lineRule="auto"/>
        <w:jc w:val="both"/>
        <w:rPr>
          <w:rFonts w:ascii="Verdana" w:eastAsia="Geomanist Light" w:hAnsi="Verdana" w:cs="Arial"/>
          <w:lang w:val="es-ES_tradnl"/>
        </w:rPr>
      </w:pPr>
    </w:p>
    <w:p w14:paraId="3C888CB5" w14:textId="77777777" w:rsidR="00890BE4" w:rsidRDefault="00890BE4" w:rsidP="00890BE4">
      <w:pPr>
        <w:spacing w:after="0" w:line="240" w:lineRule="auto"/>
        <w:jc w:val="both"/>
        <w:rPr>
          <w:rFonts w:ascii="Verdana" w:eastAsia="Geomanist Light" w:hAnsi="Verdana" w:cs="Arial"/>
          <w:lang w:val="es-ES_tradnl"/>
        </w:rPr>
      </w:pPr>
    </w:p>
    <w:p w14:paraId="5D8AC6C1" w14:textId="77777777" w:rsidR="00890BE4" w:rsidRDefault="00890BE4" w:rsidP="00890BE4">
      <w:pPr>
        <w:spacing w:after="0" w:line="240" w:lineRule="auto"/>
        <w:jc w:val="both"/>
        <w:rPr>
          <w:rFonts w:ascii="Verdana" w:eastAsia="Geomanist Light" w:hAnsi="Verdana" w:cs="Arial"/>
          <w:lang w:val="es-ES_tradnl"/>
        </w:rPr>
      </w:pPr>
    </w:p>
    <w:p w14:paraId="2FF7D380" w14:textId="77777777" w:rsidR="00890BE4" w:rsidRDefault="00890BE4" w:rsidP="00890BE4">
      <w:pPr>
        <w:spacing w:after="0" w:line="240" w:lineRule="auto"/>
        <w:rPr>
          <w:rFonts w:ascii="Verdana" w:eastAsia="Geomanist Light" w:hAnsi="Verdana" w:cs="Arial"/>
          <w:lang w:val="es-ES_tradnl"/>
        </w:rPr>
      </w:pPr>
    </w:p>
    <w:p w14:paraId="517992DE" w14:textId="77777777" w:rsidR="00890BE4" w:rsidRDefault="00890BE4" w:rsidP="00890BE4">
      <w:pPr>
        <w:spacing w:after="0" w:line="240" w:lineRule="auto"/>
        <w:rPr>
          <w:rFonts w:ascii="Verdana" w:eastAsia="Geomanist Light" w:hAnsi="Verdana" w:cs="Arial"/>
          <w:lang w:val="es-ES_tradnl"/>
        </w:rPr>
      </w:pPr>
    </w:p>
    <w:p w14:paraId="40041F6C" w14:textId="77777777" w:rsidR="00890BE4" w:rsidRDefault="00890BE4" w:rsidP="00890BE4">
      <w:pPr>
        <w:spacing w:after="0" w:line="240" w:lineRule="auto"/>
        <w:rPr>
          <w:rFonts w:ascii="Verdana" w:eastAsia="Geomanist Light" w:hAnsi="Verdana" w:cs="Arial"/>
          <w:lang w:val="es-ES_tradnl"/>
        </w:rPr>
      </w:pPr>
    </w:p>
    <w:p w14:paraId="793644BA" w14:textId="77777777" w:rsidR="00890BE4" w:rsidRDefault="00890BE4" w:rsidP="00890BE4">
      <w:pPr>
        <w:spacing w:after="0" w:line="240" w:lineRule="auto"/>
        <w:rPr>
          <w:rFonts w:ascii="Verdana" w:eastAsia="Geomanist Light" w:hAnsi="Verdana" w:cs="Arial"/>
          <w:lang w:val="es-ES_tradnl"/>
        </w:rPr>
      </w:pPr>
    </w:p>
    <w:p w14:paraId="31F79340" w14:textId="77777777" w:rsidR="00890BE4" w:rsidRDefault="00890BE4" w:rsidP="00890BE4">
      <w:pPr>
        <w:spacing w:after="0" w:line="240" w:lineRule="auto"/>
        <w:rPr>
          <w:rFonts w:ascii="Verdana" w:eastAsia="Geomanist Light" w:hAnsi="Verdana" w:cs="Arial"/>
          <w:lang w:val="es-ES_tradnl"/>
        </w:rPr>
      </w:pPr>
    </w:p>
    <w:p w14:paraId="01D8C583" w14:textId="77777777" w:rsidR="00890BE4" w:rsidRDefault="00890BE4" w:rsidP="00890BE4">
      <w:pPr>
        <w:spacing w:after="0" w:line="240" w:lineRule="auto"/>
        <w:rPr>
          <w:rFonts w:ascii="Verdana" w:eastAsia="Geomanist Light" w:hAnsi="Verdana" w:cs="Arial"/>
          <w:lang w:val="es-ES_tradnl"/>
        </w:rPr>
      </w:pPr>
    </w:p>
    <w:p w14:paraId="741DDC19" w14:textId="77777777" w:rsidR="00890BE4" w:rsidRDefault="00890BE4" w:rsidP="00890BE4">
      <w:pPr>
        <w:spacing w:after="0" w:line="240" w:lineRule="auto"/>
        <w:rPr>
          <w:rFonts w:ascii="Verdana" w:eastAsia="Geomanist Light" w:hAnsi="Verdana" w:cs="Arial"/>
          <w:lang w:val="es-ES_tradnl"/>
        </w:rPr>
      </w:pPr>
    </w:p>
    <w:p w14:paraId="38919D0D" w14:textId="77777777" w:rsidR="00890BE4" w:rsidRDefault="00890BE4" w:rsidP="00890BE4">
      <w:pPr>
        <w:spacing w:after="0" w:line="240" w:lineRule="auto"/>
        <w:rPr>
          <w:rFonts w:ascii="Verdana" w:eastAsia="Geomanist Light" w:hAnsi="Verdana" w:cs="Arial"/>
          <w:lang w:val="es-ES_tradnl"/>
        </w:rPr>
      </w:pPr>
    </w:p>
    <w:p w14:paraId="4542D0C4" w14:textId="77777777" w:rsidR="00890BE4" w:rsidRDefault="00890BE4" w:rsidP="00890BE4">
      <w:pPr>
        <w:spacing w:after="0" w:line="240" w:lineRule="auto"/>
        <w:rPr>
          <w:rFonts w:ascii="Verdana" w:eastAsia="Geomanist Light" w:hAnsi="Verdana" w:cs="Arial"/>
          <w:lang w:val="es-ES_tradnl"/>
        </w:rPr>
      </w:pPr>
    </w:p>
    <w:p w14:paraId="2F4FCF43" w14:textId="77777777" w:rsidR="00890BE4" w:rsidRPr="008C6F01" w:rsidRDefault="00890BE4" w:rsidP="00890BE4">
      <w:pPr>
        <w:spacing w:after="0" w:line="240" w:lineRule="auto"/>
        <w:rPr>
          <w:rFonts w:ascii="Verdana" w:eastAsia="Geomanist Light" w:hAnsi="Verdana" w:cs="Arial"/>
          <w:b/>
          <w:bCs/>
          <w:lang w:val="es-ES_tradnl"/>
        </w:rPr>
      </w:pPr>
    </w:p>
    <w:p w14:paraId="23CF11F0" w14:textId="77777777" w:rsidR="00890BE4" w:rsidRDefault="00890BE4" w:rsidP="00890BE4">
      <w:pPr>
        <w:spacing w:after="0" w:line="240" w:lineRule="auto"/>
        <w:rPr>
          <w:rFonts w:ascii="Verdana" w:eastAsia="Calibri" w:hAnsi="Verdana" w:cs="Arial"/>
          <w:color w:val="000000" w:themeColor="text1"/>
          <w:lang w:val="es-ES_tradnl"/>
        </w:rPr>
      </w:pPr>
      <w:r w:rsidRPr="008C6F01">
        <w:rPr>
          <w:rFonts w:ascii="Verdana" w:eastAsia="Calibri" w:hAnsi="Verdana" w:cs="Arial"/>
          <w:b/>
          <w:bCs/>
          <w:color w:val="000000" w:themeColor="text1"/>
          <w:lang w:val="es-ES_tradnl"/>
        </w:rPr>
        <w:t>LAS ENTIDADES DE ECONOMÍA SOLIDARIA-</w:t>
      </w:r>
      <w:r>
        <w:rPr>
          <w:rFonts w:ascii="Verdana" w:eastAsia="Calibri" w:hAnsi="Verdana" w:cs="Arial"/>
          <w:color w:val="000000" w:themeColor="text1"/>
          <w:lang w:val="es-ES_tradnl"/>
        </w:rPr>
        <w:t xml:space="preserve"> </w:t>
      </w:r>
      <w:r w:rsidRPr="008C6F01">
        <w:rPr>
          <w:rFonts w:ascii="Verdana" w:eastAsia="Calibri" w:hAnsi="Verdana" w:cs="Arial"/>
          <w:b/>
          <w:bCs/>
          <w:color w:val="000000" w:themeColor="text1"/>
          <w:lang w:val="es-ES_tradnl"/>
        </w:rPr>
        <w:t>Disposición</w:t>
      </w:r>
      <w:r>
        <w:rPr>
          <w:rFonts w:ascii="Verdana" w:eastAsia="Calibri" w:hAnsi="Verdana" w:cs="Arial"/>
          <w:color w:val="000000" w:themeColor="text1"/>
          <w:lang w:val="es-ES_tradnl"/>
        </w:rPr>
        <w:t xml:space="preserve"> </w:t>
      </w:r>
      <w:r w:rsidRPr="00311100">
        <w:rPr>
          <w:rFonts w:ascii="Verdana" w:eastAsia="Calibri" w:hAnsi="Verdana" w:cs="Arial"/>
          <w:color w:val="000000" w:themeColor="text1"/>
          <w:lang w:val="es-ES_tradnl"/>
        </w:rPr>
        <w:t xml:space="preserve"> </w:t>
      </w:r>
    </w:p>
    <w:p w14:paraId="59EFDA6F" w14:textId="77777777" w:rsidR="00890BE4" w:rsidRDefault="00890BE4" w:rsidP="00890BE4">
      <w:pPr>
        <w:spacing w:after="0" w:line="240" w:lineRule="auto"/>
        <w:jc w:val="both"/>
        <w:rPr>
          <w:rFonts w:ascii="Verdana" w:eastAsia="Calibri" w:hAnsi="Verdana" w:cs="Arial"/>
          <w:color w:val="000000" w:themeColor="text1"/>
          <w:lang w:val="es-ES_tradnl"/>
        </w:rPr>
      </w:pPr>
    </w:p>
    <w:p w14:paraId="619BC1A5" w14:textId="77777777" w:rsidR="00890BE4" w:rsidRDefault="00890BE4" w:rsidP="00890BE4">
      <w:pPr>
        <w:spacing w:after="0" w:line="240" w:lineRule="auto"/>
        <w:jc w:val="both"/>
        <w:rPr>
          <w:rFonts w:ascii="Verdana" w:eastAsia="Calibri" w:hAnsi="Verdana" w:cs="Arial"/>
          <w:color w:val="000000" w:themeColor="text1"/>
          <w:lang w:val="es-ES_tradnl"/>
        </w:rPr>
      </w:pPr>
    </w:p>
    <w:p w14:paraId="2F60B14E" w14:textId="77777777" w:rsidR="00890BE4" w:rsidRDefault="00890BE4" w:rsidP="00890BE4">
      <w:pPr>
        <w:spacing w:after="0" w:line="240" w:lineRule="auto"/>
        <w:jc w:val="both"/>
        <w:rPr>
          <w:rFonts w:ascii="Verdana" w:eastAsia="Geomanist Light" w:hAnsi="Verdana" w:cs="Arial"/>
          <w:lang w:val="es-ES_tradnl"/>
        </w:rPr>
      </w:pPr>
      <w:r>
        <w:rPr>
          <w:rFonts w:ascii="Verdana" w:eastAsia="Calibri" w:hAnsi="Verdana" w:cs="Arial"/>
          <w:color w:val="000000" w:themeColor="text1"/>
          <w:lang w:val="es-ES_tradnl"/>
        </w:rPr>
        <w:t>D</w:t>
      </w:r>
      <w:r w:rsidRPr="00311100">
        <w:rPr>
          <w:rFonts w:ascii="Verdana" w:eastAsia="Calibri" w:hAnsi="Verdana" w:cs="Arial"/>
          <w:color w:val="000000" w:themeColor="text1"/>
          <w:lang w:val="es-ES_tradnl"/>
        </w:rPr>
        <w:t xml:space="preserve">isponiendo además que estas deberán ser clasificadas como </w:t>
      </w:r>
      <w:proofErr w:type="spellStart"/>
      <w:r w:rsidRPr="00311100">
        <w:rPr>
          <w:rFonts w:ascii="Verdana" w:eastAsia="Calibri" w:hAnsi="Verdana" w:cs="Arial"/>
          <w:color w:val="000000" w:themeColor="text1"/>
          <w:lang w:val="es-ES_tradnl"/>
        </w:rPr>
        <w:t>mipymes</w:t>
      </w:r>
      <w:proofErr w:type="spellEnd"/>
      <w:r w:rsidRPr="00311100">
        <w:rPr>
          <w:rFonts w:ascii="Verdana" w:eastAsia="Calibri" w:hAnsi="Verdana" w:cs="Arial"/>
          <w:color w:val="000000" w:themeColor="text1"/>
          <w:lang w:val="es-ES_tradnl"/>
        </w:rPr>
        <w:t xml:space="preserve">, de conformidad con el artículo 2 de la Ley 590 de 2000 y el Decreto 957 de </w:t>
      </w:r>
      <w:proofErr w:type="gramStart"/>
      <w:r w:rsidRPr="00311100">
        <w:rPr>
          <w:rFonts w:ascii="Verdana" w:eastAsia="Calibri" w:hAnsi="Verdana" w:cs="Arial"/>
          <w:color w:val="000000" w:themeColor="text1"/>
          <w:lang w:val="es-ES_tradnl"/>
        </w:rPr>
        <w:t>2019,.</w:t>
      </w:r>
      <w:proofErr w:type="gramEnd"/>
      <w:r w:rsidRPr="00311100">
        <w:rPr>
          <w:rFonts w:ascii="Verdana" w:eastAsia="Calibri" w:hAnsi="Verdana" w:cs="Arial"/>
          <w:color w:val="000000" w:themeColor="text1"/>
          <w:lang w:val="es-ES_tradnl"/>
        </w:rPr>
        <w:t xml:space="preserve"> El principal efecto de esta norma es que, entidades que desarrollan actividades económicas sin fines lucrativos, como las cooperativas, asociaciones </w:t>
      </w:r>
      <w:proofErr w:type="gramStart"/>
      <w:r w:rsidRPr="00311100">
        <w:rPr>
          <w:rFonts w:ascii="Verdana" w:eastAsia="Calibri" w:hAnsi="Verdana" w:cs="Arial"/>
          <w:color w:val="000000" w:themeColor="text1"/>
          <w:lang w:val="es-ES_tradnl"/>
        </w:rPr>
        <w:t>mutualistas</w:t>
      </w:r>
      <w:r>
        <w:rPr>
          <w:rFonts w:ascii="Verdana" w:eastAsia="Calibri" w:hAnsi="Verdana" w:cs="Arial"/>
          <w:color w:val="000000" w:themeColor="text1"/>
          <w:lang w:val="es-ES_tradnl"/>
        </w:rPr>
        <w:t xml:space="preserve"> </w:t>
      </w:r>
      <w:r w:rsidRPr="00311100">
        <w:rPr>
          <w:rFonts w:ascii="Verdana" w:eastAsia="Calibri" w:hAnsi="Verdana" w:cs="Arial"/>
          <w:color w:val="000000" w:themeColor="text1"/>
          <w:lang w:val="es-ES_tradnl"/>
        </w:rPr>
        <w:t xml:space="preserve"> y</w:t>
      </w:r>
      <w:proofErr w:type="gramEnd"/>
      <w:r w:rsidRPr="00311100">
        <w:rPr>
          <w:rFonts w:ascii="Verdana" w:eastAsia="Calibri" w:hAnsi="Verdana" w:cs="Arial"/>
          <w:color w:val="000000" w:themeColor="text1"/>
          <w:lang w:val="es-ES_tradnl"/>
        </w:rPr>
        <w:t xml:space="preserve"> las demás entidades de economía solidaria, al ser consideradas como </w:t>
      </w:r>
      <w:proofErr w:type="spellStart"/>
      <w:r w:rsidRPr="00311100">
        <w:rPr>
          <w:rFonts w:ascii="Verdana" w:eastAsia="Calibri" w:hAnsi="Verdana" w:cs="Arial"/>
          <w:color w:val="000000" w:themeColor="text1"/>
          <w:lang w:val="es-ES_tradnl"/>
        </w:rPr>
        <w:t>mipymes</w:t>
      </w:r>
      <w:proofErr w:type="spellEnd"/>
      <w:r w:rsidRPr="00311100">
        <w:rPr>
          <w:rFonts w:ascii="Verdana" w:eastAsia="Calibri" w:hAnsi="Verdana" w:cs="Arial"/>
          <w:color w:val="000000" w:themeColor="text1"/>
          <w:lang w:val="es-ES_tradnl"/>
        </w:rPr>
        <w:t xml:space="preserve">, les son aplicables las prerrogativas establecidas en los artículos 31 de la Ley 2069 de 2020 y 2.2.1.2.4.2.18 del Decreto 1082 de 2015.  </w:t>
      </w:r>
      <w:r w:rsidRPr="00311100">
        <w:rPr>
          <w:rFonts w:ascii="Verdana" w:eastAsia="Calibri" w:hAnsi="Verdana" w:cs="Arial"/>
          <w:color w:val="000000" w:themeColor="text1"/>
          <w:lang w:val="es-ES_tradnl"/>
        </w:rPr>
        <w:tab/>
      </w:r>
    </w:p>
    <w:p w14:paraId="2B7ED96D" w14:textId="77777777" w:rsidR="00890BE4" w:rsidRDefault="00890BE4" w:rsidP="00890BE4">
      <w:pPr>
        <w:spacing w:after="0" w:line="240" w:lineRule="auto"/>
        <w:jc w:val="both"/>
        <w:rPr>
          <w:rFonts w:ascii="Verdana" w:eastAsia="Geomanist Light" w:hAnsi="Verdana" w:cs="Arial"/>
          <w:lang w:val="es-ES_tradnl"/>
        </w:rPr>
      </w:pPr>
    </w:p>
    <w:p w14:paraId="3C67E724" w14:textId="77777777" w:rsidR="00890BE4" w:rsidRDefault="00890BE4" w:rsidP="00890BE4">
      <w:pPr>
        <w:spacing w:after="0" w:line="240" w:lineRule="auto"/>
        <w:jc w:val="both"/>
        <w:rPr>
          <w:rFonts w:ascii="Verdana" w:eastAsia="Geomanist Light" w:hAnsi="Verdana" w:cs="Arial"/>
          <w:lang w:val="es-ES_tradnl"/>
        </w:rPr>
      </w:pPr>
    </w:p>
    <w:p w14:paraId="791B20EC" w14:textId="77777777" w:rsidR="00890BE4" w:rsidRDefault="00890BE4" w:rsidP="00890BE4">
      <w:pPr>
        <w:spacing w:after="0" w:line="240" w:lineRule="auto"/>
        <w:jc w:val="both"/>
        <w:rPr>
          <w:rFonts w:ascii="Verdana" w:eastAsia="Geomanist Light" w:hAnsi="Verdana" w:cs="Arial"/>
          <w:lang w:val="es-ES_tradnl"/>
        </w:rPr>
      </w:pPr>
    </w:p>
    <w:p w14:paraId="20CAFD90" w14:textId="77777777" w:rsidR="00890BE4" w:rsidRDefault="00890BE4" w:rsidP="00890BE4">
      <w:pPr>
        <w:spacing w:after="0" w:line="240" w:lineRule="auto"/>
        <w:jc w:val="both"/>
        <w:rPr>
          <w:rFonts w:ascii="Verdana" w:eastAsia="Geomanist Light" w:hAnsi="Verdana" w:cs="Arial"/>
          <w:lang w:val="es-ES_tradnl"/>
        </w:rPr>
      </w:pPr>
    </w:p>
    <w:p w14:paraId="1521FBAF" w14:textId="77777777" w:rsidR="00890BE4" w:rsidRDefault="00890BE4" w:rsidP="002B5168">
      <w:pPr>
        <w:spacing w:after="0" w:line="240" w:lineRule="auto"/>
        <w:rPr>
          <w:rFonts w:ascii="Verdana" w:eastAsia="Geomanist Light" w:hAnsi="Verdana" w:cs="Arial"/>
          <w:lang w:val="es-ES_tradnl"/>
        </w:rPr>
      </w:pPr>
    </w:p>
    <w:p w14:paraId="31FE9D6E" w14:textId="77777777" w:rsidR="00890BE4" w:rsidRDefault="00890BE4" w:rsidP="002B5168">
      <w:pPr>
        <w:spacing w:after="0" w:line="240" w:lineRule="auto"/>
        <w:rPr>
          <w:rFonts w:ascii="Verdana" w:eastAsia="Geomanist Light" w:hAnsi="Verdana" w:cs="Arial"/>
          <w:lang w:val="es-ES_tradnl"/>
        </w:rPr>
      </w:pPr>
    </w:p>
    <w:p w14:paraId="2B44AFB3" w14:textId="77777777" w:rsidR="00890BE4" w:rsidRDefault="00890BE4" w:rsidP="002B5168">
      <w:pPr>
        <w:spacing w:after="0" w:line="240" w:lineRule="auto"/>
        <w:rPr>
          <w:rFonts w:ascii="Verdana" w:eastAsia="Geomanist Light" w:hAnsi="Verdana" w:cs="Arial"/>
          <w:lang w:val="es-ES_tradnl"/>
        </w:rPr>
      </w:pPr>
    </w:p>
    <w:p w14:paraId="0FBEFD88" w14:textId="77777777" w:rsidR="00890BE4" w:rsidRDefault="00890BE4" w:rsidP="002B5168">
      <w:pPr>
        <w:spacing w:after="0" w:line="240" w:lineRule="auto"/>
        <w:rPr>
          <w:rFonts w:ascii="Verdana" w:eastAsia="Geomanist Light" w:hAnsi="Verdana" w:cs="Arial"/>
          <w:lang w:val="es-ES_tradnl"/>
        </w:rPr>
      </w:pPr>
    </w:p>
    <w:p w14:paraId="115AB357" w14:textId="77777777" w:rsidR="00890BE4" w:rsidRDefault="00890BE4" w:rsidP="002B5168">
      <w:pPr>
        <w:spacing w:after="0" w:line="240" w:lineRule="auto"/>
        <w:rPr>
          <w:rFonts w:ascii="Verdana" w:eastAsia="Geomanist Light" w:hAnsi="Verdana" w:cs="Arial"/>
          <w:lang w:val="es-ES_tradnl"/>
        </w:rPr>
      </w:pPr>
    </w:p>
    <w:p w14:paraId="1DBE831B" w14:textId="77777777" w:rsidR="00890BE4" w:rsidRDefault="00890BE4" w:rsidP="002B5168">
      <w:pPr>
        <w:spacing w:after="0" w:line="240" w:lineRule="auto"/>
        <w:rPr>
          <w:rFonts w:ascii="Verdana" w:eastAsia="Geomanist Light" w:hAnsi="Verdana" w:cs="Arial"/>
          <w:lang w:val="es-ES_tradnl"/>
        </w:rPr>
      </w:pPr>
    </w:p>
    <w:p w14:paraId="33F5E676" w14:textId="77777777" w:rsidR="00890BE4" w:rsidRDefault="00890BE4" w:rsidP="002B5168">
      <w:pPr>
        <w:spacing w:after="0" w:line="240" w:lineRule="auto"/>
        <w:rPr>
          <w:rFonts w:ascii="Verdana" w:eastAsia="Geomanist Light" w:hAnsi="Verdana" w:cs="Arial"/>
          <w:lang w:val="es-ES_tradnl"/>
        </w:rPr>
      </w:pPr>
    </w:p>
    <w:p w14:paraId="7C8D46BC" w14:textId="77777777" w:rsidR="00890BE4" w:rsidRDefault="00890BE4" w:rsidP="002B5168">
      <w:pPr>
        <w:spacing w:after="0" w:line="240" w:lineRule="auto"/>
        <w:rPr>
          <w:rFonts w:ascii="Verdana" w:eastAsia="Geomanist Light" w:hAnsi="Verdana" w:cs="Arial"/>
          <w:lang w:val="es-ES_tradnl"/>
        </w:rPr>
      </w:pPr>
    </w:p>
    <w:p w14:paraId="5FB75955" w14:textId="77777777" w:rsidR="00890BE4" w:rsidRDefault="00890BE4" w:rsidP="002B5168">
      <w:pPr>
        <w:spacing w:after="0" w:line="240" w:lineRule="auto"/>
        <w:rPr>
          <w:rFonts w:ascii="Verdana" w:eastAsia="Geomanist Light" w:hAnsi="Verdana" w:cs="Arial"/>
          <w:lang w:val="es-ES_tradnl"/>
        </w:rPr>
      </w:pPr>
    </w:p>
    <w:p w14:paraId="1A464B84" w14:textId="77777777" w:rsidR="00890BE4" w:rsidRDefault="00890BE4" w:rsidP="002B5168">
      <w:pPr>
        <w:spacing w:after="0" w:line="240" w:lineRule="auto"/>
        <w:rPr>
          <w:rFonts w:ascii="Verdana" w:eastAsia="Geomanist Light" w:hAnsi="Verdana" w:cs="Arial"/>
          <w:lang w:val="es-ES_tradnl"/>
        </w:rPr>
      </w:pPr>
    </w:p>
    <w:p w14:paraId="42202BC2" w14:textId="77777777" w:rsidR="00890BE4" w:rsidRDefault="00890BE4" w:rsidP="002B5168">
      <w:pPr>
        <w:spacing w:after="0" w:line="240" w:lineRule="auto"/>
        <w:rPr>
          <w:rFonts w:ascii="Verdana" w:eastAsia="Geomanist Light" w:hAnsi="Verdana" w:cs="Arial"/>
          <w:lang w:val="es-ES_tradnl"/>
        </w:rPr>
      </w:pPr>
    </w:p>
    <w:p w14:paraId="6DFFBC06" w14:textId="77777777" w:rsidR="00890BE4" w:rsidRDefault="00890BE4" w:rsidP="002B5168">
      <w:pPr>
        <w:spacing w:after="0" w:line="240" w:lineRule="auto"/>
        <w:rPr>
          <w:rFonts w:ascii="Verdana" w:eastAsia="Geomanist Light" w:hAnsi="Verdana" w:cs="Arial"/>
          <w:lang w:val="es-ES_tradnl"/>
        </w:rPr>
      </w:pPr>
    </w:p>
    <w:p w14:paraId="21B4B893" w14:textId="77777777" w:rsidR="00890BE4" w:rsidRDefault="00890BE4" w:rsidP="002B5168">
      <w:pPr>
        <w:spacing w:after="0" w:line="240" w:lineRule="auto"/>
        <w:rPr>
          <w:rFonts w:ascii="Verdana" w:eastAsia="Geomanist Light" w:hAnsi="Verdana" w:cs="Arial"/>
          <w:lang w:val="es-ES_tradnl"/>
        </w:rPr>
      </w:pPr>
    </w:p>
    <w:p w14:paraId="5F86EC80" w14:textId="77777777" w:rsidR="00890BE4" w:rsidRDefault="00890BE4" w:rsidP="002B5168">
      <w:pPr>
        <w:spacing w:after="0" w:line="240" w:lineRule="auto"/>
        <w:rPr>
          <w:rFonts w:ascii="Verdana" w:eastAsia="Geomanist Light" w:hAnsi="Verdana" w:cs="Arial"/>
          <w:lang w:val="es-ES_tradnl"/>
        </w:rPr>
      </w:pPr>
    </w:p>
    <w:p w14:paraId="4D440EC0" w14:textId="77777777" w:rsidR="00890BE4" w:rsidRDefault="00890BE4" w:rsidP="002B5168">
      <w:pPr>
        <w:spacing w:after="0" w:line="240" w:lineRule="auto"/>
        <w:rPr>
          <w:rFonts w:ascii="Verdana" w:eastAsia="Geomanist Light" w:hAnsi="Verdana" w:cs="Arial"/>
          <w:lang w:val="es-ES_tradnl"/>
        </w:rPr>
      </w:pPr>
    </w:p>
    <w:p w14:paraId="1D90F612" w14:textId="77777777" w:rsidR="00890BE4" w:rsidRDefault="00890BE4" w:rsidP="002B5168">
      <w:pPr>
        <w:spacing w:after="0" w:line="240" w:lineRule="auto"/>
        <w:rPr>
          <w:rFonts w:ascii="Verdana" w:eastAsia="Geomanist Light" w:hAnsi="Verdana" w:cs="Arial"/>
          <w:lang w:val="es-ES_tradnl"/>
        </w:rPr>
      </w:pPr>
    </w:p>
    <w:p w14:paraId="579BE77A" w14:textId="77777777" w:rsidR="00890BE4" w:rsidRDefault="00890BE4" w:rsidP="002B5168">
      <w:pPr>
        <w:spacing w:after="0" w:line="240" w:lineRule="auto"/>
        <w:rPr>
          <w:rFonts w:ascii="Verdana" w:eastAsia="Geomanist Light" w:hAnsi="Verdana" w:cs="Arial"/>
          <w:lang w:val="es-ES_tradnl"/>
        </w:rPr>
      </w:pPr>
    </w:p>
    <w:p w14:paraId="18168C2C" w14:textId="77777777" w:rsidR="00890BE4" w:rsidRDefault="00890BE4" w:rsidP="002B5168">
      <w:pPr>
        <w:spacing w:after="0" w:line="240" w:lineRule="auto"/>
        <w:rPr>
          <w:rFonts w:ascii="Verdana" w:eastAsia="Geomanist Light" w:hAnsi="Verdana" w:cs="Arial"/>
          <w:lang w:val="es-ES_tradnl"/>
        </w:rPr>
      </w:pPr>
    </w:p>
    <w:p w14:paraId="335419B2" w14:textId="77777777" w:rsidR="00890BE4" w:rsidRDefault="00890BE4" w:rsidP="002B5168">
      <w:pPr>
        <w:spacing w:after="0" w:line="240" w:lineRule="auto"/>
        <w:rPr>
          <w:rFonts w:ascii="Verdana" w:eastAsia="Geomanist Light" w:hAnsi="Verdana" w:cs="Arial"/>
          <w:lang w:val="es-ES_tradnl"/>
        </w:rPr>
      </w:pPr>
    </w:p>
    <w:p w14:paraId="2DCFD8C1" w14:textId="77777777" w:rsidR="00890BE4" w:rsidRDefault="00890BE4" w:rsidP="002B5168">
      <w:pPr>
        <w:spacing w:after="0" w:line="240" w:lineRule="auto"/>
        <w:rPr>
          <w:rFonts w:ascii="Verdana" w:eastAsia="Geomanist Light" w:hAnsi="Verdana" w:cs="Arial"/>
          <w:lang w:val="es-ES_tradnl"/>
        </w:rPr>
      </w:pPr>
    </w:p>
    <w:p w14:paraId="4A83739D" w14:textId="77777777" w:rsidR="00890BE4" w:rsidRDefault="00890BE4" w:rsidP="002B5168">
      <w:pPr>
        <w:spacing w:after="0" w:line="240" w:lineRule="auto"/>
        <w:rPr>
          <w:rFonts w:ascii="Verdana" w:eastAsia="Geomanist Light" w:hAnsi="Verdana" w:cs="Arial"/>
          <w:lang w:val="es-ES_tradnl"/>
        </w:rPr>
      </w:pPr>
    </w:p>
    <w:p w14:paraId="235956CD" w14:textId="77777777" w:rsidR="00890BE4" w:rsidRDefault="00890BE4" w:rsidP="002B5168">
      <w:pPr>
        <w:spacing w:after="0" w:line="240" w:lineRule="auto"/>
        <w:rPr>
          <w:rFonts w:ascii="Verdana" w:eastAsia="Geomanist Light" w:hAnsi="Verdana" w:cs="Arial"/>
          <w:lang w:val="es-ES_tradnl"/>
        </w:rPr>
      </w:pPr>
    </w:p>
    <w:p w14:paraId="48B6A559" w14:textId="77777777" w:rsidR="00890BE4" w:rsidRDefault="00890BE4" w:rsidP="002B5168">
      <w:pPr>
        <w:spacing w:after="0" w:line="240" w:lineRule="auto"/>
        <w:rPr>
          <w:rFonts w:ascii="Verdana" w:eastAsia="Geomanist Light" w:hAnsi="Verdana" w:cs="Arial"/>
          <w:lang w:val="es-ES_tradnl"/>
        </w:rPr>
      </w:pPr>
    </w:p>
    <w:p w14:paraId="25A95C2D" w14:textId="77777777" w:rsidR="00890BE4" w:rsidRDefault="00890BE4" w:rsidP="002B5168">
      <w:pPr>
        <w:spacing w:after="0" w:line="240" w:lineRule="auto"/>
        <w:rPr>
          <w:rFonts w:ascii="Verdana" w:eastAsia="Geomanist Light" w:hAnsi="Verdana" w:cs="Arial"/>
          <w:lang w:val="es-ES_tradnl"/>
        </w:rPr>
      </w:pPr>
    </w:p>
    <w:p w14:paraId="48280958" w14:textId="77777777" w:rsidR="00890BE4" w:rsidRDefault="00890BE4" w:rsidP="002B5168">
      <w:pPr>
        <w:spacing w:after="0" w:line="240" w:lineRule="auto"/>
        <w:rPr>
          <w:rFonts w:ascii="Verdana" w:eastAsia="Geomanist Light" w:hAnsi="Verdana" w:cs="Arial"/>
          <w:lang w:val="es-ES_tradnl"/>
        </w:rPr>
      </w:pPr>
    </w:p>
    <w:p w14:paraId="271A9A6E" w14:textId="77777777" w:rsidR="00890BE4" w:rsidRDefault="00890BE4" w:rsidP="002B5168">
      <w:pPr>
        <w:spacing w:after="0" w:line="240" w:lineRule="auto"/>
        <w:rPr>
          <w:rFonts w:ascii="Verdana" w:eastAsia="Geomanist Light" w:hAnsi="Verdana" w:cs="Arial"/>
          <w:lang w:val="es-ES_tradnl"/>
        </w:rPr>
      </w:pPr>
    </w:p>
    <w:p w14:paraId="6C28C589" w14:textId="77777777" w:rsidR="00890BE4" w:rsidRDefault="00890BE4" w:rsidP="002B5168">
      <w:pPr>
        <w:spacing w:after="0" w:line="240" w:lineRule="auto"/>
        <w:rPr>
          <w:rFonts w:ascii="Verdana" w:eastAsia="Geomanist Light" w:hAnsi="Verdana" w:cs="Arial"/>
          <w:lang w:val="es-ES_tradnl"/>
        </w:rPr>
      </w:pPr>
    </w:p>
    <w:p w14:paraId="173C2697" w14:textId="77777777" w:rsidR="00890BE4" w:rsidRDefault="00890BE4" w:rsidP="002B5168">
      <w:pPr>
        <w:spacing w:after="0" w:line="240" w:lineRule="auto"/>
        <w:rPr>
          <w:rFonts w:ascii="Verdana" w:eastAsia="Geomanist Light" w:hAnsi="Verdana" w:cs="Arial"/>
          <w:lang w:val="es-ES_tradnl"/>
        </w:rPr>
      </w:pPr>
    </w:p>
    <w:p w14:paraId="11F15140" w14:textId="77777777" w:rsidR="00890BE4" w:rsidRDefault="00890BE4" w:rsidP="002B5168">
      <w:pPr>
        <w:spacing w:after="0" w:line="240" w:lineRule="auto"/>
        <w:rPr>
          <w:rFonts w:ascii="Verdana" w:eastAsia="Geomanist Light" w:hAnsi="Verdana" w:cs="Arial"/>
          <w:lang w:val="es-ES_tradnl"/>
        </w:rPr>
      </w:pPr>
    </w:p>
    <w:p w14:paraId="15415067" w14:textId="77777777" w:rsidR="00890BE4" w:rsidRDefault="00890BE4" w:rsidP="002B5168">
      <w:pPr>
        <w:spacing w:after="0" w:line="240" w:lineRule="auto"/>
        <w:rPr>
          <w:rFonts w:ascii="Verdana" w:eastAsia="Geomanist Light" w:hAnsi="Verdana" w:cs="Arial"/>
          <w:lang w:val="es-ES_tradnl"/>
        </w:rPr>
      </w:pPr>
    </w:p>
    <w:p w14:paraId="61B7AFE9" w14:textId="20D79BF2" w:rsidR="007E4284" w:rsidRDefault="00E245AB" w:rsidP="00E245AB">
      <w:pPr>
        <w:spacing w:after="0"/>
        <w:rPr>
          <w:rFonts w:ascii="Verdana" w:hAnsi="Verdana"/>
        </w:rPr>
      </w:pPr>
      <w:bookmarkStart w:id="1" w:name="_Hlk181166130"/>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p>
    <w:bookmarkEnd w:id="1"/>
    <w:p w14:paraId="79BAB92E" w14:textId="77777777" w:rsidR="007E4284" w:rsidRDefault="007E4284" w:rsidP="00E245AB">
      <w:pPr>
        <w:spacing w:after="0"/>
        <w:rPr>
          <w:rFonts w:ascii="Verdana" w:hAnsi="Verdana"/>
        </w:rPr>
      </w:pPr>
    </w:p>
    <w:p w14:paraId="59DC7E7A" w14:textId="12D77091" w:rsidR="007E4284" w:rsidRDefault="00AD547D" w:rsidP="00AD547D">
      <w:pPr>
        <w:spacing w:after="0"/>
        <w:jc w:val="right"/>
        <w:rPr>
          <w:rFonts w:ascii="Verdana" w:hAnsi="Verdana"/>
        </w:rPr>
      </w:pPr>
      <w:bookmarkStart w:id="2" w:name="_Hlk180638295"/>
      <w:r>
        <w:rPr>
          <w:rFonts w:ascii="Verdana" w:hAnsi="Verdana"/>
          <w:noProof/>
        </w:rPr>
        <w:drawing>
          <wp:inline distT="0" distB="0" distL="0" distR="0" wp14:anchorId="60D51DE4" wp14:editId="61BFB6DF">
            <wp:extent cx="2686050" cy="819150"/>
            <wp:effectExtent l="0" t="0" r="0" b="0"/>
            <wp:docPr id="938827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819150"/>
                    </a:xfrm>
                    <a:prstGeom prst="rect">
                      <a:avLst/>
                    </a:prstGeom>
                    <a:noFill/>
                    <a:ln>
                      <a:noFill/>
                    </a:ln>
                  </pic:spPr>
                </pic:pic>
              </a:graphicData>
            </a:graphic>
          </wp:inline>
        </w:drawing>
      </w:r>
    </w:p>
    <w:p w14:paraId="20777949" w14:textId="77777777" w:rsidR="00AD547D" w:rsidRDefault="00AD547D" w:rsidP="00E245AB">
      <w:pPr>
        <w:spacing w:after="0"/>
        <w:rPr>
          <w:rFonts w:ascii="Verdana" w:hAnsi="Verdana"/>
        </w:rPr>
      </w:pPr>
    </w:p>
    <w:p w14:paraId="7AED0527" w14:textId="482FC90B" w:rsidR="007E4284" w:rsidRPr="00560511" w:rsidRDefault="007E4284" w:rsidP="007E4284">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18E0EB05" w14:textId="77777777" w:rsidR="009C7820" w:rsidRDefault="009C7820" w:rsidP="007E4284">
      <w:pPr>
        <w:spacing w:after="0" w:line="240" w:lineRule="auto"/>
        <w:rPr>
          <w:rFonts w:ascii="Verdana" w:eastAsia="Calibri" w:hAnsi="Verdana" w:cs="Arial"/>
          <w:b/>
          <w:bCs/>
          <w:lang w:eastAsia="es-ES_tradnl"/>
        </w:rPr>
      </w:pPr>
      <w:r w:rsidRPr="009C7820">
        <w:rPr>
          <w:rFonts w:ascii="Verdana" w:eastAsia="Calibri" w:hAnsi="Verdana" w:cs="Arial"/>
          <w:b/>
          <w:bCs/>
          <w:lang w:eastAsia="es-ES_tradnl"/>
        </w:rPr>
        <w:t>JOSE JONATAN VALVERDE VALENCIA</w:t>
      </w:r>
    </w:p>
    <w:p w14:paraId="54718FE2" w14:textId="5DD89803" w:rsidR="009C7820" w:rsidRPr="009C7820" w:rsidRDefault="009C7820" w:rsidP="007E4284">
      <w:pPr>
        <w:spacing w:after="0" w:line="240" w:lineRule="auto"/>
        <w:rPr>
          <w:rFonts w:ascii="Verdana" w:hAnsi="Verdana"/>
        </w:rPr>
      </w:pPr>
      <w:hyperlink r:id="rId12" w:history="1">
        <w:r w:rsidRPr="009C7820">
          <w:rPr>
            <w:rStyle w:val="Hipervnculo"/>
            <w:rFonts w:ascii="Verdana" w:hAnsi="Verdana"/>
          </w:rPr>
          <w:t>jv.empresarial27@gmail.com</w:t>
        </w:r>
      </w:hyperlink>
    </w:p>
    <w:p w14:paraId="1458EAD2" w14:textId="4B284E70" w:rsidR="007E4284" w:rsidRPr="00B96799" w:rsidRDefault="007E4284" w:rsidP="007E4284">
      <w:pPr>
        <w:spacing w:after="0" w:line="240" w:lineRule="auto"/>
        <w:rPr>
          <w:rFonts w:ascii="Verdana" w:eastAsia="Calibri" w:hAnsi="Verdana" w:cs="Arial"/>
          <w:b/>
          <w:bCs/>
          <w:lang w:val="es-ES" w:eastAsia="es-ES"/>
        </w:rPr>
      </w:pPr>
      <w:r>
        <w:rPr>
          <w:rFonts w:ascii="Verdana" w:eastAsia="Calibri" w:hAnsi="Verdana" w:cs="Arial"/>
          <w:lang w:val="es-ES" w:eastAsia="es-ES"/>
        </w:rPr>
        <w:t>B</w:t>
      </w:r>
      <w:r w:rsidR="008974FD">
        <w:rPr>
          <w:rFonts w:ascii="Verdana" w:eastAsia="Calibri" w:hAnsi="Verdana" w:cs="Arial"/>
          <w:lang w:val="es-ES" w:eastAsia="es-ES"/>
        </w:rPr>
        <w:t>uenaventura (Valle del Cauca)</w:t>
      </w:r>
    </w:p>
    <w:p w14:paraId="323534CF" w14:textId="77777777" w:rsidR="007E4284" w:rsidRPr="00593A5F" w:rsidRDefault="007E4284" w:rsidP="007E4284">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E4284" w:rsidRPr="00593A5F" w14:paraId="7B89B37C" w14:textId="77777777" w:rsidTr="00847DDA">
        <w:trPr>
          <w:trHeight w:val="884"/>
        </w:trPr>
        <w:tc>
          <w:tcPr>
            <w:tcW w:w="2410" w:type="dxa"/>
          </w:tcPr>
          <w:p w14:paraId="3E37BDB8" w14:textId="77777777" w:rsidR="007E4284" w:rsidRPr="00E5644F" w:rsidRDefault="007E4284">
            <w:pPr>
              <w:jc w:val="both"/>
              <w:rPr>
                <w:rFonts w:ascii="Verdana" w:eastAsia="Calibri" w:hAnsi="Verdana" w:cs="Arial"/>
                <w:b/>
                <w:bCs/>
                <w:color w:val="7030A0"/>
                <w:lang w:val="es-ES_tradnl" w:eastAsia="es-ES_tradnl"/>
              </w:rPr>
            </w:pPr>
          </w:p>
        </w:tc>
        <w:tc>
          <w:tcPr>
            <w:tcW w:w="6804" w:type="dxa"/>
            <w:gridSpan w:val="2"/>
          </w:tcPr>
          <w:p w14:paraId="7B76117C" w14:textId="373837E9" w:rsidR="007E4284" w:rsidRPr="00E5644F" w:rsidRDefault="007E4284">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982D39">
              <w:rPr>
                <w:rFonts w:ascii="Verdana" w:eastAsia="Calibri" w:hAnsi="Verdana" w:cs="Arial"/>
                <w:b/>
                <w:bCs/>
                <w:lang w:val="es-ES" w:eastAsia="es-ES"/>
              </w:rPr>
              <w:t>7</w:t>
            </w:r>
            <w:r w:rsidR="009C7820">
              <w:rPr>
                <w:rFonts w:ascii="Verdana" w:eastAsia="Calibri" w:hAnsi="Verdana" w:cs="Arial"/>
                <w:b/>
                <w:bCs/>
                <w:lang w:val="es-ES" w:eastAsia="es-ES"/>
              </w:rPr>
              <w:t>76</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E4284" w:rsidRPr="00593A5F" w14:paraId="2C0FD36D" w14:textId="77777777" w:rsidTr="00847DDA">
        <w:trPr>
          <w:trHeight w:val="884"/>
        </w:trPr>
        <w:tc>
          <w:tcPr>
            <w:tcW w:w="2410" w:type="dxa"/>
          </w:tcPr>
          <w:p w14:paraId="6CB79C8C" w14:textId="77777777" w:rsidR="007E4284" w:rsidRPr="00593A5F" w:rsidRDefault="007E428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6207EC96" w14:textId="77777777" w:rsidR="002B5168" w:rsidRDefault="002B5168" w:rsidP="002B5168">
            <w:pPr>
              <w:spacing w:line="276" w:lineRule="auto"/>
              <w:jc w:val="both"/>
              <w:rPr>
                <w:rFonts w:ascii="Verdana" w:hAnsi="Verdana" w:cs="Arial"/>
                <w:bCs/>
                <w:lang w:eastAsia="es-ES"/>
              </w:rPr>
            </w:pPr>
            <w:r w:rsidRPr="00A37605">
              <w:rPr>
                <w:rFonts w:ascii="Verdana" w:hAnsi="Verdana" w:cs="Arial"/>
                <w:bCs/>
                <w:lang w:val="es-ES_tradnl" w:eastAsia="es-ES"/>
              </w:rPr>
              <w:t xml:space="preserve">LEY 2069 DE 2020 – Finalidad </w:t>
            </w:r>
            <w:proofErr w:type="gramStart"/>
            <w:r w:rsidRPr="00A37605">
              <w:rPr>
                <w:rFonts w:ascii="Verdana" w:hAnsi="Verdana" w:cs="Arial"/>
                <w:bCs/>
                <w:lang w:val="es-ES_tradnl" w:eastAsia="es-ES"/>
              </w:rPr>
              <w:t xml:space="preserve">/ </w:t>
            </w:r>
            <w:r w:rsidRPr="00A37605">
              <w:rPr>
                <w:rFonts w:ascii="Verdana" w:hAnsi="Verdana" w:cs="Arial"/>
                <w:bCs/>
                <w:lang w:eastAsia="es-ES"/>
              </w:rPr>
              <w:t xml:space="preserve"> Ley</w:t>
            </w:r>
            <w:proofErr w:type="gramEnd"/>
            <w:r w:rsidRPr="00A37605">
              <w:rPr>
                <w:rFonts w:ascii="Verdana" w:hAnsi="Verdana" w:cs="Arial"/>
                <w:bCs/>
                <w:lang w:eastAsia="es-ES"/>
              </w:rPr>
              <w:t xml:space="preserve"> </w:t>
            </w:r>
            <w:r w:rsidRPr="00A37605">
              <w:rPr>
                <w:rFonts w:ascii="Verdana" w:hAnsi="Verdana" w:cs="Arial"/>
                <w:bCs/>
                <w:lang w:val="es-ES_tradnl" w:eastAsia="es-ES"/>
              </w:rPr>
              <w:t>2069 de 2020 – Artículo 3</w:t>
            </w:r>
            <w:r>
              <w:rPr>
                <w:rFonts w:ascii="Verdana" w:hAnsi="Verdana" w:cs="Arial"/>
                <w:bCs/>
                <w:lang w:val="es-ES_tradnl" w:eastAsia="es-ES"/>
              </w:rPr>
              <w:t>1</w:t>
            </w:r>
            <w:r w:rsidRPr="00A37605">
              <w:rPr>
                <w:rFonts w:ascii="Verdana" w:hAnsi="Verdana" w:cs="Arial"/>
                <w:bCs/>
                <w:lang w:val="es-ES_tradnl" w:eastAsia="es-ES"/>
              </w:rPr>
              <w:t xml:space="preserve"> / MIPYMES – Criterios diferenciales</w:t>
            </w:r>
            <w:r>
              <w:rPr>
                <w:rFonts w:ascii="Verdana" w:hAnsi="Verdana" w:cs="Arial"/>
                <w:bCs/>
                <w:lang w:val="es-ES_tradnl" w:eastAsia="es-ES"/>
              </w:rPr>
              <w:t xml:space="preserve"> – Puntajes adicionales</w:t>
            </w:r>
            <w:r w:rsidRPr="00A37605">
              <w:rPr>
                <w:rFonts w:ascii="Verdana" w:hAnsi="Verdana" w:cs="Arial"/>
                <w:bCs/>
                <w:lang w:val="es-ES_tradnl" w:eastAsia="es-ES"/>
              </w:rPr>
              <w:t xml:space="preserve"> </w:t>
            </w:r>
            <w:r>
              <w:rPr>
                <w:rFonts w:ascii="Verdana" w:hAnsi="Verdana" w:cs="Arial"/>
                <w:bCs/>
                <w:lang w:val="es-ES_tradnl" w:eastAsia="es-ES"/>
              </w:rPr>
              <w:t xml:space="preserve">- </w:t>
            </w:r>
            <w:r w:rsidRPr="00A37605">
              <w:rPr>
                <w:rFonts w:ascii="Verdana" w:hAnsi="Verdana" w:cs="Arial"/>
                <w:bCs/>
                <w:lang w:val="es-ES_tradnl" w:eastAsia="es-ES"/>
              </w:rPr>
              <w:t>/</w:t>
            </w:r>
            <w:r>
              <w:rPr>
                <w:rFonts w:ascii="Verdana" w:hAnsi="Verdana" w:cs="Arial"/>
                <w:bCs/>
                <w:lang w:val="es-ES_tradnl" w:eastAsia="es-ES"/>
              </w:rPr>
              <w:t xml:space="preserve"> MIPYMES – Explotación económica – Segmentos / ESALES – Actividades sin fines de lucro</w:t>
            </w:r>
            <w:r w:rsidRPr="00A37605">
              <w:rPr>
                <w:rFonts w:ascii="Verdana" w:hAnsi="Verdana" w:cs="Arial"/>
                <w:bCs/>
                <w:lang w:val="es-ES_tradnl" w:eastAsia="es-ES"/>
              </w:rPr>
              <w:t xml:space="preserve"> </w:t>
            </w:r>
            <w:r>
              <w:rPr>
                <w:rFonts w:ascii="Verdana" w:hAnsi="Verdana" w:cs="Arial"/>
                <w:bCs/>
                <w:lang w:val="es-ES_tradnl" w:eastAsia="es-ES"/>
              </w:rPr>
              <w:t xml:space="preserve">/ </w:t>
            </w:r>
            <w:r w:rsidRPr="00A37605">
              <w:rPr>
                <w:rFonts w:ascii="Verdana" w:hAnsi="Verdana" w:cs="Arial"/>
                <w:bCs/>
                <w:lang w:val="es-ES_tradnl" w:eastAsia="es-ES"/>
              </w:rPr>
              <w:t xml:space="preserve">ENTIDADES DE ECONOMÍA SOLIDARIA – Asimilación a </w:t>
            </w:r>
            <w:proofErr w:type="spellStart"/>
            <w:r w:rsidRPr="00A37605">
              <w:rPr>
                <w:rFonts w:ascii="Verdana" w:hAnsi="Verdana" w:cs="Arial"/>
                <w:bCs/>
                <w:lang w:val="es-ES_tradnl" w:eastAsia="es-ES"/>
              </w:rPr>
              <w:t>Mipymes</w:t>
            </w:r>
            <w:proofErr w:type="spellEnd"/>
          </w:p>
          <w:p w14:paraId="4D3602A2" w14:textId="0EAA4570" w:rsidR="00485E57" w:rsidRPr="00E6165F" w:rsidRDefault="00485E57">
            <w:pPr>
              <w:spacing w:line="276" w:lineRule="auto"/>
              <w:jc w:val="both"/>
              <w:rPr>
                <w:rFonts w:ascii="Verdana" w:eastAsia="Calibri" w:hAnsi="Verdana" w:cs="Arial"/>
                <w:lang w:val="es-ES" w:eastAsia="es-ES"/>
              </w:rPr>
            </w:pPr>
          </w:p>
        </w:tc>
      </w:tr>
      <w:tr w:rsidR="007E4284" w:rsidRPr="00593A5F" w14:paraId="614F6563" w14:textId="77777777" w:rsidTr="00847DDA">
        <w:tc>
          <w:tcPr>
            <w:tcW w:w="2410" w:type="dxa"/>
          </w:tcPr>
          <w:p w14:paraId="762EB684" w14:textId="77777777" w:rsidR="007E4284" w:rsidRPr="006730E9" w:rsidRDefault="007E4284">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791CCF73" w14:textId="6E8EC20C" w:rsidR="007E4284" w:rsidRPr="006730E9" w:rsidRDefault="007E4284">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9C7820" w:rsidRPr="009C7820">
              <w:rPr>
                <w:rFonts w:ascii="Verdana" w:eastAsia="Calibri" w:hAnsi="Verdana" w:cs="Arial"/>
                <w:lang w:val="es-ES_tradnl" w:eastAsia="es-ES_tradnl"/>
              </w:rPr>
              <w:t>P20241024010825</w:t>
            </w:r>
          </w:p>
        </w:tc>
      </w:tr>
      <w:tr w:rsidR="00847DDA" w:rsidRPr="00DB23D2" w14:paraId="04974AB6" w14:textId="77777777" w:rsidTr="00847DDA">
        <w:trPr>
          <w:gridAfter w:val="1"/>
          <w:wAfter w:w="336" w:type="dxa"/>
          <w:trHeight w:val="233"/>
        </w:trPr>
        <w:tc>
          <w:tcPr>
            <w:tcW w:w="8878" w:type="dxa"/>
            <w:gridSpan w:val="2"/>
          </w:tcPr>
          <w:p w14:paraId="0EE1B988" w14:textId="1E9A67DE" w:rsidR="00847DDA" w:rsidRPr="00DB23D2" w:rsidRDefault="00847DDA" w:rsidP="00F945CE">
            <w:pPr>
              <w:spacing w:after="120" w:line="276" w:lineRule="auto"/>
              <w:jc w:val="both"/>
              <w:rPr>
                <w:rFonts w:ascii="Verdana" w:eastAsia="Calibri" w:hAnsi="Verdana" w:cs="Arial"/>
                <w:lang w:val="es-ES_tradnl" w:eastAsia="es-ES"/>
              </w:rPr>
            </w:pPr>
          </w:p>
        </w:tc>
      </w:tr>
    </w:tbl>
    <w:p w14:paraId="506DCE70" w14:textId="7BB27236"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sidR="00485E57">
        <w:rPr>
          <w:rFonts w:ascii="Verdana" w:eastAsia="Calibri" w:hAnsi="Verdana" w:cs="Arial"/>
          <w:lang w:val="es-ES" w:eastAsia="es-ES"/>
        </w:rPr>
        <w:t>o</w:t>
      </w:r>
      <w:r>
        <w:rPr>
          <w:rFonts w:ascii="Verdana" w:eastAsia="Calibri" w:hAnsi="Verdana" w:cs="Arial"/>
          <w:lang w:val="es-ES" w:eastAsia="es-ES"/>
        </w:rPr>
        <w:t xml:space="preserve"> </w:t>
      </w:r>
      <w:r w:rsidRPr="006730E9">
        <w:rPr>
          <w:rFonts w:ascii="Verdana" w:eastAsia="Calibri" w:hAnsi="Verdana" w:cs="Arial"/>
          <w:lang w:val="es-ES" w:eastAsia="es-ES"/>
        </w:rPr>
        <w:t xml:space="preserve">señor </w:t>
      </w:r>
      <w:r w:rsidR="00982D39">
        <w:rPr>
          <w:rFonts w:ascii="Verdana" w:eastAsia="Calibri" w:hAnsi="Verdana" w:cs="Arial"/>
          <w:lang w:val="es-ES" w:eastAsia="es-ES"/>
        </w:rPr>
        <w:t>V</w:t>
      </w:r>
      <w:r w:rsidR="009C7820">
        <w:rPr>
          <w:rFonts w:ascii="Verdana" w:eastAsia="Calibri" w:hAnsi="Verdana" w:cs="Arial"/>
          <w:lang w:val="es-ES" w:eastAsia="es-ES"/>
        </w:rPr>
        <w:t>alverde</w:t>
      </w:r>
      <w:r>
        <w:rPr>
          <w:rFonts w:ascii="Verdana" w:eastAsia="Calibri" w:hAnsi="Verdana" w:cs="Arial"/>
          <w:lang w:val="es-ES" w:eastAsia="es-ES"/>
        </w:rPr>
        <w:t>;</w:t>
      </w:r>
      <w:r w:rsidRPr="006730E9">
        <w:rPr>
          <w:rFonts w:ascii="Verdana" w:eastAsia="Calibri" w:hAnsi="Verdana" w:cs="Arial"/>
          <w:lang w:val="es-ES" w:eastAsia="es-ES"/>
        </w:rPr>
        <w:t xml:space="preserve"> </w:t>
      </w:r>
    </w:p>
    <w:p w14:paraId="1F9587AA" w14:textId="77777777" w:rsidR="007E4284" w:rsidRDefault="007E4284" w:rsidP="007E428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824A97" w14:textId="76A76F8B"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sidR="00D57942">
        <w:rPr>
          <w:rFonts w:ascii="Verdana" w:eastAsia="Calibri" w:hAnsi="Verdana" w:cs="Arial"/>
          <w:lang w:val="es-ES" w:eastAsia="es-ES"/>
        </w:rPr>
        <w:t xml:space="preserve">y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9C7820">
        <w:rPr>
          <w:rFonts w:ascii="Verdana" w:eastAsia="Calibri" w:hAnsi="Verdana" w:cs="Arial"/>
          <w:lang w:val="es-ES" w:eastAsia="es-ES"/>
        </w:rPr>
        <w:t>24</w:t>
      </w:r>
      <w:r w:rsidRPr="00E5644F">
        <w:rPr>
          <w:rFonts w:ascii="Verdana" w:eastAsia="Calibri" w:hAnsi="Verdana" w:cs="Arial"/>
          <w:lang w:val="es-ES" w:eastAsia="es-ES"/>
        </w:rPr>
        <w:t xml:space="preserve"> de </w:t>
      </w:r>
      <w:r w:rsidR="00982D39">
        <w:rPr>
          <w:rFonts w:ascii="Verdana" w:eastAsia="Calibri" w:hAnsi="Verdana" w:cs="Arial"/>
          <w:lang w:val="es-ES" w:eastAsia="es-ES"/>
        </w:rPr>
        <w:t>octubre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F7467CA" w14:textId="77777777" w:rsidR="007E4284" w:rsidRPr="00326382" w:rsidRDefault="007E4284" w:rsidP="009C7820">
      <w:pPr>
        <w:spacing w:after="0" w:line="240" w:lineRule="auto"/>
        <w:ind w:left="709" w:right="474"/>
        <w:jc w:val="both"/>
        <w:rPr>
          <w:rFonts w:ascii="Verdana" w:hAnsi="Verdana" w:cs="Arial"/>
          <w:sz w:val="20"/>
          <w:szCs w:val="20"/>
          <w:shd w:val="clear" w:color="auto" w:fill="FFFFFF"/>
        </w:rPr>
      </w:pPr>
      <w:bookmarkStart w:id="4" w:name="_Hlk95313578"/>
    </w:p>
    <w:bookmarkEnd w:id="4"/>
    <w:p w14:paraId="7FBE5731" w14:textId="7C73F072" w:rsidR="007E4284" w:rsidRPr="00426DC2" w:rsidRDefault="007E4284" w:rsidP="00426DC2">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t>(…)</w:t>
      </w:r>
      <w:r w:rsidR="00D15311">
        <w:rPr>
          <w:rFonts w:ascii="Verdana" w:eastAsia="Century Gothic" w:hAnsi="Verdana" w:cs="Century Gothic"/>
          <w:i/>
          <w:iCs/>
          <w:lang w:val="es-CO"/>
        </w:rPr>
        <w:t xml:space="preserve"> </w:t>
      </w:r>
      <w:r w:rsidR="009C7820" w:rsidRPr="00426DC2">
        <w:rPr>
          <w:rFonts w:ascii="Verdana" w:eastAsia="Century Gothic" w:hAnsi="Verdana" w:cs="Century Gothic"/>
          <w:i/>
          <w:iCs/>
          <w:lang w:val="es-CO"/>
        </w:rPr>
        <w:t xml:space="preserve">¿Solicito muy amablemente me den claridad si una fundación sin ánimo de lucro que en su RUP y Certificado de existencia legal tiene un tamaño empresarial MICRO puede hacer limitación a MIPYMES a un proceso </w:t>
      </w:r>
      <w:proofErr w:type="spellStart"/>
      <w:r w:rsidR="009C7820" w:rsidRPr="00426DC2">
        <w:rPr>
          <w:rFonts w:ascii="Verdana" w:eastAsia="Century Gothic" w:hAnsi="Verdana" w:cs="Century Gothic"/>
          <w:i/>
          <w:iCs/>
          <w:lang w:val="es-CO"/>
        </w:rPr>
        <w:t>se</w:t>
      </w:r>
      <w:proofErr w:type="spellEnd"/>
      <w:r w:rsidR="009C7820" w:rsidRPr="00426DC2">
        <w:rPr>
          <w:rFonts w:ascii="Verdana" w:eastAsia="Century Gothic" w:hAnsi="Verdana" w:cs="Century Gothic"/>
          <w:i/>
          <w:iCs/>
          <w:lang w:val="es-CO"/>
        </w:rPr>
        <w:t xml:space="preserve"> selección abreviada de menor cuantía? </w:t>
      </w:r>
      <w:r w:rsidR="00D15311" w:rsidRPr="00426DC2">
        <w:rPr>
          <w:rFonts w:ascii="Verdana" w:eastAsia="Century Gothic" w:hAnsi="Verdana" w:cs="Century Gothic"/>
          <w:i/>
          <w:iCs/>
        </w:rPr>
        <w:t>(…)</w:t>
      </w:r>
    </w:p>
    <w:p w14:paraId="6AAFAC65" w14:textId="77777777" w:rsidR="00D209FA" w:rsidRDefault="00D209FA" w:rsidP="00D1531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2A463E1B" w14:textId="392B5304" w:rsidR="007E4284" w:rsidRPr="00593A5F" w:rsidRDefault="007E4284" w:rsidP="007E428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lastRenderedPageBreak/>
        <w:t xml:space="preserve">Problema </w:t>
      </w:r>
      <w:r w:rsidR="0028778A">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63C967C0" w14:textId="77777777" w:rsidR="007E4284" w:rsidRPr="00593A5F" w:rsidRDefault="007E4284" w:rsidP="007E4284">
      <w:pPr>
        <w:tabs>
          <w:tab w:val="left" w:pos="426"/>
        </w:tabs>
        <w:spacing w:after="0" w:line="276" w:lineRule="auto"/>
        <w:jc w:val="both"/>
        <w:rPr>
          <w:rFonts w:ascii="Verdana" w:eastAsia="Century Gothic" w:hAnsi="Verdana" w:cs="Century Gothic"/>
          <w:lang w:val="es-ES"/>
        </w:rPr>
      </w:pPr>
    </w:p>
    <w:p w14:paraId="3E7CBB4F" w14:textId="316FAE1A" w:rsidR="0028778A" w:rsidRDefault="00ED23CC" w:rsidP="004B5F84">
      <w:pPr>
        <w:pStyle w:val="Prrafodelista"/>
        <w:ind w:left="0" w:right="49"/>
        <w:jc w:val="both"/>
        <w:rPr>
          <w:rFonts w:ascii="Verdana" w:eastAsia="Century Gothic" w:hAnsi="Verdana" w:cs="Century Gothic"/>
          <w:i/>
          <w:iCs/>
        </w:rPr>
      </w:pPr>
      <w:r w:rsidRPr="00B22D91">
        <w:rPr>
          <w:rFonts w:ascii="Verdana" w:eastAsia="Century Gothic" w:hAnsi="Verdana" w:cs="Century Gothic"/>
        </w:rPr>
        <w:t>De acuerdo con el contenido de su solicitud, esta Agencia resolverá</w:t>
      </w:r>
      <w:r w:rsidR="00F365E7" w:rsidRPr="00B22D91">
        <w:rPr>
          <w:rFonts w:ascii="Verdana" w:eastAsia="Century Gothic" w:hAnsi="Verdana" w:cs="Century Gothic"/>
        </w:rPr>
        <w:t xml:space="preserve"> </w:t>
      </w:r>
      <w:r w:rsidR="00B22D91">
        <w:rPr>
          <w:rFonts w:ascii="Verdana" w:eastAsia="Century Gothic" w:hAnsi="Verdana" w:cs="Century Gothic"/>
        </w:rPr>
        <w:t xml:space="preserve">el siguiente </w:t>
      </w:r>
      <w:r w:rsidRPr="00B22D91">
        <w:rPr>
          <w:rFonts w:ascii="Verdana" w:eastAsia="Century Gothic" w:hAnsi="Verdana" w:cs="Century Gothic"/>
        </w:rPr>
        <w:t>problema jurídico:</w:t>
      </w:r>
      <w:r w:rsidR="008A3D98">
        <w:rPr>
          <w:rFonts w:ascii="Verdana" w:eastAsia="Century Gothic" w:hAnsi="Verdana" w:cs="Century Gothic"/>
          <w:i/>
          <w:iCs/>
        </w:rPr>
        <w:t xml:space="preserve"> </w:t>
      </w:r>
      <w:r w:rsidR="0028778A" w:rsidRPr="0028778A">
        <w:rPr>
          <w:rFonts w:ascii="Verdana" w:eastAsia="Century Gothic" w:hAnsi="Verdana" w:cs="Century Gothic"/>
          <w:i/>
          <w:iCs/>
        </w:rPr>
        <w:t xml:space="preserve">¿Puede una entidad sin ánimo de lucro acceder </w:t>
      </w:r>
      <w:r w:rsidR="0028778A">
        <w:rPr>
          <w:rFonts w:ascii="Verdana" w:eastAsia="Century Gothic" w:hAnsi="Verdana" w:cs="Century Gothic"/>
          <w:i/>
          <w:iCs/>
        </w:rPr>
        <w:t xml:space="preserve">a la </w:t>
      </w:r>
      <w:proofErr w:type="gramStart"/>
      <w:r w:rsidR="0028778A">
        <w:rPr>
          <w:rFonts w:ascii="Verdana" w:eastAsia="Century Gothic" w:hAnsi="Verdana" w:cs="Century Gothic"/>
          <w:i/>
          <w:iCs/>
        </w:rPr>
        <w:t xml:space="preserve">limitación </w:t>
      </w:r>
      <w:r w:rsidR="0028778A" w:rsidRPr="0028778A">
        <w:rPr>
          <w:rFonts w:ascii="Verdana" w:eastAsia="Century Gothic" w:hAnsi="Verdana" w:cs="Century Gothic"/>
          <w:i/>
          <w:iCs/>
        </w:rPr>
        <w:t xml:space="preserve"> para</w:t>
      </w:r>
      <w:proofErr w:type="gramEnd"/>
      <w:r w:rsidR="0028778A" w:rsidRPr="0028778A">
        <w:rPr>
          <w:rFonts w:ascii="Verdana" w:eastAsia="Century Gothic" w:hAnsi="Verdana" w:cs="Century Gothic"/>
          <w:i/>
          <w:iCs/>
        </w:rPr>
        <w:t xml:space="preserve"> </w:t>
      </w:r>
      <w:proofErr w:type="spellStart"/>
      <w:r w:rsidR="0028778A">
        <w:rPr>
          <w:rFonts w:ascii="Verdana" w:eastAsia="Century Gothic" w:hAnsi="Verdana" w:cs="Century Gothic"/>
          <w:i/>
          <w:iCs/>
        </w:rPr>
        <w:t>M</w:t>
      </w:r>
      <w:r w:rsidR="0028778A" w:rsidRPr="0028778A">
        <w:rPr>
          <w:rFonts w:ascii="Verdana" w:eastAsia="Century Gothic" w:hAnsi="Verdana" w:cs="Century Gothic"/>
          <w:i/>
          <w:iCs/>
        </w:rPr>
        <w:t>ipymes</w:t>
      </w:r>
      <w:proofErr w:type="spellEnd"/>
      <w:r w:rsidR="0028778A" w:rsidRPr="0028778A">
        <w:rPr>
          <w:rFonts w:ascii="Verdana" w:eastAsia="Century Gothic" w:hAnsi="Verdana" w:cs="Century Gothic"/>
          <w:i/>
          <w:iCs/>
        </w:rPr>
        <w:t xml:space="preserve"> </w:t>
      </w:r>
      <w:r w:rsidR="0028778A">
        <w:rPr>
          <w:rFonts w:ascii="Verdana" w:eastAsia="Century Gothic" w:hAnsi="Verdana" w:cs="Century Gothic"/>
          <w:i/>
          <w:iCs/>
        </w:rPr>
        <w:t xml:space="preserve">en el marco de un proceso de contratación de </w:t>
      </w:r>
      <w:r w:rsidR="0028778A" w:rsidRPr="009C7820">
        <w:rPr>
          <w:rFonts w:ascii="Verdana" w:eastAsia="Century Gothic" w:hAnsi="Verdana" w:cs="Century Gothic"/>
          <w:i/>
          <w:iCs/>
          <w:lang w:val="es-CO"/>
        </w:rPr>
        <w:t>selección abreviada de menor cuantía?</w:t>
      </w:r>
    </w:p>
    <w:p w14:paraId="4928B7F1" w14:textId="77777777" w:rsidR="0028778A" w:rsidRDefault="0028778A" w:rsidP="004B5F84">
      <w:pPr>
        <w:pStyle w:val="Prrafodelista"/>
        <w:ind w:left="0" w:right="49"/>
        <w:jc w:val="both"/>
        <w:rPr>
          <w:rFonts w:ascii="Verdana" w:eastAsia="Century Gothic" w:hAnsi="Verdana" w:cs="Century Gothic"/>
          <w:i/>
          <w:iCs/>
        </w:rPr>
      </w:pPr>
    </w:p>
    <w:p w14:paraId="46FF434C"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9C585E9" w14:textId="77777777" w:rsidR="007E4284" w:rsidRPr="00593A5F" w:rsidRDefault="007E4284" w:rsidP="007E42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4284" w:rsidRPr="00593A5F" w14:paraId="17A28E7E" w14:textId="77777777">
        <w:tc>
          <w:tcPr>
            <w:tcW w:w="8828" w:type="dxa"/>
            <w:shd w:val="clear" w:color="auto" w:fill="auto"/>
          </w:tcPr>
          <w:p w14:paraId="551CB911" w14:textId="437E8BCF" w:rsidR="00EF3BDD" w:rsidRDefault="00EF3BDD" w:rsidP="00EF3BDD">
            <w:pPr>
              <w:spacing w:line="276" w:lineRule="auto"/>
              <w:jc w:val="both"/>
              <w:rPr>
                <w:rFonts w:ascii="Verdana" w:eastAsia="Century Gothic" w:hAnsi="Verdana" w:cs="Century Gothic"/>
              </w:rPr>
            </w:pPr>
            <w:r>
              <w:rPr>
                <w:rFonts w:ascii="Verdana" w:hAnsi="Verdana" w:cs="Arial"/>
                <w:lang w:val="es-ES_tradnl"/>
              </w:rPr>
              <w:t xml:space="preserve">Comoquiera que, por regla general, las entidades sin ánimo de lucro no desarrollan actividades explotación económica conforme al artículo 2 de la Ley 590 del 2000, estas no son clasificadas como </w:t>
            </w:r>
            <w:proofErr w:type="spellStart"/>
            <w:r w:rsidR="003123C7">
              <w:rPr>
                <w:rFonts w:ascii="Verdana" w:hAnsi="Verdana" w:cs="Arial"/>
                <w:lang w:val="es-ES_tradnl"/>
              </w:rPr>
              <w:t>M</w:t>
            </w:r>
            <w:r>
              <w:rPr>
                <w:rFonts w:ascii="Verdana" w:hAnsi="Verdana" w:cs="Arial"/>
                <w:lang w:val="es-ES_tradnl"/>
              </w:rPr>
              <w:t>ipymes</w:t>
            </w:r>
            <w:proofErr w:type="spellEnd"/>
            <w:r>
              <w:rPr>
                <w:rFonts w:ascii="Verdana" w:hAnsi="Verdana" w:cs="Arial"/>
                <w:lang w:val="es-ES_tradnl"/>
              </w:rPr>
              <w:t xml:space="preserve"> de acuerdo con el artículo </w:t>
            </w:r>
            <w:r w:rsidRPr="007E2DF6">
              <w:rPr>
                <w:rFonts w:ascii="Verdana" w:hAnsi="Verdana" w:cs="Arial"/>
                <w:lang w:val="es-ES_tradnl"/>
              </w:rPr>
              <w:t>2.2.1.13.2.2. del Decreto 1074 de 2015</w:t>
            </w:r>
            <w:r>
              <w:rPr>
                <w:rFonts w:ascii="Verdana" w:hAnsi="Verdana" w:cs="Arial"/>
                <w:lang w:val="es-ES_tradnl"/>
              </w:rPr>
              <w:t xml:space="preserve">. En atención a esto, entidades sin ánimo de lucro como las fundaciones, corporaciones y asociaciones civiles, no pueden acceder a los criterios diferenciales de las </w:t>
            </w:r>
            <w:r w:rsidR="003123C7">
              <w:rPr>
                <w:rFonts w:ascii="Verdana" w:hAnsi="Verdana" w:cs="Arial"/>
                <w:lang w:val="es-ES_tradnl"/>
              </w:rPr>
              <w:t>limitaciones</w:t>
            </w:r>
            <w:r>
              <w:rPr>
                <w:rFonts w:ascii="Verdana" w:hAnsi="Verdana" w:cs="Arial"/>
                <w:lang w:val="es-ES_tradnl"/>
              </w:rPr>
              <w:t xml:space="preserve"> de </w:t>
            </w:r>
            <w:proofErr w:type="spellStart"/>
            <w:r>
              <w:rPr>
                <w:rFonts w:ascii="Verdana" w:hAnsi="Verdana" w:cs="Arial"/>
                <w:lang w:val="es-ES_tradnl"/>
              </w:rPr>
              <w:t>mipymes</w:t>
            </w:r>
            <w:proofErr w:type="spellEnd"/>
            <w:r>
              <w:rPr>
                <w:rFonts w:ascii="Verdana" w:hAnsi="Verdana" w:cs="Arial"/>
                <w:lang w:val="es-ES_tradnl"/>
              </w:rPr>
              <w:t xml:space="preserve"> regulados por el</w:t>
            </w:r>
            <w:r>
              <w:rPr>
                <w:rFonts w:ascii="Verdana" w:eastAsia="Century Gothic" w:hAnsi="Verdana" w:cs="Century Gothic"/>
              </w:rPr>
              <w:t xml:space="preserve"> artículo </w:t>
            </w:r>
            <w:r w:rsidRPr="00065FED">
              <w:rPr>
                <w:rFonts w:ascii="Verdana" w:eastAsia="Century Gothic" w:hAnsi="Verdana" w:cs="Century Gothic"/>
              </w:rPr>
              <w:t>2.2.1.2.4.2.18</w:t>
            </w:r>
            <w:r>
              <w:rPr>
                <w:rFonts w:ascii="Verdana" w:eastAsia="Century Gothic" w:hAnsi="Verdana" w:cs="Century Gothic"/>
              </w:rPr>
              <w:t xml:space="preserve"> del Decreto 1082 de 2015.</w:t>
            </w:r>
          </w:p>
          <w:p w14:paraId="49F49FF6" w14:textId="77777777" w:rsidR="00EF3BDD" w:rsidRDefault="00EF3BDD" w:rsidP="00EF3BDD">
            <w:pPr>
              <w:spacing w:line="276" w:lineRule="auto"/>
              <w:jc w:val="both"/>
              <w:rPr>
                <w:rFonts w:ascii="Verdana" w:eastAsia="Century Gothic" w:hAnsi="Verdana" w:cs="Century Gothic"/>
              </w:rPr>
            </w:pPr>
          </w:p>
          <w:p w14:paraId="1B25E3D8" w14:textId="48A97197" w:rsidR="00694654" w:rsidRPr="00831CDD" w:rsidRDefault="00EF3BDD" w:rsidP="00EF3BDD">
            <w:pPr>
              <w:spacing w:after="120" w:line="276" w:lineRule="auto"/>
              <w:jc w:val="both"/>
              <w:rPr>
                <w:rFonts w:ascii="Verdana" w:hAnsi="Verdana" w:cs="Arial"/>
                <w:bCs/>
                <w:color w:val="000000" w:themeColor="text1"/>
              </w:rPr>
            </w:pPr>
            <w:r>
              <w:rPr>
                <w:rFonts w:ascii="Verdana" w:eastAsia="Century Gothic" w:hAnsi="Verdana" w:cs="Century Gothic"/>
              </w:rPr>
              <w:t xml:space="preserve">Sin perjuicio de lo anterior, en virtud de lo establecido en el artículo 23 de la Ley 2069 de 2020, las entidades sin ánimo de lucro que pertenecen a la economía </w:t>
            </w:r>
            <w:proofErr w:type="gramStart"/>
            <w:r>
              <w:rPr>
                <w:rFonts w:ascii="Verdana" w:eastAsia="Century Gothic" w:hAnsi="Verdana" w:cs="Century Gothic"/>
              </w:rPr>
              <w:t>solidaría</w:t>
            </w:r>
            <w:proofErr w:type="gramEnd"/>
            <w:r>
              <w:rPr>
                <w:rFonts w:ascii="Verdana" w:eastAsia="Century Gothic" w:hAnsi="Verdana" w:cs="Century Gothic"/>
              </w:rPr>
              <w:t xml:space="preserve"> si pueden acceder a estos puntajes, siempre que se ubiquen dentro del segmento de </w:t>
            </w:r>
            <w:proofErr w:type="spellStart"/>
            <w:r>
              <w:rPr>
                <w:rFonts w:ascii="Verdana" w:eastAsia="Century Gothic" w:hAnsi="Verdana" w:cs="Century Gothic"/>
              </w:rPr>
              <w:t>mipymes</w:t>
            </w:r>
            <w:proofErr w:type="spellEnd"/>
            <w:r>
              <w:rPr>
                <w:rFonts w:ascii="Verdana" w:eastAsia="Century Gothic" w:hAnsi="Verdana" w:cs="Century Gothic"/>
              </w:rPr>
              <w:t xml:space="preserve"> de acuerdo con el artículo </w:t>
            </w:r>
            <w:r w:rsidRPr="007E2DF6">
              <w:rPr>
                <w:rFonts w:ascii="Verdana" w:hAnsi="Verdana" w:cs="Arial"/>
                <w:lang w:val="es-ES_tradnl"/>
              </w:rPr>
              <w:t>2.2.1.13.2.2</w:t>
            </w:r>
            <w:r>
              <w:rPr>
                <w:rFonts w:ascii="Verdana" w:hAnsi="Verdana" w:cs="Arial"/>
                <w:lang w:val="es-ES_tradnl"/>
              </w:rPr>
              <w:t xml:space="preserve"> del Decreto 1074 de 2015.</w:t>
            </w:r>
          </w:p>
        </w:tc>
      </w:tr>
      <w:tr w:rsidR="007E4284" w:rsidRPr="00593A5F" w14:paraId="2A7558CB" w14:textId="77777777">
        <w:tc>
          <w:tcPr>
            <w:tcW w:w="8828" w:type="dxa"/>
            <w:shd w:val="clear" w:color="auto" w:fill="auto"/>
          </w:tcPr>
          <w:p w14:paraId="52413404" w14:textId="77777777" w:rsidR="007E4284" w:rsidRPr="002973E9" w:rsidRDefault="007E4284">
            <w:pPr>
              <w:spacing w:line="276" w:lineRule="auto"/>
              <w:jc w:val="both"/>
              <w:rPr>
                <w:rFonts w:ascii="Verdana" w:eastAsia="Calibri" w:hAnsi="Verdana" w:cs="Arial"/>
                <w:lang w:val="es-ES"/>
              </w:rPr>
            </w:pPr>
          </w:p>
        </w:tc>
      </w:tr>
    </w:tbl>
    <w:p w14:paraId="72DC2754" w14:textId="77777777" w:rsidR="007E4284" w:rsidRDefault="007E4284" w:rsidP="007E4284">
      <w:pPr>
        <w:tabs>
          <w:tab w:val="left" w:pos="142"/>
          <w:tab w:val="left" w:pos="284"/>
        </w:tabs>
        <w:spacing w:after="0" w:line="276" w:lineRule="auto"/>
        <w:jc w:val="both"/>
        <w:rPr>
          <w:rFonts w:ascii="Verdana" w:eastAsia="Century Gothic" w:hAnsi="Verdana" w:cs="Century Gothic"/>
          <w:b/>
          <w:bCs/>
          <w:lang w:val="es-ES"/>
        </w:rPr>
      </w:pPr>
    </w:p>
    <w:p w14:paraId="02DDBB94"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F71CC33" w14:textId="77777777" w:rsidR="007E4284" w:rsidRPr="00593A5F" w:rsidRDefault="007E4284" w:rsidP="007E4284">
      <w:pPr>
        <w:spacing w:after="0" w:line="276" w:lineRule="auto"/>
        <w:jc w:val="both"/>
        <w:rPr>
          <w:rFonts w:ascii="Verdana" w:eastAsia="Calibri" w:hAnsi="Verdana" w:cs="Arial"/>
          <w:color w:val="7030A0"/>
          <w:lang w:val="es-ES"/>
        </w:rPr>
      </w:pPr>
    </w:p>
    <w:p w14:paraId="4B13D71C" w14:textId="4DF62019" w:rsidR="009063E3" w:rsidRDefault="00503C19" w:rsidP="00DE1934">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3213EE01" w14:textId="77777777" w:rsidR="00DE1934" w:rsidRDefault="00DE1934" w:rsidP="00DE1934">
      <w:pPr>
        <w:spacing w:after="0" w:line="276" w:lineRule="auto"/>
        <w:jc w:val="both"/>
        <w:rPr>
          <w:rFonts w:ascii="Verdana" w:eastAsia="Calibri" w:hAnsi="Verdana" w:cs="Arial"/>
          <w:lang w:val="es-ES"/>
        </w:rPr>
      </w:pPr>
    </w:p>
    <w:p w14:paraId="0B1C0F93" w14:textId="77777777" w:rsidR="00DE1934" w:rsidRDefault="00DE1934" w:rsidP="00DE1934">
      <w:pPr>
        <w:spacing w:after="120" w:line="276" w:lineRule="auto"/>
        <w:jc w:val="both"/>
        <w:rPr>
          <w:rFonts w:ascii="Verdana" w:hAnsi="Verdana"/>
        </w:rPr>
      </w:pPr>
      <w:r w:rsidRPr="00311100">
        <w:rPr>
          <w:rFonts w:ascii="Verdana" w:hAnsi="Verdana"/>
        </w:rPr>
        <w:t>El 31 de diciembre de 2020 se promulgó la Ley 2069, “</w:t>
      </w:r>
      <w:r w:rsidRPr="00311100">
        <w:rPr>
          <w:rFonts w:ascii="Verdana" w:hAnsi="Verdana"/>
          <w:i/>
          <w:iCs/>
        </w:rPr>
        <w:t>Por medio de la cual se impulsa el emprendimiento en Colombia</w:t>
      </w:r>
      <w:r w:rsidRPr="00311100">
        <w:rPr>
          <w:rFonts w:ascii="Verdana" w:hAnsi="Verdana"/>
        </w:rPr>
        <w:t xml:space="preserve">”.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11100">
        <w:rPr>
          <w:rFonts w:ascii="Verdana" w:hAnsi="Verdana"/>
        </w:rPr>
        <w:t>de acuerdo a</w:t>
      </w:r>
      <w:proofErr w:type="gramEnd"/>
      <w:r w:rsidRPr="00311100">
        <w:rPr>
          <w:rFonts w:ascii="Verdana" w:hAnsi="Verdana"/>
        </w:rPr>
        <w:t xml:space="preserve"> las realidades socioeconómicas de cada región”. En desarrollo de esta finalidad, se establecen medidas de apoyo para las micro, pequeñas y medianas empresas –</w:t>
      </w:r>
      <w:proofErr w:type="spellStart"/>
      <w:r w:rsidRPr="008B1BCA">
        <w:rPr>
          <w:rFonts w:ascii="Verdana" w:hAnsi="Verdana"/>
        </w:rPr>
        <w:t>m</w:t>
      </w:r>
      <w:r w:rsidRPr="00311100">
        <w:rPr>
          <w:rFonts w:ascii="Verdana" w:hAnsi="Verdana"/>
        </w:rPr>
        <w:t>ipymes</w:t>
      </w:r>
      <w:proofErr w:type="spellEnd"/>
      <w:r w:rsidRPr="00311100">
        <w:rPr>
          <w:rFonts w:ascii="Verdana" w:hAnsi="Verdana"/>
        </w:rPr>
        <w:t xml:space="preserve">–, mediante la racionalización y </w:t>
      </w:r>
      <w:r w:rsidRPr="00311100">
        <w:rPr>
          <w:rFonts w:ascii="Verdana" w:hAnsi="Verdana"/>
        </w:rPr>
        <w:lastRenderedPageBreak/>
        <w:t>simplificación de los trámites y tarifas</w:t>
      </w:r>
      <w:r w:rsidRPr="00311100">
        <w:rPr>
          <w:rStyle w:val="Refdenotaalpie"/>
          <w:rFonts w:ascii="Verdana" w:hAnsi="Verdana"/>
        </w:rPr>
        <w:footnoteReference w:id="1"/>
      </w:r>
      <w:r w:rsidRPr="00311100">
        <w:rPr>
          <w:rFonts w:ascii="Verdana" w:hAnsi="Verdana"/>
        </w:rPr>
        <w:t xml:space="preserve"> , así como incentivos a favor de aquellas dentro del sistema de compras y contratación pública</w:t>
      </w:r>
      <w:r w:rsidRPr="00311100">
        <w:rPr>
          <w:rStyle w:val="Refdenotaalpie"/>
          <w:rFonts w:ascii="Verdana" w:hAnsi="Verdana"/>
        </w:rPr>
        <w:footnoteReference w:id="2"/>
      </w:r>
      <w:r w:rsidRPr="00311100">
        <w:rPr>
          <w:rFonts w:ascii="Verdana" w:hAnsi="Verdana"/>
        </w:rPr>
        <w:t>.</w:t>
      </w:r>
    </w:p>
    <w:p w14:paraId="4E8E3A8A" w14:textId="77777777" w:rsidR="00DE1934" w:rsidRPr="00CE2B89" w:rsidRDefault="00DE1934" w:rsidP="00DE1934">
      <w:pPr>
        <w:spacing w:after="120" w:line="276" w:lineRule="auto"/>
        <w:jc w:val="both"/>
        <w:rPr>
          <w:rFonts w:ascii="Verdana" w:hAnsi="Verdana"/>
        </w:rPr>
      </w:pPr>
      <w:r>
        <w:rPr>
          <w:rFonts w:ascii="Verdana" w:hAnsi="Verdana"/>
        </w:rPr>
        <w:tab/>
      </w:r>
      <w:bookmarkStart w:id="5" w:name="_Hlk184213842"/>
      <w:r w:rsidRPr="00CE2B89">
        <w:rPr>
          <w:rFonts w:ascii="Verdana" w:hAnsi="Verdana"/>
        </w:rPr>
        <w:t xml:space="preserve">En función de esta finalidad, el artículo 31 de la Ley 2069 de 2020 estableció que las entidades estatales de acuerdo con el análisis del sector deben implementar requisitos diferenciales y puntajes adicionales función del tamaño empresarial para la promoción del acceso de las </w:t>
      </w:r>
      <w:proofErr w:type="spellStart"/>
      <w:r w:rsidRPr="00CE2B89">
        <w:rPr>
          <w:rFonts w:ascii="Verdana" w:hAnsi="Verdana"/>
        </w:rPr>
        <w:t>mipymes</w:t>
      </w:r>
      <w:proofErr w:type="spellEnd"/>
      <w:r w:rsidRPr="00CE2B89">
        <w:rPr>
          <w:rFonts w:ascii="Verdana" w:hAnsi="Verdana"/>
        </w:rPr>
        <w:t xml:space="preserve"> al mercado de Compras Públicas. La aplicación de estos criterios, por disposición expresa del referido artículo, quedó condicionada por la expedición de su reglamentación </w:t>
      </w:r>
    </w:p>
    <w:p w14:paraId="4168AC8E" w14:textId="77777777" w:rsidR="00DE1934" w:rsidRPr="00311100" w:rsidRDefault="00DE1934" w:rsidP="00DE1934">
      <w:pPr>
        <w:spacing w:after="120" w:line="276" w:lineRule="auto"/>
        <w:jc w:val="both"/>
        <w:rPr>
          <w:rFonts w:ascii="Verdana" w:eastAsia="Arial" w:hAnsi="Verdana" w:cs="Arial"/>
          <w:lang w:eastAsia="es-MX"/>
        </w:rPr>
      </w:pPr>
      <w:r w:rsidRPr="00CE2B89">
        <w:rPr>
          <w:rFonts w:ascii="Verdana" w:hAnsi="Verdana"/>
        </w:rPr>
        <w:t xml:space="preserve"> </w:t>
      </w:r>
      <w:r w:rsidRPr="00CE2B89">
        <w:rPr>
          <w:rFonts w:ascii="Verdana" w:hAnsi="Verdana"/>
        </w:rPr>
        <w:tab/>
      </w:r>
      <w:bookmarkStart w:id="6" w:name="_Hlk110840316"/>
      <w:r w:rsidRPr="00311100">
        <w:rPr>
          <w:rFonts w:ascii="Verdana" w:eastAsia="Times New Roman" w:hAnsi="Verdana" w:cs="Arial"/>
          <w:color w:val="000000" w:themeColor="text1"/>
          <w:lang w:eastAsia="es-MX"/>
        </w:rPr>
        <w:t xml:space="preserve">El artículo 3 del Decreto 1860 de 2021, adicionó </w:t>
      </w:r>
      <w:r w:rsidRPr="00311100">
        <w:rPr>
          <w:rFonts w:ascii="Verdana" w:eastAsia="Times New Roman" w:hAnsi="Verdana" w:cs="Arial"/>
          <w:bCs/>
          <w:color w:val="000000" w:themeColor="text1"/>
          <w:lang w:eastAsia="es-MX"/>
        </w:rPr>
        <w:t xml:space="preserve">el artículo 2.2.1.2.4.2.18 al </w:t>
      </w:r>
      <w:r w:rsidRPr="00311100">
        <w:rPr>
          <w:rFonts w:ascii="Verdana" w:eastAsia="Times New Roman" w:hAnsi="Verdana" w:cs="Arial"/>
          <w:lang w:eastAsia="es-MX"/>
        </w:rPr>
        <w:t xml:space="preserve">Decreto 1082 de 2015 regulando los criterios diferenciales para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establecidos por el artículo 31 de la Ley 2069 de 2020. En virtud de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domiciliadas en Colombia. </w:t>
      </w:r>
    </w:p>
    <w:p w14:paraId="67B0970E" w14:textId="77777777" w:rsidR="00DE1934" w:rsidRPr="00311100" w:rsidRDefault="00DE1934" w:rsidP="00DE1934">
      <w:pPr>
        <w:spacing w:after="120" w:line="276" w:lineRule="auto"/>
        <w:jc w:val="both"/>
        <w:rPr>
          <w:rFonts w:ascii="Verdana" w:eastAsia="Times New Roman" w:hAnsi="Verdana" w:cs="Arial"/>
          <w:color w:val="000000" w:themeColor="text1"/>
          <w:lang w:eastAsia="es-MX"/>
        </w:rPr>
      </w:pPr>
      <w:r w:rsidRPr="00311100">
        <w:rPr>
          <w:rFonts w:ascii="Verdana" w:eastAsia="Arial" w:hAnsi="Verdana" w:cs="Arial"/>
          <w:lang w:eastAsia="es-MX"/>
        </w:rPr>
        <w:tab/>
      </w:r>
      <w:r w:rsidRPr="00311100">
        <w:rPr>
          <w:rFonts w:ascii="Verdana" w:eastAsia="Times New Roman" w:hAnsi="Verdana" w:cs="Arial"/>
          <w:lang w:eastAsia="es-MX"/>
        </w:rPr>
        <w:t xml:space="preserve">Estos criterios en favor de las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311100">
        <w:rPr>
          <w:rFonts w:ascii="Verdana" w:eastAsia="Times New Roman" w:hAnsi="Verdana" w:cs="Arial"/>
          <w:color w:val="000000" w:themeColor="text1"/>
          <w:lang w:eastAsia="es-MX"/>
        </w:rPr>
        <w:t xml:space="preserve">requisitos habilitantes diferenciales relacionados con alguno o algunos de los siguientes aspectos: i) tiempo de experiencia, </w:t>
      </w:r>
      <w:proofErr w:type="spellStart"/>
      <w:r w:rsidRPr="00311100">
        <w:rPr>
          <w:rFonts w:ascii="Verdana" w:eastAsia="Times New Roman" w:hAnsi="Verdana" w:cs="Arial"/>
          <w:color w:val="000000" w:themeColor="text1"/>
          <w:lang w:eastAsia="es-MX"/>
        </w:rPr>
        <w:t>ii</w:t>
      </w:r>
      <w:proofErr w:type="spellEnd"/>
      <w:r w:rsidRPr="00311100">
        <w:rPr>
          <w:rFonts w:ascii="Verdana" w:eastAsia="Times New Roman" w:hAnsi="Verdana" w:cs="Arial"/>
          <w:color w:val="000000" w:themeColor="text1"/>
          <w:lang w:eastAsia="es-MX"/>
        </w:rPr>
        <w:t xml:space="preserve">) número de contratos para la acreditación de la experiencia, </w:t>
      </w:r>
      <w:proofErr w:type="spellStart"/>
      <w:r w:rsidRPr="00311100">
        <w:rPr>
          <w:rFonts w:ascii="Verdana" w:eastAsia="Times New Roman" w:hAnsi="Verdana" w:cs="Arial"/>
          <w:color w:val="000000" w:themeColor="text1"/>
          <w:lang w:eastAsia="es-MX"/>
        </w:rPr>
        <w:t>iii</w:t>
      </w:r>
      <w:proofErr w:type="spellEnd"/>
      <w:r w:rsidRPr="00311100">
        <w:rPr>
          <w:rFonts w:ascii="Verdana" w:eastAsia="Times New Roman" w:hAnsi="Verdana" w:cs="Arial"/>
          <w:color w:val="000000" w:themeColor="text1"/>
          <w:lang w:eastAsia="es-MX"/>
        </w:rPr>
        <w:t xml:space="preserve">) índices de capacidad financiera, </w:t>
      </w:r>
      <w:proofErr w:type="spellStart"/>
      <w:r w:rsidRPr="00311100">
        <w:rPr>
          <w:rFonts w:ascii="Verdana" w:eastAsia="Times New Roman" w:hAnsi="Verdana" w:cs="Arial"/>
          <w:color w:val="000000" w:themeColor="text1"/>
          <w:lang w:eastAsia="es-MX"/>
        </w:rPr>
        <w:t>iv</w:t>
      </w:r>
      <w:proofErr w:type="spellEnd"/>
      <w:r w:rsidRPr="00311100">
        <w:rPr>
          <w:rFonts w:ascii="Verdana" w:eastAsia="Times New Roman" w:hAnsi="Verdana" w:cs="Arial"/>
          <w:color w:val="000000" w:themeColor="text1"/>
          <w:lang w:eastAsia="es-MX"/>
        </w:rPr>
        <w:t xml:space="preserve">) índices de capacidad organizacional y v) valor de la garantía de seriedad de la oferta. </w:t>
      </w:r>
    </w:p>
    <w:p w14:paraId="7C9FDB42" w14:textId="77777777" w:rsidR="00DE1934" w:rsidRPr="00311100" w:rsidRDefault="00DE1934" w:rsidP="00DE1934">
      <w:pPr>
        <w:spacing w:after="120" w:line="276" w:lineRule="auto"/>
        <w:ind w:firstLine="708"/>
        <w:jc w:val="both"/>
        <w:rPr>
          <w:rFonts w:ascii="Verdana" w:eastAsia="Times New Roman" w:hAnsi="Verdana" w:cs="Arial"/>
          <w:lang w:eastAsia="es-MX"/>
        </w:rPr>
      </w:pPr>
      <w:r w:rsidRPr="00311100">
        <w:rPr>
          <w:rFonts w:ascii="Verdana" w:eastAsia="Times New Roman" w:hAnsi="Verdana" w:cs="Arial"/>
          <w:color w:val="000000" w:themeColor="text1"/>
          <w:lang w:eastAsia="es-MX"/>
        </w:rPr>
        <w:t xml:space="preserve">Lo anterior significa que para la determinación de los criterios diferenciales para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w:t>
      </w:r>
      <w:r w:rsidRPr="00311100">
        <w:rPr>
          <w:rFonts w:ascii="Verdana" w:eastAsia="Times New Roman" w:hAnsi="Verdana" w:cs="Arial"/>
          <w:color w:val="000000" w:themeColor="text1"/>
          <w:lang w:eastAsia="es-MX"/>
        </w:rPr>
        <w:lastRenderedPageBreak/>
        <w:t xml:space="preserve">criterios de participación antes enunciados frente a los demás proponentes que concurran al procedimiento de selección que no sean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w:t>
      </w:r>
    </w:p>
    <w:bookmarkEnd w:id="6"/>
    <w:p w14:paraId="1BAB77C1" w14:textId="77777777" w:rsidR="00DE1934" w:rsidRPr="00311100" w:rsidRDefault="00DE1934" w:rsidP="00DE1934">
      <w:pPr>
        <w:spacing w:after="120" w:line="276" w:lineRule="auto"/>
        <w:ind w:firstLine="708"/>
        <w:jc w:val="both"/>
        <w:rPr>
          <w:rFonts w:ascii="Verdana" w:eastAsia="Times New Roman" w:hAnsi="Verdana" w:cs="Arial"/>
          <w:color w:val="000000" w:themeColor="text1"/>
          <w:lang w:eastAsia="es-MX"/>
        </w:rPr>
      </w:pPr>
      <w:r w:rsidRPr="00311100">
        <w:rPr>
          <w:rFonts w:ascii="Verdana" w:eastAsia="Times New Roman" w:hAnsi="Verdana" w:cs="Arial"/>
          <w:lang w:eastAsia="es-MX"/>
        </w:rPr>
        <w:t>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e</w:t>
      </w:r>
      <w:r w:rsidRPr="00311100">
        <w:rPr>
          <w:rFonts w:ascii="Verdana" w:eastAsia="Times New Roman" w:hAnsi="Verdana" w:cs="Arial"/>
          <w:color w:val="000000" w:themeColor="text1"/>
          <w:lang w:eastAsia="es-MX"/>
        </w:rPr>
        <w:t xml:space="preserve">sto con el objeto de que la aplicación del incentivo no vaya en desmedro de la escogencia de la oferta más favorable para la entidad, conforme el deber de selección objetiva exige, por lo que el reglamento estimó como adecuado el porcentaje señalado. </w:t>
      </w:r>
    </w:p>
    <w:p w14:paraId="1C1DD57F" w14:textId="77777777" w:rsidR="00DE1934" w:rsidRPr="00311100" w:rsidRDefault="00DE1934" w:rsidP="00DE1934">
      <w:pPr>
        <w:spacing w:after="120" w:line="276" w:lineRule="auto"/>
        <w:ind w:firstLine="708"/>
        <w:jc w:val="both"/>
        <w:rPr>
          <w:rFonts w:ascii="Verdana" w:eastAsia="Times New Roman" w:hAnsi="Verdana" w:cs="Arial"/>
          <w:color w:val="000000" w:themeColor="text1"/>
          <w:lang w:eastAsia="es-MX"/>
        </w:rPr>
      </w:pPr>
      <w:r w:rsidRPr="00311100">
        <w:rPr>
          <w:rFonts w:ascii="Verdana" w:eastAsia="Times New Roman" w:hAnsi="Verdana" w:cs="Arial"/>
          <w:lang w:eastAsia="es-MX"/>
        </w:rPr>
        <w:t xml:space="preserve">En lo relativo a la aplicación de los criterios diferenciales y puntajes adicionales para proponentes plurales solo se aplicarán si por lo menos uno de los integrantes acredita la calidad de </w:t>
      </w:r>
      <w:proofErr w:type="spellStart"/>
      <w:r w:rsidRPr="00311100">
        <w:rPr>
          <w:rFonts w:ascii="Verdana" w:eastAsia="Times New Roman" w:hAnsi="Verdana" w:cs="Arial"/>
          <w:lang w:eastAsia="es-MX"/>
        </w:rPr>
        <w:t>Mipyme</w:t>
      </w:r>
      <w:proofErr w:type="spellEnd"/>
      <w:r w:rsidRPr="00311100">
        <w:rPr>
          <w:rFonts w:ascii="Verdana" w:eastAsia="Times New Roman" w:hAnsi="Verdana" w:cs="Arial"/>
          <w:lang w:eastAsia="es-MX"/>
        </w:rPr>
        <w:t xml:space="preserve"> y tiene una participación igual o superior al diez por ciento (10%) en el consorcio o en la unión temporal. Así mismo, de conformidad con el parágrafo 3 del artículo 2.2.1.2.4.2.18 del Decreto 1082 de 2015 los criterios diferenciales y puntajes adicionales en favor de las micro, pequeñas y medianas empresas no</w:t>
      </w:r>
      <w:r w:rsidRPr="00311100">
        <w:rPr>
          <w:rFonts w:ascii="Verdana" w:eastAsia="Times New Roman" w:hAnsi="Verdana" w:cs="Arial"/>
          <w:color w:val="000000" w:themeColor="text1"/>
          <w:lang w:eastAsia="es-MX"/>
        </w:rPr>
        <w:t xml:space="preserve"> se aplicarán cuando se limiten las convocatorias a </w:t>
      </w:r>
      <w:proofErr w:type="spellStart"/>
      <w:r w:rsidRPr="00311100">
        <w:rPr>
          <w:rFonts w:ascii="Verdana" w:eastAsia="Times New Roman" w:hAnsi="Verdana" w:cs="Arial"/>
          <w:color w:val="000000" w:themeColor="text1"/>
          <w:lang w:eastAsia="es-MX"/>
        </w:rPr>
        <w:t>Mipyme</w:t>
      </w:r>
      <w:proofErr w:type="spellEnd"/>
      <w:r w:rsidRPr="00311100">
        <w:rPr>
          <w:rFonts w:ascii="Verdana" w:eastAsia="Times New Roman" w:hAnsi="Verdana" w:cs="Arial"/>
          <w:color w:val="000000" w:themeColor="text1"/>
          <w:lang w:eastAsia="es-MX"/>
        </w:rPr>
        <w:t xml:space="preserve"> en los términos de los artículos 2.2.1.2.4.2.2 y 2.2.1.2.4.2.3 del Decreto 1082 de 2015. </w:t>
      </w:r>
    </w:p>
    <w:p w14:paraId="3F942D52" w14:textId="77777777" w:rsidR="00DE1934" w:rsidRPr="00311100" w:rsidRDefault="00DE1934" w:rsidP="00DE1934">
      <w:pPr>
        <w:spacing w:after="120" w:line="276" w:lineRule="auto"/>
        <w:ind w:firstLine="708"/>
        <w:jc w:val="both"/>
        <w:rPr>
          <w:rFonts w:ascii="Verdana" w:hAnsi="Verdana" w:cs="Arial"/>
          <w:lang w:val="es-ES_tradnl"/>
        </w:rPr>
      </w:pPr>
      <w:r w:rsidRPr="00311100">
        <w:rPr>
          <w:rFonts w:ascii="Verdana" w:hAnsi="Verdana" w:cs="Arial"/>
          <w:lang w:val="es-ES_tradnl"/>
        </w:rPr>
        <w:t xml:space="preserve">Ahora bien, en la medida en que el puntaje regulado por el artículo </w:t>
      </w:r>
      <w:r w:rsidRPr="00311100">
        <w:rPr>
          <w:rFonts w:ascii="Verdana" w:eastAsia="Times New Roman" w:hAnsi="Verdana" w:cs="Arial"/>
          <w:bCs/>
          <w:color w:val="000000" w:themeColor="text1"/>
          <w:lang w:eastAsia="es-MX"/>
        </w:rPr>
        <w:t xml:space="preserve">2.2.1.2.4.2.18 del Decreto 1082 de 2015, solo resulta aplicable a las </w:t>
      </w:r>
      <w:proofErr w:type="spellStart"/>
      <w:r w:rsidRPr="00311100">
        <w:rPr>
          <w:rFonts w:ascii="Verdana" w:eastAsia="Times New Roman" w:hAnsi="Verdana" w:cs="Arial"/>
          <w:bCs/>
          <w:color w:val="000000" w:themeColor="text1"/>
          <w:lang w:eastAsia="es-MX"/>
        </w:rPr>
        <w:t>mipymes</w:t>
      </w:r>
      <w:proofErr w:type="spellEnd"/>
      <w:r w:rsidRPr="00311100">
        <w:rPr>
          <w:rFonts w:ascii="Verdana" w:eastAsia="Times New Roman" w:hAnsi="Verdana" w:cs="Arial"/>
          <w:bCs/>
          <w:color w:val="000000" w:themeColor="text1"/>
          <w:lang w:eastAsia="es-MX"/>
        </w:rPr>
        <w:t xml:space="preserve">, la posibilidad de que una ESAL acceda al mismo dependerá de que esta pueda ser considerada una </w:t>
      </w:r>
      <w:proofErr w:type="spellStart"/>
      <w:r w:rsidRPr="00311100">
        <w:rPr>
          <w:rFonts w:ascii="Verdana" w:eastAsia="Times New Roman" w:hAnsi="Verdana" w:cs="Arial"/>
          <w:bCs/>
          <w:color w:val="000000" w:themeColor="text1"/>
          <w:lang w:eastAsia="es-MX"/>
        </w:rPr>
        <w:t>mipyme</w:t>
      </w:r>
      <w:proofErr w:type="spellEnd"/>
      <w:r w:rsidRPr="00311100">
        <w:rPr>
          <w:rFonts w:ascii="Verdana" w:eastAsia="Times New Roman" w:hAnsi="Verdana" w:cs="Arial"/>
          <w:bCs/>
          <w:color w:val="000000" w:themeColor="text1"/>
          <w:lang w:eastAsia="es-MX"/>
        </w:rPr>
        <w:t>, calidad que está ligada al desarrollo de actividad empresarial.  Al respecto, resulta pertinente traer a colación el</w:t>
      </w:r>
      <w:r w:rsidRPr="00311100">
        <w:rPr>
          <w:rFonts w:ascii="Verdana" w:hAnsi="Verdana" w:cs="Arial"/>
          <w:lang w:val="es-ES_tradnl"/>
        </w:rPr>
        <w:t xml:space="preserve"> artículo 43 de la Ley 1450 de 2011 que modificó el artículo 2 de la Ley 590 de 2000, el cual define la empresa como toda unidad de explotación económica que realiza una persona natural o jurídica en actividades agropecuarias, industriales, comerciales o de servicios</w:t>
      </w:r>
      <w:r w:rsidRPr="00311100">
        <w:rPr>
          <w:rStyle w:val="Refdenotaalpie"/>
          <w:rFonts w:ascii="Verdana" w:hAnsi="Verdana" w:cs="Arial"/>
          <w:lang w:val="es-ES_tradnl"/>
        </w:rPr>
        <w:footnoteReference w:id="3"/>
      </w:r>
      <w:r w:rsidRPr="00311100">
        <w:rPr>
          <w:rFonts w:ascii="Verdana" w:hAnsi="Verdana" w:cs="Arial"/>
          <w:lang w:val="es-ES_tradnl"/>
        </w:rPr>
        <w:t xml:space="preserve">. Además, establece que estas se clasifican en micro, pequeña, </w:t>
      </w:r>
      <w:r w:rsidRPr="00311100">
        <w:rPr>
          <w:rFonts w:ascii="Verdana" w:hAnsi="Verdana" w:cs="Arial"/>
          <w:lang w:val="es-ES_tradnl"/>
        </w:rPr>
        <w:lastRenderedPageBreak/>
        <w:t xml:space="preserve">mediana y gran empresa, de acuerdo con los criterios del número de trabajadores totales, el valor de ventas brutales anuales y el valor de activos totales. Ahora bien, el artículo 2.2.1.13.2.2. del Decreto 1074 de 2015, adicionado por el Decreto 957 de 2019, establece que: </w:t>
      </w:r>
    </w:p>
    <w:p w14:paraId="329B87DE" w14:textId="1EC31A97" w:rsidR="00DE1934" w:rsidRPr="00311100" w:rsidRDefault="00DE1934" w:rsidP="00DE1934">
      <w:pPr>
        <w:tabs>
          <w:tab w:val="left" w:pos="993"/>
        </w:tabs>
        <w:spacing w:after="120" w:line="276" w:lineRule="auto"/>
        <w:jc w:val="both"/>
        <w:rPr>
          <w:rFonts w:ascii="Verdana" w:hAnsi="Verdana" w:cs="Arial"/>
          <w:lang w:val="es-ES_tradnl"/>
        </w:rPr>
      </w:pPr>
      <w:r w:rsidRPr="00311100">
        <w:rPr>
          <w:rFonts w:ascii="Verdana" w:hAnsi="Verdana" w:cs="Arial"/>
          <w:lang w:val="es-ES_tradnl"/>
        </w:rPr>
        <w:tab/>
        <w:t>i)</w:t>
      </w:r>
      <w:r w:rsidR="00C43246">
        <w:rPr>
          <w:rFonts w:ascii="Verdana" w:hAnsi="Verdana" w:cs="Arial"/>
          <w:lang w:val="es-ES_tradnl"/>
        </w:rPr>
        <w:t xml:space="preserve"> </w:t>
      </w:r>
      <w:r w:rsidRPr="00311100">
        <w:rPr>
          <w:rFonts w:ascii="Verdana" w:hAnsi="Verdana" w:cs="Arial"/>
          <w:lang w:val="es-ES_tradnl"/>
        </w:rPr>
        <w:t>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p>
    <w:p w14:paraId="13B82AC4" w14:textId="490D96C7" w:rsidR="00DE1934" w:rsidRPr="00311100" w:rsidRDefault="00DE1934" w:rsidP="00DE1934">
      <w:pPr>
        <w:tabs>
          <w:tab w:val="left" w:pos="993"/>
        </w:tabs>
        <w:spacing w:after="120" w:line="276" w:lineRule="auto"/>
        <w:jc w:val="both"/>
        <w:rPr>
          <w:rFonts w:ascii="Verdana" w:hAnsi="Verdana" w:cs="Arial"/>
          <w:lang w:val="es-ES"/>
        </w:rPr>
      </w:pPr>
      <w:r w:rsidRPr="00311100">
        <w:rPr>
          <w:rFonts w:ascii="Verdana" w:hAnsi="Verdana" w:cs="Arial"/>
          <w:lang w:val="es-ES_tradnl"/>
        </w:rPr>
        <w:tab/>
      </w:r>
      <w:proofErr w:type="spellStart"/>
      <w:r w:rsidRPr="7DBFEED0">
        <w:rPr>
          <w:rFonts w:ascii="Verdana" w:hAnsi="Verdana" w:cs="Arial"/>
          <w:lang w:val="es-ES"/>
        </w:rPr>
        <w:t>ii</w:t>
      </w:r>
      <w:proofErr w:type="spellEnd"/>
      <w:r w:rsidRPr="7DBFEED0">
        <w:rPr>
          <w:rFonts w:ascii="Verdana" w:hAnsi="Verdana" w:cs="Arial"/>
          <w:lang w:val="es-ES"/>
        </w:rPr>
        <w:t>)</w:t>
      </w:r>
      <w:r w:rsidR="00C43246">
        <w:rPr>
          <w:rFonts w:ascii="Verdana" w:hAnsi="Verdana" w:cs="Arial"/>
          <w:lang w:val="es-ES"/>
        </w:rPr>
        <w:t xml:space="preserve"> </w:t>
      </w:r>
      <w:r w:rsidRPr="7DBFEED0">
        <w:rPr>
          <w:rFonts w:ascii="Verdana" w:hAnsi="Verdana" w:cs="Arial"/>
          <w:lang w:val="es-ES"/>
        </w:rPr>
        <w:t>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1B4D4FE3" w14:textId="77777777" w:rsidR="00DE1934" w:rsidRPr="00311100" w:rsidRDefault="00DE1934" w:rsidP="00DE1934">
      <w:pPr>
        <w:tabs>
          <w:tab w:val="left" w:pos="993"/>
        </w:tabs>
        <w:spacing w:before="120" w:after="120" w:line="276" w:lineRule="auto"/>
        <w:jc w:val="both"/>
        <w:rPr>
          <w:rFonts w:ascii="Verdana" w:hAnsi="Verdana" w:cs="Arial"/>
          <w:lang w:val="es-ES"/>
        </w:rPr>
      </w:pPr>
      <w:r w:rsidRPr="00311100">
        <w:rPr>
          <w:rFonts w:ascii="Verdana" w:hAnsi="Verdana" w:cs="Arial"/>
          <w:lang w:val="es-ES_tradnl"/>
        </w:rPr>
        <w:lastRenderedPageBreak/>
        <w:tab/>
      </w:r>
      <w:proofErr w:type="spellStart"/>
      <w:r w:rsidRPr="7DBFEED0">
        <w:rPr>
          <w:rFonts w:ascii="Verdana" w:hAnsi="Verdana" w:cs="Arial"/>
          <w:lang w:val="es-ES"/>
        </w:rPr>
        <w:t>iii</w:t>
      </w:r>
      <w:proofErr w:type="spellEnd"/>
      <w:r w:rsidRPr="7DBFEED0">
        <w:rPr>
          <w:rFonts w:ascii="Verdana" w:hAnsi="Verdana" w:cs="Arial"/>
          <w:lang w:val="es-ES"/>
        </w:rPr>
        <w:t>) 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7DBFEED0">
        <w:rPr>
          <w:rStyle w:val="Refdenotaalpie"/>
          <w:rFonts w:ascii="Verdana" w:hAnsi="Verdana" w:cs="Arial"/>
          <w:lang w:val="es-ES"/>
        </w:rPr>
        <w:footnoteReference w:id="4"/>
      </w:r>
      <w:r w:rsidRPr="7DBFEED0">
        <w:rPr>
          <w:rFonts w:ascii="Verdana" w:hAnsi="Verdana" w:cs="Arial"/>
          <w:lang w:val="es-ES"/>
        </w:rPr>
        <w:t>”.</w:t>
      </w:r>
    </w:p>
    <w:p w14:paraId="7FFE7128" w14:textId="7572D97E" w:rsidR="00DE1934" w:rsidRPr="00311100" w:rsidRDefault="00DE1934" w:rsidP="003123C7">
      <w:pPr>
        <w:spacing w:before="120" w:after="120" w:line="276" w:lineRule="auto"/>
        <w:jc w:val="both"/>
        <w:rPr>
          <w:rFonts w:ascii="Verdana" w:hAnsi="Verdana" w:cs="Arial"/>
          <w:lang w:val="es-ES"/>
        </w:rPr>
      </w:pPr>
      <w:r w:rsidRPr="00311100">
        <w:rPr>
          <w:rFonts w:ascii="Verdana" w:hAnsi="Verdana" w:cs="Arial"/>
          <w:lang w:val="es-ES"/>
        </w:rPr>
        <w:t xml:space="preserve">En atención a lo dispuesto en el artículo el artículo 2 de la Ley 590 de 2000, modificado y lo reglamentado en el artículo </w:t>
      </w:r>
      <w:r w:rsidRPr="00311100">
        <w:rPr>
          <w:rFonts w:ascii="Verdana" w:hAnsi="Verdana" w:cs="Arial"/>
          <w:lang w:val="es-ES_tradnl"/>
        </w:rPr>
        <w:t xml:space="preserve">artículo 2.2.1.13.2.2. del Decreto 1074 de 2015, </w:t>
      </w:r>
      <w:r w:rsidRPr="00311100">
        <w:rPr>
          <w:rFonts w:ascii="Verdana" w:hAnsi="Verdana" w:cs="Arial"/>
          <w:lang w:val="es-ES"/>
        </w:rPr>
        <w:t xml:space="preserve">es claro que solo pueden ser consideradas </w:t>
      </w:r>
      <w:r w:rsidR="003123C7" w:rsidRPr="00311100">
        <w:rPr>
          <w:rFonts w:ascii="Verdana" w:hAnsi="Verdana" w:cs="Arial"/>
          <w:lang w:val="es-ES"/>
        </w:rPr>
        <w:t>MiPymes</w:t>
      </w:r>
      <w:r w:rsidRPr="00311100">
        <w:rPr>
          <w:rFonts w:ascii="Verdana" w:hAnsi="Verdana" w:cs="Arial"/>
          <w:lang w:val="es-ES"/>
        </w:rPr>
        <w:t xml:space="preserve"> las empresas, entendidas estas como las unidades de explotación económica que buscan el reparto de utilidades entre los miembros de la empresa. De esta forma, en razón a que las ESAL no persiguen el reparto de utilidades entre sus miembros, en el entendido en que no tienen ánimo de lucro, y que su objeto está destinado a realizar actividades de interés general sin esperar a cambio un reparto de ganancia en proporción a sus utilidades, lo cierto es que estas no pueden acceder a los incentivos contractuales establecidos en favor de la </w:t>
      </w:r>
      <w:r w:rsidR="003123C7" w:rsidRPr="00311100">
        <w:rPr>
          <w:rFonts w:ascii="Verdana" w:hAnsi="Verdana" w:cs="Arial"/>
          <w:lang w:val="es-ES"/>
        </w:rPr>
        <w:t>MiPymes</w:t>
      </w:r>
      <w:r w:rsidRPr="00311100">
        <w:rPr>
          <w:rFonts w:ascii="Verdana" w:hAnsi="Verdana" w:cs="Arial"/>
          <w:lang w:val="es-ES"/>
        </w:rPr>
        <w:t xml:space="preserve">, como, por ejemplo, el puntaje adicional establecido por el  </w:t>
      </w:r>
      <w:r w:rsidRPr="00311100">
        <w:rPr>
          <w:rFonts w:ascii="Verdana" w:eastAsia="Times New Roman" w:hAnsi="Verdana" w:cs="Arial"/>
          <w:lang w:eastAsia="es-MX"/>
        </w:rPr>
        <w:t xml:space="preserve">artículo 2.2.1.2.4.2.18 del Decreto 1082 de 2015. </w:t>
      </w:r>
      <w:r w:rsidRPr="00311100">
        <w:rPr>
          <w:rFonts w:ascii="Verdana" w:hAnsi="Verdana" w:cs="Arial"/>
          <w:lang w:val="es-ES"/>
        </w:rPr>
        <w:t xml:space="preserve">Esto no significa que las ESAL no puedan participar en términos de igualdad con los demás oferentes, en los diferentes procesos contractuales que regula el Estatuto General de Contratación de la Administración Pública, salvo aquellos procesos contractuales limitados a </w:t>
      </w:r>
      <w:proofErr w:type="spellStart"/>
      <w:r w:rsidRPr="00311100">
        <w:rPr>
          <w:rFonts w:ascii="Verdana" w:hAnsi="Verdana" w:cs="Arial"/>
          <w:lang w:val="es-ES"/>
        </w:rPr>
        <w:t>Mipymes</w:t>
      </w:r>
      <w:proofErr w:type="spellEnd"/>
      <w:r w:rsidRPr="00311100">
        <w:rPr>
          <w:rFonts w:ascii="Verdana" w:hAnsi="Verdana" w:cs="Arial"/>
          <w:lang w:val="es-ES"/>
        </w:rPr>
        <w:t xml:space="preserve"> de conformidad con los artículos 2.2.1.2.4.2.2 y 2.2.1.2.4.2.3 del Decreto 1082 de 2015.</w:t>
      </w:r>
    </w:p>
    <w:p w14:paraId="5F48067D" w14:textId="2509F8CB" w:rsidR="00DE1934" w:rsidRPr="00311100" w:rsidRDefault="00DE1934" w:rsidP="00DE1934">
      <w:pPr>
        <w:spacing w:after="120" w:line="276" w:lineRule="auto"/>
        <w:jc w:val="both"/>
        <w:rPr>
          <w:rFonts w:ascii="Verdana" w:eastAsia="Calibri" w:hAnsi="Verdana" w:cs="Arial"/>
          <w:color w:val="000000" w:themeColor="text1"/>
          <w:lang w:val="es-ES_tradnl"/>
        </w:rPr>
      </w:pPr>
      <w:r w:rsidRPr="00CE2B89">
        <w:rPr>
          <w:rFonts w:ascii="Verdana" w:hAnsi="Verdana"/>
          <w:lang w:val="es-ES"/>
        </w:rPr>
        <w:t xml:space="preserve">La anterior conclusión admite cierto matiz respecto de las entidades economía solidaria en virtud de lo establecido en el artículo 23 de la Ley 2069 de 2020. Dicha norma </w:t>
      </w:r>
      <w:r w:rsidRPr="00311100">
        <w:rPr>
          <w:rFonts w:ascii="Verdana" w:eastAsia="Calibri" w:hAnsi="Verdana" w:cs="Arial"/>
          <w:color w:val="000000" w:themeColor="text1"/>
          <w:lang w:val="es-ES_tradnl"/>
        </w:rPr>
        <w:t xml:space="preserve">asimila a empresas a las </w:t>
      </w:r>
      <w:r w:rsidRPr="00311100">
        <w:rPr>
          <w:rFonts w:ascii="Verdana" w:eastAsia="Calibri" w:hAnsi="Verdana" w:cs="Arial"/>
          <w:i/>
          <w:iCs/>
          <w:color w:val="000000" w:themeColor="text1"/>
          <w:lang w:val="es-ES_tradnl"/>
        </w:rPr>
        <w:t>entidades de economía solidaria</w:t>
      </w:r>
      <w:r w:rsidRPr="00311100">
        <w:rPr>
          <w:rFonts w:ascii="Verdana" w:eastAsia="Calibri" w:hAnsi="Verdana" w:cs="Arial"/>
          <w:color w:val="000000" w:themeColor="text1"/>
          <w:lang w:val="es-ES_tradnl"/>
        </w:rPr>
        <w:t xml:space="preserve">, disponiendo además que estas deberán ser clasificadas como </w:t>
      </w:r>
      <w:proofErr w:type="spellStart"/>
      <w:r w:rsidRPr="00311100">
        <w:rPr>
          <w:rFonts w:ascii="Verdana" w:eastAsia="Calibri" w:hAnsi="Verdana" w:cs="Arial"/>
          <w:color w:val="000000" w:themeColor="text1"/>
          <w:lang w:val="es-ES_tradnl"/>
        </w:rPr>
        <w:t>mipymes</w:t>
      </w:r>
      <w:proofErr w:type="spellEnd"/>
      <w:r w:rsidRPr="00311100">
        <w:rPr>
          <w:rFonts w:ascii="Verdana" w:eastAsia="Calibri" w:hAnsi="Verdana" w:cs="Arial"/>
          <w:color w:val="000000" w:themeColor="text1"/>
          <w:lang w:val="es-ES_tradnl"/>
        </w:rPr>
        <w:t xml:space="preserve">, de </w:t>
      </w:r>
      <w:r w:rsidRPr="00311100">
        <w:rPr>
          <w:rFonts w:ascii="Verdana" w:eastAsia="Calibri" w:hAnsi="Verdana" w:cs="Arial"/>
          <w:color w:val="000000" w:themeColor="text1"/>
          <w:lang w:val="es-ES_tradnl"/>
        </w:rPr>
        <w:lastRenderedPageBreak/>
        <w:t>conformidad con el artículo 2 de la Ley 590 de 2000 y el Decreto 957 de 2019,</w:t>
      </w:r>
      <w:r w:rsidRPr="00311100">
        <w:rPr>
          <w:rStyle w:val="Refdenotaalpie"/>
          <w:rFonts w:ascii="Verdana" w:hAnsi="Verdana" w:cs="Arial"/>
          <w:color w:val="000000" w:themeColor="text1"/>
          <w:lang w:val="es-ES_tradnl"/>
        </w:rPr>
        <w:footnoteReference w:id="5"/>
      </w:r>
      <w:r w:rsidRPr="00311100">
        <w:rPr>
          <w:rFonts w:ascii="Verdana" w:eastAsia="Calibri" w:hAnsi="Verdana" w:cs="Arial"/>
          <w:color w:val="000000" w:themeColor="text1"/>
          <w:lang w:val="es-ES_tradnl"/>
        </w:rPr>
        <w:t>. El principal efecto de esta norma es que, entidades que desarrollan actividades económicas sin fines lucrativos, como las cooperativas</w:t>
      </w:r>
      <w:r w:rsidRPr="00311100">
        <w:rPr>
          <w:rStyle w:val="Refdenotaalpie"/>
          <w:rFonts w:ascii="Verdana" w:eastAsia="Calibri" w:hAnsi="Verdana" w:cs="Arial"/>
          <w:color w:val="000000" w:themeColor="text1"/>
          <w:lang w:val="es-ES_tradnl"/>
        </w:rPr>
        <w:footnoteReference w:id="6"/>
      </w:r>
      <w:r w:rsidRPr="00311100">
        <w:rPr>
          <w:rFonts w:ascii="Verdana" w:eastAsia="Calibri" w:hAnsi="Verdana" w:cs="Arial"/>
          <w:color w:val="000000" w:themeColor="text1"/>
          <w:lang w:val="es-ES_tradnl"/>
        </w:rPr>
        <w:t>, asociaciones mutualistas</w:t>
      </w:r>
      <w:r w:rsidRPr="00311100">
        <w:rPr>
          <w:rStyle w:val="Refdenotaalpie"/>
          <w:rFonts w:ascii="Verdana" w:eastAsia="Calibri" w:hAnsi="Verdana" w:cs="Arial"/>
          <w:color w:val="000000" w:themeColor="text1"/>
          <w:lang w:val="es-ES_tradnl"/>
        </w:rPr>
        <w:footnoteReference w:id="7"/>
      </w:r>
      <w:r w:rsidRPr="00311100">
        <w:rPr>
          <w:rFonts w:ascii="Verdana" w:eastAsia="Calibri" w:hAnsi="Verdana" w:cs="Arial"/>
          <w:color w:val="000000" w:themeColor="text1"/>
          <w:lang w:val="es-ES_tradnl"/>
        </w:rPr>
        <w:t xml:space="preserve"> y las demás entidades de economía solidaria</w:t>
      </w:r>
      <w:r w:rsidRPr="00311100">
        <w:rPr>
          <w:rStyle w:val="Refdenotaalpie"/>
          <w:rFonts w:ascii="Verdana" w:eastAsia="Calibri" w:hAnsi="Verdana" w:cs="Arial"/>
          <w:color w:val="000000" w:themeColor="text1"/>
          <w:lang w:val="es-ES_tradnl"/>
        </w:rPr>
        <w:footnoteReference w:id="8"/>
      </w:r>
      <w:r w:rsidRPr="00311100">
        <w:rPr>
          <w:rFonts w:ascii="Verdana" w:eastAsia="Calibri" w:hAnsi="Verdana" w:cs="Arial"/>
          <w:color w:val="000000" w:themeColor="text1"/>
          <w:lang w:val="es-ES_tradnl"/>
        </w:rPr>
        <w:t xml:space="preserve">, al ser consideradas como </w:t>
      </w:r>
      <w:proofErr w:type="spellStart"/>
      <w:r w:rsidRPr="00311100">
        <w:rPr>
          <w:rFonts w:ascii="Verdana" w:eastAsia="Calibri" w:hAnsi="Verdana" w:cs="Arial"/>
          <w:color w:val="000000" w:themeColor="text1"/>
          <w:lang w:val="es-ES_tradnl"/>
        </w:rPr>
        <w:t>mipymes</w:t>
      </w:r>
      <w:proofErr w:type="spellEnd"/>
      <w:r w:rsidRPr="00311100">
        <w:rPr>
          <w:rFonts w:ascii="Verdana" w:eastAsia="Calibri" w:hAnsi="Verdana" w:cs="Arial"/>
          <w:color w:val="000000" w:themeColor="text1"/>
          <w:lang w:val="es-ES_tradnl"/>
        </w:rPr>
        <w:t xml:space="preserve">, les son aplicables las prerrogativas establecidas en los artículos 31 de la Ley 2069 de 2020 y 2.2.1.2.4.2.18 del Decreto 1082 de 2015.  </w:t>
      </w:r>
      <w:bookmarkEnd w:id="5"/>
      <w:r w:rsidRPr="00311100">
        <w:rPr>
          <w:rFonts w:ascii="Verdana" w:eastAsia="Calibri" w:hAnsi="Verdana" w:cs="Arial"/>
          <w:color w:val="000000" w:themeColor="text1"/>
          <w:lang w:val="es-ES_tradnl"/>
        </w:rPr>
        <w:tab/>
      </w:r>
    </w:p>
    <w:p w14:paraId="692DC618"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1C157B03" w14:textId="77777777" w:rsidR="00DE1934" w:rsidRPr="00A37605" w:rsidRDefault="00DE1934" w:rsidP="00DE1934">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DE1934" w:rsidRPr="00A37605" w14:paraId="21E48243"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7F1CD1F7" w14:textId="77777777" w:rsidR="00DE1934"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Ley 79 de 19</w:t>
            </w:r>
            <w:r>
              <w:rPr>
                <w:rFonts w:ascii="Verdana" w:hAnsi="Verdana" w:cs="Arial"/>
              </w:rPr>
              <w:t>8</w:t>
            </w:r>
            <w:r w:rsidRPr="00A37605">
              <w:rPr>
                <w:rFonts w:ascii="Verdana" w:hAnsi="Verdana" w:cs="Arial"/>
              </w:rPr>
              <w:t>8, artículo 4</w:t>
            </w:r>
            <w:r>
              <w:rPr>
                <w:rFonts w:ascii="Verdana" w:hAnsi="Verdana" w:cs="Arial"/>
              </w:rPr>
              <w:t>.</w:t>
            </w:r>
          </w:p>
          <w:p w14:paraId="0FAFF38F" w14:textId="77777777" w:rsidR="00DE1934"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Pr>
                <w:rFonts w:ascii="Verdana" w:hAnsi="Verdana" w:cs="Arial"/>
              </w:rPr>
              <w:t>Ley 454 de 1998, artículos 2 y 6.</w:t>
            </w:r>
          </w:p>
          <w:p w14:paraId="6C1F6E1E" w14:textId="77777777" w:rsidR="00DE1934"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Ley 590 de 2000, artículo 2.</w:t>
            </w:r>
          </w:p>
          <w:p w14:paraId="0CD06572"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Ley 1150 de 2007, artículo 12.</w:t>
            </w:r>
          </w:p>
          <w:p w14:paraId="31D0734C"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Ley 1450 de 2011, artículo 43.</w:t>
            </w:r>
          </w:p>
          <w:p w14:paraId="24E3FCE2"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lastRenderedPageBreak/>
              <w:t>Ley 2069 de 2020, artículo 34, artículo 23, artículo 22.</w:t>
            </w:r>
          </w:p>
          <w:p w14:paraId="59692E83"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Ley 2143 de 2021</w:t>
            </w:r>
            <w:r>
              <w:rPr>
                <w:rFonts w:ascii="Verdana" w:hAnsi="Verdana" w:cs="Arial"/>
              </w:rPr>
              <w:t>, artículo 1</w:t>
            </w:r>
          </w:p>
          <w:p w14:paraId="332A2B36" w14:textId="77777777" w:rsidR="00DE1934"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Decreto 1074 de 2015, artículo 2.2.1.13.2.2.</w:t>
            </w:r>
          </w:p>
          <w:p w14:paraId="73C8855D"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Decreto 1082 de 2015, artículo</w:t>
            </w:r>
            <w:r>
              <w:rPr>
                <w:rFonts w:ascii="Verdana" w:hAnsi="Verdana" w:cs="Arial"/>
              </w:rPr>
              <w:t>s</w:t>
            </w:r>
            <w:r w:rsidRPr="00A37605">
              <w:rPr>
                <w:rFonts w:ascii="Verdana" w:hAnsi="Verdana" w:cs="Arial"/>
              </w:rPr>
              <w:t xml:space="preserve"> 2.2.1.2.4.2.2, 2.2.1.2.4.2.3 </w:t>
            </w:r>
            <w:r>
              <w:rPr>
                <w:rFonts w:ascii="Verdana" w:hAnsi="Verdana" w:cs="Arial"/>
              </w:rPr>
              <w:t xml:space="preserve">y </w:t>
            </w:r>
            <w:r w:rsidRPr="007E2DF6">
              <w:rPr>
                <w:rFonts w:ascii="Verdana" w:eastAsia="Calibri" w:hAnsi="Verdana" w:cs="Arial"/>
                <w:color w:val="000000" w:themeColor="text1"/>
                <w:lang w:val="es-ES_tradnl"/>
              </w:rPr>
              <w:t>2.2.1.2.4.2.18</w:t>
            </w:r>
          </w:p>
          <w:p w14:paraId="6EB13D50" w14:textId="77777777" w:rsidR="00DE1934" w:rsidRPr="00A37605" w:rsidRDefault="00DE1934" w:rsidP="00DE1934">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Decreto 957 de 2019.</w:t>
            </w:r>
          </w:p>
          <w:p w14:paraId="6E49D7B1" w14:textId="38B75659" w:rsidR="00DE1934" w:rsidRPr="00A37605" w:rsidRDefault="00DE1934" w:rsidP="002B5168">
            <w:pPr>
              <w:widowControl w:val="0"/>
              <w:numPr>
                <w:ilvl w:val="0"/>
                <w:numId w:val="43"/>
              </w:numPr>
              <w:autoSpaceDE w:val="0"/>
              <w:autoSpaceDN w:val="0"/>
              <w:spacing w:after="120" w:line="276" w:lineRule="auto"/>
              <w:ind w:left="714" w:hanging="357"/>
              <w:jc w:val="both"/>
              <w:rPr>
                <w:rFonts w:ascii="Verdana" w:hAnsi="Verdana" w:cs="Arial"/>
              </w:rPr>
            </w:pPr>
            <w:r w:rsidRPr="00A37605">
              <w:rPr>
                <w:rFonts w:ascii="Verdana" w:hAnsi="Verdana" w:cs="Arial"/>
              </w:rPr>
              <w:t>Decreto 186</w:t>
            </w:r>
            <w:r>
              <w:rPr>
                <w:rFonts w:ascii="Verdana" w:hAnsi="Verdana" w:cs="Arial"/>
              </w:rPr>
              <w:t>0</w:t>
            </w:r>
            <w:r w:rsidRPr="00A37605">
              <w:rPr>
                <w:rFonts w:ascii="Verdana" w:hAnsi="Verdana" w:cs="Arial"/>
              </w:rPr>
              <w:t xml:space="preserve"> de 2021, artículo </w:t>
            </w:r>
            <w:r>
              <w:rPr>
                <w:rFonts w:ascii="Verdana" w:hAnsi="Verdana" w:cs="Arial"/>
              </w:rPr>
              <w:t>3</w:t>
            </w:r>
            <w:r w:rsidRPr="00A37605">
              <w:rPr>
                <w:rFonts w:ascii="Verdana" w:hAnsi="Verdana" w:cs="Arial"/>
              </w:rPr>
              <w:t>.</w:t>
            </w:r>
          </w:p>
        </w:tc>
      </w:tr>
    </w:tbl>
    <w:p w14:paraId="5665F99D" w14:textId="77777777" w:rsidR="00DE1934" w:rsidRPr="00A37605" w:rsidRDefault="00DE1934" w:rsidP="00DE1934">
      <w:pPr>
        <w:tabs>
          <w:tab w:val="left" w:pos="142"/>
          <w:tab w:val="left" w:pos="284"/>
        </w:tabs>
        <w:spacing w:after="0" w:line="276" w:lineRule="auto"/>
        <w:jc w:val="both"/>
        <w:rPr>
          <w:rFonts w:ascii="Verdana" w:eastAsia="Calibri" w:hAnsi="Verdana" w:cs="Arial"/>
        </w:rPr>
      </w:pPr>
    </w:p>
    <w:p w14:paraId="2125DB7F"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44625A59" w14:textId="77777777" w:rsidR="00DE1934" w:rsidRPr="00A37605" w:rsidRDefault="00DE1934" w:rsidP="00DE1934">
      <w:pPr>
        <w:widowControl w:val="0"/>
        <w:autoSpaceDE w:val="0"/>
        <w:autoSpaceDN w:val="0"/>
        <w:spacing w:after="0" w:line="276" w:lineRule="auto"/>
        <w:jc w:val="both"/>
        <w:rPr>
          <w:rFonts w:ascii="Verdana" w:eastAsia="Calibri" w:hAnsi="Verdana" w:cs="Arial"/>
        </w:rPr>
      </w:pPr>
    </w:p>
    <w:p w14:paraId="0C30DF8D" w14:textId="16EC0A2E" w:rsidR="00DE1934" w:rsidRPr="00A37605" w:rsidRDefault="00DE1934" w:rsidP="00DE1934">
      <w:pPr>
        <w:widowControl w:val="0"/>
        <w:autoSpaceDE w:val="0"/>
        <w:autoSpaceDN w:val="0"/>
        <w:spacing w:after="0" w:line="276" w:lineRule="auto"/>
        <w:jc w:val="both"/>
        <w:rPr>
          <w:rFonts w:ascii="Verdana" w:eastAsia="Calibri" w:hAnsi="Verdana" w:cs="Arial"/>
          <w:shd w:val="clear" w:color="auto" w:fill="FFFFFF"/>
          <w:lang w:val="es-ES_tradnl"/>
        </w:rPr>
      </w:pPr>
      <w:r w:rsidRPr="00A37605">
        <w:rPr>
          <w:rFonts w:ascii="Verdana" w:eastAsia="Calibri" w:hAnsi="Verdana" w:cs="Arial"/>
          <w:shd w:val="clear" w:color="auto" w:fill="FFFFFF"/>
          <w:lang w:val="es-ES"/>
        </w:rPr>
        <w:t xml:space="preserve">La Agencia Nacional de Contratación Pública – Colombia Compra Eficiente </w:t>
      </w:r>
      <w:r w:rsidRPr="00A37605">
        <w:rPr>
          <w:rFonts w:ascii="Verdana" w:eastAsia="Calibri" w:hAnsi="Verdana" w:cs="Arial"/>
          <w:shd w:val="clear" w:color="auto" w:fill="FFFFFF"/>
        </w:rPr>
        <w:t xml:space="preserve">se ha pronunciado en diferentes conceptos sobre la participación de las entidades sin ánimo de lucro – desde ahora ESAL – en procesos contractuales limitados a MiPymes. 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 C-474 del 26 de julio de 2022, C-020 del 14 de febrero de 2023, C-587 de septiembre de </w:t>
      </w:r>
      <w:proofErr w:type="gramStart"/>
      <w:r w:rsidRPr="00A37605">
        <w:rPr>
          <w:rFonts w:ascii="Verdana" w:eastAsia="Calibri" w:hAnsi="Verdana" w:cs="Arial"/>
          <w:shd w:val="clear" w:color="auto" w:fill="FFFFFF"/>
        </w:rPr>
        <w:t>2022</w:t>
      </w:r>
      <w:r>
        <w:rPr>
          <w:rFonts w:ascii="Verdana" w:eastAsia="Calibri" w:hAnsi="Verdana" w:cs="Arial"/>
          <w:shd w:val="clear" w:color="auto" w:fill="FFFFFF"/>
        </w:rPr>
        <w:t xml:space="preserve">, </w:t>
      </w:r>
      <w:r w:rsidRPr="00A37605">
        <w:rPr>
          <w:rFonts w:ascii="Verdana" w:eastAsia="Calibri" w:hAnsi="Verdana" w:cs="Arial"/>
          <w:shd w:val="clear" w:color="auto" w:fill="FFFFFF"/>
        </w:rPr>
        <w:t xml:space="preserve"> C</w:t>
      </w:r>
      <w:proofErr w:type="gramEnd"/>
      <w:r w:rsidRPr="00A37605">
        <w:rPr>
          <w:rFonts w:ascii="Verdana" w:eastAsia="Calibri" w:hAnsi="Verdana" w:cs="Arial"/>
          <w:shd w:val="clear" w:color="auto" w:fill="FFFFFF"/>
        </w:rPr>
        <w:t>-094 de junio de 2024</w:t>
      </w:r>
      <w:r>
        <w:rPr>
          <w:rFonts w:ascii="Verdana" w:eastAsia="Calibri" w:hAnsi="Verdana" w:cs="Arial"/>
          <w:shd w:val="clear" w:color="auto" w:fill="FFFFFF"/>
        </w:rPr>
        <w:t xml:space="preserve"> y C-206 del 02 de agosto de 2024.</w:t>
      </w:r>
      <w:r w:rsidRPr="00A37605">
        <w:rPr>
          <w:rFonts w:ascii="Verdana" w:eastAsia="Calibri" w:hAnsi="Verdana" w:cs="Arial"/>
          <w:shd w:val="clear" w:color="auto" w:fill="FFFFFF"/>
        </w:rPr>
        <w:t xml:space="preserve"> </w:t>
      </w:r>
      <w:r w:rsidRPr="00A37605">
        <w:rPr>
          <w:rFonts w:ascii="Verdana" w:eastAsia="Calibri" w:hAnsi="Verdana" w:cs="Arial"/>
          <w:shd w:val="clear" w:color="auto" w:fill="FFFFFF"/>
          <w:lang w:val="es-ES_tradnl"/>
        </w:rPr>
        <w:t>Algunas de las consideraciones de estos conceptos se reiteran y se complementan en lo pertinente para dar respuesta a su consulta.</w:t>
      </w:r>
    </w:p>
    <w:p w14:paraId="6CA4CA99" w14:textId="77777777" w:rsidR="00DE1934" w:rsidRDefault="00DE1934" w:rsidP="007E4284">
      <w:pPr>
        <w:widowControl w:val="0"/>
        <w:autoSpaceDE w:val="0"/>
        <w:autoSpaceDN w:val="0"/>
        <w:spacing w:after="0" w:line="276" w:lineRule="auto"/>
        <w:jc w:val="both"/>
        <w:rPr>
          <w:rFonts w:ascii="Verdana" w:hAnsi="Verdana" w:cs="Arial"/>
          <w:color w:val="000000" w:themeColor="text1"/>
          <w:shd w:val="clear" w:color="auto" w:fill="FFFFFF"/>
        </w:rPr>
      </w:pPr>
    </w:p>
    <w:p w14:paraId="635FD400" w14:textId="35AA1C64" w:rsidR="007E4284" w:rsidRDefault="00D16885" w:rsidP="007E4284">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492E1255" w14:textId="77777777" w:rsidR="00D16885" w:rsidRDefault="00D16885"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6A349AD" w14:textId="0D04762C" w:rsidR="00C36081" w:rsidRDefault="00D16885" w:rsidP="00C36081">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4"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542B0167" w14:textId="77777777" w:rsidR="007E4284" w:rsidRPr="003E2460" w:rsidRDefault="007E4284" w:rsidP="007E4284">
      <w:pPr>
        <w:spacing w:after="0" w:line="240" w:lineRule="auto"/>
        <w:jc w:val="both"/>
        <w:rPr>
          <w:rFonts w:ascii="Verdana" w:hAnsi="Verdana"/>
        </w:rPr>
      </w:pPr>
      <w:r w:rsidRPr="003E2460">
        <w:rPr>
          <w:rFonts w:ascii="Verdana" w:hAnsi="Verdana"/>
        </w:rPr>
        <w:lastRenderedPageBreak/>
        <w:t xml:space="preserve">Por último, lo invitamos a seguirnos en las redes sociales en las cuales se difunde información institucional: </w:t>
      </w:r>
    </w:p>
    <w:p w14:paraId="10E1BD43" w14:textId="77777777" w:rsidR="007E4284" w:rsidRPr="003E2460" w:rsidRDefault="007E4284" w:rsidP="007E4284">
      <w:pPr>
        <w:spacing w:after="0" w:line="240" w:lineRule="auto"/>
        <w:jc w:val="both"/>
        <w:rPr>
          <w:rFonts w:ascii="Verdana" w:hAnsi="Verdana"/>
        </w:rPr>
      </w:pPr>
    </w:p>
    <w:p w14:paraId="3F267BF2"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26DCD21"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9633924"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E93DEDD" w14:textId="77777777" w:rsidR="007E4284" w:rsidRPr="00593A5F" w:rsidRDefault="007E4284" w:rsidP="007E4284">
      <w:pPr>
        <w:widowControl w:val="0"/>
        <w:autoSpaceDE w:val="0"/>
        <w:autoSpaceDN w:val="0"/>
        <w:spacing w:after="0" w:line="276" w:lineRule="auto"/>
        <w:jc w:val="both"/>
        <w:rPr>
          <w:rFonts w:ascii="Verdana" w:hAnsi="Verdana" w:cs="Arial"/>
        </w:rPr>
      </w:pPr>
    </w:p>
    <w:p w14:paraId="49D99462" w14:textId="77777777" w:rsidR="007E4284" w:rsidRPr="00593A5F" w:rsidRDefault="007E4284" w:rsidP="007E428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1E541C" w14:textId="77777777" w:rsidR="007E4284" w:rsidRPr="00593A5F" w:rsidRDefault="007E4284" w:rsidP="007E4284">
      <w:pPr>
        <w:widowControl w:val="0"/>
        <w:autoSpaceDE w:val="0"/>
        <w:autoSpaceDN w:val="0"/>
        <w:spacing w:after="0" w:line="276" w:lineRule="auto"/>
        <w:jc w:val="both"/>
        <w:rPr>
          <w:rFonts w:ascii="Verdana" w:hAnsi="Verdana" w:cs="Arial"/>
        </w:rPr>
      </w:pPr>
    </w:p>
    <w:p w14:paraId="158D8E37" w14:textId="2B66A31E" w:rsidR="007E4284" w:rsidRPr="00593A5F" w:rsidRDefault="007E4284" w:rsidP="007E428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9597DD" w14:textId="6E061F33" w:rsidR="007E4284" w:rsidRDefault="007E4284" w:rsidP="007E4284">
      <w:pPr>
        <w:spacing w:line="276" w:lineRule="auto"/>
        <w:jc w:val="center"/>
        <w:rPr>
          <w:rFonts w:ascii="Verdana" w:hAnsi="Verdana"/>
          <w:noProof/>
        </w:rPr>
      </w:pPr>
    </w:p>
    <w:p w14:paraId="06D7CEF8" w14:textId="77777777" w:rsidR="00AD547D" w:rsidRDefault="00AD547D" w:rsidP="007E4284">
      <w:pPr>
        <w:spacing w:line="276" w:lineRule="auto"/>
        <w:jc w:val="center"/>
        <w:rPr>
          <w:rFonts w:ascii="Verdana" w:hAnsi="Verdana" w:cs="Arial"/>
          <w:noProof/>
          <w:color w:val="000000"/>
          <w:lang w:val="es-ES_tradnl" w:eastAsia="es-CO"/>
        </w:rPr>
      </w:pPr>
    </w:p>
    <w:p w14:paraId="4E81025E" w14:textId="68064A0C" w:rsidR="00AD547D" w:rsidRPr="00AD547D" w:rsidRDefault="00AD547D" w:rsidP="00AD547D">
      <w:pPr>
        <w:spacing w:line="276" w:lineRule="auto"/>
        <w:jc w:val="center"/>
        <w:rPr>
          <w:rFonts w:ascii="Verdana" w:hAnsi="Verdana" w:cs="Arial"/>
          <w:noProof/>
          <w:color w:val="000000"/>
          <w:lang w:eastAsia="es-CO"/>
        </w:rPr>
      </w:pPr>
      <w:r w:rsidRPr="00AD547D">
        <w:rPr>
          <w:rFonts w:ascii="Verdana" w:hAnsi="Verdana" w:cs="Arial"/>
          <w:noProof/>
          <w:color w:val="000000"/>
          <w:lang w:eastAsia="es-CO"/>
        </w:rPr>
        <w:drawing>
          <wp:inline distT="0" distB="0" distL="0" distR="0" wp14:anchorId="57A0CA62" wp14:editId="3E2B9ADF">
            <wp:extent cx="3830955" cy="1644562"/>
            <wp:effectExtent l="0" t="0" r="0" b="0"/>
            <wp:docPr id="1103872866"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72866" name="Imagen 3" descr="Texto&#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460" cy="1648642"/>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E4284" w:rsidRPr="00593A5F" w14:paraId="10E97FCB" w14:textId="77777777">
        <w:trPr>
          <w:trHeight w:val="315"/>
        </w:trPr>
        <w:tc>
          <w:tcPr>
            <w:tcW w:w="893" w:type="dxa"/>
            <w:vAlign w:val="center"/>
            <w:hideMark/>
          </w:tcPr>
          <w:p w14:paraId="6FEFE8DA"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C4DEDE" w14:textId="77777777" w:rsidR="007E4284" w:rsidRPr="002B5168" w:rsidRDefault="007E4284">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8A6C53C" w14:textId="77777777" w:rsidR="007E4284" w:rsidRPr="002B5168" w:rsidRDefault="007E4284">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E4284" w:rsidRPr="00593A5F" w14:paraId="060045CC" w14:textId="77777777">
        <w:trPr>
          <w:trHeight w:val="330"/>
        </w:trPr>
        <w:tc>
          <w:tcPr>
            <w:tcW w:w="893" w:type="dxa"/>
            <w:vAlign w:val="center"/>
            <w:hideMark/>
          </w:tcPr>
          <w:p w14:paraId="68D83EEC"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F2DC12" w14:textId="6260DAD0" w:rsidR="007E4284" w:rsidRPr="002B5168" w:rsidRDefault="00C43246">
            <w:pPr>
              <w:pStyle w:val="paragraph"/>
              <w:spacing w:before="0" w:beforeAutospacing="0" w:after="0" w:afterAutospacing="0"/>
              <w:contextualSpacing/>
              <w:textAlignment w:val="baseline"/>
              <w:rPr>
                <w:rStyle w:val="normaltextrun"/>
                <w:rFonts w:ascii="Verdana" w:hAnsi="Verdana" w:cstheme="minorHAnsi"/>
                <w:sz w:val="16"/>
                <w:szCs w:val="16"/>
              </w:rPr>
            </w:pPr>
            <w:r w:rsidRPr="002B5168">
              <w:rPr>
                <w:rStyle w:val="normaltextrun"/>
                <w:rFonts w:ascii="Verdana" w:hAnsi="Verdana" w:cstheme="minorHAnsi"/>
                <w:sz w:val="16"/>
                <w:szCs w:val="16"/>
              </w:rPr>
              <w:t>Xime</w:t>
            </w:r>
            <w:r w:rsidR="002B5168">
              <w:rPr>
                <w:rStyle w:val="normaltextrun"/>
                <w:rFonts w:ascii="Verdana" w:hAnsi="Verdana" w:cstheme="minorHAnsi"/>
                <w:sz w:val="16"/>
                <w:szCs w:val="16"/>
              </w:rPr>
              <w:t>n</w:t>
            </w:r>
            <w:r w:rsidRPr="002B5168">
              <w:rPr>
                <w:rStyle w:val="normaltextrun"/>
                <w:rFonts w:ascii="Verdana" w:hAnsi="Verdana" w:cstheme="minorHAnsi"/>
                <w:sz w:val="16"/>
                <w:szCs w:val="16"/>
              </w:rPr>
              <w:t xml:space="preserve">a </w:t>
            </w:r>
            <w:proofErr w:type="spellStart"/>
            <w:r w:rsidRPr="002B5168">
              <w:rPr>
                <w:rStyle w:val="normaltextrun"/>
                <w:rFonts w:ascii="Verdana" w:hAnsi="Verdana" w:cstheme="minorHAnsi"/>
                <w:sz w:val="16"/>
                <w:szCs w:val="16"/>
              </w:rPr>
              <w:t>Rios</w:t>
            </w:r>
            <w:proofErr w:type="spellEnd"/>
            <w:r w:rsidRPr="002B5168">
              <w:rPr>
                <w:rStyle w:val="normaltextrun"/>
                <w:rFonts w:ascii="Verdana" w:hAnsi="Verdana" w:cstheme="minorHAnsi"/>
                <w:sz w:val="16"/>
                <w:szCs w:val="16"/>
              </w:rPr>
              <w:t xml:space="preserve"> </w:t>
            </w:r>
            <w:proofErr w:type="spellStart"/>
            <w:r w:rsidRPr="002B5168">
              <w:rPr>
                <w:rStyle w:val="normaltextrun"/>
                <w:rFonts w:ascii="Verdana" w:hAnsi="Verdana" w:cstheme="minorHAnsi"/>
                <w:sz w:val="16"/>
                <w:szCs w:val="16"/>
              </w:rPr>
              <w:t>Lopez</w:t>
            </w:r>
            <w:proofErr w:type="spellEnd"/>
            <w:r w:rsidRPr="002B5168">
              <w:rPr>
                <w:rStyle w:val="normaltextrun"/>
                <w:rFonts w:ascii="Verdana" w:hAnsi="Verdana" w:cstheme="minorHAnsi"/>
                <w:sz w:val="16"/>
                <w:szCs w:val="16"/>
              </w:rPr>
              <w:t xml:space="preserve"> </w:t>
            </w:r>
          </w:p>
          <w:p w14:paraId="61F16D70" w14:textId="0DC30B69" w:rsidR="007E4284" w:rsidRPr="002B5168" w:rsidRDefault="002B5168">
            <w:pPr>
              <w:pStyle w:val="paragraph"/>
              <w:spacing w:before="0" w:beforeAutospacing="0" w:after="0" w:afterAutospacing="0"/>
              <w:contextualSpacing/>
              <w:textAlignment w:val="baseline"/>
              <w:rPr>
                <w:rFonts w:ascii="Verdana" w:hAnsi="Verdana" w:cs="Segoe UI"/>
                <w:sz w:val="16"/>
                <w:szCs w:val="16"/>
              </w:rPr>
            </w:pPr>
            <w:r w:rsidRPr="002B5168">
              <w:rPr>
                <w:rStyle w:val="normaltextrun"/>
                <w:rFonts w:ascii="Verdana" w:eastAsia="Arial" w:hAnsi="Verdana" w:cs="Arial"/>
                <w:sz w:val="16"/>
                <w:szCs w:val="16"/>
              </w:rPr>
              <w:t>Gestor</w:t>
            </w:r>
            <w:r w:rsidR="007E4284" w:rsidRPr="002B5168">
              <w:rPr>
                <w:rStyle w:val="normaltextrun"/>
                <w:rFonts w:ascii="Verdana" w:eastAsia="Arial" w:hAnsi="Verdana" w:cs="Arial"/>
                <w:sz w:val="16"/>
                <w:szCs w:val="16"/>
              </w:rPr>
              <w:t xml:space="preserve"> Subdirección de Gestión Contractual</w:t>
            </w:r>
          </w:p>
        </w:tc>
      </w:tr>
      <w:tr w:rsidR="007E4284" w:rsidRPr="00593A5F" w14:paraId="06EB7A78" w14:textId="77777777">
        <w:trPr>
          <w:trHeight w:val="300"/>
        </w:trPr>
        <w:tc>
          <w:tcPr>
            <w:tcW w:w="893" w:type="dxa"/>
            <w:vAlign w:val="center"/>
          </w:tcPr>
          <w:p w14:paraId="538249FF"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5D9FE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4ACBC90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0"/>
      <w:bookmarkEnd w:id="2"/>
      <w:bookmarkEnd w:id="3"/>
    </w:tbl>
    <w:p w14:paraId="12C6032C" w14:textId="77777777" w:rsidR="007E4284" w:rsidRPr="00593A5F" w:rsidRDefault="007E4284" w:rsidP="00D963EA">
      <w:pPr>
        <w:spacing w:after="0" w:line="240" w:lineRule="auto"/>
        <w:rPr>
          <w:rFonts w:ascii="Verdana" w:eastAsia="Times New Roman" w:hAnsi="Verdana" w:cs="Arial"/>
          <w:sz w:val="24"/>
          <w:szCs w:val="24"/>
          <w:lang w:eastAsia="es-ES"/>
        </w:rPr>
      </w:pPr>
    </w:p>
    <w:sectPr w:rsidR="007E4284" w:rsidRPr="00593A5F"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1E73" w14:textId="77777777" w:rsidR="00402A22" w:rsidRDefault="00402A22" w:rsidP="004A1847">
      <w:pPr>
        <w:spacing w:after="0" w:line="240" w:lineRule="auto"/>
      </w:pPr>
      <w:r>
        <w:separator/>
      </w:r>
    </w:p>
  </w:endnote>
  <w:endnote w:type="continuationSeparator" w:id="0">
    <w:p w14:paraId="4D9216AE" w14:textId="77777777" w:rsidR="00402A22" w:rsidRDefault="00402A2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BE4B" w14:textId="77777777" w:rsidR="00402A22" w:rsidRDefault="00402A22" w:rsidP="004A1847">
      <w:pPr>
        <w:spacing w:after="0" w:line="240" w:lineRule="auto"/>
      </w:pPr>
      <w:r>
        <w:separator/>
      </w:r>
    </w:p>
  </w:footnote>
  <w:footnote w:type="continuationSeparator" w:id="0">
    <w:p w14:paraId="3D538775" w14:textId="77777777" w:rsidR="00402A22" w:rsidRDefault="00402A22" w:rsidP="004A1847">
      <w:pPr>
        <w:spacing w:after="0" w:line="240" w:lineRule="auto"/>
      </w:pPr>
      <w:r>
        <w:continuationSeparator/>
      </w:r>
    </w:p>
  </w:footnote>
  <w:footnote w:id="1">
    <w:p w14:paraId="06642340" w14:textId="4C4F1C48" w:rsidR="00DE1934" w:rsidRPr="00311100" w:rsidRDefault="00DE1934" w:rsidP="00426DC2">
      <w:pPr>
        <w:pStyle w:val="Textonotapie"/>
        <w:contextualSpacing/>
        <w:rPr>
          <w:rFonts w:ascii="Verdana" w:hAnsi="Verdana"/>
          <w:sz w:val="16"/>
          <w:szCs w:val="16"/>
          <w:lang w:val="es-CO"/>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2 al 29</w:t>
      </w:r>
    </w:p>
  </w:footnote>
  <w:footnote w:id="2">
    <w:p w14:paraId="4AA90F5D" w14:textId="77777777" w:rsidR="00DE1934" w:rsidRPr="00311100" w:rsidRDefault="00DE1934" w:rsidP="00426DC2">
      <w:pPr>
        <w:pStyle w:val="Textonotapie"/>
        <w:contextualSpacing/>
        <w:rPr>
          <w:rFonts w:ascii="Verdana" w:hAnsi="Verdana"/>
          <w:sz w:val="16"/>
          <w:szCs w:val="16"/>
          <w:lang w:val="es-CO"/>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30 al 36</w:t>
      </w:r>
    </w:p>
  </w:footnote>
  <w:footnote w:id="3">
    <w:p w14:paraId="52BF36B4" w14:textId="77777777" w:rsidR="00DE1934" w:rsidRPr="00311100" w:rsidRDefault="00DE1934" w:rsidP="00C43246">
      <w:pPr>
        <w:pStyle w:val="Textonotapie"/>
        <w:jc w:val="both"/>
        <w:rPr>
          <w:rFonts w:ascii="Verdana" w:hAnsi="Verdana"/>
          <w:sz w:val="16"/>
          <w:szCs w:val="16"/>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Pr="00311100">
        <w:rPr>
          <w:rFonts w:ascii="Verdana" w:hAnsi="Verdana"/>
          <w:sz w:val="16"/>
          <w:szCs w:val="16"/>
        </w:rPr>
        <w:t xml:space="preserve">Ley 1450 de 2011: “Artículo 43. Definiciones de tamaño empresarial. El artículo 2° de la Ley 590 de 2000, quedará así: </w:t>
      </w:r>
    </w:p>
    <w:p w14:paraId="0CA28204" w14:textId="77777777" w:rsidR="00DE1934" w:rsidRPr="00311100" w:rsidRDefault="00DE1934" w:rsidP="00C43246">
      <w:pPr>
        <w:pStyle w:val="Textonotapie"/>
        <w:jc w:val="both"/>
        <w:rPr>
          <w:rFonts w:ascii="Verdana" w:hAnsi="Verdana"/>
          <w:sz w:val="16"/>
          <w:szCs w:val="16"/>
        </w:rPr>
      </w:pPr>
      <w:r w:rsidRPr="00311100">
        <w:rPr>
          <w:rFonts w:ascii="Verdana" w:hAnsi="Verdana" w:cs="Arial"/>
          <w:sz w:val="16"/>
          <w:szCs w:val="16"/>
        </w:rPr>
        <w:t>"</w:t>
      </w:r>
      <w:r w:rsidRPr="00311100">
        <w:rPr>
          <w:rFonts w:ascii="Verdana" w:hAnsi="Verdana"/>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“1. Número de trabajadores totales. </w:t>
      </w:r>
    </w:p>
    <w:p w14:paraId="51629923"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 2. Valor de ventas brutas anuales. </w:t>
      </w:r>
    </w:p>
    <w:p w14:paraId="4E99AAB5"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 3. Valor activos totales. </w:t>
      </w:r>
    </w:p>
    <w:p w14:paraId="7836B72B"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Para efectos de los beneficios otorgados por el Gobierno nacional a las micro, pequeñas y medianas empresas el criterio determinante será </w:t>
      </w:r>
    </w:p>
    <w:p w14:paraId="661DEF85"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el valor de ventas brutas anuales. </w:t>
      </w:r>
    </w:p>
    <w:p w14:paraId="257AA7BF"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Parágrafo 1°. El Gobierno Nacional reglamentará los rangos que aplicarán para los tres criterios e incluirá especificidades sectoriales en los </w:t>
      </w:r>
    </w:p>
    <w:p w14:paraId="6D820979"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casos que considere necesario. </w:t>
      </w:r>
    </w:p>
    <w:p w14:paraId="30B264EA" w14:textId="77777777" w:rsidR="00DE1934" w:rsidRPr="00311100" w:rsidRDefault="00DE1934" w:rsidP="00C43246">
      <w:pPr>
        <w:pStyle w:val="Textonotapie"/>
        <w:jc w:val="both"/>
        <w:rPr>
          <w:rFonts w:ascii="Verdana" w:hAnsi="Verdana"/>
          <w:sz w:val="16"/>
          <w:szCs w:val="16"/>
        </w:rPr>
      </w:pPr>
      <w:r w:rsidRPr="00311100">
        <w:rPr>
          <w:rFonts w:ascii="Verdana" w:hAnsi="Verdana"/>
          <w:sz w:val="16"/>
          <w:szCs w:val="16"/>
        </w:rPr>
        <w:t xml:space="preserve">Parágrafo 2°. Las definiciones contenidas en el artículo 2° de la Ley 590 de 2000 continuarán vigentes hasta tanto entren a regir las normas </w:t>
      </w:r>
    </w:p>
    <w:p w14:paraId="46D62585" w14:textId="77777777" w:rsidR="00DE1934" w:rsidRPr="00311100" w:rsidRDefault="00DE1934" w:rsidP="00C43246">
      <w:pPr>
        <w:pStyle w:val="Textonotapie"/>
        <w:jc w:val="both"/>
        <w:rPr>
          <w:rFonts w:ascii="Verdana" w:hAnsi="Verdana" w:cs="Arial"/>
          <w:sz w:val="16"/>
          <w:szCs w:val="16"/>
          <w:lang w:val="es-ES"/>
        </w:rPr>
      </w:pPr>
      <w:r w:rsidRPr="00311100">
        <w:rPr>
          <w:rFonts w:ascii="Verdana" w:hAnsi="Verdana"/>
          <w:sz w:val="16"/>
          <w:szCs w:val="16"/>
        </w:rPr>
        <w:t>reglamentarias que profiera el Gobierno Nacional en desarrollo de lo previsto en el presente artículo</w:t>
      </w:r>
      <w:r w:rsidRPr="00311100">
        <w:rPr>
          <w:rFonts w:ascii="Verdana" w:hAnsi="Verdana" w:cs="Arial"/>
          <w:sz w:val="16"/>
          <w:szCs w:val="16"/>
        </w:rPr>
        <w:t>”.</w:t>
      </w:r>
    </w:p>
  </w:footnote>
  <w:footnote w:id="4">
    <w:p w14:paraId="206A4838" w14:textId="77777777" w:rsidR="00DE1934" w:rsidRPr="00311100" w:rsidRDefault="00DE1934" w:rsidP="00C43246">
      <w:pPr>
        <w:pStyle w:val="Textonotapie"/>
        <w:rPr>
          <w:rFonts w:ascii="Verdana" w:hAnsi="Verdana" w:cs="Arial"/>
          <w:sz w:val="16"/>
          <w:szCs w:val="16"/>
          <w:lang w:val="es-ES"/>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Pr="00311100">
        <w:rPr>
          <w:rFonts w:ascii="Verdana" w:hAnsi="Verdana"/>
          <w:sz w:val="16"/>
          <w:szCs w:val="16"/>
        </w:rPr>
        <w:t>Artículo 2.2.1.13.2.2. del Decreto 1074 de 2015, adicionado por el Decreto 957 de 2019.</w:t>
      </w:r>
    </w:p>
  </w:footnote>
  <w:footnote w:id="5">
    <w:p w14:paraId="28614B36" w14:textId="77777777" w:rsidR="00DE1934" w:rsidRPr="00311100" w:rsidRDefault="00DE1934" w:rsidP="00C43246">
      <w:pPr>
        <w:pStyle w:val="Textonotapie"/>
        <w:jc w:val="both"/>
        <w:rPr>
          <w:rFonts w:ascii="Verdana" w:hAnsi="Verdana" w:cs="Arial"/>
          <w:sz w:val="16"/>
          <w:szCs w:val="16"/>
          <w:lang w:val="es-CO"/>
        </w:rPr>
      </w:pPr>
      <w:r w:rsidRPr="00311100">
        <w:rPr>
          <w:rStyle w:val="Refdenotaalpie"/>
          <w:rFonts w:ascii="Verdana" w:hAnsi="Verdana" w:cs="Arial"/>
          <w:sz w:val="16"/>
          <w:szCs w:val="16"/>
        </w:rPr>
        <w:footnoteRef/>
      </w:r>
      <w:r w:rsidRPr="00311100">
        <w:rPr>
          <w:rFonts w:ascii="Verdana" w:hAnsi="Verdana" w:cs="Arial"/>
          <w:sz w:val="16"/>
          <w:szCs w:val="16"/>
        </w:rPr>
        <w:t xml:space="preserve"> Ley 2069 de 2020: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6">
    <w:p w14:paraId="378F194E" w14:textId="77777777" w:rsidR="00DE1934" w:rsidRPr="00311100" w:rsidRDefault="00DE1934" w:rsidP="00C43246">
      <w:pPr>
        <w:pStyle w:val="Textonotapie"/>
        <w:rPr>
          <w:rFonts w:ascii="Verdana" w:hAnsi="Verdana"/>
          <w:sz w:val="16"/>
          <w:szCs w:val="16"/>
        </w:rPr>
      </w:pPr>
    </w:p>
    <w:p w14:paraId="07CA9224" w14:textId="77777777" w:rsidR="00DE1934" w:rsidRPr="00311100" w:rsidRDefault="00DE1934" w:rsidP="00C43246">
      <w:pPr>
        <w:pStyle w:val="Textonotapie"/>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eastAsia="Calibri" w:hAnsi="Verdana" w:cs="Arial"/>
          <w:color w:val="000000" w:themeColor="text1"/>
          <w:sz w:val="16"/>
          <w:szCs w:val="16"/>
          <w:lang w:val="es-ES_tradnl"/>
        </w:rPr>
        <w:t>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Pr="00311100">
        <w:rPr>
          <w:rFonts w:ascii="Verdana" w:hAnsi="Verdana"/>
          <w:sz w:val="16"/>
          <w:szCs w:val="16"/>
        </w:rPr>
        <w:t xml:space="preserve"> </w:t>
      </w:r>
    </w:p>
  </w:footnote>
  <w:footnote w:id="7">
    <w:p w14:paraId="01552987" w14:textId="77777777" w:rsidR="00DE1934" w:rsidRPr="00311100" w:rsidRDefault="00DE1934" w:rsidP="00C43246">
      <w:pPr>
        <w:pStyle w:val="Textonotapie"/>
        <w:rPr>
          <w:rFonts w:ascii="Verdana" w:hAnsi="Verdana"/>
          <w:sz w:val="16"/>
          <w:szCs w:val="16"/>
        </w:rPr>
      </w:pPr>
    </w:p>
    <w:p w14:paraId="3B26C73B" w14:textId="77777777" w:rsidR="00DE1934" w:rsidRPr="00311100" w:rsidRDefault="00DE1934" w:rsidP="00C43246">
      <w:pPr>
        <w:spacing w:after="120" w:line="240" w:lineRule="auto"/>
        <w:jc w:val="both"/>
        <w:rPr>
          <w:rFonts w:ascii="Verdana" w:hAnsi="Verdana" w:cs="Arial"/>
          <w:color w:val="000000" w:themeColor="text1"/>
          <w:sz w:val="16"/>
          <w:szCs w:val="16"/>
          <w:lang w:val="es-ES_tradnl"/>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hAnsi="Verdana" w:cs="Arial"/>
          <w:color w:val="000000" w:themeColor="text1"/>
          <w:sz w:val="16"/>
          <w:szCs w:val="16"/>
          <w:lang w:val="es-ES_tradnl"/>
        </w:rPr>
        <w:t>E</w:t>
      </w:r>
      <w:r w:rsidRPr="00311100">
        <w:rPr>
          <w:rFonts w:ascii="Verdana" w:eastAsia="Calibri" w:hAnsi="Verdana" w:cs="Arial"/>
          <w:color w:val="000000" w:themeColor="text1"/>
          <w:sz w:val="16"/>
          <w:szCs w:val="16"/>
          <w:lang w:val="es-ES_tradnl"/>
        </w:rPr>
        <w:t xml:space="preserve">l artículo 2 de la Ley 2143 de 2021 establece la naturaleza </w:t>
      </w:r>
      <w:r w:rsidRPr="00C057A0">
        <w:rPr>
          <w:rFonts w:ascii="Verdana" w:eastAsia="Calibri" w:hAnsi="Verdana" w:cs="Arial"/>
          <w:color w:val="000000" w:themeColor="text1"/>
          <w:sz w:val="16"/>
          <w:szCs w:val="16"/>
          <w:lang w:val="es-ES_tradnl"/>
        </w:rPr>
        <w:t>jurídica</w:t>
      </w:r>
      <w:r w:rsidRPr="00311100">
        <w:rPr>
          <w:rFonts w:ascii="Verdana" w:eastAsia="Calibri" w:hAnsi="Verdana" w:cs="Arial"/>
          <w:color w:val="000000" w:themeColor="text1"/>
          <w:sz w:val="16"/>
          <w:szCs w:val="16"/>
          <w:lang w:val="es-ES_tradnl"/>
        </w:rPr>
        <w:t xml:space="preserve"> de las asociaciones mutualistas, estableciendo que:</w:t>
      </w:r>
      <w:r w:rsidRPr="00311100">
        <w:rPr>
          <w:rFonts w:ascii="Verdana" w:hAnsi="Verdana" w:cs="Arial"/>
          <w:color w:val="000000" w:themeColor="text1"/>
          <w:sz w:val="16"/>
          <w:szCs w:val="16"/>
          <w:lang w:val="es-ES_tradnl"/>
        </w:rPr>
        <w:t>”</w:t>
      </w:r>
      <w:r w:rsidRPr="00311100">
        <w:rPr>
          <w:rFonts w:ascii="Verdana" w:hAnsi="Verdana" w:cs="Arial"/>
          <w:i/>
          <w:iCs/>
          <w:color w:val="000000" w:themeColor="text1"/>
          <w:sz w:val="16"/>
          <w:szCs w:val="16"/>
          <w:lang w:val="es-ES_tradnl"/>
        </w:rPr>
        <w:t>Las asociaciones mutualistas son empresas de economía solidaria, de derecho privado, cuya naturaleza es sin ánimo de lucro</w:t>
      </w:r>
      <w:r w:rsidRPr="00311100">
        <w:rPr>
          <w:rFonts w:ascii="Verdana" w:hAnsi="Verdana" w:cs="Arial"/>
          <w:color w:val="000000" w:themeColor="text1"/>
          <w:sz w:val="16"/>
          <w:szCs w:val="16"/>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 </w:t>
      </w:r>
    </w:p>
    <w:p w14:paraId="59B5FC33" w14:textId="77777777" w:rsidR="00DE1934" w:rsidRPr="00311100" w:rsidRDefault="00DE1934" w:rsidP="00C43246">
      <w:pPr>
        <w:spacing w:after="0" w:line="240" w:lineRule="auto"/>
        <w:jc w:val="both"/>
        <w:rPr>
          <w:rFonts w:ascii="Verdana" w:eastAsia="Calibri" w:hAnsi="Verdana" w:cs="Arial"/>
          <w:color w:val="000000" w:themeColor="text1"/>
          <w:sz w:val="16"/>
          <w:szCs w:val="16"/>
          <w:lang w:val="es-ES_tradnl"/>
        </w:rPr>
      </w:pPr>
      <w:r w:rsidRPr="00311100">
        <w:rPr>
          <w:rFonts w:ascii="Verdana" w:hAnsi="Verdana" w:cs="Arial"/>
          <w:color w:val="000000" w:themeColor="text1"/>
          <w:sz w:val="16"/>
          <w:szCs w:val="16"/>
          <w:lang w:val="es-ES_tradnl"/>
        </w:rPr>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r w:rsidRPr="00311100">
        <w:rPr>
          <w:rFonts w:ascii="Verdana" w:eastAsia="Calibri" w:hAnsi="Verdana" w:cs="Arial"/>
          <w:color w:val="000000" w:themeColor="text1"/>
          <w:sz w:val="16"/>
          <w:szCs w:val="16"/>
          <w:lang w:val="es-ES_tradnl"/>
        </w:rPr>
        <w:t>.</w:t>
      </w:r>
    </w:p>
    <w:p w14:paraId="359906B2" w14:textId="77777777" w:rsidR="00DE1934" w:rsidRPr="00311100" w:rsidRDefault="00DE1934" w:rsidP="00C43246">
      <w:pPr>
        <w:pStyle w:val="Textonotapie"/>
        <w:rPr>
          <w:rFonts w:ascii="Verdana" w:hAnsi="Verdana"/>
          <w:sz w:val="16"/>
          <w:szCs w:val="16"/>
          <w:lang w:val="es-ES_tradnl"/>
        </w:rPr>
      </w:pPr>
    </w:p>
  </w:footnote>
  <w:footnote w:id="8">
    <w:p w14:paraId="4AA2B028" w14:textId="77777777" w:rsidR="00DE1934" w:rsidRPr="00311100" w:rsidRDefault="00DE1934" w:rsidP="00C43246">
      <w:pPr>
        <w:pStyle w:val="Textonotapie"/>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El artículo 2 de la Ley 454 de 1998 define a la economía solidaría como el</w:t>
      </w:r>
      <w:r w:rsidRPr="00311100">
        <w:rPr>
          <w:rFonts w:ascii="Verdana" w:hAnsi="Verdana"/>
          <w:sz w:val="16"/>
          <w:szCs w:val="16"/>
          <w:lang w:val="es-CO"/>
        </w:rPr>
        <w:t xml:space="preserve">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En concordancia con esto, el artículo 6 de dicha ley caracteriza a las organizaciones de economía solidaria estableciendo que estas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9pt;height:10.9pt" o:bullet="t">
        <v:imagedata r:id="rId1" o:title="mso1B13"/>
      </v:shape>
    </w:pict>
  </w:numPicBullet>
  <w:abstractNum w:abstractNumId="0" w15:restartNumberingAfterBreak="0">
    <w:nsid w:val="CB4AAA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00A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769791B"/>
    <w:multiLevelType w:val="hybridMultilevel"/>
    <w:tmpl w:val="96FC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2062785"/>
    <w:multiLevelType w:val="hybridMultilevel"/>
    <w:tmpl w:val="F7E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0C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931FAD"/>
    <w:multiLevelType w:val="hybridMultilevel"/>
    <w:tmpl w:val="CF2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768F7"/>
    <w:multiLevelType w:val="hybridMultilevel"/>
    <w:tmpl w:val="43907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553C26"/>
    <w:multiLevelType w:val="hybridMultilevel"/>
    <w:tmpl w:val="AD704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A3F27CD"/>
    <w:multiLevelType w:val="hybridMultilevel"/>
    <w:tmpl w:val="1AB87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E463C4"/>
    <w:multiLevelType w:val="hybridMultilevel"/>
    <w:tmpl w:val="3EA8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1" w15:restartNumberingAfterBreak="0">
    <w:nsid w:val="664113CD"/>
    <w:multiLevelType w:val="multilevel"/>
    <w:tmpl w:val="713C718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827" w:hanging="233"/>
      </w:pPr>
      <w:rPr>
        <w:rFonts w:ascii="Arial" w:eastAsia="Arial" w:hAnsi="Arial" w:cs="Arial" w:hint="default"/>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32" w15:restartNumberingAfterBreak="0">
    <w:nsid w:val="6663276E"/>
    <w:multiLevelType w:val="hybridMultilevel"/>
    <w:tmpl w:val="4C78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AD50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BA70D6"/>
    <w:multiLevelType w:val="hybridMultilevel"/>
    <w:tmpl w:val="283E4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20"/>
  </w:num>
  <w:num w:numId="2" w16cid:durableId="19822139">
    <w:abstractNumId w:val="5"/>
  </w:num>
  <w:num w:numId="3" w16cid:durableId="876742304">
    <w:abstractNumId w:val="16"/>
  </w:num>
  <w:num w:numId="4" w16cid:durableId="245186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36"/>
  </w:num>
  <w:num w:numId="7" w16cid:durableId="1946422806">
    <w:abstractNumId w:val="18"/>
  </w:num>
  <w:num w:numId="8" w16cid:durableId="152644682">
    <w:abstractNumId w:val="34"/>
  </w:num>
  <w:num w:numId="9" w16cid:durableId="1317221377">
    <w:abstractNumId w:val="22"/>
  </w:num>
  <w:num w:numId="10" w16cid:durableId="1471245386">
    <w:abstractNumId w:val="33"/>
  </w:num>
  <w:num w:numId="11" w16cid:durableId="289172385">
    <w:abstractNumId w:val="23"/>
  </w:num>
  <w:num w:numId="12" w16cid:durableId="1470781324">
    <w:abstractNumId w:val="4"/>
  </w:num>
  <w:num w:numId="13" w16cid:durableId="1512908409">
    <w:abstractNumId w:val="12"/>
  </w:num>
  <w:num w:numId="14" w16cid:durableId="895897244">
    <w:abstractNumId w:val="37"/>
  </w:num>
  <w:num w:numId="15" w16cid:durableId="390349800">
    <w:abstractNumId w:val="30"/>
  </w:num>
  <w:num w:numId="16" w16cid:durableId="1380713882">
    <w:abstractNumId w:val="3"/>
  </w:num>
  <w:num w:numId="17" w16cid:durableId="1132214699">
    <w:abstractNumId w:val="7"/>
  </w:num>
  <w:num w:numId="18" w16cid:durableId="784039179">
    <w:abstractNumId w:val="38"/>
  </w:num>
  <w:num w:numId="19" w16cid:durableId="13699161">
    <w:abstractNumId w:val="1"/>
  </w:num>
  <w:num w:numId="20" w16cid:durableId="537469537">
    <w:abstractNumId w:val="15"/>
  </w:num>
  <w:num w:numId="21" w16cid:durableId="537474378">
    <w:abstractNumId w:val="28"/>
  </w:num>
  <w:num w:numId="22" w16cid:durableId="1957522670">
    <w:abstractNumId w:val="31"/>
  </w:num>
  <w:num w:numId="23" w16cid:durableId="1619140680">
    <w:abstractNumId w:val="14"/>
  </w:num>
  <w:num w:numId="24" w16cid:durableId="2022704930">
    <w:abstractNumId w:val="29"/>
  </w:num>
  <w:num w:numId="25" w16cid:durableId="1136921567">
    <w:abstractNumId w:val="13"/>
  </w:num>
  <w:num w:numId="26" w16cid:durableId="2139764406">
    <w:abstractNumId w:val="11"/>
  </w:num>
  <w:num w:numId="27" w16cid:durableId="679089576">
    <w:abstractNumId w:val="24"/>
  </w:num>
  <w:num w:numId="28" w16cid:durableId="1540245051">
    <w:abstractNumId w:val="40"/>
  </w:num>
  <w:num w:numId="29" w16cid:durableId="609122714">
    <w:abstractNumId w:val="26"/>
  </w:num>
  <w:num w:numId="30" w16cid:durableId="998077508">
    <w:abstractNumId w:val="25"/>
  </w:num>
  <w:num w:numId="31" w16cid:durableId="677729351">
    <w:abstractNumId w:val="19"/>
  </w:num>
  <w:num w:numId="32" w16cid:durableId="1581712410">
    <w:abstractNumId w:val="6"/>
  </w:num>
  <w:num w:numId="33" w16cid:durableId="1492209491">
    <w:abstractNumId w:val="17"/>
  </w:num>
  <w:num w:numId="34" w16cid:durableId="1152722168">
    <w:abstractNumId w:val="2"/>
  </w:num>
  <w:num w:numId="35" w16cid:durableId="17630293">
    <w:abstractNumId w:val="0"/>
  </w:num>
  <w:num w:numId="36" w16cid:durableId="1801414381">
    <w:abstractNumId w:val="39"/>
  </w:num>
  <w:num w:numId="37" w16cid:durableId="1285499087">
    <w:abstractNumId w:val="9"/>
  </w:num>
  <w:num w:numId="38" w16cid:durableId="1733503356">
    <w:abstractNumId w:val="32"/>
  </w:num>
  <w:num w:numId="39" w16cid:durableId="836310654">
    <w:abstractNumId w:val="10"/>
  </w:num>
  <w:num w:numId="40" w16cid:durableId="1178544198">
    <w:abstractNumId w:val="21"/>
  </w:num>
  <w:num w:numId="41" w16cid:durableId="1655985476">
    <w:abstractNumId w:val="27"/>
  </w:num>
  <w:num w:numId="42" w16cid:durableId="816992911">
    <w:abstractNumId w:val="8"/>
  </w:num>
  <w:num w:numId="43" w16cid:durableId="15283705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DF9"/>
    <w:rsid w:val="000178A7"/>
    <w:rsid w:val="00020EB3"/>
    <w:rsid w:val="000260A3"/>
    <w:rsid w:val="000429E4"/>
    <w:rsid w:val="000528E8"/>
    <w:rsid w:val="00061B2A"/>
    <w:rsid w:val="000653D2"/>
    <w:rsid w:val="00082362"/>
    <w:rsid w:val="000A683E"/>
    <w:rsid w:val="000B1198"/>
    <w:rsid w:val="000B19B9"/>
    <w:rsid w:val="000B4233"/>
    <w:rsid w:val="000C3898"/>
    <w:rsid w:val="000D0334"/>
    <w:rsid w:val="000F57DE"/>
    <w:rsid w:val="000F6486"/>
    <w:rsid w:val="00105DE8"/>
    <w:rsid w:val="00125105"/>
    <w:rsid w:val="00127233"/>
    <w:rsid w:val="00131873"/>
    <w:rsid w:val="00152D71"/>
    <w:rsid w:val="001568CE"/>
    <w:rsid w:val="00167683"/>
    <w:rsid w:val="00176AD1"/>
    <w:rsid w:val="00196126"/>
    <w:rsid w:val="001A151B"/>
    <w:rsid w:val="001A3A8A"/>
    <w:rsid w:val="001A5B8C"/>
    <w:rsid w:val="001B48A8"/>
    <w:rsid w:val="001D4DE0"/>
    <w:rsid w:val="001E1142"/>
    <w:rsid w:val="001E4177"/>
    <w:rsid w:val="001F1804"/>
    <w:rsid w:val="001F3969"/>
    <w:rsid w:val="001F6834"/>
    <w:rsid w:val="001F7DC6"/>
    <w:rsid w:val="00200416"/>
    <w:rsid w:val="00204574"/>
    <w:rsid w:val="002376C2"/>
    <w:rsid w:val="002421BB"/>
    <w:rsid w:val="002424C4"/>
    <w:rsid w:val="0025796E"/>
    <w:rsid w:val="002627D4"/>
    <w:rsid w:val="00263A88"/>
    <w:rsid w:val="00263CE9"/>
    <w:rsid w:val="002707A2"/>
    <w:rsid w:val="0028778A"/>
    <w:rsid w:val="002951A0"/>
    <w:rsid w:val="002962BC"/>
    <w:rsid w:val="002A093D"/>
    <w:rsid w:val="002A0DD0"/>
    <w:rsid w:val="002A49AC"/>
    <w:rsid w:val="002A64FD"/>
    <w:rsid w:val="002B5168"/>
    <w:rsid w:val="002C7A84"/>
    <w:rsid w:val="002E2804"/>
    <w:rsid w:val="002E4FD9"/>
    <w:rsid w:val="0030203C"/>
    <w:rsid w:val="00303188"/>
    <w:rsid w:val="003123C7"/>
    <w:rsid w:val="003204F0"/>
    <w:rsid w:val="00322A85"/>
    <w:rsid w:val="00324168"/>
    <w:rsid w:val="00327346"/>
    <w:rsid w:val="003448F4"/>
    <w:rsid w:val="00347B2E"/>
    <w:rsid w:val="00360C1A"/>
    <w:rsid w:val="003621D1"/>
    <w:rsid w:val="00374F5E"/>
    <w:rsid w:val="00377E3E"/>
    <w:rsid w:val="0038146B"/>
    <w:rsid w:val="003910C3"/>
    <w:rsid w:val="003A26D1"/>
    <w:rsid w:val="003A779E"/>
    <w:rsid w:val="003C6C4F"/>
    <w:rsid w:val="003D0F4D"/>
    <w:rsid w:val="003D5B0D"/>
    <w:rsid w:val="003E0499"/>
    <w:rsid w:val="003E76ED"/>
    <w:rsid w:val="003F3941"/>
    <w:rsid w:val="003F79C3"/>
    <w:rsid w:val="00402A22"/>
    <w:rsid w:val="00406575"/>
    <w:rsid w:val="004268E4"/>
    <w:rsid w:val="00426DC2"/>
    <w:rsid w:val="0042722E"/>
    <w:rsid w:val="00441752"/>
    <w:rsid w:val="0044528D"/>
    <w:rsid w:val="004455B8"/>
    <w:rsid w:val="00445757"/>
    <w:rsid w:val="00452A0F"/>
    <w:rsid w:val="00485E57"/>
    <w:rsid w:val="0049064A"/>
    <w:rsid w:val="004942CE"/>
    <w:rsid w:val="004A1847"/>
    <w:rsid w:val="004A1FBE"/>
    <w:rsid w:val="004A305D"/>
    <w:rsid w:val="004B5F84"/>
    <w:rsid w:val="004F21C4"/>
    <w:rsid w:val="004F685F"/>
    <w:rsid w:val="00500C3E"/>
    <w:rsid w:val="00503C19"/>
    <w:rsid w:val="00504F7B"/>
    <w:rsid w:val="0052137A"/>
    <w:rsid w:val="00530F39"/>
    <w:rsid w:val="0053497F"/>
    <w:rsid w:val="005411E8"/>
    <w:rsid w:val="005434E9"/>
    <w:rsid w:val="005566E8"/>
    <w:rsid w:val="0057363F"/>
    <w:rsid w:val="00574867"/>
    <w:rsid w:val="005773E9"/>
    <w:rsid w:val="00591460"/>
    <w:rsid w:val="00592628"/>
    <w:rsid w:val="005A4341"/>
    <w:rsid w:val="005A44D7"/>
    <w:rsid w:val="005A7ADE"/>
    <w:rsid w:val="005A7AF3"/>
    <w:rsid w:val="005C3777"/>
    <w:rsid w:val="005C5CDC"/>
    <w:rsid w:val="005D476C"/>
    <w:rsid w:val="005D495C"/>
    <w:rsid w:val="005E1068"/>
    <w:rsid w:val="005F30D4"/>
    <w:rsid w:val="006107D7"/>
    <w:rsid w:val="00610812"/>
    <w:rsid w:val="006219F8"/>
    <w:rsid w:val="006408EC"/>
    <w:rsid w:val="00650FF7"/>
    <w:rsid w:val="0066197B"/>
    <w:rsid w:val="00665D70"/>
    <w:rsid w:val="0066669E"/>
    <w:rsid w:val="00671DAC"/>
    <w:rsid w:val="006900D9"/>
    <w:rsid w:val="00694654"/>
    <w:rsid w:val="006956EC"/>
    <w:rsid w:val="006B6A68"/>
    <w:rsid w:val="006D12F8"/>
    <w:rsid w:val="006D51B6"/>
    <w:rsid w:val="006E36AD"/>
    <w:rsid w:val="00706C16"/>
    <w:rsid w:val="007204CA"/>
    <w:rsid w:val="00724070"/>
    <w:rsid w:val="00727DDD"/>
    <w:rsid w:val="00756841"/>
    <w:rsid w:val="007649AB"/>
    <w:rsid w:val="00771D0C"/>
    <w:rsid w:val="007833AC"/>
    <w:rsid w:val="00783F94"/>
    <w:rsid w:val="007B268C"/>
    <w:rsid w:val="007B7171"/>
    <w:rsid w:val="007C0C0F"/>
    <w:rsid w:val="007C3DC2"/>
    <w:rsid w:val="007D46F1"/>
    <w:rsid w:val="007E08E1"/>
    <w:rsid w:val="007E4284"/>
    <w:rsid w:val="007E5497"/>
    <w:rsid w:val="00806F5F"/>
    <w:rsid w:val="00820278"/>
    <w:rsid w:val="00826C01"/>
    <w:rsid w:val="00830A9A"/>
    <w:rsid w:val="00831CDD"/>
    <w:rsid w:val="008419F4"/>
    <w:rsid w:val="00843C98"/>
    <w:rsid w:val="00847DDA"/>
    <w:rsid w:val="0086225C"/>
    <w:rsid w:val="00862ACC"/>
    <w:rsid w:val="0087001C"/>
    <w:rsid w:val="00871E9D"/>
    <w:rsid w:val="0087346C"/>
    <w:rsid w:val="0087417A"/>
    <w:rsid w:val="008843B6"/>
    <w:rsid w:val="0088719E"/>
    <w:rsid w:val="00890BE4"/>
    <w:rsid w:val="00891928"/>
    <w:rsid w:val="008974FD"/>
    <w:rsid w:val="008A247D"/>
    <w:rsid w:val="008A3D98"/>
    <w:rsid w:val="008A446D"/>
    <w:rsid w:val="008D180B"/>
    <w:rsid w:val="008D793C"/>
    <w:rsid w:val="008E644F"/>
    <w:rsid w:val="008E678A"/>
    <w:rsid w:val="008E6A1C"/>
    <w:rsid w:val="008F0EA7"/>
    <w:rsid w:val="009063E3"/>
    <w:rsid w:val="0091453F"/>
    <w:rsid w:val="00923EEF"/>
    <w:rsid w:val="0093625A"/>
    <w:rsid w:val="009419F9"/>
    <w:rsid w:val="009549FC"/>
    <w:rsid w:val="009564F9"/>
    <w:rsid w:val="0095685E"/>
    <w:rsid w:val="00957152"/>
    <w:rsid w:val="00960D42"/>
    <w:rsid w:val="00961B09"/>
    <w:rsid w:val="00961C58"/>
    <w:rsid w:val="00965334"/>
    <w:rsid w:val="0097093E"/>
    <w:rsid w:val="0097111E"/>
    <w:rsid w:val="00971A5E"/>
    <w:rsid w:val="00982D39"/>
    <w:rsid w:val="009917B5"/>
    <w:rsid w:val="009940B4"/>
    <w:rsid w:val="009A0DFA"/>
    <w:rsid w:val="009A6DEA"/>
    <w:rsid w:val="009B2D26"/>
    <w:rsid w:val="009C71FA"/>
    <w:rsid w:val="009C72E7"/>
    <w:rsid w:val="009C7820"/>
    <w:rsid w:val="009C7ED5"/>
    <w:rsid w:val="009D1FA0"/>
    <w:rsid w:val="009D3058"/>
    <w:rsid w:val="009D3D7B"/>
    <w:rsid w:val="009D4BB6"/>
    <w:rsid w:val="009F0C3C"/>
    <w:rsid w:val="009F3A13"/>
    <w:rsid w:val="00A122D3"/>
    <w:rsid w:val="00A17F13"/>
    <w:rsid w:val="00A20739"/>
    <w:rsid w:val="00A307A2"/>
    <w:rsid w:val="00A33C78"/>
    <w:rsid w:val="00A6406E"/>
    <w:rsid w:val="00A71FA6"/>
    <w:rsid w:val="00A81B68"/>
    <w:rsid w:val="00A8439D"/>
    <w:rsid w:val="00A86A9B"/>
    <w:rsid w:val="00AA20D5"/>
    <w:rsid w:val="00AA7E70"/>
    <w:rsid w:val="00AB0ADB"/>
    <w:rsid w:val="00AD059F"/>
    <w:rsid w:val="00AD547D"/>
    <w:rsid w:val="00B01B1A"/>
    <w:rsid w:val="00B22D91"/>
    <w:rsid w:val="00B25360"/>
    <w:rsid w:val="00B52870"/>
    <w:rsid w:val="00B61DC6"/>
    <w:rsid w:val="00B72CD3"/>
    <w:rsid w:val="00B72FFF"/>
    <w:rsid w:val="00B804FB"/>
    <w:rsid w:val="00BA5844"/>
    <w:rsid w:val="00BB2012"/>
    <w:rsid w:val="00BC3D36"/>
    <w:rsid w:val="00BC5130"/>
    <w:rsid w:val="00BC5684"/>
    <w:rsid w:val="00BD7F72"/>
    <w:rsid w:val="00BE43DD"/>
    <w:rsid w:val="00BF35DB"/>
    <w:rsid w:val="00BF42BF"/>
    <w:rsid w:val="00BF7795"/>
    <w:rsid w:val="00C04A9C"/>
    <w:rsid w:val="00C04FB3"/>
    <w:rsid w:val="00C07B0F"/>
    <w:rsid w:val="00C13B97"/>
    <w:rsid w:val="00C15405"/>
    <w:rsid w:val="00C330EB"/>
    <w:rsid w:val="00C36081"/>
    <w:rsid w:val="00C43246"/>
    <w:rsid w:val="00C53DA6"/>
    <w:rsid w:val="00C754BE"/>
    <w:rsid w:val="00C76B1C"/>
    <w:rsid w:val="00C85952"/>
    <w:rsid w:val="00C90A74"/>
    <w:rsid w:val="00CB6357"/>
    <w:rsid w:val="00CC1B26"/>
    <w:rsid w:val="00CD5157"/>
    <w:rsid w:val="00CE54C6"/>
    <w:rsid w:val="00CF0735"/>
    <w:rsid w:val="00D15311"/>
    <w:rsid w:val="00D16885"/>
    <w:rsid w:val="00D17438"/>
    <w:rsid w:val="00D209FA"/>
    <w:rsid w:val="00D3408D"/>
    <w:rsid w:val="00D36C5C"/>
    <w:rsid w:val="00D423A2"/>
    <w:rsid w:val="00D424EA"/>
    <w:rsid w:val="00D463E7"/>
    <w:rsid w:val="00D47181"/>
    <w:rsid w:val="00D520D8"/>
    <w:rsid w:val="00D53C81"/>
    <w:rsid w:val="00D57942"/>
    <w:rsid w:val="00D63AC2"/>
    <w:rsid w:val="00D7383B"/>
    <w:rsid w:val="00D829A3"/>
    <w:rsid w:val="00D963EA"/>
    <w:rsid w:val="00DA020C"/>
    <w:rsid w:val="00DA231B"/>
    <w:rsid w:val="00DA23A0"/>
    <w:rsid w:val="00DA43F8"/>
    <w:rsid w:val="00DB55F9"/>
    <w:rsid w:val="00DC39FC"/>
    <w:rsid w:val="00DD23CA"/>
    <w:rsid w:val="00DD313F"/>
    <w:rsid w:val="00DD72BF"/>
    <w:rsid w:val="00DE1934"/>
    <w:rsid w:val="00DE292E"/>
    <w:rsid w:val="00DF5254"/>
    <w:rsid w:val="00E00129"/>
    <w:rsid w:val="00E16408"/>
    <w:rsid w:val="00E20894"/>
    <w:rsid w:val="00E245AB"/>
    <w:rsid w:val="00E2764C"/>
    <w:rsid w:val="00E27F2E"/>
    <w:rsid w:val="00E33232"/>
    <w:rsid w:val="00E413EA"/>
    <w:rsid w:val="00E50AFE"/>
    <w:rsid w:val="00E75C92"/>
    <w:rsid w:val="00E771DC"/>
    <w:rsid w:val="00E80A1B"/>
    <w:rsid w:val="00E859C1"/>
    <w:rsid w:val="00E8772A"/>
    <w:rsid w:val="00E90F6B"/>
    <w:rsid w:val="00E92C27"/>
    <w:rsid w:val="00EA0E3D"/>
    <w:rsid w:val="00EC38A7"/>
    <w:rsid w:val="00ED23CC"/>
    <w:rsid w:val="00EE1AA8"/>
    <w:rsid w:val="00EF3BDD"/>
    <w:rsid w:val="00F00835"/>
    <w:rsid w:val="00F03026"/>
    <w:rsid w:val="00F15AE8"/>
    <w:rsid w:val="00F31DD9"/>
    <w:rsid w:val="00F31EDC"/>
    <w:rsid w:val="00F365E7"/>
    <w:rsid w:val="00F462B3"/>
    <w:rsid w:val="00F53FE4"/>
    <w:rsid w:val="00F5664F"/>
    <w:rsid w:val="00F616F2"/>
    <w:rsid w:val="00F666C4"/>
    <w:rsid w:val="00F70D14"/>
    <w:rsid w:val="00F76AFC"/>
    <w:rsid w:val="00F830FC"/>
    <w:rsid w:val="00FA47C0"/>
    <w:rsid w:val="00FB17AC"/>
    <w:rsid w:val="00FB5DD1"/>
    <w:rsid w:val="00FB61DF"/>
    <w:rsid w:val="00FC2B5D"/>
    <w:rsid w:val="00FE2CF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A8F01DB-8DBC-48B2-86AB-4D339AC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29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customStyle="1" w:styleId="superscript">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customStyle="1" w:styleId="TextocomentarioCar">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customStyle="1" w:styleId="AsuntodelcomentarioCar">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6408EC"/>
    <w:rPr>
      <w:rFonts w:ascii="Century Gothic" w:eastAsia="Times New Roman" w:hAnsi="Century Gothic" w:cs="Times New Roman"/>
      <w:szCs w:val="24"/>
      <w:lang w:val="es-ES" w:eastAsia="es-ES"/>
    </w:rPr>
  </w:style>
  <w:style w:type="character" w:customStyle="1" w:styleId="Hipervnculo1">
    <w:name w:val="Hipervínculo1"/>
    <w:basedOn w:val="Fuentedeprrafopredeter"/>
    <w:uiPriority w:val="99"/>
    <w:unhideWhenUsed/>
    <w:rsid w:val="00826C01"/>
    <w:rPr>
      <w:color w:val="F2F2F2"/>
      <w:u w:val="single"/>
    </w:rPr>
  </w:style>
  <w:style w:type="paragraph" w:styleId="Subttulo">
    <w:name w:val="Subtitle"/>
    <w:basedOn w:val="Normal"/>
    <w:next w:val="Normal"/>
    <w:link w:val="SubttuloCar"/>
    <w:uiPriority w:val="11"/>
    <w:qFormat/>
    <w:rsid w:val="008622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225C"/>
    <w:rPr>
      <w:rFonts w:eastAsiaTheme="majorEastAsia" w:cstheme="majorBidi"/>
      <w:color w:val="595959" w:themeColor="text1" w:themeTint="A6"/>
      <w:spacing w:val="15"/>
      <w:sz w:val="28"/>
      <w:szCs w:val="28"/>
    </w:rPr>
  </w:style>
  <w:style w:type="character" w:customStyle="1" w:styleId="NormalWebCar">
    <w:name w:val="Normal (Web) Car"/>
    <w:link w:val="NormalWeb"/>
    <w:uiPriority w:val="99"/>
    <w:rsid w:val="009063E3"/>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DE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3601">
      <w:bodyDiv w:val="1"/>
      <w:marLeft w:val="0"/>
      <w:marRight w:val="0"/>
      <w:marTop w:val="0"/>
      <w:marBottom w:val="0"/>
      <w:divBdr>
        <w:top w:val="none" w:sz="0" w:space="0" w:color="auto"/>
        <w:left w:val="none" w:sz="0" w:space="0" w:color="auto"/>
        <w:bottom w:val="none" w:sz="0" w:space="0" w:color="auto"/>
        <w:right w:val="none" w:sz="0" w:space="0" w:color="auto"/>
      </w:divBdr>
    </w:div>
    <w:div w:id="88818982">
      <w:bodyDiv w:val="1"/>
      <w:marLeft w:val="0"/>
      <w:marRight w:val="0"/>
      <w:marTop w:val="0"/>
      <w:marBottom w:val="0"/>
      <w:divBdr>
        <w:top w:val="none" w:sz="0" w:space="0" w:color="auto"/>
        <w:left w:val="none" w:sz="0" w:space="0" w:color="auto"/>
        <w:bottom w:val="none" w:sz="0" w:space="0" w:color="auto"/>
        <w:right w:val="none" w:sz="0" w:space="0" w:color="auto"/>
      </w:divBdr>
    </w:div>
    <w:div w:id="105387671">
      <w:bodyDiv w:val="1"/>
      <w:marLeft w:val="0"/>
      <w:marRight w:val="0"/>
      <w:marTop w:val="0"/>
      <w:marBottom w:val="0"/>
      <w:divBdr>
        <w:top w:val="none" w:sz="0" w:space="0" w:color="auto"/>
        <w:left w:val="none" w:sz="0" w:space="0" w:color="auto"/>
        <w:bottom w:val="none" w:sz="0" w:space="0" w:color="auto"/>
        <w:right w:val="none" w:sz="0" w:space="0" w:color="auto"/>
      </w:divBdr>
      <w:divsChild>
        <w:div w:id="1787045836">
          <w:marLeft w:val="0"/>
          <w:marRight w:val="0"/>
          <w:marTop w:val="0"/>
          <w:marBottom w:val="0"/>
          <w:divBdr>
            <w:top w:val="none" w:sz="0" w:space="0" w:color="auto"/>
            <w:left w:val="none" w:sz="0" w:space="0" w:color="auto"/>
            <w:bottom w:val="none" w:sz="0" w:space="0" w:color="auto"/>
            <w:right w:val="none" w:sz="0" w:space="0" w:color="auto"/>
          </w:divBdr>
        </w:div>
        <w:div w:id="1132286920">
          <w:marLeft w:val="0"/>
          <w:marRight w:val="0"/>
          <w:marTop w:val="0"/>
          <w:marBottom w:val="0"/>
          <w:divBdr>
            <w:top w:val="none" w:sz="0" w:space="0" w:color="auto"/>
            <w:left w:val="none" w:sz="0" w:space="0" w:color="auto"/>
            <w:bottom w:val="none" w:sz="0" w:space="0" w:color="auto"/>
            <w:right w:val="none" w:sz="0" w:space="0" w:color="auto"/>
          </w:divBdr>
        </w:div>
        <w:div w:id="811796940">
          <w:marLeft w:val="0"/>
          <w:marRight w:val="0"/>
          <w:marTop w:val="0"/>
          <w:marBottom w:val="0"/>
          <w:divBdr>
            <w:top w:val="none" w:sz="0" w:space="0" w:color="auto"/>
            <w:left w:val="none" w:sz="0" w:space="0" w:color="auto"/>
            <w:bottom w:val="none" w:sz="0" w:space="0" w:color="auto"/>
            <w:right w:val="none" w:sz="0" w:space="0" w:color="auto"/>
          </w:divBdr>
        </w:div>
        <w:div w:id="1582368164">
          <w:marLeft w:val="0"/>
          <w:marRight w:val="0"/>
          <w:marTop w:val="0"/>
          <w:marBottom w:val="0"/>
          <w:divBdr>
            <w:top w:val="none" w:sz="0" w:space="0" w:color="auto"/>
            <w:left w:val="none" w:sz="0" w:space="0" w:color="auto"/>
            <w:bottom w:val="none" w:sz="0" w:space="0" w:color="auto"/>
            <w:right w:val="none" w:sz="0" w:space="0" w:color="auto"/>
          </w:divBdr>
        </w:div>
        <w:div w:id="1805199383">
          <w:marLeft w:val="0"/>
          <w:marRight w:val="0"/>
          <w:marTop w:val="0"/>
          <w:marBottom w:val="0"/>
          <w:divBdr>
            <w:top w:val="none" w:sz="0" w:space="0" w:color="auto"/>
            <w:left w:val="none" w:sz="0" w:space="0" w:color="auto"/>
            <w:bottom w:val="none" w:sz="0" w:space="0" w:color="auto"/>
            <w:right w:val="none" w:sz="0" w:space="0" w:color="auto"/>
          </w:divBdr>
        </w:div>
        <w:div w:id="1079444067">
          <w:marLeft w:val="0"/>
          <w:marRight w:val="0"/>
          <w:marTop w:val="0"/>
          <w:marBottom w:val="0"/>
          <w:divBdr>
            <w:top w:val="none" w:sz="0" w:space="0" w:color="auto"/>
            <w:left w:val="none" w:sz="0" w:space="0" w:color="auto"/>
            <w:bottom w:val="none" w:sz="0" w:space="0" w:color="auto"/>
            <w:right w:val="none" w:sz="0" w:space="0" w:color="auto"/>
          </w:divBdr>
        </w:div>
        <w:div w:id="1068310866">
          <w:marLeft w:val="0"/>
          <w:marRight w:val="0"/>
          <w:marTop w:val="0"/>
          <w:marBottom w:val="0"/>
          <w:divBdr>
            <w:top w:val="none" w:sz="0" w:space="0" w:color="auto"/>
            <w:left w:val="none" w:sz="0" w:space="0" w:color="auto"/>
            <w:bottom w:val="none" w:sz="0" w:space="0" w:color="auto"/>
            <w:right w:val="none" w:sz="0" w:space="0" w:color="auto"/>
          </w:divBdr>
        </w:div>
        <w:div w:id="1990671581">
          <w:marLeft w:val="0"/>
          <w:marRight w:val="0"/>
          <w:marTop w:val="0"/>
          <w:marBottom w:val="0"/>
          <w:divBdr>
            <w:top w:val="none" w:sz="0" w:space="0" w:color="auto"/>
            <w:left w:val="none" w:sz="0" w:space="0" w:color="auto"/>
            <w:bottom w:val="none" w:sz="0" w:space="0" w:color="auto"/>
            <w:right w:val="none" w:sz="0" w:space="0" w:color="auto"/>
          </w:divBdr>
        </w:div>
        <w:div w:id="717434276">
          <w:marLeft w:val="0"/>
          <w:marRight w:val="0"/>
          <w:marTop w:val="0"/>
          <w:marBottom w:val="0"/>
          <w:divBdr>
            <w:top w:val="none" w:sz="0" w:space="0" w:color="auto"/>
            <w:left w:val="none" w:sz="0" w:space="0" w:color="auto"/>
            <w:bottom w:val="none" w:sz="0" w:space="0" w:color="auto"/>
            <w:right w:val="none" w:sz="0" w:space="0" w:color="auto"/>
          </w:divBdr>
        </w:div>
        <w:div w:id="1894805643">
          <w:marLeft w:val="0"/>
          <w:marRight w:val="0"/>
          <w:marTop w:val="0"/>
          <w:marBottom w:val="0"/>
          <w:divBdr>
            <w:top w:val="none" w:sz="0" w:space="0" w:color="auto"/>
            <w:left w:val="none" w:sz="0" w:space="0" w:color="auto"/>
            <w:bottom w:val="none" w:sz="0" w:space="0" w:color="auto"/>
            <w:right w:val="none" w:sz="0" w:space="0" w:color="auto"/>
          </w:divBdr>
        </w:div>
        <w:div w:id="906574269">
          <w:marLeft w:val="0"/>
          <w:marRight w:val="0"/>
          <w:marTop w:val="0"/>
          <w:marBottom w:val="0"/>
          <w:divBdr>
            <w:top w:val="none" w:sz="0" w:space="0" w:color="auto"/>
            <w:left w:val="none" w:sz="0" w:space="0" w:color="auto"/>
            <w:bottom w:val="none" w:sz="0" w:space="0" w:color="auto"/>
            <w:right w:val="none" w:sz="0" w:space="0" w:color="auto"/>
          </w:divBdr>
        </w:div>
        <w:div w:id="443772384">
          <w:marLeft w:val="0"/>
          <w:marRight w:val="0"/>
          <w:marTop w:val="0"/>
          <w:marBottom w:val="0"/>
          <w:divBdr>
            <w:top w:val="none" w:sz="0" w:space="0" w:color="auto"/>
            <w:left w:val="none" w:sz="0" w:space="0" w:color="auto"/>
            <w:bottom w:val="none" w:sz="0" w:space="0" w:color="auto"/>
            <w:right w:val="none" w:sz="0" w:space="0" w:color="auto"/>
          </w:divBdr>
        </w:div>
        <w:div w:id="1197694946">
          <w:marLeft w:val="0"/>
          <w:marRight w:val="0"/>
          <w:marTop w:val="0"/>
          <w:marBottom w:val="0"/>
          <w:divBdr>
            <w:top w:val="none" w:sz="0" w:space="0" w:color="auto"/>
            <w:left w:val="none" w:sz="0" w:space="0" w:color="auto"/>
            <w:bottom w:val="none" w:sz="0" w:space="0" w:color="auto"/>
            <w:right w:val="none" w:sz="0" w:space="0" w:color="auto"/>
          </w:divBdr>
        </w:div>
        <w:div w:id="2034334192">
          <w:marLeft w:val="0"/>
          <w:marRight w:val="0"/>
          <w:marTop w:val="0"/>
          <w:marBottom w:val="0"/>
          <w:divBdr>
            <w:top w:val="none" w:sz="0" w:space="0" w:color="auto"/>
            <w:left w:val="none" w:sz="0" w:space="0" w:color="auto"/>
            <w:bottom w:val="none" w:sz="0" w:space="0" w:color="auto"/>
            <w:right w:val="none" w:sz="0" w:space="0" w:color="auto"/>
          </w:divBdr>
        </w:div>
        <w:div w:id="4010265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245806">
      <w:bodyDiv w:val="1"/>
      <w:marLeft w:val="0"/>
      <w:marRight w:val="0"/>
      <w:marTop w:val="0"/>
      <w:marBottom w:val="0"/>
      <w:divBdr>
        <w:top w:val="none" w:sz="0" w:space="0" w:color="auto"/>
        <w:left w:val="none" w:sz="0" w:space="0" w:color="auto"/>
        <w:bottom w:val="none" w:sz="0" w:space="0" w:color="auto"/>
        <w:right w:val="none" w:sz="0" w:space="0" w:color="auto"/>
      </w:divBdr>
    </w:div>
    <w:div w:id="340861001">
      <w:bodyDiv w:val="1"/>
      <w:marLeft w:val="0"/>
      <w:marRight w:val="0"/>
      <w:marTop w:val="0"/>
      <w:marBottom w:val="0"/>
      <w:divBdr>
        <w:top w:val="none" w:sz="0" w:space="0" w:color="auto"/>
        <w:left w:val="none" w:sz="0" w:space="0" w:color="auto"/>
        <w:bottom w:val="none" w:sz="0" w:space="0" w:color="auto"/>
        <w:right w:val="none" w:sz="0" w:space="0" w:color="auto"/>
      </w:divBdr>
      <w:divsChild>
        <w:div w:id="52392029">
          <w:marLeft w:val="0"/>
          <w:marRight w:val="0"/>
          <w:marTop w:val="0"/>
          <w:marBottom w:val="0"/>
          <w:divBdr>
            <w:top w:val="none" w:sz="0" w:space="0" w:color="auto"/>
            <w:left w:val="none" w:sz="0" w:space="0" w:color="auto"/>
            <w:bottom w:val="none" w:sz="0" w:space="0" w:color="auto"/>
            <w:right w:val="none" w:sz="0" w:space="0" w:color="auto"/>
          </w:divBdr>
        </w:div>
        <w:div w:id="1025055056">
          <w:marLeft w:val="0"/>
          <w:marRight w:val="0"/>
          <w:marTop w:val="0"/>
          <w:marBottom w:val="0"/>
          <w:divBdr>
            <w:top w:val="none" w:sz="0" w:space="0" w:color="auto"/>
            <w:left w:val="none" w:sz="0" w:space="0" w:color="auto"/>
            <w:bottom w:val="none" w:sz="0" w:space="0" w:color="auto"/>
            <w:right w:val="none" w:sz="0" w:space="0" w:color="auto"/>
          </w:divBdr>
        </w:div>
      </w:divsChild>
    </w:div>
    <w:div w:id="501429416">
      <w:bodyDiv w:val="1"/>
      <w:marLeft w:val="0"/>
      <w:marRight w:val="0"/>
      <w:marTop w:val="0"/>
      <w:marBottom w:val="0"/>
      <w:divBdr>
        <w:top w:val="none" w:sz="0" w:space="0" w:color="auto"/>
        <w:left w:val="none" w:sz="0" w:space="0" w:color="auto"/>
        <w:bottom w:val="none" w:sz="0" w:space="0" w:color="auto"/>
        <w:right w:val="none" w:sz="0" w:space="0" w:color="auto"/>
      </w:divBdr>
      <w:divsChild>
        <w:div w:id="1893999500">
          <w:marLeft w:val="0"/>
          <w:marRight w:val="0"/>
          <w:marTop w:val="0"/>
          <w:marBottom w:val="0"/>
          <w:divBdr>
            <w:top w:val="none" w:sz="0" w:space="0" w:color="auto"/>
            <w:left w:val="none" w:sz="0" w:space="0" w:color="auto"/>
            <w:bottom w:val="none" w:sz="0" w:space="0" w:color="auto"/>
            <w:right w:val="none" w:sz="0" w:space="0" w:color="auto"/>
          </w:divBdr>
        </w:div>
        <w:div w:id="1194226046">
          <w:marLeft w:val="0"/>
          <w:marRight w:val="0"/>
          <w:marTop w:val="0"/>
          <w:marBottom w:val="0"/>
          <w:divBdr>
            <w:top w:val="none" w:sz="0" w:space="0" w:color="auto"/>
            <w:left w:val="none" w:sz="0" w:space="0" w:color="auto"/>
            <w:bottom w:val="none" w:sz="0" w:space="0" w:color="auto"/>
            <w:right w:val="none" w:sz="0" w:space="0" w:color="auto"/>
          </w:divBdr>
        </w:div>
        <w:div w:id="264852099">
          <w:marLeft w:val="0"/>
          <w:marRight w:val="0"/>
          <w:marTop w:val="0"/>
          <w:marBottom w:val="0"/>
          <w:divBdr>
            <w:top w:val="none" w:sz="0" w:space="0" w:color="auto"/>
            <w:left w:val="none" w:sz="0" w:space="0" w:color="auto"/>
            <w:bottom w:val="none" w:sz="0" w:space="0" w:color="auto"/>
            <w:right w:val="none" w:sz="0" w:space="0" w:color="auto"/>
          </w:divBdr>
        </w:div>
        <w:div w:id="149905688">
          <w:marLeft w:val="0"/>
          <w:marRight w:val="0"/>
          <w:marTop w:val="0"/>
          <w:marBottom w:val="0"/>
          <w:divBdr>
            <w:top w:val="none" w:sz="0" w:space="0" w:color="auto"/>
            <w:left w:val="none" w:sz="0" w:space="0" w:color="auto"/>
            <w:bottom w:val="none" w:sz="0" w:space="0" w:color="auto"/>
            <w:right w:val="none" w:sz="0" w:space="0" w:color="auto"/>
          </w:divBdr>
        </w:div>
        <w:div w:id="766392320">
          <w:marLeft w:val="0"/>
          <w:marRight w:val="0"/>
          <w:marTop w:val="0"/>
          <w:marBottom w:val="0"/>
          <w:divBdr>
            <w:top w:val="none" w:sz="0" w:space="0" w:color="auto"/>
            <w:left w:val="none" w:sz="0" w:space="0" w:color="auto"/>
            <w:bottom w:val="none" w:sz="0" w:space="0" w:color="auto"/>
            <w:right w:val="none" w:sz="0" w:space="0" w:color="auto"/>
          </w:divBdr>
        </w:div>
        <w:div w:id="1112555544">
          <w:marLeft w:val="0"/>
          <w:marRight w:val="0"/>
          <w:marTop w:val="0"/>
          <w:marBottom w:val="0"/>
          <w:divBdr>
            <w:top w:val="none" w:sz="0" w:space="0" w:color="auto"/>
            <w:left w:val="none" w:sz="0" w:space="0" w:color="auto"/>
            <w:bottom w:val="none" w:sz="0" w:space="0" w:color="auto"/>
            <w:right w:val="none" w:sz="0" w:space="0" w:color="auto"/>
          </w:divBdr>
        </w:div>
        <w:div w:id="857087325">
          <w:marLeft w:val="0"/>
          <w:marRight w:val="0"/>
          <w:marTop w:val="0"/>
          <w:marBottom w:val="0"/>
          <w:divBdr>
            <w:top w:val="none" w:sz="0" w:space="0" w:color="auto"/>
            <w:left w:val="none" w:sz="0" w:space="0" w:color="auto"/>
            <w:bottom w:val="none" w:sz="0" w:space="0" w:color="auto"/>
            <w:right w:val="none" w:sz="0" w:space="0" w:color="auto"/>
          </w:divBdr>
        </w:div>
        <w:div w:id="487594034">
          <w:marLeft w:val="0"/>
          <w:marRight w:val="0"/>
          <w:marTop w:val="0"/>
          <w:marBottom w:val="0"/>
          <w:divBdr>
            <w:top w:val="none" w:sz="0" w:space="0" w:color="auto"/>
            <w:left w:val="none" w:sz="0" w:space="0" w:color="auto"/>
            <w:bottom w:val="none" w:sz="0" w:space="0" w:color="auto"/>
            <w:right w:val="none" w:sz="0" w:space="0" w:color="auto"/>
          </w:divBdr>
        </w:div>
        <w:div w:id="1642684833">
          <w:marLeft w:val="0"/>
          <w:marRight w:val="0"/>
          <w:marTop w:val="0"/>
          <w:marBottom w:val="0"/>
          <w:divBdr>
            <w:top w:val="none" w:sz="0" w:space="0" w:color="auto"/>
            <w:left w:val="none" w:sz="0" w:space="0" w:color="auto"/>
            <w:bottom w:val="none" w:sz="0" w:space="0" w:color="auto"/>
            <w:right w:val="none" w:sz="0" w:space="0" w:color="auto"/>
          </w:divBdr>
        </w:div>
        <w:div w:id="57217864">
          <w:marLeft w:val="0"/>
          <w:marRight w:val="0"/>
          <w:marTop w:val="0"/>
          <w:marBottom w:val="0"/>
          <w:divBdr>
            <w:top w:val="none" w:sz="0" w:space="0" w:color="auto"/>
            <w:left w:val="none" w:sz="0" w:space="0" w:color="auto"/>
            <w:bottom w:val="none" w:sz="0" w:space="0" w:color="auto"/>
            <w:right w:val="none" w:sz="0" w:space="0" w:color="auto"/>
          </w:divBdr>
        </w:div>
        <w:div w:id="1358509804">
          <w:marLeft w:val="0"/>
          <w:marRight w:val="0"/>
          <w:marTop w:val="0"/>
          <w:marBottom w:val="0"/>
          <w:divBdr>
            <w:top w:val="none" w:sz="0" w:space="0" w:color="auto"/>
            <w:left w:val="none" w:sz="0" w:space="0" w:color="auto"/>
            <w:bottom w:val="none" w:sz="0" w:space="0" w:color="auto"/>
            <w:right w:val="none" w:sz="0" w:space="0" w:color="auto"/>
          </w:divBdr>
        </w:div>
        <w:div w:id="125199560">
          <w:marLeft w:val="0"/>
          <w:marRight w:val="0"/>
          <w:marTop w:val="0"/>
          <w:marBottom w:val="0"/>
          <w:divBdr>
            <w:top w:val="none" w:sz="0" w:space="0" w:color="auto"/>
            <w:left w:val="none" w:sz="0" w:space="0" w:color="auto"/>
            <w:bottom w:val="none" w:sz="0" w:space="0" w:color="auto"/>
            <w:right w:val="none" w:sz="0" w:space="0" w:color="auto"/>
          </w:divBdr>
        </w:div>
        <w:div w:id="1806658042">
          <w:marLeft w:val="0"/>
          <w:marRight w:val="0"/>
          <w:marTop w:val="0"/>
          <w:marBottom w:val="0"/>
          <w:divBdr>
            <w:top w:val="none" w:sz="0" w:space="0" w:color="auto"/>
            <w:left w:val="none" w:sz="0" w:space="0" w:color="auto"/>
            <w:bottom w:val="none" w:sz="0" w:space="0" w:color="auto"/>
            <w:right w:val="none" w:sz="0" w:space="0" w:color="auto"/>
          </w:divBdr>
        </w:div>
        <w:div w:id="907230738">
          <w:marLeft w:val="0"/>
          <w:marRight w:val="0"/>
          <w:marTop w:val="0"/>
          <w:marBottom w:val="0"/>
          <w:divBdr>
            <w:top w:val="none" w:sz="0" w:space="0" w:color="auto"/>
            <w:left w:val="none" w:sz="0" w:space="0" w:color="auto"/>
            <w:bottom w:val="none" w:sz="0" w:space="0" w:color="auto"/>
            <w:right w:val="none" w:sz="0" w:space="0" w:color="auto"/>
          </w:divBdr>
        </w:div>
        <w:div w:id="1551066930">
          <w:marLeft w:val="0"/>
          <w:marRight w:val="0"/>
          <w:marTop w:val="0"/>
          <w:marBottom w:val="0"/>
          <w:divBdr>
            <w:top w:val="none" w:sz="0" w:space="0" w:color="auto"/>
            <w:left w:val="none" w:sz="0" w:space="0" w:color="auto"/>
            <w:bottom w:val="none" w:sz="0" w:space="0" w:color="auto"/>
            <w:right w:val="none" w:sz="0" w:space="0" w:color="auto"/>
          </w:divBdr>
        </w:div>
      </w:divsChild>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93105292">
      <w:bodyDiv w:val="1"/>
      <w:marLeft w:val="0"/>
      <w:marRight w:val="0"/>
      <w:marTop w:val="0"/>
      <w:marBottom w:val="0"/>
      <w:divBdr>
        <w:top w:val="none" w:sz="0" w:space="0" w:color="auto"/>
        <w:left w:val="none" w:sz="0" w:space="0" w:color="auto"/>
        <w:bottom w:val="none" w:sz="0" w:space="0" w:color="auto"/>
        <w:right w:val="none" w:sz="0" w:space="0" w:color="auto"/>
      </w:divBdr>
    </w:div>
    <w:div w:id="124973058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291937720">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8113002">
      <w:bodyDiv w:val="1"/>
      <w:marLeft w:val="0"/>
      <w:marRight w:val="0"/>
      <w:marTop w:val="0"/>
      <w:marBottom w:val="0"/>
      <w:divBdr>
        <w:top w:val="none" w:sz="0" w:space="0" w:color="auto"/>
        <w:left w:val="none" w:sz="0" w:space="0" w:color="auto"/>
        <w:bottom w:val="none" w:sz="0" w:space="0" w:color="auto"/>
        <w:right w:val="none" w:sz="0" w:space="0" w:color="auto"/>
      </w:divBdr>
    </w:div>
    <w:div w:id="1548293287">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sChild>
        <w:div w:id="1332220306">
          <w:marLeft w:val="0"/>
          <w:marRight w:val="0"/>
          <w:marTop w:val="0"/>
          <w:marBottom w:val="0"/>
          <w:divBdr>
            <w:top w:val="none" w:sz="0" w:space="0" w:color="auto"/>
            <w:left w:val="none" w:sz="0" w:space="0" w:color="auto"/>
            <w:bottom w:val="none" w:sz="0" w:space="0" w:color="auto"/>
            <w:right w:val="none" w:sz="0" w:space="0" w:color="auto"/>
          </w:divBdr>
        </w:div>
        <w:div w:id="493423049">
          <w:marLeft w:val="0"/>
          <w:marRight w:val="0"/>
          <w:marTop w:val="0"/>
          <w:marBottom w:val="0"/>
          <w:divBdr>
            <w:top w:val="none" w:sz="0" w:space="0" w:color="auto"/>
            <w:left w:val="none" w:sz="0" w:space="0" w:color="auto"/>
            <w:bottom w:val="none" w:sz="0" w:space="0" w:color="auto"/>
            <w:right w:val="none" w:sz="0" w:space="0" w:color="auto"/>
          </w:divBdr>
        </w:div>
      </w:divsChild>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19575914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v.empresarial27@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customXml/itemProps2.xml><?xml version="1.0" encoding="utf-8"?>
<ds:datastoreItem xmlns:ds="http://schemas.openxmlformats.org/officeDocument/2006/customXml" ds:itemID="{AF73877C-C681-412F-8CDC-D729C8E5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10536</TotalTime>
  <Pages>11</Pages>
  <Words>3019</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25</cp:revision>
  <cp:lastPrinted>2023-01-10T21:18:00Z</cp:lastPrinted>
  <dcterms:created xsi:type="dcterms:W3CDTF">2024-09-13T16:42:00Z</dcterms:created>
  <dcterms:modified xsi:type="dcterms:W3CDTF">2024-12-26T19:29:00Z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