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6EEBF" w14:textId="77777777" w:rsidR="000E2D12" w:rsidRDefault="000E2D12" w:rsidP="00526AB5">
      <w:pPr>
        <w:spacing w:after="0" w:line="240" w:lineRule="auto"/>
        <w:rPr>
          <w:rFonts w:ascii="Verdana" w:eastAsia="Geomanist Light" w:hAnsi="Verdana" w:cs="Arial"/>
          <w:color w:val="000000" w:themeColor="text1"/>
          <w:lang w:val="es-MX"/>
        </w:rPr>
      </w:pPr>
    </w:p>
    <w:p w14:paraId="61AF6749" w14:textId="77777777" w:rsidR="000E2D12" w:rsidRPr="000E2D12" w:rsidRDefault="000E2D12" w:rsidP="000E2D12">
      <w:pPr>
        <w:spacing w:after="0" w:line="240" w:lineRule="auto"/>
        <w:jc w:val="both"/>
        <w:rPr>
          <w:rFonts w:ascii="Verdana" w:eastAsia="Geomanist Light" w:hAnsi="Verdana" w:cs="Arial"/>
          <w:color w:val="000000" w:themeColor="text1"/>
        </w:rPr>
      </w:pPr>
      <w:r w:rsidRPr="000E2D12">
        <w:rPr>
          <w:rFonts w:ascii="Verdana" w:eastAsia="Geomanist Light" w:hAnsi="Verdana" w:cs="Arial"/>
          <w:b/>
          <w:bCs/>
          <w:color w:val="000000" w:themeColor="text1"/>
          <w:lang w:val="es-ES"/>
        </w:rPr>
        <w:t>MODALIDADES DE SELECCIÓN – Selección abreviada de menor cuantía – Características </w:t>
      </w:r>
      <w:r w:rsidRPr="000E2D12">
        <w:rPr>
          <w:rFonts w:ascii="Verdana" w:eastAsia="Geomanist Light" w:hAnsi="Verdana" w:cs="Arial"/>
          <w:color w:val="000000" w:themeColor="text1"/>
        </w:rPr>
        <w:t> </w:t>
      </w:r>
    </w:p>
    <w:p w14:paraId="211A3908" w14:textId="77777777" w:rsidR="000E2D12" w:rsidRPr="000E2D12" w:rsidRDefault="000E2D12" w:rsidP="000E2D12">
      <w:pPr>
        <w:spacing w:after="0" w:line="240" w:lineRule="auto"/>
        <w:jc w:val="both"/>
        <w:rPr>
          <w:rFonts w:ascii="Verdana" w:eastAsia="Geomanist Light" w:hAnsi="Verdana" w:cs="Arial"/>
          <w:color w:val="000000" w:themeColor="text1"/>
        </w:rPr>
      </w:pPr>
      <w:r w:rsidRPr="000E2D12">
        <w:rPr>
          <w:rFonts w:ascii="Verdana" w:eastAsia="Geomanist Light" w:hAnsi="Verdana" w:cs="Arial"/>
          <w:color w:val="000000" w:themeColor="text1"/>
        </w:rPr>
        <w:t> </w:t>
      </w:r>
    </w:p>
    <w:p w14:paraId="060AB5C3" w14:textId="77777777" w:rsidR="000E2D12" w:rsidRPr="000E2D12" w:rsidRDefault="000E2D12" w:rsidP="000E2D12">
      <w:pPr>
        <w:spacing w:after="0" w:line="240" w:lineRule="auto"/>
        <w:jc w:val="both"/>
        <w:rPr>
          <w:rFonts w:ascii="Verdana" w:eastAsia="Geomanist Light" w:hAnsi="Verdana" w:cs="Arial"/>
          <w:color w:val="000000" w:themeColor="text1"/>
        </w:rPr>
      </w:pPr>
      <w:r w:rsidRPr="000E2D12">
        <w:rPr>
          <w:rFonts w:ascii="Verdana" w:eastAsia="Geomanist Light" w:hAnsi="Verdana" w:cs="Arial"/>
          <w:color w:val="000000" w:themeColor="text1"/>
          <w:lang w:val="es-ES"/>
        </w:rPr>
        <w:t>De esta manera, la selección abreviada se caracteriza por tener etapas un poco sencillas y términos relativamente más cortos que los de la licitación pública, lo cual se justifica por las circunstancias, la naturaleza y los objetos que se contratan a través de esta modalidad, los cuales requieren de procedimientos un poco más agiles, sencillos y eficientes. A continuación, el Decreto 1082 de 2015 desarrolla las causales, regulando el pliego de condiciones, el procedimiento, las etapas, entre otros. Según el Consejo de Estado, el propósito del legislador es “[…] proveer de mayor agilidad y eficiencia la contratación de algunos bienes o servicios, en los que es deseable la concurrencia de oferentes, pero no en los términos y condiciones de una licitación pública, sino de manera abreviada o, en términos de la ley, simplificada”</w:t>
      </w:r>
      <w:r w:rsidRPr="000E2D12">
        <w:rPr>
          <w:rFonts w:ascii="Verdana" w:eastAsia="Geomanist Light" w:hAnsi="Verdana" w:cs="Arial"/>
          <w:color w:val="000000" w:themeColor="text1"/>
          <w:vertAlign w:val="superscript"/>
          <w:lang w:val="es-ES"/>
        </w:rPr>
        <w:t>4</w:t>
      </w:r>
      <w:r w:rsidRPr="000E2D12">
        <w:rPr>
          <w:rFonts w:ascii="Verdana" w:eastAsia="Geomanist Light" w:hAnsi="Verdana" w:cs="Arial"/>
          <w:color w:val="000000" w:themeColor="text1"/>
          <w:lang w:val="es-ES"/>
        </w:rPr>
        <w:t>.</w:t>
      </w:r>
      <w:r w:rsidRPr="000E2D12">
        <w:rPr>
          <w:rFonts w:ascii="Verdana" w:eastAsia="Geomanist Light" w:hAnsi="Verdana" w:cs="Arial"/>
          <w:color w:val="000000" w:themeColor="text1"/>
        </w:rPr>
        <w:t> </w:t>
      </w:r>
    </w:p>
    <w:p w14:paraId="63EBA2C0" w14:textId="77777777" w:rsidR="000E2D12" w:rsidRPr="000E2D12" w:rsidRDefault="000E2D12" w:rsidP="000E2D12">
      <w:pPr>
        <w:spacing w:after="0" w:line="240" w:lineRule="auto"/>
        <w:jc w:val="both"/>
        <w:rPr>
          <w:rFonts w:ascii="Verdana" w:eastAsia="Geomanist Light" w:hAnsi="Verdana" w:cs="Arial"/>
          <w:color w:val="000000" w:themeColor="text1"/>
        </w:rPr>
      </w:pPr>
      <w:r w:rsidRPr="000E2D12">
        <w:rPr>
          <w:rFonts w:ascii="Verdana" w:eastAsia="Geomanist Light" w:hAnsi="Verdana" w:cs="Arial"/>
          <w:color w:val="000000" w:themeColor="text1"/>
        </w:rPr>
        <w:t> </w:t>
      </w:r>
    </w:p>
    <w:p w14:paraId="61CF8055" w14:textId="77777777" w:rsidR="000E2D12" w:rsidRPr="000E2D12" w:rsidRDefault="000E2D12" w:rsidP="000E2D12">
      <w:pPr>
        <w:spacing w:after="0" w:line="240" w:lineRule="auto"/>
        <w:jc w:val="both"/>
        <w:rPr>
          <w:rFonts w:ascii="Verdana" w:eastAsia="Geomanist Light" w:hAnsi="Verdana" w:cs="Arial"/>
          <w:color w:val="000000" w:themeColor="text1"/>
        </w:rPr>
      </w:pPr>
      <w:r w:rsidRPr="000E2D12">
        <w:rPr>
          <w:rFonts w:ascii="Verdana" w:eastAsia="Geomanist Light" w:hAnsi="Verdana" w:cs="Arial"/>
          <w:b/>
          <w:bCs/>
          <w:color w:val="000000" w:themeColor="text1"/>
          <w:lang w:val="es-ES"/>
        </w:rPr>
        <w:t>MANIFESTACIÓN DE INTERÉS – Noción – Finalidad – Requisito habilitante</w:t>
      </w:r>
      <w:r w:rsidRPr="000E2D12">
        <w:rPr>
          <w:rFonts w:ascii="Verdana" w:eastAsia="Geomanist Light" w:hAnsi="Verdana" w:cs="Arial"/>
          <w:color w:val="000000" w:themeColor="text1"/>
        </w:rPr>
        <w:t> </w:t>
      </w:r>
    </w:p>
    <w:p w14:paraId="4A81C5DF" w14:textId="263947EC" w:rsidR="000E2D12" w:rsidRPr="000E2D12" w:rsidRDefault="000E2D12" w:rsidP="000E2D12">
      <w:pPr>
        <w:spacing w:after="0" w:line="240" w:lineRule="auto"/>
        <w:jc w:val="both"/>
        <w:rPr>
          <w:rFonts w:ascii="Verdana" w:eastAsia="Geomanist Light" w:hAnsi="Verdana" w:cs="Arial"/>
          <w:color w:val="000000" w:themeColor="text1"/>
        </w:rPr>
      </w:pPr>
      <w:r w:rsidRPr="000E2D12">
        <w:rPr>
          <w:rFonts w:ascii="Verdana" w:eastAsia="Geomanist Light" w:hAnsi="Verdana" w:cs="Arial"/>
          <w:color w:val="000000" w:themeColor="text1"/>
        </w:rPr>
        <w:t>  </w:t>
      </w:r>
    </w:p>
    <w:p w14:paraId="6F90EB0E" w14:textId="77777777" w:rsidR="000E2D12" w:rsidRPr="000E2D12" w:rsidRDefault="000E2D12" w:rsidP="000E2D12">
      <w:pPr>
        <w:spacing w:after="0" w:line="240" w:lineRule="auto"/>
        <w:jc w:val="both"/>
        <w:rPr>
          <w:rFonts w:ascii="Verdana" w:eastAsia="Geomanist Light" w:hAnsi="Verdana" w:cs="Arial"/>
          <w:color w:val="000000" w:themeColor="text1"/>
        </w:rPr>
      </w:pPr>
      <w:r w:rsidRPr="000E2D12">
        <w:rPr>
          <w:rFonts w:ascii="Verdana" w:eastAsia="Geomanist Light" w:hAnsi="Verdana" w:cs="Arial"/>
          <w:color w:val="000000" w:themeColor="text1"/>
          <w:lang w:val="es-ES"/>
        </w:rPr>
        <w:t>El numeral primero del artículo 2.2.1.2.1.2.20 del Decreto 1082 de 2015 dispone que el interesado debe manifestar su “intención” de participar en los procesos de selección abreviada de menor cuantía. Conviene precisar que el fin de esta disposición es que quienes estén interesados expresen a la entidad la intención de hacer parte del procedimiento. Por ello, la finalidad es que los interesados puedan participar, en igualdad de condiciones, en el procedimiento de contratación, de manera que, permite que expresen a la entidad pública su interés de presentarse al proceso de selección abreviada de menor cuantía.</w:t>
      </w:r>
    </w:p>
    <w:p w14:paraId="01B55C24" w14:textId="77777777" w:rsidR="000E2D12" w:rsidRDefault="000E2D12" w:rsidP="000E2D12">
      <w:pPr>
        <w:spacing w:after="0" w:line="240" w:lineRule="auto"/>
        <w:jc w:val="both"/>
        <w:rPr>
          <w:rFonts w:ascii="Verdana" w:eastAsia="Geomanist Light" w:hAnsi="Verdana" w:cs="Arial"/>
          <w:color w:val="000000" w:themeColor="text1"/>
          <w:lang w:val="es-MX"/>
        </w:rPr>
      </w:pPr>
    </w:p>
    <w:p w14:paraId="6486F422" w14:textId="51BA1073" w:rsidR="000E2D12" w:rsidRPr="000E2D12" w:rsidRDefault="000E2D12" w:rsidP="000E2D12">
      <w:pPr>
        <w:pStyle w:val="NormalWeb"/>
        <w:spacing w:line="276" w:lineRule="auto"/>
        <w:jc w:val="both"/>
        <w:rPr>
          <w:rFonts w:ascii="Verdana" w:hAnsi="Verdana" w:cs="Verdana"/>
          <w:sz w:val="22"/>
          <w:szCs w:val="22"/>
          <w:lang w:val="es-ES"/>
        </w:rPr>
      </w:pPr>
      <w:r w:rsidRPr="00977131">
        <w:rPr>
          <w:rFonts w:ascii="Verdana" w:hAnsi="Verdana" w:cs="Verdana"/>
          <w:sz w:val="22"/>
          <w:szCs w:val="22"/>
          <w:lang w:val="es-ES"/>
        </w:rPr>
        <w:t>Por otro lado, respecto al término de 3 días hábiles para presentar la manifestación de interés, previsto en el numeral primero del artículo 2.2.1.2.1.2.20 del Decreto 1082 de 2015, esta Agencia considera que dicho término está dirigido directamente a los interesados y no a las Entidades Estatales, de tal forma que, la norma directamente señala que los interesados podrán presentar la manifestación de interés durante ese término, sin que el mismo se refiera a una regla para elaborar el pliego de condiciones, por lo que las entidades no podrían limitarlo. En efecto, la mención que se hace al final del numeral citado respecto al pliego de condiciones está dirigido a que se establezca el mecanismo para realizar la solicitud, no frente al momento para presentar las</w:t>
      </w:r>
      <w:r w:rsidRPr="008A3EE5">
        <w:rPr>
          <w:rFonts w:ascii="Verdana" w:hAnsi="Verdana" w:cs="Verdana"/>
          <w:sz w:val="22"/>
          <w:szCs w:val="22"/>
          <w:lang w:val="es-ES"/>
        </w:rPr>
        <w:t xml:space="preserve"> manifestaciones de interés que, como se indicó, lo establece directamente la norma.</w:t>
      </w:r>
    </w:p>
    <w:p w14:paraId="39BAE3A6" w14:textId="77777777" w:rsidR="000E2D12" w:rsidRDefault="000E2D12" w:rsidP="00526AB5">
      <w:pPr>
        <w:spacing w:after="0" w:line="240" w:lineRule="auto"/>
        <w:rPr>
          <w:rFonts w:ascii="Verdana" w:eastAsia="Geomanist Light" w:hAnsi="Verdana" w:cs="Arial"/>
          <w:color w:val="000000" w:themeColor="text1"/>
          <w:lang w:val="es-MX"/>
        </w:rPr>
      </w:pPr>
    </w:p>
    <w:p w14:paraId="354A69BE" w14:textId="2850AAF3" w:rsidR="00526AB5" w:rsidRPr="00115E3D" w:rsidRDefault="00526AB5" w:rsidP="00526AB5">
      <w:pPr>
        <w:spacing w:after="0" w:line="240" w:lineRule="auto"/>
        <w:rPr>
          <w:rFonts w:ascii="Verdana" w:eastAsia="Geomanist Light" w:hAnsi="Verdana" w:cs="Arial"/>
          <w:color w:val="000000" w:themeColor="text1"/>
          <w:lang w:val="es-MX"/>
        </w:rPr>
      </w:pPr>
      <w:r w:rsidRPr="00115E3D">
        <w:rPr>
          <w:rFonts w:ascii="Verdana" w:eastAsia="Geomanist Light" w:hAnsi="Verdana" w:cs="Arial"/>
          <w:color w:val="000000" w:themeColor="text1"/>
          <w:lang w:val="es-MX"/>
        </w:rPr>
        <w:t>Bogotá D.C., [Día] de [Mes.NombreCapitalizado] de [Año]</w:t>
      </w:r>
    </w:p>
    <w:p w14:paraId="02C77877" w14:textId="6B0EFA08" w:rsidR="00526AB5" w:rsidRDefault="00C34DB0" w:rsidP="00526AB5">
      <w:pPr>
        <w:spacing w:after="0" w:line="240" w:lineRule="auto"/>
        <w:jc w:val="both"/>
        <w:rPr>
          <w:rFonts w:ascii="Verdana" w:eastAsia="Calibri" w:hAnsi="Verdana" w:cs="Arial"/>
          <w:color w:val="000000" w:themeColor="text1"/>
          <w:lang w:val="es-ES"/>
        </w:rPr>
      </w:pPr>
      <w:r w:rsidRPr="00C34DB0">
        <w:rPr>
          <w:rFonts w:ascii="Verdana" w:eastAsia="Calibri" w:hAnsi="Verdana" w:cs="Arial"/>
          <w:color w:val="000000" w:themeColor="text1"/>
          <w:lang w:val="es-ES"/>
        </w:rPr>
        <w:drawing>
          <wp:anchor distT="0" distB="0" distL="114300" distR="114300" simplePos="0" relativeHeight="251658240" behindDoc="1" locked="0" layoutInCell="1" allowOverlap="1" wp14:anchorId="1BE13FF9" wp14:editId="51EDF511">
            <wp:simplePos x="0" y="0"/>
            <wp:positionH relativeFrom="column">
              <wp:posOffset>2444115</wp:posOffset>
            </wp:positionH>
            <wp:positionV relativeFrom="paragraph">
              <wp:posOffset>33655</wp:posOffset>
            </wp:positionV>
            <wp:extent cx="3667125" cy="1209675"/>
            <wp:effectExtent l="0" t="0" r="9525" b="9525"/>
            <wp:wrapTight wrapText="bothSides">
              <wp:wrapPolygon edited="0">
                <wp:start x="0" y="0"/>
                <wp:lineTo x="0" y="21430"/>
                <wp:lineTo x="21544" y="21430"/>
                <wp:lineTo x="21544" y="0"/>
                <wp:lineTo x="0" y="0"/>
              </wp:wrapPolygon>
            </wp:wrapTight>
            <wp:docPr id="84677567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775672"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667125" cy="1209675"/>
                    </a:xfrm>
                    <a:prstGeom prst="rect">
                      <a:avLst/>
                    </a:prstGeom>
                  </pic:spPr>
                </pic:pic>
              </a:graphicData>
            </a:graphic>
          </wp:anchor>
        </w:drawing>
      </w:r>
    </w:p>
    <w:p w14:paraId="03448E01" w14:textId="33481505" w:rsidR="00C34DB0" w:rsidRDefault="00C34DB0" w:rsidP="00526AB5">
      <w:pPr>
        <w:spacing w:after="0" w:line="240" w:lineRule="auto"/>
        <w:jc w:val="both"/>
        <w:rPr>
          <w:rFonts w:ascii="Verdana" w:eastAsia="Calibri" w:hAnsi="Verdana" w:cs="Arial"/>
          <w:color w:val="000000" w:themeColor="text1"/>
          <w:lang w:val="es-ES"/>
        </w:rPr>
      </w:pPr>
    </w:p>
    <w:p w14:paraId="78BCC57F" w14:textId="3A3A5656" w:rsidR="00C34DB0" w:rsidRDefault="00C34DB0" w:rsidP="00526AB5">
      <w:pPr>
        <w:spacing w:after="0" w:line="240" w:lineRule="auto"/>
        <w:jc w:val="both"/>
        <w:rPr>
          <w:rFonts w:ascii="Verdana" w:eastAsia="Calibri" w:hAnsi="Verdana" w:cs="Arial"/>
          <w:color w:val="000000" w:themeColor="text1"/>
          <w:lang w:val="es-ES"/>
        </w:rPr>
      </w:pPr>
    </w:p>
    <w:p w14:paraId="1870366C" w14:textId="77777777" w:rsidR="00C34DB0" w:rsidRDefault="00C34DB0" w:rsidP="00526AB5">
      <w:pPr>
        <w:spacing w:after="0" w:line="240" w:lineRule="auto"/>
        <w:jc w:val="both"/>
        <w:rPr>
          <w:rFonts w:ascii="Verdana" w:eastAsia="Calibri" w:hAnsi="Verdana" w:cs="Arial"/>
          <w:color w:val="000000" w:themeColor="text1"/>
          <w:lang w:val="es-ES"/>
        </w:rPr>
      </w:pPr>
    </w:p>
    <w:p w14:paraId="139FEFF6" w14:textId="77777777" w:rsidR="00C34DB0" w:rsidRDefault="00C34DB0" w:rsidP="00526AB5">
      <w:pPr>
        <w:spacing w:after="0" w:line="240" w:lineRule="auto"/>
        <w:jc w:val="both"/>
        <w:rPr>
          <w:rFonts w:ascii="Verdana" w:eastAsia="Calibri" w:hAnsi="Verdana" w:cs="Arial"/>
          <w:color w:val="000000" w:themeColor="text1"/>
          <w:lang w:val="es-ES"/>
        </w:rPr>
      </w:pPr>
    </w:p>
    <w:p w14:paraId="5D0A1F8A" w14:textId="77777777" w:rsidR="00C34DB0" w:rsidRPr="00115E3D" w:rsidRDefault="00C34DB0" w:rsidP="00526AB5">
      <w:pPr>
        <w:spacing w:after="0" w:line="240" w:lineRule="auto"/>
        <w:jc w:val="both"/>
        <w:rPr>
          <w:rFonts w:ascii="Verdana" w:eastAsia="Calibri" w:hAnsi="Verdana" w:cs="Arial"/>
          <w:color w:val="000000" w:themeColor="text1"/>
          <w:lang w:val="es-ES"/>
        </w:rPr>
      </w:pPr>
    </w:p>
    <w:p w14:paraId="7B40D38A" w14:textId="77777777" w:rsidR="00526AB5" w:rsidRDefault="00526AB5" w:rsidP="00526AB5">
      <w:pPr>
        <w:spacing w:after="0" w:line="240" w:lineRule="auto"/>
        <w:jc w:val="both"/>
        <w:rPr>
          <w:rFonts w:ascii="Verdana" w:eastAsia="Calibri" w:hAnsi="Verdana" w:cs="Arial"/>
          <w:color w:val="000000" w:themeColor="text1"/>
          <w:lang w:val="es-ES" w:eastAsia="es-ES"/>
        </w:rPr>
      </w:pPr>
    </w:p>
    <w:p w14:paraId="29C766E5" w14:textId="77777777" w:rsidR="00C34DB0" w:rsidRDefault="00C34DB0" w:rsidP="00526AB5">
      <w:pPr>
        <w:spacing w:after="0" w:line="240" w:lineRule="auto"/>
        <w:jc w:val="both"/>
        <w:rPr>
          <w:rFonts w:ascii="Verdana" w:eastAsia="Calibri" w:hAnsi="Verdana" w:cs="Arial"/>
          <w:color w:val="000000" w:themeColor="text1"/>
          <w:lang w:val="es-ES" w:eastAsia="es-ES"/>
        </w:rPr>
      </w:pPr>
    </w:p>
    <w:p w14:paraId="01004874" w14:textId="389AE81D" w:rsidR="00526AB5" w:rsidRPr="00115E3D" w:rsidRDefault="00526AB5" w:rsidP="00526AB5">
      <w:pPr>
        <w:spacing w:after="0" w:line="240"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Señor</w:t>
      </w:r>
      <w:r>
        <w:rPr>
          <w:rFonts w:ascii="Verdana" w:eastAsia="Calibri" w:hAnsi="Verdana" w:cs="Arial"/>
          <w:color w:val="000000" w:themeColor="text1"/>
          <w:lang w:val="es-ES" w:eastAsia="es-ES"/>
        </w:rPr>
        <w:t>a</w:t>
      </w:r>
    </w:p>
    <w:p w14:paraId="02E82C3D" w14:textId="77777777" w:rsidR="00526AB5" w:rsidRDefault="00526AB5" w:rsidP="00526AB5">
      <w:pPr>
        <w:spacing w:after="0" w:line="240" w:lineRule="auto"/>
        <w:rPr>
          <w:rFonts w:ascii="Verdana" w:eastAsia="Calibri" w:hAnsi="Verdana" w:cs="Arial"/>
          <w:b/>
          <w:color w:val="000000" w:themeColor="text1"/>
          <w:lang w:val="es-ES" w:eastAsia="es-ES"/>
        </w:rPr>
      </w:pPr>
      <w:r w:rsidRPr="6DBE842D">
        <w:rPr>
          <w:rFonts w:ascii="Verdana" w:eastAsia="Calibri" w:hAnsi="Verdana" w:cs="Arial"/>
          <w:b/>
          <w:color w:val="000000" w:themeColor="text1"/>
          <w:lang w:val="es-ES" w:eastAsia="es-ES"/>
        </w:rPr>
        <w:t xml:space="preserve">Anngy Carolina Neira Salazar </w:t>
      </w:r>
    </w:p>
    <w:p w14:paraId="1FF5C614" w14:textId="77777777" w:rsidR="00526AB5" w:rsidRDefault="00526AB5" w:rsidP="00526AB5">
      <w:pPr>
        <w:spacing w:after="0" w:line="240" w:lineRule="auto"/>
        <w:rPr>
          <w:rFonts w:ascii="Verdana" w:eastAsia="Calibri" w:hAnsi="Verdana" w:cs="Arial"/>
          <w:b/>
          <w:color w:val="000000" w:themeColor="text1"/>
          <w:lang w:val="es-ES_tradnl" w:eastAsia="es-ES_tradnl"/>
        </w:rPr>
      </w:pPr>
      <w:hyperlink r:id="rId12" w:history="1">
        <w:r w:rsidRPr="00B222F5">
          <w:rPr>
            <w:rStyle w:val="Hipervnculo"/>
            <w:rFonts w:ascii="Verdana" w:eastAsia="Calibri" w:hAnsi="Verdana" w:cs="Arial"/>
            <w:b/>
            <w:lang w:val="es-ES_tradnl" w:eastAsia="es-ES_tradnl"/>
          </w:rPr>
          <w:t>carolinaneira.abogada@hotmail.com</w:t>
        </w:r>
      </w:hyperlink>
    </w:p>
    <w:p w14:paraId="32BCA8CC" w14:textId="77777777" w:rsidR="00526AB5" w:rsidRPr="00115E3D" w:rsidRDefault="00526AB5" w:rsidP="00526AB5">
      <w:pPr>
        <w:spacing w:after="0" w:line="240" w:lineRule="auto"/>
        <w:rPr>
          <w:rFonts w:ascii="Verdana" w:eastAsia="Calibri" w:hAnsi="Verdana" w:cs="Arial"/>
          <w:b/>
          <w:bCs/>
          <w:color w:val="000000" w:themeColor="text1"/>
          <w:lang w:val="es-ES" w:eastAsia="es-ES"/>
        </w:rPr>
      </w:pPr>
      <w:r>
        <w:rPr>
          <w:rFonts w:ascii="Verdana" w:eastAsia="Calibri" w:hAnsi="Verdana" w:cs="Arial"/>
          <w:color w:val="000000" w:themeColor="text1"/>
          <w:lang w:val="es-ES" w:eastAsia="es-ES"/>
        </w:rPr>
        <w:t>Sabaneta</w:t>
      </w:r>
      <w:r w:rsidRPr="00115E3D">
        <w:rPr>
          <w:rFonts w:ascii="Verdana" w:eastAsia="Calibri" w:hAnsi="Verdana" w:cs="Arial"/>
          <w:color w:val="000000" w:themeColor="text1"/>
          <w:lang w:val="es-ES" w:eastAsia="es-ES"/>
        </w:rPr>
        <w:t xml:space="preserve">, </w:t>
      </w:r>
      <w:r>
        <w:rPr>
          <w:rFonts w:ascii="Verdana" w:eastAsia="Calibri" w:hAnsi="Verdana" w:cs="Arial"/>
          <w:color w:val="000000" w:themeColor="text1"/>
          <w:lang w:val="es-ES" w:eastAsia="es-ES"/>
        </w:rPr>
        <w:t xml:space="preserve">Antioquia </w:t>
      </w:r>
    </w:p>
    <w:p w14:paraId="0AA455CB" w14:textId="77777777" w:rsidR="00526AB5" w:rsidRPr="00115E3D" w:rsidRDefault="00526AB5" w:rsidP="00526AB5">
      <w:pPr>
        <w:spacing w:after="0" w:line="240" w:lineRule="auto"/>
        <w:rPr>
          <w:rFonts w:ascii="Verdana" w:eastAsia="Calibri" w:hAnsi="Verdana" w:cs="Arial"/>
          <w:b/>
          <w:bCs/>
          <w:color w:val="000000" w:themeColor="text1"/>
          <w:lang w:val="es-ES_tradnl" w:eastAsia="es-ES_tradnl"/>
        </w:rPr>
      </w:pPr>
    </w:p>
    <w:p w14:paraId="5D7C0700" w14:textId="77777777" w:rsidR="00526AB5" w:rsidRPr="00115E3D" w:rsidRDefault="00526AB5" w:rsidP="00526AB5">
      <w:pPr>
        <w:spacing w:after="0" w:line="240" w:lineRule="auto"/>
        <w:rPr>
          <w:rFonts w:ascii="Verdana" w:eastAsia="Calibri" w:hAnsi="Verdana" w:cs="Arial"/>
          <w:b/>
          <w:bCs/>
          <w:color w:val="000000" w:themeColor="text1"/>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526AB5" w:rsidRPr="00115E3D" w14:paraId="4F3C8F00" w14:textId="77777777" w:rsidTr="003F0C54">
        <w:trPr>
          <w:trHeight w:val="884"/>
        </w:trPr>
        <w:tc>
          <w:tcPr>
            <w:tcW w:w="2689" w:type="dxa"/>
          </w:tcPr>
          <w:p w14:paraId="7A2580AC" w14:textId="77777777" w:rsidR="00526AB5" w:rsidRPr="00115E3D" w:rsidRDefault="00526AB5" w:rsidP="003F0C54">
            <w:pPr>
              <w:jc w:val="both"/>
              <w:rPr>
                <w:rFonts w:ascii="Verdana" w:eastAsia="Calibri" w:hAnsi="Verdana" w:cs="Arial"/>
                <w:b/>
                <w:bCs/>
                <w:color w:val="000000" w:themeColor="text1"/>
                <w:lang w:val="es-ES_tradnl" w:eastAsia="es-ES_tradnl"/>
              </w:rPr>
            </w:pPr>
          </w:p>
        </w:tc>
        <w:tc>
          <w:tcPr>
            <w:tcW w:w="6100" w:type="dxa"/>
          </w:tcPr>
          <w:p w14:paraId="0BC63DC6" w14:textId="77777777" w:rsidR="00526AB5" w:rsidRPr="00115E3D" w:rsidRDefault="00526AB5" w:rsidP="003F0C54">
            <w:pPr>
              <w:jc w:val="both"/>
              <w:rPr>
                <w:rFonts w:ascii="Verdana" w:eastAsia="Calibri" w:hAnsi="Verdana" w:cs="Arial"/>
                <w:b/>
                <w:bCs/>
                <w:color w:val="000000" w:themeColor="text1"/>
                <w:lang w:val="es-ES" w:eastAsia="es-ES"/>
              </w:rPr>
            </w:pPr>
            <w:r w:rsidRPr="00115E3D">
              <w:rPr>
                <w:rFonts w:ascii="Verdana" w:eastAsia="Calibri" w:hAnsi="Verdana" w:cs="Arial"/>
                <w:b/>
                <w:bCs/>
                <w:color w:val="000000" w:themeColor="text1"/>
                <w:lang w:val="es-ES" w:eastAsia="es-ES"/>
              </w:rPr>
              <w:t xml:space="preserve">Concepto C- </w:t>
            </w:r>
            <w:r>
              <w:rPr>
                <w:rFonts w:ascii="Verdana" w:eastAsia="Calibri" w:hAnsi="Verdana" w:cs="Arial"/>
                <w:b/>
                <w:bCs/>
                <w:color w:val="000000" w:themeColor="text1"/>
                <w:lang w:val="es-ES" w:eastAsia="es-ES"/>
              </w:rPr>
              <w:t>783</w:t>
            </w:r>
            <w:r w:rsidRPr="00115E3D">
              <w:rPr>
                <w:rFonts w:ascii="Verdana" w:eastAsia="Calibri" w:hAnsi="Verdana" w:cs="Arial"/>
                <w:b/>
                <w:bCs/>
                <w:color w:val="000000" w:themeColor="text1"/>
                <w:lang w:val="es-ES" w:eastAsia="es-ES"/>
              </w:rPr>
              <w:t xml:space="preserve"> de 2024</w:t>
            </w:r>
          </w:p>
        </w:tc>
      </w:tr>
      <w:tr w:rsidR="00526AB5" w:rsidRPr="00115E3D" w14:paraId="73EB8C13" w14:textId="77777777" w:rsidTr="003F0C54">
        <w:trPr>
          <w:trHeight w:val="884"/>
        </w:trPr>
        <w:tc>
          <w:tcPr>
            <w:tcW w:w="2689" w:type="dxa"/>
          </w:tcPr>
          <w:p w14:paraId="6146C412" w14:textId="77777777" w:rsidR="00526AB5" w:rsidRPr="00115E3D" w:rsidRDefault="00526AB5" w:rsidP="003F0C54">
            <w:pPr>
              <w:jc w:val="both"/>
              <w:rPr>
                <w:rFonts w:ascii="Verdana" w:eastAsia="Calibri" w:hAnsi="Verdana" w:cs="Arial"/>
                <w:color w:val="000000" w:themeColor="text1"/>
                <w:lang w:val="es-ES_tradnl" w:eastAsia="es-ES_tradnl"/>
              </w:rPr>
            </w:pPr>
            <w:r w:rsidRPr="00115E3D">
              <w:rPr>
                <w:rFonts w:ascii="Verdana" w:eastAsia="Calibri" w:hAnsi="Verdana" w:cs="Arial"/>
                <w:b/>
                <w:color w:val="000000" w:themeColor="text1"/>
                <w:lang w:val="es-ES_tradnl" w:eastAsia="es-ES_tradnl"/>
              </w:rPr>
              <w:t>Temas:</w:t>
            </w:r>
            <w:r w:rsidRPr="00115E3D">
              <w:rPr>
                <w:rFonts w:ascii="Verdana" w:eastAsia="Calibri" w:hAnsi="Verdana" w:cs="Arial"/>
                <w:color w:val="000000" w:themeColor="text1"/>
                <w:lang w:val="es-ES_tradnl" w:eastAsia="es-ES_tradnl"/>
              </w:rPr>
              <w:t xml:space="preserve">                   </w:t>
            </w:r>
          </w:p>
        </w:tc>
        <w:tc>
          <w:tcPr>
            <w:tcW w:w="6100" w:type="dxa"/>
          </w:tcPr>
          <w:p w14:paraId="72DCD4E8" w14:textId="5B0239BC" w:rsidR="00526AB5" w:rsidRPr="00931CAA" w:rsidRDefault="00526AB5" w:rsidP="003F0C54">
            <w:pPr>
              <w:spacing w:line="276" w:lineRule="auto"/>
              <w:jc w:val="both"/>
              <w:rPr>
                <w:rFonts w:ascii="Verdana" w:eastAsia="Calibri" w:hAnsi="Verdana" w:cs="Arial"/>
                <w:color w:val="000000" w:themeColor="text1"/>
                <w:lang w:val="es-ES" w:eastAsia="es-ES"/>
              </w:rPr>
            </w:pPr>
            <w:r w:rsidRPr="00931CAA">
              <w:rPr>
                <w:rFonts w:ascii="Verdana" w:eastAsia="Calibri" w:hAnsi="Verdana" w:cs="Arial"/>
                <w:color w:val="000000" w:themeColor="text1"/>
                <w:lang w:val="es-ES" w:eastAsia="es-ES"/>
              </w:rPr>
              <w:t xml:space="preserve">MANIFESTACIÓN DE INTERÉS – Concepto – Características / MANIFESTACIÓN DE INTERÉS – Selección abreviada de menor cuantía – Forma de hacerlo – </w:t>
            </w:r>
            <w:r>
              <w:rPr>
                <w:rFonts w:ascii="Verdana" w:eastAsia="Calibri" w:hAnsi="Verdana" w:cs="Arial"/>
                <w:color w:val="000000" w:themeColor="text1"/>
                <w:lang w:val="es-ES" w:eastAsia="es-ES"/>
              </w:rPr>
              <w:t>S</w:t>
            </w:r>
            <w:r w:rsidRPr="00931CAA">
              <w:rPr>
                <w:rFonts w:ascii="Verdana" w:eastAsia="Calibri" w:hAnsi="Verdana" w:cs="Arial"/>
                <w:color w:val="000000" w:themeColor="text1"/>
                <w:lang w:val="es-ES" w:eastAsia="es-ES"/>
              </w:rPr>
              <w:t xml:space="preserve">ecop </w:t>
            </w:r>
            <w:r w:rsidR="00354DBA">
              <w:rPr>
                <w:rFonts w:ascii="Verdana" w:eastAsia="Calibri" w:hAnsi="Verdana" w:cs="Arial"/>
                <w:color w:val="000000" w:themeColor="text1"/>
                <w:lang w:val="es-ES" w:eastAsia="es-ES"/>
              </w:rPr>
              <w:t>II</w:t>
            </w:r>
            <w:r>
              <w:rPr>
                <w:rFonts w:ascii="Verdana" w:eastAsia="Calibri" w:hAnsi="Verdana" w:cs="Arial"/>
                <w:color w:val="000000" w:themeColor="text1"/>
                <w:lang w:val="es-ES" w:eastAsia="es-ES"/>
              </w:rPr>
              <w:t xml:space="preserve"> </w:t>
            </w:r>
            <w:r w:rsidR="00354DBA">
              <w:rPr>
                <w:rFonts w:ascii="Verdana" w:eastAsia="Calibri" w:hAnsi="Verdana" w:cs="Arial"/>
                <w:color w:val="000000" w:themeColor="text1"/>
                <w:lang w:val="es-ES" w:eastAsia="es-ES"/>
              </w:rPr>
              <w:t>/</w:t>
            </w:r>
            <w:r>
              <w:rPr>
                <w:rFonts w:ascii="Verdana" w:eastAsia="Calibri" w:hAnsi="Verdana" w:cs="Arial"/>
                <w:color w:val="000000" w:themeColor="text1"/>
                <w:lang w:val="es-ES" w:eastAsia="es-ES"/>
              </w:rPr>
              <w:t xml:space="preserve"> </w:t>
            </w:r>
            <w:r w:rsidRPr="00A64879">
              <w:rPr>
                <w:rFonts w:ascii="Verdana" w:eastAsia="Calibri" w:hAnsi="Verdana" w:cs="Arial"/>
                <w:bCs/>
                <w:color w:val="000000" w:themeColor="text1"/>
                <w:lang w:eastAsia="es-ES"/>
              </w:rPr>
              <w:t>INVITACIÓN PÚBLICA</w:t>
            </w:r>
            <w:r>
              <w:rPr>
                <w:rFonts w:ascii="Verdana" w:eastAsia="Calibri" w:hAnsi="Verdana" w:cs="Arial"/>
                <w:bCs/>
                <w:color w:val="000000" w:themeColor="text1"/>
                <w:lang w:eastAsia="es-ES"/>
              </w:rPr>
              <w:t xml:space="preserve"> - Días</w:t>
            </w:r>
            <w:r>
              <w:rPr>
                <w:rFonts w:ascii="Verdana" w:eastAsia="Calibri" w:hAnsi="Verdana" w:cs="Arial"/>
                <w:color w:val="000000" w:themeColor="text1"/>
                <w:lang w:val="es-ES" w:eastAsia="es-ES"/>
              </w:rPr>
              <w:t xml:space="preserve"> </w:t>
            </w:r>
            <w:r w:rsidR="00354DBA">
              <w:rPr>
                <w:rFonts w:ascii="Verdana" w:eastAsia="Calibri" w:hAnsi="Verdana" w:cs="Arial"/>
                <w:color w:val="000000" w:themeColor="text1"/>
                <w:lang w:val="es-ES" w:eastAsia="es-ES"/>
              </w:rPr>
              <w:t>h</w:t>
            </w:r>
            <w:r>
              <w:rPr>
                <w:rFonts w:ascii="Verdana" w:eastAsia="Calibri" w:hAnsi="Verdana" w:cs="Arial"/>
                <w:color w:val="000000" w:themeColor="text1"/>
                <w:lang w:val="es-ES" w:eastAsia="es-ES"/>
              </w:rPr>
              <w:t>ábiles – Día solar</w:t>
            </w:r>
          </w:p>
          <w:p w14:paraId="1CE0B77A" w14:textId="77777777" w:rsidR="00526AB5" w:rsidRPr="00115E3D" w:rsidRDefault="00526AB5" w:rsidP="003F0C54">
            <w:pPr>
              <w:spacing w:line="276" w:lineRule="auto"/>
              <w:jc w:val="both"/>
              <w:rPr>
                <w:rFonts w:ascii="Verdana" w:eastAsia="Calibri" w:hAnsi="Verdana" w:cs="Arial"/>
                <w:color w:val="000000" w:themeColor="text1"/>
                <w:lang w:val="es-ES" w:eastAsia="es-ES"/>
              </w:rPr>
            </w:pPr>
          </w:p>
        </w:tc>
      </w:tr>
      <w:tr w:rsidR="00526AB5" w:rsidRPr="00115E3D" w14:paraId="7C4999B2" w14:textId="77777777" w:rsidTr="003F0C54">
        <w:tc>
          <w:tcPr>
            <w:tcW w:w="2689" w:type="dxa"/>
          </w:tcPr>
          <w:p w14:paraId="2E699D0E" w14:textId="77777777" w:rsidR="00526AB5" w:rsidRPr="00115E3D" w:rsidRDefault="00526AB5" w:rsidP="003F0C54">
            <w:pPr>
              <w:jc w:val="both"/>
              <w:rPr>
                <w:rFonts w:ascii="Verdana" w:eastAsia="Calibri" w:hAnsi="Verdana" w:cs="Arial"/>
                <w:b/>
                <w:color w:val="000000" w:themeColor="text1"/>
                <w:lang w:val="es-ES_tradnl" w:eastAsia="es-ES_tradnl"/>
              </w:rPr>
            </w:pPr>
            <w:r w:rsidRPr="00115E3D">
              <w:rPr>
                <w:rFonts w:ascii="Verdana" w:eastAsia="Calibri" w:hAnsi="Verdana" w:cs="Arial"/>
                <w:b/>
                <w:color w:val="000000" w:themeColor="text1"/>
                <w:lang w:val="es-ES_tradnl" w:eastAsia="es-ES_tradnl"/>
              </w:rPr>
              <w:t>Radicación:</w:t>
            </w:r>
            <w:r w:rsidRPr="00115E3D">
              <w:rPr>
                <w:rFonts w:ascii="Verdana" w:eastAsia="Calibri" w:hAnsi="Verdana" w:cs="Arial"/>
                <w:color w:val="000000" w:themeColor="text1"/>
                <w:lang w:val="es-ES_tradnl" w:eastAsia="es-ES_tradnl"/>
              </w:rPr>
              <w:t xml:space="preserve">               </w:t>
            </w:r>
          </w:p>
        </w:tc>
        <w:tc>
          <w:tcPr>
            <w:tcW w:w="6100" w:type="dxa"/>
          </w:tcPr>
          <w:p w14:paraId="24BAE825" w14:textId="77777777" w:rsidR="00526AB5" w:rsidRPr="00115E3D" w:rsidRDefault="00526AB5" w:rsidP="003F0C54">
            <w:pPr>
              <w:jc w:val="both"/>
              <w:rPr>
                <w:rFonts w:ascii="Verdana" w:eastAsia="Calibri" w:hAnsi="Verdana" w:cs="Arial"/>
                <w:color w:val="000000" w:themeColor="text1"/>
                <w:lang w:val="es-ES_tradnl" w:eastAsia="es-ES_tradnl"/>
              </w:rPr>
            </w:pPr>
            <w:r w:rsidRPr="00115E3D">
              <w:rPr>
                <w:rFonts w:ascii="Verdana" w:eastAsia="Calibri" w:hAnsi="Verdana" w:cs="Arial"/>
                <w:color w:val="000000" w:themeColor="text1"/>
                <w:lang w:val="es-ES_tradnl" w:eastAsia="es-ES_tradnl"/>
              </w:rPr>
              <w:t xml:space="preserve">Respuesta a consulta con radicado No. </w:t>
            </w:r>
          </w:p>
          <w:p w14:paraId="3168A6EA" w14:textId="77777777" w:rsidR="00526AB5" w:rsidRDefault="00526AB5" w:rsidP="003F0C54">
            <w:pPr>
              <w:jc w:val="both"/>
              <w:rPr>
                <w:rFonts w:ascii="Verdana" w:hAnsi="Verdana" w:cs="Calibri"/>
                <w:color w:val="000000"/>
              </w:rPr>
            </w:pPr>
            <w:r>
              <w:rPr>
                <w:rFonts w:ascii="Verdana" w:hAnsi="Verdana" w:cs="Calibri"/>
                <w:color w:val="000000"/>
              </w:rPr>
              <w:t>P20241028010889</w:t>
            </w:r>
          </w:p>
          <w:p w14:paraId="16D81FD3" w14:textId="77777777" w:rsidR="00526AB5" w:rsidRPr="00115E3D" w:rsidRDefault="00526AB5" w:rsidP="003F0C54">
            <w:pPr>
              <w:jc w:val="both"/>
              <w:rPr>
                <w:rFonts w:ascii="Verdana" w:eastAsia="Calibri" w:hAnsi="Verdana" w:cs="Arial"/>
                <w:color w:val="000000" w:themeColor="text1"/>
                <w:lang w:val="es-ES_tradnl" w:eastAsia="es-ES_tradnl"/>
              </w:rPr>
            </w:pPr>
          </w:p>
        </w:tc>
      </w:tr>
    </w:tbl>
    <w:p w14:paraId="2E9A3CC6" w14:textId="77777777" w:rsidR="00526AB5" w:rsidRPr="00115E3D" w:rsidRDefault="00526AB5" w:rsidP="00526AB5">
      <w:pPr>
        <w:spacing w:after="0" w:line="240" w:lineRule="auto"/>
        <w:jc w:val="both"/>
        <w:rPr>
          <w:rFonts w:ascii="Verdana" w:eastAsia="Calibri" w:hAnsi="Verdana" w:cs="Arial"/>
          <w:color w:val="000000" w:themeColor="text1"/>
          <w:lang w:val="es-ES_tradnl" w:eastAsia="es-ES_tradnl"/>
        </w:rPr>
      </w:pPr>
    </w:p>
    <w:p w14:paraId="6E1A3C30" w14:textId="77777777" w:rsidR="00526AB5" w:rsidRPr="00115E3D" w:rsidRDefault="00526AB5" w:rsidP="00526AB5">
      <w:pPr>
        <w:spacing w:after="0" w:line="240" w:lineRule="auto"/>
        <w:jc w:val="both"/>
        <w:rPr>
          <w:rFonts w:ascii="Verdana" w:eastAsia="Calibri" w:hAnsi="Verdana" w:cs="Arial"/>
          <w:color w:val="000000" w:themeColor="text1"/>
          <w:lang w:val="es-ES_tradnl" w:eastAsia="es-ES_tradnl"/>
        </w:rPr>
      </w:pPr>
    </w:p>
    <w:p w14:paraId="7F83E97B" w14:textId="77777777" w:rsidR="00526AB5" w:rsidRPr="00115E3D" w:rsidRDefault="00526AB5" w:rsidP="00526AB5">
      <w:pPr>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Estimad</w:t>
      </w:r>
      <w:r>
        <w:rPr>
          <w:rFonts w:ascii="Verdana" w:eastAsia="Calibri" w:hAnsi="Verdana" w:cs="Arial"/>
          <w:color w:val="000000" w:themeColor="text1"/>
          <w:lang w:val="es-ES" w:eastAsia="es-ES"/>
        </w:rPr>
        <w:t>a</w:t>
      </w:r>
      <w:r w:rsidRPr="00115E3D">
        <w:rPr>
          <w:rFonts w:ascii="Verdana" w:eastAsia="Calibri" w:hAnsi="Verdana" w:cs="Arial"/>
          <w:color w:val="000000" w:themeColor="text1"/>
          <w:lang w:val="es-ES" w:eastAsia="es-ES"/>
        </w:rPr>
        <w:t xml:space="preserve"> señor</w:t>
      </w:r>
      <w:r>
        <w:rPr>
          <w:rFonts w:ascii="Verdana" w:eastAsia="Calibri" w:hAnsi="Verdana" w:cs="Arial"/>
          <w:color w:val="000000" w:themeColor="text1"/>
          <w:lang w:val="es-ES" w:eastAsia="es-ES"/>
        </w:rPr>
        <w:t>a</w:t>
      </w:r>
      <w:r w:rsidRPr="00115E3D">
        <w:rPr>
          <w:rFonts w:ascii="Verdana" w:eastAsia="Calibri" w:hAnsi="Verdana" w:cs="Arial"/>
          <w:color w:val="000000" w:themeColor="text1"/>
          <w:lang w:val="es-ES" w:eastAsia="es-ES"/>
        </w:rPr>
        <w:t xml:space="preserve"> </w:t>
      </w:r>
      <w:r>
        <w:rPr>
          <w:rFonts w:ascii="Verdana" w:eastAsia="Calibri" w:hAnsi="Verdana" w:cs="Arial"/>
          <w:color w:val="000000" w:themeColor="text1"/>
          <w:lang w:val="es-ES" w:eastAsia="es-ES"/>
        </w:rPr>
        <w:t>Neira</w:t>
      </w:r>
      <w:r w:rsidRPr="00115E3D">
        <w:rPr>
          <w:rFonts w:ascii="Verdana" w:eastAsia="Calibri" w:hAnsi="Verdana" w:cs="Arial"/>
          <w:color w:val="000000" w:themeColor="text1"/>
          <w:lang w:val="es-ES" w:eastAsia="es-ES"/>
        </w:rPr>
        <w:t xml:space="preserve">: </w:t>
      </w:r>
    </w:p>
    <w:p w14:paraId="02A11131" w14:textId="77777777" w:rsidR="00526AB5" w:rsidRPr="00115E3D" w:rsidRDefault="00526AB5" w:rsidP="00526AB5">
      <w:pPr>
        <w:tabs>
          <w:tab w:val="left" w:pos="3768"/>
        </w:tabs>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ab/>
      </w:r>
    </w:p>
    <w:p w14:paraId="781D41DD" w14:textId="77777777" w:rsidR="00526AB5" w:rsidRPr="00115E3D" w:rsidRDefault="00526AB5" w:rsidP="00526AB5">
      <w:pPr>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En ejercicio de la competencia otorgada por los artículos 3, numeral 5º, y 11, numeral 8º, del Decreto Ley 4170 de 2011,</w:t>
      </w:r>
      <w:r w:rsidRPr="00115E3D">
        <w:rPr>
          <w:rFonts w:ascii="Verdana" w:eastAsia="Arial MT" w:hAnsi="Verdana" w:cs="Arial MT"/>
          <w:color w:val="000000" w:themeColor="text1"/>
          <w:lang w:val="es-ES" w:eastAsia="es-ES"/>
        </w:rPr>
        <w:t xml:space="preserve"> </w:t>
      </w:r>
      <w:r w:rsidRPr="00115E3D">
        <w:rPr>
          <w:rFonts w:ascii="Verdana" w:hAnsi="Verdana" w:cs="Arial"/>
          <w:color w:val="000000" w:themeColor="text1"/>
        </w:rPr>
        <w:t xml:space="preserve">así como lo establecido en el artículo 4 de la Resolución 1707 de 2018 expedida por esta Entidad, </w:t>
      </w:r>
      <w:r w:rsidRPr="00115E3D">
        <w:rPr>
          <w:rFonts w:ascii="Verdana" w:eastAsia="Calibri" w:hAnsi="Verdana" w:cs="Arial"/>
          <w:color w:val="000000" w:themeColor="text1"/>
          <w:lang w:val="es-ES" w:eastAsia="es-ES"/>
        </w:rPr>
        <w:t xml:space="preserve">la Agencia Nacional de Contratación Pública – Colombia Compra Eficiente– responde su solicitud de consulta de fecha </w:t>
      </w:r>
      <w:r>
        <w:rPr>
          <w:rFonts w:ascii="Verdana" w:eastAsia="Calibri" w:hAnsi="Verdana" w:cs="Arial"/>
          <w:color w:val="000000" w:themeColor="text1"/>
          <w:lang w:val="es-ES" w:eastAsia="es-ES"/>
        </w:rPr>
        <w:t>28</w:t>
      </w:r>
      <w:r w:rsidRPr="00115E3D">
        <w:rPr>
          <w:rFonts w:ascii="Verdana" w:eastAsia="Calibri" w:hAnsi="Verdana" w:cs="Arial"/>
          <w:color w:val="000000" w:themeColor="text1"/>
          <w:lang w:val="es-ES" w:eastAsia="es-ES"/>
        </w:rPr>
        <w:t xml:space="preserve"> de </w:t>
      </w:r>
      <w:r>
        <w:rPr>
          <w:rFonts w:ascii="Verdana" w:eastAsia="Calibri" w:hAnsi="Verdana" w:cs="Arial"/>
          <w:color w:val="000000" w:themeColor="text1"/>
          <w:lang w:val="es-ES" w:eastAsia="es-ES"/>
        </w:rPr>
        <w:t>octubre</w:t>
      </w:r>
      <w:r w:rsidRPr="00115E3D">
        <w:rPr>
          <w:rFonts w:ascii="Verdana" w:eastAsia="Calibri" w:hAnsi="Verdana" w:cs="Arial"/>
          <w:color w:val="000000" w:themeColor="text1"/>
          <w:lang w:val="es-ES" w:eastAsia="es-ES"/>
        </w:rPr>
        <w:t xml:space="preserve"> de 20</w:t>
      </w:r>
      <w:r>
        <w:rPr>
          <w:rFonts w:ascii="Verdana" w:eastAsia="Calibri" w:hAnsi="Verdana" w:cs="Arial"/>
          <w:color w:val="000000" w:themeColor="text1"/>
          <w:lang w:val="es-ES" w:eastAsia="es-ES"/>
        </w:rPr>
        <w:t>24</w:t>
      </w:r>
      <w:r w:rsidRPr="00115E3D">
        <w:rPr>
          <w:rFonts w:ascii="Verdana" w:eastAsia="Calibri" w:hAnsi="Verdana" w:cs="Arial"/>
          <w:color w:val="000000" w:themeColor="text1"/>
          <w:lang w:val="es-ES" w:eastAsia="es-ES"/>
        </w:rPr>
        <w:t xml:space="preserve">, en la cual manifiesta lo siguiente: </w:t>
      </w:r>
    </w:p>
    <w:p w14:paraId="1574BCEB" w14:textId="77777777" w:rsidR="00526AB5" w:rsidRPr="00115E3D" w:rsidRDefault="00526AB5" w:rsidP="00526AB5">
      <w:pPr>
        <w:pStyle w:val="Prrafodelista"/>
        <w:tabs>
          <w:tab w:val="left" w:pos="142"/>
          <w:tab w:val="left" w:pos="284"/>
        </w:tabs>
        <w:spacing w:line="276" w:lineRule="auto"/>
        <w:ind w:left="0"/>
        <w:jc w:val="both"/>
        <w:rPr>
          <w:rFonts w:ascii="Verdana" w:eastAsia="Century Gothic" w:hAnsi="Verdana" w:cs="Century Gothic"/>
          <w:b/>
          <w:bCs/>
          <w:color w:val="000000" w:themeColor="text1"/>
        </w:rPr>
      </w:pPr>
    </w:p>
    <w:p w14:paraId="3A8030B4" w14:textId="77777777" w:rsidR="00526AB5" w:rsidRPr="00B23D30" w:rsidRDefault="00526AB5" w:rsidP="00526AB5">
      <w:pPr>
        <w:spacing w:after="0" w:line="240" w:lineRule="auto"/>
        <w:ind w:left="709" w:right="709"/>
        <w:jc w:val="both"/>
        <w:rPr>
          <w:rFonts w:ascii="Verdana" w:eastAsia="Century Gothic" w:hAnsi="Verdana" w:cs="Century Gothic"/>
          <w:i/>
          <w:iCs/>
          <w:color w:val="000000" w:themeColor="text1"/>
          <w:sz w:val="20"/>
          <w:szCs w:val="20"/>
        </w:rPr>
      </w:pPr>
      <w:bookmarkStart w:id="0" w:name="_Hlk95313578"/>
      <w:r w:rsidRPr="00B23D30">
        <w:rPr>
          <w:rFonts w:ascii="Verdana" w:eastAsia="Century Gothic" w:hAnsi="Verdana" w:cs="Century Gothic"/>
          <w:i/>
          <w:iCs/>
          <w:color w:val="000000" w:themeColor="text1"/>
          <w:sz w:val="20"/>
          <w:szCs w:val="20"/>
          <w:lang w:val="es-ES"/>
        </w:rPr>
        <w:t>“</w:t>
      </w:r>
      <w:bookmarkEnd w:id="0"/>
      <w:r w:rsidRPr="00B23D30">
        <w:rPr>
          <w:rFonts w:ascii="Verdana" w:eastAsia="Century Gothic" w:hAnsi="Verdana" w:cs="Century Gothic"/>
          <w:i/>
          <w:iCs/>
          <w:color w:val="000000" w:themeColor="text1"/>
          <w:sz w:val="20"/>
          <w:szCs w:val="20"/>
        </w:rPr>
        <w:t xml:space="preserve">1. El artículo 2.2.1.2.1.2.20 del decreto 1082 de 2015 expone: “1. En un término no mayor a tres (3) días hábiles contados a partir de la fecha de apertura del Proceso de Contratación los interesados deben manifestar su </w:t>
      </w:r>
      <w:r w:rsidRPr="00B23D30">
        <w:rPr>
          <w:rFonts w:ascii="Verdana" w:eastAsia="Century Gothic" w:hAnsi="Verdana" w:cs="Century Gothic"/>
          <w:i/>
          <w:iCs/>
          <w:color w:val="000000" w:themeColor="text1"/>
          <w:sz w:val="20"/>
          <w:szCs w:val="20"/>
        </w:rPr>
        <w:lastRenderedPageBreak/>
        <w:t xml:space="preserve">intención de participar, a través del mecanismo establecido para el efecto en los pliegos de condiciones.” De acuerdo a la normatividad en cita, ¿si una entidad establece el término de dos (2) días o un día esta incumpliendo la precitada disposición o como puede interpretarse el término “no mayor a tres (3) días”? </w:t>
      </w:r>
    </w:p>
    <w:p w14:paraId="62D93F1B" w14:textId="77777777" w:rsidR="00526AB5" w:rsidRPr="00B23D30" w:rsidRDefault="00526AB5" w:rsidP="00526AB5">
      <w:pPr>
        <w:spacing w:after="0" w:line="240" w:lineRule="auto"/>
        <w:ind w:left="709" w:right="709"/>
        <w:jc w:val="both"/>
        <w:rPr>
          <w:rFonts w:ascii="Verdana" w:eastAsia="Century Gothic" w:hAnsi="Verdana" w:cs="Century Gothic"/>
          <w:i/>
          <w:iCs/>
          <w:color w:val="000000" w:themeColor="text1"/>
          <w:sz w:val="20"/>
          <w:szCs w:val="20"/>
        </w:rPr>
      </w:pPr>
    </w:p>
    <w:p w14:paraId="4356E738" w14:textId="77777777" w:rsidR="00526AB5" w:rsidRDefault="00526AB5" w:rsidP="00526AB5">
      <w:pPr>
        <w:spacing w:after="0" w:line="240" w:lineRule="auto"/>
        <w:ind w:left="709" w:right="709"/>
        <w:jc w:val="both"/>
        <w:rPr>
          <w:rFonts w:ascii="Verdana" w:eastAsia="Century Gothic" w:hAnsi="Verdana" w:cs="Century Gothic"/>
          <w:i/>
          <w:iCs/>
          <w:color w:val="000000" w:themeColor="text1"/>
          <w:sz w:val="20"/>
          <w:szCs w:val="20"/>
        </w:rPr>
      </w:pPr>
      <w:r w:rsidRPr="00331731">
        <w:rPr>
          <w:rFonts w:ascii="Verdana" w:eastAsia="Century Gothic" w:hAnsi="Verdana" w:cs="Century Gothic"/>
          <w:i/>
          <w:iCs/>
          <w:color w:val="000000" w:themeColor="text1"/>
          <w:sz w:val="20"/>
          <w:szCs w:val="20"/>
        </w:rPr>
        <w:t>2. En un proceso contractual cuyo presupuesto se tiene definido siendo “x” el valor total y tiene como objetivo la adecuación de 38 cocinas, se acepta una oferta por valor inferior “y” se acepto dicha oferta y se elaboró el contrato por un valor: “Hasta “x” teniendo en cuenta que dentro de los procesos de obra pueden presentarse diversos imprevistos que no pueden ser analizados en la etapa precontractual o contractual sino en la ejecución, es viable la elaboración del contrato de esa manera?.</w:t>
      </w:r>
      <w:r w:rsidRPr="00B23D30">
        <w:rPr>
          <w:rFonts w:ascii="Verdana" w:eastAsia="Century Gothic" w:hAnsi="Verdana" w:cs="Century Gothic"/>
          <w:i/>
          <w:iCs/>
          <w:color w:val="000000" w:themeColor="text1"/>
          <w:sz w:val="20"/>
          <w:szCs w:val="20"/>
        </w:rPr>
        <w:t xml:space="preserve"> </w:t>
      </w:r>
    </w:p>
    <w:p w14:paraId="77F12535" w14:textId="77777777" w:rsidR="00526AB5" w:rsidRDefault="00526AB5" w:rsidP="00526AB5">
      <w:pPr>
        <w:spacing w:after="0" w:line="240" w:lineRule="auto"/>
        <w:ind w:right="709"/>
        <w:jc w:val="both"/>
        <w:rPr>
          <w:rFonts w:ascii="Verdana" w:eastAsia="Century Gothic" w:hAnsi="Verdana" w:cs="Century Gothic"/>
          <w:i/>
          <w:iCs/>
          <w:color w:val="000000" w:themeColor="text1"/>
          <w:sz w:val="20"/>
          <w:szCs w:val="20"/>
        </w:rPr>
      </w:pPr>
    </w:p>
    <w:p w14:paraId="792D6899" w14:textId="77777777" w:rsidR="00526AB5" w:rsidRPr="00B23D30" w:rsidRDefault="00526AB5" w:rsidP="00526AB5">
      <w:pPr>
        <w:spacing w:after="0" w:line="240" w:lineRule="auto"/>
        <w:ind w:right="709"/>
        <w:jc w:val="both"/>
        <w:rPr>
          <w:rFonts w:ascii="Verdana" w:eastAsia="Century Gothic" w:hAnsi="Verdana" w:cs="Century Gothic"/>
          <w:i/>
          <w:iCs/>
          <w:color w:val="000000" w:themeColor="text1"/>
          <w:sz w:val="20"/>
          <w:szCs w:val="20"/>
        </w:rPr>
      </w:pPr>
    </w:p>
    <w:p w14:paraId="5E12A9A5" w14:textId="77777777" w:rsidR="00526AB5" w:rsidRDefault="00526AB5" w:rsidP="00526AB5">
      <w:pPr>
        <w:spacing w:after="0" w:line="240" w:lineRule="auto"/>
        <w:ind w:left="709" w:right="709"/>
        <w:jc w:val="both"/>
        <w:rPr>
          <w:rFonts w:ascii="Verdana" w:eastAsia="Century Gothic" w:hAnsi="Verdana" w:cs="Century Gothic"/>
          <w:i/>
          <w:iCs/>
          <w:color w:val="000000" w:themeColor="text1"/>
          <w:sz w:val="20"/>
          <w:szCs w:val="20"/>
        </w:rPr>
      </w:pPr>
      <w:r w:rsidRPr="00B23D30">
        <w:rPr>
          <w:rFonts w:ascii="Verdana" w:eastAsia="Century Gothic" w:hAnsi="Verdana" w:cs="Century Gothic"/>
          <w:i/>
          <w:iCs/>
          <w:color w:val="000000" w:themeColor="text1"/>
          <w:sz w:val="20"/>
          <w:szCs w:val="20"/>
        </w:rPr>
        <w:t>3. El Secop 2 permite establecer en un cronograma de proceso término inferior o superior al dispuesto por la normatividad en materia de Contratación Pública o la plataforma se encuentra estandarizada para cumplir con el marco normativo?.</w:t>
      </w:r>
    </w:p>
    <w:p w14:paraId="0D0306B8" w14:textId="77777777" w:rsidR="00526AB5" w:rsidRDefault="00526AB5" w:rsidP="00526AB5">
      <w:pPr>
        <w:spacing w:after="0" w:line="240" w:lineRule="auto"/>
        <w:ind w:left="709" w:right="709"/>
        <w:jc w:val="both"/>
        <w:rPr>
          <w:rFonts w:ascii="Verdana" w:eastAsia="Century Gothic" w:hAnsi="Verdana" w:cs="Century Gothic"/>
          <w:i/>
          <w:iCs/>
          <w:color w:val="000000" w:themeColor="text1"/>
          <w:sz w:val="20"/>
          <w:szCs w:val="20"/>
        </w:rPr>
      </w:pPr>
    </w:p>
    <w:p w14:paraId="48258A46" w14:textId="77777777" w:rsidR="00526AB5" w:rsidRDefault="00526AB5" w:rsidP="00526AB5">
      <w:pPr>
        <w:spacing w:after="0" w:line="240" w:lineRule="auto"/>
        <w:ind w:left="709" w:right="709"/>
        <w:jc w:val="both"/>
        <w:rPr>
          <w:rFonts w:ascii="Verdana" w:eastAsia="Century Gothic" w:hAnsi="Verdana" w:cs="Century Gothic"/>
          <w:i/>
          <w:iCs/>
          <w:color w:val="000000" w:themeColor="text1"/>
          <w:sz w:val="20"/>
          <w:szCs w:val="20"/>
        </w:rPr>
      </w:pPr>
      <w:r w:rsidRPr="005B6419">
        <w:rPr>
          <w:rFonts w:ascii="Verdana" w:eastAsia="Century Gothic" w:hAnsi="Verdana" w:cs="Century Gothic"/>
          <w:i/>
          <w:iCs/>
          <w:color w:val="000000" w:themeColor="text1"/>
          <w:sz w:val="20"/>
          <w:szCs w:val="20"/>
        </w:rPr>
        <w:t>4. El artículo 2.2.1.2.1.5.2 define que dentro del proceso de mínima cuantía debe publicarse por un mínimo de un (1) día hábil, bajo dicha norma responder: a) como debe entenderse dicho término, es decir si la entidad establece 24 horas de término y a la luz de los diversos conceptos emitidos por la Colombia Compra Eficiente esta correcto? b) teniendo presente que secop 2 al momento de estructurar el proceso no permite establecer un termino inferior a 24 horas, esto significa que se cumple con el término al estructurarlo de esa manera?</w:t>
      </w:r>
    </w:p>
    <w:p w14:paraId="63367991" w14:textId="77777777" w:rsidR="00526AB5" w:rsidRDefault="00526AB5" w:rsidP="00526AB5">
      <w:pPr>
        <w:spacing w:after="0" w:line="240" w:lineRule="auto"/>
        <w:ind w:left="709" w:right="709"/>
        <w:jc w:val="both"/>
        <w:rPr>
          <w:rFonts w:ascii="Verdana" w:eastAsia="Century Gothic" w:hAnsi="Verdana" w:cs="Century Gothic"/>
          <w:i/>
          <w:iCs/>
          <w:color w:val="000000" w:themeColor="text1"/>
          <w:sz w:val="20"/>
          <w:szCs w:val="20"/>
        </w:rPr>
      </w:pPr>
    </w:p>
    <w:p w14:paraId="3BE29D39" w14:textId="77777777" w:rsidR="00526AB5" w:rsidRPr="00701C75" w:rsidRDefault="00526AB5" w:rsidP="00526AB5">
      <w:pPr>
        <w:spacing w:after="0" w:line="240" w:lineRule="auto"/>
        <w:ind w:left="709" w:right="709"/>
        <w:jc w:val="both"/>
        <w:rPr>
          <w:rFonts w:ascii="Verdana" w:eastAsia="Century Gothic" w:hAnsi="Verdana" w:cs="Century Gothic"/>
          <w:i/>
          <w:iCs/>
          <w:color w:val="000000" w:themeColor="text1"/>
          <w:sz w:val="20"/>
          <w:szCs w:val="20"/>
        </w:rPr>
      </w:pPr>
      <w:r>
        <w:rPr>
          <w:rFonts w:ascii="Verdana" w:eastAsia="Century Gothic" w:hAnsi="Verdana" w:cs="Century Gothic"/>
          <w:i/>
          <w:iCs/>
          <w:color w:val="000000" w:themeColor="text1"/>
          <w:sz w:val="20"/>
          <w:szCs w:val="20"/>
        </w:rPr>
        <w:t xml:space="preserve">5. </w:t>
      </w:r>
      <w:r w:rsidRPr="00942E2F">
        <w:rPr>
          <w:rFonts w:ascii="Verdana" w:eastAsia="Century Gothic" w:hAnsi="Verdana" w:cs="Century Gothic"/>
          <w:i/>
          <w:iCs/>
          <w:color w:val="000000" w:themeColor="text1"/>
          <w:sz w:val="20"/>
          <w:szCs w:val="20"/>
        </w:rPr>
        <w:t>Explique el término de día solar.</w:t>
      </w:r>
      <w:r>
        <w:rPr>
          <w:rFonts w:ascii="Verdana" w:eastAsia="Century Gothic" w:hAnsi="Verdana" w:cs="Century Gothic"/>
          <w:i/>
          <w:iCs/>
          <w:color w:val="000000" w:themeColor="text1"/>
          <w:sz w:val="20"/>
          <w:szCs w:val="20"/>
        </w:rPr>
        <w:t>”</w:t>
      </w:r>
    </w:p>
    <w:p w14:paraId="7FB65C9C" w14:textId="77777777" w:rsidR="00526AB5" w:rsidRPr="00115E3D" w:rsidRDefault="00526AB5" w:rsidP="00526AB5">
      <w:pPr>
        <w:pStyle w:val="Prrafodelista"/>
        <w:tabs>
          <w:tab w:val="left" w:pos="142"/>
          <w:tab w:val="left" w:pos="284"/>
        </w:tabs>
        <w:spacing w:line="276" w:lineRule="auto"/>
        <w:ind w:left="0"/>
        <w:jc w:val="both"/>
        <w:rPr>
          <w:rFonts w:ascii="Verdana" w:eastAsia="Century Gothic" w:hAnsi="Verdana" w:cs="Century Gothic"/>
          <w:b/>
          <w:bCs/>
          <w:color w:val="000000" w:themeColor="text1"/>
        </w:rPr>
      </w:pPr>
    </w:p>
    <w:p w14:paraId="120BC2C3" w14:textId="77777777" w:rsidR="00526AB5" w:rsidRPr="00115E3D" w:rsidRDefault="00526AB5" w:rsidP="00526AB5">
      <w:pPr>
        <w:spacing w:after="120" w:line="276" w:lineRule="auto"/>
        <w:ind w:firstLine="709"/>
        <w:jc w:val="both"/>
        <w:rPr>
          <w:rFonts w:ascii="Verdana" w:eastAsia="Calibri" w:hAnsi="Verdana" w:cs="Arial"/>
          <w:color w:val="000000" w:themeColor="text1"/>
          <w:szCs w:val="24"/>
          <w:lang w:val="es-ES_tradnl" w:eastAsia="es-ES_tradnl"/>
        </w:rPr>
      </w:pPr>
      <w:r w:rsidRPr="00115E3D">
        <w:rPr>
          <w:rFonts w:ascii="Verdana" w:eastAsia="Calibri" w:hAnsi="Verdana" w:cs="Arial"/>
          <w:color w:val="000000" w:themeColor="text1"/>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15E3D">
        <w:rPr>
          <w:rFonts w:ascii="Verdana" w:eastAsia="Calibri" w:hAnsi="Verdana" w:cs="Arial"/>
          <w:color w:val="000000" w:themeColor="text1"/>
          <w:szCs w:val="24"/>
          <w:lang w:val="es-ES_tradnl" w:eastAsia="es-ES_tradnl"/>
        </w:rPr>
        <w:tab/>
      </w:r>
    </w:p>
    <w:p w14:paraId="683B7081" w14:textId="77777777" w:rsidR="00526AB5" w:rsidRPr="00115E3D" w:rsidRDefault="00526AB5" w:rsidP="00526AB5">
      <w:pPr>
        <w:spacing w:after="0" w:line="276" w:lineRule="auto"/>
        <w:ind w:firstLine="709"/>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lastRenderedPageBreak/>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4B57F182" w14:textId="77777777" w:rsidR="00526AB5" w:rsidRPr="00115E3D" w:rsidRDefault="00526AB5" w:rsidP="00526AB5">
      <w:pPr>
        <w:spacing w:after="0" w:line="276" w:lineRule="auto"/>
        <w:ind w:firstLine="709"/>
        <w:jc w:val="both"/>
        <w:rPr>
          <w:rFonts w:ascii="Verdana" w:eastAsia="Calibri" w:hAnsi="Verdana" w:cs="Arial"/>
          <w:color w:val="000000" w:themeColor="text1"/>
          <w:lang w:val="es-ES" w:eastAsia="es-ES"/>
        </w:rPr>
      </w:pPr>
    </w:p>
    <w:p w14:paraId="07D8F09B" w14:textId="77777777" w:rsidR="00526AB5" w:rsidRPr="00115E3D" w:rsidRDefault="00526AB5" w:rsidP="00526AB5">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Problema planteado:</w:t>
      </w:r>
    </w:p>
    <w:p w14:paraId="28931EC3" w14:textId="77777777" w:rsidR="00526AB5" w:rsidRPr="00115E3D" w:rsidRDefault="00526AB5" w:rsidP="00526AB5">
      <w:pPr>
        <w:tabs>
          <w:tab w:val="left" w:pos="426"/>
        </w:tabs>
        <w:spacing w:after="0" w:line="276" w:lineRule="auto"/>
        <w:jc w:val="both"/>
        <w:rPr>
          <w:rFonts w:ascii="Verdana" w:eastAsia="Century Gothic" w:hAnsi="Verdana" w:cs="Century Gothic"/>
          <w:color w:val="000000" w:themeColor="text1"/>
          <w:lang w:val="es-ES"/>
        </w:rPr>
      </w:pPr>
    </w:p>
    <w:p w14:paraId="2F0FD803" w14:textId="77777777" w:rsidR="00526AB5" w:rsidRDefault="00526AB5" w:rsidP="00526AB5">
      <w:pPr>
        <w:spacing w:after="0" w:line="276" w:lineRule="auto"/>
        <w:jc w:val="both"/>
        <w:rPr>
          <w:rFonts w:ascii="Verdana" w:eastAsia="Century Gothic" w:hAnsi="Verdana" w:cs="Century Gothic"/>
          <w:color w:val="000000" w:themeColor="text1"/>
        </w:rPr>
      </w:pPr>
      <w:r w:rsidRPr="00115E3D">
        <w:rPr>
          <w:rFonts w:ascii="Verdana" w:eastAsia="Century Gothic" w:hAnsi="Verdana" w:cs="Century Gothic"/>
          <w:color w:val="000000" w:themeColor="text1"/>
        </w:rPr>
        <w:t>De acuerdo con el contenido de su solicitud, esta Agencia resolverá en los</w:t>
      </w:r>
      <w:r>
        <w:rPr>
          <w:rFonts w:ascii="Verdana" w:eastAsia="Century Gothic" w:hAnsi="Verdana" w:cs="Century Gothic"/>
          <w:color w:val="000000" w:themeColor="text1"/>
        </w:rPr>
        <w:t xml:space="preserve"> </w:t>
      </w:r>
      <w:r w:rsidRPr="00115E3D">
        <w:rPr>
          <w:rFonts w:ascii="Verdana" w:eastAsia="Century Gothic" w:hAnsi="Verdana" w:cs="Century Gothic"/>
          <w:color w:val="000000" w:themeColor="text1"/>
        </w:rPr>
        <w:t>siguiente</w:t>
      </w:r>
      <w:r>
        <w:rPr>
          <w:rFonts w:ascii="Verdana" w:eastAsia="Century Gothic" w:hAnsi="Verdana" w:cs="Century Gothic"/>
          <w:color w:val="000000" w:themeColor="text1"/>
        </w:rPr>
        <w:t>s</w:t>
      </w:r>
      <w:r w:rsidRPr="00115E3D">
        <w:rPr>
          <w:rFonts w:ascii="Verdana" w:eastAsia="Century Gothic" w:hAnsi="Verdana" w:cs="Century Gothic"/>
          <w:color w:val="000000" w:themeColor="text1"/>
        </w:rPr>
        <w:t xml:space="preserve"> problemas jurídicos</w:t>
      </w:r>
      <w:r>
        <w:rPr>
          <w:rFonts w:ascii="Verdana" w:eastAsia="Century Gothic" w:hAnsi="Verdana" w:cs="Century Gothic"/>
          <w:color w:val="000000" w:themeColor="text1"/>
        </w:rPr>
        <w:t>:</w:t>
      </w:r>
      <w:r w:rsidRPr="00115E3D">
        <w:rPr>
          <w:rFonts w:ascii="Verdana" w:eastAsia="Century Gothic" w:hAnsi="Verdana" w:cs="Century Gothic"/>
          <w:color w:val="000000" w:themeColor="text1"/>
        </w:rPr>
        <w:t xml:space="preserve"> </w:t>
      </w:r>
    </w:p>
    <w:p w14:paraId="0DDEB546" w14:textId="77777777" w:rsidR="00526AB5" w:rsidRPr="00157307" w:rsidRDefault="00526AB5" w:rsidP="00526AB5">
      <w:pPr>
        <w:spacing w:after="0" w:line="276" w:lineRule="auto"/>
        <w:jc w:val="both"/>
        <w:rPr>
          <w:rFonts w:ascii="Verdana" w:eastAsia="Century Gothic" w:hAnsi="Verdana" w:cs="Century Gothic"/>
          <w:color w:val="000000" w:themeColor="text1"/>
        </w:rPr>
      </w:pPr>
    </w:p>
    <w:p w14:paraId="33DCEB2A" w14:textId="77777777" w:rsidR="00526AB5" w:rsidRPr="00C77979" w:rsidRDefault="00526AB5" w:rsidP="00526AB5">
      <w:pPr>
        <w:pStyle w:val="Prrafodelista"/>
        <w:ind w:left="1080"/>
        <w:rPr>
          <w:rFonts w:ascii="Verdana" w:eastAsia="Century Gothic" w:hAnsi="Verdana" w:cs="Century Gothic"/>
          <w:color w:val="000000" w:themeColor="text1"/>
        </w:rPr>
      </w:pPr>
    </w:p>
    <w:p w14:paraId="3D366E98" w14:textId="77777777" w:rsidR="00526AB5" w:rsidRPr="001740E1" w:rsidRDefault="00526AB5" w:rsidP="00526AB5">
      <w:pPr>
        <w:pStyle w:val="Prrafodelista"/>
        <w:numPr>
          <w:ilvl w:val="0"/>
          <w:numId w:val="17"/>
        </w:numPr>
        <w:jc w:val="both"/>
        <w:rPr>
          <w:rFonts w:ascii="Verdana" w:eastAsia="Century Gothic" w:hAnsi="Verdana" w:cs="Century Gothic"/>
          <w:color w:val="000000" w:themeColor="text1"/>
        </w:rPr>
      </w:pPr>
      <w:r w:rsidRPr="001740E1">
        <w:rPr>
          <w:rFonts w:ascii="Verdana" w:eastAsia="Century Gothic" w:hAnsi="Verdana" w:cs="Century Gothic"/>
          <w:color w:val="000000" w:themeColor="text1"/>
        </w:rPr>
        <w:t>¿</w:t>
      </w:r>
      <w:r w:rsidRPr="001740E1">
        <w:rPr>
          <w:rFonts w:ascii="Verdana" w:hAnsi="Verdana"/>
        </w:rPr>
        <w:t>Es</w:t>
      </w:r>
      <w:r w:rsidRPr="001740E1">
        <w:rPr>
          <w:rFonts w:ascii="Verdana" w:eastAsia="Century Gothic" w:hAnsi="Verdana" w:cs="Century Gothic"/>
          <w:color w:val="000000" w:themeColor="text1"/>
        </w:rPr>
        <w:t xml:space="preserve"> jurídicamente válido que una entidad contratante, en virtud del artículo 2.2.1.2.1.2.20 del Decreto 1082 de 2015, establezca un plazo inferior a tres (3) días hábiles para la manifestación de interés en participar en un proceso de contratación y, además, celebre un contrato hasta el valor máximo del presupuesto asignado, aunque la oferta aceptada sea de menor cuantía, con el fin de prever posibles imprevistos en la ejecución del contrato?</w:t>
      </w:r>
    </w:p>
    <w:p w14:paraId="6C3D89DE" w14:textId="77777777" w:rsidR="00526AB5" w:rsidRPr="00C77979" w:rsidRDefault="00526AB5" w:rsidP="00526AB5">
      <w:pPr>
        <w:pStyle w:val="Prrafodelista"/>
        <w:ind w:left="1080"/>
        <w:jc w:val="both"/>
        <w:rPr>
          <w:rFonts w:ascii="Verdana" w:eastAsia="Century Gothic" w:hAnsi="Verdana" w:cs="Century Gothic"/>
          <w:color w:val="000000" w:themeColor="text1"/>
        </w:rPr>
      </w:pPr>
    </w:p>
    <w:p w14:paraId="0FDF02E3" w14:textId="77777777" w:rsidR="00526AB5" w:rsidRPr="00223C58" w:rsidRDefault="00526AB5" w:rsidP="00526AB5">
      <w:pPr>
        <w:pStyle w:val="Prrafodelista"/>
        <w:numPr>
          <w:ilvl w:val="0"/>
          <w:numId w:val="17"/>
        </w:numPr>
        <w:spacing w:after="0" w:line="276" w:lineRule="auto"/>
        <w:jc w:val="both"/>
        <w:rPr>
          <w:rFonts w:ascii="Verdana" w:eastAsia="Century Gothic" w:hAnsi="Verdana" w:cs="Century Gothic"/>
          <w:color w:val="000000" w:themeColor="text1"/>
        </w:rPr>
      </w:pPr>
      <w:r w:rsidRPr="00C77979">
        <w:rPr>
          <w:rFonts w:ascii="Verdana" w:eastAsia="Century Gothic" w:hAnsi="Verdana" w:cs="Century Gothic"/>
          <w:color w:val="000000" w:themeColor="text1"/>
        </w:rPr>
        <w:t>¿Puede una entidad contratante establecer en la plataforma SECOP II plazos que sean inferiores o superiores a los dispuestos por la normativa en materia de contratación pública, o se encuentra la plataforma configurada de manera estandarizada para garantizar el cumplimiento de dichos plazos normativos?</w:t>
      </w:r>
    </w:p>
    <w:p w14:paraId="797E6E0B" w14:textId="77777777" w:rsidR="00526AB5" w:rsidRPr="00223C58" w:rsidRDefault="00526AB5" w:rsidP="00526AB5">
      <w:pPr>
        <w:pStyle w:val="Prrafodelista"/>
        <w:rPr>
          <w:rFonts w:ascii="Verdana" w:eastAsia="Century Gothic" w:hAnsi="Verdana" w:cs="Century Gothic"/>
          <w:color w:val="000000" w:themeColor="text1"/>
        </w:rPr>
      </w:pPr>
    </w:p>
    <w:p w14:paraId="025082F4" w14:textId="0A83E064" w:rsidR="00526AB5" w:rsidRPr="00223C58" w:rsidRDefault="00526AB5" w:rsidP="00526AB5">
      <w:pPr>
        <w:pStyle w:val="Prrafodelista"/>
        <w:numPr>
          <w:ilvl w:val="0"/>
          <w:numId w:val="17"/>
        </w:numPr>
        <w:spacing w:after="0" w:line="276" w:lineRule="auto"/>
        <w:jc w:val="both"/>
        <w:rPr>
          <w:rFonts w:ascii="Verdana" w:eastAsia="Century Gothic" w:hAnsi="Verdana" w:cs="Century Gothic"/>
          <w:color w:val="000000" w:themeColor="text1"/>
        </w:rPr>
      </w:pPr>
      <w:r w:rsidRPr="00223C58">
        <w:rPr>
          <w:rFonts w:ascii="Verdana" w:eastAsia="Century Gothic" w:hAnsi="Verdana" w:cs="Century Gothic"/>
          <w:color w:val="000000" w:themeColor="text1"/>
        </w:rPr>
        <w:t>¿Es jurídicamente válido que una entidad contratante establezca un plazo de 24 horas para la publicación de un proceso de mínima cuantía, considerando que SECOP II no permite fijar un término inferior a 24 horas</w:t>
      </w:r>
      <w:r w:rsidR="0078467D">
        <w:rPr>
          <w:rFonts w:ascii="Verdana" w:eastAsia="Century Gothic" w:hAnsi="Verdana" w:cs="Century Gothic"/>
          <w:color w:val="000000" w:themeColor="text1"/>
        </w:rPr>
        <w:t>, y</w:t>
      </w:r>
      <w:r w:rsidRPr="00223C58">
        <w:rPr>
          <w:rFonts w:ascii="Verdana" w:eastAsia="Century Gothic" w:hAnsi="Verdana" w:cs="Century Gothic"/>
          <w:color w:val="000000" w:themeColor="text1"/>
        </w:rPr>
        <w:t xml:space="preserve"> la norma establece un mínimo de un (1) día hábil</w:t>
      </w:r>
      <w:r w:rsidR="0078467D">
        <w:rPr>
          <w:rFonts w:ascii="Verdana" w:eastAsia="Century Gothic" w:hAnsi="Verdana" w:cs="Century Gothic"/>
          <w:color w:val="000000" w:themeColor="text1"/>
        </w:rPr>
        <w:t>;</w:t>
      </w:r>
      <w:r w:rsidRPr="00223C58">
        <w:rPr>
          <w:rFonts w:ascii="Verdana" w:eastAsia="Century Gothic" w:hAnsi="Verdana" w:cs="Century Gothic"/>
          <w:color w:val="000000" w:themeColor="text1"/>
        </w:rPr>
        <w:t xml:space="preserve"> y c</w:t>
      </w:r>
      <w:r w:rsidR="0078467D">
        <w:rPr>
          <w:rFonts w:ascii="Verdana" w:eastAsia="Century Gothic" w:hAnsi="Verdana" w:cs="Century Gothic"/>
          <w:color w:val="000000" w:themeColor="text1"/>
        </w:rPr>
        <w:t>ó</w:t>
      </w:r>
      <w:r w:rsidRPr="00223C58">
        <w:rPr>
          <w:rFonts w:ascii="Verdana" w:eastAsia="Century Gothic" w:hAnsi="Verdana" w:cs="Century Gothic"/>
          <w:color w:val="000000" w:themeColor="text1"/>
        </w:rPr>
        <w:t>mo debe entenderse el día solar?</w:t>
      </w:r>
    </w:p>
    <w:p w14:paraId="65BC6DEE" w14:textId="77777777" w:rsidR="00526AB5" w:rsidRDefault="00526AB5" w:rsidP="00526AB5">
      <w:pPr>
        <w:spacing w:after="0" w:line="276" w:lineRule="auto"/>
        <w:jc w:val="both"/>
        <w:rPr>
          <w:rFonts w:ascii="Verdana" w:eastAsia="Century Gothic" w:hAnsi="Verdana" w:cs="Century Gothic"/>
          <w:color w:val="000000" w:themeColor="text1"/>
        </w:rPr>
      </w:pPr>
    </w:p>
    <w:p w14:paraId="08D23283" w14:textId="77777777" w:rsidR="00526AB5" w:rsidRDefault="00526AB5" w:rsidP="00526AB5">
      <w:pPr>
        <w:spacing w:after="0" w:line="276" w:lineRule="auto"/>
        <w:jc w:val="both"/>
        <w:rPr>
          <w:rFonts w:ascii="Verdana" w:eastAsia="Calibri" w:hAnsi="Verdana" w:cs="Arial"/>
          <w:color w:val="000000" w:themeColor="text1"/>
          <w:lang w:val="es-ES"/>
        </w:rPr>
      </w:pPr>
    </w:p>
    <w:p w14:paraId="02E8770D" w14:textId="77777777" w:rsidR="00526AB5" w:rsidRPr="00115E3D" w:rsidRDefault="00526AB5" w:rsidP="00526AB5">
      <w:pPr>
        <w:spacing w:after="0" w:line="276" w:lineRule="auto"/>
        <w:jc w:val="both"/>
        <w:rPr>
          <w:rFonts w:ascii="Verdana" w:eastAsia="Calibri" w:hAnsi="Verdana" w:cs="Arial"/>
          <w:color w:val="000000" w:themeColor="text1"/>
          <w:lang w:val="es-ES"/>
        </w:rPr>
      </w:pPr>
    </w:p>
    <w:p w14:paraId="2B2BEEB0" w14:textId="77777777" w:rsidR="00526AB5" w:rsidRPr="00115E3D" w:rsidRDefault="00526AB5" w:rsidP="00526AB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Respuesta:</w:t>
      </w:r>
    </w:p>
    <w:p w14:paraId="4F709BEC" w14:textId="77777777" w:rsidR="00526AB5" w:rsidRPr="00115E3D" w:rsidRDefault="00526AB5" w:rsidP="00526AB5">
      <w:pPr>
        <w:tabs>
          <w:tab w:val="left" w:pos="142"/>
          <w:tab w:val="left" w:pos="284"/>
        </w:tabs>
        <w:spacing w:after="0" w:line="276" w:lineRule="auto"/>
        <w:jc w:val="both"/>
        <w:rPr>
          <w:rFonts w:ascii="Verdana" w:eastAsia="Century Gothic" w:hAnsi="Verdana" w:cs="Century Gothic"/>
          <w:b/>
          <w:bCs/>
          <w:color w:val="000000" w:themeColor="text1"/>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526AB5" w:rsidRPr="00115E3D" w14:paraId="73E4E2FB" w14:textId="77777777" w:rsidTr="003F0C54">
        <w:tc>
          <w:tcPr>
            <w:tcW w:w="8828" w:type="dxa"/>
            <w:shd w:val="clear" w:color="auto" w:fill="auto"/>
          </w:tcPr>
          <w:p w14:paraId="2E1A903E" w14:textId="4D6A0BA8" w:rsidR="00526AB5" w:rsidRDefault="00526AB5" w:rsidP="00E76ECD">
            <w:pPr>
              <w:pStyle w:val="NormalWeb"/>
              <w:spacing w:line="276" w:lineRule="auto"/>
              <w:ind w:firstLine="709"/>
              <w:jc w:val="both"/>
              <w:rPr>
                <w:rFonts w:ascii="Verdana" w:hAnsi="Verdana" w:cs="Verdana"/>
                <w:sz w:val="22"/>
                <w:szCs w:val="22"/>
                <w:lang w:val="es-ES"/>
              </w:rPr>
            </w:pPr>
            <w:r>
              <w:rPr>
                <w:rFonts w:ascii="Verdana" w:eastAsia="Calibri" w:hAnsi="Verdana" w:cs="Arial"/>
                <w:color w:val="000000" w:themeColor="text1"/>
                <w:lang w:val="es-ES"/>
              </w:rPr>
              <w:lastRenderedPageBreak/>
              <w:t xml:space="preserve">i) </w:t>
            </w:r>
            <w:r w:rsidRPr="00BE5CCE">
              <w:rPr>
                <w:rFonts w:ascii="Verdana" w:hAnsi="Verdana" w:cs="Verdana"/>
                <w:sz w:val="22"/>
                <w:szCs w:val="22"/>
                <w:lang w:val="es-ES"/>
              </w:rPr>
              <w:t xml:space="preserve">De conformidad con lo dispuesto en el artículo 2.2.1.2.1.2.20 del Decreto 1082 de 2015, los interesados </w:t>
            </w:r>
            <w:r w:rsidR="000A1CD7">
              <w:rPr>
                <w:rFonts w:ascii="Verdana" w:hAnsi="Verdana" w:cs="Verdana"/>
                <w:sz w:val="22"/>
                <w:szCs w:val="22"/>
                <w:lang w:val="es-ES"/>
              </w:rPr>
              <w:t xml:space="preserve">en </w:t>
            </w:r>
            <w:r w:rsidRPr="00BE5CCE">
              <w:rPr>
                <w:rFonts w:ascii="Verdana" w:hAnsi="Verdana" w:cs="Verdana"/>
                <w:sz w:val="22"/>
                <w:szCs w:val="22"/>
                <w:lang w:val="es-ES"/>
              </w:rPr>
              <w:t>participar en Procesos de Contratación adelantados en la modalidad de selección abreviada de menor cuantía deben manifesta</w:t>
            </w:r>
            <w:r w:rsidR="000A1CD7">
              <w:rPr>
                <w:rFonts w:ascii="Verdana" w:hAnsi="Verdana" w:cs="Verdana"/>
                <w:sz w:val="22"/>
                <w:szCs w:val="22"/>
                <w:lang w:val="es-ES"/>
              </w:rPr>
              <w:t>r</w:t>
            </w:r>
            <w:r w:rsidRPr="00BE5CCE">
              <w:rPr>
                <w:rFonts w:ascii="Verdana" w:hAnsi="Verdana" w:cs="Verdana"/>
                <w:sz w:val="22"/>
                <w:szCs w:val="22"/>
                <w:lang w:val="es-ES"/>
              </w:rPr>
              <w:t xml:space="preserve"> su interés de participar en el mismo dentro del término único de 3 días hábiles a partir de la apertura del proceso. Es de anotar que los proponentes pueden, a su criterio, presentar la manifestación de interés antes del tercer día. En todo caso el término que ostenta el proponente para presentar su manifestación de interés no puede ser mayor al término legal y perentorio de 3 días hábiles luego de la apertura del proceso.</w:t>
            </w:r>
          </w:p>
          <w:p w14:paraId="4D3315F8" w14:textId="166E83FD" w:rsidR="00526AB5" w:rsidRDefault="00526AB5" w:rsidP="004D62DC">
            <w:pPr>
              <w:pStyle w:val="NormalWeb"/>
              <w:ind w:firstLine="709"/>
              <w:jc w:val="both"/>
              <w:rPr>
                <w:rFonts w:ascii="Verdana" w:hAnsi="Verdana" w:cs="Verdana"/>
                <w:sz w:val="22"/>
                <w:szCs w:val="22"/>
                <w:lang w:val="es-ES"/>
              </w:rPr>
            </w:pPr>
            <w:r>
              <w:rPr>
                <w:rFonts w:ascii="Verdana" w:hAnsi="Verdana" w:cs="Verdana"/>
                <w:sz w:val="22"/>
                <w:szCs w:val="22"/>
                <w:lang w:val="es-ES"/>
              </w:rPr>
              <w:t xml:space="preserve"> </w:t>
            </w:r>
            <w:r w:rsidRPr="00BE5CCE">
              <w:rPr>
                <w:rFonts w:ascii="Verdana" w:hAnsi="Verdana" w:cs="Verdana"/>
                <w:sz w:val="22"/>
                <w:szCs w:val="22"/>
                <w:lang w:val="es-ES"/>
              </w:rPr>
              <w:t>ii)</w:t>
            </w:r>
            <w:r w:rsidR="003539DD">
              <w:rPr>
                <w:rFonts w:ascii="Verdana" w:hAnsi="Verdana" w:cs="Verdana"/>
                <w:sz w:val="22"/>
                <w:szCs w:val="22"/>
                <w:lang w:val="es-ES"/>
              </w:rPr>
              <w:t xml:space="preserve">  </w:t>
            </w:r>
            <w:r w:rsidR="00C33C6A" w:rsidRPr="00C33C6A">
              <w:rPr>
                <w:rFonts w:ascii="Verdana" w:hAnsi="Verdana" w:cs="Verdana"/>
                <w:sz w:val="22"/>
                <w:szCs w:val="22"/>
                <w:lang w:val="es-ES"/>
              </w:rPr>
              <w:t xml:space="preserve">   </w:t>
            </w:r>
            <w:r w:rsidR="0000267A" w:rsidRPr="0000267A">
              <w:rPr>
                <w:rFonts w:ascii="Verdana" w:hAnsi="Verdana" w:cs="Verdana"/>
                <w:sz w:val="22"/>
                <w:szCs w:val="22"/>
              </w:rPr>
              <w:t xml:space="preserve">En relación con el problema planteado en el segundo interrogante, y conforme a lo indicado por la Subdirección de Información y Desarrollo Tecnológico de esta Agencia, se adjunta la </w:t>
            </w:r>
            <w:r w:rsidR="007F2C35">
              <w:rPr>
                <w:rFonts w:ascii="Verdana" w:hAnsi="Verdana" w:cs="Verdana"/>
                <w:sz w:val="22"/>
                <w:szCs w:val="22"/>
              </w:rPr>
              <w:t xml:space="preserve">respuesta a este interrogante </w:t>
            </w:r>
            <w:r w:rsidR="0000267A" w:rsidRPr="0000267A">
              <w:rPr>
                <w:rFonts w:ascii="Verdana" w:hAnsi="Verdana" w:cs="Verdana"/>
                <w:sz w:val="22"/>
                <w:szCs w:val="22"/>
              </w:rPr>
              <w:t>como anexo</w:t>
            </w:r>
            <w:r w:rsidR="006751BD">
              <w:rPr>
                <w:rFonts w:ascii="Verdana" w:hAnsi="Verdana" w:cs="Verdana"/>
                <w:sz w:val="22"/>
                <w:szCs w:val="22"/>
                <w:lang w:val="es-ES"/>
              </w:rPr>
              <w:t>.</w:t>
            </w:r>
            <w:r w:rsidR="00577F95">
              <w:rPr>
                <w:rFonts w:ascii="Verdana" w:hAnsi="Verdana" w:cs="Verdana"/>
                <w:sz w:val="22"/>
                <w:szCs w:val="22"/>
                <w:lang w:val="es-ES"/>
              </w:rPr>
              <w:t xml:space="preserve"> </w:t>
            </w:r>
          </w:p>
          <w:p w14:paraId="532E6E73" w14:textId="23523AC0" w:rsidR="00192841" w:rsidRPr="003A6819" w:rsidRDefault="00192841" w:rsidP="003A6819">
            <w:pPr>
              <w:spacing w:line="276" w:lineRule="auto"/>
              <w:jc w:val="both"/>
              <w:rPr>
                <w:rFonts w:ascii="Verdana" w:hAnsi="Verdana" w:cs="Arial"/>
              </w:rPr>
            </w:pPr>
            <w:r w:rsidRPr="00152299">
              <w:rPr>
                <w:rFonts w:ascii="Verdana" w:hAnsi="Verdana" w:cs="Arial"/>
              </w:rPr>
              <w:t xml:space="preserve">Para visualizar los anexos se recomienda utilizar un aplicativo de visualización de PDF como Adobe Reader que permite la descarga de los archivos anexos. Si presenta inconvenientes para ver los anexos, en el siguiente enlace podrá ver el </w:t>
            </w:r>
            <w:hyperlink r:id="rId13" w:tgtFrame="_blank" w:tooltip="Dirección URL original: https://www.colombiacompra.gov.co/sala-de-prensa/infografias/instructivo-para-visualizar-anexos-en-un-archivo-pdf. Haga clic o pulse si confía en este vínculo." w:history="1">
              <w:r w:rsidRPr="00152299">
                <w:rPr>
                  <w:rStyle w:val="Hipervnculo"/>
                  <w:rFonts w:ascii="Verdana" w:hAnsi="Verdana" w:cs="Arial"/>
                  <w:bdr w:val="none" w:sz="0" w:space="0" w:color="auto" w:frame="1"/>
                  <w:shd w:val="clear" w:color="auto" w:fill="FFFFFF"/>
                </w:rPr>
                <w:t>instructivo</w:t>
              </w:r>
            </w:hyperlink>
            <w:r w:rsidRPr="00152299">
              <w:rPr>
                <w:rFonts w:ascii="Verdana" w:hAnsi="Verdana" w:cs="Arial"/>
              </w:rPr>
              <w:t>.</w:t>
            </w:r>
          </w:p>
          <w:p w14:paraId="3BDEBA4A" w14:textId="250DA9C1" w:rsidR="00526AB5" w:rsidRPr="007B1A3B" w:rsidRDefault="00526AB5" w:rsidP="004D62DC">
            <w:pPr>
              <w:pStyle w:val="NormalWeb"/>
              <w:spacing w:before="120" w:line="276" w:lineRule="auto"/>
              <w:ind w:firstLine="709"/>
              <w:jc w:val="both"/>
              <w:rPr>
                <w:rFonts w:ascii="Verdana" w:hAnsi="Verdana" w:cs="Verdana"/>
                <w:sz w:val="22"/>
                <w:szCs w:val="22"/>
                <w:lang w:val="es-ES_tradnl"/>
              </w:rPr>
            </w:pPr>
            <w:r w:rsidRPr="00BE5CCE">
              <w:rPr>
                <w:rFonts w:ascii="Verdana" w:hAnsi="Verdana" w:cs="Verdana"/>
                <w:sz w:val="22"/>
                <w:szCs w:val="22"/>
                <w:lang w:val="es-ES"/>
              </w:rPr>
              <w:t xml:space="preserve">iii)  </w:t>
            </w:r>
            <w:r w:rsidRPr="007B1A3B">
              <w:rPr>
                <w:rFonts w:ascii="Verdana" w:hAnsi="Verdana" w:cs="Verdana"/>
                <w:sz w:val="22"/>
                <w:szCs w:val="22"/>
                <w:lang w:val="es-ES"/>
              </w:rPr>
              <w:t xml:space="preserve">Sobre cuáles son los términos del día solar, </w:t>
            </w:r>
            <w:r w:rsidRPr="007B1A3B">
              <w:rPr>
                <w:rFonts w:ascii="Verdana" w:hAnsi="Verdana" w:cs="Verdana"/>
                <w:sz w:val="22"/>
                <w:szCs w:val="22"/>
                <w:lang w:val="es-ES_tradnl"/>
              </w:rPr>
              <w:t>el hecho de que el procedimiento de selección se lleve a cabo recibiendo ofertas en físico, publicándose la documentación contractual en SECOP I, o que se realice de manera electrónica a través de SECOP II, deviene en una regla interpretativa respecto de lo que debe entenderse por hábil en el marco de un proceso de selección de mínima cuantía. Conforme a esta regla, a las entidades que utilizan SECOP I, para cumplir con el término mínimo de un día hábil para recibir ofertas, les bastará con recibir ofertas por el lapso correspondiente a una jornada laboral diari</w:t>
            </w:r>
            <w:r w:rsidR="00227EA2">
              <w:rPr>
                <w:rFonts w:ascii="Verdana" w:hAnsi="Verdana" w:cs="Verdana"/>
                <w:sz w:val="22"/>
                <w:szCs w:val="22"/>
                <w:lang w:val="es-ES_tradnl"/>
              </w:rPr>
              <w:t>a</w:t>
            </w:r>
            <w:r w:rsidR="00710AC3">
              <w:rPr>
                <w:rFonts w:ascii="Verdana" w:hAnsi="Verdana" w:cs="Verdana"/>
                <w:sz w:val="22"/>
                <w:szCs w:val="22"/>
                <w:lang w:val="es-ES_tradnl"/>
              </w:rPr>
              <w:t>.</w:t>
            </w:r>
            <w:r w:rsidR="00710AC3">
              <w:rPr>
                <w:rStyle w:val="Refdenotaalpie"/>
                <w:rFonts w:ascii="Verdana" w:hAnsi="Verdana" w:cs="Verdana"/>
                <w:sz w:val="22"/>
                <w:szCs w:val="22"/>
                <w:lang w:val="es-ES_tradnl"/>
              </w:rPr>
              <w:footnoteReference w:id="2"/>
            </w:r>
          </w:p>
          <w:p w14:paraId="4353760F" w14:textId="7EABBCFD" w:rsidR="00526AB5" w:rsidRPr="00501FDB" w:rsidRDefault="00526AB5" w:rsidP="004D62DC">
            <w:pPr>
              <w:pStyle w:val="NormalWeb"/>
              <w:spacing w:before="120" w:line="276" w:lineRule="auto"/>
              <w:ind w:firstLine="709"/>
              <w:jc w:val="both"/>
              <w:rPr>
                <w:rFonts w:ascii="Verdana" w:eastAsia="Calibri" w:hAnsi="Verdana" w:cs="Arial"/>
                <w:color w:val="000000" w:themeColor="text1"/>
              </w:rPr>
            </w:pPr>
            <w:r w:rsidRPr="007B1A3B">
              <w:rPr>
                <w:rFonts w:ascii="Verdana" w:hAnsi="Verdana" w:cs="Verdana"/>
                <w:sz w:val="22"/>
                <w:szCs w:val="22"/>
                <w:lang w:val="es-ES"/>
              </w:rPr>
              <w:t>De otro lado, en el caso de las entidades que realizan sus procedimientos de selección a través de SECOP II, deberán extender el t</w:t>
            </w:r>
            <w:r w:rsidR="00FA58B5">
              <w:rPr>
                <w:rFonts w:ascii="Verdana" w:hAnsi="Verdana" w:cs="Verdana"/>
                <w:sz w:val="22"/>
                <w:szCs w:val="22"/>
                <w:lang w:val="es-ES"/>
              </w:rPr>
              <w:t>é</w:t>
            </w:r>
            <w:r w:rsidRPr="007B1A3B">
              <w:rPr>
                <w:rFonts w:ascii="Verdana" w:hAnsi="Verdana" w:cs="Verdana"/>
                <w:sz w:val="22"/>
                <w:szCs w:val="22"/>
                <w:lang w:val="es-ES"/>
              </w:rPr>
              <w:t xml:space="preserve">rmino para la presentación de ofertas durante las veinticuatro (24) horas que conforman un día solar laborable. La aplicación de esta regla permite conciliar la inexistencia de una definición unívoca de día hábil y de un método legal para el cómputo de términos de un único día, con las implicaciones </w:t>
            </w:r>
            <w:r w:rsidRPr="007B1A3B">
              <w:rPr>
                <w:rFonts w:ascii="Verdana" w:hAnsi="Verdana" w:cs="Verdana"/>
                <w:sz w:val="22"/>
                <w:szCs w:val="22"/>
                <w:lang w:val="es-ES"/>
              </w:rPr>
              <w:lastRenderedPageBreak/>
              <w:t>prácticas del ejercicio de la actividad precontractual, de tal forma que se da a cada situación la solución más adecuada a los medios con los que cuentan las respectivas entidades para llevar a cabo sus procesos de selección.</w:t>
            </w:r>
          </w:p>
        </w:tc>
      </w:tr>
    </w:tbl>
    <w:p w14:paraId="2EE4A69A" w14:textId="77777777" w:rsidR="00526AB5" w:rsidRPr="00115E3D" w:rsidRDefault="00526AB5" w:rsidP="00526AB5">
      <w:pPr>
        <w:tabs>
          <w:tab w:val="left" w:pos="142"/>
          <w:tab w:val="left" w:pos="284"/>
        </w:tabs>
        <w:spacing w:after="0" w:line="276" w:lineRule="auto"/>
        <w:jc w:val="both"/>
        <w:rPr>
          <w:rFonts w:ascii="Verdana" w:eastAsia="Century Gothic" w:hAnsi="Verdana" w:cs="Century Gothic"/>
          <w:b/>
          <w:bCs/>
          <w:color w:val="000000" w:themeColor="text1"/>
          <w:lang w:val="es-ES"/>
        </w:rPr>
      </w:pPr>
    </w:p>
    <w:p w14:paraId="14D83FAF" w14:textId="77777777" w:rsidR="00526AB5" w:rsidRPr="00115E3D" w:rsidRDefault="00526AB5" w:rsidP="00526AB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Razones de la respuesta:</w:t>
      </w:r>
    </w:p>
    <w:p w14:paraId="470FD8F7" w14:textId="77777777" w:rsidR="00526AB5" w:rsidRPr="00115E3D" w:rsidRDefault="00526AB5" w:rsidP="00526AB5">
      <w:pPr>
        <w:spacing w:after="0" w:line="276" w:lineRule="auto"/>
        <w:jc w:val="both"/>
        <w:rPr>
          <w:rFonts w:ascii="Verdana" w:eastAsia="Calibri" w:hAnsi="Verdana" w:cs="Arial"/>
          <w:color w:val="000000" w:themeColor="text1"/>
          <w:lang w:val="es-ES"/>
        </w:rPr>
      </w:pPr>
    </w:p>
    <w:p w14:paraId="46036501" w14:textId="77777777" w:rsidR="00526AB5" w:rsidRPr="00115E3D" w:rsidRDefault="00526AB5" w:rsidP="00526AB5">
      <w:pPr>
        <w:spacing w:after="0" w:line="276" w:lineRule="auto"/>
        <w:jc w:val="both"/>
        <w:rPr>
          <w:rFonts w:ascii="Verdana" w:eastAsia="Calibri" w:hAnsi="Verdana" w:cs="Arial"/>
          <w:color w:val="000000" w:themeColor="text1"/>
          <w:lang w:val="es-ES"/>
        </w:rPr>
      </w:pPr>
      <w:r w:rsidRPr="00115E3D">
        <w:rPr>
          <w:rFonts w:ascii="Verdana" w:eastAsia="Calibri" w:hAnsi="Verdana" w:cs="Arial"/>
          <w:color w:val="000000" w:themeColor="text1"/>
          <w:lang w:val="es-ES"/>
        </w:rPr>
        <w:t xml:space="preserve">Lo anterior se sustenta en las siguientes consideraciones: </w:t>
      </w:r>
    </w:p>
    <w:p w14:paraId="3336BBFC" w14:textId="77777777" w:rsidR="00526AB5" w:rsidRPr="00977131" w:rsidRDefault="00526AB5" w:rsidP="004D62DC">
      <w:pPr>
        <w:pStyle w:val="NormalWeb"/>
        <w:spacing w:line="276" w:lineRule="auto"/>
        <w:jc w:val="both"/>
        <w:rPr>
          <w:rFonts w:ascii="Verdana" w:hAnsi="Verdana" w:cs="Verdana"/>
          <w:sz w:val="22"/>
          <w:szCs w:val="22"/>
          <w:lang w:val="es-ES"/>
        </w:rPr>
      </w:pPr>
      <w:bookmarkStart w:id="1" w:name="_Hlk173311098"/>
      <w:r w:rsidRPr="00977131">
        <w:rPr>
          <w:rFonts w:ascii="Verdana" w:hAnsi="Verdana" w:cs="Verdana"/>
          <w:sz w:val="22"/>
          <w:szCs w:val="22"/>
          <w:lang w:val="es-ES"/>
        </w:rPr>
        <w:t>Resulta imperativo recordar que la manifestación de interés tiene una naturaleza distinta de la oferta que será presentada y evaluada en el proceso de contratación, y se trata de un acto que no genera la obligación de presentar oferta más adelante en la oportunidad señalada en el cronograma del proceso, pues, de acuerdo con su análisis de conveniencia, el interesado puede desistir de participar sin consecuencia alguna dentro del proceso. Así las cosas, en la modalidad de selección abreviada de menor cuantía a la cual se refiere la consulta planteada, la manifestación de interés es un acto de comunicación que se encuentra regulado en el artículo 2.2.1.2.1.2.20 del Decreto 1082 de 2015</w:t>
      </w:r>
      <w:r w:rsidRPr="008A3EE5">
        <w:rPr>
          <w:sz w:val="22"/>
          <w:szCs w:val="22"/>
        </w:rPr>
        <w:footnoteReference w:id="3"/>
      </w:r>
      <w:r w:rsidRPr="00977131">
        <w:rPr>
          <w:rFonts w:ascii="Verdana" w:hAnsi="Verdana" w:cs="Verdana"/>
          <w:sz w:val="22"/>
          <w:szCs w:val="22"/>
          <w:lang w:val="es-ES"/>
        </w:rPr>
        <w:t>, de la siguiente manera:</w:t>
      </w:r>
    </w:p>
    <w:p w14:paraId="212836E9" w14:textId="77777777" w:rsidR="00526AB5" w:rsidRPr="004D62DC" w:rsidRDefault="00526AB5" w:rsidP="00526AB5">
      <w:pPr>
        <w:widowControl w:val="0"/>
        <w:autoSpaceDE w:val="0"/>
        <w:autoSpaceDN w:val="0"/>
        <w:spacing w:after="0" w:line="240" w:lineRule="auto"/>
        <w:ind w:left="810" w:right="1608"/>
        <w:jc w:val="both"/>
        <w:rPr>
          <w:rFonts w:ascii="Verdana" w:hAnsi="Verdana" w:cs="Verdana"/>
          <w:sz w:val="21"/>
          <w:szCs w:val="21"/>
          <w:lang w:val="es-ES"/>
        </w:rPr>
      </w:pPr>
      <w:r w:rsidRPr="004D62DC">
        <w:rPr>
          <w:rFonts w:ascii="Verdana" w:hAnsi="Verdana" w:cs="Verdana"/>
          <w:sz w:val="21"/>
          <w:szCs w:val="21"/>
          <w:lang w:val="es-ES"/>
        </w:rPr>
        <w:t>“Artículo 2.2.1.2.1.2.20. Procedimiento para la selección abreviada de</w:t>
      </w:r>
      <w:r w:rsidRPr="004D62DC">
        <w:rPr>
          <w:rFonts w:ascii="Verdana" w:hAnsi="Verdana" w:cs="Verdana"/>
          <w:spacing w:val="1"/>
          <w:sz w:val="21"/>
          <w:szCs w:val="21"/>
          <w:lang w:val="es-ES"/>
        </w:rPr>
        <w:t xml:space="preserve"> </w:t>
      </w:r>
      <w:r w:rsidRPr="004D62DC">
        <w:rPr>
          <w:rFonts w:ascii="Verdana" w:hAnsi="Verdana" w:cs="Verdana"/>
          <w:sz w:val="21"/>
          <w:szCs w:val="21"/>
          <w:lang w:val="es-ES"/>
        </w:rPr>
        <w:t>menor</w:t>
      </w:r>
      <w:r w:rsidRPr="004D62DC">
        <w:rPr>
          <w:rFonts w:ascii="Verdana" w:hAnsi="Verdana" w:cs="Verdana"/>
          <w:spacing w:val="1"/>
          <w:sz w:val="21"/>
          <w:szCs w:val="21"/>
          <w:lang w:val="es-ES"/>
        </w:rPr>
        <w:t xml:space="preserve"> </w:t>
      </w:r>
      <w:r w:rsidRPr="004D62DC">
        <w:rPr>
          <w:rFonts w:ascii="Verdana" w:hAnsi="Verdana" w:cs="Verdana"/>
          <w:sz w:val="21"/>
          <w:szCs w:val="21"/>
          <w:lang w:val="es-ES"/>
        </w:rPr>
        <w:t>cuantía.</w:t>
      </w:r>
      <w:r w:rsidRPr="004D62DC">
        <w:rPr>
          <w:rFonts w:ascii="Verdana" w:hAnsi="Verdana" w:cs="Verdana"/>
          <w:spacing w:val="1"/>
          <w:sz w:val="21"/>
          <w:szCs w:val="21"/>
          <w:lang w:val="es-ES"/>
        </w:rPr>
        <w:t xml:space="preserve"> </w:t>
      </w:r>
      <w:r w:rsidRPr="004D62DC">
        <w:rPr>
          <w:rFonts w:ascii="Verdana" w:hAnsi="Verdana" w:cs="Verdana"/>
          <w:sz w:val="21"/>
          <w:szCs w:val="21"/>
          <w:lang w:val="es-ES"/>
        </w:rPr>
        <w:t>Además</w:t>
      </w:r>
      <w:r w:rsidRPr="004D62DC">
        <w:rPr>
          <w:rFonts w:ascii="Verdana" w:hAnsi="Verdana" w:cs="Verdana"/>
          <w:spacing w:val="1"/>
          <w:sz w:val="21"/>
          <w:szCs w:val="21"/>
          <w:lang w:val="es-ES"/>
        </w:rPr>
        <w:t xml:space="preserve"> </w:t>
      </w:r>
      <w:r w:rsidRPr="004D62DC">
        <w:rPr>
          <w:rFonts w:ascii="Verdana" w:hAnsi="Verdana" w:cs="Verdana"/>
          <w:sz w:val="21"/>
          <w:szCs w:val="21"/>
          <w:lang w:val="es-ES"/>
        </w:rPr>
        <w:t>de las normas</w:t>
      </w:r>
      <w:r w:rsidRPr="004D62DC">
        <w:rPr>
          <w:rFonts w:ascii="Verdana" w:hAnsi="Verdana" w:cs="Verdana"/>
          <w:spacing w:val="1"/>
          <w:sz w:val="21"/>
          <w:szCs w:val="21"/>
          <w:lang w:val="es-ES"/>
        </w:rPr>
        <w:t xml:space="preserve"> </w:t>
      </w:r>
      <w:r w:rsidRPr="004D62DC">
        <w:rPr>
          <w:rFonts w:ascii="Verdana" w:hAnsi="Verdana" w:cs="Verdana"/>
          <w:sz w:val="21"/>
          <w:szCs w:val="21"/>
          <w:lang w:val="es-ES"/>
        </w:rPr>
        <w:t>generales</w:t>
      </w:r>
      <w:r w:rsidRPr="004D62DC">
        <w:rPr>
          <w:rFonts w:ascii="Verdana" w:hAnsi="Verdana" w:cs="Verdana"/>
          <w:spacing w:val="1"/>
          <w:sz w:val="21"/>
          <w:szCs w:val="21"/>
          <w:lang w:val="es-ES"/>
        </w:rPr>
        <w:t xml:space="preserve"> </w:t>
      </w:r>
      <w:r w:rsidRPr="004D62DC">
        <w:rPr>
          <w:rFonts w:ascii="Verdana" w:hAnsi="Verdana" w:cs="Verdana"/>
          <w:sz w:val="21"/>
          <w:szCs w:val="21"/>
          <w:lang w:val="es-ES"/>
        </w:rPr>
        <w:t>establecidas</w:t>
      </w:r>
      <w:r w:rsidRPr="004D62DC">
        <w:rPr>
          <w:rFonts w:ascii="Verdana" w:hAnsi="Verdana" w:cs="Verdana"/>
          <w:spacing w:val="1"/>
          <w:sz w:val="21"/>
          <w:szCs w:val="21"/>
          <w:lang w:val="es-ES"/>
        </w:rPr>
        <w:t xml:space="preserve"> </w:t>
      </w:r>
      <w:r w:rsidRPr="004D62DC">
        <w:rPr>
          <w:rFonts w:ascii="Verdana" w:hAnsi="Verdana" w:cs="Verdana"/>
          <w:sz w:val="21"/>
          <w:szCs w:val="21"/>
          <w:lang w:val="es-ES"/>
        </w:rPr>
        <w:t>en el</w:t>
      </w:r>
      <w:r w:rsidRPr="004D62DC">
        <w:rPr>
          <w:rFonts w:ascii="Verdana" w:hAnsi="Verdana" w:cs="Verdana"/>
          <w:spacing w:val="1"/>
          <w:sz w:val="21"/>
          <w:szCs w:val="21"/>
          <w:lang w:val="es-ES"/>
        </w:rPr>
        <w:t xml:space="preserve"> </w:t>
      </w:r>
      <w:r w:rsidRPr="004D62DC">
        <w:rPr>
          <w:rFonts w:ascii="Verdana" w:hAnsi="Verdana" w:cs="Verdana"/>
          <w:w w:val="95"/>
          <w:sz w:val="21"/>
          <w:szCs w:val="21"/>
          <w:lang w:val="es-ES"/>
        </w:rPr>
        <w:t>presente título, las siguientes reglas son aplicables a la selección abreviada</w:t>
      </w:r>
      <w:r w:rsidRPr="004D62DC">
        <w:rPr>
          <w:rFonts w:ascii="Verdana" w:hAnsi="Verdana" w:cs="Verdana"/>
          <w:spacing w:val="1"/>
          <w:w w:val="95"/>
          <w:sz w:val="21"/>
          <w:szCs w:val="21"/>
          <w:lang w:val="es-ES"/>
        </w:rPr>
        <w:t xml:space="preserve"> </w:t>
      </w:r>
      <w:r w:rsidRPr="004D62DC">
        <w:rPr>
          <w:rFonts w:ascii="Verdana" w:hAnsi="Verdana" w:cs="Verdana"/>
          <w:sz w:val="21"/>
          <w:szCs w:val="21"/>
          <w:lang w:val="es-ES"/>
        </w:rPr>
        <w:t>de</w:t>
      </w:r>
      <w:r w:rsidRPr="004D62DC">
        <w:rPr>
          <w:rFonts w:ascii="Verdana" w:hAnsi="Verdana" w:cs="Verdana"/>
          <w:spacing w:val="-2"/>
          <w:sz w:val="21"/>
          <w:szCs w:val="21"/>
          <w:lang w:val="es-ES"/>
        </w:rPr>
        <w:t xml:space="preserve"> </w:t>
      </w:r>
      <w:r w:rsidRPr="004D62DC">
        <w:rPr>
          <w:rFonts w:ascii="Verdana" w:hAnsi="Verdana" w:cs="Verdana"/>
          <w:sz w:val="21"/>
          <w:szCs w:val="21"/>
          <w:lang w:val="es-ES"/>
        </w:rPr>
        <w:t>menor</w:t>
      </w:r>
      <w:r w:rsidRPr="004D62DC">
        <w:rPr>
          <w:rFonts w:ascii="Verdana" w:hAnsi="Verdana" w:cs="Verdana"/>
          <w:spacing w:val="-1"/>
          <w:sz w:val="21"/>
          <w:szCs w:val="21"/>
          <w:lang w:val="es-ES"/>
        </w:rPr>
        <w:t xml:space="preserve"> </w:t>
      </w:r>
      <w:r w:rsidRPr="004D62DC">
        <w:rPr>
          <w:rFonts w:ascii="Verdana" w:hAnsi="Verdana" w:cs="Verdana"/>
          <w:sz w:val="21"/>
          <w:szCs w:val="21"/>
          <w:lang w:val="es-ES"/>
        </w:rPr>
        <w:t>cuantía:</w:t>
      </w:r>
    </w:p>
    <w:p w14:paraId="1ECF3BE6" w14:textId="77777777" w:rsidR="00526AB5" w:rsidRPr="004D62DC" w:rsidRDefault="00526AB5" w:rsidP="00526AB5">
      <w:pPr>
        <w:widowControl w:val="0"/>
        <w:autoSpaceDE w:val="0"/>
        <w:autoSpaceDN w:val="0"/>
        <w:spacing w:after="0" w:line="240" w:lineRule="auto"/>
        <w:rPr>
          <w:rFonts w:ascii="Verdana" w:hAnsi="Verdana" w:cs="Verdana"/>
          <w:sz w:val="21"/>
          <w:szCs w:val="21"/>
          <w:lang w:val="es-ES"/>
        </w:rPr>
      </w:pPr>
    </w:p>
    <w:p w14:paraId="0F39A353" w14:textId="77777777" w:rsidR="00526AB5" w:rsidRPr="004D62DC" w:rsidRDefault="00526AB5" w:rsidP="00526AB5">
      <w:pPr>
        <w:widowControl w:val="0"/>
        <w:numPr>
          <w:ilvl w:val="1"/>
          <w:numId w:val="18"/>
        </w:numPr>
        <w:tabs>
          <w:tab w:val="left" w:pos="1283"/>
        </w:tabs>
        <w:autoSpaceDE w:val="0"/>
        <w:autoSpaceDN w:val="0"/>
        <w:spacing w:before="1" w:after="0" w:line="240" w:lineRule="auto"/>
        <w:ind w:right="1608" w:firstLine="0"/>
        <w:jc w:val="both"/>
        <w:rPr>
          <w:rFonts w:ascii="Verdana" w:hAnsi="Verdana" w:cs="Verdana"/>
          <w:sz w:val="21"/>
          <w:szCs w:val="21"/>
          <w:lang w:val="es-ES"/>
        </w:rPr>
      </w:pPr>
      <w:r w:rsidRPr="004D62DC">
        <w:rPr>
          <w:rFonts w:ascii="Verdana" w:hAnsi="Verdana" w:cs="Verdana"/>
          <w:sz w:val="21"/>
          <w:szCs w:val="21"/>
          <w:lang w:val="es-ES"/>
        </w:rPr>
        <w:t>En</w:t>
      </w:r>
      <w:r w:rsidRPr="004D62DC">
        <w:rPr>
          <w:rFonts w:ascii="Verdana" w:hAnsi="Verdana" w:cs="Verdana"/>
          <w:spacing w:val="-13"/>
          <w:sz w:val="21"/>
          <w:szCs w:val="21"/>
          <w:lang w:val="es-ES"/>
        </w:rPr>
        <w:t xml:space="preserve"> </w:t>
      </w:r>
      <w:r w:rsidRPr="004D62DC">
        <w:rPr>
          <w:rFonts w:ascii="Verdana" w:hAnsi="Verdana" w:cs="Verdana"/>
          <w:sz w:val="21"/>
          <w:szCs w:val="21"/>
          <w:lang w:val="es-ES"/>
        </w:rPr>
        <w:t>un</w:t>
      </w:r>
      <w:r w:rsidRPr="004D62DC">
        <w:rPr>
          <w:rFonts w:ascii="Verdana" w:hAnsi="Verdana" w:cs="Verdana"/>
          <w:spacing w:val="-12"/>
          <w:sz w:val="21"/>
          <w:szCs w:val="21"/>
          <w:lang w:val="es-ES"/>
        </w:rPr>
        <w:t xml:space="preserve"> </w:t>
      </w:r>
      <w:r w:rsidRPr="004D62DC">
        <w:rPr>
          <w:rFonts w:ascii="Verdana" w:hAnsi="Verdana" w:cs="Verdana"/>
          <w:sz w:val="21"/>
          <w:szCs w:val="21"/>
          <w:lang w:val="es-ES"/>
        </w:rPr>
        <w:t>término</w:t>
      </w:r>
      <w:r w:rsidRPr="004D62DC">
        <w:rPr>
          <w:rFonts w:ascii="Verdana" w:hAnsi="Verdana" w:cs="Verdana"/>
          <w:spacing w:val="-12"/>
          <w:sz w:val="21"/>
          <w:szCs w:val="21"/>
          <w:lang w:val="es-ES"/>
        </w:rPr>
        <w:t xml:space="preserve"> </w:t>
      </w:r>
      <w:r w:rsidRPr="004D62DC">
        <w:rPr>
          <w:rFonts w:ascii="Verdana" w:hAnsi="Verdana" w:cs="Verdana"/>
          <w:sz w:val="21"/>
          <w:szCs w:val="21"/>
          <w:lang w:val="es-ES"/>
        </w:rPr>
        <w:t>no</w:t>
      </w:r>
      <w:r w:rsidRPr="004D62DC">
        <w:rPr>
          <w:rFonts w:ascii="Verdana" w:hAnsi="Verdana" w:cs="Verdana"/>
          <w:spacing w:val="-12"/>
          <w:sz w:val="21"/>
          <w:szCs w:val="21"/>
          <w:lang w:val="es-ES"/>
        </w:rPr>
        <w:t xml:space="preserve"> </w:t>
      </w:r>
      <w:r w:rsidRPr="004D62DC">
        <w:rPr>
          <w:rFonts w:ascii="Verdana" w:hAnsi="Verdana" w:cs="Verdana"/>
          <w:sz w:val="21"/>
          <w:szCs w:val="21"/>
          <w:lang w:val="es-ES"/>
        </w:rPr>
        <w:t>mayor</w:t>
      </w:r>
      <w:r w:rsidRPr="004D62DC">
        <w:rPr>
          <w:rFonts w:ascii="Verdana" w:hAnsi="Verdana" w:cs="Verdana"/>
          <w:spacing w:val="-12"/>
          <w:sz w:val="21"/>
          <w:szCs w:val="21"/>
          <w:lang w:val="es-ES"/>
        </w:rPr>
        <w:t xml:space="preserve"> </w:t>
      </w:r>
      <w:r w:rsidRPr="004D62DC">
        <w:rPr>
          <w:rFonts w:ascii="Verdana" w:hAnsi="Verdana" w:cs="Verdana"/>
          <w:sz w:val="21"/>
          <w:szCs w:val="21"/>
          <w:lang w:val="es-ES"/>
        </w:rPr>
        <w:t>a</w:t>
      </w:r>
      <w:r w:rsidRPr="004D62DC">
        <w:rPr>
          <w:rFonts w:ascii="Verdana" w:hAnsi="Verdana" w:cs="Verdana"/>
          <w:spacing w:val="-12"/>
          <w:sz w:val="21"/>
          <w:szCs w:val="21"/>
          <w:lang w:val="es-ES"/>
        </w:rPr>
        <w:t xml:space="preserve"> </w:t>
      </w:r>
      <w:r w:rsidRPr="004D62DC">
        <w:rPr>
          <w:rFonts w:ascii="Verdana" w:hAnsi="Verdana" w:cs="Verdana"/>
          <w:sz w:val="21"/>
          <w:szCs w:val="21"/>
          <w:lang w:val="es-ES"/>
        </w:rPr>
        <w:t>tres</w:t>
      </w:r>
      <w:r w:rsidRPr="004D62DC">
        <w:rPr>
          <w:rFonts w:ascii="Verdana" w:hAnsi="Verdana" w:cs="Verdana"/>
          <w:spacing w:val="-12"/>
          <w:sz w:val="21"/>
          <w:szCs w:val="21"/>
          <w:lang w:val="es-ES"/>
        </w:rPr>
        <w:t xml:space="preserve"> </w:t>
      </w:r>
      <w:r w:rsidRPr="004D62DC">
        <w:rPr>
          <w:rFonts w:ascii="Verdana" w:hAnsi="Verdana" w:cs="Verdana"/>
          <w:sz w:val="21"/>
          <w:szCs w:val="21"/>
          <w:lang w:val="es-ES"/>
        </w:rPr>
        <w:t>(3)</w:t>
      </w:r>
      <w:r w:rsidRPr="004D62DC">
        <w:rPr>
          <w:rFonts w:ascii="Verdana" w:hAnsi="Verdana" w:cs="Verdana"/>
          <w:spacing w:val="-12"/>
          <w:sz w:val="21"/>
          <w:szCs w:val="21"/>
          <w:lang w:val="es-ES"/>
        </w:rPr>
        <w:t xml:space="preserve"> </w:t>
      </w:r>
      <w:r w:rsidRPr="004D62DC">
        <w:rPr>
          <w:rFonts w:ascii="Verdana" w:hAnsi="Verdana" w:cs="Verdana"/>
          <w:sz w:val="21"/>
          <w:szCs w:val="21"/>
          <w:lang w:val="es-ES"/>
        </w:rPr>
        <w:t>días</w:t>
      </w:r>
      <w:r w:rsidRPr="004D62DC">
        <w:rPr>
          <w:rFonts w:ascii="Verdana" w:hAnsi="Verdana" w:cs="Verdana"/>
          <w:spacing w:val="-11"/>
          <w:sz w:val="21"/>
          <w:szCs w:val="21"/>
          <w:lang w:val="es-ES"/>
        </w:rPr>
        <w:t xml:space="preserve"> </w:t>
      </w:r>
      <w:r w:rsidRPr="004D62DC">
        <w:rPr>
          <w:rFonts w:ascii="Verdana" w:hAnsi="Verdana" w:cs="Verdana"/>
          <w:sz w:val="21"/>
          <w:szCs w:val="21"/>
          <w:lang w:val="es-ES"/>
        </w:rPr>
        <w:t>hábiles</w:t>
      </w:r>
      <w:r w:rsidRPr="004D62DC">
        <w:rPr>
          <w:rFonts w:ascii="Verdana" w:hAnsi="Verdana" w:cs="Verdana"/>
          <w:spacing w:val="-11"/>
          <w:sz w:val="21"/>
          <w:szCs w:val="21"/>
          <w:lang w:val="es-ES"/>
        </w:rPr>
        <w:t xml:space="preserve"> </w:t>
      </w:r>
      <w:r w:rsidRPr="004D62DC">
        <w:rPr>
          <w:rFonts w:ascii="Verdana" w:hAnsi="Verdana" w:cs="Verdana"/>
          <w:sz w:val="21"/>
          <w:szCs w:val="21"/>
          <w:lang w:val="es-ES"/>
        </w:rPr>
        <w:t>contados</w:t>
      </w:r>
      <w:r w:rsidRPr="004D62DC">
        <w:rPr>
          <w:rFonts w:ascii="Verdana" w:hAnsi="Verdana" w:cs="Verdana"/>
          <w:spacing w:val="-11"/>
          <w:sz w:val="21"/>
          <w:szCs w:val="21"/>
          <w:lang w:val="es-ES"/>
        </w:rPr>
        <w:t xml:space="preserve"> </w:t>
      </w:r>
      <w:r w:rsidRPr="004D62DC">
        <w:rPr>
          <w:rFonts w:ascii="Verdana" w:hAnsi="Verdana" w:cs="Verdana"/>
          <w:sz w:val="21"/>
          <w:szCs w:val="21"/>
          <w:lang w:val="es-ES"/>
        </w:rPr>
        <w:t>a</w:t>
      </w:r>
      <w:r w:rsidRPr="004D62DC">
        <w:rPr>
          <w:rFonts w:ascii="Verdana" w:hAnsi="Verdana" w:cs="Verdana"/>
          <w:spacing w:val="-13"/>
          <w:sz w:val="21"/>
          <w:szCs w:val="21"/>
          <w:lang w:val="es-ES"/>
        </w:rPr>
        <w:t xml:space="preserve"> </w:t>
      </w:r>
      <w:r w:rsidRPr="004D62DC">
        <w:rPr>
          <w:rFonts w:ascii="Verdana" w:hAnsi="Verdana" w:cs="Verdana"/>
          <w:sz w:val="21"/>
          <w:szCs w:val="21"/>
          <w:lang w:val="es-ES"/>
        </w:rPr>
        <w:t>partir</w:t>
      </w:r>
      <w:r w:rsidRPr="004D62DC">
        <w:rPr>
          <w:rFonts w:ascii="Verdana" w:hAnsi="Verdana" w:cs="Verdana"/>
          <w:spacing w:val="-11"/>
          <w:sz w:val="21"/>
          <w:szCs w:val="21"/>
          <w:lang w:val="es-ES"/>
        </w:rPr>
        <w:t xml:space="preserve"> </w:t>
      </w:r>
      <w:r w:rsidRPr="004D62DC">
        <w:rPr>
          <w:rFonts w:ascii="Verdana" w:hAnsi="Verdana" w:cs="Verdana"/>
          <w:sz w:val="21"/>
          <w:szCs w:val="21"/>
          <w:lang w:val="es-ES"/>
        </w:rPr>
        <w:t>de</w:t>
      </w:r>
      <w:r w:rsidRPr="004D62DC">
        <w:rPr>
          <w:rFonts w:ascii="Verdana" w:hAnsi="Verdana" w:cs="Verdana"/>
          <w:spacing w:val="-13"/>
          <w:sz w:val="21"/>
          <w:szCs w:val="21"/>
          <w:lang w:val="es-ES"/>
        </w:rPr>
        <w:t xml:space="preserve"> </w:t>
      </w:r>
      <w:r w:rsidRPr="004D62DC">
        <w:rPr>
          <w:rFonts w:ascii="Verdana" w:hAnsi="Verdana" w:cs="Verdana"/>
          <w:sz w:val="21"/>
          <w:szCs w:val="21"/>
          <w:lang w:val="es-ES"/>
        </w:rPr>
        <w:t>la</w:t>
      </w:r>
      <w:r w:rsidRPr="004D62DC">
        <w:rPr>
          <w:rFonts w:ascii="Verdana" w:hAnsi="Verdana" w:cs="Verdana"/>
          <w:spacing w:val="-68"/>
          <w:sz w:val="21"/>
          <w:szCs w:val="21"/>
          <w:lang w:val="es-ES"/>
        </w:rPr>
        <w:t xml:space="preserve"> </w:t>
      </w:r>
      <w:r w:rsidRPr="004D62DC">
        <w:rPr>
          <w:rFonts w:ascii="Verdana" w:hAnsi="Verdana" w:cs="Verdana"/>
          <w:sz w:val="21"/>
          <w:szCs w:val="21"/>
          <w:lang w:val="es-ES"/>
        </w:rPr>
        <w:t>fecha de apertura del Proceso de Contratación los interesados deben</w:t>
      </w:r>
      <w:r w:rsidRPr="004D62DC">
        <w:rPr>
          <w:rFonts w:ascii="Verdana" w:hAnsi="Verdana" w:cs="Verdana"/>
          <w:spacing w:val="1"/>
          <w:sz w:val="21"/>
          <w:szCs w:val="21"/>
          <w:lang w:val="es-ES"/>
        </w:rPr>
        <w:t xml:space="preserve"> </w:t>
      </w:r>
      <w:r w:rsidRPr="004D62DC">
        <w:rPr>
          <w:rFonts w:ascii="Verdana" w:hAnsi="Verdana" w:cs="Verdana"/>
          <w:sz w:val="21"/>
          <w:szCs w:val="21"/>
          <w:lang w:val="es-ES"/>
        </w:rPr>
        <w:t>manifestar</w:t>
      </w:r>
      <w:r w:rsidRPr="004D62DC">
        <w:rPr>
          <w:rFonts w:ascii="Verdana" w:hAnsi="Verdana" w:cs="Verdana"/>
          <w:spacing w:val="-6"/>
          <w:sz w:val="21"/>
          <w:szCs w:val="21"/>
          <w:lang w:val="es-ES"/>
        </w:rPr>
        <w:t xml:space="preserve"> </w:t>
      </w:r>
      <w:r w:rsidRPr="004D62DC">
        <w:rPr>
          <w:rFonts w:ascii="Verdana" w:hAnsi="Verdana" w:cs="Verdana"/>
          <w:sz w:val="21"/>
          <w:szCs w:val="21"/>
          <w:lang w:val="es-ES"/>
        </w:rPr>
        <w:t>su</w:t>
      </w:r>
      <w:r w:rsidRPr="004D62DC">
        <w:rPr>
          <w:rFonts w:ascii="Verdana" w:hAnsi="Verdana" w:cs="Verdana"/>
          <w:spacing w:val="-8"/>
          <w:sz w:val="21"/>
          <w:szCs w:val="21"/>
          <w:lang w:val="es-ES"/>
        </w:rPr>
        <w:t xml:space="preserve"> </w:t>
      </w:r>
      <w:r w:rsidRPr="004D62DC">
        <w:rPr>
          <w:rFonts w:ascii="Verdana" w:hAnsi="Verdana" w:cs="Verdana"/>
          <w:sz w:val="21"/>
          <w:szCs w:val="21"/>
          <w:lang w:val="es-ES"/>
        </w:rPr>
        <w:t>intención</w:t>
      </w:r>
      <w:r w:rsidRPr="004D62DC">
        <w:rPr>
          <w:rFonts w:ascii="Verdana" w:hAnsi="Verdana" w:cs="Verdana"/>
          <w:spacing w:val="-6"/>
          <w:sz w:val="21"/>
          <w:szCs w:val="21"/>
          <w:lang w:val="es-ES"/>
        </w:rPr>
        <w:t xml:space="preserve"> </w:t>
      </w:r>
      <w:r w:rsidRPr="004D62DC">
        <w:rPr>
          <w:rFonts w:ascii="Verdana" w:hAnsi="Verdana" w:cs="Verdana"/>
          <w:sz w:val="21"/>
          <w:szCs w:val="21"/>
          <w:lang w:val="es-ES"/>
        </w:rPr>
        <w:t>de</w:t>
      </w:r>
      <w:r w:rsidRPr="004D62DC">
        <w:rPr>
          <w:rFonts w:ascii="Verdana" w:hAnsi="Verdana" w:cs="Verdana"/>
          <w:spacing w:val="-7"/>
          <w:sz w:val="21"/>
          <w:szCs w:val="21"/>
          <w:lang w:val="es-ES"/>
        </w:rPr>
        <w:t xml:space="preserve"> </w:t>
      </w:r>
      <w:r w:rsidRPr="004D62DC">
        <w:rPr>
          <w:rFonts w:ascii="Verdana" w:hAnsi="Verdana" w:cs="Verdana"/>
          <w:sz w:val="21"/>
          <w:szCs w:val="21"/>
          <w:lang w:val="es-ES"/>
        </w:rPr>
        <w:t>participar,</w:t>
      </w:r>
      <w:r w:rsidRPr="004D62DC">
        <w:rPr>
          <w:rFonts w:ascii="Verdana" w:hAnsi="Verdana" w:cs="Verdana"/>
          <w:spacing w:val="-6"/>
          <w:sz w:val="21"/>
          <w:szCs w:val="21"/>
          <w:lang w:val="es-ES"/>
        </w:rPr>
        <w:t xml:space="preserve"> </w:t>
      </w:r>
      <w:r w:rsidRPr="004D62DC">
        <w:rPr>
          <w:rFonts w:ascii="Verdana" w:hAnsi="Verdana" w:cs="Verdana"/>
          <w:sz w:val="21"/>
          <w:szCs w:val="21"/>
          <w:lang w:val="es-ES"/>
        </w:rPr>
        <w:t>a</w:t>
      </w:r>
      <w:r w:rsidRPr="004D62DC">
        <w:rPr>
          <w:rFonts w:ascii="Verdana" w:hAnsi="Verdana" w:cs="Verdana"/>
          <w:spacing w:val="-8"/>
          <w:sz w:val="21"/>
          <w:szCs w:val="21"/>
          <w:lang w:val="es-ES"/>
        </w:rPr>
        <w:t xml:space="preserve"> </w:t>
      </w:r>
      <w:r w:rsidRPr="004D62DC">
        <w:rPr>
          <w:rFonts w:ascii="Verdana" w:hAnsi="Verdana" w:cs="Verdana"/>
          <w:sz w:val="21"/>
          <w:szCs w:val="21"/>
          <w:lang w:val="es-ES"/>
        </w:rPr>
        <w:t>través</w:t>
      </w:r>
      <w:r w:rsidRPr="004D62DC">
        <w:rPr>
          <w:rFonts w:ascii="Verdana" w:hAnsi="Verdana" w:cs="Verdana"/>
          <w:spacing w:val="-7"/>
          <w:sz w:val="21"/>
          <w:szCs w:val="21"/>
          <w:lang w:val="es-ES"/>
        </w:rPr>
        <w:t xml:space="preserve"> </w:t>
      </w:r>
      <w:r w:rsidRPr="004D62DC">
        <w:rPr>
          <w:rFonts w:ascii="Verdana" w:hAnsi="Verdana" w:cs="Verdana"/>
          <w:sz w:val="21"/>
          <w:szCs w:val="21"/>
          <w:lang w:val="es-ES"/>
        </w:rPr>
        <w:t>del</w:t>
      </w:r>
      <w:r w:rsidRPr="004D62DC">
        <w:rPr>
          <w:rFonts w:ascii="Verdana" w:hAnsi="Verdana" w:cs="Verdana"/>
          <w:spacing w:val="-7"/>
          <w:sz w:val="21"/>
          <w:szCs w:val="21"/>
          <w:lang w:val="es-ES"/>
        </w:rPr>
        <w:t xml:space="preserve"> </w:t>
      </w:r>
      <w:r w:rsidRPr="004D62DC">
        <w:rPr>
          <w:rFonts w:ascii="Verdana" w:hAnsi="Verdana" w:cs="Verdana"/>
          <w:sz w:val="21"/>
          <w:szCs w:val="21"/>
          <w:lang w:val="es-ES"/>
        </w:rPr>
        <w:t>mecanismo</w:t>
      </w:r>
      <w:r w:rsidRPr="004D62DC">
        <w:rPr>
          <w:rFonts w:ascii="Verdana" w:hAnsi="Verdana" w:cs="Verdana"/>
          <w:spacing w:val="-6"/>
          <w:sz w:val="21"/>
          <w:szCs w:val="21"/>
          <w:lang w:val="es-ES"/>
        </w:rPr>
        <w:t xml:space="preserve"> </w:t>
      </w:r>
      <w:r w:rsidRPr="004D62DC">
        <w:rPr>
          <w:rFonts w:ascii="Verdana" w:hAnsi="Verdana" w:cs="Verdana"/>
          <w:sz w:val="21"/>
          <w:szCs w:val="21"/>
          <w:lang w:val="es-ES"/>
        </w:rPr>
        <w:t>establecido</w:t>
      </w:r>
      <w:r w:rsidRPr="004D62DC">
        <w:rPr>
          <w:rFonts w:ascii="Verdana" w:hAnsi="Verdana" w:cs="Verdana"/>
          <w:spacing w:val="-68"/>
          <w:sz w:val="21"/>
          <w:szCs w:val="21"/>
          <w:lang w:val="es-ES"/>
        </w:rPr>
        <w:t xml:space="preserve"> </w:t>
      </w:r>
      <w:r w:rsidRPr="004D62DC">
        <w:rPr>
          <w:rFonts w:ascii="Verdana" w:hAnsi="Verdana" w:cs="Verdana"/>
          <w:sz w:val="21"/>
          <w:szCs w:val="21"/>
          <w:lang w:val="es-ES"/>
        </w:rPr>
        <w:t>para</w:t>
      </w:r>
      <w:r w:rsidRPr="004D62DC">
        <w:rPr>
          <w:rFonts w:ascii="Verdana" w:hAnsi="Verdana" w:cs="Verdana"/>
          <w:spacing w:val="-2"/>
          <w:sz w:val="21"/>
          <w:szCs w:val="21"/>
          <w:lang w:val="es-ES"/>
        </w:rPr>
        <w:t xml:space="preserve"> </w:t>
      </w:r>
      <w:r w:rsidRPr="004D62DC">
        <w:rPr>
          <w:rFonts w:ascii="Verdana" w:hAnsi="Verdana" w:cs="Verdana"/>
          <w:sz w:val="21"/>
          <w:szCs w:val="21"/>
          <w:lang w:val="es-ES"/>
        </w:rPr>
        <w:t>el</w:t>
      </w:r>
      <w:r w:rsidRPr="004D62DC">
        <w:rPr>
          <w:rFonts w:ascii="Verdana" w:hAnsi="Verdana" w:cs="Verdana"/>
          <w:spacing w:val="-2"/>
          <w:sz w:val="21"/>
          <w:szCs w:val="21"/>
          <w:lang w:val="es-ES"/>
        </w:rPr>
        <w:t xml:space="preserve"> </w:t>
      </w:r>
      <w:r w:rsidRPr="004D62DC">
        <w:rPr>
          <w:rFonts w:ascii="Verdana" w:hAnsi="Verdana" w:cs="Verdana"/>
          <w:sz w:val="21"/>
          <w:szCs w:val="21"/>
          <w:lang w:val="es-ES"/>
        </w:rPr>
        <w:t>efecto</w:t>
      </w:r>
      <w:r w:rsidRPr="004D62DC">
        <w:rPr>
          <w:rFonts w:ascii="Verdana" w:hAnsi="Verdana" w:cs="Verdana"/>
          <w:spacing w:val="-2"/>
          <w:sz w:val="21"/>
          <w:szCs w:val="21"/>
          <w:lang w:val="es-ES"/>
        </w:rPr>
        <w:t xml:space="preserve"> </w:t>
      </w:r>
      <w:r w:rsidRPr="004D62DC">
        <w:rPr>
          <w:rFonts w:ascii="Verdana" w:hAnsi="Verdana" w:cs="Verdana"/>
          <w:sz w:val="21"/>
          <w:szCs w:val="21"/>
          <w:lang w:val="es-ES"/>
        </w:rPr>
        <w:t>en</w:t>
      </w:r>
      <w:r w:rsidRPr="004D62DC">
        <w:rPr>
          <w:rFonts w:ascii="Verdana" w:hAnsi="Verdana" w:cs="Verdana"/>
          <w:spacing w:val="-1"/>
          <w:sz w:val="21"/>
          <w:szCs w:val="21"/>
          <w:lang w:val="es-ES"/>
        </w:rPr>
        <w:t xml:space="preserve"> </w:t>
      </w:r>
      <w:r w:rsidRPr="004D62DC">
        <w:rPr>
          <w:rFonts w:ascii="Verdana" w:hAnsi="Verdana" w:cs="Verdana"/>
          <w:sz w:val="21"/>
          <w:szCs w:val="21"/>
          <w:lang w:val="es-ES"/>
        </w:rPr>
        <w:t>los</w:t>
      </w:r>
      <w:r w:rsidRPr="004D62DC">
        <w:rPr>
          <w:rFonts w:ascii="Verdana" w:hAnsi="Verdana" w:cs="Verdana"/>
          <w:spacing w:val="-2"/>
          <w:sz w:val="21"/>
          <w:szCs w:val="21"/>
          <w:lang w:val="es-ES"/>
        </w:rPr>
        <w:t xml:space="preserve"> </w:t>
      </w:r>
      <w:r w:rsidRPr="004D62DC">
        <w:rPr>
          <w:rFonts w:ascii="Verdana" w:hAnsi="Verdana" w:cs="Verdana"/>
          <w:sz w:val="21"/>
          <w:szCs w:val="21"/>
          <w:lang w:val="es-ES"/>
        </w:rPr>
        <w:t>pliegos</w:t>
      </w:r>
      <w:r w:rsidRPr="004D62DC">
        <w:rPr>
          <w:rFonts w:ascii="Verdana" w:hAnsi="Verdana" w:cs="Verdana"/>
          <w:spacing w:val="-2"/>
          <w:sz w:val="21"/>
          <w:szCs w:val="21"/>
          <w:lang w:val="es-ES"/>
        </w:rPr>
        <w:t xml:space="preserve"> </w:t>
      </w:r>
      <w:r w:rsidRPr="004D62DC">
        <w:rPr>
          <w:rFonts w:ascii="Verdana" w:hAnsi="Verdana" w:cs="Verdana"/>
          <w:sz w:val="21"/>
          <w:szCs w:val="21"/>
          <w:lang w:val="es-ES"/>
        </w:rPr>
        <w:t>de</w:t>
      </w:r>
      <w:r w:rsidRPr="004D62DC">
        <w:rPr>
          <w:rFonts w:ascii="Verdana" w:hAnsi="Verdana" w:cs="Verdana"/>
          <w:spacing w:val="-2"/>
          <w:sz w:val="21"/>
          <w:szCs w:val="21"/>
          <w:lang w:val="es-ES"/>
        </w:rPr>
        <w:t xml:space="preserve"> </w:t>
      </w:r>
      <w:r w:rsidRPr="004D62DC">
        <w:rPr>
          <w:rFonts w:ascii="Verdana" w:hAnsi="Verdana" w:cs="Verdana"/>
          <w:sz w:val="21"/>
          <w:szCs w:val="21"/>
          <w:lang w:val="es-ES"/>
        </w:rPr>
        <w:t>condiciones.</w:t>
      </w:r>
    </w:p>
    <w:p w14:paraId="313B668B" w14:textId="77777777" w:rsidR="00526AB5" w:rsidRPr="004D62DC" w:rsidRDefault="00526AB5" w:rsidP="00526AB5">
      <w:pPr>
        <w:widowControl w:val="0"/>
        <w:autoSpaceDE w:val="0"/>
        <w:autoSpaceDN w:val="0"/>
        <w:spacing w:after="0" w:line="240" w:lineRule="auto"/>
        <w:rPr>
          <w:rFonts w:ascii="Verdana" w:hAnsi="Verdana" w:cs="Verdana"/>
          <w:sz w:val="21"/>
          <w:szCs w:val="21"/>
          <w:lang w:val="es-ES"/>
        </w:rPr>
      </w:pPr>
    </w:p>
    <w:p w14:paraId="4ED9AF99" w14:textId="77777777" w:rsidR="00526AB5" w:rsidRPr="004D62DC" w:rsidRDefault="00526AB5" w:rsidP="00526AB5">
      <w:pPr>
        <w:widowControl w:val="0"/>
        <w:numPr>
          <w:ilvl w:val="1"/>
          <w:numId w:val="18"/>
        </w:numPr>
        <w:tabs>
          <w:tab w:val="left" w:pos="1333"/>
        </w:tabs>
        <w:autoSpaceDE w:val="0"/>
        <w:autoSpaceDN w:val="0"/>
        <w:spacing w:after="0" w:line="240" w:lineRule="auto"/>
        <w:ind w:right="1608" w:firstLine="0"/>
        <w:jc w:val="both"/>
        <w:rPr>
          <w:rFonts w:ascii="Verdana" w:hAnsi="Verdana" w:cs="Verdana"/>
          <w:sz w:val="21"/>
          <w:szCs w:val="21"/>
          <w:lang w:val="es-ES"/>
        </w:rPr>
      </w:pPr>
      <w:r w:rsidRPr="004D62DC">
        <w:rPr>
          <w:rFonts w:ascii="Verdana" w:hAnsi="Verdana" w:cs="Verdana"/>
          <w:sz w:val="21"/>
          <w:szCs w:val="21"/>
          <w:lang w:val="es-ES"/>
        </w:rPr>
        <w:t>Si la Entidad Estatal recibe más de diez (10) manifestaciones de</w:t>
      </w:r>
      <w:r w:rsidRPr="004D62DC">
        <w:rPr>
          <w:rFonts w:ascii="Verdana" w:hAnsi="Verdana" w:cs="Verdana"/>
          <w:spacing w:val="1"/>
          <w:sz w:val="21"/>
          <w:szCs w:val="21"/>
          <w:lang w:val="es-ES"/>
        </w:rPr>
        <w:t xml:space="preserve"> </w:t>
      </w:r>
      <w:r w:rsidRPr="004D62DC">
        <w:rPr>
          <w:rFonts w:ascii="Verdana" w:hAnsi="Verdana" w:cs="Verdana"/>
          <w:sz w:val="21"/>
          <w:szCs w:val="21"/>
          <w:lang w:val="es-ES"/>
        </w:rPr>
        <w:t>interés puede continuar el proceso o hacer un sorteo para seleccionar</w:t>
      </w:r>
      <w:r w:rsidRPr="004D62DC">
        <w:rPr>
          <w:rFonts w:ascii="Verdana" w:hAnsi="Verdana" w:cs="Verdana"/>
          <w:spacing w:val="1"/>
          <w:sz w:val="21"/>
          <w:szCs w:val="21"/>
          <w:lang w:val="es-ES"/>
        </w:rPr>
        <w:t xml:space="preserve"> </w:t>
      </w:r>
      <w:r w:rsidRPr="004D62DC">
        <w:rPr>
          <w:rFonts w:ascii="Verdana" w:hAnsi="Verdana" w:cs="Verdana"/>
          <w:sz w:val="21"/>
          <w:szCs w:val="21"/>
          <w:lang w:val="es-ES"/>
        </w:rPr>
        <w:t>máximo diez (10) interesados con quienes continuará el Proceso de</w:t>
      </w:r>
      <w:r w:rsidRPr="004D62DC">
        <w:rPr>
          <w:rFonts w:ascii="Verdana" w:hAnsi="Verdana" w:cs="Verdana"/>
          <w:spacing w:val="1"/>
          <w:sz w:val="21"/>
          <w:szCs w:val="21"/>
          <w:lang w:val="es-ES"/>
        </w:rPr>
        <w:t xml:space="preserve"> </w:t>
      </w:r>
      <w:r w:rsidRPr="004D62DC">
        <w:rPr>
          <w:rFonts w:ascii="Verdana" w:hAnsi="Verdana" w:cs="Verdana"/>
          <w:sz w:val="21"/>
          <w:szCs w:val="21"/>
          <w:lang w:val="es-ES"/>
        </w:rPr>
        <w:t>Contratación.</w:t>
      </w:r>
      <w:r w:rsidRPr="004D62DC">
        <w:rPr>
          <w:rFonts w:ascii="Verdana" w:hAnsi="Verdana" w:cs="Verdana"/>
          <w:spacing w:val="1"/>
          <w:sz w:val="21"/>
          <w:szCs w:val="21"/>
          <w:lang w:val="es-ES"/>
        </w:rPr>
        <w:t xml:space="preserve"> </w:t>
      </w:r>
      <w:r w:rsidRPr="004D62DC">
        <w:rPr>
          <w:rFonts w:ascii="Verdana" w:hAnsi="Verdana" w:cs="Verdana"/>
          <w:sz w:val="21"/>
          <w:szCs w:val="21"/>
          <w:lang w:val="es-ES"/>
        </w:rPr>
        <w:t>La</w:t>
      </w:r>
      <w:r w:rsidRPr="004D62DC">
        <w:rPr>
          <w:rFonts w:ascii="Verdana" w:hAnsi="Verdana" w:cs="Verdana"/>
          <w:spacing w:val="1"/>
          <w:sz w:val="21"/>
          <w:szCs w:val="21"/>
          <w:lang w:val="es-ES"/>
        </w:rPr>
        <w:t xml:space="preserve"> </w:t>
      </w:r>
      <w:r w:rsidRPr="004D62DC">
        <w:rPr>
          <w:rFonts w:ascii="Verdana" w:hAnsi="Verdana" w:cs="Verdana"/>
          <w:sz w:val="21"/>
          <w:szCs w:val="21"/>
          <w:lang w:val="es-ES"/>
        </w:rPr>
        <w:t>Entidad</w:t>
      </w:r>
      <w:r w:rsidRPr="004D62DC">
        <w:rPr>
          <w:rFonts w:ascii="Verdana" w:hAnsi="Verdana" w:cs="Verdana"/>
          <w:spacing w:val="1"/>
          <w:sz w:val="21"/>
          <w:szCs w:val="21"/>
          <w:lang w:val="es-ES"/>
        </w:rPr>
        <w:t xml:space="preserve"> </w:t>
      </w:r>
      <w:r w:rsidRPr="004D62DC">
        <w:rPr>
          <w:rFonts w:ascii="Verdana" w:hAnsi="Verdana" w:cs="Verdana"/>
          <w:sz w:val="21"/>
          <w:szCs w:val="21"/>
          <w:lang w:val="es-ES"/>
        </w:rPr>
        <w:t>Estatal</w:t>
      </w:r>
      <w:r w:rsidRPr="004D62DC">
        <w:rPr>
          <w:rFonts w:ascii="Verdana" w:hAnsi="Verdana" w:cs="Verdana"/>
          <w:spacing w:val="1"/>
          <w:sz w:val="21"/>
          <w:szCs w:val="21"/>
          <w:lang w:val="es-ES"/>
        </w:rPr>
        <w:t xml:space="preserve"> </w:t>
      </w:r>
      <w:r w:rsidRPr="004D62DC">
        <w:rPr>
          <w:rFonts w:ascii="Verdana" w:hAnsi="Verdana" w:cs="Verdana"/>
          <w:sz w:val="21"/>
          <w:szCs w:val="21"/>
          <w:lang w:val="es-ES"/>
        </w:rPr>
        <w:t>debe</w:t>
      </w:r>
      <w:r w:rsidRPr="004D62DC">
        <w:rPr>
          <w:rFonts w:ascii="Verdana" w:hAnsi="Verdana" w:cs="Verdana"/>
          <w:spacing w:val="1"/>
          <w:sz w:val="21"/>
          <w:szCs w:val="21"/>
          <w:lang w:val="es-ES"/>
        </w:rPr>
        <w:t xml:space="preserve"> </w:t>
      </w:r>
      <w:r w:rsidRPr="004D62DC">
        <w:rPr>
          <w:rFonts w:ascii="Verdana" w:hAnsi="Verdana" w:cs="Verdana"/>
          <w:sz w:val="21"/>
          <w:szCs w:val="21"/>
          <w:lang w:val="es-ES"/>
        </w:rPr>
        <w:t>establecer</w:t>
      </w:r>
      <w:r w:rsidRPr="004D62DC">
        <w:rPr>
          <w:rFonts w:ascii="Verdana" w:hAnsi="Verdana" w:cs="Verdana"/>
          <w:spacing w:val="1"/>
          <w:sz w:val="21"/>
          <w:szCs w:val="21"/>
          <w:lang w:val="es-ES"/>
        </w:rPr>
        <w:t xml:space="preserve"> </w:t>
      </w:r>
      <w:r w:rsidRPr="004D62DC">
        <w:rPr>
          <w:rFonts w:ascii="Verdana" w:hAnsi="Verdana" w:cs="Verdana"/>
          <w:sz w:val="21"/>
          <w:szCs w:val="21"/>
          <w:lang w:val="es-ES"/>
        </w:rPr>
        <w:t>en</w:t>
      </w:r>
      <w:r w:rsidRPr="004D62DC">
        <w:rPr>
          <w:rFonts w:ascii="Verdana" w:hAnsi="Verdana" w:cs="Verdana"/>
          <w:spacing w:val="1"/>
          <w:sz w:val="21"/>
          <w:szCs w:val="21"/>
          <w:lang w:val="es-ES"/>
        </w:rPr>
        <w:t xml:space="preserve"> </w:t>
      </w:r>
      <w:r w:rsidRPr="004D62DC">
        <w:rPr>
          <w:rFonts w:ascii="Verdana" w:hAnsi="Verdana" w:cs="Verdana"/>
          <w:sz w:val="21"/>
          <w:szCs w:val="21"/>
          <w:lang w:val="es-ES"/>
        </w:rPr>
        <w:t>los</w:t>
      </w:r>
      <w:r w:rsidRPr="004D62DC">
        <w:rPr>
          <w:rFonts w:ascii="Verdana" w:hAnsi="Verdana" w:cs="Verdana"/>
          <w:spacing w:val="1"/>
          <w:sz w:val="21"/>
          <w:szCs w:val="21"/>
          <w:lang w:val="es-ES"/>
        </w:rPr>
        <w:t xml:space="preserve"> </w:t>
      </w:r>
      <w:r w:rsidRPr="004D62DC">
        <w:rPr>
          <w:rFonts w:ascii="Verdana" w:hAnsi="Verdana" w:cs="Verdana"/>
          <w:sz w:val="21"/>
          <w:szCs w:val="21"/>
          <w:lang w:val="es-ES"/>
        </w:rPr>
        <w:t>pliegos</w:t>
      </w:r>
      <w:r w:rsidRPr="004D62DC">
        <w:rPr>
          <w:rFonts w:ascii="Verdana" w:hAnsi="Verdana" w:cs="Verdana"/>
          <w:spacing w:val="1"/>
          <w:sz w:val="21"/>
          <w:szCs w:val="21"/>
          <w:lang w:val="es-ES"/>
        </w:rPr>
        <w:t xml:space="preserve"> </w:t>
      </w:r>
      <w:r w:rsidRPr="004D62DC">
        <w:rPr>
          <w:rFonts w:ascii="Verdana" w:hAnsi="Verdana" w:cs="Verdana"/>
          <w:sz w:val="21"/>
          <w:szCs w:val="21"/>
          <w:lang w:val="es-ES"/>
        </w:rPr>
        <w:t>de</w:t>
      </w:r>
      <w:r w:rsidRPr="004D62DC">
        <w:rPr>
          <w:rFonts w:ascii="Verdana" w:hAnsi="Verdana" w:cs="Verdana"/>
          <w:spacing w:val="1"/>
          <w:sz w:val="21"/>
          <w:szCs w:val="21"/>
          <w:lang w:val="es-ES"/>
        </w:rPr>
        <w:t xml:space="preserve"> </w:t>
      </w:r>
      <w:r w:rsidRPr="004D62DC">
        <w:rPr>
          <w:rFonts w:ascii="Verdana" w:hAnsi="Verdana" w:cs="Verdana"/>
          <w:sz w:val="21"/>
          <w:szCs w:val="21"/>
          <w:lang w:val="es-ES"/>
        </w:rPr>
        <w:t>condiciones</w:t>
      </w:r>
      <w:r w:rsidRPr="004D62DC">
        <w:rPr>
          <w:rFonts w:ascii="Verdana" w:hAnsi="Verdana" w:cs="Verdana"/>
          <w:spacing w:val="-3"/>
          <w:sz w:val="21"/>
          <w:szCs w:val="21"/>
          <w:lang w:val="es-ES"/>
        </w:rPr>
        <w:t xml:space="preserve"> </w:t>
      </w:r>
      <w:r w:rsidRPr="004D62DC">
        <w:rPr>
          <w:rFonts w:ascii="Verdana" w:hAnsi="Verdana" w:cs="Verdana"/>
          <w:sz w:val="21"/>
          <w:szCs w:val="21"/>
          <w:lang w:val="es-ES"/>
        </w:rPr>
        <w:t>si</w:t>
      </w:r>
      <w:r w:rsidRPr="004D62DC">
        <w:rPr>
          <w:rFonts w:ascii="Verdana" w:hAnsi="Verdana" w:cs="Verdana"/>
          <w:spacing w:val="-3"/>
          <w:sz w:val="21"/>
          <w:szCs w:val="21"/>
          <w:lang w:val="es-ES"/>
        </w:rPr>
        <w:t xml:space="preserve"> </w:t>
      </w:r>
      <w:r w:rsidRPr="004D62DC">
        <w:rPr>
          <w:rFonts w:ascii="Verdana" w:hAnsi="Verdana" w:cs="Verdana"/>
          <w:sz w:val="21"/>
          <w:szCs w:val="21"/>
          <w:lang w:val="es-ES"/>
        </w:rPr>
        <w:t>hay</w:t>
      </w:r>
      <w:r w:rsidRPr="004D62DC">
        <w:rPr>
          <w:rFonts w:ascii="Verdana" w:hAnsi="Verdana" w:cs="Verdana"/>
          <w:spacing w:val="-2"/>
          <w:sz w:val="21"/>
          <w:szCs w:val="21"/>
          <w:lang w:val="es-ES"/>
        </w:rPr>
        <w:t xml:space="preserve"> </w:t>
      </w:r>
      <w:r w:rsidRPr="004D62DC">
        <w:rPr>
          <w:rFonts w:ascii="Verdana" w:hAnsi="Verdana" w:cs="Verdana"/>
          <w:sz w:val="21"/>
          <w:szCs w:val="21"/>
          <w:lang w:val="es-ES"/>
        </w:rPr>
        <w:t>lugar</w:t>
      </w:r>
      <w:r w:rsidRPr="004D62DC">
        <w:rPr>
          <w:rFonts w:ascii="Verdana" w:hAnsi="Verdana" w:cs="Verdana"/>
          <w:spacing w:val="-3"/>
          <w:sz w:val="21"/>
          <w:szCs w:val="21"/>
          <w:lang w:val="es-ES"/>
        </w:rPr>
        <w:t xml:space="preserve"> </w:t>
      </w:r>
      <w:r w:rsidRPr="004D62DC">
        <w:rPr>
          <w:rFonts w:ascii="Verdana" w:hAnsi="Verdana" w:cs="Verdana"/>
          <w:sz w:val="21"/>
          <w:szCs w:val="21"/>
          <w:lang w:val="es-ES"/>
        </w:rPr>
        <w:t>a</w:t>
      </w:r>
      <w:r w:rsidRPr="004D62DC">
        <w:rPr>
          <w:rFonts w:ascii="Verdana" w:hAnsi="Verdana" w:cs="Verdana"/>
          <w:spacing w:val="-2"/>
          <w:sz w:val="21"/>
          <w:szCs w:val="21"/>
          <w:lang w:val="es-ES"/>
        </w:rPr>
        <w:t xml:space="preserve"> </w:t>
      </w:r>
      <w:r w:rsidRPr="004D62DC">
        <w:rPr>
          <w:rFonts w:ascii="Verdana" w:hAnsi="Verdana" w:cs="Verdana"/>
          <w:sz w:val="21"/>
          <w:szCs w:val="21"/>
          <w:lang w:val="es-ES"/>
        </w:rPr>
        <w:t>sorteo</w:t>
      </w:r>
      <w:r w:rsidRPr="004D62DC">
        <w:rPr>
          <w:rFonts w:ascii="Verdana" w:hAnsi="Verdana" w:cs="Verdana"/>
          <w:spacing w:val="-3"/>
          <w:sz w:val="21"/>
          <w:szCs w:val="21"/>
          <w:lang w:val="es-ES"/>
        </w:rPr>
        <w:t xml:space="preserve"> </w:t>
      </w:r>
      <w:r w:rsidRPr="004D62DC">
        <w:rPr>
          <w:rFonts w:ascii="Verdana" w:hAnsi="Verdana" w:cs="Verdana"/>
          <w:sz w:val="21"/>
          <w:szCs w:val="21"/>
          <w:lang w:val="es-ES"/>
        </w:rPr>
        <w:t>y</w:t>
      </w:r>
      <w:r w:rsidRPr="004D62DC">
        <w:rPr>
          <w:rFonts w:ascii="Verdana" w:hAnsi="Verdana" w:cs="Verdana"/>
          <w:spacing w:val="-2"/>
          <w:sz w:val="21"/>
          <w:szCs w:val="21"/>
          <w:lang w:val="es-ES"/>
        </w:rPr>
        <w:t xml:space="preserve"> </w:t>
      </w:r>
      <w:r w:rsidRPr="004D62DC">
        <w:rPr>
          <w:rFonts w:ascii="Verdana" w:hAnsi="Verdana" w:cs="Verdana"/>
          <w:sz w:val="21"/>
          <w:szCs w:val="21"/>
          <w:lang w:val="es-ES"/>
        </w:rPr>
        <w:t>la</w:t>
      </w:r>
      <w:r w:rsidRPr="004D62DC">
        <w:rPr>
          <w:rFonts w:ascii="Verdana" w:hAnsi="Verdana" w:cs="Verdana"/>
          <w:spacing w:val="-3"/>
          <w:sz w:val="21"/>
          <w:szCs w:val="21"/>
          <w:lang w:val="es-ES"/>
        </w:rPr>
        <w:t xml:space="preserve"> </w:t>
      </w:r>
      <w:r w:rsidRPr="004D62DC">
        <w:rPr>
          <w:rFonts w:ascii="Verdana" w:hAnsi="Verdana" w:cs="Verdana"/>
          <w:sz w:val="21"/>
          <w:szCs w:val="21"/>
          <w:lang w:val="es-ES"/>
        </w:rPr>
        <w:t>forma</w:t>
      </w:r>
      <w:r w:rsidRPr="004D62DC">
        <w:rPr>
          <w:rFonts w:ascii="Verdana" w:hAnsi="Verdana" w:cs="Verdana"/>
          <w:spacing w:val="-2"/>
          <w:sz w:val="21"/>
          <w:szCs w:val="21"/>
          <w:lang w:val="es-ES"/>
        </w:rPr>
        <w:t xml:space="preserve"> </w:t>
      </w:r>
      <w:r w:rsidRPr="004D62DC">
        <w:rPr>
          <w:rFonts w:ascii="Verdana" w:hAnsi="Verdana" w:cs="Verdana"/>
          <w:sz w:val="21"/>
          <w:szCs w:val="21"/>
          <w:lang w:val="es-ES"/>
        </w:rPr>
        <w:t>en</w:t>
      </w:r>
      <w:r w:rsidRPr="004D62DC">
        <w:rPr>
          <w:rFonts w:ascii="Verdana" w:hAnsi="Verdana" w:cs="Verdana"/>
          <w:spacing w:val="-3"/>
          <w:sz w:val="21"/>
          <w:szCs w:val="21"/>
          <w:lang w:val="es-ES"/>
        </w:rPr>
        <w:t xml:space="preserve"> </w:t>
      </w:r>
      <w:r w:rsidRPr="004D62DC">
        <w:rPr>
          <w:rFonts w:ascii="Verdana" w:hAnsi="Verdana" w:cs="Verdana"/>
          <w:sz w:val="21"/>
          <w:szCs w:val="21"/>
          <w:lang w:val="es-ES"/>
        </w:rPr>
        <w:t>la</w:t>
      </w:r>
      <w:r w:rsidRPr="004D62DC">
        <w:rPr>
          <w:rFonts w:ascii="Verdana" w:hAnsi="Verdana" w:cs="Verdana"/>
          <w:spacing w:val="-2"/>
          <w:sz w:val="21"/>
          <w:szCs w:val="21"/>
          <w:lang w:val="es-ES"/>
        </w:rPr>
        <w:t xml:space="preserve"> </w:t>
      </w:r>
      <w:r w:rsidRPr="004D62DC">
        <w:rPr>
          <w:rFonts w:ascii="Verdana" w:hAnsi="Verdana" w:cs="Verdana"/>
          <w:sz w:val="21"/>
          <w:szCs w:val="21"/>
          <w:lang w:val="es-ES"/>
        </w:rPr>
        <w:t>cual</w:t>
      </w:r>
      <w:r w:rsidRPr="004D62DC">
        <w:rPr>
          <w:rFonts w:ascii="Verdana" w:hAnsi="Verdana" w:cs="Verdana"/>
          <w:spacing w:val="-3"/>
          <w:sz w:val="21"/>
          <w:szCs w:val="21"/>
          <w:lang w:val="es-ES"/>
        </w:rPr>
        <w:t xml:space="preserve"> </w:t>
      </w:r>
      <w:r w:rsidRPr="004D62DC">
        <w:rPr>
          <w:rFonts w:ascii="Verdana" w:hAnsi="Verdana" w:cs="Verdana"/>
          <w:sz w:val="21"/>
          <w:szCs w:val="21"/>
          <w:lang w:val="es-ES"/>
        </w:rPr>
        <w:t>lo</w:t>
      </w:r>
      <w:r w:rsidRPr="004D62DC">
        <w:rPr>
          <w:rFonts w:ascii="Verdana" w:hAnsi="Verdana" w:cs="Verdana"/>
          <w:spacing w:val="-2"/>
          <w:sz w:val="21"/>
          <w:szCs w:val="21"/>
          <w:lang w:val="es-ES"/>
        </w:rPr>
        <w:t xml:space="preserve"> </w:t>
      </w:r>
      <w:r w:rsidRPr="004D62DC">
        <w:rPr>
          <w:rFonts w:ascii="Verdana" w:hAnsi="Verdana" w:cs="Verdana"/>
          <w:sz w:val="21"/>
          <w:szCs w:val="21"/>
          <w:lang w:val="es-ES"/>
        </w:rPr>
        <w:t>hará.</w:t>
      </w:r>
    </w:p>
    <w:p w14:paraId="103256E7" w14:textId="77777777" w:rsidR="00526AB5" w:rsidRPr="004D62DC" w:rsidRDefault="00526AB5" w:rsidP="00526AB5">
      <w:pPr>
        <w:widowControl w:val="0"/>
        <w:autoSpaceDE w:val="0"/>
        <w:autoSpaceDN w:val="0"/>
        <w:spacing w:after="0" w:line="240" w:lineRule="auto"/>
        <w:rPr>
          <w:rFonts w:ascii="Verdana" w:hAnsi="Verdana" w:cs="Verdana"/>
          <w:sz w:val="21"/>
          <w:szCs w:val="21"/>
          <w:lang w:val="es-ES"/>
        </w:rPr>
      </w:pPr>
    </w:p>
    <w:p w14:paraId="763C98FB" w14:textId="77777777" w:rsidR="00526AB5" w:rsidRPr="00977131" w:rsidRDefault="00526AB5" w:rsidP="00526AB5">
      <w:pPr>
        <w:widowControl w:val="0"/>
        <w:numPr>
          <w:ilvl w:val="1"/>
          <w:numId w:val="18"/>
        </w:numPr>
        <w:tabs>
          <w:tab w:val="left" w:pos="1320"/>
        </w:tabs>
        <w:autoSpaceDE w:val="0"/>
        <w:autoSpaceDN w:val="0"/>
        <w:spacing w:before="1" w:after="0" w:line="240" w:lineRule="auto"/>
        <w:ind w:right="1610" w:firstLine="0"/>
        <w:jc w:val="both"/>
        <w:rPr>
          <w:rFonts w:ascii="Verdana" w:hAnsi="Verdana" w:cs="Verdana"/>
          <w:sz w:val="20"/>
          <w:lang w:val="es-ES"/>
        </w:rPr>
      </w:pPr>
      <w:r w:rsidRPr="004D62DC">
        <w:rPr>
          <w:rFonts w:ascii="Verdana" w:hAnsi="Verdana" w:cs="Verdana"/>
          <w:sz w:val="21"/>
          <w:szCs w:val="21"/>
          <w:lang w:val="es-ES"/>
        </w:rPr>
        <w:t xml:space="preserve">Si hay lugar a sorteo, el plazo para la presentación de </w:t>
      </w:r>
      <w:r w:rsidRPr="004D62DC">
        <w:rPr>
          <w:rFonts w:ascii="Verdana" w:hAnsi="Verdana" w:cs="Verdana"/>
          <w:sz w:val="21"/>
          <w:szCs w:val="21"/>
          <w:lang w:val="es-ES"/>
        </w:rPr>
        <w:lastRenderedPageBreak/>
        <w:t>las ofertas</w:t>
      </w:r>
      <w:r w:rsidRPr="004D62DC">
        <w:rPr>
          <w:rFonts w:ascii="Verdana" w:hAnsi="Verdana" w:cs="Verdana"/>
          <w:spacing w:val="1"/>
          <w:sz w:val="21"/>
          <w:szCs w:val="21"/>
          <w:lang w:val="es-ES"/>
        </w:rPr>
        <w:t xml:space="preserve"> </w:t>
      </w:r>
      <w:r w:rsidRPr="004D62DC">
        <w:rPr>
          <w:rFonts w:ascii="Verdana" w:hAnsi="Verdana" w:cs="Verdana"/>
          <w:sz w:val="21"/>
          <w:szCs w:val="21"/>
          <w:lang w:val="es-ES"/>
        </w:rPr>
        <w:t>empezará a correr el día hábil siguiente a la fecha en la cual la Entidad</w:t>
      </w:r>
      <w:r w:rsidRPr="004D62DC">
        <w:rPr>
          <w:rFonts w:ascii="Verdana" w:hAnsi="Verdana" w:cs="Verdana"/>
          <w:spacing w:val="1"/>
          <w:sz w:val="21"/>
          <w:szCs w:val="21"/>
          <w:lang w:val="es-ES"/>
        </w:rPr>
        <w:t xml:space="preserve"> </w:t>
      </w:r>
      <w:r w:rsidRPr="004D62DC">
        <w:rPr>
          <w:rFonts w:ascii="Verdana" w:hAnsi="Verdana" w:cs="Verdana"/>
          <w:spacing w:val="-1"/>
          <w:sz w:val="21"/>
          <w:szCs w:val="21"/>
          <w:lang w:val="es-ES"/>
        </w:rPr>
        <w:t>Estatal informe a los interesados el resultado del sorteo</w:t>
      </w:r>
      <w:r w:rsidRPr="004D62DC">
        <w:rPr>
          <w:rFonts w:ascii="Verdana" w:hAnsi="Verdana" w:cs="Verdana"/>
          <w:spacing w:val="-46"/>
          <w:sz w:val="21"/>
          <w:szCs w:val="21"/>
          <w:lang w:val="es-ES"/>
        </w:rPr>
        <w:t xml:space="preserve"> </w:t>
      </w:r>
      <w:r w:rsidRPr="004D62DC">
        <w:rPr>
          <w:rFonts w:ascii="Verdana" w:hAnsi="Verdana" w:cs="Verdana"/>
          <w:sz w:val="21"/>
          <w:szCs w:val="21"/>
          <w:lang w:val="es-ES"/>
        </w:rPr>
        <w:t>”.</w:t>
      </w:r>
    </w:p>
    <w:p w14:paraId="0DC5D6D0" w14:textId="77777777" w:rsidR="00526AB5" w:rsidRPr="00977131" w:rsidRDefault="00526AB5" w:rsidP="004D62DC">
      <w:pPr>
        <w:widowControl w:val="0"/>
        <w:autoSpaceDE w:val="0"/>
        <w:autoSpaceDN w:val="0"/>
        <w:spacing w:after="0" w:line="276" w:lineRule="auto"/>
        <w:rPr>
          <w:rFonts w:ascii="Verdana" w:hAnsi="Verdana" w:cs="Verdana"/>
          <w:sz w:val="23"/>
          <w:lang w:val="es-ES"/>
        </w:rPr>
      </w:pPr>
    </w:p>
    <w:p w14:paraId="79CEA653" w14:textId="77777777" w:rsidR="00526AB5" w:rsidRPr="008A3EE5" w:rsidRDefault="00526AB5" w:rsidP="004D62DC">
      <w:pPr>
        <w:pStyle w:val="NormalWeb"/>
        <w:spacing w:line="276" w:lineRule="auto"/>
        <w:ind w:firstLine="709"/>
        <w:jc w:val="both"/>
        <w:rPr>
          <w:rFonts w:ascii="Verdana" w:hAnsi="Verdana" w:cs="Verdana"/>
          <w:sz w:val="22"/>
          <w:szCs w:val="22"/>
          <w:lang w:val="es-ES"/>
        </w:rPr>
      </w:pPr>
      <w:r w:rsidRPr="00977131">
        <w:rPr>
          <w:rFonts w:ascii="Verdana" w:hAnsi="Verdana" w:cs="Verdana"/>
          <w:sz w:val="22"/>
          <w:szCs w:val="22"/>
          <w:lang w:val="es-ES"/>
        </w:rPr>
        <w:t>El numeral primero del artículo 2.2.1.2.1.2.20 del Decreto 1082 de 2015 dispone que el interesado debe manifestar su “intención” de participar en los procesos de selección abreviada de menor cuantía, por ello, la finalidad es que los interesados puedan participar, en el procedimiento de contratación, de manera que, es obligación de la Entidad Estatal regular en sus pliegos de condiciones el mecanismo que establecerán para tal efecto y las reglas de procedimiento que aplicaran para realizar el sorteo con el que seleccionaran a los interesados que podrán presentar oferta cuando se presenten más de 10</w:t>
      </w:r>
      <w:r w:rsidRPr="008A3EE5">
        <w:rPr>
          <w:rFonts w:ascii="Verdana" w:hAnsi="Verdana" w:cs="Verdana"/>
          <w:sz w:val="22"/>
          <w:szCs w:val="22"/>
          <w:lang w:val="es-ES"/>
        </w:rPr>
        <w:t xml:space="preserve"> “</w:t>
      </w:r>
      <w:r w:rsidRPr="00977131">
        <w:rPr>
          <w:rFonts w:ascii="Verdana" w:hAnsi="Verdana" w:cs="Verdana"/>
          <w:sz w:val="22"/>
          <w:szCs w:val="22"/>
          <w:lang w:val="es-ES"/>
        </w:rPr>
        <w:t>manifestaciones de interés</w:t>
      </w:r>
      <w:r w:rsidRPr="008A3EE5">
        <w:rPr>
          <w:rFonts w:ascii="Verdana" w:hAnsi="Verdana" w:cs="Verdana"/>
          <w:sz w:val="22"/>
          <w:szCs w:val="22"/>
          <w:lang w:val="es-ES"/>
        </w:rPr>
        <w:t>”</w:t>
      </w:r>
      <w:r w:rsidRPr="00977131">
        <w:rPr>
          <w:rFonts w:ascii="Verdana" w:hAnsi="Verdana" w:cs="Verdana"/>
          <w:sz w:val="22"/>
          <w:szCs w:val="22"/>
          <w:lang w:val="es-ES"/>
        </w:rPr>
        <w:t xml:space="preserve"> o si continuará el Proceso de Contratación sin realizar sorteo alguno, permitiendo en todo caso que las personas interesadas</w:t>
      </w:r>
      <w:r w:rsidRPr="008A3EE5">
        <w:rPr>
          <w:rFonts w:ascii="Verdana" w:hAnsi="Verdana" w:cs="Verdana"/>
          <w:sz w:val="22"/>
          <w:szCs w:val="22"/>
          <w:lang w:val="es-ES"/>
        </w:rPr>
        <w:t xml:space="preserve"> expresen a la Entidad Estatal su interés de presentarse al proceso de selección abreviada de menor cuantía en igualdad de condiciones.</w:t>
      </w:r>
    </w:p>
    <w:p w14:paraId="07CFCA46" w14:textId="77777777" w:rsidR="00526AB5" w:rsidRPr="00977131" w:rsidRDefault="00526AB5" w:rsidP="004D62DC">
      <w:pPr>
        <w:pStyle w:val="NormalWeb"/>
        <w:spacing w:line="276" w:lineRule="auto"/>
        <w:ind w:firstLine="709"/>
        <w:jc w:val="both"/>
        <w:rPr>
          <w:rFonts w:ascii="Verdana" w:hAnsi="Verdana" w:cs="Verdana"/>
          <w:sz w:val="22"/>
          <w:szCs w:val="22"/>
          <w:lang w:val="es-ES"/>
        </w:rPr>
      </w:pPr>
      <w:r w:rsidRPr="00977131">
        <w:rPr>
          <w:rFonts w:ascii="Verdana" w:hAnsi="Verdana" w:cs="Verdana"/>
          <w:sz w:val="22"/>
          <w:szCs w:val="22"/>
          <w:lang w:val="es-ES"/>
        </w:rPr>
        <w:t xml:space="preserve">La interpretación ajustada a los principios que orientan la contratación pública consiste en que un interesado presente una sola comunicación de intención de participar, por la razón de que el interés de vincularse al proceso es uno solo. Esta conclusión no se infiere únicamente de la redacción de la disposición analizada, que con claridad deja entrever que lo relevante es manifestar dicha intención como criterio para participar en el procedimiento de selección, sino que el fin consiste en darle a los interesados la posibilidad de participar en igualdad de condiciones, por lo que no debe permitirse que un mismo interesado presente varias </w:t>
      </w:r>
      <w:r>
        <w:rPr>
          <w:rFonts w:ascii="Verdana" w:hAnsi="Verdana" w:cs="Verdana"/>
          <w:sz w:val="22"/>
          <w:szCs w:val="22"/>
          <w:lang w:val="es-ES"/>
        </w:rPr>
        <w:t>“</w:t>
      </w:r>
      <w:r w:rsidRPr="00977131">
        <w:rPr>
          <w:rFonts w:ascii="Verdana" w:hAnsi="Verdana" w:cs="Verdana"/>
          <w:sz w:val="22"/>
          <w:szCs w:val="22"/>
          <w:lang w:val="es-ES"/>
        </w:rPr>
        <w:t>manifestaciones de interés</w:t>
      </w:r>
      <w:r>
        <w:rPr>
          <w:rFonts w:ascii="Verdana" w:hAnsi="Verdana" w:cs="Verdana"/>
          <w:sz w:val="22"/>
          <w:szCs w:val="22"/>
          <w:lang w:val="es-ES"/>
        </w:rPr>
        <w:t>”</w:t>
      </w:r>
      <w:r w:rsidRPr="00977131">
        <w:rPr>
          <w:rFonts w:ascii="Verdana" w:hAnsi="Verdana" w:cs="Verdana"/>
          <w:sz w:val="22"/>
          <w:szCs w:val="22"/>
          <w:lang w:val="es-ES"/>
        </w:rPr>
        <w:t>, pues ello iría en contra de los principios que orientan la contratación pública, lo que es particularmente relevante en los supuestos en que se realice el sorteo en relación con quienes manifestaron su interés en participar.</w:t>
      </w:r>
    </w:p>
    <w:p w14:paraId="498F8651" w14:textId="77777777" w:rsidR="00526AB5" w:rsidRPr="00977131" w:rsidRDefault="00526AB5" w:rsidP="004D62DC">
      <w:pPr>
        <w:pStyle w:val="NormalWeb"/>
        <w:spacing w:line="276" w:lineRule="auto"/>
        <w:ind w:firstLine="709"/>
        <w:jc w:val="both"/>
        <w:rPr>
          <w:rFonts w:ascii="Verdana" w:hAnsi="Verdana" w:cs="Verdana"/>
          <w:sz w:val="22"/>
          <w:szCs w:val="22"/>
          <w:lang w:val="es-ES"/>
        </w:rPr>
      </w:pPr>
      <w:r w:rsidRPr="00977131">
        <w:rPr>
          <w:rFonts w:ascii="Verdana" w:hAnsi="Verdana" w:cs="Verdana"/>
          <w:sz w:val="22"/>
          <w:szCs w:val="22"/>
          <w:lang w:val="es-ES"/>
        </w:rPr>
        <w:t xml:space="preserve">Ahora bien, con respecto a la presentación de la manifestación de interés durante los tres días hábiles contados a partir de la fecha de apertura del Proceso de Contratación de selección abreviada de menor cuantía, se señala que este es una regla o requisito especial de esta modalidad, es decir, este se convierte en un requisito habilitante para participar en el respectivo Proceso de Selección. En efecto, según lo dispuesto en el artículo 2.2.1.2.1.2.20 del Decreto 1082 de 2015, el procedimiento inicia con la apertura del proceso que haga la entidad, y los interesados en el procedimiento contractual deben presentar una </w:t>
      </w:r>
      <w:r>
        <w:rPr>
          <w:rFonts w:ascii="Verdana" w:hAnsi="Verdana" w:cs="Verdana"/>
          <w:sz w:val="22"/>
          <w:szCs w:val="22"/>
          <w:lang w:val="es-ES"/>
        </w:rPr>
        <w:lastRenderedPageBreak/>
        <w:t>“</w:t>
      </w:r>
      <w:r w:rsidRPr="00977131">
        <w:rPr>
          <w:rFonts w:ascii="Verdana" w:hAnsi="Verdana" w:cs="Verdana"/>
          <w:sz w:val="22"/>
          <w:szCs w:val="22"/>
          <w:lang w:val="es-ES"/>
        </w:rPr>
        <w:t>manifestación de interés</w:t>
      </w:r>
      <w:r>
        <w:rPr>
          <w:rFonts w:ascii="Verdana" w:hAnsi="Verdana" w:cs="Verdana"/>
          <w:sz w:val="22"/>
          <w:szCs w:val="22"/>
          <w:lang w:val="es-ES"/>
        </w:rPr>
        <w:t>”</w:t>
      </w:r>
      <w:r w:rsidRPr="00977131">
        <w:rPr>
          <w:rFonts w:ascii="Verdana" w:hAnsi="Verdana" w:cs="Verdana"/>
          <w:sz w:val="22"/>
          <w:szCs w:val="22"/>
          <w:lang w:val="es-ES"/>
        </w:rPr>
        <w:t xml:space="preserve"> para participar en el mismo, como requisito para poder continuar en el procedimiento de selección.</w:t>
      </w:r>
    </w:p>
    <w:p w14:paraId="2220B5AF" w14:textId="3C65D622" w:rsidR="00526AB5" w:rsidRPr="008A3EE5" w:rsidRDefault="00526AB5" w:rsidP="004D62DC">
      <w:pPr>
        <w:pStyle w:val="NormalWeb"/>
        <w:spacing w:line="276" w:lineRule="auto"/>
        <w:ind w:firstLine="709"/>
        <w:jc w:val="both"/>
        <w:rPr>
          <w:rFonts w:ascii="Verdana" w:hAnsi="Verdana" w:cs="Verdana"/>
          <w:sz w:val="22"/>
          <w:szCs w:val="22"/>
          <w:lang w:val="es-ES"/>
        </w:rPr>
      </w:pPr>
      <w:r w:rsidRPr="00977131">
        <w:rPr>
          <w:rFonts w:ascii="Verdana" w:hAnsi="Verdana" w:cs="Verdana"/>
          <w:sz w:val="22"/>
          <w:szCs w:val="22"/>
          <w:lang w:val="es-ES"/>
        </w:rPr>
        <w:t>Por otro lado, respecto al término de 3 días hábiles para presentar la manifestación de interés, previsto en el numeral primero del artículo 2.2.1.2.1.2.20 del Decreto 1082 de 2015, esta Agencia considera que dicho término está dirigido directamente a los interesados y no a las Entidades Estatales, de tal forma que, la norma directamente señala que los interesados podrán presentar la manifestación de interés durante ese término, sin que el mismo se refiera a una regla para elaborar el pliego de condiciones, por lo que las entidades no podrían limitarlo. En efecto, la mención que se hace al final del numeral citado respecto al pliego de condiciones está dirigido a que se establezca el mecanismo para realizar la solicitud, no frente al momento para presentar las</w:t>
      </w:r>
      <w:r w:rsidRPr="008A3EE5">
        <w:rPr>
          <w:rFonts w:ascii="Verdana" w:hAnsi="Verdana" w:cs="Verdana"/>
          <w:sz w:val="22"/>
          <w:szCs w:val="22"/>
          <w:lang w:val="es-ES"/>
        </w:rPr>
        <w:t xml:space="preserve"> manifestaciones de interés que, como se indicó, lo establece directamente la norma.</w:t>
      </w:r>
    </w:p>
    <w:bookmarkEnd w:id="1"/>
    <w:p w14:paraId="73DC8095" w14:textId="77777777" w:rsidR="00526AB5" w:rsidRPr="00D04F62" w:rsidRDefault="00526AB5" w:rsidP="00526AB5">
      <w:pPr>
        <w:shd w:val="clear" w:color="auto" w:fill="FFFFFF"/>
        <w:spacing w:after="120" w:line="276" w:lineRule="auto"/>
        <w:ind w:firstLine="709"/>
        <w:jc w:val="both"/>
        <w:textAlignment w:val="baseline"/>
        <w:rPr>
          <w:rFonts w:ascii="Verdana" w:hAnsi="Verdana" w:cs="Arial"/>
          <w:bCs/>
          <w:color w:val="000000"/>
          <w:lang w:val="es-ES"/>
        </w:rPr>
      </w:pPr>
      <w:r w:rsidRPr="00D04F62">
        <w:rPr>
          <w:rFonts w:ascii="Verdana" w:hAnsi="Verdana" w:cs="Arial"/>
          <w:bCs/>
          <w:color w:val="000000"/>
          <w:lang w:val="es-ES"/>
        </w:rPr>
        <w:t>Por su parte, el artículo 2.2.1.2.1.5.2 del Decreto 1082 de 2015 –modificado por el Decreto 1860 de 2021–, al reglamentar el procedimiento de esta modalidad de escogencia, establece, en el numeral 3, que “[l]a invitación se publicará por un término no inferior a un (1) día hábil, y en el numeral 4, que “se dispondrá un término adicional dentro del cual los proponentes podrán presentar sus ofertas, el cual será de mínimo un (1) día hábil luego de publicado el aviso en que se informe si el proceso se limita o no a MiPymes”.</w:t>
      </w:r>
    </w:p>
    <w:p w14:paraId="6D3DBF93" w14:textId="77777777" w:rsidR="00526AB5" w:rsidRPr="00D04F62" w:rsidRDefault="00526AB5" w:rsidP="00526AB5">
      <w:pPr>
        <w:shd w:val="clear" w:color="auto" w:fill="FFFFFF"/>
        <w:spacing w:after="120" w:line="276" w:lineRule="auto"/>
        <w:jc w:val="both"/>
        <w:textAlignment w:val="baseline"/>
        <w:rPr>
          <w:rFonts w:ascii="Verdana" w:hAnsi="Verdana" w:cs="Arial"/>
          <w:bCs/>
          <w:color w:val="000000"/>
          <w:lang w:val="es-ES"/>
        </w:rPr>
      </w:pPr>
      <w:r w:rsidRPr="00D04F62">
        <w:rPr>
          <w:rFonts w:ascii="Verdana" w:hAnsi="Verdana" w:cs="Arial"/>
          <w:bCs/>
          <w:color w:val="000000"/>
          <w:lang w:val="es-ES"/>
        </w:rPr>
        <w:tab/>
        <w:t xml:space="preserve">Como se observa, y a efectos de resolver su inquietud, la normativa legal y reglamentaria no contempla un término de inicio o habilitante a partir del cual los oferentes pueden presentar ofertas, sino que establece la fecha de cierre o término límite para la presentación de la oferta. De admitirse una interpretación extensiva, tales enunciados normativos podrían contemplar múltiples supuestos indeterminados, adquiriendo un cariz subjetivo, según el parecer o el sentido común de los operadores jurídicos, poniendo en riesgo principios como la igualdad, el debido proceso, la libre concurrencia y el ejercicio de la profesión u oficio, por lo que solo se permitirá una interpretación restrictiva, en la medida en que no se indica de manera concreta un </w:t>
      </w:r>
      <w:r w:rsidRPr="00D04F62">
        <w:rPr>
          <w:rFonts w:ascii="Verdana" w:hAnsi="Verdana" w:cs="Arial"/>
          <w:bCs/>
          <w:i/>
          <w:iCs/>
          <w:color w:val="000000"/>
          <w:lang w:val="es-ES"/>
        </w:rPr>
        <w:t>plazo de inicio de presentación de ofertas</w:t>
      </w:r>
      <w:r w:rsidRPr="00D04F62">
        <w:rPr>
          <w:rFonts w:ascii="Verdana" w:hAnsi="Verdana" w:cs="Arial"/>
          <w:bCs/>
          <w:color w:val="000000"/>
          <w:lang w:val="es-ES"/>
        </w:rPr>
        <w:t xml:space="preserve">. </w:t>
      </w:r>
    </w:p>
    <w:p w14:paraId="74EB5685" w14:textId="5DBC756E" w:rsidR="00526AB5" w:rsidRPr="00D04F62" w:rsidRDefault="00526AB5" w:rsidP="00526AB5">
      <w:pPr>
        <w:shd w:val="clear" w:color="auto" w:fill="FFFFFF"/>
        <w:spacing w:after="120" w:line="276" w:lineRule="auto"/>
        <w:ind w:firstLine="708"/>
        <w:jc w:val="both"/>
        <w:textAlignment w:val="baseline"/>
        <w:rPr>
          <w:rFonts w:ascii="Verdana" w:hAnsi="Verdana" w:cs="Arial"/>
          <w:bCs/>
          <w:color w:val="000000"/>
          <w:lang w:val="es-ES"/>
        </w:rPr>
      </w:pPr>
      <w:r w:rsidRPr="00D04F62">
        <w:rPr>
          <w:rFonts w:ascii="Verdana" w:hAnsi="Verdana" w:cs="Arial"/>
          <w:bCs/>
          <w:color w:val="000000"/>
          <w:lang w:val="es-ES"/>
        </w:rPr>
        <w:t xml:space="preserve">  </w:t>
      </w:r>
      <w:r w:rsidRPr="00D04F62">
        <w:rPr>
          <w:rFonts w:ascii="Verdana" w:hAnsi="Verdana" w:cs="Arial"/>
          <w:bCs/>
          <w:color w:val="000000"/>
          <w:lang w:val="es-MX"/>
        </w:rPr>
        <w:t xml:space="preserve">Ahora bien, reconociendo que no existe una acepción unívoca de día hábil, </w:t>
      </w:r>
      <w:r w:rsidRPr="00D04F62">
        <w:rPr>
          <w:rFonts w:ascii="Verdana" w:hAnsi="Verdana" w:cs="Arial"/>
          <w:bCs/>
          <w:color w:val="000000"/>
          <w:lang w:val="es-ES"/>
        </w:rPr>
        <w:t xml:space="preserve">los días hábiles se determinan según la entidad, ya que “cada entidad pública establece la jornada laboral, a través de su reglamento interno, dando certeza sobre los días que atienden al público, e indirectamente definiendo qué </w:t>
      </w:r>
      <w:r w:rsidRPr="00D04F62">
        <w:rPr>
          <w:rFonts w:ascii="Verdana" w:hAnsi="Verdana" w:cs="Arial"/>
          <w:bCs/>
          <w:color w:val="000000"/>
          <w:lang w:val="es-ES"/>
        </w:rPr>
        <w:lastRenderedPageBreak/>
        <w:t xml:space="preserve">día es hábil en determinada institución”, por lo que días hábiles son aquellos de la semana durante los cuales las entidades públicas ejercen sus funciones y prestan servicio al público, los cuales son, por regla general, todos los días de la semana, con excepción de los sábados, domingos y feriados previstos en la generalidad de entidades como días de descanso. Lo anterior sin perjuicio de que las entidades definan en sus reglamentos internos jornadas laborales distintas, que incluyan el sábado o el domingo, como “en los numerosos municipios del país donde la Administración labora los fines de semana ―sábados y domingos― normalmente para brindarle un buen servicio a la población campesina, que acostumbra ir al casco urbano en estos dos días y descansan un día de la semana ―usualmente el miércoles―”, ejemplo donde los días laborables o hábiles son todos los de la semana, con excepción del miércoles. </w:t>
      </w:r>
    </w:p>
    <w:p w14:paraId="036330B8" w14:textId="77777777" w:rsidR="00526AB5" w:rsidRPr="00D04F62" w:rsidRDefault="00526AB5" w:rsidP="00526AB5">
      <w:pPr>
        <w:shd w:val="clear" w:color="auto" w:fill="FFFFFF"/>
        <w:spacing w:after="120" w:line="276" w:lineRule="auto"/>
        <w:jc w:val="both"/>
        <w:textAlignment w:val="baseline"/>
        <w:rPr>
          <w:rFonts w:ascii="Verdana" w:hAnsi="Verdana" w:cs="Arial"/>
          <w:bCs/>
          <w:color w:val="000000"/>
          <w:lang w:val="es-ES"/>
        </w:rPr>
      </w:pPr>
      <w:r w:rsidRPr="00D04F62">
        <w:rPr>
          <w:rFonts w:ascii="Verdana" w:hAnsi="Verdana" w:cs="Arial"/>
          <w:bCs/>
          <w:color w:val="000000"/>
          <w:lang w:val="es-ES"/>
        </w:rPr>
        <w:tab/>
        <w:t xml:space="preserve">Esto implica, respecto del término para publicar la invitación y para la presentación de ofertas en procedimientos de mínima cuantía, así como para el cómputo de los demás términos en días hábiles propios de estos procesos de selección, que deberá transcurrir dentro de los días definidos por cada entidad estatal como laborables en su correspondiente reglamento o manual de funciones. </w:t>
      </w:r>
    </w:p>
    <w:p w14:paraId="0F50B4D3" w14:textId="77777777" w:rsidR="00526AB5" w:rsidRPr="00D04F62" w:rsidRDefault="00526AB5" w:rsidP="00526AB5">
      <w:pPr>
        <w:shd w:val="clear" w:color="auto" w:fill="FFFFFF"/>
        <w:spacing w:after="120" w:line="276" w:lineRule="auto"/>
        <w:jc w:val="both"/>
        <w:textAlignment w:val="baseline"/>
        <w:rPr>
          <w:rFonts w:ascii="Verdana" w:hAnsi="Verdana" w:cs="Arial"/>
          <w:bCs/>
          <w:color w:val="000000"/>
          <w:lang w:val="es-ES"/>
        </w:rPr>
      </w:pPr>
      <w:r w:rsidRPr="00D04F62">
        <w:rPr>
          <w:rFonts w:ascii="Verdana" w:hAnsi="Verdana" w:cs="Arial"/>
          <w:bCs/>
          <w:color w:val="000000"/>
          <w:lang w:val="es-ES"/>
        </w:rPr>
        <w:tab/>
        <w:t xml:space="preserve">Lo anterior supone varias posibilidades para fijar y realizar el cómputo de dichos términos, con especial importancia cuando se fijan por el mínimo legal de un día hábil, por lo que resultan posibles las siguientes interpretaciones: i) que el plazo está comprendido por un espacio de veinticuatro (24) horas consecutivas, cuyos extremos están ubicados dentro de las horas laborables de la entidad, de tal manera que una entidad con un horario de atención entre las 8:00 y 17:00 horas, podrá fijar un término para recibir ofertas entre las 15:00 horas de un día y las 15:00 horas del siguiente; ii) que el día hábil al que hace referencia la ley está comprendido por las horas durante las cuales la entidad atiende al público durante un día fijado como laborable, por lo que si se establece un horario de atención entre las 8:00 y las 17:00 horas, para cumplir el plazo mínimo la entidad debe publicar la invitación y recibir ofertas únicamente durante dicho lapso; o iii) que el término de un día hábil está constituido por las veinticuatro horas que conforman uno de los días laborables definidos por la entidad, empezando a las 00:00 horas y terminando a las 23:59 de dicho día. </w:t>
      </w:r>
    </w:p>
    <w:p w14:paraId="2635BC0D" w14:textId="55238FA5" w:rsidR="00526AB5" w:rsidRPr="00D04F62" w:rsidRDefault="00526AB5" w:rsidP="00526AB5">
      <w:pPr>
        <w:shd w:val="clear" w:color="auto" w:fill="FFFFFF"/>
        <w:spacing w:after="120" w:line="276" w:lineRule="auto"/>
        <w:jc w:val="both"/>
        <w:textAlignment w:val="baseline"/>
        <w:rPr>
          <w:rFonts w:ascii="Verdana" w:hAnsi="Verdana" w:cs="Arial"/>
          <w:bCs/>
          <w:color w:val="000000"/>
          <w:lang w:val="es-ES"/>
        </w:rPr>
      </w:pPr>
      <w:r w:rsidRPr="00D04F62">
        <w:rPr>
          <w:rFonts w:ascii="Verdana" w:hAnsi="Verdana" w:cs="Arial"/>
          <w:bCs/>
          <w:color w:val="000000"/>
          <w:lang w:val="es-ES"/>
        </w:rPr>
        <w:tab/>
        <w:t xml:space="preserve">La primera interpretación supone que se tomen horas de la jornada laboral de un día y se complementen con otras del día siguiente, para completar un total de veinticuatro. No obstante, esta forma de entender el plazo para presentar </w:t>
      </w:r>
      <w:r w:rsidRPr="00D04F62">
        <w:rPr>
          <w:rFonts w:ascii="Verdana" w:hAnsi="Verdana" w:cs="Arial"/>
          <w:bCs/>
          <w:color w:val="000000"/>
          <w:lang w:val="es-ES"/>
        </w:rPr>
        <w:lastRenderedPageBreak/>
        <w:t xml:space="preserve">ofertas no es coherente con lo establecido en la ley, que al establecer que el término deberá ser de mínimo un día hábil da a entender que la presentación de ofertas debe tener lugar durante un único día hábil determinado, y no durante veinticuatro horas fraccionadas en dos días. Por ello, </w:t>
      </w:r>
      <w:r w:rsidR="00114A60">
        <w:rPr>
          <w:rFonts w:ascii="Verdana" w:hAnsi="Verdana" w:cs="Arial"/>
          <w:bCs/>
          <w:color w:val="000000"/>
          <w:lang w:val="es-MX"/>
        </w:rPr>
        <w:t>esta</w:t>
      </w:r>
      <w:r>
        <w:rPr>
          <w:rFonts w:ascii="Verdana" w:hAnsi="Verdana" w:cs="Arial"/>
          <w:bCs/>
          <w:color w:val="000000"/>
          <w:lang w:val="es-MX"/>
        </w:rPr>
        <w:t xml:space="preserve"> </w:t>
      </w:r>
      <w:r w:rsidRPr="00D04F62">
        <w:rPr>
          <w:rFonts w:ascii="Verdana" w:hAnsi="Verdana" w:cs="Arial"/>
          <w:bCs/>
          <w:color w:val="000000"/>
          <w:lang w:val="es-MX"/>
        </w:rPr>
        <w:t xml:space="preserve">Agencia estima que las entidades, para cumplir el plazo mínimo de un día hábil, necesariamente deben fijar los extremos de este dentro un mismo día solar laborable.   </w:t>
      </w:r>
    </w:p>
    <w:p w14:paraId="767BF771" w14:textId="77777777" w:rsidR="00526AB5" w:rsidRPr="00D04F62" w:rsidRDefault="00526AB5" w:rsidP="00526AB5">
      <w:pPr>
        <w:shd w:val="clear" w:color="auto" w:fill="FFFFFF"/>
        <w:spacing w:after="120" w:line="276" w:lineRule="auto"/>
        <w:jc w:val="both"/>
        <w:textAlignment w:val="baseline"/>
        <w:rPr>
          <w:rFonts w:ascii="Verdana" w:hAnsi="Verdana" w:cs="Arial"/>
          <w:bCs/>
          <w:color w:val="000000"/>
          <w:lang w:val="es-ES"/>
        </w:rPr>
      </w:pPr>
      <w:r w:rsidRPr="00D04F62">
        <w:rPr>
          <w:rFonts w:ascii="Verdana" w:hAnsi="Verdana" w:cs="Arial"/>
          <w:bCs/>
          <w:color w:val="000000"/>
          <w:lang w:val="es-MX"/>
        </w:rPr>
        <w:tab/>
        <w:t xml:space="preserve">Conforme a lo anterior, la segunda interpretación resulta la más razonable, porque es la adecuada a las circunstancias prácticas propias de la presentación de ofertas, particularmente en el caso de las entidades que publican sus procesos de selección en la plataforma SECOP I, y recibiendo ofertas en medio físico, lo cual implica que durante la vigencia del término para la presentación de ofertas haya una persona disponible en las instalaciones de la entidad  para recibir las ofertas y haga la correspondiente radicación, lo cual solo resulta posible en las horas laborables.  </w:t>
      </w:r>
      <w:r w:rsidRPr="00D04F62">
        <w:rPr>
          <w:rFonts w:ascii="Verdana" w:hAnsi="Verdana" w:cs="Arial"/>
          <w:bCs/>
          <w:color w:val="000000"/>
          <w:lang w:val="es-ES"/>
        </w:rPr>
        <w:t>A esto se suma el hecho de que las entidades no suelen tener horarios de atención al público de veinticuatro horas diarias, comoquiera que solo están obligadas a garantizar la atención durante cuarenta horas semanales.</w:t>
      </w:r>
    </w:p>
    <w:p w14:paraId="0CD09726" w14:textId="77777777" w:rsidR="00526AB5" w:rsidRPr="00D04F62" w:rsidRDefault="00526AB5" w:rsidP="00526AB5">
      <w:pPr>
        <w:shd w:val="clear" w:color="auto" w:fill="FFFFFF"/>
        <w:spacing w:after="120" w:line="276" w:lineRule="auto"/>
        <w:jc w:val="both"/>
        <w:textAlignment w:val="baseline"/>
        <w:rPr>
          <w:rFonts w:ascii="Verdana" w:hAnsi="Verdana" w:cs="Arial"/>
          <w:bCs/>
          <w:color w:val="000000"/>
          <w:lang w:val="es-ES"/>
        </w:rPr>
      </w:pPr>
      <w:r w:rsidRPr="00D04F62">
        <w:rPr>
          <w:rFonts w:ascii="Verdana" w:hAnsi="Verdana" w:cs="Arial"/>
          <w:bCs/>
          <w:color w:val="000000"/>
          <w:lang w:val="es-ES"/>
        </w:rPr>
        <w:tab/>
        <w:t>Sin embargo, en los procesos de mínima cuantía adelantados a través de SECOP II, la Agencia Nacional de Contratación Pública – Colombia Compra Eficiente considera que, conforme a la tercera interpretación señalada, es necesario que las entidades extiendan el plazo para presentar  ofertas hasta las 23:59 horas del día previsto para ello, por existir una herramienta tecnológica para presentar y recibirlas, que permite que se prescinda de la presencia física del personal para la recibirlas y radicarlas por fuera de la jornada laboral.</w:t>
      </w:r>
    </w:p>
    <w:p w14:paraId="39435244" w14:textId="77777777" w:rsidR="00526AB5" w:rsidRPr="00D04F62" w:rsidRDefault="00526AB5" w:rsidP="00526AB5">
      <w:pPr>
        <w:shd w:val="clear" w:color="auto" w:fill="FFFFFF"/>
        <w:spacing w:after="120" w:line="276" w:lineRule="auto"/>
        <w:jc w:val="both"/>
        <w:textAlignment w:val="baseline"/>
        <w:rPr>
          <w:rFonts w:ascii="Verdana" w:hAnsi="Verdana" w:cs="Arial"/>
          <w:bCs/>
          <w:color w:val="000000"/>
          <w:lang w:val="es-ES"/>
        </w:rPr>
      </w:pPr>
      <w:r w:rsidRPr="00D04F62">
        <w:rPr>
          <w:rFonts w:ascii="Verdana" w:hAnsi="Verdana" w:cs="Arial"/>
          <w:bCs/>
          <w:color w:val="000000"/>
          <w:lang w:val="es-ES"/>
        </w:rPr>
        <w:tab/>
        <w:t xml:space="preserve">En ese sentido, el hecho de que el procedimiento de selección se lleve a cabo recibiendo ofertas en físico, publicándose la documentación contractual en SECOP I, o que se realice de manera electrónica a través de SECOP II, deviene en una regla interpretativa respecto de lo que debe entenderse por hábil en el marco de un proceso de selección de mínima cuantía. Conforme a esta regla, a las entidades que utilizan SECOP I, para cumplir con el término mínimo de un día hábil para recibir ofertas, les bastará con recibir ofertas por el lapso correspondiente a una jornada laboral diaria. </w:t>
      </w:r>
    </w:p>
    <w:p w14:paraId="66B7BCCA" w14:textId="77777777" w:rsidR="00526AB5" w:rsidRPr="00D04F62" w:rsidRDefault="00526AB5" w:rsidP="00526AB5">
      <w:pPr>
        <w:shd w:val="clear" w:color="auto" w:fill="FFFFFF"/>
        <w:spacing w:after="120" w:line="276" w:lineRule="auto"/>
        <w:jc w:val="both"/>
        <w:textAlignment w:val="baseline"/>
        <w:rPr>
          <w:rFonts w:ascii="Verdana" w:hAnsi="Verdana" w:cs="Arial"/>
          <w:bCs/>
          <w:color w:val="000000"/>
          <w:lang w:val="es-ES"/>
        </w:rPr>
      </w:pPr>
      <w:r w:rsidRPr="00D04F62">
        <w:rPr>
          <w:rFonts w:ascii="Verdana" w:hAnsi="Verdana" w:cs="Arial"/>
          <w:bCs/>
          <w:color w:val="000000"/>
          <w:lang w:val="es-ES"/>
        </w:rPr>
        <w:tab/>
        <w:t xml:space="preserve">De otro lado, en el caso de las entidades que realizan sus procedimientos de selección a través de SECOP II, deberán extender el termino para la presentación de ofertas durante las veinticuatro (24) horas que conforman un día solar laborable. La aplicación de esta regla permite conciliar la inexistencia de una definición unívoca de día hábil y de un método legal para el cómputo de </w:t>
      </w:r>
      <w:r w:rsidRPr="00D04F62">
        <w:rPr>
          <w:rFonts w:ascii="Verdana" w:hAnsi="Verdana" w:cs="Arial"/>
          <w:bCs/>
          <w:color w:val="000000"/>
          <w:lang w:val="es-ES"/>
        </w:rPr>
        <w:lastRenderedPageBreak/>
        <w:t>términos de un único día, con las implicaciones prácticas del ejercicio de la actividad precontractual, de tal forma que se da a cada situación la solución más adecuada a los medios con los que cuentan las respectivas entidades para llevar a cabo sus procesos de selección.</w:t>
      </w:r>
    </w:p>
    <w:p w14:paraId="31D2732A" w14:textId="77777777" w:rsidR="00526AB5" w:rsidRPr="00D04F62" w:rsidRDefault="00526AB5" w:rsidP="00526AB5">
      <w:pPr>
        <w:shd w:val="clear" w:color="auto" w:fill="FFFFFF"/>
        <w:spacing w:after="0" w:line="276" w:lineRule="auto"/>
        <w:jc w:val="both"/>
        <w:textAlignment w:val="baseline"/>
        <w:rPr>
          <w:rFonts w:ascii="Verdana" w:hAnsi="Verdana" w:cs="Arial"/>
          <w:bCs/>
          <w:color w:val="000000"/>
          <w:lang w:val="es-ES"/>
        </w:rPr>
      </w:pPr>
      <w:r w:rsidRPr="00D04F62">
        <w:rPr>
          <w:rFonts w:ascii="Verdana" w:hAnsi="Verdana" w:cs="Arial"/>
          <w:bCs/>
          <w:color w:val="000000"/>
          <w:lang w:val="es-ES"/>
        </w:rPr>
        <w:tab/>
        <w:t xml:space="preserve">Finalmente, de conformidad con los mandatos derivados del principio de transparencia, consagrado en el artículo 24 de la Ley 80 de 1993, y lo dispuesto en el artículo 2.2.1.1.2.1.3 del Decreto 1082 de 2015, en el pliego de condiciones deben definirse “las reglas aplicables a la presentación de las ofertas, su evaluación y a la adjudicación del contrato”, así como el cronograma del proceso de selección, lo cual también es aplicable a la invitación en los procesos de mínima cuantía. Esto implica que para dar aplicación a la anterior regla las entidades deberán establecer, en la respectiva invitación, el lapso durante el cual recibirán ofertas, definiendo expresamente la hora hasta la cual recibirán las ofertas, de tal manera que este pueda ser conocido con anticipación por los interesados en participar.    </w:t>
      </w:r>
    </w:p>
    <w:p w14:paraId="3BADA9D5" w14:textId="77777777" w:rsidR="00D2663C" w:rsidRPr="00D04F62" w:rsidRDefault="00D2663C" w:rsidP="00D2663C">
      <w:pPr>
        <w:shd w:val="clear" w:color="auto" w:fill="FFFFFF"/>
        <w:spacing w:after="0" w:line="276" w:lineRule="auto"/>
        <w:jc w:val="both"/>
        <w:textAlignment w:val="baseline"/>
        <w:rPr>
          <w:rFonts w:ascii="Verdana" w:hAnsi="Verdana" w:cs="Arial"/>
          <w:bCs/>
          <w:color w:val="000000"/>
          <w:lang w:val="es-ES"/>
        </w:rPr>
      </w:pPr>
    </w:p>
    <w:p w14:paraId="107DD438" w14:textId="77777777" w:rsidR="00526AB5" w:rsidRPr="00115E3D" w:rsidRDefault="00526AB5" w:rsidP="00526AB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Referencias normativas, jurisprudenciales y otras fuentes:</w:t>
      </w:r>
    </w:p>
    <w:p w14:paraId="464332BF" w14:textId="77777777" w:rsidR="00526AB5" w:rsidRPr="00115E3D" w:rsidRDefault="00526AB5" w:rsidP="00526AB5">
      <w:pPr>
        <w:widowControl w:val="0"/>
        <w:autoSpaceDE w:val="0"/>
        <w:autoSpaceDN w:val="0"/>
        <w:spacing w:after="0" w:line="276" w:lineRule="auto"/>
        <w:jc w:val="both"/>
        <w:rPr>
          <w:rFonts w:ascii="Verdana" w:hAnsi="Verdana" w:cs="Arial"/>
          <w:color w:val="000000" w:themeColor="text1"/>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526AB5" w:rsidRPr="00115E3D" w14:paraId="79E30F04" w14:textId="77777777" w:rsidTr="003F0C54">
        <w:trPr>
          <w:trHeight w:val="870"/>
        </w:trPr>
        <w:tc>
          <w:tcPr>
            <w:tcW w:w="8647" w:type="dxa"/>
          </w:tcPr>
          <w:p w14:paraId="1AFEB164" w14:textId="4F98C313" w:rsidR="00526AB5" w:rsidRPr="00977131" w:rsidRDefault="00526AB5" w:rsidP="004D62DC">
            <w:pPr>
              <w:pStyle w:val="Prrafodelista"/>
              <w:widowControl w:val="0"/>
              <w:numPr>
                <w:ilvl w:val="0"/>
                <w:numId w:val="20"/>
              </w:numPr>
              <w:autoSpaceDE w:val="0"/>
              <w:autoSpaceDN w:val="0"/>
              <w:spacing w:line="276" w:lineRule="auto"/>
              <w:jc w:val="both"/>
              <w:rPr>
                <w:rFonts w:ascii="Verdana" w:hAnsi="Verdana" w:cs="Arial"/>
                <w:color w:val="000000" w:themeColor="text1"/>
              </w:rPr>
            </w:pPr>
            <w:r w:rsidRPr="00977131">
              <w:rPr>
                <w:rFonts w:ascii="Verdana" w:hAnsi="Verdana" w:cs="Arial"/>
                <w:color w:val="000000" w:themeColor="text1"/>
              </w:rPr>
              <w:t>Ley 80 de 1993</w:t>
            </w:r>
            <w:r>
              <w:rPr>
                <w:rFonts w:ascii="Verdana" w:hAnsi="Verdana" w:cs="Arial"/>
                <w:color w:val="000000" w:themeColor="text1"/>
              </w:rPr>
              <w:t xml:space="preserve">:  artículo 24 </w:t>
            </w:r>
          </w:p>
          <w:p w14:paraId="37E8014D" w14:textId="32809B47" w:rsidR="00526AB5" w:rsidRPr="00977131" w:rsidRDefault="00526AB5" w:rsidP="004D62DC">
            <w:pPr>
              <w:pStyle w:val="Prrafodelista"/>
              <w:widowControl w:val="0"/>
              <w:numPr>
                <w:ilvl w:val="0"/>
                <w:numId w:val="20"/>
              </w:numPr>
              <w:autoSpaceDE w:val="0"/>
              <w:autoSpaceDN w:val="0"/>
              <w:spacing w:after="120" w:line="276" w:lineRule="auto"/>
              <w:jc w:val="both"/>
              <w:rPr>
                <w:rFonts w:ascii="Verdana" w:hAnsi="Verdana" w:cs="Arial"/>
                <w:color w:val="000000" w:themeColor="text1"/>
              </w:rPr>
            </w:pPr>
            <w:r w:rsidRPr="00977131">
              <w:rPr>
                <w:rFonts w:ascii="Verdana" w:hAnsi="Verdana" w:cs="Arial"/>
                <w:color w:val="000000" w:themeColor="text1"/>
              </w:rPr>
              <w:t>Ley 1150 de 2007</w:t>
            </w:r>
          </w:p>
          <w:p w14:paraId="76E2E7C9" w14:textId="2E7FCDF6" w:rsidR="00526AB5" w:rsidRPr="00115E3D" w:rsidRDefault="00526AB5" w:rsidP="004D62DC">
            <w:pPr>
              <w:pStyle w:val="Prrafodelista"/>
              <w:widowControl w:val="0"/>
              <w:numPr>
                <w:ilvl w:val="0"/>
                <w:numId w:val="20"/>
              </w:numPr>
              <w:autoSpaceDE w:val="0"/>
              <w:autoSpaceDN w:val="0"/>
              <w:spacing w:after="120" w:line="276" w:lineRule="auto"/>
              <w:jc w:val="both"/>
              <w:rPr>
                <w:rFonts w:ascii="Verdana" w:hAnsi="Verdana" w:cs="Arial"/>
                <w:color w:val="000000" w:themeColor="text1"/>
              </w:rPr>
            </w:pPr>
            <w:r w:rsidRPr="00466CC8">
              <w:rPr>
                <w:rFonts w:ascii="Verdana" w:hAnsi="Verdana" w:cs="Arial"/>
                <w:color w:val="000000" w:themeColor="text1"/>
              </w:rPr>
              <w:t xml:space="preserve">Decreto Único Reglamentario 1082 de 2015: </w:t>
            </w:r>
            <w:r w:rsidRPr="00466CC8">
              <w:rPr>
                <w:rFonts w:ascii="Verdana" w:hAnsi="Verdana" w:cs="Verdana"/>
              </w:rPr>
              <w:t>Artículos 2.2.1.1.2.2.1</w:t>
            </w:r>
            <w:r w:rsidR="00D2663C">
              <w:rPr>
                <w:rFonts w:ascii="Verdana" w:hAnsi="Verdana" w:cs="Verdana"/>
              </w:rPr>
              <w:t>.</w:t>
            </w:r>
            <w:r>
              <w:rPr>
                <w:rFonts w:ascii="Verdana" w:hAnsi="Verdana" w:cs="Verdana"/>
              </w:rPr>
              <w:t>,</w:t>
            </w:r>
            <w:r w:rsidRPr="00D2663C">
              <w:rPr>
                <w:rFonts w:ascii="Verdana" w:hAnsi="Verdana" w:cs="Verdana"/>
              </w:rPr>
              <w:t xml:space="preserve"> 2.2.1.1.2.</w:t>
            </w:r>
            <w:r w:rsidR="00D2663C" w:rsidRPr="00D2663C">
              <w:rPr>
                <w:rFonts w:ascii="Verdana" w:hAnsi="Verdana" w:cs="Verdana"/>
              </w:rPr>
              <w:t>1.3</w:t>
            </w:r>
            <w:r w:rsidRPr="004D62DC">
              <w:rPr>
                <w:rFonts w:ascii="Verdana" w:hAnsi="Verdana" w:cs="Arial"/>
                <w:bCs/>
                <w:color w:val="000000"/>
              </w:rPr>
              <w:t>,</w:t>
            </w:r>
            <w:r w:rsidRPr="004D62DC">
              <w:rPr>
                <w:rFonts w:ascii="Verdana" w:hAnsi="Verdana" w:cs="Verdana"/>
              </w:rPr>
              <w:t xml:space="preserve"> 2.2.1.1.2.</w:t>
            </w:r>
            <w:r w:rsidRPr="00466CC8">
              <w:rPr>
                <w:rFonts w:ascii="Verdana" w:hAnsi="Verdana" w:cs="Verdana"/>
              </w:rPr>
              <w:t>2.1</w:t>
            </w:r>
            <w:r>
              <w:rPr>
                <w:rFonts w:ascii="Verdana" w:hAnsi="Verdana" w:cs="Verdana"/>
              </w:rPr>
              <w:t xml:space="preserve">, </w:t>
            </w:r>
            <w:r w:rsidRPr="008A3EE5">
              <w:rPr>
                <w:rFonts w:ascii="Verdana" w:hAnsi="Verdana" w:cs="Verdana"/>
              </w:rPr>
              <w:t>2.2.1.1.1.7.1</w:t>
            </w:r>
            <w:r>
              <w:rPr>
                <w:rFonts w:ascii="Verdana" w:hAnsi="Verdana" w:cs="Verdana"/>
              </w:rPr>
              <w:t xml:space="preserve">, </w:t>
            </w:r>
            <w:r w:rsidRPr="00977131">
              <w:rPr>
                <w:rFonts w:ascii="Verdana" w:hAnsi="Verdana" w:cs="Verdana"/>
              </w:rPr>
              <w:t>2.2.1.2.1.2.20</w:t>
            </w:r>
          </w:p>
        </w:tc>
      </w:tr>
    </w:tbl>
    <w:p w14:paraId="16C3F62E" w14:textId="77777777" w:rsidR="00526AB5" w:rsidRPr="00115E3D" w:rsidRDefault="00526AB5" w:rsidP="00526AB5">
      <w:pPr>
        <w:widowControl w:val="0"/>
        <w:autoSpaceDE w:val="0"/>
        <w:autoSpaceDN w:val="0"/>
        <w:spacing w:after="0" w:line="276" w:lineRule="auto"/>
        <w:jc w:val="both"/>
        <w:rPr>
          <w:rFonts w:ascii="Verdana" w:hAnsi="Verdana" w:cs="Arial"/>
          <w:color w:val="000000" w:themeColor="text1"/>
        </w:rPr>
      </w:pPr>
    </w:p>
    <w:p w14:paraId="76C80193" w14:textId="77777777" w:rsidR="00526AB5" w:rsidRPr="00115E3D" w:rsidRDefault="00526AB5" w:rsidP="00526AB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Doctrina de la Agencia Nacional de Contratación Pública:</w:t>
      </w:r>
    </w:p>
    <w:p w14:paraId="71F14D73" w14:textId="77777777" w:rsidR="00526AB5" w:rsidRPr="00115E3D" w:rsidRDefault="00526AB5" w:rsidP="00526AB5">
      <w:pPr>
        <w:widowControl w:val="0"/>
        <w:autoSpaceDE w:val="0"/>
        <w:autoSpaceDN w:val="0"/>
        <w:spacing w:after="0" w:line="276" w:lineRule="auto"/>
        <w:jc w:val="both"/>
        <w:rPr>
          <w:rFonts w:ascii="Verdana" w:hAnsi="Verdana" w:cs="Arial"/>
          <w:color w:val="000000" w:themeColor="text1"/>
        </w:rPr>
      </w:pPr>
    </w:p>
    <w:p w14:paraId="51352817" w14:textId="2024C53C" w:rsidR="00526AB5" w:rsidRPr="00115E3D" w:rsidRDefault="00526AB5" w:rsidP="00526AB5">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r w:rsidRPr="009B3C66">
        <w:rPr>
          <w:rFonts w:ascii="Verdana" w:hAnsi="Verdana" w:cs="Arial"/>
          <w:color w:val="000000" w:themeColor="text1"/>
          <w:shd w:val="clear" w:color="auto" w:fill="FFFFFF"/>
          <w:lang w:val="es-ES"/>
        </w:rPr>
        <w:t xml:space="preserve">Sobre la manifestación de interés en los procesos de selección abreviada menor cuantía en el SECOP </w:t>
      </w:r>
      <w:r w:rsidR="00D2663C">
        <w:rPr>
          <w:rFonts w:ascii="Verdana" w:hAnsi="Verdana" w:cs="Arial"/>
          <w:color w:val="000000" w:themeColor="text1"/>
          <w:shd w:val="clear" w:color="auto" w:fill="FFFFFF"/>
          <w:lang w:val="es-ES"/>
        </w:rPr>
        <w:t>II</w:t>
      </w:r>
      <w:r w:rsidRPr="009B3C66">
        <w:rPr>
          <w:rFonts w:ascii="Verdana" w:hAnsi="Verdana" w:cs="Arial"/>
          <w:color w:val="000000" w:themeColor="text1"/>
          <w:shd w:val="clear" w:color="auto" w:fill="FFFFFF"/>
          <w:lang w:val="es-ES"/>
        </w:rPr>
        <w:t xml:space="preserve">, esta Subdirección se ha referido en los </w:t>
      </w:r>
      <w:r w:rsidR="00D2663C">
        <w:rPr>
          <w:rFonts w:ascii="Verdana" w:hAnsi="Verdana" w:cs="Arial"/>
          <w:color w:val="000000" w:themeColor="text1"/>
          <w:shd w:val="clear" w:color="auto" w:fill="FFFFFF"/>
          <w:lang w:val="es-ES"/>
        </w:rPr>
        <w:t>c</w:t>
      </w:r>
      <w:r w:rsidRPr="009B3C66">
        <w:rPr>
          <w:rFonts w:ascii="Verdana" w:hAnsi="Verdana" w:cs="Arial"/>
          <w:color w:val="000000" w:themeColor="text1"/>
          <w:shd w:val="clear" w:color="auto" w:fill="FFFFFF"/>
          <w:lang w:val="es-ES"/>
        </w:rPr>
        <w:t xml:space="preserve">onceptos </w:t>
      </w:r>
      <w:r w:rsidRPr="009B3C66">
        <w:rPr>
          <w:rFonts w:ascii="Verdana" w:hAnsi="Verdana" w:cs="Arial"/>
          <w:color w:val="000000" w:themeColor="text1"/>
          <w:shd w:val="clear" w:color="auto" w:fill="FFFFFF"/>
          <w:lang w:val="es-ES_tradnl"/>
        </w:rPr>
        <w:t xml:space="preserve">2201913000009634 de 2019, C-139 de 2020, C- 767 del 07 de enero de 2021, C-425 del 06 de julio de 2022, C-095 del 04 de mayo de 2024, </w:t>
      </w:r>
      <w:r w:rsidRPr="009B3C66">
        <w:rPr>
          <w:rFonts w:ascii="Verdana" w:hAnsi="Verdana" w:cs="Arial"/>
          <w:color w:val="000000" w:themeColor="text1"/>
          <w:shd w:val="clear" w:color="auto" w:fill="FFFFFF"/>
          <w:lang w:val="es-ES"/>
        </w:rPr>
        <w:t xml:space="preserve">entre otros.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history="1">
        <w:r w:rsidRPr="009B3C66">
          <w:rPr>
            <w:rStyle w:val="Hipervnculo"/>
            <w:rFonts w:ascii="Verdana" w:hAnsi="Verdana" w:cs="Arial"/>
            <w:shd w:val="clear" w:color="auto" w:fill="FFFFFF"/>
            <w:lang w:val="es-ES"/>
          </w:rPr>
          <w:t>https://relatoria.colombiacompra.gov.co/</w:t>
        </w:r>
      </w:hyperlink>
      <w:r w:rsidRPr="009B3C66">
        <w:rPr>
          <w:rFonts w:ascii="Verdana" w:hAnsi="Verdana" w:cs="Arial"/>
          <w:color w:val="000000" w:themeColor="text1"/>
          <w:shd w:val="clear" w:color="auto" w:fill="FFFFFF"/>
          <w:lang w:val="es-ES"/>
        </w:rPr>
        <w:t xml:space="preserve"> </w:t>
      </w:r>
    </w:p>
    <w:p w14:paraId="7F4FE92C" w14:textId="77777777" w:rsidR="00526AB5" w:rsidRPr="00115E3D" w:rsidRDefault="00526AB5" w:rsidP="00526AB5">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37B12FA0" w14:textId="77777777" w:rsidR="00526AB5" w:rsidRPr="00F22957" w:rsidRDefault="00526AB5" w:rsidP="00526AB5">
      <w:pPr>
        <w:widowControl w:val="0"/>
        <w:autoSpaceDE w:val="0"/>
        <w:autoSpaceDN w:val="0"/>
        <w:spacing w:after="0" w:line="276" w:lineRule="auto"/>
        <w:jc w:val="both"/>
        <w:rPr>
          <w:rFonts w:ascii="Verdana" w:hAnsi="Verdana" w:cs="Arial"/>
          <w:color w:val="000000" w:themeColor="text1"/>
        </w:rPr>
      </w:pPr>
      <w:r w:rsidRPr="00F22957">
        <w:rPr>
          <w:rFonts w:ascii="Verdana" w:hAnsi="Verdana" w:cs="Arial"/>
          <w:color w:val="000000" w:themeColor="text1"/>
        </w:rPr>
        <w:t xml:space="preserve">Le informamos que ya se encuentra disponible la actualización del Manual de Acuerdos Comerciales en Procesos de Contratación. Esta herramienta ofrece una </w:t>
      </w:r>
      <w:r w:rsidRPr="00F22957">
        <w:rPr>
          <w:rFonts w:ascii="Verdana" w:hAnsi="Verdana" w:cs="Arial"/>
          <w:color w:val="000000" w:themeColor="text1"/>
        </w:rPr>
        <w:lastRenderedPageBreak/>
        <w:t>orientación valiosa para que las entidades públicas determinen los acuerdos comerciales que deben incluir en sus procesos contractuales. Puede consultar la versión actualizada en el siguiente enlace: </w:t>
      </w:r>
      <w:hyperlink r:id="rId15" w:tgtFrame="_blank" w:tooltip="Dirección URL original: https://www.colombiacompra.gov.co/sites/cce_public/files/cce_documents/manual_para_el_manejo_de_acuerdos_comerciales_vf.pdf. Haga clic o pulse si confía en este vínculo." w:history="1">
        <w:r w:rsidRPr="00F22957">
          <w:rPr>
            <w:rStyle w:val="Hipervnculo"/>
            <w:rFonts w:ascii="Verdana" w:hAnsi="Verdana" w:cs="Arial"/>
          </w:rPr>
          <w:t>manual_para_el_manejo_de_acuerdos_comerciales_vf.pdf</w:t>
        </w:r>
      </w:hyperlink>
    </w:p>
    <w:p w14:paraId="46998942" w14:textId="77777777" w:rsidR="00735300" w:rsidRDefault="00735300" w:rsidP="00526AB5">
      <w:pPr>
        <w:widowControl w:val="0"/>
        <w:autoSpaceDE w:val="0"/>
        <w:autoSpaceDN w:val="0"/>
        <w:spacing w:after="0" w:line="276" w:lineRule="auto"/>
        <w:jc w:val="both"/>
        <w:rPr>
          <w:rFonts w:ascii="Verdana" w:hAnsi="Verdana" w:cs="Arial"/>
          <w:color w:val="000000" w:themeColor="text1"/>
        </w:rPr>
      </w:pPr>
    </w:p>
    <w:p w14:paraId="237CE3AB" w14:textId="0FEE5E04" w:rsidR="00526AB5" w:rsidRPr="00F22957" w:rsidRDefault="00526AB5" w:rsidP="00526AB5">
      <w:pPr>
        <w:widowControl w:val="0"/>
        <w:autoSpaceDE w:val="0"/>
        <w:autoSpaceDN w:val="0"/>
        <w:spacing w:after="0" w:line="276" w:lineRule="auto"/>
        <w:jc w:val="both"/>
        <w:rPr>
          <w:rFonts w:ascii="Verdana" w:hAnsi="Verdana" w:cs="Arial"/>
          <w:color w:val="000000" w:themeColor="text1"/>
        </w:rPr>
      </w:pPr>
      <w:r w:rsidRPr="00F22957">
        <w:rPr>
          <w:rFonts w:ascii="Verdana" w:hAnsi="Verdana" w:cs="Arial"/>
          <w:color w:val="000000" w:themeColor="text1"/>
        </w:rPr>
        <w:t>De otra parte, te contamos que ya publicamos el borrador de la nueva Guía para Incentivar la Participación de Mujeres en el Sistema de Compras y Contratación Pública. Conoce el documento y realiza tus comentarios hasta el 2 de diciembre de 2024</w:t>
      </w:r>
      <w:r w:rsidRPr="00F22957">
        <w:rPr>
          <w:rFonts w:ascii="Verdana" w:hAnsi="Verdana" w:cs="Arial"/>
          <w:b/>
          <w:bCs/>
          <w:color w:val="000000" w:themeColor="text1"/>
        </w:rPr>
        <w:t> </w:t>
      </w:r>
      <w:r w:rsidRPr="00F22957">
        <w:rPr>
          <w:rFonts w:ascii="Verdana" w:hAnsi="Verdana" w:cs="Arial"/>
          <w:color w:val="000000" w:themeColor="text1"/>
        </w:rPr>
        <w:t>a través de estos enlaces:</w:t>
      </w:r>
    </w:p>
    <w:p w14:paraId="0936E919" w14:textId="77777777" w:rsidR="00526AB5" w:rsidRPr="00F22957" w:rsidRDefault="00526AB5" w:rsidP="00526AB5">
      <w:pPr>
        <w:widowControl w:val="0"/>
        <w:numPr>
          <w:ilvl w:val="0"/>
          <w:numId w:val="19"/>
        </w:numPr>
        <w:autoSpaceDE w:val="0"/>
        <w:autoSpaceDN w:val="0"/>
        <w:spacing w:after="0" w:line="276" w:lineRule="auto"/>
        <w:jc w:val="both"/>
        <w:rPr>
          <w:rFonts w:ascii="Verdana" w:hAnsi="Verdana" w:cs="Arial"/>
          <w:color w:val="000000" w:themeColor="text1"/>
        </w:rPr>
      </w:pPr>
      <w:r w:rsidRPr="00F22957">
        <w:rPr>
          <w:rFonts w:ascii="Verdana" w:hAnsi="Verdana" w:cs="Arial"/>
          <w:color w:val="000000" w:themeColor="text1"/>
        </w:rPr>
        <w:t>Enlace página ANCP-CCE: </w:t>
      </w:r>
      <w:hyperlink r:id="rId16" w:tgtFrame="_blank" w:tooltip="Dirección URL original: https://www.colombiacompra.gov.co/content/convocatorias. Haga clic o pulse si confía en este vínculo." w:history="1">
        <w:r w:rsidRPr="00F22957">
          <w:rPr>
            <w:rStyle w:val="Hipervnculo"/>
            <w:rFonts w:ascii="Verdana" w:hAnsi="Verdana" w:cs="Arial"/>
          </w:rPr>
          <w:t>https://www.colombiacompra.gov.co/content/convocatorias</w:t>
        </w:r>
      </w:hyperlink>
    </w:p>
    <w:p w14:paraId="1A990C9F" w14:textId="77777777" w:rsidR="00526AB5" w:rsidRPr="00F22957" w:rsidRDefault="00526AB5" w:rsidP="00526AB5">
      <w:pPr>
        <w:widowControl w:val="0"/>
        <w:numPr>
          <w:ilvl w:val="0"/>
          <w:numId w:val="19"/>
        </w:numPr>
        <w:autoSpaceDE w:val="0"/>
        <w:autoSpaceDN w:val="0"/>
        <w:spacing w:after="0" w:line="276" w:lineRule="auto"/>
        <w:jc w:val="both"/>
        <w:rPr>
          <w:rFonts w:ascii="Verdana" w:hAnsi="Verdana" w:cs="Arial"/>
          <w:color w:val="000000" w:themeColor="text1"/>
          <w:lang w:val="en-US"/>
        </w:rPr>
      </w:pPr>
      <w:r w:rsidRPr="00F22957">
        <w:rPr>
          <w:rFonts w:ascii="Verdana" w:hAnsi="Verdana" w:cs="Arial"/>
          <w:color w:val="000000" w:themeColor="text1"/>
          <w:lang w:val="en-US"/>
        </w:rPr>
        <w:t>Enlace SUCOP:  </w:t>
      </w:r>
      <w:hyperlink r:id="rId17" w:tgtFrame="_blank" w:tooltip="Dirección URL original: https://www.sucop.gov.co/entidades/colombiacompra/Normativa?IDNorma=19201. Haga clic o pulse si confía en este vínculo." w:history="1">
        <w:r w:rsidRPr="00F22957">
          <w:rPr>
            <w:rStyle w:val="Hipervnculo"/>
            <w:rFonts w:ascii="Verdana" w:hAnsi="Verdana" w:cs="Arial"/>
            <w:lang w:val="en-US"/>
          </w:rPr>
          <w:t>https://www.sucop.gov.co/entidades/colombiacompra/Normativa?IDNorma=19201</w:t>
        </w:r>
      </w:hyperlink>
    </w:p>
    <w:p w14:paraId="7C85ED80" w14:textId="77777777" w:rsidR="00526AB5" w:rsidRPr="00F22957" w:rsidRDefault="00526AB5" w:rsidP="00526AB5">
      <w:pPr>
        <w:widowControl w:val="0"/>
        <w:autoSpaceDE w:val="0"/>
        <w:autoSpaceDN w:val="0"/>
        <w:spacing w:after="0" w:line="276" w:lineRule="auto"/>
        <w:jc w:val="both"/>
        <w:rPr>
          <w:rFonts w:ascii="Verdana" w:hAnsi="Verdana" w:cs="Arial"/>
          <w:color w:val="000000" w:themeColor="text1"/>
          <w:lang w:val="en-US"/>
        </w:rPr>
      </w:pPr>
      <w:r w:rsidRPr="00F22957">
        <w:rPr>
          <w:rFonts w:ascii="Verdana" w:hAnsi="Verdana" w:cs="Arial"/>
          <w:color w:val="000000" w:themeColor="text1"/>
          <w:lang w:val="en-US"/>
        </w:rPr>
        <w:t> </w:t>
      </w:r>
    </w:p>
    <w:p w14:paraId="38F53B1D" w14:textId="77777777" w:rsidR="00526AB5" w:rsidRPr="00F22957" w:rsidRDefault="00526AB5" w:rsidP="00526AB5">
      <w:pPr>
        <w:widowControl w:val="0"/>
        <w:autoSpaceDE w:val="0"/>
        <w:autoSpaceDN w:val="0"/>
        <w:spacing w:after="0" w:line="276" w:lineRule="auto"/>
        <w:jc w:val="both"/>
        <w:rPr>
          <w:rFonts w:ascii="Verdana" w:hAnsi="Verdana" w:cs="Arial"/>
          <w:color w:val="000000" w:themeColor="text1"/>
        </w:rPr>
      </w:pPr>
      <w:r w:rsidRPr="00F22957">
        <w:rPr>
          <w:rFonts w:ascii="Verdana" w:hAnsi="Verdana" w:cs="Arial"/>
          <w:color w:val="000000" w:themeColor="text1"/>
        </w:rPr>
        <w:t>También le invitamos a consultar la versión VII  de 2024 , del Boletín de Relatoría de la Subdirección de Gestión Contractual relacionado con las ASOCIACIONES PÚBLICO POPULARES , el cual se puede descargar en la página web de la Agencia: </w:t>
      </w:r>
      <w:hyperlink r:id="rId18" w:tgtFrame="_blank" w:tooltip="Dirección URL original: https://www.colombiacompra.gov.co/sala-de-prensa/boletin-digital. Haga clic o pulse si confía en este vínculo." w:history="1">
        <w:r w:rsidRPr="00F22957">
          <w:rPr>
            <w:rStyle w:val="Hipervnculo"/>
            <w:rFonts w:ascii="Verdana" w:hAnsi="Verdana" w:cs="Arial"/>
          </w:rPr>
          <w:t>https://www.colombiacompra.gov.co/sala-de-prensa/boletin-digital</w:t>
        </w:r>
      </w:hyperlink>
    </w:p>
    <w:p w14:paraId="32E9ABDE" w14:textId="77777777" w:rsidR="00526AB5" w:rsidRPr="00F22957" w:rsidRDefault="00526AB5" w:rsidP="00526AB5">
      <w:pPr>
        <w:widowControl w:val="0"/>
        <w:autoSpaceDE w:val="0"/>
        <w:autoSpaceDN w:val="0"/>
        <w:spacing w:after="0" w:line="276" w:lineRule="auto"/>
        <w:jc w:val="both"/>
        <w:rPr>
          <w:rFonts w:ascii="Verdana" w:hAnsi="Verdana" w:cs="Arial"/>
          <w:color w:val="000000" w:themeColor="text1"/>
        </w:rPr>
      </w:pPr>
    </w:p>
    <w:p w14:paraId="49731F71" w14:textId="77777777" w:rsidR="00526AB5" w:rsidRPr="00F22957" w:rsidRDefault="00526AB5" w:rsidP="00526AB5">
      <w:pPr>
        <w:widowControl w:val="0"/>
        <w:autoSpaceDE w:val="0"/>
        <w:autoSpaceDN w:val="0"/>
        <w:spacing w:after="0" w:line="276" w:lineRule="auto"/>
        <w:jc w:val="both"/>
        <w:rPr>
          <w:rFonts w:ascii="Verdana" w:hAnsi="Verdana" w:cs="Arial"/>
          <w:color w:val="000000" w:themeColor="text1"/>
        </w:rPr>
      </w:pPr>
      <w:r w:rsidRPr="00F22957">
        <w:rPr>
          <w:rFonts w:ascii="Verdana" w:hAnsi="Verdana" w:cs="Arial"/>
          <w:color w:val="000000" w:themeColor="text1"/>
        </w:rPr>
        <w:t>Por último, lo invitamos a seguirnos en las redes sociales en las cuales se difunde información institucional:  </w:t>
      </w:r>
    </w:p>
    <w:p w14:paraId="608A09F1" w14:textId="77777777" w:rsidR="00526AB5" w:rsidRPr="00F22957" w:rsidRDefault="00526AB5" w:rsidP="00526AB5">
      <w:pPr>
        <w:widowControl w:val="0"/>
        <w:autoSpaceDE w:val="0"/>
        <w:autoSpaceDN w:val="0"/>
        <w:spacing w:after="0" w:line="276" w:lineRule="auto"/>
        <w:jc w:val="both"/>
        <w:rPr>
          <w:rFonts w:ascii="Verdana" w:hAnsi="Verdana" w:cs="Arial"/>
          <w:color w:val="000000" w:themeColor="text1"/>
        </w:rPr>
      </w:pPr>
      <w:r w:rsidRPr="00F22957">
        <w:rPr>
          <w:rFonts w:ascii="Verdana" w:hAnsi="Verdana" w:cs="Arial"/>
          <w:color w:val="000000" w:themeColor="text1"/>
        </w:rPr>
        <w:t> </w:t>
      </w:r>
    </w:p>
    <w:p w14:paraId="2AAC3EDD" w14:textId="77777777" w:rsidR="00526AB5" w:rsidRPr="00F22957" w:rsidRDefault="00526AB5" w:rsidP="00526AB5">
      <w:pPr>
        <w:widowControl w:val="0"/>
        <w:autoSpaceDE w:val="0"/>
        <w:autoSpaceDN w:val="0"/>
        <w:spacing w:after="0" w:line="276" w:lineRule="auto"/>
        <w:jc w:val="both"/>
        <w:rPr>
          <w:rFonts w:ascii="Verdana" w:hAnsi="Verdana" w:cs="Arial"/>
          <w:color w:val="000000" w:themeColor="text1"/>
        </w:rPr>
      </w:pPr>
      <w:r w:rsidRPr="00F22957">
        <w:rPr>
          <w:rFonts w:ascii="Verdana" w:hAnsi="Verdana" w:cs="Arial"/>
          <w:color w:val="000000" w:themeColor="text1"/>
        </w:rPr>
        <w:t xml:space="preserve">Twitter: </w:t>
      </w:r>
      <w:r w:rsidRPr="00F22957">
        <w:rPr>
          <w:rFonts w:ascii="Verdana" w:hAnsi="Verdana" w:cs="Arial"/>
          <w:color w:val="000000" w:themeColor="text1"/>
          <w:u w:val="single"/>
        </w:rPr>
        <w:t>@colombiacompra</w:t>
      </w:r>
      <w:r w:rsidRPr="00F22957">
        <w:rPr>
          <w:rFonts w:ascii="Verdana" w:hAnsi="Verdana" w:cs="Arial"/>
          <w:color w:val="000000" w:themeColor="text1"/>
        </w:rPr>
        <w:t>  </w:t>
      </w:r>
    </w:p>
    <w:p w14:paraId="2CF475BC" w14:textId="77777777" w:rsidR="00526AB5" w:rsidRPr="00F22957" w:rsidRDefault="00526AB5" w:rsidP="00526AB5">
      <w:pPr>
        <w:widowControl w:val="0"/>
        <w:autoSpaceDE w:val="0"/>
        <w:autoSpaceDN w:val="0"/>
        <w:spacing w:after="0" w:line="276" w:lineRule="auto"/>
        <w:jc w:val="both"/>
        <w:rPr>
          <w:rFonts w:ascii="Verdana" w:hAnsi="Verdana" w:cs="Arial"/>
          <w:color w:val="000000" w:themeColor="text1"/>
        </w:rPr>
      </w:pPr>
      <w:r w:rsidRPr="00F22957">
        <w:rPr>
          <w:rFonts w:ascii="Verdana" w:hAnsi="Verdana" w:cs="Arial"/>
          <w:color w:val="000000" w:themeColor="text1"/>
        </w:rPr>
        <w:t xml:space="preserve">Facebook: </w:t>
      </w:r>
      <w:r w:rsidRPr="00F22957">
        <w:rPr>
          <w:rFonts w:ascii="Verdana" w:hAnsi="Verdana" w:cs="Arial"/>
          <w:color w:val="000000" w:themeColor="text1"/>
          <w:u w:val="single"/>
        </w:rPr>
        <w:t>ColombiaCompraEficiente</w:t>
      </w:r>
      <w:r w:rsidRPr="00F22957">
        <w:rPr>
          <w:rFonts w:ascii="Verdana" w:hAnsi="Verdana" w:cs="Arial"/>
          <w:color w:val="000000" w:themeColor="text1"/>
        </w:rPr>
        <w:t> </w:t>
      </w:r>
    </w:p>
    <w:p w14:paraId="395571C8" w14:textId="77777777" w:rsidR="00526AB5" w:rsidRPr="00F22957" w:rsidRDefault="00526AB5" w:rsidP="00526AB5">
      <w:pPr>
        <w:widowControl w:val="0"/>
        <w:autoSpaceDE w:val="0"/>
        <w:autoSpaceDN w:val="0"/>
        <w:spacing w:after="0" w:line="276" w:lineRule="auto"/>
        <w:jc w:val="both"/>
        <w:rPr>
          <w:rFonts w:ascii="Verdana" w:hAnsi="Verdana" w:cs="Arial"/>
          <w:color w:val="000000" w:themeColor="text1"/>
        </w:rPr>
      </w:pPr>
      <w:r w:rsidRPr="00F22957">
        <w:rPr>
          <w:rFonts w:ascii="Verdana" w:hAnsi="Verdana" w:cs="Arial"/>
          <w:color w:val="000000" w:themeColor="text1"/>
        </w:rPr>
        <w:t xml:space="preserve">LinkedIn: </w:t>
      </w:r>
      <w:r w:rsidRPr="00F22957">
        <w:rPr>
          <w:rFonts w:ascii="Verdana" w:hAnsi="Verdana" w:cs="Arial"/>
          <w:color w:val="000000" w:themeColor="text1"/>
          <w:u w:val="single"/>
        </w:rPr>
        <w:t>Agencia Nacional de Contratación Pública - Colombia Compra Eficiente</w:t>
      </w:r>
      <w:r w:rsidRPr="00F22957">
        <w:rPr>
          <w:rFonts w:ascii="Verdana" w:hAnsi="Verdana" w:cs="Arial"/>
          <w:color w:val="000000" w:themeColor="text1"/>
        </w:rPr>
        <w:t xml:space="preserve"> Instagram: </w:t>
      </w:r>
      <w:r w:rsidRPr="00F22957">
        <w:rPr>
          <w:rFonts w:ascii="Verdana" w:hAnsi="Verdana" w:cs="Arial"/>
          <w:color w:val="000000" w:themeColor="text1"/>
          <w:u w:val="single"/>
        </w:rPr>
        <w:t>@colombiacompraeficiente_cce</w:t>
      </w:r>
      <w:r w:rsidRPr="00F22957">
        <w:rPr>
          <w:rFonts w:ascii="Verdana" w:hAnsi="Verdana" w:cs="Arial"/>
          <w:color w:val="000000" w:themeColor="text1"/>
        </w:rPr>
        <w:t> </w:t>
      </w:r>
    </w:p>
    <w:p w14:paraId="1DFAE03F" w14:textId="77777777" w:rsidR="00526AB5" w:rsidRPr="00F22957" w:rsidRDefault="00526AB5" w:rsidP="00526AB5">
      <w:pPr>
        <w:widowControl w:val="0"/>
        <w:autoSpaceDE w:val="0"/>
        <w:autoSpaceDN w:val="0"/>
        <w:spacing w:after="0" w:line="276" w:lineRule="auto"/>
        <w:jc w:val="both"/>
        <w:rPr>
          <w:rFonts w:ascii="Verdana" w:hAnsi="Verdana" w:cs="Arial"/>
          <w:color w:val="000000" w:themeColor="text1"/>
        </w:rPr>
      </w:pPr>
    </w:p>
    <w:p w14:paraId="3C799B84" w14:textId="77777777" w:rsidR="00526AB5" w:rsidRPr="00F22957" w:rsidRDefault="00526AB5" w:rsidP="00526AB5">
      <w:pPr>
        <w:widowControl w:val="0"/>
        <w:autoSpaceDE w:val="0"/>
        <w:autoSpaceDN w:val="0"/>
        <w:spacing w:after="0" w:line="276" w:lineRule="auto"/>
        <w:jc w:val="both"/>
        <w:rPr>
          <w:rFonts w:ascii="Verdana" w:hAnsi="Verdana" w:cs="Arial"/>
          <w:color w:val="000000" w:themeColor="text1"/>
          <w:lang w:val="es-ES_tradnl"/>
        </w:rPr>
      </w:pPr>
      <w:r w:rsidRPr="00F22957">
        <w:rPr>
          <w:rFonts w:ascii="Verdana" w:hAnsi="Verdana" w:cs="Arial"/>
          <w:color w:val="000000" w:themeColor="text1"/>
        </w:rPr>
        <w:t xml:space="preserve">Este concepto tiene el alcance previsto en el artículo 28 del Código de Procedimiento Administrativo y de lo Contencioso Administrativo </w:t>
      </w:r>
      <w:r w:rsidRPr="00F22957">
        <w:rPr>
          <w:rFonts w:ascii="Verdana" w:hAnsi="Verdana" w:cs="Arial"/>
          <w:color w:val="000000" w:themeColor="text1"/>
          <w:lang w:val="es-ES_tradnl"/>
        </w:rPr>
        <w:t>y las expresiones aquí utilizadas con mayúscula inicial deben ser entendidas con el significado que les otorga el artículo 2.2.1.1.1.3.1. del Decreto 1082 de 2015.</w:t>
      </w:r>
    </w:p>
    <w:p w14:paraId="204FED7F" w14:textId="77777777" w:rsidR="00526AB5" w:rsidRPr="00F22957" w:rsidRDefault="00526AB5" w:rsidP="00526AB5">
      <w:pPr>
        <w:widowControl w:val="0"/>
        <w:autoSpaceDE w:val="0"/>
        <w:autoSpaceDN w:val="0"/>
        <w:spacing w:after="0" w:line="276" w:lineRule="auto"/>
        <w:jc w:val="both"/>
        <w:rPr>
          <w:rFonts w:ascii="Verdana" w:hAnsi="Verdana" w:cs="Arial"/>
          <w:color w:val="000000" w:themeColor="text1"/>
          <w:lang w:val="es-ES_tradnl"/>
        </w:rPr>
      </w:pPr>
    </w:p>
    <w:p w14:paraId="3556F31C" w14:textId="77777777" w:rsidR="00526AB5" w:rsidRPr="00115E3D" w:rsidRDefault="00526AB5" w:rsidP="00526AB5">
      <w:pPr>
        <w:spacing w:after="0" w:line="240" w:lineRule="auto"/>
        <w:rPr>
          <w:rFonts w:ascii="Verdana" w:hAnsi="Verdana" w:cs="Arial"/>
          <w:color w:val="000000" w:themeColor="text1"/>
          <w:lang w:eastAsia="es-CO"/>
        </w:rPr>
      </w:pPr>
      <w:r w:rsidRPr="00115E3D">
        <w:rPr>
          <w:rFonts w:ascii="Verdana" w:hAnsi="Verdana" w:cs="Arial"/>
          <w:color w:val="000000" w:themeColor="text1"/>
          <w:lang w:eastAsia="es-CO"/>
        </w:rPr>
        <w:t xml:space="preserve">Atentamente, </w:t>
      </w:r>
    </w:p>
    <w:p w14:paraId="63B94812" w14:textId="332D50F8" w:rsidR="00526AB5" w:rsidRPr="00115E3D" w:rsidRDefault="00C34DB0" w:rsidP="00526AB5">
      <w:pPr>
        <w:spacing w:line="276" w:lineRule="auto"/>
        <w:jc w:val="center"/>
        <w:rPr>
          <w:rFonts w:ascii="Verdana" w:hAnsi="Verdana" w:cs="Arial"/>
          <w:color w:val="000000" w:themeColor="text1"/>
          <w:lang w:val="es-ES_tradnl" w:eastAsia="es-CO"/>
        </w:rPr>
      </w:pPr>
      <w:r>
        <w:rPr>
          <w:noProof/>
        </w:rPr>
        <w:lastRenderedPageBreak/>
        <w:drawing>
          <wp:inline distT="0" distB="0" distL="0" distR="0" wp14:anchorId="6C8801CC" wp14:editId="38B9E8CB">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9"/>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526AB5" w:rsidRPr="00115E3D" w14:paraId="7D2C7545" w14:textId="77777777" w:rsidTr="003F0C54">
        <w:trPr>
          <w:trHeight w:val="315"/>
        </w:trPr>
        <w:tc>
          <w:tcPr>
            <w:tcW w:w="893" w:type="dxa"/>
            <w:vAlign w:val="center"/>
            <w:hideMark/>
          </w:tcPr>
          <w:p w14:paraId="560EBEA4" w14:textId="77777777" w:rsidR="00526AB5" w:rsidRPr="00115E3D" w:rsidRDefault="00526AB5" w:rsidP="003F0C54">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EB48D32" w14:textId="77777777" w:rsidR="00526AB5" w:rsidRPr="00B23D30" w:rsidRDefault="00526AB5" w:rsidP="003F0C54">
            <w:pPr>
              <w:contextualSpacing/>
              <w:rPr>
                <w:rFonts w:ascii="Verdana" w:eastAsia="Arial" w:hAnsi="Verdana" w:cs="Arial"/>
                <w:color w:val="000000" w:themeColor="text1"/>
                <w:sz w:val="16"/>
                <w:szCs w:val="16"/>
              </w:rPr>
            </w:pPr>
            <w:r w:rsidRPr="00B23D30">
              <w:rPr>
                <w:rFonts w:ascii="Verdana" w:eastAsia="Arial" w:hAnsi="Verdana" w:cs="Arial"/>
                <w:color w:val="000000" w:themeColor="text1"/>
                <w:sz w:val="16"/>
                <w:szCs w:val="16"/>
              </w:rPr>
              <w:t xml:space="preserve">Diego Jesús Ortega Cruz </w:t>
            </w:r>
          </w:p>
          <w:p w14:paraId="3F99750E" w14:textId="77777777" w:rsidR="00526AB5" w:rsidRPr="00B23D30" w:rsidRDefault="00526AB5" w:rsidP="003F0C54">
            <w:pPr>
              <w:contextualSpacing/>
              <w:rPr>
                <w:rFonts w:ascii="Verdana" w:eastAsia="Arial" w:hAnsi="Verdana" w:cs="Arial"/>
                <w:color w:val="000000" w:themeColor="text1"/>
                <w:sz w:val="16"/>
                <w:szCs w:val="16"/>
              </w:rPr>
            </w:pPr>
            <w:r w:rsidRPr="00B23D30">
              <w:rPr>
                <w:rStyle w:val="normaltextrun"/>
                <w:rFonts w:ascii="Verdana" w:eastAsia="Arial" w:hAnsi="Verdana" w:cs="Arial"/>
                <w:color w:val="000000" w:themeColor="text1"/>
                <w:sz w:val="16"/>
                <w:szCs w:val="16"/>
              </w:rPr>
              <w:t>Contratista de la Subdirección de Gestión Contractual</w:t>
            </w:r>
          </w:p>
        </w:tc>
      </w:tr>
      <w:tr w:rsidR="00526AB5" w:rsidRPr="00115E3D" w14:paraId="57B272D4" w14:textId="77777777" w:rsidTr="003F0C54">
        <w:trPr>
          <w:trHeight w:val="330"/>
        </w:trPr>
        <w:tc>
          <w:tcPr>
            <w:tcW w:w="893" w:type="dxa"/>
            <w:vAlign w:val="center"/>
            <w:hideMark/>
          </w:tcPr>
          <w:p w14:paraId="2D9BDA71" w14:textId="77777777" w:rsidR="00526AB5" w:rsidRPr="00115E3D" w:rsidRDefault="00526AB5" w:rsidP="003F0C54">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F17FCFD" w14:textId="77777777" w:rsidR="00526AB5" w:rsidRPr="00B23D30" w:rsidRDefault="00526AB5" w:rsidP="003F0C54">
            <w:pPr>
              <w:pStyle w:val="paragraph"/>
              <w:spacing w:before="0" w:beforeAutospacing="0" w:after="0" w:afterAutospacing="0"/>
              <w:contextualSpacing/>
              <w:textAlignment w:val="baseline"/>
              <w:rPr>
                <w:rFonts w:ascii="Verdana" w:hAnsi="Verdana" w:cs="Segoe UI"/>
                <w:color w:val="000000" w:themeColor="text1"/>
                <w:sz w:val="16"/>
                <w:szCs w:val="16"/>
              </w:rPr>
            </w:pPr>
            <w:r w:rsidRPr="00B23D30">
              <w:rPr>
                <w:rFonts w:ascii="Verdana" w:hAnsi="Verdana" w:cs="Segoe UI"/>
                <w:color w:val="000000" w:themeColor="text1"/>
                <w:sz w:val="16"/>
                <w:szCs w:val="16"/>
              </w:rPr>
              <w:t>X</w:t>
            </w:r>
            <w:r w:rsidRPr="00B23D30">
              <w:rPr>
                <w:rFonts w:ascii="Verdana" w:hAnsi="Verdana" w:cs="Segoe UI"/>
                <w:sz w:val="16"/>
                <w:szCs w:val="16"/>
              </w:rPr>
              <w:t xml:space="preserve">imena Ríos López </w:t>
            </w:r>
          </w:p>
          <w:p w14:paraId="66514AE0" w14:textId="77777777" w:rsidR="00526AB5" w:rsidRPr="00B23D30" w:rsidRDefault="00526AB5" w:rsidP="003F0C54">
            <w:pPr>
              <w:pStyle w:val="paragraph"/>
              <w:spacing w:before="0" w:beforeAutospacing="0" w:after="0" w:afterAutospacing="0"/>
              <w:contextualSpacing/>
              <w:textAlignment w:val="baseline"/>
              <w:rPr>
                <w:rFonts w:ascii="Verdana" w:hAnsi="Verdana" w:cs="Segoe UI"/>
                <w:color w:val="000000" w:themeColor="text1"/>
                <w:sz w:val="16"/>
                <w:szCs w:val="16"/>
              </w:rPr>
            </w:pPr>
            <w:r w:rsidRPr="00B23D30">
              <w:rPr>
                <w:rStyle w:val="normaltextrun"/>
                <w:rFonts w:ascii="Verdana" w:hAnsi="Verdana" w:cs="Arial"/>
                <w:color w:val="000000" w:themeColor="text1"/>
                <w:sz w:val="16"/>
                <w:szCs w:val="16"/>
                <w:lang w:val="es-ES"/>
              </w:rPr>
              <w:t>Gestor T1-11 de la Subdirección de Gestión Contractual</w:t>
            </w:r>
            <w:r w:rsidRPr="00B23D30">
              <w:rPr>
                <w:rStyle w:val="eop"/>
                <w:rFonts w:ascii="Verdana" w:hAnsi="Verdana" w:cs="Arial"/>
                <w:color w:val="000000" w:themeColor="text1"/>
                <w:sz w:val="16"/>
                <w:szCs w:val="16"/>
              </w:rPr>
              <w:t> </w:t>
            </w:r>
          </w:p>
        </w:tc>
      </w:tr>
      <w:tr w:rsidR="00526AB5" w:rsidRPr="00115E3D" w14:paraId="5FBFACB4" w14:textId="77777777" w:rsidTr="003F0C54">
        <w:trPr>
          <w:trHeight w:val="300"/>
        </w:trPr>
        <w:tc>
          <w:tcPr>
            <w:tcW w:w="893" w:type="dxa"/>
            <w:vAlign w:val="center"/>
          </w:tcPr>
          <w:p w14:paraId="73EC07BA" w14:textId="77777777" w:rsidR="00526AB5" w:rsidRPr="00115E3D" w:rsidRDefault="00526AB5" w:rsidP="003F0C54">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0F16D2C" w14:textId="77777777" w:rsidR="00526AB5" w:rsidRPr="00B23D30" w:rsidRDefault="00526AB5" w:rsidP="003F0C54">
            <w:pPr>
              <w:contextualSpacing/>
              <w:rPr>
                <w:rFonts w:ascii="Verdana" w:eastAsia="Calibri" w:hAnsi="Verdana" w:cs="Arial"/>
                <w:color w:val="000000" w:themeColor="text1"/>
                <w:sz w:val="16"/>
                <w:szCs w:val="16"/>
                <w:lang w:val="pt-BR" w:eastAsia="es-ES"/>
              </w:rPr>
            </w:pPr>
            <w:r w:rsidRPr="00B23D30">
              <w:rPr>
                <w:rFonts w:ascii="Verdana" w:eastAsia="Calibri" w:hAnsi="Verdana" w:cs="Arial"/>
                <w:color w:val="000000" w:themeColor="text1"/>
                <w:sz w:val="16"/>
                <w:szCs w:val="16"/>
                <w:lang w:val="pt-BR" w:eastAsia="es-ES"/>
              </w:rPr>
              <w:t>Carolina Quintero Gacharná</w:t>
            </w:r>
          </w:p>
          <w:p w14:paraId="08F5FB8B" w14:textId="77777777" w:rsidR="00526AB5" w:rsidRPr="00B23D30" w:rsidRDefault="00526AB5" w:rsidP="003F0C54">
            <w:pPr>
              <w:contextualSpacing/>
              <w:rPr>
                <w:rFonts w:ascii="Verdana" w:eastAsia="Calibri" w:hAnsi="Verdana" w:cs="Arial"/>
                <w:color w:val="000000" w:themeColor="text1"/>
                <w:sz w:val="16"/>
                <w:szCs w:val="16"/>
                <w:lang w:val="pt-BR" w:eastAsia="es-ES"/>
              </w:rPr>
            </w:pPr>
            <w:r w:rsidRPr="00B23D30">
              <w:rPr>
                <w:rFonts w:ascii="Verdana" w:eastAsia="Calibri" w:hAnsi="Verdana" w:cs="Arial"/>
                <w:color w:val="000000" w:themeColor="text1"/>
                <w:sz w:val="16"/>
                <w:szCs w:val="16"/>
                <w:lang w:eastAsia="es-ES"/>
              </w:rPr>
              <w:t>Subdirectora</w:t>
            </w:r>
            <w:r w:rsidRPr="00B23D30">
              <w:rPr>
                <w:rFonts w:ascii="Verdana" w:eastAsia="Calibri" w:hAnsi="Verdana" w:cs="Arial"/>
                <w:color w:val="000000" w:themeColor="text1"/>
                <w:sz w:val="16"/>
                <w:szCs w:val="16"/>
                <w:lang w:val="pt-BR" w:eastAsia="es-ES"/>
              </w:rPr>
              <w:t xml:space="preserve"> de Gestión Contractual ANCP – CCE</w:t>
            </w:r>
          </w:p>
        </w:tc>
      </w:tr>
      <w:tr w:rsidR="002B4CA1" w:rsidRPr="00115E3D" w14:paraId="671418C3" w14:textId="77777777" w:rsidTr="003F0C54">
        <w:trPr>
          <w:trHeight w:val="300"/>
        </w:trPr>
        <w:tc>
          <w:tcPr>
            <w:tcW w:w="893" w:type="dxa"/>
            <w:vAlign w:val="center"/>
          </w:tcPr>
          <w:p w14:paraId="31E0B5DD" w14:textId="1B3F757E" w:rsidR="002B4CA1" w:rsidRPr="00115E3D" w:rsidRDefault="002B4CA1" w:rsidP="003F0C54">
            <w:pPr>
              <w:contextualSpacing/>
              <w:rPr>
                <w:rFonts w:ascii="Verdana" w:hAnsi="Verdana" w:cs="Arial"/>
                <w:color w:val="000000" w:themeColor="text1"/>
                <w:sz w:val="16"/>
                <w:szCs w:val="16"/>
                <w:lang w:val="es-ES" w:eastAsia="es-ES"/>
              </w:rPr>
            </w:pPr>
            <w:r>
              <w:rPr>
                <w:rFonts w:ascii="Verdana" w:hAnsi="Verdana" w:cs="Arial"/>
                <w:color w:val="000000" w:themeColor="text1"/>
                <w:sz w:val="16"/>
                <w:szCs w:val="16"/>
                <w:lang w:val="es-ES" w:eastAsia="es-ES"/>
              </w:rPr>
              <w:t>Anexo:</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4ADB561" w14:textId="6DDA0C66" w:rsidR="002B4CA1" w:rsidRPr="00B23D30" w:rsidRDefault="00870E8B" w:rsidP="003F0C54">
            <w:pPr>
              <w:contextualSpacing/>
              <w:rPr>
                <w:rFonts w:ascii="Verdana" w:eastAsia="Calibri" w:hAnsi="Verdana" w:cs="Arial"/>
                <w:color w:val="000000" w:themeColor="text1"/>
                <w:sz w:val="16"/>
                <w:szCs w:val="16"/>
                <w:lang w:val="pt-BR" w:eastAsia="es-ES"/>
              </w:rPr>
            </w:pPr>
            <w:r w:rsidRPr="00870E8B">
              <w:rPr>
                <w:rFonts w:ascii="Verdana" w:eastAsia="Calibri" w:hAnsi="Verdana" w:cs="Arial"/>
                <w:color w:val="000000" w:themeColor="text1"/>
                <w:sz w:val="16"/>
                <w:szCs w:val="16"/>
                <w:lang w:eastAsia="es-ES"/>
              </w:rPr>
              <w:t>P20241028010889 - CRONOGRAMA PROCESO SECOP</w:t>
            </w:r>
          </w:p>
        </w:tc>
      </w:tr>
    </w:tbl>
    <w:p w14:paraId="575171D8" w14:textId="77777777" w:rsidR="00526AB5" w:rsidRPr="00115E3D" w:rsidRDefault="00526AB5" w:rsidP="00526AB5">
      <w:pPr>
        <w:spacing w:after="0" w:line="240" w:lineRule="auto"/>
        <w:rPr>
          <w:rFonts w:ascii="Verdana" w:hAnsi="Verdana" w:cs="Arial"/>
          <w:color w:val="000000" w:themeColor="text1"/>
          <w:sz w:val="24"/>
          <w:szCs w:val="24"/>
          <w:lang w:eastAsia="es-ES"/>
        </w:rPr>
      </w:pPr>
    </w:p>
    <w:p w14:paraId="6A89605B" w14:textId="77777777" w:rsidR="00526AB5" w:rsidRDefault="00526AB5" w:rsidP="00526AB5"/>
    <w:p w14:paraId="3900974D" w14:textId="77777777" w:rsidR="003D5B0D" w:rsidRPr="00226DB2" w:rsidRDefault="003D5B0D" w:rsidP="00226DB2"/>
    <w:sectPr w:rsidR="003D5B0D" w:rsidRPr="00226DB2"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09291" w14:textId="77777777" w:rsidR="004B69F1" w:rsidRDefault="004B69F1" w:rsidP="004A1847">
      <w:pPr>
        <w:spacing w:after="0" w:line="240" w:lineRule="auto"/>
      </w:pPr>
      <w:r>
        <w:separator/>
      </w:r>
    </w:p>
  </w:endnote>
  <w:endnote w:type="continuationSeparator" w:id="0">
    <w:p w14:paraId="21FF1460" w14:textId="77777777" w:rsidR="004B69F1" w:rsidRDefault="004B69F1" w:rsidP="004A1847">
      <w:pPr>
        <w:spacing w:after="0" w:line="240" w:lineRule="auto"/>
      </w:pPr>
      <w:r>
        <w:continuationSeparator/>
      </w:r>
    </w:p>
  </w:endnote>
  <w:endnote w:type="continuationNotice" w:id="1">
    <w:p w14:paraId="6BF495B0" w14:textId="77777777" w:rsidR="004B69F1" w:rsidRDefault="004B6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42484" w14:textId="77777777" w:rsidR="004B69F1" w:rsidRDefault="004B69F1" w:rsidP="004A1847">
      <w:pPr>
        <w:spacing w:after="0" w:line="240" w:lineRule="auto"/>
      </w:pPr>
      <w:r>
        <w:separator/>
      </w:r>
    </w:p>
  </w:footnote>
  <w:footnote w:type="continuationSeparator" w:id="0">
    <w:p w14:paraId="26B5FEA0" w14:textId="77777777" w:rsidR="004B69F1" w:rsidRDefault="004B69F1" w:rsidP="004A1847">
      <w:pPr>
        <w:spacing w:after="0" w:line="240" w:lineRule="auto"/>
      </w:pPr>
      <w:r>
        <w:continuationSeparator/>
      </w:r>
    </w:p>
  </w:footnote>
  <w:footnote w:type="continuationNotice" w:id="1">
    <w:p w14:paraId="3143966E" w14:textId="77777777" w:rsidR="004B69F1" w:rsidRDefault="004B69F1">
      <w:pPr>
        <w:spacing w:after="0" w:line="240" w:lineRule="auto"/>
      </w:pPr>
    </w:p>
  </w:footnote>
  <w:footnote w:id="2">
    <w:p w14:paraId="66A35669" w14:textId="0CBA00C3" w:rsidR="00710AC3" w:rsidRPr="00092CD1" w:rsidRDefault="00710AC3">
      <w:pPr>
        <w:pStyle w:val="Textonotapie"/>
        <w:rPr>
          <w:rFonts w:ascii="Verdana" w:hAnsi="Verdana"/>
          <w:sz w:val="15"/>
          <w:szCs w:val="15"/>
        </w:rPr>
      </w:pPr>
      <w:r>
        <w:rPr>
          <w:rStyle w:val="Refdenotaalpie"/>
        </w:rPr>
        <w:footnoteRef/>
      </w:r>
      <w:r>
        <w:t xml:space="preserve"> </w:t>
      </w:r>
      <w:r w:rsidR="00AA3171" w:rsidRPr="00092CD1">
        <w:rPr>
          <w:rFonts w:ascii="Verdana" w:hAnsi="Verdana"/>
          <w:sz w:val="15"/>
          <w:szCs w:val="15"/>
          <w:lang w:val="es-CO"/>
        </w:rPr>
        <w:t xml:space="preserve">Agencia Nacional de Contratación Pública - Colombia Compra Eficiente. (2024). </w:t>
      </w:r>
      <w:r w:rsidR="00AA3171" w:rsidRPr="00092CD1">
        <w:rPr>
          <w:rFonts w:ascii="Verdana" w:hAnsi="Verdana"/>
          <w:i/>
          <w:iCs/>
          <w:sz w:val="15"/>
          <w:szCs w:val="15"/>
          <w:lang w:val="es-CO"/>
        </w:rPr>
        <w:t>Concepto C-065 del 20 de mayo de 2024</w:t>
      </w:r>
      <w:r w:rsidR="00AA3171" w:rsidRPr="00092CD1">
        <w:rPr>
          <w:rFonts w:ascii="Verdana" w:hAnsi="Verdana"/>
          <w:sz w:val="15"/>
          <w:szCs w:val="15"/>
          <w:lang w:val="es-CO"/>
        </w:rPr>
        <w:t xml:space="preserve">. relatoría: </w:t>
      </w:r>
      <w:hyperlink r:id="rId1" w:tgtFrame="_blank" w:tooltip="https://relatoria.colombiacompra.gov.co/conceptos/c-065-de-2024/" w:history="1">
        <w:r w:rsidR="00AA3171" w:rsidRPr="00092CD1">
          <w:rPr>
            <w:rStyle w:val="Hipervnculo"/>
            <w:rFonts w:ascii="Verdana" w:hAnsi="Verdana"/>
            <w:sz w:val="15"/>
            <w:szCs w:val="15"/>
            <w:lang w:val="es-CO"/>
          </w:rPr>
          <w:t>C-065 de 2024 – Relatoria ANCP-CCE</w:t>
        </w:r>
      </w:hyperlink>
      <w:r w:rsidR="00AA3171" w:rsidRPr="00092CD1">
        <w:rPr>
          <w:rFonts w:ascii="Verdana" w:hAnsi="Verdana"/>
          <w:sz w:val="15"/>
          <w:szCs w:val="15"/>
          <w:lang w:val="es-CO"/>
        </w:rPr>
        <w:t> </w:t>
      </w:r>
    </w:p>
  </w:footnote>
  <w:footnote w:id="3">
    <w:p w14:paraId="23BB6758" w14:textId="77777777" w:rsidR="00526AB5" w:rsidRPr="00977131" w:rsidRDefault="00526AB5" w:rsidP="004D62DC">
      <w:pPr>
        <w:pStyle w:val="Textonotapie"/>
        <w:ind w:firstLine="708"/>
        <w:rPr>
          <w:lang w:val="es-CO"/>
        </w:rPr>
      </w:pPr>
      <w:r>
        <w:rPr>
          <w:rStyle w:val="Refdenotaalpie"/>
        </w:rPr>
        <w:footnoteRef/>
      </w:r>
      <w:r>
        <w:t xml:space="preserve"> </w:t>
      </w:r>
      <w:r w:rsidRPr="00977131">
        <w:rPr>
          <w:rFonts w:ascii="Verdana" w:hAnsi="Verdana"/>
          <w:i/>
          <w:iCs/>
          <w:sz w:val="14"/>
          <w:szCs w:val="14"/>
          <w:lang w:val="es-CO"/>
        </w:rPr>
        <w:t>Decreto 1082 de 2015 por el cual se expide el Decreto Único Reglamentario del Sector Administrativo de la Función Pública</w:t>
      </w:r>
      <w:r w:rsidRPr="00977131">
        <w:rPr>
          <w:rFonts w:ascii="Verdana" w:hAnsi="Verdana"/>
          <w:sz w:val="14"/>
          <w:szCs w:val="14"/>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33476FE"/>
    <w:multiLevelType w:val="hybridMultilevel"/>
    <w:tmpl w:val="79A65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605A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A66048"/>
    <w:multiLevelType w:val="hybridMultilevel"/>
    <w:tmpl w:val="E70E92BE"/>
    <w:lvl w:ilvl="0" w:tplc="AC0615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0F1855"/>
    <w:multiLevelType w:val="hybridMultilevel"/>
    <w:tmpl w:val="FFFFFFFF"/>
    <w:lvl w:ilvl="0" w:tplc="B5B8CFCE">
      <w:start w:val="1"/>
      <w:numFmt w:val="decimal"/>
      <w:lvlText w:val="%1."/>
      <w:lvlJc w:val="left"/>
      <w:pPr>
        <w:ind w:left="385" w:hanging="284"/>
      </w:pPr>
      <w:rPr>
        <w:rFonts w:ascii="Verdana" w:eastAsia="Times New Roman" w:hAnsi="Verdana" w:cs="Verdana" w:hint="default"/>
        <w:b/>
        <w:bCs/>
        <w:i w:val="0"/>
        <w:iCs w:val="0"/>
        <w:spacing w:val="-1"/>
        <w:w w:val="99"/>
        <w:sz w:val="22"/>
        <w:szCs w:val="22"/>
      </w:rPr>
    </w:lvl>
    <w:lvl w:ilvl="1" w:tplc="C658CA86">
      <w:start w:val="1"/>
      <w:numFmt w:val="decimal"/>
      <w:lvlText w:val="%2."/>
      <w:lvlJc w:val="left"/>
      <w:pPr>
        <w:ind w:left="810" w:hanging="473"/>
      </w:pPr>
      <w:rPr>
        <w:rFonts w:cs="Times New Roman" w:hint="default"/>
        <w:spacing w:val="-1"/>
        <w:w w:val="99"/>
      </w:rPr>
    </w:lvl>
    <w:lvl w:ilvl="2" w:tplc="00B45A60">
      <w:numFmt w:val="bullet"/>
      <w:lvlText w:val="•"/>
      <w:lvlJc w:val="left"/>
      <w:pPr>
        <w:ind w:left="1822" w:hanging="473"/>
      </w:pPr>
      <w:rPr>
        <w:rFonts w:hint="default"/>
      </w:rPr>
    </w:lvl>
    <w:lvl w:ilvl="3" w:tplc="71D44B48">
      <w:numFmt w:val="bullet"/>
      <w:lvlText w:val="•"/>
      <w:lvlJc w:val="left"/>
      <w:pPr>
        <w:ind w:left="2824" w:hanging="473"/>
      </w:pPr>
      <w:rPr>
        <w:rFonts w:hint="default"/>
      </w:rPr>
    </w:lvl>
    <w:lvl w:ilvl="4" w:tplc="8E8892FC">
      <w:numFmt w:val="bullet"/>
      <w:lvlText w:val="•"/>
      <w:lvlJc w:val="left"/>
      <w:pPr>
        <w:ind w:left="3826" w:hanging="473"/>
      </w:pPr>
      <w:rPr>
        <w:rFonts w:hint="default"/>
      </w:rPr>
    </w:lvl>
    <w:lvl w:ilvl="5" w:tplc="35F0C6C4">
      <w:numFmt w:val="bullet"/>
      <w:lvlText w:val="•"/>
      <w:lvlJc w:val="left"/>
      <w:pPr>
        <w:ind w:left="4828" w:hanging="473"/>
      </w:pPr>
      <w:rPr>
        <w:rFonts w:hint="default"/>
      </w:rPr>
    </w:lvl>
    <w:lvl w:ilvl="6" w:tplc="DACE9D0C">
      <w:numFmt w:val="bullet"/>
      <w:lvlText w:val="•"/>
      <w:lvlJc w:val="left"/>
      <w:pPr>
        <w:ind w:left="5831" w:hanging="473"/>
      </w:pPr>
      <w:rPr>
        <w:rFonts w:hint="default"/>
      </w:rPr>
    </w:lvl>
    <w:lvl w:ilvl="7" w:tplc="5A561B6A">
      <w:numFmt w:val="bullet"/>
      <w:lvlText w:val="•"/>
      <w:lvlJc w:val="left"/>
      <w:pPr>
        <w:ind w:left="6833" w:hanging="473"/>
      </w:pPr>
      <w:rPr>
        <w:rFonts w:hint="default"/>
      </w:rPr>
    </w:lvl>
    <w:lvl w:ilvl="8" w:tplc="F41A1DF8">
      <w:numFmt w:val="bullet"/>
      <w:lvlText w:val="•"/>
      <w:lvlJc w:val="left"/>
      <w:pPr>
        <w:ind w:left="7835" w:hanging="473"/>
      </w:pPr>
      <w:rPr>
        <w:rFont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7"/>
  </w:num>
  <w:num w:numId="8" w16cid:durableId="152644682">
    <w:abstractNumId w:val="15"/>
  </w:num>
  <w:num w:numId="9" w16cid:durableId="1317221377">
    <w:abstractNumId w:val="9"/>
  </w:num>
  <w:num w:numId="10" w16cid:durableId="1471245386">
    <w:abstractNumId w:val="14"/>
  </w:num>
  <w:num w:numId="11" w16cid:durableId="289172385">
    <w:abstractNumId w:val="10"/>
  </w:num>
  <w:num w:numId="12" w16cid:durableId="1470781324">
    <w:abstractNumId w:val="1"/>
  </w:num>
  <w:num w:numId="13" w16cid:durableId="1512908409">
    <w:abstractNumId w:val="5"/>
  </w:num>
  <w:num w:numId="14" w16cid:durableId="895897244">
    <w:abstractNumId w:val="17"/>
  </w:num>
  <w:num w:numId="15" w16cid:durableId="390349800">
    <w:abstractNumId w:val="13"/>
  </w:num>
  <w:num w:numId="16" w16cid:durableId="341274352">
    <w:abstractNumId w:val="0"/>
  </w:num>
  <w:num w:numId="17" w16cid:durableId="1879122127">
    <w:abstractNumId w:val="11"/>
  </w:num>
  <w:num w:numId="18" w16cid:durableId="1328511946">
    <w:abstractNumId w:val="12"/>
  </w:num>
  <w:num w:numId="19" w16cid:durableId="2104448446">
    <w:abstractNumId w:val="4"/>
  </w:num>
  <w:num w:numId="20" w16cid:durableId="1117260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475"/>
    <w:rsid w:val="0000267A"/>
    <w:rsid w:val="00016F78"/>
    <w:rsid w:val="00046945"/>
    <w:rsid w:val="00061B2A"/>
    <w:rsid w:val="00065B13"/>
    <w:rsid w:val="00082362"/>
    <w:rsid w:val="00092CD1"/>
    <w:rsid w:val="000971DB"/>
    <w:rsid w:val="000A1CD7"/>
    <w:rsid w:val="000A683E"/>
    <w:rsid w:val="000B19B9"/>
    <w:rsid w:val="000B577D"/>
    <w:rsid w:val="000D0334"/>
    <w:rsid w:val="000E2D12"/>
    <w:rsid w:val="000F54C3"/>
    <w:rsid w:val="000F6486"/>
    <w:rsid w:val="00114A60"/>
    <w:rsid w:val="00125105"/>
    <w:rsid w:val="00127233"/>
    <w:rsid w:val="001338B6"/>
    <w:rsid w:val="001511A0"/>
    <w:rsid w:val="00192841"/>
    <w:rsid w:val="001B1D73"/>
    <w:rsid w:val="001E3292"/>
    <w:rsid w:val="001E4177"/>
    <w:rsid w:val="001E770E"/>
    <w:rsid w:val="001F7DC6"/>
    <w:rsid w:val="00226DB2"/>
    <w:rsid w:val="00227EA2"/>
    <w:rsid w:val="0023611D"/>
    <w:rsid w:val="002421BB"/>
    <w:rsid w:val="0025796E"/>
    <w:rsid w:val="002707A2"/>
    <w:rsid w:val="002951A0"/>
    <w:rsid w:val="002962BC"/>
    <w:rsid w:val="002A093D"/>
    <w:rsid w:val="002A0DD0"/>
    <w:rsid w:val="002A49AC"/>
    <w:rsid w:val="002A64FD"/>
    <w:rsid w:val="002B0239"/>
    <w:rsid w:val="002B4CA1"/>
    <w:rsid w:val="002C7A84"/>
    <w:rsid w:val="002D09B5"/>
    <w:rsid w:val="002D659E"/>
    <w:rsid w:val="002E4FD9"/>
    <w:rsid w:val="00322A85"/>
    <w:rsid w:val="00324168"/>
    <w:rsid w:val="003323C1"/>
    <w:rsid w:val="003448F4"/>
    <w:rsid w:val="003539DD"/>
    <w:rsid w:val="00354DBA"/>
    <w:rsid w:val="00374F5E"/>
    <w:rsid w:val="00377E3E"/>
    <w:rsid w:val="00383880"/>
    <w:rsid w:val="003A6819"/>
    <w:rsid w:val="003A779E"/>
    <w:rsid w:val="003D0F4D"/>
    <w:rsid w:val="003D5B0D"/>
    <w:rsid w:val="003E0499"/>
    <w:rsid w:val="003F3941"/>
    <w:rsid w:val="00400401"/>
    <w:rsid w:val="00406575"/>
    <w:rsid w:val="00406C58"/>
    <w:rsid w:val="00414C74"/>
    <w:rsid w:val="0042722E"/>
    <w:rsid w:val="00444306"/>
    <w:rsid w:val="0044528D"/>
    <w:rsid w:val="004563CD"/>
    <w:rsid w:val="00466CC8"/>
    <w:rsid w:val="004767A7"/>
    <w:rsid w:val="0049041C"/>
    <w:rsid w:val="004A1847"/>
    <w:rsid w:val="004A305D"/>
    <w:rsid w:val="004B69F1"/>
    <w:rsid w:val="004D62DC"/>
    <w:rsid w:val="004F21C4"/>
    <w:rsid w:val="004F685F"/>
    <w:rsid w:val="0050215D"/>
    <w:rsid w:val="00526AB5"/>
    <w:rsid w:val="005566E8"/>
    <w:rsid w:val="00574867"/>
    <w:rsid w:val="00577F95"/>
    <w:rsid w:val="00591460"/>
    <w:rsid w:val="005B3816"/>
    <w:rsid w:val="005C3777"/>
    <w:rsid w:val="005C5CDC"/>
    <w:rsid w:val="005D476C"/>
    <w:rsid w:val="005F52C0"/>
    <w:rsid w:val="00606E6E"/>
    <w:rsid w:val="006219F8"/>
    <w:rsid w:val="00630CA8"/>
    <w:rsid w:val="00665D70"/>
    <w:rsid w:val="0067034A"/>
    <w:rsid w:val="006721C0"/>
    <w:rsid w:val="006727F8"/>
    <w:rsid w:val="006751BD"/>
    <w:rsid w:val="006900D9"/>
    <w:rsid w:val="006A25A9"/>
    <w:rsid w:val="006B0228"/>
    <w:rsid w:val="006B67AD"/>
    <w:rsid w:val="006D4AF7"/>
    <w:rsid w:val="00706C16"/>
    <w:rsid w:val="00710AC3"/>
    <w:rsid w:val="00732ACC"/>
    <w:rsid w:val="00735300"/>
    <w:rsid w:val="00756841"/>
    <w:rsid w:val="007649AB"/>
    <w:rsid w:val="00771D0C"/>
    <w:rsid w:val="00774050"/>
    <w:rsid w:val="007833AC"/>
    <w:rsid w:val="0078467D"/>
    <w:rsid w:val="007B268C"/>
    <w:rsid w:val="007B33D7"/>
    <w:rsid w:val="007B7171"/>
    <w:rsid w:val="007C0C0F"/>
    <w:rsid w:val="007C3DC2"/>
    <w:rsid w:val="007E5497"/>
    <w:rsid w:val="007F2C35"/>
    <w:rsid w:val="00806F5F"/>
    <w:rsid w:val="00815CA3"/>
    <w:rsid w:val="00820278"/>
    <w:rsid w:val="00867F95"/>
    <w:rsid w:val="00870E8B"/>
    <w:rsid w:val="00873548"/>
    <w:rsid w:val="00882235"/>
    <w:rsid w:val="008843B6"/>
    <w:rsid w:val="00891928"/>
    <w:rsid w:val="008A446D"/>
    <w:rsid w:val="008D180B"/>
    <w:rsid w:val="008F0EA7"/>
    <w:rsid w:val="00923EEF"/>
    <w:rsid w:val="009419F9"/>
    <w:rsid w:val="0095685E"/>
    <w:rsid w:val="00961B09"/>
    <w:rsid w:val="00965334"/>
    <w:rsid w:val="0097093E"/>
    <w:rsid w:val="00986AC5"/>
    <w:rsid w:val="009A0DFA"/>
    <w:rsid w:val="009A7C30"/>
    <w:rsid w:val="009B2D26"/>
    <w:rsid w:val="009C71FA"/>
    <w:rsid w:val="009C72E7"/>
    <w:rsid w:val="009D3058"/>
    <w:rsid w:val="009F3A13"/>
    <w:rsid w:val="00A122D3"/>
    <w:rsid w:val="00A17F13"/>
    <w:rsid w:val="00A20739"/>
    <w:rsid w:val="00A33C78"/>
    <w:rsid w:val="00AA3171"/>
    <w:rsid w:val="00AB0ADB"/>
    <w:rsid w:val="00B01B1A"/>
    <w:rsid w:val="00B63182"/>
    <w:rsid w:val="00B66319"/>
    <w:rsid w:val="00B72CD3"/>
    <w:rsid w:val="00B72FFF"/>
    <w:rsid w:val="00B864B2"/>
    <w:rsid w:val="00BB12F7"/>
    <w:rsid w:val="00BC3D36"/>
    <w:rsid w:val="00BD7F72"/>
    <w:rsid w:val="00C04FB3"/>
    <w:rsid w:val="00C0633B"/>
    <w:rsid w:val="00C330EB"/>
    <w:rsid w:val="00C33C6A"/>
    <w:rsid w:val="00C34DB0"/>
    <w:rsid w:val="00C41061"/>
    <w:rsid w:val="00C60976"/>
    <w:rsid w:val="00C754BE"/>
    <w:rsid w:val="00C76B1C"/>
    <w:rsid w:val="00CB6357"/>
    <w:rsid w:val="00CC1B26"/>
    <w:rsid w:val="00D2663C"/>
    <w:rsid w:val="00D423A2"/>
    <w:rsid w:val="00D4439A"/>
    <w:rsid w:val="00D520D8"/>
    <w:rsid w:val="00D63AC2"/>
    <w:rsid w:val="00D65B78"/>
    <w:rsid w:val="00D7383B"/>
    <w:rsid w:val="00D95EC7"/>
    <w:rsid w:val="00DA231B"/>
    <w:rsid w:val="00DC39FC"/>
    <w:rsid w:val="00DF5254"/>
    <w:rsid w:val="00DF6661"/>
    <w:rsid w:val="00E01500"/>
    <w:rsid w:val="00E16408"/>
    <w:rsid w:val="00E20894"/>
    <w:rsid w:val="00E245AB"/>
    <w:rsid w:val="00E2764C"/>
    <w:rsid w:val="00E27F2E"/>
    <w:rsid w:val="00E41063"/>
    <w:rsid w:val="00E41470"/>
    <w:rsid w:val="00E50AFE"/>
    <w:rsid w:val="00E610DA"/>
    <w:rsid w:val="00E75C92"/>
    <w:rsid w:val="00E76ECD"/>
    <w:rsid w:val="00E771DC"/>
    <w:rsid w:val="00E8772A"/>
    <w:rsid w:val="00E90F6B"/>
    <w:rsid w:val="00E92C27"/>
    <w:rsid w:val="00EA0E3D"/>
    <w:rsid w:val="00EC38A7"/>
    <w:rsid w:val="00EC3951"/>
    <w:rsid w:val="00ED7384"/>
    <w:rsid w:val="00EE1AA8"/>
    <w:rsid w:val="00F0287D"/>
    <w:rsid w:val="00F31EDC"/>
    <w:rsid w:val="00F462B3"/>
    <w:rsid w:val="00F52209"/>
    <w:rsid w:val="00F54325"/>
    <w:rsid w:val="00F5664F"/>
    <w:rsid w:val="00F666C4"/>
    <w:rsid w:val="00F7477A"/>
    <w:rsid w:val="00F76AFC"/>
    <w:rsid w:val="00FA3957"/>
    <w:rsid w:val="00FA47C0"/>
    <w:rsid w:val="00FA58B5"/>
    <w:rsid w:val="00FB5962"/>
    <w:rsid w:val="00FB5DD1"/>
    <w:rsid w:val="00FC2B5D"/>
    <w:rsid w:val="00FF1449"/>
    <w:rsid w:val="6DBE84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526AB5"/>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26AB5"/>
    <w:rPr>
      <w:rFonts w:ascii="Geomanist Light" w:hAnsi="Geomanist Light"/>
      <w:lang w:val="es-ES"/>
    </w:rPr>
  </w:style>
  <w:style w:type="character" w:styleId="Refdecomentario">
    <w:name w:val="annotation reference"/>
    <w:basedOn w:val="Fuentedeprrafopredeter"/>
    <w:uiPriority w:val="99"/>
    <w:semiHidden/>
    <w:unhideWhenUsed/>
    <w:rsid w:val="00466CC8"/>
    <w:rPr>
      <w:sz w:val="16"/>
      <w:szCs w:val="16"/>
    </w:rPr>
  </w:style>
  <w:style w:type="paragraph" w:styleId="Textocomentario">
    <w:name w:val="annotation text"/>
    <w:basedOn w:val="Normal"/>
    <w:link w:val="TextocomentarioCar"/>
    <w:uiPriority w:val="99"/>
    <w:unhideWhenUsed/>
    <w:rsid w:val="00466CC8"/>
    <w:pPr>
      <w:spacing w:line="240" w:lineRule="auto"/>
    </w:pPr>
    <w:rPr>
      <w:sz w:val="20"/>
      <w:szCs w:val="20"/>
    </w:rPr>
  </w:style>
  <w:style w:type="character" w:customStyle="1" w:styleId="TextocomentarioCar">
    <w:name w:val="Texto comentario Car"/>
    <w:basedOn w:val="Fuentedeprrafopredeter"/>
    <w:link w:val="Textocomentario"/>
    <w:uiPriority w:val="99"/>
    <w:rsid w:val="00466CC8"/>
    <w:rPr>
      <w:sz w:val="20"/>
      <w:szCs w:val="20"/>
    </w:rPr>
  </w:style>
  <w:style w:type="paragraph" w:styleId="Asuntodelcomentario">
    <w:name w:val="annotation subject"/>
    <w:basedOn w:val="Textocomentario"/>
    <w:next w:val="Textocomentario"/>
    <w:link w:val="AsuntodelcomentarioCar"/>
    <w:uiPriority w:val="99"/>
    <w:semiHidden/>
    <w:unhideWhenUsed/>
    <w:rsid w:val="00466CC8"/>
    <w:rPr>
      <w:b/>
      <w:bCs/>
    </w:rPr>
  </w:style>
  <w:style w:type="character" w:customStyle="1" w:styleId="AsuntodelcomentarioCar">
    <w:name w:val="Asunto del comentario Car"/>
    <w:basedOn w:val="TextocomentarioCar"/>
    <w:link w:val="Asuntodelcomentario"/>
    <w:uiPriority w:val="99"/>
    <w:semiHidden/>
    <w:rsid w:val="00466C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25603483">
      <w:bodyDiv w:val="1"/>
      <w:marLeft w:val="0"/>
      <w:marRight w:val="0"/>
      <w:marTop w:val="0"/>
      <w:marBottom w:val="0"/>
      <w:divBdr>
        <w:top w:val="none" w:sz="0" w:space="0" w:color="auto"/>
        <w:left w:val="none" w:sz="0" w:space="0" w:color="auto"/>
        <w:bottom w:val="none" w:sz="0" w:space="0" w:color="auto"/>
        <w:right w:val="none" w:sz="0" w:space="0" w:color="auto"/>
      </w:divBdr>
      <w:divsChild>
        <w:div w:id="1568608174">
          <w:marLeft w:val="0"/>
          <w:marRight w:val="0"/>
          <w:marTop w:val="0"/>
          <w:marBottom w:val="0"/>
          <w:divBdr>
            <w:top w:val="none" w:sz="0" w:space="0" w:color="auto"/>
            <w:left w:val="none" w:sz="0" w:space="0" w:color="auto"/>
            <w:bottom w:val="none" w:sz="0" w:space="0" w:color="auto"/>
            <w:right w:val="none" w:sz="0" w:space="0" w:color="auto"/>
          </w:divBdr>
        </w:div>
        <w:div w:id="31656738">
          <w:marLeft w:val="0"/>
          <w:marRight w:val="0"/>
          <w:marTop w:val="0"/>
          <w:marBottom w:val="0"/>
          <w:divBdr>
            <w:top w:val="none" w:sz="0" w:space="0" w:color="auto"/>
            <w:left w:val="none" w:sz="0" w:space="0" w:color="auto"/>
            <w:bottom w:val="none" w:sz="0" w:space="0" w:color="auto"/>
            <w:right w:val="none" w:sz="0" w:space="0" w:color="auto"/>
          </w:divBdr>
        </w:div>
        <w:div w:id="539702937">
          <w:marLeft w:val="0"/>
          <w:marRight w:val="0"/>
          <w:marTop w:val="0"/>
          <w:marBottom w:val="0"/>
          <w:divBdr>
            <w:top w:val="none" w:sz="0" w:space="0" w:color="auto"/>
            <w:left w:val="none" w:sz="0" w:space="0" w:color="auto"/>
            <w:bottom w:val="none" w:sz="0" w:space="0" w:color="auto"/>
            <w:right w:val="none" w:sz="0" w:space="0" w:color="auto"/>
          </w:divBdr>
        </w:div>
        <w:div w:id="858737711">
          <w:marLeft w:val="0"/>
          <w:marRight w:val="0"/>
          <w:marTop w:val="0"/>
          <w:marBottom w:val="0"/>
          <w:divBdr>
            <w:top w:val="none" w:sz="0" w:space="0" w:color="auto"/>
            <w:left w:val="none" w:sz="0" w:space="0" w:color="auto"/>
            <w:bottom w:val="none" w:sz="0" w:space="0" w:color="auto"/>
            <w:right w:val="none" w:sz="0" w:space="0" w:color="auto"/>
          </w:divBdr>
        </w:div>
        <w:div w:id="1450389272">
          <w:marLeft w:val="0"/>
          <w:marRight w:val="0"/>
          <w:marTop w:val="0"/>
          <w:marBottom w:val="0"/>
          <w:divBdr>
            <w:top w:val="none" w:sz="0" w:space="0" w:color="auto"/>
            <w:left w:val="none" w:sz="0" w:space="0" w:color="auto"/>
            <w:bottom w:val="none" w:sz="0" w:space="0" w:color="auto"/>
            <w:right w:val="none" w:sz="0" w:space="0" w:color="auto"/>
          </w:divBdr>
        </w:div>
        <w:div w:id="915435240">
          <w:marLeft w:val="0"/>
          <w:marRight w:val="0"/>
          <w:marTop w:val="0"/>
          <w:marBottom w:val="0"/>
          <w:divBdr>
            <w:top w:val="none" w:sz="0" w:space="0" w:color="auto"/>
            <w:left w:val="none" w:sz="0" w:space="0" w:color="auto"/>
            <w:bottom w:val="none" w:sz="0" w:space="0" w:color="auto"/>
            <w:right w:val="none" w:sz="0" w:space="0" w:color="auto"/>
          </w:divBdr>
        </w:div>
        <w:div w:id="1758673618">
          <w:marLeft w:val="0"/>
          <w:marRight w:val="0"/>
          <w:marTop w:val="0"/>
          <w:marBottom w:val="0"/>
          <w:divBdr>
            <w:top w:val="none" w:sz="0" w:space="0" w:color="auto"/>
            <w:left w:val="none" w:sz="0" w:space="0" w:color="auto"/>
            <w:bottom w:val="none" w:sz="0" w:space="0" w:color="auto"/>
            <w:right w:val="none" w:sz="0" w:space="0" w:color="auto"/>
          </w:divBdr>
        </w:div>
        <w:div w:id="836729642">
          <w:marLeft w:val="0"/>
          <w:marRight w:val="0"/>
          <w:marTop w:val="0"/>
          <w:marBottom w:val="0"/>
          <w:divBdr>
            <w:top w:val="none" w:sz="0" w:space="0" w:color="auto"/>
            <w:left w:val="none" w:sz="0" w:space="0" w:color="auto"/>
            <w:bottom w:val="none" w:sz="0" w:space="0" w:color="auto"/>
            <w:right w:val="none" w:sz="0" w:space="0" w:color="auto"/>
          </w:divBdr>
        </w:div>
        <w:div w:id="962810614">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503473260">
      <w:bodyDiv w:val="1"/>
      <w:marLeft w:val="0"/>
      <w:marRight w:val="0"/>
      <w:marTop w:val="0"/>
      <w:marBottom w:val="0"/>
      <w:divBdr>
        <w:top w:val="none" w:sz="0" w:space="0" w:color="auto"/>
        <w:left w:val="none" w:sz="0" w:space="0" w:color="auto"/>
        <w:bottom w:val="none" w:sz="0" w:space="0" w:color="auto"/>
        <w:right w:val="none" w:sz="0" w:space="0" w:color="auto"/>
      </w:divBdr>
      <w:divsChild>
        <w:div w:id="492568603">
          <w:marLeft w:val="0"/>
          <w:marRight w:val="0"/>
          <w:marTop w:val="0"/>
          <w:marBottom w:val="0"/>
          <w:divBdr>
            <w:top w:val="none" w:sz="0" w:space="0" w:color="auto"/>
            <w:left w:val="none" w:sz="0" w:space="0" w:color="auto"/>
            <w:bottom w:val="none" w:sz="0" w:space="0" w:color="auto"/>
            <w:right w:val="none" w:sz="0" w:space="0" w:color="auto"/>
          </w:divBdr>
        </w:div>
        <w:div w:id="397020788">
          <w:marLeft w:val="0"/>
          <w:marRight w:val="0"/>
          <w:marTop w:val="0"/>
          <w:marBottom w:val="0"/>
          <w:divBdr>
            <w:top w:val="none" w:sz="0" w:space="0" w:color="auto"/>
            <w:left w:val="none" w:sz="0" w:space="0" w:color="auto"/>
            <w:bottom w:val="none" w:sz="0" w:space="0" w:color="auto"/>
            <w:right w:val="none" w:sz="0" w:space="0" w:color="auto"/>
          </w:divBdr>
        </w:div>
        <w:div w:id="2135365336">
          <w:marLeft w:val="0"/>
          <w:marRight w:val="0"/>
          <w:marTop w:val="0"/>
          <w:marBottom w:val="0"/>
          <w:divBdr>
            <w:top w:val="none" w:sz="0" w:space="0" w:color="auto"/>
            <w:left w:val="none" w:sz="0" w:space="0" w:color="auto"/>
            <w:bottom w:val="none" w:sz="0" w:space="0" w:color="auto"/>
            <w:right w:val="none" w:sz="0" w:space="0" w:color="auto"/>
          </w:divBdr>
        </w:div>
        <w:div w:id="1689020390">
          <w:marLeft w:val="0"/>
          <w:marRight w:val="0"/>
          <w:marTop w:val="0"/>
          <w:marBottom w:val="0"/>
          <w:divBdr>
            <w:top w:val="none" w:sz="0" w:space="0" w:color="auto"/>
            <w:left w:val="none" w:sz="0" w:space="0" w:color="auto"/>
            <w:bottom w:val="none" w:sz="0" w:space="0" w:color="auto"/>
            <w:right w:val="none" w:sz="0" w:space="0" w:color="auto"/>
          </w:divBdr>
        </w:div>
        <w:div w:id="2122918294">
          <w:marLeft w:val="0"/>
          <w:marRight w:val="0"/>
          <w:marTop w:val="0"/>
          <w:marBottom w:val="0"/>
          <w:divBdr>
            <w:top w:val="none" w:sz="0" w:space="0" w:color="auto"/>
            <w:left w:val="none" w:sz="0" w:space="0" w:color="auto"/>
            <w:bottom w:val="none" w:sz="0" w:space="0" w:color="auto"/>
            <w:right w:val="none" w:sz="0" w:space="0" w:color="auto"/>
          </w:divBdr>
        </w:div>
        <w:div w:id="1677541150">
          <w:marLeft w:val="0"/>
          <w:marRight w:val="0"/>
          <w:marTop w:val="0"/>
          <w:marBottom w:val="0"/>
          <w:divBdr>
            <w:top w:val="none" w:sz="0" w:space="0" w:color="auto"/>
            <w:left w:val="none" w:sz="0" w:space="0" w:color="auto"/>
            <w:bottom w:val="none" w:sz="0" w:space="0" w:color="auto"/>
            <w:right w:val="none" w:sz="0" w:space="0" w:color="auto"/>
          </w:divBdr>
        </w:div>
        <w:div w:id="263080660">
          <w:marLeft w:val="0"/>
          <w:marRight w:val="0"/>
          <w:marTop w:val="0"/>
          <w:marBottom w:val="0"/>
          <w:divBdr>
            <w:top w:val="none" w:sz="0" w:space="0" w:color="auto"/>
            <w:left w:val="none" w:sz="0" w:space="0" w:color="auto"/>
            <w:bottom w:val="none" w:sz="0" w:space="0" w:color="auto"/>
            <w:right w:val="none" w:sz="0" w:space="0" w:color="auto"/>
          </w:divBdr>
        </w:div>
        <w:div w:id="1330522026">
          <w:marLeft w:val="0"/>
          <w:marRight w:val="0"/>
          <w:marTop w:val="0"/>
          <w:marBottom w:val="0"/>
          <w:divBdr>
            <w:top w:val="none" w:sz="0" w:space="0" w:color="auto"/>
            <w:left w:val="none" w:sz="0" w:space="0" w:color="auto"/>
            <w:bottom w:val="none" w:sz="0" w:space="0" w:color="auto"/>
            <w:right w:val="none" w:sz="0" w:space="0" w:color="auto"/>
          </w:divBdr>
        </w:div>
        <w:div w:id="978850402">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www.colombiacompra.gov.co%2Fsala-de-prensa%2Finfografias%2Finstructivo-para-visualizar-anexos-en-un-archivo-pdf&amp;data=05%7C01%7Cximena.rios%40colombiacompra.gov.co%7Cf9f4a07a72234150cf3308db259015fb%7C7b09041e245149d08cb179d5e3d8c1be%7C0%7C0%7C638145073009739527%7CUnknown%7CTWFpbGZsb3d8eyJWIjoiMC4wLjAwMDAiLCJQIjoiV2luMzIiLCJBTiI6Ik1haWwiLCJXVCI6Mn0%3D%7C3000%7C%7C%7C&amp;sdata=dGyLlA%2FC3SSaOPDAg6%2Bum%2FFyTrPZW3wY6LHczDFq6sA%3D&amp;reserved=0" TargetMode="External"/><Relationship Id="rId18" Type="http://schemas.openxmlformats.org/officeDocument/2006/relationships/hyperlink" Target="https://nam02.safelinks.protection.outlook.com/?url=https%3A%2F%2Fwww.colombiacompra.gov.co%2Fsala-de-prensa%2Fboletin-digital&amp;data=05%7C02%7Cximena.rios%40colombiacompra.gov.co%7C6192b0470d324981a09708dd0a6c28db%7C7b09041e245149d08cb179d5e3d8c1be%7C0%7C0%7C638678181873731554%7CUnknown%7CTWFpbGZsb3d8eyJFbXB0eU1hcGkiOnRydWUsIlYiOiIwLjAuMDAwMCIsIlAiOiJXaW4zMiIsIkFOIjoiTWFpbCIsIldUIjoyfQ%3D%3D%7C0%7C%7C%7C&amp;sdata=fMPgdsOWhADZlqGGOVDCexWpmOT6zzL6qchUFiD6Nd8%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arolinaneira.abogada@hotmail.com" TargetMode="External"/><Relationship Id="rId17" Type="http://schemas.openxmlformats.org/officeDocument/2006/relationships/hyperlink" Target="https://nam02.safelinks.protection.outlook.com/?url=https%3A%2F%2Fwww.sucop.gov.co%2Fentidades%2Fcolombiacompra%2FNormativa%3FIDNorma%3D19201&amp;data=05%7C02%7Cximena.rios%40colombiacompra.gov.co%7C6192b0470d324981a09708dd0a6c28db%7C7b09041e245149d08cb179d5e3d8c1be%7C0%7C0%7C638678181873713669%7CUnknown%7CTWFpbGZsb3d8eyJFbXB0eU1hcGkiOnRydWUsIlYiOiIwLjAuMDAwMCIsIlAiOiJXaW4zMiIsIkFOIjoiTWFpbCIsIldUIjoyfQ%3D%3D%7C0%7C%7C%7C&amp;sdata=hFxYQpvFAxUkkpzg%2FsfrqSHe3NcYPyCnInkq2O%2B41%2Bk%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convocatorias&amp;data=05%7C02%7Cximena.rios%40colombiacompra.gov.co%7C6192b0470d324981a09708dd0a6c28db%7C7b09041e245149d08cb179d5e3d8c1be%7C0%7C0%7C638678181873694182%7CUnknown%7CTWFpbGZsb3d8eyJFbXB0eU1hcGkiOnRydWUsIlYiOiIwLjAuMDAwMCIsIlAiOiJXaW4zMiIsIkFOIjoiTWFpbCIsIldUIjoyfQ%3D%3D%7C0%7C%7C%7C&amp;sdata=FU7p7p0hvZimDdiRtDa%2FwHeNosv3w9Z3m040BCu%2FHf0%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ites%2Fcce_public%2Ffiles%2Fcce_documents%2Fmanual_para_el_manejo_de_acuerdos_comerciales_vf.pdf&amp;data=05%7C02%7Cximena.rios%40colombiacompra.gov.co%7C6192b0470d324981a09708dd0a6c28db%7C7b09041e245149d08cb179d5e3d8c1be%7C0%7C0%7C638678181873662657%7CUnknown%7CTWFpbGZsb3d8eyJFbXB0eU1hcGkiOnRydWUsIlYiOiIwLjAuMDAwMCIsIlAiOiJXaW4zMiIsIkFOIjoiTWFpbCIsIldUIjoyfQ%3D%3D%7C0%7C%7C%7C&amp;sdata=tXt%2FvLKMV%2Fuf0BVO%2BSS%2BLWK6HcsvZXW8UPhbU9l72hk%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conceptos/c-065-de-202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3.xml><?xml version="1.0" encoding="utf-8"?>
<ds:datastoreItem xmlns:ds="http://schemas.openxmlformats.org/officeDocument/2006/customXml" ds:itemID="{01961EB9-298E-5F4D-BB0F-0287B7738F67}">
  <ds:schemaRefs>
    <ds:schemaRef ds:uri="http://schemas.openxmlformats.org/officeDocument/2006/bibliography"/>
  </ds:schemaRefs>
</ds:datastoreItem>
</file>

<file path=customXml/itemProps4.xml><?xml version="1.0" encoding="utf-8"?>
<ds:datastoreItem xmlns:ds="http://schemas.openxmlformats.org/officeDocument/2006/customXml" ds:itemID="{E2A7A2EC-ED72-4D3E-A2D7-D3078600519E}"/>
</file>

<file path=docProps/app.xml><?xml version="1.0" encoding="utf-8"?>
<Properties xmlns="http://schemas.openxmlformats.org/officeDocument/2006/extended-properties" xmlns:vt="http://schemas.openxmlformats.org/officeDocument/2006/docPropsVTypes">
  <Template>Normal</Template>
  <TotalTime>8</TotalTime>
  <Pages>13</Pages>
  <Words>4655</Words>
  <Characters>25607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30202</CharactersWithSpaces>
  <SharedDoc>false</SharedDoc>
  <HLinks>
    <vt:vector size="42" baseType="variant">
      <vt:variant>
        <vt:i4>2818171</vt:i4>
      </vt:variant>
      <vt:variant>
        <vt:i4>15</vt:i4>
      </vt:variant>
      <vt:variant>
        <vt:i4>0</vt:i4>
      </vt:variant>
      <vt:variant>
        <vt:i4>5</vt:i4>
      </vt:variant>
      <vt:variant>
        <vt:lpwstr>https://nam02.safelinks.protection.outlook.com/?url=https%3A%2F%2Fwww.colombiacompra.gov.co%2Fsala-de-prensa%2Fboletin-digital&amp;data=05%7C02%7Cximena.rios%40colombiacompra.gov.co%7C6192b0470d324981a09708dd0a6c28db%7C7b09041e245149d08cb179d5e3d8c1be%7C0%7C0%7C638678181873731554%7CUnknown%7CTWFpbGZsb3d8eyJFbXB0eU1hcGkiOnRydWUsIlYiOiIwLjAuMDAwMCIsIlAiOiJXaW4zMiIsIkFOIjoiTWFpbCIsIldUIjoyfQ%3D%3D%7C0%7C%7C%7C&amp;sdata=fMPgdsOWhADZlqGGOVDCexWpmOT6zzL6qchUFiD6Nd8%3D&amp;reserved=0</vt:lpwstr>
      </vt:variant>
      <vt:variant>
        <vt:lpwstr/>
      </vt:variant>
      <vt:variant>
        <vt:i4>7733304</vt:i4>
      </vt:variant>
      <vt:variant>
        <vt:i4>12</vt:i4>
      </vt:variant>
      <vt:variant>
        <vt:i4>0</vt:i4>
      </vt:variant>
      <vt:variant>
        <vt:i4>5</vt:i4>
      </vt:variant>
      <vt:variant>
        <vt:lpwstr>https://nam02.safelinks.protection.outlook.com/?url=https%3A%2F%2Fwww.sucop.gov.co%2Fentidades%2Fcolombiacompra%2FNormativa%3FIDNorma%3D19201&amp;data=05%7C02%7Cximena.rios%40colombiacompra.gov.co%7C6192b0470d324981a09708dd0a6c28db%7C7b09041e245149d08cb179d5e3d8c1be%7C0%7C0%7C638678181873713669%7CUnknown%7CTWFpbGZsb3d8eyJFbXB0eU1hcGkiOnRydWUsIlYiOiIwLjAuMDAwMCIsIlAiOiJXaW4zMiIsIkFOIjoiTWFpbCIsIldUIjoyfQ%3D%3D%7C0%7C%7C%7C&amp;sdata=hFxYQpvFAxUkkpzg%2FsfrqSHe3NcYPyCnInkq2O%2B41%2Bk%3D&amp;reserved=0</vt:lpwstr>
      </vt:variant>
      <vt:variant>
        <vt:lpwstr/>
      </vt:variant>
      <vt:variant>
        <vt:i4>6357099</vt:i4>
      </vt:variant>
      <vt:variant>
        <vt:i4>9</vt:i4>
      </vt:variant>
      <vt:variant>
        <vt:i4>0</vt:i4>
      </vt:variant>
      <vt:variant>
        <vt:i4>5</vt:i4>
      </vt:variant>
      <vt:variant>
        <vt:lpwstr>https://nam02.safelinks.protection.outlook.com/?url=https%3A%2F%2Fwww.colombiacompra.gov.co%2Fcontent%2Fconvocatorias&amp;data=05%7C02%7Cximena.rios%40colombiacompra.gov.co%7C6192b0470d324981a09708dd0a6c28db%7C7b09041e245149d08cb179d5e3d8c1be%7C0%7C0%7C638678181873694182%7CUnknown%7CTWFpbGZsb3d8eyJFbXB0eU1hcGkiOnRydWUsIlYiOiIwLjAuMDAwMCIsIlAiOiJXaW4zMiIsIkFOIjoiTWFpbCIsIldUIjoyfQ%3D%3D%7C0%7C%7C%7C&amp;sdata=FU7p7p0hvZimDdiRtDa%2FwHeNosv3w9Z3m040BCu%2FHf0%3D&amp;reserved=0</vt:lpwstr>
      </vt:variant>
      <vt:variant>
        <vt:lpwstr/>
      </vt:variant>
      <vt:variant>
        <vt:i4>2424847</vt:i4>
      </vt:variant>
      <vt:variant>
        <vt:i4>6</vt:i4>
      </vt:variant>
      <vt:variant>
        <vt:i4>0</vt:i4>
      </vt:variant>
      <vt:variant>
        <vt:i4>5</vt:i4>
      </vt:variant>
      <vt:variant>
        <vt:lpwstr>https://nam02.safelinks.protection.outlook.com/?url=https%3A%2F%2Fwww.colombiacompra.gov.co%2Fsites%2Fcce_public%2Ffiles%2Fcce_documents%2Fmanual_para_el_manejo_de_acuerdos_comerciales_vf.pdf&amp;data=05%7C02%7Cximena.rios%40colombiacompra.gov.co%7C6192b0470d324981a09708dd0a6c28db%7C7b09041e245149d08cb179d5e3d8c1be%7C0%7C0%7C638678181873662657%7CUnknown%7CTWFpbGZsb3d8eyJFbXB0eU1hcGkiOnRydWUsIlYiOiIwLjAuMDAwMCIsIlAiOiJXaW4zMiIsIkFOIjoiTWFpbCIsIldUIjoyfQ%3D%3D%7C0%7C%7C%7C&amp;sdata=tXt%2FvLKMV%2Fuf0BVO%2BSS%2BLWK6HcsvZXW8UPhbU9l72hk%3D&amp;reserved=0</vt:lpwstr>
      </vt:variant>
      <vt:variant>
        <vt:lpwstr/>
      </vt:variant>
      <vt:variant>
        <vt:i4>1900622</vt:i4>
      </vt:variant>
      <vt:variant>
        <vt:i4>3</vt:i4>
      </vt:variant>
      <vt:variant>
        <vt:i4>0</vt:i4>
      </vt:variant>
      <vt:variant>
        <vt:i4>5</vt:i4>
      </vt:variant>
      <vt:variant>
        <vt:lpwstr>https://relatoria.colombiacompra.gov.co/</vt:lpwstr>
      </vt:variant>
      <vt:variant>
        <vt:lpwstr/>
      </vt:variant>
      <vt:variant>
        <vt:i4>393342</vt:i4>
      </vt:variant>
      <vt:variant>
        <vt:i4>0</vt:i4>
      </vt:variant>
      <vt:variant>
        <vt:i4>0</vt:i4>
      </vt:variant>
      <vt:variant>
        <vt:i4>5</vt:i4>
      </vt:variant>
      <vt:variant>
        <vt:lpwstr>mailto:carolinaneira.abogada@hotmail.com</vt:lpwstr>
      </vt:variant>
      <vt:variant>
        <vt:lpwstr/>
      </vt:variant>
      <vt:variant>
        <vt:i4>6094858</vt:i4>
      </vt:variant>
      <vt:variant>
        <vt:i4>0</vt:i4>
      </vt:variant>
      <vt:variant>
        <vt:i4>0</vt:i4>
      </vt:variant>
      <vt:variant>
        <vt:i4>5</vt:i4>
      </vt:variant>
      <vt:variant>
        <vt:lpwstr>https://relatoria.colombiacompra.gov.co/conceptos/c-065-de-2024/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4</cp:revision>
  <cp:lastPrinted>2023-01-10T21:18:00Z</cp:lastPrinted>
  <dcterms:created xsi:type="dcterms:W3CDTF">2024-12-11T22:26:00Z</dcterms:created>
  <dcterms:modified xsi:type="dcterms:W3CDTF">2024-12-24T16:58:00Z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