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BA837" w14:textId="77777777" w:rsidR="00566170" w:rsidRPr="00396DBB" w:rsidRDefault="00566170" w:rsidP="00566170">
      <w:pPr>
        <w:pStyle w:val="Textoindependiente"/>
        <w:spacing w:after="0" w:line="240" w:lineRule="auto"/>
        <w:ind w:right="102"/>
        <w:jc w:val="both"/>
        <w:rPr>
          <w:rFonts w:ascii="Verdana" w:hAnsi="Verdana" w:cs="Arial"/>
          <w:b/>
          <w:color w:val="000000" w:themeColor="text1"/>
          <w:sz w:val="20"/>
          <w:szCs w:val="20"/>
          <w:lang w:val="es-ES_tradnl"/>
        </w:rPr>
      </w:pPr>
    </w:p>
    <w:p w14:paraId="55D11002" w14:textId="77777777" w:rsidR="00566170" w:rsidRPr="00396DBB" w:rsidRDefault="00566170" w:rsidP="00566170">
      <w:pPr>
        <w:pStyle w:val="Textoindependiente"/>
        <w:spacing w:after="0" w:line="240" w:lineRule="auto"/>
        <w:ind w:right="102"/>
        <w:jc w:val="both"/>
        <w:rPr>
          <w:rFonts w:ascii="Verdana" w:hAnsi="Verdana" w:cs="Arial"/>
          <w:b/>
          <w:color w:val="000000" w:themeColor="text1"/>
          <w:lang w:val="es-ES_tradnl"/>
        </w:rPr>
      </w:pPr>
      <w:r>
        <w:rPr>
          <w:rFonts w:ascii="Verdana" w:hAnsi="Verdana" w:cs="Arial"/>
          <w:b/>
          <w:color w:val="000000" w:themeColor="text1"/>
          <w:lang w:val="es-ES_tradnl"/>
        </w:rPr>
        <w:t>CONTRATO ESTATAL</w:t>
      </w:r>
      <w:r w:rsidRPr="00396DBB">
        <w:rPr>
          <w:rFonts w:ascii="Verdana" w:hAnsi="Verdana" w:cs="Arial"/>
          <w:b/>
          <w:color w:val="000000" w:themeColor="text1"/>
          <w:lang w:val="es-ES_tradnl"/>
        </w:rPr>
        <w:t xml:space="preserve"> – </w:t>
      </w:r>
      <w:r>
        <w:rPr>
          <w:rFonts w:ascii="Verdana" w:hAnsi="Verdana" w:cs="Arial"/>
          <w:b/>
          <w:color w:val="000000" w:themeColor="text1"/>
          <w:lang w:val="es-ES_tradnl"/>
        </w:rPr>
        <w:t>Régimen jurídico</w:t>
      </w:r>
      <w:r w:rsidRPr="00396DBB">
        <w:rPr>
          <w:rFonts w:ascii="Verdana" w:hAnsi="Verdana" w:cs="Arial"/>
          <w:b/>
          <w:color w:val="000000" w:themeColor="text1"/>
          <w:lang w:val="es-ES_tradnl"/>
        </w:rPr>
        <w:t xml:space="preserve"> </w:t>
      </w:r>
    </w:p>
    <w:p w14:paraId="5060083F" w14:textId="77777777" w:rsidR="00566170" w:rsidRPr="00396DBB" w:rsidRDefault="00566170" w:rsidP="00566170">
      <w:pPr>
        <w:pStyle w:val="Textoindependiente"/>
        <w:spacing w:after="0" w:line="240" w:lineRule="auto"/>
        <w:ind w:right="102"/>
        <w:jc w:val="both"/>
        <w:rPr>
          <w:rFonts w:ascii="Verdana" w:hAnsi="Verdana" w:cs="Arial"/>
          <w:color w:val="000000" w:themeColor="text1"/>
          <w:sz w:val="20"/>
          <w:szCs w:val="20"/>
          <w:lang w:val="es-ES_tradnl"/>
        </w:rPr>
      </w:pPr>
    </w:p>
    <w:p w14:paraId="0F294BD4" w14:textId="77777777" w:rsidR="00566170" w:rsidRDefault="00566170" w:rsidP="00566170">
      <w:pPr>
        <w:spacing w:after="0" w:line="240" w:lineRule="auto"/>
        <w:jc w:val="both"/>
        <w:rPr>
          <w:rFonts w:ascii="Verdana" w:eastAsia="Arial" w:hAnsi="Verdana" w:cs="Arial"/>
          <w:color w:val="000000" w:themeColor="text1"/>
          <w:sz w:val="20"/>
          <w:szCs w:val="20"/>
        </w:rPr>
      </w:pPr>
      <w:r>
        <w:rPr>
          <w:rFonts w:ascii="Verdana" w:eastAsia="Arial" w:hAnsi="Verdana" w:cs="Arial"/>
          <w:color w:val="000000" w:themeColor="text1"/>
          <w:sz w:val="20"/>
          <w:szCs w:val="20"/>
          <w:lang w:val="es-ES"/>
        </w:rPr>
        <w:t>E</w:t>
      </w:r>
      <w:r w:rsidRPr="00FB1576">
        <w:rPr>
          <w:rFonts w:ascii="Verdana" w:eastAsia="Arial" w:hAnsi="Verdana" w:cs="Arial"/>
          <w:color w:val="000000" w:themeColor="text1"/>
          <w:sz w:val="20"/>
          <w:szCs w:val="20"/>
          <w:lang w:val="es-ES"/>
        </w:rPr>
        <w:t xml:space="preserve">l Estatuto General de Contratación de la Administración Pública define los contratos de obra, consultoría, prestación de servicios, concesión, encargos fiduciarios y fiducia pública. Sin embargo, se trata de un listado enunciativo, pues la Ley 80 de 1993 se integra con las tipologías contractuales previstas en el derecho privado. Por ello, </w:t>
      </w:r>
      <w:r w:rsidRPr="00FB1576">
        <w:rPr>
          <w:rFonts w:ascii="Verdana" w:eastAsia="Arial" w:hAnsi="Verdana" w:cs="Arial"/>
          <w:color w:val="000000" w:themeColor="text1"/>
          <w:sz w:val="20"/>
          <w:szCs w:val="20"/>
        </w:rPr>
        <w:t>el inciso primero del artículo 13 dispone que “Los contratos que celebren las entidades a que se refiere el artículo 2o. del presente estatuto se regirán por las disposiciones comerciales y civiles pertinentes, salvo en las materias particularmente reguladas en esta ley”.</w:t>
      </w:r>
    </w:p>
    <w:p w14:paraId="3E4ECFEB" w14:textId="77777777" w:rsidR="00566170" w:rsidRDefault="00566170" w:rsidP="00566170">
      <w:pPr>
        <w:spacing w:after="0" w:line="240" w:lineRule="auto"/>
        <w:jc w:val="both"/>
        <w:rPr>
          <w:rFonts w:ascii="Verdana" w:eastAsia="Arial" w:hAnsi="Verdana" w:cs="Arial"/>
          <w:color w:val="000000" w:themeColor="text1"/>
          <w:sz w:val="20"/>
          <w:szCs w:val="20"/>
        </w:rPr>
      </w:pPr>
    </w:p>
    <w:p w14:paraId="708B4448" w14:textId="77777777" w:rsidR="00566170" w:rsidRPr="00FB1576" w:rsidRDefault="00566170" w:rsidP="00566170">
      <w:pPr>
        <w:spacing w:after="0" w:line="240" w:lineRule="auto"/>
        <w:jc w:val="both"/>
        <w:rPr>
          <w:rFonts w:ascii="Verdana" w:eastAsia="Arial" w:hAnsi="Verdana" w:cs="Arial"/>
          <w:color w:val="000000" w:themeColor="text1"/>
          <w:sz w:val="20"/>
          <w:szCs w:val="20"/>
        </w:rPr>
      </w:pPr>
      <w:r w:rsidRPr="00BE364D">
        <w:rPr>
          <w:rFonts w:ascii="Verdana" w:eastAsia="Arial" w:hAnsi="Verdana" w:cs="Arial"/>
          <w:color w:val="000000" w:themeColor="text1"/>
          <w:sz w:val="20"/>
          <w:szCs w:val="20"/>
        </w:rPr>
        <w:t>Ello no implica una privatización absoluta del régimen contractual de las entidades públicas, pues la Ley 80 de 1993 –entre otros aspectos– regula especialmente la capacidad jurídica –inhabilidades, incompatibilidades, consorcios y uniones temporales y registro único de proponentes–, las reglas de 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las normas de derecho privado. Esta precisión es importante, porque el comodato se encuentra tipificado en el Código Civil y allí se encuentra gran parte de su régimen jurídico.</w:t>
      </w:r>
      <w:r w:rsidRPr="00FB1576">
        <w:rPr>
          <w:rFonts w:ascii="Verdana" w:eastAsia="Arial" w:hAnsi="Verdana" w:cs="Arial"/>
          <w:color w:val="000000" w:themeColor="text1"/>
          <w:sz w:val="20"/>
          <w:szCs w:val="20"/>
        </w:rPr>
        <w:t xml:space="preserve"> </w:t>
      </w:r>
    </w:p>
    <w:p w14:paraId="29C77D29" w14:textId="77777777" w:rsidR="00566170" w:rsidRPr="00396DBB" w:rsidRDefault="00566170" w:rsidP="00566170">
      <w:pPr>
        <w:spacing w:after="0" w:line="240" w:lineRule="auto"/>
        <w:jc w:val="both"/>
        <w:rPr>
          <w:rFonts w:ascii="Verdana" w:eastAsia="Calibri" w:hAnsi="Verdana" w:cs="Arial"/>
          <w:b/>
          <w:color w:val="000000" w:themeColor="text1"/>
          <w:lang w:val="es-ES_tradnl"/>
        </w:rPr>
      </w:pPr>
    </w:p>
    <w:p w14:paraId="6519633C" w14:textId="77777777" w:rsidR="00566170" w:rsidRPr="00396DBB" w:rsidRDefault="00566170" w:rsidP="00566170">
      <w:pPr>
        <w:spacing w:after="0" w:line="240" w:lineRule="auto"/>
        <w:jc w:val="both"/>
        <w:rPr>
          <w:rFonts w:ascii="Verdana" w:eastAsia="Calibri" w:hAnsi="Verdana" w:cs="Arial"/>
          <w:b/>
          <w:color w:val="000000" w:themeColor="text1"/>
          <w:lang w:val="es-ES_tradnl"/>
        </w:rPr>
      </w:pPr>
      <w:r>
        <w:rPr>
          <w:rFonts w:ascii="Verdana" w:eastAsia="Calibri" w:hAnsi="Verdana" w:cs="Arial"/>
          <w:b/>
          <w:color w:val="000000" w:themeColor="text1"/>
          <w:lang w:val="es-ES_tradnl"/>
        </w:rPr>
        <w:t>CONTRATO DE COMODATO</w:t>
      </w:r>
      <w:r w:rsidRPr="00396DBB">
        <w:rPr>
          <w:rFonts w:ascii="Verdana" w:eastAsia="Calibri" w:hAnsi="Verdana" w:cs="Arial"/>
          <w:b/>
          <w:color w:val="000000" w:themeColor="text1"/>
          <w:lang w:val="es-ES_tradnl"/>
        </w:rPr>
        <w:t xml:space="preserve"> – </w:t>
      </w:r>
      <w:r>
        <w:rPr>
          <w:rFonts w:ascii="Verdana" w:eastAsia="Calibri" w:hAnsi="Verdana" w:cs="Arial"/>
          <w:b/>
          <w:color w:val="000000" w:themeColor="text1"/>
          <w:lang w:val="es-ES_tradnl"/>
        </w:rPr>
        <w:t xml:space="preserve">Reglas vigentes </w:t>
      </w:r>
      <w:r w:rsidRPr="00396DBB">
        <w:rPr>
          <w:rFonts w:ascii="Verdana" w:eastAsia="Calibri" w:hAnsi="Verdana" w:cs="Arial"/>
          <w:b/>
          <w:color w:val="000000" w:themeColor="text1"/>
          <w:lang w:val="es-ES_tradnl"/>
        </w:rPr>
        <w:t xml:space="preserve"> </w:t>
      </w:r>
    </w:p>
    <w:p w14:paraId="1A00F0BB" w14:textId="77777777" w:rsidR="00566170" w:rsidRPr="00396DBB" w:rsidRDefault="00566170" w:rsidP="00566170">
      <w:pPr>
        <w:spacing w:after="0" w:line="240" w:lineRule="auto"/>
        <w:jc w:val="both"/>
        <w:rPr>
          <w:rFonts w:ascii="Verdana" w:eastAsia="Calibri" w:hAnsi="Verdana" w:cs="Arial"/>
          <w:bCs/>
          <w:color w:val="000000" w:themeColor="text1"/>
          <w:sz w:val="20"/>
          <w:szCs w:val="20"/>
          <w:lang w:val="es-ES_tradnl"/>
        </w:rPr>
      </w:pPr>
    </w:p>
    <w:p w14:paraId="311FFA0B" w14:textId="77777777" w:rsidR="00566170" w:rsidRDefault="00566170" w:rsidP="00566170">
      <w:pPr>
        <w:spacing w:after="0" w:line="240" w:lineRule="auto"/>
        <w:jc w:val="both"/>
        <w:rPr>
          <w:rFonts w:ascii="Verdana" w:hAnsi="Verdana" w:cs="Arial"/>
          <w:color w:val="000000" w:themeColor="text1"/>
          <w:sz w:val="20"/>
          <w:szCs w:val="20"/>
          <w:lang w:val="es-ES_tradnl"/>
        </w:rPr>
      </w:pPr>
      <w:r>
        <w:rPr>
          <w:rFonts w:ascii="Verdana" w:hAnsi="Verdana" w:cs="Arial"/>
          <w:color w:val="000000" w:themeColor="text1"/>
          <w:sz w:val="20"/>
          <w:szCs w:val="20"/>
        </w:rPr>
        <w:t>E</w:t>
      </w:r>
      <w:r w:rsidRPr="00BE364D">
        <w:rPr>
          <w:rFonts w:ascii="Verdana" w:hAnsi="Verdana" w:cs="Arial"/>
          <w:color w:val="000000" w:themeColor="text1"/>
          <w:sz w:val="20"/>
          <w:szCs w:val="20"/>
        </w:rPr>
        <w:t xml:space="preserve">l marco jurídico vigente de los contratos de comodato se rige por las siguiente reglas: i) 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por un término máximo de cinco (5) años, renovables, de acuerdo con el artículo 38 de la Ley 9 de 1989; </w:t>
      </w:r>
      <w:proofErr w:type="spellStart"/>
      <w:r w:rsidRPr="00BE364D">
        <w:rPr>
          <w:rFonts w:ascii="Verdana" w:hAnsi="Verdana" w:cs="Arial"/>
          <w:color w:val="000000" w:themeColor="text1"/>
          <w:sz w:val="20"/>
          <w:szCs w:val="20"/>
        </w:rPr>
        <w:t>ii</w:t>
      </w:r>
      <w:proofErr w:type="spellEnd"/>
      <w:r w:rsidRPr="00BE364D">
        <w:rPr>
          <w:rFonts w:ascii="Verdana" w:hAnsi="Verdana" w:cs="Arial"/>
          <w:color w:val="000000" w:themeColor="text1"/>
          <w:sz w:val="20"/>
          <w:szCs w:val="20"/>
        </w:rPr>
        <w:t xml:space="preserve">) las entidades estatales pueden celebrar contratos de comodato de bienes muebles entre sí, de acuerdo con las reglas del Código Civil; </w:t>
      </w:r>
      <w:proofErr w:type="spellStart"/>
      <w:r w:rsidRPr="00BE364D">
        <w:rPr>
          <w:rFonts w:ascii="Verdana" w:hAnsi="Verdana" w:cs="Arial"/>
          <w:color w:val="000000" w:themeColor="text1"/>
          <w:sz w:val="20"/>
          <w:szCs w:val="20"/>
        </w:rPr>
        <w:t>iii</w:t>
      </w:r>
      <w:proofErr w:type="spellEnd"/>
      <w:r w:rsidRPr="00BE364D">
        <w:rPr>
          <w:rFonts w:ascii="Verdana" w:hAnsi="Verdana" w:cs="Arial"/>
          <w:color w:val="000000" w:themeColor="text1"/>
          <w:sz w:val="20"/>
          <w:szCs w:val="20"/>
        </w:rPr>
        <w:t xml:space="preserve">) en virtud del artículo 355 de la Constitución Política, las entidades estatales pueden entregar en comodato sus bienes muebles a entidades privadas sin ánimo de lucro, y el tiempo de duración del contrato estará sujeto en todo caso a la actividad misional de la respectiva entidad estatal de acuerdo con lo previsto en el artículo 96 de la Ley 489 de 1998 y; </w:t>
      </w:r>
      <w:proofErr w:type="spellStart"/>
      <w:r w:rsidRPr="00BE364D">
        <w:rPr>
          <w:rFonts w:ascii="Verdana" w:hAnsi="Verdana" w:cs="Arial"/>
          <w:color w:val="000000" w:themeColor="text1"/>
          <w:sz w:val="20"/>
          <w:szCs w:val="20"/>
        </w:rPr>
        <w:t>iv</w:t>
      </w:r>
      <w:proofErr w:type="spellEnd"/>
      <w:r w:rsidRPr="00BE364D">
        <w:rPr>
          <w:rFonts w:ascii="Verdana" w:hAnsi="Verdana" w:cs="Arial"/>
          <w:color w:val="000000" w:themeColor="text1"/>
          <w:sz w:val="20"/>
          <w:szCs w:val="20"/>
        </w:rPr>
        <w:t>) las entidades estatales pueden celebrar contratos de comodato con privados, actuando en calidad de comodatarias, caso en el cual no tienen restricción normativa para celebrar este tipo de contratos, con fundamento en la autonomía de la voluntad que establece el artículo 32 de la Ley 80 de 1993, sin perjuicio del cumplimiento de los principios constitucionales aplicables a la función administrativa y los de la contratación estatal. En estos eventos, sin perjuicio de las reglas especiales previstas en el EGCAP, el tipo contractual se rige por los artículos 2200 al 2220, dada la remisión expresa del artículo 13 de la Ley 80 de 1993 en cuanto al régimen aplicable a los contratos estatales.</w:t>
      </w:r>
    </w:p>
    <w:p w14:paraId="12C4AFB9" w14:textId="77777777" w:rsidR="00566170" w:rsidRPr="00566170" w:rsidRDefault="00566170" w:rsidP="006E0A29">
      <w:pPr>
        <w:spacing w:after="0" w:line="240" w:lineRule="auto"/>
        <w:jc w:val="both"/>
        <w:rPr>
          <w:rFonts w:ascii="Verdana" w:eastAsia="Geomanist Light" w:hAnsi="Verdana" w:cs="Arial"/>
          <w:color w:val="000000" w:themeColor="text1"/>
          <w:lang w:val="es-ES_tradnl"/>
        </w:rPr>
      </w:pPr>
    </w:p>
    <w:p w14:paraId="7B0033EF" w14:textId="77777777" w:rsidR="00566170" w:rsidRDefault="00566170" w:rsidP="006E0A29">
      <w:pPr>
        <w:spacing w:after="0" w:line="240" w:lineRule="auto"/>
        <w:jc w:val="both"/>
        <w:rPr>
          <w:rFonts w:ascii="Verdana" w:eastAsia="Geomanist Light" w:hAnsi="Verdana" w:cs="Arial"/>
          <w:color w:val="000000" w:themeColor="text1"/>
          <w:lang w:val="es-MX"/>
        </w:rPr>
      </w:pPr>
    </w:p>
    <w:p w14:paraId="3A75F8AF" w14:textId="77777777" w:rsidR="00566170" w:rsidRDefault="00566170" w:rsidP="006E0A29">
      <w:pPr>
        <w:spacing w:after="0" w:line="240" w:lineRule="auto"/>
        <w:jc w:val="both"/>
        <w:rPr>
          <w:rFonts w:ascii="Verdana" w:eastAsia="Geomanist Light" w:hAnsi="Verdana" w:cs="Arial"/>
          <w:color w:val="000000" w:themeColor="text1"/>
          <w:lang w:val="es-MX"/>
        </w:rPr>
      </w:pPr>
    </w:p>
    <w:p w14:paraId="5032C3B7" w14:textId="4FA2FAA2" w:rsidR="006E0A29" w:rsidRPr="006E0A29" w:rsidRDefault="00A60141" w:rsidP="006E0A29">
      <w:pPr>
        <w:spacing w:after="0" w:line="240" w:lineRule="auto"/>
        <w:jc w:val="both"/>
        <w:rPr>
          <w:rFonts w:ascii="Verdana" w:eastAsia="Geomanist Light" w:hAnsi="Verdana" w:cs="Arial"/>
          <w:color w:val="201F1E"/>
        </w:rPr>
      </w:pPr>
      <w:r w:rsidRPr="00593A5F">
        <w:rPr>
          <w:rFonts w:ascii="Verdana" w:eastAsia="Geomanist Light" w:hAnsi="Verdana" w:cs="Arial"/>
          <w:color w:val="000000" w:themeColor="text1"/>
          <w:lang w:val="es-MX"/>
        </w:rPr>
        <w:lastRenderedPageBreak/>
        <w:t>Bogotá D.C., </w:t>
      </w:r>
      <w:r w:rsidR="006E0A29" w:rsidRPr="006E0A29">
        <w:rPr>
          <w:rFonts w:ascii="Verdana" w:eastAsia="Geomanist Light" w:hAnsi="Verdana" w:cs="Arial"/>
          <w:color w:val="201F1E"/>
        </w:rPr>
        <w:t>11 de Diciembre de 2024</w:t>
      </w:r>
    </w:p>
    <w:p w14:paraId="6F0829F4" w14:textId="468B2350" w:rsidR="00A60141" w:rsidRPr="006E0A29" w:rsidRDefault="00A60141" w:rsidP="00A60141">
      <w:pPr>
        <w:spacing w:after="0" w:line="240" w:lineRule="auto"/>
        <w:jc w:val="both"/>
        <w:rPr>
          <w:rFonts w:ascii="Verdana" w:hAnsi="Verdana" w:cs="Arial"/>
          <w:color w:val="000000" w:themeColor="text1"/>
          <w:sz w:val="20"/>
          <w:szCs w:val="20"/>
        </w:rPr>
      </w:pPr>
    </w:p>
    <w:p w14:paraId="273E759F" w14:textId="62779F7A" w:rsidR="00A60141" w:rsidRPr="006E0A29" w:rsidRDefault="006E0A29" w:rsidP="006E0A29">
      <w:pPr>
        <w:spacing w:after="0" w:line="240" w:lineRule="auto"/>
        <w:jc w:val="right"/>
        <w:rPr>
          <w:rFonts w:ascii="Verdana" w:eastAsia="Calibri" w:hAnsi="Verdana" w:cs="Arial"/>
          <w:color w:val="000000"/>
        </w:rPr>
      </w:pPr>
      <w:r w:rsidRPr="006E0A29">
        <w:rPr>
          <w:rFonts w:ascii="Verdana" w:eastAsia="Calibri" w:hAnsi="Verdana" w:cs="Arial"/>
          <w:noProof/>
          <w:color w:val="000000"/>
        </w:rPr>
        <w:drawing>
          <wp:inline distT="0" distB="0" distL="0" distR="0" wp14:anchorId="222DF319" wp14:editId="57D3CF83">
            <wp:extent cx="3238500" cy="901700"/>
            <wp:effectExtent l="0" t="0" r="0" b="0"/>
            <wp:docPr id="522721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72148" name=""/>
                    <pic:cNvPicPr/>
                  </pic:nvPicPr>
                  <pic:blipFill>
                    <a:blip r:embed="rId10"/>
                    <a:stretch>
                      <a:fillRect/>
                    </a:stretch>
                  </pic:blipFill>
                  <pic:spPr>
                    <a:xfrm>
                      <a:off x="0" y="0"/>
                      <a:ext cx="3238500" cy="901700"/>
                    </a:xfrm>
                    <a:prstGeom prst="rect">
                      <a:avLst/>
                    </a:prstGeom>
                  </pic:spPr>
                </pic:pic>
              </a:graphicData>
            </a:graphic>
          </wp:inline>
        </w:drawing>
      </w:r>
    </w:p>
    <w:p w14:paraId="22331188" w14:textId="77777777" w:rsidR="00A60141" w:rsidRPr="00593A5F" w:rsidRDefault="00A60141" w:rsidP="00A60141">
      <w:pPr>
        <w:spacing w:after="0" w:line="240" w:lineRule="auto"/>
        <w:jc w:val="both"/>
        <w:rPr>
          <w:rFonts w:ascii="Verdana" w:eastAsia="Calibri" w:hAnsi="Verdana" w:cs="Arial"/>
          <w:color w:val="000000"/>
          <w:lang w:val="es-ES"/>
        </w:rPr>
      </w:pPr>
    </w:p>
    <w:p w14:paraId="1C344DCC" w14:textId="77777777" w:rsidR="00A60141" w:rsidRPr="00B96799" w:rsidRDefault="00A60141" w:rsidP="00A60141">
      <w:pPr>
        <w:spacing w:after="0" w:line="240" w:lineRule="auto"/>
        <w:jc w:val="both"/>
        <w:rPr>
          <w:rFonts w:ascii="Verdana" w:eastAsia="Calibri" w:hAnsi="Verdana" w:cs="Arial"/>
          <w:lang w:val="es-ES" w:eastAsia="es-ES"/>
        </w:rPr>
      </w:pPr>
      <w:r>
        <w:rPr>
          <w:rFonts w:ascii="Verdana" w:eastAsia="Calibri" w:hAnsi="Verdana" w:cs="Arial"/>
          <w:lang w:val="es-ES" w:eastAsia="es-ES"/>
        </w:rPr>
        <w:t>Señor</w:t>
      </w:r>
    </w:p>
    <w:p w14:paraId="1D995837" w14:textId="77777777" w:rsidR="00A60141" w:rsidRPr="00A60141" w:rsidRDefault="00A60141" w:rsidP="00A60141">
      <w:pPr>
        <w:spacing w:after="0" w:line="240" w:lineRule="auto"/>
        <w:rPr>
          <w:rFonts w:ascii="Verdana" w:eastAsia="Calibri" w:hAnsi="Verdana" w:cs="Arial"/>
          <w:b/>
          <w:lang w:eastAsia="es-ES_tradnl"/>
        </w:rPr>
      </w:pPr>
      <w:r w:rsidRPr="00A60141">
        <w:rPr>
          <w:rFonts w:ascii="Verdana" w:eastAsia="Calibri" w:hAnsi="Verdana" w:cs="Arial"/>
          <w:b/>
          <w:lang w:eastAsia="es-ES_tradnl"/>
        </w:rPr>
        <w:t xml:space="preserve">John Deivi Sánchez Morales </w:t>
      </w:r>
    </w:p>
    <w:p w14:paraId="1ED9E5F0" w14:textId="77777777" w:rsidR="00A60141" w:rsidRPr="00A60141" w:rsidRDefault="00A60141" w:rsidP="00A60141">
      <w:pPr>
        <w:spacing w:after="0" w:line="240" w:lineRule="auto"/>
        <w:rPr>
          <w:rFonts w:ascii="Verdana" w:eastAsia="Calibri" w:hAnsi="Verdana" w:cs="Arial"/>
          <w:lang w:eastAsia="es-ES"/>
        </w:rPr>
      </w:pPr>
      <w:hyperlink r:id="rId11" w:history="1">
        <w:r w:rsidRPr="00A60141">
          <w:rPr>
            <w:rStyle w:val="Hipervnculo"/>
            <w:rFonts w:ascii="Verdana" w:hAnsi="Verdana"/>
          </w:rPr>
          <w:t>desarrollosocial@armenia.gov.co</w:t>
        </w:r>
      </w:hyperlink>
      <w:r w:rsidRPr="00A60141">
        <w:rPr>
          <w:rFonts w:ascii="Verdana" w:hAnsi="Verdana"/>
        </w:rPr>
        <w:t xml:space="preserve">      </w:t>
      </w:r>
      <w:r w:rsidRPr="00A60141">
        <w:rPr>
          <w:rFonts w:ascii="Verdana" w:eastAsia="Calibri" w:hAnsi="Verdana" w:cs="Arial"/>
          <w:lang w:eastAsia="es-ES"/>
        </w:rPr>
        <w:t xml:space="preserve">    </w:t>
      </w:r>
    </w:p>
    <w:p w14:paraId="2856E541" w14:textId="77777777" w:rsidR="00A60141" w:rsidRDefault="00A60141" w:rsidP="00A60141">
      <w:pPr>
        <w:spacing w:after="0" w:line="240" w:lineRule="auto"/>
        <w:rPr>
          <w:rFonts w:ascii="Verdana" w:eastAsia="Calibri" w:hAnsi="Verdana" w:cs="Arial"/>
          <w:lang w:val="es-ES" w:eastAsia="es-ES"/>
        </w:rPr>
      </w:pPr>
      <w:r w:rsidRPr="004D5AF6">
        <w:rPr>
          <w:rFonts w:ascii="Verdana" w:eastAsia="Calibri" w:hAnsi="Verdana" w:cs="Arial"/>
          <w:lang w:val="es-ES" w:eastAsia="es-ES"/>
        </w:rPr>
        <w:t>Armenia</w:t>
      </w:r>
      <w:r>
        <w:rPr>
          <w:rFonts w:ascii="Verdana" w:eastAsia="Calibri" w:hAnsi="Verdana" w:cs="Arial"/>
          <w:lang w:val="es-ES" w:eastAsia="es-ES"/>
        </w:rPr>
        <w:t xml:space="preserve">, </w:t>
      </w:r>
      <w:r w:rsidRPr="004D5AF6">
        <w:rPr>
          <w:rFonts w:ascii="Verdana" w:eastAsia="Calibri" w:hAnsi="Verdana" w:cs="Arial"/>
          <w:lang w:val="es-ES" w:eastAsia="es-ES"/>
        </w:rPr>
        <w:t>Quindío</w:t>
      </w:r>
      <w:r>
        <w:rPr>
          <w:rFonts w:ascii="Verdana" w:eastAsia="Calibri" w:hAnsi="Verdana" w:cs="Arial"/>
          <w:lang w:val="es-ES" w:eastAsia="es-ES"/>
        </w:rPr>
        <w:t xml:space="preserve"> </w:t>
      </w:r>
    </w:p>
    <w:p w14:paraId="28A5C9E1" w14:textId="77777777" w:rsidR="00A60141" w:rsidRPr="00593A5F" w:rsidRDefault="00A60141" w:rsidP="00A60141">
      <w:pPr>
        <w:spacing w:after="0" w:line="240" w:lineRule="auto"/>
        <w:rPr>
          <w:rFonts w:ascii="Verdana" w:eastAsia="Calibri" w:hAnsi="Verdana" w:cs="Arial"/>
          <w:b/>
          <w:bCs/>
          <w:color w:val="000000"/>
          <w:lang w:val="es-ES_tradnl" w:eastAsia="es-ES_tradnl"/>
        </w:rPr>
      </w:pPr>
    </w:p>
    <w:p w14:paraId="7B3E795A" w14:textId="77777777" w:rsidR="00A60141" w:rsidRPr="00593A5F" w:rsidRDefault="00A60141" w:rsidP="00A60141">
      <w:pPr>
        <w:spacing w:after="0" w:line="240" w:lineRule="auto"/>
        <w:rPr>
          <w:rFonts w:ascii="Verdana" w:eastAsia="Calibri" w:hAnsi="Verdana"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100"/>
      </w:tblGrid>
      <w:tr w:rsidR="00A60141" w:rsidRPr="00593A5F" w14:paraId="29C39D6A" w14:textId="77777777" w:rsidTr="009C3D49">
        <w:trPr>
          <w:trHeight w:val="884"/>
        </w:trPr>
        <w:tc>
          <w:tcPr>
            <w:tcW w:w="2689" w:type="dxa"/>
          </w:tcPr>
          <w:p w14:paraId="26C26FE0" w14:textId="77777777" w:rsidR="00A60141" w:rsidRPr="00C00976" w:rsidRDefault="00A60141" w:rsidP="009C3D49">
            <w:pPr>
              <w:jc w:val="both"/>
              <w:rPr>
                <w:rFonts w:ascii="Verdana" w:eastAsia="Calibri" w:hAnsi="Verdana" w:cs="Arial"/>
                <w:b/>
                <w:bCs/>
                <w:color w:val="7030A0"/>
                <w:lang w:val="es-ES_tradnl" w:eastAsia="es-ES_tradnl"/>
              </w:rPr>
            </w:pPr>
          </w:p>
        </w:tc>
        <w:tc>
          <w:tcPr>
            <w:tcW w:w="6100" w:type="dxa"/>
          </w:tcPr>
          <w:p w14:paraId="0C4AB9B9" w14:textId="77777777" w:rsidR="00A60141" w:rsidRPr="00C00976" w:rsidRDefault="00A60141" w:rsidP="009C3D49">
            <w:pPr>
              <w:jc w:val="both"/>
              <w:rPr>
                <w:rFonts w:ascii="Verdana" w:eastAsia="Calibri" w:hAnsi="Verdana" w:cs="Arial"/>
                <w:b/>
                <w:bCs/>
                <w:color w:val="7030A0"/>
                <w:lang w:val="es-ES" w:eastAsia="es-ES"/>
              </w:rPr>
            </w:pPr>
            <w:r w:rsidRPr="008E6AD9">
              <w:rPr>
                <w:rFonts w:ascii="Verdana" w:eastAsia="Calibri" w:hAnsi="Verdana" w:cs="Arial"/>
                <w:b/>
                <w:bCs/>
                <w:lang w:val="es-ES" w:eastAsia="es-ES"/>
              </w:rPr>
              <w:t xml:space="preserve">Concepto C – </w:t>
            </w:r>
            <w:r>
              <w:rPr>
                <w:rFonts w:ascii="Verdana" w:eastAsia="Calibri" w:hAnsi="Verdana" w:cs="Arial"/>
                <w:b/>
                <w:bCs/>
                <w:lang w:val="es-ES" w:eastAsia="es-ES"/>
              </w:rPr>
              <w:t>785</w:t>
            </w:r>
            <w:r w:rsidRPr="008E6AD9">
              <w:rPr>
                <w:rFonts w:ascii="Verdana" w:eastAsia="Calibri" w:hAnsi="Verdana" w:cs="Arial"/>
                <w:b/>
                <w:bCs/>
                <w:lang w:val="es-ES" w:eastAsia="es-ES"/>
              </w:rPr>
              <w:t xml:space="preserve"> de 2024</w:t>
            </w:r>
          </w:p>
        </w:tc>
      </w:tr>
      <w:tr w:rsidR="00A60141" w:rsidRPr="00593A5F" w14:paraId="6AA8C389" w14:textId="77777777" w:rsidTr="009C3D49">
        <w:trPr>
          <w:trHeight w:val="884"/>
        </w:trPr>
        <w:tc>
          <w:tcPr>
            <w:tcW w:w="2689" w:type="dxa"/>
          </w:tcPr>
          <w:p w14:paraId="507AAF9E" w14:textId="77777777" w:rsidR="00A60141" w:rsidRPr="00593A5F" w:rsidRDefault="00A60141" w:rsidP="009C3D49">
            <w:pPr>
              <w:jc w:val="both"/>
              <w:rPr>
                <w:rFonts w:ascii="Verdana" w:eastAsia="Calibri" w:hAnsi="Verdana" w:cs="Arial"/>
                <w:color w:val="000000"/>
                <w:lang w:val="es-ES_tradnl" w:eastAsia="es-ES_tradnl"/>
              </w:rPr>
            </w:pPr>
            <w:r w:rsidRPr="00593A5F">
              <w:rPr>
                <w:rFonts w:ascii="Verdana" w:eastAsia="Calibri" w:hAnsi="Verdana" w:cs="Arial"/>
                <w:b/>
                <w:color w:val="000000"/>
                <w:lang w:val="es-ES_tradnl" w:eastAsia="es-ES_tradnl"/>
              </w:rPr>
              <w:t>Temas:</w:t>
            </w:r>
            <w:r w:rsidRPr="00593A5F">
              <w:rPr>
                <w:rFonts w:ascii="Verdana" w:eastAsia="Calibri" w:hAnsi="Verdana" w:cs="Arial"/>
                <w:color w:val="000000"/>
                <w:lang w:val="es-ES_tradnl" w:eastAsia="es-ES_tradnl"/>
              </w:rPr>
              <w:t xml:space="preserve">                   </w:t>
            </w:r>
          </w:p>
        </w:tc>
        <w:tc>
          <w:tcPr>
            <w:tcW w:w="6100" w:type="dxa"/>
          </w:tcPr>
          <w:p w14:paraId="0DB01E83" w14:textId="77777777" w:rsidR="00A60141" w:rsidRPr="00A11406" w:rsidRDefault="00A60141" w:rsidP="009C3D49">
            <w:pPr>
              <w:spacing w:line="276" w:lineRule="auto"/>
              <w:jc w:val="both"/>
              <w:rPr>
                <w:rFonts w:ascii="Verdana" w:eastAsia="Calibri" w:hAnsi="Verdana" w:cs="Arial"/>
                <w:lang w:val="es-ES" w:eastAsia="es-ES"/>
              </w:rPr>
            </w:pPr>
            <w:r w:rsidRPr="00E23D97">
              <w:rPr>
                <w:rFonts w:ascii="Verdana" w:eastAsia="Calibri" w:hAnsi="Verdana" w:cs="Arial"/>
                <w:lang w:val="es-ES" w:eastAsia="es-ES"/>
              </w:rPr>
              <w:t xml:space="preserve">CONTRATO ESTATAL – Régimen jurídico </w:t>
            </w:r>
            <w:r>
              <w:rPr>
                <w:rFonts w:ascii="Verdana" w:eastAsia="Calibri" w:hAnsi="Verdana" w:cs="Arial"/>
                <w:lang w:val="es-ES" w:eastAsia="es-ES"/>
              </w:rPr>
              <w:t xml:space="preserve">/ </w:t>
            </w:r>
            <w:r w:rsidRPr="00BE364D">
              <w:rPr>
                <w:rFonts w:ascii="Verdana" w:eastAsia="Calibri" w:hAnsi="Verdana" w:cs="Arial"/>
                <w:lang w:val="es-ES" w:eastAsia="es-ES"/>
              </w:rPr>
              <w:t xml:space="preserve">CONTRATO DE COMODATO – Reglas vigentes  </w:t>
            </w:r>
            <w:r w:rsidRPr="00E23D97">
              <w:rPr>
                <w:rFonts w:ascii="Verdana" w:eastAsia="Calibri" w:hAnsi="Verdana" w:cs="Arial"/>
                <w:lang w:val="es-ES" w:eastAsia="es-ES"/>
              </w:rPr>
              <w:t xml:space="preserve"> </w:t>
            </w:r>
            <w:r w:rsidRPr="009E03E6">
              <w:rPr>
                <w:rFonts w:ascii="Verdana" w:eastAsia="Calibri" w:hAnsi="Verdana" w:cs="Arial"/>
                <w:lang w:val="es-ES" w:eastAsia="es-ES"/>
              </w:rPr>
              <w:t xml:space="preserve">  </w:t>
            </w:r>
            <w:r w:rsidRPr="006E6F30">
              <w:rPr>
                <w:rFonts w:ascii="Verdana" w:eastAsia="Calibri" w:hAnsi="Verdana" w:cs="Arial"/>
                <w:lang w:val="es-ES" w:eastAsia="es-ES"/>
              </w:rPr>
              <w:t xml:space="preserve"> </w:t>
            </w:r>
            <w:r w:rsidRPr="00FA3A97">
              <w:rPr>
                <w:rFonts w:ascii="Verdana" w:eastAsia="Calibri" w:hAnsi="Verdana" w:cs="Arial"/>
                <w:lang w:val="es-ES" w:eastAsia="es-ES"/>
              </w:rPr>
              <w:t xml:space="preserve">  </w:t>
            </w:r>
          </w:p>
          <w:p w14:paraId="388F4076" w14:textId="77777777" w:rsidR="00A60141" w:rsidRPr="00593A5F" w:rsidRDefault="00A60141" w:rsidP="009C3D49">
            <w:pPr>
              <w:spacing w:line="276" w:lineRule="auto"/>
              <w:jc w:val="both"/>
              <w:rPr>
                <w:rFonts w:ascii="Verdana" w:eastAsia="Calibri" w:hAnsi="Verdana" w:cs="Arial"/>
                <w:lang w:val="es-ES" w:eastAsia="es-ES"/>
              </w:rPr>
            </w:pPr>
            <w:r w:rsidRPr="00A11406">
              <w:rPr>
                <w:rFonts w:ascii="Verdana" w:eastAsia="Calibri" w:hAnsi="Verdana" w:cs="Arial"/>
                <w:lang w:val="es-ES" w:eastAsia="es-ES"/>
              </w:rPr>
              <w:t xml:space="preserve"> </w:t>
            </w:r>
            <w:r w:rsidRPr="00D1484F">
              <w:rPr>
                <w:rFonts w:ascii="Verdana" w:eastAsia="Calibri" w:hAnsi="Verdana" w:cs="Arial"/>
                <w:lang w:val="es-ES" w:eastAsia="es-ES"/>
              </w:rPr>
              <w:t xml:space="preserve"> </w:t>
            </w:r>
          </w:p>
        </w:tc>
      </w:tr>
      <w:tr w:rsidR="00A60141" w:rsidRPr="008E6AD9" w14:paraId="4DE3F125" w14:textId="77777777" w:rsidTr="009C3D49">
        <w:tc>
          <w:tcPr>
            <w:tcW w:w="2689" w:type="dxa"/>
          </w:tcPr>
          <w:p w14:paraId="67624259" w14:textId="77777777" w:rsidR="00A60141" w:rsidRPr="008E6AD9" w:rsidRDefault="00A60141" w:rsidP="009C3D49">
            <w:pPr>
              <w:jc w:val="both"/>
              <w:rPr>
                <w:rFonts w:ascii="Verdana" w:eastAsia="Calibri" w:hAnsi="Verdana" w:cs="Arial"/>
                <w:b/>
                <w:lang w:val="es-ES_tradnl" w:eastAsia="es-ES_tradnl"/>
              </w:rPr>
            </w:pPr>
            <w:r w:rsidRPr="008E6AD9">
              <w:rPr>
                <w:rFonts w:ascii="Verdana" w:eastAsia="Calibri" w:hAnsi="Verdana" w:cs="Arial"/>
                <w:b/>
                <w:lang w:val="es-ES_tradnl" w:eastAsia="es-ES_tradnl"/>
              </w:rPr>
              <w:t>Radicación:</w:t>
            </w:r>
            <w:r w:rsidRPr="008E6AD9">
              <w:rPr>
                <w:rFonts w:ascii="Verdana" w:eastAsia="Calibri" w:hAnsi="Verdana" w:cs="Arial"/>
                <w:lang w:val="es-ES_tradnl" w:eastAsia="es-ES_tradnl"/>
              </w:rPr>
              <w:t xml:space="preserve">               </w:t>
            </w:r>
          </w:p>
        </w:tc>
        <w:tc>
          <w:tcPr>
            <w:tcW w:w="6100" w:type="dxa"/>
          </w:tcPr>
          <w:p w14:paraId="3F983988" w14:textId="77777777" w:rsidR="00A60141" w:rsidRPr="008E6AD9" w:rsidRDefault="00A60141" w:rsidP="009C3D49">
            <w:pPr>
              <w:spacing w:line="276" w:lineRule="auto"/>
              <w:jc w:val="both"/>
              <w:rPr>
                <w:rFonts w:ascii="Verdana" w:eastAsia="Calibri" w:hAnsi="Verdana" w:cs="Arial"/>
                <w:lang w:eastAsia="es-ES_tradnl"/>
              </w:rPr>
            </w:pPr>
            <w:r w:rsidRPr="008E6AD9">
              <w:rPr>
                <w:rFonts w:ascii="Verdana" w:eastAsia="Calibri" w:hAnsi="Verdana" w:cs="Arial"/>
                <w:lang w:val="es-ES_tradnl" w:eastAsia="es-ES_tradnl"/>
              </w:rPr>
              <w:t xml:space="preserve">Respuesta a </w:t>
            </w:r>
            <w:r>
              <w:rPr>
                <w:rFonts w:ascii="Verdana" w:eastAsia="Calibri" w:hAnsi="Verdana" w:cs="Arial"/>
                <w:lang w:val="es-ES_tradnl" w:eastAsia="es-ES_tradnl"/>
              </w:rPr>
              <w:t xml:space="preserve">la </w:t>
            </w:r>
            <w:r w:rsidRPr="008E6AD9">
              <w:rPr>
                <w:rFonts w:ascii="Verdana" w:eastAsia="Calibri" w:hAnsi="Verdana" w:cs="Arial"/>
                <w:lang w:val="es-ES_tradnl" w:eastAsia="es-ES_tradnl"/>
              </w:rPr>
              <w:t>consulta con radicado No.</w:t>
            </w:r>
            <w:r>
              <w:rPr>
                <w:rFonts w:ascii="Verdana" w:eastAsia="Calibri" w:hAnsi="Verdana" w:cs="Arial"/>
                <w:lang w:val="es-ES_tradnl" w:eastAsia="es-ES_tradnl"/>
              </w:rPr>
              <w:t xml:space="preserve"> </w:t>
            </w:r>
            <w:r w:rsidRPr="004D5AF6">
              <w:rPr>
                <w:rFonts w:ascii="Verdana" w:eastAsia="Calibri" w:hAnsi="Verdana" w:cs="Arial"/>
                <w:lang w:val="es-ES_tradnl" w:eastAsia="es-ES_tradnl"/>
              </w:rPr>
              <w:t>P20241028010926</w:t>
            </w:r>
            <w:r w:rsidRPr="0085423D">
              <w:rPr>
                <w:rFonts w:ascii="Verdana" w:eastAsia="Calibri" w:hAnsi="Verdana" w:cs="Arial"/>
                <w:lang w:val="es-ES_tradnl" w:eastAsia="es-ES_tradnl"/>
              </w:rPr>
              <w:t xml:space="preserve"> </w:t>
            </w:r>
            <w:r w:rsidRPr="008E6AD9">
              <w:rPr>
                <w:rFonts w:ascii="Verdana" w:eastAsia="Calibri" w:hAnsi="Verdana" w:cs="Arial"/>
                <w:lang w:val="es-ES_tradnl" w:eastAsia="es-ES_tradnl"/>
              </w:rPr>
              <w:t xml:space="preserve"> </w:t>
            </w:r>
            <w:r>
              <w:rPr>
                <w:rFonts w:ascii="Verdana" w:eastAsia="Calibri" w:hAnsi="Verdana" w:cs="Arial"/>
                <w:lang w:val="es-ES_tradnl" w:eastAsia="es-ES_tradnl"/>
              </w:rPr>
              <w:t xml:space="preserve">                                   </w:t>
            </w:r>
          </w:p>
        </w:tc>
      </w:tr>
    </w:tbl>
    <w:p w14:paraId="3CA6F102" w14:textId="77777777" w:rsidR="00A60141" w:rsidRPr="00593A5F" w:rsidRDefault="00A60141" w:rsidP="00A60141">
      <w:pPr>
        <w:spacing w:after="0" w:line="240" w:lineRule="auto"/>
        <w:jc w:val="both"/>
        <w:rPr>
          <w:rFonts w:ascii="Verdana" w:eastAsia="Calibri" w:hAnsi="Verdana" w:cs="Arial"/>
          <w:color w:val="000000"/>
          <w:lang w:val="es-ES_tradnl" w:eastAsia="es-ES_tradnl"/>
        </w:rPr>
      </w:pPr>
    </w:p>
    <w:p w14:paraId="6B78A806" w14:textId="77777777" w:rsidR="00A60141" w:rsidRPr="00593A5F" w:rsidRDefault="00A60141" w:rsidP="00A60141">
      <w:pPr>
        <w:spacing w:after="0" w:line="240" w:lineRule="auto"/>
        <w:jc w:val="both"/>
        <w:rPr>
          <w:rFonts w:ascii="Verdana" w:eastAsia="Calibri" w:hAnsi="Verdana" w:cs="Arial"/>
          <w:color w:val="000000"/>
          <w:lang w:val="es-ES_tradnl" w:eastAsia="es-ES_tradnl"/>
        </w:rPr>
      </w:pPr>
    </w:p>
    <w:p w14:paraId="0ED2E744" w14:textId="77777777" w:rsidR="00A60141" w:rsidRPr="008E6AD9" w:rsidRDefault="00A60141" w:rsidP="00A60141">
      <w:pPr>
        <w:spacing w:after="0" w:line="276" w:lineRule="auto"/>
        <w:jc w:val="both"/>
        <w:rPr>
          <w:rFonts w:ascii="Verdana" w:eastAsia="Calibri" w:hAnsi="Verdana" w:cs="Arial"/>
          <w:lang w:val="es-ES" w:eastAsia="es-ES"/>
        </w:rPr>
      </w:pPr>
      <w:r w:rsidRPr="008E6AD9">
        <w:rPr>
          <w:rFonts w:ascii="Verdana" w:eastAsia="Calibri" w:hAnsi="Verdana" w:cs="Arial"/>
          <w:lang w:val="es-ES" w:eastAsia="es-ES"/>
        </w:rPr>
        <w:t>Estimad</w:t>
      </w:r>
      <w:r>
        <w:rPr>
          <w:rFonts w:ascii="Verdana" w:eastAsia="Calibri" w:hAnsi="Verdana" w:cs="Arial"/>
          <w:lang w:val="es-ES" w:eastAsia="es-ES"/>
        </w:rPr>
        <w:t>o</w:t>
      </w:r>
      <w:r w:rsidRPr="008E6AD9">
        <w:rPr>
          <w:rFonts w:ascii="Verdana" w:eastAsia="Calibri" w:hAnsi="Verdana" w:cs="Arial"/>
          <w:lang w:val="es-ES" w:eastAsia="es-ES"/>
        </w:rPr>
        <w:t xml:space="preserve"> </w:t>
      </w:r>
      <w:r>
        <w:rPr>
          <w:rFonts w:ascii="Verdana" w:eastAsia="Calibri" w:hAnsi="Verdana" w:cs="Arial"/>
          <w:lang w:val="es-ES" w:eastAsia="es-ES"/>
        </w:rPr>
        <w:t xml:space="preserve">señor </w:t>
      </w:r>
      <w:r w:rsidRPr="004D5AF6">
        <w:rPr>
          <w:rFonts w:ascii="Verdana" w:eastAsia="Calibri" w:hAnsi="Verdana" w:cs="Arial"/>
          <w:lang w:val="es-ES" w:eastAsia="es-ES"/>
        </w:rPr>
        <w:t>Sánchez Morales</w:t>
      </w:r>
      <w:r w:rsidRPr="008E6AD9">
        <w:rPr>
          <w:rFonts w:ascii="Verdana" w:eastAsia="Calibri" w:hAnsi="Verdana" w:cs="Arial"/>
          <w:lang w:val="es-ES" w:eastAsia="es-ES"/>
        </w:rPr>
        <w:t xml:space="preserve">: </w:t>
      </w:r>
    </w:p>
    <w:p w14:paraId="4BFEE38F" w14:textId="77777777" w:rsidR="00A60141" w:rsidRDefault="00A60141" w:rsidP="00A60141">
      <w:pPr>
        <w:tabs>
          <w:tab w:val="left" w:pos="3768"/>
        </w:tabs>
        <w:spacing w:after="0" w:line="276" w:lineRule="auto"/>
        <w:jc w:val="both"/>
        <w:rPr>
          <w:rFonts w:ascii="Verdana" w:eastAsia="Calibri" w:hAnsi="Verdana" w:cs="Arial"/>
          <w:color w:val="000000" w:themeColor="text1"/>
          <w:lang w:val="es-ES" w:eastAsia="es-ES"/>
        </w:rPr>
      </w:pPr>
      <w:r>
        <w:rPr>
          <w:rFonts w:ascii="Verdana" w:eastAsia="Calibri" w:hAnsi="Verdana" w:cs="Arial"/>
          <w:color w:val="000000" w:themeColor="text1"/>
          <w:lang w:val="es-ES" w:eastAsia="es-ES"/>
        </w:rPr>
        <w:tab/>
      </w:r>
    </w:p>
    <w:p w14:paraId="0C6CC636" w14:textId="77777777" w:rsidR="00A60141" w:rsidRPr="00593A5F" w:rsidRDefault="00A60141" w:rsidP="00A60141">
      <w:pPr>
        <w:spacing w:after="0" w:line="276" w:lineRule="auto"/>
        <w:jc w:val="both"/>
        <w:rPr>
          <w:rFonts w:ascii="Verdana" w:eastAsia="Calibri" w:hAnsi="Verdana" w:cs="Arial"/>
          <w:color w:val="7030A0"/>
          <w:lang w:val="es-ES" w:eastAsia="es-ES"/>
        </w:rPr>
      </w:pPr>
      <w:r w:rsidRPr="00593A5F">
        <w:rPr>
          <w:rFonts w:ascii="Verdana" w:eastAsia="Calibri" w:hAnsi="Verdana" w:cs="Arial"/>
          <w:color w:val="000000" w:themeColor="text1"/>
          <w:lang w:val="es-ES" w:eastAsia="es-ES"/>
        </w:rPr>
        <w:t>En ejercicio de la competencia otorgada por los artículos 3, numeral 5º, y 11, numeral 8º, del Decreto Ley 4170 de 2011,</w:t>
      </w:r>
      <w:r w:rsidRPr="00593A5F">
        <w:rPr>
          <w:rFonts w:ascii="Verdana" w:eastAsia="Arial MT" w:hAnsi="Verdana" w:cs="Arial MT"/>
          <w:lang w:val="es-ES" w:eastAsia="es-ES"/>
        </w:rPr>
        <w:t xml:space="preserve"> </w:t>
      </w:r>
      <w:r w:rsidRPr="00593A5F">
        <w:rPr>
          <w:rFonts w:ascii="Verdana" w:hAnsi="Verdana" w:cs="Arial"/>
        </w:rPr>
        <w:t xml:space="preserve">así como lo establecido en </w:t>
      </w:r>
      <w:r>
        <w:rPr>
          <w:rFonts w:ascii="Verdana" w:hAnsi="Verdana" w:cs="Arial"/>
        </w:rPr>
        <w:t xml:space="preserve">el artículo 4 de </w:t>
      </w:r>
      <w:r w:rsidRPr="00593A5F">
        <w:rPr>
          <w:rFonts w:ascii="Verdana" w:hAnsi="Verdana" w:cs="Arial"/>
        </w:rPr>
        <w:t xml:space="preserve">la Resolución 1707 de 2018 expedida por esta Entidad, </w:t>
      </w:r>
      <w:r w:rsidRPr="00593A5F">
        <w:rPr>
          <w:rFonts w:ascii="Verdana" w:eastAsia="Calibri" w:hAnsi="Verdana" w:cs="Arial"/>
          <w:color w:val="000000" w:themeColor="text1"/>
          <w:lang w:val="es-ES" w:eastAsia="es-ES"/>
        </w:rPr>
        <w:t xml:space="preserve">la Agencia Nacional de Contratación Pública – Colombia Compra Eficiente responde </w:t>
      </w:r>
      <w:r>
        <w:rPr>
          <w:rFonts w:ascii="Verdana" w:eastAsia="Calibri" w:hAnsi="Verdana" w:cs="Arial"/>
          <w:color w:val="000000" w:themeColor="text1"/>
          <w:lang w:val="es-ES" w:eastAsia="es-ES"/>
        </w:rPr>
        <w:t>la</w:t>
      </w:r>
      <w:r w:rsidRPr="00593A5F">
        <w:rPr>
          <w:rFonts w:ascii="Verdana" w:eastAsia="Calibri" w:hAnsi="Verdana" w:cs="Arial"/>
          <w:color w:val="000000" w:themeColor="text1"/>
          <w:lang w:val="es-ES" w:eastAsia="es-ES"/>
        </w:rPr>
        <w:t xml:space="preserve"> solicitud de</w:t>
      </w:r>
      <w:r>
        <w:rPr>
          <w:rFonts w:ascii="Verdana" w:eastAsia="Calibri" w:hAnsi="Verdana" w:cs="Arial"/>
          <w:color w:val="000000" w:themeColor="text1"/>
          <w:lang w:val="es-ES" w:eastAsia="es-ES"/>
        </w:rPr>
        <w:t xml:space="preserve"> consulta realizada a la Contraloría General de la República de </w:t>
      </w:r>
      <w:r w:rsidRPr="008E6AD9">
        <w:rPr>
          <w:rFonts w:ascii="Verdana" w:eastAsia="Calibri" w:hAnsi="Verdana" w:cs="Arial"/>
          <w:lang w:val="es-ES" w:eastAsia="es-ES"/>
        </w:rPr>
        <w:t>fecha</w:t>
      </w:r>
      <w:r>
        <w:rPr>
          <w:rFonts w:ascii="Verdana" w:eastAsia="Calibri" w:hAnsi="Verdana" w:cs="Arial"/>
          <w:lang w:val="es-ES" w:eastAsia="es-ES"/>
        </w:rPr>
        <w:t xml:space="preserve"> 17 de octubre</w:t>
      </w:r>
      <w:r w:rsidRPr="008E6AD9">
        <w:rPr>
          <w:rFonts w:ascii="Verdana" w:eastAsia="Calibri" w:hAnsi="Verdana" w:cs="Arial"/>
          <w:lang w:val="es-ES" w:eastAsia="es-ES"/>
        </w:rPr>
        <w:t xml:space="preserve"> de 2024,</w:t>
      </w:r>
      <w:r>
        <w:rPr>
          <w:rFonts w:ascii="Verdana" w:eastAsia="Calibri" w:hAnsi="Verdana" w:cs="Arial"/>
          <w:lang w:val="es-ES" w:eastAsia="es-ES"/>
        </w:rPr>
        <w:t xml:space="preserve"> la cual –conforme al artículo 21 de la Ley 1437 de 2011– fue remitida por competencia a esta entidad mediate oficio del 28 de octubre de la presente anualidad. En esta solicita</w:t>
      </w:r>
      <w:r w:rsidRPr="008E6AD9">
        <w:rPr>
          <w:rFonts w:ascii="Verdana" w:eastAsia="Calibri" w:hAnsi="Verdana" w:cs="Arial"/>
          <w:lang w:val="es-ES" w:eastAsia="es-ES"/>
        </w:rPr>
        <w:t xml:space="preserve">: </w:t>
      </w:r>
    </w:p>
    <w:p w14:paraId="43FCB040" w14:textId="77777777" w:rsidR="00A60141" w:rsidRPr="00272A7B" w:rsidRDefault="00A60141" w:rsidP="00A60141">
      <w:pPr>
        <w:pStyle w:val="Prrafodelista"/>
        <w:tabs>
          <w:tab w:val="left" w:pos="142"/>
          <w:tab w:val="left" w:pos="284"/>
        </w:tabs>
        <w:spacing w:after="0" w:line="276" w:lineRule="auto"/>
        <w:ind w:left="0"/>
        <w:jc w:val="both"/>
        <w:rPr>
          <w:rFonts w:ascii="Verdana" w:eastAsia="Century Gothic" w:hAnsi="Verdana" w:cs="Century Gothic"/>
          <w:b/>
          <w:bCs/>
        </w:rPr>
      </w:pPr>
    </w:p>
    <w:p w14:paraId="50026EA6" w14:textId="77777777" w:rsidR="00A60141" w:rsidRDefault="00A60141" w:rsidP="004955DB">
      <w:pPr>
        <w:spacing w:after="120" w:line="240" w:lineRule="auto"/>
        <w:ind w:left="709" w:right="709"/>
        <w:jc w:val="both"/>
        <w:rPr>
          <w:rFonts w:ascii="Verdana" w:eastAsia="Century Gothic" w:hAnsi="Verdana" w:cs="Century Gothic"/>
          <w:sz w:val="21"/>
          <w:szCs w:val="21"/>
          <w:lang w:val="es-ES"/>
        </w:rPr>
      </w:pPr>
      <w:bookmarkStart w:id="0" w:name="_Hlk95313578"/>
      <w:r w:rsidRPr="006E7258">
        <w:rPr>
          <w:rFonts w:ascii="Verdana" w:eastAsia="Century Gothic" w:hAnsi="Verdana" w:cs="Century Gothic"/>
          <w:sz w:val="21"/>
          <w:szCs w:val="21"/>
          <w:lang w:val="es-ES"/>
        </w:rPr>
        <w:t>“</w:t>
      </w:r>
      <w:bookmarkEnd w:id="0"/>
      <w:r>
        <w:rPr>
          <w:rFonts w:ascii="Verdana" w:eastAsia="Century Gothic" w:hAnsi="Verdana" w:cs="Century Gothic"/>
          <w:sz w:val="21"/>
          <w:szCs w:val="21"/>
          <w:lang w:val="es-ES"/>
        </w:rPr>
        <w:t xml:space="preserve">[…] </w:t>
      </w:r>
      <w:proofErr w:type="gramStart"/>
      <w:r w:rsidRPr="006162A9">
        <w:rPr>
          <w:rFonts w:ascii="Verdana" w:eastAsia="Century Gothic" w:hAnsi="Verdana" w:cs="Century Gothic"/>
          <w:sz w:val="21"/>
          <w:szCs w:val="21"/>
          <w:lang w:val="es-ES"/>
        </w:rPr>
        <w:t>aclarar</w:t>
      </w:r>
      <w:proofErr w:type="gramEnd"/>
      <w:r w:rsidRPr="006162A9">
        <w:rPr>
          <w:rFonts w:ascii="Verdana" w:eastAsia="Century Gothic" w:hAnsi="Verdana" w:cs="Century Gothic"/>
          <w:sz w:val="21"/>
          <w:szCs w:val="21"/>
          <w:lang w:val="es-ES"/>
        </w:rPr>
        <w:t xml:space="preserve"> que bienes muebles se deben entregar por medio de comodato y cuales respectivamente por medio de acta de entrega, partiendo de la naturaleza de los mismos</w:t>
      </w:r>
      <w:r>
        <w:rPr>
          <w:rFonts w:ascii="Verdana" w:eastAsia="Century Gothic" w:hAnsi="Verdana" w:cs="Century Gothic"/>
          <w:sz w:val="21"/>
          <w:szCs w:val="21"/>
          <w:lang w:val="es-ES"/>
        </w:rPr>
        <w:t>.</w:t>
      </w:r>
    </w:p>
    <w:p w14:paraId="085BC9A0" w14:textId="77777777" w:rsidR="00A60141" w:rsidRPr="005B7798" w:rsidRDefault="00A60141" w:rsidP="004955DB">
      <w:pPr>
        <w:spacing w:after="0" w:line="240" w:lineRule="auto"/>
        <w:ind w:left="709" w:right="709"/>
        <w:jc w:val="both"/>
        <w:rPr>
          <w:rFonts w:ascii="Verdana" w:eastAsia="Century Gothic" w:hAnsi="Verdana" w:cs="Century Gothic"/>
          <w:sz w:val="21"/>
          <w:szCs w:val="21"/>
          <w:lang w:val="es-ES"/>
        </w:rPr>
      </w:pPr>
      <w:r w:rsidRPr="006162A9">
        <w:rPr>
          <w:rFonts w:ascii="Verdana" w:eastAsia="Century Gothic" w:hAnsi="Verdana" w:cs="Century Gothic"/>
          <w:sz w:val="21"/>
          <w:szCs w:val="21"/>
          <w:lang w:val="es-ES"/>
        </w:rPr>
        <w:t>Lo anterior con el objetivo de estandarizar varies procedimientos internes dentro de la administración municipal y no incurrir en futuros errores</w:t>
      </w:r>
      <w:r w:rsidRPr="006040CE">
        <w:rPr>
          <w:rFonts w:ascii="Verdana" w:eastAsia="Century Gothic" w:hAnsi="Verdana" w:cs="Century Gothic"/>
          <w:sz w:val="21"/>
          <w:szCs w:val="21"/>
          <w:lang w:val="es-ES"/>
        </w:rPr>
        <w:t>”.</w:t>
      </w:r>
      <w:r>
        <w:rPr>
          <w:rFonts w:ascii="Verdana" w:eastAsia="Century Gothic" w:hAnsi="Verdana" w:cs="Century Gothic"/>
          <w:sz w:val="20"/>
          <w:szCs w:val="20"/>
          <w:lang w:val="es-ES"/>
        </w:rPr>
        <w:t xml:space="preserve"> </w:t>
      </w:r>
    </w:p>
    <w:p w14:paraId="4452A124" w14:textId="77777777" w:rsidR="00A60141" w:rsidRPr="008E6AD9" w:rsidRDefault="00A60141" w:rsidP="00A60141">
      <w:pPr>
        <w:pStyle w:val="Prrafodelista"/>
        <w:tabs>
          <w:tab w:val="left" w:pos="142"/>
          <w:tab w:val="left" w:pos="284"/>
        </w:tabs>
        <w:spacing w:after="0" w:line="276" w:lineRule="auto"/>
        <w:ind w:left="0"/>
        <w:jc w:val="both"/>
        <w:rPr>
          <w:rFonts w:ascii="Verdana" w:eastAsia="Century Gothic" w:hAnsi="Verdana" w:cs="Century Gothic"/>
          <w:b/>
          <w:bCs/>
        </w:rPr>
      </w:pPr>
    </w:p>
    <w:p w14:paraId="30FCCDC0" w14:textId="77777777" w:rsidR="00A60141" w:rsidRPr="00A652FF" w:rsidRDefault="00A60141" w:rsidP="00A60141">
      <w:pPr>
        <w:spacing w:after="120" w:line="276" w:lineRule="auto"/>
        <w:ind w:firstLine="709"/>
        <w:jc w:val="both"/>
        <w:rPr>
          <w:rFonts w:ascii="Verdana" w:eastAsia="Calibri" w:hAnsi="Verdana" w:cs="Arial"/>
          <w:color w:val="000000"/>
          <w:lang w:val="es-ES" w:eastAsia="es-ES"/>
        </w:rPr>
      </w:pPr>
      <w:r>
        <w:rPr>
          <w:rFonts w:ascii="Verdana" w:eastAsia="Calibri" w:hAnsi="Verdana" w:cs="Arial"/>
          <w:color w:val="000000"/>
          <w:lang w:val="es-ES" w:eastAsia="es-ES"/>
        </w:rPr>
        <w:t>De manera preliminar</w:t>
      </w:r>
      <w:r w:rsidRPr="00593A5F">
        <w:rPr>
          <w:rFonts w:ascii="Verdana" w:eastAsia="Calibri" w:hAnsi="Verdana" w:cs="Arial"/>
          <w:color w:val="000000"/>
          <w:lang w:val="es-ES" w:eastAsia="es-ES"/>
        </w:rPr>
        <w:t>, resulta necesario acotar que esta entidad s</w:t>
      </w:r>
      <w:r>
        <w:rPr>
          <w:rFonts w:ascii="Verdana" w:eastAsia="Calibri" w:hAnsi="Verdana" w:cs="Arial"/>
          <w:color w:val="000000"/>
          <w:lang w:val="es-ES" w:eastAsia="es-ES"/>
        </w:rPr>
        <w:t>ó</w:t>
      </w:r>
      <w:r w:rsidRPr="00593A5F">
        <w:rPr>
          <w:rFonts w:ascii="Verdana" w:eastAsia="Calibri" w:hAnsi="Verdana" w:cs="Arial"/>
          <w:color w:val="000000"/>
          <w:lang w:val="es-ES" w:eastAsia="es-ES"/>
        </w:rPr>
        <w:t xml:space="preserve">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w:t>
      </w:r>
      <w:r>
        <w:rPr>
          <w:rFonts w:ascii="Verdana" w:eastAsia="Calibri" w:hAnsi="Verdana" w:cs="Arial"/>
          <w:color w:val="000000"/>
          <w:lang w:val="es-ES" w:eastAsia="es-ES"/>
        </w:rPr>
        <w:t>concretos</w:t>
      </w:r>
      <w:r w:rsidRPr="00593A5F">
        <w:rPr>
          <w:rFonts w:ascii="Verdana" w:eastAsia="Calibri" w:hAnsi="Verdana" w:cs="Arial"/>
          <w:color w:val="000000"/>
          <w:lang w:val="es-ES" w:eastAsia="es-ES"/>
        </w:rPr>
        <w:t xml:space="preserve">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593A5F">
        <w:rPr>
          <w:rFonts w:ascii="Verdana" w:eastAsia="Calibri" w:hAnsi="Verdana" w:cs="Arial"/>
          <w:color w:val="000000"/>
          <w:szCs w:val="24"/>
          <w:lang w:val="es-ES_tradnl" w:eastAsia="es-ES_tradnl"/>
        </w:rPr>
        <w:tab/>
      </w:r>
    </w:p>
    <w:p w14:paraId="6D6E1943" w14:textId="77777777" w:rsidR="00A60141" w:rsidRDefault="00A60141" w:rsidP="00A60141">
      <w:pPr>
        <w:spacing w:after="0" w:line="276" w:lineRule="auto"/>
        <w:ind w:firstLine="709"/>
        <w:jc w:val="both"/>
        <w:rPr>
          <w:rFonts w:ascii="Verdana" w:eastAsia="Calibri" w:hAnsi="Verdana" w:cs="Arial"/>
          <w:color w:val="000000"/>
          <w:lang w:val="es-ES" w:eastAsia="es-ES"/>
        </w:rPr>
      </w:pPr>
      <w:r w:rsidRPr="00593A5F">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w:t>
      </w:r>
      <w:r>
        <w:rPr>
          <w:rFonts w:ascii="Verdana" w:eastAsia="Calibri" w:hAnsi="Verdana" w:cs="Arial"/>
          <w:color w:val="000000"/>
          <w:lang w:val="es-ES" w:eastAsia="es-ES"/>
        </w:rPr>
        <w:t>s circunstancias</w:t>
      </w:r>
      <w:r w:rsidRPr="00593A5F">
        <w:rPr>
          <w:rFonts w:ascii="Verdana" w:eastAsia="Calibri" w:hAnsi="Verdana" w:cs="Arial"/>
          <w:color w:val="000000"/>
          <w:lang w:val="es-ES" w:eastAsia="es-ES"/>
        </w:rPr>
        <w:t xml:space="preserve"> </w:t>
      </w:r>
      <w:r>
        <w:rPr>
          <w:rFonts w:ascii="Verdana" w:eastAsia="Calibri" w:hAnsi="Verdana" w:cs="Arial"/>
          <w:color w:val="000000"/>
          <w:lang w:val="es-ES" w:eastAsia="es-ES"/>
        </w:rPr>
        <w:t>específicas que la hayan motivado</w:t>
      </w:r>
      <w:r w:rsidRPr="00593A5F">
        <w:rPr>
          <w:rFonts w:ascii="Verdana" w:eastAsia="Calibri" w:hAnsi="Verdana" w:cs="Arial"/>
          <w:color w:val="000000"/>
          <w:lang w:val="es-ES" w:eastAsia="es-ES"/>
        </w:rPr>
        <w:t xml:space="preserve">, pero haciendo unas consideraciones sobre las normas generales relacionadas con </w:t>
      </w:r>
      <w:r>
        <w:rPr>
          <w:rFonts w:ascii="Verdana" w:eastAsia="Calibri" w:hAnsi="Verdana" w:cs="Arial"/>
          <w:color w:val="000000"/>
          <w:lang w:val="es-ES" w:eastAsia="es-ES"/>
        </w:rPr>
        <w:t>el</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problema</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jurídico</w:t>
      </w:r>
      <w:r w:rsidRPr="00247BDE">
        <w:rPr>
          <w:rFonts w:ascii="Verdana" w:eastAsia="Calibri" w:hAnsi="Verdana" w:cs="Arial"/>
          <w:color w:val="7030A0"/>
          <w:lang w:val="es-ES" w:eastAsia="es-ES"/>
        </w:rPr>
        <w:t xml:space="preserve"> </w:t>
      </w:r>
      <w:r>
        <w:rPr>
          <w:rFonts w:ascii="Verdana" w:eastAsia="Calibri" w:hAnsi="Verdana" w:cs="Arial"/>
          <w:color w:val="000000"/>
          <w:lang w:val="es-ES" w:eastAsia="es-ES"/>
        </w:rPr>
        <w:t>de su</w:t>
      </w:r>
      <w:r w:rsidRPr="00593A5F">
        <w:rPr>
          <w:rFonts w:ascii="Verdana" w:eastAsia="Calibri" w:hAnsi="Verdana" w:cs="Arial"/>
          <w:color w:val="000000"/>
          <w:lang w:val="es-ES" w:eastAsia="es-ES"/>
        </w:rPr>
        <w:t xml:space="preserve"> consulta.</w:t>
      </w:r>
      <w:r>
        <w:rPr>
          <w:rFonts w:ascii="Verdana" w:eastAsia="Calibri" w:hAnsi="Verdana" w:cs="Arial"/>
          <w:color w:val="000000"/>
          <w:lang w:val="es-ES" w:eastAsia="es-ES"/>
        </w:rPr>
        <w:t xml:space="preserve"> </w:t>
      </w:r>
      <w:r w:rsidRPr="00593A5F">
        <w:rPr>
          <w:rFonts w:ascii="Verdana" w:eastAsia="Calibri" w:hAnsi="Verdana" w:cs="Arial"/>
          <w:color w:val="000000"/>
          <w:lang w:val="es-ES" w:eastAsia="es-ES"/>
        </w:rPr>
        <w:t xml:space="preserve"> </w:t>
      </w:r>
    </w:p>
    <w:p w14:paraId="33CC095D" w14:textId="77777777" w:rsidR="00A60141" w:rsidRPr="00593A5F" w:rsidRDefault="00A60141" w:rsidP="00A60141">
      <w:pPr>
        <w:spacing w:after="0" w:line="276" w:lineRule="auto"/>
        <w:ind w:firstLine="709"/>
        <w:jc w:val="both"/>
        <w:rPr>
          <w:rFonts w:ascii="Verdana" w:eastAsia="Calibri" w:hAnsi="Verdana" w:cs="Arial"/>
          <w:color w:val="000000"/>
          <w:lang w:val="es-ES" w:eastAsia="es-ES"/>
        </w:rPr>
      </w:pPr>
    </w:p>
    <w:p w14:paraId="35900F86" w14:textId="77777777" w:rsidR="00A60141" w:rsidRPr="00593A5F" w:rsidRDefault="00A60141" w:rsidP="00A60141">
      <w:pPr>
        <w:pStyle w:val="Prrafodelista"/>
        <w:numPr>
          <w:ilvl w:val="0"/>
          <w:numId w:val="19"/>
        </w:numPr>
        <w:tabs>
          <w:tab w:val="left" w:pos="142"/>
          <w:tab w:val="left" w:pos="284"/>
        </w:tabs>
        <w:spacing w:after="0" w:line="276" w:lineRule="auto"/>
        <w:ind w:left="0" w:firstLine="0"/>
        <w:jc w:val="both"/>
        <w:rPr>
          <w:rFonts w:ascii="Verdana" w:eastAsia="Century Gothic" w:hAnsi="Verdana" w:cs="Century Gothic"/>
          <w:b/>
          <w:bCs/>
        </w:rPr>
      </w:pPr>
      <w:r w:rsidRPr="00593A5F">
        <w:rPr>
          <w:rFonts w:ascii="Verdana" w:eastAsia="Century Gothic" w:hAnsi="Verdana" w:cs="Century Gothic"/>
          <w:b/>
          <w:bCs/>
        </w:rPr>
        <w:t>Problema planteado:</w:t>
      </w:r>
    </w:p>
    <w:p w14:paraId="72B0603E" w14:textId="77777777" w:rsidR="00A60141" w:rsidRPr="00593A5F" w:rsidRDefault="00A60141" w:rsidP="00A60141">
      <w:pPr>
        <w:tabs>
          <w:tab w:val="left" w:pos="426"/>
        </w:tabs>
        <w:spacing w:after="0" w:line="276" w:lineRule="auto"/>
        <w:jc w:val="both"/>
        <w:rPr>
          <w:rFonts w:ascii="Verdana" w:eastAsia="Century Gothic" w:hAnsi="Verdana" w:cs="Century Gothic"/>
          <w:lang w:val="es-ES"/>
        </w:rPr>
      </w:pPr>
    </w:p>
    <w:p w14:paraId="73691F2F" w14:textId="0B0D8ACC" w:rsidR="00A60141" w:rsidRPr="00593A5F" w:rsidRDefault="00A60141" w:rsidP="00A60141">
      <w:pPr>
        <w:spacing w:after="0" w:line="276" w:lineRule="auto"/>
        <w:jc w:val="both"/>
        <w:rPr>
          <w:rFonts w:ascii="Verdana" w:eastAsia="Century Gothic" w:hAnsi="Verdana" w:cs="Century Gothic"/>
        </w:rPr>
      </w:pPr>
      <w:r>
        <w:rPr>
          <w:rFonts w:ascii="Verdana" w:eastAsia="Century Gothic" w:hAnsi="Verdana" w:cs="Century Gothic"/>
        </w:rPr>
        <w:t xml:space="preserve">De acuerdo con el contenido de </w:t>
      </w:r>
      <w:r w:rsidRPr="00593A5F">
        <w:rPr>
          <w:rFonts w:ascii="Verdana" w:eastAsia="Century Gothic" w:hAnsi="Verdana" w:cs="Century Gothic"/>
        </w:rPr>
        <w:t xml:space="preserve">su solicitud, esta Agencia resolverá </w:t>
      </w:r>
      <w:r>
        <w:rPr>
          <w:rFonts w:ascii="Verdana" w:eastAsia="Century Gothic" w:hAnsi="Verdana" w:cs="Century Gothic"/>
        </w:rPr>
        <w:t>el</w:t>
      </w:r>
      <w:r w:rsidRPr="00593A5F">
        <w:rPr>
          <w:rFonts w:ascii="Verdana" w:eastAsia="Century Gothic" w:hAnsi="Verdana" w:cs="Century Gothic"/>
        </w:rPr>
        <w:t xml:space="preserve"> siguiente problema jurídico: </w:t>
      </w:r>
      <w:r>
        <w:rPr>
          <w:rFonts w:ascii="Verdana" w:eastAsia="Century Gothic" w:hAnsi="Verdana" w:cs="Century Gothic"/>
        </w:rPr>
        <w:t>¿cuál es el marco jurídico vigente del contrato de comodato en el sistema de compras</w:t>
      </w:r>
      <w:r w:rsidR="00EE3501">
        <w:rPr>
          <w:rFonts w:ascii="Verdana" w:eastAsia="Century Gothic" w:hAnsi="Verdana" w:cs="Century Gothic"/>
        </w:rPr>
        <w:t xml:space="preserve"> y contratación</w:t>
      </w:r>
      <w:r>
        <w:rPr>
          <w:rFonts w:ascii="Verdana" w:eastAsia="Century Gothic" w:hAnsi="Verdana" w:cs="Century Gothic"/>
        </w:rPr>
        <w:t xml:space="preserve"> pública?</w:t>
      </w:r>
      <w:r w:rsidRPr="00C00976">
        <w:rPr>
          <w:rFonts w:ascii="Verdana" w:eastAsia="Century Gothic" w:hAnsi="Verdana" w:cs="Century Gothic"/>
          <w:color w:val="7030A0"/>
        </w:rPr>
        <w:t xml:space="preserve"> </w:t>
      </w:r>
    </w:p>
    <w:p w14:paraId="22DE473C" w14:textId="77777777" w:rsidR="00A60141" w:rsidRPr="004B140F" w:rsidRDefault="00A60141" w:rsidP="00A60141">
      <w:pPr>
        <w:spacing w:after="0" w:line="276" w:lineRule="auto"/>
        <w:jc w:val="both"/>
        <w:rPr>
          <w:rFonts w:ascii="Verdana" w:eastAsia="Calibri" w:hAnsi="Verdana" w:cs="Arial"/>
          <w:color w:val="7030A0"/>
        </w:rPr>
      </w:pPr>
    </w:p>
    <w:p w14:paraId="445F97B2" w14:textId="77777777" w:rsidR="00A60141" w:rsidRPr="00593A5F" w:rsidRDefault="00A60141" w:rsidP="00A60141">
      <w:pPr>
        <w:pStyle w:val="Prrafodelista"/>
        <w:numPr>
          <w:ilvl w:val="0"/>
          <w:numId w:val="19"/>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Respuesta:</w:t>
      </w:r>
    </w:p>
    <w:p w14:paraId="224B6BC5" w14:textId="77777777" w:rsidR="00A60141" w:rsidRPr="00593A5F" w:rsidRDefault="00A60141" w:rsidP="00A60141">
      <w:pPr>
        <w:tabs>
          <w:tab w:val="left" w:pos="142"/>
          <w:tab w:val="left" w:pos="284"/>
        </w:tabs>
        <w:spacing w:after="0" w:line="276" w:lineRule="auto"/>
        <w:jc w:val="both"/>
        <w:rPr>
          <w:rFonts w:ascii="Verdana" w:eastAsia="Century Gothic" w:hAnsi="Verdana" w:cs="Century Gothic"/>
          <w:b/>
          <w:bCs/>
          <w:lang w:val="es-ES"/>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A60141" w:rsidRPr="00593A5F" w14:paraId="08CD1192" w14:textId="77777777" w:rsidTr="009C3D49">
        <w:trPr>
          <w:jc w:val="center"/>
        </w:trPr>
        <w:tc>
          <w:tcPr>
            <w:tcW w:w="8828" w:type="dxa"/>
            <w:shd w:val="clear" w:color="auto" w:fill="auto"/>
          </w:tcPr>
          <w:p w14:paraId="427231D1" w14:textId="10E30D51" w:rsidR="00A60141" w:rsidRDefault="00A60141" w:rsidP="009C3D49">
            <w:pPr>
              <w:widowControl w:val="0"/>
              <w:autoSpaceDE w:val="0"/>
              <w:autoSpaceDN w:val="0"/>
              <w:spacing w:after="120" w:line="276" w:lineRule="auto"/>
              <w:jc w:val="both"/>
              <w:rPr>
                <w:rFonts w:ascii="Verdana" w:hAnsi="Verdana" w:cs="Arial"/>
                <w:color w:val="000000" w:themeColor="text1"/>
              </w:rPr>
            </w:pPr>
            <w:bookmarkStart w:id="1" w:name="_Hlk171694685"/>
            <w:r>
              <w:rPr>
                <w:rFonts w:ascii="Verdana" w:eastAsia="Times New Roman" w:hAnsi="Verdana" w:cs="Arial"/>
                <w:color w:val="000000"/>
                <w:lang w:val="es-ES_tradnl" w:eastAsia="es-ES_tradnl"/>
              </w:rPr>
              <w:t xml:space="preserve">Conforme a la interpretación de las normas generales del sistema de compras </w:t>
            </w:r>
            <w:r w:rsidR="00D35637">
              <w:rPr>
                <w:rFonts w:ascii="Verdana" w:eastAsia="Times New Roman" w:hAnsi="Verdana" w:cs="Arial"/>
                <w:color w:val="000000"/>
                <w:lang w:val="es-ES_tradnl" w:eastAsia="es-ES_tradnl"/>
              </w:rPr>
              <w:t xml:space="preserve">y contratación </w:t>
            </w:r>
            <w:r>
              <w:rPr>
                <w:rFonts w:ascii="Verdana" w:eastAsia="Times New Roman" w:hAnsi="Verdana" w:cs="Arial"/>
                <w:color w:val="000000"/>
                <w:lang w:val="es-ES_tradnl" w:eastAsia="es-ES_tradnl"/>
              </w:rPr>
              <w:t>pública, se encuentra que el marco jurídico vigente los contratos de comodato</w:t>
            </w:r>
            <w:r w:rsidR="003B3CBC">
              <w:rPr>
                <w:rFonts w:ascii="Verdana" w:eastAsia="Times New Roman" w:hAnsi="Verdana" w:cs="Arial"/>
                <w:color w:val="000000"/>
                <w:lang w:val="es-ES_tradnl" w:eastAsia="es-ES_tradnl"/>
              </w:rPr>
              <w:t xml:space="preserve">, los cuales </w:t>
            </w:r>
            <w:r>
              <w:rPr>
                <w:rFonts w:ascii="Verdana" w:eastAsia="Times New Roman" w:hAnsi="Verdana" w:cs="Arial"/>
                <w:color w:val="000000"/>
                <w:lang w:val="es-ES_tradnl" w:eastAsia="es-ES_tradnl"/>
              </w:rPr>
              <w:t>se rige</w:t>
            </w:r>
            <w:r w:rsidR="003B3CBC">
              <w:rPr>
                <w:rFonts w:ascii="Verdana" w:eastAsia="Times New Roman" w:hAnsi="Verdana" w:cs="Arial"/>
                <w:color w:val="000000"/>
                <w:lang w:val="es-ES_tradnl" w:eastAsia="es-ES_tradnl"/>
              </w:rPr>
              <w:t>n</w:t>
            </w:r>
            <w:r>
              <w:rPr>
                <w:rFonts w:ascii="Verdana" w:eastAsia="Times New Roman" w:hAnsi="Verdana" w:cs="Arial"/>
                <w:color w:val="000000"/>
                <w:lang w:val="es-ES_tradnl" w:eastAsia="es-ES_tradnl"/>
              </w:rPr>
              <w:t xml:space="preserve"> por las siguiente reglas: </w:t>
            </w:r>
            <w:r w:rsidRPr="00222802">
              <w:rPr>
                <w:rFonts w:ascii="Verdana" w:hAnsi="Verdana" w:cs="Arial"/>
                <w:color w:val="000000" w:themeColor="text1"/>
              </w:rPr>
              <w:t xml:space="preserve">i) 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por un término máximo de cinco (5) años, renovables, de acuerdo con el artículo 38 de la Ley 9 de 1989; </w:t>
            </w:r>
            <w:proofErr w:type="spellStart"/>
            <w:r w:rsidRPr="00222802">
              <w:rPr>
                <w:rFonts w:ascii="Verdana" w:hAnsi="Verdana" w:cs="Arial"/>
                <w:color w:val="000000" w:themeColor="text1"/>
              </w:rPr>
              <w:t>ii</w:t>
            </w:r>
            <w:proofErr w:type="spellEnd"/>
            <w:r w:rsidRPr="00222802">
              <w:rPr>
                <w:rFonts w:ascii="Verdana" w:hAnsi="Verdana" w:cs="Arial"/>
                <w:color w:val="000000" w:themeColor="text1"/>
              </w:rPr>
              <w:t>)</w:t>
            </w:r>
            <w:r>
              <w:rPr>
                <w:rFonts w:ascii="Verdana" w:hAnsi="Verdana" w:cs="Arial"/>
                <w:color w:val="000000" w:themeColor="text1"/>
              </w:rPr>
              <w:t xml:space="preserve"> l</w:t>
            </w:r>
            <w:r w:rsidRPr="00222802">
              <w:rPr>
                <w:rFonts w:ascii="Verdana" w:hAnsi="Verdana" w:cs="Arial"/>
                <w:color w:val="000000" w:themeColor="text1"/>
              </w:rPr>
              <w:t>as entidades estatales pueden celebrar contrato</w:t>
            </w:r>
            <w:r>
              <w:rPr>
                <w:rFonts w:ascii="Verdana" w:hAnsi="Verdana" w:cs="Arial"/>
                <w:color w:val="000000" w:themeColor="text1"/>
              </w:rPr>
              <w:t>s</w:t>
            </w:r>
            <w:r w:rsidRPr="00222802">
              <w:rPr>
                <w:rFonts w:ascii="Verdana" w:hAnsi="Verdana" w:cs="Arial"/>
                <w:color w:val="000000" w:themeColor="text1"/>
              </w:rPr>
              <w:t xml:space="preserve"> de comodato de bienes muebles entre sí, de acuerdo con </w:t>
            </w:r>
            <w:r w:rsidRPr="00222802">
              <w:rPr>
                <w:rFonts w:ascii="Verdana" w:hAnsi="Verdana" w:cs="Arial"/>
                <w:color w:val="000000" w:themeColor="text1"/>
              </w:rPr>
              <w:lastRenderedPageBreak/>
              <w:t xml:space="preserve">las reglas del Código Civil; </w:t>
            </w:r>
            <w:proofErr w:type="spellStart"/>
            <w:r w:rsidRPr="00222802">
              <w:rPr>
                <w:rFonts w:ascii="Verdana" w:hAnsi="Verdana" w:cs="Arial"/>
                <w:color w:val="000000" w:themeColor="text1"/>
              </w:rPr>
              <w:t>iii</w:t>
            </w:r>
            <w:proofErr w:type="spellEnd"/>
            <w:r w:rsidRPr="00222802">
              <w:rPr>
                <w:rFonts w:ascii="Verdana" w:hAnsi="Verdana" w:cs="Arial"/>
                <w:color w:val="000000" w:themeColor="text1"/>
              </w:rPr>
              <w:t>) en virtud del artículo 355 de la Constitución Política, las entidades estatales pueden entregar en comodato sus bienes muebles a entidades privadas sin ánimo de lucro, y el tiempo de duración del contrato estará sujeto en todo caso a la actividad misional de la respectiva entidad estatal</w:t>
            </w:r>
            <w:r w:rsidR="00201BD9">
              <w:rPr>
                <w:rFonts w:ascii="Verdana" w:hAnsi="Verdana" w:cs="Arial"/>
                <w:color w:val="000000" w:themeColor="text1"/>
              </w:rPr>
              <w:t>,</w:t>
            </w:r>
            <w:r w:rsidRPr="00222802">
              <w:rPr>
                <w:rFonts w:ascii="Verdana" w:hAnsi="Verdana" w:cs="Arial"/>
                <w:color w:val="000000" w:themeColor="text1"/>
              </w:rPr>
              <w:t xml:space="preserve"> de acuerdo con lo previsto en el artículo 96 de la Ley 489 de 1998 y; </w:t>
            </w:r>
            <w:proofErr w:type="spellStart"/>
            <w:r w:rsidRPr="00222802">
              <w:rPr>
                <w:rFonts w:ascii="Verdana" w:hAnsi="Verdana" w:cs="Arial"/>
                <w:color w:val="000000" w:themeColor="text1"/>
              </w:rPr>
              <w:t>iv</w:t>
            </w:r>
            <w:proofErr w:type="spellEnd"/>
            <w:r w:rsidRPr="00222802">
              <w:rPr>
                <w:rFonts w:ascii="Verdana" w:hAnsi="Verdana" w:cs="Arial"/>
                <w:color w:val="000000" w:themeColor="text1"/>
              </w:rPr>
              <w:t>) las entidades estatales pueden celebrar contratos de comodato con privados, actuando en calidad de comodatarias, caso en el cual no tienen restricción normativa para celebrar este tipo de contratos, con fundamento en la autonomía de la voluntad que establece el artículo 32 de la Ley 80 de 1993, sin perjuicio del cumplimiento de los principios constitucionales aplicables a la función administrativa y los de la contratación estatal.</w:t>
            </w:r>
          </w:p>
          <w:p w14:paraId="31EE032E" w14:textId="77777777" w:rsidR="00A60141" w:rsidRDefault="00A60141" w:rsidP="009C3D49">
            <w:pPr>
              <w:widowControl w:val="0"/>
              <w:autoSpaceDE w:val="0"/>
              <w:autoSpaceDN w:val="0"/>
              <w:spacing w:after="120" w:line="276" w:lineRule="auto"/>
              <w:ind w:firstLine="709"/>
              <w:jc w:val="both"/>
              <w:rPr>
                <w:rFonts w:ascii="Verdana" w:hAnsi="Verdana" w:cs="Arial"/>
                <w:color w:val="000000" w:themeColor="text1"/>
              </w:rPr>
            </w:pPr>
            <w:r w:rsidRPr="00222802">
              <w:rPr>
                <w:rFonts w:ascii="Verdana" w:hAnsi="Verdana" w:cs="Arial"/>
                <w:color w:val="000000" w:themeColor="text1"/>
              </w:rPr>
              <w:t>En estos eventos</w:t>
            </w:r>
            <w:r>
              <w:rPr>
                <w:rFonts w:ascii="Verdana" w:hAnsi="Verdana" w:cs="Arial"/>
                <w:color w:val="000000" w:themeColor="text1"/>
              </w:rPr>
              <w:t>, sin perjuicio de las reglas especiales previstas en el EGCAP,</w:t>
            </w:r>
            <w:r w:rsidRPr="00222802">
              <w:rPr>
                <w:rFonts w:ascii="Verdana" w:hAnsi="Verdana" w:cs="Arial"/>
                <w:color w:val="000000" w:themeColor="text1"/>
              </w:rPr>
              <w:t xml:space="preserve"> el tipo contractual se rige </w:t>
            </w:r>
            <w:r>
              <w:rPr>
                <w:rFonts w:ascii="Verdana" w:hAnsi="Verdana" w:cs="Arial"/>
                <w:color w:val="000000" w:themeColor="text1"/>
              </w:rPr>
              <w:t>por</w:t>
            </w:r>
            <w:r w:rsidRPr="00222802">
              <w:rPr>
                <w:rFonts w:ascii="Verdana" w:hAnsi="Verdana" w:cs="Arial"/>
                <w:color w:val="000000" w:themeColor="text1"/>
              </w:rPr>
              <w:t xml:space="preserve"> los artículos 2200 al 2220, dada la remisión expresa </w:t>
            </w:r>
            <w:r>
              <w:rPr>
                <w:rFonts w:ascii="Verdana" w:hAnsi="Verdana" w:cs="Arial"/>
                <w:color w:val="000000" w:themeColor="text1"/>
              </w:rPr>
              <w:t>d</w:t>
            </w:r>
            <w:r w:rsidRPr="00222802">
              <w:rPr>
                <w:rFonts w:ascii="Verdana" w:hAnsi="Verdana" w:cs="Arial"/>
                <w:color w:val="000000" w:themeColor="text1"/>
              </w:rPr>
              <w:t xml:space="preserve">el artículo 13 de la Ley 80 de 1993 en cuanto al régimen </w:t>
            </w:r>
            <w:r>
              <w:rPr>
                <w:rFonts w:ascii="Verdana" w:hAnsi="Verdana" w:cs="Arial"/>
                <w:color w:val="000000" w:themeColor="text1"/>
              </w:rPr>
              <w:t>aplicable</w:t>
            </w:r>
            <w:r w:rsidRPr="00222802">
              <w:rPr>
                <w:rFonts w:ascii="Verdana" w:hAnsi="Verdana" w:cs="Arial"/>
                <w:color w:val="000000" w:themeColor="text1"/>
              </w:rPr>
              <w:t xml:space="preserve"> a los contratos estatales.</w:t>
            </w:r>
            <w:r>
              <w:rPr>
                <w:rFonts w:ascii="Verdana" w:hAnsi="Verdana" w:cs="Arial"/>
                <w:color w:val="000000" w:themeColor="text1"/>
              </w:rPr>
              <w:t xml:space="preserve"> </w:t>
            </w:r>
            <w:r w:rsidRPr="004B6557">
              <w:rPr>
                <w:rFonts w:ascii="Verdana" w:hAnsi="Verdana" w:cs="Arial"/>
                <w:color w:val="000000" w:themeColor="text1"/>
              </w:rPr>
              <w:t>Por lo demás, en el marco de los negocios jurídicos celebrados, la suscripción de actas de entrega se llevará de acuerdo a los procedimientos internos para la gestión de bienes en cada entidad.</w:t>
            </w:r>
            <w:r>
              <w:rPr>
                <w:rFonts w:ascii="Verdana" w:hAnsi="Verdana" w:cs="Arial"/>
                <w:color w:val="000000" w:themeColor="text1"/>
              </w:rPr>
              <w:t xml:space="preserve"> </w:t>
            </w:r>
          </w:p>
          <w:p w14:paraId="12FCD6E7" w14:textId="77777777" w:rsidR="00A60141" w:rsidRPr="00BD0B8C" w:rsidRDefault="00A60141" w:rsidP="009C3D49">
            <w:pPr>
              <w:spacing w:line="276" w:lineRule="auto"/>
              <w:ind w:firstLine="709"/>
              <w:jc w:val="both"/>
              <w:rPr>
                <w:rFonts w:ascii="Verdana" w:hAnsi="Verdana" w:cs="Arial"/>
                <w:lang w:eastAsia="es-ES"/>
              </w:rPr>
            </w:pP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la celebración de contratos de comodato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r>
              <w:rPr>
                <w:rFonts w:ascii="Verdana" w:hAnsi="Verdana" w:cs="Arial"/>
                <w:lang w:eastAsia="es-ES"/>
              </w:rPr>
              <w:t xml:space="preserve"> Así</w:t>
            </w:r>
            <w:r w:rsidRPr="00301910">
              <w:rPr>
                <w:rFonts w:ascii="Verdana" w:hAnsi="Verdana" w:cs="Arial"/>
                <w:lang w:eastAsia="es-ES"/>
              </w:rPr>
              <w:t>, cada entidad definirá la forma de adelantar su gestión contractual, sin que sea atribución de Colombia Compra Eficiente validar sus actuaciones.</w:t>
            </w:r>
          </w:p>
        </w:tc>
      </w:tr>
    </w:tbl>
    <w:p w14:paraId="3E27C39D" w14:textId="77777777" w:rsidR="00A60141" w:rsidRPr="00593A5F" w:rsidRDefault="00A60141" w:rsidP="00A60141">
      <w:pPr>
        <w:tabs>
          <w:tab w:val="left" w:pos="142"/>
          <w:tab w:val="left" w:pos="284"/>
        </w:tabs>
        <w:spacing w:after="0" w:line="276" w:lineRule="auto"/>
        <w:jc w:val="both"/>
        <w:rPr>
          <w:rFonts w:ascii="Verdana" w:eastAsia="Century Gothic" w:hAnsi="Verdana" w:cs="Century Gothic"/>
          <w:b/>
          <w:bCs/>
          <w:lang w:val="es-ES"/>
        </w:rPr>
      </w:pPr>
    </w:p>
    <w:bookmarkEnd w:id="1"/>
    <w:p w14:paraId="16883302" w14:textId="77777777" w:rsidR="00A60141" w:rsidRPr="00593A5F" w:rsidRDefault="00A60141" w:rsidP="00A60141">
      <w:pPr>
        <w:pStyle w:val="Prrafodelista"/>
        <w:numPr>
          <w:ilvl w:val="0"/>
          <w:numId w:val="19"/>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Razones de la respuesta:</w:t>
      </w:r>
    </w:p>
    <w:p w14:paraId="02198675" w14:textId="77777777" w:rsidR="00A60141" w:rsidRPr="00593A5F" w:rsidRDefault="00A60141" w:rsidP="00A60141">
      <w:pPr>
        <w:spacing w:after="0" w:line="276" w:lineRule="auto"/>
        <w:jc w:val="both"/>
        <w:rPr>
          <w:rFonts w:ascii="Verdana" w:eastAsia="Calibri" w:hAnsi="Verdana" w:cs="Arial"/>
          <w:color w:val="7030A0"/>
          <w:lang w:val="es-ES"/>
        </w:rPr>
      </w:pPr>
    </w:p>
    <w:p w14:paraId="2847E8DC" w14:textId="77777777" w:rsidR="00A60141" w:rsidRDefault="00A60141" w:rsidP="00A60141">
      <w:pPr>
        <w:spacing w:after="0" w:line="276" w:lineRule="auto"/>
        <w:jc w:val="both"/>
        <w:rPr>
          <w:rFonts w:ascii="Verdana" w:eastAsia="Calibri" w:hAnsi="Verdana" w:cs="Arial"/>
          <w:lang w:val="es-ES"/>
        </w:rPr>
      </w:pPr>
      <w:r w:rsidRPr="00B96799">
        <w:rPr>
          <w:rFonts w:ascii="Verdana" w:eastAsia="Calibri" w:hAnsi="Verdana" w:cs="Arial"/>
          <w:lang w:val="es-ES"/>
        </w:rPr>
        <w:t>Lo anterior se sustenta en las siguientes consideraciones:</w:t>
      </w:r>
    </w:p>
    <w:p w14:paraId="69BCF5CC" w14:textId="77777777" w:rsidR="00A60141" w:rsidRPr="00415608" w:rsidRDefault="00A60141" w:rsidP="00A60141">
      <w:pPr>
        <w:spacing w:after="0" w:line="276" w:lineRule="auto"/>
        <w:jc w:val="both"/>
        <w:rPr>
          <w:rFonts w:ascii="Verdana" w:eastAsia="Calibri" w:hAnsi="Verdana" w:cs="Arial"/>
          <w:lang w:val="es-ES"/>
        </w:rPr>
      </w:pPr>
    </w:p>
    <w:p w14:paraId="112E7498" w14:textId="77777777" w:rsidR="00A60141" w:rsidRPr="00CB68C5" w:rsidRDefault="00A60141" w:rsidP="00A60141">
      <w:pPr>
        <w:spacing w:after="120" w:line="276" w:lineRule="auto"/>
        <w:jc w:val="both"/>
        <w:rPr>
          <w:rFonts w:ascii="Verdana" w:hAnsi="Verdana" w:cs="Arial"/>
        </w:rPr>
      </w:pPr>
      <w:r>
        <w:rPr>
          <w:rFonts w:ascii="Verdana" w:eastAsia="Calibri" w:hAnsi="Verdana" w:cs="Arial"/>
          <w:lang w:val="es-ES"/>
        </w:rPr>
        <w:t xml:space="preserve">i. </w:t>
      </w:r>
      <w:r w:rsidRPr="00CB68C5">
        <w:rPr>
          <w:rFonts w:ascii="Verdana" w:eastAsia="Calibri" w:hAnsi="Verdana" w:cs="Arial"/>
          <w:lang w:val="es-ES"/>
        </w:rPr>
        <w:t xml:space="preserve">El Estatuto General de Contratación de la Administración Pública define los contratos de obra, consultoría, prestación de servicios, concesión, encargos fiduciarios y fiducia pública. Sin embargo, se trata de un listado enunciativo, pues la Ley 80 de 1993 se integra con las tipologías contractuales previstas en el derecho privado. Por ello, </w:t>
      </w:r>
      <w:r w:rsidRPr="00CB68C5">
        <w:rPr>
          <w:rFonts w:ascii="Verdana" w:hAnsi="Verdana" w:cs="Arial"/>
        </w:rPr>
        <w:t xml:space="preserve">el inciso primero del artículo 13 dispone que “Los contratos que celebren las entidades a que se refiere el artículo 2o. del presente </w:t>
      </w:r>
      <w:r w:rsidRPr="00CB68C5">
        <w:rPr>
          <w:rFonts w:ascii="Verdana" w:hAnsi="Verdana" w:cs="Arial"/>
        </w:rPr>
        <w:lastRenderedPageBreak/>
        <w:t xml:space="preserve">estatuto se regirán por las disposiciones comerciales y civiles pertinentes, salvo en las materias particularmente reguladas en esta ley”. </w:t>
      </w:r>
    </w:p>
    <w:p w14:paraId="3E3BAAC2" w14:textId="77777777" w:rsidR="00A60141" w:rsidRPr="00CB68C5" w:rsidRDefault="00A60141" w:rsidP="00A60141">
      <w:pPr>
        <w:spacing w:after="120" w:line="276" w:lineRule="auto"/>
        <w:ind w:firstLine="709"/>
        <w:jc w:val="both"/>
        <w:rPr>
          <w:rFonts w:ascii="Verdana" w:hAnsi="Verdana" w:cs="Arial"/>
        </w:rPr>
      </w:pPr>
      <w:r w:rsidRPr="00CB68C5">
        <w:rPr>
          <w:rFonts w:ascii="Verdana" w:hAnsi="Verdana" w:cs="Arial"/>
        </w:rPr>
        <w:t>Dicha idea también se reitera en el EGCAP considerando que “Son contratos estatales todos los actos jurídicos generadores de obligaciones que celebren las entidades a que se refiere el presente estatuto, previstos en el derecho privado o en disposiciones especiales, o derivados del ejercicio de la autonomía de la voluntad” –art. 32, inciso primero–. Asimismo, dispone que “Las estipulaciones de los contratos serán las que de acuerdo con las normas civiles, comerciales y las previstas en esta ley, correspondan a su esencia y naturaleza” –art. 40, inciso primero–.</w:t>
      </w:r>
    </w:p>
    <w:p w14:paraId="1212AF84" w14:textId="77777777" w:rsidR="00A60141" w:rsidRPr="00CB68C5" w:rsidRDefault="00A60141" w:rsidP="00A60141">
      <w:pPr>
        <w:spacing w:after="0" w:line="276" w:lineRule="auto"/>
        <w:ind w:firstLine="708"/>
        <w:jc w:val="both"/>
        <w:rPr>
          <w:rFonts w:ascii="Verdana" w:hAnsi="Verdana" w:cs="Arial"/>
        </w:rPr>
      </w:pPr>
      <w:r w:rsidRPr="00CB68C5">
        <w:rPr>
          <w:rFonts w:ascii="Verdana" w:hAnsi="Verdana" w:cs="Arial"/>
        </w:rPr>
        <w:t>De esta manera, los contratos de las entidades sometidas al Estatuto General de Contratación se rigen generalmente por el derecho privado y excepcionalmente por el derecho público, pues las normas civiles y comerciales son el derecho común de los contratos estatales</w:t>
      </w:r>
      <w:r w:rsidRPr="00CB68C5">
        <w:rPr>
          <w:rStyle w:val="Refdenotaalpie"/>
          <w:rFonts w:ascii="Verdana" w:hAnsi="Verdana" w:cs="Arial"/>
        </w:rPr>
        <w:footnoteReference w:id="1"/>
      </w:r>
      <w:r w:rsidRPr="00CB68C5">
        <w:rPr>
          <w:rFonts w:ascii="Verdana" w:hAnsi="Verdana" w:cs="Arial"/>
        </w:rPr>
        <w:t>. Para la doctrina, la mixtura del régimen contractual:</w:t>
      </w:r>
    </w:p>
    <w:p w14:paraId="71E42907" w14:textId="77777777" w:rsidR="00A60141" w:rsidRPr="00CB68C5" w:rsidRDefault="00A60141" w:rsidP="00A60141">
      <w:pPr>
        <w:spacing w:after="0" w:line="276" w:lineRule="auto"/>
        <w:ind w:firstLine="709"/>
        <w:jc w:val="both"/>
        <w:rPr>
          <w:rFonts w:ascii="Verdana" w:hAnsi="Verdana" w:cs="Arial"/>
        </w:rPr>
      </w:pPr>
    </w:p>
    <w:p w14:paraId="5906D5B9" w14:textId="77777777" w:rsidR="00A60141" w:rsidRPr="00CB68C5" w:rsidRDefault="00A60141" w:rsidP="00A60141">
      <w:pPr>
        <w:spacing w:after="0" w:line="240" w:lineRule="auto"/>
        <w:ind w:left="709" w:right="709"/>
        <w:jc w:val="both"/>
        <w:rPr>
          <w:rFonts w:ascii="Verdana" w:hAnsi="Verdana" w:cs="Arial"/>
          <w:sz w:val="21"/>
          <w:szCs w:val="21"/>
        </w:rPr>
      </w:pPr>
      <w:r w:rsidRPr="00CB68C5">
        <w:rPr>
          <w:rFonts w:ascii="Verdana" w:hAnsi="Verdana" w:cs="Arial"/>
          <w:sz w:val="21"/>
          <w:szCs w:val="21"/>
        </w:rPr>
        <w:t>“[…] no hace otra cosa que aprovechar ciertos principios rectores de la contratación general que aunque tengan su consagración en códigos de derecho privado como el civil o el comercial, no son propios y exclusivos de este derecho. Baste pensar en los requisitos de consentimiento válido, objeto y causa lícitos, capacidad, elementos esenciales según la naturaleza de cada contrato, responsabilidad, naturaleza de las obligaciones emanadas de los mismos, etc. etc. Extremos éstos que de derecho privado no tienen sino su presentación formal o el nombre y que la tradición, desde su origen romano, se acostumbró a calificarlos así y a no preocuparse por su cuestionamiento o definición.</w:t>
      </w:r>
    </w:p>
    <w:p w14:paraId="7641EE80" w14:textId="77777777" w:rsidR="00A60141" w:rsidRPr="00CB68C5" w:rsidRDefault="00A60141" w:rsidP="00A60141">
      <w:pPr>
        <w:spacing w:after="0" w:line="240" w:lineRule="auto"/>
        <w:ind w:right="709"/>
        <w:jc w:val="both"/>
        <w:rPr>
          <w:rFonts w:ascii="Verdana" w:hAnsi="Verdana" w:cs="Arial"/>
          <w:sz w:val="12"/>
          <w:szCs w:val="12"/>
        </w:rPr>
      </w:pPr>
      <w:r w:rsidRPr="00CB68C5">
        <w:rPr>
          <w:rFonts w:ascii="Verdana" w:hAnsi="Verdana" w:cs="Arial"/>
          <w:sz w:val="21"/>
          <w:szCs w:val="21"/>
        </w:rPr>
        <w:tab/>
      </w:r>
    </w:p>
    <w:p w14:paraId="5A678B9A" w14:textId="77777777" w:rsidR="00A60141" w:rsidRPr="00CB68C5" w:rsidRDefault="00A60141" w:rsidP="00A60141">
      <w:pPr>
        <w:spacing w:after="0" w:line="240" w:lineRule="auto"/>
        <w:ind w:left="709" w:right="709"/>
        <w:jc w:val="both"/>
        <w:rPr>
          <w:rFonts w:ascii="Verdana" w:hAnsi="Verdana" w:cs="Arial"/>
          <w:sz w:val="21"/>
          <w:szCs w:val="21"/>
        </w:rPr>
      </w:pPr>
      <w:r w:rsidRPr="00CB68C5">
        <w:rPr>
          <w:rFonts w:ascii="Verdana" w:hAnsi="Verdana" w:cs="Arial"/>
          <w:sz w:val="21"/>
          <w:szCs w:val="21"/>
        </w:rPr>
        <w:t>En otras palabras, extremos como los indicados no son ni de derecho público ni de derecho privado, sino, simplemente, de derecho propio, aplicables a toda relación contractual, con prescindencia de la naturaleza de los sujetos involucrados en la misma”</w:t>
      </w:r>
      <w:r w:rsidRPr="00CB68C5">
        <w:rPr>
          <w:rStyle w:val="Refdenotaalpie"/>
          <w:rFonts w:ascii="Verdana" w:hAnsi="Verdana" w:cs="Arial"/>
          <w:sz w:val="21"/>
          <w:szCs w:val="21"/>
        </w:rPr>
        <w:footnoteReference w:id="2"/>
      </w:r>
      <w:r w:rsidRPr="00CB68C5">
        <w:rPr>
          <w:rFonts w:ascii="Verdana" w:hAnsi="Verdana" w:cs="Arial"/>
          <w:sz w:val="21"/>
          <w:szCs w:val="21"/>
        </w:rPr>
        <w:t xml:space="preserve">. </w:t>
      </w:r>
    </w:p>
    <w:p w14:paraId="51636A63" w14:textId="77777777" w:rsidR="00A60141" w:rsidRPr="00CB68C5" w:rsidRDefault="00A60141" w:rsidP="00A60141">
      <w:pPr>
        <w:spacing w:after="0" w:line="276" w:lineRule="auto"/>
        <w:ind w:left="709" w:right="709"/>
        <w:jc w:val="both"/>
        <w:rPr>
          <w:rFonts w:ascii="Verdana" w:hAnsi="Verdana" w:cs="Arial"/>
        </w:rPr>
      </w:pPr>
      <w:r w:rsidRPr="00CB68C5">
        <w:rPr>
          <w:rFonts w:ascii="Verdana" w:hAnsi="Verdana" w:cs="Arial"/>
        </w:rPr>
        <w:t xml:space="preserve"> </w:t>
      </w:r>
    </w:p>
    <w:p w14:paraId="6DF530D4" w14:textId="77777777" w:rsidR="00A60141" w:rsidRDefault="00A60141" w:rsidP="00A60141">
      <w:pPr>
        <w:spacing w:after="0" w:line="276" w:lineRule="auto"/>
        <w:jc w:val="both"/>
        <w:rPr>
          <w:rFonts w:ascii="Verdana" w:hAnsi="Verdana" w:cs="Arial"/>
        </w:rPr>
      </w:pPr>
      <w:r w:rsidRPr="00CB68C5">
        <w:rPr>
          <w:rFonts w:ascii="Verdana" w:hAnsi="Verdana" w:cs="Arial"/>
        </w:rPr>
        <w:tab/>
        <w:t xml:space="preserve">Ello no implica una privatización absoluta del régimen contractual de las entidades públicas, pues la Ley 80 de 1993 –entre otros aspectos– regula especialmente la capacidad jurídica –inhabilidades, incompatibilidades, consorcios y uniones temporales y registro único de proponentes–, las reglas de </w:t>
      </w:r>
      <w:r w:rsidRPr="00CB68C5">
        <w:rPr>
          <w:rFonts w:ascii="Verdana" w:hAnsi="Verdana" w:cs="Arial"/>
        </w:rPr>
        <w:lastRenderedPageBreak/>
        <w:t>selección objetiva –procedimientos de selección–, así como algunos aspectos de ejecución contractual –manejo del riesgo, cláusulas exorbitantes y tipologías contractuales–. Por ello, con excepción de las materias expresamente reguladas en el Estatuto de Contratación, es posible la aplicación de las normas de derecho privado.</w:t>
      </w:r>
      <w:r>
        <w:rPr>
          <w:rFonts w:ascii="Verdana" w:hAnsi="Verdana" w:cs="Arial"/>
        </w:rPr>
        <w:t xml:space="preserve"> </w:t>
      </w:r>
      <w:r w:rsidRPr="00CB68C5">
        <w:rPr>
          <w:rFonts w:ascii="Verdana" w:hAnsi="Verdana" w:cs="Arial"/>
        </w:rPr>
        <w:t xml:space="preserve">Esta precisión es importante, porque </w:t>
      </w:r>
      <w:r>
        <w:rPr>
          <w:rFonts w:ascii="Verdana" w:hAnsi="Verdana" w:cs="Arial"/>
        </w:rPr>
        <w:t>el comodato</w:t>
      </w:r>
      <w:r w:rsidRPr="00CB68C5">
        <w:rPr>
          <w:rFonts w:ascii="Verdana" w:hAnsi="Verdana" w:cs="Arial"/>
        </w:rPr>
        <w:t xml:space="preserve"> se encuentra tipificad</w:t>
      </w:r>
      <w:r>
        <w:rPr>
          <w:rFonts w:ascii="Verdana" w:hAnsi="Verdana" w:cs="Arial"/>
        </w:rPr>
        <w:t>o</w:t>
      </w:r>
      <w:r w:rsidRPr="00CB68C5">
        <w:rPr>
          <w:rFonts w:ascii="Verdana" w:hAnsi="Verdana" w:cs="Arial"/>
        </w:rPr>
        <w:t xml:space="preserve"> en el Código Civil y allí se encuentra gran parte de su régimen jurídico</w:t>
      </w:r>
      <w:r>
        <w:rPr>
          <w:rFonts w:ascii="Verdana" w:hAnsi="Verdana" w:cs="Arial"/>
        </w:rPr>
        <w:t>.</w:t>
      </w:r>
    </w:p>
    <w:p w14:paraId="725F1F30" w14:textId="77777777" w:rsidR="00A60141" w:rsidRDefault="00A60141" w:rsidP="00A60141">
      <w:pPr>
        <w:spacing w:after="0" w:line="276" w:lineRule="auto"/>
        <w:jc w:val="both"/>
        <w:rPr>
          <w:rFonts w:ascii="Verdana" w:hAnsi="Verdana" w:cs="Arial"/>
        </w:rPr>
      </w:pPr>
    </w:p>
    <w:p w14:paraId="463C5D1D" w14:textId="77777777" w:rsidR="00A60141" w:rsidRPr="00222802" w:rsidRDefault="00A60141" w:rsidP="00A60141">
      <w:pPr>
        <w:spacing w:after="120" w:line="276" w:lineRule="auto"/>
        <w:jc w:val="both"/>
        <w:rPr>
          <w:rFonts w:ascii="Verdana" w:eastAsia="Calibri" w:hAnsi="Verdana" w:cs="Arial"/>
          <w:bCs/>
          <w:color w:val="000000" w:themeColor="text1"/>
        </w:rPr>
      </w:pPr>
      <w:proofErr w:type="spellStart"/>
      <w:r w:rsidRPr="00222802">
        <w:rPr>
          <w:rFonts w:ascii="Verdana" w:hAnsi="Verdana" w:cs="Arial"/>
        </w:rPr>
        <w:t>ii</w:t>
      </w:r>
      <w:proofErr w:type="spellEnd"/>
      <w:r w:rsidRPr="00222802">
        <w:rPr>
          <w:rFonts w:ascii="Verdana" w:hAnsi="Verdana" w:cs="Arial"/>
        </w:rPr>
        <w:t xml:space="preserve">. </w:t>
      </w:r>
      <w:bookmarkStart w:id="2" w:name="_Hlk121750800"/>
      <w:r w:rsidRPr="00222802">
        <w:rPr>
          <w:rFonts w:ascii="Verdana" w:eastAsia="Calibri" w:hAnsi="Verdana" w:cs="Arial"/>
          <w:bCs/>
          <w:color w:val="000000" w:themeColor="text1"/>
        </w:rPr>
        <w:t xml:space="preserve">El comodato está previsto en el título XXIX del Código Civil, en cuyo artículo 2200 lo define como aquel en que </w:t>
      </w:r>
      <w:r>
        <w:rPr>
          <w:rFonts w:ascii="Verdana" w:eastAsia="Calibri" w:hAnsi="Verdana" w:cs="Arial"/>
          <w:bCs/>
          <w:color w:val="000000" w:themeColor="text1"/>
        </w:rPr>
        <w:t>“</w:t>
      </w:r>
      <w:r w:rsidRPr="00222802">
        <w:rPr>
          <w:rFonts w:ascii="Verdana" w:eastAsia="Calibri" w:hAnsi="Verdana" w:cs="Arial"/>
          <w:bCs/>
          <w:color w:val="000000" w:themeColor="text1"/>
        </w:rPr>
        <w:t>[…] una de las partes entrega a la otra gratuitamente una especie mueble o raíz, para que haga uso de ella y con cargo de restituir la misma especie después de terminar el uso</w:t>
      </w:r>
      <w:r>
        <w:rPr>
          <w:rFonts w:ascii="Verdana" w:eastAsia="Calibri" w:hAnsi="Verdana" w:cs="Arial"/>
          <w:bCs/>
          <w:color w:val="000000" w:themeColor="text1"/>
        </w:rPr>
        <w:t>”</w:t>
      </w:r>
      <w:r w:rsidRPr="00222802">
        <w:rPr>
          <w:rFonts w:ascii="Verdana" w:eastAsia="Calibri" w:hAnsi="Verdana" w:cs="Arial"/>
          <w:bCs/>
          <w:color w:val="000000" w:themeColor="text1"/>
        </w:rPr>
        <w:t xml:space="preserve">. </w:t>
      </w:r>
      <w:bookmarkEnd w:id="2"/>
      <w:r w:rsidRPr="00222802">
        <w:rPr>
          <w:rFonts w:ascii="Verdana" w:eastAsia="Calibri" w:hAnsi="Verdana" w:cs="Arial"/>
          <w:bCs/>
          <w:color w:val="000000" w:themeColor="text1"/>
        </w:rPr>
        <w:t>En virtud de esta definición, se desprende su carácter de contrato nominado, principal, real, unilateral y gratuito</w:t>
      </w:r>
      <w:r w:rsidRPr="00222802">
        <w:rPr>
          <w:rFonts w:ascii="Verdana" w:eastAsia="Calibri" w:hAnsi="Verdana" w:cs="Arial"/>
          <w:bCs/>
          <w:color w:val="000000" w:themeColor="text1"/>
          <w:vertAlign w:val="superscript"/>
        </w:rPr>
        <w:footnoteReference w:id="3"/>
      </w:r>
      <w:r w:rsidRPr="00222802">
        <w:rPr>
          <w:rFonts w:ascii="Verdana" w:eastAsia="Calibri" w:hAnsi="Verdana" w:cs="Arial"/>
          <w:bCs/>
          <w:color w:val="000000" w:themeColor="text1"/>
        </w:rPr>
        <w:t xml:space="preserve">. También se le ha denominado a este negocio jurídico como préstamo de uso, aunque con características propias y completamente diferente al préstamo de consumo. </w:t>
      </w:r>
    </w:p>
    <w:p w14:paraId="14CCF1F0" w14:textId="77777777" w:rsidR="00A60141" w:rsidRPr="00222802" w:rsidRDefault="00A60141" w:rsidP="00A60141">
      <w:pPr>
        <w:spacing w:after="120" w:line="276" w:lineRule="auto"/>
        <w:ind w:firstLine="708"/>
        <w:jc w:val="both"/>
        <w:rPr>
          <w:rFonts w:ascii="Verdana" w:eastAsia="Calibri" w:hAnsi="Verdana" w:cs="Arial"/>
          <w:bCs/>
          <w:color w:val="000000" w:themeColor="text1"/>
        </w:rPr>
      </w:pPr>
      <w:r w:rsidRPr="00222802">
        <w:rPr>
          <w:rFonts w:ascii="Verdana" w:eastAsia="Calibri" w:hAnsi="Verdana" w:cs="Arial"/>
          <w:bCs/>
          <w:color w:val="000000" w:themeColor="text1"/>
        </w:rPr>
        <w:t>De igual manera, el</w:t>
      </w:r>
      <w:r>
        <w:rPr>
          <w:rFonts w:ascii="Verdana" w:eastAsia="Calibri" w:hAnsi="Verdana" w:cs="Arial"/>
          <w:bCs/>
          <w:color w:val="000000" w:themeColor="text1"/>
        </w:rPr>
        <w:t xml:space="preserve"> </w:t>
      </w:r>
      <w:r w:rsidRPr="00222802">
        <w:rPr>
          <w:rFonts w:ascii="Verdana" w:eastAsia="Calibri" w:hAnsi="Verdana" w:cs="Arial"/>
          <w:bCs/>
          <w:color w:val="000000" w:themeColor="text1"/>
        </w:rPr>
        <w:t>artículo 2201</w:t>
      </w:r>
      <w:r>
        <w:rPr>
          <w:rFonts w:ascii="Verdana" w:eastAsia="Calibri" w:hAnsi="Verdana" w:cs="Arial"/>
          <w:bCs/>
          <w:color w:val="000000" w:themeColor="text1"/>
        </w:rPr>
        <w:t xml:space="preserve"> del </w:t>
      </w:r>
      <w:r w:rsidRPr="00222802">
        <w:rPr>
          <w:rFonts w:ascii="Verdana" w:eastAsia="Calibri" w:hAnsi="Verdana" w:cs="Arial"/>
          <w:bCs/>
          <w:color w:val="000000" w:themeColor="text1"/>
        </w:rPr>
        <w:t xml:space="preserve">Código Civil regula lo relacionado con los derechos del comodante. Al respecto, establece que el comodato no trasfiere el dominio de la cosa dada en comodato y, por ello, </w:t>
      </w:r>
      <w:r>
        <w:rPr>
          <w:rFonts w:ascii="Verdana" w:eastAsia="Calibri" w:hAnsi="Verdana" w:cs="Arial"/>
          <w:bCs/>
          <w:color w:val="000000" w:themeColor="text1"/>
        </w:rPr>
        <w:t>“E</w:t>
      </w:r>
      <w:r w:rsidRPr="00222802">
        <w:rPr>
          <w:rFonts w:ascii="Verdana" w:eastAsia="Calibri" w:hAnsi="Verdana" w:cs="Arial"/>
          <w:bCs/>
          <w:color w:val="000000" w:themeColor="text1"/>
        </w:rPr>
        <w:t xml:space="preserve">l comodante </w:t>
      </w:r>
      <w:r>
        <w:rPr>
          <w:rFonts w:ascii="Verdana" w:eastAsia="Calibri" w:hAnsi="Verdana" w:cs="Arial"/>
          <w:bCs/>
          <w:color w:val="000000" w:themeColor="text1"/>
        </w:rPr>
        <w:t xml:space="preserve"> </w:t>
      </w:r>
      <w:r w:rsidRPr="00222802">
        <w:rPr>
          <w:rFonts w:ascii="Verdana" w:eastAsia="Calibri" w:hAnsi="Verdana" w:cs="Arial"/>
          <w:bCs/>
          <w:color w:val="000000" w:themeColor="text1"/>
        </w:rPr>
        <w:t>conserva sobre la cosa prestada todos los derechos que antes tenía, pero no su ejercicio, en cuanto fuere incompatible con el uso concedido al comodatario</w:t>
      </w:r>
      <w:r>
        <w:rPr>
          <w:rFonts w:ascii="Verdana" w:eastAsia="Calibri" w:hAnsi="Verdana" w:cs="Arial"/>
          <w:bCs/>
          <w:color w:val="000000" w:themeColor="text1"/>
        </w:rPr>
        <w:t>”.</w:t>
      </w:r>
      <w:r w:rsidRPr="00222802">
        <w:rPr>
          <w:rFonts w:ascii="Verdana" w:eastAsia="Calibri" w:hAnsi="Verdana" w:cs="Arial"/>
          <w:bCs/>
          <w:color w:val="000000" w:themeColor="text1"/>
        </w:rPr>
        <w:t xml:space="preserve"> </w:t>
      </w:r>
      <w:r>
        <w:rPr>
          <w:rFonts w:ascii="Verdana" w:eastAsia="Calibri" w:hAnsi="Verdana" w:cs="Arial"/>
          <w:bCs/>
          <w:color w:val="000000" w:themeColor="text1"/>
        </w:rPr>
        <w:t>P</w:t>
      </w:r>
      <w:r w:rsidRPr="00222802">
        <w:rPr>
          <w:rFonts w:ascii="Verdana" w:eastAsia="Calibri" w:hAnsi="Verdana" w:cs="Arial"/>
          <w:bCs/>
          <w:color w:val="000000" w:themeColor="text1"/>
        </w:rPr>
        <w:t xml:space="preserve">or lo tanto, </w:t>
      </w:r>
      <w:bookmarkStart w:id="3" w:name="_Hlk121750901"/>
      <w:r w:rsidRPr="00222802">
        <w:rPr>
          <w:rFonts w:ascii="Verdana" w:eastAsia="Calibri" w:hAnsi="Verdana" w:cs="Arial"/>
          <w:bCs/>
          <w:color w:val="000000" w:themeColor="text1"/>
        </w:rPr>
        <w:t>el comodatario es un mero tenedor de la cosa y</w:t>
      </w:r>
      <w:r>
        <w:rPr>
          <w:rFonts w:ascii="Verdana" w:eastAsia="Calibri" w:hAnsi="Verdana" w:cs="Arial"/>
          <w:bCs/>
          <w:color w:val="000000" w:themeColor="text1"/>
        </w:rPr>
        <w:t xml:space="preserve">, en los términos del </w:t>
      </w:r>
      <w:r w:rsidRPr="00222802">
        <w:rPr>
          <w:rFonts w:ascii="Verdana" w:eastAsia="Calibri" w:hAnsi="Verdana" w:cs="Arial"/>
          <w:bCs/>
          <w:color w:val="000000" w:themeColor="text1"/>
        </w:rPr>
        <w:t>artículo 2205</w:t>
      </w:r>
      <w:r>
        <w:rPr>
          <w:rFonts w:ascii="Verdana" w:eastAsia="Calibri" w:hAnsi="Verdana" w:cs="Arial"/>
          <w:bCs/>
          <w:color w:val="000000" w:themeColor="text1"/>
        </w:rPr>
        <w:t xml:space="preserve"> </w:t>
      </w:r>
      <w:r w:rsidRPr="009F2D84">
        <w:rPr>
          <w:rFonts w:ascii="Verdana" w:eastAsia="Calibri" w:hAnsi="Verdana" w:cs="Arial"/>
          <w:bCs/>
          <w:i/>
          <w:iCs/>
          <w:color w:val="000000" w:themeColor="text1"/>
        </w:rPr>
        <w:t>ibidem</w:t>
      </w:r>
      <w:r>
        <w:rPr>
          <w:rFonts w:ascii="Verdana" w:eastAsia="Calibri" w:hAnsi="Verdana" w:cs="Arial"/>
          <w:bCs/>
          <w:color w:val="000000" w:themeColor="text1"/>
        </w:rPr>
        <w:t>,</w:t>
      </w:r>
      <w:r w:rsidRPr="00222802">
        <w:rPr>
          <w:rFonts w:ascii="Verdana" w:eastAsia="Calibri" w:hAnsi="Verdana" w:cs="Arial"/>
          <w:bCs/>
          <w:color w:val="000000" w:themeColor="text1"/>
        </w:rPr>
        <w:t xml:space="preserve"> está obligado a la restitución del bien entregado en comodato al vencimiento del plazo o cuando se ha cumplido el servicio para el cual ha sido prestada</w:t>
      </w:r>
      <w:bookmarkEnd w:id="3"/>
      <w:r w:rsidRPr="00222802">
        <w:rPr>
          <w:rStyle w:val="Refdenotaalpie"/>
          <w:rFonts w:ascii="Verdana" w:eastAsia="Calibri" w:hAnsi="Verdana" w:cs="Arial"/>
          <w:bCs/>
          <w:color w:val="000000" w:themeColor="text1"/>
        </w:rPr>
        <w:footnoteReference w:id="4"/>
      </w:r>
      <w:r w:rsidRPr="00222802">
        <w:rPr>
          <w:rFonts w:ascii="Verdana" w:eastAsia="Calibri" w:hAnsi="Verdana" w:cs="Arial"/>
          <w:bCs/>
          <w:color w:val="000000" w:themeColor="text1"/>
        </w:rPr>
        <w:t xml:space="preserve">. </w:t>
      </w:r>
    </w:p>
    <w:p w14:paraId="156A33D8" w14:textId="77777777" w:rsidR="00A60141" w:rsidRDefault="00A60141" w:rsidP="00A60141">
      <w:pPr>
        <w:spacing w:after="0" w:line="276" w:lineRule="auto"/>
        <w:ind w:firstLine="709"/>
        <w:jc w:val="both"/>
        <w:rPr>
          <w:rFonts w:ascii="Verdana" w:eastAsia="Calibri" w:hAnsi="Verdana" w:cs="Arial"/>
          <w:bCs/>
          <w:color w:val="000000" w:themeColor="text1"/>
        </w:rPr>
      </w:pPr>
      <w:r>
        <w:rPr>
          <w:rFonts w:ascii="Verdana" w:eastAsia="Calibri" w:hAnsi="Verdana" w:cs="Arial"/>
          <w:bCs/>
          <w:color w:val="000000" w:themeColor="text1"/>
        </w:rPr>
        <w:lastRenderedPageBreak/>
        <w:t xml:space="preserve">Conforme al </w:t>
      </w:r>
      <w:r w:rsidRPr="00222802">
        <w:rPr>
          <w:rFonts w:ascii="Verdana" w:eastAsia="Calibri" w:hAnsi="Verdana" w:cs="Arial"/>
          <w:bCs/>
          <w:color w:val="000000" w:themeColor="text1"/>
        </w:rPr>
        <w:t>artículo 2202</w:t>
      </w:r>
      <w:r>
        <w:rPr>
          <w:rFonts w:ascii="Verdana" w:eastAsia="Calibri" w:hAnsi="Verdana" w:cs="Arial"/>
          <w:bCs/>
          <w:color w:val="000000" w:themeColor="text1"/>
        </w:rPr>
        <w:t xml:space="preserve"> del Código Civil</w:t>
      </w:r>
      <w:r w:rsidRPr="00222802">
        <w:rPr>
          <w:rFonts w:ascii="Verdana" w:eastAsia="Calibri" w:hAnsi="Verdana" w:cs="Arial"/>
          <w:bCs/>
          <w:color w:val="000000" w:themeColor="text1"/>
        </w:rPr>
        <w:t>, el comodatario tendrá la obligación de emplear la cosa para el uso convenido, o a falta de acuerdo, está obligado a usar la cosa bajo el uso ordinario</w:t>
      </w:r>
      <w:r w:rsidRPr="00222802">
        <w:rPr>
          <w:rStyle w:val="Refdenotaalpie"/>
          <w:rFonts w:ascii="Verdana" w:eastAsia="Calibri" w:hAnsi="Verdana" w:cs="Arial"/>
          <w:bCs/>
          <w:color w:val="000000" w:themeColor="text1"/>
        </w:rPr>
        <w:footnoteReference w:id="5"/>
      </w:r>
      <w:r w:rsidRPr="00222802">
        <w:rPr>
          <w:rFonts w:ascii="Verdana" w:eastAsia="Calibri" w:hAnsi="Verdana" w:cs="Arial"/>
          <w:bCs/>
          <w:color w:val="000000" w:themeColor="text1"/>
        </w:rPr>
        <w:t xml:space="preserve">. De incumplir esta obligación, el comodante podrá exigir la reparación de perjuicios y la restitución inmediata de la cosa. A propósito de las características del contrato de comodato, la Sala de Consulta y Servicio Civil del Consejo de Estado </w:t>
      </w:r>
      <w:r>
        <w:rPr>
          <w:rFonts w:ascii="Verdana" w:eastAsia="Calibri" w:hAnsi="Verdana" w:cs="Arial"/>
          <w:bCs/>
          <w:color w:val="000000" w:themeColor="text1"/>
        </w:rPr>
        <w:t>explica que</w:t>
      </w:r>
      <w:r w:rsidRPr="00222802">
        <w:rPr>
          <w:rFonts w:ascii="Verdana" w:eastAsia="Calibri" w:hAnsi="Verdana" w:cs="Arial"/>
          <w:bCs/>
          <w:color w:val="000000" w:themeColor="text1"/>
        </w:rPr>
        <w:t xml:space="preserve">: </w:t>
      </w:r>
    </w:p>
    <w:p w14:paraId="2653AD07" w14:textId="77777777" w:rsidR="00A60141" w:rsidRPr="00222802" w:rsidRDefault="00A60141" w:rsidP="00A60141">
      <w:pPr>
        <w:spacing w:after="0" w:line="276" w:lineRule="auto"/>
        <w:ind w:firstLine="709"/>
        <w:jc w:val="both"/>
        <w:rPr>
          <w:rFonts w:ascii="Verdana" w:eastAsia="Calibri" w:hAnsi="Verdana" w:cs="Arial"/>
          <w:bCs/>
          <w:color w:val="000000" w:themeColor="text1"/>
        </w:rPr>
      </w:pPr>
    </w:p>
    <w:p w14:paraId="7321AAEC" w14:textId="77777777" w:rsidR="00A60141" w:rsidRPr="00222802" w:rsidRDefault="00A60141" w:rsidP="00A60141">
      <w:pPr>
        <w:spacing w:line="240" w:lineRule="auto"/>
        <w:ind w:left="709" w:right="709"/>
        <w:contextualSpacing/>
        <w:jc w:val="both"/>
        <w:rPr>
          <w:rFonts w:ascii="Verdana" w:hAnsi="Verdana" w:cs="Arial"/>
          <w:color w:val="000000" w:themeColor="text1"/>
          <w:sz w:val="21"/>
          <w:szCs w:val="21"/>
        </w:rPr>
      </w:pPr>
      <w:r>
        <w:rPr>
          <w:rFonts w:ascii="Verdana" w:hAnsi="Verdana" w:cs="Arial"/>
          <w:color w:val="000000" w:themeColor="text1"/>
          <w:sz w:val="21"/>
          <w:szCs w:val="21"/>
        </w:rPr>
        <w:t>“</w:t>
      </w:r>
      <w:r w:rsidRPr="00222802">
        <w:rPr>
          <w:rFonts w:ascii="Verdana" w:hAnsi="Verdana" w:cs="Arial"/>
          <w:color w:val="000000" w:themeColor="text1"/>
          <w:sz w:val="21"/>
          <w:szCs w:val="21"/>
        </w:rPr>
        <w:t xml:space="preserve">Cabe señalar que el contrato de comodato, hoy por hoy, es más común en el derecho contractual administrativo que en el derecho privado; es una figura que ha permitido a las diferentes entidades estatales generar ahorro en componentes de gastos, tales como arrendamiento de sedes, costos de administración, mantenimiento y conservación de los bienes públicos; lo que evidencia algunas de las bondades de esta figura independientemente de las políticas que se dicten en materia de administración de los bienes públicos y de las posibilidades económicas que el Estado tiene para su manejo directo. </w:t>
      </w:r>
    </w:p>
    <w:p w14:paraId="6DA72794" w14:textId="77777777" w:rsidR="00A60141" w:rsidRDefault="00A60141" w:rsidP="00A60141">
      <w:pPr>
        <w:spacing w:after="120" w:line="240" w:lineRule="auto"/>
        <w:ind w:left="709" w:right="709"/>
        <w:contextualSpacing/>
        <w:jc w:val="both"/>
        <w:rPr>
          <w:rFonts w:ascii="Verdana" w:hAnsi="Verdana" w:cs="Arial"/>
          <w:color w:val="000000" w:themeColor="text1"/>
          <w:sz w:val="21"/>
          <w:szCs w:val="21"/>
        </w:rPr>
      </w:pPr>
      <w:r w:rsidRPr="00222802">
        <w:rPr>
          <w:rFonts w:ascii="Verdana" w:hAnsi="Verdana" w:cs="Arial"/>
          <w:color w:val="000000" w:themeColor="text1"/>
          <w:sz w:val="21"/>
          <w:szCs w:val="21"/>
        </w:rPr>
        <w:t xml:space="preserve">[…] </w:t>
      </w:r>
    </w:p>
    <w:p w14:paraId="40A63EBE" w14:textId="77777777" w:rsidR="00A60141" w:rsidRPr="00222802" w:rsidRDefault="00A60141" w:rsidP="00A60141">
      <w:pPr>
        <w:spacing w:after="120" w:line="240" w:lineRule="auto"/>
        <w:ind w:left="709" w:right="709"/>
        <w:contextualSpacing/>
        <w:jc w:val="both"/>
        <w:rPr>
          <w:rFonts w:ascii="Verdana" w:hAnsi="Verdana" w:cs="Arial"/>
          <w:color w:val="000000" w:themeColor="text1"/>
          <w:sz w:val="12"/>
          <w:szCs w:val="12"/>
        </w:rPr>
      </w:pPr>
    </w:p>
    <w:p w14:paraId="44C1E11B" w14:textId="77777777" w:rsidR="00A60141" w:rsidRPr="00222802" w:rsidRDefault="00A60141" w:rsidP="00A60141">
      <w:pPr>
        <w:spacing w:after="0" w:line="240" w:lineRule="auto"/>
        <w:ind w:left="709" w:right="709"/>
        <w:contextualSpacing/>
        <w:jc w:val="both"/>
        <w:rPr>
          <w:rFonts w:ascii="Verdana" w:hAnsi="Verdana" w:cs="Arial"/>
          <w:color w:val="000000" w:themeColor="text1"/>
          <w:sz w:val="21"/>
          <w:szCs w:val="21"/>
        </w:rPr>
      </w:pPr>
      <w:r w:rsidRPr="00222802">
        <w:rPr>
          <w:rFonts w:ascii="Verdana" w:hAnsi="Verdana" w:cs="Arial"/>
          <w:color w:val="000000" w:themeColor="text1"/>
          <w:sz w:val="21"/>
          <w:szCs w:val="21"/>
        </w:rPr>
        <w:t>La Sala retoma algunos aspectos analizados en consultas anteriores sobre las características del contrato en comento y precisa lo siguiente con el fin de comprender el alcance de esta figura:</w:t>
      </w:r>
    </w:p>
    <w:p w14:paraId="5CE599BB" w14:textId="77777777" w:rsidR="00A60141" w:rsidRPr="00222802" w:rsidRDefault="00A60141" w:rsidP="00A60141">
      <w:pPr>
        <w:spacing w:line="240" w:lineRule="auto"/>
        <w:ind w:left="709" w:right="709"/>
        <w:contextualSpacing/>
        <w:jc w:val="both"/>
        <w:rPr>
          <w:rFonts w:ascii="Verdana" w:eastAsia="Calibri" w:hAnsi="Verdana" w:cs="Arial"/>
          <w:bCs/>
          <w:color w:val="000000" w:themeColor="text1"/>
          <w:sz w:val="12"/>
          <w:szCs w:val="12"/>
        </w:rPr>
      </w:pPr>
    </w:p>
    <w:p w14:paraId="6F477B5D" w14:textId="77777777" w:rsidR="00A60141" w:rsidRDefault="00A60141" w:rsidP="00A60141">
      <w:pPr>
        <w:numPr>
          <w:ilvl w:val="0"/>
          <w:numId w:val="21"/>
        </w:numPr>
        <w:tabs>
          <w:tab w:val="clear" w:pos="720"/>
          <w:tab w:val="num" w:pos="1068"/>
        </w:tabs>
        <w:spacing w:after="120" w:line="240" w:lineRule="auto"/>
        <w:ind w:left="1066" w:right="709" w:hanging="357"/>
        <w:contextualSpacing/>
        <w:jc w:val="both"/>
        <w:rPr>
          <w:rFonts w:ascii="Verdana" w:eastAsia="Calibri" w:hAnsi="Verdana" w:cs="Arial"/>
          <w:bCs/>
          <w:color w:val="000000" w:themeColor="text1"/>
          <w:sz w:val="21"/>
          <w:szCs w:val="21"/>
        </w:rPr>
      </w:pPr>
      <w:r w:rsidRPr="00222802">
        <w:rPr>
          <w:rFonts w:ascii="Verdana" w:eastAsia="Calibri" w:hAnsi="Verdana" w:cs="Arial"/>
          <w:bCs/>
          <w:color w:val="000000" w:themeColor="text1"/>
          <w:sz w:val="21"/>
          <w:szCs w:val="21"/>
        </w:rPr>
        <w:t>El comodato se clasifica dentro de los denominados contratos traslaticios del uso y disfrute de un bien.</w:t>
      </w:r>
    </w:p>
    <w:p w14:paraId="24549639" w14:textId="77777777" w:rsidR="00A60141" w:rsidRPr="000914CC" w:rsidRDefault="00A60141" w:rsidP="00A60141">
      <w:pPr>
        <w:tabs>
          <w:tab w:val="num" w:pos="1068"/>
        </w:tabs>
        <w:spacing w:after="120" w:line="240" w:lineRule="auto"/>
        <w:ind w:left="1066" w:right="709"/>
        <w:contextualSpacing/>
        <w:jc w:val="both"/>
        <w:rPr>
          <w:rFonts w:ascii="Verdana" w:eastAsia="Calibri" w:hAnsi="Verdana" w:cs="Arial"/>
          <w:bCs/>
          <w:color w:val="000000" w:themeColor="text1"/>
          <w:sz w:val="12"/>
          <w:szCs w:val="12"/>
        </w:rPr>
      </w:pPr>
    </w:p>
    <w:p w14:paraId="5C13D0B6" w14:textId="77777777" w:rsidR="00A60141" w:rsidRPr="00222802" w:rsidRDefault="00A60141" w:rsidP="00A60141">
      <w:pPr>
        <w:numPr>
          <w:ilvl w:val="0"/>
          <w:numId w:val="21"/>
        </w:numPr>
        <w:spacing w:after="0" w:line="240" w:lineRule="auto"/>
        <w:ind w:left="1069" w:right="709"/>
        <w:contextualSpacing/>
        <w:jc w:val="both"/>
        <w:rPr>
          <w:rFonts w:ascii="Verdana" w:eastAsia="Calibri" w:hAnsi="Verdana" w:cs="Arial"/>
          <w:bCs/>
          <w:color w:val="000000" w:themeColor="text1"/>
          <w:sz w:val="21"/>
          <w:szCs w:val="21"/>
        </w:rPr>
      </w:pPr>
      <w:r w:rsidRPr="00222802">
        <w:rPr>
          <w:rFonts w:ascii="Verdana" w:eastAsia="Calibri" w:hAnsi="Verdana" w:cs="Arial"/>
          <w:bCs/>
          <w:color w:val="000000" w:themeColor="text1"/>
          <w:sz w:val="21"/>
          <w:szCs w:val="21"/>
        </w:rPr>
        <w:t>De conformidad con lo previsto en el artículo 32 de la ley 80 de 1993, las entidades estatales están facultadas para celebrar este tipo de contrato regulado por el derecho privado, observando los límites señalados en normas especiales sobre la materia, en cuanto al tiempo máximo de duración y la destinación o uso que debe darse al bie</w:t>
      </w:r>
      <w:r w:rsidRPr="00332CB9">
        <w:rPr>
          <w:rFonts w:ascii="Verdana" w:eastAsia="Calibri" w:hAnsi="Verdana" w:cs="Arial"/>
          <w:bCs/>
          <w:color w:val="000000" w:themeColor="text1"/>
          <w:sz w:val="21"/>
          <w:szCs w:val="21"/>
        </w:rPr>
        <w:t>n”</w:t>
      </w:r>
      <w:r w:rsidRPr="00332CB9">
        <w:rPr>
          <w:rStyle w:val="Refdenotaalpie"/>
          <w:rFonts w:ascii="Verdana" w:eastAsia="Calibri" w:hAnsi="Verdana" w:cs="Arial"/>
          <w:bCs/>
          <w:color w:val="000000" w:themeColor="text1"/>
          <w:sz w:val="21"/>
          <w:szCs w:val="21"/>
        </w:rPr>
        <w:footnoteReference w:id="6"/>
      </w:r>
      <w:r w:rsidRPr="00222802">
        <w:rPr>
          <w:rFonts w:ascii="Verdana" w:eastAsia="Calibri" w:hAnsi="Verdana" w:cs="Arial"/>
          <w:bCs/>
          <w:color w:val="000000" w:themeColor="text1"/>
          <w:sz w:val="21"/>
          <w:szCs w:val="21"/>
        </w:rPr>
        <w:t>.</w:t>
      </w:r>
    </w:p>
    <w:p w14:paraId="7F3AC54F" w14:textId="77777777" w:rsidR="00A60141" w:rsidRPr="00222802" w:rsidRDefault="00A60141" w:rsidP="00A60141">
      <w:pPr>
        <w:spacing w:after="0" w:line="276" w:lineRule="auto"/>
        <w:ind w:firstLine="708"/>
        <w:jc w:val="both"/>
        <w:rPr>
          <w:rFonts w:ascii="Verdana" w:eastAsia="Calibri" w:hAnsi="Verdana" w:cs="Arial"/>
          <w:bCs/>
          <w:color w:val="000000" w:themeColor="text1"/>
        </w:rPr>
      </w:pPr>
    </w:p>
    <w:p w14:paraId="0CB056D2" w14:textId="77777777" w:rsidR="00A60141" w:rsidRPr="00222802" w:rsidRDefault="00A60141" w:rsidP="00A60141">
      <w:pPr>
        <w:spacing w:after="120" w:line="276" w:lineRule="auto"/>
        <w:ind w:firstLine="709"/>
        <w:jc w:val="both"/>
        <w:rPr>
          <w:rFonts w:ascii="Verdana" w:eastAsia="Calibri" w:hAnsi="Verdana" w:cs="Arial"/>
          <w:bCs/>
          <w:color w:val="000000" w:themeColor="text1"/>
        </w:rPr>
      </w:pPr>
      <w:r w:rsidRPr="00222802">
        <w:rPr>
          <w:rFonts w:ascii="Verdana" w:eastAsia="Calibri" w:hAnsi="Verdana" w:cs="Arial"/>
          <w:bCs/>
          <w:color w:val="000000" w:themeColor="text1"/>
        </w:rPr>
        <w:t xml:space="preserve">Si bien el artículo 1452 del Código Civil dispone que no existe donación en el comodato, implica un auxilio en favor de terceros. Para estos efectos, la jurisprudencia considera que el contrato </w:t>
      </w:r>
      <w:r>
        <w:rPr>
          <w:rFonts w:ascii="Verdana" w:eastAsia="Calibri" w:hAnsi="Verdana" w:cs="Arial"/>
          <w:bCs/>
          <w:color w:val="000000" w:themeColor="text1"/>
        </w:rPr>
        <w:t>“</w:t>
      </w:r>
      <w:r w:rsidRPr="001E075A">
        <w:rPr>
          <w:rFonts w:ascii="Verdana" w:eastAsia="Calibri" w:hAnsi="Verdana" w:cs="Arial"/>
          <w:bCs/>
          <w:iCs/>
          <w:color w:val="000000" w:themeColor="text1"/>
        </w:rPr>
        <w:t xml:space="preserve">Es tal vez una de las más elementales pero contundentes muestras de solidaridad, ayuda y auxilio, como que se trata de un acto de cortesía, benevolencia, beneficencia o complacencia que no tiene el lucro como inspiración esencial y que facilita al comodatario la satisfacción de </w:t>
      </w:r>
      <w:r w:rsidRPr="001E075A">
        <w:rPr>
          <w:rFonts w:ascii="Verdana" w:eastAsia="Calibri" w:hAnsi="Verdana" w:cs="Arial"/>
          <w:bCs/>
          <w:iCs/>
          <w:color w:val="000000" w:themeColor="text1"/>
        </w:rPr>
        <w:lastRenderedPageBreak/>
        <w:t xml:space="preserve">sus necesidades […] No en vano, comodato viene del latín </w:t>
      </w:r>
      <w:proofErr w:type="spellStart"/>
      <w:r w:rsidRPr="001E075A">
        <w:rPr>
          <w:rFonts w:ascii="Verdana" w:eastAsia="Calibri" w:hAnsi="Verdana" w:cs="Arial"/>
          <w:bCs/>
          <w:i/>
          <w:color w:val="000000" w:themeColor="text1"/>
        </w:rPr>
        <w:t>commodatum</w:t>
      </w:r>
      <w:proofErr w:type="spellEnd"/>
      <w:r w:rsidRPr="001E075A">
        <w:rPr>
          <w:rFonts w:ascii="Verdana" w:eastAsia="Calibri" w:hAnsi="Verdana" w:cs="Arial"/>
          <w:bCs/>
          <w:iCs/>
          <w:color w:val="000000" w:themeColor="text1"/>
        </w:rPr>
        <w:t xml:space="preserve">, expresión que conjuga los términos </w:t>
      </w:r>
      <w:proofErr w:type="spellStart"/>
      <w:r w:rsidRPr="001E075A">
        <w:rPr>
          <w:rFonts w:ascii="Verdana" w:eastAsia="Calibri" w:hAnsi="Verdana" w:cs="Arial"/>
          <w:bCs/>
          <w:i/>
          <w:color w:val="000000" w:themeColor="text1"/>
        </w:rPr>
        <w:t>commodum</w:t>
      </w:r>
      <w:proofErr w:type="spellEnd"/>
      <w:r w:rsidRPr="001E075A">
        <w:rPr>
          <w:rFonts w:ascii="Verdana" w:eastAsia="Calibri" w:hAnsi="Verdana" w:cs="Arial"/>
          <w:bCs/>
          <w:iCs/>
          <w:color w:val="000000" w:themeColor="text1"/>
        </w:rPr>
        <w:t xml:space="preserve"> -utilidad, provecho- y </w:t>
      </w:r>
      <w:r w:rsidRPr="001E075A">
        <w:rPr>
          <w:rFonts w:ascii="Verdana" w:eastAsia="Calibri" w:hAnsi="Verdana" w:cs="Arial"/>
          <w:bCs/>
          <w:i/>
          <w:color w:val="000000" w:themeColor="text1"/>
        </w:rPr>
        <w:t>datum</w:t>
      </w:r>
      <w:r w:rsidRPr="001E075A">
        <w:rPr>
          <w:rFonts w:ascii="Verdana" w:eastAsia="Calibri" w:hAnsi="Verdana" w:cs="Arial"/>
          <w:bCs/>
          <w:iCs/>
          <w:color w:val="000000" w:themeColor="text1"/>
        </w:rPr>
        <w:t xml:space="preserve"> -dar-, es decir, entregar para utilidad de otro (</w:t>
      </w:r>
      <w:proofErr w:type="spellStart"/>
      <w:r w:rsidRPr="001E075A">
        <w:rPr>
          <w:rFonts w:ascii="Verdana" w:eastAsia="Calibri" w:hAnsi="Verdana" w:cs="Arial"/>
          <w:bCs/>
          <w:i/>
          <w:color w:val="000000" w:themeColor="text1"/>
        </w:rPr>
        <w:t>utendum</w:t>
      </w:r>
      <w:proofErr w:type="spellEnd"/>
      <w:r w:rsidRPr="001E075A">
        <w:rPr>
          <w:rFonts w:ascii="Verdana" w:eastAsia="Calibri" w:hAnsi="Verdana" w:cs="Arial"/>
          <w:bCs/>
          <w:i/>
          <w:color w:val="000000" w:themeColor="text1"/>
        </w:rPr>
        <w:t xml:space="preserve"> </w:t>
      </w:r>
      <w:proofErr w:type="spellStart"/>
      <w:r w:rsidRPr="001E075A">
        <w:rPr>
          <w:rFonts w:ascii="Verdana" w:eastAsia="Calibri" w:hAnsi="Verdana" w:cs="Arial"/>
          <w:bCs/>
          <w:i/>
          <w:color w:val="000000" w:themeColor="text1"/>
        </w:rPr>
        <w:t>dare</w:t>
      </w:r>
      <w:proofErr w:type="spellEnd"/>
      <w:r w:rsidRPr="001E075A">
        <w:rPr>
          <w:rFonts w:ascii="Verdana" w:eastAsia="Calibri" w:hAnsi="Verdana" w:cs="Arial"/>
          <w:bCs/>
          <w:iCs/>
          <w:color w:val="000000" w:themeColor="text1"/>
        </w:rPr>
        <w:t>)</w:t>
      </w:r>
      <w:r>
        <w:rPr>
          <w:rFonts w:ascii="Verdana" w:eastAsia="Calibri" w:hAnsi="Verdana" w:cs="Arial"/>
          <w:bCs/>
          <w:color w:val="000000" w:themeColor="text1"/>
        </w:rPr>
        <w:t>”</w:t>
      </w:r>
      <w:r w:rsidRPr="00222802">
        <w:rPr>
          <w:rFonts w:ascii="Verdana" w:eastAsia="Calibri" w:hAnsi="Verdana"/>
          <w:vertAlign w:val="superscript"/>
        </w:rPr>
        <w:footnoteReference w:id="7"/>
      </w:r>
      <w:bookmarkStart w:id="6" w:name="_Hlk35263504"/>
      <w:r w:rsidRPr="00222802">
        <w:rPr>
          <w:rFonts w:ascii="Verdana" w:eastAsia="Calibri" w:hAnsi="Verdana" w:cs="Arial"/>
          <w:bCs/>
          <w:color w:val="000000" w:themeColor="text1"/>
        </w:rPr>
        <w:t xml:space="preserve">. </w:t>
      </w:r>
    </w:p>
    <w:p w14:paraId="63FF7826" w14:textId="77777777" w:rsidR="00A60141" w:rsidRPr="00222802" w:rsidRDefault="00A60141" w:rsidP="00A60141">
      <w:pPr>
        <w:spacing w:after="0" w:line="276" w:lineRule="auto"/>
        <w:ind w:firstLine="708"/>
        <w:jc w:val="both"/>
        <w:rPr>
          <w:rFonts w:ascii="Verdana" w:eastAsia="Calibri" w:hAnsi="Verdana" w:cs="Arial"/>
          <w:bCs/>
          <w:color w:val="000000" w:themeColor="text1"/>
        </w:rPr>
      </w:pPr>
      <w:r w:rsidRPr="00222802">
        <w:rPr>
          <w:rFonts w:ascii="Verdana" w:eastAsia="Calibri" w:hAnsi="Verdana" w:cs="Arial"/>
          <w:bCs/>
          <w:color w:val="000000" w:themeColor="text1"/>
        </w:rPr>
        <w:t xml:space="preserve">Sin perjuicio de lo anterior, resulta relevante resaltar que </w:t>
      </w:r>
      <w:bookmarkStart w:id="7" w:name="_Hlk121742558"/>
      <w:r w:rsidRPr="00222802">
        <w:rPr>
          <w:rFonts w:ascii="Verdana" w:eastAsia="Calibri" w:hAnsi="Verdana" w:cs="Arial"/>
          <w:bCs/>
          <w:color w:val="000000" w:themeColor="text1"/>
        </w:rPr>
        <w:t>esta tipología contractual es restrictiva en la contratación pública, cuando se pretende celebrar con particulares, máxime cuando el ordenamiento s</w:t>
      </w:r>
      <w:r>
        <w:rPr>
          <w:rFonts w:ascii="Verdana" w:eastAsia="Calibri" w:hAnsi="Verdana" w:cs="Arial"/>
          <w:bCs/>
          <w:color w:val="000000" w:themeColor="text1"/>
        </w:rPr>
        <w:t>ó</w:t>
      </w:r>
      <w:r w:rsidRPr="00222802">
        <w:rPr>
          <w:rFonts w:ascii="Verdana" w:eastAsia="Calibri" w:hAnsi="Verdana" w:cs="Arial"/>
          <w:bCs/>
          <w:color w:val="000000" w:themeColor="text1"/>
        </w:rPr>
        <w:t>lo permite donaciones y auxilios a favor de entidades estatales.</w:t>
      </w:r>
      <w:bookmarkEnd w:id="7"/>
      <w:r w:rsidRPr="00222802">
        <w:rPr>
          <w:rFonts w:ascii="Verdana" w:eastAsia="Calibri" w:hAnsi="Verdana" w:cs="Arial"/>
          <w:bCs/>
          <w:color w:val="000000" w:themeColor="text1"/>
        </w:rPr>
        <w:t xml:space="preserve"> Al respecto, es importante destacar que el artículo 38 de la Ley 9 de 1989</w:t>
      </w:r>
      <w:bookmarkEnd w:id="6"/>
      <w:r w:rsidRPr="00222802">
        <w:rPr>
          <w:rFonts w:ascii="Verdana" w:eastAsia="Calibri" w:hAnsi="Verdana" w:cs="Arial"/>
          <w:bCs/>
          <w:color w:val="000000" w:themeColor="text1"/>
        </w:rPr>
        <w:t xml:space="preserve"> </w:t>
      </w:r>
      <w:r>
        <w:rPr>
          <w:rFonts w:ascii="Verdana" w:eastAsia="Calibri" w:hAnsi="Verdana" w:cs="Arial"/>
          <w:bCs/>
          <w:color w:val="000000" w:themeColor="text1"/>
        </w:rPr>
        <w:t>prescribe que</w:t>
      </w:r>
      <w:r w:rsidRPr="00222802">
        <w:rPr>
          <w:rFonts w:ascii="Verdana" w:eastAsia="Calibri" w:hAnsi="Verdana" w:cs="Arial"/>
          <w:bCs/>
          <w:color w:val="000000" w:themeColor="text1"/>
        </w:rPr>
        <w:t>:</w:t>
      </w:r>
    </w:p>
    <w:p w14:paraId="5AB13D0B" w14:textId="77777777" w:rsidR="00A60141" w:rsidRPr="00332CB9" w:rsidRDefault="00A60141" w:rsidP="00A60141">
      <w:pPr>
        <w:pStyle w:val="Prrafodelista"/>
        <w:spacing w:line="276" w:lineRule="auto"/>
        <w:jc w:val="both"/>
        <w:rPr>
          <w:rFonts w:ascii="Verdana" w:eastAsia="Calibri" w:hAnsi="Verdana" w:cs="Arial"/>
          <w:bCs/>
          <w:color w:val="000000" w:themeColor="text1"/>
          <w:lang w:val="es-ES_tradnl"/>
        </w:rPr>
      </w:pPr>
    </w:p>
    <w:p w14:paraId="5C7FB6C5" w14:textId="77777777" w:rsidR="00A60141" w:rsidRDefault="00A60141" w:rsidP="00A60141">
      <w:pPr>
        <w:pStyle w:val="Prrafodelista"/>
        <w:spacing w:after="120"/>
        <w:ind w:left="709" w:right="709"/>
        <w:jc w:val="both"/>
        <w:rPr>
          <w:rFonts w:ascii="Verdana" w:eastAsia="Calibri" w:hAnsi="Verdana" w:cs="Arial"/>
          <w:bCs/>
          <w:color w:val="000000" w:themeColor="text1"/>
          <w:sz w:val="21"/>
          <w:szCs w:val="21"/>
          <w:lang w:val="es-ES_tradnl"/>
        </w:rPr>
      </w:pPr>
      <w:r>
        <w:rPr>
          <w:rFonts w:ascii="Verdana" w:eastAsia="Calibri" w:hAnsi="Verdana" w:cs="Arial"/>
          <w:bCs/>
          <w:i/>
          <w:color w:val="000000" w:themeColor="text1"/>
          <w:sz w:val="21"/>
          <w:szCs w:val="21"/>
          <w:lang w:val="es-ES_tradnl"/>
        </w:rPr>
        <w:t>“</w:t>
      </w:r>
      <w:r w:rsidRPr="00222802">
        <w:rPr>
          <w:rFonts w:ascii="Verdana" w:eastAsia="Calibri" w:hAnsi="Verdana" w:cs="Arial"/>
          <w:bCs/>
          <w:i/>
          <w:color w:val="000000" w:themeColor="text1"/>
          <w:sz w:val="21"/>
          <w:szCs w:val="21"/>
          <w:lang w:val="es-ES_tradnl"/>
        </w:rPr>
        <w:t>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y por un término máximo de cinco (5) años, renovables</w:t>
      </w:r>
      <w:r w:rsidRPr="00222802">
        <w:rPr>
          <w:rFonts w:ascii="Verdana" w:eastAsia="Calibri" w:hAnsi="Verdana" w:cs="Arial"/>
          <w:bCs/>
          <w:color w:val="000000" w:themeColor="text1"/>
          <w:sz w:val="21"/>
          <w:szCs w:val="21"/>
          <w:lang w:val="es-ES_tradnl"/>
        </w:rPr>
        <w:t>.</w:t>
      </w:r>
    </w:p>
    <w:p w14:paraId="2A93935C" w14:textId="77777777" w:rsidR="00A60141" w:rsidRPr="00332CB9" w:rsidRDefault="00A60141" w:rsidP="00A60141">
      <w:pPr>
        <w:pStyle w:val="Prrafodelista"/>
        <w:spacing w:after="120"/>
        <w:ind w:left="709" w:right="709"/>
        <w:jc w:val="both"/>
        <w:rPr>
          <w:rFonts w:ascii="Verdana" w:eastAsia="Calibri" w:hAnsi="Verdana" w:cs="Arial"/>
          <w:bCs/>
          <w:color w:val="000000" w:themeColor="text1"/>
          <w:sz w:val="12"/>
          <w:szCs w:val="12"/>
          <w:lang w:val="es-ES_tradnl"/>
        </w:rPr>
      </w:pPr>
    </w:p>
    <w:p w14:paraId="7A890A8F" w14:textId="77777777" w:rsidR="00A60141" w:rsidRPr="00222802" w:rsidRDefault="00A60141" w:rsidP="00A60141">
      <w:pPr>
        <w:pStyle w:val="Prrafodelista"/>
        <w:ind w:left="709" w:right="709"/>
        <w:jc w:val="both"/>
        <w:rPr>
          <w:rFonts w:ascii="Verdana" w:eastAsia="Calibri" w:hAnsi="Verdana" w:cs="Arial"/>
          <w:bCs/>
          <w:color w:val="000000" w:themeColor="text1"/>
          <w:sz w:val="21"/>
          <w:szCs w:val="21"/>
          <w:lang w:val="es-ES_tradnl"/>
        </w:rPr>
      </w:pPr>
      <w:r w:rsidRPr="00222802">
        <w:rPr>
          <w:rFonts w:ascii="Verdana" w:eastAsia="Calibri" w:hAnsi="Verdana" w:cs="Arial"/>
          <w:bCs/>
          <w:color w:val="000000" w:themeColor="text1"/>
          <w:sz w:val="21"/>
          <w:szCs w:val="21"/>
          <w:lang w:val="es-ES_tradnl"/>
        </w:rPr>
        <w:t>Los contratos de comodato existentes, y que hayan sido celebrados por las entidades públicas con personas distintas de las señaladas en el inciso anterior, serán renegociados por las primeras para limitar su término a tres (3) años renovables, contados a partir de la promulgación de la presente Ley</w:t>
      </w:r>
      <w:r>
        <w:rPr>
          <w:rFonts w:ascii="Verdana" w:eastAsia="Calibri" w:hAnsi="Verdana" w:cs="Arial"/>
          <w:bCs/>
          <w:color w:val="000000" w:themeColor="text1"/>
          <w:sz w:val="21"/>
          <w:szCs w:val="21"/>
          <w:lang w:val="es-ES_tradnl"/>
        </w:rPr>
        <w:t>”.</w:t>
      </w:r>
      <w:r w:rsidRPr="00222802">
        <w:rPr>
          <w:rFonts w:ascii="Verdana" w:eastAsia="Calibri" w:hAnsi="Verdana" w:cs="Arial"/>
          <w:bCs/>
          <w:color w:val="000000" w:themeColor="text1"/>
          <w:sz w:val="21"/>
          <w:szCs w:val="21"/>
          <w:lang w:val="es-ES_tradnl"/>
        </w:rPr>
        <w:t xml:space="preserve"> (Énfasis fuera de texto)</w:t>
      </w:r>
    </w:p>
    <w:p w14:paraId="7666FD7E" w14:textId="77777777" w:rsidR="00A60141" w:rsidRPr="00222802" w:rsidRDefault="00A60141" w:rsidP="00A60141">
      <w:pPr>
        <w:pStyle w:val="Prrafodelista"/>
        <w:spacing w:line="276" w:lineRule="auto"/>
        <w:jc w:val="both"/>
        <w:rPr>
          <w:rFonts w:ascii="Verdana" w:eastAsia="Calibri" w:hAnsi="Verdana" w:cs="Arial"/>
          <w:bCs/>
          <w:color w:val="000000" w:themeColor="text1"/>
          <w:lang w:val="es-ES_tradnl"/>
        </w:rPr>
      </w:pPr>
    </w:p>
    <w:p w14:paraId="6817BA0A" w14:textId="77777777" w:rsidR="00A60141" w:rsidRPr="00222802" w:rsidRDefault="00A60141" w:rsidP="00A60141">
      <w:pPr>
        <w:spacing w:after="120" w:line="276" w:lineRule="auto"/>
        <w:ind w:firstLine="709"/>
        <w:jc w:val="both"/>
        <w:rPr>
          <w:rFonts w:ascii="Verdana" w:eastAsia="Calibri" w:hAnsi="Verdana" w:cs="Arial"/>
          <w:bCs/>
          <w:color w:val="000000" w:themeColor="text1"/>
        </w:rPr>
      </w:pPr>
      <w:r>
        <w:rPr>
          <w:rFonts w:ascii="Verdana" w:eastAsia="Calibri" w:hAnsi="Verdana" w:cs="Arial"/>
          <w:bCs/>
          <w:color w:val="000000" w:themeColor="text1"/>
        </w:rPr>
        <w:t>Esta norma</w:t>
      </w:r>
      <w:r w:rsidRPr="00222802">
        <w:rPr>
          <w:rFonts w:ascii="Verdana" w:eastAsia="Calibri" w:hAnsi="Verdana" w:cs="Arial"/>
          <w:bCs/>
          <w:color w:val="000000" w:themeColor="text1"/>
        </w:rPr>
        <w:t xml:space="preserve"> </w:t>
      </w:r>
      <w:r>
        <w:rPr>
          <w:rFonts w:ascii="Verdana" w:eastAsia="Calibri" w:hAnsi="Verdana" w:cs="Arial"/>
          <w:bCs/>
          <w:color w:val="000000" w:themeColor="text1"/>
        </w:rPr>
        <w:t xml:space="preserve">es congruente con </w:t>
      </w:r>
      <w:r w:rsidRPr="00222802">
        <w:rPr>
          <w:rFonts w:ascii="Verdana" w:eastAsia="Calibri" w:hAnsi="Verdana" w:cs="Arial"/>
          <w:bCs/>
          <w:color w:val="000000" w:themeColor="text1"/>
        </w:rPr>
        <w:t xml:space="preserve">el artículo 355 de la Constitución Política de 1991, el cual dispone que </w:t>
      </w:r>
      <w:r>
        <w:rPr>
          <w:rFonts w:ascii="Verdana" w:eastAsia="Calibri" w:hAnsi="Verdana" w:cs="Arial"/>
          <w:bCs/>
          <w:color w:val="000000" w:themeColor="text1"/>
        </w:rPr>
        <w:t>“</w:t>
      </w:r>
      <w:r w:rsidRPr="00222802">
        <w:rPr>
          <w:rFonts w:ascii="Verdana" w:eastAsia="Calibri" w:hAnsi="Verdana" w:cs="Arial"/>
          <w:bCs/>
          <w:color w:val="000000" w:themeColor="text1"/>
        </w:rPr>
        <w:t>Ninguna de las ramas u órganos del poder público podrá decretar auxilios o donaciones en favor de personas naturales o jurídicas de derecho privado</w:t>
      </w:r>
      <w:r>
        <w:rPr>
          <w:rFonts w:ascii="Verdana" w:eastAsia="Calibri" w:hAnsi="Verdana" w:cs="Arial"/>
          <w:bCs/>
          <w:color w:val="000000" w:themeColor="text1"/>
        </w:rPr>
        <w:t>”</w:t>
      </w:r>
      <w:r w:rsidRPr="00222802">
        <w:rPr>
          <w:rFonts w:ascii="Verdana" w:eastAsia="Calibri" w:hAnsi="Verdana" w:cs="Arial"/>
          <w:bCs/>
          <w:color w:val="000000" w:themeColor="text1"/>
        </w:rPr>
        <w:t>.</w:t>
      </w:r>
      <w:r>
        <w:rPr>
          <w:rFonts w:ascii="Verdana" w:eastAsia="Calibri" w:hAnsi="Verdana" w:cs="Arial"/>
          <w:bCs/>
          <w:color w:val="000000" w:themeColor="text1"/>
        </w:rPr>
        <w:t xml:space="preserve"> No obstante, el inciso segundo también señala lo siguiente: “</w:t>
      </w:r>
      <w:r w:rsidRPr="00CE3BCB">
        <w:rPr>
          <w:rFonts w:ascii="Verdana" w:eastAsia="Calibri" w:hAnsi="Verdana" w:cs="Arial"/>
          <w:bCs/>
          <w:color w:val="000000" w:themeColor="text1"/>
        </w:rPr>
        <w:t>El Gobierno, en los niveles nacional, departamental, distrital y municipal podrá, con recursos de los respectivos presupuestos, celebrara contratos con entidades privadas sin ánimo de lucro y de reconocida idoneidad con el fin de impulsar programas y actividades de interés público acordes con el Plan Nacional y con los planes seccionales de Desarrollo</w:t>
      </w:r>
      <w:r>
        <w:rPr>
          <w:rFonts w:ascii="Verdana" w:eastAsia="Calibri" w:hAnsi="Verdana" w:cs="Arial"/>
          <w:bCs/>
          <w:color w:val="000000" w:themeColor="text1"/>
        </w:rPr>
        <w:t xml:space="preserve"> […]”</w:t>
      </w:r>
      <w:r w:rsidRPr="00CE3BCB">
        <w:rPr>
          <w:rFonts w:ascii="Verdana" w:eastAsia="Calibri" w:hAnsi="Verdana" w:cs="Arial"/>
          <w:bCs/>
          <w:color w:val="000000" w:themeColor="text1"/>
        </w:rPr>
        <w:t>.</w:t>
      </w:r>
    </w:p>
    <w:p w14:paraId="714907CB" w14:textId="77777777" w:rsidR="00A60141" w:rsidRPr="00222802" w:rsidRDefault="00A60141" w:rsidP="00A60141">
      <w:pPr>
        <w:widowControl w:val="0"/>
        <w:autoSpaceDE w:val="0"/>
        <w:autoSpaceDN w:val="0"/>
        <w:spacing w:after="120" w:line="276" w:lineRule="auto"/>
        <w:ind w:firstLine="709"/>
        <w:jc w:val="both"/>
        <w:rPr>
          <w:rFonts w:ascii="Verdana" w:eastAsia="Calibri" w:hAnsi="Verdana" w:cs="Arial"/>
          <w:bCs/>
          <w:color w:val="000000" w:themeColor="text1"/>
        </w:rPr>
      </w:pPr>
      <w:r w:rsidRPr="00222802">
        <w:rPr>
          <w:rFonts w:ascii="Verdana" w:eastAsia="Calibri" w:hAnsi="Verdana" w:cs="Arial"/>
          <w:bCs/>
          <w:color w:val="000000" w:themeColor="text1"/>
        </w:rPr>
        <w:t xml:space="preserve">Mediante </w:t>
      </w:r>
      <w:r>
        <w:rPr>
          <w:rFonts w:ascii="Verdana" w:eastAsia="Calibri" w:hAnsi="Verdana" w:cs="Arial"/>
          <w:bCs/>
          <w:color w:val="000000" w:themeColor="text1"/>
        </w:rPr>
        <w:t>C</w:t>
      </w:r>
      <w:r w:rsidRPr="00222802">
        <w:rPr>
          <w:rFonts w:ascii="Verdana" w:eastAsia="Calibri" w:hAnsi="Verdana" w:cs="Arial"/>
          <w:bCs/>
          <w:color w:val="000000" w:themeColor="text1"/>
        </w:rPr>
        <w:t>oncepto</w:t>
      </w:r>
      <w:r>
        <w:rPr>
          <w:rFonts w:ascii="Verdana" w:eastAsia="Calibri" w:hAnsi="Verdana" w:cs="Arial"/>
          <w:bCs/>
          <w:color w:val="000000" w:themeColor="text1"/>
        </w:rPr>
        <w:t xml:space="preserve"> </w:t>
      </w:r>
      <w:r w:rsidRPr="00222802">
        <w:rPr>
          <w:rFonts w:ascii="Verdana" w:eastAsia="Calibri" w:hAnsi="Verdana" w:cs="Arial"/>
          <w:bCs/>
          <w:color w:val="000000" w:themeColor="text1"/>
        </w:rPr>
        <w:t xml:space="preserve">415140000909 de 2015, la </w:t>
      </w:r>
      <w:r>
        <w:rPr>
          <w:rFonts w:ascii="Verdana" w:eastAsia="Calibri" w:hAnsi="Verdana" w:cs="Arial"/>
          <w:bCs/>
          <w:color w:val="000000" w:themeColor="text1"/>
        </w:rPr>
        <w:t>ANCP – CCE</w:t>
      </w:r>
      <w:r w:rsidRPr="00222802">
        <w:rPr>
          <w:rFonts w:ascii="Verdana" w:eastAsia="Calibri" w:hAnsi="Verdana" w:cs="Arial"/>
          <w:bCs/>
          <w:color w:val="000000" w:themeColor="text1"/>
        </w:rPr>
        <w:t xml:space="preserve"> explicó que el artículo 38 de la Ley 9 de 1989 contiene una restricción al texto constitucional del artículo 355, toda vez que tratándose de bienes inmuebles establece dos (2) condiciones a las que están sujetas las entidades estatales para celebrar el </w:t>
      </w:r>
      <w:r w:rsidRPr="00222802">
        <w:rPr>
          <w:rFonts w:ascii="Verdana" w:eastAsia="Calibri" w:hAnsi="Verdana" w:cs="Arial"/>
          <w:bCs/>
          <w:color w:val="000000" w:themeColor="text1"/>
        </w:rPr>
        <w:lastRenderedPageBreak/>
        <w:t xml:space="preserve">contrato de comodato: i) el tiempo de duración del contrato y </w:t>
      </w:r>
      <w:proofErr w:type="spellStart"/>
      <w:r w:rsidRPr="00222802">
        <w:rPr>
          <w:rFonts w:ascii="Verdana" w:eastAsia="Calibri" w:hAnsi="Verdana" w:cs="Arial"/>
          <w:bCs/>
          <w:color w:val="000000" w:themeColor="text1"/>
        </w:rPr>
        <w:t>ii</w:t>
      </w:r>
      <w:proofErr w:type="spellEnd"/>
      <w:r w:rsidRPr="00222802">
        <w:rPr>
          <w:rFonts w:ascii="Verdana" w:eastAsia="Calibri" w:hAnsi="Verdana" w:cs="Arial"/>
          <w:bCs/>
          <w:color w:val="000000" w:themeColor="text1"/>
        </w:rPr>
        <w:t xml:space="preserve">) las personas con las cuales puede celebrarlo. Con fundamento en la misma norma, precisó que esta no establece restricción frente al contrato de comodato de bienes muebles, por tanto, las entidades estatales podrían celebrar contratos de comodato entre sí, de acuerdo con las reglas del Código Civil dispuestas entre los artículos 2200 al 2220. </w:t>
      </w:r>
    </w:p>
    <w:p w14:paraId="19BCE1BF" w14:textId="77777777" w:rsidR="00A60141" w:rsidRPr="00222802" w:rsidRDefault="00A60141" w:rsidP="00A60141">
      <w:pPr>
        <w:widowControl w:val="0"/>
        <w:autoSpaceDE w:val="0"/>
        <w:autoSpaceDN w:val="0"/>
        <w:spacing w:after="120" w:line="276" w:lineRule="auto"/>
        <w:ind w:firstLine="709"/>
        <w:jc w:val="both"/>
        <w:rPr>
          <w:rFonts w:ascii="Verdana" w:eastAsia="Calibri" w:hAnsi="Verdana" w:cs="Arial"/>
          <w:bCs/>
          <w:color w:val="000000" w:themeColor="text1"/>
        </w:rPr>
      </w:pPr>
      <w:bookmarkStart w:id="8" w:name="_Hlk121751380"/>
      <w:r w:rsidRPr="00222802">
        <w:rPr>
          <w:rFonts w:ascii="Verdana" w:eastAsia="Calibri" w:hAnsi="Verdana" w:cs="Arial"/>
          <w:bCs/>
          <w:color w:val="000000" w:themeColor="text1"/>
        </w:rPr>
        <w:t xml:space="preserve">El supuesto antes </w:t>
      </w:r>
      <w:r>
        <w:rPr>
          <w:rFonts w:ascii="Verdana" w:eastAsia="Calibri" w:hAnsi="Verdana" w:cs="Arial"/>
          <w:bCs/>
          <w:color w:val="000000" w:themeColor="text1"/>
        </w:rPr>
        <w:t>descrito</w:t>
      </w:r>
      <w:r w:rsidRPr="00222802">
        <w:rPr>
          <w:rFonts w:ascii="Verdana" w:eastAsia="Calibri" w:hAnsi="Verdana" w:cs="Arial"/>
          <w:bCs/>
          <w:color w:val="000000" w:themeColor="text1"/>
        </w:rPr>
        <w:t xml:space="preserve"> hace referencia al caso cuando la entidad estatal tiene la condición de comodante</w:t>
      </w:r>
      <w:r>
        <w:rPr>
          <w:rFonts w:ascii="Verdana" w:eastAsia="Calibri" w:hAnsi="Verdana" w:cs="Arial"/>
          <w:bCs/>
          <w:color w:val="000000" w:themeColor="text1"/>
        </w:rPr>
        <w:t>.</w:t>
      </w:r>
      <w:r w:rsidRPr="00222802">
        <w:rPr>
          <w:rFonts w:ascii="Verdana" w:eastAsia="Calibri" w:hAnsi="Verdana" w:cs="Arial"/>
          <w:bCs/>
          <w:color w:val="000000" w:themeColor="text1"/>
        </w:rPr>
        <w:t xml:space="preserve"> </w:t>
      </w:r>
      <w:r>
        <w:rPr>
          <w:rFonts w:ascii="Verdana" w:eastAsia="Calibri" w:hAnsi="Verdana" w:cs="Arial"/>
          <w:bCs/>
          <w:color w:val="000000" w:themeColor="text1"/>
        </w:rPr>
        <w:t>E</w:t>
      </w:r>
      <w:r w:rsidRPr="00222802">
        <w:rPr>
          <w:rFonts w:ascii="Verdana" w:eastAsia="Calibri" w:hAnsi="Verdana" w:cs="Arial"/>
          <w:bCs/>
          <w:color w:val="000000" w:themeColor="text1"/>
        </w:rPr>
        <w:t xml:space="preserve">s decir, cuando la entidad tiene el dominio de la cosa y la entrega a otra persona –que deben ser a otras entidades públicas, sindicatos, cooperativas, asociaciones y fundaciones que no repartan utilidades entre sus asociados o fundadores ni adjudiquen sus activos en el momento de su liquidación a los mismos, juntas de acción comunal, fondos de empleados, conforme lo expuesto anteriormente– para que esta haga uso de ella. </w:t>
      </w:r>
    </w:p>
    <w:p w14:paraId="7E2D1E8C" w14:textId="77777777" w:rsidR="00A60141" w:rsidRPr="00222802" w:rsidRDefault="00A60141" w:rsidP="00A60141">
      <w:pPr>
        <w:widowControl w:val="0"/>
        <w:autoSpaceDE w:val="0"/>
        <w:autoSpaceDN w:val="0"/>
        <w:spacing w:after="120" w:line="276" w:lineRule="auto"/>
        <w:ind w:firstLine="709"/>
        <w:jc w:val="both"/>
        <w:rPr>
          <w:rFonts w:ascii="Verdana" w:hAnsi="Verdana" w:cs="Arial"/>
          <w:color w:val="000000" w:themeColor="text1"/>
        </w:rPr>
      </w:pPr>
      <w:r w:rsidRPr="00222802">
        <w:rPr>
          <w:rFonts w:ascii="Verdana" w:eastAsia="Calibri" w:hAnsi="Verdana" w:cs="Arial"/>
          <w:bCs/>
          <w:color w:val="000000" w:themeColor="text1"/>
        </w:rPr>
        <w:t xml:space="preserve">Ahora bien, la prohibición transcrita en los párrafos anteriores no aplicaría para el supuesto de hecho en el cual la entidad estatal tenga la condición de comodataria, pues en este caso la entidad estatal no entregaría un bien a otra persona, sino que por el contrario a la entidad estatal le entregarían el bien para su uso. Esta postura se basa en dos (2) argumentos: i) </w:t>
      </w:r>
      <w:r>
        <w:rPr>
          <w:rFonts w:ascii="Verdana" w:eastAsia="Calibri" w:hAnsi="Verdana" w:cs="Arial"/>
          <w:bCs/>
          <w:color w:val="000000" w:themeColor="text1"/>
        </w:rPr>
        <w:t>d</w:t>
      </w:r>
      <w:r w:rsidRPr="00222802">
        <w:rPr>
          <w:rFonts w:ascii="Verdana" w:eastAsia="Calibri" w:hAnsi="Verdana" w:cs="Arial"/>
          <w:bCs/>
          <w:color w:val="000000" w:themeColor="text1"/>
        </w:rPr>
        <w:t>e acuerdo c</w:t>
      </w:r>
      <w:r>
        <w:rPr>
          <w:rFonts w:ascii="Verdana" w:eastAsia="Calibri" w:hAnsi="Verdana" w:cs="Arial"/>
          <w:bCs/>
          <w:color w:val="000000" w:themeColor="text1"/>
        </w:rPr>
        <w:t>on</w:t>
      </w:r>
      <w:r w:rsidRPr="00222802">
        <w:rPr>
          <w:rFonts w:ascii="Verdana" w:hAnsi="Verdana" w:cs="Arial"/>
          <w:color w:val="000000" w:themeColor="text1"/>
        </w:rPr>
        <w:t xml:space="preserve"> el artículo 32 de la Ley 80 de 1993, las entidades públicas en ejercicio de la autonomía de la voluntad pueden celebrar contratos con particulares para satisfacer sus necesidades que estén asociadas con el logro del interés público, siempre que no estén prohibidas por la Constitución y la Ley; </w:t>
      </w:r>
      <w:proofErr w:type="spellStart"/>
      <w:r w:rsidRPr="00222802">
        <w:rPr>
          <w:rFonts w:ascii="Verdana" w:hAnsi="Verdana" w:cs="Arial"/>
          <w:color w:val="000000" w:themeColor="text1"/>
        </w:rPr>
        <w:t>ii</w:t>
      </w:r>
      <w:proofErr w:type="spellEnd"/>
      <w:r w:rsidRPr="00222802">
        <w:rPr>
          <w:rFonts w:ascii="Verdana" w:hAnsi="Verdana" w:cs="Arial"/>
          <w:color w:val="000000" w:themeColor="text1"/>
        </w:rPr>
        <w:t xml:space="preserve">) en el supuesto que la entidad estatal actúe como comodatario no está entregando sus bienes en favor de un particular, por el contrario estaría recibiendo un bien </w:t>
      </w:r>
      <w:r w:rsidRPr="00222802">
        <w:rPr>
          <w:rFonts w:ascii="Verdana" w:eastAsia="Calibri" w:hAnsi="Verdana" w:cs="Arial"/>
          <w:bCs/>
          <w:color w:val="000000" w:themeColor="text1"/>
        </w:rPr>
        <w:t xml:space="preserve">para que haga uso del mismo, y con cargo de restituir la misma especie después de terminar el uso. </w:t>
      </w:r>
    </w:p>
    <w:bookmarkEnd w:id="8"/>
    <w:p w14:paraId="23F9C99C" w14:textId="77777777" w:rsidR="00A60141" w:rsidRDefault="00A60141" w:rsidP="00A60141">
      <w:pPr>
        <w:widowControl w:val="0"/>
        <w:autoSpaceDE w:val="0"/>
        <w:autoSpaceDN w:val="0"/>
        <w:spacing w:after="120" w:line="276" w:lineRule="auto"/>
        <w:ind w:firstLine="709"/>
        <w:jc w:val="both"/>
        <w:rPr>
          <w:rFonts w:ascii="Verdana" w:hAnsi="Verdana" w:cs="Arial"/>
          <w:color w:val="000000" w:themeColor="text1"/>
        </w:rPr>
      </w:pPr>
      <w:r w:rsidRPr="00222802">
        <w:rPr>
          <w:rFonts w:ascii="Verdana" w:hAnsi="Verdana" w:cs="Arial"/>
          <w:color w:val="000000" w:themeColor="text1"/>
        </w:rPr>
        <w:t xml:space="preserve">En síntesis, i) las entidades públicas no podrán dar en comodato sus inmuebles sino únicamente a otras entidades públicas, sindicatos, cooperativas, asociaciones y fundaciones que no repartan utilidades entre sus asociados o fundadores ni adjudiquen sus activos en el momento de su liquidación a los mismos, juntas de acción comunal, fondos de empleados y las demás que puedan asimilarse a las anteriores, por un término máximo de cinco (5) años, renovables, de acuerdo con el artículo 38 de la Ley 9 de 1989; </w:t>
      </w:r>
      <w:proofErr w:type="spellStart"/>
      <w:r w:rsidRPr="00222802">
        <w:rPr>
          <w:rFonts w:ascii="Verdana" w:hAnsi="Verdana" w:cs="Arial"/>
          <w:color w:val="000000" w:themeColor="text1"/>
        </w:rPr>
        <w:t>ii</w:t>
      </w:r>
      <w:proofErr w:type="spellEnd"/>
      <w:r w:rsidRPr="00222802">
        <w:rPr>
          <w:rFonts w:ascii="Verdana" w:hAnsi="Verdana" w:cs="Arial"/>
          <w:color w:val="000000" w:themeColor="text1"/>
        </w:rPr>
        <w:t>)</w:t>
      </w:r>
      <w:r>
        <w:rPr>
          <w:rFonts w:ascii="Verdana" w:hAnsi="Verdana" w:cs="Arial"/>
          <w:color w:val="000000" w:themeColor="text1"/>
        </w:rPr>
        <w:t xml:space="preserve"> l</w:t>
      </w:r>
      <w:r w:rsidRPr="00222802">
        <w:rPr>
          <w:rFonts w:ascii="Verdana" w:hAnsi="Verdana" w:cs="Arial"/>
          <w:color w:val="000000" w:themeColor="text1"/>
        </w:rPr>
        <w:t>as entidades estatales pueden celebrar contrato</w:t>
      </w:r>
      <w:r>
        <w:rPr>
          <w:rFonts w:ascii="Verdana" w:hAnsi="Verdana" w:cs="Arial"/>
          <w:color w:val="000000" w:themeColor="text1"/>
        </w:rPr>
        <w:t>s</w:t>
      </w:r>
      <w:r w:rsidRPr="00222802">
        <w:rPr>
          <w:rFonts w:ascii="Verdana" w:hAnsi="Verdana" w:cs="Arial"/>
          <w:color w:val="000000" w:themeColor="text1"/>
        </w:rPr>
        <w:t xml:space="preserve"> de comodato de bienes muebles entre sí, de acuerdo con las reglas del Código Civil; </w:t>
      </w:r>
      <w:proofErr w:type="spellStart"/>
      <w:r w:rsidRPr="00222802">
        <w:rPr>
          <w:rFonts w:ascii="Verdana" w:hAnsi="Verdana" w:cs="Arial"/>
          <w:color w:val="000000" w:themeColor="text1"/>
        </w:rPr>
        <w:t>iii</w:t>
      </w:r>
      <w:proofErr w:type="spellEnd"/>
      <w:r w:rsidRPr="00222802">
        <w:rPr>
          <w:rFonts w:ascii="Verdana" w:hAnsi="Verdana" w:cs="Arial"/>
          <w:color w:val="000000" w:themeColor="text1"/>
        </w:rPr>
        <w:t xml:space="preserve">) en virtud del artículo 355 de la Constitución Política, las entidades estatales pueden entregar en comodato sus bienes muebles a entidades privadas sin ánimo de lucro, y el tiempo de duración </w:t>
      </w:r>
      <w:r w:rsidRPr="00222802">
        <w:rPr>
          <w:rFonts w:ascii="Verdana" w:hAnsi="Verdana" w:cs="Arial"/>
          <w:color w:val="000000" w:themeColor="text1"/>
        </w:rPr>
        <w:lastRenderedPageBreak/>
        <w:t xml:space="preserve">del contrato estará sujeto en todo caso a la actividad misional de la respectiva entidad estatal de acuerdo con lo previsto en el artículo 96 de la Ley 489 de 1998 y; </w:t>
      </w:r>
      <w:proofErr w:type="spellStart"/>
      <w:r w:rsidRPr="00222802">
        <w:rPr>
          <w:rFonts w:ascii="Verdana" w:hAnsi="Verdana" w:cs="Arial"/>
          <w:color w:val="000000" w:themeColor="text1"/>
        </w:rPr>
        <w:t>iv</w:t>
      </w:r>
      <w:proofErr w:type="spellEnd"/>
      <w:r w:rsidRPr="00222802">
        <w:rPr>
          <w:rFonts w:ascii="Verdana" w:hAnsi="Verdana" w:cs="Arial"/>
          <w:color w:val="000000" w:themeColor="text1"/>
        </w:rPr>
        <w:t xml:space="preserve">) las entidades estatales pueden celebrar contratos de comodato con privados, actuando en calidad de comodatarias, caso en el cual no tienen restricción normativa para celebrar este tipo de contratos, con fundamento en la autonomía de la voluntad que establece el artículo 32 de la Ley 80 de 1993, sin perjuicio del cumplimiento de los principios constitucionales aplicables a la función administrativa y los de la contratación estatal. </w:t>
      </w:r>
    </w:p>
    <w:p w14:paraId="40B83CF7" w14:textId="77777777" w:rsidR="00A60141" w:rsidRDefault="00A60141" w:rsidP="00A60141">
      <w:pPr>
        <w:widowControl w:val="0"/>
        <w:autoSpaceDE w:val="0"/>
        <w:autoSpaceDN w:val="0"/>
        <w:spacing w:after="0" w:line="276" w:lineRule="auto"/>
        <w:ind w:firstLine="709"/>
        <w:jc w:val="both"/>
        <w:rPr>
          <w:rFonts w:ascii="Verdana" w:hAnsi="Verdana" w:cs="Arial"/>
          <w:color w:val="000000" w:themeColor="text1"/>
        </w:rPr>
      </w:pPr>
      <w:r w:rsidRPr="00222802">
        <w:rPr>
          <w:rFonts w:ascii="Verdana" w:hAnsi="Verdana" w:cs="Arial"/>
          <w:color w:val="000000" w:themeColor="text1"/>
        </w:rPr>
        <w:t>En estos eventos</w:t>
      </w:r>
      <w:r>
        <w:rPr>
          <w:rFonts w:ascii="Verdana" w:hAnsi="Verdana" w:cs="Arial"/>
          <w:color w:val="000000" w:themeColor="text1"/>
        </w:rPr>
        <w:t>, sin perjuicio de las reglas especiales previstas en el EGCAP,</w:t>
      </w:r>
      <w:r w:rsidRPr="00222802">
        <w:rPr>
          <w:rFonts w:ascii="Verdana" w:hAnsi="Verdana" w:cs="Arial"/>
          <w:color w:val="000000" w:themeColor="text1"/>
        </w:rPr>
        <w:t xml:space="preserve"> el tipo contractual se rige </w:t>
      </w:r>
      <w:r>
        <w:rPr>
          <w:rFonts w:ascii="Verdana" w:hAnsi="Verdana" w:cs="Arial"/>
          <w:color w:val="000000" w:themeColor="text1"/>
        </w:rPr>
        <w:t>por</w:t>
      </w:r>
      <w:r w:rsidRPr="00222802">
        <w:rPr>
          <w:rFonts w:ascii="Verdana" w:hAnsi="Verdana" w:cs="Arial"/>
          <w:color w:val="000000" w:themeColor="text1"/>
        </w:rPr>
        <w:t xml:space="preserve"> los artículos 2200 al 2220, dada la remisión expresa </w:t>
      </w:r>
      <w:r>
        <w:rPr>
          <w:rFonts w:ascii="Verdana" w:hAnsi="Verdana" w:cs="Arial"/>
          <w:color w:val="000000" w:themeColor="text1"/>
        </w:rPr>
        <w:t>d</w:t>
      </w:r>
      <w:r w:rsidRPr="00222802">
        <w:rPr>
          <w:rFonts w:ascii="Verdana" w:hAnsi="Verdana" w:cs="Arial"/>
          <w:color w:val="000000" w:themeColor="text1"/>
        </w:rPr>
        <w:t xml:space="preserve">el artículo 13 de la Ley 80 de 1993 en cuanto al régimen </w:t>
      </w:r>
      <w:r>
        <w:rPr>
          <w:rFonts w:ascii="Verdana" w:hAnsi="Verdana" w:cs="Arial"/>
          <w:color w:val="000000" w:themeColor="text1"/>
        </w:rPr>
        <w:t>aplicable</w:t>
      </w:r>
      <w:r w:rsidRPr="00222802">
        <w:rPr>
          <w:rFonts w:ascii="Verdana" w:hAnsi="Verdana" w:cs="Arial"/>
          <w:color w:val="000000" w:themeColor="text1"/>
        </w:rPr>
        <w:t xml:space="preserve"> a los contratos estatales.</w:t>
      </w:r>
      <w:r>
        <w:rPr>
          <w:rFonts w:ascii="Verdana" w:hAnsi="Verdana" w:cs="Arial"/>
          <w:color w:val="000000" w:themeColor="text1"/>
        </w:rPr>
        <w:t xml:space="preserve"> </w:t>
      </w:r>
      <w:r w:rsidRPr="00FF0389">
        <w:rPr>
          <w:rFonts w:ascii="Verdana" w:hAnsi="Verdana" w:cs="Arial"/>
          <w:color w:val="000000" w:themeColor="text1"/>
        </w:rPr>
        <w:t>Por lo demás,</w:t>
      </w:r>
      <w:r>
        <w:rPr>
          <w:rFonts w:ascii="Verdana" w:hAnsi="Verdana" w:cs="Arial"/>
          <w:color w:val="000000" w:themeColor="text1"/>
        </w:rPr>
        <w:t xml:space="preserve"> en el marco de los negocios jurídicos celebrados,</w:t>
      </w:r>
      <w:r w:rsidRPr="00FF0389">
        <w:rPr>
          <w:rFonts w:ascii="Verdana" w:hAnsi="Verdana" w:cs="Arial"/>
          <w:color w:val="000000" w:themeColor="text1"/>
        </w:rPr>
        <w:t xml:space="preserve"> la </w:t>
      </w:r>
      <w:r>
        <w:rPr>
          <w:rFonts w:ascii="Verdana" w:hAnsi="Verdana" w:cs="Arial"/>
          <w:color w:val="000000" w:themeColor="text1"/>
        </w:rPr>
        <w:t>suscripción de</w:t>
      </w:r>
      <w:r w:rsidRPr="00FF0389">
        <w:rPr>
          <w:rFonts w:ascii="Verdana" w:hAnsi="Verdana" w:cs="Arial"/>
          <w:color w:val="000000" w:themeColor="text1"/>
        </w:rPr>
        <w:t xml:space="preserve"> actas de entrega </w:t>
      </w:r>
      <w:r>
        <w:rPr>
          <w:rFonts w:ascii="Verdana" w:hAnsi="Verdana" w:cs="Arial"/>
          <w:color w:val="000000" w:themeColor="text1"/>
        </w:rPr>
        <w:t>se llevará de acuerdo a los procedimientos internos para la gestión de bienes en cada entidad.</w:t>
      </w:r>
    </w:p>
    <w:p w14:paraId="77079AA8" w14:textId="77777777" w:rsidR="00A60141" w:rsidRDefault="00A60141" w:rsidP="00A60141">
      <w:pPr>
        <w:widowControl w:val="0"/>
        <w:autoSpaceDE w:val="0"/>
        <w:autoSpaceDN w:val="0"/>
        <w:spacing w:after="0" w:line="276" w:lineRule="auto"/>
        <w:ind w:firstLine="709"/>
        <w:jc w:val="both"/>
        <w:rPr>
          <w:rFonts w:ascii="Verdana" w:hAnsi="Verdana" w:cs="Arial"/>
          <w:color w:val="000000" w:themeColor="text1"/>
        </w:rPr>
      </w:pPr>
    </w:p>
    <w:p w14:paraId="79C51172" w14:textId="77777777" w:rsidR="00A60141" w:rsidRPr="006162A9" w:rsidRDefault="00A60141" w:rsidP="00A60141">
      <w:pPr>
        <w:widowControl w:val="0"/>
        <w:autoSpaceDE w:val="0"/>
        <w:autoSpaceDN w:val="0"/>
        <w:spacing w:after="0" w:line="276" w:lineRule="auto"/>
        <w:jc w:val="both"/>
        <w:rPr>
          <w:rFonts w:ascii="Verdana" w:hAnsi="Verdana"/>
        </w:rPr>
      </w:pPr>
      <w:proofErr w:type="spellStart"/>
      <w:r>
        <w:rPr>
          <w:rFonts w:ascii="Verdana" w:hAnsi="Verdana" w:cs="Arial"/>
          <w:color w:val="000000" w:themeColor="text1"/>
        </w:rPr>
        <w:t>iii</w:t>
      </w:r>
      <w:proofErr w:type="spellEnd"/>
      <w:r>
        <w:rPr>
          <w:rFonts w:ascii="Verdana" w:hAnsi="Verdana" w:cs="Arial"/>
          <w:color w:val="000000" w:themeColor="text1"/>
        </w:rPr>
        <w:t xml:space="preserve">. </w:t>
      </w:r>
      <w:r w:rsidRPr="00301910">
        <w:rPr>
          <w:rFonts w:ascii="Verdana" w:hAnsi="Verdana" w:cs="Arial"/>
          <w:lang w:eastAsia="es-ES"/>
        </w:rPr>
        <w:t>Al margen de la explicación precedente</w:t>
      </w:r>
      <w:r>
        <w:rPr>
          <w:rFonts w:ascii="Verdana" w:hAnsi="Verdana" w:cs="Arial"/>
          <w:lang w:eastAsia="es-ES"/>
        </w:rPr>
        <w:t xml:space="preserve"> </w:t>
      </w:r>
      <w:r w:rsidRPr="00301910">
        <w:rPr>
          <w:rFonts w:ascii="Verdana" w:hAnsi="Verdana" w:cs="Arial"/>
          <w:lang w:eastAsia="es-ES"/>
        </w:rPr>
        <w:t>debe advertirse que el análisis requerido</w:t>
      </w:r>
      <w:r>
        <w:rPr>
          <w:rFonts w:ascii="Verdana" w:hAnsi="Verdana" w:cs="Arial"/>
          <w:lang w:eastAsia="es-ES"/>
        </w:rPr>
        <w:t xml:space="preserve"> </w:t>
      </w:r>
      <w:r w:rsidRPr="00301910">
        <w:rPr>
          <w:rFonts w:ascii="Verdana" w:hAnsi="Verdana" w:cs="Arial"/>
          <w:lang w:eastAsia="es-ES"/>
        </w:rPr>
        <w:t>para</w:t>
      </w:r>
      <w:r>
        <w:rPr>
          <w:rFonts w:ascii="Verdana" w:hAnsi="Verdana" w:cs="Arial"/>
          <w:lang w:eastAsia="es-ES"/>
        </w:rPr>
        <w:t xml:space="preserve"> resolver problemas específicos en torno a la celebración de contratos de comodato </w:t>
      </w:r>
      <w:r w:rsidRPr="00301910">
        <w:rPr>
          <w:rFonts w:ascii="Verdana" w:hAnsi="Verdana" w:cs="Arial"/>
          <w:lang w:eastAsia="es-ES"/>
        </w:rPr>
        <w:t>debe ser realizado por</w:t>
      </w:r>
      <w:r>
        <w:rPr>
          <w:rFonts w:ascii="Verdana" w:hAnsi="Verdana" w:cs="Arial"/>
          <w:lang w:eastAsia="es-ES"/>
        </w:rPr>
        <w:t xml:space="preserve"> </w:t>
      </w:r>
      <w:r w:rsidRPr="00301910">
        <w:rPr>
          <w:rFonts w:ascii="Verdana" w:hAnsi="Verdana" w:cs="Arial"/>
          <w:lang w:eastAsia="es-ES"/>
        </w:rPr>
        <w:t>quienes tengan interés en ello, de acuerdo con lo explicado</w:t>
      </w:r>
      <w:r>
        <w:rPr>
          <w:rFonts w:ascii="Verdana" w:hAnsi="Verdana" w:cs="Arial"/>
          <w:lang w:eastAsia="es-ES"/>
        </w:rPr>
        <w:t xml:space="preserve"> </w:t>
      </w:r>
      <w:r w:rsidRPr="00301910">
        <w:rPr>
          <w:rFonts w:ascii="Verdana" w:hAnsi="Verdana" w:cs="Arial"/>
          <w:lang w:eastAsia="es-ES"/>
        </w:rPr>
        <w:t>la aclaración preliminar del presente oficio. De esta manera, las afirmaciones aquí realizadas</w:t>
      </w:r>
      <w:r>
        <w:rPr>
          <w:rFonts w:ascii="Verdana" w:hAnsi="Verdana" w:cs="Arial"/>
          <w:lang w:eastAsia="es-ES"/>
        </w:rPr>
        <w:t xml:space="preserve"> </w:t>
      </w:r>
      <w:r w:rsidRPr="00301910">
        <w:rPr>
          <w:rFonts w:ascii="Verdana" w:hAnsi="Verdana" w:cs="Arial"/>
          <w:lang w:eastAsia="es-ES"/>
        </w:rPr>
        <w:t>no</w:t>
      </w:r>
      <w:r>
        <w:rPr>
          <w:rFonts w:ascii="Verdana" w:hAnsi="Verdana" w:cs="Arial"/>
          <w:lang w:eastAsia="es-ES"/>
        </w:rPr>
        <w:t xml:space="preserve"> </w:t>
      </w:r>
      <w:r w:rsidRPr="00301910">
        <w:rPr>
          <w:rFonts w:ascii="Verdana" w:hAnsi="Verdana" w:cs="Arial"/>
          <w:lang w:eastAsia="es-ES"/>
        </w:rPr>
        <w:t>pueden ser interpretadas como juicios de valor sobre circunstancias</w:t>
      </w:r>
      <w:r>
        <w:rPr>
          <w:rFonts w:ascii="Verdana" w:hAnsi="Verdana" w:cs="Arial"/>
          <w:lang w:eastAsia="es-ES"/>
        </w:rPr>
        <w:t xml:space="preserve"> </w:t>
      </w:r>
      <w:r w:rsidRPr="00301910">
        <w:rPr>
          <w:rFonts w:ascii="Verdana" w:hAnsi="Verdana" w:cs="Arial"/>
          <w:lang w:eastAsia="es-ES"/>
        </w:rPr>
        <w:t>concretas</w:t>
      </w:r>
      <w:r>
        <w:rPr>
          <w:rFonts w:ascii="Verdana" w:hAnsi="Verdana" w:cs="Arial"/>
          <w:lang w:eastAsia="es-ES"/>
        </w:rPr>
        <w:t xml:space="preserve"> </w:t>
      </w:r>
      <w:r w:rsidRPr="00301910">
        <w:rPr>
          <w:rFonts w:ascii="Verdana" w:hAnsi="Verdana" w:cs="Arial"/>
          <w:lang w:eastAsia="es-ES"/>
        </w:rPr>
        <w:t>relacionadas con los hechos que motivan la</w:t>
      </w:r>
      <w:r>
        <w:rPr>
          <w:rFonts w:ascii="Verdana" w:hAnsi="Verdana" w:cs="Arial"/>
          <w:lang w:eastAsia="es-ES"/>
        </w:rPr>
        <w:t xml:space="preserve"> </w:t>
      </w:r>
      <w:r w:rsidRPr="00301910">
        <w:rPr>
          <w:rFonts w:ascii="Verdana" w:hAnsi="Verdana" w:cs="Arial"/>
          <w:lang w:eastAsia="es-ES"/>
        </w:rPr>
        <w:t>consulta.</w:t>
      </w:r>
      <w:r>
        <w:rPr>
          <w:rFonts w:ascii="Verdana" w:hAnsi="Verdana" w:cs="Arial"/>
          <w:lang w:eastAsia="es-ES"/>
        </w:rPr>
        <w:t xml:space="preserve"> </w:t>
      </w:r>
      <w:r w:rsidRPr="00301910">
        <w:rPr>
          <w:rFonts w:ascii="Verdana" w:hAnsi="Verdana" w:cs="Arial"/>
          <w:lang w:eastAsia="es-ES"/>
        </w:rPr>
        <w:t>Por lo anterior, previo concepto de sus asesores, la solución de situaciones particulares corresponde a los interesados</w:t>
      </w:r>
      <w:r>
        <w:rPr>
          <w:rFonts w:ascii="Verdana" w:hAnsi="Verdana" w:cs="Arial"/>
          <w:lang w:eastAsia="es-ES"/>
        </w:rPr>
        <w:t xml:space="preserve"> </w:t>
      </w:r>
      <w:r w:rsidRPr="00301910">
        <w:rPr>
          <w:rFonts w:ascii="Verdana" w:hAnsi="Verdana" w:cs="Arial"/>
          <w:lang w:eastAsia="es-ES"/>
        </w:rPr>
        <w:t>adoptar la decisión correspondiente y, en caso de conflicto, a las autoridades judiciales, fiscales y disciplinarias.</w:t>
      </w:r>
    </w:p>
    <w:p w14:paraId="183B2A58" w14:textId="77777777" w:rsidR="00A60141" w:rsidRPr="00301910" w:rsidRDefault="00A60141" w:rsidP="00A60141">
      <w:pPr>
        <w:spacing w:before="120" w:after="0" w:line="276" w:lineRule="auto"/>
        <w:ind w:firstLine="709"/>
        <w:jc w:val="both"/>
        <w:rPr>
          <w:rFonts w:ascii="Verdana" w:hAnsi="Verdana" w:cs="Arial"/>
          <w:lang w:eastAsia="es-ES"/>
        </w:rPr>
      </w:pPr>
      <w:r w:rsidRPr="00301910">
        <w:rPr>
          <w:rFonts w:ascii="Verdana" w:hAnsi="Verdana" w:cs="Arial"/>
          <w:lang w:eastAsia="es-ES"/>
        </w:rPr>
        <w:t>Dentro de este marco, la entidad contratante definirá en cada caso concreto lo</w:t>
      </w:r>
      <w:r>
        <w:rPr>
          <w:rFonts w:ascii="Verdana" w:hAnsi="Verdana" w:cs="Arial"/>
          <w:lang w:eastAsia="es-ES"/>
        </w:rPr>
        <w:t xml:space="preserve"> </w:t>
      </w:r>
      <w:r w:rsidRPr="00301910">
        <w:rPr>
          <w:rFonts w:ascii="Verdana" w:hAnsi="Verdana" w:cs="Arial"/>
          <w:lang w:eastAsia="es-ES"/>
        </w:rPr>
        <w:t>relacionado con el tema objeto de consulta. Al tratarse de un análisis</w:t>
      </w:r>
      <w:r>
        <w:rPr>
          <w:rFonts w:ascii="Verdana" w:hAnsi="Verdana" w:cs="Arial"/>
          <w:lang w:eastAsia="es-ES"/>
        </w:rPr>
        <w:t xml:space="preserve"> </w:t>
      </w:r>
      <w:r w:rsidRPr="00301910">
        <w:rPr>
          <w:rFonts w:ascii="Verdana" w:hAnsi="Verdana" w:cs="Arial"/>
          <w:lang w:eastAsia="es-ES"/>
        </w:rPr>
        <w:t xml:space="preserve">que debe realizarse en el procedimiento contractual específico, la Agencia no puede definir un criterio universal y absoluto por vía consultiva, sino que brinda elementos de carácter general para que los partícipes del sistema de compras y contratación pública adopten la decisión que corresponda, lo cual es acorde con el principio de juridicidad. </w:t>
      </w:r>
      <w:r>
        <w:rPr>
          <w:rFonts w:ascii="Verdana" w:hAnsi="Verdana" w:cs="Arial"/>
          <w:lang w:eastAsia="es-ES"/>
        </w:rPr>
        <w:t>Así</w:t>
      </w:r>
      <w:r w:rsidRPr="00301910">
        <w:rPr>
          <w:rFonts w:ascii="Verdana" w:hAnsi="Verdana" w:cs="Arial"/>
          <w:lang w:eastAsia="es-ES"/>
        </w:rPr>
        <w:t>, cada entidad definirá la forma de adelantar su gestión contractual, sin que sea atribución de Colombia Compra Eficiente validar sus actuaciones.</w:t>
      </w:r>
    </w:p>
    <w:p w14:paraId="30D4230C" w14:textId="77777777" w:rsidR="00A60141" w:rsidRPr="00182C89" w:rsidRDefault="00A60141" w:rsidP="00A60141">
      <w:pPr>
        <w:tabs>
          <w:tab w:val="left" w:pos="709"/>
        </w:tabs>
        <w:spacing w:after="0" w:line="276" w:lineRule="auto"/>
        <w:jc w:val="both"/>
        <w:rPr>
          <w:rFonts w:ascii="Verdana" w:eastAsia="Calibri" w:hAnsi="Verdana" w:cs="Arial"/>
          <w:color w:val="000000" w:themeColor="text1"/>
        </w:rPr>
      </w:pPr>
    </w:p>
    <w:p w14:paraId="55515C39" w14:textId="77777777" w:rsidR="00A60141" w:rsidRPr="00593A5F" w:rsidRDefault="00A60141" w:rsidP="00A60141">
      <w:pPr>
        <w:pStyle w:val="Prrafodelista"/>
        <w:numPr>
          <w:ilvl w:val="0"/>
          <w:numId w:val="19"/>
        </w:numPr>
        <w:tabs>
          <w:tab w:val="left" w:pos="142"/>
          <w:tab w:val="left" w:pos="284"/>
        </w:tabs>
        <w:spacing w:after="0" w:line="276" w:lineRule="auto"/>
        <w:ind w:left="0" w:firstLine="0"/>
        <w:contextualSpacing w:val="0"/>
        <w:jc w:val="both"/>
        <w:rPr>
          <w:rFonts w:ascii="Verdana" w:eastAsia="Century Gothic" w:hAnsi="Verdana" w:cs="Century Gothic"/>
          <w:b/>
          <w:bCs/>
        </w:rPr>
      </w:pPr>
      <w:r w:rsidRPr="00593A5F">
        <w:rPr>
          <w:rFonts w:ascii="Verdana" w:eastAsia="Century Gothic" w:hAnsi="Verdana" w:cs="Century Gothic"/>
          <w:b/>
          <w:bCs/>
        </w:rPr>
        <w:t>Referencias normativas:</w:t>
      </w:r>
    </w:p>
    <w:p w14:paraId="2D4BE0E2" w14:textId="77777777" w:rsidR="00A60141" w:rsidRPr="00593A5F" w:rsidRDefault="00A60141" w:rsidP="00A60141">
      <w:pPr>
        <w:widowControl w:val="0"/>
        <w:autoSpaceDE w:val="0"/>
        <w:autoSpaceDN w:val="0"/>
        <w:spacing w:after="0" w:line="276" w:lineRule="auto"/>
        <w:jc w:val="both"/>
        <w:rPr>
          <w:rFonts w:ascii="Verdana" w:hAnsi="Verdana" w:cs="Arial"/>
        </w:rPr>
      </w:pPr>
    </w:p>
    <w:tbl>
      <w:tblPr>
        <w:tblStyle w:val="Tablaconcuadrcula"/>
        <w:tblW w:w="864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A60141" w:rsidRPr="002407CE" w14:paraId="6A13C796" w14:textId="77777777" w:rsidTr="009C3D49">
        <w:trPr>
          <w:trHeight w:val="870"/>
          <w:jc w:val="center"/>
        </w:trPr>
        <w:tc>
          <w:tcPr>
            <w:tcW w:w="8647" w:type="dxa"/>
          </w:tcPr>
          <w:p w14:paraId="52FF0056" w14:textId="77777777" w:rsidR="00A60141" w:rsidRPr="006162A9" w:rsidRDefault="00A60141" w:rsidP="00A60141">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rPr>
            </w:pPr>
            <w:r w:rsidRPr="006162A9">
              <w:rPr>
                <w:rFonts w:ascii="Verdana" w:hAnsi="Verdana" w:cs="Arial"/>
              </w:rPr>
              <w:lastRenderedPageBreak/>
              <w:t>Constitución Política de 1991, artículos 313 y 355.</w:t>
            </w:r>
          </w:p>
          <w:p w14:paraId="1BBCD2F6" w14:textId="77777777" w:rsidR="00A60141" w:rsidRPr="006162A9" w:rsidRDefault="00A60141" w:rsidP="00A60141">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rPr>
            </w:pPr>
            <w:r w:rsidRPr="006162A9">
              <w:rPr>
                <w:rFonts w:ascii="Verdana" w:hAnsi="Verdana" w:cs="Arial"/>
              </w:rPr>
              <w:t>Ley 9 de 1989, artículo 38.</w:t>
            </w:r>
          </w:p>
          <w:p w14:paraId="35F5FA8A" w14:textId="77777777" w:rsidR="00A60141" w:rsidRPr="006162A9" w:rsidRDefault="00A60141" w:rsidP="00A60141">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rPr>
            </w:pPr>
            <w:r w:rsidRPr="006162A9">
              <w:rPr>
                <w:rFonts w:ascii="Verdana" w:hAnsi="Verdana" w:cs="Arial"/>
              </w:rPr>
              <w:t>Ley 80 de 1993, artículos 13, 32 y 40.</w:t>
            </w:r>
          </w:p>
          <w:p w14:paraId="38994B70" w14:textId="77777777" w:rsidR="00A60141" w:rsidRPr="006162A9" w:rsidRDefault="00A60141" w:rsidP="00A60141">
            <w:pPr>
              <w:pStyle w:val="Prrafodelista"/>
              <w:widowControl w:val="0"/>
              <w:numPr>
                <w:ilvl w:val="0"/>
                <w:numId w:val="20"/>
              </w:numPr>
              <w:autoSpaceDE w:val="0"/>
              <w:autoSpaceDN w:val="0"/>
              <w:spacing w:after="120" w:line="276" w:lineRule="auto"/>
              <w:ind w:left="714" w:hanging="357"/>
              <w:contextualSpacing w:val="0"/>
              <w:jc w:val="both"/>
              <w:rPr>
                <w:rFonts w:ascii="Verdana" w:hAnsi="Verdana" w:cs="Arial"/>
              </w:rPr>
            </w:pPr>
            <w:r w:rsidRPr="006162A9">
              <w:rPr>
                <w:rFonts w:ascii="Verdana" w:hAnsi="Verdana" w:cs="Arial"/>
              </w:rPr>
              <w:t xml:space="preserve">Ley 489 de 1998, artículo 96. </w:t>
            </w:r>
          </w:p>
          <w:p w14:paraId="6BEFD037" w14:textId="77777777" w:rsidR="00A60141" w:rsidRPr="00C02F8B" w:rsidRDefault="00A60141" w:rsidP="00A60141">
            <w:pPr>
              <w:pStyle w:val="Prrafodelista"/>
              <w:widowControl w:val="0"/>
              <w:numPr>
                <w:ilvl w:val="0"/>
                <w:numId w:val="20"/>
              </w:numPr>
              <w:autoSpaceDE w:val="0"/>
              <w:autoSpaceDN w:val="0"/>
              <w:spacing w:line="276" w:lineRule="auto"/>
              <w:ind w:left="714" w:hanging="357"/>
              <w:contextualSpacing w:val="0"/>
              <w:jc w:val="both"/>
              <w:rPr>
                <w:rFonts w:ascii="Verdana" w:hAnsi="Verdana" w:cs="Arial"/>
              </w:rPr>
            </w:pPr>
            <w:r w:rsidRPr="006162A9">
              <w:rPr>
                <w:rFonts w:ascii="Verdana" w:hAnsi="Verdana" w:cs="Arial"/>
              </w:rPr>
              <w:t xml:space="preserve">Código Civil, artículos </w:t>
            </w:r>
            <w:r w:rsidRPr="006162A9">
              <w:rPr>
                <w:rFonts w:ascii="Verdana" w:eastAsia="Calibri" w:hAnsi="Verdana" w:cs="Arial"/>
                <w:bCs/>
                <w:color w:val="000000" w:themeColor="text1"/>
              </w:rPr>
              <w:t>2200 al 2220</w:t>
            </w:r>
            <w:r w:rsidRPr="006162A9">
              <w:rPr>
                <w:rFonts w:ascii="Verdana" w:hAnsi="Verdana" w:cs="Arial"/>
              </w:rPr>
              <w:t>.</w:t>
            </w:r>
          </w:p>
        </w:tc>
      </w:tr>
    </w:tbl>
    <w:p w14:paraId="13DCBE34" w14:textId="77777777" w:rsidR="00A60141" w:rsidRPr="002407CE" w:rsidRDefault="00A60141" w:rsidP="00A60141">
      <w:pPr>
        <w:widowControl w:val="0"/>
        <w:autoSpaceDE w:val="0"/>
        <w:autoSpaceDN w:val="0"/>
        <w:spacing w:after="0" w:line="276" w:lineRule="auto"/>
        <w:jc w:val="both"/>
        <w:rPr>
          <w:rFonts w:ascii="Verdana" w:hAnsi="Verdana" w:cs="Arial"/>
        </w:rPr>
      </w:pPr>
    </w:p>
    <w:p w14:paraId="16799C45" w14:textId="77777777" w:rsidR="00A60141" w:rsidRPr="00593A5F" w:rsidRDefault="00A60141" w:rsidP="00A60141">
      <w:pPr>
        <w:pStyle w:val="Prrafodelista"/>
        <w:numPr>
          <w:ilvl w:val="0"/>
          <w:numId w:val="19"/>
        </w:numPr>
        <w:tabs>
          <w:tab w:val="left" w:pos="142"/>
          <w:tab w:val="left" w:pos="284"/>
        </w:tabs>
        <w:spacing w:after="0" w:line="276" w:lineRule="auto"/>
        <w:ind w:left="0" w:firstLine="0"/>
        <w:contextualSpacing w:val="0"/>
        <w:jc w:val="both"/>
        <w:rPr>
          <w:rFonts w:ascii="Verdana" w:eastAsia="Century Gothic" w:hAnsi="Verdana" w:cs="Century Gothic"/>
          <w:b/>
          <w:bCs/>
        </w:rPr>
      </w:pPr>
      <w:r>
        <w:rPr>
          <w:rFonts w:ascii="Verdana" w:eastAsia="Century Gothic" w:hAnsi="Verdana" w:cs="Century Gothic"/>
          <w:b/>
          <w:bCs/>
        </w:rPr>
        <w:t>Doctrina de la Agencia Nacional de Contratación Pública</w:t>
      </w:r>
      <w:r w:rsidRPr="00593A5F">
        <w:rPr>
          <w:rFonts w:ascii="Verdana" w:eastAsia="Century Gothic" w:hAnsi="Verdana" w:cs="Century Gothic"/>
          <w:b/>
          <w:bCs/>
        </w:rPr>
        <w:t>:</w:t>
      </w:r>
    </w:p>
    <w:p w14:paraId="526CD291" w14:textId="77777777" w:rsidR="00A60141" w:rsidRPr="00593A5F" w:rsidRDefault="00A60141" w:rsidP="00A60141">
      <w:pPr>
        <w:widowControl w:val="0"/>
        <w:autoSpaceDE w:val="0"/>
        <w:autoSpaceDN w:val="0"/>
        <w:spacing w:after="0" w:line="276" w:lineRule="auto"/>
        <w:jc w:val="both"/>
        <w:rPr>
          <w:rFonts w:ascii="Verdana" w:hAnsi="Verdana" w:cs="Arial"/>
        </w:rPr>
      </w:pPr>
    </w:p>
    <w:p w14:paraId="33D6D3CD" w14:textId="77777777" w:rsidR="00A60141" w:rsidRPr="00ED0098" w:rsidRDefault="00A60141" w:rsidP="00A60141">
      <w:pPr>
        <w:widowControl w:val="0"/>
        <w:autoSpaceDE w:val="0"/>
        <w:autoSpaceDN w:val="0"/>
        <w:spacing w:after="0" w:line="276" w:lineRule="auto"/>
        <w:jc w:val="both"/>
        <w:rPr>
          <w:rStyle w:val="normaltextrun"/>
          <w:rFonts w:ascii="Verdana" w:hAnsi="Verdana" w:cs="Arial"/>
          <w:shd w:val="clear" w:color="auto" w:fill="FFFFFF"/>
        </w:rPr>
      </w:pPr>
      <w:r w:rsidRPr="00010325">
        <w:rPr>
          <w:rFonts w:ascii="Verdana" w:hAnsi="Verdana" w:cs="Arial"/>
          <w:shd w:val="clear" w:color="auto" w:fill="FFFFFF"/>
        </w:rPr>
        <w:t>Esta Subdirección se ha pronunciado sobre</w:t>
      </w:r>
      <w:r>
        <w:rPr>
          <w:rFonts w:ascii="Verdana" w:hAnsi="Verdana" w:cs="Arial"/>
          <w:shd w:val="clear" w:color="auto" w:fill="FFFFFF"/>
        </w:rPr>
        <w:t xml:space="preserve"> el contrato de comodato en los Conceptos </w:t>
      </w:r>
      <w:r w:rsidRPr="00222802">
        <w:rPr>
          <w:rFonts w:ascii="Verdana" w:eastAsia="Calibri" w:hAnsi="Verdana" w:cs="Arial"/>
          <w:bCs/>
          <w:color w:val="000000" w:themeColor="text1"/>
        </w:rPr>
        <w:t>415140000909 de 2015</w:t>
      </w:r>
      <w:r>
        <w:rPr>
          <w:rFonts w:ascii="Verdana" w:eastAsia="Calibri" w:hAnsi="Verdana" w:cs="Arial"/>
          <w:bCs/>
          <w:color w:val="000000" w:themeColor="text1"/>
        </w:rPr>
        <w:t>,</w:t>
      </w:r>
      <w:r>
        <w:rPr>
          <w:rFonts w:ascii="Verdana" w:hAnsi="Verdana" w:cs="Arial"/>
          <w:shd w:val="clear" w:color="auto" w:fill="FFFFFF"/>
        </w:rPr>
        <w:t xml:space="preserve"> C-014 del 24 de marzo de 2020, C-012 del 18 de febrero de 2022, C-799 del 12 de diciembre de 2022, C-161 del 6 de junio de 2023 y C-270 del 12 de julio de 2023. </w:t>
      </w:r>
      <w:r w:rsidRPr="00DD0AFF">
        <w:rPr>
          <w:rFonts w:ascii="Verdana" w:hAnsi="Verdana" w:cs="Arial"/>
          <w:shd w:val="clear" w:color="auto" w:fill="FFFFFF"/>
        </w:rPr>
        <w:t>Estos y otros </w:t>
      </w:r>
      <w:r w:rsidRPr="008D0AB0">
        <w:rPr>
          <w:rStyle w:val="normaltextrun"/>
          <w:rFonts w:ascii="Verdana" w:hAnsi="Verdana" w:cs="Arial"/>
          <w:shd w:val="clear" w:color="auto" w:fill="FFFFFF"/>
        </w:rPr>
        <w:t xml:space="preserve">se encuentran disponibles para consulta en el Sistema de relatoría de la Agencia, al cual puede accederse a través del siguiente enlace: </w:t>
      </w:r>
      <w:hyperlink r:id="rId12" w:history="1">
        <w:r w:rsidRPr="00186F77">
          <w:rPr>
            <w:rStyle w:val="Hipervnculo"/>
            <w:rFonts w:ascii="Verdana" w:hAnsi="Verdana" w:cs="Arial"/>
            <w:shd w:val="clear" w:color="auto" w:fill="FFFFFF"/>
          </w:rPr>
          <w:t>https://relatoria.colombiacompra.gov.co/busqueda/conceptos</w:t>
        </w:r>
      </w:hyperlink>
      <w:r>
        <w:rPr>
          <w:rStyle w:val="normaltextrun"/>
          <w:rFonts w:ascii="Verdana" w:hAnsi="Verdana" w:cs="Arial"/>
          <w:shd w:val="clear" w:color="auto" w:fill="FFFFFF"/>
        </w:rPr>
        <w:t>.</w:t>
      </w:r>
      <w:r w:rsidRPr="008D0AB0">
        <w:rPr>
          <w:rStyle w:val="normaltextrun"/>
          <w:rFonts w:ascii="Verdana" w:hAnsi="Verdana" w:cs="Arial"/>
          <w:shd w:val="clear" w:color="auto" w:fill="FFFFFF"/>
        </w:rPr>
        <w:t xml:space="preserve"> </w:t>
      </w:r>
      <w:r>
        <w:rPr>
          <w:rStyle w:val="normaltextrun"/>
          <w:rFonts w:ascii="Verdana" w:hAnsi="Verdana" w:cs="Arial"/>
          <w:color w:val="FF0000"/>
          <w:shd w:val="clear" w:color="auto" w:fill="FFFFFF"/>
          <w:lang w:val="es-ES"/>
        </w:rPr>
        <w:t xml:space="preserve"> </w:t>
      </w:r>
    </w:p>
    <w:p w14:paraId="5388321E" w14:textId="77777777" w:rsidR="00A60141" w:rsidRDefault="00A60141" w:rsidP="00A60141">
      <w:pPr>
        <w:widowControl w:val="0"/>
        <w:autoSpaceDE w:val="0"/>
        <w:autoSpaceDN w:val="0"/>
        <w:spacing w:after="0" w:line="276" w:lineRule="auto"/>
        <w:jc w:val="both"/>
        <w:rPr>
          <w:rStyle w:val="normaltextrun"/>
          <w:rFonts w:ascii="Verdana" w:hAnsi="Verdana" w:cs="Arial"/>
          <w:color w:val="FF0000"/>
          <w:shd w:val="clear" w:color="auto" w:fill="FFFFFF"/>
          <w:lang w:val="es-ES"/>
        </w:rPr>
      </w:pPr>
    </w:p>
    <w:p w14:paraId="2AF79027" w14:textId="77777777" w:rsidR="00A60141" w:rsidRPr="00A1554D" w:rsidRDefault="00A60141" w:rsidP="00A60141">
      <w:pPr>
        <w:widowControl w:val="0"/>
        <w:autoSpaceDE w:val="0"/>
        <w:autoSpaceDN w:val="0"/>
        <w:spacing w:after="0" w:line="276" w:lineRule="auto"/>
        <w:jc w:val="both"/>
        <w:rPr>
          <w:rStyle w:val="normaltextrun"/>
          <w:rFonts w:ascii="Verdana" w:hAnsi="Verdana" w:cs="Arial"/>
          <w:color w:val="FF0000"/>
          <w:shd w:val="clear" w:color="auto" w:fill="FFFFFF"/>
          <w:lang w:val="es-MX"/>
        </w:rPr>
      </w:pPr>
      <w:r w:rsidRPr="00B45DE2">
        <w:rPr>
          <w:rStyle w:val="normaltextrun"/>
          <w:rFonts w:ascii="Verdana" w:hAnsi="Verdana" w:cs="Arial"/>
          <w:color w:val="000000" w:themeColor="text1"/>
          <w:shd w:val="clear" w:color="auto" w:fill="FFFFFF"/>
          <w:lang w:val="es-ES"/>
        </w:rPr>
        <w:t xml:space="preserve">Te </w:t>
      </w:r>
      <w:r w:rsidRPr="00096788">
        <w:rPr>
          <w:rFonts w:ascii="Verdana" w:hAnsi="Verdana" w:cs="Arial"/>
          <w:color w:val="000000" w:themeColor="text1"/>
          <w:shd w:val="clear" w:color="auto" w:fill="FFFFFF"/>
        </w:rPr>
        <w:t xml:space="preserve">invitamos a consultar las versiones V y VI de 2024 del Boletín de Relatoría de la Subdirección de Gestión Contractual relacionados con las guías de Plan Anual de Adquisiciones y la </w:t>
      </w:r>
      <w:r>
        <w:rPr>
          <w:rFonts w:ascii="Verdana" w:hAnsi="Verdana" w:cs="Arial"/>
          <w:color w:val="000000" w:themeColor="text1"/>
          <w:shd w:val="clear" w:color="auto" w:fill="FFFFFF"/>
        </w:rPr>
        <w:t>m</w:t>
      </w:r>
      <w:r w:rsidRPr="00096788">
        <w:rPr>
          <w:rFonts w:ascii="Verdana" w:hAnsi="Verdana" w:cs="Arial"/>
          <w:color w:val="000000" w:themeColor="text1"/>
          <w:shd w:val="clear" w:color="auto" w:fill="FFFFFF"/>
        </w:rPr>
        <w:t>odalidad de selección de mínima cuantía , los cuales se pueden descargar en la página web de la Agencia: </w:t>
      </w:r>
      <w:hyperlink r:id="rId13" w:tgtFrame="_blank" w:tooltip="Original URL:&#10;https://www.colombiacompra.gov.co/sala-de-prensa/boletin-digital&#10;&#10;Click to follow link." w:history="1">
        <w:r w:rsidRPr="00096788">
          <w:rPr>
            <w:rStyle w:val="Hipervnculo"/>
            <w:rFonts w:ascii="Verdana" w:hAnsi="Verdana" w:cs="Arial"/>
            <w:shd w:val="clear" w:color="auto" w:fill="FFFFFF"/>
          </w:rPr>
          <w:t>https://www.colombiacompra.gov.co/sala-de-prensa/boletin-digital</w:t>
        </w:r>
      </w:hyperlink>
      <w:r>
        <w:rPr>
          <w:rFonts w:ascii="Verdana" w:hAnsi="Verdana" w:cs="Arial"/>
          <w:color w:val="000000" w:themeColor="text1"/>
          <w:shd w:val="clear" w:color="auto" w:fill="FFFFFF"/>
          <w:lang w:val="es-ES"/>
        </w:rPr>
        <w:t>.</w:t>
      </w:r>
      <w:r w:rsidRPr="00096788">
        <w:rPr>
          <w:rFonts w:ascii="Verdana" w:hAnsi="Verdana" w:cs="Arial"/>
          <w:color w:val="000000" w:themeColor="text1"/>
          <w:shd w:val="clear" w:color="auto" w:fill="FFFFFF"/>
        </w:rPr>
        <w:t> </w:t>
      </w:r>
      <w:r>
        <w:rPr>
          <w:rStyle w:val="normaltextrun"/>
          <w:rFonts w:ascii="Verdana" w:hAnsi="Verdana" w:cs="Arial"/>
          <w:color w:val="FF0000"/>
          <w:shd w:val="clear" w:color="auto" w:fill="FFFFFF"/>
          <w:lang w:val="es-ES"/>
        </w:rPr>
        <w:t xml:space="preserve">  </w:t>
      </w:r>
      <w:r w:rsidRPr="00A1554D">
        <w:rPr>
          <w:rStyle w:val="normaltextrun"/>
          <w:rFonts w:ascii="Verdana" w:hAnsi="Verdana" w:cs="Arial"/>
          <w:color w:val="FF0000"/>
          <w:shd w:val="clear" w:color="auto" w:fill="FFFFFF"/>
          <w:lang w:val="es-ES"/>
        </w:rPr>
        <w:t xml:space="preserve">    </w:t>
      </w:r>
    </w:p>
    <w:p w14:paraId="7661E72E" w14:textId="77777777" w:rsidR="00A60141" w:rsidRPr="00593A5F" w:rsidRDefault="00A60141" w:rsidP="00A60141">
      <w:pPr>
        <w:widowControl w:val="0"/>
        <w:autoSpaceDE w:val="0"/>
        <w:autoSpaceDN w:val="0"/>
        <w:spacing w:after="0" w:line="276" w:lineRule="auto"/>
        <w:jc w:val="both"/>
        <w:rPr>
          <w:rFonts w:ascii="Verdana" w:hAnsi="Verdana" w:cs="Arial"/>
        </w:rPr>
      </w:pPr>
    </w:p>
    <w:p w14:paraId="24EEC6B3" w14:textId="77777777" w:rsidR="00A60141" w:rsidRPr="00593A5F" w:rsidRDefault="00A60141" w:rsidP="00A60141">
      <w:pPr>
        <w:widowControl w:val="0"/>
        <w:autoSpaceDE w:val="0"/>
        <w:autoSpaceDN w:val="0"/>
        <w:spacing w:after="0" w:line="276" w:lineRule="auto"/>
        <w:jc w:val="both"/>
        <w:rPr>
          <w:rFonts w:ascii="Verdana" w:hAnsi="Verdana" w:cs="Arial"/>
          <w:lang w:val="es-ES_tradnl"/>
        </w:rPr>
      </w:pPr>
      <w:r w:rsidRPr="00593A5F">
        <w:rPr>
          <w:rFonts w:ascii="Verdana" w:hAnsi="Verdana" w:cs="Arial"/>
        </w:rPr>
        <w:t xml:space="preserve">Este concepto tiene el alcance previsto en el artículo 28 del Código de Procedimiento Administrativo y de lo Contencioso Administrativo </w:t>
      </w:r>
      <w:r w:rsidRPr="00593A5F">
        <w:rPr>
          <w:rFonts w:ascii="Verdana" w:hAnsi="Verdana" w:cs="Arial"/>
          <w:lang w:val="es-ES_tradnl"/>
        </w:rPr>
        <w:t>y las expresiones aquí utilizadas con mayúscula inicial deben ser entendidas con el significado que les otorga el artículo 2.2.1.1.1.3.1. del Decreto 1082 de 2015.</w:t>
      </w:r>
    </w:p>
    <w:p w14:paraId="77498595" w14:textId="77777777" w:rsidR="00A60141" w:rsidRPr="00593A5F" w:rsidRDefault="00A60141" w:rsidP="00A60141">
      <w:pPr>
        <w:widowControl w:val="0"/>
        <w:autoSpaceDE w:val="0"/>
        <w:autoSpaceDN w:val="0"/>
        <w:spacing w:after="0" w:line="276" w:lineRule="auto"/>
        <w:jc w:val="both"/>
        <w:rPr>
          <w:rFonts w:ascii="Verdana" w:hAnsi="Verdana" w:cs="Arial"/>
        </w:rPr>
      </w:pPr>
    </w:p>
    <w:p w14:paraId="5A96AD0C" w14:textId="77777777" w:rsidR="00A60141" w:rsidRPr="00593A5F" w:rsidRDefault="00A60141" w:rsidP="00A60141">
      <w:pPr>
        <w:spacing w:after="0" w:line="240" w:lineRule="auto"/>
        <w:rPr>
          <w:rFonts w:ascii="Verdana" w:hAnsi="Verdana" w:cs="Arial"/>
          <w:lang w:eastAsia="es-CO"/>
        </w:rPr>
      </w:pPr>
      <w:r w:rsidRPr="00593A5F">
        <w:rPr>
          <w:rFonts w:ascii="Verdana" w:eastAsia="Times New Roman" w:hAnsi="Verdana" w:cs="Arial"/>
          <w:lang w:eastAsia="es-CO"/>
        </w:rPr>
        <w:t>Atentamente,</w:t>
      </w:r>
      <w:r w:rsidRPr="00593A5F">
        <w:rPr>
          <w:rFonts w:ascii="Verdana" w:hAnsi="Verdana" w:cs="Arial"/>
          <w:lang w:eastAsia="es-CO"/>
        </w:rPr>
        <w:t xml:space="preserve"> </w:t>
      </w:r>
    </w:p>
    <w:p w14:paraId="6179923A" w14:textId="5F374B5D" w:rsidR="00A60141" w:rsidRPr="00593A5F" w:rsidRDefault="00A9274D" w:rsidP="00A60141">
      <w:pPr>
        <w:spacing w:line="276" w:lineRule="auto"/>
        <w:jc w:val="center"/>
        <w:rPr>
          <w:rFonts w:ascii="Verdana" w:hAnsi="Verdana" w:cs="Arial"/>
          <w:color w:val="000000"/>
          <w:lang w:val="es-ES_tradnl" w:eastAsia="es-CO"/>
        </w:rPr>
      </w:pPr>
      <w:r>
        <w:rPr>
          <w:noProof/>
        </w:rPr>
        <w:drawing>
          <wp:inline distT="0" distB="0" distL="0" distR="0" wp14:anchorId="6753288B" wp14:editId="7C473CB3">
            <wp:extent cx="3771900" cy="1400175"/>
            <wp:effectExtent l="0" t="0" r="0" b="0"/>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a:picLocks noChangeAspect="1"/>
                    </pic:cNvPicPr>
                  </pic:nvPicPr>
                  <pic:blipFill>
                    <a:blip r:embed="rId14"/>
                    <a:stretch>
                      <a:fillRect/>
                    </a:stretch>
                  </pic:blipFill>
                  <pic:spPr>
                    <a:xfrm>
                      <a:off x="0" y="0"/>
                      <a:ext cx="3771900" cy="1400175"/>
                    </a:xfrm>
                    <a:prstGeom prst="rect">
                      <a:avLst/>
                    </a:prstGeom>
                  </pic:spPr>
                </pic:pic>
              </a:graphicData>
            </a:graphic>
          </wp:inline>
        </w:drawing>
      </w: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A60141" w:rsidRPr="00593A5F" w14:paraId="72285C0F" w14:textId="77777777" w:rsidTr="009C3D49">
        <w:trPr>
          <w:trHeight w:val="315"/>
        </w:trPr>
        <w:tc>
          <w:tcPr>
            <w:tcW w:w="893" w:type="dxa"/>
            <w:vAlign w:val="center"/>
            <w:hideMark/>
          </w:tcPr>
          <w:p w14:paraId="0FEBB85B" w14:textId="77777777" w:rsidR="00A60141" w:rsidRPr="003751C7" w:rsidRDefault="00A60141" w:rsidP="009C3D49">
            <w:pPr>
              <w:contextualSpacing/>
              <w:rPr>
                <w:rFonts w:ascii="Verdana" w:hAnsi="Verdana" w:cs="Arial"/>
                <w:sz w:val="16"/>
                <w:szCs w:val="16"/>
                <w:lang w:val="es-ES" w:eastAsia="es-ES"/>
              </w:rPr>
            </w:pPr>
            <w:r w:rsidRPr="003751C7">
              <w:rPr>
                <w:rFonts w:ascii="Verdana" w:hAnsi="Verdana" w:cs="Arial"/>
                <w:sz w:val="16"/>
                <w:szCs w:val="16"/>
                <w:lang w:val="es-ES" w:eastAsia="es-ES"/>
              </w:rPr>
              <w:t>Elaboró:</w:t>
            </w:r>
          </w:p>
        </w:tc>
        <w:tc>
          <w:tcPr>
            <w:tcW w:w="5628" w:type="dxa"/>
            <w:tcBorders>
              <w:top w:val="nil"/>
              <w:left w:val="nil"/>
              <w:bottom w:val="dotted" w:sz="4" w:space="0" w:color="7F7F7F" w:themeColor="text1" w:themeTint="80"/>
              <w:right w:val="nil"/>
            </w:tcBorders>
            <w:vAlign w:val="center"/>
            <w:hideMark/>
          </w:tcPr>
          <w:p w14:paraId="610C2325" w14:textId="77777777" w:rsidR="00A60141" w:rsidRPr="00254A7A" w:rsidRDefault="00A60141" w:rsidP="009C3D49">
            <w:pPr>
              <w:contextualSpacing/>
              <w:rPr>
                <w:rStyle w:val="normaltextrun"/>
                <w:rFonts w:ascii="Verdana" w:hAnsi="Verdana"/>
                <w:sz w:val="16"/>
                <w:szCs w:val="16"/>
              </w:rPr>
            </w:pPr>
            <w:r w:rsidRPr="00254A7A">
              <w:rPr>
                <w:rStyle w:val="normaltextrun"/>
                <w:rFonts w:ascii="Verdana" w:hAnsi="Verdana"/>
                <w:sz w:val="16"/>
                <w:szCs w:val="16"/>
              </w:rPr>
              <w:t>Juan David Montoya Penagos</w:t>
            </w:r>
          </w:p>
          <w:p w14:paraId="29AD231A" w14:textId="77777777" w:rsidR="00A60141" w:rsidRPr="00254A7A" w:rsidRDefault="00A60141" w:rsidP="009C3D49">
            <w:pPr>
              <w:contextualSpacing/>
              <w:rPr>
                <w:rFonts w:ascii="Verdana" w:eastAsia="Arial" w:hAnsi="Verdana" w:cs="Arial"/>
                <w:sz w:val="16"/>
                <w:szCs w:val="16"/>
              </w:rPr>
            </w:pPr>
            <w:r w:rsidRPr="00254A7A">
              <w:rPr>
                <w:rStyle w:val="normaltextrun"/>
                <w:rFonts w:ascii="Verdana" w:hAnsi="Verdana"/>
                <w:sz w:val="16"/>
                <w:szCs w:val="16"/>
              </w:rPr>
              <w:lastRenderedPageBreak/>
              <w:t>Contratista de la Subdirección de Gestión Contractual</w:t>
            </w:r>
          </w:p>
        </w:tc>
      </w:tr>
      <w:tr w:rsidR="00A60141" w:rsidRPr="00593A5F" w14:paraId="50ADCC25" w14:textId="77777777" w:rsidTr="009C3D49">
        <w:trPr>
          <w:trHeight w:val="330"/>
        </w:trPr>
        <w:tc>
          <w:tcPr>
            <w:tcW w:w="893" w:type="dxa"/>
            <w:vAlign w:val="center"/>
            <w:hideMark/>
          </w:tcPr>
          <w:p w14:paraId="11608D75" w14:textId="77777777" w:rsidR="00A60141" w:rsidRPr="003751C7" w:rsidRDefault="00A60141" w:rsidP="009C3D49">
            <w:pPr>
              <w:contextualSpacing/>
              <w:rPr>
                <w:rFonts w:ascii="Verdana" w:hAnsi="Verdana" w:cs="Arial"/>
                <w:sz w:val="16"/>
                <w:szCs w:val="16"/>
                <w:lang w:val="es-ES" w:eastAsia="es-ES"/>
              </w:rPr>
            </w:pPr>
            <w:r w:rsidRPr="003751C7">
              <w:rPr>
                <w:rFonts w:ascii="Verdana" w:hAnsi="Verdana" w:cs="Arial"/>
                <w:sz w:val="16"/>
                <w:szCs w:val="16"/>
                <w:lang w:val="es-ES" w:eastAsia="es-ES"/>
              </w:rPr>
              <w:lastRenderedPageBreak/>
              <w:t>Revisó:</w:t>
            </w:r>
          </w:p>
        </w:tc>
        <w:tc>
          <w:tcPr>
            <w:tcW w:w="5628" w:type="dxa"/>
            <w:tcBorders>
              <w:top w:val="dotted" w:sz="4" w:space="0" w:color="7F7F7F" w:themeColor="text1" w:themeTint="80"/>
              <w:left w:val="nil"/>
              <w:bottom w:val="dotted" w:sz="4" w:space="0" w:color="7F7F7F" w:themeColor="text1" w:themeTint="80"/>
              <w:right w:val="nil"/>
            </w:tcBorders>
            <w:vAlign w:val="center"/>
            <w:hideMark/>
          </w:tcPr>
          <w:p w14:paraId="401F8B75" w14:textId="77777777" w:rsidR="00A60141" w:rsidRPr="00975B92" w:rsidRDefault="00A60141" w:rsidP="009C3D49">
            <w:pPr>
              <w:pStyle w:val="paragraph"/>
              <w:spacing w:after="0"/>
              <w:contextualSpacing/>
              <w:textAlignment w:val="baseline"/>
              <w:rPr>
                <w:rStyle w:val="normaltextrun"/>
                <w:rFonts w:ascii="Verdana" w:hAnsi="Verdana" w:cs="Arial"/>
                <w:sz w:val="16"/>
                <w:szCs w:val="16"/>
                <w:lang w:val="es-ES"/>
              </w:rPr>
            </w:pPr>
            <w:r w:rsidRPr="00975B92">
              <w:rPr>
                <w:rStyle w:val="normaltextrun"/>
                <w:rFonts w:ascii="Verdana" w:hAnsi="Verdana" w:cs="Arial"/>
                <w:sz w:val="16"/>
                <w:szCs w:val="16"/>
                <w:lang w:val="es-ES"/>
              </w:rPr>
              <w:t xml:space="preserve">Adriana </w:t>
            </w:r>
            <w:proofErr w:type="spellStart"/>
            <w:r w:rsidRPr="00975B92">
              <w:rPr>
                <w:rStyle w:val="normaltextrun"/>
                <w:rFonts w:ascii="Verdana" w:hAnsi="Verdana" w:cs="Arial"/>
                <w:sz w:val="16"/>
                <w:szCs w:val="16"/>
                <w:lang w:val="es-ES"/>
              </w:rPr>
              <w:t>Katerine</w:t>
            </w:r>
            <w:proofErr w:type="spellEnd"/>
            <w:r w:rsidRPr="00975B92">
              <w:rPr>
                <w:rStyle w:val="normaltextrun"/>
                <w:rFonts w:ascii="Verdana" w:hAnsi="Verdana" w:cs="Arial"/>
                <w:sz w:val="16"/>
                <w:szCs w:val="16"/>
                <w:lang w:val="es-ES"/>
              </w:rPr>
              <w:t xml:space="preserve"> López Rodríguez</w:t>
            </w:r>
          </w:p>
          <w:p w14:paraId="1535EC10" w14:textId="77777777" w:rsidR="00A60141" w:rsidRPr="00254A7A" w:rsidRDefault="00A60141" w:rsidP="009C3D49">
            <w:pPr>
              <w:pStyle w:val="paragraph"/>
              <w:spacing w:before="0" w:beforeAutospacing="0" w:after="0" w:afterAutospacing="0"/>
              <w:contextualSpacing/>
              <w:textAlignment w:val="baseline"/>
              <w:rPr>
                <w:rFonts w:ascii="Verdana" w:hAnsi="Verdana" w:cs="Segoe UI"/>
                <w:sz w:val="16"/>
                <w:szCs w:val="16"/>
              </w:rPr>
            </w:pPr>
            <w:r w:rsidRPr="00975B92">
              <w:rPr>
                <w:rStyle w:val="normaltextrun"/>
                <w:rFonts w:ascii="Verdana" w:hAnsi="Verdana" w:cs="Arial"/>
                <w:sz w:val="16"/>
                <w:szCs w:val="16"/>
                <w:lang w:val="es-ES"/>
              </w:rPr>
              <w:t>Contratista de la Subdirección de Gestión Contractua</w:t>
            </w:r>
            <w:r>
              <w:rPr>
                <w:rStyle w:val="normaltextrun"/>
                <w:rFonts w:ascii="Verdana" w:hAnsi="Verdana" w:cs="Arial"/>
                <w:sz w:val="16"/>
                <w:szCs w:val="16"/>
                <w:lang w:val="es-ES"/>
              </w:rPr>
              <w:t>l</w:t>
            </w:r>
          </w:p>
        </w:tc>
      </w:tr>
      <w:tr w:rsidR="00A60141" w:rsidRPr="00593A5F" w14:paraId="04A99319" w14:textId="77777777" w:rsidTr="009C3D49">
        <w:trPr>
          <w:trHeight w:val="300"/>
        </w:trPr>
        <w:tc>
          <w:tcPr>
            <w:tcW w:w="893" w:type="dxa"/>
            <w:vAlign w:val="center"/>
          </w:tcPr>
          <w:p w14:paraId="367D9955" w14:textId="77777777" w:rsidR="00A60141" w:rsidRPr="003751C7" w:rsidRDefault="00A60141" w:rsidP="009C3D49">
            <w:pPr>
              <w:contextualSpacing/>
              <w:rPr>
                <w:rFonts w:ascii="Verdana" w:hAnsi="Verdana" w:cs="Arial"/>
                <w:sz w:val="16"/>
                <w:szCs w:val="16"/>
                <w:lang w:val="es-ES" w:eastAsia="es-ES"/>
              </w:rPr>
            </w:pPr>
            <w:r w:rsidRPr="003751C7">
              <w:rPr>
                <w:rFonts w:ascii="Verdana" w:hAnsi="Verdana" w:cs="Arial"/>
                <w:sz w:val="16"/>
                <w:szCs w:val="16"/>
                <w:lang w:val="es-ES" w:eastAsia="es-ES"/>
              </w:rPr>
              <w:t>Aprobó:</w:t>
            </w:r>
          </w:p>
        </w:tc>
        <w:tc>
          <w:tcPr>
            <w:tcW w:w="5628" w:type="dxa"/>
            <w:tcBorders>
              <w:top w:val="dotted" w:sz="4" w:space="0" w:color="7F7F7F" w:themeColor="text1" w:themeTint="80"/>
              <w:left w:val="nil"/>
              <w:bottom w:val="dotted" w:sz="4" w:space="0" w:color="7F7F7F" w:themeColor="text1" w:themeTint="80"/>
              <w:right w:val="nil"/>
            </w:tcBorders>
            <w:vAlign w:val="center"/>
          </w:tcPr>
          <w:p w14:paraId="0B702F51" w14:textId="77777777" w:rsidR="00A60141" w:rsidRPr="003751C7" w:rsidRDefault="00A60141" w:rsidP="009C3D49">
            <w:pPr>
              <w:contextualSpacing/>
              <w:rPr>
                <w:rFonts w:ascii="Verdana" w:eastAsia="Calibri" w:hAnsi="Verdana" w:cs="Arial"/>
                <w:sz w:val="16"/>
                <w:szCs w:val="16"/>
                <w:lang w:val="pt-BR" w:eastAsia="es-ES"/>
              </w:rPr>
            </w:pPr>
            <w:r w:rsidRPr="003751C7">
              <w:rPr>
                <w:rFonts w:ascii="Verdana" w:eastAsia="Calibri" w:hAnsi="Verdana" w:cs="Arial"/>
                <w:sz w:val="16"/>
                <w:szCs w:val="16"/>
                <w:lang w:val="pt-BR" w:eastAsia="es-ES"/>
              </w:rPr>
              <w:t>Carolina Quintero Gacharná</w:t>
            </w:r>
          </w:p>
          <w:p w14:paraId="69D3FD4E" w14:textId="77777777" w:rsidR="00A60141" w:rsidRPr="003751C7" w:rsidRDefault="00A60141" w:rsidP="009C3D49">
            <w:pPr>
              <w:contextualSpacing/>
              <w:rPr>
                <w:rFonts w:ascii="Verdana" w:eastAsia="Calibri" w:hAnsi="Verdana" w:cs="Arial"/>
                <w:sz w:val="16"/>
                <w:szCs w:val="16"/>
                <w:lang w:val="pt-BR" w:eastAsia="es-ES"/>
              </w:rPr>
            </w:pPr>
            <w:r w:rsidRPr="003751C7">
              <w:rPr>
                <w:rFonts w:ascii="Verdana" w:eastAsia="Calibri" w:hAnsi="Verdana" w:cs="Arial"/>
                <w:sz w:val="16"/>
                <w:szCs w:val="16"/>
                <w:lang w:eastAsia="es-ES"/>
              </w:rPr>
              <w:t>Subdirectora</w:t>
            </w:r>
            <w:r w:rsidRPr="003751C7">
              <w:rPr>
                <w:rFonts w:ascii="Verdana" w:eastAsia="Calibri" w:hAnsi="Verdana" w:cs="Arial"/>
                <w:sz w:val="16"/>
                <w:szCs w:val="16"/>
                <w:lang w:val="pt-BR" w:eastAsia="es-ES"/>
              </w:rPr>
              <w:t xml:space="preserve"> de Gestión Contractual ANCP – CCE</w:t>
            </w:r>
          </w:p>
        </w:tc>
      </w:tr>
    </w:tbl>
    <w:p w14:paraId="787CDFEC" w14:textId="77777777" w:rsidR="00A60141" w:rsidRPr="00593A5F" w:rsidRDefault="00A60141" w:rsidP="00A60141">
      <w:pPr>
        <w:spacing w:after="0" w:line="240" w:lineRule="auto"/>
        <w:rPr>
          <w:rFonts w:ascii="Verdana" w:eastAsia="Times New Roman" w:hAnsi="Verdana" w:cs="Arial"/>
          <w:sz w:val="24"/>
          <w:szCs w:val="24"/>
          <w:lang w:eastAsia="es-ES"/>
        </w:rPr>
      </w:pPr>
    </w:p>
    <w:p w14:paraId="0F293BF4" w14:textId="7BBFAB11" w:rsidR="00127233" w:rsidRPr="0052054A" w:rsidRDefault="00127233" w:rsidP="0052054A"/>
    <w:sectPr w:rsidR="00127233" w:rsidRPr="0052054A" w:rsidSect="007C0C0F">
      <w:headerReference w:type="default" r:id="rId15"/>
      <w:footerReference w:type="default" r:id="rId16"/>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9B5FE" w14:textId="77777777" w:rsidR="00224AF8" w:rsidRDefault="00224AF8" w:rsidP="004A1847">
      <w:pPr>
        <w:spacing w:after="0" w:line="240" w:lineRule="auto"/>
      </w:pPr>
      <w:r>
        <w:separator/>
      </w:r>
    </w:p>
  </w:endnote>
  <w:endnote w:type="continuationSeparator" w:id="0">
    <w:p w14:paraId="1DD959BC" w14:textId="77777777" w:rsidR="00224AF8" w:rsidRDefault="00224AF8"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20B0604020202020204"/>
    <w:charset w:val="00"/>
    <w:family w:val="modern"/>
    <w:notTrueType/>
    <w:pitch w:val="variable"/>
    <w:sig w:usb0="A000002F" w:usb1="1000004A" w:usb2="00000000" w:usb3="00000000" w:csb0="00000193" w:csb1="00000000"/>
  </w:font>
  <w:font w:name="Geomanist">
    <w:altName w:val="Calibri"/>
    <w:panose1 w:val="020B0604020202020204"/>
    <w:charset w:val="00"/>
    <w:family w:val="modern"/>
    <w:notTrueType/>
    <w:pitch w:val="variable"/>
    <w:sig w:usb0="A000002F" w:usb1="1000004A" w:usb2="00000000" w:usb3="00000000" w:csb0="000001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manist Bold">
    <w:altName w:val="Calibri"/>
    <w:panose1 w:val="020B0604020202020204"/>
    <w:charset w:val="00"/>
    <w:family w:val="modern"/>
    <w:notTrueType/>
    <w:pitch w:val="variable"/>
    <w:sig w:usb0="A000002F" w:usb1="1000004A" w:usb2="00000000" w:usb3="00000000" w:csb0="00000193" w:csb1="00000000"/>
  </w:font>
  <w:font w:name="Geo">
    <w:altName w:val="Calibri"/>
    <w:panose1 w:val="020B0604020202020204"/>
    <w:charset w:val="00"/>
    <w:family w:val="auto"/>
    <w:pitch w:val="variable"/>
    <w:sig w:usb0="8000002F" w:usb1="40000048" w:usb2="00000000" w:usb3="00000000" w:csb0="00000001"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31675" w14:textId="77777777" w:rsidR="00224AF8" w:rsidRDefault="00224AF8" w:rsidP="004A1847">
      <w:pPr>
        <w:spacing w:after="0" w:line="240" w:lineRule="auto"/>
      </w:pPr>
      <w:r>
        <w:separator/>
      </w:r>
    </w:p>
  </w:footnote>
  <w:footnote w:type="continuationSeparator" w:id="0">
    <w:p w14:paraId="06BA21F6" w14:textId="77777777" w:rsidR="00224AF8" w:rsidRDefault="00224AF8" w:rsidP="004A1847">
      <w:pPr>
        <w:spacing w:after="0" w:line="240" w:lineRule="auto"/>
      </w:pPr>
      <w:r>
        <w:continuationSeparator/>
      </w:r>
    </w:p>
  </w:footnote>
  <w:footnote w:id="1">
    <w:p w14:paraId="57CBB47F" w14:textId="77777777" w:rsidR="00A60141" w:rsidRPr="00222802" w:rsidRDefault="00A60141" w:rsidP="00A60141">
      <w:pPr>
        <w:pStyle w:val="Textonotapie"/>
        <w:ind w:firstLine="708"/>
        <w:jc w:val="both"/>
        <w:rPr>
          <w:rFonts w:ascii="Verdana" w:hAnsi="Verdana" w:cs="Arial"/>
          <w:sz w:val="16"/>
          <w:szCs w:val="16"/>
          <w:lang w:val="es-ES"/>
        </w:rPr>
      </w:pPr>
      <w:r w:rsidRPr="00222802">
        <w:rPr>
          <w:rStyle w:val="Refdenotaalpie"/>
          <w:rFonts w:ascii="Verdana" w:hAnsi="Verdana" w:cs="Arial"/>
          <w:sz w:val="16"/>
          <w:szCs w:val="16"/>
        </w:rPr>
        <w:footnoteRef/>
      </w:r>
      <w:r w:rsidRPr="00222802">
        <w:rPr>
          <w:rFonts w:ascii="Verdana" w:hAnsi="Verdana" w:cs="Arial"/>
          <w:sz w:val="16"/>
          <w:szCs w:val="16"/>
        </w:rPr>
        <w:t xml:space="preserve"> Cfr. BENAVIDES, José Luis. El contrato estatal: entre el derecho público y el derecho privado. Segunda edición. Bogotá: Universidad Externado de Colombia, 2009. pp. 78-79.      </w:t>
      </w:r>
    </w:p>
  </w:footnote>
  <w:footnote w:id="2">
    <w:p w14:paraId="3CD861B3" w14:textId="77777777" w:rsidR="00A60141" w:rsidRPr="00222802" w:rsidRDefault="00A60141" w:rsidP="00A60141">
      <w:pPr>
        <w:pStyle w:val="Textonotapie"/>
        <w:ind w:firstLine="708"/>
        <w:jc w:val="both"/>
        <w:rPr>
          <w:rFonts w:ascii="Verdana" w:hAnsi="Verdana" w:cs="Arial"/>
          <w:sz w:val="16"/>
          <w:szCs w:val="16"/>
          <w:lang w:val="es-ES"/>
        </w:rPr>
      </w:pPr>
      <w:r w:rsidRPr="00222802">
        <w:rPr>
          <w:rStyle w:val="Refdenotaalpie"/>
          <w:rFonts w:ascii="Verdana" w:hAnsi="Verdana" w:cs="Arial"/>
          <w:sz w:val="16"/>
          <w:szCs w:val="16"/>
        </w:rPr>
        <w:footnoteRef/>
      </w:r>
      <w:r w:rsidRPr="00222802">
        <w:rPr>
          <w:rFonts w:ascii="Verdana" w:hAnsi="Verdana" w:cs="Arial"/>
          <w:sz w:val="16"/>
          <w:szCs w:val="16"/>
        </w:rPr>
        <w:t xml:space="preserve"> BETANCUR JARAMILLO, Carlos. Derecho procesal administrativo. Octava edición. Medellín: Señal Editora, 2013. p. 627. </w:t>
      </w:r>
    </w:p>
  </w:footnote>
  <w:footnote w:id="3">
    <w:p w14:paraId="5428E9A4" w14:textId="77777777" w:rsidR="00A60141" w:rsidRPr="00222802" w:rsidRDefault="00A60141" w:rsidP="00A60141">
      <w:pPr>
        <w:pStyle w:val="Textonotapie"/>
        <w:ind w:firstLine="709"/>
        <w:contextualSpacing/>
        <w:jc w:val="both"/>
        <w:rPr>
          <w:rFonts w:ascii="Verdana" w:hAnsi="Verdana" w:cs="Arial"/>
          <w:sz w:val="16"/>
          <w:szCs w:val="16"/>
        </w:rPr>
      </w:pPr>
      <w:r w:rsidRPr="00222802">
        <w:rPr>
          <w:rFonts w:ascii="Verdana" w:hAnsi="Verdana" w:cs="Arial"/>
          <w:sz w:val="16"/>
          <w:szCs w:val="16"/>
          <w:vertAlign w:val="superscript"/>
        </w:rPr>
        <w:footnoteRef/>
      </w:r>
      <w:r w:rsidRPr="00222802">
        <w:rPr>
          <w:rFonts w:ascii="Verdana" w:hAnsi="Verdana" w:cs="Arial"/>
          <w:sz w:val="16"/>
          <w:szCs w:val="16"/>
        </w:rPr>
        <w:t xml:space="preserve"> Al respecto, la jurisprudencia explica que </w:t>
      </w:r>
      <w:r>
        <w:rPr>
          <w:rFonts w:ascii="Verdana" w:hAnsi="Verdana" w:cs="Arial"/>
          <w:sz w:val="16"/>
          <w:szCs w:val="16"/>
        </w:rPr>
        <w:t>“</w:t>
      </w:r>
      <w:r w:rsidRPr="00222802">
        <w:rPr>
          <w:rFonts w:ascii="Verdana" w:hAnsi="Verdana" w:cs="Arial"/>
          <w:sz w:val="16"/>
          <w:szCs w:val="16"/>
        </w:rPr>
        <w:t>Entre las características esenciales (art. 1501 C.C.) que […] delimitan la institución, y la identifican como una relación jurídica de tenencia, se hallan las de corresponder a un negocio real, porque no se perfecciona sino por virtud de la entrega (no tanto la tradición, en sentido técnico)  de la cosa sobre la cual versa (arts. 1500 y 2200 C.C), carácter que se explica por cuanto la obligación fundamental, consiste en la restitución de la cosa por parte del comodatario al comodante; es, asimismo, una convención sustancialmente gratuita o de beneficencia</w:t>
      </w:r>
      <w:r w:rsidRPr="00222802">
        <w:rPr>
          <w:rFonts w:ascii="Verdana" w:hAnsi="Verdana" w:cs="Arial"/>
          <w:sz w:val="16"/>
          <w:szCs w:val="16"/>
          <w:lang w:val="es-ES"/>
        </w:rPr>
        <w:t xml:space="preserve"> </w:t>
      </w:r>
      <w:r w:rsidRPr="00222802">
        <w:rPr>
          <w:rFonts w:ascii="Verdana" w:hAnsi="Verdana" w:cs="Arial"/>
          <w:sz w:val="16"/>
          <w:szCs w:val="16"/>
        </w:rPr>
        <w:t xml:space="preserve">(arts. 1497 y 2200 C.C.), cuyo objeto es la utilidad de una de las partes, el prestatario o comodatario; se trata de un acto jurídico de naturaleza unilateral, en principio, porque sólo genera una obligación que grava a uno de los contratantes, esto es, la obligación de restituir la cosa, radicada en cabeza del comodatario; es un contrato principal, en la medida que </w:t>
      </w:r>
      <w:r>
        <w:rPr>
          <w:rFonts w:ascii="Verdana" w:hAnsi="Verdana" w:cs="Arial"/>
          <w:sz w:val="16"/>
          <w:szCs w:val="16"/>
        </w:rPr>
        <w:t>‘</w:t>
      </w:r>
      <w:r w:rsidRPr="00222802">
        <w:rPr>
          <w:rFonts w:ascii="Verdana" w:hAnsi="Verdana" w:cs="Arial"/>
          <w:sz w:val="16"/>
          <w:szCs w:val="16"/>
        </w:rPr>
        <w:t>no requiere de algún otro para nacer a la vida jurídica</w:t>
      </w:r>
      <w:r>
        <w:rPr>
          <w:rFonts w:ascii="Verdana" w:hAnsi="Verdana" w:cs="Arial"/>
          <w:sz w:val="16"/>
          <w:szCs w:val="16"/>
        </w:rPr>
        <w:t>’</w:t>
      </w:r>
      <w:r w:rsidRPr="00222802">
        <w:rPr>
          <w:rFonts w:ascii="Verdana" w:hAnsi="Verdana" w:cs="Arial"/>
          <w:sz w:val="16"/>
          <w:szCs w:val="16"/>
        </w:rPr>
        <w:t xml:space="preserve"> ; y, finalmente, es convenio nominado y típico, pues tiene enunciación y regulación legal</w:t>
      </w:r>
      <w:r>
        <w:rPr>
          <w:rFonts w:ascii="Verdana" w:hAnsi="Verdana" w:cs="Arial"/>
          <w:sz w:val="16"/>
          <w:szCs w:val="16"/>
        </w:rPr>
        <w:t>”</w:t>
      </w:r>
      <w:r w:rsidRPr="00222802">
        <w:rPr>
          <w:rFonts w:ascii="Verdana" w:hAnsi="Verdana" w:cs="Arial"/>
          <w:sz w:val="16"/>
          <w:szCs w:val="16"/>
        </w:rPr>
        <w:t xml:space="preserve"> (CORTE SUPREMA DE JUSTICIA. Sala de Casación Civil. Sentencia del 23 de mayo de 2018. Exp. 76001310301220080040401. M.P. Luis Armando Tolosa Villabona).</w:t>
      </w:r>
    </w:p>
  </w:footnote>
  <w:footnote w:id="4">
    <w:p w14:paraId="40981BB5" w14:textId="77777777" w:rsidR="00A60141" w:rsidRPr="00222802" w:rsidRDefault="00A60141" w:rsidP="00A60141">
      <w:pPr>
        <w:pStyle w:val="Textonotapie"/>
        <w:ind w:firstLine="708"/>
        <w:contextualSpacing/>
        <w:jc w:val="both"/>
        <w:rPr>
          <w:rFonts w:ascii="Verdana" w:hAnsi="Verdana" w:cs="Arial"/>
          <w:sz w:val="16"/>
          <w:szCs w:val="16"/>
          <w:lang w:val="es-CO"/>
        </w:rPr>
      </w:pPr>
      <w:r w:rsidRPr="00222802">
        <w:rPr>
          <w:rStyle w:val="Refdenotaalpie"/>
          <w:rFonts w:ascii="Verdana" w:hAnsi="Verdana" w:cs="Arial"/>
          <w:sz w:val="16"/>
          <w:szCs w:val="16"/>
        </w:rPr>
        <w:footnoteRef/>
      </w:r>
      <w:r w:rsidRPr="00222802">
        <w:rPr>
          <w:rFonts w:ascii="Verdana" w:hAnsi="Verdana" w:cs="Arial"/>
          <w:sz w:val="16"/>
          <w:szCs w:val="16"/>
        </w:rPr>
        <w:t xml:space="preserve"> </w:t>
      </w:r>
      <w:bookmarkStart w:id="4" w:name="2205"/>
      <w:r>
        <w:rPr>
          <w:rFonts w:ascii="Verdana" w:hAnsi="Verdana" w:cs="Arial"/>
          <w:sz w:val="16"/>
          <w:szCs w:val="16"/>
        </w:rPr>
        <w:t>“</w:t>
      </w:r>
      <w:r w:rsidRPr="00222802">
        <w:rPr>
          <w:rFonts w:ascii="Verdana" w:hAnsi="Verdana" w:cs="Arial"/>
          <w:sz w:val="16"/>
          <w:szCs w:val="16"/>
          <w:lang w:val="es-CO"/>
        </w:rPr>
        <w:t>ARTÍCULO 2205. &lt;TERMINO PARA LA RESTITUCION DE LA COSA PRESTADA&gt;.</w:t>
      </w:r>
      <w:bookmarkEnd w:id="4"/>
      <w:r w:rsidRPr="00222802">
        <w:rPr>
          <w:rFonts w:ascii="Verdana" w:hAnsi="Verdana" w:cs="Arial"/>
          <w:sz w:val="16"/>
          <w:szCs w:val="16"/>
          <w:lang w:val="es-CO"/>
        </w:rPr>
        <w:t> El comodatario es obligado a restituir la cosa prestada en el tiempo convenido, o a falta de convención, después del uso para</w:t>
      </w:r>
      <w:r>
        <w:rPr>
          <w:rFonts w:ascii="Verdana" w:hAnsi="Verdana" w:cs="Arial"/>
          <w:sz w:val="16"/>
          <w:szCs w:val="16"/>
          <w:lang w:val="es-CO"/>
        </w:rPr>
        <w:t xml:space="preserve"> </w:t>
      </w:r>
      <w:r w:rsidRPr="00222802">
        <w:rPr>
          <w:rFonts w:ascii="Verdana" w:hAnsi="Verdana" w:cs="Arial"/>
          <w:sz w:val="16"/>
          <w:szCs w:val="16"/>
          <w:lang w:val="es-CO"/>
        </w:rPr>
        <w:t>que ha sido prestada.</w:t>
      </w:r>
    </w:p>
    <w:p w14:paraId="266BD482" w14:textId="77777777" w:rsidR="00A60141" w:rsidRPr="00222802" w:rsidRDefault="00A60141" w:rsidP="00A60141">
      <w:pPr>
        <w:pStyle w:val="Textonotapie"/>
        <w:contextualSpacing/>
        <w:jc w:val="both"/>
        <w:rPr>
          <w:rFonts w:ascii="Verdana" w:hAnsi="Verdana" w:cs="Arial"/>
          <w:sz w:val="16"/>
          <w:szCs w:val="16"/>
          <w:lang w:val="es-CO"/>
        </w:rPr>
      </w:pPr>
      <w:r w:rsidRPr="00222802">
        <w:rPr>
          <w:rFonts w:ascii="Verdana" w:hAnsi="Verdana" w:cs="Arial"/>
          <w:sz w:val="16"/>
          <w:szCs w:val="16"/>
          <w:lang w:val="es-CO"/>
        </w:rPr>
        <w:t>Pero podrá exigirse la restitución aún antes del tiempo estipulado en tres casos:</w:t>
      </w:r>
    </w:p>
    <w:p w14:paraId="11C44C55" w14:textId="77777777" w:rsidR="00A60141" w:rsidRPr="00222802" w:rsidRDefault="00A60141" w:rsidP="00A60141">
      <w:pPr>
        <w:pStyle w:val="Textonotapie"/>
        <w:ind w:firstLine="708"/>
        <w:contextualSpacing/>
        <w:jc w:val="both"/>
        <w:rPr>
          <w:rFonts w:ascii="Verdana" w:hAnsi="Verdana" w:cs="Arial"/>
          <w:sz w:val="16"/>
          <w:szCs w:val="16"/>
          <w:lang w:val="es-CO"/>
        </w:rPr>
      </w:pPr>
      <w:r w:rsidRPr="00222802">
        <w:rPr>
          <w:rFonts w:ascii="Verdana" w:hAnsi="Verdana" w:cs="Arial"/>
          <w:sz w:val="16"/>
          <w:szCs w:val="16"/>
          <w:lang w:val="es-CO"/>
        </w:rPr>
        <w:t>1. Si muere el comodatario, a menos que la cosa haya sido prestada para un servicio particular que no pueda diferirse o suspenderse.</w:t>
      </w:r>
    </w:p>
    <w:p w14:paraId="32B108D6" w14:textId="77777777" w:rsidR="00A60141" w:rsidRPr="00222802" w:rsidRDefault="00A60141" w:rsidP="00A60141">
      <w:pPr>
        <w:pStyle w:val="Textonotapie"/>
        <w:ind w:firstLine="708"/>
        <w:contextualSpacing/>
        <w:jc w:val="both"/>
        <w:rPr>
          <w:rFonts w:ascii="Verdana" w:hAnsi="Verdana" w:cs="Arial"/>
          <w:sz w:val="16"/>
          <w:szCs w:val="16"/>
          <w:lang w:val="es-CO"/>
        </w:rPr>
      </w:pPr>
      <w:r w:rsidRPr="00222802">
        <w:rPr>
          <w:rFonts w:ascii="Verdana" w:hAnsi="Verdana" w:cs="Arial"/>
          <w:sz w:val="16"/>
          <w:szCs w:val="16"/>
          <w:lang w:val="es-CO"/>
        </w:rPr>
        <w:t>2. Si sobreviene al comodante una necesidad imprevista y urgente de la cosa.</w:t>
      </w:r>
    </w:p>
    <w:p w14:paraId="4CACB6CF" w14:textId="77777777" w:rsidR="00A60141" w:rsidRPr="00332CB9" w:rsidRDefault="00A60141" w:rsidP="00A60141">
      <w:pPr>
        <w:pStyle w:val="Textonotapie"/>
        <w:ind w:firstLine="708"/>
        <w:contextualSpacing/>
        <w:jc w:val="both"/>
        <w:rPr>
          <w:rFonts w:ascii="Verdana" w:hAnsi="Verdana" w:cs="Arial"/>
          <w:sz w:val="16"/>
          <w:szCs w:val="16"/>
          <w:lang w:val="es-CO"/>
        </w:rPr>
      </w:pPr>
      <w:r w:rsidRPr="00222802">
        <w:rPr>
          <w:rFonts w:ascii="Verdana" w:hAnsi="Verdana" w:cs="Arial"/>
          <w:sz w:val="16"/>
          <w:szCs w:val="16"/>
          <w:lang w:val="es-CO"/>
        </w:rPr>
        <w:t>3. Si ha terminado o no tiene lugar el servicio para el cual se ha prestado la cosa</w:t>
      </w:r>
      <w:r>
        <w:rPr>
          <w:rFonts w:ascii="Verdana" w:hAnsi="Verdana" w:cs="Arial"/>
          <w:sz w:val="16"/>
          <w:szCs w:val="16"/>
        </w:rPr>
        <w:t>”.</w:t>
      </w:r>
    </w:p>
  </w:footnote>
  <w:footnote w:id="5">
    <w:p w14:paraId="18EDFE77" w14:textId="77777777" w:rsidR="00A60141" w:rsidRPr="00222802" w:rsidRDefault="00A60141" w:rsidP="00A60141">
      <w:pPr>
        <w:pStyle w:val="Textonotapie"/>
        <w:ind w:firstLine="708"/>
        <w:contextualSpacing/>
        <w:jc w:val="both"/>
        <w:rPr>
          <w:rFonts w:ascii="Verdana" w:hAnsi="Verdana" w:cs="Arial"/>
          <w:sz w:val="16"/>
          <w:szCs w:val="16"/>
          <w:lang w:val="es-CO"/>
        </w:rPr>
      </w:pPr>
      <w:r w:rsidRPr="00222802">
        <w:rPr>
          <w:rStyle w:val="Refdenotaalpie"/>
          <w:rFonts w:ascii="Verdana" w:hAnsi="Verdana" w:cs="Arial"/>
          <w:sz w:val="16"/>
          <w:szCs w:val="16"/>
        </w:rPr>
        <w:footnoteRef/>
      </w:r>
      <w:r w:rsidRPr="00222802">
        <w:rPr>
          <w:rFonts w:ascii="Verdana" w:hAnsi="Verdana" w:cs="Arial"/>
          <w:sz w:val="16"/>
          <w:szCs w:val="16"/>
        </w:rPr>
        <w:t xml:space="preserve"> </w:t>
      </w:r>
      <w:bookmarkStart w:id="5" w:name="2202"/>
      <w:r>
        <w:rPr>
          <w:rFonts w:ascii="Verdana" w:hAnsi="Verdana" w:cs="Arial"/>
          <w:sz w:val="16"/>
          <w:szCs w:val="16"/>
        </w:rPr>
        <w:t>“</w:t>
      </w:r>
      <w:r w:rsidRPr="00222802">
        <w:rPr>
          <w:rFonts w:ascii="Verdana" w:hAnsi="Verdana" w:cs="Arial"/>
          <w:sz w:val="16"/>
          <w:szCs w:val="16"/>
          <w:lang w:val="es-CO"/>
        </w:rPr>
        <w:t>ARTÍCULO 2202. &lt;LIMITACIONES DEL COMODATARIO&gt;.</w:t>
      </w:r>
      <w:bookmarkEnd w:id="5"/>
      <w:r w:rsidRPr="00222802">
        <w:rPr>
          <w:rFonts w:ascii="Verdana" w:hAnsi="Verdana" w:cs="Arial"/>
          <w:sz w:val="16"/>
          <w:szCs w:val="16"/>
          <w:lang w:val="es-CO"/>
        </w:rPr>
        <w:t> El comodatario no puede emplear la cosa sino en el uso convenido, o falta de convención en el uso ordinario de las de su clase.</w:t>
      </w:r>
    </w:p>
    <w:p w14:paraId="7D47D7D8" w14:textId="77777777" w:rsidR="00A60141" w:rsidRPr="00332CB9" w:rsidRDefault="00A60141" w:rsidP="00A60141">
      <w:pPr>
        <w:pStyle w:val="Textonotapie"/>
        <w:ind w:firstLine="708"/>
        <w:contextualSpacing/>
        <w:jc w:val="both"/>
        <w:rPr>
          <w:rFonts w:ascii="Verdana" w:hAnsi="Verdana" w:cs="Arial"/>
          <w:sz w:val="16"/>
          <w:szCs w:val="16"/>
          <w:lang w:val="es-CO"/>
        </w:rPr>
      </w:pPr>
      <w:r w:rsidRPr="00222802">
        <w:rPr>
          <w:rFonts w:ascii="Verdana" w:hAnsi="Verdana" w:cs="Arial"/>
          <w:sz w:val="16"/>
          <w:szCs w:val="16"/>
          <w:lang w:val="es-CO"/>
        </w:rPr>
        <w:t>En el caso de contravención podrá el comodante exigir la reparación de todo perjuicio, y la restitución inmediata, aún cuando para la restitución se haya estipulado plazo</w:t>
      </w:r>
      <w:r>
        <w:rPr>
          <w:rFonts w:ascii="Verdana" w:hAnsi="Verdana" w:cs="Arial"/>
          <w:sz w:val="16"/>
          <w:szCs w:val="16"/>
        </w:rPr>
        <w:t>”.</w:t>
      </w:r>
    </w:p>
  </w:footnote>
  <w:footnote w:id="6">
    <w:p w14:paraId="483077A6" w14:textId="77777777" w:rsidR="00A60141" w:rsidRPr="00222802" w:rsidRDefault="00A60141" w:rsidP="00A60141">
      <w:pPr>
        <w:pStyle w:val="Textonotapie"/>
        <w:ind w:firstLine="708"/>
        <w:contextualSpacing/>
        <w:jc w:val="both"/>
        <w:rPr>
          <w:rFonts w:ascii="Verdana" w:hAnsi="Verdana" w:cs="Arial"/>
          <w:sz w:val="16"/>
          <w:szCs w:val="16"/>
        </w:rPr>
      </w:pPr>
      <w:r w:rsidRPr="00222802">
        <w:rPr>
          <w:rStyle w:val="Refdenotaalpie"/>
          <w:rFonts w:ascii="Verdana" w:hAnsi="Verdana" w:cs="Arial"/>
          <w:sz w:val="16"/>
          <w:szCs w:val="16"/>
        </w:rPr>
        <w:footnoteRef/>
      </w:r>
      <w:r w:rsidRPr="00222802">
        <w:rPr>
          <w:rFonts w:ascii="Verdana" w:hAnsi="Verdana" w:cs="Arial"/>
          <w:sz w:val="16"/>
          <w:szCs w:val="16"/>
        </w:rPr>
        <w:t xml:space="preserve"> CONSEJO DE ESTADO. Sala </w:t>
      </w:r>
      <w:r>
        <w:rPr>
          <w:rFonts w:ascii="Verdana" w:hAnsi="Verdana" w:cs="Arial"/>
          <w:sz w:val="16"/>
          <w:szCs w:val="16"/>
        </w:rPr>
        <w:t>d</w:t>
      </w:r>
      <w:r w:rsidRPr="00222802">
        <w:rPr>
          <w:rFonts w:ascii="Verdana" w:hAnsi="Verdana" w:cs="Arial"/>
          <w:sz w:val="16"/>
          <w:szCs w:val="16"/>
        </w:rPr>
        <w:t xml:space="preserve">e Consulta </w:t>
      </w:r>
      <w:r>
        <w:rPr>
          <w:rFonts w:ascii="Verdana" w:hAnsi="Verdana" w:cs="Arial"/>
          <w:sz w:val="16"/>
          <w:szCs w:val="16"/>
        </w:rPr>
        <w:t>y</w:t>
      </w:r>
      <w:r w:rsidRPr="00222802">
        <w:rPr>
          <w:rFonts w:ascii="Verdana" w:hAnsi="Verdana" w:cs="Arial"/>
          <w:sz w:val="16"/>
          <w:szCs w:val="16"/>
        </w:rPr>
        <w:t xml:space="preserve"> Servicio Civil. Concepto del 24 de julio de 2003. Radicación 1.510. C.P. Susana Montes de Echeverri. En torno a este tema, se han desarrollado los siguientes pronunciamientos: Conceptos Nos. 726/95; 994/97; 1017/97;1077/98; 1129/98.</w:t>
      </w:r>
    </w:p>
  </w:footnote>
  <w:footnote w:id="7">
    <w:p w14:paraId="066AF0A7" w14:textId="77777777" w:rsidR="00A60141" w:rsidRPr="00222802" w:rsidRDefault="00A60141" w:rsidP="00A60141">
      <w:pPr>
        <w:pStyle w:val="Textonotapie"/>
        <w:ind w:firstLine="708"/>
        <w:contextualSpacing/>
        <w:jc w:val="both"/>
        <w:rPr>
          <w:rFonts w:ascii="Verdana" w:hAnsi="Verdana" w:cs="Arial"/>
          <w:sz w:val="16"/>
          <w:szCs w:val="16"/>
          <w:lang w:val="es-ES"/>
        </w:rPr>
      </w:pPr>
      <w:r w:rsidRPr="00222802">
        <w:rPr>
          <w:rStyle w:val="Refdenotaalpie"/>
          <w:rFonts w:ascii="Verdana" w:hAnsi="Verdana" w:cs="Arial"/>
          <w:sz w:val="16"/>
          <w:szCs w:val="16"/>
        </w:rPr>
        <w:footnoteRef/>
      </w:r>
      <w:r w:rsidRPr="00222802">
        <w:rPr>
          <w:rFonts w:ascii="Verdana" w:hAnsi="Verdana" w:cs="Arial"/>
          <w:sz w:val="16"/>
          <w:szCs w:val="16"/>
        </w:rPr>
        <w:t xml:space="preserve"> CORTE SUPREMA DE JUSTICIA. Sala de </w:t>
      </w:r>
      <w:r>
        <w:rPr>
          <w:rFonts w:ascii="Verdana" w:hAnsi="Verdana" w:cs="Arial"/>
          <w:sz w:val="16"/>
          <w:szCs w:val="16"/>
        </w:rPr>
        <w:t>C</w:t>
      </w:r>
      <w:r w:rsidRPr="00222802">
        <w:rPr>
          <w:rFonts w:ascii="Verdana" w:hAnsi="Verdana" w:cs="Arial"/>
          <w:sz w:val="16"/>
          <w:szCs w:val="16"/>
        </w:rPr>
        <w:t xml:space="preserve">asación </w:t>
      </w:r>
      <w:r>
        <w:rPr>
          <w:rFonts w:ascii="Verdana" w:hAnsi="Verdana" w:cs="Arial"/>
          <w:sz w:val="16"/>
          <w:szCs w:val="16"/>
        </w:rPr>
        <w:t>C</w:t>
      </w:r>
      <w:r w:rsidRPr="00222802">
        <w:rPr>
          <w:rFonts w:ascii="Verdana" w:hAnsi="Verdana" w:cs="Arial"/>
          <w:sz w:val="16"/>
          <w:szCs w:val="16"/>
        </w:rPr>
        <w:t xml:space="preserve">ivil. Sentencia del 4 de agosto de 2008. Exp. 68001310300920000071001. M.P. Edgardo Villamil Portilla.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4D03" w14:textId="0903BF04" w:rsidR="00756841" w:rsidRDefault="009D3058">
    <w:pPr>
      <w:pStyle w:val="Encabezado"/>
    </w:pPr>
    <w:r>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0.75pt;height:10.75pt" o:bullet="t">
        <v:imagedata r:id="rId1" o:title="mso1B13"/>
      </v:shape>
    </w:pict>
  </w:numPicBullet>
  <w:abstractNum w:abstractNumId="0" w15:restartNumberingAfterBreak="0">
    <w:nsid w:val="01C06310"/>
    <w:multiLevelType w:val="multilevel"/>
    <w:tmpl w:val="47FE4C7E"/>
    <w:lvl w:ilvl="0">
      <w:start w:val="1"/>
      <w:numFmt w:val="upperRoman"/>
      <w:lvlText w:val="%1."/>
      <w:lvlJc w:val="right"/>
      <w:pPr>
        <w:ind w:left="1068" w:hanging="360"/>
      </w:pPr>
      <w:rPr>
        <w:b/>
        <w:color w:val="000000" w:themeColor="text1"/>
      </w:rPr>
    </w:lvl>
    <w:lvl w:ilvl="1">
      <w:start w:val="2"/>
      <w:numFmt w:val="decimal"/>
      <w:isLgl/>
      <w:lvlText w:val="%1.%2"/>
      <w:lvlJc w:val="left"/>
      <w:pPr>
        <w:ind w:left="70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0" w15:restartNumberingAfterBreak="0">
    <w:nsid w:val="44856BAC"/>
    <w:multiLevelType w:val="hybridMultilevel"/>
    <w:tmpl w:val="FE269584"/>
    <w:lvl w:ilvl="0" w:tplc="A4C23EA4">
      <w:start w:val="1"/>
      <w:numFmt w:val="bullet"/>
      <w:lvlText w:val="-"/>
      <w:lvlJc w:val="left"/>
      <w:pPr>
        <w:tabs>
          <w:tab w:val="num" w:pos="720"/>
        </w:tabs>
        <w:ind w:left="720" w:hanging="360"/>
      </w:pPr>
      <w:rPr>
        <w:rFonts w:ascii="Times New Roman" w:eastAsia="Times New Roman" w:hAnsi="Times New Roman" w:cs="Times New Roman" w:hint="default"/>
      </w:rPr>
    </w:lvl>
    <w:lvl w:ilvl="1" w:tplc="240A000F">
      <w:start w:val="1"/>
      <w:numFmt w:val="decimal"/>
      <w:lvlText w:val="%2."/>
      <w:lvlJc w:val="left"/>
      <w:pPr>
        <w:tabs>
          <w:tab w:val="num" w:pos="1440"/>
        </w:tabs>
        <w:ind w:left="1440" w:hanging="360"/>
      </w:p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2"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6"/>
  </w:num>
  <w:num w:numId="2" w16cid:durableId="19822139">
    <w:abstractNumId w:val="2"/>
  </w:num>
  <w:num w:numId="3" w16cid:durableId="876742304">
    <w:abstractNumId w:val="4"/>
  </w:num>
  <w:num w:numId="4" w16cid:durableId="2451864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4"/>
  </w:num>
  <w:num w:numId="7" w16cid:durableId="1946422806">
    <w:abstractNumId w:val="5"/>
  </w:num>
  <w:num w:numId="8" w16cid:durableId="152644682">
    <w:abstractNumId w:val="13"/>
  </w:num>
  <w:num w:numId="9" w16cid:durableId="1317221377">
    <w:abstractNumId w:val="7"/>
  </w:num>
  <w:num w:numId="10" w16cid:durableId="1471245386">
    <w:abstractNumId w:val="12"/>
  </w:num>
  <w:num w:numId="11" w16cid:durableId="289172385">
    <w:abstractNumId w:val="8"/>
  </w:num>
  <w:num w:numId="12" w16cid:durableId="1470781324">
    <w:abstractNumId w:val="1"/>
  </w:num>
  <w:num w:numId="13" w16cid:durableId="1512908409">
    <w:abstractNumId w:val="3"/>
  </w:num>
  <w:num w:numId="14" w16cid:durableId="895897244">
    <w:abstractNumId w:val="15"/>
  </w:num>
  <w:num w:numId="15" w16cid:durableId="390349800">
    <w:abstractNumId w:val="11"/>
  </w:num>
  <w:num w:numId="16" w16cid:durableId="59926431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3031636">
    <w:abstractNumId w:val="10"/>
    <w:lvlOverride w:ilvl="0"/>
    <w:lvlOverride w:ilvl="1">
      <w:startOverride w:val="1"/>
    </w:lvlOverride>
    <w:lvlOverride w:ilvl="2"/>
    <w:lvlOverride w:ilvl="3"/>
    <w:lvlOverride w:ilvl="4"/>
    <w:lvlOverride w:ilvl="5"/>
    <w:lvlOverride w:ilvl="6"/>
    <w:lvlOverride w:ilvl="7"/>
    <w:lvlOverride w:ilvl="8"/>
  </w:num>
  <w:num w:numId="18" w16cid:durableId="496729196">
    <w:abstractNumId w:val="9"/>
  </w:num>
  <w:num w:numId="19" w16cid:durableId="1330140246">
    <w:abstractNumId w:val="0"/>
  </w:num>
  <w:num w:numId="20" w16cid:durableId="679089576">
    <w:abstractNumId w:val="9"/>
  </w:num>
  <w:num w:numId="21" w16cid:durableId="658970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61B2A"/>
    <w:rsid w:val="00082362"/>
    <w:rsid w:val="000A683E"/>
    <w:rsid w:val="000B0A2E"/>
    <w:rsid w:val="000B19B9"/>
    <w:rsid w:val="000D0334"/>
    <w:rsid w:val="000F6486"/>
    <w:rsid w:val="00125105"/>
    <w:rsid w:val="00127233"/>
    <w:rsid w:val="001E4177"/>
    <w:rsid w:val="001F7DC6"/>
    <w:rsid w:val="00201BD9"/>
    <w:rsid w:val="00224AF8"/>
    <w:rsid w:val="002421BB"/>
    <w:rsid w:val="0025796E"/>
    <w:rsid w:val="002707A2"/>
    <w:rsid w:val="002951A0"/>
    <w:rsid w:val="002962BC"/>
    <w:rsid w:val="002A093D"/>
    <w:rsid w:val="002A0DD0"/>
    <w:rsid w:val="002A49AC"/>
    <w:rsid w:val="002A64FD"/>
    <w:rsid w:val="002C5078"/>
    <w:rsid w:val="002C7A84"/>
    <w:rsid w:val="002E4FD9"/>
    <w:rsid w:val="00322A85"/>
    <w:rsid w:val="00324168"/>
    <w:rsid w:val="003448F4"/>
    <w:rsid w:val="00374F5E"/>
    <w:rsid w:val="00377E3E"/>
    <w:rsid w:val="003A13F3"/>
    <w:rsid w:val="003A26D1"/>
    <w:rsid w:val="003A779E"/>
    <w:rsid w:val="003B3CBC"/>
    <w:rsid w:val="003D0F4D"/>
    <w:rsid w:val="003D5B0D"/>
    <w:rsid w:val="003E0499"/>
    <w:rsid w:val="003F3941"/>
    <w:rsid w:val="00406575"/>
    <w:rsid w:val="0042722E"/>
    <w:rsid w:val="0044528D"/>
    <w:rsid w:val="004566B0"/>
    <w:rsid w:val="004955DB"/>
    <w:rsid w:val="004A1847"/>
    <w:rsid w:val="004A305D"/>
    <w:rsid w:val="004D11AC"/>
    <w:rsid w:val="004F21C4"/>
    <w:rsid w:val="004F685F"/>
    <w:rsid w:val="00517F2F"/>
    <w:rsid w:val="0052054A"/>
    <w:rsid w:val="005566E8"/>
    <w:rsid w:val="00566170"/>
    <w:rsid w:val="00574867"/>
    <w:rsid w:val="00574AA1"/>
    <w:rsid w:val="00591460"/>
    <w:rsid w:val="00592628"/>
    <w:rsid w:val="005C3777"/>
    <w:rsid w:val="005C5CDC"/>
    <w:rsid w:val="005D476C"/>
    <w:rsid w:val="00610812"/>
    <w:rsid w:val="006219F8"/>
    <w:rsid w:val="00650FF7"/>
    <w:rsid w:val="00665D70"/>
    <w:rsid w:val="00671DAC"/>
    <w:rsid w:val="006900D9"/>
    <w:rsid w:val="006D12F8"/>
    <w:rsid w:val="006E0A29"/>
    <w:rsid w:val="00706C16"/>
    <w:rsid w:val="00756841"/>
    <w:rsid w:val="007649AB"/>
    <w:rsid w:val="00771D0C"/>
    <w:rsid w:val="007833AC"/>
    <w:rsid w:val="00790E69"/>
    <w:rsid w:val="007B268C"/>
    <w:rsid w:val="007B7171"/>
    <w:rsid w:val="007C0C0F"/>
    <w:rsid w:val="007C347C"/>
    <w:rsid w:val="007C3DC2"/>
    <w:rsid w:val="007E22CC"/>
    <w:rsid w:val="007E5497"/>
    <w:rsid w:val="00806F5F"/>
    <w:rsid w:val="00820278"/>
    <w:rsid w:val="00845F22"/>
    <w:rsid w:val="008843B6"/>
    <w:rsid w:val="00891928"/>
    <w:rsid w:val="008A446D"/>
    <w:rsid w:val="008D180B"/>
    <w:rsid w:val="008F0EA7"/>
    <w:rsid w:val="00923EEF"/>
    <w:rsid w:val="009419F9"/>
    <w:rsid w:val="00942F9D"/>
    <w:rsid w:val="0095685E"/>
    <w:rsid w:val="00961B09"/>
    <w:rsid w:val="00965334"/>
    <w:rsid w:val="0097093E"/>
    <w:rsid w:val="009A0DFA"/>
    <w:rsid w:val="009B2D26"/>
    <w:rsid w:val="009C05D3"/>
    <w:rsid w:val="009C71FA"/>
    <w:rsid w:val="009C72E7"/>
    <w:rsid w:val="009D3058"/>
    <w:rsid w:val="009D6769"/>
    <w:rsid w:val="009F3A13"/>
    <w:rsid w:val="00A122D3"/>
    <w:rsid w:val="00A17F13"/>
    <w:rsid w:val="00A20739"/>
    <w:rsid w:val="00A33C78"/>
    <w:rsid w:val="00A60141"/>
    <w:rsid w:val="00A9274D"/>
    <w:rsid w:val="00AB0ADB"/>
    <w:rsid w:val="00B01B1A"/>
    <w:rsid w:val="00B72CD3"/>
    <w:rsid w:val="00B72FFF"/>
    <w:rsid w:val="00BC3D36"/>
    <w:rsid w:val="00BD7F72"/>
    <w:rsid w:val="00C04FB3"/>
    <w:rsid w:val="00C330EB"/>
    <w:rsid w:val="00C66295"/>
    <w:rsid w:val="00C754BE"/>
    <w:rsid w:val="00C76B1C"/>
    <w:rsid w:val="00CB6357"/>
    <w:rsid w:val="00CC1B26"/>
    <w:rsid w:val="00CF6311"/>
    <w:rsid w:val="00D35637"/>
    <w:rsid w:val="00D423A2"/>
    <w:rsid w:val="00D520D8"/>
    <w:rsid w:val="00D63AC2"/>
    <w:rsid w:val="00D7383B"/>
    <w:rsid w:val="00D97986"/>
    <w:rsid w:val="00DA231B"/>
    <w:rsid w:val="00DA23A0"/>
    <w:rsid w:val="00DC39FC"/>
    <w:rsid w:val="00DF5254"/>
    <w:rsid w:val="00E16408"/>
    <w:rsid w:val="00E20894"/>
    <w:rsid w:val="00E245AB"/>
    <w:rsid w:val="00E2764C"/>
    <w:rsid w:val="00E27F2E"/>
    <w:rsid w:val="00E413EA"/>
    <w:rsid w:val="00E50AFE"/>
    <w:rsid w:val="00E75C92"/>
    <w:rsid w:val="00E771DC"/>
    <w:rsid w:val="00E8772A"/>
    <w:rsid w:val="00E90F6B"/>
    <w:rsid w:val="00E92C27"/>
    <w:rsid w:val="00EA0E3D"/>
    <w:rsid w:val="00EB65F6"/>
    <w:rsid w:val="00EC38A7"/>
    <w:rsid w:val="00EE1AA8"/>
    <w:rsid w:val="00EE3501"/>
    <w:rsid w:val="00F17557"/>
    <w:rsid w:val="00F31EDC"/>
    <w:rsid w:val="00F41576"/>
    <w:rsid w:val="00F462B3"/>
    <w:rsid w:val="00F5664F"/>
    <w:rsid w:val="00F666C4"/>
    <w:rsid w:val="00F76AFC"/>
    <w:rsid w:val="00FA47C0"/>
    <w:rsid w:val="00FB49A7"/>
    <w:rsid w:val="00FB5DD1"/>
    <w:rsid w:val="00FC2B5D"/>
    <w:rsid w:val="00FF1449"/>
    <w:rsid w:val="5CEAD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 w:type="paragraph" w:customStyle="1" w:styleId="Appelnotedebasde">
    <w:name w:val="Appel note de bas de..."/>
    <w:basedOn w:val="Normal"/>
    <w:link w:val="Refdenotaalpie"/>
    <w:uiPriority w:val="99"/>
    <w:rsid w:val="00A60141"/>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A60141"/>
    <w:rPr>
      <w:rFonts w:ascii="Geomanist Light" w:hAnsi="Geomanist Light"/>
      <w:lang w:val="es-ES"/>
    </w:rPr>
  </w:style>
  <w:style w:type="paragraph" w:styleId="Textoindependiente">
    <w:name w:val="Body Text"/>
    <w:basedOn w:val="Normal"/>
    <w:link w:val="TextoindependienteCar"/>
    <w:uiPriority w:val="99"/>
    <w:unhideWhenUsed/>
    <w:rsid w:val="00A60141"/>
    <w:pPr>
      <w:spacing w:after="120" w:line="276" w:lineRule="auto"/>
    </w:pPr>
    <w:rPr>
      <w:rFonts w:eastAsiaTheme="minorEastAsia"/>
      <w:lang w:eastAsia="es-CO"/>
    </w:rPr>
  </w:style>
  <w:style w:type="character" w:customStyle="1" w:styleId="TextoindependienteCar">
    <w:name w:val="Texto independiente Car"/>
    <w:basedOn w:val="Fuentedeprrafopredeter"/>
    <w:link w:val="Textoindependiente"/>
    <w:uiPriority w:val="99"/>
    <w:rsid w:val="00A60141"/>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9471">
      <w:bodyDiv w:val="1"/>
      <w:marLeft w:val="0"/>
      <w:marRight w:val="0"/>
      <w:marTop w:val="0"/>
      <w:marBottom w:val="0"/>
      <w:divBdr>
        <w:top w:val="none" w:sz="0" w:space="0" w:color="auto"/>
        <w:left w:val="none" w:sz="0" w:space="0" w:color="auto"/>
        <w:bottom w:val="none" w:sz="0" w:space="0" w:color="auto"/>
        <w:right w:val="none" w:sz="0" w:space="0" w:color="auto"/>
      </w:divBdr>
    </w:div>
    <w:div w:id="203835437">
      <w:bodyDiv w:val="1"/>
      <w:marLeft w:val="0"/>
      <w:marRight w:val="0"/>
      <w:marTop w:val="0"/>
      <w:marBottom w:val="0"/>
      <w:divBdr>
        <w:top w:val="none" w:sz="0" w:space="0" w:color="auto"/>
        <w:left w:val="none" w:sz="0" w:space="0" w:color="auto"/>
        <w:bottom w:val="none" w:sz="0" w:space="0" w:color="auto"/>
        <w:right w:val="none" w:sz="0" w:space="0" w:color="auto"/>
      </w:divBdr>
    </w:div>
    <w:div w:id="372584100">
      <w:bodyDiv w:val="1"/>
      <w:marLeft w:val="0"/>
      <w:marRight w:val="0"/>
      <w:marTop w:val="0"/>
      <w:marBottom w:val="0"/>
      <w:divBdr>
        <w:top w:val="none" w:sz="0" w:space="0" w:color="auto"/>
        <w:left w:val="none" w:sz="0" w:space="0" w:color="auto"/>
        <w:bottom w:val="none" w:sz="0" w:space="0" w:color="auto"/>
        <w:right w:val="none" w:sz="0" w:space="0" w:color="auto"/>
      </w:divBdr>
    </w:div>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828248822">
      <w:bodyDiv w:val="1"/>
      <w:marLeft w:val="0"/>
      <w:marRight w:val="0"/>
      <w:marTop w:val="0"/>
      <w:marBottom w:val="0"/>
      <w:divBdr>
        <w:top w:val="none" w:sz="0" w:space="0" w:color="auto"/>
        <w:left w:val="none" w:sz="0" w:space="0" w:color="auto"/>
        <w:bottom w:val="none" w:sz="0" w:space="0" w:color="auto"/>
        <w:right w:val="none" w:sz="0" w:space="0" w:color="auto"/>
      </w:divBdr>
    </w:div>
    <w:div w:id="1085031244">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1343514720">
      <w:bodyDiv w:val="1"/>
      <w:marLeft w:val="0"/>
      <w:marRight w:val="0"/>
      <w:marTop w:val="0"/>
      <w:marBottom w:val="0"/>
      <w:divBdr>
        <w:top w:val="none" w:sz="0" w:space="0" w:color="auto"/>
        <w:left w:val="none" w:sz="0" w:space="0" w:color="auto"/>
        <w:bottom w:val="none" w:sz="0" w:space="0" w:color="auto"/>
        <w:right w:val="none" w:sz="0" w:space="0" w:color="auto"/>
      </w:divBdr>
    </w:div>
    <w:div w:id="1920482279">
      <w:bodyDiv w:val="1"/>
      <w:marLeft w:val="0"/>
      <w:marRight w:val="0"/>
      <w:marTop w:val="0"/>
      <w:marBottom w:val="0"/>
      <w:divBdr>
        <w:top w:val="none" w:sz="0" w:space="0" w:color="auto"/>
        <w:left w:val="none" w:sz="0" w:space="0" w:color="auto"/>
        <w:bottom w:val="none" w:sz="0" w:space="0" w:color="auto"/>
        <w:right w:val="none" w:sz="0" w:space="0" w:color="auto"/>
      </w:divBdr>
    </w:div>
    <w:div w:id="2003848616">
      <w:bodyDiv w:val="1"/>
      <w:marLeft w:val="0"/>
      <w:marRight w:val="0"/>
      <w:marTop w:val="0"/>
      <w:marBottom w:val="0"/>
      <w:divBdr>
        <w:top w:val="none" w:sz="0" w:space="0" w:color="auto"/>
        <w:left w:val="none" w:sz="0" w:space="0" w:color="auto"/>
        <w:bottom w:val="none" w:sz="0" w:space="0" w:color="auto"/>
        <w:right w:val="none" w:sz="0" w:space="0" w:color="auto"/>
      </w:divBdr>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www.colombiacompra.gov.co%2Fsala-de-prensa%2Fboletin-digital&amp;data=05%7C02%7Cjuan.montoya%40colombiacompra.gov.co%7C096eca3fdcca424ff1c708dcf932f947%7C7b09041e245149d08cb179d5e3d8c1be%7C0%7C0%7C638659244563402756%7CUnknown%7CTWFpbGZsb3d8eyJWIjoiMC4wLjAwMDAiLCJQIjoiV2luMzIiLCJBTiI6Ik1haWwiLCJXVCI6Mn0%3D%7C0%7C%7C%7C&amp;sdata=ziaTaUr4px%2Bi6BnUSLwY1aQyDb82MVgoD4NV6LS6tDk%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latoria.colombiacompra.gov.co/busqueda/concepto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sarrollosocial@armenia.gov.c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cb9e4b-f1d1-4245-83ec-6cad768d538a">
      <UserInfo>
        <DisplayName>Poxta IOIP</DisplayName>
        <AccountId>719</AccountId>
        <AccountType/>
      </UserInfo>
    </SharedWithUsers>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7A406-AB98-4788-ACEB-C820C5F09478}"/>
</file>

<file path=customXml/itemProps2.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8ae15d26-076e-464e-81a7-6f76a0fb3917"/>
    <ds:schemaRef ds:uri="36c82cfe-0eda-494d-b392-a9281b89aaf0"/>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3933</Words>
  <Characters>21635</Characters>
  <Application>Microsoft Office Word</Application>
  <DocSecurity>0</DocSecurity>
  <Lines>180</Lines>
  <Paragraphs>51</Paragraphs>
  <ScaleCrop>false</ScaleCrop>
  <Company/>
  <LinksUpToDate>false</LinksUpToDate>
  <CharactersWithSpaces>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Joan Montoya Penagos</cp:lastModifiedBy>
  <cp:revision>5</cp:revision>
  <cp:lastPrinted>2023-01-10T21:18:00Z</cp:lastPrinted>
  <dcterms:created xsi:type="dcterms:W3CDTF">2024-12-11T21:04:00Z</dcterms:created>
  <dcterms:modified xsi:type="dcterms:W3CDTF">2024-12-12T22:17:00Z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