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ACC3" w14:textId="77777777" w:rsidR="005145C2" w:rsidRPr="00396DBB" w:rsidRDefault="005145C2" w:rsidP="005145C2">
      <w:pPr>
        <w:pStyle w:val="Textoindependiente"/>
        <w:spacing w:after="0" w:line="240" w:lineRule="auto"/>
        <w:ind w:right="102"/>
        <w:jc w:val="both"/>
        <w:rPr>
          <w:rFonts w:ascii="Verdana" w:hAnsi="Verdana" w:cs="Arial"/>
          <w:b/>
          <w:color w:val="000000" w:themeColor="text1"/>
          <w:sz w:val="20"/>
          <w:szCs w:val="20"/>
          <w:lang w:val="es-ES_tradnl"/>
        </w:rPr>
      </w:pPr>
    </w:p>
    <w:p w14:paraId="04E865B2" w14:textId="77777777" w:rsidR="005145C2" w:rsidRPr="00396DBB" w:rsidRDefault="005145C2" w:rsidP="005145C2">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SELECCIÓN ABREVIADA</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Marco normativo</w:t>
      </w:r>
      <w:r w:rsidRPr="00396DBB">
        <w:rPr>
          <w:rFonts w:ascii="Verdana" w:hAnsi="Verdana" w:cs="Arial"/>
          <w:b/>
          <w:color w:val="000000" w:themeColor="text1"/>
          <w:lang w:val="es-ES_tradnl"/>
        </w:rPr>
        <w:t xml:space="preserve"> </w:t>
      </w:r>
    </w:p>
    <w:p w14:paraId="6292219F" w14:textId="77777777" w:rsidR="005145C2" w:rsidRPr="00396DBB" w:rsidRDefault="005145C2" w:rsidP="005145C2">
      <w:pPr>
        <w:pStyle w:val="Textoindependiente"/>
        <w:spacing w:after="0" w:line="240" w:lineRule="auto"/>
        <w:ind w:right="102"/>
        <w:jc w:val="both"/>
        <w:rPr>
          <w:rFonts w:ascii="Verdana" w:hAnsi="Verdana" w:cs="Arial"/>
          <w:color w:val="000000" w:themeColor="text1"/>
          <w:sz w:val="20"/>
          <w:szCs w:val="20"/>
          <w:lang w:val="es-ES_tradnl"/>
        </w:rPr>
      </w:pPr>
    </w:p>
    <w:p w14:paraId="1B20C74D" w14:textId="77777777" w:rsidR="005145C2" w:rsidRDefault="005145C2" w:rsidP="005145C2">
      <w:pPr>
        <w:spacing w:after="0" w:line="240" w:lineRule="auto"/>
        <w:jc w:val="both"/>
        <w:rPr>
          <w:rFonts w:ascii="Verdana" w:eastAsia="Arial" w:hAnsi="Verdana" w:cs="Arial"/>
          <w:color w:val="000000" w:themeColor="text1"/>
          <w:sz w:val="20"/>
          <w:szCs w:val="20"/>
        </w:rPr>
      </w:pPr>
      <w:r w:rsidRPr="00C371AB">
        <w:rPr>
          <w:rFonts w:ascii="Verdana" w:eastAsia="Arial" w:hAnsi="Verdana" w:cs="Arial"/>
          <w:bCs/>
          <w:color w:val="000000" w:themeColor="text1"/>
          <w:sz w:val="20"/>
          <w:szCs w:val="20"/>
          <w:lang w:val="es-MX"/>
        </w:rPr>
        <w:t xml:space="preserve">Respecto a la selección abreviada, </w:t>
      </w:r>
      <w:r w:rsidRPr="00C371AB">
        <w:rPr>
          <w:rFonts w:ascii="Verdana" w:eastAsia="Arial" w:hAnsi="Verdana" w:cs="Arial"/>
          <w:color w:val="000000" w:themeColor="text1"/>
          <w:sz w:val="20"/>
          <w:szCs w:val="20"/>
        </w:rPr>
        <w:t xml:space="preserve">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 </w:t>
      </w:r>
    </w:p>
    <w:p w14:paraId="538A9616" w14:textId="77777777" w:rsidR="005145C2" w:rsidRPr="00C371AB" w:rsidRDefault="005145C2" w:rsidP="005145C2">
      <w:pPr>
        <w:spacing w:after="0" w:line="240" w:lineRule="auto"/>
        <w:jc w:val="both"/>
        <w:rPr>
          <w:rFonts w:ascii="Verdana" w:eastAsia="Arial" w:hAnsi="Verdana" w:cs="Arial"/>
          <w:color w:val="000000" w:themeColor="text1"/>
          <w:sz w:val="20"/>
          <w:szCs w:val="20"/>
        </w:rPr>
      </w:pPr>
    </w:p>
    <w:p w14:paraId="06AC9DEA" w14:textId="77777777" w:rsidR="005145C2" w:rsidRDefault="005145C2" w:rsidP="005145C2">
      <w:pPr>
        <w:spacing w:after="0" w:line="240" w:lineRule="auto"/>
        <w:jc w:val="both"/>
        <w:rPr>
          <w:rFonts w:ascii="Verdana" w:eastAsia="Arial" w:hAnsi="Verdana" w:cs="Arial"/>
          <w:color w:val="000000" w:themeColor="text1"/>
          <w:sz w:val="20"/>
          <w:szCs w:val="20"/>
        </w:rPr>
      </w:pPr>
      <w:r w:rsidRPr="00C371AB">
        <w:rPr>
          <w:rFonts w:ascii="Verdana" w:eastAsia="Arial" w:hAnsi="Verdana" w:cs="Arial"/>
          <w:color w:val="000000" w:themeColor="text1"/>
          <w:sz w:val="20"/>
          <w:szCs w:val="20"/>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r>
        <w:rPr>
          <w:rFonts w:ascii="Verdana" w:eastAsia="Arial" w:hAnsi="Verdana" w:cs="Arial"/>
          <w:color w:val="000000" w:themeColor="text1"/>
          <w:sz w:val="20"/>
          <w:szCs w:val="20"/>
        </w:rPr>
        <w:t>.</w:t>
      </w:r>
    </w:p>
    <w:p w14:paraId="2732DE45" w14:textId="77777777" w:rsidR="005145C2" w:rsidRDefault="005145C2" w:rsidP="005145C2">
      <w:pPr>
        <w:spacing w:after="0" w:line="240" w:lineRule="auto"/>
        <w:jc w:val="both"/>
        <w:rPr>
          <w:rFonts w:ascii="Verdana" w:eastAsia="Arial" w:hAnsi="Verdana" w:cs="Arial"/>
          <w:color w:val="000000" w:themeColor="text1"/>
          <w:sz w:val="20"/>
          <w:szCs w:val="20"/>
        </w:rPr>
      </w:pPr>
    </w:p>
    <w:p w14:paraId="6585C2BF" w14:textId="77777777" w:rsidR="005145C2" w:rsidRPr="00FB1576" w:rsidRDefault="005145C2" w:rsidP="005145C2">
      <w:pPr>
        <w:spacing w:after="0" w:line="240" w:lineRule="auto"/>
        <w:jc w:val="both"/>
        <w:rPr>
          <w:rFonts w:ascii="Verdana" w:eastAsia="Arial" w:hAnsi="Verdana" w:cs="Arial"/>
          <w:color w:val="000000" w:themeColor="text1"/>
          <w:sz w:val="20"/>
          <w:szCs w:val="20"/>
        </w:rPr>
      </w:pPr>
      <w:r w:rsidRPr="00C371AB">
        <w:rPr>
          <w:rFonts w:ascii="Verdana" w:eastAsia="Arial" w:hAnsi="Verdana" w:cs="Arial"/>
          <w:color w:val="000000" w:themeColor="text1"/>
          <w:sz w:val="20"/>
          <w:szCs w:val="20"/>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Pr>
          <w:rFonts w:ascii="Verdana" w:eastAsia="Arial" w:hAnsi="Verdana" w:cs="Arial"/>
          <w:color w:val="000000" w:themeColor="text1"/>
          <w:sz w:val="20"/>
          <w:szCs w:val="20"/>
        </w:rPr>
        <w:t>.</w:t>
      </w:r>
      <w:r w:rsidRPr="00FB1576">
        <w:rPr>
          <w:rFonts w:ascii="Verdana" w:eastAsia="Arial" w:hAnsi="Verdana" w:cs="Arial"/>
          <w:color w:val="000000" w:themeColor="text1"/>
          <w:sz w:val="20"/>
          <w:szCs w:val="20"/>
        </w:rPr>
        <w:t xml:space="preserve"> </w:t>
      </w:r>
    </w:p>
    <w:p w14:paraId="578D16BE" w14:textId="77777777" w:rsidR="005145C2" w:rsidRPr="00396DBB" w:rsidRDefault="005145C2" w:rsidP="005145C2">
      <w:pPr>
        <w:spacing w:after="0" w:line="240" w:lineRule="auto"/>
        <w:jc w:val="both"/>
        <w:rPr>
          <w:rFonts w:ascii="Verdana" w:eastAsia="Calibri" w:hAnsi="Verdana" w:cs="Arial"/>
          <w:b/>
          <w:color w:val="000000" w:themeColor="text1"/>
          <w:lang w:val="es-ES_tradnl"/>
        </w:rPr>
      </w:pPr>
    </w:p>
    <w:p w14:paraId="5AAE4C71" w14:textId="77777777" w:rsidR="005145C2" w:rsidRPr="00396DBB" w:rsidRDefault="005145C2" w:rsidP="005145C2">
      <w:pPr>
        <w:spacing w:after="0" w:line="240" w:lineRule="auto"/>
        <w:jc w:val="both"/>
        <w:rPr>
          <w:rFonts w:ascii="Verdana" w:eastAsia="Calibri" w:hAnsi="Verdana" w:cs="Arial"/>
          <w:b/>
          <w:color w:val="000000" w:themeColor="text1"/>
          <w:lang w:val="es-ES_tradnl"/>
        </w:rPr>
      </w:pPr>
      <w:r w:rsidRPr="00C371AB">
        <w:rPr>
          <w:rFonts w:ascii="Verdana" w:eastAsia="Calibri" w:hAnsi="Verdana" w:cs="Arial"/>
          <w:b/>
          <w:color w:val="000000" w:themeColor="text1"/>
          <w:lang w:val="es-ES_tradnl"/>
        </w:rPr>
        <w:t>BIENES Y SERVICIOS DE CARACTERÍSTICAS TÉCNICAS UNIFORMES</w:t>
      </w:r>
      <w:r w:rsidRPr="00782519">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Definición </w:t>
      </w:r>
      <w:r w:rsidRPr="00396DBB">
        <w:rPr>
          <w:rFonts w:ascii="Verdana" w:eastAsia="Calibri" w:hAnsi="Verdana" w:cs="Arial"/>
          <w:b/>
          <w:color w:val="000000" w:themeColor="text1"/>
          <w:lang w:val="es-ES_tradnl"/>
        </w:rPr>
        <w:t xml:space="preserve"> </w:t>
      </w:r>
    </w:p>
    <w:p w14:paraId="6BB76796" w14:textId="77777777" w:rsidR="005145C2" w:rsidRPr="00396DBB" w:rsidRDefault="005145C2" w:rsidP="005145C2">
      <w:pPr>
        <w:spacing w:after="0" w:line="240" w:lineRule="auto"/>
        <w:jc w:val="both"/>
        <w:rPr>
          <w:rFonts w:ascii="Verdana" w:eastAsia="Calibri" w:hAnsi="Verdana" w:cs="Arial"/>
          <w:bCs/>
          <w:color w:val="000000" w:themeColor="text1"/>
          <w:sz w:val="20"/>
          <w:szCs w:val="20"/>
          <w:lang w:val="es-ES_tradnl"/>
        </w:rPr>
      </w:pPr>
    </w:p>
    <w:p w14:paraId="760DCBD7" w14:textId="77777777" w:rsidR="005145C2" w:rsidRDefault="005145C2" w:rsidP="005145C2">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S</w:t>
      </w:r>
      <w:r w:rsidRPr="00C371AB">
        <w:rPr>
          <w:rFonts w:ascii="Verdana" w:hAnsi="Verdana" w:cs="Arial"/>
          <w:color w:val="000000" w:themeColor="text1"/>
          <w:sz w:val="20"/>
          <w:szCs w:val="20"/>
        </w:rPr>
        <w:t>egún el literal a) del artículo 2.2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r w:rsidRPr="00782519">
        <w:rPr>
          <w:rFonts w:ascii="Verdana" w:hAnsi="Verdana" w:cs="Arial"/>
          <w:color w:val="000000" w:themeColor="text1"/>
          <w:sz w:val="20"/>
          <w:szCs w:val="20"/>
        </w:rPr>
        <w:t>.</w:t>
      </w:r>
    </w:p>
    <w:p w14:paraId="0A51FBF5" w14:textId="77777777" w:rsidR="005145C2" w:rsidRPr="00396DBB" w:rsidRDefault="005145C2" w:rsidP="005145C2">
      <w:pPr>
        <w:spacing w:after="0" w:line="240" w:lineRule="auto"/>
        <w:jc w:val="both"/>
        <w:rPr>
          <w:rFonts w:ascii="Verdana" w:hAnsi="Verdana" w:cs="Arial"/>
          <w:color w:val="000000" w:themeColor="text1"/>
          <w:sz w:val="21"/>
          <w:szCs w:val="21"/>
          <w:lang w:val="es-ES_tradnl"/>
        </w:rPr>
      </w:pPr>
    </w:p>
    <w:p w14:paraId="063B9B6E" w14:textId="77777777" w:rsidR="005145C2" w:rsidRPr="00396DBB" w:rsidRDefault="005145C2" w:rsidP="005145C2">
      <w:pPr>
        <w:spacing w:after="0" w:line="240" w:lineRule="auto"/>
        <w:jc w:val="both"/>
        <w:rPr>
          <w:rFonts w:ascii="Verdana" w:eastAsia="Calibri" w:hAnsi="Verdana" w:cs="Arial"/>
          <w:b/>
          <w:color w:val="000000" w:themeColor="text1"/>
          <w:lang w:val="es-ES_tradnl"/>
        </w:rPr>
      </w:pPr>
      <w:r w:rsidRPr="00C371AB">
        <w:rPr>
          <w:rFonts w:ascii="Verdana" w:eastAsia="Calibri" w:hAnsi="Verdana" w:cs="Arial"/>
          <w:b/>
          <w:color w:val="000000" w:themeColor="text1"/>
          <w:lang w:val="es-ES_tradnl"/>
        </w:rPr>
        <w:t>BIENES Y SERVICIOS DE CARACTERÍSTICAS TÉCNICAS UNIFORMES</w:t>
      </w:r>
      <w:r w:rsidRPr="00782519">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Características – Formas de adquisición </w:t>
      </w:r>
    </w:p>
    <w:p w14:paraId="37C691FE" w14:textId="77777777" w:rsidR="005145C2" w:rsidRPr="00782519" w:rsidRDefault="005145C2" w:rsidP="005145C2">
      <w:pPr>
        <w:tabs>
          <w:tab w:val="left" w:pos="426"/>
        </w:tabs>
        <w:spacing w:after="0" w:line="240" w:lineRule="auto"/>
        <w:contextualSpacing/>
        <w:jc w:val="both"/>
        <w:rPr>
          <w:rFonts w:ascii="Verdana" w:eastAsia="Calibri" w:hAnsi="Verdana" w:cs="Arial"/>
          <w:b/>
          <w:bCs/>
          <w:sz w:val="20"/>
          <w:szCs w:val="20"/>
          <w:lang w:val="es-MX"/>
        </w:rPr>
      </w:pPr>
    </w:p>
    <w:p w14:paraId="57DB9E9B" w14:textId="77777777" w:rsidR="005145C2"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371AB">
        <w:rPr>
          <w:rFonts w:ascii="Verdana" w:eastAsia="Calibri" w:hAnsi="Verdana" w:cs="Arial"/>
          <w:noProof/>
          <w:sz w:val="20"/>
          <w:szCs w:val="20"/>
          <w:lang w:val="es-ES_tradnl"/>
        </w:rPr>
        <w:t xml:space="preserve">Para identificar los bienes y servicios que corresponden a este tipo, se destacan dos (2) aspectos importantes: la común utilización y la homogeneidad. Para la doctrina, la </w:t>
      </w:r>
      <w:r w:rsidRPr="00C371AB">
        <w:rPr>
          <w:rFonts w:ascii="Verdana" w:eastAsia="Calibri" w:hAnsi="Verdana" w:cs="Arial"/>
          <w:i/>
          <w:iCs/>
          <w:noProof/>
          <w:sz w:val="20"/>
          <w:szCs w:val="20"/>
          <w:lang w:val="es-ES_tradnl"/>
        </w:rPr>
        <w:t>común utilización</w:t>
      </w:r>
      <w:r w:rsidRPr="00C371AB">
        <w:rPr>
          <w:rFonts w:ascii="Verdana" w:eastAsia="Calibri" w:hAnsi="Verdana" w:cs="Arial"/>
          <w:noProof/>
          <w:sz w:val="20"/>
          <w:szCs w:val="20"/>
          <w:lang w:val="es-ES_tradnl"/>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interesado en adquirirlos”. Por su parte, la </w:t>
      </w:r>
      <w:r w:rsidRPr="00C371AB">
        <w:rPr>
          <w:rFonts w:ascii="Verdana" w:eastAsia="Calibri" w:hAnsi="Verdana" w:cs="Arial"/>
          <w:i/>
          <w:iCs/>
          <w:noProof/>
          <w:sz w:val="20"/>
          <w:szCs w:val="20"/>
          <w:lang w:val="es-ES_tradnl"/>
        </w:rPr>
        <w:t>homogeneidad</w:t>
      </w:r>
      <w:r w:rsidRPr="00C371AB">
        <w:rPr>
          <w:rFonts w:ascii="Verdana" w:eastAsia="Calibri" w:hAnsi="Verdana" w:cs="Arial"/>
          <w:noProof/>
          <w:sz w:val="20"/>
          <w:szCs w:val="20"/>
          <w:lang w:val="es-ES_tradnl"/>
        </w:rPr>
        <w:t xml:space="preserve"> se </w:t>
      </w:r>
      <w:r w:rsidRPr="00C371AB">
        <w:rPr>
          <w:rFonts w:ascii="Verdana" w:eastAsia="Calibri" w:hAnsi="Verdana" w:cs="Arial"/>
          <w:noProof/>
          <w:sz w:val="20"/>
          <w:szCs w:val="20"/>
          <w:lang w:val="es-ES_tradnl"/>
        </w:rPr>
        <w:lastRenderedPageBreak/>
        <w:t>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p>
    <w:p w14:paraId="1F607847" w14:textId="77777777" w:rsidR="005145C2" w:rsidRPr="00C371AB"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p>
    <w:p w14:paraId="52F2F8B5" w14:textId="77777777" w:rsidR="005145C2"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371AB">
        <w:rPr>
          <w:rFonts w:ascii="Verdana" w:eastAsia="Calibri" w:hAnsi="Verdana" w:cs="Arial"/>
          <w:noProof/>
          <w:sz w:val="20"/>
          <w:szCs w:val="20"/>
          <w:lang w:val="es-ES_tradnl"/>
        </w:rPr>
        <w:t>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w:t>
      </w:r>
      <w:r w:rsidRPr="00782519">
        <w:rPr>
          <w:rFonts w:ascii="Verdana" w:eastAsia="Calibri" w:hAnsi="Verdana" w:cs="Arial"/>
          <w:noProof/>
          <w:sz w:val="20"/>
          <w:szCs w:val="20"/>
          <w:lang w:val="es-ES_tradnl"/>
        </w:rPr>
        <w:t xml:space="preserve">. </w:t>
      </w:r>
    </w:p>
    <w:p w14:paraId="4E3C2B71" w14:textId="77777777" w:rsidR="005145C2" w:rsidRPr="00396DBB" w:rsidRDefault="005145C2" w:rsidP="005145C2">
      <w:pPr>
        <w:spacing w:after="0" w:line="240" w:lineRule="auto"/>
        <w:jc w:val="both"/>
        <w:rPr>
          <w:rFonts w:ascii="Verdana" w:hAnsi="Verdana" w:cs="Arial"/>
          <w:color w:val="000000" w:themeColor="text1"/>
          <w:sz w:val="21"/>
          <w:szCs w:val="21"/>
          <w:lang w:val="es-ES_tradnl"/>
        </w:rPr>
      </w:pPr>
    </w:p>
    <w:p w14:paraId="755B7945" w14:textId="77777777" w:rsidR="005145C2" w:rsidRPr="00396DBB" w:rsidRDefault="005145C2" w:rsidP="005145C2">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 xml:space="preserve">SERVICIOS DE VIGILANCIA PRIVADA – </w:t>
      </w:r>
      <w:r w:rsidRPr="00CC1214">
        <w:rPr>
          <w:rFonts w:ascii="Verdana" w:eastAsia="Calibri" w:hAnsi="Verdana" w:cs="Arial"/>
          <w:b/>
          <w:color w:val="000000" w:themeColor="text1"/>
          <w:lang w:val="es-ES_tradnl"/>
        </w:rPr>
        <w:t>Licitación pública – Menor cuantía – Contratación</w:t>
      </w:r>
      <w:r>
        <w:rPr>
          <w:rFonts w:ascii="Verdana" w:eastAsia="Calibri" w:hAnsi="Verdana" w:cs="Arial"/>
          <w:b/>
          <w:color w:val="000000" w:themeColor="text1"/>
          <w:lang w:val="es-ES_tradnl"/>
        </w:rPr>
        <w:t xml:space="preserve">  </w:t>
      </w:r>
    </w:p>
    <w:p w14:paraId="5148497F" w14:textId="77777777" w:rsidR="005145C2" w:rsidRPr="00782519" w:rsidRDefault="005145C2" w:rsidP="005145C2">
      <w:pPr>
        <w:tabs>
          <w:tab w:val="left" w:pos="426"/>
        </w:tabs>
        <w:spacing w:after="0" w:line="240" w:lineRule="auto"/>
        <w:contextualSpacing/>
        <w:jc w:val="both"/>
        <w:rPr>
          <w:rFonts w:ascii="Verdana" w:eastAsia="Calibri" w:hAnsi="Verdana" w:cs="Arial"/>
          <w:b/>
          <w:bCs/>
          <w:sz w:val="20"/>
          <w:szCs w:val="20"/>
          <w:lang w:val="es-MX"/>
        </w:rPr>
      </w:pPr>
    </w:p>
    <w:p w14:paraId="5D386986" w14:textId="77777777" w:rsidR="005145C2"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Respecto a los servicios de vigilancia y seguridad privada regulados por el Decreto Ley 356 de 1994, si bien nada se opone a que sean considerados como de características técnicas uniformes, la contratación de éstos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58351218" w14:textId="77777777" w:rsidR="005145C2" w:rsidRPr="00CC1214"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  </w:t>
      </w:r>
    </w:p>
    <w:p w14:paraId="07040973" w14:textId="77777777" w:rsidR="005145C2"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 artículo 6 de la Ley 1920 de 2018, que se refiere de manera expresa a la licitación pública como una modalidad de selección aplicable para contratar los servicios servicios de vigilancia y seguridad privada, previendo además la aplicación de factores de evaluación distintos del precio. </w:t>
      </w:r>
    </w:p>
    <w:p w14:paraId="40EB3561" w14:textId="77777777" w:rsidR="005145C2" w:rsidRPr="00CC1214"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p>
    <w:p w14:paraId="1A6B9159" w14:textId="77777777" w:rsidR="005145C2" w:rsidRPr="00782519" w:rsidRDefault="005145C2" w:rsidP="005145C2">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r w:rsidRPr="009673B4">
        <w:rPr>
          <w:rFonts w:ascii="Verdana" w:eastAsia="Calibri" w:hAnsi="Verdana" w:cs="Arial"/>
          <w:noProof/>
          <w:sz w:val="20"/>
          <w:szCs w:val="20"/>
          <w:lang w:val="es-ES_tradnl"/>
        </w:rPr>
        <w:t xml:space="preserve">  </w:t>
      </w:r>
      <w:r w:rsidRPr="00782519">
        <w:rPr>
          <w:rFonts w:ascii="Verdana" w:eastAsia="Calibri" w:hAnsi="Verdana" w:cs="Arial"/>
          <w:noProof/>
          <w:sz w:val="20"/>
          <w:szCs w:val="20"/>
          <w:lang w:val="es-ES_tradnl"/>
        </w:rPr>
        <w:t xml:space="preserve"> </w:t>
      </w:r>
    </w:p>
    <w:p w14:paraId="417A18A2" w14:textId="77777777" w:rsidR="005145C2" w:rsidRPr="005145C2" w:rsidRDefault="005145C2" w:rsidP="00B24B86">
      <w:pPr>
        <w:spacing w:after="0" w:line="240" w:lineRule="auto"/>
        <w:rPr>
          <w:rFonts w:ascii="Verdana" w:eastAsia="Geomanist Light" w:hAnsi="Verdana" w:cs="Arial"/>
          <w:color w:val="000000" w:themeColor="text1"/>
          <w:lang w:val="es-ES_tradnl"/>
        </w:rPr>
      </w:pPr>
    </w:p>
    <w:p w14:paraId="6FE03599" w14:textId="77777777" w:rsidR="005145C2" w:rsidRDefault="005145C2" w:rsidP="00B24B86">
      <w:pPr>
        <w:spacing w:after="0" w:line="240" w:lineRule="auto"/>
        <w:rPr>
          <w:rFonts w:ascii="Verdana" w:eastAsia="Geomanist Light" w:hAnsi="Verdana" w:cs="Arial"/>
          <w:color w:val="000000" w:themeColor="text1"/>
          <w:lang w:val="es-MX"/>
        </w:rPr>
      </w:pPr>
    </w:p>
    <w:p w14:paraId="4F563DEA" w14:textId="77777777" w:rsidR="005145C2" w:rsidRDefault="005145C2" w:rsidP="00B24B86">
      <w:pPr>
        <w:spacing w:after="0" w:line="240" w:lineRule="auto"/>
        <w:rPr>
          <w:rFonts w:ascii="Verdana" w:eastAsia="Geomanist Light" w:hAnsi="Verdana" w:cs="Arial"/>
          <w:color w:val="000000" w:themeColor="text1"/>
          <w:lang w:val="es-MX"/>
        </w:rPr>
      </w:pPr>
    </w:p>
    <w:p w14:paraId="131E45D7" w14:textId="77777777" w:rsidR="005145C2" w:rsidRDefault="005145C2" w:rsidP="00B24B86">
      <w:pPr>
        <w:spacing w:after="0" w:line="240" w:lineRule="auto"/>
        <w:rPr>
          <w:rFonts w:ascii="Verdana" w:eastAsia="Geomanist Light" w:hAnsi="Verdana" w:cs="Arial"/>
          <w:color w:val="000000" w:themeColor="text1"/>
          <w:lang w:val="es-MX"/>
        </w:rPr>
      </w:pPr>
    </w:p>
    <w:p w14:paraId="7DF17BF1" w14:textId="77777777" w:rsidR="005145C2" w:rsidRDefault="005145C2" w:rsidP="00B24B86">
      <w:pPr>
        <w:spacing w:after="0" w:line="240" w:lineRule="auto"/>
        <w:rPr>
          <w:rFonts w:ascii="Verdana" w:eastAsia="Geomanist Light" w:hAnsi="Verdana" w:cs="Arial"/>
          <w:color w:val="000000" w:themeColor="text1"/>
          <w:lang w:val="es-MX"/>
        </w:rPr>
      </w:pPr>
    </w:p>
    <w:p w14:paraId="34C384C7" w14:textId="77777777" w:rsidR="005145C2" w:rsidRDefault="005145C2" w:rsidP="00B24B86">
      <w:pPr>
        <w:spacing w:after="0" w:line="240" w:lineRule="auto"/>
        <w:rPr>
          <w:rFonts w:ascii="Verdana" w:eastAsia="Geomanist Light" w:hAnsi="Verdana" w:cs="Arial"/>
          <w:color w:val="000000" w:themeColor="text1"/>
          <w:lang w:val="es-MX"/>
        </w:rPr>
      </w:pPr>
    </w:p>
    <w:p w14:paraId="11C06223" w14:textId="77777777" w:rsidR="005145C2" w:rsidRDefault="005145C2" w:rsidP="00B24B86">
      <w:pPr>
        <w:spacing w:after="0" w:line="240" w:lineRule="auto"/>
        <w:rPr>
          <w:rFonts w:ascii="Verdana" w:eastAsia="Geomanist Light" w:hAnsi="Verdana" w:cs="Arial"/>
          <w:color w:val="000000" w:themeColor="text1"/>
          <w:lang w:val="es-MX"/>
        </w:rPr>
      </w:pPr>
    </w:p>
    <w:p w14:paraId="336D08A2" w14:textId="77777777" w:rsidR="005145C2" w:rsidRDefault="005145C2" w:rsidP="00B24B86">
      <w:pPr>
        <w:spacing w:after="0" w:line="240" w:lineRule="auto"/>
        <w:rPr>
          <w:rFonts w:ascii="Verdana" w:eastAsia="Geomanist Light" w:hAnsi="Verdana" w:cs="Arial"/>
          <w:color w:val="000000" w:themeColor="text1"/>
          <w:lang w:val="es-MX"/>
        </w:rPr>
      </w:pPr>
    </w:p>
    <w:p w14:paraId="52181DC6" w14:textId="77777777" w:rsidR="005145C2" w:rsidRDefault="005145C2" w:rsidP="00B24B86">
      <w:pPr>
        <w:spacing w:after="0" w:line="240" w:lineRule="auto"/>
        <w:rPr>
          <w:rFonts w:ascii="Verdana" w:eastAsia="Geomanist Light" w:hAnsi="Verdana" w:cs="Arial"/>
          <w:color w:val="000000" w:themeColor="text1"/>
          <w:lang w:val="es-MX"/>
        </w:rPr>
      </w:pPr>
    </w:p>
    <w:p w14:paraId="2FA3E260" w14:textId="77777777" w:rsidR="005145C2" w:rsidRDefault="005145C2" w:rsidP="00B24B86">
      <w:pPr>
        <w:spacing w:after="0" w:line="240" w:lineRule="auto"/>
        <w:rPr>
          <w:rFonts w:ascii="Verdana" w:eastAsia="Geomanist Light" w:hAnsi="Verdana" w:cs="Arial"/>
          <w:color w:val="000000" w:themeColor="text1"/>
          <w:lang w:val="es-MX"/>
        </w:rPr>
      </w:pPr>
    </w:p>
    <w:p w14:paraId="0247D57D" w14:textId="77777777" w:rsidR="005145C2" w:rsidRDefault="005145C2" w:rsidP="00B24B86">
      <w:pPr>
        <w:spacing w:after="0" w:line="240" w:lineRule="auto"/>
        <w:rPr>
          <w:rFonts w:ascii="Verdana" w:eastAsia="Geomanist Light" w:hAnsi="Verdana" w:cs="Arial"/>
          <w:color w:val="000000" w:themeColor="text1"/>
          <w:lang w:val="es-MX"/>
        </w:rPr>
      </w:pPr>
    </w:p>
    <w:p w14:paraId="5BC63DF6" w14:textId="77777777" w:rsidR="005145C2" w:rsidRDefault="005145C2" w:rsidP="00B24B86">
      <w:pPr>
        <w:spacing w:after="0" w:line="240" w:lineRule="auto"/>
        <w:rPr>
          <w:rFonts w:ascii="Verdana" w:eastAsia="Geomanist Light" w:hAnsi="Verdana" w:cs="Arial"/>
          <w:color w:val="000000" w:themeColor="text1"/>
          <w:lang w:val="es-MX"/>
        </w:rPr>
      </w:pPr>
    </w:p>
    <w:p w14:paraId="4950AAAF" w14:textId="77777777" w:rsidR="005145C2" w:rsidRDefault="005145C2" w:rsidP="00B24B86">
      <w:pPr>
        <w:spacing w:after="0" w:line="240" w:lineRule="auto"/>
        <w:rPr>
          <w:rFonts w:ascii="Verdana" w:eastAsia="Geomanist Light" w:hAnsi="Verdana" w:cs="Arial"/>
          <w:color w:val="000000" w:themeColor="text1"/>
          <w:lang w:val="es-MX"/>
        </w:rPr>
      </w:pPr>
    </w:p>
    <w:p w14:paraId="3B763878" w14:textId="77777777" w:rsidR="005145C2" w:rsidRDefault="005145C2" w:rsidP="00B24B86">
      <w:pPr>
        <w:spacing w:after="0" w:line="240" w:lineRule="auto"/>
        <w:rPr>
          <w:rFonts w:ascii="Verdana" w:eastAsia="Geomanist Light" w:hAnsi="Verdana" w:cs="Arial"/>
          <w:color w:val="000000" w:themeColor="text1"/>
          <w:lang w:val="es-MX"/>
        </w:rPr>
      </w:pPr>
    </w:p>
    <w:p w14:paraId="48E7C3AF" w14:textId="77777777" w:rsidR="005145C2" w:rsidRDefault="005145C2" w:rsidP="00B24B86">
      <w:pPr>
        <w:spacing w:after="0" w:line="240" w:lineRule="auto"/>
        <w:rPr>
          <w:rFonts w:ascii="Verdana" w:eastAsia="Geomanist Light" w:hAnsi="Verdana" w:cs="Arial"/>
          <w:color w:val="000000" w:themeColor="text1"/>
          <w:lang w:val="es-MX"/>
        </w:rPr>
      </w:pPr>
    </w:p>
    <w:p w14:paraId="1C85655F" w14:textId="77777777" w:rsidR="005145C2" w:rsidRDefault="005145C2" w:rsidP="00B24B86">
      <w:pPr>
        <w:spacing w:after="0" w:line="240" w:lineRule="auto"/>
        <w:rPr>
          <w:rFonts w:ascii="Verdana" w:eastAsia="Geomanist Light" w:hAnsi="Verdana" w:cs="Arial"/>
          <w:color w:val="000000" w:themeColor="text1"/>
          <w:lang w:val="es-MX"/>
        </w:rPr>
      </w:pPr>
    </w:p>
    <w:p w14:paraId="2EE55A08" w14:textId="77777777" w:rsidR="005145C2" w:rsidRDefault="005145C2" w:rsidP="00B24B86">
      <w:pPr>
        <w:spacing w:after="0" w:line="240" w:lineRule="auto"/>
        <w:rPr>
          <w:rFonts w:ascii="Verdana" w:eastAsia="Geomanist Light" w:hAnsi="Verdana" w:cs="Arial"/>
          <w:color w:val="000000" w:themeColor="text1"/>
          <w:lang w:val="es-MX"/>
        </w:rPr>
      </w:pPr>
    </w:p>
    <w:p w14:paraId="4ED6CAF9" w14:textId="77777777" w:rsidR="005145C2" w:rsidRDefault="005145C2" w:rsidP="00B24B86">
      <w:pPr>
        <w:spacing w:after="0" w:line="240" w:lineRule="auto"/>
        <w:rPr>
          <w:rFonts w:ascii="Verdana" w:eastAsia="Geomanist Light" w:hAnsi="Verdana" w:cs="Arial"/>
          <w:color w:val="000000" w:themeColor="text1"/>
          <w:lang w:val="es-MX"/>
        </w:rPr>
      </w:pPr>
    </w:p>
    <w:p w14:paraId="2161EE1B" w14:textId="77777777" w:rsidR="005145C2" w:rsidRDefault="005145C2" w:rsidP="00B24B86">
      <w:pPr>
        <w:spacing w:after="0" w:line="240" w:lineRule="auto"/>
        <w:rPr>
          <w:rFonts w:ascii="Verdana" w:eastAsia="Geomanist Light" w:hAnsi="Verdana" w:cs="Arial"/>
          <w:color w:val="000000" w:themeColor="text1"/>
          <w:lang w:val="es-MX"/>
        </w:rPr>
      </w:pPr>
    </w:p>
    <w:p w14:paraId="058D903E" w14:textId="77777777" w:rsidR="005145C2" w:rsidRDefault="005145C2" w:rsidP="00B24B86">
      <w:pPr>
        <w:spacing w:after="0" w:line="240" w:lineRule="auto"/>
        <w:rPr>
          <w:rFonts w:ascii="Verdana" w:eastAsia="Geomanist Light" w:hAnsi="Verdana" w:cs="Arial"/>
          <w:color w:val="000000" w:themeColor="text1"/>
          <w:lang w:val="es-MX"/>
        </w:rPr>
      </w:pPr>
    </w:p>
    <w:p w14:paraId="0345BDEB" w14:textId="77777777" w:rsidR="005145C2" w:rsidRDefault="005145C2" w:rsidP="00B24B86">
      <w:pPr>
        <w:spacing w:after="0" w:line="240" w:lineRule="auto"/>
        <w:rPr>
          <w:rFonts w:ascii="Verdana" w:eastAsia="Geomanist Light" w:hAnsi="Verdana" w:cs="Arial"/>
          <w:color w:val="000000" w:themeColor="text1"/>
          <w:lang w:val="es-MX"/>
        </w:rPr>
      </w:pPr>
    </w:p>
    <w:p w14:paraId="2C47DEBA" w14:textId="77777777" w:rsidR="005145C2" w:rsidRDefault="005145C2" w:rsidP="00B24B86">
      <w:pPr>
        <w:spacing w:after="0" w:line="240" w:lineRule="auto"/>
        <w:rPr>
          <w:rFonts w:ascii="Verdana" w:eastAsia="Geomanist Light" w:hAnsi="Verdana" w:cs="Arial"/>
          <w:color w:val="000000" w:themeColor="text1"/>
          <w:lang w:val="es-MX"/>
        </w:rPr>
      </w:pPr>
    </w:p>
    <w:p w14:paraId="79D0AF64" w14:textId="77777777" w:rsidR="005145C2" w:rsidRDefault="005145C2" w:rsidP="00B24B86">
      <w:pPr>
        <w:spacing w:after="0" w:line="240" w:lineRule="auto"/>
        <w:rPr>
          <w:rFonts w:ascii="Verdana" w:eastAsia="Geomanist Light" w:hAnsi="Verdana" w:cs="Arial"/>
          <w:color w:val="000000" w:themeColor="text1"/>
          <w:lang w:val="es-MX"/>
        </w:rPr>
      </w:pPr>
    </w:p>
    <w:p w14:paraId="61A392E1" w14:textId="77777777" w:rsidR="005145C2" w:rsidRDefault="005145C2" w:rsidP="00B24B86">
      <w:pPr>
        <w:spacing w:after="0" w:line="240" w:lineRule="auto"/>
        <w:rPr>
          <w:rFonts w:ascii="Verdana" w:eastAsia="Geomanist Light" w:hAnsi="Verdana" w:cs="Arial"/>
          <w:color w:val="000000" w:themeColor="text1"/>
          <w:lang w:val="es-MX"/>
        </w:rPr>
      </w:pPr>
    </w:p>
    <w:p w14:paraId="4260452F" w14:textId="77777777" w:rsidR="005145C2" w:rsidRDefault="005145C2" w:rsidP="00B24B86">
      <w:pPr>
        <w:spacing w:after="0" w:line="240" w:lineRule="auto"/>
        <w:rPr>
          <w:rFonts w:ascii="Verdana" w:eastAsia="Geomanist Light" w:hAnsi="Verdana" w:cs="Arial"/>
          <w:color w:val="000000" w:themeColor="text1"/>
          <w:lang w:val="es-MX"/>
        </w:rPr>
      </w:pPr>
    </w:p>
    <w:p w14:paraId="0F2DD62D" w14:textId="77777777" w:rsidR="005145C2" w:rsidRDefault="005145C2" w:rsidP="00B24B86">
      <w:pPr>
        <w:spacing w:after="0" w:line="240" w:lineRule="auto"/>
        <w:rPr>
          <w:rFonts w:ascii="Verdana" w:eastAsia="Geomanist Light" w:hAnsi="Verdana" w:cs="Arial"/>
          <w:color w:val="000000" w:themeColor="text1"/>
          <w:lang w:val="es-MX"/>
        </w:rPr>
      </w:pPr>
    </w:p>
    <w:p w14:paraId="4200232E" w14:textId="77777777" w:rsidR="005145C2" w:rsidRDefault="005145C2" w:rsidP="00B24B86">
      <w:pPr>
        <w:spacing w:after="0" w:line="240" w:lineRule="auto"/>
        <w:rPr>
          <w:rFonts w:ascii="Verdana" w:eastAsia="Geomanist Light" w:hAnsi="Verdana" w:cs="Arial"/>
          <w:color w:val="000000" w:themeColor="text1"/>
          <w:lang w:val="es-MX"/>
        </w:rPr>
      </w:pPr>
    </w:p>
    <w:p w14:paraId="65B71373" w14:textId="77777777" w:rsidR="005145C2" w:rsidRDefault="005145C2" w:rsidP="00B24B86">
      <w:pPr>
        <w:spacing w:after="0" w:line="240" w:lineRule="auto"/>
        <w:rPr>
          <w:rFonts w:ascii="Verdana" w:eastAsia="Geomanist Light" w:hAnsi="Verdana" w:cs="Arial"/>
          <w:color w:val="000000" w:themeColor="text1"/>
          <w:lang w:val="es-MX"/>
        </w:rPr>
      </w:pPr>
    </w:p>
    <w:p w14:paraId="201A3DE2" w14:textId="77777777" w:rsidR="005145C2" w:rsidRDefault="005145C2" w:rsidP="00B24B86">
      <w:pPr>
        <w:spacing w:after="0" w:line="240" w:lineRule="auto"/>
        <w:rPr>
          <w:rFonts w:ascii="Verdana" w:eastAsia="Geomanist Light" w:hAnsi="Verdana" w:cs="Arial"/>
          <w:color w:val="000000" w:themeColor="text1"/>
          <w:lang w:val="es-MX"/>
        </w:rPr>
      </w:pPr>
    </w:p>
    <w:p w14:paraId="7B648F5D" w14:textId="77777777" w:rsidR="005145C2" w:rsidRDefault="005145C2" w:rsidP="00B24B86">
      <w:pPr>
        <w:spacing w:after="0" w:line="240" w:lineRule="auto"/>
        <w:rPr>
          <w:rFonts w:ascii="Verdana" w:eastAsia="Geomanist Light" w:hAnsi="Verdana" w:cs="Arial"/>
          <w:color w:val="000000" w:themeColor="text1"/>
          <w:lang w:val="es-MX"/>
        </w:rPr>
      </w:pPr>
    </w:p>
    <w:p w14:paraId="458983CF" w14:textId="77777777" w:rsidR="005145C2" w:rsidRDefault="005145C2" w:rsidP="00B24B86">
      <w:pPr>
        <w:spacing w:after="0" w:line="240" w:lineRule="auto"/>
        <w:rPr>
          <w:rFonts w:ascii="Verdana" w:eastAsia="Geomanist Light" w:hAnsi="Verdana" w:cs="Arial"/>
          <w:color w:val="000000" w:themeColor="text1"/>
          <w:lang w:val="es-MX"/>
        </w:rPr>
      </w:pPr>
    </w:p>
    <w:p w14:paraId="5AC3F86A" w14:textId="77777777" w:rsidR="005145C2" w:rsidRDefault="005145C2" w:rsidP="00B24B86">
      <w:pPr>
        <w:spacing w:after="0" w:line="240" w:lineRule="auto"/>
        <w:rPr>
          <w:rFonts w:ascii="Verdana" w:eastAsia="Geomanist Light" w:hAnsi="Verdana" w:cs="Arial"/>
          <w:color w:val="000000" w:themeColor="text1"/>
          <w:lang w:val="es-MX"/>
        </w:rPr>
      </w:pPr>
    </w:p>
    <w:p w14:paraId="3242CDB0" w14:textId="77777777" w:rsidR="005145C2" w:rsidRDefault="005145C2" w:rsidP="00B24B86">
      <w:pPr>
        <w:spacing w:after="0" w:line="240" w:lineRule="auto"/>
        <w:rPr>
          <w:rFonts w:ascii="Verdana" w:eastAsia="Geomanist Light" w:hAnsi="Verdana" w:cs="Arial"/>
          <w:color w:val="000000" w:themeColor="text1"/>
          <w:lang w:val="es-MX"/>
        </w:rPr>
      </w:pPr>
    </w:p>
    <w:p w14:paraId="0222D6B5" w14:textId="77777777" w:rsidR="005145C2" w:rsidRDefault="005145C2" w:rsidP="00B24B86">
      <w:pPr>
        <w:spacing w:after="0" w:line="240" w:lineRule="auto"/>
        <w:rPr>
          <w:rFonts w:ascii="Verdana" w:eastAsia="Geomanist Light" w:hAnsi="Verdana" w:cs="Arial"/>
          <w:color w:val="000000" w:themeColor="text1"/>
          <w:lang w:val="es-MX"/>
        </w:rPr>
      </w:pPr>
    </w:p>
    <w:p w14:paraId="7037819D" w14:textId="77777777" w:rsidR="005145C2" w:rsidRDefault="005145C2" w:rsidP="00B24B86">
      <w:pPr>
        <w:spacing w:after="0" w:line="240" w:lineRule="auto"/>
        <w:rPr>
          <w:rFonts w:ascii="Verdana" w:eastAsia="Geomanist Light" w:hAnsi="Verdana" w:cs="Arial"/>
          <w:color w:val="000000" w:themeColor="text1"/>
          <w:lang w:val="es-MX"/>
        </w:rPr>
      </w:pPr>
    </w:p>
    <w:p w14:paraId="3910C014" w14:textId="77777777" w:rsidR="005145C2" w:rsidRDefault="005145C2" w:rsidP="00B24B86">
      <w:pPr>
        <w:spacing w:after="0" w:line="240" w:lineRule="auto"/>
        <w:rPr>
          <w:rFonts w:ascii="Verdana" w:eastAsia="Geomanist Light" w:hAnsi="Verdana" w:cs="Arial"/>
          <w:color w:val="000000" w:themeColor="text1"/>
          <w:lang w:val="es-MX"/>
        </w:rPr>
      </w:pPr>
    </w:p>
    <w:p w14:paraId="2EF1D3B7" w14:textId="1C7469EF" w:rsidR="00B24B86" w:rsidRPr="00593A5F" w:rsidRDefault="00B24B86" w:rsidP="00B24B86">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934D5D" w:rsidRPr="00934D5D">
        <w:rPr>
          <w:rFonts w:ascii="Verdana" w:eastAsia="Geomanist Light" w:hAnsi="Verdana" w:cs="Arial"/>
          <w:color w:val="000000" w:themeColor="text1"/>
          <w:lang w:val="es-MX"/>
        </w:rPr>
        <w:t>19 de Noviembre de 2024</w:t>
      </w:r>
    </w:p>
    <w:p w14:paraId="0E53EB4D" w14:textId="77777777" w:rsidR="00B24B86" w:rsidRDefault="00B24B86" w:rsidP="00B24B86">
      <w:pPr>
        <w:spacing w:after="0" w:line="240" w:lineRule="auto"/>
        <w:jc w:val="both"/>
        <w:rPr>
          <w:rFonts w:ascii="Verdana" w:eastAsia="Calibri" w:hAnsi="Verdana" w:cs="Arial"/>
          <w:color w:val="000000"/>
          <w:lang w:val="es-ES"/>
        </w:rPr>
      </w:pPr>
    </w:p>
    <w:p w14:paraId="447697F4" w14:textId="1BDAB7F0" w:rsidR="00B24B86" w:rsidRDefault="00934D5D" w:rsidP="00934D5D">
      <w:pPr>
        <w:spacing w:after="0" w:line="240" w:lineRule="auto"/>
        <w:jc w:val="right"/>
        <w:rPr>
          <w:rFonts w:ascii="Verdana" w:eastAsia="Calibri" w:hAnsi="Verdana" w:cs="Arial"/>
          <w:color w:val="000000"/>
          <w:lang w:val="es-ES"/>
        </w:rPr>
      </w:pPr>
      <w:r w:rsidRPr="00934D5D">
        <w:rPr>
          <w:rFonts w:ascii="Verdana" w:eastAsia="Calibri" w:hAnsi="Verdana" w:cs="Arial"/>
          <w:noProof/>
          <w:color w:val="000000"/>
          <w:lang w:val="es-ES"/>
        </w:rPr>
        <w:drawing>
          <wp:inline distT="0" distB="0" distL="0" distR="0" wp14:anchorId="30CF45F5" wp14:editId="1ABBA4B1">
            <wp:extent cx="3238500" cy="901700"/>
            <wp:effectExtent l="0" t="0" r="0" b="0"/>
            <wp:docPr id="201129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9331" name=""/>
                    <pic:cNvPicPr/>
                  </pic:nvPicPr>
                  <pic:blipFill>
                    <a:blip r:embed="rId10"/>
                    <a:stretch>
                      <a:fillRect/>
                    </a:stretch>
                  </pic:blipFill>
                  <pic:spPr>
                    <a:xfrm>
                      <a:off x="0" y="0"/>
                      <a:ext cx="3238500" cy="901700"/>
                    </a:xfrm>
                    <a:prstGeom prst="rect">
                      <a:avLst/>
                    </a:prstGeom>
                  </pic:spPr>
                </pic:pic>
              </a:graphicData>
            </a:graphic>
          </wp:inline>
        </w:drawing>
      </w:r>
    </w:p>
    <w:p w14:paraId="061A82C2" w14:textId="77777777" w:rsidR="00934D5D" w:rsidRPr="00593A5F" w:rsidRDefault="00934D5D" w:rsidP="00B24B86">
      <w:pPr>
        <w:spacing w:after="0" w:line="240" w:lineRule="auto"/>
        <w:jc w:val="both"/>
        <w:rPr>
          <w:rFonts w:ascii="Verdana" w:eastAsia="Calibri" w:hAnsi="Verdana" w:cs="Arial"/>
          <w:color w:val="000000"/>
          <w:lang w:val="es-ES"/>
        </w:rPr>
      </w:pPr>
    </w:p>
    <w:p w14:paraId="14B04136" w14:textId="77777777" w:rsidR="00B24B86" w:rsidRPr="00B96799" w:rsidRDefault="00B24B86" w:rsidP="00B24B86">
      <w:pPr>
        <w:spacing w:after="0" w:line="240" w:lineRule="auto"/>
        <w:jc w:val="both"/>
        <w:rPr>
          <w:rFonts w:ascii="Verdana" w:eastAsia="Calibri" w:hAnsi="Verdana" w:cs="Arial"/>
          <w:lang w:val="es-ES" w:eastAsia="es-ES"/>
        </w:rPr>
      </w:pPr>
      <w:r>
        <w:rPr>
          <w:rFonts w:ascii="Verdana" w:eastAsia="Calibri" w:hAnsi="Verdana" w:cs="Arial"/>
          <w:lang w:val="es-ES" w:eastAsia="es-ES"/>
        </w:rPr>
        <w:t>Señora</w:t>
      </w:r>
    </w:p>
    <w:p w14:paraId="48C278BA" w14:textId="77777777" w:rsidR="00B24B86" w:rsidRPr="0085423D" w:rsidRDefault="00B24B86" w:rsidP="00B24B86">
      <w:pPr>
        <w:spacing w:after="0" w:line="240" w:lineRule="auto"/>
        <w:rPr>
          <w:rFonts w:ascii="Verdana" w:eastAsia="Calibri" w:hAnsi="Verdana" w:cs="Arial"/>
          <w:b/>
          <w:lang w:val="es-ES_tradnl" w:eastAsia="es-ES_tradnl"/>
        </w:rPr>
      </w:pPr>
      <w:r w:rsidRPr="001F5E1C">
        <w:rPr>
          <w:rFonts w:ascii="Verdana" w:eastAsia="Calibri" w:hAnsi="Verdana" w:cs="Arial"/>
          <w:b/>
          <w:lang w:val="es-ES_tradnl" w:eastAsia="es-ES_tradnl"/>
        </w:rPr>
        <w:t>Sandra Milena D</w:t>
      </w:r>
      <w:r>
        <w:rPr>
          <w:rFonts w:ascii="Verdana" w:eastAsia="Calibri" w:hAnsi="Verdana" w:cs="Arial"/>
          <w:b/>
          <w:lang w:val="es-ES_tradnl" w:eastAsia="es-ES_tradnl"/>
        </w:rPr>
        <w:t>í</w:t>
      </w:r>
      <w:r w:rsidRPr="001F5E1C">
        <w:rPr>
          <w:rFonts w:ascii="Verdana" w:eastAsia="Calibri" w:hAnsi="Verdana" w:cs="Arial"/>
          <w:b/>
          <w:lang w:val="es-ES_tradnl" w:eastAsia="es-ES_tradnl"/>
        </w:rPr>
        <w:t>az Orjuela</w:t>
      </w:r>
      <w:r>
        <w:rPr>
          <w:rFonts w:ascii="Verdana" w:eastAsia="Calibri" w:hAnsi="Verdana" w:cs="Arial"/>
          <w:b/>
          <w:lang w:val="es-ES_tradnl" w:eastAsia="es-ES_tradnl"/>
        </w:rPr>
        <w:t xml:space="preserve"> </w:t>
      </w:r>
    </w:p>
    <w:p w14:paraId="679E55AE" w14:textId="77777777" w:rsidR="00B24B86" w:rsidRPr="001F5E1C" w:rsidRDefault="00B24B86" w:rsidP="00B24B86">
      <w:pPr>
        <w:spacing w:after="0" w:line="240" w:lineRule="auto"/>
        <w:rPr>
          <w:rFonts w:ascii="Verdana" w:eastAsia="Calibri" w:hAnsi="Verdana" w:cs="Arial"/>
          <w:lang w:val="es-ES" w:eastAsia="es-ES"/>
        </w:rPr>
      </w:pPr>
      <w:hyperlink r:id="rId11" w:history="1">
        <w:r w:rsidRPr="001F5E1C">
          <w:rPr>
            <w:rStyle w:val="Hipervnculo"/>
            <w:rFonts w:ascii="Verdana" w:hAnsi="Verdana"/>
          </w:rPr>
          <w:t>sandra_diaz77@hotmail.com</w:t>
        </w:r>
      </w:hyperlink>
      <w:r w:rsidRPr="001F5E1C">
        <w:rPr>
          <w:rFonts w:ascii="Verdana" w:hAnsi="Verdana"/>
        </w:rPr>
        <w:t xml:space="preserve">      </w:t>
      </w:r>
      <w:r w:rsidRPr="001F5E1C">
        <w:rPr>
          <w:rFonts w:ascii="Verdana" w:eastAsia="Calibri" w:hAnsi="Verdana" w:cs="Arial"/>
          <w:lang w:val="es-ES" w:eastAsia="es-ES"/>
        </w:rPr>
        <w:t xml:space="preserve">    </w:t>
      </w:r>
    </w:p>
    <w:p w14:paraId="4049D372" w14:textId="77777777" w:rsidR="00B24B86" w:rsidRDefault="00B24B86" w:rsidP="00B24B86">
      <w:pPr>
        <w:spacing w:after="0" w:line="240" w:lineRule="auto"/>
        <w:rPr>
          <w:rFonts w:ascii="Verdana" w:eastAsia="Calibri" w:hAnsi="Verdana" w:cs="Arial"/>
          <w:lang w:val="es-ES" w:eastAsia="es-ES"/>
        </w:rPr>
      </w:pPr>
      <w:r w:rsidRPr="001F5E1C">
        <w:rPr>
          <w:rFonts w:ascii="Verdana" w:eastAsia="Calibri" w:hAnsi="Verdana" w:cs="Arial"/>
          <w:lang w:val="es-ES" w:eastAsia="es-ES"/>
        </w:rPr>
        <w:t>Bogotá D.C.</w:t>
      </w:r>
      <w:r>
        <w:rPr>
          <w:rFonts w:ascii="Verdana" w:eastAsia="Calibri" w:hAnsi="Verdana" w:cs="Arial"/>
          <w:lang w:val="es-ES" w:eastAsia="es-ES"/>
        </w:rPr>
        <w:t xml:space="preserve"> </w:t>
      </w:r>
    </w:p>
    <w:p w14:paraId="6B419115" w14:textId="77777777" w:rsidR="00B24B86" w:rsidRPr="00593A5F" w:rsidRDefault="00B24B86" w:rsidP="00B24B86">
      <w:pPr>
        <w:spacing w:after="0" w:line="240" w:lineRule="auto"/>
        <w:rPr>
          <w:rFonts w:ascii="Verdana" w:eastAsia="Calibri" w:hAnsi="Verdana" w:cs="Arial"/>
          <w:b/>
          <w:bCs/>
          <w:color w:val="000000"/>
          <w:lang w:val="es-ES_tradnl" w:eastAsia="es-ES_tradnl"/>
        </w:rPr>
      </w:pPr>
    </w:p>
    <w:p w14:paraId="4D67B635" w14:textId="77777777" w:rsidR="00B24B86" w:rsidRPr="00593A5F" w:rsidRDefault="00B24B86" w:rsidP="00B24B8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24B86" w:rsidRPr="00593A5F" w14:paraId="39E07E32" w14:textId="77777777" w:rsidTr="001C39F7">
        <w:trPr>
          <w:trHeight w:val="884"/>
        </w:trPr>
        <w:tc>
          <w:tcPr>
            <w:tcW w:w="2689" w:type="dxa"/>
          </w:tcPr>
          <w:p w14:paraId="1EC5F888" w14:textId="77777777" w:rsidR="00B24B86" w:rsidRPr="00C00976" w:rsidRDefault="00B24B86" w:rsidP="001C39F7">
            <w:pPr>
              <w:jc w:val="both"/>
              <w:rPr>
                <w:rFonts w:ascii="Verdana" w:eastAsia="Calibri" w:hAnsi="Verdana" w:cs="Arial"/>
                <w:b/>
                <w:bCs/>
                <w:color w:val="7030A0"/>
                <w:lang w:val="es-ES_tradnl" w:eastAsia="es-ES_tradnl"/>
              </w:rPr>
            </w:pPr>
          </w:p>
        </w:tc>
        <w:tc>
          <w:tcPr>
            <w:tcW w:w="6100" w:type="dxa"/>
          </w:tcPr>
          <w:p w14:paraId="2BDC34C0" w14:textId="0882BC66" w:rsidR="00B24B86" w:rsidRPr="00C00976" w:rsidRDefault="00B24B86" w:rsidP="001C39F7">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296ED6">
              <w:rPr>
                <w:rFonts w:ascii="Verdana" w:eastAsia="Calibri" w:hAnsi="Verdana" w:cs="Arial"/>
                <w:b/>
                <w:bCs/>
                <w:lang w:val="es-ES" w:eastAsia="es-ES"/>
              </w:rPr>
              <w:t>787</w:t>
            </w:r>
            <w:r>
              <w:rPr>
                <w:rFonts w:ascii="Verdana" w:eastAsia="Calibri" w:hAnsi="Verdana" w:cs="Arial"/>
                <w:b/>
                <w:bCs/>
                <w:lang w:val="es-ES" w:eastAsia="es-ES"/>
              </w:rPr>
              <w:t xml:space="preserve"> </w:t>
            </w:r>
            <w:r w:rsidRPr="008E6AD9">
              <w:rPr>
                <w:rFonts w:ascii="Verdana" w:eastAsia="Calibri" w:hAnsi="Verdana" w:cs="Arial"/>
                <w:b/>
                <w:bCs/>
                <w:lang w:val="es-ES" w:eastAsia="es-ES"/>
              </w:rPr>
              <w:t>de 2024</w:t>
            </w:r>
          </w:p>
        </w:tc>
      </w:tr>
      <w:tr w:rsidR="00B24B86" w:rsidRPr="00593A5F" w14:paraId="3EB7CB47" w14:textId="77777777" w:rsidTr="001C39F7">
        <w:trPr>
          <w:trHeight w:val="884"/>
        </w:trPr>
        <w:tc>
          <w:tcPr>
            <w:tcW w:w="2689" w:type="dxa"/>
          </w:tcPr>
          <w:p w14:paraId="745612D6" w14:textId="77777777" w:rsidR="00B24B86" w:rsidRPr="00593A5F" w:rsidRDefault="00B24B86" w:rsidP="001C39F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51D914F" w14:textId="18728029" w:rsidR="00B24B86" w:rsidRPr="00A11406" w:rsidRDefault="00B24B86" w:rsidP="001C39F7">
            <w:pPr>
              <w:spacing w:line="276" w:lineRule="auto"/>
              <w:jc w:val="both"/>
              <w:rPr>
                <w:rFonts w:ascii="Verdana" w:eastAsia="Calibri" w:hAnsi="Verdana" w:cs="Arial"/>
                <w:lang w:val="es-ES" w:eastAsia="es-ES"/>
              </w:rPr>
            </w:pPr>
            <w:r w:rsidRPr="00C371AB">
              <w:rPr>
                <w:rFonts w:ascii="Verdana" w:eastAsia="Calibri" w:hAnsi="Verdana" w:cs="Arial"/>
                <w:lang w:val="es-ES" w:eastAsia="es-ES"/>
              </w:rPr>
              <w:t>SELECCIÓN ABREVIADA – Marco normativo</w:t>
            </w:r>
            <w:r>
              <w:rPr>
                <w:rFonts w:ascii="Verdana" w:eastAsia="Calibri" w:hAnsi="Verdana" w:cs="Arial"/>
                <w:lang w:val="es-ES" w:eastAsia="es-ES"/>
              </w:rPr>
              <w:t xml:space="preserve"> / </w:t>
            </w:r>
            <w:r w:rsidRPr="00C371AB">
              <w:rPr>
                <w:rFonts w:ascii="Verdana" w:eastAsia="Calibri" w:hAnsi="Verdana" w:cs="Arial"/>
                <w:lang w:val="es-ES" w:eastAsia="es-ES"/>
              </w:rPr>
              <w:t>BIENES Y SERVICIOS DE CARACTERÍSTICAS TÉCNICAS UNIFORMES – Definición</w:t>
            </w:r>
            <w:r>
              <w:rPr>
                <w:rFonts w:ascii="Verdana" w:eastAsia="Calibri" w:hAnsi="Verdana" w:cs="Arial"/>
                <w:lang w:val="es-ES" w:eastAsia="es-ES"/>
              </w:rPr>
              <w:t xml:space="preserve"> / </w:t>
            </w:r>
            <w:r w:rsidRPr="00C371AB">
              <w:rPr>
                <w:rFonts w:ascii="Verdana" w:eastAsia="Calibri" w:hAnsi="Verdana" w:cs="Arial"/>
                <w:lang w:val="es-ES" w:eastAsia="es-ES"/>
              </w:rPr>
              <w:t xml:space="preserve">BIENES Y SERVICIOS DE CARACTERÍSTICAS TÉCNICAS UNIFORMES ‒ Características – Formas de adquisición </w:t>
            </w:r>
            <w:r>
              <w:rPr>
                <w:rFonts w:ascii="Verdana" w:eastAsia="Calibri" w:hAnsi="Verdana" w:cs="Arial"/>
                <w:lang w:val="es-ES" w:eastAsia="es-ES"/>
              </w:rPr>
              <w:t xml:space="preserve">/ </w:t>
            </w:r>
            <w:r w:rsidR="006A662D" w:rsidRPr="006A662D">
              <w:rPr>
                <w:rFonts w:ascii="Verdana" w:eastAsia="Calibri" w:hAnsi="Verdana" w:cs="Arial"/>
                <w:lang w:val="es-ES" w:eastAsia="es-ES"/>
              </w:rPr>
              <w:t xml:space="preserve">SERVICIOS DE VIGILANCIA PRIVADA – Licitación pública – Menor cuantía – Contratación  </w:t>
            </w:r>
            <w:r w:rsidRPr="009673B4">
              <w:rPr>
                <w:rFonts w:ascii="Verdana" w:eastAsia="Calibri" w:hAnsi="Verdana" w:cs="Arial"/>
                <w:lang w:val="es-ES" w:eastAsia="es-ES"/>
              </w:rPr>
              <w:t xml:space="preserve">  </w:t>
            </w:r>
            <w:r w:rsidRPr="00B24DBE">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A5C3706" w14:textId="77777777" w:rsidR="00B24B86" w:rsidRPr="00593A5F" w:rsidRDefault="00B24B86" w:rsidP="001C39F7">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B24B86" w:rsidRPr="008E6AD9" w14:paraId="46AEC6B3" w14:textId="77777777" w:rsidTr="001C39F7">
        <w:tc>
          <w:tcPr>
            <w:tcW w:w="2689" w:type="dxa"/>
          </w:tcPr>
          <w:p w14:paraId="2BFE446D" w14:textId="77777777" w:rsidR="00B24B86" w:rsidRPr="008E6AD9" w:rsidRDefault="00B24B86" w:rsidP="001C39F7">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493D713" w14:textId="77777777" w:rsidR="00B24B86" w:rsidRPr="008E6AD9" w:rsidRDefault="00B24B86" w:rsidP="001C39F7">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1F5E1C">
              <w:rPr>
                <w:rFonts w:ascii="Verdana" w:eastAsia="Calibri" w:hAnsi="Verdana" w:cs="Arial"/>
                <w:lang w:val="es-ES_tradnl" w:eastAsia="es-ES_tradnl"/>
              </w:rPr>
              <w:t>P20241028010929</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A098FDA" w14:textId="77777777" w:rsidR="00B24B86" w:rsidRPr="00593A5F" w:rsidRDefault="00B24B86" w:rsidP="00B24B86">
      <w:pPr>
        <w:spacing w:after="0" w:line="240" w:lineRule="auto"/>
        <w:jc w:val="both"/>
        <w:rPr>
          <w:rFonts w:ascii="Verdana" w:eastAsia="Calibri" w:hAnsi="Verdana" w:cs="Arial"/>
          <w:color w:val="000000"/>
          <w:lang w:val="es-ES_tradnl" w:eastAsia="es-ES_tradnl"/>
        </w:rPr>
      </w:pPr>
    </w:p>
    <w:p w14:paraId="1BE07B55" w14:textId="77777777" w:rsidR="00B24B86" w:rsidRPr="00593A5F" w:rsidRDefault="00B24B86" w:rsidP="00B24B86">
      <w:pPr>
        <w:spacing w:after="0" w:line="240" w:lineRule="auto"/>
        <w:jc w:val="both"/>
        <w:rPr>
          <w:rFonts w:ascii="Verdana" w:eastAsia="Calibri" w:hAnsi="Verdana" w:cs="Arial"/>
          <w:color w:val="000000"/>
          <w:lang w:val="es-ES_tradnl" w:eastAsia="es-ES_tradnl"/>
        </w:rPr>
      </w:pPr>
    </w:p>
    <w:p w14:paraId="0DE83D41" w14:textId="77777777" w:rsidR="00B24B86" w:rsidRPr="008E6AD9" w:rsidRDefault="00B24B86" w:rsidP="00B24B86">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señora </w:t>
      </w:r>
      <w:r w:rsidRPr="001F5E1C">
        <w:rPr>
          <w:rFonts w:ascii="Verdana" w:eastAsia="Calibri" w:hAnsi="Verdana" w:cs="Arial"/>
          <w:lang w:val="es-ES" w:eastAsia="es-ES"/>
        </w:rPr>
        <w:t>Díaz Orjuela</w:t>
      </w:r>
      <w:r w:rsidRPr="008E6AD9">
        <w:rPr>
          <w:rFonts w:ascii="Verdana" w:eastAsia="Calibri" w:hAnsi="Verdana" w:cs="Arial"/>
          <w:lang w:val="es-ES" w:eastAsia="es-ES"/>
        </w:rPr>
        <w:t xml:space="preserve">: </w:t>
      </w:r>
    </w:p>
    <w:p w14:paraId="2182A422" w14:textId="77777777" w:rsidR="00B24B86" w:rsidRDefault="00B24B86" w:rsidP="00B24B86">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BDF64B3" w14:textId="77777777" w:rsidR="00B24B86" w:rsidRPr="00593A5F" w:rsidRDefault="00B24B86" w:rsidP="00B24B8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28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3426F148" w14:textId="77777777" w:rsidR="00B24B86" w:rsidRPr="00272A7B" w:rsidRDefault="00B24B86" w:rsidP="00FF1F69">
      <w:pPr>
        <w:pStyle w:val="Prrafodelista"/>
        <w:tabs>
          <w:tab w:val="left" w:pos="142"/>
          <w:tab w:val="left" w:pos="284"/>
        </w:tabs>
        <w:spacing w:after="0" w:line="276" w:lineRule="auto"/>
        <w:ind w:left="0"/>
        <w:jc w:val="both"/>
        <w:rPr>
          <w:rFonts w:ascii="Verdana" w:eastAsia="Century Gothic" w:hAnsi="Verdana" w:cs="Century Gothic"/>
          <w:b/>
          <w:bCs/>
        </w:rPr>
      </w:pPr>
    </w:p>
    <w:p w14:paraId="55033138" w14:textId="77777777" w:rsidR="00B24B86" w:rsidRPr="00906BE9" w:rsidRDefault="00B24B86" w:rsidP="00B24B86">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sidRPr="00906BE9">
        <w:rPr>
          <w:rFonts w:ascii="Verdana" w:eastAsia="Century Gothic" w:hAnsi="Verdana" w:cs="Century Gothic"/>
          <w:sz w:val="21"/>
          <w:szCs w:val="21"/>
          <w:lang w:val="es-ES"/>
        </w:rPr>
        <w:t xml:space="preserve">1. Se me informe cuál es el procedimiento que se emplea para determinar si un bien o servicio corresponde a los denominados de características técnicas uniformes, indicando cuál es la entidad </w:t>
      </w:r>
      <w:r w:rsidRPr="00906BE9">
        <w:rPr>
          <w:rFonts w:ascii="Verdana" w:eastAsia="Century Gothic" w:hAnsi="Verdana" w:cs="Century Gothic"/>
          <w:sz w:val="21"/>
          <w:szCs w:val="21"/>
          <w:lang w:val="es-ES"/>
        </w:rPr>
        <w:lastRenderedPageBreak/>
        <w:t xml:space="preserve">competente para adelantar el procedimiento, con indicación del fundamento legal. </w:t>
      </w:r>
    </w:p>
    <w:p w14:paraId="768417EB" w14:textId="77777777" w:rsidR="00B24B86" w:rsidRPr="005B7798" w:rsidRDefault="00B24B86" w:rsidP="00B24B86">
      <w:pPr>
        <w:spacing w:after="0" w:line="240" w:lineRule="auto"/>
        <w:ind w:left="709" w:right="709"/>
        <w:jc w:val="both"/>
        <w:rPr>
          <w:rFonts w:ascii="Verdana" w:eastAsia="Century Gothic" w:hAnsi="Verdana" w:cs="Century Gothic"/>
          <w:sz w:val="21"/>
          <w:szCs w:val="21"/>
          <w:lang w:val="es-ES"/>
        </w:rPr>
      </w:pPr>
      <w:r w:rsidRPr="00906BE9">
        <w:rPr>
          <w:rFonts w:ascii="Verdana" w:eastAsia="Century Gothic" w:hAnsi="Verdana" w:cs="Century Gothic"/>
          <w:sz w:val="21"/>
          <w:szCs w:val="21"/>
          <w:lang w:val="es-ES"/>
        </w:rPr>
        <w:t>2. Solicito copia de los estudios y el cumplimiento del procedimiento adelantado para determinar que los servicios de vigilancia y seguridad privada son de características técnicas uniformes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449685C3" w14:textId="77777777" w:rsidR="00B24B86" w:rsidRPr="008E6AD9" w:rsidRDefault="00B24B86" w:rsidP="00FF1F69">
      <w:pPr>
        <w:pStyle w:val="Prrafodelista"/>
        <w:tabs>
          <w:tab w:val="left" w:pos="142"/>
          <w:tab w:val="left" w:pos="284"/>
        </w:tabs>
        <w:spacing w:after="0" w:line="276" w:lineRule="auto"/>
        <w:ind w:left="0"/>
        <w:jc w:val="both"/>
        <w:rPr>
          <w:rFonts w:ascii="Verdana" w:eastAsia="Century Gothic" w:hAnsi="Verdana" w:cs="Century Gothic"/>
          <w:b/>
          <w:bCs/>
        </w:rPr>
      </w:pPr>
    </w:p>
    <w:p w14:paraId="5D965930" w14:textId="77777777" w:rsidR="00B24B86" w:rsidRPr="00A652FF" w:rsidRDefault="00B24B86" w:rsidP="00B24B86">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BE86DFC" w14:textId="77777777" w:rsidR="00B24B86" w:rsidRDefault="00B24B86" w:rsidP="00B24B86">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4ED05DCC" w14:textId="77777777" w:rsidR="00B24B86" w:rsidRPr="00593A5F" w:rsidRDefault="00B24B86" w:rsidP="00B24B86">
      <w:pPr>
        <w:spacing w:after="0" w:line="276" w:lineRule="auto"/>
        <w:ind w:firstLine="709"/>
        <w:jc w:val="both"/>
        <w:rPr>
          <w:rFonts w:ascii="Verdana" w:eastAsia="Calibri" w:hAnsi="Verdana" w:cs="Arial"/>
          <w:color w:val="000000"/>
          <w:lang w:val="es-ES" w:eastAsia="es-ES"/>
        </w:rPr>
      </w:pPr>
    </w:p>
    <w:p w14:paraId="2AAB41B0" w14:textId="77777777" w:rsidR="00B24B86" w:rsidRPr="00593A5F" w:rsidRDefault="00B24B86" w:rsidP="00B24B8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703C9F8" w14:textId="77777777" w:rsidR="00B24B86" w:rsidRPr="00593A5F" w:rsidRDefault="00B24B86" w:rsidP="00B24B86">
      <w:pPr>
        <w:tabs>
          <w:tab w:val="left" w:pos="426"/>
        </w:tabs>
        <w:spacing w:after="0" w:line="276" w:lineRule="auto"/>
        <w:jc w:val="both"/>
        <w:rPr>
          <w:rFonts w:ascii="Verdana" w:eastAsia="Century Gothic" w:hAnsi="Verdana" w:cs="Century Gothic"/>
          <w:lang w:val="es-ES"/>
        </w:rPr>
      </w:pPr>
    </w:p>
    <w:p w14:paraId="3767D815" w14:textId="77777777" w:rsidR="00B24B86" w:rsidRPr="00593A5F" w:rsidRDefault="00B24B86" w:rsidP="00B24B86">
      <w:pPr>
        <w:spacing w:after="0" w:line="276" w:lineRule="auto"/>
        <w:jc w:val="both"/>
        <w:rPr>
          <w:rFonts w:ascii="Verdana" w:eastAsia="Century Gothic" w:hAnsi="Verdana" w:cs="Century Gothic"/>
        </w:rPr>
      </w:pPr>
      <w:r w:rsidRPr="00906BE9">
        <w:rPr>
          <w:rFonts w:ascii="Verdana" w:eastAsia="Century Gothic" w:hAnsi="Verdana" w:cs="Century Gothic"/>
        </w:rPr>
        <w:t xml:space="preserve">De acuerdo con el contenido de su solicitud, esta Agencia resolverá el siguiente problema jurídico: ¿cuál es el alcance de la causal de selección abreviada del literal a) del artículo 2.2 de la Ley 1150 de 2007?        </w:t>
      </w:r>
      <w:r>
        <w:rPr>
          <w:rFonts w:ascii="Verdana" w:eastAsia="Century Gothic" w:hAnsi="Verdana" w:cs="Century Gothic"/>
        </w:rPr>
        <w:t xml:space="preserve">       </w:t>
      </w:r>
      <w:r w:rsidRPr="00C00976">
        <w:rPr>
          <w:rFonts w:ascii="Verdana" w:eastAsia="Century Gothic" w:hAnsi="Verdana" w:cs="Century Gothic"/>
          <w:color w:val="7030A0"/>
        </w:rPr>
        <w:t xml:space="preserve"> </w:t>
      </w:r>
    </w:p>
    <w:p w14:paraId="25D95ED2" w14:textId="77777777" w:rsidR="00B24B86" w:rsidRPr="004B140F" w:rsidRDefault="00B24B86" w:rsidP="00B24B86">
      <w:pPr>
        <w:spacing w:after="0" w:line="276" w:lineRule="auto"/>
        <w:jc w:val="both"/>
        <w:rPr>
          <w:rFonts w:ascii="Verdana" w:eastAsia="Calibri" w:hAnsi="Verdana" w:cs="Arial"/>
          <w:color w:val="7030A0"/>
        </w:rPr>
      </w:pPr>
    </w:p>
    <w:p w14:paraId="1F1752D1" w14:textId="77777777" w:rsidR="00B24B86" w:rsidRPr="00593A5F" w:rsidRDefault="00B24B86" w:rsidP="00B24B8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CD0DC10" w14:textId="77777777" w:rsidR="00B24B86" w:rsidRPr="00593A5F" w:rsidRDefault="00B24B86" w:rsidP="00B24B8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24B86" w:rsidRPr="00593A5F" w14:paraId="68373D4C" w14:textId="77777777" w:rsidTr="001C39F7">
        <w:trPr>
          <w:jc w:val="center"/>
        </w:trPr>
        <w:tc>
          <w:tcPr>
            <w:tcW w:w="8828" w:type="dxa"/>
            <w:shd w:val="clear" w:color="auto" w:fill="auto"/>
          </w:tcPr>
          <w:p w14:paraId="422B72A8" w14:textId="77777777" w:rsidR="009415BC" w:rsidRDefault="009415BC" w:rsidP="007D4BD8">
            <w:pPr>
              <w:tabs>
                <w:tab w:val="left" w:pos="567"/>
              </w:tabs>
              <w:spacing w:line="256" w:lineRule="auto"/>
              <w:jc w:val="both"/>
              <w:rPr>
                <w:rFonts w:ascii="Verdana" w:eastAsia="Calibri" w:hAnsi="Verdana" w:cs="Times New Roman"/>
                <w:iCs/>
                <w:lang w:val="es-ES"/>
              </w:rPr>
            </w:pPr>
            <w:bookmarkStart w:id="1" w:name="_Hlk171694685"/>
          </w:p>
          <w:p w14:paraId="36FCBFE2" w14:textId="6E11F686" w:rsidR="007D4BD8" w:rsidRPr="009415BC" w:rsidRDefault="007D4BD8" w:rsidP="00BF51A9">
            <w:pPr>
              <w:tabs>
                <w:tab w:val="left" w:pos="567"/>
              </w:tabs>
              <w:spacing w:after="120" w:line="257" w:lineRule="auto"/>
              <w:jc w:val="both"/>
              <w:rPr>
                <w:rFonts w:ascii="Verdana" w:eastAsia="Times New Roman" w:hAnsi="Verdana" w:cs="Arial"/>
                <w:shd w:val="clear" w:color="auto" w:fill="FFFFFF"/>
                <w:lang w:eastAsia="es-CO"/>
              </w:rPr>
            </w:pPr>
            <w:r w:rsidRPr="00185EE9">
              <w:rPr>
                <w:rFonts w:ascii="Verdana" w:eastAsia="Calibri" w:hAnsi="Verdana" w:cs="Times New Roman"/>
                <w:iCs/>
                <w:lang w:val="es-ES"/>
              </w:rPr>
              <w:t xml:space="preserve">En </w:t>
            </w:r>
            <w:r w:rsidRPr="00185EE9">
              <w:rPr>
                <w:rFonts w:ascii="Verdana" w:eastAsia="Calibri" w:hAnsi="Verdana" w:cs="Times New Roman"/>
                <w:i/>
                <w:lang w:val="es-ES"/>
              </w:rPr>
              <w:t>primer lugar</w:t>
            </w:r>
            <w:r w:rsidRPr="00185EE9">
              <w:rPr>
                <w:rFonts w:ascii="Verdana" w:eastAsia="Calibri" w:hAnsi="Verdana" w:cs="Times New Roman"/>
                <w:iCs/>
                <w:lang w:val="es-ES"/>
              </w:rPr>
              <w:t>, se precisa que, los bienes y servicios de características técnicas uniformes y de común utilización son aquellos que comparten patrones de desempeño y calidad</w:t>
            </w:r>
            <w:r w:rsidRPr="00185EE9">
              <w:rPr>
                <w:rFonts w:ascii="Verdana" w:eastAsia="Calibri" w:hAnsi="Verdana" w:cs="Arial"/>
                <w:bCs/>
                <w:color w:val="000000" w:themeColor="text1"/>
              </w:rPr>
              <w:t xml:space="preserve"> similares para la satisfacción de la necesidad a la que atienden</w:t>
            </w:r>
            <w:r w:rsidRPr="00185EE9">
              <w:rPr>
                <w:rFonts w:ascii="Verdana" w:eastAsia="Calibri" w:hAnsi="Verdana" w:cs="Times New Roman"/>
                <w:iCs/>
                <w:lang w:val="es-ES"/>
              </w:rPr>
              <w:t xml:space="preserve">. De acuerdo con el numeral 2 del artículo 2 de la Ley 1150 de 2007, así </w:t>
            </w:r>
            <w:r w:rsidRPr="00185EE9">
              <w:rPr>
                <w:rFonts w:ascii="Verdana" w:eastAsia="Times New Roman" w:hAnsi="Verdana" w:cs="Arial"/>
                <w:shd w:val="clear" w:color="auto" w:fill="FFFFFF"/>
                <w:lang w:eastAsia="es-CO"/>
              </w:rPr>
              <w:t xml:space="preserve">corresponden a aquellos que poseen las mismas especificaciones </w:t>
            </w:r>
            <w:r w:rsidRPr="00185EE9">
              <w:rPr>
                <w:rFonts w:ascii="Verdana" w:eastAsia="Times New Roman" w:hAnsi="Verdana" w:cs="Arial"/>
                <w:shd w:val="clear" w:color="auto" w:fill="FFFFFF"/>
                <w:lang w:eastAsia="es-CO"/>
              </w:rPr>
              <w:lastRenderedPageBreak/>
              <w:t>técnicas, con independencia de su diseño o de sus características descriptivas, y comparten patrones de desempeño y calidad objetivamente definidos.</w:t>
            </w:r>
          </w:p>
          <w:p w14:paraId="195A14EA" w14:textId="77777777" w:rsidR="007D4BD8" w:rsidRPr="00185EE9" w:rsidRDefault="007D4BD8" w:rsidP="007D4BD8">
            <w:pPr>
              <w:spacing w:after="120" w:line="276" w:lineRule="auto"/>
              <w:ind w:firstLine="709"/>
              <w:jc w:val="both"/>
              <w:rPr>
                <w:rFonts w:ascii="Verdana" w:eastAsia="Calibri" w:hAnsi="Verdana" w:cs="Arial"/>
                <w:bCs/>
                <w:color w:val="000000" w:themeColor="text1"/>
              </w:rPr>
            </w:pPr>
            <w:r w:rsidRPr="00185EE9">
              <w:rPr>
                <w:rFonts w:ascii="Verdana" w:eastAsia="Calibri" w:hAnsi="Verdana" w:cs="Times New Roman"/>
                <w:iCs/>
                <w:lang w:val="es-ES"/>
              </w:rPr>
              <w:t xml:space="preserve">En </w:t>
            </w:r>
            <w:r w:rsidRPr="00185EE9">
              <w:rPr>
                <w:rFonts w:ascii="Verdana" w:eastAsia="Calibri" w:hAnsi="Verdana" w:cs="Times New Roman"/>
                <w:i/>
                <w:lang w:val="es-ES"/>
              </w:rPr>
              <w:t>segundo</w:t>
            </w:r>
            <w:r w:rsidRPr="00185EE9">
              <w:rPr>
                <w:rFonts w:ascii="Verdana" w:eastAsia="Calibri" w:hAnsi="Verdana" w:cs="Times New Roman"/>
                <w:iCs/>
                <w:lang w:val="es-ES"/>
              </w:rPr>
              <w:t xml:space="preserve"> lugar, debe indicarse que, </w:t>
            </w:r>
            <w:r w:rsidRPr="00185EE9">
              <w:rPr>
                <w:rFonts w:ascii="Verdana" w:eastAsia="Calibri" w:hAnsi="Verdana" w:cs="Times New Roman"/>
                <w:i/>
                <w:lang w:val="es-ES"/>
              </w:rPr>
              <w:t xml:space="preserve">en principio, </w:t>
            </w:r>
            <w:r w:rsidRPr="00185EE9">
              <w:rPr>
                <w:rFonts w:ascii="Verdana" w:eastAsia="Calibri" w:hAnsi="Verdana" w:cs="Times New Roman"/>
                <w:iCs/>
                <w:lang w:val="es-ES"/>
              </w:rPr>
              <w:t>la modalidad de selección aplicable</w:t>
            </w:r>
            <w:r w:rsidRPr="00185EE9">
              <w:rPr>
                <w:rFonts w:ascii="Verdana" w:eastAsia="Calibri" w:hAnsi="Verdana" w:cs="Arial"/>
                <w:bCs/>
                <w:color w:val="000000" w:themeColor="text1"/>
              </w:rPr>
              <w:t xml:space="preserve"> para la adquisición de</w:t>
            </w:r>
            <w:r w:rsidRPr="00185EE9">
              <w:rPr>
                <w:rFonts w:ascii="Verdana" w:eastAsia="Calibri" w:hAnsi="Verdana" w:cs="Arial"/>
                <w:bCs/>
                <w:i/>
                <w:iCs/>
                <w:color w:val="000000" w:themeColor="text1"/>
              </w:rPr>
              <w:t xml:space="preserve"> </w:t>
            </w:r>
            <w:r w:rsidRPr="00185EE9">
              <w:rPr>
                <w:rFonts w:ascii="Verdana" w:eastAsia="Calibri" w:hAnsi="Verdana" w:cs="Arial"/>
                <w:bCs/>
                <w:color w:val="000000" w:themeColor="text1"/>
              </w:rPr>
              <w:t>bienes y servicios de características técnicas uniformes y común utilización es la selección abreviada a la que hace referencia el</w:t>
            </w:r>
            <w:r w:rsidRPr="00185EE9">
              <w:rPr>
                <w:rFonts w:ascii="Verdana" w:eastAsia="Calibri" w:hAnsi="Verdana" w:cs="Arial"/>
                <w:bCs/>
                <w:i/>
                <w:iCs/>
                <w:color w:val="000000" w:themeColor="text1"/>
              </w:rPr>
              <w:t xml:space="preserve"> </w:t>
            </w:r>
            <w:r w:rsidRPr="00185EE9">
              <w:rPr>
                <w:rFonts w:ascii="Verdana" w:eastAsia="Calibri" w:hAnsi="Verdana" w:cs="Arial"/>
                <w:bCs/>
                <w:color w:val="000000" w:themeColor="text1"/>
              </w:rPr>
              <w:t xml:space="preserve">literal a) del numeral 2 del 2 artículo de la Ley 1150 de 2007. Esto supone que, para la adquisición de estos bienes o servicios, las Entidades Estatales deban escoger a los proponentes habilitados que presenten ofertas de menor valor, en el marco de la aplicación del mecanismo de subasta inversa o de instrumentos de compra por catálogo derivados de la celebración de acuerdos marco de precios o de procedimientos de adquisición en bolsas de productos. </w:t>
            </w:r>
          </w:p>
          <w:p w14:paraId="2FE10723" w14:textId="77777777" w:rsidR="007D4BD8" w:rsidRPr="00185EE9" w:rsidRDefault="007D4BD8" w:rsidP="007D4BD8">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si bien nada se opone a que los servicios de vigilancia y seguridad privada regulados por el Decreto Ley 356 de 1994 sean considerados como de características técnicas uniformes, la contratación de estos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66DB910B" w14:textId="77777777" w:rsidR="007D4BD8" w:rsidRPr="00185EE9" w:rsidRDefault="007D4BD8" w:rsidP="007D4BD8">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w:t>
            </w:r>
            <w:r w:rsidRPr="00185EE9">
              <w:rPr>
                <w:rFonts w:ascii="Verdana" w:eastAsia="Calibri" w:hAnsi="Verdana" w:cs="Arial"/>
                <w:color w:val="000000"/>
                <w:lang w:val="es-ES_tradnl"/>
              </w:rPr>
              <w:t xml:space="preserve"> artículo 6 de la </w:t>
            </w:r>
            <w:r w:rsidRPr="00185EE9">
              <w:rPr>
                <w:rFonts w:ascii="Verdana" w:eastAsia="Calibri" w:hAnsi="Verdana" w:cs="Arial"/>
                <w:color w:val="000000"/>
                <w:lang w:val="es-ES_tradnl"/>
              </w:rPr>
              <w:lastRenderedPageBreak/>
              <w:t xml:space="preserve">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 xml:space="preserve">servicios de vigilancia y seguridad privada, previendo además la aplicación de factores de evaluación distintos del precio. </w:t>
            </w:r>
          </w:p>
          <w:p w14:paraId="10585034" w14:textId="77777777" w:rsidR="007D4BD8" w:rsidRPr="00185EE9" w:rsidRDefault="007D4BD8" w:rsidP="007D4BD8">
            <w:pPr>
              <w:spacing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0D82A66C" w14:textId="2BCD60BD" w:rsidR="00B24B86" w:rsidRPr="00BD0B8C" w:rsidRDefault="00B24B86" w:rsidP="001C39F7">
            <w:pPr>
              <w:spacing w:before="120" w:line="276" w:lineRule="auto"/>
              <w:ind w:firstLine="709"/>
              <w:jc w:val="both"/>
              <w:rPr>
                <w:rFonts w:ascii="Verdana" w:hAnsi="Verdana" w:cs="Arial"/>
                <w:lang w:eastAsia="es-ES"/>
              </w:rPr>
            </w:pPr>
          </w:p>
        </w:tc>
      </w:tr>
    </w:tbl>
    <w:p w14:paraId="2A377210" w14:textId="77777777" w:rsidR="00B24B86" w:rsidRPr="00593A5F" w:rsidRDefault="00B24B86" w:rsidP="00B24B86">
      <w:pPr>
        <w:tabs>
          <w:tab w:val="left" w:pos="142"/>
          <w:tab w:val="left" w:pos="284"/>
        </w:tabs>
        <w:spacing w:after="0" w:line="276" w:lineRule="auto"/>
        <w:jc w:val="both"/>
        <w:rPr>
          <w:rFonts w:ascii="Verdana" w:eastAsia="Century Gothic" w:hAnsi="Verdana" w:cs="Century Gothic"/>
          <w:b/>
          <w:bCs/>
          <w:lang w:val="es-ES"/>
        </w:rPr>
      </w:pPr>
    </w:p>
    <w:bookmarkEnd w:id="1"/>
    <w:p w14:paraId="2C1FA768" w14:textId="77777777" w:rsidR="00B24B86" w:rsidRPr="00593A5F" w:rsidRDefault="00B24B86" w:rsidP="00B24B8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5660138" w14:textId="77777777" w:rsidR="00B24B86" w:rsidRPr="00593A5F" w:rsidRDefault="00B24B86" w:rsidP="00B24B86">
      <w:pPr>
        <w:spacing w:after="0" w:line="276" w:lineRule="auto"/>
        <w:jc w:val="both"/>
        <w:rPr>
          <w:rFonts w:ascii="Verdana" w:eastAsia="Calibri" w:hAnsi="Verdana" w:cs="Arial"/>
          <w:color w:val="7030A0"/>
          <w:lang w:val="es-ES"/>
        </w:rPr>
      </w:pPr>
    </w:p>
    <w:p w14:paraId="4549A346" w14:textId="77777777" w:rsidR="00B24B86" w:rsidRDefault="00B24B86" w:rsidP="00B24B86">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5099DC8" w14:textId="77777777" w:rsidR="00B24B86" w:rsidRPr="00415608" w:rsidRDefault="00B24B86" w:rsidP="00B24B86">
      <w:pPr>
        <w:spacing w:after="0" w:line="276" w:lineRule="auto"/>
        <w:jc w:val="both"/>
        <w:rPr>
          <w:rFonts w:ascii="Verdana" w:eastAsia="Calibri" w:hAnsi="Verdana" w:cs="Arial"/>
          <w:lang w:val="es-ES"/>
        </w:rPr>
      </w:pPr>
    </w:p>
    <w:p w14:paraId="155D1035" w14:textId="77777777" w:rsidR="0056051D" w:rsidRPr="00185EE9" w:rsidRDefault="00B24B86" w:rsidP="0056051D">
      <w:pPr>
        <w:spacing w:after="120" w:line="276" w:lineRule="auto"/>
        <w:jc w:val="both"/>
        <w:rPr>
          <w:rFonts w:ascii="Verdana" w:eastAsia="Calibri" w:hAnsi="Verdana" w:cs="Arial"/>
          <w:bCs/>
          <w:lang w:val="es-MX" w:eastAsia="es-ES_tradnl"/>
        </w:rPr>
      </w:pPr>
      <w:r w:rsidRPr="0086479C">
        <w:rPr>
          <w:rFonts w:ascii="Verdana" w:eastAsia="Calibri" w:hAnsi="Verdana" w:cs="Arial"/>
          <w:color w:val="000000"/>
          <w:szCs w:val="24"/>
          <w:lang w:val="es-ES_tradnl" w:eastAsia="es-ES_tradnl"/>
        </w:rPr>
        <w:t>P</w:t>
      </w:r>
      <w:r w:rsidRPr="0086479C">
        <w:rPr>
          <w:rFonts w:ascii="Verdana" w:hAnsi="Verdana" w:cs="Arial"/>
          <w:lang w:val="es-ES"/>
        </w:rPr>
        <w:t xml:space="preserve">ara las entidades sometidas al Estatuto General de Contratación de la Administración Pública, los procesos de selección se rigen por </w:t>
      </w:r>
      <w:r w:rsidRPr="0086479C">
        <w:rPr>
          <w:rFonts w:ascii="Verdana" w:hAnsi="Verdana" w:cs="Arial"/>
          <w:bCs/>
          <w:lang w:val="es-ES_tradnl"/>
        </w:rPr>
        <w:t>el artículo 2 de la Ley 1150 de 2007</w:t>
      </w:r>
      <w:r w:rsidRPr="0086479C">
        <w:rPr>
          <w:rFonts w:ascii="Verdana" w:hAnsi="Verdana" w:cs="Arial"/>
          <w:lang w:val="es-ES"/>
        </w:rPr>
        <w:t xml:space="preserve">. El </w:t>
      </w:r>
      <w:r w:rsidRPr="0086479C">
        <w:rPr>
          <w:rFonts w:ascii="Verdana" w:eastAsia="Calibri" w:hAnsi="Verdana" w:cs="Arial"/>
          <w:bCs/>
          <w:lang w:val="es-MX" w:eastAsia="es-ES_tradnl"/>
        </w:rPr>
        <w:t>numeral uno, inciso primero, de la norma citada</w:t>
      </w:r>
      <w:r w:rsidRPr="0086479C">
        <w:rPr>
          <w:rFonts w:ascii="Verdana" w:hAnsi="Verdana" w:cs="Arial"/>
          <w:bCs/>
          <w:lang w:val="es-ES_tradnl"/>
        </w:rPr>
        <w:t xml:space="preserve"> </w:t>
      </w:r>
      <w:r w:rsidRPr="0086479C">
        <w:rPr>
          <w:rFonts w:ascii="Verdana" w:eastAsia="Calibri" w:hAnsi="Verdana" w:cs="Arial"/>
          <w:bCs/>
          <w:lang w:val="es-MX" w:eastAsia="es-ES_tradnl"/>
        </w:rPr>
        <w:t xml:space="preserve">dispone que “La escogencia del contratista se efectuará por </w:t>
      </w:r>
      <w:r w:rsidRPr="0086479C">
        <w:rPr>
          <w:rFonts w:ascii="Verdana" w:eastAsia="Calibri" w:hAnsi="Verdana" w:cs="Arial"/>
          <w:bCs/>
          <w:i/>
          <w:iCs/>
          <w:lang w:val="es-MX" w:eastAsia="es-ES_tradnl"/>
        </w:rPr>
        <w:t>regla general</w:t>
      </w:r>
      <w:r w:rsidRPr="0086479C">
        <w:rPr>
          <w:rFonts w:ascii="Verdana" w:eastAsia="Calibri" w:hAnsi="Verdana" w:cs="Arial"/>
          <w:bCs/>
          <w:lang w:val="es-MX" w:eastAsia="es-ES_tradnl"/>
        </w:rPr>
        <w:t xml:space="preserve"> a través de licitación pública, con las </w:t>
      </w:r>
      <w:r w:rsidRPr="0086479C">
        <w:rPr>
          <w:rFonts w:ascii="Verdana" w:eastAsia="Calibri" w:hAnsi="Verdana" w:cs="Arial"/>
          <w:bCs/>
          <w:i/>
          <w:iCs/>
          <w:lang w:val="es-MX" w:eastAsia="es-ES_tradnl"/>
        </w:rPr>
        <w:t>excepciones</w:t>
      </w:r>
      <w:r w:rsidRPr="0086479C">
        <w:rPr>
          <w:rFonts w:ascii="Verdana" w:eastAsia="Calibri" w:hAnsi="Verdana" w:cs="Arial"/>
          <w:bCs/>
          <w:lang w:val="es-MX" w:eastAsia="es-ES_tradnl"/>
        </w:rPr>
        <w:t xml:space="preserve"> que se señalan en los numerales 2, 3 y 4 del presente artículo”, norma que sustituye el derogado numeral 1 del artículo 24 de la Ley 80 de 1993 sobre el principio de transparencia</w:t>
      </w:r>
      <w:r w:rsidRPr="0086479C">
        <w:rPr>
          <w:rStyle w:val="Refdenotaalpie"/>
          <w:rFonts w:ascii="Verdana" w:eastAsia="Calibri" w:hAnsi="Verdana" w:cs="Arial"/>
          <w:bCs/>
          <w:lang w:val="es-MX" w:eastAsia="es-ES_tradnl"/>
        </w:rPr>
        <w:footnoteReference w:id="2"/>
      </w:r>
      <w:r w:rsidRPr="0086479C">
        <w:rPr>
          <w:rFonts w:ascii="Verdana" w:eastAsia="Calibri" w:hAnsi="Verdana" w:cs="Arial"/>
          <w:bCs/>
          <w:lang w:val="es-MX" w:eastAsia="es-ES_tradnl"/>
        </w:rPr>
        <w:t xml:space="preserve">. </w:t>
      </w:r>
    </w:p>
    <w:p w14:paraId="2E436EA9" w14:textId="77777777" w:rsidR="0056051D" w:rsidRPr="00185EE9" w:rsidRDefault="0056051D" w:rsidP="0056051D">
      <w:pPr>
        <w:spacing w:after="120" w:line="276" w:lineRule="auto"/>
        <w:ind w:firstLine="708"/>
        <w:jc w:val="both"/>
        <w:rPr>
          <w:rFonts w:ascii="Verdana" w:eastAsia="Calibri" w:hAnsi="Verdana" w:cs="Arial"/>
          <w:bCs/>
          <w:lang w:val="es-MX" w:eastAsia="es-ES_tradnl"/>
        </w:rPr>
      </w:pPr>
      <w:r w:rsidRPr="00185EE9">
        <w:rPr>
          <w:rFonts w:ascii="Verdana" w:eastAsia="Calibri" w:hAnsi="Verdana" w:cs="Arial"/>
          <w:bCs/>
          <w:lang w:val="es-MX" w:eastAsia="es-ES_tradnl"/>
        </w:rPr>
        <w:t>Salvo norma especial que ordene la celebración del negocio jurídico por otra modalidad de selección, debe aplicarse la regla general de licitación pública</w:t>
      </w:r>
      <w:r w:rsidRPr="00185EE9">
        <w:rPr>
          <w:rStyle w:val="Refdenotaalpie"/>
          <w:rFonts w:ascii="Verdana" w:eastAsia="Calibri" w:hAnsi="Verdana" w:cs="Arial"/>
          <w:bCs/>
          <w:lang w:val="es-MX" w:eastAsia="es-ES_tradnl"/>
        </w:rPr>
        <w:footnoteReference w:id="3"/>
      </w:r>
      <w:r w:rsidRPr="00185EE9">
        <w:rPr>
          <w:rFonts w:ascii="Verdana" w:eastAsia="Calibri" w:hAnsi="Verdana" w:cs="Arial"/>
          <w:bCs/>
          <w:lang w:val="es-MX" w:eastAsia="es-ES_tradnl"/>
        </w:rPr>
        <w:t xml:space="preserve">. Por ello, dependiendo del objeto o el valor de presupuesto oficial, es </w:t>
      </w:r>
      <w:r w:rsidRPr="00185EE9">
        <w:rPr>
          <w:rFonts w:ascii="Verdana" w:eastAsia="Calibri" w:hAnsi="Verdana" w:cs="Arial"/>
          <w:bCs/>
          <w:lang w:val="es-MX" w:eastAsia="es-ES_tradnl"/>
        </w:rPr>
        <w:lastRenderedPageBreak/>
        <w:t>posible la aplicación de otros procedimientos contractuales. Estos pueden ser con pluralidad de oferentes –v. gr. la selección abreviada de menor cuantía o la mínima cuantía– o sin concurrencia de proponentes –por ejemplo, la contratación directa–.</w:t>
      </w:r>
    </w:p>
    <w:p w14:paraId="6BF92614" w14:textId="77777777" w:rsidR="0056051D" w:rsidRPr="00185EE9" w:rsidRDefault="0056051D" w:rsidP="0056051D">
      <w:pPr>
        <w:spacing w:after="120" w:line="276" w:lineRule="auto"/>
        <w:ind w:firstLine="708"/>
        <w:jc w:val="both"/>
        <w:rPr>
          <w:rFonts w:ascii="Verdana" w:eastAsia="Calibri" w:hAnsi="Verdana" w:cs="Arial"/>
        </w:rPr>
      </w:pPr>
      <w:r w:rsidRPr="00185EE9">
        <w:rPr>
          <w:rFonts w:ascii="Verdana" w:eastAsia="Calibri" w:hAnsi="Verdana" w:cs="Arial"/>
          <w:bCs/>
          <w:lang w:val="es-MX" w:eastAsia="es-ES_tradnl"/>
        </w:rPr>
        <w:t xml:space="preserve">Respecto a la selección abreviada, </w:t>
      </w:r>
      <w:r w:rsidRPr="00185EE9">
        <w:rPr>
          <w:rFonts w:ascii="Verdana" w:eastAsia="Calibri" w:hAnsi="Verdana" w:cs="Arial"/>
        </w:rPr>
        <w:t>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85EE9">
        <w:rPr>
          <w:rStyle w:val="Refdenotaalpie"/>
          <w:rFonts w:ascii="Verdana" w:eastAsia="Calibri" w:hAnsi="Verdana" w:cs="Arial"/>
        </w:rPr>
        <w:footnoteReference w:id="4"/>
      </w:r>
      <w:r w:rsidRPr="00185EE9">
        <w:rPr>
          <w:rFonts w:ascii="Verdana" w:eastAsia="Calibri" w:hAnsi="Verdana" w:cs="Arial"/>
        </w:rPr>
        <w:t xml:space="preserve">. </w:t>
      </w:r>
    </w:p>
    <w:p w14:paraId="5036C18E" w14:textId="77777777" w:rsidR="0056051D" w:rsidRPr="00185EE9" w:rsidRDefault="0056051D" w:rsidP="0056051D">
      <w:pPr>
        <w:spacing w:after="0" w:line="276" w:lineRule="auto"/>
        <w:ind w:firstLine="708"/>
        <w:jc w:val="both"/>
        <w:rPr>
          <w:rFonts w:ascii="Verdana" w:eastAsia="Calibri" w:hAnsi="Verdana" w:cs="Arial"/>
        </w:rPr>
      </w:pPr>
      <w:r w:rsidRPr="00185EE9">
        <w:rPr>
          <w:rFonts w:ascii="Verdana" w:eastAsia="Calibri" w:hAnsi="Verdana" w:cs="Arial"/>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 En la exposición de motivos se explica lo siguiente:</w:t>
      </w:r>
    </w:p>
    <w:p w14:paraId="5FAC3AD4" w14:textId="77777777" w:rsidR="0056051D" w:rsidRPr="00185EE9" w:rsidRDefault="0056051D" w:rsidP="0056051D">
      <w:pPr>
        <w:spacing w:after="0" w:line="276" w:lineRule="auto"/>
        <w:jc w:val="both"/>
        <w:rPr>
          <w:rFonts w:ascii="Verdana" w:eastAsia="Calibri" w:hAnsi="Verdana" w:cs="Arial"/>
        </w:rPr>
      </w:pPr>
    </w:p>
    <w:p w14:paraId="6D59B37A" w14:textId="77777777" w:rsidR="0056051D" w:rsidRPr="00185EE9" w:rsidRDefault="0056051D" w:rsidP="0056051D">
      <w:pPr>
        <w:spacing w:after="12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25472EB5" w14:textId="77777777" w:rsidR="0056051D" w:rsidRPr="00185EE9" w:rsidRDefault="0056051D" w:rsidP="0056051D">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85EE9">
        <w:rPr>
          <w:rStyle w:val="Refdenotaalpie"/>
          <w:rFonts w:ascii="Verdana" w:eastAsia="Calibri" w:hAnsi="Verdana" w:cs="Arial"/>
          <w:sz w:val="21"/>
          <w:szCs w:val="21"/>
        </w:rPr>
        <w:footnoteReference w:id="5"/>
      </w:r>
      <w:r w:rsidRPr="00185EE9">
        <w:rPr>
          <w:rFonts w:ascii="Verdana" w:eastAsia="Calibri" w:hAnsi="Verdana" w:cs="Arial"/>
          <w:sz w:val="21"/>
          <w:szCs w:val="21"/>
        </w:rPr>
        <w:t>.</w:t>
      </w:r>
    </w:p>
    <w:p w14:paraId="36D79212" w14:textId="77777777" w:rsidR="0056051D" w:rsidRPr="00185EE9" w:rsidRDefault="0056051D" w:rsidP="0056051D">
      <w:pPr>
        <w:spacing w:after="0" w:line="276" w:lineRule="auto"/>
        <w:jc w:val="both"/>
        <w:rPr>
          <w:rFonts w:ascii="Verdana" w:eastAsia="Calibri" w:hAnsi="Verdana" w:cs="Arial"/>
        </w:rPr>
      </w:pPr>
    </w:p>
    <w:p w14:paraId="070B9ED9" w14:textId="77777777" w:rsidR="0056051D" w:rsidRPr="00185EE9" w:rsidRDefault="0056051D" w:rsidP="0056051D">
      <w:pPr>
        <w:spacing w:after="120" w:line="276" w:lineRule="auto"/>
        <w:ind w:firstLine="709"/>
        <w:jc w:val="both"/>
        <w:rPr>
          <w:rFonts w:ascii="Verdana" w:eastAsia="Calibri" w:hAnsi="Verdana" w:cs="Arial"/>
        </w:rPr>
      </w:pPr>
      <w:r w:rsidRPr="00185EE9">
        <w:rPr>
          <w:rFonts w:ascii="Verdana" w:eastAsia="Calibri" w:hAnsi="Verdana" w:cs="Arial"/>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85EE9">
        <w:rPr>
          <w:rStyle w:val="Refdenotaalpie"/>
          <w:rFonts w:ascii="Verdana" w:eastAsia="Calibri" w:hAnsi="Verdana" w:cs="Arial"/>
        </w:rPr>
        <w:footnoteReference w:id="6"/>
      </w:r>
      <w:r w:rsidRPr="00185EE9">
        <w:rPr>
          <w:rFonts w:ascii="Verdana" w:eastAsia="Calibri" w:hAnsi="Verdana" w:cs="Arial"/>
        </w:rPr>
        <w:t xml:space="preserve">. </w:t>
      </w:r>
    </w:p>
    <w:p w14:paraId="63D9AA4B" w14:textId="77777777" w:rsidR="0056051D" w:rsidRPr="00185EE9" w:rsidRDefault="0056051D" w:rsidP="0056051D">
      <w:pPr>
        <w:spacing w:after="120" w:line="276" w:lineRule="auto"/>
        <w:ind w:firstLine="709"/>
        <w:jc w:val="both"/>
        <w:rPr>
          <w:rFonts w:ascii="Verdana" w:eastAsia="Calibri" w:hAnsi="Verdana" w:cs="Arial"/>
          <w:color w:val="000000"/>
          <w:szCs w:val="24"/>
          <w:lang w:val="es-ES_tradnl" w:eastAsia="es-ES_tradnl"/>
        </w:rPr>
      </w:pPr>
      <w:r w:rsidRPr="00185EE9">
        <w:rPr>
          <w:rFonts w:ascii="Verdana" w:eastAsia="Calibri" w:hAnsi="Verdana" w:cs="Arial"/>
          <w:color w:val="000000"/>
          <w:szCs w:val="24"/>
          <w:lang w:val="es-ES_tradnl" w:eastAsia="es-ES_tradnl"/>
        </w:rPr>
        <w:t xml:space="preserve">Así, el literal a) del artículo 2.2 de la Ley 1150 de 2007 regula la adquisición o suministro de bienes y servicios de características técnicas </w:t>
      </w:r>
      <w:r w:rsidRPr="00185EE9">
        <w:rPr>
          <w:rFonts w:ascii="Verdana" w:eastAsia="Calibri" w:hAnsi="Verdana" w:cs="Arial"/>
          <w:color w:val="000000"/>
          <w:szCs w:val="24"/>
          <w:lang w:val="es-ES_tradnl" w:eastAsia="es-ES_tradnl"/>
        </w:rPr>
        <w:lastRenderedPageBreak/>
        <w:t xml:space="preserve">uniformes y de común utilización como causal de selección abreviada. Para entender su alcance, es necesario tener en cuenta que </w:t>
      </w:r>
      <w:r w:rsidRPr="00185EE9">
        <w:rPr>
          <w:rFonts w:ascii="Verdana" w:eastAsia="Calibri" w:hAnsi="Verdana" w:cs="Arial"/>
          <w:bCs/>
          <w:color w:val="000000" w:themeColor="text1"/>
        </w:rPr>
        <w:t xml:space="preserve">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185EE9">
        <w:rPr>
          <w:rStyle w:val="Refdenotaalpie"/>
          <w:rFonts w:ascii="Verdana" w:eastAsia="Calibri" w:hAnsi="Verdana" w:cs="Arial"/>
          <w:bCs/>
          <w:color w:val="000000" w:themeColor="text1"/>
        </w:rPr>
        <w:footnoteReference w:id="7"/>
      </w:r>
      <w:r w:rsidRPr="00185EE9">
        <w:rPr>
          <w:rFonts w:ascii="Verdana" w:eastAsia="Calibri" w:hAnsi="Verdana" w:cs="Arial"/>
          <w:bCs/>
          <w:color w:val="000000" w:themeColor="text1"/>
        </w:rPr>
        <w:t xml:space="preserve">. </w:t>
      </w:r>
    </w:p>
    <w:p w14:paraId="3066F9AE"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14:paraId="79855A67"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Para identificar los bienes y servicios que corresponden a este tipo, se destacan dos (2) aspectos importantes: la común utilización y la homogeneidad. Para la doctrina, la </w:t>
      </w:r>
      <w:r w:rsidRPr="00185EE9">
        <w:rPr>
          <w:rFonts w:ascii="Verdana" w:eastAsia="Calibri" w:hAnsi="Verdana" w:cs="Arial"/>
          <w:bCs/>
          <w:i/>
          <w:iCs/>
          <w:color w:val="000000" w:themeColor="text1"/>
        </w:rPr>
        <w:t>común utilización</w:t>
      </w:r>
      <w:r w:rsidRPr="00185EE9">
        <w:rPr>
          <w:rFonts w:ascii="Verdana" w:eastAsia="Calibri" w:hAnsi="Verdana" w:cs="Arial"/>
          <w:bCs/>
          <w:color w:val="000000" w:themeColor="text1"/>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w:t>
      </w:r>
      <w:r w:rsidRPr="00185EE9">
        <w:rPr>
          <w:rFonts w:ascii="Verdana" w:eastAsia="Calibri" w:hAnsi="Verdana" w:cs="Arial"/>
          <w:bCs/>
          <w:color w:val="000000" w:themeColor="text1"/>
        </w:rPr>
        <w:lastRenderedPageBreak/>
        <w:t>interesado en adquirirlos”</w:t>
      </w:r>
      <w:r w:rsidRPr="00185EE9">
        <w:rPr>
          <w:rStyle w:val="Refdenotaalpie"/>
          <w:rFonts w:ascii="Verdana" w:eastAsia="Calibri" w:hAnsi="Verdana" w:cs="Arial"/>
          <w:bCs/>
          <w:color w:val="000000" w:themeColor="text1"/>
        </w:rPr>
        <w:footnoteReference w:id="8"/>
      </w:r>
      <w:r w:rsidRPr="00185EE9">
        <w:rPr>
          <w:rFonts w:ascii="Verdana" w:eastAsia="Calibri" w:hAnsi="Verdana" w:cs="Arial"/>
          <w:bCs/>
          <w:color w:val="000000" w:themeColor="text1"/>
        </w:rPr>
        <w:t xml:space="preserve">. Por su parte, la </w:t>
      </w:r>
      <w:r w:rsidRPr="00185EE9">
        <w:rPr>
          <w:rFonts w:ascii="Verdana" w:eastAsia="Calibri" w:hAnsi="Verdana" w:cs="Arial"/>
          <w:bCs/>
          <w:i/>
          <w:iCs/>
          <w:color w:val="000000" w:themeColor="text1"/>
        </w:rPr>
        <w:t>homogeneidad</w:t>
      </w:r>
      <w:r w:rsidRPr="00185EE9">
        <w:rPr>
          <w:rFonts w:ascii="Verdana" w:eastAsia="Calibri" w:hAnsi="Verdana" w:cs="Arial"/>
          <w:bCs/>
          <w:color w:val="000000" w:themeColor="text1"/>
        </w:rPr>
        <w:t xml:space="preserve"> se 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r w:rsidRPr="00185EE9">
        <w:rPr>
          <w:rStyle w:val="Refdenotaalpie"/>
          <w:rFonts w:ascii="Verdana" w:eastAsia="Calibri" w:hAnsi="Verdana" w:cs="Arial"/>
          <w:bCs/>
          <w:color w:val="000000" w:themeColor="text1"/>
        </w:rPr>
        <w:footnoteReference w:id="9"/>
      </w:r>
      <w:r w:rsidRPr="00185EE9">
        <w:rPr>
          <w:rFonts w:ascii="Verdana" w:eastAsia="Calibri" w:hAnsi="Verdana" w:cs="Arial"/>
          <w:bCs/>
          <w:color w:val="000000" w:themeColor="text1"/>
        </w:rPr>
        <w:t>.</w:t>
      </w:r>
    </w:p>
    <w:p w14:paraId="0BEA2B97" w14:textId="77777777" w:rsidR="0056051D" w:rsidRPr="00185EE9" w:rsidRDefault="0056051D" w:rsidP="0056051D">
      <w:pPr>
        <w:spacing w:after="0" w:line="276" w:lineRule="auto"/>
        <w:ind w:firstLine="708"/>
        <w:jc w:val="both"/>
        <w:rPr>
          <w:rFonts w:ascii="Verdana" w:eastAsia="Calibri" w:hAnsi="Verdana" w:cs="Arial"/>
        </w:rPr>
      </w:pPr>
      <w:r w:rsidRPr="00185EE9">
        <w:rPr>
          <w:rFonts w:ascii="Verdana" w:eastAsia="Calibri" w:hAnsi="Verdana"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14:paraId="3196F13C" w14:textId="77777777" w:rsidR="0056051D" w:rsidRPr="00185EE9" w:rsidRDefault="0056051D" w:rsidP="0056051D">
      <w:pPr>
        <w:spacing w:after="0" w:line="276" w:lineRule="auto"/>
        <w:jc w:val="both"/>
        <w:rPr>
          <w:rFonts w:ascii="Verdana" w:eastAsia="Calibri" w:hAnsi="Verdana" w:cs="Arial"/>
        </w:rPr>
      </w:pPr>
    </w:p>
    <w:p w14:paraId="06B1592D" w14:textId="77777777" w:rsidR="0056051D" w:rsidRPr="00185EE9" w:rsidRDefault="0056051D" w:rsidP="0056051D">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que según cálculos del Departamento Nacional de Planeación, corresponden a más del 80% en número de contratos. </w:t>
      </w:r>
      <w:r w:rsidRPr="00185EE9">
        <w:rPr>
          <w:rFonts w:ascii="Verdana" w:eastAsia="Calibri" w:hAnsi="Verdana"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85EE9">
        <w:rPr>
          <w:rFonts w:ascii="Verdana" w:eastAsia="Calibri" w:hAnsi="Verdana" w:cs="Arial"/>
          <w:sz w:val="21"/>
          <w:szCs w:val="21"/>
        </w:rPr>
        <w:t xml:space="preserve"> […]”</w:t>
      </w:r>
      <w:r w:rsidRPr="00185EE9">
        <w:rPr>
          <w:rStyle w:val="Refdenotaalpie"/>
          <w:rFonts w:ascii="Verdana" w:eastAsia="Calibri" w:hAnsi="Verdana" w:cs="Arial"/>
          <w:sz w:val="21"/>
          <w:szCs w:val="21"/>
        </w:rPr>
        <w:footnoteReference w:id="10"/>
      </w:r>
      <w:r w:rsidRPr="00185EE9">
        <w:rPr>
          <w:rFonts w:ascii="Verdana" w:eastAsia="Calibri" w:hAnsi="Verdana" w:cs="Arial"/>
          <w:sz w:val="21"/>
          <w:szCs w:val="21"/>
        </w:rPr>
        <w:t>. (Énfasis fuera de texto)</w:t>
      </w:r>
    </w:p>
    <w:p w14:paraId="5CB6C6AC" w14:textId="77777777" w:rsidR="0056051D" w:rsidRPr="00185EE9" w:rsidRDefault="0056051D" w:rsidP="0056051D">
      <w:pPr>
        <w:spacing w:after="0" w:line="276" w:lineRule="auto"/>
        <w:jc w:val="both"/>
        <w:rPr>
          <w:rFonts w:ascii="Verdana" w:eastAsia="Calibri" w:hAnsi="Verdana" w:cs="Arial"/>
        </w:rPr>
      </w:pPr>
    </w:p>
    <w:p w14:paraId="6AF09E95" w14:textId="77777777" w:rsidR="0056051D" w:rsidRPr="00185EE9" w:rsidRDefault="0056051D" w:rsidP="0056051D">
      <w:pPr>
        <w:spacing w:after="120" w:line="276" w:lineRule="auto"/>
        <w:ind w:firstLine="709"/>
        <w:jc w:val="both"/>
        <w:rPr>
          <w:rFonts w:ascii="Verdana" w:eastAsia="Calibri" w:hAnsi="Verdana" w:cs="Arial"/>
        </w:rPr>
      </w:pPr>
      <w:r w:rsidRPr="00185EE9">
        <w:rPr>
          <w:rFonts w:ascii="Verdana" w:eastAsia="Calibri" w:hAnsi="Verdana" w:cs="Arial"/>
        </w:rPr>
        <w:t>En este contexto, la doctrina identifica como bienes o servicios de características técnicas los insumos de oficina –bolígrafos, cartuchos de tinta, papel de impresora, tijeras, cuadernos, entre otros–, los insumos de limpieza –</w:t>
      </w:r>
      <w:r w:rsidRPr="00185EE9">
        <w:rPr>
          <w:rFonts w:ascii="Verdana" w:eastAsia="Calibri" w:hAnsi="Verdana" w:cs="Arial"/>
        </w:rPr>
        <w:lastRenderedPageBreak/>
        <w:t>bolsas de basura, esponjas, limpiador de pisos, papel higiénico, toallas de papel, entre otros–, y los insumos de cocina –agua, aromáticas, azúcar, café, servilletas, entre otros–. También identifica como tales los muebles y enseres –archivos, asientos, escritorios, mesas, entre otros–, los equipos –computadores, escáneres, impresoras, proyectores, entre otros–, los combustibles –ACPM, biodiesel, gasolina, combustible diésel, entre otros–, los servicios de mantenimiento –equipos electrónicos, de comunicaciones, entre otros–, etc.</w:t>
      </w:r>
      <w:r w:rsidRPr="00185EE9">
        <w:rPr>
          <w:rStyle w:val="Refdenotaalpie"/>
          <w:rFonts w:ascii="Verdana" w:eastAsia="Calibri" w:hAnsi="Verdana" w:cs="Arial"/>
        </w:rPr>
        <w:footnoteReference w:id="11"/>
      </w:r>
    </w:p>
    <w:p w14:paraId="2C009BC3"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 numeral 2 de la Ley 1150 de 2007 dispone que “</w:t>
      </w:r>
      <w:r w:rsidRPr="00185EE9">
        <w:rPr>
          <w:rFonts w:ascii="Verdana" w:eastAsia="Calibri" w:hAnsi="Verdana" w:cs="Arial"/>
          <w:bCs/>
          <w:i/>
          <w:iCs/>
          <w:color w:val="000000" w:themeColor="text1"/>
        </w:rPr>
        <w:t>Para la adquisición de estos bienes y servicios las entidades deberán</w:t>
      </w:r>
      <w:r w:rsidRPr="00185EE9">
        <w:rPr>
          <w:rFonts w:ascii="Verdana" w:eastAsia="Calibri" w:hAnsi="Verdana" w:cs="Arial"/>
          <w:bCs/>
          <w:color w:val="000000" w:themeColor="text1"/>
        </w:rPr>
        <w:t xml:space="preserve">, siempre que el reglamento así lo señale, </w:t>
      </w:r>
      <w:r w:rsidRPr="00185EE9">
        <w:rPr>
          <w:rFonts w:ascii="Verdana" w:eastAsia="Calibri" w:hAnsi="Verdana" w:cs="Arial"/>
          <w:bCs/>
          <w:i/>
          <w:iCs/>
          <w:color w:val="000000" w:themeColor="text1"/>
        </w:rPr>
        <w:t>hacer uso</w:t>
      </w:r>
      <w:r w:rsidRPr="00185EE9">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85EE9">
        <w:rPr>
          <w:rFonts w:ascii="Verdana" w:eastAsia="Calibri" w:hAnsi="Verdana" w:cs="Arial"/>
          <w:bCs/>
          <w:i/>
          <w:iCs/>
          <w:color w:val="000000" w:themeColor="text1"/>
        </w:rPr>
        <w:t>de procedimientos de adquisición en bolsas de productos</w:t>
      </w:r>
      <w:r w:rsidRPr="00185EE9">
        <w:rPr>
          <w:rFonts w:ascii="Verdana" w:eastAsia="Calibri" w:hAnsi="Verdana" w:cs="Arial"/>
          <w:bCs/>
          <w:color w:val="000000" w:themeColor="text1"/>
        </w:rPr>
        <w:t>” (Énfasis fuera de texto). Estos mecanismos se aplicarán en la forma que disponga el Decreto 1082 de 2015 para para cada uno de ellos.</w:t>
      </w:r>
    </w:p>
    <w:p w14:paraId="2E645564"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individual en lo relacionado con la vida y los bienes propios o de terceros y la fabricación, instalación, comercialización y utilización de equipos para vigilancia y seguridad privada, blindajes y transportes con este mismo fin”. </w:t>
      </w:r>
    </w:p>
    <w:p w14:paraId="5A2CB717"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Su prestación se encuentra estandarizada desde el punto de vista normativo, pues los artículos 5 y 6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w:t>
      </w:r>
      <w:r w:rsidRPr="00185EE9">
        <w:rPr>
          <w:rFonts w:ascii="Verdana" w:eastAsia="Calibri" w:hAnsi="Verdana" w:cs="Arial"/>
          <w:bCs/>
          <w:color w:val="000000" w:themeColor="text1"/>
        </w:rPr>
        <w:lastRenderedPageBreak/>
        <w:t>imponiéndoles tanto una serie de principios, deberes y obligaciones como de disposiciones comunes.</w:t>
      </w:r>
    </w:p>
    <w:p w14:paraId="0078DE6D"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Estos servicios además se encuentran sujetos a las tarifas mínimas establecidas en la Circular Externa de la Superintendencia de Vigilancia y Seguridad Privada 20231300001105 del 30 de diciembre de 2023. No obstante, este elemento normativo no hace parte de las definiciones del literal a) del artículo 2, numeral 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p>
    <w:p w14:paraId="37F9B2BF"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las tarifas mínimas establecidas a para este tipo de servicios representan una medida regulatoria que hace que los ofertas para la prestación de este tipo de servicios tiendan al valor mínimo permitido por la regulación 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 por lo que, la aplicación de mecanismos de subasta, catálogos derivados de acuerdos de precios y bolsa de productos, no resultan funcionales para garantizar la selección objetiva, al no permitir la aplicación de factores de evaluación distintos del precio.      </w:t>
      </w:r>
    </w:p>
    <w:p w14:paraId="06F85777" w14:textId="77777777" w:rsidR="008750F9" w:rsidRDefault="0056051D" w:rsidP="008750F9">
      <w:pPr>
        <w:shd w:val="clear" w:color="auto" w:fill="FFFFFF"/>
        <w:spacing w:after="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selección aplicable para la contratación de servicios de vigilancia y seguridad privada:  </w:t>
      </w:r>
    </w:p>
    <w:p w14:paraId="014B173E" w14:textId="0E164240" w:rsidR="0056051D" w:rsidRPr="00185EE9" w:rsidRDefault="0056051D" w:rsidP="008750F9">
      <w:pPr>
        <w:shd w:val="clear" w:color="auto" w:fill="FFFFFF"/>
        <w:spacing w:after="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 </w:t>
      </w:r>
    </w:p>
    <w:p w14:paraId="38C759E6" w14:textId="77777777" w:rsidR="0056051D" w:rsidRPr="00185EE9" w:rsidRDefault="0056051D" w:rsidP="0056051D">
      <w:pPr>
        <w:spacing w:after="0" w:line="240" w:lineRule="auto"/>
        <w:ind w:left="709" w:right="709"/>
        <w:jc w:val="both"/>
        <w:textAlignment w:val="baseline"/>
        <w:rPr>
          <w:rFonts w:ascii="Verdana" w:eastAsia="Arial" w:hAnsi="Verdana" w:cs="Arial"/>
          <w:sz w:val="20"/>
          <w:szCs w:val="20"/>
        </w:rPr>
      </w:pPr>
      <w:r w:rsidRPr="00185EE9">
        <w:rPr>
          <w:rFonts w:ascii="Verdana" w:eastAsia="Arial" w:hAnsi="Verdana" w:cs="Arial"/>
          <w:sz w:val="20"/>
          <w:szCs w:val="20"/>
        </w:rPr>
        <w:t>“Apartándose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del mismo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w:t>
      </w:r>
      <w:r w:rsidRPr="00185EE9">
        <w:rPr>
          <w:rFonts w:ascii="Verdana" w:eastAsia="Arial" w:hAnsi="Verdana" w:cs="Arial"/>
          <w:sz w:val="20"/>
          <w:szCs w:val="20"/>
        </w:rPr>
        <w:lastRenderedPageBreak/>
        <w:t>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ofreciendo el precio más bajo; esta constatación conlleva la necesidad de estudiar oportunamente la opción de escoger un proceso de selección que permita considerar y medir objetivamente otros criterios de adjudicación en los cuales ella dependa de factores distintos que privilegien, entre otras cosas, la calidad del servicio”.</w:t>
      </w:r>
      <w:r w:rsidRPr="00185EE9">
        <w:rPr>
          <w:rStyle w:val="Refdenotaalpie"/>
          <w:rFonts w:ascii="Verdana" w:eastAsia="Arial" w:hAnsi="Verdana" w:cs="Arial"/>
          <w:sz w:val="20"/>
          <w:szCs w:val="20"/>
        </w:rPr>
        <w:footnoteReference w:id="12"/>
      </w:r>
      <w:r w:rsidRPr="00185EE9">
        <w:rPr>
          <w:rFonts w:ascii="Verdana" w:eastAsia="Arial" w:hAnsi="Verdana" w:cs="Arial"/>
          <w:sz w:val="20"/>
          <w:szCs w:val="20"/>
        </w:rPr>
        <w:t xml:space="preserve"> </w:t>
      </w:r>
    </w:p>
    <w:p w14:paraId="52D0A51F" w14:textId="77777777" w:rsidR="0056051D" w:rsidRPr="00185EE9" w:rsidRDefault="0056051D" w:rsidP="0056051D">
      <w:pPr>
        <w:spacing w:after="0" w:line="240" w:lineRule="auto"/>
        <w:ind w:left="709" w:right="709"/>
        <w:jc w:val="both"/>
        <w:textAlignment w:val="baseline"/>
        <w:rPr>
          <w:rFonts w:ascii="Verdana" w:eastAsia="Arial" w:hAnsi="Verdana" w:cs="Arial"/>
          <w:sz w:val="20"/>
          <w:szCs w:val="20"/>
        </w:rPr>
      </w:pPr>
    </w:p>
    <w:p w14:paraId="295B7007" w14:textId="77777777" w:rsidR="0056051D" w:rsidRPr="00185EE9" w:rsidRDefault="0056051D" w:rsidP="0056051D">
      <w:pPr>
        <w:shd w:val="clear" w:color="auto" w:fill="FFFFFF" w:themeFill="background1"/>
        <w:spacing w:after="120" w:line="276" w:lineRule="auto"/>
        <w:ind w:right="51" w:firstLine="709"/>
        <w:jc w:val="both"/>
        <w:rPr>
          <w:rFonts w:ascii="Verdana" w:eastAsia="Calibri" w:hAnsi="Verdana" w:cs="Arial"/>
          <w:color w:val="000000" w:themeColor="text1"/>
          <w:lang w:val="es-ES"/>
        </w:rPr>
      </w:pPr>
      <w:r w:rsidRPr="00185EE9">
        <w:rPr>
          <w:rFonts w:ascii="Verdana" w:eastAsia="Calibri" w:hAnsi="Verdana" w:cs="Arial"/>
          <w:color w:val="000000" w:themeColor="text1"/>
          <w:lang w:val="es-ES"/>
        </w:rPr>
        <w:t xml:space="preserve">Las consideraciones transcritas de este salvamento de voto, si bien no constituyen un criterio jurisprudencial unificado de la Sección Tercera del Consejo de Estado que tengan un efecto directo procesos de contratación en específico, si llaman la atención sobre la necesidad de que la selección objetiva de contratistas para la prestación de servicios de vigilancia y seguridad privada se haga a través de procedimiento que permitan comparar las ofertas a partir de factores distintos del precio. </w:t>
      </w:r>
    </w:p>
    <w:p w14:paraId="33E5873F" w14:textId="77777777" w:rsidR="0056051D" w:rsidRPr="00185EE9" w:rsidRDefault="0056051D" w:rsidP="0056051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lo anterior, esta Subdirección estima que, la modalidad de selección más adecuada para la contratación de servicios de vigilancia y seguridad privada es la licitación pública, no solo porque de acuerdo con el artículo 2, numeral 1 de la Ley 1150 de 2007 es la regla general para objetos no sujetos a alguna modalidad en específico, sino también por ser el procedimiento donde se cuentan con más elementos para garantizar la selección objetiva a partir de factores distintos del precio. De acuerdo con lo establecido en el numeral 2 del artículo 5 de la Ley 1150 de 2007, reglamentado en el artículo 2.2.1.1.2.2.2. del Decreto 1082 de 2015, en est</w:t>
      </w:r>
      <w:r>
        <w:rPr>
          <w:rFonts w:ascii="Verdana" w:eastAsia="Calibri" w:hAnsi="Verdana" w:cs="Arial"/>
          <w:bCs/>
          <w:color w:val="000000" w:themeColor="text1"/>
        </w:rPr>
        <w:t>a</w:t>
      </w:r>
      <w:r w:rsidRPr="00185EE9">
        <w:rPr>
          <w:rFonts w:ascii="Verdana" w:eastAsia="Calibri" w:hAnsi="Verdana" w:cs="Arial"/>
          <w:bCs/>
          <w:color w:val="000000" w:themeColor="text1"/>
        </w:rPr>
        <w:t xml:space="preserve"> modalidad de selección la oferta más favorable es que represente la mejor relación calidad-precio, la cual se debe determinar ponderando el valor de la oferta económica con factores de calidad, criterios sociales y ambientales, sin perjuicio de la aplicación de puntajes adicionales dispuestos por la normativa de contratación pública –</w:t>
      </w:r>
      <w:r w:rsidRPr="00185EE9">
        <w:rPr>
          <w:rFonts w:ascii="Verdana" w:eastAsia="Calibri" w:hAnsi="Verdana" w:cs="Arial"/>
          <w:bCs/>
          <w:i/>
          <w:iCs/>
          <w:color w:val="000000" w:themeColor="text1"/>
        </w:rPr>
        <w:t>v.g.</w:t>
      </w:r>
      <w:r w:rsidRPr="00185EE9">
        <w:rPr>
          <w:rFonts w:ascii="Verdana" w:eastAsia="Calibri" w:hAnsi="Verdana" w:cs="Arial"/>
          <w:bCs/>
          <w:color w:val="000000" w:themeColor="text1"/>
        </w:rPr>
        <w:t xml:space="preserve"> Ley 816 de 2003, Ley 1920 de 2018, Ley 2069 de 2020, etc.–. </w:t>
      </w:r>
    </w:p>
    <w:p w14:paraId="07825967" w14:textId="77777777" w:rsidR="0056051D" w:rsidRPr="00185EE9" w:rsidRDefault="0056051D" w:rsidP="0056051D">
      <w:pPr>
        <w:spacing w:after="120" w:line="276" w:lineRule="auto"/>
        <w:ind w:firstLine="709"/>
        <w:jc w:val="both"/>
        <w:rPr>
          <w:rFonts w:ascii="Verdana" w:eastAsia="Calibri" w:hAnsi="Verdana" w:cs="Arial"/>
          <w:color w:val="000000"/>
          <w:lang w:val="es-ES_tradnl"/>
        </w:rPr>
      </w:pPr>
      <w:r w:rsidRPr="00185EE9">
        <w:rPr>
          <w:rFonts w:ascii="Verdana" w:eastAsia="Calibri" w:hAnsi="Verdana" w:cs="Arial"/>
          <w:bCs/>
          <w:color w:val="000000" w:themeColor="text1"/>
        </w:rPr>
        <w:t>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servicios de vigilancia y seguridad privada. E</w:t>
      </w:r>
      <w:r w:rsidRPr="00185EE9">
        <w:rPr>
          <w:rFonts w:ascii="Verdana" w:eastAsia="Calibri" w:hAnsi="Verdana" w:cs="Arial"/>
          <w:color w:val="000000"/>
          <w:lang w:val="es-ES_tradnl"/>
        </w:rPr>
        <w:t xml:space="preserve">l inciso primero del artículo 6 dispone que “El Gobierno nacional […] expedirá en un término no mayor a 6 meses un decreto reglamentario que establezca una puntuación adicional en los procesos de </w:t>
      </w:r>
      <w:r w:rsidRPr="00185EE9">
        <w:rPr>
          <w:rFonts w:ascii="Verdana" w:eastAsia="Calibri" w:hAnsi="Verdana" w:cs="Arial"/>
          <w:color w:val="000000"/>
          <w:lang w:val="es-ES_tradnl"/>
        </w:rPr>
        <w:lastRenderedPageBreak/>
        <w:t>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2EAC6BE8" w14:textId="77777777" w:rsidR="0056051D" w:rsidRPr="00185EE9" w:rsidRDefault="0056051D" w:rsidP="0056051D">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color w:val="000000"/>
          <w:sz w:val="21"/>
          <w:szCs w:val="21"/>
          <w:lang w:val="es-ES_tradnl"/>
        </w:rPr>
        <w:tab/>
      </w:r>
      <w:r w:rsidRPr="00185EE9">
        <w:rPr>
          <w:rFonts w:ascii="Verdana" w:eastAsia="Calibri" w:hAnsi="Verdana" w:cs="Arial"/>
          <w:color w:val="000000"/>
          <w:sz w:val="21"/>
          <w:szCs w:val="21"/>
          <w:lang w:val="es-ES_tradnl"/>
        </w:rPr>
        <w:tab/>
      </w:r>
      <w:r w:rsidRPr="00185EE9">
        <w:rPr>
          <w:rFonts w:ascii="Verdana" w:eastAsia="Calibri" w:hAnsi="Verdana" w:cs="Arial"/>
          <w:color w:val="000000"/>
          <w:lang w:val="es-ES_tradnl"/>
        </w:rPr>
        <w:t xml:space="preserve">Este incentivo </w:t>
      </w:r>
      <w:r w:rsidRPr="00185EE9">
        <w:rPr>
          <w:rFonts w:ascii="Verdana" w:eastAsia="Calibri" w:hAnsi="Verdana"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85EE9">
        <w:rPr>
          <w:rFonts w:ascii="Verdana" w:eastAsia="Calibri" w:hAnsi="Verdana"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185EE9">
        <w:rPr>
          <w:rFonts w:ascii="Verdana" w:eastAsia="Calibri" w:hAnsi="Verdana" w:cs="Arial"/>
          <w:color w:val="000000"/>
          <w:vertAlign w:val="superscript"/>
          <w:lang w:val="es-ES"/>
        </w:rPr>
        <w:footnoteReference w:id="13"/>
      </w:r>
      <w:r w:rsidRPr="00185EE9">
        <w:rPr>
          <w:rFonts w:ascii="Verdana" w:eastAsia="Calibri" w:hAnsi="Verdana" w:cs="Arial"/>
          <w:color w:val="000000"/>
          <w:lang w:val="es-ES"/>
        </w:rPr>
        <w:t>.</w:t>
      </w:r>
    </w:p>
    <w:p w14:paraId="27B4728F" w14:textId="77777777" w:rsidR="0056051D" w:rsidRPr="00185EE9" w:rsidRDefault="0056051D" w:rsidP="0056051D">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bCs/>
          <w:color w:val="000000"/>
          <w:lang w:val="es-ES_tradnl"/>
        </w:rPr>
        <w:tab/>
      </w:r>
      <w:r w:rsidRPr="00185EE9">
        <w:rPr>
          <w:rFonts w:ascii="Verdana" w:eastAsia="Calibri" w:hAnsi="Verdana" w:cs="Arial"/>
          <w:bCs/>
          <w:color w:val="000000"/>
          <w:lang w:val="es-ES_tradnl"/>
        </w:rPr>
        <w:tab/>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de su personal operativo contaban con mujeres, personas con discapacidad y personas mayores de 45 años vinculadas con todas las garantías que establece la ley.</w:t>
      </w:r>
    </w:p>
    <w:p w14:paraId="509B922B" w14:textId="77777777" w:rsidR="0056051D" w:rsidRPr="00185EE9" w:rsidRDefault="0056051D" w:rsidP="0056051D">
      <w:pPr>
        <w:shd w:val="clear" w:color="auto" w:fill="FFFFFF" w:themeFill="background1"/>
        <w:spacing w:after="120" w:line="276" w:lineRule="auto"/>
        <w:ind w:right="51" w:firstLine="709"/>
        <w:jc w:val="both"/>
        <w:rPr>
          <w:rFonts w:ascii="Verdana" w:eastAsia="Calibri" w:hAnsi="Verdana" w:cs="Arial"/>
          <w:color w:val="000000"/>
          <w:lang w:val="es-ES"/>
        </w:rPr>
      </w:pPr>
      <w:r w:rsidRPr="2832C13D">
        <w:rPr>
          <w:rFonts w:ascii="Verdana" w:eastAsia="Calibri" w:hAnsi="Verdana" w:cs="Arial"/>
          <w:color w:val="000000"/>
          <w:lang w:val="es-ES"/>
        </w:rPr>
        <w:t xml:space="preserve">Pese a que 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w:t>
      </w:r>
      <w:r w:rsidRPr="2832C13D">
        <w:rPr>
          <w:rFonts w:ascii="Verdana" w:eastAsia="Calibri" w:hAnsi="Verdana" w:cs="Arial"/>
          <w:color w:val="000000"/>
          <w:lang w:val="es-ES"/>
        </w:rPr>
        <w:lastRenderedPageBreak/>
        <w:t>directa no existe ponderación ni comparación entre diferentes propuestas, ya que es un proceso con un único oferente, pero no significa que se garantice un estudio del sector o del mercado</w:t>
      </w:r>
      <w:r w:rsidRPr="2832C13D">
        <w:rPr>
          <w:rFonts w:ascii="Verdana" w:eastAsia="Calibri" w:hAnsi="Verdana" w:cs="Arial"/>
          <w:color w:val="000000"/>
          <w:vertAlign w:val="superscript"/>
          <w:lang w:val="es-ES"/>
        </w:rPr>
        <w:footnoteReference w:id="14"/>
      </w:r>
      <w:r w:rsidRPr="2832C13D">
        <w:rPr>
          <w:rFonts w:ascii="Verdana" w:eastAsia="Calibri" w:hAnsi="Verdana" w:cs="Arial"/>
          <w:color w:val="000000"/>
          <w:lang w:val="es-ES"/>
        </w:rPr>
        <w:t xml:space="preserve">.  </w:t>
      </w:r>
    </w:p>
    <w:p w14:paraId="7B435AA0" w14:textId="77777777" w:rsidR="0056051D" w:rsidRPr="00185EE9" w:rsidRDefault="0056051D" w:rsidP="0056051D">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Aunque el </w:t>
      </w:r>
      <w:r w:rsidRPr="00185EE9">
        <w:rPr>
          <w:rFonts w:ascii="Verdana" w:eastAsia="Calibri" w:hAnsi="Verdana" w:cs="Arial"/>
          <w:bCs/>
          <w:color w:val="000000"/>
          <w:lang w:val="es-ES_tradnl"/>
        </w:rPr>
        <w:t>Decreto 1279 de 2021 es actualmente inaplicable en virtud de la medida cautelar, de</w:t>
      </w:r>
      <w:r w:rsidRPr="00185EE9">
        <w:rPr>
          <w:rFonts w:ascii="Verdana" w:eastAsia="Calibri" w:hAnsi="Verdana" w:cs="Arial"/>
          <w:color w:val="000000"/>
          <w:lang w:val="es-ES_tradnl"/>
        </w:rPr>
        <w:t>l artículo 6 de la Ley 1920 de 2018</w:t>
      </w:r>
      <w:r w:rsidRPr="00185EE9">
        <w:rPr>
          <w:rFonts w:ascii="Verdana" w:eastAsia="Calibri" w:hAnsi="Verdana"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85EE9">
        <w:rPr>
          <w:rFonts w:ascii="Verdana" w:eastAsia="Calibri" w:hAnsi="Verdana" w:cs="Arial"/>
          <w:bCs/>
          <w:color w:val="000000" w:themeColor="text1"/>
        </w:rPr>
        <w:t>servicios de vigilancia privada. En este caso, los puntajes previstos en los artículos 2.2.1.2.4.2.10, 2.2.1.2.4.2.11, 2.2.1.2.4.2.12 y 2.2.1.2.4.2.13 del Decreto 1082 de 2015, eventualmente, regirán nuevamente cuando el Consejo de Estado levante la suspensión provisional.</w:t>
      </w:r>
      <w:r w:rsidRPr="00185EE9">
        <w:rPr>
          <w:rFonts w:ascii="Verdana" w:eastAsia="Calibri" w:hAnsi="Verdana" w:cs="Arial"/>
          <w:bCs/>
          <w:color w:val="000000"/>
          <w:lang w:val="es-ES_tradnl"/>
        </w:rPr>
        <w:t xml:space="preserve"> </w:t>
      </w:r>
      <w:r w:rsidRPr="00185EE9">
        <w:rPr>
          <w:rFonts w:ascii="Verdana" w:eastAsia="Calibri" w:hAnsi="Verdana" w:cs="Arial"/>
          <w:color w:val="000000"/>
          <w:lang w:val="es-ES_tradnl"/>
        </w:rPr>
        <w:t xml:space="preserve"> </w:t>
      </w:r>
    </w:p>
    <w:p w14:paraId="61F8B89D" w14:textId="77777777" w:rsidR="0056051D" w:rsidRPr="00185EE9" w:rsidRDefault="0056051D" w:rsidP="0056051D">
      <w:pPr>
        <w:spacing w:after="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6D8A9FA3" w14:textId="77777777" w:rsidR="00B24B86" w:rsidRPr="00182C89" w:rsidRDefault="00B24B86" w:rsidP="00B24B86">
      <w:pPr>
        <w:tabs>
          <w:tab w:val="left" w:pos="709"/>
        </w:tabs>
        <w:spacing w:after="0" w:line="276" w:lineRule="auto"/>
        <w:jc w:val="both"/>
        <w:rPr>
          <w:rFonts w:ascii="Verdana" w:eastAsia="Calibri" w:hAnsi="Verdana" w:cs="Arial"/>
          <w:color w:val="000000" w:themeColor="text1"/>
        </w:rPr>
      </w:pPr>
    </w:p>
    <w:p w14:paraId="7A1B27A6" w14:textId="77777777" w:rsidR="00B24B86" w:rsidRPr="00593A5F" w:rsidRDefault="00B24B86" w:rsidP="00B24B8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ECCF9AC" w14:textId="77777777" w:rsidR="00B24B86" w:rsidRPr="00593A5F" w:rsidRDefault="00B24B86" w:rsidP="00B24B86">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24B86" w:rsidRPr="002407CE" w14:paraId="1B7C1D54" w14:textId="77777777" w:rsidTr="001C39F7">
        <w:trPr>
          <w:trHeight w:val="870"/>
          <w:jc w:val="center"/>
        </w:trPr>
        <w:tc>
          <w:tcPr>
            <w:tcW w:w="8647" w:type="dxa"/>
          </w:tcPr>
          <w:p w14:paraId="1613B80A" w14:textId="77777777" w:rsidR="004D44FD" w:rsidRPr="00185EE9" w:rsidRDefault="004D44FD" w:rsidP="004D44F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Decreto Ley 354 de 1994, artículos 2, 5 y 6.</w:t>
            </w:r>
          </w:p>
          <w:p w14:paraId="0D881FCB" w14:textId="77777777" w:rsidR="004D44FD" w:rsidRPr="00185EE9" w:rsidRDefault="004D44FD" w:rsidP="004D44F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 xml:space="preserve">Ley 1150 de 2007, artículo 2. </w:t>
            </w:r>
          </w:p>
          <w:p w14:paraId="3A385F27" w14:textId="77777777" w:rsidR="004D44FD" w:rsidRPr="00185EE9" w:rsidRDefault="004D44FD" w:rsidP="004D44F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Ley 1920 de 2018, artículo 6.</w:t>
            </w:r>
          </w:p>
          <w:p w14:paraId="1FA71BAF" w14:textId="77777777" w:rsidR="004D44FD" w:rsidRPr="00185EE9" w:rsidRDefault="004D44FD" w:rsidP="004D44F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 xml:space="preserve">Decreto 1082 de 2015, artículos 2.2.2.1.1.1.3.1, </w:t>
            </w:r>
            <w:r w:rsidRPr="00185EE9">
              <w:rPr>
                <w:rFonts w:ascii="Verdana" w:eastAsia="Calibri" w:hAnsi="Verdana" w:cs="Arial"/>
                <w:bCs/>
                <w:color w:val="000000" w:themeColor="text1"/>
              </w:rPr>
              <w:t>2.2.1.1.2.2.2</w:t>
            </w:r>
            <w:r w:rsidRPr="00185EE9">
              <w:rPr>
                <w:rFonts w:ascii="Verdana" w:hAnsi="Verdana" w:cs="Arial"/>
              </w:rPr>
              <w:t xml:space="preserve"> </w:t>
            </w:r>
            <w:r w:rsidRPr="00185EE9">
              <w:rPr>
                <w:rFonts w:ascii="Verdana" w:eastAsia="Calibri" w:hAnsi="Verdana" w:cs="Arial"/>
                <w:bCs/>
                <w:color w:val="000000" w:themeColor="text1"/>
              </w:rPr>
              <w:t>2.2.1.2.4.2.10, 2.2.1.2.4.2.11, 2.2.1.2.4.2.12 y 2.2.1.2.4.2.13</w:t>
            </w:r>
          </w:p>
          <w:p w14:paraId="64DA0845" w14:textId="7C38CDB2" w:rsidR="00B24B86" w:rsidRPr="00DA543F" w:rsidRDefault="004D44FD" w:rsidP="00DA543F">
            <w:pPr>
              <w:pStyle w:val="Prrafodelista"/>
              <w:widowControl w:val="0"/>
              <w:numPr>
                <w:ilvl w:val="0"/>
                <w:numId w:val="17"/>
              </w:numPr>
              <w:autoSpaceDE w:val="0"/>
              <w:autoSpaceDN w:val="0"/>
              <w:spacing w:line="276" w:lineRule="auto"/>
              <w:ind w:left="714" w:hanging="357"/>
              <w:contextualSpacing w:val="0"/>
              <w:jc w:val="both"/>
              <w:rPr>
                <w:rFonts w:ascii="Verdana" w:hAnsi="Verdana" w:cs="Arial"/>
                <w:color w:val="000000" w:themeColor="text1"/>
                <w:lang w:val="es-ES_tradnl"/>
              </w:rPr>
            </w:pPr>
            <w:r w:rsidRPr="00185EE9">
              <w:rPr>
                <w:rFonts w:ascii="Verdana" w:hAnsi="Verdana" w:cs="Arial"/>
              </w:rPr>
              <w:t>Código Civil, artículos 28 y 29.</w:t>
            </w:r>
          </w:p>
        </w:tc>
      </w:tr>
    </w:tbl>
    <w:p w14:paraId="037DE654" w14:textId="77777777" w:rsidR="00B24B86" w:rsidRPr="002407CE" w:rsidRDefault="00B24B86" w:rsidP="00B24B86">
      <w:pPr>
        <w:widowControl w:val="0"/>
        <w:autoSpaceDE w:val="0"/>
        <w:autoSpaceDN w:val="0"/>
        <w:spacing w:after="0" w:line="276" w:lineRule="auto"/>
        <w:jc w:val="both"/>
        <w:rPr>
          <w:rFonts w:ascii="Verdana" w:hAnsi="Verdana" w:cs="Arial"/>
        </w:rPr>
      </w:pPr>
    </w:p>
    <w:p w14:paraId="0FF9CA95" w14:textId="77777777" w:rsidR="00B24B86" w:rsidRPr="00593A5F" w:rsidRDefault="00B24B86" w:rsidP="00B24B8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CDD7417" w14:textId="77777777" w:rsidR="00B24B86" w:rsidRPr="00593A5F" w:rsidRDefault="00B24B86" w:rsidP="00B24B86">
      <w:pPr>
        <w:widowControl w:val="0"/>
        <w:autoSpaceDE w:val="0"/>
        <w:autoSpaceDN w:val="0"/>
        <w:spacing w:after="0" w:line="276" w:lineRule="auto"/>
        <w:jc w:val="both"/>
        <w:rPr>
          <w:rFonts w:ascii="Verdana" w:hAnsi="Verdana" w:cs="Arial"/>
        </w:rPr>
      </w:pPr>
    </w:p>
    <w:p w14:paraId="56BB9EE0" w14:textId="1A8E8AB1" w:rsidR="00B24B86" w:rsidRPr="00ED0098" w:rsidRDefault="00B24B86" w:rsidP="00B24B86">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la definición de los </w:t>
      </w:r>
      <w:r w:rsidRPr="00CC71AC">
        <w:rPr>
          <w:rFonts w:ascii="Verdana" w:hAnsi="Verdana" w:cs="Arial"/>
          <w:shd w:val="clear" w:color="auto" w:fill="FFFFFF"/>
        </w:rPr>
        <w:t xml:space="preserve">bienes y servicios </w:t>
      </w:r>
      <w:r w:rsidRPr="00CC71AC">
        <w:rPr>
          <w:rFonts w:ascii="Verdana" w:hAnsi="Verdana" w:cs="Arial"/>
          <w:shd w:val="clear" w:color="auto" w:fill="FFFFFF"/>
        </w:rPr>
        <w:lastRenderedPageBreak/>
        <w:t>de características técnicas uniformes</w:t>
      </w:r>
      <w:r>
        <w:rPr>
          <w:rFonts w:ascii="Verdana" w:hAnsi="Verdana" w:cs="Arial"/>
          <w:shd w:val="clear" w:color="auto" w:fill="FFFFFF"/>
        </w:rPr>
        <w:t xml:space="preserve"> en los Conceptos </w:t>
      </w:r>
      <w:r w:rsidRPr="001816D5">
        <w:rPr>
          <w:rFonts w:ascii="Verdana" w:hAnsi="Verdana" w:cs="Arial"/>
          <w:shd w:val="clear" w:color="auto" w:fill="FFFFFF"/>
        </w:rPr>
        <w:t>C-678 del 24 de noviembre de 2020</w:t>
      </w:r>
      <w:r>
        <w:rPr>
          <w:rFonts w:ascii="Verdana" w:hAnsi="Verdana" w:cs="Arial"/>
          <w:shd w:val="clear" w:color="auto" w:fill="FFFFFF"/>
        </w:rPr>
        <w:t>, C-024 del 24 de febrero de 2021, C-123 del 5 de abril de 2021, C-565 del 12 de septiembre de 2022, C-669 del 18 de octubre de 2022, C-850 del 16 de diciembre de 2022, C-905 del 28 de diciembre de 2022</w:t>
      </w:r>
      <w:r w:rsidR="004D44FD">
        <w:rPr>
          <w:rFonts w:ascii="Verdana" w:hAnsi="Verdana" w:cs="Arial"/>
          <w:shd w:val="clear" w:color="auto" w:fill="FFFFFF"/>
        </w:rPr>
        <w:t>,</w:t>
      </w:r>
      <w:r>
        <w:rPr>
          <w:rFonts w:ascii="Verdana" w:hAnsi="Verdana" w:cs="Arial"/>
          <w:shd w:val="clear" w:color="auto" w:fill="FFFFFF"/>
        </w:rPr>
        <w:t xml:space="preserve"> C-456 del 27 de octubre de 2023</w:t>
      </w:r>
      <w:r w:rsidR="001C52C7">
        <w:rPr>
          <w:rFonts w:ascii="Verdana" w:hAnsi="Verdana" w:cs="Arial"/>
          <w:shd w:val="clear" w:color="auto" w:fill="FFFFFF"/>
        </w:rPr>
        <w:t xml:space="preserve"> y C-597 del 8 de noviembre de 2024</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w:t>
      </w:r>
      <w:r>
        <w:rPr>
          <w:rFonts w:ascii="Verdana" w:hAnsi="Verdana" w:cs="Arial"/>
          <w:shd w:val="clear" w:color="auto" w:fill="FFFFFF"/>
        </w:rPr>
        <w:t>os</w:t>
      </w:r>
      <w:r w:rsidRPr="00DD0AFF">
        <w:rPr>
          <w:rFonts w:ascii="Verdana" w:hAnsi="Verdana" w:cs="Arial"/>
          <w:shd w:val="clear" w:color="auto" w:fill="FFFFFF"/>
        </w:rPr>
        <w:t xml:space="preserve">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74205E01" w14:textId="77777777" w:rsidR="00B24B86" w:rsidRPr="00096788" w:rsidRDefault="00B24B86" w:rsidP="00B24B86">
      <w:pPr>
        <w:widowControl w:val="0"/>
        <w:autoSpaceDE w:val="0"/>
        <w:autoSpaceDN w:val="0"/>
        <w:spacing w:after="0" w:line="276" w:lineRule="auto"/>
        <w:jc w:val="both"/>
        <w:rPr>
          <w:rFonts w:ascii="Verdana" w:hAnsi="Verdana" w:cs="Arial"/>
          <w:color w:val="000000" w:themeColor="text1"/>
          <w:shd w:val="clear" w:color="auto" w:fill="FFFFFF"/>
        </w:rPr>
      </w:pPr>
    </w:p>
    <w:p w14:paraId="18C33D5C" w14:textId="77777777" w:rsidR="00B24B86" w:rsidRPr="00906BE9" w:rsidRDefault="00B24B86" w:rsidP="00B24B86">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096788">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15A29B" w14:textId="77777777" w:rsidR="00B24B86" w:rsidRPr="00593A5F" w:rsidRDefault="00B24B86" w:rsidP="00B24B86">
      <w:pPr>
        <w:widowControl w:val="0"/>
        <w:autoSpaceDE w:val="0"/>
        <w:autoSpaceDN w:val="0"/>
        <w:spacing w:after="120" w:line="276" w:lineRule="auto"/>
        <w:jc w:val="both"/>
        <w:rPr>
          <w:rFonts w:ascii="Verdana" w:hAnsi="Verdana" w:cs="Arial"/>
        </w:rPr>
      </w:pPr>
    </w:p>
    <w:p w14:paraId="7A0BBFEA" w14:textId="77777777" w:rsidR="00B24B86" w:rsidRPr="00593A5F" w:rsidRDefault="00B24B86" w:rsidP="00B24B8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FCE6946" w14:textId="77777777" w:rsidR="00B24B86" w:rsidRPr="00593A5F" w:rsidRDefault="00B24B86" w:rsidP="00B24B86">
      <w:pPr>
        <w:widowControl w:val="0"/>
        <w:autoSpaceDE w:val="0"/>
        <w:autoSpaceDN w:val="0"/>
        <w:spacing w:after="0" w:line="276" w:lineRule="auto"/>
        <w:jc w:val="both"/>
        <w:rPr>
          <w:rFonts w:ascii="Verdana" w:hAnsi="Verdana" w:cs="Arial"/>
        </w:rPr>
      </w:pPr>
    </w:p>
    <w:p w14:paraId="1CA9603F" w14:textId="77777777" w:rsidR="00B24B86" w:rsidRPr="00593A5F" w:rsidRDefault="00B24B86" w:rsidP="00B24B8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8DE251C" w14:textId="59E57C97" w:rsidR="00B24B86" w:rsidRPr="00593A5F" w:rsidRDefault="00335BE1" w:rsidP="00B24B86">
      <w:pPr>
        <w:spacing w:line="276" w:lineRule="auto"/>
        <w:jc w:val="center"/>
        <w:rPr>
          <w:rFonts w:ascii="Verdana" w:hAnsi="Verdana" w:cs="Arial"/>
          <w:color w:val="000000"/>
          <w:lang w:val="es-ES_tradnl" w:eastAsia="es-CO"/>
        </w:rPr>
      </w:pPr>
      <w:r>
        <w:rPr>
          <w:noProof/>
        </w:rPr>
        <w:drawing>
          <wp:inline distT="0" distB="0" distL="0" distR="0" wp14:anchorId="53E993F5" wp14:editId="42DDF572">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24B86" w:rsidRPr="00593A5F" w14:paraId="1406EDE1" w14:textId="77777777" w:rsidTr="001C39F7">
        <w:trPr>
          <w:trHeight w:val="315"/>
        </w:trPr>
        <w:tc>
          <w:tcPr>
            <w:tcW w:w="893" w:type="dxa"/>
            <w:vAlign w:val="center"/>
            <w:hideMark/>
          </w:tcPr>
          <w:p w14:paraId="6D425CF0" w14:textId="77777777" w:rsidR="00B24B86" w:rsidRPr="003751C7" w:rsidRDefault="00B24B86" w:rsidP="001C39F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5F4651D" w14:textId="77777777" w:rsidR="00B24B86" w:rsidRPr="00254A7A" w:rsidRDefault="00B24B86" w:rsidP="001C39F7">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BD7E207" w14:textId="77777777" w:rsidR="00B24B86" w:rsidRPr="00254A7A" w:rsidRDefault="00B24B86" w:rsidP="001C39F7">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B24B86" w:rsidRPr="00593A5F" w14:paraId="53434090" w14:textId="77777777" w:rsidTr="001C39F7">
        <w:trPr>
          <w:trHeight w:val="330"/>
        </w:trPr>
        <w:tc>
          <w:tcPr>
            <w:tcW w:w="893" w:type="dxa"/>
            <w:vAlign w:val="center"/>
            <w:hideMark/>
          </w:tcPr>
          <w:p w14:paraId="68E08137" w14:textId="77777777" w:rsidR="00B24B86" w:rsidRPr="003751C7" w:rsidRDefault="00B24B86" w:rsidP="001C39F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7CA08D4" w14:textId="77777777" w:rsidR="00B24B86" w:rsidRPr="00E44E04" w:rsidRDefault="00B24B86" w:rsidP="001C39F7">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6CC16B6E" w14:textId="77777777" w:rsidR="00B24B86" w:rsidRPr="00254A7A" w:rsidRDefault="00B24B86" w:rsidP="001C39F7">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B24B86" w:rsidRPr="00593A5F" w14:paraId="6D34F9FE" w14:textId="77777777" w:rsidTr="001C39F7">
        <w:trPr>
          <w:trHeight w:val="300"/>
        </w:trPr>
        <w:tc>
          <w:tcPr>
            <w:tcW w:w="893" w:type="dxa"/>
            <w:vAlign w:val="center"/>
          </w:tcPr>
          <w:p w14:paraId="5610B9D7" w14:textId="77777777" w:rsidR="00B24B86" w:rsidRPr="003751C7" w:rsidRDefault="00B24B86" w:rsidP="001C39F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AB64BAA" w14:textId="77777777" w:rsidR="00B24B86" w:rsidRPr="003751C7" w:rsidRDefault="00B24B86" w:rsidP="001C39F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E819B71" w14:textId="77777777" w:rsidR="00B24B86" w:rsidRPr="003751C7" w:rsidRDefault="00B24B86" w:rsidP="001C39F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24676B1A" w14:textId="77777777" w:rsidR="00B24B86" w:rsidRPr="00593A5F" w:rsidRDefault="00B24B86" w:rsidP="00B24B86">
      <w:pPr>
        <w:spacing w:after="0" w:line="240" w:lineRule="auto"/>
        <w:rPr>
          <w:rFonts w:ascii="Verdana" w:eastAsia="Times New Roman" w:hAnsi="Verdana" w:cs="Arial"/>
          <w:sz w:val="24"/>
          <w:szCs w:val="24"/>
          <w:lang w:eastAsia="es-ES"/>
        </w:rPr>
      </w:pPr>
    </w:p>
    <w:p w14:paraId="0F293BF4" w14:textId="7BBFAB11" w:rsidR="00127233" w:rsidRPr="00543BFE" w:rsidRDefault="00127233" w:rsidP="00543BFE"/>
    <w:sectPr w:rsidR="00127233" w:rsidRPr="00543BFE"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C14B" w14:textId="77777777" w:rsidR="00720E9B" w:rsidRDefault="00720E9B" w:rsidP="004A1847">
      <w:pPr>
        <w:spacing w:after="0" w:line="240" w:lineRule="auto"/>
      </w:pPr>
      <w:r>
        <w:separator/>
      </w:r>
    </w:p>
  </w:endnote>
  <w:endnote w:type="continuationSeparator" w:id="0">
    <w:p w14:paraId="0DB0B7FC" w14:textId="77777777" w:rsidR="00720E9B" w:rsidRDefault="00720E9B" w:rsidP="004A1847">
      <w:pPr>
        <w:spacing w:after="0" w:line="240" w:lineRule="auto"/>
      </w:pPr>
      <w:r>
        <w:continuationSeparator/>
      </w:r>
    </w:p>
  </w:endnote>
  <w:endnote w:type="continuationNotice" w:id="1">
    <w:p w14:paraId="3A82DADE" w14:textId="77777777" w:rsidR="00720E9B" w:rsidRDefault="00720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8771D" w14:textId="77777777" w:rsidR="00720E9B" w:rsidRDefault="00720E9B" w:rsidP="004A1847">
      <w:pPr>
        <w:spacing w:after="0" w:line="240" w:lineRule="auto"/>
      </w:pPr>
      <w:r>
        <w:separator/>
      </w:r>
    </w:p>
  </w:footnote>
  <w:footnote w:type="continuationSeparator" w:id="0">
    <w:p w14:paraId="27957FAC" w14:textId="77777777" w:rsidR="00720E9B" w:rsidRDefault="00720E9B" w:rsidP="004A1847">
      <w:pPr>
        <w:spacing w:after="0" w:line="240" w:lineRule="auto"/>
      </w:pPr>
      <w:r>
        <w:continuationSeparator/>
      </w:r>
    </w:p>
  </w:footnote>
  <w:footnote w:type="continuationNotice" w:id="1">
    <w:p w14:paraId="636D6DB7" w14:textId="77777777" w:rsidR="00720E9B" w:rsidRDefault="00720E9B">
      <w:pPr>
        <w:spacing w:after="0" w:line="240" w:lineRule="auto"/>
      </w:pPr>
    </w:p>
  </w:footnote>
  <w:footnote w:id="2">
    <w:p w14:paraId="1DCF4F0E" w14:textId="77777777" w:rsidR="00B24B86" w:rsidRPr="00457B8D" w:rsidRDefault="00B24B86" w:rsidP="00B24B86">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El inciso primero de norma disponía que, conforme al principio de transparencia, “</w:t>
      </w:r>
      <w:r w:rsidRPr="00457B8D">
        <w:rPr>
          <w:rFonts w:ascii="Verdana" w:hAnsi="Verdana" w:cs="Arial"/>
          <w:i/>
          <w:iCs/>
          <w:sz w:val="16"/>
          <w:szCs w:val="16"/>
        </w:rPr>
        <w:t>La escogencia del contratista se efectuará siempre a través de licitación o concurso públicos</w:t>
      </w:r>
      <w:r w:rsidRPr="00457B8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3">
    <w:p w14:paraId="351894C4" w14:textId="77777777" w:rsidR="0056051D" w:rsidRPr="00457B8D" w:rsidRDefault="0056051D" w:rsidP="0056051D">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457B8D">
        <w:rPr>
          <w:rFonts w:ascii="Verdana" w:hAnsi="Verdana" w:cs="Arial"/>
          <w:i/>
          <w:iCs/>
          <w:sz w:val="16"/>
          <w:szCs w:val="16"/>
        </w:rPr>
        <w:t>Presentación de la oferta de manera dinámica</w:t>
      </w:r>
      <w:r w:rsidRPr="00457B8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4">
    <w:p w14:paraId="0B100464" w14:textId="77777777" w:rsidR="0056051D" w:rsidRPr="00457B8D" w:rsidRDefault="0056051D" w:rsidP="0056051D">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El numeral 2 del artículo 2 de la Ley 1150 de 2007 prescribe: </w:t>
      </w:r>
      <w:r w:rsidRPr="00457B8D">
        <w:rPr>
          <w:rFonts w:ascii="Verdana" w:hAnsi="Verdana"/>
          <w:sz w:val="16"/>
          <w:szCs w:val="16"/>
        </w:rPr>
        <w:t xml:space="preserve">“[…] </w:t>
      </w:r>
      <w:r w:rsidRPr="00457B8D">
        <w:rPr>
          <w:rFonts w:ascii="Verdana" w:hAnsi="Verdana" w:cs="Arial"/>
          <w:sz w:val="16"/>
          <w:szCs w:val="16"/>
        </w:rPr>
        <w:t>Serán causales de selección abreviada las siguientes:</w:t>
      </w:r>
    </w:p>
    <w:p w14:paraId="00851400"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C5CE2CD"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627578AF"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4FA3CF57"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w:t>
      </w:r>
    </w:p>
    <w:p w14:paraId="5A562534"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35DE2B9C"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273BD2D8"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e) La enajenación de bienes del Estado, con excepción de aquellos a que se refiere la Ley 226 de 1995.</w:t>
      </w:r>
    </w:p>
    <w:p w14:paraId="3D1473C6"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 xml:space="preserve">[…]; </w:t>
      </w:r>
    </w:p>
    <w:p w14:paraId="54AA3B76"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 xml:space="preserve">f) Productos de origen o destinación agropecuarios que se ofrezcan en las bolsas de productos legalmente constituidas; </w:t>
      </w:r>
    </w:p>
    <w:p w14:paraId="21B7F11D"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28A9B7CF"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11FD449D"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i) La contratación de bienes y servicios que se requieran para la defensa y seguridad nacional.</w:t>
      </w:r>
    </w:p>
    <w:p w14:paraId="3C3DE84B" w14:textId="77777777" w:rsidR="0056051D" w:rsidRPr="00457B8D" w:rsidRDefault="0056051D" w:rsidP="0056051D">
      <w:pPr>
        <w:pStyle w:val="Textonotapie"/>
        <w:ind w:firstLine="708"/>
        <w:jc w:val="both"/>
        <w:rPr>
          <w:rFonts w:ascii="Verdana" w:hAnsi="Verdana" w:cs="Arial"/>
          <w:sz w:val="16"/>
          <w:szCs w:val="16"/>
        </w:rPr>
      </w:pPr>
      <w:r w:rsidRPr="00457B8D">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5">
    <w:p w14:paraId="2E0553FF" w14:textId="77777777" w:rsidR="0056051D" w:rsidRPr="00457B8D" w:rsidRDefault="0056051D" w:rsidP="0056051D">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6">
    <w:p w14:paraId="1D7433CF" w14:textId="77777777" w:rsidR="0056051D" w:rsidRPr="00457B8D" w:rsidRDefault="0056051D" w:rsidP="0056051D">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CONSEJO DE ESTADO. Sección Tercera. Subsección A. Sentencia del 23 de julio de 2015. Exp. 36.805. C. P. Hernán Andrade Rincón. </w:t>
      </w:r>
    </w:p>
  </w:footnote>
  <w:footnote w:id="7">
    <w:p w14:paraId="0DF43B55" w14:textId="77777777" w:rsidR="0056051D" w:rsidRPr="00457B8D" w:rsidRDefault="0056051D" w:rsidP="0056051D">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457B8D">
        <w:rPr>
          <w:rFonts w:ascii="Verdana" w:hAnsi="Verdana"/>
          <w:i/>
          <w:iCs/>
          <w:sz w:val="16"/>
          <w:szCs w:val="16"/>
        </w:rPr>
        <w:t>las palabras de la ley se entenderán en su sentido natural y obvio, según el uso general de las mismas palabras</w:t>
      </w:r>
      <w:r w:rsidRPr="00457B8D">
        <w:rPr>
          <w:rFonts w:ascii="Verdana" w:hAnsi="Verdana"/>
          <w:sz w:val="16"/>
          <w:szCs w:val="16"/>
        </w:rPr>
        <w:t>’, es decir, el uso de la gente educada. El Diccionario de la Lengua publicado por la Real Academia Española goza a este respecto de gran autoridad. ‘</w:t>
      </w:r>
      <w:r w:rsidRPr="00457B8D">
        <w:rPr>
          <w:rFonts w:ascii="Verdana" w:hAnsi="Verdana"/>
          <w:i/>
          <w:iCs/>
          <w:sz w:val="16"/>
          <w:szCs w:val="16"/>
        </w:rPr>
        <w:t>Pero cuando el legislador</w:t>
      </w:r>
      <w:r w:rsidRPr="00457B8D">
        <w:rPr>
          <w:rFonts w:ascii="Verdana" w:hAnsi="Verdana"/>
          <w:sz w:val="16"/>
          <w:szCs w:val="16"/>
        </w:rPr>
        <w:t xml:space="preserve">, agrega el artículo 20, </w:t>
      </w:r>
      <w:r w:rsidRPr="00457B8D">
        <w:rPr>
          <w:rFonts w:ascii="Verdana" w:hAnsi="Verdana"/>
          <w:i/>
          <w:iCs/>
          <w:sz w:val="16"/>
          <w:szCs w:val="16"/>
        </w:rPr>
        <w:t>las haya definido expresamente para ciertas materias se les dará en éstas su significado legal</w:t>
      </w:r>
      <w:r w:rsidRPr="00457B8D">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8">
    <w:p w14:paraId="6D94E905" w14:textId="77777777" w:rsidR="0056051D" w:rsidRPr="00457B8D" w:rsidRDefault="0056051D" w:rsidP="0056051D">
      <w:pPr>
        <w:pStyle w:val="Textonotapie"/>
        <w:ind w:firstLine="708"/>
        <w:jc w:val="both"/>
        <w:rPr>
          <w:rFonts w:ascii="Verdana" w:hAnsi="Verdana"/>
          <w:sz w:val="16"/>
          <w:szCs w:val="16"/>
        </w:rPr>
      </w:pPr>
      <w:r w:rsidRPr="00457B8D">
        <w:rPr>
          <w:rStyle w:val="Refdenotaalpie"/>
          <w:rFonts w:ascii="Verdana" w:hAnsi="Verdana"/>
          <w:sz w:val="16"/>
          <w:szCs w:val="16"/>
        </w:rPr>
        <w:footnoteRef/>
      </w:r>
      <w:r w:rsidRPr="00457B8D">
        <w:rPr>
          <w:rFonts w:ascii="Verdana" w:hAnsi="Verdana"/>
          <w:sz w:val="16"/>
          <w:szCs w:val="16"/>
        </w:rPr>
        <w:t xml:space="preserve"> SUÁREZ BELTRÁN, Gonzalo. Estudios de derecho contractual público. Colombia: Bogotá, 2014. p. 72.</w:t>
      </w:r>
    </w:p>
  </w:footnote>
  <w:footnote w:id="9">
    <w:p w14:paraId="04BC470D" w14:textId="77777777" w:rsidR="0056051D" w:rsidRPr="002223F1" w:rsidRDefault="0056051D" w:rsidP="0056051D">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i/>
          <w:iCs/>
          <w:sz w:val="16"/>
          <w:szCs w:val="16"/>
        </w:rPr>
        <w:t>Ibidem</w:t>
      </w:r>
      <w:r w:rsidRPr="00457B8D">
        <w:rPr>
          <w:rFonts w:ascii="Verdana" w:hAnsi="Verdana"/>
          <w:sz w:val="16"/>
          <w:szCs w:val="16"/>
        </w:rPr>
        <w:t>.</w:t>
      </w:r>
    </w:p>
  </w:footnote>
  <w:footnote w:id="10">
    <w:p w14:paraId="45FE764B" w14:textId="77777777" w:rsidR="0056051D" w:rsidRPr="00457B8D" w:rsidRDefault="0056051D" w:rsidP="0056051D">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11">
    <w:p w14:paraId="4E0CFA68" w14:textId="77777777" w:rsidR="0056051D" w:rsidRPr="000A4439" w:rsidRDefault="0056051D" w:rsidP="0056051D">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DÁVILA VINUEZA, Luis Guillermo. Régimen jurídico de la contratación estatal. </w:t>
      </w:r>
      <w:r w:rsidRPr="000A4439">
        <w:rPr>
          <w:rFonts w:ascii="Verdana" w:hAnsi="Verdana" w:cs="Arial"/>
          <w:sz w:val="16"/>
          <w:szCs w:val="16"/>
          <w:lang w:val="es-CO"/>
        </w:rPr>
        <w:t>Tercera Edición</w:t>
      </w:r>
      <w:r w:rsidRPr="000A4439">
        <w:rPr>
          <w:rFonts w:ascii="Verdana" w:hAnsi="Verdana"/>
          <w:sz w:val="16"/>
          <w:szCs w:val="16"/>
          <w:lang w:val="es-CO"/>
        </w:rPr>
        <w:t>. Bogotá: Legis, 2016. pp. 466-467.</w:t>
      </w:r>
    </w:p>
  </w:footnote>
  <w:footnote w:id="12">
    <w:p w14:paraId="62EF357B" w14:textId="77777777" w:rsidR="0056051D" w:rsidRPr="00E52E49" w:rsidRDefault="0056051D" w:rsidP="0056051D">
      <w:pPr>
        <w:pStyle w:val="Textonotapie"/>
        <w:ind w:firstLine="705"/>
        <w:rPr>
          <w:rFonts w:ascii="Verdana" w:hAnsi="Verdana"/>
        </w:rPr>
      </w:pPr>
      <w:r w:rsidRPr="00E52E49">
        <w:rPr>
          <w:rStyle w:val="Refdenotaalpie"/>
          <w:rFonts w:ascii="Verdana" w:hAnsi="Verdana"/>
        </w:rPr>
        <w:footnoteRef/>
      </w:r>
      <w:r w:rsidRPr="00E52E49">
        <w:rPr>
          <w:rFonts w:ascii="Verdana" w:hAnsi="Verdana"/>
        </w:rPr>
        <w:t xml:space="preserve"> </w:t>
      </w:r>
      <w:r w:rsidRPr="00E52E49">
        <w:rPr>
          <w:rStyle w:val="normaltextrun"/>
          <w:rFonts w:ascii="Verdana" w:hAnsi="Verdana" w:cs="Arial"/>
          <w:color w:val="000000"/>
          <w:sz w:val="18"/>
          <w:szCs w:val="18"/>
          <w:shd w:val="clear" w:color="auto" w:fill="FFFFFF"/>
        </w:rPr>
        <w:t xml:space="preserve">CONSEJO DE ESTADO. Sección Tercera. Subsección C. Sentencia del 17 de junio de 2024. Rad. 69575. C.P. </w:t>
      </w:r>
      <w:r w:rsidRPr="00E52E49">
        <w:rPr>
          <w:rFonts w:ascii="Verdana" w:hAnsi="Verdana" w:cs="Arial"/>
          <w:color w:val="000000"/>
          <w:sz w:val="18"/>
          <w:szCs w:val="18"/>
          <w:shd w:val="clear" w:color="auto" w:fill="FFFFFF"/>
          <w:lang w:val="es-CO"/>
        </w:rPr>
        <w:t>Martín Bermúdez Muñoz</w:t>
      </w:r>
      <w:r w:rsidRPr="00E52E49">
        <w:rPr>
          <w:rStyle w:val="normaltextrun"/>
          <w:rFonts w:ascii="Verdana" w:hAnsi="Verdana" w:cs="Arial"/>
          <w:color w:val="000000"/>
          <w:sz w:val="18"/>
          <w:szCs w:val="18"/>
          <w:shd w:val="clear" w:color="auto" w:fill="FFFFFF"/>
        </w:rPr>
        <w:t>. </w:t>
      </w:r>
      <w:r>
        <w:rPr>
          <w:rStyle w:val="normaltextrun"/>
          <w:rFonts w:ascii="Verdana" w:hAnsi="Verdana" w:cs="Arial"/>
          <w:color w:val="000000"/>
          <w:sz w:val="18"/>
          <w:szCs w:val="18"/>
          <w:shd w:val="clear" w:color="auto" w:fill="FFFFFF"/>
        </w:rPr>
        <w:t xml:space="preserve">Nota al pie No. 7. </w:t>
      </w:r>
      <w:r w:rsidRPr="00E52E49">
        <w:rPr>
          <w:rStyle w:val="eop"/>
          <w:rFonts w:ascii="Verdana" w:hAnsi="Verdana" w:cs="Arial"/>
          <w:color w:val="000000"/>
          <w:sz w:val="18"/>
          <w:szCs w:val="18"/>
          <w:shd w:val="clear" w:color="auto" w:fill="FFFFFF"/>
        </w:rPr>
        <w:t> </w:t>
      </w:r>
    </w:p>
  </w:footnote>
  <w:footnote w:id="13">
    <w:p w14:paraId="0DE39763" w14:textId="77777777" w:rsidR="0056051D" w:rsidRPr="00311A20" w:rsidRDefault="0056051D" w:rsidP="0056051D">
      <w:pPr>
        <w:pStyle w:val="Textonotapie"/>
        <w:ind w:firstLine="708"/>
        <w:jc w:val="both"/>
        <w:rPr>
          <w:rFonts w:ascii="Verdana" w:hAnsi="Verdana" w:cs="Arial"/>
          <w:color w:val="000000"/>
          <w:sz w:val="16"/>
          <w:szCs w:val="16"/>
          <w:lang w:val="en-US"/>
        </w:rPr>
      </w:pPr>
      <w:r w:rsidRPr="00311A20">
        <w:rPr>
          <w:rStyle w:val="Refdenotaalpie"/>
          <w:rFonts w:ascii="Verdana" w:hAnsi="Verdana" w:cs="Arial"/>
          <w:color w:val="000000"/>
          <w:sz w:val="16"/>
          <w:szCs w:val="16"/>
        </w:rPr>
        <w:footnoteRef/>
      </w:r>
      <w:r w:rsidRPr="00311A20">
        <w:rPr>
          <w:rFonts w:ascii="Verdana" w:hAnsi="Verdana" w:cs="Arial"/>
          <w:color w:val="000000"/>
          <w:sz w:val="16"/>
          <w:szCs w:val="16"/>
          <w:lang w:val="en-US"/>
        </w:rPr>
        <w:t xml:space="preserve"> EUROPEAN COMMISSION. Buying Green – A handbook on green procurement, 2016, disponible </w:t>
      </w:r>
      <w:r w:rsidRPr="00311A20">
        <w:rPr>
          <w:rFonts w:ascii="Verdana" w:hAnsi="Verdana" w:cs="Arial"/>
          <w:color w:val="000000"/>
          <w:sz w:val="16"/>
          <w:szCs w:val="16"/>
          <w:lang w:val="en-US"/>
        </w:rPr>
        <w:t xml:space="preserve">en: </w:t>
      </w:r>
      <w:r>
        <w:fldChar w:fldCharType="begin"/>
      </w:r>
      <w:r w:rsidRPr="005145C2">
        <w:rPr>
          <w:lang w:val="en-US"/>
        </w:rPr>
        <w:instrText>HYPERLINK "https://ec.europa.eu/environment/gpp/pdf/Buying-Green-Handbook-3rd-Edition.pdf"</w:instrText>
      </w:r>
      <w:r>
        <w:fldChar w:fldCharType="separate"/>
      </w:r>
      <w:r w:rsidRPr="00311A20">
        <w:rPr>
          <w:rStyle w:val="Hipervnculo"/>
          <w:rFonts w:ascii="Verdana" w:hAnsi="Verdana" w:cs="Arial"/>
          <w:sz w:val="16"/>
          <w:szCs w:val="16"/>
          <w:lang w:val="en-US"/>
        </w:rPr>
        <w:t>https://ec.europa.eu/environment/gpp/pdf/Buying-Green-Handbook-3rd-Edition.pdf</w:t>
      </w:r>
      <w:r>
        <w:rPr>
          <w:rStyle w:val="Hipervnculo"/>
          <w:rFonts w:ascii="Verdana" w:hAnsi="Verdana" w:cs="Arial"/>
          <w:sz w:val="16"/>
          <w:szCs w:val="16"/>
          <w:lang w:val="en-US"/>
        </w:rPr>
        <w:fldChar w:fldCharType="end"/>
      </w:r>
      <w:r w:rsidRPr="00311A20">
        <w:rPr>
          <w:rFonts w:ascii="Verdana" w:hAnsi="Verdana" w:cs="Arial"/>
          <w:color w:val="000000"/>
          <w:sz w:val="16"/>
          <w:szCs w:val="16"/>
          <w:lang w:val="en-US"/>
        </w:rPr>
        <w:t>.</w:t>
      </w:r>
    </w:p>
  </w:footnote>
  <w:footnote w:id="14">
    <w:p w14:paraId="6F33736C" w14:textId="77777777" w:rsidR="0056051D" w:rsidRPr="00311A20" w:rsidRDefault="0056051D" w:rsidP="0056051D">
      <w:pPr>
        <w:pStyle w:val="Textonotapie"/>
        <w:ind w:firstLine="708"/>
        <w:jc w:val="both"/>
        <w:rPr>
          <w:rFonts w:ascii="Verdana" w:hAnsi="Verdana" w:cs="Arial"/>
          <w:sz w:val="16"/>
          <w:szCs w:val="16"/>
        </w:rPr>
      </w:pPr>
      <w:r w:rsidRPr="00311A20">
        <w:rPr>
          <w:rStyle w:val="Refdenotaalpie"/>
          <w:rFonts w:ascii="Verdana" w:hAnsi="Verdana" w:cs="Arial"/>
          <w:sz w:val="16"/>
          <w:szCs w:val="16"/>
        </w:rPr>
        <w:footnoteRef/>
      </w:r>
      <w:r w:rsidRPr="00311A20">
        <w:rPr>
          <w:rFonts w:ascii="Verdana" w:hAnsi="Verdana" w:cs="Arial"/>
          <w:sz w:val="16"/>
          <w:szCs w:val="16"/>
        </w:rPr>
        <w:t xml:space="preserve"> Cfr. </w:t>
      </w:r>
      <w:hyperlink r:id="rId1" w:history="1">
        <w:r w:rsidRPr="00311A20">
          <w:rPr>
            <w:rStyle w:val="Hipervnculo"/>
            <w:rFonts w:ascii="Verdana" w:hAnsi="Verdana" w:cs="Arial"/>
            <w:sz w:val="16"/>
            <w:szCs w:val="16"/>
          </w:rPr>
          <w:t>https://colaboracion.dnp.gov.co/CDT/DNP/Soporte%20t%c3%a9cnico%20Ley%20del%20Vigilante.pdf</w:t>
        </w:r>
      </w:hyperlink>
      <w:r w:rsidRPr="00311A20">
        <w:rPr>
          <w:rFonts w:ascii="Verdana" w:hAnsi="Verdana" w:cs="Arial"/>
          <w:sz w:val="16"/>
          <w:szCs w:val="16"/>
        </w:rPr>
        <w:t xml:space="preserve">. Consultado el </w:t>
      </w:r>
      <w:r>
        <w:rPr>
          <w:rFonts w:ascii="Verdana" w:hAnsi="Verdana" w:cs="Arial"/>
          <w:sz w:val="16"/>
          <w:szCs w:val="16"/>
        </w:rPr>
        <w:t xml:space="preserve">5 de noviembre </w:t>
      </w:r>
      <w:r w:rsidRPr="00311A20">
        <w:rPr>
          <w:rFonts w:ascii="Verdana" w:hAnsi="Verdana" w:cs="Arial"/>
          <w:sz w:val="16"/>
          <w:szCs w:val="16"/>
        </w:rPr>
        <w:t>de 202</w:t>
      </w:r>
      <w:r>
        <w:rPr>
          <w:rFonts w:ascii="Verdana" w:hAnsi="Verdana" w:cs="Arial"/>
          <w:sz w:val="16"/>
          <w:szCs w:val="16"/>
        </w:rPr>
        <w:t>4</w:t>
      </w:r>
      <w:r w:rsidRPr="00311A20">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4439"/>
    <w:rsid w:val="000A683E"/>
    <w:rsid w:val="000B19B9"/>
    <w:rsid w:val="000D0334"/>
    <w:rsid w:val="000F6486"/>
    <w:rsid w:val="00125105"/>
    <w:rsid w:val="00127233"/>
    <w:rsid w:val="001C52C7"/>
    <w:rsid w:val="001E4177"/>
    <w:rsid w:val="001F7DC6"/>
    <w:rsid w:val="002421BB"/>
    <w:rsid w:val="0025796E"/>
    <w:rsid w:val="002707A2"/>
    <w:rsid w:val="002951A0"/>
    <w:rsid w:val="002962BC"/>
    <w:rsid w:val="00296ED6"/>
    <w:rsid w:val="002A093D"/>
    <w:rsid w:val="002A0DD0"/>
    <w:rsid w:val="002A49AC"/>
    <w:rsid w:val="002A5B13"/>
    <w:rsid w:val="002A64FD"/>
    <w:rsid w:val="002B2CEC"/>
    <w:rsid w:val="002C7A84"/>
    <w:rsid w:val="002E4FD9"/>
    <w:rsid w:val="00322A85"/>
    <w:rsid w:val="00324168"/>
    <w:rsid w:val="00335BE1"/>
    <w:rsid w:val="003448F4"/>
    <w:rsid w:val="00374F5E"/>
    <w:rsid w:val="00377E3E"/>
    <w:rsid w:val="003A26D1"/>
    <w:rsid w:val="003A779E"/>
    <w:rsid w:val="003D0F4D"/>
    <w:rsid w:val="003D5B0D"/>
    <w:rsid w:val="003E0499"/>
    <w:rsid w:val="003F3941"/>
    <w:rsid w:val="00406575"/>
    <w:rsid w:val="0042722E"/>
    <w:rsid w:val="0044528D"/>
    <w:rsid w:val="004930DA"/>
    <w:rsid w:val="004A1847"/>
    <w:rsid w:val="004A305D"/>
    <w:rsid w:val="004D44FD"/>
    <w:rsid w:val="004F21C4"/>
    <w:rsid w:val="004F685F"/>
    <w:rsid w:val="005145C2"/>
    <w:rsid w:val="00543BFE"/>
    <w:rsid w:val="005566E8"/>
    <w:rsid w:val="0056051D"/>
    <w:rsid w:val="00574867"/>
    <w:rsid w:val="00591460"/>
    <w:rsid w:val="00592628"/>
    <w:rsid w:val="005B00A7"/>
    <w:rsid w:val="005C3777"/>
    <w:rsid w:val="005C5CDC"/>
    <w:rsid w:val="005D476C"/>
    <w:rsid w:val="00610812"/>
    <w:rsid w:val="006219F8"/>
    <w:rsid w:val="00650FF7"/>
    <w:rsid w:val="00660527"/>
    <w:rsid w:val="00665D70"/>
    <w:rsid w:val="00671DAC"/>
    <w:rsid w:val="006900D9"/>
    <w:rsid w:val="006A662D"/>
    <w:rsid w:val="006D12F8"/>
    <w:rsid w:val="006F36F3"/>
    <w:rsid w:val="00706C16"/>
    <w:rsid w:val="00710A79"/>
    <w:rsid w:val="00713432"/>
    <w:rsid w:val="00720E9B"/>
    <w:rsid w:val="00756841"/>
    <w:rsid w:val="007649AB"/>
    <w:rsid w:val="00771D0C"/>
    <w:rsid w:val="007833AC"/>
    <w:rsid w:val="007B268C"/>
    <w:rsid w:val="007B7171"/>
    <w:rsid w:val="007C0C0F"/>
    <w:rsid w:val="007C3DC2"/>
    <w:rsid w:val="007D4BD8"/>
    <w:rsid w:val="007D52F7"/>
    <w:rsid w:val="007E5497"/>
    <w:rsid w:val="00806F5F"/>
    <w:rsid w:val="00820278"/>
    <w:rsid w:val="008750F9"/>
    <w:rsid w:val="008843B6"/>
    <w:rsid w:val="00891928"/>
    <w:rsid w:val="008A446D"/>
    <w:rsid w:val="008B6D3D"/>
    <w:rsid w:val="008D180B"/>
    <w:rsid w:val="008F0EA7"/>
    <w:rsid w:val="00923EEF"/>
    <w:rsid w:val="00934D5D"/>
    <w:rsid w:val="009415BC"/>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27A14"/>
    <w:rsid w:val="00A33C78"/>
    <w:rsid w:val="00A3503B"/>
    <w:rsid w:val="00AB0ADB"/>
    <w:rsid w:val="00B01B1A"/>
    <w:rsid w:val="00B24B86"/>
    <w:rsid w:val="00B72CD3"/>
    <w:rsid w:val="00B72FFF"/>
    <w:rsid w:val="00BC3D36"/>
    <w:rsid w:val="00BD7F72"/>
    <w:rsid w:val="00BF51A9"/>
    <w:rsid w:val="00C04FB3"/>
    <w:rsid w:val="00C330EB"/>
    <w:rsid w:val="00C754BE"/>
    <w:rsid w:val="00C76B1C"/>
    <w:rsid w:val="00CB3B76"/>
    <w:rsid w:val="00CB6357"/>
    <w:rsid w:val="00CC1B26"/>
    <w:rsid w:val="00D11CB7"/>
    <w:rsid w:val="00D423A2"/>
    <w:rsid w:val="00D520D8"/>
    <w:rsid w:val="00D63AC2"/>
    <w:rsid w:val="00D7383B"/>
    <w:rsid w:val="00DA231B"/>
    <w:rsid w:val="00DA23A0"/>
    <w:rsid w:val="00DA543F"/>
    <w:rsid w:val="00DC39FC"/>
    <w:rsid w:val="00DF5254"/>
    <w:rsid w:val="00DF6FF4"/>
    <w:rsid w:val="00E00D0C"/>
    <w:rsid w:val="00E16408"/>
    <w:rsid w:val="00E20894"/>
    <w:rsid w:val="00E245AB"/>
    <w:rsid w:val="00E2764C"/>
    <w:rsid w:val="00E27F2E"/>
    <w:rsid w:val="00E413EA"/>
    <w:rsid w:val="00E50AFE"/>
    <w:rsid w:val="00E544F3"/>
    <w:rsid w:val="00E75C92"/>
    <w:rsid w:val="00E771DC"/>
    <w:rsid w:val="00E8772A"/>
    <w:rsid w:val="00E90F6B"/>
    <w:rsid w:val="00E92C27"/>
    <w:rsid w:val="00EA0E3D"/>
    <w:rsid w:val="00EC38A7"/>
    <w:rsid w:val="00EE1AA8"/>
    <w:rsid w:val="00F2276D"/>
    <w:rsid w:val="00F31EDC"/>
    <w:rsid w:val="00F462B3"/>
    <w:rsid w:val="00F5664F"/>
    <w:rsid w:val="00F666C4"/>
    <w:rsid w:val="00F76AFC"/>
    <w:rsid w:val="00FA47C0"/>
    <w:rsid w:val="00FB5DD1"/>
    <w:rsid w:val="00FC2B5D"/>
    <w:rsid w:val="00FF1449"/>
    <w:rsid w:val="00FF1F6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24B8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B24B86"/>
    <w:rPr>
      <w:rFonts w:ascii="Geomanist Light" w:hAnsi="Geomanist Light"/>
      <w:lang w:val="es-ES"/>
    </w:rPr>
  </w:style>
  <w:style w:type="paragraph" w:styleId="Textoindependiente">
    <w:name w:val="Body Text"/>
    <w:basedOn w:val="Normal"/>
    <w:link w:val="TextoindependienteCar"/>
    <w:uiPriority w:val="99"/>
    <w:unhideWhenUsed/>
    <w:rsid w:val="00B24B86"/>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B24B86"/>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_diaz77@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DNP/Soporte%20t%c3%a9cnico%20Ley%20del%20Vigilant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BAFC1-77DA-42AF-AF25-EBB5DF02E48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5636</Words>
  <Characters>31001</Characters>
  <Application>Microsoft Office Word</Application>
  <DocSecurity>0</DocSecurity>
  <Lines>258</Lines>
  <Paragraphs>73</Paragraphs>
  <ScaleCrop>false</ScaleCrop>
  <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8</cp:revision>
  <cp:lastPrinted>2023-01-10T21:18:00Z</cp:lastPrinted>
  <dcterms:created xsi:type="dcterms:W3CDTF">2024-11-19T17:17:00Z</dcterms:created>
  <dcterms:modified xsi:type="dcterms:W3CDTF">2024-11-21T03:16:00Z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