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A67B" w14:textId="77777777" w:rsidR="00FF2F27" w:rsidRPr="00942844" w:rsidRDefault="00FF2F27" w:rsidP="00FF2F27">
      <w:pPr>
        <w:pStyle w:val="Sinespaciado"/>
        <w:jc w:val="both"/>
        <w:rPr>
          <w:rFonts w:ascii="Verdana" w:hAnsi="Verdana" w:cs="Arial"/>
          <w:b/>
          <w:bCs/>
          <w:sz w:val="22"/>
        </w:rPr>
      </w:pPr>
      <w:bookmarkStart w:id="0" w:name="_Hlk143780582"/>
      <w:r w:rsidRPr="00942844">
        <w:rPr>
          <w:rFonts w:ascii="Verdana" w:hAnsi="Verdana" w:cs="Arial"/>
          <w:b/>
          <w:bCs/>
          <w:sz w:val="22"/>
        </w:rPr>
        <w:t>INHABILIDADES – Definición – Finalidad – Limitación capacidad contractual</w:t>
      </w:r>
    </w:p>
    <w:p w14:paraId="35F8A270" w14:textId="77777777" w:rsidR="00FF2F27" w:rsidRPr="00942844" w:rsidRDefault="00FF2F27" w:rsidP="00FF2F27">
      <w:pPr>
        <w:pStyle w:val="Sinespaciado"/>
        <w:jc w:val="both"/>
        <w:rPr>
          <w:rFonts w:ascii="Verdana" w:hAnsi="Verdana" w:cs="Arial"/>
          <w:sz w:val="20"/>
          <w:szCs w:val="20"/>
        </w:rPr>
      </w:pPr>
    </w:p>
    <w:p w14:paraId="1E7C6FCB" w14:textId="77777777" w:rsidR="00FF2F27" w:rsidRPr="00942844" w:rsidRDefault="00FF2F27" w:rsidP="00FF2F27">
      <w:pPr>
        <w:pStyle w:val="Sinespaciado"/>
        <w:spacing w:after="120"/>
        <w:jc w:val="both"/>
        <w:rPr>
          <w:rFonts w:ascii="Verdana" w:hAnsi="Verdana" w:cs="Arial"/>
          <w:sz w:val="20"/>
          <w:szCs w:val="20"/>
        </w:rPr>
      </w:pPr>
      <w:r w:rsidRPr="00942844">
        <w:rPr>
          <w:rFonts w:ascii="Verdana" w:hAnsi="Verdana"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6D96EB4" w14:textId="77777777" w:rsidR="00FF2F27" w:rsidRPr="00942844" w:rsidRDefault="00FF2F27" w:rsidP="00FF2F27">
      <w:pPr>
        <w:pStyle w:val="Sinespaciado"/>
        <w:spacing w:before="120"/>
        <w:jc w:val="both"/>
        <w:rPr>
          <w:rFonts w:ascii="Verdana" w:hAnsi="Verdana" w:cs="Arial"/>
          <w:sz w:val="22"/>
        </w:rPr>
      </w:pPr>
      <w:r w:rsidRPr="00942844">
        <w:rPr>
          <w:rFonts w:ascii="Verdana" w:hAnsi="Verdana" w:cs="Arial"/>
          <w:sz w:val="20"/>
          <w:szCs w:val="20"/>
        </w:rPr>
        <w:t>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942844">
        <w:rPr>
          <w:rFonts w:ascii="Verdana" w:hAnsi="Verdana" w:cs="Arial"/>
          <w:sz w:val="22"/>
        </w:rPr>
        <w:t xml:space="preserve"> </w:t>
      </w:r>
    </w:p>
    <w:p w14:paraId="7E78AC74" w14:textId="77777777" w:rsidR="00FF2F27" w:rsidRPr="00942844" w:rsidRDefault="00FF2F27" w:rsidP="00FF2F27">
      <w:pPr>
        <w:pStyle w:val="Sinespaciado"/>
        <w:jc w:val="both"/>
        <w:rPr>
          <w:rFonts w:ascii="Verdana" w:hAnsi="Verdana" w:cs="Arial"/>
          <w:sz w:val="20"/>
          <w:szCs w:val="20"/>
        </w:rPr>
      </w:pPr>
    </w:p>
    <w:p w14:paraId="767CDFC3" w14:textId="77777777" w:rsidR="00FF2F27" w:rsidRPr="00942844" w:rsidRDefault="00FF2F27" w:rsidP="00FF2F27">
      <w:pPr>
        <w:tabs>
          <w:tab w:val="left" w:pos="426"/>
        </w:tabs>
        <w:jc w:val="both"/>
        <w:rPr>
          <w:rFonts w:ascii="Verdana" w:eastAsia="Calibri" w:hAnsi="Verdana" w:cs="Arial"/>
          <w:b/>
          <w:lang w:val="es-ES_tradnl"/>
        </w:rPr>
      </w:pPr>
      <w:r w:rsidRPr="00942844">
        <w:rPr>
          <w:rFonts w:ascii="Verdana" w:eastAsia="Calibri" w:hAnsi="Verdana" w:cs="Arial"/>
          <w:b/>
          <w:lang w:val="es-ES_tradnl"/>
        </w:rPr>
        <w:t>CONTRATACIÓN ESTATAL – Capacidad – Validez contratos – Régimen de contratación – Inscripción – Limitación de la capacidad</w:t>
      </w:r>
    </w:p>
    <w:p w14:paraId="2FA14556" w14:textId="77777777" w:rsidR="00FF2F27" w:rsidRPr="00942844" w:rsidRDefault="00FF2F27" w:rsidP="00FF2F27">
      <w:pPr>
        <w:jc w:val="both"/>
        <w:rPr>
          <w:rFonts w:ascii="Verdana" w:eastAsia="Calibri" w:hAnsi="Verdana" w:cs="Arial"/>
          <w:sz w:val="20"/>
          <w:szCs w:val="20"/>
          <w:lang w:val="es-ES_tradnl"/>
        </w:rPr>
      </w:pPr>
    </w:p>
    <w:p w14:paraId="58EDB3B5" w14:textId="77777777" w:rsidR="00FF2F27" w:rsidRPr="00942844" w:rsidRDefault="00FF2F27" w:rsidP="00FF2F27">
      <w:pPr>
        <w:spacing w:after="120"/>
        <w:jc w:val="both"/>
        <w:rPr>
          <w:rFonts w:ascii="Verdana" w:eastAsia="Calibri" w:hAnsi="Verdana" w:cs="Arial"/>
          <w:sz w:val="20"/>
          <w:szCs w:val="20"/>
          <w:lang w:val="es-ES_tradnl"/>
        </w:rPr>
      </w:pPr>
      <w:r w:rsidRPr="00942844">
        <w:rPr>
          <w:rFonts w:ascii="Verdana" w:eastAsia="Calibri" w:hAnsi="Verdana" w:cs="Arial"/>
          <w:sz w:val="20"/>
          <w:szCs w:val="20"/>
          <w:lang w:val="es-ES_tradnl"/>
        </w:rPr>
        <w:t xml:space="preserve">En la contratación estatal, la </w:t>
      </w:r>
      <w:r w:rsidRPr="00942844">
        <w:rPr>
          <w:rFonts w:ascii="Verdana" w:eastAsia="Calibri" w:hAnsi="Verdana" w:cs="Arial"/>
          <w:i/>
          <w:iCs/>
          <w:sz w:val="20"/>
          <w:szCs w:val="20"/>
          <w:lang w:val="es-ES_tradnl"/>
        </w:rPr>
        <w:t>capacidad</w:t>
      </w:r>
      <w:r w:rsidRPr="00942844">
        <w:rPr>
          <w:rFonts w:ascii="Verdana" w:eastAsia="Calibri" w:hAnsi="Verdana"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3213FAD3" w14:textId="77777777" w:rsidR="00FF2F27" w:rsidRPr="00942844" w:rsidRDefault="00FF2F27" w:rsidP="00FF2F27">
      <w:pPr>
        <w:spacing w:before="120"/>
        <w:jc w:val="both"/>
        <w:rPr>
          <w:rFonts w:ascii="Verdana" w:eastAsia="Calibri" w:hAnsi="Verdana" w:cs="Arial"/>
          <w:sz w:val="20"/>
          <w:szCs w:val="20"/>
          <w:lang w:val="es-ES_tradnl"/>
        </w:rPr>
      </w:pPr>
      <w:r w:rsidRPr="00942844">
        <w:rPr>
          <w:rFonts w:ascii="Verdana" w:eastAsia="Calibri" w:hAnsi="Verdana" w:cs="Arial"/>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942844">
        <w:rPr>
          <w:rFonts w:ascii="Verdana" w:eastAsia="Calibri" w:hAnsi="Verdana" w:cs="Arial"/>
          <w:sz w:val="20"/>
          <w:szCs w:val="20"/>
          <w:lang w:val="es-ES_tradnl"/>
        </w:rPr>
        <w:t>ii</w:t>
      </w:r>
      <w:proofErr w:type="spellEnd"/>
      <w:r w:rsidRPr="00942844">
        <w:rPr>
          <w:rFonts w:ascii="Verdana" w:eastAsia="Calibri" w:hAnsi="Verdana" w:cs="Arial"/>
          <w:sz w:val="20"/>
          <w:szCs w:val="20"/>
          <w:lang w:val="es-ES_tradnl"/>
        </w:rPr>
        <w:t xml:space="preserve">) de vínculos personales relativos al parentesco o al estado civil o </w:t>
      </w:r>
      <w:proofErr w:type="spellStart"/>
      <w:r w:rsidRPr="00942844">
        <w:rPr>
          <w:rFonts w:ascii="Verdana" w:eastAsia="Calibri" w:hAnsi="Verdana" w:cs="Arial"/>
          <w:sz w:val="20"/>
          <w:szCs w:val="20"/>
          <w:lang w:val="es-ES_tradnl"/>
        </w:rPr>
        <w:t>iii</w:t>
      </w:r>
      <w:proofErr w:type="spellEnd"/>
      <w:r w:rsidRPr="00942844">
        <w:rPr>
          <w:rFonts w:ascii="Verdana" w:eastAsia="Calibri" w:hAnsi="Verdana" w:cs="Arial"/>
          <w:sz w:val="20"/>
          <w:szCs w:val="20"/>
          <w:lang w:val="es-ES_tradnl"/>
        </w:rPr>
        <w:t>)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438A42D9" w14:textId="77777777" w:rsidR="00FF2F27" w:rsidRPr="00942844" w:rsidRDefault="00FF2F27" w:rsidP="00FF2F27">
      <w:pPr>
        <w:jc w:val="both"/>
        <w:rPr>
          <w:rFonts w:ascii="Verdana" w:eastAsia="Calibri" w:hAnsi="Verdana" w:cs="Arial"/>
          <w:sz w:val="20"/>
          <w:szCs w:val="20"/>
          <w:lang w:val="es-ES_tradnl"/>
        </w:rPr>
      </w:pPr>
    </w:p>
    <w:p w14:paraId="2A3362A3" w14:textId="77777777" w:rsidR="00FF2F27" w:rsidRPr="00942844" w:rsidRDefault="00FF2F27" w:rsidP="00FF2F27">
      <w:pPr>
        <w:jc w:val="both"/>
        <w:rPr>
          <w:rFonts w:ascii="Verdana" w:eastAsia="Calibri" w:hAnsi="Verdana" w:cs="Arial"/>
          <w:b/>
          <w:bCs/>
          <w:lang w:val="es-ES_tradnl"/>
        </w:rPr>
      </w:pPr>
      <w:r w:rsidRPr="00942844">
        <w:rPr>
          <w:rFonts w:ascii="Verdana" w:eastAsia="Calibri" w:hAnsi="Verdana" w:cs="Arial"/>
          <w:b/>
          <w:bCs/>
          <w:lang w:val="es-ES_tradnl"/>
        </w:rPr>
        <w:t>INHABILIDADES – Taxatividad – Principio de legalidad – Interpretación restrictiva</w:t>
      </w:r>
    </w:p>
    <w:p w14:paraId="105BDEF6" w14:textId="77777777" w:rsidR="00FF2F27" w:rsidRPr="00942844" w:rsidRDefault="00FF2F27" w:rsidP="00FF2F27">
      <w:pPr>
        <w:jc w:val="both"/>
        <w:rPr>
          <w:rFonts w:ascii="Verdana" w:eastAsia="Calibri" w:hAnsi="Verdana" w:cs="Arial"/>
          <w:sz w:val="20"/>
          <w:szCs w:val="20"/>
          <w:lang w:val="es-ES_tradnl"/>
        </w:rPr>
      </w:pPr>
    </w:p>
    <w:p w14:paraId="2F852B61" w14:textId="77777777" w:rsidR="00FF2F27" w:rsidRPr="00942844" w:rsidRDefault="00FF2F27" w:rsidP="00FF2F27">
      <w:pPr>
        <w:jc w:val="both"/>
        <w:rPr>
          <w:rFonts w:ascii="Verdana" w:eastAsia="Calibri" w:hAnsi="Verdana" w:cs="Arial"/>
          <w:sz w:val="20"/>
          <w:szCs w:val="20"/>
          <w:lang w:val="es-ES_tradnl"/>
        </w:rPr>
      </w:pPr>
      <w:r w:rsidRPr="00942844">
        <w:rPr>
          <w:rFonts w:ascii="Verdana" w:eastAsia="Calibri" w:hAnsi="Verdana"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42844">
        <w:rPr>
          <w:rFonts w:ascii="Verdana" w:eastAsia="Calibri" w:hAnsi="Verdana" w:cs="Arial"/>
          <w:i/>
          <w:iCs/>
          <w:sz w:val="20"/>
          <w:szCs w:val="20"/>
          <w:lang w:val="es-ES_tradnl"/>
        </w:rPr>
        <w:t>restrictiva</w:t>
      </w:r>
      <w:r w:rsidRPr="00942844">
        <w:rPr>
          <w:rFonts w:ascii="Verdana" w:eastAsia="Calibri" w:hAnsi="Verdana"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D2C3355" w14:textId="67B9A722" w:rsidR="0050012F" w:rsidRPr="00942844" w:rsidRDefault="0050012F" w:rsidP="0060538B">
      <w:pPr>
        <w:jc w:val="both"/>
        <w:rPr>
          <w:rFonts w:ascii="Verdana" w:eastAsia="Times New Roman" w:hAnsi="Verdana" w:cs="Arial"/>
          <w:i/>
          <w:iCs/>
          <w:color w:val="333333"/>
          <w:lang w:val="es-MX" w:eastAsia="es-CO"/>
        </w:rPr>
      </w:pPr>
      <w:r w:rsidRPr="00942844">
        <w:rPr>
          <w:rFonts w:ascii="Verdana" w:eastAsia="Times New Roman" w:hAnsi="Verdana" w:cs="Arial"/>
          <w:i/>
          <w:iCs/>
          <w:color w:val="333333"/>
          <w:lang w:val="es-MX" w:eastAsia="es-CO"/>
        </w:rPr>
        <w:br w:type="page"/>
      </w:r>
    </w:p>
    <w:p w14:paraId="5D34D269" w14:textId="77777777" w:rsidR="00C04209" w:rsidRPr="00942844" w:rsidRDefault="00C04209" w:rsidP="00C04209">
      <w:pPr>
        <w:spacing w:after="0" w:line="240" w:lineRule="auto"/>
        <w:contextualSpacing/>
        <w:jc w:val="both"/>
        <w:rPr>
          <w:rFonts w:ascii="Verdana" w:eastAsia="Times New Roman" w:hAnsi="Verdana" w:cs="Arial"/>
          <w:i/>
          <w:iCs/>
          <w:color w:val="333333"/>
          <w:lang w:val="es-MX" w:eastAsia="es-CO"/>
        </w:rPr>
      </w:pPr>
    </w:p>
    <w:p w14:paraId="131A973B" w14:textId="14F3DD48" w:rsidR="00AB64A5" w:rsidRPr="00942844" w:rsidRDefault="00AB64A5" w:rsidP="00CD258B">
      <w:pPr>
        <w:rPr>
          <w:rFonts w:ascii="Verdana" w:eastAsia="Calibri" w:hAnsi="Verdana" w:cs="Arial"/>
          <w:bCs/>
          <w:sz w:val="20"/>
          <w:szCs w:val="20"/>
          <w:lang w:val="es-ES_tradnl"/>
        </w:rPr>
      </w:pPr>
      <w:r w:rsidRPr="00942844">
        <w:rPr>
          <w:rFonts w:ascii="Verdana" w:hAnsi="Verdana"/>
        </w:rPr>
        <w:t>Bogo</w:t>
      </w:r>
      <w:r w:rsidR="00FC3EC1" w:rsidRPr="00942844">
        <w:rPr>
          <w:rFonts w:ascii="Verdana" w:hAnsi="Verdana"/>
        </w:rPr>
        <w:t>t</w:t>
      </w:r>
      <w:r w:rsidRPr="00942844">
        <w:rPr>
          <w:rFonts w:ascii="Verdana" w:hAnsi="Verdana"/>
        </w:rPr>
        <w:t>á D.C., [Día] [</w:t>
      </w:r>
      <w:proofErr w:type="spellStart"/>
      <w:r w:rsidRPr="00942844">
        <w:rPr>
          <w:rFonts w:ascii="Verdana" w:hAnsi="Verdana"/>
        </w:rPr>
        <w:t>Mes.NombreCapitalizado</w:t>
      </w:r>
      <w:proofErr w:type="spellEnd"/>
      <w:r w:rsidRPr="00942844">
        <w:rPr>
          <w:rFonts w:ascii="Verdana" w:hAnsi="Verdana"/>
        </w:rPr>
        <w:t>] [Año]</w:t>
      </w:r>
      <w:r w:rsidRPr="00942844">
        <w:rPr>
          <w:rFonts w:ascii="Verdana" w:hAnsi="Verdana"/>
        </w:rPr>
        <w:tab/>
      </w:r>
    </w:p>
    <w:p w14:paraId="6F8CA54C" w14:textId="6A7CD3D1" w:rsidR="00AB64A5" w:rsidRDefault="002E197E" w:rsidP="00AB64A5">
      <w:pPr>
        <w:spacing w:after="0"/>
        <w:rPr>
          <w:rFonts w:ascii="Verdana" w:hAnsi="Verdana"/>
        </w:rPr>
      </w:pPr>
      <w:r w:rsidRPr="00412ED3">
        <w:rPr>
          <w:rFonts w:ascii="Verdana" w:eastAsia="Calibri" w:hAnsi="Verdana" w:cs="Arial"/>
          <w:b/>
          <w:bCs/>
          <w:noProof/>
          <w:color w:val="000000"/>
          <w:lang w:val="es-ES_tradnl" w:eastAsia="es-ES_tradnl"/>
        </w:rPr>
        <w:drawing>
          <wp:anchor distT="0" distB="0" distL="114300" distR="114300" simplePos="0" relativeHeight="251658240" behindDoc="1" locked="0" layoutInCell="1" allowOverlap="1" wp14:anchorId="49FD9EAC" wp14:editId="5751511B">
            <wp:simplePos x="0" y="0"/>
            <wp:positionH relativeFrom="column">
              <wp:posOffset>2863215</wp:posOffset>
            </wp:positionH>
            <wp:positionV relativeFrom="paragraph">
              <wp:posOffset>147320</wp:posOffset>
            </wp:positionV>
            <wp:extent cx="3139440" cy="922020"/>
            <wp:effectExtent l="0" t="0" r="3810" b="0"/>
            <wp:wrapTight wrapText="bothSides">
              <wp:wrapPolygon edited="0">
                <wp:start x="0" y="0"/>
                <wp:lineTo x="0" y="20975"/>
                <wp:lineTo x="21495" y="20975"/>
                <wp:lineTo x="21495" y="0"/>
                <wp:lineTo x="0" y="0"/>
              </wp:wrapPolygon>
            </wp:wrapTight>
            <wp:docPr id="8979522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5222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139440" cy="922020"/>
                    </a:xfrm>
                    <a:prstGeom prst="rect">
                      <a:avLst/>
                    </a:prstGeom>
                  </pic:spPr>
                </pic:pic>
              </a:graphicData>
            </a:graphic>
          </wp:anchor>
        </w:drawing>
      </w:r>
    </w:p>
    <w:p w14:paraId="3E3B5061" w14:textId="05DFCB19" w:rsidR="002E197E" w:rsidRDefault="002E197E" w:rsidP="00AB64A5">
      <w:pPr>
        <w:spacing w:after="0"/>
        <w:rPr>
          <w:rFonts w:ascii="Verdana" w:hAnsi="Verdana"/>
        </w:rPr>
      </w:pPr>
    </w:p>
    <w:p w14:paraId="58349C05" w14:textId="77777777" w:rsidR="002E197E" w:rsidRDefault="002E197E" w:rsidP="00AB64A5">
      <w:pPr>
        <w:spacing w:after="0"/>
        <w:rPr>
          <w:rFonts w:ascii="Verdana" w:hAnsi="Verdana"/>
        </w:rPr>
      </w:pPr>
    </w:p>
    <w:p w14:paraId="6B6C2391" w14:textId="77777777" w:rsidR="002E197E" w:rsidRDefault="002E197E" w:rsidP="00AB64A5">
      <w:pPr>
        <w:spacing w:after="0"/>
        <w:rPr>
          <w:rFonts w:ascii="Verdana" w:hAnsi="Verdana"/>
        </w:rPr>
      </w:pPr>
    </w:p>
    <w:p w14:paraId="670D0E98" w14:textId="77777777" w:rsidR="002E197E" w:rsidRDefault="002E197E" w:rsidP="00AB64A5">
      <w:pPr>
        <w:spacing w:after="0"/>
        <w:rPr>
          <w:rFonts w:ascii="Verdana" w:hAnsi="Verdana"/>
        </w:rPr>
      </w:pPr>
    </w:p>
    <w:p w14:paraId="3FECA714" w14:textId="77777777" w:rsidR="002E197E" w:rsidRPr="00942844" w:rsidRDefault="002E197E" w:rsidP="00AB64A5">
      <w:pPr>
        <w:spacing w:after="0"/>
        <w:rPr>
          <w:rFonts w:ascii="Verdana" w:hAnsi="Verdana"/>
        </w:rPr>
      </w:pPr>
    </w:p>
    <w:p w14:paraId="3DB8E8D4" w14:textId="77777777" w:rsidR="002E197E" w:rsidRDefault="002E197E" w:rsidP="00AB64A5">
      <w:pPr>
        <w:spacing w:after="0" w:line="240" w:lineRule="auto"/>
        <w:jc w:val="both"/>
        <w:rPr>
          <w:rFonts w:ascii="Verdana" w:eastAsia="Calibri" w:hAnsi="Verdana" w:cs="Arial"/>
          <w:lang w:eastAsia="es-ES"/>
        </w:rPr>
      </w:pPr>
    </w:p>
    <w:p w14:paraId="01AE3B0A" w14:textId="51D6EFC3" w:rsidR="00AB64A5" w:rsidRPr="00942844" w:rsidRDefault="00AB64A5" w:rsidP="00AB64A5">
      <w:pPr>
        <w:spacing w:after="0" w:line="240" w:lineRule="auto"/>
        <w:jc w:val="both"/>
        <w:rPr>
          <w:rFonts w:ascii="Verdana" w:eastAsia="Calibri" w:hAnsi="Verdana" w:cs="Arial"/>
          <w:lang w:eastAsia="es-ES"/>
        </w:rPr>
      </w:pPr>
      <w:r w:rsidRPr="00942844">
        <w:rPr>
          <w:rFonts w:ascii="Verdana" w:eastAsia="Calibri" w:hAnsi="Verdana" w:cs="Arial"/>
          <w:lang w:eastAsia="es-ES"/>
        </w:rPr>
        <w:t>Señor</w:t>
      </w:r>
    </w:p>
    <w:p w14:paraId="549391EF" w14:textId="1FD06868" w:rsidR="0060538B" w:rsidRPr="00942844" w:rsidRDefault="00A96BF0" w:rsidP="00FC3EC1">
      <w:pPr>
        <w:spacing w:after="0" w:line="240" w:lineRule="auto"/>
        <w:rPr>
          <w:rFonts w:ascii="Verdana" w:hAnsi="Verdana"/>
          <w:b/>
          <w:bCs/>
        </w:rPr>
      </w:pPr>
      <w:r w:rsidRPr="00942844">
        <w:rPr>
          <w:rFonts w:ascii="Verdana" w:hAnsi="Verdana"/>
          <w:b/>
          <w:bCs/>
        </w:rPr>
        <w:t xml:space="preserve">MIGUEL MURILLO </w:t>
      </w:r>
    </w:p>
    <w:p w14:paraId="6A23B91F" w14:textId="07132BDE" w:rsidR="0050012F" w:rsidRPr="00942844" w:rsidRDefault="00A96BF0" w:rsidP="00FC3EC1">
      <w:pPr>
        <w:spacing w:after="0" w:line="240" w:lineRule="auto"/>
        <w:rPr>
          <w:rFonts w:ascii="Verdana" w:eastAsia="Calibri" w:hAnsi="Verdana" w:cs="Arial"/>
          <w:u w:val="single"/>
          <w:lang w:eastAsia="es-ES"/>
        </w:rPr>
      </w:pPr>
      <w:r w:rsidRPr="00942844">
        <w:rPr>
          <w:rFonts w:ascii="Verdana" w:eastAsia="Calibri" w:hAnsi="Verdana" w:cs="Arial"/>
          <w:u w:val="single"/>
          <w:lang w:eastAsia="es-ES"/>
        </w:rPr>
        <w:t>Miguelantonio46@gmail.com</w:t>
      </w:r>
    </w:p>
    <w:p w14:paraId="38021ECE" w14:textId="22D896F3" w:rsidR="00AB64A5" w:rsidRPr="00942844" w:rsidRDefault="00AB64A5" w:rsidP="00FC3EC1">
      <w:pPr>
        <w:spacing w:after="0" w:line="240" w:lineRule="auto"/>
        <w:rPr>
          <w:rFonts w:ascii="Verdana" w:eastAsia="Calibri" w:hAnsi="Verdana" w:cs="Arial"/>
          <w:lang w:eastAsia="es-ES"/>
        </w:rPr>
      </w:pPr>
      <w:r w:rsidRPr="00942844">
        <w:rPr>
          <w:rFonts w:ascii="Verdana" w:eastAsia="Calibri" w:hAnsi="Verdana" w:cs="Arial"/>
          <w:lang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51C72975" w14:textId="77777777" w:rsidR="00412ED3" w:rsidRDefault="00412ED3" w:rsidP="00AB64A5">
      <w:pPr>
        <w:spacing w:after="0" w:line="240" w:lineRule="auto"/>
        <w:rPr>
          <w:rFonts w:ascii="Verdana" w:eastAsia="Calibri" w:hAnsi="Verdana" w:cs="Arial"/>
          <w:b/>
          <w:bCs/>
          <w:color w:val="000000"/>
          <w:lang w:val="es-ES_tradnl" w:eastAsia="es-ES_tradnl"/>
        </w:rPr>
      </w:pPr>
    </w:p>
    <w:p w14:paraId="50A0E69E" w14:textId="4CDD67CF" w:rsidR="00412ED3" w:rsidRPr="00942844" w:rsidRDefault="00412ED3" w:rsidP="00412ED3">
      <w:pPr>
        <w:spacing w:after="0" w:line="240" w:lineRule="auto"/>
        <w:jc w:val="right"/>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942844" w14:paraId="124FFB5C" w14:textId="77777777" w:rsidTr="007B0B27">
        <w:trPr>
          <w:trHeight w:val="884"/>
        </w:trPr>
        <w:tc>
          <w:tcPr>
            <w:tcW w:w="2268" w:type="dxa"/>
          </w:tcPr>
          <w:p w14:paraId="6311258D" w14:textId="77777777" w:rsidR="00AB64A5" w:rsidRPr="00942844" w:rsidRDefault="00AB64A5" w:rsidP="007B0B27">
            <w:pPr>
              <w:jc w:val="both"/>
              <w:rPr>
                <w:rFonts w:ascii="Verdana" w:eastAsia="Calibri" w:hAnsi="Verdana" w:cs="Arial"/>
                <w:b/>
                <w:bCs/>
                <w:color w:val="7030A0"/>
                <w:lang w:val="es-ES_tradnl" w:eastAsia="es-ES_tradnl"/>
              </w:rPr>
            </w:pPr>
          </w:p>
        </w:tc>
        <w:tc>
          <w:tcPr>
            <w:tcW w:w="6946" w:type="dxa"/>
          </w:tcPr>
          <w:p w14:paraId="23DA8C95" w14:textId="776B9984" w:rsidR="00AB64A5" w:rsidRPr="00942844" w:rsidRDefault="00AB64A5" w:rsidP="007B0B27">
            <w:pPr>
              <w:jc w:val="both"/>
              <w:rPr>
                <w:rFonts w:ascii="Verdana" w:eastAsia="Calibri" w:hAnsi="Verdana" w:cs="Arial"/>
                <w:b/>
                <w:bCs/>
                <w:color w:val="7030A0"/>
                <w:lang w:val="es-ES" w:eastAsia="es-ES"/>
              </w:rPr>
            </w:pPr>
            <w:r w:rsidRPr="00942844">
              <w:rPr>
                <w:rFonts w:ascii="Verdana" w:eastAsia="Calibri" w:hAnsi="Verdana" w:cs="Arial"/>
                <w:b/>
                <w:bCs/>
                <w:lang w:val="es-ES" w:eastAsia="es-ES"/>
              </w:rPr>
              <w:t xml:space="preserve">Concepto C- </w:t>
            </w:r>
            <w:r w:rsidR="00BE2B78" w:rsidRPr="00942844">
              <w:rPr>
                <w:rFonts w:ascii="Verdana" w:eastAsia="Calibri" w:hAnsi="Verdana" w:cs="Arial"/>
                <w:b/>
                <w:bCs/>
                <w:lang w:val="es-ES" w:eastAsia="es-ES"/>
              </w:rPr>
              <w:t xml:space="preserve">788 </w:t>
            </w:r>
            <w:r w:rsidRPr="00942844">
              <w:rPr>
                <w:rFonts w:ascii="Verdana" w:eastAsia="Calibri" w:hAnsi="Verdana" w:cs="Arial"/>
                <w:b/>
                <w:bCs/>
                <w:lang w:val="es-ES" w:eastAsia="es-ES"/>
              </w:rPr>
              <w:t>de 2024</w:t>
            </w:r>
          </w:p>
        </w:tc>
      </w:tr>
      <w:tr w:rsidR="0050012F" w:rsidRPr="00942844" w14:paraId="317258D8" w14:textId="77777777" w:rsidTr="007B0B27">
        <w:trPr>
          <w:trHeight w:val="884"/>
        </w:trPr>
        <w:tc>
          <w:tcPr>
            <w:tcW w:w="2268" w:type="dxa"/>
          </w:tcPr>
          <w:p w14:paraId="216AB9FC" w14:textId="77777777" w:rsidR="0050012F" w:rsidRPr="00942844" w:rsidRDefault="0050012F" w:rsidP="0050012F">
            <w:pPr>
              <w:jc w:val="both"/>
              <w:rPr>
                <w:rFonts w:ascii="Verdana" w:eastAsia="Calibri" w:hAnsi="Verdana" w:cs="Arial"/>
                <w:b/>
                <w:bCs/>
                <w:lang w:val="es-ES_tradnl" w:eastAsia="es-ES_tradnl"/>
              </w:rPr>
            </w:pPr>
            <w:r w:rsidRPr="00942844">
              <w:rPr>
                <w:rFonts w:ascii="Verdana" w:eastAsia="Calibri" w:hAnsi="Verdana" w:cs="Arial"/>
                <w:b/>
                <w:bCs/>
                <w:lang w:val="es-ES_tradnl" w:eastAsia="es-ES_tradnl"/>
              </w:rPr>
              <w:t xml:space="preserve">Temas:                   </w:t>
            </w:r>
          </w:p>
        </w:tc>
        <w:tc>
          <w:tcPr>
            <w:tcW w:w="6946" w:type="dxa"/>
          </w:tcPr>
          <w:p w14:paraId="7D22D41A" w14:textId="77777777" w:rsidR="00A96BF0" w:rsidRPr="00942844" w:rsidRDefault="00A96BF0" w:rsidP="00A96BF0">
            <w:pPr>
              <w:jc w:val="both"/>
              <w:rPr>
                <w:rFonts w:ascii="Verdana" w:eastAsia="Calibri" w:hAnsi="Verdana" w:cs="Arial"/>
                <w:lang w:val="es-ES_tradnl" w:eastAsia="es-ES_tradnl"/>
              </w:rPr>
            </w:pPr>
            <w:r w:rsidRPr="00942844">
              <w:rPr>
                <w:rFonts w:ascii="Verdana" w:eastAsia="Calibri" w:hAnsi="Verdana" w:cs="Arial"/>
                <w:lang w:val="es-ES_tradnl"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w:t>
            </w:r>
          </w:p>
          <w:p w14:paraId="07A9E108" w14:textId="3C2FF69C" w:rsidR="00A96BF0" w:rsidRPr="00942844" w:rsidRDefault="00A96BF0" w:rsidP="00A96BF0">
            <w:pPr>
              <w:tabs>
                <w:tab w:val="left" w:pos="426"/>
              </w:tabs>
              <w:jc w:val="both"/>
              <w:rPr>
                <w:rFonts w:ascii="Verdana" w:eastAsia="Calibri" w:hAnsi="Verdana" w:cs="Arial"/>
                <w:b/>
                <w:lang w:val="es-ES_tradnl"/>
              </w:rPr>
            </w:pPr>
          </w:p>
          <w:p w14:paraId="362B2D37" w14:textId="77777777" w:rsidR="0050012F" w:rsidRPr="00942844" w:rsidRDefault="0050012F" w:rsidP="0050012F">
            <w:pPr>
              <w:spacing w:line="276" w:lineRule="auto"/>
              <w:jc w:val="both"/>
              <w:rPr>
                <w:rFonts w:ascii="Verdana" w:eastAsia="Calibri" w:hAnsi="Verdana" w:cs="Arial"/>
                <w:lang w:eastAsia="es-ES_tradnl"/>
              </w:rPr>
            </w:pPr>
          </w:p>
        </w:tc>
      </w:tr>
      <w:tr w:rsidR="0050012F" w:rsidRPr="00942844" w14:paraId="6B3F3ED0" w14:textId="77777777" w:rsidTr="007B0B27">
        <w:tc>
          <w:tcPr>
            <w:tcW w:w="2268" w:type="dxa"/>
          </w:tcPr>
          <w:p w14:paraId="0AC72359" w14:textId="77777777" w:rsidR="0050012F" w:rsidRPr="00942844" w:rsidRDefault="0050012F" w:rsidP="0050012F">
            <w:pPr>
              <w:jc w:val="both"/>
              <w:rPr>
                <w:rFonts w:ascii="Verdana" w:eastAsia="Calibri" w:hAnsi="Verdana" w:cs="Arial"/>
                <w:b/>
                <w:lang w:val="es-ES_tradnl" w:eastAsia="es-ES_tradnl"/>
              </w:rPr>
            </w:pPr>
            <w:r w:rsidRPr="00942844">
              <w:rPr>
                <w:rFonts w:ascii="Verdana" w:eastAsia="Calibri" w:hAnsi="Verdana" w:cs="Arial"/>
                <w:b/>
                <w:lang w:val="es-ES_tradnl" w:eastAsia="es-ES_tradnl"/>
              </w:rPr>
              <w:t>Radicación:</w:t>
            </w:r>
            <w:r w:rsidRPr="00942844">
              <w:rPr>
                <w:rFonts w:ascii="Verdana" w:eastAsia="Calibri" w:hAnsi="Verdana" w:cs="Arial"/>
                <w:lang w:val="es-ES_tradnl" w:eastAsia="es-ES_tradnl"/>
              </w:rPr>
              <w:t xml:space="preserve">               </w:t>
            </w:r>
          </w:p>
        </w:tc>
        <w:tc>
          <w:tcPr>
            <w:tcW w:w="6946" w:type="dxa"/>
          </w:tcPr>
          <w:p w14:paraId="3BC81AFB" w14:textId="4D6F0508" w:rsidR="0050012F" w:rsidRPr="00942844" w:rsidRDefault="0050012F" w:rsidP="0050012F">
            <w:pPr>
              <w:rPr>
                <w:rFonts w:ascii="Verdana" w:eastAsia="Times New Roman" w:hAnsi="Verdana" w:cs="Calibri"/>
                <w:color w:val="000000"/>
                <w:lang w:val="es-419" w:eastAsia="es-419"/>
              </w:rPr>
            </w:pPr>
            <w:r w:rsidRPr="00942844">
              <w:rPr>
                <w:rFonts w:ascii="Verdana" w:eastAsia="Calibri" w:hAnsi="Verdana" w:cs="Arial"/>
                <w:lang w:val="es-ES_tradnl" w:eastAsia="es-ES_tradnl"/>
              </w:rPr>
              <w:t xml:space="preserve">Respuesta a consulta con radicado No. </w:t>
            </w:r>
            <w:r w:rsidR="00BE2B78" w:rsidRPr="00942844">
              <w:rPr>
                <w:rFonts w:ascii="Verdana" w:eastAsia="Times New Roman" w:hAnsi="Verdana" w:cs="Calibri"/>
                <w:color w:val="000000"/>
                <w:lang w:val="es-419" w:eastAsia="es-419"/>
              </w:rPr>
              <w:t>P20241028010931</w:t>
            </w:r>
          </w:p>
          <w:p w14:paraId="14A3CEBF" w14:textId="06BFF59D" w:rsidR="0050012F" w:rsidRPr="00942844" w:rsidRDefault="0050012F" w:rsidP="0050012F">
            <w:pPr>
              <w:jc w:val="both"/>
              <w:rPr>
                <w:rFonts w:ascii="Verdana" w:eastAsia="Calibri" w:hAnsi="Verdana" w:cs="Arial"/>
                <w:lang w:val="es-ES_tradnl" w:eastAsia="es-ES_tradnl"/>
              </w:rPr>
            </w:pPr>
          </w:p>
        </w:tc>
      </w:tr>
    </w:tbl>
    <w:p w14:paraId="7459B210" w14:textId="77777777" w:rsidR="00AB64A5" w:rsidRPr="00942844"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942844" w:rsidRDefault="00AB64A5" w:rsidP="00AB64A5">
      <w:pPr>
        <w:spacing w:after="0" w:line="240" w:lineRule="auto"/>
        <w:jc w:val="both"/>
        <w:rPr>
          <w:rFonts w:ascii="Verdana" w:eastAsia="Calibri" w:hAnsi="Verdana" w:cs="Arial"/>
          <w:color w:val="000000"/>
          <w:lang w:val="es-ES_tradnl" w:eastAsia="es-ES_tradnl"/>
        </w:rPr>
      </w:pPr>
    </w:p>
    <w:p w14:paraId="16D75B47" w14:textId="527D6CBB" w:rsidR="00AB64A5" w:rsidRPr="00942844" w:rsidRDefault="00AB64A5" w:rsidP="00AB64A5">
      <w:pPr>
        <w:spacing w:after="0" w:line="276" w:lineRule="auto"/>
        <w:jc w:val="both"/>
        <w:rPr>
          <w:rFonts w:ascii="Verdana" w:eastAsia="Calibri" w:hAnsi="Verdana" w:cs="Arial"/>
          <w:lang w:val="es-ES" w:eastAsia="es-ES"/>
        </w:rPr>
      </w:pPr>
      <w:r w:rsidRPr="00942844">
        <w:rPr>
          <w:rFonts w:ascii="Verdana" w:eastAsia="Calibri" w:hAnsi="Verdana" w:cs="Arial"/>
          <w:lang w:val="es-ES" w:eastAsia="es-ES"/>
        </w:rPr>
        <w:t>Estimad</w:t>
      </w:r>
      <w:r w:rsidR="0050012F" w:rsidRPr="00942844">
        <w:rPr>
          <w:rFonts w:ascii="Verdana" w:eastAsia="Calibri" w:hAnsi="Verdana" w:cs="Arial"/>
          <w:lang w:val="es-ES" w:eastAsia="es-ES"/>
        </w:rPr>
        <w:t xml:space="preserve">o señor </w:t>
      </w:r>
      <w:r w:rsidR="00A96BF0" w:rsidRPr="00942844">
        <w:rPr>
          <w:rFonts w:ascii="Verdana" w:eastAsia="Calibri" w:hAnsi="Verdana" w:cs="Arial"/>
          <w:lang w:val="es-ES" w:eastAsia="es-ES"/>
        </w:rPr>
        <w:t>Murillo:</w:t>
      </w:r>
      <w:r w:rsidRPr="00942844">
        <w:rPr>
          <w:rFonts w:ascii="Verdana" w:eastAsia="Calibri" w:hAnsi="Verdana" w:cs="Arial"/>
          <w:lang w:val="es-ES" w:eastAsia="es-ES"/>
        </w:rPr>
        <w:t xml:space="preserve"> </w:t>
      </w:r>
    </w:p>
    <w:p w14:paraId="5ED55F00" w14:textId="77777777" w:rsidR="00AB64A5" w:rsidRPr="00942844"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942844">
        <w:rPr>
          <w:rFonts w:ascii="Verdana" w:eastAsia="Calibri" w:hAnsi="Verdana" w:cs="Arial"/>
          <w:color w:val="000000" w:themeColor="text1"/>
          <w:lang w:val="es-ES" w:eastAsia="es-ES"/>
        </w:rPr>
        <w:tab/>
      </w:r>
    </w:p>
    <w:p w14:paraId="3AAA6349" w14:textId="334B11F4" w:rsidR="00AB64A5" w:rsidRPr="00942844" w:rsidRDefault="00AB64A5" w:rsidP="00AB64A5">
      <w:pPr>
        <w:spacing w:after="0" w:line="276" w:lineRule="auto"/>
        <w:jc w:val="both"/>
        <w:rPr>
          <w:rFonts w:ascii="Verdana" w:eastAsia="Calibri" w:hAnsi="Verdana" w:cs="Arial"/>
          <w:lang w:val="es-ES" w:eastAsia="es-ES"/>
        </w:rPr>
      </w:pPr>
      <w:r w:rsidRPr="00942844">
        <w:rPr>
          <w:rFonts w:ascii="Verdana" w:eastAsia="Calibri" w:hAnsi="Verdana" w:cs="Arial"/>
          <w:lang w:val="es-ES" w:eastAsia="es-ES"/>
        </w:rPr>
        <w:t>En ejercicio de la competencia otorgada por los artículos 3, numeral 5º, y 11, numeral 8º, del Decreto Ley 4170 de 2011,</w:t>
      </w:r>
      <w:r w:rsidRPr="00942844">
        <w:rPr>
          <w:rFonts w:ascii="Verdana" w:eastAsia="Arial MT" w:hAnsi="Verdana" w:cs="Arial MT"/>
          <w:lang w:val="es-ES" w:eastAsia="es-ES"/>
        </w:rPr>
        <w:t xml:space="preserve"> </w:t>
      </w:r>
      <w:r w:rsidRPr="00942844">
        <w:rPr>
          <w:rFonts w:ascii="Verdana" w:hAnsi="Verdana" w:cs="Arial"/>
        </w:rPr>
        <w:t xml:space="preserve">así como lo establecido en el artículo 4 de la Resolución 1707 de 2018 expedida por esta Entidad, </w:t>
      </w:r>
      <w:r w:rsidRPr="00942844">
        <w:rPr>
          <w:rFonts w:ascii="Verdana" w:eastAsia="Calibri" w:hAnsi="Verdana" w:cs="Arial"/>
          <w:lang w:val="es-ES" w:eastAsia="es-ES"/>
        </w:rPr>
        <w:t xml:space="preserve">la Agencia Nacional de Contratación Pública – Colombia Compra Eficiente– responde su solicitud radicada en esta entidad el </w:t>
      </w:r>
      <w:r w:rsidR="00BE2B78" w:rsidRPr="00942844">
        <w:rPr>
          <w:rFonts w:ascii="Verdana" w:eastAsia="Calibri" w:hAnsi="Verdana" w:cs="Arial"/>
          <w:lang w:val="es-ES" w:eastAsia="es-ES"/>
        </w:rPr>
        <w:t>2</w:t>
      </w:r>
      <w:r w:rsidR="00BE2206">
        <w:rPr>
          <w:rFonts w:ascii="Verdana" w:eastAsia="Calibri" w:hAnsi="Verdana" w:cs="Arial"/>
          <w:lang w:val="es-ES" w:eastAsia="es-ES"/>
        </w:rPr>
        <w:t>8</w:t>
      </w:r>
      <w:r w:rsidRPr="00942844">
        <w:rPr>
          <w:rFonts w:ascii="Verdana" w:eastAsia="Calibri" w:hAnsi="Verdana" w:cs="Arial"/>
          <w:lang w:val="es-ES" w:eastAsia="es-ES"/>
        </w:rPr>
        <w:t xml:space="preserve"> de </w:t>
      </w:r>
      <w:r w:rsidR="00BE2B78" w:rsidRPr="00942844">
        <w:rPr>
          <w:rFonts w:ascii="Verdana" w:eastAsia="Calibri" w:hAnsi="Verdana" w:cs="Arial"/>
          <w:lang w:val="es-ES" w:eastAsia="es-ES"/>
        </w:rPr>
        <w:t>octub</w:t>
      </w:r>
      <w:r w:rsidR="00A97F09" w:rsidRPr="00942844">
        <w:rPr>
          <w:rFonts w:ascii="Verdana" w:eastAsia="Calibri" w:hAnsi="Verdana" w:cs="Arial"/>
          <w:lang w:val="es-ES" w:eastAsia="es-ES"/>
        </w:rPr>
        <w:t>re</w:t>
      </w:r>
      <w:r w:rsidRPr="00942844">
        <w:rPr>
          <w:rFonts w:ascii="Verdana" w:eastAsia="Calibri" w:hAnsi="Verdana" w:cs="Arial"/>
          <w:lang w:val="es-ES" w:eastAsia="es-ES"/>
        </w:rPr>
        <w:t xml:space="preserve"> de 2024, en la cual manifiesta lo siguiente: </w:t>
      </w:r>
    </w:p>
    <w:p w14:paraId="35AFAAA8" w14:textId="77777777" w:rsidR="00AB64A5" w:rsidRPr="00942844" w:rsidRDefault="00AB64A5" w:rsidP="00AB64A5">
      <w:pPr>
        <w:spacing w:after="0" w:line="240" w:lineRule="auto"/>
        <w:ind w:left="709" w:right="709"/>
        <w:jc w:val="both"/>
        <w:rPr>
          <w:rFonts w:ascii="Verdana" w:hAnsi="Verdana" w:cs="Arial"/>
          <w:shd w:val="clear" w:color="auto" w:fill="FFFFFF"/>
        </w:rPr>
      </w:pPr>
      <w:bookmarkStart w:id="1" w:name="_Hlk95313578"/>
    </w:p>
    <w:bookmarkEnd w:id="1"/>
    <w:p w14:paraId="63551DF6" w14:textId="77777777" w:rsidR="00A96BF0" w:rsidRPr="00942844" w:rsidRDefault="00FC3EC1" w:rsidP="00A96BF0">
      <w:pPr>
        <w:spacing w:after="0" w:line="276" w:lineRule="auto"/>
        <w:ind w:left="709" w:right="758"/>
        <w:jc w:val="both"/>
        <w:rPr>
          <w:rFonts w:ascii="Verdana" w:eastAsia="Calibri" w:hAnsi="Verdana" w:cs="Arial"/>
          <w:sz w:val="21"/>
          <w:szCs w:val="21"/>
          <w:lang w:val="es-ES" w:eastAsia="es-ES"/>
        </w:rPr>
      </w:pPr>
      <w:r w:rsidRPr="00942844">
        <w:rPr>
          <w:rFonts w:ascii="Verdana" w:eastAsia="Calibri" w:hAnsi="Verdana" w:cs="Arial"/>
          <w:sz w:val="21"/>
          <w:szCs w:val="21"/>
          <w:lang w:val="es-ES" w:eastAsia="es-ES"/>
        </w:rPr>
        <w:t>“</w:t>
      </w:r>
      <w:r w:rsidR="00A96BF0" w:rsidRPr="00942844">
        <w:rPr>
          <w:rFonts w:ascii="Verdana" w:eastAsia="Calibri" w:hAnsi="Verdana" w:cs="Arial"/>
          <w:sz w:val="21"/>
          <w:szCs w:val="21"/>
          <w:lang w:val="es-ES" w:eastAsia="es-ES"/>
        </w:rPr>
        <w:t>NA PERSONA NATURAL CON SANCIÓN VIGENTE DESTITUCIÓN E INHABILIDAD GENERAL:</w:t>
      </w:r>
    </w:p>
    <w:p w14:paraId="536B5077" w14:textId="77777777" w:rsidR="00A96BF0" w:rsidRPr="00942844" w:rsidRDefault="00A96BF0" w:rsidP="00A96BF0">
      <w:pPr>
        <w:spacing w:after="0" w:line="276" w:lineRule="auto"/>
        <w:ind w:left="709" w:right="758"/>
        <w:jc w:val="both"/>
        <w:rPr>
          <w:rFonts w:ascii="Verdana" w:eastAsia="Calibri" w:hAnsi="Verdana" w:cs="Arial"/>
          <w:sz w:val="21"/>
          <w:szCs w:val="21"/>
          <w:lang w:val="es-ES" w:eastAsia="es-ES"/>
        </w:rPr>
      </w:pPr>
      <w:r w:rsidRPr="00942844">
        <w:rPr>
          <w:rFonts w:ascii="Verdana" w:eastAsia="Calibri" w:hAnsi="Verdana" w:cs="Arial"/>
          <w:sz w:val="21"/>
          <w:szCs w:val="21"/>
          <w:lang w:val="es-ES" w:eastAsia="es-ES"/>
        </w:rPr>
        <w:t>1. ¿PUEDE SUSCRIBIR CONTRATOS DE PRESTACIÓN DE SERVICIOS CON ENTIDADES DEL ESTADO?</w:t>
      </w:r>
    </w:p>
    <w:p w14:paraId="4E543B6E" w14:textId="2C81FA14" w:rsidR="00AB64A5" w:rsidRPr="00942844" w:rsidRDefault="00A96BF0" w:rsidP="0060538B">
      <w:pPr>
        <w:spacing w:after="0" w:line="276" w:lineRule="auto"/>
        <w:ind w:left="709" w:right="758"/>
        <w:jc w:val="both"/>
        <w:rPr>
          <w:rFonts w:ascii="Verdana" w:eastAsia="Calibri" w:hAnsi="Verdana" w:cs="Arial"/>
          <w:sz w:val="21"/>
          <w:szCs w:val="21"/>
          <w:lang w:val="es-ES" w:eastAsia="es-ES"/>
        </w:rPr>
      </w:pPr>
      <w:r w:rsidRPr="00942844">
        <w:rPr>
          <w:rFonts w:ascii="Verdana" w:eastAsia="Calibri" w:hAnsi="Verdana" w:cs="Arial"/>
          <w:sz w:val="21"/>
          <w:szCs w:val="21"/>
          <w:lang w:val="es-ES" w:eastAsia="es-ES"/>
        </w:rPr>
        <w:t xml:space="preserve">2. ¿PUEDE SUSCRIBIR CONTRATOS LABORALES, CIVILES O COMERCIALES CON PERSONAS NATURALES O JURIDICAS DE DERECHO PRIVADO CUYO OBJETO SEA LA EJECUCIÓN DE UN CONTRATO </w:t>
      </w:r>
      <w:proofErr w:type="gramStart"/>
      <w:r w:rsidRPr="00942844">
        <w:rPr>
          <w:rFonts w:ascii="Verdana" w:eastAsia="Calibri" w:hAnsi="Verdana" w:cs="Arial"/>
          <w:sz w:val="21"/>
          <w:szCs w:val="21"/>
          <w:lang w:val="es-ES" w:eastAsia="es-ES"/>
        </w:rPr>
        <w:t>ESTATAL?.</w:t>
      </w:r>
      <w:proofErr w:type="gramEnd"/>
      <w:r w:rsidRPr="00942844">
        <w:rPr>
          <w:rFonts w:ascii="Verdana" w:eastAsia="Calibri" w:hAnsi="Verdana" w:cs="Arial"/>
          <w:sz w:val="21"/>
          <w:szCs w:val="21"/>
          <w:lang w:val="es-ES" w:eastAsia="es-ES"/>
        </w:rPr>
        <w:t xml:space="preserve"> </w:t>
      </w:r>
      <w:r w:rsidR="0060538B" w:rsidRPr="00942844">
        <w:rPr>
          <w:rFonts w:ascii="Verdana" w:eastAsia="Calibri" w:hAnsi="Verdana" w:cs="Arial"/>
          <w:sz w:val="21"/>
          <w:szCs w:val="21"/>
          <w:lang w:val="es-ES" w:eastAsia="es-ES"/>
        </w:rPr>
        <w:t xml:space="preserve"> </w:t>
      </w:r>
      <w:r w:rsidR="00FC3EC1" w:rsidRPr="00942844">
        <w:rPr>
          <w:rFonts w:ascii="Verdana" w:eastAsia="Calibri" w:hAnsi="Verdana" w:cs="Arial"/>
          <w:sz w:val="21"/>
          <w:szCs w:val="21"/>
          <w:lang w:val="es-ES" w:eastAsia="es-ES"/>
        </w:rPr>
        <w:t>[sic]</w:t>
      </w:r>
      <w:r w:rsidRPr="00942844">
        <w:rPr>
          <w:rFonts w:ascii="Verdana" w:eastAsia="Calibri" w:hAnsi="Verdana" w:cs="Arial"/>
          <w:sz w:val="21"/>
          <w:szCs w:val="21"/>
          <w:lang w:val="es-ES" w:eastAsia="es-ES"/>
        </w:rPr>
        <w:t>”</w:t>
      </w:r>
    </w:p>
    <w:p w14:paraId="59ACC790" w14:textId="77777777" w:rsidR="00FC3EC1" w:rsidRPr="00942844"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942844" w:rsidRDefault="00AB64A5" w:rsidP="00AB64A5">
      <w:pPr>
        <w:spacing w:after="120" w:line="276" w:lineRule="auto"/>
        <w:ind w:firstLine="709"/>
        <w:jc w:val="both"/>
        <w:rPr>
          <w:rFonts w:ascii="Verdana" w:eastAsia="Calibri" w:hAnsi="Verdana" w:cs="Arial"/>
          <w:color w:val="000000"/>
          <w:lang w:val="es-ES_tradnl" w:eastAsia="es-ES_tradnl"/>
        </w:rPr>
      </w:pPr>
      <w:r w:rsidRPr="00942844">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42844">
        <w:rPr>
          <w:rFonts w:ascii="Verdana" w:eastAsia="Calibri" w:hAnsi="Verdana" w:cs="Arial"/>
          <w:color w:val="000000"/>
          <w:lang w:val="es-ES_tradnl" w:eastAsia="es-ES_tradnl"/>
        </w:rPr>
        <w:tab/>
      </w:r>
    </w:p>
    <w:p w14:paraId="03C1028C" w14:textId="77777777" w:rsidR="00AB64A5" w:rsidRPr="00942844" w:rsidRDefault="00AB64A5" w:rsidP="00AB64A5">
      <w:pPr>
        <w:spacing w:after="0" w:line="276" w:lineRule="auto"/>
        <w:ind w:firstLine="709"/>
        <w:jc w:val="both"/>
        <w:rPr>
          <w:rFonts w:ascii="Verdana" w:eastAsia="Calibri" w:hAnsi="Verdana" w:cs="Arial"/>
          <w:color w:val="000000"/>
          <w:lang w:val="es-ES" w:eastAsia="es-ES"/>
        </w:rPr>
      </w:pPr>
      <w:r w:rsidRPr="00942844">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942844">
        <w:rPr>
          <w:rFonts w:ascii="Verdana" w:eastAsia="Calibri" w:hAnsi="Verdana" w:cs="Arial"/>
          <w:color w:val="7030A0"/>
          <w:lang w:val="es-ES" w:eastAsia="es-ES"/>
        </w:rPr>
        <w:t xml:space="preserve"> </w:t>
      </w:r>
      <w:r w:rsidRPr="00942844">
        <w:rPr>
          <w:rFonts w:ascii="Verdana" w:eastAsia="Calibri" w:hAnsi="Verdana" w:cs="Arial"/>
          <w:color w:val="000000"/>
          <w:lang w:val="es-ES" w:eastAsia="es-ES"/>
        </w:rPr>
        <w:t>jurídico</w:t>
      </w:r>
      <w:r w:rsidRPr="00942844">
        <w:rPr>
          <w:rFonts w:ascii="Verdana" w:eastAsia="Calibri" w:hAnsi="Verdana" w:cs="Arial"/>
          <w:color w:val="7030A0"/>
          <w:lang w:val="es-ES" w:eastAsia="es-ES"/>
        </w:rPr>
        <w:t xml:space="preserve"> </w:t>
      </w:r>
      <w:r w:rsidRPr="00942844">
        <w:rPr>
          <w:rFonts w:ascii="Verdana" w:eastAsia="Calibri" w:hAnsi="Verdana" w:cs="Arial"/>
          <w:color w:val="000000"/>
          <w:lang w:val="es-ES" w:eastAsia="es-ES"/>
        </w:rPr>
        <w:t xml:space="preserve">de su consulta. </w:t>
      </w:r>
    </w:p>
    <w:p w14:paraId="1E8B5A8D" w14:textId="77777777" w:rsidR="00AB64A5" w:rsidRPr="00942844"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942844"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942844">
        <w:rPr>
          <w:rFonts w:ascii="Verdana" w:eastAsia="Century Gothic" w:hAnsi="Verdana" w:cs="Century Gothic"/>
          <w:b/>
          <w:bCs/>
        </w:rPr>
        <w:t>Problema planteado:</w:t>
      </w:r>
    </w:p>
    <w:p w14:paraId="00DEDA85" w14:textId="77777777" w:rsidR="00AB64A5" w:rsidRPr="00942844" w:rsidRDefault="00AB64A5" w:rsidP="00AB64A5">
      <w:pPr>
        <w:tabs>
          <w:tab w:val="left" w:pos="426"/>
        </w:tabs>
        <w:spacing w:after="0" w:line="276" w:lineRule="auto"/>
        <w:jc w:val="both"/>
        <w:rPr>
          <w:rFonts w:ascii="Verdana" w:eastAsia="Century Gothic" w:hAnsi="Verdana" w:cs="Century Gothic"/>
          <w:lang w:val="es-ES"/>
        </w:rPr>
      </w:pPr>
    </w:p>
    <w:p w14:paraId="6C677CB7" w14:textId="6D757026" w:rsidR="00FC3EC1" w:rsidRPr="00942844" w:rsidRDefault="00AB64A5" w:rsidP="00553F39">
      <w:pPr>
        <w:spacing w:after="0" w:line="276" w:lineRule="auto"/>
        <w:ind w:right="49"/>
        <w:jc w:val="both"/>
        <w:rPr>
          <w:rFonts w:ascii="Verdana" w:eastAsia="Calibri" w:hAnsi="Verdana" w:cs="Arial"/>
          <w:lang w:val="es-ES" w:eastAsia="es-ES"/>
        </w:rPr>
      </w:pPr>
      <w:r w:rsidRPr="00942844">
        <w:rPr>
          <w:rFonts w:ascii="Verdana" w:eastAsia="Century Gothic" w:hAnsi="Verdana" w:cs="Century Gothic"/>
        </w:rPr>
        <w:t>De acuerdo con el contenido de su solicitud, esta Agencia resolverá el siguiente problema jurídic</w:t>
      </w:r>
      <w:r w:rsidR="0060538B" w:rsidRPr="00942844">
        <w:rPr>
          <w:rFonts w:ascii="Verdana" w:eastAsia="Century Gothic" w:hAnsi="Verdana" w:cs="Century Gothic"/>
        </w:rPr>
        <w:t>o</w:t>
      </w:r>
      <w:r w:rsidR="0060538B" w:rsidRPr="00942844">
        <w:rPr>
          <w:rFonts w:ascii="Verdana" w:eastAsia="Calibri" w:hAnsi="Verdana" w:cs="Times New Roman"/>
        </w:rPr>
        <w:t>: ¿</w:t>
      </w:r>
      <w:r w:rsidR="00942844" w:rsidRPr="00942844">
        <w:rPr>
          <w:rFonts w:ascii="Verdana" w:eastAsia="Calibri" w:hAnsi="Verdana" w:cs="Times New Roman"/>
        </w:rPr>
        <w:t>Puede una persona con inhabilidades e incompatibilidades suscribir un contrato de prestación de servicios con una entidad estatal</w:t>
      </w:r>
      <w:r w:rsidR="0060538B" w:rsidRPr="00942844">
        <w:rPr>
          <w:rFonts w:ascii="Verdana" w:eastAsia="Calibri" w:hAnsi="Verdana" w:cs="Times New Roman"/>
        </w:rPr>
        <w:t>?</w:t>
      </w:r>
    </w:p>
    <w:p w14:paraId="510EDFE3" w14:textId="77777777" w:rsidR="00CD258B" w:rsidRPr="00942844" w:rsidRDefault="00CD258B" w:rsidP="00CD258B">
      <w:pPr>
        <w:spacing w:after="0" w:line="276" w:lineRule="auto"/>
        <w:jc w:val="both"/>
        <w:rPr>
          <w:rFonts w:ascii="Verdana" w:eastAsia="Century Gothic" w:hAnsi="Verdana" w:cs="Century Gothic"/>
          <w:lang w:val="es-ES"/>
        </w:rPr>
      </w:pPr>
    </w:p>
    <w:p w14:paraId="7105E377" w14:textId="77777777" w:rsidR="00AB64A5" w:rsidRPr="0094284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44">
        <w:rPr>
          <w:rFonts w:ascii="Verdana" w:eastAsia="Century Gothic" w:hAnsi="Verdana" w:cs="Century Gothic"/>
          <w:b/>
          <w:bCs/>
        </w:rPr>
        <w:t>Respuesta:</w:t>
      </w:r>
    </w:p>
    <w:p w14:paraId="09F450DC" w14:textId="77777777" w:rsidR="00AB64A5" w:rsidRPr="00942844"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942844" w14:paraId="7E3B28CD" w14:textId="77777777" w:rsidTr="007B0B27">
        <w:tc>
          <w:tcPr>
            <w:tcW w:w="8828" w:type="dxa"/>
            <w:shd w:val="clear" w:color="auto" w:fill="auto"/>
          </w:tcPr>
          <w:p w14:paraId="6AE7007E" w14:textId="77777777" w:rsidR="0050012F" w:rsidRPr="00942844" w:rsidRDefault="009A2511" w:rsidP="006D51B2">
            <w:pPr>
              <w:widowControl w:val="0"/>
              <w:tabs>
                <w:tab w:val="left" w:pos="2143"/>
              </w:tabs>
              <w:autoSpaceDE w:val="0"/>
              <w:autoSpaceDN w:val="0"/>
              <w:spacing w:after="120" w:line="276" w:lineRule="auto"/>
              <w:jc w:val="both"/>
              <w:rPr>
                <w:rFonts w:ascii="Verdana" w:hAnsi="Verdana" w:cs="Arial"/>
              </w:rPr>
            </w:pPr>
            <w:r w:rsidRPr="00942844">
              <w:rPr>
                <w:rFonts w:ascii="Verdana" w:hAnsi="Verdana" w:cs="Arial"/>
              </w:rPr>
              <w:t>Conforme a lo expuesto, las disposiciones del régimen de inhabilidades e incompatibilidades afectan la capacidad jurídica, la cual constituye uno de los requisitos habilitantes en los procesos de selección. Esto implica que las entidades estatales, al evaluar los requisitos habilitantes de los oferentes, deben verificar que estos no se encuentren incursos en causales de inhabilidad o incompatibilidad que restrinjan su capacidad para participar en el proceso o celebrar contratos.</w:t>
            </w:r>
          </w:p>
          <w:p w14:paraId="7DB8FA41" w14:textId="4B4E78CE" w:rsidR="00942844" w:rsidRPr="00942844" w:rsidRDefault="00942844" w:rsidP="006D51B2">
            <w:pPr>
              <w:widowControl w:val="0"/>
              <w:tabs>
                <w:tab w:val="left" w:pos="2143"/>
              </w:tabs>
              <w:autoSpaceDE w:val="0"/>
              <w:autoSpaceDN w:val="0"/>
              <w:spacing w:after="120" w:line="276" w:lineRule="auto"/>
              <w:jc w:val="both"/>
              <w:rPr>
                <w:rFonts w:ascii="Verdana" w:eastAsia="Calibri" w:hAnsi="Verdana" w:cs="Arial"/>
              </w:rPr>
            </w:pPr>
            <w:r w:rsidRPr="00942844">
              <w:rPr>
                <w:rFonts w:ascii="Verdana" w:eastAsia="Calibri" w:hAnsi="Verdana" w:cs="Arial"/>
              </w:rPr>
              <w:t xml:space="preserve">En este sentido, mientras exista una persona que cuente con alguna inhabilidad o incompatibilidad para contratar con el Estado, no será viable suscribir contratos con entidades estatales. Esto se debe a que las restricciones legales impuestas por dichas inhabilidades e incompatibilidades buscan garantizar la transparencia y el cumplimiento de la normativa en los procesos de contratación pública. </w:t>
            </w:r>
          </w:p>
          <w:p w14:paraId="4108809F" w14:textId="2F9EEDC0" w:rsidR="009A2511" w:rsidRPr="00942844" w:rsidRDefault="009A2511" w:rsidP="006D51B2">
            <w:pPr>
              <w:widowControl w:val="0"/>
              <w:tabs>
                <w:tab w:val="left" w:pos="2143"/>
              </w:tabs>
              <w:autoSpaceDE w:val="0"/>
              <w:autoSpaceDN w:val="0"/>
              <w:spacing w:after="120" w:line="276" w:lineRule="auto"/>
              <w:jc w:val="both"/>
              <w:rPr>
                <w:rFonts w:ascii="Verdana" w:eastAsia="Calibri" w:hAnsi="Verdana" w:cs="Arial"/>
                <w:u w:val="single"/>
              </w:rPr>
            </w:pPr>
            <w:r w:rsidRPr="00942844">
              <w:rPr>
                <w:rFonts w:ascii="Verdana" w:eastAsia="Calibri" w:hAnsi="Verdana" w:cs="Arial"/>
              </w:rPr>
              <w:t>Al respecto no existe norma que regule como debe acreditarse la ausencia de inhabilidades, por lo que existe libertad probatoria respecto de dicha circunstancia. En ese sentido, resulta válido que como anexo de la oferta se exijan declaraciones bajo la gravedad de juramento, en las que los oferentes den fe de no estar incursos en causales de inhabilidad o incompatibilidad. De acuerdo con esto, dicha declaración es un medio de acreditación admisible para que el proponente demuestre no estar incurso en la inhabilidad del literal g) del numeral 1 del artículo 8 de la Ley 80 de 1993.</w:t>
            </w:r>
          </w:p>
        </w:tc>
      </w:tr>
    </w:tbl>
    <w:p w14:paraId="25FD70A0" w14:textId="77777777" w:rsidR="00C04209" w:rsidRPr="00942844" w:rsidRDefault="00C04209" w:rsidP="00C0420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1CFCB6CC" w:rsidR="00AB64A5" w:rsidRPr="0094284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44">
        <w:rPr>
          <w:rFonts w:ascii="Verdana" w:eastAsia="Century Gothic" w:hAnsi="Verdana" w:cs="Century Gothic"/>
          <w:b/>
          <w:bCs/>
        </w:rPr>
        <w:t>Razones de la respuesta:</w:t>
      </w:r>
    </w:p>
    <w:p w14:paraId="03D52260" w14:textId="77777777" w:rsidR="00AB64A5" w:rsidRPr="00942844" w:rsidRDefault="00AB64A5" w:rsidP="00AB64A5">
      <w:pPr>
        <w:spacing w:after="0" w:line="276" w:lineRule="auto"/>
        <w:jc w:val="both"/>
        <w:rPr>
          <w:rFonts w:ascii="Verdana" w:eastAsia="Calibri" w:hAnsi="Verdana" w:cs="Arial"/>
          <w:color w:val="7030A0"/>
          <w:lang w:val="es-ES"/>
        </w:rPr>
      </w:pPr>
    </w:p>
    <w:p w14:paraId="22947B98" w14:textId="77777777" w:rsidR="00AB64A5" w:rsidRPr="00942844" w:rsidRDefault="00AB64A5" w:rsidP="00AB64A5">
      <w:pPr>
        <w:spacing w:after="0" w:line="276" w:lineRule="auto"/>
        <w:jc w:val="both"/>
        <w:rPr>
          <w:rFonts w:ascii="Verdana" w:eastAsia="Calibri" w:hAnsi="Verdana" w:cs="Arial"/>
          <w:lang w:val="es-ES"/>
        </w:rPr>
      </w:pPr>
      <w:r w:rsidRPr="00942844">
        <w:rPr>
          <w:rFonts w:ascii="Verdana" w:eastAsia="Calibri" w:hAnsi="Verdana" w:cs="Arial"/>
          <w:lang w:val="es-ES"/>
        </w:rPr>
        <w:t xml:space="preserve">Lo anterior se sustenta en las siguientes consideraciones: </w:t>
      </w:r>
    </w:p>
    <w:p w14:paraId="1B0B6DAD" w14:textId="77777777" w:rsidR="000E2148" w:rsidRPr="00942844" w:rsidRDefault="000E2148" w:rsidP="00AB64A5">
      <w:pPr>
        <w:spacing w:after="0" w:line="276" w:lineRule="auto"/>
        <w:jc w:val="both"/>
        <w:rPr>
          <w:rFonts w:ascii="Verdana" w:eastAsia="Calibri" w:hAnsi="Verdana" w:cs="Arial"/>
          <w:lang w:val="es-ES"/>
        </w:rPr>
      </w:pPr>
    </w:p>
    <w:p w14:paraId="78F0B116" w14:textId="2DAB083F" w:rsidR="00FF2F27" w:rsidRPr="00942844" w:rsidRDefault="00FF2F27" w:rsidP="00942844">
      <w:pPr>
        <w:pStyle w:val="Sinespaciado"/>
        <w:numPr>
          <w:ilvl w:val="0"/>
          <w:numId w:val="32"/>
        </w:numPr>
        <w:spacing w:after="120" w:line="276" w:lineRule="auto"/>
        <w:jc w:val="both"/>
        <w:rPr>
          <w:rFonts w:ascii="Verdana" w:hAnsi="Verdana" w:cs="Arial"/>
          <w:sz w:val="22"/>
        </w:rPr>
      </w:pPr>
      <w:r w:rsidRPr="00942844">
        <w:rPr>
          <w:rFonts w:ascii="Verdana" w:hAnsi="Verdana"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4C6900E" w14:textId="77777777" w:rsidR="00FF2F27" w:rsidRPr="00942844" w:rsidRDefault="00FF2F27" w:rsidP="00FF2F27">
      <w:pPr>
        <w:pStyle w:val="Sinespaciado"/>
        <w:numPr>
          <w:ilvl w:val="0"/>
          <w:numId w:val="32"/>
        </w:numPr>
        <w:spacing w:before="120" w:line="276" w:lineRule="auto"/>
        <w:jc w:val="both"/>
        <w:rPr>
          <w:rFonts w:ascii="Verdana" w:hAnsi="Verdana" w:cs="Arial"/>
          <w:sz w:val="22"/>
        </w:rPr>
      </w:pPr>
      <w:r w:rsidRPr="00942844">
        <w:rPr>
          <w:rFonts w:ascii="Verdana" w:hAnsi="Verdana" w:cs="Arial"/>
          <w:sz w:val="22"/>
        </w:rPr>
        <w:lastRenderedPageBreak/>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09134B1" w14:textId="77777777" w:rsidR="00FF2F27" w:rsidRPr="00942844" w:rsidRDefault="00FF2F27" w:rsidP="00FF2F27">
      <w:pPr>
        <w:pStyle w:val="Sinespaciado"/>
        <w:spacing w:line="276" w:lineRule="auto"/>
        <w:jc w:val="both"/>
        <w:rPr>
          <w:rFonts w:ascii="Verdana" w:hAnsi="Verdana" w:cs="Arial"/>
          <w:sz w:val="22"/>
        </w:rPr>
      </w:pPr>
    </w:p>
    <w:p w14:paraId="2D9F2858" w14:textId="6AB9C998" w:rsidR="00FF2F27" w:rsidRPr="00942844" w:rsidRDefault="00FF2F27" w:rsidP="00FF2F27">
      <w:pPr>
        <w:pStyle w:val="NormalWeb"/>
        <w:shd w:val="clear" w:color="auto" w:fill="FFFFFF"/>
        <w:spacing w:before="0" w:beforeAutospacing="0" w:after="120" w:afterAutospacing="0"/>
        <w:ind w:left="720" w:right="709"/>
        <w:jc w:val="both"/>
        <w:rPr>
          <w:rFonts w:ascii="Verdana" w:eastAsiaTheme="minorHAnsi" w:hAnsi="Verdana" w:cs="Arial"/>
          <w:sz w:val="21"/>
          <w:szCs w:val="21"/>
          <w:lang w:val="es-ES" w:eastAsia="en-US"/>
        </w:rPr>
      </w:pPr>
      <w:r w:rsidRPr="00942844">
        <w:rPr>
          <w:rFonts w:ascii="Verdana" w:eastAsiaTheme="minorHAnsi" w:hAnsi="Verdana"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DDB7ABB" w14:textId="422EAA85" w:rsidR="00FF2F27" w:rsidRPr="00942844" w:rsidRDefault="00FF2F27" w:rsidP="00FF2F27">
      <w:pPr>
        <w:pStyle w:val="NormalWeb"/>
        <w:shd w:val="clear" w:color="auto" w:fill="FFFFFF"/>
        <w:spacing w:before="0" w:beforeAutospacing="0" w:after="0" w:afterAutospacing="0"/>
        <w:ind w:left="720" w:right="709"/>
        <w:jc w:val="both"/>
        <w:rPr>
          <w:rFonts w:ascii="Verdana" w:eastAsiaTheme="minorHAnsi" w:hAnsi="Verdana" w:cs="Arial"/>
          <w:sz w:val="21"/>
          <w:szCs w:val="21"/>
          <w:lang w:val="es-ES" w:eastAsia="en-US"/>
        </w:rPr>
      </w:pPr>
      <w:r w:rsidRPr="00942844">
        <w:rPr>
          <w:rFonts w:ascii="Verdana" w:eastAsiaTheme="minorHAnsi" w:hAnsi="Verdana"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942844">
        <w:rPr>
          <w:rStyle w:val="Refdenotaalpie"/>
          <w:rFonts w:ascii="Verdana" w:eastAsiaTheme="minorHAnsi" w:hAnsi="Verdana" w:cs="Arial"/>
          <w:sz w:val="21"/>
          <w:szCs w:val="21"/>
          <w:lang w:val="es-ES" w:eastAsia="en-US"/>
        </w:rPr>
        <w:footnoteReference w:id="1"/>
      </w:r>
      <w:r w:rsidRPr="00942844">
        <w:rPr>
          <w:rFonts w:ascii="Verdana" w:eastAsiaTheme="minorHAnsi" w:hAnsi="Verdana" w:cs="Arial"/>
          <w:sz w:val="21"/>
          <w:szCs w:val="21"/>
          <w:lang w:val="es-ES" w:eastAsia="en-US"/>
        </w:rPr>
        <w:t xml:space="preserve">.” </w:t>
      </w:r>
    </w:p>
    <w:p w14:paraId="78002BB3" w14:textId="77777777" w:rsidR="00FF2F27" w:rsidRPr="00942844" w:rsidRDefault="00FF2F27" w:rsidP="00FF2F27">
      <w:pPr>
        <w:pStyle w:val="Sinespaciado"/>
        <w:spacing w:line="276" w:lineRule="auto"/>
        <w:jc w:val="both"/>
        <w:rPr>
          <w:rFonts w:ascii="Verdana" w:hAnsi="Verdana" w:cs="Arial"/>
          <w:sz w:val="22"/>
        </w:rPr>
      </w:pPr>
    </w:p>
    <w:p w14:paraId="39997514" w14:textId="77777777" w:rsidR="00FF2F27" w:rsidRPr="00942844" w:rsidRDefault="00FF2F27" w:rsidP="00FF2F27">
      <w:pPr>
        <w:pStyle w:val="Sinespaciado"/>
        <w:numPr>
          <w:ilvl w:val="0"/>
          <w:numId w:val="32"/>
        </w:numPr>
        <w:spacing w:line="276" w:lineRule="auto"/>
        <w:jc w:val="both"/>
        <w:rPr>
          <w:rFonts w:ascii="Verdana" w:hAnsi="Verdana" w:cs="Arial"/>
          <w:sz w:val="22"/>
        </w:rPr>
      </w:pPr>
      <w:r w:rsidRPr="00942844">
        <w:rPr>
          <w:rFonts w:ascii="Verdana" w:hAnsi="Verdana"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F2D4E44" w14:textId="77777777" w:rsidR="00FF2F27" w:rsidRPr="00942844" w:rsidRDefault="00FF2F27" w:rsidP="00FF2F27">
      <w:pPr>
        <w:rPr>
          <w:rFonts w:ascii="Verdana" w:eastAsia="Times New Roman" w:hAnsi="Verdana" w:cs="Arial"/>
          <w:shd w:val="clear" w:color="auto" w:fill="FFFFFF"/>
          <w:lang w:eastAsia="es-ES_tradnl"/>
        </w:rPr>
      </w:pPr>
    </w:p>
    <w:p w14:paraId="182063EB" w14:textId="18AFC99D" w:rsidR="00FF2F27" w:rsidRPr="00942844" w:rsidRDefault="00FF2F27" w:rsidP="00FF2F27">
      <w:pPr>
        <w:pStyle w:val="Prrafodelista"/>
        <w:spacing w:after="120"/>
        <w:ind w:right="709"/>
        <w:jc w:val="both"/>
        <w:rPr>
          <w:rFonts w:ascii="Verdana" w:hAnsi="Verdana" w:cs="Arial"/>
          <w:sz w:val="21"/>
          <w:szCs w:val="21"/>
        </w:rPr>
      </w:pPr>
      <w:r w:rsidRPr="00942844">
        <w:rPr>
          <w:rFonts w:ascii="Verdana" w:hAnsi="Verdana"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942844">
        <w:rPr>
          <w:rFonts w:ascii="Verdana" w:hAnsi="Verdana" w:cs="Arial"/>
          <w:sz w:val="21"/>
          <w:szCs w:val="21"/>
        </w:rPr>
        <w:t>incompatibilidades,</w:t>
      </w:r>
      <w:proofErr w:type="gramEnd"/>
      <w:r w:rsidRPr="00942844">
        <w:rPr>
          <w:rFonts w:ascii="Verdana" w:hAnsi="Verdana" w:cs="Arial"/>
          <w:sz w:val="21"/>
          <w:szCs w:val="21"/>
        </w:rPr>
        <w:t xml:space="preserve"> se erige en causal de nulidad del contrato celebrado en esas condiciones (ley 80 de 1993, art. 44).</w:t>
      </w:r>
    </w:p>
    <w:p w14:paraId="79FE82DC" w14:textId="77777777" w:rsidR="00FF2F27" w:rsidRPr="00942844" w:rsidRDefault="00FF2F27" w:rsidP="00FF2F27">
      <w:pPr>
        <w:pStyle w:val="Prrafodelista"/>
        <w:spacing w:after="120"/>
        <w:ind w:right="709"/>
        <w:jc w:val="both"/>
        <w:rPr>
          <w:rFonts w:ascii="Verdana" w:hAnsi="Verdana" w:cs="Arial"/>
          <w:sz w:val="21"/>
          <w:szCs w:val="21"/>
        </w:rPr>
      </w:pPr>
    </w:p>
    <w:p w14:paraId="2DA5E05A" w14:textId="28ECEEDE" w:rsidR="00FF2F27" w:rsidRPr="00942844" w:rsidRDefault="00FF2F27" w:rsidP="00FF2F27">
      <w:pPr>
        <w:pStyle w:val="Prrafodelista"/>
        <w:ind w:right="709"/>
        <w:jc w:val="both"/>
        <w:rPr>
          <w:rFonts w:ascii="Verdana" w:hAnsi="Verdana" w:cs="Arial"/>
          <w:sz w:val="21"/>
          <w:szCs w:val="21"/>
        </w:rPr>
      </w:pPr>
      <w:r w:rsidRPr="00942844">
        <w:rPr>
          <w:rFonts w:ascii="Verdana" w:hAnsi="Verdana"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942844">
        <w:rPr>
          <w:rStyle w:val="Refdenotaalpie"/>
          <w:rFonts w:ascii="Verdana" w:hAnsi="Verdana" w:cs="Arial"/>
          <w:sz w:val="21"/>
          <w:szCs w:val="21"/>
        </w:rPr>
        <w:footnoteReference w:id="2"/>
      </w:r>
      <w:r w:rsidRPr="00942844">
        <w:rPr>
          <w:rFonts w:ascii="Verdana" w:hAnsi="Verdana" w:cs="Arial"/>
          <w:sz w:val="21"/>
          <w:szCs w:val="21"/>
        </w:rPr>
        <w:t>.”</w:t>
      </w:r>
    </w:p>
    <w:p w14:paraId="2BF1BCCB" w14:textId="77777777" w:rsidR="00942844" w:rsidRDefault="00942844" w:rsidP="00942844">
      <w:pPr>
        <w:pStyle w:val="Prrafodelista"/>
        <w:spacing w:after="120" w:line="276" w:lineRule="auto"/>
        <w:jc w:val="both"/>
        <w:rPr>
          <w:rFonts w:ascii="Verdana" w:hAnsi="Verdana" w:cs="Arial"/>
        </w:rPr>
      </w:pPr>
    </w:p>
    <w:p w14:paraId="7E1BF1F0" w14:textId="018D7C99" w:rsidR="00FF2F27" w:rsidRDefault="00FF2F27" w:rsidP="00FF2F27">
      <w:pPr>
        <w:pStyle w:val="Prrafodelista"/>
        <w:numPr>
          <w:ilvl w:val="0"/>
          <w:numId w:val="32"/>
        </w:numPr>
        <w:spacing w:after="120" w:line="276" w:lineRule="auto"/>
        <w:jc w:val="both"/>
        <w:rPr>
          <w:rFonts w:ascii="Verdana" w:hAnsi="Verdana" w:cs="Arial"/>
        </w:rPr>
      </w:pPr>
      <w:r w:rsidRPr="00942844">
        <w:rPr>
          <w:rFonts w:ascii="Verdana" w:hAnsi="Verdana" w:cs="Arial"/>
        </w:rPr>
        <w:t xml:space="preserve">Conviene también distinguir las fuentes de las inhabilidades, las cuales han sido clasificadas en dos (2) grupos: i) inhabilidades-sanción y </w:t>
      </w:r>
      <w:proofErr w:type="spellStart"/>
      <w:r w:rsidRPr="00942844">
        <w:rPr>
          <w:rFonts w:ascii="Verdana" w:hAnsi="Verdana" w:cs="Arial"/>
        </w:rPr>
        <w:t>ii</w:t>
      </w:r>
      <w:proofErr w:type="spellEnd"/>
      <w:r w:rsidRPr="00942844">
        <w:rPr>
          <w:rFonts w:ascii="Verdana" w:hAnsi="Verdana"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942844">
        <w:rPr>
          <w:rStyle w:val="Refdenotaalpie"/>
          <w:rFonts w:ascii="Verdana" w:hAnsi="Verdana" w:cs="Arial"/>
        </w:rPr>
        <w:footnoteReference w:id="3"/>
      </w:r>
      <w:r w:rsidRPr="00942844">
        <w:rPr>
          <w:rFonts w:ascii="Verdana" w:hAnsi="Verdana" w:cs="Arial"/>
        </w:rPr>
        <w:t xml:space="preserve">. </w:t>
      </w:r>
    </w:p>
    <w:p w14:paraId="111D7A21" w14:textId="77777777" w:rsidR="00FF2F27" w:rsidRDefault="00FF2F27" w:rsidP="00FF2F27">
      <w:pPr>
        <w:pStyle w:val="Prrafodelista"/>
        <w:numPr>
          <w:ilvl w:val="0"/>
          <w:numId w:val="32"/>
        </w:numPr>
        <w:spacing w:before="120" w:after="120" w:line="276" w:lineRule="auto"/>
        <w:jc w:val="both"/>
        <w:rPr>
          <w:rFonts w:ascii="Verdana" w:hAnsi="Verdana" w:cs="Arial"/>
        </w:rPr>
      </w:pPr>
      <w:r w:rsidRPr="00942844">
        <w:rPr>
          <w:rFonts w:ascii="Verdana" w:hAnsi="Verdana" w:cs="Arial"/>
        </w:rPr>
        <w:lastRenderedPageBreak/>
        <w:t>A manera de ejemplo, en materia contractual, los literales c), d) y j) del numeral 1 del artículo 8 de la Ley 80 de 1993</w:t>
      </w:r>
      <w:r w:rsidRPr="00942844">
        <w:rPr>
          <w:rFonts w:ascii="Verdana" w:hAnsi="Verdana"/>
          <w:vertAlign w:val="superscript"/>
        </w:rPr>
        <w:footnoteReference w:id="4"/>
      </w:r>
      <w:r w:rsidRPr="00942844">
        <w:rPr>
          <w:rFonts w:ascii="Verdana" w:hAnsi="Verdana" w:cs="Arial"/>
        </w:rPr>
        <w:t xml:space="preserve"> establecen inhabilidades-</w:t>
      </w:r>
      <w:r w:rsidRPr="00942844">
        <w:rPr>
          <w:rFonts w:ascii="Verdana" w:hAnsi="Verdana" w:cs="Arial"/>
        </w:rPr>
        <w:lastRenderedPageBreak/>
        <w:t xml:space="preserve">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2B6FF32" w14:textId="507F7E37" w:rsidR="00FF2F27" w:rsidRPr="00942844" w:rsidRDefault="00FF2F27" w:rsidP="00FF2F27">
      <w:pPr>
        <w:pStyle w:val="Prrafodelista"/>
        <w:numPr>
          <w:ilvl w:val="0"/>
          <w:numId w:val="32"/>
        </w:numPr>
        <w:spacing w:before="120" w:line="276" w:lineRule="auto"/>
        <w:jc w:val="both"/>
        <w:rPr>
          <w:rFonts w:ascii="Verdana" w:hAnsi="Verdana" w:cs="Arial"/>
        </w:rPr>
      </w:pPr>
      <w:bookmarkStart w:id="2" w:name="_Hlk40976328"/>
      <w:r w:rsidRPr="00942844">
        <w:rPr>
          <w:rFonts w:ascii="Verdana" w:hAnsi="Verdana" w:cs="Arial"/>
        </w:rPr>
        <w:t xml:space="preserve">En ambos eventos, la inhabilidad tiene como fuente una situación o un hecho propio del proponente –una conducta o una condición– ajena a la </w:t>
      </w:r>
      <w:r w:rsidRPr="00942844">
        <w:rPr>
          <w:rFonts w:ascii="Verdana" w:hAnsi="Verdana" w:cs="Arial"/>
        </w:rPr>
        <w:lastRenderedPageBreak/>
        <w:t xml:space="preserve">oferta. La inhabilidad surge, entre otros, por su grado de parentesco o afinidad, por su condición de servidor público o por una declaratoria de responsabilidad penal, disciplinaria o sancionatoria contractual sobre él. </w:t>
      </w:r>
      <w:bookmarkEnd w:id="2"/>
    </w:p>
    <w:p w14:paraId="1168D624" w14:textId="77777777" w:rsidR="00FF2F27" w:rsidRPr="00942844" w:rsidRDefault="00FF2F27" w:rsidP="00FF2F27">
      <w:pPr>
        <w:pStyle w:val="Prrafodelista"/>
        <w:numPr>
          <w:ilvl w:val="0"/>
          <w:numId w:val="32"/>
        </w:numPr>
        <w:spacing w:line="276" w:lineRule="auto"/>
        <w:jc w:val="both"/>
        <w:rPr>
          <w:rFonts w:ascii="Verdana" w:eastAsia="Calibri" w:hAnsi="Verdana" w:cs="Arial"/>
          <w:lang w:val="es-ES_tradnl"/>
        </w:rPr>
      </w:pPr>
      <w:r w:rsidRPr="00942844">
        <w:rPr>
          <w:rFonts w:ascii="Verdana" w:eastAsia="Calibri" w:hAnsi="Verdana" w:cs="Arial"/>
          <w:lang w:val="es-ES_tradnl"/>
        </w:rPr>
        <w:t xml:space="preserve">En la contratación estatal, la </w:t>
      </w:r>
      <w:r w:rsidRPr="00942844">
        <w:rPr>
          <w:rFonts w:ascii="Verdana" w:eastAsia="Calibri" w:hAnsi="Verdana" w:cs="Arial"/>
          <w:i/>
          <w:iCs/>
          <w:lang w:val="es-ES_tradnl"/>
        </w:rPr>
        <w:t>capacidad</w:t>
      </w:r>
      <w:r w:rsidRPr="00942844">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942844">
        <w:rPr>
          <w:rFonts w:ascii="Verdana" w:hAnsi="Verdana"/>
          <w:vertAlign w:val="superscript"/>
          <w:lang w:val="es-ES_tradnl"/>
        </w:rPr>
        <w:footnoteReference w:id="5"/>
      </w:r>
      <w:r w:rsidRPr="00942844">
        <w:rPr>
          <w:rFonts w:ascii="Verdana" w:eastAsia="Calibri" w:hAnsi="Verdana" w:cs="Arial"/>
          <w:lang w:val="es-ES_tradnl"/>
        </w:rPr>
        <w:t xml:space="preserve"> como en el de las entidades exceptuadas de aquel</w:t>
      </w:r>
      <w:r w:rsidRPr="00942844">
        <w:rPr>
          <w:rFonts w:ascii="Verdana" w:hAnsi="Verdana"/>
          <w:vertAlign w:val="superscript"/>
          <w:lang w:val="es-ES_tradnl"/>
        </w:rPr>
        <w:footnoteReference w:id="6"/>
      </w:r>
      <w:r w:rsidRPr="00942844">
        <w:rPr>
          <w:rFonts w:ascii="Verdana" w:eastAsia="Calibri" w:hAnsi="Verdana"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942844">
        <w:rPr>
          <w:rFonts w:ascii="Verdana" w:hAnsi="Verdana"/>
          <w:vertAlign w:val="superscript"/>
          <w:lang w:val="es-ES_tradnl"/>
        </w:rPr>
        <w:footnoteReference w:id="7"/>
      </w:r>
      <w:r w:rsidRPr="00942844">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942844">
        <w:rPr>
          <w:rFonts w:ascii="Verdana" w:hAnsi="Verdana"/>
          <w:vertAlign w:val="superscript"/>
          <w:lang w:val="es-ES_tradnl"/>
        </w:rPr>
        <w:footnoteReference w:id="8"/>
      </w:r>
      <w:r w:rsidRPr="00942844">
        <w:rPr>
          <w:rFonts w:ascii="Verdana" w:eastAsia="Calibri" w:hAnsi="Verdana" w:cs="Arial"/>
          <w:lang w:val="es-ES_tradnl"/>
        </w:rPr>
        <w:t>.</w:t>
      </w:r>
    </w:p>
    <w:p w14:paraId="7DEBE6A9" w14:textId="77777777" w:rsidR="00FF2F27" w:rsidRPr="0094284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942844">
        <w:rPr>
          <w:rFonts w:ascii="Verdana" w:eastAsia="Calibri" w:hAnsi="Verdana" w:cs="Arial"/>
          <w:lang w:val="es-ES_tradnl"/>
        </w:rPr>
        <w:t xml:space="preserve">Las inhabilidades son prohibiciones para concurrir a los procedimientos de selección y para contratar con el Estado, que se derivan: i) de la existencia de comportamientos reprochables o de sanciones anteriormente </w:t>
      </w:r>
      <w:r w:rsidRPr="00942844">
        <w:rPr>
          <w:rFonts w:ascii="Verdana" w:eastAsia="Calibri" w:hAnsi="Verdana" w:cs="Arial"/>
          <w:lang w:val="es-ES_tradnl"/>
        </w:rPr>
        <w:lastRenderedPageBreak/>
        <w:t>impuestas</w:t>
      </w:r>
      <w:r w:rsidRPr="00942844">
        <w:rPr>
          <w:rFonts w:ascii="Verdana" w:hAnsi="Verdana"/>
          <w:vertAlign w:val="superscript"/>
          <w:lang w:val="es-ES_tradnl"/>
        </w:rPr>
        <w:footnoteReference w:id="9"/>
      </w:r>
      <w:r w:rsidRPr="00942844">
        <w:rPr>
          <w:rFonts w:ascii="Verdana" w:eastAsia="Calibri" w:hAnsi="Verdana" w:cs="Arial"/>
          <w:lang w:val="es-ES_tradnl"/>
        </w:rPr>
        <w:t xml:space="preserve">, </w:t>
      </w:r>
      <w:proofErr w:type="spellStart"/>
      <w:r w:rsidRPr="00942844">
        <w:rPr>
          <w:rFonts w:ascii="Verdana" w:eastAsia="Calibri" w:hAnsi="Verdana" w:cs="Arial"/>
          <w:lang w:val="es-ES_tradnl"/>
        </w:rPr>
        <w:t>ii</w:t>
      </w:r>
      <w:proofErr w:type="spellEnd"/>
      <w:r w:rsidRPr="00942844">
        <w:rPr>
          <w:rFonts w:ascii="Verdana" w:eastAsia="Calibri" w:hAnsi="Verdana" w:cs="Arial"/>
          <w:lang w:val="es-ES_tradnl"/>
        </w:rPr>
        <w:t>) de vínculos personales relativos al parentesco o al estado civil</w:t>
      </w:r>
      <w:r w:rsidRPr="00942844">
        <w:rPr>
          <w:rFonts w:ascii="Verdana" w:hAnsi="Verdana"/>
          <w:vertAlign w:val="superscript"/>
          <w:lang w:val="es-ES_tradnl"/>
        </w:rPr>
        <w:footnoteReference w:id="10"/>
      </w:r>
      <w:r w:rsidRPr="00942844">
        <w:rPr>
          <w:rFonts w:ascii="Verdana" w:eastAsia="Calibri" w:hAnsi="Verdana" w:cs="Arial"/>
          <w:lang w:val="es-ES_tradnl"/>
        </w:rPr>
        <w:t xml:space="preserve"> o </w:t>
      </w:r>
      <w:proofErr w:type="spellStart"/>
      <w:r w:rsidRPr="00942844">
        <w:rPr>
          <w:rFonts w:ascii="Verdana" w:eastAsia="Calibri" w:hAnsi="Verdana" w:cs="Arial"/>
          <w:lang w:val="es-ES_tradnl"/>
        </w:rPr>
        <w:t>iii</w:t>
      </w:r>
      <w:proofErr w:type="spellEnd"/>
      <w:r w:rsidRPr="00942844">
        <w:rPr>
          <w:rFonts w:ascii="Verdana" w:eastAsia="Calibri" w:hAnsi="Verdana" w:cs="Arial"/>
          <w:lang w:val="es-ES_tradnl"/>
        </w:rPr>
        <w:t>) de una actividad u oficio que se desempeñó en el pasado</w:t>
      </w:r>
      <w:r w:rsidRPr="00942844">
        <w:rPr>
          <w:rFonts w:ascii="Verdana" w:hAnsi="Verdana"/>
          <w:vertAlign w:val="superscript"/>
          <w:lang w:val="es-ES_tradnl"/>
        </w:rPr>
        <w:footnoteReference w:id="11"/>
      </w:r>
      <w:r w:rsidRPr="00942844">
        <w:rPr>
          <w:rFonts w:ascii="Verdana" w:eastAsia="Calibri" w:hAnsi="Verdana"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942844">
        <w:rPr>
          <w:rFonts w:ascii="Verdana" w:hAnsi="Verdana"/>
          <w:vertAlign w:val="superscript"/>
          <w:lang w:val="es-ES_tradnl"/>
        </w:rPr>
        <w:footnoteReference w:id="12"/>
      </w:r>
      <w:r w:rsidRPr="00942844">
        <w:rPr>
          <w:rFonts w:ascii="Verdana" w:eastAsia="Calibri" w:hAnsi="Verdana" w:cs="Arial"/>
          <w:lang w:val="es-ES_tradnl"/>
        </w:rPr>
        <w:t xml:space="preserve">. </w:t>
      </w:r>
      <w:r w:rsidRPr="00942844">
        <w:rPr>
          <w:rFonts w:ascii="Verdana" w:eastAsia="Calibri" w:hAnsi="Verdana" w:cs="Arial"/>
          <w:lang w:val="es-ES_tradnl"/>
        </w:rPr>
        <w:lastRenderedPageBreak/>
        <w:t>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942844">
        <w:rPr>
          <w:rStyle w:val="Refdenotaalpie"/>
          <w:rFonts w:ascii="Verdana" w:eastAsia="Calibri" w:hAnsi="Verdana" w:cs="Arial"/>
          <w:lang w:val="es-ES_tradnl"/>
        </w:rPr>
        <w:footnoteReference w:id="13"/>
      </w:r>
      <w:r w:rsidRPr="00942844">
        <w:rPr>
          <w:rFonts w:ascii="Verdana" w:eastAsia="Calibri" w:hAnsi="Verdana" w:cs="Arial"/>
          <w:lang w:val="es-ES_tradnl"/>
        </w:rPr>
        <w:t>.</w:t>
      </w:r>
    </w:p>
    <w:p w14:paraId="227670F2" w14:textId="77777777" w:rsidR="00FF2F27" w:rsidRPr="00942844" w:rsidRDefault="00FF2F27" w:rsidP="00FF2F27">
      <w:pPr>
        <w:pStyle w:val="Prrafodelista"/>
        <w:spacing w:before="120" w:after="120" w:line="276" w:lineRule="auto"/>
        <w:jc w:val="both"/>
        <w:rPr>
          <w:rFonts w:ascii="Verdana" w:eastAsia="Calibri" w:hAnsi="Verdana" w:cs="Arial"/>
          <w:lang w:val="es-ES_tradnl"/>
        </w:rPr>
      </w:pPr>
    </w:p>
    <w:p w14:paraId="5DFCDB74" w14:textId="2BBF548E" w:rsidR="00FF2F27" w:rsidRPr="0094284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942844">
        <w:rPr>
          <w:rFonts w:ascii="Verdana" w:eastAsia="Calibri" w:hAnsi="Verdana" w:cs="Arial"/>
          <w:lang w:val="es-ES_tradnl"/>
        </w:rPr>
        <w:t xml:space="preserve">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w:t>
      </w:r>
      <w:r w:rsidRPr="00942844">
        <w:rPr>
          <w:rFonts w:ascii="Verdana" w:eastAsia="Calibri" w:hAnsi="Verdana" w:cs="Arial"/>
          <w:lang w:val="es-ES_tradnl"/>
        </w:rPr>
        <w:lastRenderedPageBreak/>
        <w:t xml:space="preserve">corrupción, adoptando paulatinamente una naturaleza sancionatoria o </w:t>
      </w:r>
      <w:r w:rsidR="00BE2206">
        <w:rPr>
          <w:rFonts w:ascii="Verdana" w:eastAsia="Calibri" w:hAnsi="Verdana" w:cs="Arial"/>
          <w:lang w:val="es-ES_tradnl"/>
        </w:rPr>
        <w:t>“</w:t>
      </w:r>
      <w:proofErr w:type="spellStart"/>
      <w:r w:rsidRPr="00942844">
        <w:rPr>
          <w:rFonts w:ascii="Verdana" w:eastAsia="Calibri" w:hAnsi="Verdana" w:cs="Arial"/>
          <w:lang w:val="es-ES_tradnl"/>
        </w:rPr>
        <w:t>neopunitiva</w:t>
      </w:r>
      <w:proofErr w:type="spellEnd"/>
      <w:r w:rsidR="00BE2206">
        <w:rPr>
          <w:rFonts w:ascii="Verdana" w:eastAsia="Calibri" w:hAnsi="Verdana" w:cs="Arial"/>
          <w:lang w:val="es-ES_tradnl"/>
        </w:rPr>
        <w:t>”</w:t>
      </w:r>
      <w:r w:rsidRPr="00942844">
        <w:rPr>
          <w:rFonts w:ascii="Verdana" w:hAnsi="Verdana"/>
          <w:vertAlign w:val="superscript"/>
          <w:lang w:val="es-ES_tradnl"/>
        </w:rPr>
        <w:footnoteReference w:id="14"/>
      </w:r>
      <w:r w:rsidRPr="00942844">
        <w:rPr>
          <w:rFonts w:ascii="Verdana" w:eastAsia="Calibri" w:hAnsi="Verdana"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87BC6EF" w14:textId="77777777" w:rsidR="00FF2F27" w:rsidRPr="0094284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942844">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942844">
        <w:rPr>
          <w:rFonts w:ascii="Verdana" w:eastAsia="Calibri" w:hAnsi="Verdana" w:cs="Arial"/>
          <w:i/>
          <w:iCs/>
          <w:lang w:val="es-ES_tradnl"/>
        </w:rPr>
        <w:t>restrictiva</w:t>
      </w:r>
      <w:r w:rsidRPr="00942844">
        <w:rPr>
          <w:rFonts w:ascii="Verdana" w:hAnsi="Verdana"/>
          <w:vertAlign w:val="superscript"/>
          <w:lang w:val="es-ES_tradnl"/>
        </w:rPr>
        <w:footnoteReference w:id="15"/>
      </w:r>
      <w:r w:rsidRPr="00942844">
        <w:rPr>
          <w:rFonts w:ascii="Verdana" w:eastAsia="Calibri" w:hAnsi="Verdana" w:cs="Arial"/>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66401137" w14:textId="77777777" w:rsidR="00FF2F27" w:rsidRPr="00942844" w:rsidRDefault="00FF2F27" w:rsidP="00FF2F27">
      <w:pPr>
        <w:pStyle w:val="Prrafodelista"/>
        <w:spacing w:before="120" w:after="120" w:line="276" w:lineRule="auto"/>
        <w:jc w:val="both"/>
        <w:rPr>
          <w:rFonts w:ascii="Verdana" w:eastAsia="Calibri" w:hAnsi="Verdana" w:cs="Arial"/>
          <w:lang w:val="es-ES_tradnl"/>
        </w:rPr>
      </w:pPr>
    </w:p>
    <w:p w14:paraId="5AC15790" w14:textId="77777777" w:rsidR="00FF2F27" w:rsidRPr="00942844" w:rsidRDefault="00FF2F27" w:rsidP="00FF2F27">
      <w:pPr>
        <w:pStyle w:val="Prrafodelista"/>
        <w:numPr>
          <w:ilvl w:val="0"/>
          <w:numId w:val="32"/>
        </w:numPr>
        <w:spacing w:line="276" w:lineRule="auto"/>
        <w:jc w:val="both"/>
        <w:rPr>
          <w:rFonts w:ascii="Verdana" w:eastAsia="Calibri" w:hAnsi="Verdana" w:cs="Arial"/>
          <w:lang w:val="es-ES_tradnl"/>
        </w:rPr>
      </w:pPr>
      <w:r w:rsidRPr="00942844">
        <w:rPr>
          <w:rFonts w:ascii="Verdana" w:eastAsia="Arial" w:hAnsi="Verdana" w:cs="Arial"/>
          <w:color w:val="000000"/>
          <w:lang w:val="es-ES_tradnl"/>
        </w:rPr>
        <w:t xml:space="preserve">Como se aprecia, el principio </w:t>
      </w:r>
      <w:r w:rsidRPr="00942844">
        <w:rPr>
          <w:rFonts w:ascii="Verdana" w:eastAsia="Arial" w:hAnsi="Verdana" w:cs="Arial"/>
          <w:i/>
          <w:iCs/>
          <w:color w:val="000000"/>
          <w:lang w:val="es-ES_tradnl"/>
        </w:rPr>
        <w:t xml:space="preserve">pro </w:t>
      </w:r>
      <w:proofErr w:type="spellStart"/>
      <w:r w:rsidRPr="00942844">
        <w:rPr>
          <w:rFonts w:ascii="Verdana" w:eastAsia="Arial" w:hAnsi="Verdana" w:cs="Arial"/>
          <w:i/>
          <w:iCs/>
          <w:color w:val="000000"/>
          <w:lang w:val="es-ES_tradnl"/>
        </w:rPr>
        <w:t>libertate</w:t>
      </w:r>
      <w:proofErr w:type="spellEnd"/>
      <w:r w:rsidRPr="00942844">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942844">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w:t>
      </w:r>
      <w:r w:rsidRPr="00942844">
        <w:rPr>
          <w:rFonts w:ascii="Verdana" w:hAnsi="Verdana" w:cs="Arial"/>
          <w:color w:val="000000" w:themeColor="text1"/>
        </w:rPr>
        <w:lastRenderedPageBreak/>
        <w:t>Administración Pública, cuya expedición compete al Congreso de la República, conforme al artículo 150 de la Constitución Política, y que en esta materia rige el principio de legalidad</w:t>
      </w:r>
      <w:r w:rsidRPr="00942844">
        <w:rPr>
          <w:rStyle w:val="Refdenotaalpie"/>
          <w:rFonts w:ascii="Verdana" w:hAnsi="Verdana" w:cs="Arial"/>
          <w:color w:val="000000" w:themeColor="text1"/>
        </w:rPr>
        <w:footnoteReference w:id="16"/>
      </w:r>
      <w:r w:rsidRPr="00942844">
        <w:rPr>
          <w:rFonts w:ascii="Verdana" w:hAnsi="Verdana" w:cs="Arial"/>
          <w:color w:val="000000" w:themeColor="text1"/>
        </w:rPr>
        <w:t>.</w:t>
      </w:r>
    </w:p>
    <w:p w14:paraId="46490674" w14:textId="6E81FC45" w:rsidR="00FF2F27" w:rsidRPr="00942844" w:rsidRDefault="00FF2F27" w:rsidP="00FF2F27">
      <w:pPr>
        <w:pStyle w:val="CEDAContenido"/>
        <w:numPr>
          <w:ilvl w:val="0"/>
          <w:numId w:val="32"/>
        </w:numPr>
        <w:rPr>
          <w:rFonts w:ascii="Verdana" w:hAnsi="Verdana" w:cs="Arial"/>
          <w:b/>
          <w:bCs/>
        </w:rPr>
      </w:pPr>
      <w:r w:rsidRPr="00942844">
        <w:rPr>
          <w:rFonts w:ascii="Verdana" w:hAnsi="Verdana" w:cs="Arial"/>
          <w:shd w:val="clear" w:color="auto" w:fill="FFFFFF"/>
          <w:lang w:val="es-MX"/>
        </w:rPr>
        <w:t xml:space="preserve">En este sentido, retomando una idea esbozada con anterioridad, la doctrina y la jurisprudencia son pacíficas en considerar que la creación de inhabilidades e incompatibilidades es un asunto con reserva de ley, en tanto, </w:t>
      </w:r>
      <w:r w:rsidR="00BE2206">
        <w:rPr>
          <w:rFonts w:ascii="Verdana" w:hAnsi="Verdana" w:cs="Arial"/>
          <w:shd w:val="clear" w:color="auto" w:fill="FFFFFF"/>
          <w:lang w:val="es-MX"/>
        </w:rPr>
        <w:t>“</w:t>
      </w:r>
      <w:r w:rsidRPr="00942844">
        <w:rPr>
          <w:rFonts w:ascii="Verdana" w:hAnsi="Verdana" w:cs="Arial"/>
          <w:shd w:val="clear" w:color="auto" w:fill="FFFFFF"/>
        </w:rPr>
        <w:t>[…] su previsión y desarrollo es materia exclusiva del legislador (reserva de ley), quien en virtud del principio democrático debe definir y tipificar expresamente sus causas, vigencia, naturaleza y efectos</w:t>
      </w:r>
      <w:r w:rsidR="00BE2206">
        <w:rPr>
          <w:rFonts w:ascii="Verdana" w:hAnsi="Verdana" w:cs="Arial"/>
          <w:shd w:val="clear" w:color="auto" w:fill="FFFFFF"/>
        </w:rPr>
        <w:t>”</w:t>
      </w:r>
      <w:r w:rsidRPr="00942844">
        <w:rPr>
          <w:rStyle w:val="Refdenotaalpie"/>
          <w:rFonts w:ascii="Verdana" w:hAnsi="Verdana" w:cs="Arial"/>
          <w:shd w:val="clear" w:color="auto" w:fill="FFFFFF"/>
          <w:lang w:val="es-MX"/>
        </w:rPr>
        <w:footnoteReference w:id="17"/>
      </w:r>
      <w:r w:rsidRPr="00942844">
        <w:rPr>
          <w:rFonts w:ascii="Verdana" w:hAnsi="Verdana" w:cs="Arial"/>
          <w:shd w:val="clear" w:color="auto" w:fill="FFFFFF"/>
          <w:lang w:val="es-MX"/>
        </w:rPr>
        <w:t xml:space="preserve">. En similar sentido, la Sala de Consulta y Servicio Civil del Consejo de Estado expresó </w:t>
      </w:r>
      <w:r w:rsidRPr="00942844">
        <w:rPr>
          <w:rFonts w:ascii="Verdana" w:hAnsi="Verdana" w:cs="Arial"/>
          <w:color w:val="000000"/>
          <w:shd w:val="clear" w:color="auto" w:fill="FFFFFF"/>
        </w:rPr>
        <w:t xml:space="preserve">que </w:t>
      </w:r>
      <w:r w:rsidR="00BE2206">
        <w:rPr>
          <w:rFonts w:ascii="Verdana" w:hAnsi="Verdana" w:cs="Arial"/>
          <w:color w:val="000000"/>
          <w:shd w:val="clear" w:color="auto" w:fill="FFFFFF"/>
        </w:rPr>
        <w:t>“</w:t>
      </w:r>
      <w:r w:rsidRPr="00942844">
        <w:rPr>
          <w:rFonts w:ascii="Verdana" w:hAnsi="Verdana" w:cs="Arial"/>
          <w:color w:val="000000"/>
          <w:shd w:val="clear" w:color="auto" w:fill="FFFFFF"/>
        </w:rPr>
        <w:t>[…] las causales de inhabilidad e incompatibilidad deben estar expresa y taxativamente establecidas en la Constitución o en la ley y son de aplicación e interpretación restrictivas […]</w:t>
      </w:r>
      <w:r w:rsidR="00BE2206">
        <w:rPr>
          <w:rFonts w:ascii="Verdana" w:hAnsi="Verdana" w:cs="Arial"/>
          <w:color w:val="000000"/>
          <w:shd w:val="clear" w:color="auto" w:fill="FFFFFF"/>
        </w:rPr>
        <w:t>”</w:t>
      </w:r>
      <w:r w:rsidRPr="00942844">
        <w:rPr>
          <w:rStyle w:val="Refdenotaalpie"/>
          <w:rFonts w:ascii="Verdana" w:hAnsi="Verdana" w:cs="Arial"/>
          <w:color w:val="000000"/>
          <w:shd w:val="clear" w:color="auto" w:fill="FFFFFF"/>
        </w:rPr>
        <w:footnoteReference w:id="18"/>
      </w:r>
      <w:r w:rsidRPr="00942844">
        <w:rPr>
          <w:rFonts w:ascii="Verdana" w:hAnsi="Verdana" w:cs="Arial"/>
          <w:color w:val="000000"/>
          <w:shd w:val="clear" w:color="auto" w:fill="FFFFFF"/>
        </w:rPr>
        <w:t>. En este sentido, como se observa, existe consenso, incluso como lo ha expresado esta Agencia en ocasiones anteriores, que la creación de inhabilidades o incompatibilidades está reservada al constituyente o al legislador.</w:t>
      </w:r>
    </w:p>
    <w:p w14:paraId="00DE3BCA" w14:textId="4E782E71" w:rsidR="00FF2F27" w:rsidRPr="00942844" w:rsidRDefault="00FF2F27" w:rsidP="00FF2F27">
      <w:pPr>
        <w:pStyle w:val="Prrafodelista"/>
        <w:numPr>
          <w:ilvl w:val="0"/>
          <w:numId w:val="32"/>
        </w:numPr>
        <w:spacing w:after="120" w:line="276" w:lineRule="auto"/>
        <w:jc w:val="both"/>
        <w:rPr>
          <w:rFonts w:ascii="Verdana" w:eastAsia="Calibri" w:hAnsi="Verdana" w:cs="Arial"/>
          <w:lang w:val="es-ES_tradnl"/>
        </w:rPr>
      </w:pPr>
      <w:r w:rsidRPr="00942844">
        <w:rPr>
          <w:rFonts w:ascii="Verdana" w:eastAsia="Calibri" w:hAnsi="Verdana" w:cs="Arial"/>
          <w:lang w:val="es-ES_tradnl"/>
        </w:rPr>
        <w:t xml:space="preserve">El literal g) del numeral 1 del artículo 8 de la Ley 80 de 1993 determina que son inhábiles para participar en procesos de contratación o suscribir contratos con entidades estatales </w:t>
      </w:r>
      <w:r w:rsidR="00BE2206">
        <w:rPr>
          <w:rFonts w:ascii="Verdana" w:eastAsia="Calibri" w:hAnsi="Verdana" w:cs="Arial"/>
          <w:lang w:val="es-ES_tradnl"/>
        </w:rPr>
        <w:t>“</w:t>
      </w:r>
      <w:r w:rsidRPr="00942844">
        <w:rPr>
          <w:rFonts w:ascii="Verdana" w:eastAsia="Calibri" w:hAnsi="Verdana" w:cs="Arial"/>
          <w:lang w:val="es-ES_tradnl"/>
        </w:rPr>
        <w:t>Quienes sean cónyuges o compañeros permanentes y quienes se encuentren dentro del segundo grado de consanguinidad o segundo de afinidad con cualquier otra persona que formalmente haya presentado propuesta para una misma licitación</w:t>
      </w:r>
      <w:r w:rsidR="00BE2206">
        <w:rPr>
          <w:rFonts w:ascii="Verdana" w:eastAsia="Calibri" w:hAnsi="Verdana" w:cs="Arial"/>
          <w:lang w:val="es-ES_tradnl"/>
        </w:rPr>
        <w:t>”</w:t>
      </w:r>
      <w:r w:rsidRPr="00942844">
        <w:rPr>
          <w:rFonts w:ascii="Verdana" w:eastAsia="Calibri" w:hAnsi="Verdana" w:cs="Arial"/>
          <w:lang w:val="es-ES_tradnl"/>
        </w:rPr>
        <w:t>.</w:t>
      </w:r>
    </w:p>
    <w:p w14:paraId="7119135E" w14:textId="77777777" w:rsidR="00FF2F27" w:rsidRPr="0094284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942844">
        <w:rPr>
          <w:rFonts w:ascii="Verdana" w:eastAsia="Calibri" w:hAnsi="Verdana" w:cs="Arial"/>
          <w:lang w:val="es-ES"/>
        </w:rPr>
        <w:t xml:space="preserve">La citada inhabilidad tiene fundamento en las relaciones familiares o de parentesco, tales como los cónyuges o compañeros permanentes, así </w:t>
      </w:r>
      <w:r w:rsidRPr="00942844">
        <w:rPr>
          <w:rFonts w:ascii="Verdana" w:eastAsia="Calibri" w:hAnsi="Verdana" w:cs="Arial"/>
          <w:lang w:val="es-ES"/>
        </w:rPr>
        <w:lastRenderedPageBreak/>
        <w:t>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w:t>
      </w:r>
      <w:r w:rsidRPr="00942844">
        <w:rPr>
          <w:rStyle w:val="Refdenotaalpie"/>
          <w:rFonts w:ascii="Verdana" w:eastAsia="Calibri" w:hAnsi="Verdana" w:cs="Arial"/>
          <w:lang w:val="es-ES"/>
        </w:rPr>
        <w:footnoteReference w:id="19"/>
      </w:r>
      <w:r w:rsidRPr="00942844">
        <w:rPr>
          <w:rFonts w:ascii="Verdana" w:eastAsia="Calibri" w:hAnsi="Verdana" w:cs="Arial"/>
          <w:lang w:val="es-ES"/>
        </w:rPr>
        <w:t>, esto es, sujetos de derechos y obligaciones de la especie humana unidos entre si ya sea por vínculos naturales o jurídicos</w:t>
      </w:r>
      <w:r w:rsidRPr="00942844">
        <w:rPr>
          <w:rStyle w:val="Refdenotaalpie"/>
          <w:rFonts w:ascii="Verdana" w:eastAsia="Calibri" w:hAnsi="Verdana" w:cs="Arial"/>
          <w:lang w:val="es-ES"/>
        </w:rPr>
        <w:footnoteReference w:id="20"/>
      </w:r>
      <w:r w:rsidRPr="00942844">
        <w:rPr>
          <w:rFonts w:ascii="Verdana" w:eastAsia="Calibri" w:hAnsi="Verdana" w:cs="Arial"/>
          <w:lang w:val="es-ES"/>
        </w:rPr>
        <w:t>.</w:t>
      </w:r>
    </w:p>
    <w:p w14:paraId="187A0B8A" w14:textId="3537C530" w:rsidR="00FF2F27" w:rsidRPr="00942844" w:rsidRDefault="00FF2F27" w:rsidP="00FF2F27">
      <w:pPr>
        <w:pStyle w:val="Prrafodelista"/>
        <w:numPr>
          <w:ilvl w:val="0"/>
          <w:numId w:val="32"/>
        </w:numPr>
        <w:spacing w:after="120" w:line="276" w:lineRule="auto"/>
        <w:jc w:val="both"/>
        <w:rPr>
          <w:rFonts w:ascii="Verdana" w:eastAsia="Calibri" w:hAnsi="Verdana" w:cs="Arial"/>
          <w:lang w:val="es-ES_tradnl"/>
        </w:rPr>
      </w:pPr>
      <w:r w:rsidRPr="00942844">
        <w:rPr>
          <w:rFonts w:ascii="Verdana" w:eastAsia="Calibri" w:hAnsi="Verdana" w:cs="Arial"/>
          <w:lang w:val="es-ES_tradnl"/>
        </w:rPr>
        <w:t>En ese sentido, para acreditar que los proponentes no se encuentran incursos en inhabilidades, es válido que las entidades estatales estales,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luz de las normas procesales</w:t>
      </w:r>
      <w:r w:rsidRPr="00942844">
        <w:rPr>
          <w:rStyle w:val="Refdenotaalpie"/>
          <w:rFonts w:ascii="Verdana" w:eastAsia="Calibri" w:hAnsi="Verdana" w:cs="Arial"/>
          <w:lang w:val="es-ES_tradnl"/>
        </w:rPr>
        <w:footnoteReference w:id="21"/>
      </w:r>
      <w:r w:rsidRPr="00942844">
        <w:rPr>
          <w:rFonts w:ascii="Verdana" w:eastAsia="Calibri" w:hAnsi="Verdana" w:cs="Arial"/>
          <w:lang w:val="es-ES_tradnl"/>
        </w:rPr>
        <w:t xml:space="preserve">. La negación en la que consiste tal declaración, siempre que sea formulada de forma indefinida o general, respecto del régimen de inhabilidades e incompatibilidades, o aludiendo específicamente al literal g) del numeral 1 del artículo 8 de la Ley 80 de 1993, cobija el supuesto </w:t>
      </w:r>
      <w:r w:rsidRPr="00942844">
        <w:rPr>
          <w:rFonts w:ascii="Verdana" w:eastAsia="Calibri" w:hAnsi="Verdana" w:cs="Arial"/>
          <w:lang w:val="es-ES_tradnl"/>
        </w:rPr>
        <w:lastRenderedPageBreak/>
        <w:t xml:space="preserve">de hecho al que se refiere dicha norma. En ese sentido, el proponente mediante tal declaración acredita no estar incurso en la inhabilidad bajo estudio. </w:t>
      </w:r>
    </w:p>
    <w:p w14:paraId="1D196854" w14:textId="113E44E5" w:rsidR="00FF2F27" w:rsidRPr="00942844" w:rsidRDefault="00FF2F27" w:rsidP="00FF2F27">
      <w:pPr>
        <w:pStyle w:val="Prrafodelista"/>
        <w:numPr>
          <w:ilvl w:val="0"/>
          <w:numId w:val="32"/>
        </w:numPr>
        <w:spacing w:after="120" w:line="276" w:lineRule="auto"/>
        <w:jc w:val="both"/>
        <w:rPr>
          <w:rFonts w:ascii="Verdana" w:eastAsia="Calibri" w:hAnsi="Verdana" w:cs="Arial"/>
          <w:lang w:val="es-ES_tradnl"/>
        </w:rPr>
      </w:pPr>
      <w:r w:rsidRPr="00942844">
        <w:rPr>
          <w:rFonts w:ascii="Verdana" w:eastAsia="Calibri" w:hAnsi="Verdana" w:cs="Arial"/>
          <w:lang w:val="es-ES_tradnl"/>
        </w:rPr>
        <w:t xml:space="preserve">No obstante, tal declaración no exime a la entidad estatal del deber de ejercer la potestad verificadora que le compete, respecto de la acreditación de la capacidad jurídica, en lo atinente a la inhabilidad del literal g) del numeral 1 del artículo 8 </w:t>
      </w:r>
      <w:r w:rsidRPr="00942844">
        <w:rPr>
          <w:rFonts w:ascii="Verdana" w:eastAsia="Calibri" w:hAnsi="Verdana" w:cs="Arial"/>
          <w:i/>
          <w:iCs/>
          <w:lang w:val="es-ES_tradnl"/>
        </w:rPr>
        <w:t xml:space="preserve">Ibídem, </w:t>
      </w:r>
      <w:r w:rsidRPr="00942844">
        <w:rPr>
          <w:rFonts w:ascii="Verdana" w:eastAsia="Calibri" w:hAnsi="Verdana" w:cs="Arial"/>
          <w:lang w:val="es-ES_tradnl"/>
        </w:rPr>
        <w:t xml:space="preserve">cuando en el marco de la evaluación de las propuestas, se tienen dudas en relación con la configuración de dicha inhabilidad. En ese sentido, en primer lugar, si en el marco de la evaluación de ofertas, antes de la publicación del respectivo informe, la entidad estatal tiene conocimiento de circunstancias que le indiquen la eventual configuración de la respectiva inhabilidad, tiene la posibilidad de solicitar a los proponentes el esclarecimiento de dicha circunstancia, exigiendo las explicaciones y aclaraciones que sean procedentes. </w:t>
      </w:r>
    </w:p>
    <w:p w14:paraId="72C42505" w14:textId="77777777" w:rsidR="00FF2F27" w:rsidRPr="00942844" w:rsidRDefault="00FF2F27" w:rsidP="00FF2F27">
      <w:pPr>
        <w:pStyle w:val="Prrafodelista"/>
        <w:numPr>
          <w:ilvl w:val="0"/>
          <w:numId w:val="32"/>
        </w:numPr>
        <w:spacing w:after="120" w:line="276" w:lineRule="auto"/>
        <w:jc w:val="both"/>
        <w:rPr>
          <w:rFonts w:ascii="Verdana" w:eastAsia="Calibri" w:hAnsi="Verdana" w:cs="Arial"/>
          <w:lang w:val="es-ES_tradnl"/>
        </w:rPr>
      </w:pPr>
      <w:r w:rsidRPr="00942844">
        <w:rPr>
          <w:rFonts w:ascii="Verdana" w:eastAsia="Calibri" w:hAnsi="Verdana" w:cs="Arial"/>
          <w:lang w:val="es-ES_tradnl"/>
        </w:rPr>
        <w:t xml:space="preserve">En ese sentido, al ser capacidad jurídica un requisito habilitante, ante la ausencia de claridad en su acreditación, procede la aplicación de la regla de </w:t>
      </w:r>
      <w:proofErr w:type="spellStart"/>
      <w:r w:rsidRPr="00942844">
        <w:rPr>
          <w:rFonts w:ascii="Verdana" w:eastAsia="Calibri" w:hAnsi="Verdana" w:cs="Arial"/>
          <w:lang w:val="es-ES_tradnl"/>
        </w:rPr>
        <w:t>subsanabilidad</w:t>
      </w:r>
      <w:proofErr w:type="spellEnd"/>
      <w:r w:rsidRPr="00942844">
        <w:rPr>
          <w:rFonts w:ascii="Verdana" w:eastAsia="Calibri" w:hAnsi="Verdana" w:cs="Arial"/>
          <w:lang w:val="es-ES_tradnl"/>
        </w:rPr>
        <w:t xml:space="preserve"> prevista en el parágrafo 1 del artículo 5 de la Ley 1150 de 2007. Conforme a esta, hasta el término de traslado del informe de evaluación, la entidad estatal tiene la posibilidad de solicitar a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    </w:t>
      </w:r>
    </w:p>
    <w:p w14:paraId="69CD2E18" w14:textId="77777777" w:rsidR="00FF2F27" w:rsidRPr="00942844" w:rsidRDefault="00FF2F27" w:rsidP="00FF2F27">
      <w:pPr>
        <w:pStyle w:val="Prrafodelista"/>
        <w:numPr>
          <w:ilvl w:val="0"/>
          <w:numId w:val="32"/>
        </w:numPr>
        <w:spacing w:line="276" w:lineRule="auto"/>
        <w:jc w:val="both"/>
        <w:rPr>
          <w:rFonts w:ascii="Verdana" w:eastAsia="Calibri" w:hAnsi="Verdana" w:cs="Arial"/>
          <w:lang w:val="es-ES_tradnl"/>
        </w:rPr>
      </w:pPr>
      <w:r w:rsidRPr="00942844">
        <w:rPr>
          <w:rFonts w:ascii="Verdana" w:eastAsia="Calibri" w:hAnsi="Verdana"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w:t>
      </w:r>
      <w:proofErr w:type="gramStart"/>
      <w:r w:rsidRPr="00942844">
        <w:rPr>
          <w:rFonts w:ascii="Verdana" w:eastAsia="Calibri" w:hAnsi="Verdana" w:cs="Arial"/>
          <w:lang w:val="es-ES_tradnl"/>
        </w:rPr>
        <w:t>proceder a verificar</w:t>
      </w:r>
      <w:proofErr w:type="gramEnd"/>
      <w:r w:rsidRPr="00942844">
        <w:rPr>
          <w:rFonts w:ascii="Verdana" w:eastAsia="Calibri" w:hAnsi="Verdana" w:cs="Arial"/>
          <w:lang w:val="es-ES_tradnl"/>
        </w:rPr>
        <w:t xml:space="preserve"> la configuración de la inhabilidad, ya que de ser esta real, la propuesta a la que se refiere debe ser descalificada por inhábil. </w:t>
      </w:r>
    </w:p>
    <w:p w14:paraId="0AC1AE60" w14:textId="77777777" w:rsidR="009F5FB8" w:rsidRPr="00942844" w:rsidRDefault="009F5FB8" w:rsidP="009F5FB8">
      <w:pPr>
        <w:spacing w:after="0" w:line="276" w:lineRule="auto"/>
        <w:jc w:val="both"/>
        <w:rPr>
          <w:rFonts w:ascii="Verdana" w:eastAsia="Calibri" w:hAnsi="Verdana" w:cs="Arial"/>
        </w:rPr>
      </w:pPr>
    </w:p>
    <w:p w14:paraId="51691684" w14:textId="77777777" w:rsidR="00AB64A5" w:rsidRPr="0094284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44">
        <w:rPr>
          <w:rFonts w:ascii="Verdana" w:eastAsia="Century Gothic" w:hAnsi="Verdana" w:cs="Century Gothic"/>
          <w:b/>
          <w:bCs/>
        </w:rPr>
        <w:t>Referencias normativas, jurisprudenciales y otras fuentes:</w:t>
      </w:r>
    </w:p>
    <w:p w14:paraId="4791A111" w14:textId="77777777" w:rsidR="00AB64A5" w:rsidRPr="00942844"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942844" w14:paraId="713E4602" w14:textId="77777777" w:rsidTr="007B0B27">
        <w:trPr>
          <w:trHeight w:val="870"/>
        </w:trPr>
        <w:tc>
          <w:tcPr>
            <w:tcW w:w="8647" w:type="dxa"/>
          </w:tcPr>
          <w:p w14:paraId="15771CC9" w14:textId="77777777" w:rsidR="00FF2F27" w:rsidRPr="0094284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942844">
              <w:rPr>
                <w:rFonts w:ascii="Verdana" w:hAnsi="Verdana" w:cs="Arial"/>
                <w:lang w:val="es-ES"/>
              </w:rPr>
              <w:t>Constitución Política, artículo 150.</w:t>
            </w:r>
          </w:p>
          <w:p w14:paraId="159813C7" w14:textId="77777777" w:rsidR="00FF2F27" w:rsidRPr="0094284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942844">
              <w:rPr>
                <w:rFonts w:ascii="Verdana" w:hAnsi="Verdana" w:cs="Arial"/>
                <w:lang w:val="es-ES"/>
              </w:rPr>
              <w:t>Ley 80 de 1993, artículo 8.</w:t>
            </w:r>
          </w:p>
          <w:p w14:paraId="063B7B15" w14:textId="77777777" w:rsidR="00FF2F27" w:rsidRPr="0094284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942844">
              <w:rPr>
                <w:rFonts w:ascii="Verdana" w:hAnsi="Verdana" w:cs="Arial"/>
                <w:color w:val="000000"/>
                <w:bdr w:val="none" w:sz="0" w:space="0" w:color="auto" w:frame="1"/>
                <w:lang w:val="es-ES"/>
              </w:rPr>
              <w:t>Ley 1952 de 2019, artículo 56.</w:t>
            </w:r>
          </w:p>
          <w:p w14:paraId="32ED9A8A"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Corte Constitucional. Sentencia T-1039 de 2006. Magistrado Ponente: Humberto Sierra Porto.</w:t>
            </w:r>
          </w:p>
          <w:p w14:paraId="604E65AA"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 xml:space="preserve">Consejo de Estado. Sala de Consulta y Servicio Civil. Concepto del 30 de abril de 2015. Expediente: 2251. Consejero Ponente: Álvaro </w:t>
            </w:r>
            <w:proofErr w:type="spellStart"/>
            <w:r w:rsidRPr="00942844">
              <w:rPr>
                <w:rFonts w:ascii="Verdana" w:hAnsi="Verdana" w:cs="Arial"/>
                <w:lang w:val="es-ES"/>
              </w:rPr>
              <w:t>Namén</w:t>
            </w:r>
            <w:proofErr w:type="spellEnd"/>
            <w:r w:rsidRPr="00942844">
              <w:rPr>
                <w:rFonts w:ascii="Verdana" w:hAnsi="Verdana" w:cs="Arial"/>
                <w:lang w:val="es-ES"/>
              </w:rPr>
              <w:t xml:space="preserve"> Vargas.</w:t>
            </w:r>
          </w:p>
          <w:p w14:paraId="3A9F1A2D"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 xml:space="preserve">Consejo de Estado. Sección Tercera. Subsección A. Sentencia del 24 de junio de 2015. </w:t>
            </w:r>
            <w:proofErr w:type="spellStart"/>
            <w:r w:rsidRPr="00942844">
              <w:rPr>
                <w:rFonts w:ascii="Verdana" w:hAnsi="Verdana" w:cs="Arial"/>
                <w:lang w:val="es-ES"/>
              </w:rPr>
              <w:t>Exp</w:t>
            </w:r>
            <w:proofErr w:type="spellEnd"/>
            <w:r w:rsidRPr="00942844">
              <w:rPr>
                <w:rFonts w:ascii="Verdana" w:hAnsi="Verdana" w:cs="Arial"/>
                <w:lang w:val="es-ES"/>
              </w:rPr>
              <w:t>. 40.635. Consejero Ponente: Hernán Andrade Rincón (E).</w:t>
            </w:r>
          </w:p>
          <w:p w14:paraId="04BC0E03"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 xml:space="preserve">Consejo de Estado. Sección Tercera. Subsección C. Sentencia del 22 de mayo de 2013. </w:t>
            </w:r>
            <w:proofErr w:type="spellStart"/>
            <w:r w:rsidRPr="00942844">
              <w:rPr>
                <w:rFonts w:ascii="Verdana" w:hAnsi="Verdana" w:cs="Arial"/>
                <w:lang w:val="es-ES"/>
              </w:rPr>
              <w:t>Exp</w:t>
            </w:r>
            <w:proofErr w:type="spellEnd"/>
            <w:r w:rsidRPr="00942844">
              <w:rPr>
                <w:rFonts w:ascii="Verdana" w:hAnsi="Verdana" w:cs="Arial"/>
                <w:lang w:val="es-ES"/>
              </w:rPr>
              <w:t xml:space="preserve">. 24.057. Consejera Ponente: Olga </w:t>
            </w:r>
            <w:proofErr w:type="spellStart"/>
            <w:r w:rsidRPr="00942844">
              <w:rPr>
                <w:rFonts w:ascii="Verdana" w:hAnsi="Verdana" w:cs="Arial"/>
                <w:lang w:val="es-ES"/>
              </w:rPr>
              <w:t>Melida</w:t>
            </w:r>
            <w:proofErr w:type="spellEnd"/>
            <w:r w:rsidRPr="00942844">
              <w:rPr>
                <w:rFonts w:ascii="Verdana" w:hAnsi="Verdana" w:cs="Arial"/>
                <w:lang w:val="es-ES"/>
              </w:rPr>
              <w:t xml:space="preserve"> Valle De La Hoz.</w:t>
            </w:r>
          </w:p>
          <w:p w14:paraId="3D723E84"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Corte Constitucional, sentencia C- 373 de 2002, Magistrado ponente Jaime Córdoba Triviño.</w:t>
            </w:r>
          </w:p>
          <w:p w14:paraId="62D514FC" w14:textId="77777777" w:rsidR="00FF2F27" w:rsidRPr="0094284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942844">
              <w:rPr>
                <w:rFonts w:ascii="Verdana" w:hAnsi="Verdana" w:cs="Arial"/>
                <w:lang w:val="es-ES"/>
              </w:rPr>
              <w:t>Corte Constitucional, sentencia C-325 de 2009, Magistrado ponente Gabriel Eduardo Mendoza Martelo.</w:t>
            </w:r>
          </w:p>
          <w:p w14:paraId="0C45EA68" w14:textId="2392E8E1" w:rsidR="00C04209" w:rsidRPr="00942844" w:rsidRDefault="00FF2F27" w:rsidP="00FF2F27">
            <w:pPr>
              <w:pStyle w:val="Prrafodelista"/>
              <w:numPr>
                <w:ilvl w:val="0"/>
                <w:numId w:val="2"/>
              </w:numPr>
              <w:spacing w:line="276" w:lineRule="auto"/>
              <w:ind w:right="709"/>
              <w:jc w:val="both"/>
              <w:rPr>
                <w:rFonts w:ascii="Verdana" w:hAnsi="Verdana" w:cs="Arial"/>
              </w:rPr>
            </w:pPr>
            <w:r w:rsidRPr="00942844">
              <w:rPr>
                <w:rFonts w:ascii="Verdana" w:hAnsi="Verdana" w:cs="Arial"/>
                <w:lang w:val="es-ES"/>
              </w:rPr>
              <w:t>Consejo de Estado, Sentencia 00111 del 13 de junio de 2019, Sala de lo Contencioso Administrativo, Sección Quinta 00111 del 13 de junio de 2019, consejera ponente Rocío Araújo Oñate.</w:t>
            </w:r>
          </w:p>
        </w:tc>
      </w:tr>
    </w:tbl>
    <w:p w14:paraId="7D10BDB3" w14:textId="77777777" w:rsidR="00AB64A5" w:rsidRPr="00942844"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94284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44">
        <w:rPr>
          <w:rFonts w:ascii="Verdana" w:eastAsia="Century Gothic" w:hAnsi="Verdana" w:cs="Century Gothic"/>
          <w:b/>
          <w:bCs/>
        </w:rPr>
        <w:t>Doctrina de la Agencia Nacional de Contratación Pública:</w:t>
      </w:r>
    </w:p>
    <w:p w14:paraId="6FB855C5" w14:textId="77777777" w:rsidR="00AB64A5" w:rsidRPr="00942844"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24CCAA68" w14:textId="7B259810" w:rsidR="00F67849" w:rsidRPr="00942844" w:rsidRDefault="00F67849" w:rsidP="00F67849">
      <w:pPr>
        <w:widowControl w:val="0"/>
        <w:autoSpaceDE w:val="0"/>
        <w:autoSpaceDN w:val="0"/>
        <w:spacing w:after="0" w:line="276" w:lineRule="auto"/>
        <w:jc w:val="both"/>
        <w:rPr>
          <w:rStyle w:val="normaltextrun"/>
          <w:rFonts w:ascii="Verdana" w:hAnsi="Verdana" w:cs="Arial"/>
          <w:color w:val="156082" w:themeColor="accent1"/>
          <w:shd w:val="clear" w:color="auto" w:fill="FFFFFF"/>
          <w:lang w:val="es-ES"/>
        </w:rPr>
      </w:pPr>
      <w:r w:rsidRPr="00942844">
        <w:rPr>
          <w:rStyle w:val="normaltextrun"/>
          <w:rFonts w:ascii="Verdana" w:hAnsi="Verdana" w:cs="Arial"/>
          <w:shd w:val="clear" w:color="auto" w:fill="FFFFFF"/>
          <w:lang w:val="es-ES"/>
        </w:rPr>
        <w:t>Sobre las actividades relacionadas con ciencia, tecnología e innovación y los contratos</w:t>
      </w:r>
      <w:r w:rsidR="00FF2F27" w:rsidRPr="00942844">
        <w:rPr>
          <w:rStyle w:val="normaltextrun"/>
          <w:rFonts w:ascii="Verdana" w:hAnsi="Verdana" w:cs="Arial"/>
          <w:shd w:val="clear" w:color="auto" w:fill="FFFFFF"/>
          <w:lang w:val="es-ES"/>
        </w:rPr>
        <w:t xml:space="preserve"> </w:t>
      </w:r>
      <w:r w:rsidR="00FF2F27" w:rsidRPr="00942844">
        <w:rPr>
          <w:rFonts w:ascii="Verdana" w:eastAsia="Calibri" w:hAnsi="Verdana" w:cs="Arial"/>
        </w:rPr>
        <w:t xml:space="preserve">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w:t>
      </w:r>
      <w:r w:rsidR="00FF2F27" w:rsidRPr="00942844">
        <w:rPr>
          <w:rFonts w:ascii="Verdana" w:eastAsia="Calibri" w:hAnsi="Verdana" w:cs="Arial"/>
        </w:rPr>
        <w:lastRenderedPageBreak/>
        <w:t>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entre otros</w:t>
      </w:r>
      <w:r w:rsidRPr="00942844">
        <w:rPr>
          <w:rStyle w:val="normaltextrun"/>
          <w:rFonts w:ascii="Verdana" w:hAnsi="Verdana" w:cs="Arial"/>
          <w:shd w:val="clear" w:color="auto" w:fill="FFFFFF"/>
          <w:lang w:val="es-ES"/>
        </w:rPr>
        <w:t>. Es</w:t>
      </w:r>
      <w:r w:rsidRPr="00942844">
        <w:rPr>
          <w:rFonts w:ascii="Verdana" w:hAnsi="Verdana"/>
        </w:rPr>
        <w:t>tos y otros conceptos se encuentran disponibles para consulta en el Sistema de relatoría de la Agencia, al cual se puede acceder a través del siguiente enlace:</w:t>
      </w:r>
      <w:r w:rsidRPr="00942844">
        <w:rPr>
          <w:rStyle w:val="normaltextrun"/>
          <w:rFonts w:ascii="Verdana" w:hAnsi="Verdana" w:cs="Arial"/>
          <w:shd w:val="clear" w:color="auto" w:fill="FFFFFF"/>
          <w:lang w:val="es-ES"/>
        </w:rPr>
        <w:t xml:space="preserve"> </w:t>
      </w:r>
      <w:hyperlink r:id="rId12" w:history="1">
        <w:r w:rsidRPr="00942844">
          <w:rPr>
            <w:rStyle w:val="Hipervnculo"/>
            <w:rFonts w:ascii="Verdana" w:hAnsi="Verdana" w:cs="Arial"/>
            <w:color w:val="156082" w:themeColor="accent1"/>
            <w:shd w:val="clear" w:color="auto" w:fill="FFFFFF"/>
            <w:lang w:val="es-ES"/>
          </w:rPr>
          <w:t>https://relatoria.colombiacompra.gov.co/busqueda/conceptos</w:t>
        </w:r>
      </w:hyperlink>
      <w:r w:rsidRPr="00942844">
        <w:rPr>
          <w:rStyle w:val="normaltextrun"/>
          <w:rFonts w:ascii="Verdana" w:hAnsi="Verdana" w:cs="Arial"/>
          <w:color w:val="156082" w:themeColor="accent1"/>
          <w:shd w:val="clear" w:color="auto" w:fill="FFFFFF"/>
          <w:lang w:val="es-ES"/>
        </w:rPr>
        <w:t xml:space="preserve">. </w:t>
      </w:r>
    </w:p>
    <w:p w14:paraId="5F8E3F20" w14:textId="77777777" w:rsidR="0050012F" w:rsidRPr="00942844" w:rsidRDefault="0050012F"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EF4589" w14:textId="77777777" w:rsidR="00F67849" w:rsidRPr="00942844" w:rsidRDefault="00F67849" w:rsidP="00F67849">
      <w:pPr>
        <w:widowControl w:val="0"/>
        <w:autoSpaceDE w:val="0"/>
        <w:autoSpaceDN w:val="0"/>
        <w:spacing w:after="0" w:line="276" w:lineRule="auto"/>
        <w:jc w:val="both"/>
        <w:rPr>
          <w:rFonts w:ascii="Verdana" w:eastAsia="Calibri" w:hAnsi="Verdana" w:cs="Arial"/>
          <w:shd w:val="clear" w:color="auto" w:fill="FFFFFF"/>
          <w:lang w:val="es-ES"/>
        </w:rPr>
      </w:pPr>
      <w:r w:rsidRPr="00942844">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3" w:tgtFrame="_blank" w:tooltip="Dirección URL original: https://www.colombiacompra.gov.co/sala-de-prensa/boletin-digital. Haga clic o pulse si confía en este vínculo." w:history="1">
        <w:r w:rsidRPr="00942844">
          <w:rPr>
            <w:rStyle w:val="Hipervnculo"/>
            <w:rFonts w:ascii="Verdana" w:hAnsi="Verdana" w:cs="Arial"/>
            <w:shd w:val="clear" w:color="auto" w:fill="FFFFFF"/>
          </w:rPr>
          <w:t>https://www.colombiacompra.gov.co/sala-de-prensa/boletin-digital</w:t>
        </w:r>
      </w:hyperlink>
      <w:r w:rsidRPr="00942844">
        <w:rPr>
          <w:rFonts w:ascii="Verdana" w:hAnsi="Verdana" w:cs="Arial"/>
          <w:shd w:val="clear" w:color="auto" w:fill="FFFFFF"/>
        </w:rPr>
        <w:t>    </w:t>
      </w:r>
    </w:p>
    <w:p w14:paraId="494B802C" w14:textId="77777777" w:rsidR="00F67849" w:rsidRPr="00942844" w:rsidRDefault="00F67849" w:rsidP="00F67849">
      <w:pPr>
        <w:spacing w:after="0" w:line="240" w:lineRule="auto"/>
        <w:jc w:val="both"/>
        <w:rPr>
          <w:rFonts w:ascii="Verdana" w:eastAsia="Calibri" w:hAnsi="Verdana" w:cs="Times New Roman"/>
        </w:rPr>
      </w:pPr>
      <w:r w:rsidRPr="00942844">
        <w:rPr>
          <w:rFonts w:ascii="Verdana" w:eastAsia="Calibri" w:hAnsi="Verdana" w:cs="Times New Roman"/>
        </w:rPr>
        <w:t xml:space="preserve">Por último, los invitamos a seguirnos en las redes sociales, en las cuales se difunde información institucional: </w:t>
      </w:r>
    </w:p>
    <w:p w14:paraId="7080E4EF" w14:textId="77777777" w:rsidR="00F67849" w:rsidRPr="00942844" w:rsidRDefault="00F67849" w:rsidP="00F67849">
      <w:pPr>
        <w:spacing w:after="0" w:line="240" w:lineRule="auto"/>
        <w:jc w:val="both"/>
        <w:rPr>
          <w:rFonts w:ascii="Verdana" w:eastAsia="Calibri" w:hAnsi="Verdana" w:cs="Times New Roman"/>
        </w:rPr>
      </w:pPr>
    </w:p>
    <w:p w14:paraId="1BDB9392" w14:textId="77777777" w:rsidR="00F67849" w:rsidRPr="00942844" w:rsidRDefault="00F67849" w:rsidP="00F67849">
      <w:pPr>
        <w:spacing w:after="0" w:line="240" w:lineRule="auto"/>
        <w:jc w:val="both"/>
        <w:rPr>
          <w:rFonts w:ascii="Verdana" w:eastAsia="Calibri" w:hAnsi="Verdana" w:cs="Times New Roman"/>
        </w:rPr>
      </w:pPr>
      <w:r w:rsidRPr="00942844">
        <w:rPr>
          <w:rFonts w:ascii="Verdana" w:eastAsia="Calibri" w:hAnsi="Verdana" w:cs="Times New Roman"/>
        </w:rPr>
        <w:t xml:space="preserve">Twitter: </w:t>
      </w:r>
      <w:r w:rsidRPr="00942844">
        <w:rPr>
          <w:rFonts w:ascii="Verdana" w:eastAsia="Calibri" w:hAnsi="Verdana" w:cs="Times New Roman"/>
          <w:u w:val="single"/>
        </w:rPr>
        <w:t>@colombiacompra</w:t>
      </w:r>
      <w:r w:rsidRPr="00942844">
        <w:rPr>
          <w:rFonts w:ascii="Verdana" w:eastAsia="Calibri" w:hAnsi="Verdana" w:cs="Times New Roman"/>
        </w:rPr>
        <w:t xml:space="preserve"> </w:t>
      </w:r>
    </w:p>
    <w:p w14:paraId="51B90D7F" w14:textId="77777777" w:rsidR="00F67849" w:rsidRPr="00942844" w:rsidRDefault="00F67849" w:rsidP="00F67849">
      <w:pPr>
        <w:spacing w:after="0" w:line="240" w:lineRule="auto"/>
        <w:jc w:val="both"/>
        <w:rPr>
          <w:rFonts w:ascii="Verdana" w:eastAsia="Calibri" w:hAnsi="Verdana" w:cs="Times New Roman"/>
        </w:rPr>
      </w:pPr>
      <w:r w:rsidRPr="00942844">
        <w:rPr>
          <w:rFonts w:ascii="Verdana" w:eastAsia="Calibri" w:hAnsi="Verdana" w:cs="Times New Roman"/>
        </w:rPr>
        <w:t xml:space="preserve">Facebook: </w:t>
      </w:r>
      <w:proofErr w:type="spellStart"/>
      <w:r w:rsidRPr="00942844">
        <w:rPr>
          <w:rFonts w:ascii="Verdana" w:eastAsia="Calibri" w:hAnsi="Verdana" w:cs="Times New Roman"/>
          <w:u w:val="single"/>
        </w:rPr>
        <w:t>ColombiaCompraEficiente</w:t>
      </w:r>
      <w:proofErr w:type="spellEnd"/>
    </w:p>
    <w:p w14:paraId="4347A996" w14:textId="77777777" w:rsidR="00F67849" w:rsidRPr="00942844" w:rsidRDefault="00F67849" w:rsidP="00F67849">
      <w:pPr>
        <w:spacing w:after="0" w:line="240" w:lineRule="auto"/>
        <w:jc w:val="both"/>
        <w:rPr>
          <w:rFonts w:ascii="Verdana" w:eastAsia="Calibri" w:hAnsi="Verdana" w:cs="Times New Roman"/>
        </w:rPr>
      </w:pPr>
      <w:r w:rsidRPr="00942844">
        <w:rPr>
          <w:rFonts w:ascii="Verdana" w:eastAsia="Calibri" w:hAnsi="Verdana" w:cs="Times New Roman"/>
        </w:rPr>
        <w:t xml:space="preserve">LinkedIn: </w:t>
      </w:r>
      <w:r w:rsidRPr="00942844">
        <w:rPr>
          <w:rFonts w:ascii="Verdana" w:eastAsia="Calibri" w:hAnsi="Verdana" w:cs="Times New Roman"/>
          <w:u w:val="single"/>
        </w:rPr>
        <w:t>Agencia Nacional de Contratación Pública - Colombia Compra Eficiente</w:t>
      </w:r>
      <w:r w:rsidRPr="00942844">
        <w:rPr>
          <w:rFonts w:ascii="Verdana" w:eastAsia="Calibri" w:hAnsi="Verdana" w:cs="Times New Roman"/>
        </w:rPr>
        <w:t xml:space="preserve"> Instagram: </w:t>
      </w:r>
      <w:r w:rsidRPr="00942844">
        <w:rPr>
          <w:rFonts w:ascii="Verdana" w:eastAsia="Calibri" w:hAnsi="Verdana" w:cs="Times New Roman"/>
          <w:u w:val="single"/>
        </w:rPr>
        <w:t>@colombiacompraeficiente_cce</w:t>
      </w:r>
    </w:p>
    <w:p w14:paraId="2F41C146" w14:textId="77777777" w:rsidR="00F67849" w:rsidRPr="00942844" w:rsidRDefault="00F67849" w:rsidP="00F67849">
      <w:pPr>
        <w:widowControl w:val="0"/>
        <w:autoSpaceDE w:val="0"/>
        <w:autoSpaceDN w:val="0"/>
        <w:spacing w:after="0" w:line="276" w:lineRule="auto"/>
        <w:jc w:val="both"/>
        <w:rPr>
          <w:rFonts w:ascii="Verdana" w:eastAsia="Calibri" w:hAnsi="Verdana" w:cs="Arial"/>
        </w:rPr>
      </w:pPr>
    </w:p>
    <w:p w14:paraId="08A075D9" w14:textId="77777777" w:rsidR="00F67849" w:rsidRPr="00942844" w:rsidRDefault="00F67849" w:rsidP="00F67849">
      <w:pPr>
        <w:widowControl w:val="0"/>
        <w:autoSpaceDE w:val="0"/>
        <w:autoSpaceDN w:val="0"/>
        <w:spacing w:after="0" w:line="276" w:lineRule="auto"/>
        <w:jc w:val="both"/>
        <w:rPr>
          <w:rFonts w:ascii="Verdana" w:eastAsia="Calibri" w:hAnsi="Verdana" w:cs="Arial"/>
          <w:lang w:val="es-ES_tradnl"/>
        </w:rPr>
      </w:pPr>
      <w:r w:rsidRPr="00942844">
        <w:rPr>
          <w:rFonts w:ascii="Verdana" w:eastAsia="Calibri" w:hAnsi="Verdana" w:cs="Arial"/>
        </w:rPr>
        <w:t xml:space="preserve">Este concepto tiene el alcance previsto en el artículo 28 del Código de Procedimiento Administrativo y de lo Contencioso Administrativo </w:t>
      </w:r>
      <w:r w:rsidRPr="00942844">
        <w:rPr>
          <w:rFonts w:ascii="Verdana" w:eastAsia="Calibri"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942844" w:rsidRDefault="00AB64A5" w:rsidP="00AB64A5">
      <w:pPr>
        <w:widowControl w:val="0"/>
        <w:autoSpaceDE w:val="0"/>
        <w:autoSpaceDN w:val="0"/>
        <w:spacing w:after="0" w:line="276" w:lineRule="auto"/>
        <w:jc w:val="both"/>
        <w:rPr>
          <w:rFonts w:ascii="Verdana" w:hAnsi="Verdana" w:cs="Arial"/>
          <w:lang w:val="es-ES_tradnl"/>
        </w:rPr>
      </w:pPr>
    </w:p>
    <w:p w14:paraId="43CF8739" w14:textId="77777777" w:rsidR="00AB64A5" w:rsidRPr="00942844" w:rsidRDefault="00AB64A5" w:rsidP="00AB64A5">
      <w:pPr>
        <w:spacing w:after="0" w:line="240" w:lineRule="auto"/>
        <w:rPr>
          <w:rFonts w:ascii="Verdana" w:hAnsi="Verdana" w:cs="Arial"/>
          <w:lang w:eastAsia="es-CO"/>
        </w:rPr>
      </w:pPr>
      <w:r w:rsidRPr="00942844">
        <w:rPr>
          <w:rFonts w:ascii="Verdana" w:eastAsia="Times New Roman" w:hAnsi="Verdana" w:cs="Arial"/>
          <w:lang w:eastAsia="es-CO"/>
        </w:rPr>
        <w:t>Atentamente,</w:t>
      </w:r>
      <w:r w:rsidRPr="00942844">
        <w:rPr>
          <w:rFonts w:ascii="Verdana" w:hAnsi="Verdana" w:cs="Arial"/>
          <w:lang w:eastAsia="es-CO"/>
        </w:rPr>
        <w:t xml:space="preserve"> </w:t>
      </w:r>
    </w:p>
    <w:p w14:paraId="0B837099" w14:textId="26ECDD46" w:rsidR="00AB64A5" w:rsidRPr="00942844" w:rsidRDefault="00022C1F" w:rsidP="00AB64A5">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67F19687" wp14:editId="3A28998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942844" w14:paraId="1CCF7B2A" w14:textId="77777777" w:rsidTr="00BE2206">
        <w:trPr>
          <w:trHeight w:val="228"/>
        </w:trPr>
        <w:tc>
          <w:tcPr>
            <w:tcW w:w="893" w:type="dxa"/>
            <w:vAlign w:val="center"/>
            <w:hideMark/>
          </w:tcPr>
          <w:p w14:paraId="4C835DB8" w14:textId="77777777" w:rsidR="00AB64A5" w:rsidRPr="00942844" w:rsidRDefault="00AB64A5" w:rsidP="007B0B27">
            <w:pPr>
              <w:contextualSpacing/>
              <w:rPr>
                <w:rFonts w:ascii="Verdana" w:hAnsi="Verdana" w:cs="Arial"/>
                <w:sz w:val="16"/>
                <w:szCs w:val="16"/>
                <w:lang w:val="es-ES" w:eastAsia="es-ES"/>
              </w:rPr>
            </w:pPr>
            <w:r w:rsidRPr="00942844">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5FE0A683" w:rsidR="00AB64A5" w:rsidRPr="00942844" w:rsidRDefault="00BE2206" w:rsidP="007B0B27">
            <w:pPr>
              <w:contextualSpacing/>
              <w:rPr>
                <w:rStyle w:val="normaltextrun"/>
                <w:rFonts w:ascii="Verdana" w:hAnsi="Verdana"/>
                <w:sz w:val="16"/>
                <w:szCs w:val="16"/>
              </w:rPr>
            </w:pPr>
            <w:r>
              <w:rPr>
                <w:rStyle w:val="normaltextrun"/>
                <w:rFonts w:ascii="Verdana" w:hAnsi="Verdana"/>
                <w:sz w:val="16"/>
                <w:szCs w:val="16"/>
              </w:rPr>
              <w:t xml:space="preserve">Diana </w:t>
            </w:r>
            <w:r w:rsidR="005A5AFA" w:rsidRPr="00942844">
              <w:rPr>
                <w:rStyle w:val="normaltextrun"/>
                <w:rFonts w:ascii="Verdana" w:hAnsi="Verdana"/>
                <w:sz w:val="16"/>
                <w:szCs w:val="16"/>
              </w:rPr>
              <w:t xml:space="preserve">Carolina Blanco Rodriguez </w:t>
            </w:r>
          </w:p>
          <w:p w14:paraId="05D16EFD" w14:textId="77777777" w:rsidR="00AB64A5" w:rsidRPr="00942844" w:rsidRDefault="00AB64A5" w:rsidP="007B0B27">
            <w:pPr>
              <w:contextualSpacing/>
              <w:rPr>
                <w:rStyle w:val="normaltextrun"/>
                <w:rFonts w:ascii="Verdana" w:hAnsi="Verdana"/>
                <w:sz w:val="16"/>
                <w:szCs w:val="16"/>
              </w:rPr>
            </w:pPr>
            <w:r w:rsidRPr="00942844">
              <w:rPr>
                <w:rStyle w:val="normaltextrun"/>
                <w:rFonts w:ascii="Verdana" w:hAnsi="Verdana"/>
                <w:sz w:val="16"/>
                <w:szCs w:val="16"/>
              </w:rPr>
              <w:t>Contratista de la Subdirección de Gestión Contractual</w:t>
            </w:r>
          </w:p>
          <w:p w14:paraId="6D742C2C" w14:textId="33389542" w:rsidR="009F5FB8" w:rsidRPr="00942844" w:rsidRDefault="009F5FB8" w:rsidP="007B0B27">
            <w:pPr>
              <w:contextualSpacing/>
              <w:rPr>
                <w:rStyle w:val="normaltextrun"/>
                <w:rFonts w:ascii="Verdana" w:hAnsi="Verdana"/>
              </w:rPr>
            </w:pPr>
          </w:p>
        </w:tc>
      </w:tr>
      <w:tr w:rsidR="00AB64A5" w:rsidRPr="00942844" w14:paraId="25DEECD8" w14:textId="77777777" w:rsidTr="005A5AFA">
        <w:trPr>
          <w:trHeight w:val="330"/>
        </w:trPr>
        <w:tc>
          <w:tcPr>
            <w:tcW w:w="893" w:type="dxa"/>
            <w:vAlign w:val="center"/>
            <w:hideMark/>
          </w:tcPr>
          <w:p w14:paraId="5EB4B261" w14:textId="77777777" w:rsidR="00AB64A5" w:rsidRPr="00942844" w:rsidRDefault="00AB64A5" w:rsidP="007B0B27">
            <w:pPr>
              <w:contextualSpacing/>
              <w:rPr>
                <w:rFonts w:ascii="Verdana" w:hAnsi="Verdana" w:cs="Arial"/>
                <w:sz w:val="16"/>
                <w:szCs w:val="16"/>
                <w:lang w:val="es-ES" w:eastAsia="es-ES"/>
              </w:rPr>
            </w:pPr>
            <w:r w:rsidRPr="00942844">
              <w:rPr>
                <w:rFonts w:ascii="Verdana" w:hAnsi="Verdana" w:cs="Arial"/>
                <w:sz w:val="16"/>
                <w:szCs w:val="16"/>
                <w:lang w:val="es-ES" w:eastAsia="es-ES"/>
              </w:rPr>
              <w:t>Revisó:</w:t>
            </w:r>
          </w:p>
        </w:tc>
        <w:tc>
          <w:tcPr>
            <w:tcW w:w="5628" w:type="dxa"/>
            <w:vAlign w:val="center"/>
            <w:hideMark/>
          </w:tcPr>
          <w:p w14:paraId="0FDC8FEE" w14:textId="2F7E85C7" w:rsidR="00FF2F27" w:rsidRPr="00942844" w:rsidRDefault="00E07453" w:rsidP="00553F39">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Pr>
                <w:rStyle w:val="normaltextrun"/>
                <w:rFonts w:ascii="Verdana" w:eastAsiaTheme="minorHAnsi" w:hAnsi="Verdana" w:cstheme="minorBidi"/>
                <w:sz w:val="16"/>
                <w:szCs w:val="16"/>
                <w:lang w:eastAsia="en-US"/>
              </w:rPr>
              <w:t>A</w:t>
            </w:r>
            <w:r w:rsidRPr="00E07453">
              <w:rPr>
                <w:rStyle w:val="normaltextrun"/>
                <w:rFonts w:ascii="Verdana" w:eastAsiaTheme="minorHAnsi" w:hAnsi="Verdana" w:cstheme="minorBidi"/>
                <w:sz w:val="16"/>
                <w:szCs w:val="16"/>
                <w:lang w:eastAsia="en-US"/>
              </w:rPr>
              <w:t>driana López</w:t>
            </w:r>
          </w:p>
          <w:p w14:paraId="164666B5" w14:textId="2CC749DD" w:rsidR="00AB64A5" w:rsidRPr="00942844" w:rsidRDefault="00BE2206" w:rsidP="00BE2206">
            <w:pPr>
              <w:contextualSpacing/>
              <w:rPr>
                <w:rStyle w:val="normaltextrun"/>
                <w:rFonts w:ascii="Verdana" w:hAnsi="Verdana"/>
                <w:sz w:val="16"/>
                <w:szCs w:val="16"/>
              </w:rPr>
            </w:pPr>
            <w:r w:rsidRPr="00942844">
              <w:rPr>
                <w:rStyle w:val="normaltextrun"/>
                <w:rFonts w:ascii="Verdana" w:hAnsi="Verdana"/>
                <w:sz w:val="16"/>
                <w:szCs w:val="16"/>
              </w:rPr>
              <w:t>Contratista de la Subdirección de Gestión Contractual</w:t>
            </w:r>
          </w:p>
        </w:tc>
      </w:tr>
      <w:tr w:rsidR="00AB64A5" w:rsidRPr="00942844"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942844" w:rsidRDefault="00AB64A5" w:rsidP="007B0B27">
            <w:pPr>
              <w:contextualSpacing/>
              <w:rPr>
                <w:rFonts w:ascii="Verdana" w:hAnsi="Verdana" w:cs="Arial"/>
                <w:sz w:val="16"/>
                <w:szCs w:val="16"/>
                <w:lang w:val="es-ES" w:eastAsia="es-ES"/>
              </w:rPr>
            </w:pPr>
            <w:r w:rsidRPr="00942844">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942844" w:rsidRDefault="00AB64A5" w:rsidP="007B0B27">
            <w:pPr>
              <w:contextualSpacing/>
              <w:rPr>
                <w:rFonts w:ascii="Verdana" w:eastAsia="Calibri" w:hAnsi="Verdana" w:cs="Arial"/>
                <w:sz w:val="16"/>
                <w:szCs w:val="16"/>
                <w:lang w:val="pt-BR" w:eastAsia="es-ES"/>
              </w:rPr>
            </w:pPr>
            <w:r w:rsidRPr="00942844">
              <w:rPr>
                <w:rFonts w:ascii="Verdana" w:eastAsia="Calibri" w:hAnsi="Verdana" w:cs="Arial"/>
                <w:sz w:val="16"/>
                <w:szCs w:val="16"/>
                <w:lang w:val="pt-BR" w:eastAsia="es-ES"/>
              </w:rPr>
              <w:t xml:space="preserve">Carolina Quintero </w:t>
            </w:r>
            <w:proofErr w:type="spellStart"/>
            <w:r w:rsidRPr="00942844">
              <w:rPr>
                <w:rFonts w:ascii="Verdana" w:eastAsia="Calibri" w:hAnsi="Verdana" w:cs="Arial"/>
                <w:sz w:val="16"/>
                <w:szCs w:val="16"/>
                <w:lang w:val="pt-BR" w:eastAsia="es-ES"/>
              </w:rPr>
              <w:t>Gacharná</w:t>
            </w:r>
            <w:proofErr w:type="spellEnd"/>
          </w:p>
          <w:p w14:paraId="1A53492F" w14:textId="77777777" w:rsidR="00AB64A5" w:rsidRPr="00942844" w:rsidRDefault="00AB64A5" w:rsidP="007B0B27">
            <w:pPr>
              <w:contextualSpacing/>
              <w:rPr>
                <w:rFonts w:ascii="Verdana" w:eastAsia="Calibri" w:hAnsi="Verdana" w:cs="Arial"/>
                <w:sz w:val="16"/>
                <w:szCs w:val="16"/>
                <w:lang w:val="pt-BR" w:eastAsia="es-ES"/>
              </w:rPr>
            </w:pPr>
            <w:r w:rsidRPr="00942844">
              <w:rPr>
                <w:rFonts w:ascii="Verdana" w:eastAsia="Calibri" w:hAnsi="Verdana" w:cs="Arial"/>
                <w:sz w:val="16"/>
                <w:szCs w:val="16"/>
                <w:lang w:eastAsia="es-ES"/>
              </w:rPr>
              <w:t>Subdirectora</w:t>
            </w:r>
            <w:r w:rsidRPr="00942844">
              <w:rPr>
                <w:rFonts w:ascii="Verdana" w:eastAsia="Calibri" w:hAnsi="Verdana" w:cs="Arial"/>
                <w:sz w:val="16"/>
                <w:szCs w:val="16"/>
                <w:lang w:val="pt-BR" w:eastAsia="es-ES"/>
              </w:rPr>
              <w:t xml:space="preserve"> de Gestión </w:t>
            </w:r>
            <w:proofErr w:type="spellStart"/>
            <w:r w:rsidRPr="00942844">
              <w:rPr>
                <w:rFonts w:ascii="Verdana" w:eastAsia="Calibri" w:hAnsi="Verdana" w:cs="Arial"/>
                <w:sz w:val="16"/>
                <w:szCs w:val="16"/>
                <w:lang w:val="pt-BR" w:eastAsia="es-ES"/>
              </w:rPr>
              <w:t>Contractual</w:t>
            </w:r>
            <w:proofErr w:type="spellEnd"/>
            <w:r w:rsidRPr="00942844">
              <w:rPr>
                <w:rFonts w:ascii="Verdana" w:eastAsia="Calibri" w:hAnsi="Verdana" w:cs="Arial"/>
                <w:sz w:val="16"/>
                <w:szCs w:val="16"/>
                <w:lang w:val="pt-BR" w:eastAsia="es-ES"/>
              </w:rPr>
              <w:t xml:space="preserve"> ANCP – CCE</w:t>
            </w:r>
          </w:p>
        </w:tc>
      </w:tr>
    </w:tbl>
    <w:p w14:paraId="011E4F21" w14:textId="77777777" w:rsidR="00AB64A5" w:rsidRPr="00942844" w:rsidRDefault="00AB64A5" w:rsidP="00AB64A5">
      <w:pPr>
        <w:spacing w:after="0" w:line="240" w:lineRule="auto"/>
        <w:rPr>
          <w:rFonts w:ascii="Verdana" w:eastAsia="Times New Roman" w:hAnsi="Verdana" w:cs="Arial"/>
          <w:lang w:eastAsia="es-ES"/>
        </w:rPr>
      </w:pPr>
    </w:p>
    <w:p w14:paraId="02CE4EF4" w14:textId="77777777" w:rsidR="00AB64A5" w:rsidRPr="00942844" w:rsidRDefault="00AB64A5" w:rsidP="00AB64A5">
      <w:pPr>
        <w:rPr>
          <w:rFonts w:ascii="Verdana" w:hAnsi="Verdana"/>
        </w:rPr>
      </w:pPr>
    </w:p>
    <w:p w14:paraId="7644495A" w14:textId="77777777" w:rsidR="00AB64A5" w:rsidRPr="00942844" w:rsidRDefault="00AB64A5" w:rsidP="00AB64A5">
      <w:pPr>
        <w:spacing w:after="0"/>
        <w:rPr>
          <w:rFonts w:ascii="Verdana" w:hAnsi="Verdana"/>
        </w:rPr>
      </w:pPr>
      <w:r w:rsidRPr="00942844">
        <w:rPr>
          <w:rFonts w:ascii="Verdana" w:hAnsi="Verdana"/>
        </w:rPr>
        <w:tab/>
      </w:r>
    </w:p>
    <w:p w14:paraId="34BF06D8" w14:textId="77777777" w:rsidR="00AB64A5" w:rsidRPr="00942844" w:rsidRDefault="00AB64A5" w:rsidP="00AB64A5">
      <w:pPr>
        <w:spacing w:after="0"/>
        <w:rPr>
          <w:rFonts w:ascii="Verdana" w:hAnsi="Verdana"/>
        </w:rPr>
      </w:pPr>
    </w:p>
    <w:p w14:paraId="1F766B8E" w14:textId="77777777" w:rsidR="00AB64A5" w:rsidRPr="00942844" w:rsidRDefault="00AB64A5" w:rsidP="00AB64A5">
      <w:pPr>
        <w:spacing w:after="0"/>
        <w:rPr>
          <w:rFonts w:ascii="Verdana" w:hAnsi="Verdana"/>
        </w:rPr>
      </w:pPr>
    </w:p>
    <w:bookmarkEnd w:id="0"/>
    <w:p w14:paraId="1D08ED52" w14:textId="77777777" w:rsidR="00AB64A5" w:rsidRPr="00942844" w:rsidRDefault="00AB64A5" w:rsidP="00AB64A5">
      <w:pPr>
        <w:spacing w:after="0"/>
        <w:rPr>
          <w:rFonts w:ascii="Verdana" w:hAnsi="Verdana"/>
        </w:rPr>
      </w:pPr>
    </w:p>
    <w:p w14:paraId="5CDCF197" w14:textId="77777777" w:rsidR="009C4900" w:rsidRPr="00942844" w:rsidRDefault="009C4900">
      <w:pPr>
        <w:rPr>
          <w:rFonts w:ascii="Verdana" w:hAnsi="Verdana"/>
        </w:rPr>
      </w:pPr>
    </w:p>
    <w:sectPr w:rsidR="009C4900" w:rsidRPr="00942844" w:rsidSect="00AB64A5">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5FE2" w14:textId="77777777" w:rsidR="008B4774" w:rsidRDefault="008B4774" w:rsidP="00AB64A5">
      <w:pPr>
        <w:spacing w:after="0" w:line="240" w:lineRule="auto"/>
      </w:pPr>
      <w:r>
        <w:separator/>
      </w:r>
    </w:p>
  </w:endnote>
  <w:endnote w:type="continuationSeparator" w:id="0">
    <w:p w14:paraId="669F6ADD" w14:textId="77777777" w:rsidR="008B4774" w:rsidRDefault="008B4774"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6623" w14:textId="77777777" w:rsidR="008B4774" w:rsidRDefault="008B4774" w:rsidP="00AB64A5">
      <w:pPr>
        <w:spacing w:after="0" w:line="240" w:lineRule="auto"/>
      </w:pPr>
      <w:r>
        <w:separator/>
      </w:r>
    </w:p>
  </w:footnote>
  <w:footnote w:type="continuationSeparator" w:id="0">
    <w:p w14:paraId="00BBC027" w14:textId="77777777" w:rsidR="008B4774" w:rsidRDefault="008B4774" w:rsidP="00AB64A5">
      <w:pPr>
        <w:spacing w:after="0" w:line="240" w:lineRule="auto"/>
      </w:pPr>
      <w:r>
        <w:continuationSeparator/>
      </w:r>
    </w:p>
  </w:footnote>
  <w:footnote w:id="1">
    <w:p w14:paraId="57F9E0F0"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Rad. 25.646. C.P. Mauricio Fajardo Gómez.  </w:t>
      </w:r>
    </w:p>
    <w:p w14:paraId="28374722" w14:textId="77777777" w:rsidR="00FF2F27" w:rsidRPr="00CA3725" w:rsidRDefault="00FF2F27" w:rsidP="00FF2F27">
      <w:pPr>
        <w:pStyle w:val="Textonotapie"/>
        <w:ind w:firstLine="708"/>
        <w:jc w:val="both"/>
        <w:rPr>
          <w:rFonts w:ascii="Arial" w:hAnsi="Arial" w:cs="Arial"/>
          <w:sz w:val="19"/>
          <w:szCs w:val="19"/>
        </w:rPr>
      </w:pPr>
    </w:p>
  </w:footnote>
  <w:footnote w:id="2">
    <w:p w14:paraId="6BB0A510" w14:textId="77777777" w:rsidR="00FF2F27" w:rsidRPr="00CA3725" w:rsidRDefault="00FF2F27" w:rsidP="00FF2F27">
      <w:pPr>
        <w:pStyle w:val="Textonotapie"/>
        <w:ind w:firstLine="708"/>
        <w:jc w:val="both"/>
        <w:rPr>
          <w:rFonts w:ascii="Arial" w:hAnsi="Arial" w:cs="Arial"/>
          <w:sz w:val="19"/>
          <w:szCs w:val="19"/>
        </w:rPr>
      </w:pPr>
      <w:r w:rsidRPr="00CA3725">
        <w:rPr>
          <w:rFonts w:ascii="Arial" w:hAnsi="Arial" w:cs="Arial"/>
          <w:sz w:val="19"/>
          <w:szCs w:val="19"/>
          <w:vertAlign w:val="superscript"/>
        </w:rPr>
        <w:footnoteRef/>
      </w:r>
      <w:r w:rsidRPr="00CA3725">
        <w:rPr>
          <w:rFonts w:ascii="Arial" w:hAnsi="Arial" w:cs="Arial"/>
          <w:sz w:val="19"/>
          <w:szCs w:val="19"/>
        </w:rPr>
        <w:t xml:space="preserve"> CORTE CONSTITUCIONAL. Sentencia C-415 de 1994. M.P. Eduardo Cifuentes Muñoz. </w:t>
      </w:r>
    </w:p>
    <w:p w14:paraId="72B93C1D" w14:textId="77777777" w:rsidR="00FF2F27" w:rsidRPr="00CA3725" w:rsidRDefault="00FF2F27" w:rsidP="00FF2F27">
      <w:pPr>
        <w:pStyle w:val="Textonotapie"/>
        <w:ind w:firstLine="708"/>
        <w:jc w:val="both"/>
        <w:rPr>
          <w:rFonts w:ascii="Arial" w:hAnsi="Arial" w:cs="Arial"/>
          <w:sz w:val="19"/>
          <w:szCs w:val="19"/>
        </w:rPr>
      </w:pPr>
    </w:p>
  </w:footnote>
  <w:footnote w:id="3">
    <w:p w14:paraId="281175C2"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CORTE CONSTITUCIONAL. Sentencia C-780 de 2001. M.P. Jaime Córdoba Triviño. </w:t>
      </w:r>
    </w:p>
    <w:p w14:paraId="40DF5963" w14:textId="77777777" w:rsidR="00FF2F27" w:rsidRPr="00CA3725" w:rsidRDefault="00FF2F27" w:rsidP="00FF2F27">
      <w:pPr>
        <w:pStyle w:val="Textonotapie"/>
        <w:ind w:firstLine="708"/>
        <w:jc w:val="both"/>
        <w:rPr>
          <w:rFonts w:ascii="Arial" w:hAnsi="Arial" w:cs="Arial"/>
          <w:sz w:val="19"/>
          <w:szCs w:val="19"/>
        </w:rPr>
      </w:pPr>
    </w:p>
  </w:footnote>
  <w:footnote w:id="4">
    <w:p w14:paraId="5374F07F" w14:textId="77777777" w:rsidR="00FF2F27" w:rsidRPr="00CA3725" w:rsidRDefault="00FF2F27" w:rsidP="00FF2F27">
      <w:pPr>
        <w:pStyle w:val="NormalWeb"/>
        <w:spacing w:before="0" w:beforeAutospacing="0" w:after="0" w:afterAutospacing="0"/>
        <w:ind w:firstLine="708"/>
        <w:jc w:val="both"/>
        <w:rPr>
          <w:rFonts w:ascii="Arial" w:eastAsiaTheme="minorHAnsi" w:hAnsi="Arial" w:cs="Arial"/>
          <w:sz w:val="19"/>
          <w:szCs w:val="19"/>
          <w:lang w:val="es-ES" w:eastAsia="en-U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483B278E" w14:textId="4372324B"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a) Las personas que se hallen inhabilitadas para contratar por la Constitución y las leyes. </w:t>
      </w:r>
    </w:p>
    <w:p w14:paraId="20695040" w14:textId="700BE81B"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b) Quienes participaron en las licitaciones o concursos o celebraron los contratos de que trata el literal anterior estando inhabilitados. </w:t>
      </w:r>
    </w:p>
    <w:p w14:paraId="03385CAE" w14:textId="419FFF7C"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c) Quienes dieron lugar a la declaratoria de caducidad. </w:t>
      </w:r>
    </w:p>
    <w:p w14:paraId="24481FE2" w14:textId="359343BA"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d) Quienes en sentencia judicial hayan sido condenados a la pena accesoria de interdicción de derechos y funciones públicas y quienes hayan sido sancionados disciplinariamente con destitución. </w:t>
      </w:r>
    </w:p>
    <w:p w14:paraId="7DFBDC12" w14:textId="2C0BDC5D"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e) Quienes sin justa causa se abstengan de suscribir el contrato estatal adjudicado. </w:t>
      </w:r>
    </w:p>
    <w:p w14:paraId="42368D82" w14:textId="31B4B0F1"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f) Los servidores públicos. </w:t>
      </w:r>
    </w:p>
    <w:p w14:paraId="41DF8E84" w14:textId="7A411841"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386B3313" w14:textId="07F630A7" w:rsidR="00FF2F27" w:rsidRPr="00CA3725" w:rsidRDefault="00BE2206" w:rsidP="00FF2F27">
      <w:pPr>
        <w:pStyle w:val="NormalWeb"/>
        <w:spacing w:before="0" w:beforeAutospacing="0" w:after="0" w:afterAutospacing="0"/>
        <w:ind w:firstLine="708"/>
        <w:jc w:val="both"/>
        <w:rPr>
          <w:rFonts w:ascii="Arial" w:eastAsiaTheme="minorHAnsi" w:hAnsi="Arial" w:cs="Arial"/>
          <w:sz w:val="19"/>
          <w:szCs w:val="19"/>
          <w:lang w:val="es-ES" w:eastAsia="en-US"/>
        </w:rPr>
      </w:pPr>
      <w:r>
        <w:rPr>
          <w:rFonts w:ascii="Arial" w:eastAsiaTheme="minorHAnsi" w:hAnsi="Arial" w:cs="Arial"/>
          <w:sz w:val="19"/>
          <w:szCs w:val="19"/>
          <w:lang w:val="es-ES" w:eastAsia="en-US"/>
        </w:rPr>
        <w:t>“</w:t>
      </w:r>
      <w:r w:rsidR="00FF2F27" w:rsidRPr="00CA3725">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03932092" w14:textId="5B0A0B5F"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i) Los socios de sociedades de personas a las cuales se haya declarado la caducidad, así como las sociedades de personas de las que aquellos formen parte con posterioridad a dicha declaratoria. </w:t>
      </w:r>
    </w:p>
    <w:p w14:paraId="3E552B26" w14:textId="4CFF9398"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4652DCA" w14:textId="2025B291"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89A882F" w14:textId="369B05A8"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CA3725">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CA3725">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CA3725">
        <w:rPr>
          <w:rFonts w:ascii="Arial" w:eastAsiaTheme="minorHAnsi" w:hAnsi="Arial" w:cs="Arial"/>
          <w:sz w:val="19"/>
          <w:szCs w:val="19"/>
          <w:lang w:val="es-ES" w:eastAsia="en-US"/>
        </w:rPr>
        <w:softHyphen/>
        <w:t>nería jurídica en los términos de ley, o cuyos representantes legales, ad</w:t>
      </w:r>
      <w:r w:rsidRPr="00CA3725">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CA3725">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7B6738D4" w14:textId="77777777"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w:t>
      </w:r>
    </w:p>
    <w:p w14:paraId="41FC2157" w14:textId="77BB1F02" w:rsidR="00FF2F27" w:rsidRPr="00CA3725" w:rsidRDefault="00BE2206" w:rsidP="00FF2F27">
      <w:pPr>
        <w:pStyle w:val="NormalWeb"/>
        <w:spacing w:before="0" w:beforeAutospacing="0" w:after="0" w:afterAutospacing="0"/>
        <w:ind w:firstLine="708"/>
        <w:jc w:val="both"/>
        <w:rPr>
          <w:rFonts w:ascii="Arial" w:eastAsiaTheme="minorHAnsi" w:hAnsi="Arial" w:cs="Arial"/>
          <w:sz w:val="19"/>
          <w:szCs w:val="19"/>
          <w:lang w:val="es-ES" w:eastAsia="en-US"/>
        </w:rPr>
      </w:pPr>
      <w:r>
        <w:rPr>
          <w:rFonts w:ascii="Arial" w:eastAsiaTheme="minorHAnsi" w:hAnsi="Arial" w:cs="Arial"/>
          <w:sz w:val="19"/>
          <w:szCs w:val="19"/>
          <w:lang w:val="es-ES" w:eastAsia="en-US"/>
        </w:rPr>
        <w:t>“</w:t>
      </w:r>
      <w:r w:rsidR="00FF2F27" w:rsidRPr="00CA3725">
        <w:rPr>
          <w:rFonts w:ascii="Arial" w:eastAsiaTheme="minorHAnsi" w:hAnsi="Arial" w:cs="Arial"/>
          <w:sz w:val="19"/>
          <w:szCs w:val="19"/>
          <w:lang w:val="es-ES" w:eastAsia="en-US"/>
        </w:rPr>
        <w:t>2o. Tampoco podrán participar en licitaciones o concursos ni celebrar contratos estatales con la entidad respectiva: </w:t>
      </w:r>
    </w:p>
    <w:p w14:paraId="0097D80F" w14:textId="1598BC97"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C485592" w14:textId="0E711577"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5E079CA1" w14:textId="60668C94"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6510A294" w14:textId="2C9E143F"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A39FCA7" w14:textId="6D3F1B25" w:rsidR="00FF2F27" w:rsidRPr="00CA3725" w:rsidRDefault="00FF2F27" w:rsidP="00FF2F27">
      <w:pPr>
        <w:pStyle w:val="NormalWeb"/>
        <w:spacing w:before="0" w:beforeAutospacing="0" w:after="0" w:afterAutospacing="0"/>
        <w:jc w:val="both"/>
        <w:rPr>
          <w:rFonts w:ascii="Arial" w:eastAsiaTheme="minorHAnsi" w:hAnsi="Arial" w:cs="Arial"/>
          <w:sz w:val="19"/>
          <w:szCs w:val="19"/>
          <w:lang w:val="es-ES" w:eastAsia="en-US"/>
        </w:rPr>
      </w:pPr>
      <w:r w:rsidRPr="00CA3725">
        <w:rPr>
          <w:rFonts w:ascii="Arial" w:eastAsiaTheme="minorHAnsi" w:hAnsi="Arial" w:cs="Arial"/>
          <w:sz w:val="19"/>
          <w:szCs w:val="19"/>
          <w:lang w:val="es-ES" w:eastAsia="en-US"/>
        </w:rPr>
        <w:t>  </w:t>
      </w:r>
      <w:r w:rsidRPr="00CA3725">
        <w:rPr>
          <w:rFonts w:ascii="Arial" w:eastAsiaTheme="minorHAnsi" w:hAnsi="Arial" w:cs="Arial"/>
          <w:sz w:val="19"/>
          <w:szCs w:val="19"/>
          <w:lang w:val="es-ES" w:eastAsia="en-US"/>
        </w:rPr>
        <w:tab/>
      </w:r>
      <w:r w:rsidR="00BE2206">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2D9E7A4C" w14:textId="6BED79C7" w:rsidR="00FF2F27" w:rsidRPr="00CA3725" w:rsidRDefault="00BE2206" w:rsidP="00FF2F27">
      <w:pPr>
        <w:pStyle w:val="NormalWeb"/>
        <w:spacing w:before="0" w:beforeAutospacing="0" w:after="0" w:afterAutospacing="0"/>
        <w:ind w:firstLine="708"/>
        <w:jc w:val="both"/>
        <w:rPr>
          <w:rFonts w:ascii="Arial" w:eastAsiaTheme="minorHAnsi" w:hAnsi="Arial" w:cs="Arial"/>
          <w:sz w:val="19"/>
          <w:szCs w:val="19"/>
          <w:lang w:val="es-ES" w:eastAsia="en-US"/>
        </w:rPr>
      </w:pPr>
      <w:r>
        <w:rPr>
          <w:rFonts w:ascii="Arial" w:eastAsiaTheme="minorHAnsi" w:hAnsi="Arial" w:cs="Arial"/>
          <w:sz w:val="19"/>
          <w:szCs w:val="19"/>
          <w:lang w:val="es-ES" w:eastAsia="en-US"/>
        </w:rPr>
        <w:t>“</w:t>
      </w:r>
      <w:r w:rsidR="00FF2F27" w:rsidRPr="00CA3725">
        <w:rPr>
          <w:rFonts w:ascii="Arial" w:eastAsiaTheme="minorHAnsi" w:hAnsi="Arial" w:cs="Arial"/>
          <w:sz w:val="19"/>
          <w:szCs w:val="19"/>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r>
        <w:rPr>
          <w:rFonts w:ascii="Arial" w:eastAsiaTheme="minorHAnsi" w:hAnsi="Arial" w:cs="Arial"/>
          <w:sz w:val="19"/>
          <w:szCs w:val="19"/>
          <w:lang w:val="es-ES" w:eastAsia="en-US"/>
        </w:rPr>
        <w:t>”</w:t>
      </w:r>
      <w:r w:rsidR="00FF2F27" w:rsidRPr="00CA3725">
        <w:rPr>
          <w:rFonts w:ascii="Arial" w:eastAsiaTheme="minorHAnsi" w:hAnsi="Arial" w:cs="Arial"/>
          <w:sz w:val="19"/>
          <w:szCs w:val="19"/>
          <w:lang w:val="es-ES" w:eastAsia="en-US"/>
        </w:rPr>
        <w:t xml:space="preserve">. (…). </w:t>
      </w:r>
    </w:p>
    <w:p w14:paraId="33C6711A" w14:textId="77777777" w:rsidR="00FF2F27" w:rsidRPr="00CA3725" w:rsidRDefault="00FF2F27" w:rsidP="00FF2F27">
      <w:pPr>
        <w:pStyle w:val="NormalWeb"/>
        <w:spacing w:before="0" w:beforeAutospacing="0" w:after="0" w:afterAutospacing="0"/>
        <w:jc w:val="both"/>
        <w:rPr>
          <w:rFonts w:ascii="Arial" w:hAnsi="Arial" w:cs="Arial"/>
          <w:sz w:val="19"/>
          <w:szCs w:val="19"/>
        </w:rPr>
      </w:pPr>
      <w:r w:rsidRPr="00CA3725">
        <w:rPr>
          <w:rFonts w:ascii="Arial" w:eastAsiaTheme="minorHAnsi" w:hAnsi="Arial" w:cs="Arial"/>
          <w:sz w:val="19"/>
          <w:szCs w:val="19"/>
          <w:lang w:val="es-ES" w:eastAsia="en-US"/>
        </w:rPr>
        <w:t>  </w:t>
      </w:r>
    </w:p>
  </w:footnote>
  <w:footnote w:id="5">
    <w:p w14:paraId="5EEDD4D3" w14:textId="77777777" w:rsidR="00FF2F27" w:rsidRPr="00CA3725" w:rsidRDefault="00FF2F27" w:rsidP="00FF2F27">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650A8F72" w14:textId="3A1FEDAB" w:rsidR="00FF2F27" w:rsidRPr="00CA3725" w:rsidRDefault="00BE2206" w:rsidP="00FF2F27">
      <w:pPr>
        <w:pStyle w:val="Textonotapie"/>
        <w:ind w:firstLine="709"/>
        <w:jc w:val="both"/>
        <w:rPr>
          <w:rFonts w:ascii="Arial" w:hAnsi="Arial" w:cs="Arial"/>
          <w:sz w:val="19"/>
          <w:szCs w:val="19"/>
        </w:rPr>
      </w:pPr>
      <w:r>
        <w:rPr>
          <w:rFonts w:ascii="Arial" w:hAnsi="Arial" w:cs="Arial"/>
          <w:sz w:val="19"/>
          <w:szCs w:val="19"/>
        </w:rPr>
        <w:t>“</w:t>
      </w:r>
      <w:r w:rsidR="00FF2F27" w:rsidRPr="00CA3725">
        <w:rPr>
          <w:rFonts w:ascii="Arial" w:hAnsi="Arial" w:cs="Arial"/>
          <w:sz w:val="19"/>
          <w:szCs w:val="19"/>
        </w:rPr>
        <w:t>Las personas jurídicas nacionales y extranjeras deberán acreditar que su duración no será inferior a la del plazo del contrato y un año más</w:t>
      </w:r>
      <w:r>
        <w:rPr>
          <w:rFonts w:ascii="Arial" w:hAnsi="Arial" w:cs="Arial"/>
          <w:sz w:val="19"/>
          <w:szCs w:val="19"/>
        </w:rPr>
        <w:t>”</w:t>
      </w:r>
      <w:r w:rsidR="00FF2F27" w:rsidRPr="00CA3725">
        <w:rPr>
          <w:rFonts w:ascii="Arial" w:hAnsi="Arial" w:cs="Arial"/>
          <w:sz w:val="19"/>
          <w:szCs w:val="19"/>
        </w:rPr>
        <w:t>.</w:t>
      </w:r>
    </w:p>
    <w:p w14:paraId="612DFEB9" w14:textId="77777777" w:rsidR="00FF2F27" w:rsidRPr="00CA3725" w:rsidRDefault="00FF2F27" w:rsidP="00FF2F27">
      <w:pPr>
        <w:pStyle w:val="Textonotapie"/>
        <w:ind w:firstLine="709"/>
        <w:jc w:val="both"/>
        <w:rPr>
          <w:rFonts w:ascii="Arial" w:hAnsi="Arial" w:cs="Arial"/>
          <w:sz w:val="19"/>
          <w:szCs w:val="19"/>
        </w:rPr>
      </w:pPr>
    </w:p>
  </w:footnote>
  <w:footnote w:id="6">
    <w:p w14:paraId="3C91F824" w14:textId="77777777" w:rsidR="00FF2F27" w:rsidRPr="00CA3725" w:rsidRDefault="00FF2F27" w:rsidP="00FF2F27">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Código Civil: «Artículo 1502. Requisitos para obligarse. Para que una persona se obligue a otra por un acto o declaración de voluntad, es necesario:</w:t>
      </w:r>
    </w:p>
    <w:p w14:paraId="46E95D5C" w14:textId="4B4E3998" w:rsidR="00FF2F27" w:rsidRPr="00CA3725" w:rsidRDefault="00BE2206" w:rsidP="00FF2F27">
      <w:pPr>
        <w:pStyle w:val="Textonotapie"/>
        <w:ind w:firstLine="709"/>
        <w:jc w:val="both"/>
        <w:rPr>
          <w:rFonts w:ascii="Arial" w:hAnsi="Arial" w:cs="Arial"/>
          <w:sz w:val="19"/>
          <w:szCs w:val="19"/>
        </w:rPr>
      </w:pPr>
      <w:r>
        <w:rPr>
          <w:rFonts w:ascii="Arial" w:hAnsi="Arial" w:cs="Arial"/>
          <w:sz w:val="19"/>
          <w:szCs w:val="19"/>
        </w:rPr>
        <w:t>“</w:t>
      </w:r>
      <w:r w:rsidR="00FF2F27" w:rsidRPr="00CA3725">
        <w:rPr>
          <w:rFonts w:ascii="Arial" w:hAnsi="Arial" w:cs="Arial"/>
          <w:sz w:val="19"/>
          <w:szCs w:val="19"/>
        </w:rPr>
        <w:t>1o.) que sea legalmente capaz.</w:t>
      </w:r>
    </w:p>
    <w:p w14:paraId="01AF7BED" w14:textId="77777777" w:rsidR="00FF2F27" w:rsidRPr="00CA3725" w:rsidRDefault="00FF2F27" w:rsidP="00FF2F27">
      <w:pPr>
        <w:pStyle w:val="Textonotapie"/>
        <w:ind w:firstLine="709"/>
        <w:jc w:val="both"/>
        <w:rPr>
          <w:rFonts w:ascii="Arial" w:hAnsi="Arial" w:cs="Arial"/>
          <w:sz w:val="19"/>
          <w:szCs w:val="19"/>
        </w:rPr>
      </w:pPr>
      <w:r w:rsidRPr="00CA3725">
        <w:rPr>
          <w:rFonts w:ascii="Arial" w:hAnsi="Arial" w:cs="Arial"/>
          <w:sz w:val="19"/>
          <w:szCs w:val="19"/>
        </w:rPr>
        <w:t>[…]</w:t>
      </w:r>
    </w:p>
    <w:p w14:paraId="4431DCFC" w14:textId="60A01510" w:rsidR="00FF2F27" w:rsidRPr="00CA3725" w:rsidRDefault="00BE2206" w:rsidP="00FF2F27">
      <w:pPr>
        <w:pStyle w:val="Textonotapie"/>
        <w:ind w:firstLine="709"/>
        <w:jc w:val="both"/>
        <w:rPr>
          <w:rFonts w:ascii="Arial" w:hAnsi="Arial" w:cs="Arial"/>
          <w:sz w:val="19"/>
          <w:szCs w:val="19"/>
        </w:rPr>
      </w:pPr>
      <w:r>
        <w:rPr>
          <w:rFonts w:ascii="Arial" w:hAnsi="Arial" w:cs="Arial"/>
          <w:sz w:val="19"/>
          <w:szCs w:val="19"/>
        </w:rPr>
        <w:t>“</w:t>
      </w:r>
      <w:r w:rsidR="00FF2F27" w:rsidRPr="00CA3725">
        <w:rPr>
          <w:rFonts w:ascii="Arial" w:hAnsi="Arial" w:cs="Arial"/>
          <w:sz w:val="19"/>
          <w:szCs w:val="19"/>
        </w:rPr>
        <w:t>La capacidad legal de una persona consiste en poderse obligar por sí misma, sin el ministerio o la autorización de otra</w:t>
      </w:r>
      <w:r>
        <w:rPr>
          <w:rFonts w:ascii="Arial" w:hAnsi="Arial" w:cs="Arial"/>
          <w:sz w:val="19"/>
          <w:szCs w:val="19"/>
        </w:rPr>
        <w:t>”</w:t>
      </w:r>
      <w:r w:rsidR="00FF2F27" w:rsidRPr="00CA3725">
        <w:rPr>
          <w:rFonts w:ascii="Arial" w:hAnsi="Arial" w:cs="Arial"/>
          <w:sz w:val="19"/>
          <w:szCs w:val="19"/>
        </w:rPr>
        <w:t>.</w:t>
      </w:r>
    </w:p>
    <w:p w14:paraId="47F777A1" w14:textId="77777777" w:rsidR="00FF2F27" w:rsidRPr="00CA3725" w:rsidRDefault="00FF2F27" w:rsidP="00FF2F27">
      <w:pPr>
        <w:pStyle w:val="Textonotapie"/>
        <w:ind w:firstLine="709"/>
        <w:jc w:val="both"/>
        <w:rPr>
          <w:rFonts w:ascii="Arial" w:hAnsi="Arial" w:cs="Arial"/>
          <w:sz w:val="19"/>
          <w:szCs w:val="19"/>
        </w:rPr>
      </w:pPr>
    </w:p>
  </w:footnote>
  <w:footnote w:id="7">
    <w:p w14:paraId="7131F943" w14:textId="77777777" w:rsidR="00FF2F27" w:rsidRPr="00CA3725" w:rsidRDefault="00FF2F27" w:rsidP="00FF2F27">
      <w:pPr>
        <w:pStyle w:val="Textonotapie"/>
        <w:ind w:firstLine="709"/>
        <w:jc w:val="both"/>
        <w:rPr>
          <w:rFonts w:ascii="Arial" w:hAnsi="Arial" w:cs="Arial"/>
          <w:sz w:val="19"/>
          <w:szCs w:val="19"/>
        </w:rPr>
      </w:pPr>
    </w:p>
  </w:footnote>
  <w:footnote w:id="8">
    <w:p w14:paraId="253478E0" w14:textId="67634A12" w:rsidR="00FF2F27" w:rsidRPr="00CA3725"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w:t>
      </w:r>
      <w:r w:rsidR="00BE2206">
        <w:rPr>
          <w:rFonts w:ascii="Arial" w:hAnsi="Arial" w:cs="Arial"/>
          <w:sz w:val="19"/>
          <w:szCs w:val="19"/>
          <w:lang w:val="es-ES"/>
        </w:rPr>
        <w:t>“</w:t>
      </w:r>
      <w:r w:rsidRPr="00CA3725">
        <w:rPr>
          <w:rFonts w:ascii="Arial" w:hAnsi="Arial" w:cs="Arial"/>
          <w:sz w:val="19"/>
          <w:szCs w:val="19"/>
          <w:lang w:val="es-ES"/>
        </w:rPr>
        <w:t xml:space="preserve">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w:t>
      </w:r>
      <w:r w:rsidR="00BE2206">
        <w:rPr>
          <w:rFonts w:ascii="Arial" w:hAnsi="Arial" w:cs="Arial"/>
          <w:sz w:val="19"/>
          <w:szCs w:val="19"/>
          <w:lang w:val="es-ES"/>
        </w:rPr>
        <w:t>”</w:t>
      </w:r>
      <w:r w:rsidRPr="00CA3725">
        <w:rPr>
          <w:rFonts w:ascii="Arial" w:hAnsi="Arial" w:cs="Arial"/>
          <w:sz w:val="19"/>
          <w:szCs w:val="19"/>
          <w:lang w:val="es-ES"/>
        </w:rPr>
        <w:t xml:space="preserve"> (BENAVIDES, José Luis. El contrato estatal. Entre el Derecho público y el Derecho privado. 2ª ed. Bogotá: Universidad Externado de Colombia, 2004. p. 278). </w:t>
      </w:r>
    </w:p>
    <w:p w14:paraId="690DF4D3" w14:textId="77777777" w:rsidR="00FF2F27" w:rsidRPr="00CA3725" w:rsidRDefault="00FF2F27" w:rsidP="00FF2F27">
      <w:pPr>
        <w:pStyle w:val="Textonotapie"/>
        <w:ind w:firstLine="709"/>
        <w:jc w:val="both"/>
        <w:rPr>
          <w:rFonts w:ascii="Arial" w:hAnsi="Arial" w:cs="Arial"/>
          <w:sz w:val="19"/>
          <w:szCs w:val="19"/>
          <w:lang w:val="es-ES"/>
        </w:rPr>
      </w:pPr>
    </w:p>
  </w:footnote>
  <w:footnote w:id="9">
    <w:p w14:paraId="6E6E430C" w14:textId="77777777" w:rsidR="00FF2F27" w:rsidRPr="00CA3725" w:rsidRDefault="00FF2F27" w:rsidP="00FF2F27">
      <w:pPr>
        <w:ind w:firstLine="709"/>
        <w:jc w:val="both"/>
        <w:rPr>
          <w:rFonts w:ascii="Arial" w:hAnsi="Arial" w:cs="Arial"/>
          <w:sz w:val="19"/>
          <w:szCs w:val="19"/>
          <w:lang w:val="es-ES"/>
        </w:rPr>
      </w:pPr>
    </w:p>
  </w:footnote>
  <w:footnote w:id="10">
    <w:p w14:paraId="170F1CBF" w14:textId="0093E8F8" w:rsidR="00FF2F27" w:rsidRPr="00CA3725"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Por ejemplo, a título enunciativo, las siguientes: </w:t>
      </w:r>
      <w:r w:rsidR="00BE2206">
        <w:rPr>
          <w:rFonts w:ascii="Arial" w:hAnsi="Arial" w:cs="Arial"/>
          <w:sz w:val="19"/>
          <w:szCs w:val="19"/>
          <w:lang w:val="es-ES"/>
        </w:rPr>
        <w:t>“</w:t>
      </w:r>
      <w:r w:rsidRPr="00CA3725">
        <w:rPr>
          <w:rFonts w:ascii="Arial" w:hAnsi="Arial" w:cs="Arial"/>
          <w:sz w:val="19"/>
          <w:szCs w:val="19"/>
          <w:lang w:val="es-ES"/>
        </w:rPr>
        <w:t>Quienes sean cónyuges o compañeros permanentes y quienes se encuentren dentro del segundo grado de consanguinidad o segundo de afinidad con cualquier otra persona que formalmente haya presentado propuesta para una misma licitación</w:t>
      </w:r>
      <w:r w:rsidR="00BE2206">
        <w:rPr>
          <w:rFonts w:ascii="Arial" w:hAnsi="Arial" w:cs="Arial"/>
          <w:sz w:val="19"/>
          <w:szCs w:val="19"/>
          <w:lang w:val="es-ES"/>
        </w:rPr>
        <w:t xml:space="preserve">” </w:t>
      </w:r>
      <w:r w:rsidRPr="00CA3725">
        <w:rPr>
          <w:rFonts w:ascii="Arial" w:hAnsi="Arial" w:cs="Arial"/>
          <w:sz w:val="19"/>
          <w:szCs w:val="19"/>
          <w:lang w:val="es-ES"/>
        </w:rPr>
        <w:t xml:space="preserve">(art. 8, num. 1º, lit. g), Ley 80/93); </w:t>
      </w:r>
      <w:r w:rsidR="00BE2206">
        <w:rPr>
          <w:rFonts w:ascii="Arial" w:hAnsi="Arial" w:cs="Arial"/>
          <w:sz w:val="19"/>
          <w:szCs w:val="19"/>
          <w:lang w:val="es-ES"/>
        </w:rPr>
        <w:t>“</w:t>
      </w:r>
      <w:r w:rsidRPr="00CA3725">
        <w:rPr>
          <w:rFonts w:ascii="Arial" w:hAnsi="Arial" w:cs="Arial"/>
          <w:sz w:val="19"/>
          <w:szCs w:val="19"/>
          <w:lang w:val="es-ES"/>
        </w:rPr>
        <w:t>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sidR="00BE2206">
        <w:rPr>
          <w:rFonts w:ascii="Arial" w:hAnsi="Arial" w:cs="Arial"/>
          <w:sz w:val="19"/>
          <w:szCs w:val="19"/>
          <w:lang w:val="es-ES"/>
        </w:rPr>
        <w:t>”</w:t>
      </w:r>
      <w:r w:rsidRPr="00CA3725">
        <w:rPr>
          <w:rFonts w:ascii="Arial" w:hAnsi="Arial" w:cs="Arial"/>
          <w:sz w:val="19"/>
          <w:szCs w:val="19"/>
          <w:lang w:val="es-ES"/>
        </w:rPr>
        <w:t xml:space="preserve"> (art. 8, num. 1º, lit. h), Ley 80/93); </w:t>
      </w:r>
      <w:r w:rsidR="00BE2206">
        <w:rPr>
          <w:rFonts w:ascii="Arial" w:hAnsi="Arial" w:cs="Arial"/>
          <w:sz w:val="19"/>
          <w:szCs w:val="19"/>
          <w:lang w:val="es-ES"/>
        </w:rPr>
        <w:t>“</w:t>
      </w:r>
      <w:r w:rsidRPr="00CA3725">
        <w:rPr>
          <w:rFonts w:ascii="Arial" w:hAnsi="Arial" w:cs="Arial"/>
          <w:sz w:val="19"/>
          <w:szCs w:val="19"/>
          <w:lang w:val="es-ES"/>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sidR="00BE2206">
        <w:rPr>
          <w:rFonts w:ascii="Arial" w:hAnsi="Arial" w:cs="Arial"/>
          <w:sz w:val="19"/>
          <w:szCs w:val="19"/>
          <w:lang w:val="es-ES"/>
        </w:rPr>
        <w:t>”</w:t>
      </w:r>
      <w:r w:rsidRPr="00CA3725">
        <w:rPr>
          <w:rFonts w:ascii="Arial" w:hAnsi="Arial" w:cs="Arial"/>
          <w:sz w:val="19"/>
          <w:szCs w:val="19"/>
          <w:lang w:val="es-ES"/>
        </w:rPr>
        <w:t xml:space="preserve"> (art. 8, num. 2º, lit. b), Ley 80/93);</w:t>
      </w:r>
      <w:r w:rsidR="00BE2206">
        <w:rPr>
          <w:rFonts w:ascii="Arial" w:hAnsi="Arial" w:cs="Arial"/>
          <w:sz w:val="19"/>
          <w:szCs w:val="19"/>
          <w:lang w:val="es-ES"/>
        </w:rPr>
        <w:t>”</w:t>
      </w:r>
      <w:r w:rsidRPr="00CA3725">
        <w:rPr>
          <w:rFonts w:ascii="Arial" w:hAnsi="Arial" w:cs="Arial"/>
          <w:sz w:val="19"/>
          <w:szCs w:val="19"/>
          <w:lang w:val="es-ES"/>
        </w:rPr>
        <w:t xml:space="preserve">El cónyuge, compañero o compañera permanente del servidor público en los niveles directivo, asesor, ejecutivo, o de un miembro de la junta o consejo directivo, o de quien ejerza funciones de control interno o de control fiscal» (art. 8, num. 2º, lit. c), Ley 80/93); </w:t>
      </w:r>
      <w:r w:rsidR="00BE2206">
        <w:rPr>
          <w:rFonts w:ascii="Arial" w:hAnsi="Arial" w:cs="Arial"/>
          <w:sz w:val="19"/>
          <w:szCs w:val="19"/>
          <w:lang w:val="es-ES"/>
        </w:rPr>
        <w:t>“</w:t>
      </w:r>
      <w:r w:rsidRPr="00CA3725">
        <w:rPr>
          <w:rFonts w:ascii="Arial" w:hAnsi="Arial" w:cs="Arial"/>
          <w:sz w:val="19"/>
          <w:szCs w:val="19"/>
          <w:lang w:val="es-ES"/>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39CE88C1" w14:textId="77777777" w:rsidR="00FF2F27" w:rsidRPr="00CA3725" w:rsidRDefault="00FF2F27" w:rsidP="00FF2F27">
      <w:pPr>
        <w:pStyle w:val="Textonotapie"/>
        <w:ind w:firstLine="709"/>
        <w:jc w:val="both"/>
        <w:rPr>
          <w:rFonts w:ascii="Arial" w:hAnsi="Arial" w:cs="Arial"/>
          <w:sz w:val="19"/>
          <w:szCs w:val="19"/>
        </w:rPr>
      </w:pPr>
    </w:p>
  </w:footnote>
  <w:footnote w:id="11">
    <w:p w14:paraId="436124E3" w14:textId="5167DEF5" w:rsidR="00FF2F27" w:rsidRPr="00AD1BAE"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Verbigracia, entre otras, las que se indican a continuación: </w:t>
      </w:r>
      <w:r w:rsidR="00BE2206">
        <w:rPr>
          <w:rFonts w:ascii="Arial" w:hAnsi="Arial" w:cs="Arial"/>
          <w:sz w:val="19"/>
          <w:szCs w:val="19"/>
          <w:lang w:val="es-ES"/>
        </w:rPr>
        <w:t>“</w:t>
      </w:r>
      <w:r w:rsidRPr="00CA3725">
        <w:rPr>
          <w:rFonts w:ascii="Arial" w:hAnsi="Arial" w:cs="Arial"/>
          <w:sz w:val="19"/>
          <w:szCs w:val="19"/>
          <w:lang w:val="es-ES"/>
        </w:rPr>
        <w:t>Las personas naturales o jurídicas que hayan financiado campañas políticas a la Presidencia de la República, a las gobernaciones, a las alcaldías o al Congreso de la República, con aportes superiores al dos por ciento (2.0%) de las sumas máximas a invertir</w:t>
      </w:r>
      <w:r w:rsidRPr="00AD1BAE">
        <w:rPr>
          <w:rFonts w:ascii="Arial" w:hAnsi="Arial" w:cs="Arial"/>
          <w:sz w:val="19"/>
          <w:szCs w:val="19"/>
          <w:lang w:val="es-ES"/>
        </w:rPr>
        <w:t xml:space="preserve"> por los candidatos en las campañas electorales en cada circunscripción electoral, quienes no podrán celebrar contratos con las entidades públicas, incluso descentralizadas, del respectivo nivel administrativo para el cual fue elegido el candidato […]</w:t>
      </w:r>
      <w:r w:rsidR="00BE2206">
        <w:rPr>
          <w:rFonts w:ascii="Arial" w:hAnsi="Arial" w:cs="Arial"/>
          <w:sz w:val="19"/>
          <w:szCs w:val="19"/>
          <w:lang w:val="es-ES"/>
        </w:rPr>
        <w:t xml:space="preserve">” </w:t>
      </w:r>
      <w:r w:rsidRPr="00AD1BAE">
        <w:rPr>
          <w:rFonts w:ascii="Arial" w:hAnsi="Arial" w:cs="Arial"/>
          <w:sz w:val="19"/>
          <w:szCs w:val="19"/>
          <w:lang w:val="es-ES"/>
        </w:rPr>
        <w:t xml:space="preserve">(art. 8, num. 1º, lit. k), Ley 80/93, modificado por el art. 33, Ley 1778/16); </w:t>
      </w:r>
      <w:r w:rsidR="00BE2206">
        <w:rPr>
          <w:rFonts w:ascii="Arial" w:hAnsi="Arial" w:cs="Arial"/>
          <w:sz w:val="19"/>
          <w:szCs w:val="19"/>
          <w:lang w:val="es-ES"/>
        </w:rPr>
        <w:t>“</w:t>
      </w:r>
      <w:r w:rsidRPr="00AD1BAE">
        <w:rPr>
          <w:rFonts w:ascii="Arial" w:hAnsi="Arial" w:cs="Arial"/>
          <w:sz w:val="19"/>
          <w:szCs w:val="19"/>
          <w:lang w:val="es-ES"/>
        </w:rPr>
        <w:t>Quienes fueron miembros de la junta o consejo directivo o servidores públicos de la entidad contratante</w:t>
      </w:r>
      <w:r w:rsidR="00BE2206">
        <w:rPr>
          <w:rFonts w:ascii="Arial" w:hAnsi="Arial" w:cs="Arial"/>
          <w:sz w:val="19"/>
          <w:szCs w:val="19"/>
          <w:lang w:val="es-ES"/>
        </w:rPr>
        <w:t>”</w:t>
      </w:r>
      <w:r w:rsidRPr="00AD1BAE">
        <w:rPr>
          <w:rFonts w:ascii="Arial" w:hAnsi="Arial" w:cs="Arial"/>
          <w:sz w:val="19"/>
          <w:szCs w:val="19"/>
          <w:lang w:val="es-ES"/>
        </w:rPr>
        <w:t xml:space="preserve"> (art. 8, num. 2º, lit. a), Ley 80/93); </w:t>
      </w:r>
      <w:r w:rsidR="00BE2206">
        <w:rPr>
          <w:rFonts w:ascii="Arial" w:hAnsi="Arial" w:cs="Arial"/>
          <w:sz w:val="19"/>
          <w:szCs w:val="19"/>
          <w:lang w:val="es-ES"/>
        </w:rPr>
        <w:t>“</w:t>
      </w:r>
      <w:r w:rsidRPr="00AD1BAE">
        <w:rPr>
          <w:rFonts w:ascii="Arial" w:hAnsi="Arial" w:cs="Arial"/>
          <w:sz w:val="19"/>
          <w:szCs w:val="19"/>
          <w:lang w:val="es-ES"/>
        </w:rPr>
        <w:t xml:space="preserve">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w:t>
      </w:r>
    </w:p>
    <w:p w14:paraId="00D0EAF7" w14:textId="77777777" w:rsidR="00FF2F27" w:rsidRPr="00AD1BAE" w:rsidRDefault="00FF2F27" w:rsidP="00FF2F27">
      <w:pPr>
        <w:pStyle w:val="Textonotapie"/>
        <w:ind w:firstLine="709"/>
        <w:jc w:val="both"/>
        <w:rPr>
          <w:rFonts w:ascii="Arial" w:hAnsi="Arial" w:cs="Arial"/>
          <w:sz w:val="19"/>
          <w:szCs w:val="19"/>
        </w:rPr>
      </w:pPr>
      <w:r w:rsidRPr="00AD1BAE">
        <w:rPr>
          <w:rFonts w:ascii="Arial" w:hAnsi="Arial" w:cs="Arial"/>
          <w:sz w:val="19"/>
          <w:szCs w:val="19"/>
          <w:lang w:val="es-ES"/>
        </w:rPr>
        <w:t xml:space="preserve">  </w:t>
      </w:r>
    </w:p>
  </w:footnote>
  <w:footnote w:id="12">
    <w:p w14:paraId="5403D8D5" w14:textId="103D71C2" w:rsidR="00FF2F27" w:rsidRPr="00AD1BAE" w:rsidRDefault="00FF2F27" w:rsidP="00FF2F27">
      <w:pPr>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 xml:space="preserve">Como las señaladas a continuación: </w:t>
      </w:r>
      <w:r w:rsidR="00BE2206">
        <w:rPr>
          <w:rFonts w:ascii="Arial" w:hAnsi="Arial" w:cs="Arial"/>
          <w:sz w:val="19"/>
          <w:szCs w:val="19"/>
          <w:lang w:val="es-ES"/>
        </w:rPr>
        <w:t>“</w:t>
      </w:r>
      <w:r w:rsidRPr="00AD1BAE">
        <w:rPr>
          <w:rFonts w:ascii="Arial" w:hAnsi="Arial" w:cs="Arial"/>
          <w:sz w:val="19"/>
          <w:szCs w:val="19"/>
          <w:lang w:val="es-ES"/>
        </w:rPr>
        <w:t>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00BE2206">
        <w:rPr>
          <w:rFonts w:ascii="Arial" w:hAnsi="Arial" w:cs="Arial"/>
          <w:sz w:val="19"/>
          <w:szCs w:val="19"/>
          <w:lang w:val="es-ES"/>
        </w:rPr>
        <w:t>”</w:t>
      </w:r>
      <w:r w:rsidRPr="00AD1BAE">
        <w:rPr>
          <w:rFonts w:ascii="Arial" w:hAnsi="Arial" w:cs="Arial"/>
          <w:sz w:val="19"/>
          <w:szCs w:val="19"/>
          <w:lang w:val="es-ES"/>
        </w:rPr>
        <w:t xml:space="preserve">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w:t>
      </w:r>
      <w:r w:rsidR="00BE2206">
        <w:rPr>
          <w:rFonts w:ascii="Arial" w:hAnsi="Arial" w:cs="Arial"/>
          <w:sz w:val="19"/>
          <w:szCs w:val="19"/>
          <w:lang w:val="es-ES"/>
        </w:rPr>
        <w:t>“</w:t>
      </w:r>
      <w:r w:rsidRPr="00AD1BAE">
        <w:rPr>
          <w:rFonts w:ascii="Arial" w:hAnsi="Arial" w:cs="Arial"/>
          <w:sz w:val="19"/>
          <w:szCs w:val="19"/>
          <w:lang w:val="es-ES"/>
        </w:rPr>
        <w:t>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w:t>
      </w:r>
      <w:r w:rsidR="00BE2206">
        <w:rPr>
          <w:rFonts w:ascii="Arial" w:hAnsi="Arial" w:cs="Arial"/>
          <w:sz w:val="19"/>
          <w:szCs w:val="19"/>
          <w:lang w:val="es-ES"/>
        </w:rPr>
        <w:t>”</w:t>
      </w:r>
      <w:r w:rsidRPr="00AD1BAE">
        <w:rPr>
          <w:rFonts w:ascii="Arial" w:hAnsi="Arial" w:cs="Arial"/>
          <w:sz w:val="19"/>
          <w:szCs w:val="19"/>
          <w:lang w:val="es-ES"/>
        </w:rPr>
        <w:t xml:space="preserve"> (art. 5, Ley 1474/11). </w:t>
      </w:r>
    </w:p>
  </w:footnote>
  <w:footnote w:id="13">
    <w:p w14:paraId="32A23EB8" w14:textId="2ED43A59"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w:t>
      </w:r>
      <w:r w:rsidR="00BE2206">
        <w:rPr>
          <w:rFonts w:ascii="Arial" w:hAnsi="Arial" w:cs="Arial"/>
          <w:sz w:val="19"/>
          <w:szCs w:val="19"/>
        </w:rPr>
        <w:t>“</w:t>
      </w:r>
      <w:r w:rsidRPr="00E13471">
        <w:rPr>
          <w:rFonts w:ascii="Arial" w:hAnsi="Arial" w:cs="Arial"/>
          <w:sz w:val="19"/>
          <w:szCs w:val="19"/>
        </w:rPr>
        <w:t>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154CDC6F" w14:textId="77777777" w:rsidR="00FF2F27" w:rsidRPr="00E13471" w:rsidRDefault="00FF2F27" w:rsidP="00FF2F27">
      <w:pPr>
        <w:pStyle w:val="Textonotapie"/>
        <w:ind w:firstLine="708"/>
        <w:jc w:val="both"/>
        <w:rPr>
          <w:rFonts w:ascii="Arial" w:hAnsi="Arial" w:cs="Arial"/>
          <w:sz w:val="19"/>
          <w:szCs w:val="19"/>
          <w:lang w:val="es-CO"/>
        </w:rPr>
      </w:pPr>
    </w:p>
  </w:footnote>
  <w:footnote w:id="14">
    <w:p w14:paraId="40B13BA8"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A4A71BF" w14:textId="77777777" w:rsidR="00FF2F27" w:rsidRPr="00AD1BAE" w:rsidRDefault="00FF2F27" w:rsidP="00FF2F27">
      <w:pPr>
        <w:pStyle w:val="Textonotapie"/>
        <w:ind w:firstLine="709"/>
        <w:jc w:val="both"/>
        <w:rPr>
          <w:rFonts w:ascii="Arial" w:hAnsi="Arial" w:cs="Arial"/>
          <w:sz w:val="19"/>
          <w:szCs w:val="19"/>
          <w:lang w:val="es-ES"/>
        </w:rPr>
      </w:pPr>
    </w:p>
  </w:footnote>
  <w:footnote w:id="15">
    <w:p w14:paraId="44FAA4CC"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p w14:paraId="5E90FBFA" w14:textId="77777777" w:rsidR="00FF2F27" w:rsidRPr="00AD1BAE" w:rsidRDefault="00FF2F27" w:rsidP="00FF2F27">
      <w:pPr>
        <w:pStyle w:val="Textonotapie"/>
        <w:ind w:firstLine="709"/>
        <w:jc w:val="both"/>
        <w:rPr>
          <w:rFonts w:ascii="Arial" w:hAnsi="Arial" w:cs="Arial"/>
          <w:sz w:val="19"/>
          <w:szCs w:val="19"/>
          <w:lang w:val="es-ES"/>
        </w:rPr>
      </w:pPr>
    </w:p>
  </w:footnote>
  <w:footnote w:id="16">
    <w:p w14:paraId="17134122" w14:textId="77777777"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Corte Constitucional. Sentencia C-415 de 1994. M.P. Eduardo Cifuentes Muñoz.</w:t>
      </w:r>
    </w:p>
    <w:p w14:paraId="58B6812E" w14:textId="77777777" w:rsidR="00FF2F27" w:rsidRPr="00E13471" w:rsidRDefault="00FF2F27" w:rsidP="00FF2F27">
      <w:pPr>
        <w:pStyle w:val="Textonotapie"/>
        <w:ind w:firstLine="708"/>
        <w:jc w:val="both"/>
        <w:rPr>
          <w:rFonts w:ascii="Arial" w:hAnsi="Arial" w:cs="Arial"/>
          <w:sz w:val="19"/>
          <w:szCs w:val="19"/>
          <w:lang w:val="es-CO"/>
        </w:rPr>
      </w:pPr>
    </w:p>
  </w:footnote>
  <w:footnote w:id="17">
    <w:p w14:paraId="6C8694A7" w14:textId="2B04FFA4" w:rsidR="00FF2F27" w:rsidRPr="00AD1BAE" w:rsidRDefault="00FF2F27" w:rsidP="00FF2F27">
      <w:pPr>
        <w:pStyle w:val="Textonotapie"/>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w:t>
      </w:r>
      <w:r w:rsidR="00BE2206">
        <w:rPr>
          <w:rFonts w:ascii="Arial" w:hAnsi="Arial" w:cs="Arial"/>
          <w:color w:val="000000" w:themeColor="text1"/>
          <w:sz w:val="19"/>
          <w:szCs w:val="19"/>
        </w:rPr>
        <w:t>“</w:t>
      </w:r>
      <w:r w:rsidRPr="00AD1BAE">
        <w:rPr>
          <w:rFonts w:ascii="Arial" w:hAnsi="Arial" w:cs="Arial"/>
          <w:color w:val="000000" w:themeColor="text1"/>
          <w:sz w:val="19"/>
          <w:szCs w:val="19"/>
        </w:rPr>
        <w:t>[…]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0201CDCC" w14:textId="77777777" w:rsidR="00FF2F27" w:rsidRPr="00AD1BAE" w:rsidRDefault="00FF2F27" w:rsidP="00FF2F27">
      <w:pPr>
        <w:pStyle w:val="Textonotapie"/>
        <w:ind w:firstLine="709"/>
        <w:jc w:val="both"/>
        <w:rPr>
          <w:rFonts w:ascii="Arial" w:hAnsi="Arial" w:cs="Arial"/>
          <w:color w:val="000000" w:themeColor="text1"/>
          <w:sz w:val="19"/>
          <w:szCs w:val="19"/>
        </w:rPr>
      </w:pPr>
    </w:p>
  </w:footnote>
  <w:footnote w:id="18">
    <w:p w14:paraId="1A40B9CB" w14:textId="77777777" w:rsidR="00FF2F27" w:rsidRDefault="00FF2F27" w:rsidP="00FF2F27">
      <w:pPr>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Consulta y Servicio Civil. Concepto del 29 de abril de 1998. Rad. 1097. C.P. Augusto Trejos Jaramillo. </w:t>
      </w:r>
    </w:p>
    <w:p w14:paraId="40245A72" w14:textId="77777777" w:rsidR="00FF2F27" w:rsidRPr="00AD1BAE" w:rsidRDefault="00FF2F27" w:rsidP="00FF2F27">
      <w:pPr>
        <w:ind w:firstLine="709"/>
        <w:jc w:val="both"/>
        <w:rPr>
          <w:rFonts w:ascii="Arial" w:hAnsi="Arial" w:cs="Arial"/>
          <w:color w:val="000000" w:themeColor="text1"/>
          <w:sz w:val="19"/>
          <w:szCs w:val="19"/>
        </w:rPr>
      </w:pPr>
    </w:p>
  </w:footnote>
  <w:footnote w:id="19">
    <w:p w14:paraId="4DAE8CA6" w14:textId="22C6E99B"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w:t>
      </w:r>
      <w:r w:rsidR="00BE2206">
        <w:rPr>
          <w:rFonts w:ascii="Arial" w:hAnsi="Arial" w:cs="Arial"/>
          <w:sz w:val="19"/>
          <w:szCs w:val="19"/>
        </w:rPr>
        <w:t>“</w:t>
      </w:r>
      <w:r w:rsidRPr="00AD1BAE">
        <w:rPr>
          <w:rFonts w:ascii="Arial" w:hAnsi="Arial" w:cs="Arial"/>
          <w:sz w:val="19"/>
          <w:szCs w:val="19"/>
        </w:rPr>
        <w:t>Artículo 33. Palabras relacionadas con las personas. La palabra persona en su sentido general se aplica(rá) a la especie humana, sin distinción de sexo</w:t>
      </w:r>
      <w:r w:rsidR="00BE2206">
        <w:rPr>
          <w:rFonts w:ascii="Arial" w:hAnsi="Arial" w:cs="Arial"/>
          <w:sz w:val="19"/>
          <w:szCs w:val="19"/>
        </w:rPr>
        <w:t>”</w:t>
      </w:r>
      <w:r w:rsidRPr="00AD1BAE">
        <w:rPr>
          <w:rFonts w:ascii="Arial" w:hAnsi="Arial" w:cs="Arial"/>
          <w:sz w:val="19"/>
          <w:szCs w:val="19"/>
        </w:rPr>
        <w:t>.</w:t>
      </w:r>
    </w:p>
    <w:p w14:paraId="3C568FDA" w14:textId="77777777" w:rsidR="00FF2F27" w:rsidRPr="00AD1BAE" w:rsidRDefault="00FF2F27" w:rsidP="00FF2F27">
      <w:pPr>
        <w:pStyle w:val="Textonotapie"/>
        <w:ind w:firstLine="709"/>
        <w:jc w:val="both"/>
        <w:rPr>
          <w:rFonts w:ascii="Arial" w:hAnsi="Arial" w:cs="Arial"/>
          <w:sz w:val="19"/>
          <w:szCs w:val="19"/>
          <w:lang w:val="es-CO"/>
        </w:rPr>
      </w:pPr>
    </w:p>
  </w:footnote>
  <w:footnote w:id="20">
    <w:p w14:paraId="5FD965FA" w14:textId="7DD7E296"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Constitución Política de Colombia: </w:t>
      </w:r>
      <w:r w:rsidR="00BE2206">
        <w:rPr>
          <w:rFonts w:ascii="Arial" w:hAnsi="Arial" w:cs="Arial"/>
          <w:sz w:val="19"/>
          <w:szCs w:val="19"/>
        </w:rPr>
        <w:t>“</w:t>
      </w:r>
      <w:r w:rsidRPr="00AD1BAE">
        <w:rPr>
          <w:rFonts w:ascii="Arial" w:hAnsi="Arial" w:cs="Arial"/>
          <w:sz w:val="19"/>
          <w:szCs w:val="19"/>
        </w:rPr>
        <w:t>Artículo 42. La familia es el núcleo fundamental de la sociedad. Se constituye por vínculos naturales o jurídicos, por la decisión libre de un hombre y una mujer de contraer matrimonio o por la voluntad responsable de conformarla</w:t>
      </w:r>
      <w:r w:rsidR="00BE2206">
        <w:rPr>
          <w:rFonts w:ascii="Arial" w:hAnsi="Arial" w:cs="Arial"/>
          <w:sz w:val="19"/>
          <w:szCs w:val="19"/>
        </w:rPr>
        <w:t>”</w:t>
      </w:r>
      <w:r w:rsidRPr="00AD1BAE">
        <w:rPr>
          <w:rFonts w:ascii="Arial" w:hAnsi="Arial" w:cs="Arial"/>
          <w:sz w:val="19"/>
          <w:szCs w:val="19"/>
        </w:rPr>
        <w:t>.</w:t>
      </w:r>
    </w:p>
    <w:p w14:paraId="322A021C" w14:textId="77777777" w:rsidR="00FF2F27" w:rsidRPr="00AD1BAE" w:rsidRDefault="00FF2F27" w:rsidP="00FF2F27">
      <w:pPr>
        <w:pStyle w:val="Textonotapie"/>
        <w:ind w:firstLine="709"/>
        <w:jc w:val="both"/>
        <w:rPr>
          <w:rFonts w:ascii="Arial" w:hAnsi="Arial" w:cs="Arial"/>
          <w:sz w:val="19"/>
          <w:szCs w:val="19"/>
          <w:lang w:val="es-CO"/>
        </w:rPr>
      </w:pPr>
    </w:p>
  </w:footnote>
  <w:footnote w:id="21">
    <w:p w14:paraId="06FF331E" w14:textId="30568717" w:rsidR="00FF2F27" w:rsidRDefault="00FF2F27" w:rsidP="00FF2F27">
      <w:pPr>
        <w:pStyle w:val="NormalWeb"/>
        <w:spacing w:before="0" w:beforeAutospacing="0" w:after="0" w:afterAutospacing="0"/>
        <w:ind w:firstLine="708"/>
        <w:jc w:val="both"/>
        <w:rPr>
          <w:rFonts w:ascii="Arial" w:hAnsi="Arial" w:cs="Arial"/>
          <w:color w:val="000000"/>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En el marco del procedimiento administrativo general, previsto en los artículos 34 y ss. del Código de Procedimiento Administrativo y de lo Contencioso Administrativo, el artículo 40 de dicha norma señala que: </w:t>
      </w:r>
      <w:r w:rsidR="00BE2206">
        <w:rPr>
          <w:rFonts w:ascii="Arial" w:hAnsi="Arial" w:cs="Arial"/>
          <w:sz w:val="19"/>
          <w:szCs w:val="19"/>
        </w:rPr>
        <w:t>“</w:t>
      </w:r>
      <w:r w:rsidRPr="00AD1BAE">
        <w:rPr>
          <w:rFonts w:ascii="Arial" w:hAnsi="Arial" w:cs="Arial"/>
          <w:color w:val="000000"/>
          <w:sz w:val="19"/>
          <w:szCs w:val="19"/>
        </w:rPr>
        <w:t>Serán admisibles todos los medios de prueba señalados en el Código de Procedimiento Civil</w:t>
      </w:r>
      <w:r w:rsidR="00BE2206">
        <w:rPr>
          <w:rFonts w:ascii="Arial" w:hAnsi="Arial" w:cs="Arial"/>
          <w:sz w:val="19"/>
          <w:szCs w:val="19"/>
        </w:rPr>
        <w:t>”</w:t>
      </w:r>
      <w:r w:rsidRPr="00AD1BAE">
        <w:rPr>
          <w:rFonts w:ascii="Arial" w:hAnsi="Arial" w:cs="Arial"/>
          <w:color w:val="000000"/>
          <w:sz w:val="19"/>
          <w:szCs w:val="19"/>
        </w:rPr>
        <w:t xml:space="preserve">. Al respecto, la Ley 1564 de 2012, que subrogó el Código de Procedimiento Civil adoptando el Código General del Proceso, señala en su artículo 165 que: </w:t>
      </w:r>
      <w:r w:rsidR="00BE2206">
        <w:rPr>
          <w:rFonts w:ascii="Arial" w:hAnsi="Arial" w:cs="Arial"/>
          <w:sz w:val="19"/>
          <w:szCs w:val="19"/>
        </w:rPr>
        <w:t>“</w:t>
      </w:r>
      <w:r w:rsidRPr="00AD1BAE">
        <w:rPr>
          <w:rFonts w:ascii="Arial" w:hAnsi="Arial" w:cs="Arial"/>
          <w:color w:val="000000"/>
          <w:sz w:val="19"/>
          <w:szCs w:val="19"/>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00BE2206">
        <w:rPr>
          <w:rFonts w:ascii="Arial" w:hAnsi="Arial" w:cs="Arial"/>
          <w:sz w:val="19"/>
          <w:szCs w:val="19"/>
        </w:rPr>
        <w:t>”</w:t>
      </w:r>
      <w:r w:rsidRPr="00AD1BAE">
        <w:rPr>
          <w:rFonts w:ascii="Arial" w:hAnsi="Arial" w:cs="Arial"/>
          <w:color w:val="000000"/>
          <w:sz w:val="19"/>
          <w:szCs w:val="19"/>
        </w:rPr>
        <w:t>.</w:t>
      </w:r>
      <w:r>
        <w:rPr>
          <w:rFonts w:ascii="Arial" w:hAnsi="Arial" w:cs="Arial"/>
          <w:color w:val="000000"/>
          <w:sz w:val="19"/>
          <w:szCs w:val="19"/>
        </w:rPr>
        <w:t xml:space="preserve"> </w:t>
      </w:r>
    </w:p>
    <w:p w14:paraId="0758CD16" w14:textId="448C03DD" w:rsidR="00FF2F27" w:rsidRPr="00B27C64" w:rsidRDefault="00FF2F27" w:rsidP="00FF2F27">
      <w:pPr>
        <w:pStyle w:val="NormalWeb"/>
        <w:spacing w:before="0" w:beforeAutospacing="0" w:after="0" w:afterAutospacing="0"/>
        <w:ind w:firstLine="708"/>
        <w:jc w:val="both"/>
        <w:rPr>
          <w:rFonts w:ascii="Arial" w:hAnsi="Arial" w:cs="Arial"/>
          <w:sz w:val="19"/>
          <w:szCs w:val="19"/>
        </w:rPr>
      </w:pPr>
      <w:r w:rsidRPr="00B27C64">
        <w:rPr>
          <w:rFonts w:ascii="Arial" w:hAnsi="Arial" w:cs="Arial"/>
          <w:color w:val="000000"/>
          <w:sz w:val="19"/>
          <w:szCs w:val="19"/>
        </w:rPr>
        <w:t xml:space="preserve">Es posible acudir a las disposiciones anteriores </w:t>
      </w:r>
      <w:r w:rsidRPr="00EF5E01">
        <w:rPr>
          <w:rFonts w:ascii="Arial" w:hAnsi="Arial" w:cs="Arial"/>
          <w:color w:val="000000"/>
          <w:sz w:val="19"/>
          <w:szCs w:val="19"/>
        </w:rPr>
        <w:t xml:space="preserve">en relación con los procedimientos administrativos de selección, en virtud de la remisión que realiza el artículo 77 de la Ley 80 de 1993: </w:t>
      </w:r>
      <w:r w:rsidR="00BE2206">
        <w:rPr>
          <w:rFonts w:ascii="Arial" w:hAnsi="Arial" w:cs="Arial"/>
          <w:color w:val="000000"/>
          <w:sz w:val="19"/>
          <w:szCs w:val="19"/>
        </w:rPr>
        <w:t>“</w:t>
      </w:r>
      <w:r w:rsidRPr="00E13471">
        <w:rPr>
          <w:rStyle w:val="Textoennegrita"/>
          <w:rFonts w:ascii="Arial" w:hAnsi="Arial" w:cs="Arial"/>
          <w:color w:val="000000"/>
          <w:sz w:val="19"/>
          <w:szCs w:val="19"/>
        </w:rPr>
        <w:t>Artículo 77. De la normatividad aplicable en las actuaciones administrativas.</w:t>
      </w:r>
      <w:r w:rsidRPr="00E13471">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sidR="00BE2206">
        <w:rPr>
          <w:rFonts w:ascii="Arial" w:hAnsi="Arial" w:cs="Arial"/>
          <w:color w:val="000000"/>
          <w:sz w:val="19"/>
          <w:szCs w:val="19"/>
        </w:rPr>
        <w:t>”</w:t>
      </w:r>
      <w:r w:rsidRPr="00E13471">
        <w:rPr>
          <w:rFonts w:ascii="Arial" w:hAnsi="Arial" w:cs="Arial"/>
          <w:color w:val="000000"/>
          <w:sz w:val="19"/>
          <w:szCs w:val="19"/>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C4D2B"/>
    <w:multiLevelType w:val="hybridMultilevel"/>
    <w:tmpl w:val="79E49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D120DD9"/>
    <w:multiLevelType w:val="hybridMultilevel"/>
    <w:tmpl w:val="165AC5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8"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8"/>
  </w:num>
  <w:num w:numId="3" w16cid:durableId="1595672007">
    <w:abstractNumId w:val="21"/>
  </w:num>
  <w:num w:numId="4" w16cid:durableId="1944533281">
    <w:abstractNumId w:val="11"/>
  </w:num>
  <w:num w:numId="5" w16cid:durableId="2081175712">
    <w:abstractNumId w:val="6"/>
  </w:num>
  <w:num w:numId="6" w16cid:durableId="1584220838">
    <w:abstractNumId w:val="1"/>
  </w:num>
  <w:num w:numId="7" w16cid:durableId="1890258578">
    <w:abstractNumId w:val="18"/>
  </w:num>
  <w:num w:numId="8" w16cid:durableId="1250309436">
    <w:abstractNumId w:val="30"/>
  </w:num>
  <w:num w:numId="9" w16cid:durableId="170149205">
    <w:abstractNumId w:val="4"/>
  </w:num>
  <w:num w:numId="10" w16cid:durableId="121771703">
    <w:abstractNumId w:val="17"/>
  </w:num>
  <w:num w:numId="11" w16cid:durableId="679089576">
    <w:abstractNumId w:val="13"/>
  </w:num>
  <w:num w:numId="12" w16cid:durableId="1597637299">
    <w:abstractNumId w:val="14"/>
  </w:num>
  <w:num w:numId="13" w16cid:durableId="1197356270">
    <w:abstractNumId w:val="19"/>
  </w:num>
  <w:num w:numId="14" w16cid:durableId="1422145251">
    <w:abstractNumId w:val="29"/>
  </w:num>
  <w:num w:numId="15" w16cid:durableId="868641893">
    <w:abstractNumId w:val="25"/>
  </w:num>
  <w:num w:numId="16" w16cid:durableId="202593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0"/>
  </w:num>
  <w:num w:numId="18" w16cid:durableId="1933977330">
    <w:abstractNumId w:val="7"/>
  </w:num>
  <w:num w:numId="19" w16cid:durableId="597564065">
    <w:abstractNumId w:val="16"/>
  </w:num>
  <w:num w:numId="20" w16cid:durableId="1058745687">
    <w:abstractNumId w:val="9"/>
  </w:num>
  <w:num w:numId="21" w16cid:durableId="1228223862">
    <w:abstractNumId w:val="8"/>
  </w:num>
  <w:num w:numId="22" w16cid:durableId="606429298">
    <w:abstractNumId w:val="20"/>
  </w:num>
  <w:num w:numId="23" w16cid:durableId="19822139">
    <w:abstractNumId w:val="2"/>
  </w:num>
  <w:num w:numId="24" w16cid:durableId="66534376">
    <w:abstractNumId w:val="27"/>
  </w:num>
  <w:num w:numId="25" w16cid:durableId="1721511704">
    <w:abstractNumId w:val="23"/>
  </w:num>
  <w:num w:numId="26" w16cid:durableId="1912307450">
    <w:abstractNumId w:val="5"/>
  </w:num>
  <w:num w:numId="27" w16cid:durableId="1147167869">
    <w:abstractNumId w:val="24"/>
  </w:num>
  <w:num w:numId="28" w16cid:durableId="295986491">
    <w:abstractNumId w:val="22"/>
  </w:num>
  <w:num w:numId="29" w16cid:durableId="114105932">
    <w:abstractNumId w:val="26"/>
  </w:num>
  <w:num w:numId="30" w16cid:durableId="1953243012">
    <w:abstractNumId w:val="15"/>
  </w:num>
  <w:num w:numId="31" w16cid:durableId="1516311792">
    <w:abstractNumId w:val="3"/>
  </w:num>
  <w:num w:numId="32" w16cid:durableId="29310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22C1F"/>
    <w:rsid w:val="00033F67"/>
    <w:rsid w:val="0007723D"/>
    <w:rsid w:val="00092DB6"/>
    <w:rsid w:val="000E0D00"/>
    <w:rsid w:val="000E2148"/>
    <w:rsid w:val="000E561E"/>
    <w:rsid w:val="000E7508"/>
    <w:rsid w:val="001F7599"/>
    <w:rsid w:val="00207A26"/>
    <w:rsid w:val="002A7290"/>
    <w:rsid w:val="002D2553"/>
    <w:rsid w:val="002E197E"/>
    <w:rsid w:val="00312E96"/>
    <w:rsid w:val="00410C09"/>
    <w:rsid w:val="00412ED3"/>
    <w:rsid w:val="004C042E"/>
    <w:rsid w:val="0050012F"/>
    <w:rsid w:val="00553F39"/>
    <w:rsid w:val="00555176"/>
    <w:rsid w:val="00573EBC"/>
    <w:rsid w:val="00580642"/>
    <w:rsid w:val="005A5AFA"/>
    <w:rsid w:val="0060538B"/>
    <w:rsid w:val="00620BE1"/>
    <w:rsid w:val="006649D6"/>
    <w:rsid w:val="006D24E7"/>
    <w:rsid w:val="006D51B2"/>
    <w:rsid w:val="006D5D18"/>
    <w:rsid w:val="006F77A6"/>
    <w:rsid w:val="00763F15"/>
    <w:rsid w:val="007D5FE7"/>
    <w:rsid w:val="007E0D51"/>
    <w:rsid w:val="00893CDE"/>
    <w:rsid w:val="008B4774"/>
    <w:rsid w:val="00900AD7"/>
    <w:rsid w:val="0090156A"/>
    <w:rsid w:val="00942844"/>
    <w:rsid w:val="009A2511"/>
    <w:rsid w:val="009C4900"/>
    <w:rsid w:val="009F5FB8"/>
    <w:rsid w:val="00A26C76"/>
    <w:rsid w:val="00A33752"/>
    <w:rsid w:val="00A62278"/>
    <w:rsid w:val="00A96BF0"/>
    <w:rsid w:val="00A97EC1"/>
    <w:rsid w:val="00A97F09"/>
    <w:rsid w:val="00AB4464"/>
    <w:rsid w:val="00AB64A5"/>
    <w:rsid w:val="00AC79D3"/>
    <w:rsid w:val="00BE2206"/>
    <w:rsid w:val="00BE2B78"/>
    <w:rsid w:val="00C00C41"/>
    <w:rsid w:val="00C01E35"/>
    <w:rsid w:val="00C04209"/>
    <w:rsid w:val="00CC1D5B"/>
    <w:rsid w:val="00CD258B"/>
    <w:rsid w:val="00D40943"/>
    <w:rsid w:val="00D8794F"/>
    <w:rsid w:val="00E07453"/>
    <w:rsid w:val="00E100F3"/>
    <w:rsid w:val="00E51C9B"/>
    <w:rsid w:val="00E5732A"/>
    <w:rsid w:val="00E61733"/>
    <w:rsid w:val="00F02EBB"/>
    <w:rsid w:val="00F14BCA"/>
    <w:rsid w:val="00F67849"/>
    <w:rsid w:val="00FB6216"/>
    <w:rsid w:val="00FC3EC1"/>
    <w:rsid w:val="00FE6C59"/>
    <w:rsid w:val="00FF2F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 w:type="character" w:styleId="Textoennegrita">
    <w:name w:val="Strong"/>
    <w:basedOn w:val="Fuentedeprrafopredeter"/>
    <w:uiPriority w:val="22"/>
    <w:qFormat/>
    <w:rsid w:val="00580642"/>
    <w:rPr>
      <w:b/>
      <w:bCs/>
    </w:rPr>
  </w:style>
  <w:style w:type="paragraph" w:styleId="Sinespaciado">
    <w:name w:val="No Spacing"/>
    <w:aliases w:val="No Indent"/>
    <w:uiPriority w:val="3"/>
    <w:qFormat/>
    <w:rsid w:val="00FF2F27"/>
    <w:pPr>
      <w:spacing w:after="0" w:line="240" w:lineRule="auto"/>
    </w:pPr>
    <w:rPr>
      <w:kern w:val="0"/>
      <w:sz w:val="24"/>
      <w:lang w:val="es-MX"/>
      <w14:ligatures w14:val="none"/>
    </w:rPr>
  </w:style>
  <w:style w:type="paragraph" w:customStyle="1" w:styleId="margender0punto5">
    <w:name w:val="margen_der_0punto5"/>
    <w:basedOn w:val="Normal"/>
    <w:rsid w:val="00FF2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F2F27"/>
  </w:style>
  <w:style w:type="paragraph" w:customStyle="1" w:styleId="CEDAContenido">
    <w:name w:val="CEDA Contenido"/>
    <w:basedOn w:val="Normal"/>
    <w:link w:val="CEDAContenidoCar"/>
    <w:qFormat/>
    <w:rsid w:val="00FF2F27"/>
    <w:pPr>
      <w:spacing w:before="120" w:after="0" w:line="276" w:lineRule="auto"/>
      <w:jc w:val="both"/>
    </w:pPr>
    <w:rPr>
      <w:rFonts w:ascii="Bookman Old Style" w:eastAsiaTheme="minorEastAsia" w:hAnsi="Bookman Old Style"/>
    </w:rPr>
  </w:style>
  <w:style w:type="character" w:customStyle="1" w:styleId="CEDAContenidoCar">
    <w:name w:val="CEDA Contenido Car"/>
    <w:basedOn w:val="Fuentedeprrafopredeter"/>
    <w:link w:val="CEDAContenido"/>
    <w:rsid w:val="00FF2F27"/>
    <w:rPr>
      <w:rFonts w:ascii="Bookman Old Style" w:eastAsiaTheme="minorEastAsia" w:hAnsi="Bookman Old Styl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0A91-64DF-49DC-8F2A-0DB4F68460D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172CD8A-CD04-40B1-856E-9E00CA64D588}">
  <ds:schemaRefs>
    <ds:schemaRef ds:uri="http://schemas.microsoft.com/sharepoint/v3/contenttype/forms"/>
  </ds:schemaRefs>
</ds:datastoreItem>
</file>

<file path=customXml/itemProps3.xml><?xml version="1.0" encoding="utf-8"?>
<ds:datastoreItem xmlns:ds="http://schemas.openxmlformats.org/officeDocument/2006/customXml" ds:itemID="{E4C23074-9262-4394-9928-A502B084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4333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Andreina Cerpa Muñoz</cp:lastModifiedBy>
  <cp:revision>5</cp:revision>
  <dcterms:created xsi:type="dcterms:W3CDTF">2024-12-04T03:16:00Z</dcterms:created>
  <dcterms:modified xsi:type="dcterms:W3CDTF">2024-12-23T17:56:00Z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