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8D08F" w14:textId="77777777" w:rsidR="00353D81" w:rsidRDefault="00353D81" w:rsidP="00353D81">
      <w:pPr>
        <w:spacing w:after="0" w:line="240" w:lineRule="auto"/>
        <w:rPr>
          <w:rFonts w:ascii="Verdana" w:eastAsia="Geomanist Light" w:hAnsi="Verdana" w:cs="Arial"/>
          <w:color w:val="000000" w:themeColor="text1"/>
          <w:lang w:val="es-MX"/>
        </w:rPr>
      </w:pPr>
    </w:p>
    <w:p w14:paraId="57F08EC5" w14:textId="77777777" w:rsidR="00736243" w:rsidRDefault="00736243" w:rsidP="00353D81">
      <w:pPr>
        <w:spacing w:after="0" w:line="240" w:lineRule="auto"/>
        <w:rPr>
          <w:rFonts w:ascii="Verdana" w:eastAsia="Geomanist Light" w:hAnsi="Verdana" w:cs="Arial"/>
          <w:color w:val="000000" w:themeColor="text1"/>
          <w:lang w:val="es-MX"/>
        </w:rPr>
      </w:pPr>
    </w:p>
    <w:p w14:paraId="64EAE60C" w14:textId="77777777" w:rsidR="00736243" w:rsidRPr="00736243" w:rsidRDefault="00736243" w:rsidP="00736243">
      <w:pPr>
        <w:spacing w:after="0" w:line="240" w:lineRule="auto"/>
        <w:jc w:val="both"/>
        <w:rPr>
          <w:rFonts w:ascii="Verdana" w:eastAsia="Geomanist Light" w:hAnsi="Verdana" w:cs="Arial"/>
          <w:color w:val="000000" w:themeColor="text1"/>
        </w:rPr>
      </w:pPr>
      <w:r w:rsidRPr="00736243">
        <w:rPr>
          <w:rFonts w:ascii="Verdana" w:eastAsia="Geomanist Light" w:hAnsi="Verdana" w:cs="Arial"/>
          <w:b/>
          <w:bCs/>
          <w:color w:val="000000" w:themeColor="text1"/>
          <w:lang w:val="es-ES"/>
        </w:rPr>
        <w:t>INHABILIDADES ― Reserva legal – Interpretación restrictiva</w:t>
      </w:r>
      <w:r w:rsidRPr="00736243">
        <w:rPr>
          <w:rFonts w:ascii="Verdana" w:eastAsia="Geomanist Light" w:hAnsi="Verdana" w:cs="Arial"/>
          <w:color w:val="000000" w:themeColor="text1"/>
        </w:rPr>
        <w:t> </w:t>
      </w:r>
    </w:p>
    <w:p w14:paraId="22884AE7" w14:textId="77777777" w:rsidR="00736243" w:rsidRPr="00736243" w:rsidRDefault="00736243" w:rsidP="00736243">
      <w:pPr>
        <w:spacing w:after="0" w:line="240" w:lineRule="auto"/>
        <w:jc w:val="both"/>
        <w:rPr>
          <w:rFonts w:ascii="Verdana" w:eastAsia="Geomanist Light" w:hAnsi="Verdana" w:cs="Arial"/>
          <w:color w:val="000000" w:themeColor="text1"/>
        </w:rPr>
      </w:pPr>
      <w:r w:rsidRPr="00736243">
        <w:rPr>
          <w:rFonts w:ascii="Verdana" w:eastAsia="Geomanist Light" w:hAnsi="Verdana" w:cs="Arial"/>
          <w:color w:val="000000" w:themeColor="text1"/>
        </w:rPr>
        <w:t> </w:t>
      </w:r>
    </w:p>
    <w:p w14:paraId="61AE5303" w14:textId="77777777" w:rsidR="00736243" w:rsidRPr="00736243" w:rsidRDefault="00736243" w:rsidP="00736243">
      <w:pPr>
        <w:spacing w:after="0" w:line="240" w:lineRule="auto"/>
        <w:jc w:val="both"/>
        <w:rPr>
          <w:rFonts w:ascii="Verdana" w:eastAsia="Geomanist Light" w:hAnsi="Verdana" w:cs="Arial"/>
          <w:color w:val="000000" w:themeColor="text1"/>
        </w:rPr>
      </w:pPr>
      <w:r w:rsidRPr="00736243">
        <w:rPr>
          <w:rFonts w:ascii="Verdana" w:eastAsia="Geomanist Light" w:hAnsi="Verdana" w:cs="Arial"/>
          <w:color w:val="000000" w:themeColor="text1"/>
          <w:lang w:val="es-ES"/>
        </w:rPr>
        <w:t>[…]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a la autoridad</w:t>
      </w:r>
      <w:r w:rsidRPr="00736243">
        <w:rPr>
          <w:rFonts w:ascii="Verdana" w:eastAsia="Geomanist Light" w:hAnsi="Verdana" w:cs="Arial"/>
          <w:color w:val="000000" w:themeColor="text1"/>
        </w:rPr>
        <w:t> </w:t>
      </w:r>
    </w:p>
    <w:p w14:paraId="5B251EE2" w14:textId="77777777" w:rsidR="00736243" w:rsidRPr="00736243" w:rsidRDefault="00736243" w:rsidP="00353D81">
      <w:pPr>
        <w:spacing w:after="0" w:line="240" w:lineRule="auto"/>
        <w:rPr>
          <w:rFonts w:ascii="Verdana" w:eastAsia="Geomanist Light" w:hAnsi="Verdana" w:cs="Arial"/>
          <w:color w:val="000000" w:themeColor="text1"/>
        </w:rPr>
      </w:pPr>
    </w:p>
    <w:p w14:paraId="77FE1FE1" w14:textId="6E8C70E9" w:rsidR="00736243" w:rsidRPr="00736243" w:rsidRDefault="00736243" w:rsidP="00736243">
      <w:pPr>
        <w:spacing w:after="0" w:line="240" w:lineRule="auto"/>
        <w:jc w:val="both"/>
        <w:rPr>
          <w:rFonts w:ascii="Verdana" w:eastAsia="Geomanist Light" w:hAnsi="Verdana" w:cs="Arial"/>
          <w:b/>
          <w:bCs/>
          <w:color w:val="000000" w:themeColor="text1"/>
        </w:rPr>
      </w:pPr>
      <w:r w:rsidRPr="00736243">
        <w:rPr>
          <w:rFonts w:ascii="Verdana" w:eastAsia="Geomanist Light" w:hAnsi="Verdana" w:cs="Arial"/>
          <w:b/>
          <w:bCs/>
          <w:color w:val="000000" w:themeColor="text1"/>
          <w:lang w:val="es-ES"/>
        </w:rPr>
        <w:t xml:space="preserve">INHABILIDADES ― </w:t>
      </w:r>
      <w:r w:rsidRPr="00736243">
        <w:rPr>
          <w:rFonts w:ascii="Verdana" w:eastAsia="Geomanist Light" w:hAnsi="Verdana" w:cs="Arial"/>
          <w:b/>
          <w:bCs/>
          <w:color w:val="000000" w:themeColor="text1"/>
        </w:rPr>
        <w:t>Clasificación</w:t>
      </w:r>
    </w:p>
    <w:p w14:paraId="6B19F16C" w14:textId="77777777" w:rsidR="00736243" w:rsidRPr="00736243" w:rsidRDefault="00736243" w:rsidP="00736243">
      <w:pPr>
        <w:spacing w:after="0" w:line="240" w:lineRule="auto"/>
        <w:jc w:val="both"/>
        <w:rPr>
          <w:rFonts w:ascii="Verdana" w:eastAsia="Geomanist Light" w:hAnsi="Verdana" w:cs="Arial"/>
          <w:color w:val="000000" w:themeColor="text1"/>
        </w:rPr>
      </w:pPr>
      <w:r w:rsidRPr="00736243">
        <w:rPr>
          <w:rFonts w:ascii="Verdana" w:eastAsia="Geomanist Light" w:hAnsi="Verdana" w:cs="Arial"/>
          <w:color w:val="000000" w:themeColor="text1"/>
        </w:rPr>
        <w:t> </w:t>
      </w:r>
    </w:p>
    <w:p w14:paraId="3C14AD0E" w14:textId="23DEC4D0" w:rsidR="00736243" w:rsidRPr="00736243" w:rsidRDefault="00736243" w:rsidP="00736243">
      <w:pPr>
        <w:spacing w:after="0" w:line="240" w:lineRule="auto"/>
        <w:jc w:val="both"/>
        <w:rPr>
          <w:rFonts w:ascii="Verdana" w:eastAsia="Geomanist Light" w:hAnsi="Verdana" w:cs="Arial"/>
          <w:color w:val="000000" w:themeColor="text1"/>
        </w:rPr>
      </w:pPr>
      <w:r w:rsidRPr="00024A32">
        <w:rPr>
          <w:rFonts w:ascii="Verdana" w:hAnsi="Verdana" w:cs="Arial"/>
          <w:color w:val="000000" w:themeColor="text1"/>
          <w:lang w:val="es-ES"/>
          <w14:ligatures w14:val="standardContextual"/>
        </w:rPr>
        <w:t xml:space="preserve">Conviene también distinguir las fuentes de las inhabilidades, las cuales han sido clasificadas en dos (2) grupos: i) inhabilidades-sanción y ii) inhabilidades-requisito. En el </w:t>
      </w:r>
      <w:r w:rsidRPr="00024A32">
        <w:rPr>
          <w:rFonts w:ascii="Verdana" w:hAnsi="Verdana" w:cs="Arial"/>
          <w:i/>
          <w:iCs/>
          <w:color w:val="000000" w:themeColor="text1"/>
          <w:lang w:val="es-ES"/>
          <w14:ligatures w14:val="standardContextual"/>
        </w:rPr>
        <w:t>primer</w:t>
      </w:r>
      <w:r w:rsidRPr="00024A32">
        <w:rPr>
          <w:rFonts w:ascii="Verdana" w:hAnsi="Verdana" w:cs="Arial"/>
          <w:color w:val="000000" w:themeColor="text1"/>
          <w:lang w:val="es-ES"/>
          <w14:ligatures w14:val="standardContextual"/>
        </w:rPr>
        <w:t xml:space="preserve"> grupo se encuentran las inhabilidades que surgen como consecuencia de un proceso sancionatorio, en los ámbitos penal, disciplinario, contravencional o de pérdida de investidura. En el </w:t>
      </w:r>
      <w:r w:rsidRPr="00024A32">
        <w:rPr>
          <w:rFonts w:ascii="Verdana" w:hAnsi="Verdana" w:cs="Arial"/>
          <w:i/>
          <w:iCs/>
          <w:color w:val="000000" w:themeColor="text1"/>
          <w:lang w:val="es-ES"/>
          <w14:ligatures w14:val="standardContextual"/>
        </w:rPr>
        <w:t>segundo</w:t>
      </w:r>
      <w:r w:rsidRPr="00024A32">
        <w:rPr>
          <w:rFonts w:ascii="Verdana" w:hAnsi="Verdana" w:cs="Arial"/>
          <w:color w:val="000000" w:themeColor="text1"/>
          <w:lang w:val="es-ES"/>
          <w14:ligatures w14:val="standardContextual"/>
        </w:rPr>
        <w:t xml:space="preserve"> grupo están aquellas que no devienen de un proceso sancionatorio, sino de condiciones propias de la persona y garantizan la moralidad, la imparcialidad, la eficacia y la transparencia</w:t>
      </w:r>
    </w:p>
    <w:p w14:paraId="003FD765" w14:textId="77777777" w:rsidR="00736243" w:rsidRPr="00736243" w:rsidRDefault="00736243" w:rsidP="00736243">
      <w:pPr>
        <w:spacing w:after="0" w:line="240" w:lineRule="auto"/>
        <w:jc w:val="both"/>
        <w:rPr>
          <w:rFonts w:ascii="Verdana" w:eastAsia="Geomanist Light" w:hAnsi="Verdana" w:cs="Arial"/>
          <w:color w:val="000000" w:themeColor="text1"/>
        </w:rPr>
      </w:pPr>
      <w:r w:rsidRPr="00736243">
        <w:rPr>
          <w:rFonts w:ascii="Verdana" w:eastAsia="Geomanist Light" w:hAnsi="Verdana" w:cs="Arial"/>
          <w:color w:val="000000" w:themeColor="text1"/>
        </w:rPr>
        <w:t> </w:t>
      </w:r>
    </w:p>
    <w:p w14:paraId="43D775A3" w14:textId="77777777" w:rsidR="00736243" w:rsidRPr="00736243" w:rsidRDefault="00736243" w:rsidP="00353D81">
      <w:pPr>
        <w:spacing w:after="0" w:line="240" w:lineRule="auto"/>
        <w:rPr>
          <w:rFonts w:ascii="Verdana" w:eastAsia="Geomanist Light" w:hAnsi="Verdana" w:cs="Arial"/>
          <w:color w:val="000000" w:themeColor="text1"/>
        </w:rPr>
      </w:pPr>
    </w:p>
    <w:p w14:paraId="1FC3DD5D" w14:textId="77777777" w:rsidR="00736243" w:rsidRDefault="00736243" w:rsidP="00353D81">
      <w:pPr>
        <w:spacing w:after="0" w:line="240" w:lineRule="auto"/>
        <w:rPr>
          <w:rFonts w:ascii="Verdana" w:eastAsia="Geomanist Light" w:hAnsi="Verdana" w:cs="Arial"/>
          <w:color w:val="000000" w:themeColor="text1"/>
          <w:lang w:val="es-MX"/>
        </w:rPr>
      </w:pPr>
    </w:p>
    <w:p w14:paraId="208DA7E1" w14:textId="77777777" w:rsidR="00736243" w:rsidRDefault="00736243" w:rsidP="00353D81">
      <w:pPr>
        <w:spacing w:after="0" w:line="240" w:lineRule="auto"/>
        <w:rPr>
          <w:rFonts w:ascii="Verdana" w:eastAsia="Geomanist Light" w:hAnsi="Verdana" w:cs="Arial"/>
          <w:color w:val="000000" w:themeColor="text1"/>
          <w:lang w:val="es-MX"/>
        </w:rPr>
      </w:pPr>
    </w:p>
    <w:p w14:paraId="1C4B62AA" w14:textId="77777777" w:rsidR="00736243" w:rsidRDefault="00736243" w:rsidP="00353D81">
      <w:pPr>
        <w:spacing w:after="0" w:line="240" w:lineRule="auto"/>
        <w:rPr>
          <w:rFonts w:ascii="Verdana" w:eastAsia="Geomanist Light" w:hAnsi="Verdana" w:cs="Arial"/>
          <w:color w:val="000000" w:themeColor="text1"/>
          <w:lang w:val="es-MX"/>
        </w:rPr>
      </w:pPr>
    </w:p>
    <w:p w14:paraId="1E5D23C8" w14:textId="77777777" w:rsidR="00736243" w:rsidRDefault="00736243" w:rsidP="00353D81">
      <w:pPr>
        <w:spacing w:after="0" w:line="240" w:lineRule="auto"/>
        <w:rPr>
          <w:rFonts w:ascii="Verdana" w:eastAsia="Geomanist Light" w:hAnsi="Verdana" w:cs="Arial"/>
          <w:color w:val="000000" w:themeColor="text1"/>
          <w:lang w:val="es-MX"/>
        </w:rPr>
      </w:pPr>
    </w:p>
    <w:p w14:paraId="0A39712D" w14:textId="77777777" w:rsidR="00736243" w:rsidRDefault="00736243" w:rsidP="00353D81">
      <w:pPr>
        <w:spacing w:after="0" w:line="240" w:lineRule="auto"/>
        <w:rPr>
          <w:rFonts w:ascii="Verdana" w:eastAsia="Geomanist Light" w:hAnsi="Verdana" w:cs="Arial"/>
          <w:color w:val="000000" w:themeColor="text1"/>
          <w:lang w:val="es-MX"/>
        </w:rPr>
      </w:pPr>
    </w:p>
    <w:p w14:paraId="13EDA64A" w14:textId="77777777" w:rsidR="00736243" w:rsidRDefault="00736243" w:rsidP="00353D81">
      <w:pPr>
        <w:spacing w:after="0" w:line="240" w:lineRule="auto"/>
        <w:rPr>
          <w:rFonts w:ascii="Verdana" w:eastAsia="Geomanist Light" w:hAnsi="Verdana" w:cs="Arial"/>
          <w:color w:val="000000" w:themeColor="text1"/>
          <w:lang w:val="es-MX"/>
        </w:rPr>
      </w:pPr>
    </w:p>
    <w:p w14:paraId="71B766DD" w14:textId="77777777" w:rsidR="00736243" w:rsidRDefault="00736243" w:rsidP="00353D81">
      <w:pPr>
        <w:spacing w:after="0" w:line="240" w:lineRule="auto"/>
        <w:rPr>
          <w:rFonts w:ascii="Verdana" w:eastAsia="Geomanist Light" w:hAnsi="Verdana" w:cs="Arial"/>
          <w:color w:val="000000" w:themeColor="text1"/>
          <w:lang w:val="es-MX"/>
        </w:rPr>
      </w:pPr>
    </w:p>
    <w:p w14:paraId="1851BAD2" w14:textId="77777777" w:rsidR="00736243" w:rsidRDefault="00736243" w:rsidP="00353D81">
      <w:pPr>
        <w:spacing w:after="0" w:line="240" w:lineRule="auto"/>
        <w:rPr>
          <w:rFonts w:ascii="Verdana" w:eastAsia="Geomanist Light" w:hAnsi="Verdana" w:cs="Arial"/>
          <w:color w:val="000000" w:themeColor="text1"/>
          <w:lang w:val="es-MX"/>
        </w:rPr>
      </w:pPr>
    </w:p>
    <w:p w14:paraId="3F7EDE12" w14:textId="77777777" w:rsidR="00736243" w:rsidRDefault="00736243" w:rsidP="00353D81">
      <w:pPr>
        <w:spacing w:after="0" w:line="240" w:lineRule="auto"/>
        <w:rPr>
          <w:rFonts w:ascii="Verdana" w:eastAsia="Geomanist Light" w:hAnsi="Verdana" w:cs="Arial"/>
          <w:color w:val="000000" w:themeColor="text1"/>
          <w:lang w:val="es-MX"/>
        </w:rPr>
      </w:pPr>
    </w:p>
    <w:p w14:paraId="646D6C05" w14:textId="77777777" w:rsidR="00736243" w:rsidRDefault="00736243" w:rsidP="00353D81">
      <w:pPr>
        <w:spacing w:after="0" w:line="240" w:lineRule="auto"/>
        <w:rPr>
          <w:rFonts w:ascii="Verdana" w:eastAsia="Geomanist Light" w:hAnsi="Verdana" w:cs="Arial"/>
          <w:color w:val="000000" w:themeColor="text1"/>
          <w:lang w:val="es-MX"/>
        </w:rPr>
      </w:pPr>
    </w:p>
    <w:p w14:paraId="2F99CFCF" w14:textId="77777777" w:rsidR="00736243" w:rsidRDefault="00736243" w:rsidP="00353D81">
      <w:pPr>
        <w:spacing w:after="0" w:line="240" w:lineRule="auto"/>
        <w:rPr>
          <w:rFonts w:ascii="Verdana" w:eastAsia="Geomanist Light" w:hAnsi="Verdana" w:cs="Arial"/>
          <w:color w:val="000000" w:themeColor="text1"/>
          <w:lang w:val="es-MX"/>
        </w:rPr>
      </w:pPr>
    </w:p>
    <w:p w14:paraId="5A7C633F" w14:textId="77777777" w:rsidR="00736243" w:rsidRDefault="00736243" w:rsidP="00353D81">
      <w:pPr>
        <w:spacing w:after="0" w:line="240" w:lineRule="auto"/>
        <w:rPr>
          <w:rFonts w:ascii="Verdana" w:eastAsia="Geomanist Light" w:hAnsi="Verdana" w:cs="Arial"/>
          <w:color w:val="000000" w:themeColor="text1"/>
          <w:lang w:val="es-MX"/>
        </w:rPr>
      </w:pPr>
    </w:p>
    <w:p w14:paraId="7FEA03A2" w14:textId="77777777" w:rsidR="00736243" w:rsidRDefault="00736243" w:rsidP="00353D81">
      <w:pPr>
        <w:spacing w:after="0" w:line="240" w:lineRule="auto"/>
        <w:rPr>
          <w:rFonts w:ascii="Verdana" w:eastAsia="Geomanist Light" w:hAnsi="Verdana" w:cs="Arial"/>
          <w:color w:val="000000" w:themeColor="text1"/>
          <w:lang w:val="es-MX"/>
        </w:rPr>
      </w:pPr>
    </w:p>
    <w:p w14:paraId="711F84EF" w14:textId="77777777" w:rsidR="00736243" w:rsidRDefault="00736243" w:rsidP="00353D81">
      <w:pPr>
        <w:spacing w:after="0" w:line="240" w:lineRule="auto"/>
        <w:rPr>
          <w:rFonts w:ascii="Verdana" w:eastAsia="Geomanist Light" w:hAnsi="Verdana" w:cs="Arial"/>
          <w:color w:val="000000" w:themeColor="text1"/>
          <w:lang w:val="es-MX"/>
        </w:rPr>
      </w:pPr>
    </w:p>
    <w:p w14:paraId="02E5CDC0" w14:textId="6A131C2E" w:rsidR="00353D81" w:rsidRPr="00115E3D" w:rsidRDefault="00353D81" w:rsidP="00353D81">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lastRenderedPageBreak/>
        <w:t>Bogotá D.C., </w:t>
      </w:r>
      <w:r w:rsidR="000D12DF">
        <w:rPr>
          <w:rFonts w:ascii="Verdana" w:eastAsia="Geomanist Light" w:hAnsi="Verdana" w:cs="Arial"/>
          <w:color w:val="000000" w:themeColor="text1"/>
          <w:lang w:val="es-MX"/>
        </w:rPr>
        <w:t>13 Diciembre 2024</w:t>
      </w:r>
    </w:p>
    <w:p w14:paraId="45130362" w14:textId="107484C3" w:rsidR="00353D81" w:rsidRPr="00115E3D" w:rsidRDefault="00674C82" w:rsidP="00353D81">
      <w:pPr>
        <w:spacing w:after="0" w:line="240" w:lineRule="auto"/>
        <w:jc w:val="both"/>
        <w:rPr>
          <w:rFonts w:ascii="Verdana" w:eastAsia="Calibri" w:hAnsi="Verdana" w:cs="Arial"/>
          <w:color w:val="000000" w:themeColor="text1"/>
          <w:lang w:val="es-ES"/>
        </w:rPr>
      </w:pPr>
      <w:r w:rsidRPr="00674C82">
        <w:rPr>
          <w:rFonts w:ascii="Verdana" w:eastAsia="Calibri" w:hAnsi="Verdana" w:cs="Arial"/>
          <w:noProof/>
          <w:color w:val="000000" w:themeColor="text1"/>
          <w:lang w:val="es-ES" w:eastAsia="es-ES"/>
        </w:rPr>
        <w:drawing>
          <wp:anchor distT="0" distB="0" distL="114300" distR="114300" simplePos="0" relativeHeight="251658240" behindDoc="1" locked="0" layoutInCell="1" allowOverlap="1" wp14:anchorId="14D25001" wp14:editId="44C1B3DF">
            <wp:simplePos x="0" y="0"/>
            <wp:positionH relativeFrom="column">
              <wp:posOffset>2386965</wp:posOffset>
            </wp:positionH>
            <wp:positionV relativeFrom="paragraph">
              <wp:posOffset>12065</wp:posOffset>
            </wp:positionV>
            <wp:extent cx="3590925" cy="1095375"/>
            <wp:effectExtent l="0" t="0" r="9525" b="9525"/>
            <wp:wrapTight wrapText="bothSides">
              <wp:wrapPolygon edited="0">
                <wp:start x="0" y="0"/>
                <wp:lineTo x="0" y="21412"/>
                <wp:lineTo x="21543" y="21412"/>
                <wp:lineTo x="21543" y="0"/>
                <wp:lineTo x="0" y="0"/>
              </wp:wrapPolygon>
            </wp:wrapTight>
            <wp:docPr id="12088578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857848"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590925" cy="1095375"/>
                    </a:xfrm>
                    <a:prstGeom prst="rect">
                      <a:avLst/>
                    </a:prstGeom>
                  </pic:spPr>
                </pic:pic>
              </a:graphicData>
            </a:graphic>
          </wp:anchor>
        </w:drawing>
      </w:r>
    </w:p>
    <w:p w14:paraId="706EE090" w14:textId="59721016" w:rsidR="00353D81" w:rsidRDefault="00353D81" w:rsidP="00353D81">
      <w:pPr>
        <w:spacing w:after="0" w:line="240" w:lineRule="auto"/>
        <w:jc w:val="both"/>
        <w:rPr>
          <w:rFonts w:ascii="Verdana" w:eastAsia="Calibri" w:hAnsi="Verdana" w:cs="Arial"/>
          <w:color w:val="000000" w:themeColor="text1"/>
          <w:lang w:val="es-ES" w:eastAsia="es-ES"/>
        </w:rPr>
      </w:pPr>
    </w:p>
    <w:p w14:paraId="5AD70C15" w14:textId="3320E817" w:rsidR="00353D81" w:rsidRDefault="00353D81" w:rsidP="00353D81">
      <w:pPr>
        <w:spacing w:after="0" w:line="240" w:lineRule="auto"/>
        <w:jc w:val="both"/>
        <w:rPr>
          <w:rFonts w:ascii="Verdana" w:eastAsia="Calibri" w:hAnsi="Verdana" w:cs="Arial"/>
          <w:color w:val="000000" w:themeColor="text1"/>
          <w:lang w:val="es-ES" w:eastAsia="es-ES"/>
        </w:rPr>
      </w:pPr>
    </w:p>
    <w:p w14:paraId="216A9CA8" w14:textId="77777777" w:rsidR="00674C82" w:rsidRDefault="00674C82" w:rsidP="00353D81">
      <w:pPr>
        <w:spacing w:after="0" w:line="240" w:lineRule="auto"/>
        <w:jc w:val="both"/>
        <w:rPr>
          <w:rFonts w:ascii="Verdana" w:eastAsia="Calibri" w:hAnsi="Verdana" w:cs="Arial"/>
          <w:color w:val="000000" w:themeColor="text1"/>
          <w:lang w:val="es-ES" w:eastAsia="es-ES"/>
        </w:rPr>
      </w:pPr>
    </w:p>
    <w:p w14:paraId="70F41B81" w14:textId="77777777" w:rsidR="00674C82" w:rsidRDefault="00674C82" w:rsidP="00353D81">
      <w:pPr>
        <w:spacing w:after="0" w:line="240" w:lineRule="auto"/>
        <w:jc w:val="both"/>
        <w:rPr>
          <w:rFonts w:ascii="Verdana" w:eastAsia="Calibri" w:hAnsi="Verdana" w:cs="Arial"/>
          <w:color w:val="000000" w:themeColor="text1"/>
          <w:lang w:val="es-ES" w:eastAsia="es-ES"/>
        </w:rPr>
      </w:pPr>
    </w:p>
    <w:p w14:paraId="0575AF22" w14:textId="1208A6CF" w:rsidR="00353D81" w:rsidRPr="00115E3D" w:rsidRDefault="00353D81" w:rsidP="00353D81">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0ECC5E62" w14:textId="5A97B255" w:rsidR="00353D81" w:rsidRPr="00115E3D" w:rsidRDefault="00353D81" w:rsidP="00353D81">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Romulo Areiza Taylor</w:t>
      </w:r>
    </w:p>
    <w:p w14:paraId="514D7D76" w14:textId="168DAAD8" w:rsidR="00353D81" w:rsidRDefault="00552D9F" w:rsidP="00353D81">
      <w:pPr>
        <w:spacing w:after="0" w:line="240" w:lineRule="auto"/>
        <w:rPr>
          <w:rFonts w:ascii="Verdana" w:eastAsia="Calibri" w:hAnsi="Verdana" w:cs="Arial"/>
          <w:color w:val="000000" w:themeColor="text1"/>
          <w:u w:val="single"/>
          <w:lang w:eastAsia="es-ES"/>
        </w:rPr>
      </w:pPr>
      <w:hyperlink r:id="rId11" w:history="1">
        <w:r w:rsidR="00353D81" w:rsidRPr="00B222F5">
          <w:rPr>
            <w:rStyle w:val="Hipervnculo"/>
            <w:rFonts w:ascii="Verdana" w:eastAsia="Calibri" w:hAnsi="Verdana" w:cs="Arial"/>
            <w:lang w:eastAsia="es-ES"/>
          </w:rPr>
          <w:t>romuloareizataylor@gmail.com</w:t>
        </w:r>
      </w:hyperlink>
    </w:p>
    <w:p w14:paraId="24D309FC" w14:textId="65F3A8FB" w:rsidR="00353D81" w:rsidRPr="00024A32" w:rsidRDefault="00024A32" w:rsidP="00353D81">
      <w:pPr>
        <w:spacing w:after="0" w:line="240" w:lineRule="auto"/>
        <w:rPr>
          <w:rFonts w:ascii="Verdana" w:eastAsia="Calibri" w:hAnsi="Verdana" w:cs="Arial"/>
          <w:color w:val="000000" w:themeColor="text1"/>
          <w:lang w:eastAsia="es-ES"/>
        </w:rPr>
      </w:pPr>
      <w:r w:rsidRPr="00024A32">
        <w:rPr>
          <w:rFonts w:ascii="Verdana" w:eastAsia="Calibri" w:hAnsi="Verdana" w:cs="Arial"/>
          <w:color w:val="000000" w:themeColor="text1"/>
          <w:lang w:eastAsia="es-ES"/>
        </w:rPr>
        <w:t xml:space="preserve">San Andrés y Providencia, </w:t>
      </w:r>
      <w:r>
        <w:rPr>
          <w:rFonts w:ascii="Verdana" w:eastAsia="Calibri" w:hAnsi="Verdana" w:cs="Arial"/>
          <w:color w:val="000000" w:themeColor="text1"/>
          <w:lang w:eastAsia="es-ES"/>
        </w:rPr>
        <w:t>San Andres</w:t>
      </w:r>
      <w:r w:rsidRPr="00024A32">
        <w:rPr>
          <w:rFonts w:ascii="Verdana" w:eastAsia="Calibri" w:hAnsi="Verdana" w:cs="Arial"/>
          <w:color w:val="000000" w:themeColor="text1"/>
          <w:lang w:eastAsia="es-ES"/>
        </w:rPr>
        <w:t>.</w:t>
      </w:r>
    </w:p>
    <w:p w14:paraId="4F32D486" w14:textId="77777777" w:rsidR="00353D81" w:rsidRPr="00024A32" w:rsidRDefault="00353D81" w:rsidP="00353D81">
      <w:pPr>
        <w:spacing w:after="0" w:line="240" w:lineRule="auto"/>
        <w:rPr>
          <w:rFonts w:ascii="Verdana" w:eastAsia="Calibri" w:hAnsi="Verdana" w:cs="Arial"/>
          <w:b/>
          <w:bCs/>
          <w:color w:val="000000" w:themeColor="text1"/>
          <w:lang w:eastAsia="es-ES_tradnl"/>
        </w:rPr>
      </w:pPr>
    </w:p>
    <w:p w14:paraId="6C0FF98F" w14:textId="77777777" w:rsidR="00353D81" w:rsidRPr="00024A32" w:rsidRDefault="00353D81" w:rsidP="00353D81">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53D81" w:rsidRPr="00115E3D" w14:paraId="3D995342" w14:textId="77777777" w:rsidTr="00B065D0">
        <w:trPr>
          <w:trHeight w:val="884"/>
        </w:trPr>
        <w:tc>
          <w:tcPr>
            <w:tcW w:w="2689" w:type="dxa"/>
          </w:tcPr>
          <w:p w14:paraId="3BE5DDD5" w14:textId="77777777" w:rsidR="00353D81" w:rsidRPr="00024A32" w:rsidRDefault="00353D81" w:rsidP="00B065D0">
            <w:pPr>
              <w:jc w:val="both"/>
              <w:rPr>
                <w:rFonts w:ascii="Verdana" w:eastAsia="Calibri" w:hAnsi="Verdana" w:cs="Arial"/>
                <w:b/>
                <w:bCs/>
                <w:color w:val="000000" w:themeColor="text1"/>
                <w:lang w:eastAsia="es-ES_tradnl"/>
              </w:rPr>
            </w:pPr>
          </w:p>
        </w:tc>
        <w:tc>
          <w:tcPr>
            <w:tcW w:w="6100" w:type="dxa"/>
          </w:tcPr>
          <w:p w14:paraId="7C7C0A05" w14:textId="562385E4" w:rsidR="00353D81" w:rsidRPr="00115E3D" w:rsidRDefault="00353D81" w:rsidP="00B065D0">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797</w:t>
            </w:r>
            <w:r w:rsidRPr="00115E3D">
              <w:rPr>
                <w:rFonts w:ascii="Verdana" w:eastAsia="Calibri" w:hAnsi="Verdana" w:cs="Arial"/>
                <w:b/>
                <w:bCs/>
                <w:color w:val="000000" w:themeColor="text1"/>
                <w:lang w:val="es-ES" w:eastAsia="es-ES"/>
              </w:rPr>
              <w:t xml:space="preserve"> de 2024</w:t>
            </w:r>
          </w:p>
        </w:tc>
      </w:tr>
      <w:tr w:rsidR="00353D81" w:rsidRPr="00115E3D" w14:paraId="48F03C7E" w14:textId="77777777" w:rsidTr="00B065D0">
        <w:trPr>
          <w:trHeight w:val="884"/>
        </w:trPr>
        <w:tc>
          <w:tcPr>
            <w:tcW w:w="2689" w:type="dxa"/>
          </w:tcPr>
          <w:p w14:paraId="3E1BE51E" w14:textId="77777777" w:rsidR="00353D81" w:rsidRPr="00115E3D" w:rsidRDefault="00353D81" w:rsidP="00B065D0">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048BF08E" w14:textId="77777777" w:rsidR="00024A32" w:rsidRDefault="00024A32" w:rsidP="00024A32">
            <w:pPr>
              <w:spacing w:line="276" w:lineRule="auto"/>
              <w:jc w:val="both"/>
              <w:rPr>
                <w:rFonts w:ascii="Verdana" w:eastAsia="Calibri" w:hAnsi="Verdana" w:cs="Arial"/>
                <w:color w:val="000000" w:themeColor="text1"/>
                <w:lang w:eastAsia="es-ES"/>
              </w:rPr>
            </w:pPr>
            <w:r w:rsidRPr="00165D13">
              <w:rPr>
                <w:rFonts w:ascii="Verdana" w:eastAsia="Calibri" w:hAnsi="Verdana" w:cs="Arial"/>
                <w:color w:val="000000" w:themeColor="text1"/>
                <w:lang w:eastAsia="es-ES"/>
              </w:rPr>
              <w:t>INHABILIDADES E INCOMPATIBILIDADES ― Límites a la capacidad ― Régimen / INHABILIDADES E INCOMPATIBILIDADES ― Concepto ― Diferencias / INHABILIDADES E INCOMPATIBILIDADES ― Interpretación restrictiva ― Principio pro libértate / INHABILIDADES – Ley 80 – Artículo 9</w:t>
            </w:r>
          </w:p>
          <w:p w14:paraId="37B22989" w14:textId="77777777" w:rsidR="00353D81" w:rsidRPr="00024A32" w:rsidRDefault="00353D81" w:rsidP="00024A32">
            <w:pPr>
              <w:spacing w:line="276" w:lineRule="auto"/>
              <w:jc w:val="both"/>
              <w:rPr>
                <w:rFonts w:ascii="Verdana" w:eastAsia="Calibri" w:hAnsi="Verdana" w:cs="Arial"/>
                <w:color w:val="000000" w:themeColor="text1"/>
                <w:lang w:eastAsia="es-ES"/>
              </w:rPr>
            </w:pPr>
          </w:p>
        </w:tc>
      </w:tr>
      <w:tr w:rsidR="00353D81" w:rsidRPr="00115E3D" w14:paraId="3F5E3146" w14:textId="77777777" w:rsidTr="00024A32">
        <w:trPr>
          <w:trHeight w:val="311"/>
        </w:trPr>
        <w:tc>
          <w:tcPr>
            <w:tcW w:w="2689" w:type="dxa"/>
          </w:tcPr>
          <w:p w14:paraId="434D91CE" w14:textId="77777777" w:rsidR="00353D81" w:rsidRPr="00115E3D" w:rsidRDefault="00353D81" w:rsidP="00B065D0">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0FEC9C3" w14:textId="77777777" w:rsidR="00024A32" w:rsidRPr="00115E3D" w:rsidRDefault="00353D81" w:rsidP="00B065D0">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p>
          <w:p w14:paraId="56E0B2B5" w14:textId="77777777" w:rsidR="00024A32" w:rsidRDefault="00024A32" w:rsidP="00024A32">
            <w:pPr>
              <w:jc w:val="both"/>
              <w:rPr>
                <w:rFonts w:ascii="Verdana" w:hAnsi="Verdana"/>
              </w:rPr>
            </w:pPr>
            <w:r>
              <w:rPr>
                <w:rFonts w:ascii="Verdana" w:hAnsi="Verdana"/>
              </w:rPr>
              <w:t>P20241030011000</w:t>
            </w:r>
          </w:p>
          <w:p w14:paraId="11DF521F" w14:textId="539B89B5" w:rsidR="00353D81" w:rsidRPr="00115E3D" w:rsidRDefault="00353D81" w:rsidP="00B065D0">
            <w:pPr>
              <w:jc w:val="both"/>
              <w:rPr>
                <w:rFonts w:ascii="Verdana" w:eastAsia="Calibri" w:hAnsi="Verdana" w:cs="Arial"/>
                <w:color w:val="000000" w:themeColor="text1"/>
                <w:lang w:val="es-ES_tradnl" w:eastAsia="es-ES_tradnl"/>
              </w:rPr>
            </w:pPr>
          </w:p>
        </w:tc>
      </w:tr>
    </w:tbl>
    <w:p w14:paraId="1B95253F" w14:textId="77777777" w:rsidR="00353D81" w:rsidRPr="00115E3D" w:rsidRDefault="00353D81" w:rsidP="00353D81">
      <w:pPr>
        <w:spacing w:after="0" w:line="240" w:lineRule="auto"/>
        <w:jc w:val="both"/>
        <w:rPr>
          <w:rFonts w:ascii="Verdana" w:eastAsia="Calibri" w:hAnsi="Verdana" w:cs="Arial"/>
          <w:color w:val="000000" w:themeColor="text1"/>
          <w:lang w:val="es-ES_tradnl" w:eastAsia="es-ES_tradnl"/>
        </w:rPr>
      </w:pPr>
    </w:p>
    <w:p w14:paraId="43C29B0F" w14:textId="77777777" w:rsidR="00353D81" w:rsidRPr="00115E3D" w:rsidRDefault="00353D81" w:rsidP="00353D81">
      <w:pPr>
        <w:spacing w:after="0" w:line="240" w:lineRule="auto"/>
        <w:jc w:val="both"/>
        <w:rPr>
          <w:rFonts w:ascii="Verdana" w:eastAsia="Calibri" w:hAnsi="Verdana" w:cs="Arial"/>
          <w:color w:val="000000" w:themeColor="text1"/>
          <w:lang w:val="es-ES_tradnl" w:eastAsia="es-ES_tradnl"/>
        </w:rPr>
      </w:pPr>
    </w:p>
    <w:p w14:paraId="1BC358A1" w14:textId="13A04703" w:rsidR="00353D81" w:rsidRPr="00115E3D" w:rsidRDefault="00353D81" w:rsidP="00353D81">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Areiza</w:t>
      </w:r>
      <w:r w:rsidRPr="00115E3D">
        <w:rPr>
          <w:rFonts w:ascii="Verdana" w:eastAsia="Calibri" w:hAnsi="Verdana" w:cs="Arial"/>
          <w:color w:val="000000" w:themeColor="text1"/>
          <w:lang w:val="es-ES" w:eastAsia="es-ES"/>
        </w:rPr>
        <w:t xml:space="preserve">: </w:t>
      </w:r>
    </w:p>
    <w:p w14:paraId="302BEB96" w14:textId="77777777" w:rsidR="00353D81" w:rsidRPr="00115E3D" w:rsidRDefault="00353D81" w:rsidP="00353D81">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1FF99DD4" w14:textId="53740481" w:rsidR="00353D81" w:rsidRPr="00115E3D" w:rsidRDefault="00353D81" w:rsidP="00353D81">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30</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octubre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46289AAB" w14:textId="77777777" w:rsidR="00353D81" w:rsidRPr="00353D81" w:rsidRDefault="00353D81" w:rsidP="00353D81">
      <w:pPr>
        <w:pStyle w:val="Prrafodelista"/>
        <w:tabs>
          <w:tab w:val="left" w:pos="142"/>
          <w:tab w:val="left" w:pos="284"/>
        </w:tabs>
        <w:spacing w:line="276" w:lineRule="auto"/>
        <w:ind w:left="0"/>
        <w:jc w:val="both"/>
        <w:rPr>
          <w:rFonts w:ascii="Verdana" w:eastAsia="Century Gothic" w:hAnsi="Verdana" w:cs="Century Gothic"/>
          <w:b/>
          <w:bCs/>
          <w:i/>
          <w:iCs/>
          <w:color w:val="000000" w:themeColor="text1"/>
          <w:lang w:val="es-ES"/>
        </w:rPr>
      </w:pPr>
    </w:p>
    <w:p w14:paraId="0404CF90" w14:textId="4DA6E22E" w:rsidR="00353D81" w:rsidRPr="00353D81" w:rsidRDefault="00353D81" w:rsidP="00353D81">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r w:rsidRPr="00353D81">
        <w:rPr>
          <w:rFonts w:ascii="Verdana" w:eastAsia="Century Gothic" w:hAnsi="Verdana" w:cs="Century Gothic"/>
          <w:i/>
          <w:iCs/>
          <w:color w:val="000000" w:themeColor="text1"/>
          <w:sz w:val="20"/>
          <w:szCs w:val="20"/>
          <w:lang w:val="es-ES"/>
        </w:rPr>
        <w:t>“</w:t>
      </w:r>
      <w:bookmarkEnd w:id="0"/>
      <w:r w:rsidRPr="00353D81">
        <w:rPr>
          <w:rFonts w:ascii="Verdana" w:eastAsia="Century Gothic" w:hAnsi="Verdana" w:cs="Century Gothic"/>
          <w:i/>
          <w:iCs/>
          <w:color w:val="000000" w:themeColor="text1"/>
          <w:sz w:val="20"/>
          <w:szCs w:val="20"/>
          <w:lang w:val="es-ES"/>
        </w:rPr>
        <w:t xml:space="preserve">¿EL SEÑOR SECRETARIO DE GESTIÓN DEL RIESGO DE DESASTRES DEL DEPARTAMENTO ARCHIPIÉLAGO DE SAN ANDRÉS, PROVIDENCIA Y </w:t>
      </w:r>
      <w:r w:rsidRPr="00353D81">
        <w:rPr>
          <w:rFonts w:ascii="Verdana" w:eastAsia="Century Gothic" w:hAnsi="Verdana" w:cs="Century Gothic"/>
          <w:i/>
          <w:iCs/>
          <w:color w:val="000000" w:themeColor="text1"/>
          <w:sz w:val="20"/>
          <w:szCs w:val="20"/>
          <w:lang w:val="es-ES"/>
        </w:rPr>
        <w:lastRenderedPageBreak/>
        <w:t>SANTA CATALINA PUEDE RENUNCIAR AL CARGO DE SECRETARIO DE DESPACHO DEPARTAMENTAL E INMEDIATAMENTE FIRMAR CONTRATO, ES</w:t>
      </w:r>
    </w:p>
    <w:p w14:paraId="51257731" w14:textId="2F31DCD0" w:rsidR="00353D81" w:rsidRPr="00353D81" w:rsidRDefault="00353D81" w:rsidP="00353D81">
      <w:pPr>
        <w:spacing w:after="0" w:line="240" w:lineRule="auto"/>
        <w:ind w:left="709" w:right="709"/>
        <w:jc w:val="both"/>
        <w:rPr>
          <w:rFonts w:ascii="Verdana" w:eastAsia="Century Gothic" w:hAnsi="Verdana" w:cs="Century Gothic"/>
          <w:i/>
          <w:iCs/>
          <w:color w:val="000000" w:themeColor="text1"/>
          <w:sz w:val="20"/>
          <w:szCs w:val="20"/>
          <w:lang w:val="es-ES"/>
        </w:rPr>
      </w:pPr>
      <w:r w:rsidRPr="00353D81">
        <w:rPr>
          <w:rFonts w:ascii="Verdana" w:eastAsia="Century Gothic" w:hAnsi="Verdana" w:cs="Century Gothic"/>
          <w:i/>
          <w:iCs/>
          <w:color w:val="000000" w:themeColor="text1"/>
          <w:sz w:val="20"/>
          <w:szCs w:val="20"/>
          <w:lang w:val="es-ES"/>
        </w:rPr>
        <w:t>DECIR SER CONTRATISTA PARA LA UNIDAD NACIONAL DE GESTIÓN DEL RIESGO UNGRD (NACIONAL), EN UN CONTRATO PARA LABORAR EN EL MUNICIPIO DE PROVIDENCIA Y SANTA CATALINA EN TEMAS DE RIESGO Y DESASTRES, EN EL MUNICIPIO DEL MISMO DEPARTAMENTO?</w:t>
      </w:r>
      <w:r w:rsidR="00024A32">
        <w:rPr>
          <w:rFonts w:ascii="Verdana" w:eastAsia="Century Gothic" w:hAnsi="Verdana" w:cs="Century Gothic"/>
          <w:i/>
          <w:iCs/>
          <w:color w:val="000000" w:themeColor="text1"/>
          <w:sz w:val="20"/>
          <w:szCs w:val="20"/>
          <w:lang w:val="es-ES"/>
        </w:rPr>
        <w:t>.”</w:t>
      </w:r>
    </w:p>
    <w:p w14:paraId="255A648D" w14:textId="77777777" w:rsidR="00353D81" w:rsidRPr="00115E3D" w:rsidRDefault="00353D81" w:rsidP="00353D81">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17D02F38" w14:textId="77777777" w:rsidR="00353D81" w:rsidRPr="00115E3D" w:rsidRDefault="00353D81" w:rsidP="00353D81">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28B04173" w14:textId="77777777" w:rsidR="00353D81" w:rsidRPr="00115E3D" w:rsidRDefault="00353D81" w:rsidP="00353D81">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CCBA4E8" w14:textId="77777777" w:rsidR="00353D81" w:rsidRPr="00115E3D" w:rsidRDefault="00353D81" w:rsidP="00353D81">
      <w:pPr>
        <w:spacing w:after="0" w:line="276" w:lineRule="auto"/>
        <w:ind w:firstLine="709"/>
        <w:jc w:val="both"/>
        <w:rPr>
          <w:rFonts w:ascii="Verdana" w:eastAsia="Calibri" w:hAnsi="Verdana" w:cs="Arial"/>
          <w:color w:val="000000" w:themeColor="text1"/>
          <w:lang w:val="es-ES" w:eastAsia="es-ES"/>
        </w:rPr>
      </w:pPr>
    </w:p>
    <w:p w14:paraId="7B8220BC" w14:textId="77777777" w:rsidR="00353D81" w:rsidRPr="00115E3D" w:rsidRDefault="00353D81" w:rsidP="00353D81">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Problema planteado:</w:t>
      </w:r>
    </w:p>
    <w:p w14:paraId="4A2EBEF0" w14:textId="77777777" w:rsidR="00353D81" w:rsidRPr="00115E3D" w:rsidRDefault="00353D81" w:rsidP="00353D81">
      <w:pPr>
        <w:tabs>
          <w:tab w:val="left" w:pos="426"/>
        </w:tabs>
        <w:spacing w:after="0" w:line="276" w:lineRule="auto"/>
        <w:jc w:val="both"/>
        <w:rPr>
          <w:rFonts w:ascii="Verdana" w:eastAsia="Century Gothic" w:hAnsi="Verdana" w:cs="Century Gothic"/>
          <w:color w:val="000000" w:themeColor="text1"/>
          <w:lang w:val="es-ES"/>
        </w:rPr>
      </w:pPr>
    </w:p>
    <w:p w14:paraId="7A72F86F" w14:textId="6CE1DC12" w:rsidR="00B15EE5" w:rsidRDefault="00353D81" w:rsidP="00353D81">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sidR="00B15EE5" w:rsidRPr="00115E3D">
        <w:rPr>
          <w:rFonts w:ascii="Verdana" w:eastAsia="Century Gothic" w:hAnsi="Verdana" w:cs="Century Gothic"/>
          <w:color w:val="000000" w:themeColor="text1"/>
        </w:rPr>
        <w:t>el siguiente problemas</w:t>
      </w:r>
      <w:r w:rsidRPr="00115E3D">
        <w:rPr>
          <w:rFonts w:ascii="Verdana" w:eastAsia="Century Gothic" w:hAnsi="Verdana" w:cs="Century Gothic"/>
          <w:color w:val="000000" w:themeColor="text1"/>
        </w:rPr>
        <w:t xml:space="preserve"> jurídico: </w:t>
      </w:r>
    </w:p>
    <w:p w14:paraId="68CC1919" w14:textId="77777777" w:rsidR="00B15EE5" w:rsidRDefault="00B15EE5" w:rsidP="00353D81">
      <w:pPr>
        <w:spacing w:after="0" w:line="276" w:lineRule="auto"/>
        <w:jc w:val="both"/>
        <w:rPr>
          <w:rFonts w:ascii="Verdana" w:eastAsia="Century Gothic" w:hAnsi="Verdana" w:cs="Century Gothic"/>
          <w:color w:val="000000" w:themeColor="text1"/>
        </w:rPr>
      </w:pPr>
    </w:p>
    <w:p w14:paraId="7AD45C32" w14:textId="707271C9" w:rsidR="00BE33D8" w:rsidRPr="003B6B44" w:rsidRDefault="003B6B44" w:rsidP="003B6B44">
      <w:pPr>
        <w:pStyle w:val="Prrafodelista"/>
        <w:numPr>
          <w:ilvl w:val="0"/>
          <w:numId w:val="5"/>
        </w:numPr>
        <w:spacing w:after="0" w:line="276" w:lineRule="auto"/>
        <w:jc w:val="both"/>
        <w:rPr>
          <w:rFonts w:ascii="Verdana" w:eastAsia="Century Gothic" w:hAnsi="Verdana" w:cs="Century Gothic"/>
          <w:color w:val="000000" w:themeColor="text1"/>
        </w:rPr>
      </w:pPr>
      <w:r w:rsidRPr="003B6B44">
        <w:rPr>
          <w:rFonts w:ascii="Verdana" w:eastAsia="Century Gothic" w:hAnsi="Verdana" w:cs="Century Gothic"/>
          <w:color w:val="000000" w:themeColor="text1"/>
        </w:rPr>
        <w:t xml:space="preserve">¿Es posible que un exfuncionario </w:t>
      </w:r>
      <w:r w:rsidR="00D34FAF">
        <w:rPr>
          <w:rFonts w:ascii="Verdana" w:eastAsia="Century Gothic" w:hAnsi="Verdana" w:cs="Century Gothic"/>
          <w:color w:val="000000" w:themeColor="text1"/>
        </w:rPr>
        <w:t xml:space="preserve">de una entidad </w:t>
      </w:r>
      <w:r w:rsidR="00E46ECF">
        <w:rPr>
          <w:rFonts w:ascii="Verdana" w:eastAsia="Century Gothic" w:hAnsi="Verdana" w:cs="Century Gothic"/>
          <w:color w:val="000000" w:themeColor="text1"/>
        </w:rPr>
        <w:t xml:space="preserve">de </w:t>
      </w:r>
      <w:r w:rsidR="00973897">
        <w:rPr>
          <w:rFonts w:ascii="Verdana" w:eastAsia="Century Gothic" w:hAnsi="Verdana" w:cs="Century Gothic"/>
          <w:color w:val="000000" w:themeColor="text1"/>
        </w:rPr>
        <w:t>O</w:t>
      </w:r>
      <w:r w:rsidR="00E46ECF">
        <w:rPr>
          <w:rFonts w:ascii="Verdana" w:eastAsia="Century Gothic" w:hAnsi="Verdana" w:cs="Century Gothic"/>
          <w:color w:val="000000" w:themeColor="text1"/>
        </w:rPr>
        <w:t xml:space="preserve">rden </w:t>
      </w:r>
      <w:r w:rsidR="00973897">
        <w:rPr>
          <w:rFonts w:ascii="Verdana" w:eastAsia="Century Gothic" w:hAnsi="Verdana" w:cs="Century Gothic"/>
          <w:color w:val="000000" w:themeColor="text1"/>
        </w:rPr>
        <w:t>D</w:t>
      </w:r>
      <w:r w:rsidRPr="003B6B44">
        <w:rPr>
          <w:rFonts w:ascii="Verdana" w:eastAsia="Century Gothic" w:hAnsi="Verdana" w:cs="Century Gothic"/>
          <w:color w:val="000000" w:themeColor="text1"/>
        </w:rPr>
        <w:t>epartamental renunci</w:t>
      </w:r>
      <w:r w:rsidR="00D013C3">
        <w:rPr>
          <w:rFonts w:ascii="Verdana" w:eastAsia="Century Gothic" w:hAnsi="Verdana" w:cs="Century Gothic"/>
          <w:color w:val="000000" w:themeColor="text1"/>
        </w:rPr>
        <w:t>e, t</w:t>
      </w:r>
      <w:r w:rsidR="00D013C3" w:rsidRPr="00D013C3">
        <w:rPr>
          <w:rFonts w:ascii="Verdana" w:eastAsia="Century Gothic" w:hAnsi="Verdana" w:cs="Century Gothic"/>
          <w:color w:val="000000" w:themeColor="text1"/>
        </w:rPr>
        <w:t>ras su renuncia,</w:t>
      </w:r>
      <w:r w:rsidR="00D013C3">
        <w:rPr>
          <w:rFonts w:ascii="Verdana" w:eastAsia="Century Gothic" w:hAnsi="Verdana" w:cs="Century Gothic"/>
          <w:color w:val="000000" w:themeColor="text1"/>
        </w:rPr>
        <w:t xml:space="preserve"> </w:t>
      </w:r>
      <w:r w:rsidR="00D013C3" w:rsidRPr="00D013C3">
        <w:rPr>
          <w:rFonts w:ascii="Verdana" w:eastAsia="Century Gothic" w:hAnsi="Verdana" w:cs="Century Gothic"/>
          <w:color w:val="000000" w:themeColor="text1"/>
        </w:rPr>
        <w:t>firmar inmediatamente un contrato de prestación de servicios</w:t>
      </w:r>
      <w:r w:rsidRPr="003B6B44">
        <w:rPr>
          <w:rFonts w:ascii="Verdana" w:eastAsia="Century Gothic" w:hAnsi="Verdana" w:cs="Century Gothic"/>
          <w:color w:val="000000" w:themeColor="text1"/>
        </w:rPr>
        <w:t xml:space="preserve"> con una entidad de </w:t>
      </w:r>
      <w:r w:rsidR="00973897">
        <w:rPr>
          <w:rFonts w:ascii="Verdana" w:eastAsia="Century Gothic" w:hAnsi="Verdana" w:cs="Century Gothic"/>
          <w:color w:val="000000" w:themeColor="text1"/>
        </w:rPr>
        <w:t>Orden</w:t>
      </w:r>
      <w:r w:rsidRPr="003B6B44">
        <w:rPr>
          <w:rFonts w:ascii="Verdana" w:eastAsia="Century Gothic" w:hAnsi="Verdana" w:cs="Century Gothic"/>
          <w:color w:val="000000" w:themeColor="text1"/>
        </w:rPr>
        <w:t xml:space="preserve"> </w:t>
      </w:r>
      <w:r w:rsidR="00973897">
        <w:rPr>
          <w:rFonts w:ascii="Verdana" w:eastAsia="Century Gothic" w:hAnsi="Verdana" w:cs="Century Gothic"/>
          <w:color w:val="000000" w:themeColor="text1"/>
        </w:rPr>
        <w:t>N</w:t>
      </w:r>
      <w:r w:rsidRPr="003B6B44">
        <w:rPr>
          <w:rFonts w:ascii="Verdana" w:eastAsia="Century Gothic" w:hAnsi="Verdana" w:cs="Century Gothic"/>
          <w:color w:val="000000" w:themeColor="text1"/>
        </w:rPr>
        <w:t>acional</w:t>
      </w:r>
      <w:r w:rsidR="00BE33D8" w:rsidRPr="003B6B44">
        <w:rPr>
          <w:rFonts w:ascii="Verdana" w:eastAsia="Century Gothic" w:hAnsi="Verdana" w:cs="Century Gothic"/>
          <w:color w:val="000000" w:themeColor="text1"/>
        </w:rPr>
        <w:t>, sin incurrir en inhabilidades o incompatibilidades</w:t>
      </w:r>
      <w:r w:rsidR="00973897">
        <w:rPr>
          <w:rFonts w:ascii="Verdana" w:eastAsia="Century Gothic" w:hAnsi="Verdana" w:cs="Century Gothic"/>
          <w:color w:val="000000" w:themeColor="text1"/>
        </w:rPr>
        <w:t xml:space="preserve"> </w:t>
      </w:r>
      <w:r w:rsidR="00D67304">
        <w:rPr>
          <w:rFonts w:ascii="Verdana" w:eastAsia="Century Gothic" w:hAnsi="Verdana" w:cs="Century Gothic"/>
          <w:color w:val="000000" w:themeColor="text1"/>
        </w:rPr>
        <w:t>o conflicto de intereses</w:t>
      </w:r>
      <w:r w:rsidR="00BE33D8" w:rsidRPr="003B6B44">
        <w:rPr>
          <w:rFonts w:ascii="Verdana" w:eastAsia="Century Gothic" w:hAnsi="Verdana" w:cs="Century Gothic"/>
          <w:color w:val="000000" w:themeColor="text1"/>
        </w:rPr>
        <w:t>?</w:t>
      </w:r>
    </w:p>
    <w:p w14:paraId="53F90CA4" w14:textId="77777777" w:rsidR="007127B6" w:rsidRPr="00BE33D8" w:rsidRDefault="007127B6" w:rsidP="00BE33D8">
      <w:pPr>
        <w:pStyle w:val="Prrafodelista"/>
        <w:spacing w:after="0" w:line="276" w:lineRule="auto"/>
        <w:ind w:left="1080"/>
        <w:jc w:val="both"/>
        <w:rPr>
          <w:rFonts w:ascii="Verdana" w:eastAsia="Century Gothic" w:hAnsi="Verdana" w:cs="Century Gothic"/>
          <w:color w:val="000000" w:themeColor="text1"/>
        </w:rPr>
      </w:pPr>
    </w:p>
    <w:p w14:paraId="3D4A7EE8" w14:textId="77777777" w:rsidR="00353D81" w:rsidRPr="00115E3D" w:rsidRDefault="00353D81" w:rsidP="00353D81">
      <w:pPr>
        <w:spacing w:after="0" w:line="276" w:lineRule="auto"/>
        <w:jc w:val="both"/>
        <w:rPr>
          <w:rFonts w:ascii="Verdana" w:eastAsia="Calibri" w:hAnsi="Verdana" w:cs="Arial"/>
          <w:color w:val="000000" w:themeColor="text1"/>
          <w:lang w:val="es-ES"/>
        </w:rPr>
      </w:pPr>
    </w:p>
    <w:p w14:paraId="6DF35954" w14:textId="77777777" w:rsidR="00353D81" w:rsidRPr="00115E3D" w:rsidRDefault="00353D81" w:rsidP="00353D8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Respuesta:</w:t>
      </w:r>
    </w:p>
    <w:p w14:paraId="2BB6DD8F" w14:textId="77777777" w:rsidR="00353D81" w:rsidRDefault="00353D81" w:rsidP="00353D8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1017F39" w14:textId="77777777" w:rsidR="00B15EE5" w:rsidRDefault="00B15EE5" w:rsidP="00353D8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74F7946" w14:textId="77777777" w:rsidR="00B15EE5" w:rsidRPr="00115E3D" w:rsidRDefault="00B15EE5" w:rsidP="00353D8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53D81" w:rsidRPr="00115E3D" w14:paraId="40CC0AC0" w14:textId="77777777" w:rsidTr="00B065D0">
        <w:tc>
          <w:tcPr>
            <w:tcW w:w="8828" w:type="dxa"/>
            <w:shd w:val="clear" w:color="auto" w:fill="auto"/>
          </w:tcPr>
          <w:p w14:paraId="4A5EC193" w14:textId="3196114E" w:rsidR="000D12DF" w:rsidRPr="000D12DF" w:rsidRDefault="000D12DF" w:rsidP="000D12DF">
            <w:pPr>
              <w:spacing w:line="276" w:lineRule="auto"/>
              <w:jc w:val="both"/>
              <w:rPr>
                <w:rFonts w:ascii="Verdana" w:eastAsia="Calibri" w:hAnsi="Verdana" w:cs="Arial"/>
                <w:color w:val="000000" w:themeColor="text1"/>
              </w:rPr>
            </w:pPr>
            <w:r w:rsidRPr="000D12DF">
              <w:rPr>
                <w:rFonts w:ascii="Verdana" w:eastAsia="Calibri" w:hAnsi="Verdana" w:cs="Arial"/>
                <w:color w:val="000000" w:themeColor="text1"/>
              </w:rPr>
              <w:t>Las inhabilidades e incompatibilidades son circunstancias establecidas por la</w:t>
            </w:r>
            <w:r>
              <w:rPr>
                <w:rFonts w:ascii="Verdana" w:eastAsia="Calibri" w:hAnsi="Verdana" w:cs="Arial"/>
                <w:color w:val="000000" w:themeColor="text1"/>
              </w:rPr>
              <w:t xml:space="preserve"> </w:t>
            </w:r>
            <w:r w:rsidRPr="000D12DF">
              <w:rPr>
                <w:rFonts w:ascii="Verdana" w:eastAsia="Calibri" w:hAnsi="Verdana" w:cs="Arial"/>
                <w:color w:val="000000" w:themeColor="text1"/>
              </w:rPr>
              <w:t>Constitución Política o por la ley que impiden que personas naturales o</w:t>
            </w:r>
            <w:r>
              <w:rPr>
                <w:rFonts w:ascii="Verdana" w:eastAsia="Calibri" w:hAnsi="Verdana" w:cs="Arial"/>
                <w:color w:val="000000" w:themeColor="text1"/>
              </w:rPr>
              <w:t xml:space="preserve"> </w:t>
            </w:r>
            <w:r w:rsidRPr="000D12DF">
              <w:rPr>
                <w:rFonts w:ascii="Verdana" w:eastAsia="Calibri" w:hAnsi="Verdana" w:cs="Arial"/>
                <w:color w:val="000000" w:themeColor="text1"/>
              </w:rPr>
              <w:t>jurídicas sean elegidas o designadas en un cargo público o celebren contratos</w:t>
            </w:r>
          </w:p>
          <w:p w14:paraId="7DA39F46" w14:textId="20C55B77" w:rsidR="00D94F69" w:rsidRDefault="000D12DF" w:rsidP="000D12DF">
            <w:pPr>
              <w:spacing w:line="276" w:lineRule="auto"/>
              <w:jc w:val="both"/>
              <w:rPr>
                <w:rFonts w:ascii="Verdana" w:eastAsia="Calibri" w:hAnsi="Verdana" w:cs="Arial"/>
                <w:color w:val="000000" w:themeColor="text1"/>
              </w:rPr>
            </w:pPr>
            <w:r w:rsidRPr="000D12DF">
              <w:rPr>
                <w:rFonts w:ascii="Verdana" w:eastAsia="Calibri" w:hAnsi="Verdana" w:cs="Arial"/>
                <w:color w:val="000000" w:themeColor="text1"/>
              </w:rPr>
              <w:t>con el Estado. Su objetivo no es otro que garantizar la idoneidad,</w:t>
            </w:r>
            <w:r>
              <w:rPr>
                <w:rFonts w:ascii="Verdana" w:eastAsia="Calibri" w:hAnsi="Verdana" w:cs="Arial"/>
                <w:color w:val="000000" w:themeColor="text1"/>
              </w:rPr>
              <w:t xml:space="preserve"> </w:t>
            </w:r>
            <w:r w:rsidRPr="000D12DF">
              <w:rPr>
                <w:rFonts w:ascii="Verdana" w:eastAsia="Calibri" w:hAnsi="Verdana" w:cs="Arial"/>
                <w:color w:val="000000" w:themeColor="text1"/>
              </w:rPr>
              <w:t>imparcialidad, probidad, transparencia y moralidad de la función pública,</w:t>
            </w:r>
            <w:r>
              <w:rPr>
                <w:rFonts w:ascii="Verdana" w:eastAsia="Calibri" w:hAnsi="Verdana" w:cs="Arial"/>
                <w:color w:val="000000" w:themeColor="text1"/>
              </w:rPr>
              <w:t xml:space="preserve">  </w:t>
            </w:r>
            <w:r w:rsidRPr="000D12DF">
              <w:rPr>
                <w:rFonts w:ascii="Verdana" w:eastAsia="Calibri" w:hAnsi="Verdana" w:cs="Arial"/>
                <w:color w:val="000000" w:themeColor="text1"/>
              </w:rPr>
              <w:t xml:space="preserve">garantizando el interés general. </w:t>
            </w:r>
          </w:p>
          <w:p w14:paraId="0854EDC4" w14:textId="77777777" w:rsidR="000D12DF" w:rsidRDefault="000D12DF" w:rsidP="000D12DF">
            <w:pPr>
              <w:spacing w:line="276" w:lineRule="auto"/>
              <w:ind w:firstLine="709"/>
              <w:jc w:val="both"/>
              <w:rPr>
                <w:rFonts w:ascii="Verdana" w:eastAsia="Calibri" w:hAnsi="Verdana" w:cs="Arial"/>
                <w:color w:val="000000" w:themeColor="text1"/>
              </w:rPr>
            </w:pPr>
          </w:p>
          <w:p w14:paraId="56075A35" w14:textId="7877C063" w:rsidR="000B524D" w:rsidRDefault="00D97F40" w:rsidP="00D94F69">
            <w:pPr>
              <w:spacing w:line="276" w:lineRule="auto"/>
              <w:jc w:val="both"/>
              <w:rPr>
                <w:rFonts w:ascii="Verdana" w:eastAsia="Calibri" w:hAnsi="Verdana" w:cs="Arial"/>
                <w:color w:val="000000" w:themeColor="text1"/>
              </w:rPr>
            </w:pPr>
            <w:r>
              <w:rPr>
                <w:rFonts w:ascii="Verdana" w:eastAsia="Calibri" w:hAnsi="Verdana" w:cs="Arial"/>
                <w:color w:val="000000" w:themeColor="text1"/>
              </w:rPr>
              <w:t>S</w:t>
            </w:r>
            <w:r w:rsidR="0094656B" w:rsidRPr="0094656B">
              <w:rPr>
                <w:rFonts w:ascii="Verdana" w:eastAsia="Calibri" w:hAnsi="Verdana" w:cs="Arial"/>
                <w:color w:val="000000" w:themeColor="text1"/>
              </w:rPr>
              <w:t>egún el régimen de inhabilidades en la contratación estatal</w:t>
            </w:r>
            <w:r w:rsidR="001925E9">
              <w:rPr>
                <w:rFonts w:ascii="Verdana" w:eastAsia="Calibri" w:hAnsi="Verdana" w:cs="Arial"/>
                <w:color w:val="000000" w:themeColor="text1"/>
              </w:rPr>
              <w:t>,</w:t>
            </w:r>
            <w:r w:rsidR="0094656B" w:rsidRPr="0094656B">
              <w:rPr>
                <w:rFonts w:ascii="Verdana" w:eastAsia="Calibri" w:hAnsi="Verdana" w:cs="Arial"/>
                <w:color w:val="000000" w:themeColor="text1"/>
              </w:rPr>
              <w:t xml:space="preserve"> </w:t>
            </w:r>
            <w:r w:rsidR="000B524D">
              <w:rPr>
                <w:rFonts w:ascii="Verdana" w:eastAsia="Calibri" w:hAnsi="Verdana" w:cs="Arial"/>
                <w:color w:val="000000" w:themeColor="text1"/>
              </w:rPr>
              <w:t xml:space="preserve"> puntualmente en el literal f</w:t>
            </w:r>
            <w:r w:rsidR="001925E9">
              <w:rPr>
                <w:rFonts w:ascii="Verdana" w:eastAsia="Calibri" w:hAnsi="Verdana" w:cs="Arial"/>
                <w:color w:val="000000" w:themeColor="text1"/>
              </w:rPr>
              <w:t>, adicionado por el articulo 4 de la Ley 1474 de 2011</w:t>
            </w:r>
            <w:r w:rsidR="000B524D">
              <w:rPr>
                <w:rFonts w:ascii="Verdana" w:eastAsia="Calibri" w:hAnsi="Verdana" w:cs="Arial"/>
                <w:color w:val="000000" w:themeColor="text1"/>
              </w:rPr>
              <w:t>, numeral 2 del artículo 8</w:t>
            </w:r>
            <w:r w:rsidR="0094656B" w:rsidRPr="0094656B">
              <w:rPr>
                <w:rFonts w:ascii="Verdana" w:eastAsia="Calibri" w:hAnsi="Verdana" w:cs="Arial"/>
                <w:color w:val="000000" w:themeColor="text1"/>
              </w:rPr>
              <w:t xml:space="preserve"> </w:t>
            </w:r>
            <w:r w:rsidR="000B524D">
              <w:rPr>
                <w:rFonts w:ascii="Verdana" w:eastAsia="Calibri" w:hAnsi="Verdana" w:cs="Arial"/>
                <w:color w:val="000000" w:themeColor="text1"/>
              </w:rPr>
              <w:t xml:space="preserve">de la Ley 80 de 1993, </w:t>
            </w:r>
            <w:r w:rsidR="001925E9">
              <w:rPr>
                <w:rFonts w:ascii="Verdana" w:eastAsia="Calibri" w:hAnsi="Verdana" w:cs="Arial"/>
                <w:color w:val="000000" w:themeColor="text1"/>
              </w:rPr>
              <w:t xml:space="preserve">dispone que, </w:t>
            </w:r>
            <w:r w:rsidR="000B524D">
              <w:rPr>
                <w:rFonts w:ascii="Verdana" w:eastAsia="Calibri" w:hAnsi="Verdana" w:cs="Arial"/>
                <w:color w:val="000000" w:themeColor="text1"/>
              </w:rPr>
              <w:t xml:space="preserve">las personas que hayan ejercido cargos directivos no podrán celebrar contratos estatales </w:t>
            </w:r>
            <w:r w:rsidR="001925E9" w:rsidRPr="001925E9">
              <w:rPr>
                <w:rFonts w:ascii="Verdana" w:eastAsia="Calibri" w:hAnsi="Verdana" w:cs="Arial"/>
                <w:color w:val="000000" w:themeColor="text1"/>
              </w:rPr>
              <w:t>durante los dos (2) años siguientes al retiro del ejercicio del cargo público</w:t>
            </w:r>
            <w:r w:rsidR="001925E9">
              <w:rPr>
                <w:rFonts w:ascii="Verdana" w:eastAsia="Calibri" w:hAnsi="Verdana" w:cs="Arial"/>
                <w:color w:val="000000" w:themeColor="text1"/>
              </w:rPr>
              <w:t xml:space="preserve">, </w:t>
            </w:r>
            <w:r w:rsidR="000B524D">
              <w:rPr>
                <w:rFonts w:ascii="Verdana" w:eastAsia="Calibri" w:hAnsi="Verdana" w:cs="Arial"/>
                <w:color w:val="000000" w:themeColor="text1"/>
              </w:rPr>
              <w:t>cuando el objeto que desarrollen tenga relación con el sector al cual prestaron sus servicios.</w:t>
            </w:r>
          </w:p>
          <w:p w14:paraId="79E54F3D" w14:textId="77777777" w:rsidR="001925E9" w:rsidRDefault="001925E9" w:rsidP="001925E9">
            <w:pPr>
              <w:spacing w:line="276" w:lineRule="auto"/>
              <w:jc w:val="both"/>
              <w:rPr>
                <w:rFonts w:ascii="Verdana" w:hAnsi="Verdana" w:cs="Arial"/>
                <w:bCs/>
                <w:color w:val="000000" w:themeColor="text1"/>
                <w14:ligatures w14:val="standardContextual"/>
              </w:rPr>
            </w:pPr>
          </w:p>
          <w:p w14:paraId="269F3759" w14:textId="1E175587" w:rsidR="001925E9" w:rsidRDefault="001925E9" w:rsidP="001925E9">
            <w:pPr>
              <w:spacing w:line="276" w:lineRule="auto"/>
              <w:jc w:val="both"/>
              <w:rPr>
                <w:rFonts w:ascii="Verdana" w:eastAsia="Calibri" w:hAnsi="Verdana" w:cs="Arial"/>
                <w:color w:val="000000" w:themeColor="text1"/>
              </w:rPr>
            </w:pPr>
            <w:r>
              <w:rPr>
                <w:rFonts w:ascii="Verdana" w:hAnsi="Verdana" w:cs="Arial"/>
                <w:bCs/>
                <w:color w:val="000000" w:themeColor="text1"/>
                <w:lang w:val="es-MX"/>
                <w14:ligatures w14:val="standardContextual"/>
              </w:rPr>
              <w:t>En todo caso, c</w:t>
            </w:r>
            <w:r w:rsidR="00D94F69" w:rsidRPr="00024A32">
              <w:rPr>
                <w:rFonts w:ascii="Verdana" w:hAnsi="Verdana" w:cs="Arial"/>
                <w:bCs/>
                <w:color w:val="000000" w:themeColor="text1"/>
                <w:lang w:val="es-MX"/>
                <w14:ligatures w14:val="standardContextual"/>
              </w:rPr>
              <w:t>orresponde a cada Entidad Pública, en ejercicio de su competencia y previa valoración de l</w:t>
            </w:r>
            <w:r w:rsidR="00AF1C47">
              <w:rPr>
                <w:rFonts w:ascii="Verdana" w:hAnsi="Verdana" w:cs="Arial"/>
                <w:bCs/>
                <w:color w:val="000000" w:themeColor="text1"/>
                <w:lang w:val="es-MX"/>
                <w14:ligatures w14:val="standardContextual"/>
              </w:rPr>
              <w:t>as condiciones particulares y propias de la futura contratación</w:t>
            </w:r>
            <w:r w:rsidR="00D94F69" w:rsidRPr="00024A32">
              <w:rPr>
                <w:rFonts w:ascii="Verdana" w:hAnsi="Verdana" w:cs="Arial"/>
                <w:bCs/>
                <w:color w:val="000000" w:themeColor="text1"/>
                <w:lang w:val="es-MX"/>
                <w14:ligatures w14:val="standardContextual"/>
              </w:rPr>
              <w:t>, determinar si se está incurso en alguna causal de inhabilidad o incompatibilidad o si se configura un conflicto de intereses</w:t>
            </w:r>
            <w:r>
              <w:rPr>
                <w:rFonts w:ascii="Verdana" w:hAnsi="Verdana" w:cs="Arial"/>
                <w:bCs/>
                <w:color w:val="000000" w:themeColor="text1"/>
                <w:lang w:val="es-MX"/>
                <w14:ligatures w14:val="standardContextual"/>
              </w:rPr>
              <w:t xml:space="preserve">, </w:t>
            </w:r>
            <w:r w:rsidRPr="0094656B">
              <w:rPr>
                <w:rFonts w:ascii="Verdana" w:eastAsia="Calibri" w:hAnsi="Verdana" w:cs="Arial"/>
                <w:color w:val="000000" w:themeColor="text1"/>
              </w:rPr>
              <w:t>de ser así, tomar medidas para preservar la imparcialidad y transparencia en el proceso.</w:t>
            </w:r>
          </w:p>
          <w:p w14:paraId="215E7C1C" w14:textId="3D6E1301" w:rsidR="000A4B76" w:rsidRPr="00B15EE5" w:rsidRDefault="000A4B76" w:rsidP="001925E9">
            <w:pPr>
              <w:spacing w:line="276" w:lineRule="auto"/>
              <w:jc w:val="both"/>
              <w:rPr>
                <w:rFonts w:ascii="Verdana" w:eastAsia="Calibri" w:hAnsi="Verdana" w:cs="Arial"/>
                <w:color w:val="000000" w:themeColor="text1"/>
              </w:rPr>
            </w:pPr>
          </w:p>
        </w:tc>
      </w:tr>
    </w:tbl>
    <w:p w14:paraId="6EC533A6" w14:textId="77777777" w:rsidR="00353D81" w:rsidRPr="00115E3D" w:rsidRDefault="00353D81" w:rsidP="00353D8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E5B6796" w14:textId="77777777" w:rsidR="00353D81" w:rsidRPr="00115E3D" w:rsidRDefault="00353D81" w:rsidP="00353D8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Razones de la respuesta:</w:t>
      </w:r>
    </w:p>
    <w:p w14:paraId="33A197C5" w14:textId="77777777" w:rsidR="00353D81" w:rsidRPr="00115E3D" w:rsidRDefault="00353D81" w:rsidP="00353D81">
      <w:pPr>
        <w:spacing w:after="0" w:line="276" w:lineRule="auto"/>
        <w:jc w:val="both"/>
        <w:rPr>
          <w:rFonts w:ascii="Verdana" w:eastAsia="Calibri" w:hAnsi="Verdana" w:cs="Arial"/>
          <w:color w:val="000000" w:themeColor="text1"/>
          <w:lang w:val="es-ES"/>
        </w:rPr>
      </w:pPr>
    </w:p>
    <w:p w14:paraId="594835D5" w14:textId="77777777" w:rsidR="00353D81" w:rsidRPr="00115E3D" w:rsidRDefault="00353D81" w:rsidP="00353D81">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2462158" w14:textId="77777777" w:rsidR="00353D81" w:rsidRPr="00115E3D" w:rsidRDefault="00353D81" w:rsidP="00353D81">
      <w:pPr>
        <w:spacing w:after="0" w:line="276" w:lineRule="auto"/>
        <w:jc w:val="both"/>
        <w:rPr>
          <w:rFonts w:ascii="Verdana" w:eastAsia="Calibri" w:hAnsi="Verdana" w:cs="Arial"/>
          <w:color w:val="000000" w:themeColor="text1"/>
          <w:lang w:val="es-ES"/>
        </w:rPr>
      </w:pPr>
    </w:p>
    <w:p w14:paraId="558FCCEC"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MX"/>
          <w14:ligatures w14:val="standardContextual"/>
        </w:rPr>
      </w:pPr>
      <w:r w:rsidRPr="00024A32">
        <w:rPr>
          <w:rFonts w:ascii="Verdana" w:hAnsi="Verdana" w:cs="Arial"/>
          <w:color w:val="000000" w:themeColor="text1"/>
          <w:lang w:val="es-ES"/>
          <w14:ligatures w14:val="standardContextual"/>
        </w:rPr>
        <w:t>Respecto del objeto de su consulta, en primer lugar, debe advertirse que,</w:t>
      </w:r>
      <w:r w:rsidRPr="00024A32">
        <w:rPr>
          <w:rFonts w:ascii="Verdana" w:hAnsi="Verdana" w:cs="Arial"/>
          <w:color w:val="000000" w:themeColor="text1"/>
          <w:lang w:val="es-ES_tradnl"/>
          <w14:ligatures w14:val="standardContextual"/>
        </w:rPr>
        <w:t xml:space="preserve"> l</w:t>
      </w:r>
      <w:r w:rsidRPr="00024A32">
        <w:rPr>
          <w:rFonts w:ascii="Verdana" w:hAnsi="Verdana" w:cs="Arial"/>
          <w:color w:val="000000" w:themeColor="text1"/>
          <w:lang w:val="es-MX"/>
          <w14:ligatures w14:val="standardContextual"/>
        </w:rPr>
        <w:t xml:space="preserve">as inhabilidades son circunstancias establecidas por la Constitución o en la ley que impiden que personas naturales o jurídicas sean elegidas o </w:t>
      </w:r>
      <w:r w:rsidRPr="00024A32">
        <w:rPr>
          <w:rFonts w:ascii="Verdana" w:hAnsi="Verdana" w:cs="Arial"/>
          <w:color w:val="000000" w:themeColor="text1"/>
          <w:lang w:val="es-MX"/>
          <w14:ligatures w14:val="standardContextual"/>
        </w:rPr>
        <w:lastRenderedPageBreak/>
        <w:t xml:space="preserve">designadas en un cargo público o celebren contratos con el Estado, con el objetivo de garantizar la idoneidad, imparcialidad, probidad, transparencia y moralidad de la función pública, garantizando el interés general.  </w:t>
      </w:r>
    </w:p>
    <w:p w14:paraId="08B56D94"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MX"/>
          <w14:ligatures w14:val="standardContextual"/>
        </w:rPr>
      </w:pPr>
    </w:p>
    <w:p w14:paraId="33397333"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MX"/>
          <w14:ligatures w14:val="standardContextual"/>
        </w:rPr>
      </w:pPr>
      <w:r w:rsidRPr="00024A32">
        <w:rPr>
          <w:rFonts w:ascii="Verdana" w:hAnsi="Verdana" w:cs="Arial"/>
          <w:color w:val="000000" w:themeColor="text1"/>
          <w:lang w:val="es-MX"/>
          <w14:ligatures w14:val="standardContextu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024A32">
        <w:rPr>
          <w:rFonts w:ascii="Verdana" w:hAnsi="Verdana" w:cs="Arial"/>
          <w:color w:val="000000" w:themeColor="text1"/>
          <w:vertAlign w:val="superscript"/>
          <w:lang w:val="es-MX"/>
          <w14:ligatures w14:val="standardContextual"/>
        </w:rPr>
        <w:footnoteReference w:id="1"/>
      </w:r>
      <w:r w:rsidRPr="00024A32">
        <w:rPr>
          <w:rFonts w:ascii="Verdana" w:hAnsi="Verdana" w:cs="Arial"/>
          <w:color w:val="000000" w:themeColor="text1"/>
          <w:lang w:val="es-MX"/>
          <w14:ligatures w14:val="standardContextual"/>
        </w:rPr>
        <w:t xml:space="preserve">. </w:t>
      </w:r>
    </w:p>
    <w:p w14:paraId="3E053A5A"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MX"/>
          <w14:ligatures w14:val="standardContextual"/>
        </w:rPr>
      </w:pPr>
    </w:p>
    <w:p w14:paraId="699C6BD4"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MX"/>
          <w14:ligatures w14:val="standardContextual"/>
        </w:rPr>
      </w:pPr>
      <w:r w:rsidRPr="00024A32">
        <w:rPr>
          <w:rFonts w:ascii="Verdana" w:hAnsi="Verdana" w:cs="Arial"/>
          <w:color w:val="000000" w:themeColor="text1"/>
          <w:lang w:val="es-MX"/>
          <w14:ligatures w14:val="standardContextual"/>
        </w:rPr>
        <w:t xml:space="preserve">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0E19BC1"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MX"/>
          <w14:ligatures w14:val="standardContextual"/>
        </w:rPr>
      </w:pPr>
    </w:p>
    <w:p w14:paraId="5A20F8A1"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i/>
          <w:iCs/>
          <w:color w:val="000000" w:themeColor="text1"/>
          <w:sz w:val="20"/>
          <w:szCs w:val="20"/>
          <w:lang w:val="es-ES"/>
          <w14:ligatures w14:val="standardContextual"/>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DEF1733"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p>
    <w:p w14:paraId="1859C9C9"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i/>
          <w:iCs/>
          <w:color w:val="000000" w:themeColor="text1"/>
          <w:sz w:val="20"/>
          <w:szCs w:val="20"/>
          <w:lang w:val="es-ES"/>
          <w14:ligatures w14:val="standardContextual"/>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w:t>
      </w:r>
      <w:r w:rsidRPr="00024A32">
        <w:rPr>
          <w:rFonts w:ascii="Verdana" w:hAnsi="Verdana" w:cs="Arial"/>
          <w:i/>
          <w:iCs/>
          <w:color w:val="000000" w:themeColor="text1"/>
          <w:sz w:val="20"/>
          <w:szCs w:val="20"/>
          <w:lang w:val="es-ES"/>
          <w14:ligatures w14:val="standardContextual"/>
        </w:rPr>
        <w:lastRenderedPageBreak/>
        <w:t>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024A32">
        <w:rPr>
          <w:rFonts w:ascii="Verdana" w:hAnsi="Verdana" w:cs="Arial"/>
          <w:i/>
          <w:iCs/>
          <w:color w:val="000000" w:themeColor="text1"/>
          <w:sz w:val="20"/>
          <w:szCs w:val="20"/>
          <w:vertAlign w:val="superscript"/>
          <w:lang w:val="es-ES"/>
          <w14:ligatures w14:val="standardContextual"/>
        </w:rPr>
        <w:footnoteReference w:id="2"/>
      </w:r>
      <w:r w:rsidRPr="00024A32">
        <w:rPr>
          <w:rFonts w:ascii="Verdana" w:hAnsi="Verdana" w:cs="Arial"/>
          <w:i/>
          <w:iCs/>
          <w:color w:val="000000" w:themeColor="text1"/>
          <w:sz w:val="20"/>
          <w:szCs w:val="20"/>
          <w:lang w:val="es-ES"/>
          <w14:ligatures w14:val="standardContextual"/>
        </w:rPr>
        <w:t xml:space="preserve"> </w:t>
      </w:r>
    </w:p>
    <w:p w14:paraId="479ED7B8"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MX"/>
          <w14:ligatures w14:val="standardContextual"/>
        </w:rPr>
      </w:pPr>
    </w:p>
    <w:p w14:paraId="33C6946C"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MX"/>
          <w14:ligatures w14:val="standardContextual"/>
        </w:rPr>
      </w:pPr>
      <w:r w:rsidRPr="00024A32">
        <w:rPr>
          <w:rFonts w:ascii="Verdana" w:hAnsi="Verdana" w:cs="Arial"/>
          <w:color w:val="000000" w:themeColor="text1"/>
          <w:lang w:val="es-MX"/>
          <w14:ligatures w14:val="standardContextual"/>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6438C042"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703499B0"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color w:val="000000" w:themeColor="text1"/>
          <w:sz w:val="20"/>
          <w:szCs w:val="20"/>
          <w:lang w:val="es-ES"/>
          <w14:ligatures w14:val="standardContextual"/>
        </w:rPr>
        <w:t>“</w:t>
      </w:r>
      <w:r w:rsidRPr="00024A32">
        <w:rPr>
          <w:rFonts w:ascii="Verdana" w:hAnsi="Verdana" w:cs="Arial"/>
          <w:i/>
          <w:iCs/>
          <w:color w:val="000000" w:themeColor="text1"/>
          <w:sz w:val="20"/>
          <w:szCs w:val="20"/>
          <w:lang w:val="es-ES"/>
          <w14:ligatures w14:val="standardContextual"/>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2CF8DC7D"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p>
    <w:p w14:paraId="622F8272"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i/>
          <w:iCs/>
          <w:color w:val="000000" w:themeColor="text1"/>
          <w:sz w:val="20"/>
          <w:szCs w:val="20"/>
          <w:lang w:val="es-ES"/>
          <w14:ligatures w14:val="standardContextual"/>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w:t>
      </w:r>
      <w:r w:rsidRPr="00024A32">
        <w:rPr>
          <w:rFonts w:ascii="Verdana" w:hAnsi="Verdana" w:cs="Arial"/>
          <w:i/>
          <w:iCs/>
          <w:color w:val="000000" w:themeColor="text1"/>
          <w:sz w:val="20"/>
          <w:szCs w:val="20"/>
          <w:lang w:val="es-ES"/>
          <w14:ligatures w14:val="standardContextual"/>
        </w:rPr>
        <w:lastRenderedPageBreak/>
        <w:t>caso, el derecho a la igualdad y el reconocimiento de la personalidad jurídica de las personas que resultan rechazadas del ámbito contractual del Estado”</w:t>
      </w:r>
      <w:r w:rsidRPr="00024A32">
        <w:rPr>
          <w:rFonts w:ascii="Verdana" w:hAnsi="Verdana" w:cs="Arial"/>
          <w:i/>
          <w:iCs/>
          <w:color w:val="000000" w:themeColor="text1"/>
          <w:sz w:val="20"/>
          <w:szCs w:val="20"/>
          <w:vertAlign w:val="superscript"/>
          <w:lang w:val="es-ES"/>
          <w14:ligatures w14:val="standardContextual"/>
        </w:rPr>
        <w:footnoteReference w:id="3"/>
      </w:r>
      <w:r w:rsidRPr="00024A32">
        <w:rPr>
          <w:rFonts w:ascii="Verdana" w:hAnsi="Verdana" w:cs="Arial"/>
          <w:i/>
          <w:iCs/>
          <w:color w:val="000000" w:themeColor="text1"/>
          <w:sz w:val="20"/>
          <w:szCs w:val="20"/>
          <w:lang w:val="es-ES"/>
          <w14:ligatures w14:val="standardContextual"/>
        </w:rPr>
        <w:t>.</w:t>
      </w:r>
    </w:p>
    <w:p w14:paraId="53AC43DA"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12B3E661"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1A99C519"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MX"/>
          <w14:ligatures w14:val="standardContextual"/>
        </w:rPr>
      </w:pPr>
    </w:p>
    <w:p w14:paraId="182B09DB"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color w:val="000000" w:themeColor="text1"/>
          <w:sz w:val="20"/>
          <w:szCs w:val="20"/>
          <w:lang w:val="es-MX"/>
          <w14:ligatures w14:val="standardContextual"/>
        </w:rPr>
        <w:t>“</w:t>
      </w:r>
      <w:r w:rsidRPr="00024A32">
        <w:rPr>
          <w:rFonts w:ascii="Verdana" w:hAnsi="Verdana" w:cs="Arial"/>
          <w:i/>
          <w:iCs/>
          <w:color w:val="000000" w:themeColor="text1"/>
          <w:sz w:val="20"/>
          <w:szCs w:val="20"/>
          <w:lang w:val="es-ES"/>
          <w14:ligatures w14:val="standardContextual"/>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libértate, sino el de legalidad, el que ordena que la función pública debe someterse estrictamente a lo que disponga la Constitución y la ley (CP art. 6). </w:t>
      </w:r>
    </w:p>
    <w:p w14:paraId="4625CBC2"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p>
    <w:p w14:paraId="3306A9F8"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i/>
          <w:iCs/>
          <w:color w:val="000000" w:themeColor="text1"/>
          <w:sz w:val="20"/>
          <w:szCs w:val="20"/>
          <w:lang w:val="es-ES"/>
          <w14:ligatures w14:val="standardContextual"/>
        </w:rPr>
        <w:t xml:space="preserve">[…] </w:t>
      </w:r>
    </w:p>
    <w:p w14:paraId="21B3566D"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p>
    <w:p w14:paraId="78076A70"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r w:rsidRPr="00024A32">
        <w:rPr>
          <w:rFonts w:ascii="Verdana" w:hAnsi="Verdana" w:cs="Arial"/>
          <w:i/>
          <w:iCs/>
          <w:color w:val="000000" w:themeColor="text1"/>
          <w:sz w:val="20"/>
          <w:szCs w:val="20"/>
          <w:lang w:val="es-ES"/>
          <w14:ligatures w14:val="standardContextual"/>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024A32">
        <w:rPr>
          <w:rFonts w:ascii="Verdana" w:hAnsi="Verdana" w:cs="Arial"/>
          <w:i/>
          <w:iCs/>
          <w:color w:val="000000" w:themeColor="text1"/>
          <w:sz w:val="20"/>
          <w:szCs w:val="20"/>
          <w:vertAlign w:val="superscript"/>
          <w:lang w:val="es-ES"/>
          <w14:ligatures w14:val="standardContextual"/>
        </w:rPr>
        <w:footnoteReference w:id="4"/>
      </w:r>
    </w:p>
    <w:p w14:paraId="4F8B3888"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ES"/>
          <w14:ligatures w14:val="standardContextual"/>
        </w:rPr>
      </w:pPr>
    </w:p>
    <w:p w14:paraId="2B049E56"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 xml:space="preserve">Conviene también distinguir las fuentes de las inhabilidades, las cuales han sido clasificadas en dos (2) grupos: i) inhabilidades-sanción y ii) </w:t>
      </w:r>
      <w:r w:rsidRPr="00024A32">
        <w:rPr>
          <w:rFonts w:ascii="Verdana" w:hAnsi="Verdana" w:cs="Arial"/>
          <w:color w:val="000000" w:themeColor="text1"/>
          <w:lang w:val="es-ES"/>
          <w14:ligatures w14:val="standardContextual"/>
        </w:rPr>
        <w:lastRenderedPageBreak/>
        <w:t xml:space="preserve">inhabilidades-requisito. En el </w:t>
      </w:r>
      <w:r w:rsidRPr="00024A32">
        <w:rPr>
          <w:rFonts w:ascii="Verdana" w:hAnsi="Verdana" w:cs="Arial"/>
          <w:i/>
          <w:iCs/>
          <w:color w:val="000000" w:themeColor="text1"/>
          <w:lang w:val="es-ES"/>
          <w14:ligatures w14:val="standardContextual"/>
        </w:rPr>
        <w:t>primer</w:t>
      </w:r>
      <w:r w:rsidRPr="00024A32">
        <w:rPr>
          <w:rFonts w:ascii="Verdana" w:hAnsi="Verdana" w:cs="Arial"/>
          <w:color w:val="000000" w:themeColor="text1"/>
          <w:lang w:val="es-ES"/>
          <w14:ligatures w14:val="standardContextual"/>
        </w:rPr>
        <w:t xml:space="preserve"> grupo se encuentran las inhabilidades que surgen como consecuencia de un proceso sancionatorio, en los ámbitos penal, disciplinario, contravencional o de pérdida de investidura. En el </w:t>
      </w:r>
      <w:r w:rsidRPr="00024A32">
        <w:rPr>
          <w:rFonts w:ascii="Verdana" w:hAnsi="Verdana" w:cs="Arial"/>
          <w:i/>
          <w:iCs/>
          <w:color w:val="000000" w:themeColor="text1"/>
          <w:lang w:val="es-ES"/>
          <w14:ligatures w14:val="standardContextual"/>
        </w:rPr>
        <w:t>segundo</w:t>
      </w:r>
      <w:r w:rsidRPr="00024A32">
        <w:rPr>
          <w:rFonts w:ascii="Verdana" w:hAnsi="Verdana" w:cs="Arial"/>
          <w:color w:val="000000" w:themeColor="text1"/>
          <w:lang w:val="es-ES"/>
          <w14:ligatures w14:val="standardContextual"/>
        </w:rPr>
        <w:t xml:space="preserve"> grupo están aquellas que no devienen de un proceso sancionatorio, sino de condiciones propias de la persona y garantizan la moralidad, la imparcialidad, la eficacia y la transparencia</w:t>
      </w:r>
      <w:r w:rsidRPr="00024A32">
        <w:rPr>
          <w:rFonts w:ascii="Verdana" w:hAnsi="Verdana" w:cs="Arial"/>
          <w:color w:val="000000" w:themeColor="text1"/>
          <w:vertAlign w:val="superscript"/>
          <w:lang w:val="es-ES"/>
          <w14:ligatures w14:val="standardContextual"/>
        </w:rPr>
        <w:footnoteReference w:id="5"/>
      </w:r>
      <w:r w:rsidRPr="00024A32">
        <w:rPr>
          <w:rFonts w:ascii="Verdana" w:hAnsi="Verdana" w:cs="Arial"/>
          <w:color w:val="000000" w:themeColor="text1"/>
          <w:lang w:val="es-ES"/>
          <w14:ligatures w14:val="standardContextual"/>
        </w:rPr>
        <w:t xml:space="preserve">. </w:t>
      </w:r>
    </w:p>
    <w:p w14:paraId="6B3B166B"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54D7E428"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7958B1E9"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5AAE409D"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69F1A25F"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75EF0075"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_tradnl"/>
          <w14:ligatures w14:val="standardContextual"/>
        </w:rPr>
      </w:pPr>
      <w:r w:rsidRPr="00024A32">
        <w:rPr>
          <w:rFonts w:ascii="Verdana" w:hAnsi="Verdana" w:cs="Arial"/>
          <w:color w:val="000000" w:themeColor="text1"/>
          <w:lang w:val="es-ES_tradnl"/>
          <w14:ligatures w14:val="standardContextua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024A32">
        <w:rPr>
          <w:rFonts w:ascii="Verdana" w:hAnsi="Verdana" w:cs="Arial"/>
          <w:i/>
          <w:iCs/>
          <w:color w:val="000000" w:themeColor="text1"/>
          <w:lang w:val="es-ES_tradnl"/>
          <w14:ligatures w14:val="standardContextual"/>
        </w:rPr>
        <w:t>restrictiva</w:t>
      </w:r>
      <w:r w:rsidRPr="00024A32">
        <w:rPr>
          <w:rFonts w:ascii="Verdana" w:hAnsi="Verdana" w:cs="Arial"/>
          <w:color w:val="000000" w:themeColor="text1"/>
          <w:vertAlign w:val="superscript"/>
          <w:lang w:val="es-ES"/>
          <w14:ligatures w14:val="standardContextual"/>
        </w:rPr>
        <w:footnoteReference w:id="6"/>
      </w:r>
      <w:r w:rsidRPr="00024A32">
        <w:rPr>
          <w:rFonts w:ascii="Verdana" w:hAnsi="Verdana" w:cs="Arial"/>
          <w:color w:val="000000" w:themeColor="text1"/>
          <w:lang w:val="es-ES_tradnl"/>
          <w14:ligatures w14:val="standardContextual"/>
        </w:rPr>
        <w:t xml:space="preserve">, pues si se admitiera una interpretación amplia, extensiva o finalista de las mismas, tales enunciados normativos podrían contemplar múltiples supuestos indeterminados, según el parecer o el sentido común </w:t>
      </w:r>
      <w:r w:rsidRPr="00024A32">
        <w:rPr>
          <w:rFonts w:ascii="Verdana" w:hAnsi="Verdana" w:cs="Arial"/>
          <w:color w:val="000000" w:themeColor="text1"/>
          <w:lang w:val="es-ES_tradnl"/>
          <w14:ligatures w14:val="standardContextual"/>
        </w:rPr>
        <w:lastRenderedPageBreak/>
        <w:t xml:space="preserve">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6CF1828F"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082AA41C"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_tradnl"/>
          <w14:ligatures w14:val="standardContextual"/>
        </w:rPr>
      </w:pPr>
      <w:r w:rsidRPr="00024A32">
        <w:rPr>
          <w:rFonts w:ascii="Verdana" w:hAnsi="Verdana" w:cs="Arial"/>
          <w:color w:val="000000" w:themeColor="text1"/>
          <w:lang w:val="es-ES_tradnl"/>
          <w14:ligatures w14:val="standardContextual"/>
        </w:rPr>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024A32">
        <w:rPr>
          <w:rFonts w:ascii="Verdana" w:hAnsi="Verdana" w:cs="Arial"/>
          <w:color w:val="000000" w:themeColor="text1"/>
          <w:vertAlign w:val="superscript"/>
          <w:lang w:val="es-ES"/>
          <w14:ligatures w14:val="standardContextual"/>
        </w:rPr>
        <w:footnoteReference w:id="7"/>
      </w:r>
      <w:r w:rsidRPr="00024A32">
        <w:rPr>
          <w:rFonts w:ascii="Verdana" w:hAnsi="Verdana" w:cs="Arial"/>
          <w:color w:val="000000" w:themeColor="text1"/>
          <w:lang w:val="es-ES_tradnl"/>
          <w14:ligatures w14:val="standardContextua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024A32">
        <w:rPr>
          <w:rFonts w:ascii="Verdana" w:hAnsi="Verdana" w:cs="Arial"/>
          <w:color w:val="000000" w:themeColor="text1"/>
          <w:vertAlign w:val="superscript"/>
          <w:lang w:val="es-ES"/>
          <w14:ligatures w14:val="standardContextual"/>
        </w:rPr>
        <w:footnoteReference w:id="8"/>
      </w:r>
      <w:r w:rsidRPr="00024A32">
        <w:rPr>
          <w:rFonts w:ascii="Verdana" w:hAnsi="Verdana" w:cs="Arial"/>
          <w:color w:val="000000" w:themeColor="text1"/>
          <w:lang w:val="es-ES_tradnl"/>
          <w14:ligatures w14:val="standardContextual"/>
        </w:rPr>
        <w:t>. En tal sentido, la Sección Tercera ha señalado que:</w:t>
      </w:r>
    </w:p>
    <w:p w14:paraId="66E678E5"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32B8E845"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MX"/>
          <w14:ligatures w14:val="standardContextual"/>
        </w:rPr>
      </w:pPr>
      <w:r w:rsidRPr="00024A32">
        <w:rPr>
          <w:rFonts w:ascii="Verdana" w:hAnsi="Verdana" w:cs="Arial"/>
          <w:i/>
          <w:iCs/>
          <w:color w:val="000000" w:themeColor="text1"/>
          <w:sz w:val="20"/>
          <w:szCs w:val="20"/>
          <w:lang w:val="es-MX"/>
          <w14:ligatures w14:val="standardContextua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024A32">
        <w:rPr>
          <w:rFonts w:ascii="Verdana" w:hAnsi="Verdana" w:cs="Arial"/>
          <w:i/>
          <w:iCs/>
          <w:color w:val="000000" w:themeColor="text1"/>
          <w:sz w:val="20"/>
          <w:szCs w:val="20"/>
          <w:vertAlign w:val="superscript"/>
          <w:lang w:val="es-MX"/>
          <w14:ligatures w14:val="standardContextual"/>
        </w:rPr>
        <w:footnoteReference w:id="9"/>
      </w:r>
      <w:r w:rsidRPr="00024A32">
        <w:rPr>
          <w:rFonts w:ascii="Verdana" w:hAnsi="Verdana" w:cs="Arial"/>
          <w:i/>
          <w:iCs/>
          <w:color w:val="000000" w:themeColor="text1"/>
          <w:sz w:val="20"/>
          <w:szCs w:val="20"/>
          <w:vertAlign w:val="superscript"/>
          <w:lang w:val="es-MX"/>
          <w14:ligatures w14:val="standardContextual"/>
        </w:rPr>
        <w:t>.</w:t>
      </w:r>
    </w:p>
    <w:p w14:paraId="7AB37B4D" w14:textId="77777777" w:rsidR="00024A32" w:rsidRPr="00024A32" w:rsidRDefault="00024A32" w:rsidP="00024A32">
      <w:pPr>
        <w:widowControl w:val="0"/>
        <w:autoSpaceDE w:val="0"/>
        <w:autoSpaceDN w:val="0"/>
        <w:spacing w:after="120" w:line="276" w:lineRule="auto"/>
        <w:ind w:left="709" w:right="709"/>
        <w:jc w:val="both"/>
        <w:rPr>
          <w:rFonts w:ascii="Verdana" w:hAnsi="Verdana" w:cs="Arial"/>
          <w:bCs/>
          <w:color w:val="000000" w:themeColor="text1"/>
          <w:sz w:val="20"/>
          <w:szCs w:val="20"/>
          <w:lang w:val="es-ES_tradnl"/>
          <w14:ligatures w14:val="standardContextual"/>
        </w:rPr>
      </w:pPr>
    </w:p>
    <w:p w14:paraId="528E29D0"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MX"/>
          <w14:ligatures w14:val="standardContextual"/>
        </w:rPr>
      </w:pPr>
      <w:r w:rsidRPr="00024A32">
        <w:rPr>
          <w:rFonts w:ascii="Verdana" w:hAnsi="Verdana" w:cs="Arial"/>
          <w:i/>
          <w:iCs/>
          <w:color w:val="000000" w:themeColor="text1"/>
          <w:sz w:val="20"/>
          <w:szCs w:val="20"/>
          <w:lang w:val="es-MX"/>
          <w14:ligatures w14:val="standardContextual"/>
        </w:rPr>
        <w:t>También ha dicho que:</w:t>
      </w:r>
    </w:p>
    <w:p w14:paraId="32E6FFAF"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MX"/>
          <w14:ligatures w14:val="standardContextual"/>
        </w:rPr>
      </w:pPr>
    </w:p>
    <w:p w14:paraId="62EB9E5C"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MX"/>
          <w14:ligatures w14:val="standardContextual"/>
        </w:rPr>
      </w:pPr>
      <w:r w:rsidRPr="00024A32">
        <w:rPr>
          <w:rFonts w:ascii="Verdana" w:hAnsi="Verdana" w:cs="Arial"/>
          <w:i/>
          <w:iCs/>
          <w:color w:val="000000" w:themeColor="text1"/>
          <w:sz w:val="20"/>
          <w:szCs w:val="20"/>
          <w:lang w:val="es-MX"/>
          <w14:ligatures w14:val="standardContextual"/>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024A32">
        <w:rPr>
          <w:rFonts w:ascii="Verdana" w:hAnsi="Verdana" w:cs="Arial"/>
          <w:i/>
          <w:iCs/>
          <w:color w:val="000000" w:themeColor="text1"/>
          <w:sz w:val="20"/>
          <w:szCs w:val="20"/>
          <w:vertAlign w:val="superscript"/>
          <w:lang w:val="es-MX"/>
          <w14:ligatures w14:val="standardContextual"/>
        </w:rPr>
        <w:footnoteReference w:id="10"/>
      </w:r>
      <w:r w:rsidRPr="00024A32">
        <w:rPr>
          <w:rFonts w:ascii="Verdana" w:hAnsi="Verdana" w:cs="Arial"/>
          <w:i/>
          <w:iCs/>
          <w:color w:val="000000" w:themeColor="text1"/>
          <w:sz w:val="20"/>
          <w:szCs w:val="20"/>
          <w:lang w:val="es-MX"/>
          <w14:ligatures w14:val="standardContextual"/>
        </w:rPr>
        <w:t>.</w:t>
      </w:r>
    </w:p>
    <w:p w14:paraId="04271BB2"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6B5E4132"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MX"/>
          <w14:ligatures w14:val="standardContextual"/>
        </w:rPr>
      </w:pPr>
      <w:r w:rsidRPr="00024A32">
        <w:rPr>
          <w:rFonts w:ascii="Verdana" w:hAnsi="Verdana" w:cs="Arial"/>
          <w:color w:val="000000" w:themeColor="text1"/>
          <w:lang w:val="es-ES_tradnl"/>
          <w14:ligatures w14:val="standardContextual"/>
        </w:rPr>
        <w:t xml:space="preserve">Como se aprecia, el principio </w:t>
      </w:r>
      <w:r w:rsidRPr="00024A32">
        <w:rPr>
          <w:rFonts w:ascii="Verdana" w:hAnsi="Verdana" w:cs="Arial"/>
          <w:i/>
          <w:iCs/>
          <w:color w:val="000000" w:themeColor="text1"/>
          <w:lang w:val="es-ES_tradnl"/>
          <w14:ligatures w14:val="standardContextual"/>
        </w:rPr>
        <w:t>pro libertate</w:t>
      </w:r>
      <w:r w:rsidRPr="00024A32">
        <w:rPr>
          <w:rFonts w:ascii="Verdana" w:hAnsi="Verdana" w:cs="Arial"/>
          <w:color w:val="000000" w:themeColor="text1"/>
          <w:lang w:val="es-ES_tradnl"/>
          <w14:ligatures w14:val="standardContextual"/>
        </w:rPr>
        <w:t xml:space="preserve"> es el que debe dirigir la interpretación de las disposiciones normativas que consagran restricciones de derechos, como sucede con las causales de inhabilidad e incompatibilidad en la contratación estatal. </w:t>
      </w:r>
      <w:r w:rsidRPr="00024A32">
        <w:rPr>
          <w:rFonts w:ascii="Verdana" w:hAnsi="Verdana" w:cs="Arial"/>
          <w:color w:val="000000" w:themeColor="text1"/>
          <w:lang w:val="es-ES"/>
          <w14:ligatures w14:val="standardContextual"/>
        </w:rPr>
        <w:t xml:space="preserve">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 </w:t>
      </w:r>
    </w:p>
    <w:p w14:paraId="19F80A96"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5BBAD3DD"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Teniendo en cuenta el objeto de su solicitud, es menester resaltar que, por el carácter de interpretación restrictiva del régimen de inhabilidades e incompatibilidades antes explicado, la aplicación de una causal de inhabilidad para celebrar un contrato estatal debe ser según lo descrito en la ley, de forma taxativa, por lo que la situación expresada, en principio, no se podría encuadrar en ninguna de las causales descritas en el artículo 8 de la Ley 80 de 1993. No obstante, esta norma no es la única fuente de inhabilidades e incompatibilidades, al respecto, y con relación a su pregunta, la Ley 1474 de 2011 consagra:</w:t>
      </w:r>
    </w:p>
    <w:p w14:paraId="295EA80B"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2F6170E9" w14:textId="77777777" w:rsidR="00024A32" w:rsidRPr="00024A32" w:rsidRDefault="00024A32" w:rsidP="00024A32">
      <w:pPr>
        <w:widowControl w:val="0"/>
        <w:autoSpaceDE w:val="0"/>
        <w:autoSpaceDN w:val="0"/>
        <w:spacing w:after="120" w:line="240" w:lineRule="auto"/>
        <w:ind w:left="1134" w:right="357"/>
        <w:jc w:val="both"/>
        <w:rPr>
          <w:rFonts w:ascii="Verdana" w:hAnsi="Verdana" w:cs="Arial"/>
          <w:i/>
          <w:iCs/>
          <w:color w:val="000000" w:themeColor="text1"/>
          <w:sz w:val="20"/>
          <w:szCs w:val="20"/>
          <w:lang w:val="es-MX"/>
          <w14:ligatures w14:val="standardContextual"/>
        </w:rPr>
      </w:pPr>
      <w:r w:rsidRPr="00024A32">
        <w:rPr>
          <w:rFonts w:ascii="Verdana" w:hAnsi="Verdana" w:cs="Arial"/>
          <w:i/>
          <w:iCs/>
          <w:color w:val="000000" w:themeColor="text1"/>
          <w:sz w:val="20"/>
          <w:szCs w:val="20"/>
          <w:lang w:val="es-MX"/>
          <w14:ligatures w14:val="standardContextual"/>
        </w:rPr>
        <w:lastRenderedPageBreak/>
        <w:t>“ARTÍCULO 5.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no podrán celebrar contratos de interventoría con la misma entidad”.</w:t>
      </w:r>
    </w:p>
    <w:p w14:paraId="483555FD"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41309F5B"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_tradnl"/>
          <w14:ligatures w14:val="standardContextual"/>
        </w:rPr>
      </w:pPr>
      <w:r w:rsidRPr="00024A32">
        <w:rPr>
          <w:rFonts w:ascii="Verdana" w:hAnsi="Verdana" w:cs="Arial"/>
          <w:color w:val="000000" w:themeColor="text1"/>
          <w:lang w:val="es-ES_tradnl"/>
          <w14:ligatures w14:val="standardContextual"/>
        </w:rPr>
        <w:t xml:space="preserve">Por tanto, es la entidad contratante la que debe determinar la aplicación de la anterior causal del régimen de inhabilidades e incompatibilidades, al supuesto de hecho descrito. </w:t>
      </w:r>
    </w:p>
    <w:p w14:paraId="015E34BD"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1619DF80"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_tradnl"/>
          <w14:ligatures w14:val="standardContextual"/>
        </w:rPr>
      </w:pPr>
      <w:r w:rsidRPr="00024A32">
        <w:rPr>
          <w:rFonts w:ascii="Verdana" w:hAnsi="Verdana" w:cs="Arial"/>
          <w:color w:val="000000" w:themeColor="text1"/>
          <w:lang w:val="es-ES"/>
          <w14:ligatures w14:val="standardContextual"/>
        </w:rPr>
        <w:t>En segundo lugar</w:t>
      </w:r>
      <w:r w:rsidRPr="00024A32">
        <w:rPr>
          <w:rFonts w:ascii="Verdana" w:hAnsi="Verdana" w:cs="Arial"/>
          <w:color w:val="000000" w:themeColor="text1"/>
          <w:lang w:val="es-ES_tradnl"/>
          <w14:ligatures w14:val="standardContextual"/>
        </w:rPr>
        <w:t xml:space="preserve">, dado que en la pregunta de su consulta hace referencia al régimen de los conflictos de interés en la contratación estatal, debe señalarse que,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1" w:name="_Hlk36672204"/>
      <w:r w:rsidRPr="00024A32">
        <w:rPr>
          <w:rFonts w:ascii="Verdana" w:hAnsi="Verdana" w:cs="Arial"/>
          <w:color w:val="000000" w:themeColor="text1"/>
          <w:lang w:val="es-ES_tradnl"/>
          <w14:ligatures w14:val="standardContextual"/>
        </w:rPr>
        <w:t xml:space="preserve">el régimen de los </w:t>
      </w:r>
      <w:r w:rsidRPr="00024A32">
        <w:rPr>
          <w:rFonts w:ascii="Verdana" w:hAnsi="Verdana" w:cs="Arial"/>
          <w:i/>
          <w:iCs/>
          <w:color w:val="000000" w:themeColor="text1"/>
          <w:lang w:val="es-ES_tradnl"/>
          <w14:ligatures w14:val="standardContextual"/>
        </w:rPr>
        <w:t>conflictos de interés</w:t>
      </w:r>
      <w:r w:rsidRPr="00024A32">
        <w:rPr>
          <w:rFonts w:ascii="Verdana" w:hAnsi="Verdana" w:cs="Arial"/>
          <w:color w:val="000000" w:themeColor="text1"/>
          <w:lang w:val="es-ES_tradnl"/>
          <w14:ligatures w14:val="standardContextua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2" w:name="_Hlk36668905"/>
      <w:r w:rsidRPr="00024A32">
        <w:rPr>
          <w:rFonts w:ascii="Verdana" w:hAnsi="Verdana" w:cs="Arial"/>
          <w:color w:val="000000" w:themeColor="text1"/>
          <w:lang w:val="es-ES_tradnl"/>
          <w14:ligatures w14:val="standardContextual"/>
        </w:rPr>
        <w:t>concurrencia de intereses antagónicos que afectan la transparencia de las decisiones, al implicar –en detrimento del interés general– el aprovechamiento personal, familiar o particular</w:t>
      </w:r>
      <w:bookmarkEnd w:id="1"/>
      <w:bookmarkEnd w:id="2"/>
      <w:r w:rsidRPr="00024A32">
        <w:rPr>
          <w:rFonts w:ascii="Verdana" w:hAnsi="Verdana" w:cs="Arial"/>
          <w:color w:val="000000" w:themeColor="text1"/>
          <w:vertAlign w:val="superscript"/>
          <w:lang w:val="es-ES_tradnl"/>
          <w14:ligatures w14:val="standardContextual"/>
        </w:rPr>
        <w:footnoteReference w:id="11"/>
      </w:r>
      <w:r w:rsidRPr="00024A32">
        <w:rPr>
          <w:rFonts w:ascii="Verdana" w:hAnsi="Verdana" w:cs="Arial"/>
          <w:color w:val="000000" w:themeColor="text1"/>
          <w:lang w:val="es-ES_tradnl"/>
          <w14:ligatures w14:val="standardContextual"/>
        </w:rPr>
        <w:t>.</w:t>
      </w:r>
    </w:p>
    <w:p w14:paraId="799FE4C0"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06178863"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color w:val="000000" w:themeColor="text1"/>
          <w:lang w:val="es-ES"/>
          <w14:ligatures w14:val="standardContextual"/>
        </w:rPr>
        <w:t xml:space="preserve">La institución jurídica de los conflictos de interés no está definida con carácter general en el ordenamiento jurídico y tampoco de forma precisa en las normas que regulan la contratación estatal, por lo que es un asunto ausente en el EGCAP. No obstante, existen disposiciones especiales como </w:t>
      </w:r>
      <w:r w:rsidRPr="00024A32">
        <w:rPr>
          <w:rFonts w:ascii="Verdana" w:hAnsi="Verdana" w:cs="Arial"/>
          <w:color w:val="000000" w:themeColor="text1"/>
          <w:lang w:val="es-ES"/>
          <w14:ligatures w14:val="standardContextual"/>
        </w:rPr>
        <w:lastRenderedPageBreak/>
        <w:t xml:space="preserve">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4FD7E5C0"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
          <w14:ligatures w14:val="standardContextual"/>
        </w:rPr>
      </w:pPr>
    </w:p>
    <w:p w14:paraId="2895E1E6"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_tradnl"/>
          <w14:ligatures w14:val="standardContextual"/>
        </w:rPr>
      </w:pPr>
      <w:r w:rsidRPr="00024A32">
        <w:rPr>
          <w:rFonts w:ascii="Verdana" w:hAnsi="Verdana" w:cs="Arial"/>
          <w:color w:val="000000" w:themeColor="text1"/>
          <w:lang w:val="es-ES_tradnl"/>
          <w14:ligatures w14:val="standardContextual"/>
        </w:rPr>
        <w:t>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Por lo anterior, sus destinatarios no son los proponentes o contratistas particulares que participan en el procedimiento de selección o celebran el contrato con la Entidad Estatal, sino los servidores mencionados. En este sentido, en caso de presentarse alguna de las causales establecidas en el artículo 11 del Código de Procedimiento Administrativo o de lo Contencioso Administrativo –en adelante CPACA–, corresponde aplicar el trámite establecido en el artículo 12 de la misma ley.</w:t>
      </w:r>
    </w:p>
    <w:p w14:paraId="190804A8" w14:textId="77777777" w:rsidR="00024A32" w:rsidRPr="00024A32" w:rsidRDefault="00024A32" w:rsidP="00024A32">
      <w:pPr>
        <w:widowControl w:val="0"/>
        <w:autoSpaceDE w:val="0"/>
        <w:autoSpaceDN w:val="0"/>
        <w:spacing w:after="0" w:line="276" w:lineRule="auto"/>
        <w:jc w:val="both"/>
        <w:rPr>
          <w:rFonts w:ascii="Verdana" w:hAnsi="Verdana" w:cs="Arial"/>
          <w:color w:val="000000" w:themeColor="text1"/>
          <w:lang w:val="es-ES_tradnl"/>
          <w14:ligatures w14:val="standardContextual"/>
        </w:rPr>
      </w:pPr>
    </w:p>
    <w:p w14:paraId="63A75B2C"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i/>
          <w:iCs/>
          <w:color w:val="000000" w:themeColor="text1"/>
          <w:lang w:val="es-ES"/>
          <w14:ligatures w14:val="standardContextual"/>
        </w:rPr>
      </w:pPr>
      <w:r w:rsidRPr="00024A32">
        <w:rPr>
          <w:rFonts w:ascii="Verdana" w:hAnsi="Verdana" w:cs="Arial"/>
          <w:color w:val="000000" w:themeColor="text1"/>
          <w:lang w:val="es-ES"/>
          <w14:ligatures w14:val="standardContextual"/>
        </w:rPr>
        <w:t xml:space="preserve">Finalmente, en virtud del principio de autonomía, las Entidades Estatales puede establecer causales de rechazo que consideren pertinentes en el Proceso de Contratación. Así mismo, es bueno resaltar, como lo señaló la Agencia Nacional de Contratación Pública – Colombia Compra Eficiente en </w:t>
      </w:r>
      <w:r w:rsidRPr="00024A32">
        <w:rPr>
          <w:rFonts w:ascii="Verdana" w:hAnsi="Verdana" w:cs="Arial"/>
          <w:color w:val="000000" w:themeColor="text1"/>
          <w:lang w:val="es-ES"/>
          <w14:ligatures w14:val="standardContextual"/>
        </w:rPr>
        <w:lastRenderedPageBreak/>
        <w:t>los conceptos C-815 del 18 de febrero de 2021 y C-449 del 31 de agosto de 2021, que la doctrina</w:t>
      </w:r>
      <w:r w:rsidRPr="00024A32">
        <w:rPr>
          <w:rFonts w:ascii="Verdana" w:hAnsi="Verdana" w:cs="Arial"/>
          <w:color w:val="000000" w:themeColor="text1"/>
          <w:vertAlign w:val="superscript"/>
          <w:lang w:val="es-ES"/>
          <w14:ligatures w14:val="standardContextual"/>
        </w:rPr>
        <w:footnoteReference w:id="12"/>
      </w:r>
      <w:r w:rsidRPr="00024A32">
        <w:rPr>
          <w:rFonts w:ascii="Verdana" w:hAnsi="Verdana" w:cs="Arial"/>
          <w:color w:val="000000" w:themeColor="text1"/>
          <w:lang w:val="es-ES"/>
          <w14:ligatures w14:val="standardContextual"/>
        </w:rPr>
        <w:t xml:space="preserve"> y de forma particular la Sala de Consulta y Servicio Civil del Consejo de Estado</w:t>
      </w:r>
      <w:r w:rsidRPr="00024A32">
        <w:rPr>
          <w:rFonts w:ascii="Verdana" w:hAnsi="Verdana" w:cs="Arial"/>
          <w:color w:val="000000" w:themeColor="text1"/>
          <w:vertAlign w:val="superscript"/>
          <w:lang w:val="es-ES"/>
          <w14:ligatures w14:val="standardContextual"/>
        </w:rPr>
        <w:footnoteReference w:id="13"/>
      </w:r>
      <w:r w:rsidRPr="00024A32">
        <w:rPr>
          <w:rFonts w:ascii="Verdana" w:hAnsi="Verdana" w:cs="Arial"/>
          <w:color w:val="000000" w:themeColor="text1"/>
          <w:lang w:val="es-ES"/>
          <w14:ligatures w14:val="standardContextual"/>
        </w:rPr>
        <w:t xml:space="preserve">, han reconocido la posibilidad que tienen las Entidades Estatales de establecer conflictos de interés en sus Pliegos de Condiciones, diferenciando dichas causales y su regulación de las inhabilidades e incompatibilidades consagradas en el EGCAP y demás normas complementarias. La Sala de Consulta y Servicio Civil del Consejo de Estado claramente ha admitido la inclusión de causales de conflicto de interés en los Pliegos de Condiciones o en los contratos de las Entidades Estatales, siempre y cuando estas satisfagan, entre otros requisitos, los criterios de </w:t>
      </w:r>
      <w:r w:rsidRPr="00024A32">
        <w:rPr>
          <w:rFonts w:ascii="Verdana" w:hAnsi="Verdana" w:cs="Arial"/>
          <w:i/>
          <w:iCs/>
          <w:color w:val="000000" w:themeColor="text1"/>
          <w:lang w:val="es-ES"/>
          <w14:ligatures w14:val="standardContextual"/>
        </w:rPr>
        <w:t xml:space="preserve">tipicidad </w:t>
      </w:r>
      <w:r w:rsidRPr="00024A32">
        <w:rPr>
          <w:rFonts w:ascii="Verdana" w:hAnsi="Verdana" w:cs="Arial"/>
          <w:color w:val="000000" w:themeColor="text1"/>
          <w:lang w:val="es-ES"/>
          <w14:ligatures w14:val="standardContextual"/>
        </w:rPr>
        <w:t xml:space="preserve">y </w:t>
      </w:r>
      <w:r w:rsidRPr="00024A32">
        <w:rPr>
          <w:rFonts w:ascii="Verdana" w:hAnsi="Verdana" w:cs="Arial"/>
          <w:i/>
          <w:iCs/>
          <w:color w:val="000000" w:themeColor="text1"/>
          <w:lang w:val="es-ES"/>
          <w14:ligatures w14:val="standardContextual"/>
        </w:rPr>
        <w:t>objetividad.</w:t>
      </w:r>
      <w:r w:rsidRPr="00024A32">
        <w:rPr>
          <w:rFonts w:ascii="Verdana" w:hAnsi="Verdana" w:cs="Arial"/>
          <w:color w:val="000000" w:themeColor="text1"/>
          <w:vertAlign w:val="superscript"/>
          <w:lang w:val="es-ES"/>
          <w14:ligatures w14:val="standardContextual"/>
        </w:rPr>
        <w:footnoteReference w:id="14"/>
      </w:r>
    </w:p>
    <w:p w14:paraId="2661A564" w14:textId="77777777" w:rsidR="00024A32" w:rsidRPr="00024A32" w:rsidRDefault="00024A32" w:rsidP="00024A32">
      <w:pPr>
        <w:widowControl w:val="0"/>
        <w:autoSpaceDE w:val="0"/>
        <w:autoSpaceDN w:val="0"/>
        <w:spacing w:after="0" w:line="276" w:lineRule="auto"/>
        <w:jc w:val="both"/>
        <w:rPr>
          <w:rFonts w:ascii="Verdana" w:hAnsi="Verdana" w:cs="Arial"/>
          <w:i/>
          <w:iCs/>
          <w:color w:val="000000" w:themeColor="text1"/>
          <w:lang w:val="es-ES_tradnl"/>
          <w14:ligatures w14:val="standardContextual"/>
        </w:rPr>
      </w:pPr>
    </w:p>
    <w:p w14:paraId="0B12B137" w14:textId="77777777" w:rsidR="00024A32" w:rsidRPr="00024A32" w:rsidRDefault="00024A32" w:rsidP="00024A32">
      <w:pPr>
        <w:widowControl w:val="0"/>
        <w:numPr>
          <w:ilvl w:val="0"/>
          <w:numId w:val="2"/>
        </w:numPr>
        <w:autoSpaceDE w:val="0"/>
        <w:autoSpaceDN w:val="0"/>
        <w:spacing w:after="0" w:line="276" w:lineRule="auto"/>
        <w:jc w:val="both"/>
        <w:rPr>
          <w:rFonts w:ascii="Verdana" w:hAnsi="Verdana" w:cs="Arial"/>
          <w:color w:val="000000" w:themeColor="text1"/>
          <w:lang w:val="es-ES"/>
          <w14:ligatures w14:val="standardContextual"/>
        </w:rPr>
      </w:pPr>
      <w:r w:rsidRPr="00024A32">
        <w:rPr>
          <w:rFonts w:ascii="Verdana" w:hAnsi="Verdana" w:cs="Arial"/>
          <w:bCs/>
          <w:color w:val="000000" w:themeColor="text1"/>
          <w:lang w:val="es-MX"/>
          <w14:ligatures w14:val="standardContextual"/>
        </w:rPr>
        <w:t xml:space="preserve">Bajo estas consideraciones, corresponde a cada Entidad Pública, en ejercicio de su competencia y previa valoración de los elementos fácticos y jurídicos, determinar si se está incurso en alguna causal de inhabilidad o incompatibilidad o si se configura un conflicto de intereses. </w:t>
      </w:r>
    </w:p>
    <w:p w14:paraId="257524D5" w14:textId="77777777" w:rsidR="00353D81" w:rsidRPr="00024A32" w:rsidRDefault="00353D81" w:rsidP="00353D81">
      <w:pPr>
        <w:widowControl w:val="0"/>
        <w:autoSpaceDE w:val="0"/>
        <w:autoSpaceDN w:val="0"/>
        <w:spacing w:after="0" w:line="276" w:lineRule="auto"/>
        <w:jc w:val="both"/>
        <w:rPr>
          <w:rFonts w:ascii="Verdana" w:hAnsi="Verdana" w:cs="Arial"/>
          <w:color w:val="000000" w:themeColor="text1"/>
          <w:lang w:val="es-ES"/>
        </w:rPr>
      </w:pPr>
    </w:p>
    <w:p w14:paraId="1A12D519" w14:textId="77777777" w:rsidR="00353D81" w:rsidRPr="00115E3D" w:rsidRDefault="00353D81" w:rsidP="00353D8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Referencias normativas, jurisprudenciales y otras fuentes:</w:t>
      </w:r>
    </w:p>
    <w:p w14:paraId="5F85F220" w14:textId="77777777" w:rsidR="00353D81" w:rsidRPr="00115E3D" w:rsidRDefault="00353D81" w:rsidP="00353D81">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3D81" w:rsidRPr="00115E3D" w14:paraId="1D7AB6E0" w14:textId="77777777" w:rsidTr="00B065D0">
        <w:trPr>
          <w:trHeight w:val="870"/>
        </w:trPr>
        <w:tc>
          <w:tcPr>
            <w:tcW w:w="8647" w:type="dxa"/>
          </w:tcPr>
          <w:p w14:paraId="3DEAEBD1"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es-ES_tradnl"/>
              </w:rPr>
              <w:t>Constitución Política: artículo 209.</w:t>
            </w:r>
          </w:p>
          <w:p w14:paraId="78659601"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es-ES"/>
              </w:rPr>
              <w:t>Ley 80 de 1993: artículo 8.</w:t>
            </w:r>
          </w:p>
          <w:p w14:paraId="6C38967A"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es-MX"/>
              </w:rPr>
              <w:t>Ley 1150 de 2007: artículo 18.</w:t>
            </w:r>
          </w:p>
          <w:p w14:paraId="51F1B8BC"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es-ES_tradnl"/>
              </w:rPr>
              <w:t>Ley 1437 de 2011: artículos 3 numeral 5, 11 y 12</w:t>
            </w:r>
            <w:r w:rsidRPr="007257E2">
              <w:rPr>
                <w:rFonts w:ascii="Verdana" w:hAnsi="Verdana" w:cs="Arial"/>
                <w:color w:val="000000" w:themeColor="text1"/>
                <w:lang w:val="es-MX"/>
              </w:rPr>
              <w:t>.</w:t>
            </w:r>
          </w:p>
          <w:p w14:paraId="4148EC39"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pt-BR"/>
              </w:rPr>
              <w:t>Corte Constitucional. Sentencia C-1016 de 2012. M.P. Jorge Iván Palacio.</w:t>
            </w:r>
          </w:p>
          <w:p w14:paraId="259B1E13" w14:textId="77777777" w:rsidR="00024A32" w:rsidRPr="007257E2" w:rsidRDefault="00024A32" w:rsidP="00024A32">
            <w:pPr>
              <w:pStyle w:val="Prrafodelista"/>
              <w:numPr>
                <w:ilvl w:val="0"/>
                <w:numId w:val="3"/>
              </w:numPr>
              <w:spacing w:after="160" w:line="259" w:lineRule="auto"/>
              <w:contextualSpacing w:val="0"/>
              <w:jc w:val="both"/>
              <w:rPr>
                <w:rFonts w:ascii="Verdana" w:hAnsi="Verdana" w:cs="Arial"/>
                <w:color w:val="000000" w:themeColor="text1"/>
                <w:lang w:val="pt-BR"/>
              </w:rPr>
            </w:pPr>
            <w:r w:rsidRPr="007257E2">
              <w:rPr>
                <w:rFonts w:ascii="Verdana" w:hAnsi="Verdana" w:cs="Arial"/>
                <w:color w:val="000000" w:themeColor="text1"/>
                <w:lang w:val="pt-BR"/>
              </w:rPr>
              <w:lastRenderedPageBreak/>
              <w:t xml:space="preserve">Corte Constitucional. Sentencia C-415 de 1994. M.P. Eduardo Cifuentes Muñoz. </w:t>
            </w:r>
          </w:p>
          <w:p w14:paraId="4ADD90CC"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lang w:val="pt-BR"/>
              </w:rPr>
              <w:t xml:space="preserve">Corte Constitucional. </w:t>
            </w:r>
            <w:r w:rsidRPr="007257E2">
              <w:rPr>
                <w:rFonts w:ascii="Verdana" w:hAnsi="Verdana" w:cs="Arial"/>
                <w:color w:val="000000" w:themeColor="text1"/>
              </w:rPr>
              <w:t>Sentencia C-780 de 2001. M.P. Jaime Córdoba Triviño.</w:t>
            </w:r>
          </w:p>
          <w:p w14:paraId="3108D068" w14:textId="77777777" w:rsidR="00024A32" w:rsidRPr="007257E2" w:rsidRDefault="00024A32" w:rsidP="00024A32">
            <w:pPr>
              <w:pStyle w:val="Prrafodelista"/>
              <w:numPr>
                <w:ilvl w:val="0"/>
                <w:numId w:val="3"/>
              </w:numPr>
              <w:spacing w:after="160" w:line="259" w:lineRule="auto"/>
              <w:contextualSpacing w:val="0"/>
              <w:jc w:val="both"/>
              <w:rPr>
                <w:rFonts w:ascii="Verdana" w:hAnsi="Verdana" w:cs="Arial"/>
                <w:color w:val="000000" w:themeColor="text1"/>
                <w:lang w:val="es-ES"/>
              </w:rPr>
            </w:pPr>
            <w:r w:rsidRPr="007257E2">
              <w:rPr>
                <w:rFonts w:ascii="Verdana" w:hAnsi="Verdana" w:cs="Arial"/>
                <w:color w:val="000000" w:themeColor="text1"/>
                <w:lang w:val="es-ES"/>
              </w:rPr>
              <w:t xml:space="preserve">Corte Constitucional. Sentencia T-1039 de 2006. Magistrado Ponente: Humberto Sierra Porto. </w:t>
            </w:r>
          </w:p>
          <w:p w14:paraId="3A2FE7A5"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rPr>
              <w:t>Consejo de Estado. Sala de Consulta y de Servicio Civil. Concepto del 23 de marzo de 2011. Rad. 2.045. C.P. Enrique José Arboleda Perdomo.</w:t>
            </w:r>
          </w:p>
          <w:p w14:paraId="5AD671D1" w14:textId="77777777" w:rsidR="00024A32" w:rsidRPr="007257E2" w:rsidRDefault="00024A32" w:rsidP="00024A32">
            <w:pPr>
              <w:pStyle w:val="Prrafodelista"/>
              <w:numPr>
                <w:ilvl w:val="0"/>
                <w:numId w:val="3"/>
              </w:numPr>
              <w:spacing w:after="160" w:line="259" w:lineRule="auto"/>
              <w:contextualSpacing w:val="0"/>
              <w:rPr>
                <w:rFonts w:ascii="Verdana" w:hAnsi="Verdana" w:cs="Arial"/>
                <w:color w:val="000000" w:themeColor="text1"/>
                <w:lang w:val="es-ES"/>
              </w:rPr>
            </w:pPr>
            <w:r w:rsidRPr="007257E2">
              <w:rPr>
                <w:rFonts w:ascii="Verdana" w:hAnsi="Verdana" w:cs="Arial"/>
                <w:color w:val="000000" w:themeColor="text1"/>
              </w:rPr>
              <w:t>Consejo de Estado. Sección Tercera. Subsección C. Sentencia del 22 de mayo de 2013. Exp. 24.057. Consejera Ponente: Olga Melida Valle De De La Hoz.</w:t>
            </w:r>
          </w:p>
          <w:p w14:paraId="6FD946B3" w14:textId="77777777" w:rsidR="00024A32" w:rsidRPr="007257E2" w:rsidRDefault="00024A32" w:rsidP="00024A32">
            <w:pPr>
              <w:pStyle w:val="Prrafodelista"/>
              <w:numPr>
                <w:ilvl w:val="0"/>
                <w:numId w:val="3"/>
              </w:numPr>
              <w:spacing w:after="160" w:line="259" w:lineRule="auto"/>
              <w:contextualSpacing w:val="0"/>
              <w:jc w:val="both"/>
              <w:rPr>
                <w:rFonts w:ascii="Verdana" w:hAnsi="Verdana" w:cs="Arial"/>
                <w:color w:val="000000" w:themeColor="text1"/>
                <w:lang w:val="es-ES"/>
              </w:rPr>
            </w:pPr>
            <w:r w:rsidRPr="007257E2">
              <w:rPr>
                <w:rFonts w:ascii="Verdana" w:hAnsi="Verdana" w:cs="Arial"/>
                <w:color w:val="000000" w:themeColor="text1"/>
              </w:rPr>
              <w:t xml:space="preserve">Consejo De Estado. Sección Tercera. Subsección A. Sentencia del 13 de noviembre de 2013. </w:t>
            </w:r>
            <w:r w:rsidRPr="007257E2">
              <w:rPr>
                <w:rFonts w:ascii="Verdana" w:hAnsi="Verdana" w:cs="Arial"/>
                <w:color w:val="000000" w:themeColor="text1"/>
                <w:lang w:val="pt-BR"/>
              </w:rPr>
              <w:t xml:space="preserve">Rad. 25.646. C.P. Mauricio Fajardo Gómez.  </w:t>
            </w:r>
          </w:p>
          <w:p w14:paraId="7D7A30D1" w14:textId="77777777" w:rsidR="00024A32" w:rsidRPr="007257E2" w:rsidRDefault="00024A32" w:rsidP="00024A32">
            <w:pPr>
              <w:pStyle w:val="Prrafodelista"/>
              <w:numPr>
                <w:ilvl w:val="0"/>
                <w:numId w:val="3"/>
              </w:numPr>
              <w:spacing w:after="160" w:line="259" w:lineRule="auto"/>
              <w:contextualSpacing w:val="0"/>
              <w:jc w:val="both"/>
              <w:rPr>
                <w:rFonts w:ascii="Verdana" w:hAnsi="Verdana" w:cs="Arial"/>
                <w:color w:val="000000" w:themeColor="text1"/>
                <w:lang w:val="es-ES"/>
              </w:rPr>
            </w:pPr>
            <w:r w:rsidRPr="007257E2">
              <w:rPr>
                <w:rFonts w:ascii="Verdana" w:hAnsi="Verdana" w:cs="Arial"/>
                <w:color w:val="000000" w:themeColor="text1"/>
                <w:lang w:val="es-ES"/>
              </w:rPr>
              <w:t>Consejo de Estado. Sala de Consulta y Servicio Civil. Concepto del 30 de abril de 2015. Expediente: 2.251. Consejero Ponente: Álvaro Namén Vargas.</w:t>
            </w:r>
          </w:p>
          <w:p w14:paraId="4BAF41C3" w14:textId="53AFC26D" w:rsidR="00353D81" w:rsidRPr="00115E3D" w:rsidRDefault="00024A32" w:rsidP="00024A32">
            <w:pPr>
              <w:pStyle w:val="Prrafodelista"/>
              <w:widowControl w:val="0"/>
              <w:numPr>
                <w:ilvl w:val="0"/>
                <w:numId w:val="3"/>
              </w:numPr>
              <w:autoSpaceDE w:val="0"/>
              <w:autoSpaceDN w:val="0"/>
              <w:spacing w:after="120" w:line="276" w:lineRule="auto"/>
              <w:contextualSpacing w:val="0"/>
              <w:jc w:val="both"/>
              <w:rPr>
                <w:rFonts w:ascii="Verdana" w:hAnsi="Verdana" w:cs="Arial"/>
                <w:color w:val="000000" w:themeColor="text1"/>
              </w:rPr>
            </w:pPr>
            <w:r w:rsidRPr="007257E2">
              <w:rPr>
                <w:rFonts w:ascii="Verdana" w:hAnsi="Verdana" w:cs="Arial"/>
                <w:color w:val="000000" w:themeColor="text1"/>
                <w:lang w:val="es-MX"/>
              </w:rPr>
              <w:t>Consejo de Estado. Sección Tercera. Subsección A. Sentencia del 24 de junio de 2015. Exp. 40.635. Consejero Ponente: Hernán Andrade Rincón (E).</w:t>
            </w:r>
          </w:p>
        </w:tc>
      </w:tr>
    </w:tbl>
    <w:p w14:paraId="07C66B79" w14:textId="77777777" w:rsidR="00353D81" w:rsidRPr="00115E3D" w:rsidRDefault="00353D81" w:rsidP="00353D81">
      <w:pPr>
        <w:widowControl w:val="0"/>
        <w:autoSpaceDE w:val="0"/>
        <w:autoSpaceDN w:val="0"/>
        <w:spacing w:after="0" w:line="276" w:lineRule="auto"/>
        <w:jc w:val="both"/>
        <w:rPr>
          <w:rFonts w:ascii="Verdana" w:hAnsi="Verdana" w:cs="Arial"/>
          <w:color w:val="000000" w:themeColor="text1"/>
        </w:rPr>
      </w:pPr>
    </w:p>
    <w:p w14:paraId="6215A7FE" w14:textId="77777777" w:rsidR="00353D81" w:rsidRPr="00115E3D" w:rsidRDefault="00353D81" w:rsidP="00353D8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Doctrina de la Agencia Nacional de Contratación Pública:</w:t>
      </w:r>
    </w:p>
    <w:p w14:paraId="73DAAD76" w14:textId="77777777" w:rsidR="00353D81" w:rsidRPr="00115E3D" w:rsidRDefault="00353D81" w:rsidP="00353D81">
      <w:pPr>
        <w:widowControl w:val="0"/>
        <w:autoSpaceDE w:val="0"/>
        <w:autoSpaceDN w:val="0"/>
        <w:spacing w:after="0" w:line="276" w:lineRule="auto"/>
        <w:jc w:val="both"/>
        <w:rPr>
          <w:rFonts w:ascii="Verdana" w:hAnsi="Verdana" w:cs="Arial"/>
          <w:color w:val="000000" w:themeColor="text1"/>
        </w:rPr>
      </w:pPr>
    </w:p>
    <w:p w14:paraId="5025F2C5" w14:textId="77777777" w:rsidR="00024A32" w:rsidRDefault="00024A32" w:rsidP="00024A32">
      <w:pPr>
        <w:widowControl w:val="0"/>
        <w:autoSpaceDE w:val="0"/>
        <w:autoSpaceDN w:val="0"/>
        <w:spacing w:after="0" w:line="276" w:lineRule="auto"/>
        <w:jc w:val="both"/>
        <w:rPr>
          <w:rFonts w:ascii="Verdana" w:hAnsi="Verdana" w:cs="Arial"/>
          <w:color w:val="000000" w:themeColor="text1"/>
          <w:shd w:val="clear" w:color="auto" w:fill="FFFFFF"/>
        </w:rPr>
      </w:pPr>
      <w:r w:rsidRPr="000F155D">
        <w:rPr>
          <w:rFonts w:ascii="Verdana" w:hAnsi="Verdana" w:cs="Arial"/>
          <w:color w:val="000000" w:themeColor="text1"/>
          <w:shd w:val="clear" w:color="auto" w:fill="FFFFFF"/>
          <w:lang w:val="es-ES"/>
        </w:rPr>
        <w:t>Sobre el régimen de inhabilidades e incompatibilidades en la contratación pública, sus criterios de interpretación –restrictivo y pro libertate– y sus efectos en la capacidad contractual, entre otros se pronunció esta Subdirección en los conceptos</w:t>
      </w:r>
      <w:r w:rsidRPr="000F155D">
        <w:rPr>
          <w:rFonts w:ascii="Verdana" w:hAnsi="Verdana" w:cs="Arial"/>
          <w:color w:val="000000" w:themeColor="text1"/>
          <w:shd w:val="clear" w:color="auto" w:fill="FFFFFF"/>
        </w:rPr>
        <w:t xml:space="preserve"> </w:t>
      </w:r>
      <w:r w:rsidRPr="000F155D">
        <w:rPr>
          <w:rFonts w:ascii="Verdana" w:hAnsi="Verdana" w:cs="Arial"/>
          <w:color w:val="000000" w:themeColor="text1"/>
          <w:shd w:val="clear" w:color="auto" w:fill="FFFFFF"/>
          <w:lang w:val="es-ES"/>
        </w:rPr>
        <w:t xml:space="preserve">C-090 del 24 de febrero de 2020, C-125 del 3 de marzo de 2020, C-157 del 17 de marzo de 2020, C-273 del 21 de mayo de 2020, C-402 del 26 de junio de 2020, C-386 del 24 de julio de 2020, C-701 del 6 de enero de 2021, C-004 del 12 de febrero de 2021, C-210 del 12 de mayo de 2021, C-275 del 11 de junio de 2021, C-449 del 31 de agosto de 2021, C-028 del 28 de febrero de 2022, C-318 del 18 de mayo de 2022, C-252 del 30 de mayo de 2022, C-619 del 27 de septiembre de 2022, C-035 del 24 de abril de 2024, C-067 del 16 de </w:t>
      </w:r>
      <w:r w:rsidRPr="000F155D">
        <w:rPr>
          <w:rFonts w:ascii="Verdana" w:hAnsi="Verdana" w:cs="Arial"/>
          <w:color w:val="000000" w:themeColor="text1"/>
          <w:shd w:val="clear" w:color="auto" w:fill="FFFFFF"/>
          <w:lang w:val="es-ES"/>
        </w:rPr>
        <w:lastRenderedPageBreak/>
        <w:t xml:space="preserve">mayo de 2024, C-041 del 29 de mayo de 2024, C-078 del 04 de junio de 2024, C-193 del 19 de julio de 2024, C-271 del 25 de julio de 2024, C-108 de 06 de agosto de 2024 y C-332 del 27 de agosto del 2024, entre otros. También se ha pronunciado sobre el conflicto de interés en los conceptos C-229 del 16 de abril de 2020, C-815 del 18 de febrero de 2021, C-449 del 31 de agosto de 2021, C-288 del 14 de julio de 2023 </w:t>
      </w:r>
      <w:r>
        <w:rPr>
          <w:rFonts w:ascii="Verdana" w:hAnsi="Verdana" w:cs="Arial"/>
          <w:color w:val="000000" w:themeColor="text1"/>
          <w:shd w:val="clear" w:color="auto" w:fill="FFFFFF"/>
          <w:lang w:val="es-ES"/>
        </w:rPr>
        <w:t>,</w:t>
      </w:r>
      <w:r w:rsidRPr="000F155D">
        <w:rPr>
          <w:rFonts w:ascii="Verdana" w:hAnsi="Verdana" w:cs="Arial"/>
          <w:color w:val="000000" w:themeColor="text1"/>
          <w:shd w:val="clear" w:color="auto" w:fill="FFFFFF"/>
          <w:lang w:val="es-ES"/>
        </w:rPr>
        <w:t xml:space="preserve"> C-294 del 14 de agosto de 2024</w:t>
      </w:r>
      <w:r>
        <w:rPr>
          <w:rFonts w:ascii="Verdana" w:hAnsi="Verdana" w:cs="Arial"/>
          <w:color w:val="000000" w:themeColor="text1"/>
          <w:shd w:val="clear" w:color="auto" w:fill="FFFFFF"/>
          <w:lang w:val="es-ES"/>
        </w:rPr>
        <w:t xml:space="preserve"> y C-560 del 27 de septiembre de 2024</w:t>
      </w:r>
      <w:r w:rsidRPr="000F155D">
        <w:rPr>
          <w:rFonts w:ascii="Verdana" w:hAnsi="Verdana" w:cs="Arial"/>
          <w:color w:val="000000" w:themeColor="text1"/>
          <w:shd w:val="clear" w:color="auto" w:fill="FFFFFF"/>
          <w:lang w:val="es-ES"/>
        </w:rPr>
        <w:t xml:space="preserve">. </w:t>
      </w:r>
      <w:r w:rsidRPr="000F155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0F155D">
          <w:rPr>
            <w:rStyle w:val="Hipervnculo"/>
            <w:rFonts w:ascii="Verdana" w:hAnsi="Verdana" w:cs="Arial"/>
            <w:shd w:val="clear" w:color="auto" w:fill="FFFFFF"/>
          </w:rPr>
          <w:t>https://relatoria.colombiacompra.gov.co/</w:t>
        </w:r>
      </w:hyperlink>
      <w:r w:rsidRPr="000F155D">
        <w:rPr>
          <w:rFonts w:ascii="Verdana" w:hAnsi="Verdana" w:cs="Arial"/>
          <w:color w:val="000000" w:themeColor="text1"/>
          <w:shd w:val="clear" w:color="auto" w:fill="FFFFFF"/>
        </w:rPr>
        <w:t> .</w:t>
      </w:r>
    </w:p>
    <w:p w14:paraId="5ADF3DCA" w14:textId="77777777" w:rsidR="00024A32" w:rsidRPr="00115E3D" w:rsidRDefault="00024A32" w:rsidP="00024A3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1526080" w14:textId="77777777" w:rsidR="00024A32" w:rsidRDefault="00024A32" w:rsidP="00024A3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3" w:tgtFrame="_blank" w:tooltip="Dirección URL original: https://www.colombiacompra.gov.co/content/borrador-de-documentos-tipo-de-consultoria-de-obra-publica-de-infraestructura-de-transporte. Haga clic o pulse si confía en este vínculo." w:history="1">
        <w:r w:rsidRPr="00C76656">
          <w:rPr>
            <w:rStyle w:val="Hipervnculo"/>
            <w:rFonts w:ascii="Verdana" w:hAnsi="Verdana" w:cs="Arial"/>
          </w:rPr>
          <w:t>https://www.colombiacompra.gov.co/content/borrador-de-documentos-tipo-de-consultoria-de-obra-publica-de-infraestructura-de-transporte</w:t>
        </w:r>
      </w:hyperlink>
      <w:r w:rsidRPr="00C76656">
        <w:rPr>
          <w:rFonts w:ascii="Verdana" w:hAnsi="Verdana" w:cs="Arial"/>
          <w:color w:val="000000" w:themeColor="text1"/>
        </w:rPr>
        <w:t> y </w:t>
      </w:r>
      <w:hyperlink r:id="rId14" w:tgtFrame="_blank" w:tooltip="Dirección URL original: https://www.colombiacompra.gov.co/content/borrador-de-documentos-tipo-de-interventoria-de-obra-publica-de-infraestructura-de. Haga clic o pulse si confía en este vínculo." w:history="1">
        <w:r w:rsidRPr="00C76656">
          <w:rPr>
            <w:rStyle w:val="Hipervnculo"/>
            <w:rFonts w:ascii="Verdana" w:hAnsi="Verdana" w:cs="Arial"/>
          </w:rPr>
          <w:t>https://www.colombiacompra.gov.co/content/borrador-de-documentos-tipo-de-interventoria-de-obra-publica-de-infraestructura-de</w:t>
        </w:r>
      </w:hyperlink>
      <w:r w:rsidRPr="00C76656">
        <w:rPr>
          <w:rFonts w:ascii="Verdana" w:hAnsi="Verdana" w:cs="Arial"/>
          <w:color w:val="000000" w:themeColor="text1"/>
        </w:rPr>
        <w:t> .</w:t>
      </w:r>
    </w:p>
    <w:p w14:paraId="104CDA7B" w14:textId="77777777" w:rsidR="00024A32" w:rsidRPr="00C76656" w:rsidRDefault="00024A32" w:rsidP="00024A32">
      <w:pPr>
        <w:widowControl w:val="0"/>
        <w:autoSpaceDE w:val="0"/>
        <w:autoSpaceDN w:val="0"/>
        <w:spacing w:after="0" w:line="276" w:lineRule="auto"/>
        <w:jc w:val="both"/>
        <w:rPr>
          <w:rFonts w:ascii="Verdana" w:hAnsi="Verdana" w:cs="Arial"/>
          <w:color w:val="000000" w:themeColor="text1"/>
        </w:rPr>
      </w:pPr>
    </w:p>
    <w:p w14:paraId="6F665B33" w14:textId="77777777" w:rsidR="00024A32" w:rsidRDefault="00024A32" w:rsidP="00024A3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De otra parte, te contamos que ya publicamos el borrador de la nueva Guía de Contratación Pública Sostenible y Socialmente Responsable. Conoce el documento y realiza tus comentarios hasta el 14 de noviembre de 2024 a través del siguiente enlace: </w:t>
      </w:r>
      <w:hyperlink r:id="rId15" w:tgtFrame="_blank" w:tooltip="Dirección URL original: https://www.sucop.gov.co/entidades/colombiacompra/Normativa?IDNorma=18320. Haga clic o pulse si confía en este vínculo." w:history="1">
        <w:r w:rsidRPr="00C76656">
          <w:rPr>
            <w:rStyle w:val="Hipervnculo"/>
            <w:rFonts w:ascii="Verdana" w:hAnsi="Verdana" w:cs="Arial"/>
          </w:rPr>
          <w:t>https://www.sucop.gov.co/entidades/colombiacompra/Normativa?IDNorma=18320</w:t>
        </w:r>
      </w:hyperlink>
      <w:r w:rsidRPr="00C76656">
        <w:rPr>
          <w:rFonts w:ascii="Verdana" w:hAnsi="Verdana" w:cs="Arial"/>
          <w:color w:val="000000" w:themeColor="text1"/>
        </w:rPr>
        <w:t>  </w:t>
      </w:r>
    </w:p>
    <w:p w14:paraId="44C5AE69" w14:textId="77777777" w:rsidR="00024A32" w:rsidRPr="00C76656" w:rsidRDefault="00024A32" w:rsidP="00024A32">
      <w:pPr>
        <w:widowControl w:val="0"/>
        <w:autoSpaceDE w:val="0"/>
        <w:autoSpaceDN w:val="0"/>
        <w:spacing w:after="0" w:line="276" w:lineRule="auto"/>
        <w:jc w:val="both"/>
        <w:rPr>
          <w:rFonts w:ascii="Verdana" w:hAnsi="Verdana" w:cs="Arial"/>
          <w:color w:val="000000" w:themeColor="text1"/>
        </w:rPr>
      </w:pPr>
    </w:p>
    <w:p w14:paraId="6EC0C7C9" w14:textId="77777777" w:rsidR="00024A32" w:rsidRPr="00C76656" w:rsidRDefault="00024A32" w:rsidP="00024A3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También le invitamos a consultar las versiones V y VI de 2024 del Boletín de Relatoría de la Subdirección de Gestión Contractual relacionados con las guías de Plan Anual de Adquisiciones y la odalidad de selección de mínima cuantía , los cuales se pueden descargar en la página web de la Agencia: </w:t>
      </w:r>
      <w:hyperlink r:id="rId16" w:tgtFrame="_blank" w:tooltip="Dirección URL original: https://www.colombiacompra.gov.co/sala-de-prensa/boletin-digital. Haga clic o pulse si confía en este vínculo." w:history="1">
        <w:r w:rsidRPr="00C76656">
          <w:rPr>
            <w:rStyle w:val="Hipervnculo"/>
            <w:rFonts w:ascii="Verdana" w:hAnsi="Verdana" w:cs="Arial"/>
          </w:rPr>
          <w:t>https://www.colombiacompra.gov.co/sala-de-prensa/boletin-digital</w:t>
        </w:r>
      </w:hyperlink>
      <w:r w:rsidRPr="00C76656">
        <w:rPr>
          <w:rFonts w:ascii="Verdana" w:hAnsi="Verdana" w:cs="Arial"/>
          <w:color w:val="000000" w:themeColor="text1"/>
        </w:rPr>
        <w:t> "    </w:t>
      </w:r>
    </w:p>
    <w:p w14:paraId="74BD5B75" w14:textId="77777777" w:rsidR="00024A32" w:rsidRDefault="00024A32" w:rsidP="00024A32">
      <w:pPr>
        <w:widowControl w:val="0"/>
        <w:autoSpaceDE w:val="0"/>
        <w:autoSpaceDN w:val="0"/>
        <w:spacing w:after="0" w:line="276" w:lineRule="auto"/>
        <w:jc w:val="both"/>
        <w:rPr>
          <w:rFonts w:ascii="Verdana" w:hAnsi="Verdana" w:cs="Arial"/>
          <w:color w:val="000000" w:themeColor="text1"/>
        </w:rPr>
      </w:pPr>
    </w:p>
    <w:p w14:paraId="1F6A9802" w14:textId="77777777" w:rsidR="00024A32" w:rsidRPr="00E91F32" w:rsidRDefault="00024A32" w:rsidP="00024A32">
      <w:pPr>
        <w:widowControl w:val="0"/>
        <w:autoSpaceDE w:val="0"/>
        <w:autoSpaceDN w:val="0"/>
        <w:spacing w:after="0" w:line="276" w:lineRule="auto"/>
        <w:jc w:val="both"/>
        <w:rPr>
          <w:rFonts w:ascii="Verdana" w:hAnsi="Verdana" w:cs="Arial"/>
          <w:color w:val="000000" w:themeColor="text1"/>
        </w:rPr>
      </w:pPr>
      <w:r w:rsidRPr="00E91F32">
        <w:rPr>
          <w:rFonts w:ascii="Verdana" w:hAnsi="Verdana" w:cs="Arial"/>
          <w:color w:val="000000" w:themeColor="text1"/>
        </w:rPr>
        <w:lastRenderedPageBreak/>
        <w:t xml:space="preserve">Por último, lo invitamos a seguirnos en las redes sociales en las cuales se difunde información institucional: </w:t>
      </w:r>
    </w:p>
    <w:p w14:paraId="57564BFB"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rPr>
      </w:pPr>
    </w:p>
    <w:p w14:paraId="24ADD26C"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Twitter: </w:t>
      </w:r>
      <w:r w:rsidRPr="00CA17B5">
        <w:rPr>
          <w:rFonts w:ascii="Verdana" w:hAnsi="Verdana" w:cs="Arial"/>
          <w:color w:val="000000" w:themeColor="text1"/>
          <w:u w:val="single"/>
        </w:rPr>
        <w:t>@colombiacompra</w:t>
      </w:r>
      <w:r w:rsidRPr="00CA17B5">
        <w:rPr>
          <w:rFonts w:ascii="Verdana" w:hAnsi="Verdana" w:cs="Arial"/>
          <w:color w:val="000000" w:themeColor="text1"/>
        </w:rPr>
        <w:t xml:space="preserve"> </w:t>
      </w:r>
    </w:p>
    <w:p w14:paraId="3B6E44D6"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Facebook: </w:t>
      </w:r>
      <w:r w:rsidRPr="00CA17B5">
        <w:rPr>
          <w:rFonts w:ascii="Verdana" w:hAnsi="Verdana" w:cs="Arial"/>
          <w:color w:val="000000" w:themeColor="text1"/>
          <w:u w:val="single"/>
        </w:rPr>
        <w:t>ColombiaCompraEficiente</w:t>
      </w:r>
    </w:p>
    <w:p w14:paraId="1053AA26"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LinkedIn: </w:t>
      </w:r>
      <w:r w:rsidRPr="00CA17B5">
        <w:rPr>
          <w:rFonts w:ascii="Verdana" w:hAnsi="Verdana" w:cs="Arial"/>
          <w:color w:val="000000" w:themeColor="text1"/>
          <w:u w:val="single"/>
        </w:rPr>
        <w:t>Agencia Nacional de Contratación Pública - Colombia Compra Eficiente</w:t>
      </w:r>
      <w:r w:rsidRPr="00CA17B5">
        <w:rPr>
          <w:rFonts w:ascii="Verdana" w:hAnsi="Verdana" w:cs="Arial"/>
          <w:color w:val="000000" w:themeColor="text1"/>
        </w:rPr>
        <w:t xml:space="preserve"> Instagram: </w:t>
      </w:r>
      <w:r w:rsidRPr="00CA17B5">
        <w:rPr>
          <w:rFonts w:ascii="Verdana" w:hAnsi="Verdana" w:cs="Arial"/>
          <w:color w:val="000000" w:themeColor="text1"/>
          <w:u w:val="single"/>
        </w:rPr>
        <w:t>@colombiacompraeficiente_cce</w:t>
      </w:r>
    </w:p>
    <w:p w14:paraId="74B33690"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rPr>
      </w:pPr>
    </w:p>
    <w:p w14:paraId="1A412C73" w14:textId="77777777" w:rsidR="00024A32" w:rsidRPr="00CA17B5" w:rsidRDefault="00024A32" w:rsidP="00024A32">
      <w:pPr>
        <w:widowControl w:val="0"/>
        <w:autoSpaceDE w:val="0"/>
        <w:autoSpaceDN w:val="0"/>
        <w:spacing w:after="0" w:line="276" w:lineRule="auto"/>
        <w:jc w:val="both"/>
        <w:rPr>
          <w:rFonts w:ascii="Verdana" w:hAnsi="Verdana" w:cs="Arial"/>
          <w:color w:val="000000" w:themeColor="text1"/>
          <w:lang w:val="es-ES_tradnl"/>
        </w:rPr>
      </w:pPr>
      <w:r w:rsidRPr="00CA17B5">
        <w:rPr>
          <w:rFonts w:ascii="Verdana" w:hAnsi="Verdana" w:cs="Arial"/>
          <w:color w:val="000000" w:themeColor="text1"/>
        </w:rPr>
        <w:t xml:space="preserve">Este concepto tiene el alcance previsto en el artículo 28 del Código de Procedimiento Administrativo y de lo Contencioso Administrativo </w:t>
      </w:r>
      <w:r w:rsidRPr="00CA17B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94059FA" w14:textId="77777777" w:rsidR="00353D81" w:rsidRPr="00024A32" w:rsidRDefault="00353D81" w:rsidP="00353D81">
      <w:pPr>
        <w:widowControl w:val="0"/>
        <w:autoSpaceDE w:val="0"/>
        <w:autoSpaceDN w:val="0"/>
        <w:spacing w:after="0" w:line="276" w:lineRule="auto"/>
        <w:jc w:val="both"/>
        <w:rPr>
          <w:rFonts w:ascii="Verdana" w:hAnsi="Verdana" w:cs="Arial"/>
          <w:color w:val="000000" w:themeColor="text1"/>
          <w:lang w:val="es-ES_tradnl"/>
        </w:rPr>
      </w:pPr>
    </w:p>
    <w:p w14:paraId="24C89F5E" w14:textId="77777777" w:rsidR="00353D81" w:rsidRPr="00115E3D" w:rsidRDefault="00353D81" w:rsidP="00353D81">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F96A0EE" w14:textId="5E633E6E" w:rsidR="00353D81" w:rsidRPr="00115E3D" w:rsidRDefault="00674C82" w:rsidP="00353D81">
      <w:pPr>
        <w:spacing w:line="276" w:lineRule="auto"/>
        <w:jc w:val="center"/>
        <w:rPr>
          <w:rFonts w:ascii="Verdana" w:hAnsi="Verdana" w:cs="Arial"/>
          <w:color w:val="000000" w:themeColor="text1"/>
          <w:lang w:val="es-ES_tradnl" w:eastAsia="es-CO"/>
        </w:rPr>
      </w:pPr>
      <w:r>
        <w:rPr>
          <w:noProof/>
        </w:rPr>
        <w:drawing>
          <wp:inline distT="0" distB="0" distL="0" distR="0" wp14:anchorId="205EEB03" wp14:editId="746A9EE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53D81" w:rsidRPr="00115E3D" w14:paraId="05157A53" w14:textId="77777777" w:rsidTr="00B065D0">
        <w:trPr>
          <w:trHeight w:val="315"/>
        </w:trPr>
        <w:tc>
          <w:tcPr>
            <w:tcW w:w="893" w:type="dxa"/>
            <w:vAlign w:val="center"/>
            <w:hideMark/>
          </w:tcPr>
          <w:p w14:paraId="10A8A4C1" w14:textId="77777777" w:rsidR="00353D81" w:rsidRPr="00115E3D" w:rsidRDefault="00353D81" w:rsidP="00B06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C52EDF" w14:textId="71540692" w:rsidR="00353D81" w:rsidRPr="00024A32" w:rsidRDefault="00024A32" w:rsidP="00B065D0">
            <w:pPr>
              <w:contextualSpacing/>
              <w:rPr>
                <w:rFonts w:ascii="Verdana" w:eastAsia="Arial" w:hAnsi="Verdana" w:cs="Arial"/>
                <w:color w:val="000000" w:themeColor="text1"/>
                <w:sz w:val="16"/>
                <w:szCs w:val="16"/>
              </w:rPr>
            </w:pPr>
            <w:r w:rsidRPr="00024A32">
              <w:rPr>
                <w:rFonts w:ascii="Verdana" w:eastAsia="Arial" w:hAnsi="Verdana" w:cs="Arial"/>
                <w:color w:val="000000" w:themeColor="text1"/>
                <w:sz w:val="16"/>
                <w:szCs w:val="16"/>
              </w:rPr>
              <w:t>D</w:t>
            </w:r>
            <w:r w:rsidRPr="00024A32">
              <w:rPr>
                <w:rFonts w:ascii="Verdana" w:eastAsia="Arial" w:hAnsi="Verdana" w:cs="Arial"/>
                <w:sz w:val="16"/>
                <w:szCs w:val="16"/>
              </w:rPr>
              <w:t xml:space="preserve">iego Jesús Ortega Cruz </w:t>
            </w:r>
          </w:p>
          <w:p w14:paraId="17A3E1AD" w14:textId="133B6AE3" w:rsidR="00353D81" w:rsidRPr="00115E3D" w:rsidRDefault="00024A32" w:rsidP="00B065D0">
            <w:pPr>
              <w:contextualSpacing/>
              <w:rPr>
                <w:rFonts w:ascii="Verdana" w:eastAsia="Arial" w:hAnsi="Verdana" w:cs="Arial"/>
                <w:color w:val="000000" w:themeColor="text1"/>
                <w:sz w:val="16"/>
                <w:szCs w:val="16"/>
              </w:rPr>
            </w:pPr>
            <w:r w:rsidRPr="00024A32">
              <w:rPr>
                <w:rStyle w:val="normaltextrun"/>
                <w:rFonts w:ascii="Verdana" w:eastAsia="Arial" w:hAnsi="Verdana" w:cs="Arial"/>
                <w:color w:val="000000" w:themeColor="text1"/>
                <w:sz w:val="16"/>
                <w:szCs w:val="16"/>
              </w:rPr>
              <w:t xml:space="preserve">Contratista </w:t>
            </w:r>
            <w:r w:rsidR="00353D81" w:rsidRPr="00024A32">
              <w:rPr>
                <w:rStyle w:val="normaltextrun"/>
                <w:rFonts w:ascii="Verdana" w:eastAsia="Arial" w:hAnsi="Verdana" w:cs="Arial"/>
                <w:color w:val="000000" w:themeColor="text1"/>
                <w:sz w:val="16"/>
                <w:szCs w:val="16"/>
              </w:rPr>
              <w:t>de la Subdirección de Gestión Contractual</w:t>
            </w:r>
          </w:p>
        </w:tc>
      </w:tr>
      <w:tr w:rsidR="00353D81" w:rsidRPr="00115E3D" w14:paraId="00577844" w14:textId="77777777" w:rsidTr="00B065D0">
        <w:trPr>
          <w:trHeight w:val="330"/>
        </w:trPr>
        <w:tc>
          <w:tcPr>
            <w:tcW w:w="893" w:type="dxa"/>
            <w:vAlign w:val="center"/>
            <w:hideMark/>
          </w:tcPr>
          <w:p w14:paraId="240278C7" w14:textId="77777777" w:rsidR="00353D81" w:rsidRPr="00115E3D" w:rsidRDefault="00353D81" w:rsidP="00B06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E02DBB" w14:textId="456BAE9A" w:rsidR="00353D81" w:rsidRPr="00024A32" w:rsidRDefault="00024A32" w:rsidP="00B065D0">
            <w:pPr>
              <w:pStyle w:val="paragraph"/>
              <w:spacing w:before="0" w:beforeAutospacing="0" w:after="0" w:afterAutospacing="0"/>
              <w:contextualSpacing/>
              <w:textAlignment w:val="baseline"/>
              <w:rPr>
                <w:rFonts w:ascii="Verdana" w:hAnsi="Verdana" w:cs="Segoe UI"/>
                <w:color w:val="000000" w:themeColor="text1"/>
                <w:sz w:val="16"/>
                <w:szCs w:val="16"/>
              </w:rPr>
            </w:pPr>
            <w:r w:rsidRPr="00024A32">
              <w:rPr>
                <w:rFonts w:ascii="Verdana" w:hAnsi="Verdana" w:cs="Segoe UI"/>
                <w:color w:val="000000" w:themeColor="text1"/>
                <w:sz w:val="16"/>
                <w:szCs w:val="16"/>
              </w:rPr>
              <w:t>J</w:t>
            </w:r>
            <w:r w:rsidRPr="00024A32">
              <w:rPr>
                <w:rFonts w:ascii="Verdana" w:hAnsi="Verdana" w:cs="Segoe UI"/>
                <w:sz w:val="16"/>
                <w:szCs w:val="16"/>
              </w:rPr>
              <w:t xml:space="preserve">uan David Cardenas Cabeza </w:t>
            </w:r>
          </w:p>
          <w:p w14:paraId="6C4724B1" w14:textId="75A42066" w:rsidR="00353D81" w:rsidRPr="00115E3D" w:rsidRDefault="00024A32" w:rsidP="00B065D0">
            <w:pPr>
              <w:pStyle w:val="paragraph"/>
              <w:spacing w:before="0" w:beforeAutospacing="0" w:after="0" w:afterAutospacing="0"/>
              <w:contextualSpacing/>
              <w:textAlignment w:val="baseline"/>
              <w:rPr>
                <w:rFonts w:ascii="Verdana" w:hAnsi="Verdana" w:cs="Segoe UI"/>
                <w:color w:val="000000" w:themeColor="text1"/>
                <w:sz w:val="16"/>
                <w:szCs w:val="16"/>
              </w:rPr>
            </w:pPr>
            <w:r w:rsidRPr="00024A32">
              <w:rPr>
                <w:rStyle w:val="normaltextrun"/>
                <w:rFonts w:ascii="Verdana" w:hAnsi="Verdana" w:cs="Arial"/>
                <w:color w:val="000000" w:themeColor="text1"/>
                <w:sz w:val="16"/>
                <w:szCs w:val="16"/>
                <w:lang w:val="es-ES"/>
              </w:rPr>
              <w:t xml:space="preserve">Contratista </w:t>
            </w:r>
            <w:r w:rsidR="00353D81" w:rsidRPr="00024A32">
              <w:rPr>
                <w:rStyle w:val="normaltextrun"/>
                <w:rFonts w:ascii="Verdana" w:hAnsi="Verdana" w:cs="Arial"/>
                <w:color w:val="000000" w:themeColor="text1"/>
                <w:sz w:val="16"/>
                <w:szCs w:val="16"/>
                <w:lang w:val="es-ES"/>
              </w:rPr>
              <w:t xml:space="preserve"> de la Subdirección de Gestión Contractual</w:t>
            </w:r>
            <w:r w:rsidR="00353D81" w:rsidRPr="00115E3D">
              <w:rPr>
                <w:rStyle w:val="eop"/>
                <w:rFonts w:ascii="Verdana" w:hAnsi="Verdana" w:cs="Arial"/>
                <w:color w:val="000000" w:themeColor="text1"/>
                <w:sz w:val="16"/>
                <w:szCs w:val="16"/>
              </w:rPr>
              <w:t> </w:t>
            </w:r>
          </w:p>
        </w:tc>
      </w:tr>
      <w:tr w:rsidR="00353D81" w:rsidRPr="00115E3D" w14:paraId="034368F6" w14:textId="77777777" w:rsidTr="00B065D0">
        <w:trPr>
          <w:trHeight w:val="300"/>
        </w:trPr>
        <w:tc>
          <w:tcPr>
            <w:tcW w:w="893" w:type="dxa"/>
            <w:vAlign w:val="center"/>
          </w:tcPr>
          <w:p w14:paraId="36AD73CA" w14:textId="77777777" w:rsidR="00353D81" w:rsidRPr="00115E3D" w:rsidRDefault="00353D81" w:rsidP="00B065D0">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3FD0DF" w14:textId="77777777" w:rsidR="00353D81" w:rsidRPr="00115E3D" w:rsidRDefault="00353D81" w:rsidP="00B065D0">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263CBDA0" w14:textId="77777777" w:rsidR="00353D81" w:rsidRPr="00115E3D" w:rsidRDefault="00353D81" w:rsidP="00B065D0">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4C1E63EF" w14:textId="77777777" w:rsidR="00353D81" w:rsidRPr="00115E3D" w:rsidRDefault="00353D81" w:rsidP="00353D81">
      <w:pPr>
        <w:spacing w:after="0" w:line="240" w:lineRule="auto"/>
        <w:rPr>
          <w:rFonts w:ascii="Verdana" w:eastAsia="Times New Roman" w:hAnsi="Verdana" w:cs="Arial"/>
          <w:color w:val="000000" w:themeColor="text1"/>
          <w:sz w:val="24"/>
          <w:szCs w:val="24"/>
          <w:lang w:eastAsia="es-ES"/>
        </w:rPr>
      </w:pPr>
    </w:p>
    <w:p w14:paraId="44EC9501" w14:textId="77777777" w:rsidR="00353D81" w:rsidRPr="00115E3D" w:rsidRDefault="00353D81" w:rsidP="00353D81">
      <w:pPr>
        <w:rPr>
          <w:color w:val="000000" w:themeColor="text1"/>
        </w:rPr>
      </w:pPr>
    </w:p>
    <w:p w14:paraId="074473FE" w14:textId="77777777" w:rsidR="000F5A42" w:rsidRDefault="000F5A42"/>
    <w:sectPr w:rsidR="000F5A42" w:rsidSect="00353D81">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9E784" w14:textId="77777777" w:rsidR="00552D9F" w:rsidRDefault="00552D9F" w:rsidP="00353D81">
      <w:pPr>
        <w:spacing w:after="0" w:line="240" w:lineRule="auto"/>
      </w:pPr>
      <w:r>
        <w:separator/>
      </w:r>
    </w:p>
  </w:endnote>
  <w:endnote w:type="continuationSeparator" w:id="0">
    <w:p w14:paraId="5B0A9B57" w14:textId="77777777" w:rsidR="00552D9F" w:rsidRDefault="00552D9F" w:rsidP="00353D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7D5F2" w14:textId="77777777" w:rsidR="00BB488E" w:rsidRDefault="00BB488E" w:rsidP="000849D5">
    <w:pPr>
      <w:spacing w:after="0"/>
      <w:rPr>
        <w:rFonts w:ascii="Verdana" w:hAnsi="Verdana"/>
        <w:b/>
        <w:bCs/>
        <w:sz w:val="20"/>
        <w:szCs w:val="20"/>
      </w:rPr>
    </w:pPr>
  </w:p>
  <w:p w14:paraId="1D17AAAA" w14:textId="77777777" w:rsidR="00BB488E" w:rsidRPr="00174B77" w:rsidRDefault="00AF1C47"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FFAF814" w14:textId="77777777" w:rsidR="00BB488E" w:rsidRDefault="00AF1C47"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A0BD335" w14:textId="77777777" w:rsidR="00BB488E" w:rsidRPr="00E41027" w:rsidRDefault="00AF1C47" w:rsidP="000849D5">
    <w:pPr>
      <w:spacing w:after="0"/>
      <w:jc w:val="both"/>
      <w:rPr>
        <w:rFonts w:ascii="Verdana" w:hAnsi="Verdana"/>
        <w:sz w:val="18"/>
        <w:szCs w:val="18"/>
      </w:rPr>
    </w:pPr>
    <w:r w:rsidRPr="00E41027">
      <w:rPr>
        <w:rFonts w:ascii="Verdana" w:hAnsi="Verdana"/>
        <w:sz w:val="18"/>
        <w:szCs w:val="18"/>
      </w:rPr>
      <w:t>Mesa de servicio: (+57) 601 7456788</w:t>
    </w:r>
  </w:p>
  <w:p w14:paraId="42B27E15" w14:textId="77777777" w:rsidR="00BB488E" w:rsidRDefault="00AF1C47"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49BBFB3" w14:textId="77777777" w:rsidR="00BB488E" w:rsidRPr="007D04B2" w:rsidRDefault="00BB488E" w:rsidP="000849D5">
    <w:pPr>
      <w:pStyle w:val="Piedepgina"/>
    </w:pPr>
  </w:p>
  <w:p w14:paraId="76160839" w14:textId="77777777" w:rsidR="00BB488E" w:rsidRPr="000849D5" w:rsidRDefault="00BB488E"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D3D83" w14:textId="77777777" w:rsidR="00552D9F" w:rsidRDefault="00552D9F" w:rsidP="00353D81">
      <w:pPr>
        <w:spacing w:after="0" w:line="240" w:lineRule="auto"/>
      </w:pPr>
      <w:r>
        <w:separator/>
      </w:r>
    </w:p>
  </w:footnote>
  <w:footnote w:type="continuationSeparator" w:id="0">
    <w:p w14:paraId="50B9CAED" w14:textId="77777777" w:rsidR="00552D9F" w:rsidRDefault="00552D9F" w:rsidP="00353D81">
      <w:pPr>
        <w:spacing w:after="0" w:line="240" w:lineRule="auto"/>
      </w:pPr>
      <w:r>
        <w:continuationSeparator/>
      </w:r>
    </w:p>
  </w:footnote>
  <w:footnote w:id="1">
    <w:p w14:paraId="6725542F" w14:textId="77777777" w:rsidR="00024A32" w:rsidRPr="00B95C23" w:rsidRDefault="00024A32" w:rsidP="00024A32">
      <w:pPr>
        <w:pStyle w:val="Textonotapie"/>
        <w:ind w:firstLine="708"/>
        <w:contextualSpacing/>
        <w:jc w:val="both"/>
        <w:rPr>
          <w:rFonts w:ascii="Verdana" w:hAnsi="Verdana" w:cs="Arial"/>
          <w:sz w:val="18"/>
          <w:szCs w:val="18"/>
          <w:lang w:val="pt-BR"/>
        </w:rPr>
      </w:pPr>
      <w:r w:rsidRPr="00B95C23">
        <w:rPr>
          <w:rFonts w:ascii="Verdana" w:hAnsi="Verdana" w:cs="Arial"/>
          <w:sz w:val="18"/>
          <w:szCs w:val="18"/>
          <w:vertAlign w:val="superscript"/>
        </w:rPr>
        <w:footnoteRef/>
      </w:r>
      <w:r w:rsidRPr="00B95C23">
        <w:rPr>
          <w:rFonts w:ascii="Verdana" w:hAnsi="Verdana" w:cs="Arial"/>
          <w:sz w:val="18"/>
          <w:szCs w:val="18"/>
          <w:lang w:val="pt-BR"/>
        </w:rPr>
        <w:t xml:space="preserve"> Corte Constitucional. Sentencia C-1016 de 2012. M.P. Jorge Iván Palacio. </w:t>
      </w:r>
    </w:p>
    <w:p w14:paraId="1E1B7AAC" w14:textId="77777777" w:rsidR="00024A32" w:rsidRDefault="00024A32" w:rsidP="00024A32">
      <w:pPr>
        <w:pStyle w:val="Textonotapie"/>
        <w:ind w:firstLine="708"/>
        <w:contextualSpacing/>
        <w:jc w:val="both"/>
      </w:pPr>
    </w:p>
  </w:footnote>
  <w:footnote w:id="2">
    <w:p w14:paraId="1F3DEC08" w14:textId="77777777" w:rsidR="00024A32" w:rsidRPr="00B95C23" w:rsidRDefault="00024A32" w:rsidP="00024A32">
      <w:pPr>
        <w:pStyle w:val="Textonotapie"/>
        <w:ind w:firstLine="708"/>
        <w:contextualSpacing/>
        <w:jc w:val="both"/>
        <w:rPr>
          <w:rFonts w:ascii="Verdana" w:hAnsi="Verdana" w:cs="Arial"/>
          <w:sz w:val="18"/>
          <w:szCs w:val="18"/>
          <w:lang w:val="pt-BR"/>
        </w:rPr>
      </w:pPr>
      <w:r w:rsidRPr="00B95C23">
        <w:rPr>
          <w:rFonts w:ascii="Verdana" w:hAnsi="Verdana" w:cs="Arial"/>
          <w:sz w:val="18"/>
          <w:szCs w:val="18"/>
          <w:vertAlign w:val="superscript"/>
        </w:rPr>
        <w:footnoteRef/>
      </w:r>
      <w:r w:rsidRPr="00B95C23">
        <w:rPr>
          <w:rFonts w:ascii="Verdana" w:hAnsi="Verdana" w:cs="Arial"/>
          <w:sz w:val="18"/>
          <w:szCs w:val="18"/>
        </w:rPr>
        <w:t xml:space="preserve"> Consejo De Estado. Sección Tercera. Subsección A. Sentencia del 13 de noviembre de 2013. </w:t>
      </w:r>
      <w:r w:rsidRPr="00B95C23">
        <w:rPr>
          <w:rFonts w:ascii="Verdana" w:hAnsi="Verdana" w:cs="Arial"/>
          <w:sz w:val="18"/>
          <w:szCs w:val="18"/>
          <w:lang w:val="pt-BR"/>
        </w:rPr>
        <w:t xml:space="preserve">Rad. 25.646. C.P. Mauricio Fajardo Gómez.  </w:t>
      </w:r>
    </w:p>
    <w:p w14:paraId="2594B6B1" w14:textId="77777777" w:rsidR="00024A32" w:rsidRDefault="00024A32" w:rsidP="00024A32">
      <w:pPr>
        <w:pStyle w:val="Textonotapie"/>
        <w:ind w:firstLine="708"/>
        <w:contextualSpacing/>
        <w:jc w:val="both"/>
      </w:pPr>
    </w:p>
  </w:footnote>
  <w:footnote w:id="3">
    <w:p w14:paraId="5531583A" w14:textId="77777777" w:rsidR="00024A32" w:rsidRPr="00B95C23" w:rsidRDefault="00024A32" w:rsidP="00024A32">
      <w:pPr>
        <w:pStyle w:val="Textonotapie"/>
        <w:ind w:firstLine="708"/>
        <w:contextualSpacing/>
        <w:jc w:val="both"/>
        <w:rPr>
          <w:rFonts w:ascii="Verdana" w:hAnsi="Verdana" w:cs="Arial"/>
          <w:sz w:val="18"/>
          <w:szCs w:val="18"/>
          <w:lang w:val="pt-BR"/>
        </w:rPr>
      </w:pPr>
      <w:r w:rsidRPr="00B95C23">
        <w:rPr>
          <w:rFonts w:ascii="Verdana" w:hAnsi="Verdana" w:cs="Arial"/>
          <w:sz w:val="18"/>
          <w:szCs w:val="18"/>
          <w:vertAlign w:val="superscript"/>
        </w:rPr>
        <w:footnoteRef/>
      </w:r>
      <w:r w:rsidRPr="00B95C23">
        <w:rPr>
          <w:rFonts w:ascii="Verdana" w:hAnsi="Verdana" w:cs="Arial"/>
          <w:sz w:val="18"/>
          <w:szCs w:val="18"/>
          <w:lang w:val="pt-BR"/>
        </w:rPr>
        <w:t xml:space="preserve"> Corte Constitucional. Sentencia C-415 de 1994. M.P. Eduardo Cifuentes Muñoz. </w:t>
      </w:r>
    </w:p>
    <w:p w14:paraId="61127E30" w14:textId="77777777" w:rsidR="00024A32" w:rsidRDefault="00024A32" w:rsidP="00024A32">
      <w:pPr>
        <w:pStyle w:val="Textonotapie"/>
        <w:ind w:firstLine="708"/>
        <w:contextualSpacing/>
        <w:jc w:val="both"/>
      </w:pPr>
    </w:p>
  </w:footnote>
  <w:footnote w:id="4">
    <w:p w14:paraId="1D7FDE77" w14:textId="77777777" w:rsidR="00024A32" w:rsidRPr="00B95C23" w:rsidRDefault="00024A32" w:rsidP="00024A32">
      <w:pPr>
        <w:pStyle w:val="Textonotapie"/>
        <w:ind w:firstLine="708"/>
        <w:contextualSpacing/>
        <w:jc w:val="both"/>
        <w:rPr>
          <w:rFonts w:ascii="Verdana" w:hAnsi="Verdana" w:cs="Arial"/>
          <w:sz w:val="18"/>
          <w:szCs w:val="18"/>
          <w:lang w:val="pt-BR"/>
        </w:rPr>
      </w:pPr>
      <w:r w:rsidRPr="00B95C23">
        <w:rPr>
          <w:rFonts w:ascii="Verdana" w:hAnsi="Verdana" w:cs="Arial"/>
          <w:sz w:val="18"/>
          <w:szCs w:val="18"/>
          <w:vertAlign w:val="superscript"/>
        </w:rPr>
        <w:footnoteRef/>
      </w:r>
      <w:r w:rsidRPr="00B95C23">
        <w:rPr>
          <w:rFonts w:ascii="Verdana" w:hAnsi="Verdana" w:cs="Arial"/>
          <w:sz w:val="18"/>
          <w:szCs w:val="18"/>
          <w:lang w:val="pt-BR"/>
        </w:rPr>
        <w:t xml:space="preserve"> Ibídem. </w:t>
      </w:r>
    </w:p>
    <w:p w14:paraId="4D864BB4" w14:textId="77777777" w:rsidR="00024A32" w:rsidRDefault="00024A32" w:rsidP="00024A32">
      <w:pPr>
        <w:pStyle w:val="Textonotapie"/>
        <w:ind w:firstLine="708"/>
        <w:contextualSpacing/>
        <w:jc w:val="both"/>
      </w:pPr>
    </w:p>
  </w:footnote>
  <w:footnote w:id="5">
    <w:p w14:paraId="34131561" w14:textId="77777777" w:rsidR="00024A32" w:rsidRPr="00B95C23" w:rsidRDefault="00024A32" w:rsidP="00024A32">
      <w:pPr>
        <w:pStyle w:val="Textonotapie"/>
        <w:ind w:firstLine="708"/>
        <w:contextualSpacing/>
        <w:jc w:val="both"/>
        <w:rPr>
          <w:rFonts w:ascii="Verdana" w:hAnsi="Verdana" w:cs="Arial"/>
          <w:sz w:val="18"/>
          <w:szCs w:val="18"/>
        </w:rPr>
      </w:pPr>
      <w:r w:rsidRPr="00B95C23">
        <w:rPr>
          <w:rFonts w:ascii="Verdana" w:hAnsi="Verdana" w:cs="Arial"/>
          <w:sz w:val="18"/>
          <w:szCs w:val="18"/>
          <w:vertAlign w:val="superscript"/>
        </w:rPr>
        <w:footnoteRef/>
      </w:r>
      <w:r w:rsidRPr="00B95C23">
        <w:rPr>
          <w:rFonts w:ascii="Verdana" w:hAnsi="Verdana" w:cs="Arial"/>
          <w:sz w:val="18"/>
          <w:szCs w:val="18"/>
          <w:lang w:val="pt-BR"/>
        </w:rPr>
        <w:t xml:space="preserve"> Corte Constitucional. </w:t>
      </w:r>
      <w:r w:rsidRPr="00B95C23">
        <w:rPr>
          <w:rFonts w:ascii="Verdana" w:hAnsi="Verdana" w:cs="Arial"/>
          <w:sz w:val="18"/>
          <w:szCs w:val="18"/>
        </w:rPr>
        <w:t xml:space="preserve">Sentencia C-780 de 2001. M.P. Jaime Córdoba Triviño. </w:t>
      </w:r>
    </w:p>
    <w:p w14:paraId="5B27EDAC" w14:textId="77777777" w:rsidR="00024A32" w:rsidRDefault="00024A32" w:rsidP="00024A32">
      <w:pPr>
        <w:pStyle w:val="Textonotapie"/>
        <w:ind w:firstLine="708"/>
        <w:contextualSpacing/>
        <w:jc w:val="both"/>
      </w:pPr>
    </w:p>
  </w:footnote>
  <w:footnote w:id="6">
    <w:p w14:paraId="25D5CB9C" w14:textId="77777777" w:rsidR="00024A32" w:rsidRPr="00B95C23" w:rsidRDefault="00024A32" w:rsidP="00024A32">
      <w:pPr>
        <w:pStyle w:val="Textonotapie"/>
        <w:ind w:firstLine="709"/>
        <w:contextualSpacing/>
        <w:jc w:val="both"/>
        <w:rPr>
          <w:rFonts w:ascii="Verdana" w:hAnsi="Verdana" w:cs="Arial"/>
          <w:color w:val="000000"/>
          <w:sz w:val="18"/>
          <w:szCs w:val="18"/>
          <w:lang w:val="es-ES"/>
        </w:rPr>
      </w:pPr>
      <w:r w:rsidRPr="00B95C23">
        <w:rPr>
          <w:rFonts w:ascii="Verdana" w:hAnsi="Verdana"/>
          <w:sz w:val="18"/>
          <w:szCs w:val="18"/>
          <w:vertAlign w:val="superscript"/>
        </w:rPr>
        <w:footnoteRef/>
      </w:r>
      <w:r w:rsidRPr="00B95C23">
        <w:rPr>
          <w:rFonts w:ascii="Verdana" w:hAnsi="Verdana" w:cs="Arial"/>
          <w:color w:val="000000"/>
          <w:sz w:val="18"/>
          <w:szCs w:val="18"/>
        </w:rPr>
        <w:t xml:space="preserve"> </w:t>
      </w:r>
      <w:r w:rsidRPr="00B95C23">
        <w:rPr>
          <w:rFonts w:ascii="Verdana" w:hAnsi="Verdana" w:cs="Arial"/>
          <w:color w:val="000000"/>
          <w:sz w:val="18"/>
          <w:szCs w:val="18"/>
          <w:lang w:val="es-ES"/>
        </w:rPr>
        <w:t>Ibíd., p. 69.</w:t>
      </w:r>
    </w:p>
    <w:p w14:paraId="15F0D746" w14:textId="77777777" w:rsidR="00024A32" w:rsidRDefault="00024A32" w:rsidP="00024A32">
      <w:pPr>
        <w:pStyle w:val="Textonotapie"/>
        <w:ind w:firstLine="709"/>
        <w:contextualSpacing/>
        <w:jc w:val="both"/>
      </w:pPr>
    </w:p>
  </w:footnote>
  <w:footnote w:id="7">
    <w:p w14:paraId="537F435D" w14:textId="77777777" w:rsidR="00024A32" w:rsidRPr="00B95C23" w:rsidRDefault="00024A32" w:rsidP="00024A32">
      <w:pPr>
        <w:pStyle w:val="Textonotapie"/>
        <w:ind w:firstLine="709"/>
        <w:contextualSpacing/>
        <w:jc w:val="both"/>
        <w:rPr>
          <w:rFonts w:ascii="Verdana" w:hAnsi="Verdana" w:cs="Arial"/>
          <w:color w:val="000000"/>
          <w:sz w:val="18"/>
          <w:szCs w:val="18"/>
          <w:lang w:val="es-ES"/>
        </w:rPr>
      </w:pPr>
      <w:r w:rsidRPr="00B95C23">
        <w:rPr>
          <w:rFonts w:ascii="Verdana" w:hAnsi="Verdana"/>
          <w:sz w:val="18"/>
          <w:szCs w:val="18"/>
          <w:vertAlign w:val="superscript"/>
        </w:rPr>
        <w:footnoteRef/>
      </w:r>
      <w:r w:rsidRPr="00B95C23">
        <w:rPr>
          <w:rFonts w:ascii="Verdana" w:hAnsi="Verdana" w:cs="Arial"/>
          <w:color w:val="000000"/>
          <w:sz w:val="18"/>
          <w:szCs w:val="18"/>
        </w:rPr>
        <w:t xml:space="preserve"> </w:t>
      </w:r>
      <w:r w:rsidRPr="00B95C23">
        <w:rPr>
          <w:rFonts w:ascii="Verdana" w:hAnsi="Verdana" w:cs="Arial"/>
          <w:color w:val="000000"/>
          <w:sz w:val="18"/>
          <w:szCs w:val="18"/>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544823B2" w14:textId="77777777" w:rsidR="00024A32" w:rsidRDefault="00024A32" w:rsidP="00024A32">
      <w:pPr>
        <w:pStyle w:val="Textonotapie"/>
        <w:ind w:firstLine="709"/>
        <w:contextualSpacing/>
        <w:jc w:val="both"/>
      </w:pPr>
    </w:p>
  </w:footnote>
  <w:footnote w:id="8">
    <w:p w14:paraId="6E8E467E" w14:textId="77777777" w:rsidR="00024A32" w:rsidRPr="00B95C23" w:rsidRDefault="00024A32" w:rsidP="00024A32">
      <w:pPr>
        <w:pStyle w:val="Textonotapie"/>
        <w:ind w:firstLine="709"/>
        <w:contextualSpacing/>
        <w:jc w:val="both"/>
        <w:rPr>
          <w:rFonts w:ascii="Verdana" w:hAnsi="Verdana" w:cs="Arial"/>
          <w:color w:val="000000"/>
          <w:sz w:val="18"/>
          <w:szCs w:val="18"/>
          <w:lang w:val="es-ES"/>
        </w:rPr>
      </w:pPr>
      <w:r w:rsidRPr="00B95C23">
        <w:rPr>
          <w:rFonts w:ascii="Verdana" w:hAnsi="Verdana"/>
          <w:sz w:val="18"/>
          <w:szCs w:val="18"/>
          <w:vertAlign w:val="superscript"/>
        </w:rPr>
        <w:footnoteRef/>
      </w:r>
      <w:r w:rsidRPr="00B95C23">
        <w:rPr>
          <w:rFonts w:ascii="Verdana" w:hAnsi="Verdana" w:cs="Arial"/>
          <w:color w:val="000000"/>
          <w:sz w:val="18"/>
          <w:szCs w:val="18"/>
        </w:rPr>
        <w:t xml:space="preserve"> </w:t>
      </w:r>
      <w:r w:rsidRPr="00B95C23">
        <w:rPr>
          <w:rFonts w:ascii="Verdana" w:hAnsi="Verdana" w:cs="Arial"/>
          <w:color w:val="000000"/>
          <w:sz w:val="18"/>
          <w:szCs w:val="18"/>
          <w:lang w:val="es-ES"/>
        </w:rPr>
        <w:t>Consejo de Estado. Sala de Consulta y Servicio Civil. Concepto del 30 de abril de 2015. Expediente: 2.251. Consejero Ponente: Álvaro Namén Vargas.</w:t>
      </w:r>
    </w:p>
    <w:p w14:paraId="63334004" w14:textId="77777777" w:rsidR="00024A32" w:rsidRDefault="00024A32" w:rsidP="00024A32">
      <w:pPr>
        <w:pStyle w:val="Textonotapie"/>
        <w:ind w:firstLine="709"/>
        <w:contextualSpacing/>
        <w:jc w:val="both"/>
      </w:pPr>
    </w:p>
  </w:footnote>
  <w:footnote w:id="9">
    <w:p w14:paraId="402BB730" w14:textId="77777777" w:rsidR="00024A32" w:rsidRPr="00B95C23" w:rsidRDefault="00024A32" w:rsidP="00024A32">
      <w:pPr>
        <w:pStyle w:val="Textonotapie"/>
        <w:ind w:firstLine="709"/>
        <w:contextualSpacing/>
        <w:jc w:val="both"/>
        <w:rPr>
          <w:rFonts w:ascii="Verdana" w:hAnsi="Verdana" w:cs="Arial"/>
          <w:color w:val="000000"/>
          <w:sz w:val="18"/>
          <w:szCs w:val="18"/>
        </w:rPr>
      </w:pPr>
      <w:r w:rsidRPr="00B95C23">
        <w:rPr>
          <w:rFonts w:ascii="Verdana" w:hAnsi="Verdana"/>
          <w:sz w:val="18"/>
          <w:szCs w:val="18"/>
          <w:vertAlign w:val="superscript"/>
        </w:rPr>
        <w:footnoteRef/>
      </w:r>
      <w:r w:rsidRPr="00B95C23">
        <w:rPr>
          <w:rFonts w:ascii="Verdana" w:hAnsi="Verdana" w:cs="Arial"/>
          <w:color w:val="000000"/>
          <w:sz w:val="18"/>
          <w:szCs w:val="18"/>
        </w:rPr>
        <w:t xml:space="preserve"> Consejo de Estado. Sección Tercera. Subsección A. Sentencia del 24 de junio de 2015. Exp. 40.635. Consejero Ponente: Hernán Andrade Rincón (E).</w:t>
      </w:r>
    </w:p>
    <w:p w14:paraId="681F8F31" w14:textId="77777777" w:rsidR="00024A32" w:rsidRDefault="00024A32" w:rsidP="00024A32">
      <w:pPr>
        <w:pStyle w:val="Textonotapie"/>
        <w:ind w:firstLine="709"/>
        <w:contextualSpacing/>
        <w:jc w:val="both"/>
      </w:pPr>
    </w:p>
  </w:footnote>
  <w:footnote w:id="10">
    <w:p w14:paraId="1DC53414" w14:textId="77777777" w:rsidR="00024A32" w:rsidRPr="00B95C23" w:rsidRDefault="00024A32" w:rsidP="00024A32">
      <w:pPr>
        <w:pStyle w:val="Textonotapie"/>
        <w:ind w:firstLine="709"/>
        <w:contextualSpacing/>
        <w:jc w:val="both"/>
        <w:rPr>
          <w:rFonts w:ascii="Verdana" w:hAnsi="Verdana" w:cs="Arial"/>
          <w:color w:val="000000"/>
          <w:sz w:val="18"/>
          <w:szCs w:val="18"/>
        </w:rPr>
      </w:pPr>
      <w:r w:rsidRPr="00B95C23">
        <w:rPr>
          <w:rFonts w:ascii="Verdana" w:hAnsi="Verdana"/>
          <w:sz w:val="18"/>
          <w:szCs w:val="18"/>
          <w:vertAlign w:val="superscript"/>
        </w:rPr>
        <w:footnoteRef/>
      </w:r>
      <w:r w:rsidRPr="00B95C23">
        <w:rPr>
          <w:rFonts w:ascii="Verdana" w:hAnsi="Verdana" w:cs="Arial"/>
          <w:color w:val="000000"/>
          <w:sz w:val="18"/>
          <w:szCs w:val="18"/>
        </w:rPr>
        <w:t xml:space="preserve"> Consejo de Estado. Sección Tercera. Subsección C. Sentencia del 22 de mayo de 2013. Exp. 24.057. Consejera Ponente: Olga Melida Valle De De La Hoz.</w:t>
      </w:r>
    </w:p>
    <w:p w14:paraId="316B9E9C" w14:textId="77777777" w:rsidR="00024A32" w:rsidRDefault="00024A32" w:rsidP="00024A32">
      <w:pPr>
        <w:pStyle w:val="Textonotapie"/>
        <w:ind w:firstLine="709"/>
        <w:contextualSpacing/>
        <w:jc w:val="both"/>
      </w:pPr>
    </w:p>
  </w:footnote>
  <w:footnote w:id="11">
    <w:p w14:paraId="08B09B1F" w14:textId="77777777" w:rsidR="00024A32" w:rsidRPr="00B95C23" w:rsidRDefault="00024A32" w:rsidP="00024A32">
      <w:pPr>
        <w:pStyle w:val="Textonotapie"/>
        <w:ind w:firstLine="708"/>
        <w:contextualSpacing/>
        <w:jc w:val="both"/>
        <w:rPr>
          <w:rFonts w:ascii="Verdana" w:hAnsi="Verdana" w:cs="Arial"/>
          <w:color w:val="000000"/>
          <w:sz w:val="18"/>
          <w:szCs w:val="18"/>
        </w:rPr>
      </w:pPr>
      <w:r w:rsidRPr="00B95C23">
        <w:rPr>
          <w:rFonts w:ascii="Verdana" w:hAnsi="Verdana" w:cs="Arial"/>
          <w:color w:val="000000"/>
          <w:sz w:val="18"/>
          <w:szCs w:val="18"/>
          <w:vertAlign w:val="superscript"/>
        </w:rPr>
        <w:footnoteRef/>
      </w:r>
      <w:r w:rsidRPr="00B95C23">
        <w:rPr>
          <w:rFonts w:ascii="Verdana" w:hAnsi="Verdana" w:cs="Arial"/>
          <w:color w:val="000000"/>
          <w:sz w:val="18"/>
          <w:szCs w:val="18"/>
        </w:rPr>
        <w:t xml:space="preserve"> Consejo de Estado. Sala de Consulta y de Servicio Civil. Concepto del 23 de marzo de 2011. Rad. 2.045. C.P. Enrique José Arboleda Perdomo.</w:t>
      </w:r>
    </w:p>
    <w:p w14:paraId="7A3B9C92" w14:textId="77777777" w:rsidR="00024A32" w:rsidRDefault="00024A32" w:rsidP="00024A32">
      <w:pPr>
        <w:pStyle w:val="Textonotapie"/>
        <w:ind w:firstLine="708"/>
        <w:contextualSpacing/>
        <w:jc w:val="both"/>
      </w:pPr>
    </w:p>
  </w:footnote>
  <w:footnote w:id="12">
    <w:p w14:paraId="5BF2829A" w14:textId="77777777" w:rsidR="00024A32" w:rsidRPr="00B95C23" w:rsidRDefault="00024A32" w:rsidP="00024A32">
      <w:pPr>
        <w:pStyle w:val="Textonotapie"/>
        <w:ind w:firstLine="708"/>
        <w:contextualSpacing/>
        <w:jc w:val="both"/>
        <w:rPr>
          <w:rFonts w:ascii="Verdana" w:hAnsi="Verdana" w:cs="Arial"/>
          <w:color w:val="000000"/>
          <w:sz w:val="18"/>
          <w:szCs w:val="18"/>
        </w:rPr>
      </w:pPr>
      <w:r w:rsidRPr="00B95C23">
        <w:rPr>
          <w:rFonts w:ascii="Verdana" w:hAnsi="Verdana" w:cs="Arial"/>
          <w:color w:val="000000"/>
          <w:sz w:val="18"/>
          <w:szCs w:val="18"/>
          <w:vertAlign w:val="superscript"/>
        </w:rPr>
        <w:footnoteRef/>
      </w:r>
      <w:r w:rsidRPr="00B95C23">
        <w:rPr>
          <w:rFonts w:ascii="Verdana" w:hAnsi="Verdana" w:cs="Arial"/>
          <w:color w:val="000000"/>
          <w:sz w:val="18"/>
          <w:szCs w:val="18"/>
        </w:rPr>
        <w:t xml:space="preserve"> DÁVILA VINUEZA, Luis Guillermo. Op. Cit., pp. 149-153.</w:t>
      </w:r>
    </w:p>
    <w:p w14:paraId="018927A3" w14:textId="77777777" w:rsidR="00024A32" w:rsidRDefault="00024A32" w:rsidP="00024A32">
      <w:pPr>
        <w:pStyle w:val="Textonotapie"/>
        <w:ind w:firstLine="708"/>
        <w:contextualSpacing/>
        <w:jc w:val="both"/>
      </w:pPr>
    </w:p>
  </w:footnote>
  <w:footnote w:id="13">
    <w:p w14:paraId="05C25BF4" w14:textId="77777777" w:rsidR="00024A32" w:rsidRPr="00B95C23" w:rsidRDefault="00024A32" w:rsidP="00024A32">
      <w:pPr>
        <w:pStyle w:val="Textonotapie"/>
        <w:ind w:firstLine="708"/>
        <w:contextualSpacing/>
        <w:jc w:val="both"/>
        <w:rPr>
          <w:rFonts w:ascii="Verdana" w:hAnsi="Verdana" w:cs="Arial"/>
          <w:color w:val="000000"/>
          <w:sz w:val="18"/>
          <w:szCs w:val="18"/>
        </w:rPr>
      </w:pPr>
      <w:r w:rsidRPr="00B95C23">
        <w:rPr>
          <w:rFonts w:ascii="Verdana" w:hAnsi="Verdana" w:cs="Arial"/>
          <w:color w:val="000000"/>
          <w:sz w:val="18"/>
          <w:szCs w:val="18"/>
          <w:vertAlign w:val="superscript"/>
        </w:rPr>
        <w:footnoteRef/>
      </w:r>
      <w:r w:rsidRPr="00B95C23">
        <w:rPr>
          <w:rFonts w:ascii="Verdana" w:hAnsi="Verdana" w:cs="Arial"/>
          <w:color w:val="000000"/>
          <w:sz w:val="18"/>
          <w:szCs w:val="18"/>
        </w:rPr>
        <w:t xml:space="preserve"> Siendo los pronunciamientos más relevantes el Concepto del 10 de agosto de 2006. Exp. 1.767 –C.P. Luis Fernando Álvarez Jaramillo–, reiterado y complementado en el Concepto del 23 de marzo de 2011. Rad. 2.045 –C.P. Enrique José Arboleda Perdomo–.</w:t>
      </w:r>
    </w:p>
    <w:p w14:paraId="0C4E5AEA" w14:textId="77777777" w:rsidR="00024A32" w:rsidRDefault="00024A32" w:rsidP="00024A32">
      <w:pPr>
        <w:pStyle w:val="Textonotapie"/>
        <w:ind w:firstLine="708"/>
        <w:contextualSpacing/>
        <w:jc w:val="both"/>
      </w:pPr>
    </w:p>
  </w:footnote>
  <w:footnote w:id="14">
    <w:p w14:paraId="3502759E" w14:textId="77777777" w:rsidR="00024A32" w:rsidRDefault="00024A32" w:rsidP="00024A32">
      <w:pPr>
        <w:pStyle w:val="Textonotapie"/>
        <w:ind w:firstLine="708"/>
        <w:contextualSpacing/>
        <w:jc w:val="both"/>
      </w:pPr>
      <w:r w:rsidRPr="00B95C23">
        <w:rPr>
          <w:rFonts w:ascii="Verdana" w:hAnsi="Verdana" w:cs="Arial"/>
          <w:sz w:val="18"/>
          <w:szCs w:val="18"/>
          <w:vertAlign w:val="superscript"/>
        </w:rPr>
        <w:footnoteRef/>
      </w:r>
      <w:r w:rsidRPr="00B95C23">
        <w:rPr>
          <w:rFonts w:ascii="Verdana" w:hAnsi="Verdana" w:cs="Arial"/>
          <w:sz w:val="18"/>
          <w:szCs w:val="18"/>
        </w:rPr>
        <w:t xml:space="preserve"> Consejo de Estado. Sala de Consulta y Servicio Civil. </w:t>
      </w:r>
      <w:r w:rsidRPr="00B95C23">
        <w:rPr>
          <w:rFonts w:ascii="Verdana" w:hAnsi="Verdana" w:cs="Arial"/>
          <w:color w:val="000000"/>
          <w:sz w:val="18"/>
          <w:szCs w:val="18"/>
        </w:rPr>
        <w:t>Concepto del 23 de marzo de 2011. Rad. 2.045.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EE671" w14:textId="77777777" w:rsidR="00BB488E" w:rsidRDefault="00AF1C47"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371B755" wp14:editId="0C93064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F63C54D" wp14:editId="3195051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81B50D3" w14:textId="77777777" w:rsidR="00BB488E" w:rsidRDefault="00BB488E" w:rsidP="00515FB5">
    <w:pPr>
      <w:pStyle w:val="Encabezado"/>
    </w:pPr>
  </w:p>
  <w:p w14:paraId="3AF864FA" w14:textId="77777777" w:rsidR="00BB488E" w:rsidRDefault="00BB488E" w:rsidP="00515FB5">
    <w:pPr>
      <w:pStyle w:val="Encabezado"/>
    </w:pPr>
  </w:p>
  <w:p w14:paraId="664698BE" w14:textId="77777777" w:rsidR="00BB488E" w:rsidRPr="00515FB5" w:rsidRDefault="00BB488E"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1835DF4"/>
    <w:multiLevelType w:val="hybridMultilevel"/>
    <w:tmpl w:val="2C74C334"/>
    <w:lvl w:ilvl="0" w:tplc="781068BA">
      <w:start w:val="1"/>
      <w:numFmt w:val="lowerRoman"/>
      <w:lvlText w:val="%1)"/>
      <w:lvlJc w:val="left"/>
      <w:pPr>
        <w:ind w:left="1800" w:hanging="72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E69551B"/>
    <w:multiLevelType w:val="hybridMultilevel"/>
    <w:tmpl w:val="E4180D82"/>
    <w:lvl w:ilvl="0" w:tplc="0964AE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D81"/>
    <w:rsid w:val="00024A32"/>
    <w:rsid w:val="0004656C"/>
    <w:rsid w:val="000971DB"/>
    <w:rsid w:val="000A4B76"/>
    <w:rsid w:val="000B524D"/>
    <w:rsid w:val="000D12DF"/>
    <w:rsid w:val="000F5A42"/>
    <w:rsid w:val="001925E9"/>
    <w:rsid w:val="001B6601"/>
    <w:rsid w:val="002A4062"/>
    <w:rsid w:val="00353D81"/>
    <w:rsid w:val="003B6B44"/>
    <w:rsid w:val="004038B4"/>
    <w:rsid w:val="00406C58"/>
    <w:rsid w:val="004214D1"/>
    <w:rsid w:val="00547C15"/>
    <w:rsid w:val="00552D9F"/>
    <w:rsid w:val="00674C82"/>
    <w:rsid w:val="0071146E"/>
    <w:rsid w:val="007127B6"/>
    <w:rsid w:val="00736243"/>
    <w:rsid w:val="0074124C"/>
    <w:rsid w:val="008617C9"/>
    <w:rsid w:val="008952A0"/>
    <w:rsid w:val="0094132C"/>
    <w:rsid w:val="0094656B"/>
    <w:rsid w:val="00973897"/>
    <w:rsid w:val="00A12218"/>
    <w:rsid w:val="00A545D2"/>
    <w:rsid w:val="00A90678"/>
    <w:rsid w:val="00AF1C47"/>
    <w:rsid w:val="00B1115F"/>
    <w:rsid w:val="00B15EE5"/>
    <w:rsid w:val="00B31C3C"/>
    <w:rsid w:val="00B37B97"/>
    <w:rsid w:val="00B80156"/>
    <w:rsid w:val="00B84A73"/>
    <w:rsid w:val="00BB488E"/>
    <w:rsid w:val="00BC7A98"/>
    <w:rsid w:val="00BE33D8"/>
    <w:rsid w:val="00C7037B"/>
    <w:rsid w:val="00D013C3"/>
    <w:rsid w:val="00D21BC3"/>
    <w:rsid w:val="00D34FAF"/>
    <w:rsid w:val="00D67304"/>
    <w:rsid w:val="00D74335"/>
    <w:rsid w:val="00D94F69"/>
    <w:rsid w:val="00D97F40"/>
    <w:rsid w:val="00DE150B"/>
    <w:rsid w:val="00E46ECF"/>
    <w:rsid w:val="00F12372"/>
    <w:rsid w:val="00F550AD"/>
    <w:rsid w:val="00F61685"/>
    <w:rsid w:val="00FB2C0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BE779"/>
  <w15:chartTrackingRefBased/>
  <w15:docId w15:val="{3021D41B-0FE2-4B78-828D-1107BD180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2A0"/>
    <w:rPr>
      <w:kern w:val="0"/>
      <w14:ligatures w14:val="none"/>
    </w:rPr>
  </w:style>
  <w:style w:type="paragraph" w:styleId="Ttulo1">
    <w:name w:val="heading 1"/>
    <w:basedOn w:val="Normal"/>
    <w:next w:val="Normal"/>
    <w:link w:val="Ttulo1Car"/>
    <w:uiPriority w:val="9"/>
    <w:qFormat/>
    <w:rsid w:val="00353D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53D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53D8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53D8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53D8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53D8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53D8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53D8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53D8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53D8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53D8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53D8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53D8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53D8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53D8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53D8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53D8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53D81"/>
    <w:rPr>
      <w:rFonts w:eastAsiaTheme="majorEastAsia" w:cstheme="majorBidi"/>
      <w:color w:val="272727" w:themeColor="text1" w:themeTint="D8"/>
    </w:rPr>
  </w:style>
  <w:style w:type="paragraph" w:styleId="Ttulo">
    <w:name w:val="Title"/>
    <w:basedOn w:val="Normal"/>
    <w:next w:val="Normal"/>
    <w:link w:val="TtuloCar"/>
    <w:uiPriority w:val="10"/>
    <w:qFormat/>
    <w:rsid w:val="00353D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53D8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53D8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53D8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53D81"/>
    <w:pPr>
      <w:spacing w:before="160"/>
      <w:jc w:val="center"/>
    </w:pPr>
    <w:rPr>
      <w:i/>
      <w:iCs/>
      <w:color w:val="404040" w:themeColor="text1" w:themeTint="BF"/>
    </w:rPr>
  </w:style>
  <w:style w:type="character" w:customStyle="1" w:styleId="CitaCar">
    <w:name w:val="Cita Car"/>
    <w:basedOn w:val="Fuentedeprrafopredeter"/>
    <w:link w:val="Cita"/>
    <w:uiPriority w:val="29"/>
    <w:rsid w:val="00353D81"/>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353D81"/>
    <w:pPr>
      <w:ind w:left="720"/>
      <w:contextualSpacing/>
    </w:pPr>
  </w:style>
  <w:style w:type="character" w:styleId="nfasisintenso">
    <w:name w:val="Intense Emphasis"/>
    <w:basedOn w:val="Fuentedeprrafopredeter"/>
    <w:uiPriority w:val="21"/>
    <w:qFormat/>
    <w:rsid w:val="00353D81"/>
    <w:rPr>
      <w:i/>
      <w:iCs/>
      <w:color w:val="0F4761" w:themeColor="accent1" w:themeShade="BF"/>
    </w:rPr>
  </w:style>
  <w:style w:type="paragraph" w:styleId="Citadestacada">
    <w:name w:val="Intense Quote"/>
    <w:basedOn w:val="Normal"/>
    <w:next w:val="Normal"/>
    <w:link w:val="CitadestacadaCar"/>
    <w:uiPriority w:val="30"/>
    <w:qFormat/>
    <w:rsid w:val="00353D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53D81"/>
    <w:rPr>
      <w:i/>
      <w:iCs/>
      <w:color w:val="0F4761" w:themeColor="accent1" w:themeShade="BF"/>
    </w:rPr>
  </w:style>
  <w:style w:type="character" w:styleId="Referenciaintensa">
    <w:name w:val="Intense Reference"/>
    <w:basedOn w:val="Fuentedeprrafopredeter"/>
    <w:uiPriority w:val="32"/>
    <w:qFormat/>
    <w:rsid w:val="00353D81"/>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53D8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53D8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53D8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53D81"/>
    <w:rPr>
      <w:vertAlign w:val="superscript"/>
    </w:rPr>
  </w:style>
  <w:style w:type="paragraph" w:customStyle="1" w:styleId="Appelnotedebasde">
    <w:name w:val="Appel note de bas de..."/>
    <w:basedOn w:val="Normal"/>
    <w:link w:val="Refdenotaalpie"/>
    <w:uiPriority w:val="99"/>
    <w:rsid w:val="00353D81"/>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353D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3D81"/>
    <w:rPr>
      <w:kern w:val="0"/>
      <w14:ligatures w14:val="none"/>
    </w:rPr>
  </w:style>
  <w:style w:type="paragraph" w:styleId="Piedepgina">
    <w:name w:val="footer"/>
    <w:basedOn w:val="Normal"/>
    <w:link w:val="PiedepginaCar"/>
    <w:uiPriority w:val="99"/>
    <w:unhideWhenUsed/>
    <w:rsid w:val="00353D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3D81"/>
    <w:rPr>
      <w:kern w:val="0"/>
      <w14:ligatures w14:val="none"/>
    </w:rPr>
  </w:style>
  <w:style w:type="table" w:styleId="Tablaconcuadrcula">
    <w:name w:val="Table Grid"/>
    <w:basedOn w:val="Tablanormal"/>
    <w:uiPriority w:val="39"/>
    <w:qFormat/>
    <w:rsid w:val="00353D8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53D81"/>
    <w:rPr>
      <w:color w:val="467886" w:themeColor="hyperlink"/>
      <w:u w:val="single"/>
    </w:rPr>
  </w:style>
  <w:style w:type="character" w:styleId="Refdecomentario">
    <w:name w:val="annotation reference"/>
    <w:basedOn w:val="Fuentedeprrafopredeter"/>
    <w:uiPriority w:val="99"/>
    <w:semiHidden/>
    <w:unhideWhenUsed/>
    <w:rsid w:val="00353D81"/>
    <w:rPr>
      <w:sz w:val="16"/>
      <w:szCs w:val="16"/>
    </w:rPr>
  </w:style>
  <w:style w:type="paragraph" w:styleId="Textocomentario">
    <w:name w:val="annotation text"/>
    <w:basedOn w:val="Normal"/>
    <w:link w:val="TextocomentarioCar"/>
    <w:uiPriority w:val="99"/>
    <w:unhideWhenUsed/>
    <w:rsid w:val="00353D81"/>
    <w:pPr>
      <w:spacing w:line="240" w:lineRule="auto"/>
    </w:pPr>
    <w:rPr>
      <w:sz w:val="20"/>
      <w:szCs w:val="20"/>
    </w:rPr>
  </w:style>
  <w:style w:type="character" w:customStyle="1" w:styleId="TextocomentarioCar">
    <w:name w:val="Texto comentario Car"/>
    <w:basedOn w:val="Fuentedeprrafopredeter"/>
    <w:link w:val="Textocomentario"/>
    <w:uiPriority w:val="99"/>
    <w:rsid w:val="00353D81"/>
    <w:rPr>
      <w:kern w:val="0"/>
      <w:sz w:val="20"/>
      <w:szCs w:val="20"/>
      <w14:ligatures w14:val="none"/>
    </w:rPr>
  </w:style>
  <w:style w:type="character" w:customStyle="1" w:styleId="normaltextrun">
    <w:name w:val="normaltextrun"/>
    <w:basedOn w:val="Fuentedeprrafopredeter"/>
    <w:rsid w:val="00353D81"/>
  </w:style>
  <w:style w:type="character" w:customStyle="1" w:styleId="eop">
    <w:name w:val="eop"/>
    <w:basedOn w:val="Fuentedeprrafopredeter"/>
    <w:rsid w:val="00353D81"/>
  </w:style>
  <w:style w:type="paragraph" w:customStyle="1" w:styleId="paragraph">
    <w:name w:val="paragraph"/>
    <w:basedOn w:val="Normal"/>
    <w:rsid w:val="00353D81"/>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3D81"/>
  </w:style>
  <w:style w:type="character" w:styleId="Mencinsinresolver">
    <w:name w:val="Unresolved Mention"/>
    <w:basedOn w:val="Fuentedeprrafopredeter"/>
    <w:uiPriority w:val="99"/>
    <w:semiHidden/>
    <w:unhideWhenUsed/>
    <w:rsid w:val="00353D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94335">
      <w:bodyDiv w:val="1"/>
      <w:marLeft w:val="0"/>
      <w:marRight w:val="0"/>
      <w:marTop w:val="0"/>
      <w:marBottom w:val="0"/>
      <w:divBdr>
        <w:top w:val="none" w:sz="0" w:space="0" w:color="auto"/>
        <w:left w:val="none" w:sz="0" w:space="0" w:color="auto"/>
        <w:bottom w:val="none" w:sz="0" w:space="0" w:color="auto"/>
        <w:right w:val="none" w:sz="0" w:space="0" w:color="auto"/>
      </w:divBdr>
      <w:divsChild>
        <w:div w:id="70396864">
          <w:marLeft w:val="0"/>
          <w:marRight w:val="0"/>
          <w:marTop w:val="0"/>
          <w:marBottom w:val="0"/>
          <w:divBdr>
            <w:top w:val="none" w:sz="0" w:space="0" w:color="auto"/>
            <w:left w:val="none" w:sz="0" w:space="0" w:color="auto"/>
            <w:bottom w:val="none" w:sz="0" w:space="0" w:color="auto"/>
            <w:right w:val="none" w:sz="0" w:space="0" w:color="auto"/>
          </w:divBdr>
          <w:divsChild>
            <w:div w:id="374736833">
              <w:marLeft w:val="0"/>
              <w:marRight w:val="0"/>
              <w:marTop w:val="0"/>
              <w:marBottom w:val="0"/>
              <w:divBdr>
                <w:top w:val="none" w:sz="0" w:space="0" w:color="auto"/>
                <w:left w:val="none" w:sz="0" w:space="0" w:color="auto"/>
                <w:bottom w:val="none" w:sz="0" w:space="0" w:color="auto"/>
                <w:right w:val="none" w:sz="0" w:space="0" w:color="auto"/>
              </w:divBdr>
              <w:divsChild>
                <w:div w:id="2107266451">
                  <w:marLeft w:val="0"/>
                  <w:marRight w:val="0"/>
                  <w:marTop w:val="0"/>
                  <w:marBottom w:val="0"/>
                  <w:divBdr>
                    <w:top w:val="none" w:sz="0" w:space="0" w:color="auto"/>
                    <w:left w:val="none" w:sz="0" w:space="0" w:color="auto"/>
                    <w:bottom w:val="none" w:sz="0" w:space="0" w:color="auto"/>
                    <w:right w:val="none" w:sz="0" w:space="0" w:color="auto"/>
                  </w:divBdr>
                  <w:divsChild>
                    <w:div w:id="835344450">
                      <w:marLeft w:val="0"/>
                      <w:marRight w:val="0"/>
                      <w:marTop w:val="0"/>
                      <w:marBottom w:val="0"/>
                      <w:divBdr>
                        <w:top w:val="none" w:sz="0" w:space="0" w:color="auto"/>
                        <w:left w:val="none" w:sz="0" w:space="0" w:color="auto"/>
                        <w:bottom w:val="none" w:sz="0" w:space="0" w:color="auto"/>
                        <w:right w:val="none" w:sz="0" w:space="0" w:color="auto"/>
                      </w:divBdr>
                      <w:divsChild>
                        <w:div w:id="1994137186">
                          <w:marLeft w:val="0"/>
                          <w:marRight w:val="0"/>
                          <w:marTop w:val="0"/>
                          <w:marBottom w:val="0"/>
                          <w:divBdr>
                            <w:top w:val="none" w:sz="0" w:space="0" w:color="auto"/>
                            <w:left w:val="none" w:sz="0" w:space="0" w:color="auto"/>
                            <w:bottom w:val="none" w:sz="0" w:space="0" w:color="auto"/>
                            <w:right w:val="none" w:sz="0" w:space="0" w:color="auto"/>
                          </w:divBdr>
                          <w:divsChild>
                            <w:div w:id="96778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018386">
      <w:bodyDiv w:val="1"/>
      <w:marLeft w:val="0"/>
      <w:marRight w:val="0"/>
      <w:marTop w:val="0"/>
      <w:marBottom w:val="0"/>
      <w:divBdr>
        <w:top w:val="none" w:sz="0" w:space="0" w:color="auto"/>
        <w:left w:val="none" w:sz="0" w:space="0" w:color="auto"/>
        <w:bottom w:val="none" w:sz="0" w:space="0" w:color="auto"/>
        <w:right w:val="none" w:sz="0" w:space="0" w:color="auto"/>
      </w:divBdr>
    </w:div>
    <w:div w:id="591398011">
      <w:bodyDiv w:val="1"/>
      <w:marLeft w:val="0"/>
      <w:marRight w:val="0"/>
      <w:marTop w:val="0"/>
      <w:marBottom w:val="0"/>
      <w:divBdr>
        <w:top w:val="none" w:sz="0" w:space="0" w:color="auto"/>
        <w:left w:val="none" w:sz="0" w:space="0" w:color="auto"/>
        <w:bottom w:val="none" w:sz="0" w:space="0" w:color="auto"/>
        <w:right w:val="none" w:sz="0" w:space="0" w:color="auto"/>
      </w:divBdr>
      <w:divsChild>
        <w:div w:id="923881417">
          <w:marLeft w:val="0"/>
          <w:marRight w:val="0"/>
          <w:marTop w:val="0"/>
          <w:marBottom w:val="0"/>
          <w:divBdr>
            <w:top w:val="none" w:sz="0" w:space="0" w:color="auto"/>
            <w:left w:val="none" w:sz="0" w:space="0" w:color="auto"/>
            <w:bottom w:val="none" w:sz="0" w:space="0" w:color="auto"/>
            <w:right w:val="none" w:sz="0" w:space="0" w:color="auto"/>
          </w:divBdr>
        </w:div>
        <w:div w:id="1846168473">
          <w:marLeft w:val="0"/>
          <w:marRight w:val="0"/>
          <w:marTop w:val="0"/>
          <w:marBottom w:val="0"/>
          <w:divBdr>
            <w:top w:val="none" w:sz="0" w:space="0" w:color="auto"/>
            <w:left w:val="none" w:sz="0" w:space="0" w:color="auto"/>
            <w:bottom w:val="none" w:sz="0" w:space="0" w:color="auto"/>
            <w:right w:val="none" w:sz="0" w:space="0" w:color="auto"/>
          </w:divBdr>
        </w:div>
        <w:div w:id="1066948855">
          <w:marLeft w:val="0"/>
          <w:marRight w:val="0"/>
          <w:marTop w:val="0"/>
          <w:marBottom w:val="0"/>
          <w:divBdr>
            <w:top w:val="none" w:sz="0" w:space="0" w:color="auto"/>
            <w:left w:val="none" w:sz="0" w:space="0" w:color="auto"/>
            <w:bottom w:val="none" w:sz="0" w:space="0" w:color="auto"/>
            <w:right w:val="none" w:sz="0" w:space="0" w:color="auto"/>
          </w:divBdr>
        </w:div>
      </w:divsChild>
    </w:div>
    <w:div w:id="810564280">
      <w:bodyDiv w:val="1"/>
      <w:marLeft w:val="0"/>
      <w:marRight w:val="0"/>
      <w:marTop w:val="0"/>
      <w:marBottom w:val="0"/>
      <w:divBdr>
        <w:top w:val="none" w:sz="0" w:space="0" w:color="auto"/>
        <w:left w:val="none" w:sz="0" w:space="0" w:color="auto"/>
        <w:bottom w:val="none" w:sz="0" w:space="0" w:color="auto"/>
        <w:right w:val="none" w:sz="0" w:space="0" w:color="auto"/>
      </w:divBdr>
      <w:divsChild>
        <w:div w:id="1709866901">
          <w:marLeft w:val="0"/>
          <w:marRight w:val="0"/>
          <w:marTop w:val="0"/>
          <w:marBottom w:val="0"/>
          <w:divBdr>
            <w:top w:val="none" w:sz="0" w:space="0" w:color="auto"/>
            <w:left w:val="none" w:sz="0" w:space="0" w:color="auto"/>
            <w:bottom w:val="none" w:sz="0" w:space="0" w:color="auto"/>
            <w:right w:val="none" w:sz="0" w:space="0" w:color="auto"/>
          </w:divBdr>
        </w:div>
        <w:div w:id="881206733">
          <w:marLeft w:val="0"/>
          <w:marRight w:val="0"/>
          <w:marTop w:val="0"/>
          <w:marBottom w:val="0"/>
          <w:divBdr>
            <w:top w:val="none" w:sz="0" w:space="0" w:color="auto"/>
            <w:left w:val="none" w:sz="0" w:space="0" w:color="auto"/>
            <w:bottom w:val="none" w:sz="0" w:space="0" w:color="auto"/>
            <w:right w:val="none" w:sz="0" w:space="0" w:color="auto"/>
          </w:divBdr>
        </w:div>
        <w:div w:id="1293753697">
          <w:marLeft w:val="0"/>
          <w:marRight w:val="0"/>
          <w:marTop w:val="0"/>
          <w:marBottom w:val="0"/>
          <w:divBdr>
            <w:top w:val="none" w:sz="0" w:space="0" w:color="auto"/>
            <w:left w:val="none" w:sz="0" w:space="0" w:color="auto"/>
            <w:bottom w:val="none" w:sz="0" w:space="0" w:color="auto"/>
            <w:right w:val="none" w:sz="0" w:space="0" w:color="auto"/>
          </w:divBdr>
        </w:div>
      </w:divsChild>
    </w:div>
    <w:div w:id="814226693">
      <w:bodyDiv w:val="1"/>
      <w:marLeft w:val="0"/>
      <w:marRight w:val="0"/>
      <w:marTop w:val="0"/>
      <w:marBottom w:val="0"/>
      <w:divBdr>
        <w:top w:val="none" w:sz="0" w:space="0" w:color="auto"/>
        <w:left w:val="none" w:sz="0" w:space="0" w:color="auto"/>
        <w:bottom w:val="none" w:sz="0" w:space="0" w:color="auto"/>
        <w:right w:val="none" w:sz="0" w:space="0" w:color="auto"/>
      </w:divBdr>
    </w:div>
    <w:div w:id="921719516">
      <w:bodyDiv w:val="1"/>
      <w:marLeft w:val="0"/>
      <w:marRight w:val="0"/>
      <w:marTop w:val="0"/>
      <w:marBottom w:val="0"/>
      <w:divBdr>
        <w:top w:val="none" w:sz="0" w:space="0" w:color="auto"/>
        <w:left w:val="none" w:sz="0" w:space="0" w:color="auto"/>
        <w:bottom w:val="none" w:sz="0" w:space="0" w:color="auto"/>
        <w:right w:val="none" w:sz="0" w:space="0" w:color="auto"/>
      </w:divBdr>
    </w:div>
    <w:div w:id="1258756129">
      <w:bodyDiv w:val="1"/>
      <w:marLeft w:val="0"/>
      <w:marRight w:val="0"/>
      <w:marTop w:val="0"/>
      <w:marBottom w:val="0"/>
      <w:divBdr>
        <w:top w:val="none" w:sz="0" w:space="0" w:color="auto"/>
        <w:left w:val="none" w:sz="0" w:space="0" w:color="auto"/>
        <w:bottom w:val="none" w:sz="0" w:space="0" w:color="auto"/>
        <w:right w:val="none" w:sz="0" w:space="0" w:color="auto"/>
      </w:divBdr>
    </w:div>
    <w:div w:id="1428963287">
      <w:bodyDiv w:val="1"/>
      <w:marLeft w:val="0"/>
      <w:marRight w:val="0"/>
      <w:marTop w:val="0"/>
      <w:marBottom w:val="0"/>
      <w:divBdr>
        <w:top w:val="none" w:sz="0" w:space="0" w:color="auto"/>
        <w:left w:val="none" w:sz="0" w:space="0" w:color="auto"/>
        <w:bottom w:val="none" w:sz="0" w:space="0" w:color="auto"/>
        <w:right w:val="none" w:sz="0" w:space="0" w:color="auto"/>
      </w:divBdr>
    </w:div>
    <w:div w:id="1599212349">
      <w:bodyDiv w:val="1"/>
      <w:marLeft w:val="0"/>
      <w:marRight w:val="0"/>
      <w:marTop w:val="0"/>
      <w:marBottom w:val="0"/>
      <w:divBdr>
        <w:top w:val="none" w:sz="0" w:space="0" w:color="auto"/>
        <w:left w:val="none" w:sz="0" w:space="0" w:color="auto"/>
        <w:bottom w:val="none" w:sz="0" w:space="0" w:color="auto"/>
        <w:right w:val="none" w:sz="0" w:space="0" w:color="auto"/>
      </w:divBdr>
    </w:div>
    <w:div w:id="1633633824">
      <w:bodyDiv w:val="1"/>
      <w:marLeft w:val="0"/>
      <w:marRight w:val="0"/>
      <w:marTop w:val="0"/>
      <w:marBottom w:val="0"/>
      <w:divBdr>
        <w:top w:val="none" w:sz="0" w:space="0" w:color="auto"/>
        <w:left w:val="none" w:sz="0" w:space="0" w:color="auto"/>
        <w:bottom w:val="none" w:sz="0" w:space="0" w:color="auto"/>
        <w:right w:val="none" w:sz="0" w:space="0" w:color="auto"/>
      </w:divBdr>
      <w:divsChild>
        <w:div w:id="2052537523">
          <w:marLeft w:val="0"/>
          <w:marRight w:val="0"/>
          <w:marTop w:val="0"/>
          <w:marBottom w:val="0"/>
          <w:divBdr>
            <w:top w:val="none" w:sz="0" w:space="0" w:color="auto"/>
            <w:left w:val="none" w:sz="0" w:space="0" w:color="auto"/>
            <w:bottom w:val="none" w:sz="0" w:space="0" w:color="auto"/>
            <w:right w:val="none" w:sz="0" w:space="0" w:color="auto"/>
          </w:divBdr>
          <w:divsChild>
            <w:div w:id="960497190">
              <w:marLeft w:val="0"/>
              <w:marRight w:val="0"/>
              <w:marTop w:val="0"/>
              <w:marBottom w:val="0"/>
              <w:divBdr>
                <w:top w:val="none" w:sz="0" w:space="0" w:color="auto"/>
                <w:left w:val="none" w:sz="0" w:space="0" w:color="auto"/>
                <w:bottom w:val="none" w:sz="0" w:space="0" w:color="auto"/>
                <w:right w:val="none" w:sz="0" w:space="0" w:color="auto"/>
              </w:divBdr>
              <w:divsChild>
                <w:div w:id="777457089">
                  <w:marLeft w:val="0"/>
                  <w:marRight w:val="0"/>
                  <w:marTop w:val="0"/>
                  <w:marBottom w:val="0"/>
                  <w:divBdr>
                    <w:top w:val="none" w:sz="0" w:space="0" w:color="auto"/>
                    <w:left w:val="none" w:sz="0" w:space="0" w:color="auto"/>
                    <w:bottom w:val="none" w:sz="0" w:space="0" w:color="auto"/>
                    <w:right w:val="none" w:sz="0" w:space="0" w:color="auto"/>
                  </w:divBdr>
                  <w:divsChild>
                    <w:div w:id="1981617945">
                      <w:marLeft w:val="0"/>
                      <w:marRight w:val="0"/>
                      <w:marTop w:val="0"/>
                      <w:marBottom w:val="0"/>
                      <w:divBdr>
                        <w:top w:val="none" w:sz="0" w:space="0" w:color="auto"/>
                        <w:left w:val="none" w:sz="0" w:space="0" w:color="auto"/>
                        <w:bottom w:val="none" w:sz="0" w:space="0" w:color="auto"/>
                        <w:right w:val="none" w:sz="0" w:space="0" w:color="auto"/>
                      </w:divBdr>
                      <w:divsChild>
                        <w:div w:id="1512797198">
                          <w:marLeft w:val="0"/>
                          <w:marRight w:val="0"/>
                          <w:marTop w:val="60"/>
                          <w:marBottom w:val="300"/>
                          <w:divBdr>
                            <w:top w:val="none" w:sz="0" w:space="0" w:color="auto"/>
                            <w:left w:val="none" w:sz="0" w:space="0" w:color="auto"/>
                            <w:bottom w:val="none" w:sz="0" w:space="0" w:color="auto"/>
                            <w:right w:val="none" w:sz="0" w:space="0" w:color="auto"/>
                          </w:divBdr>
                          <w:divsChild>
                            <w:div w:id="463817822">
                              <w:marLeft w:val="0"/>
                              <w:marRight w:val="240"/>
                              <w:marTop w:val="0"/>
                              <w:marBottom w:val="0"/>
                              <w:divBdr>
                                <w:top w:val="none" w:sz="0" w:space="0" w:color="auto"/>
                                <w:left w:val="none" w:sz="0" w:space="0" w:color="auto"/>
                                <w:bottom w:val="none" w:sz="0" w:space="0" w:color="auto"/>
                                <w:right w:val="none" w:sz="0" w:space="0" w:color="auto"/>
                              </w:divBdr>
                              <w:divsChild>
                                <w:div w:id="465973422">
                                  <w:marLeft w:val="0"/>
                                  <w:marRight w:val="0"/>
                                  <w:marTop w:val="0"/>
                                  <w:marBottom w:val="0"/>
                                  <w:divBdr>
                                    <w:top w:val="none" w:sz="0" w:space="0" w:color="auto"/>
                                    <w:left w:val="none" w:sz="0" w:space="0" w:color="auto"/>
                                    <w:bottom w:val="none" w:sz="0" w:space="0" w:color="auto"/>
                                    <w:right w:val="none" w:sz="0" w:space="0" w:color="auto"/>
                                  </w:divBdr>
                                  <w:divsChild>
                                    <w:div w:id="1626428729">
                                      <w:marLeft w:val="0"/>
                                      <w:marRight w:val="0"/>
                                      <w:marTop w:val="0"/>
                                      <w:marBottom w:val="0"/>
                                      <w:divBdr>
                                        <w:top w:val="none" w:sz="0" w:space="0" w:color="auto"/>
                                        <w:left w:val="none" w:sz="0" w:space="0" w:color="auto"/>
                                        <w:bottom w:val="none" w:sz="0" w:space="0" w:color="auto"/>
                                        <w:right w:val="none" w:sz="0" w:space="0" w:color="auto"/>
                                      </w:divBdr>
                                      <w:divsChild>
                                        <w:div w:id="1601448648">
                                          <w:marLeft w:val="0"/>
                                          <w:marRight w:val="0"/>
                                          <w:marTop w:val="0"/>
                                          <w:marBottom w:val="0"/>
                                          <w:divBdr>
                                            <w:top w:val="none" w:sz="0" w:space="0" w:color="auto"/>
                                            <w:left w:val="none" w:sz="0" w:space="0" w:color="auto"/>
                                            <w:bottom w:val="none" w:sz="0" w:space="0" w:color="auto"/>
                                            <w:right w:val="none" w:sz="0" w:space="0" w:color="auto"/>
                                          </w:divBdr>
                                          <w:divsChild>
                                            <w:div w:id="303396064">
                                              <w:marLeft w:val="0"/>
                                              <w:marRight w:val="0"/>
                                              <w:marTop w:val="0"/>
                                              <w:marBottom w:val="0"/>
                                              <w:divBdr>
                                                <w:top w:val="none" w:sz="0" w:space="0" w:color="auto"/>
                                                <w:left w:val="none" w:sz="0" w:space="0" w:color="auto"/>
                                                <w:bottom w:val="none" w:sz="0" w:space="0" w:color="auto"/>
                                                <w:right w:val="none" w:sz="0" w:space="0" w:color="auto"/>
                                              </w:divBdr>
                                              <w:divsChild>
                                                <w:div w:id="1815945379">
                                                  <w:marLeft w:val="0"/>
                                                  <w:marRight w:val="0"/>
                                                  <w:marTop w:val="0"/>
                                                  <w:marBottom w:val="0"/>
                                                  <w:divBdr>
                                                    <w:top w:val="none" w:sz="0" w:space="0" w:color="auto"/>
                                                    <w:left w:val="none" w:sz="0" w:space="0" w:color="auto"/>
                                                    <w:bottom w:val="none" w:sz="0" w:space="0" w:color="auto"/>
                                                    <w:right w:val="none" w:sz="0" w:space="0" w:color="auto"/>
                                                  </w:divBdr>
                                                  <w:divsChild>
                                                    <w:div w:id="161474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726384">
          <w:marLeft w:val="0"/>
          <w:marRight w:val="0"/>
          <w:marTop w:val="0"/>
          <w:marBottom w:val="0"/>
          <w:divBdr>
            <w:top w:val="none" w:sz="0" w:space="0" w:color="auto"/>
            <w:left w:val="none" w:sz="0" w:space="0" w:color="auto"/>
            <w:bottom w:val="none" w:sz="0" w:space="0" w:color="auto"/>
            <w:right w:val="none" w:sz="0" w:space="0" w:color="auto"/>
          </w:divBdr>
        </w:div>
      </w:divsChild>
    </w:div>
    <w:div w:id="1941985903">
      <w:bodyDiv w:val="1"/>
      <w:marLeft w:val="0"/>
      <w:marRight w:val="0"/>
      <w:marTop w:val="0"/>
      <w:marBottom w:val="0"/>
      <w:divBdr>
        <w:top w:val="none" w:sz="0" w:space="0" w:color="auto"/>
        <w:left w:val="none" w:sz="0" w:space="0" w:color="auto"/>
        <w:bottom w:val="none" w:sz="0" w:space="0" w:color="auto"/>
        <w:right w:val="none" w:sz="0" w:space="0" w:color="auto"/>
      </w:divBdr>
    </w:div>
    <w:div w:id="1998344132">
      <w:bodyDiv w:val="1"/>
      <w:marLeft w:val="0"/>
      <w:marRight w:val="0"/>
      <w:marTop w:val="0"/>
      <w:marBottom w:val="0"/>
      <w:divBdr>
        <w:top w:val="none" w:sz="0" w:space="0" w:color="auto"/>
        <w:left w:val="none" w:sz="0" w:space="0" w:color="auto"/>
        <w:bottom w:val="none" w:sz="0" w:space="0" w:color="auto"/>
        <w:right w:val="none" w:sz="0" w:space="0" w:color="auto"/>
      </w:divBdr>
      <w:divsChild>
        <w:div w:id="1662394413">
          <w:marLeft w:val="0"/>
          <w:marRight w:val="0"/>
          <w:marTop w:val="0"/>
          <w:marBottom w:val="0"/>
          <w:divBdr>
            <w:top w:val="none" w:sz="0" w:space="0" w:color="auto"/>
            <w:left w:val="none" w:sz="0" w:space="0" w:color="auto"/>
            <w:bottom w:val="none" w:sz="0" w:space="0" w:color="auto"/>
            <w:right w:val="none" w:sz="0" w:space="0" w:color="auto"/>
          </w:divBdr>
          <w:divsChild>
            <w:div w:id="211237177">
              <w:marLeft w:val="0"/>
              <w:marRight w:val="0"/>
              <w:marTop w:val="0"/>
              <w:marBottom w:val="0"/>
              <w:divBdr>
                <w:top w:val="none" w:sz="0" w:space="0" w:color="auto"/>
                <w:left w:val="none" w:sz="0" w:space="0" w:color="auto"/>
                <w:bottom w:val="none" w:sz="0" w:space="0" w:color="auto"/>
                <w:right w:val="none" w:sz="0" w:space="0" w:color="auto"/>
              </w:divBdr>
              <w:divsChild>
                <w:div w:id="1539078199">
                  <w:marLeft w:val="0"/>
                  <w:marRight w:val="0"/>
                  <w:marTop w:val="0"/>
                  <w:marBottom w:val="0"/>
                  <w:divBdr>
                    <w:top w:val="none" w:sz="0" w:space="0" w:color="auto"/>
                    <w:left w:val="none" w:sz="0" w:space="0" w:color="auto"/>
                    <w:bottom w:val="none" w:sz="0" w:space="0" w:color="auto"/>
                    <w:right w:val="none" w:sz="0" w:space="0" w:color="auto"/>
                  </w:divBdr>
                  <w:divsChild>
                    <w:div w:id="1901479720">
                      <w:marLeft w:val="0"/>
                      <w:marRight w:val="0"/>
                      <w:marTop w:val="0"/>
                      <w:marBottom w:val="0"/>
                      <w:divBdr>
                        <w:top w:val="none" w:sz="0" w:space="0" w:color="auto"/>
                        <w:left w:val="none" w:sz="0" w:space="0" w:color="auto"/>
                        <w:bottom w:val="none" w:sz="0" w:space="0" w:color="auto"/>
                        <w:right w:val="none" w:sz="0" w:space="0" w:color="auto"/>
                      </w:divBdr>
                      <w:divsChild>
                        <w:div w:id="354619679">
                          <w:marLeft w:val="0"/>
                          <w:marRight w:val="0"/>
                          <w:marTop w:val="0"/>
                          <w:marBottom w:val="0"/>
                          <w:divBdr>
                            <w:top w:val="none" w:sz="0" w:space="0" w:color="auto"/>
                            <w:left w:val="none" w:sz="0" w:space="0" w:color="auto"/>
                            <w:bottom w:val="none" w:sz="0" w:space="0" w:color="auto"/>
                            <w:right w:val="none" w:sz="0" w:space="0" w:color="auto"/>
                          </w:divBdr>
                          <w:divsChild>
                            <w:div w:id="164091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321916">
      <w:bodyDiv w:val="1"/>
      <w:marLeft w:val="0"/>
      <w:marRight w:val="0"/>
      <w:marTop w:val="0"/>
      <w:marBottom w:val="0"/>
      <w:divBdr>
        <w:top w:val="none" w:sz="0" w:space="0" w:color="auto"/>
        <w:left w:val="none" w:sz="0" w:space="0" w:color="auto"/>
        <w:bottom w:val="none" w:sz="0" w:space="0" w:color="auto"/>
        <w:right w:val="none" w:sz="0" w:space="0" w:color="auto"/>
      </w:divBdr>
      <w:divsChild>
        <w:div w:id="1778676061">
          <w:marLeft w:val="0"/>
          <w:marRight w:val="0"/>
          <w:marTop w:val="0"/>
          <w:marBottom w:val="0"/>
          <w:divBdr>
            <w:top w:val="none" w:sz="0" w:space="0" w:color="auto"/>
            <w:left w:val="none" w:sz="0" w:space="0" w:color="auto"/>
            <w:bottom w:val="none" w:sz="0" w:space="0" w:color="auto"/>
            <w:right w:val="none" w:sz="0" w:space="0" w:color="auto"/>
          </w:divBdr>
          <w:divsChild>
            <w:div w:id="1986815076">
              <w:marLeft w:val="0"/>
              <w:marRight w:val="0"/>
              <w:marTop w:val="0"/>
              <w:marBottom w:val="0"/>
              <w:divBdr>
                <w:top w:val="none" w:sz="0" w:space="0" w:color="auto"/>
                <w:left w:val="none" w:sz="0" w:space="0" w:color="auto"/>
                <w:bottom w:val="none" w:sz="0" w:space="0" w:color="auto"/>
                <w:right w:val="none" w:sz="0" w:space="0" w:color="auto"/>
              </w:divBdr>
              <w:divsChild>
                <w:div w:id="258415347">
                  <w:marLeft w:val="0"/>
                  <w:marRight w:val="0"/>
                  <w:marTop w:val="0"/>
                  <w:marBottom w:val="0"/>
                  <w:divBdr>
                    <w:top w:val="none" w:sz="0" w:space="0" w:color="auto"/>
                    <w:left w:val="none" w:sz="0" w:space="0" w:color="auto"/>
                    <w:bottom w:val="none" w:sz="0" w:space="0" w:color="auto"/>
                    <w:right w:val="none" w:sz="0" w:space="0" w:color="auto"/>
                  </w:divBdr>
                  <w:divsChild>
                    <w:div w:id="1439788717">
                      <w:marLeft w:val="0"/>
                      <w:marRight w:val="0"/>
                      <w:marTop w:val="0"/>
                      <w:marBottom w:val="0"/>
                      <w:divBdr>
                        <w:top w:val="none" w:sz="0" w:space="0" w:color="auto"/>
                        <w:left w:val="none" w:sz="0" w:space="0" w:color="auto"/>
                        <w:bottom w:val="none" w:sz="0" w:space="0" w:color="auto"/>
                        <w:right w:val="none" w:sz="0" w:space="0" w:color="auto"/>
                      </w:divBdr>
                      <w:divsChild>
                        <w:div w:id="2038460920">
                          <w:marLeft w:val="0"/>
                          <w:marRight w:val="0"/>
                          <w:marTop w:val="60"/>
                          <w:marBottom w:val="300"/>
                          <w:divBdr>
                            <w:top w:val="none" w:sz="0" w:space="0" w:color="auto"/>
                            <w:left w:val="none" w:sz="0" w:space="0" w:color="auto"/>
                            <w:bottom w:val="none" w:sz="0" w:space="0" w:color="auto"/>
                            <w:right w:val="none" w:sz="0" w:space="0" w:color="auto"/>
                          </w:divBdr>
                          <w:divsChild>
                            <w:div w:id="1855848534">
                              <w:marLeft w:val="0"/>
                              <w:marRight w:val="240"/>
                              <w:marTop w:val="0"/>
                              <w:marBottom w:val="0"/>
                              <w:divBdr>
                                <w:top w:val="none" w:sz="0" w:space="0" w:color="auto"/>
                                <w:left w:val="none" w:sz="0" w:space="0" w:color="auto"/>
                                <w:bottom w:val="none" w:sz="0" w:space="0" w:color="auto"/>
                                <w:right w:val="none" w:sz="0" w:space="0" w:color="auto"/>
                              </w:divBdr>
                              <w:divsChild>
                                <w:div w:id="1491017353">
                                  <w:marLeft w:val="0"/>
                                  <w:marRight w:val="0"/>
                                  <w:marTop w:val="0"/>
                                  <w:marBottom w:val="0"/>
                                  <w:divBdr>
                                    <w:top w:val="none" w:sz="0" w:space="0" w:color="auto"/>
                                    <w:left w:val="none" w:sz="0" w:space="0" w:color="auto"/>
                                    <w:bottom w:val="none" w:sz="0" w:space="0" w:color="auto"/>
                                    <w:right w:val="none" w:sz="0" w:space="0" w:color="auto"/>
                                  </w:divBdr>
                                  <w:divsChild>
                                    <w:div w:id="878515030">
                                      <w:marLeft w:val="0"/>
                                      <w:marRight w:val="0"/>
                                      <w:marTop w:val="0"/>
                                      <w:marBottom w:val="0"/>
                                      <w:divBdr>
                                        <w:top w:val="none" w:sz="0" w:space="0" w:color="auto"/>
                                        <w:left w:val="none" w:sz="0" w:space="0" w:color="auto"/>
                                        <w:bottom w:val="none" w:sz="0" w:space="0" w:color="auto"/>
                                        <w:right w:val="none" w:sz="0" w:space="0" w:color="auto"/>
                                      </w:divBdr>
                                      <w:divsChild>
                                        <w:div w:id="707074751">
                                          <w:marLeft w:val="0"/>
                                          <w:marRight w:val="0"/>
                                          <w:marTop w:val="0"/>
                                          <w:marBottom w:val="0"/>
                                          <w:divBdr>
                                            <w:top w:val="none" w:sz="0" w:space="0" w:color="auto"/>
                                            <w:left w:val="none" w:sz="0" w:space="0" w:color="auto"/>
                                            <w:bottom w:val="none" w:sz="0" w:space="0" w:color="auto"/>
                                            <w:right w:val="none" w:sz="0" w:space="0" w:color="auto"/>
                                          </w:divBdr>
                                          <w:divsChild>
                                            <w:div w:id="1036005290">
                                              <w:marLeft w:val="0"/>
                                              <w:marRight w:val="0"/>
                                              <w:marTop w:val="0"/>
                                              <w:marBottom w:val="0"/>
                                              <w:divBdr>
                                                <w:top w:val="none" w:sz="0" w:space="0" w:color="auto"/>
                                                <w:left w:val="none" w:sz="0" w:space="0" w:color="auto"/>
                                                <w:bottom w:val="none" w:sz="0" w:space="0" w:color="auto"/>
                                                <w:right w:val="none" w:sz="0" w:space="0" w:color="auto"/>
                                              </w:divBdr>
                                              <w:divsChild>
                                                <w:div w:id="1272857032">
                                                  <w:marLeft w:val="0"/>
                                                  <w:marRight w:val="0"/>
                                                  <w:marTop w:val="0"/>
                                                  <w:marBottom w:val="0"/>
                                                  <w:divBdr>
                                                    <w:top w:val="none" w:sz="0" w:space="0" w:color="auto"/>
                                                    <w:left w:val="none" w:sz="0" w:space="0" w:color="auto"/>
                                                    <w:bottom w:val="none" w:sz="0" w:space="0" w:color="auto"/>
                                                    <w:right w:val="none" w:sz="0" w:space="0" w:color="auto"/>
                                                  </w:divBdr>
                                                  <w:divsChild>
                                                    <w:div w:id="20334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2433391">
          <w:marLeft w:val="0"/>
          <w:marRight w:val="0"/>
          <w:marTop w:val="0"/>
          <w:marBottom w:val="0"/>
          <w:divBdr>
            <w:top w:val="none" w:sz="0" w:space="0" w:color="auto"/>
            <w:left w:val="none" w:sz="0" w:space="0" w:color="auto"/>
            <w:bottom w:val="none" w:sz="0" w:space="0" w:color="auto"/>
            <w:right w:val="none" w:sz="0" w:space="0" w:color="auto"/>
          </w:divBdr>
        </w:div>
      </w:divsChild>
    </w:div>
    <w:div w:id="2116631064">
      <w:bodyDiv w:val="1"/>
      <w:marLeft w:val="0"/>
      <w:marRight w:val="0"/>
      <w:marTop w:val="0"/>
      <w:marBottom w:val="0"/>
      <w:divBdr>
        <w:top w:val="none" w:sz="0" w:space="0" w:color="auto"/>
        <w:left w:val="none" w:sz="0" w:space="0" w:color="auto"/>
        <w:bottom w:val="none" w:sz="0" w:space="0" w:color="auto"/>
        <w:right w:val="none" w:sz="0" w:space="0" w:color="auto"/>
      </w:divBdr>
      <w:divsChild>
        <w:div w:id="393241006">
          <w:marLeft w:val="0"/>
          <w:marRight w:val="0"/>
          <w:marTop w:val="0"/>
          <w:marBottom w:val="0"/>
          <w:divBdr>
            <w:top w:val="none" w:sz="0" w:space="0" w:color="auto"/>
            <w:left w:val="none" w:sz="0" w:space="0" w:color="auto"/>
            <w:bottom w:val="none" w:sz="0" w:space="0" w:color="auto"/>
            <w:right w:val="none" w:sz="0" w:space="0" w:color="auto"/>
          </w:divBdr>
          <w:divsChild>
            <w:div w:id="2045401468">
              <w:marLeft w:val="0"/>
              <w:marRight w:val="0"/>
              <w:marTop w:val="0"/>
              <w:marBottom w:val="0"/>
              <w:divBdr>
                <w:top w:val="none" w:sz="0" w:space="0" w:color="auto"/>
                <w:left w:val="none" w:sz="0" w:space="0" w:color="auto"/>
                <w:bottom w:val="none" w:sz="0" w:space="0" w:color="auto"/>
                <w:right w:val="none" w:sz="0" w:space="0" w:color="auto"/>
              </w:divBdr>
              <w:divsChild>
                <w:div w:id="117457404">
                  <w:marLeft w:val="0"/>
                  <w:marRight w:val="0"/>
                  <w:marTop w:val="0"/>
                  <w:marBottom w:val="0"/>
                  <w:divBdr>
                    <w:top w:val="none" w:sz="0" w:space="0" w:color="auto"/>
                    <w:left w:val="none" w:sz="0" w:space="0" w:color="auto"/>
                    <w:bottom w:val="none" w:sz="0" w:space="0" w:color="auto"/>
                    <w:right w:val="none" w:sz="0" w:space="0" w:color="auto"/>
                  </w:divBdr>
                  <w:divsChild>
                    <w:div w:id="1232156556">
                      <w:marLeft w:val="0"/>
                      <w:marRight w:val="0"/>
                      <w:marTop w:val="0"/>
                      <w:marBottom w:val="0"/>
                      <w:divBdr>
                        <w:top w:val="none" w:sz="0" w:space="0" w:color="auto"/>
                        <w:left w:val="none" w:sz="0" w:space="0" w:color="auto"/>
                        <w:bottom w:val="none" w:sz="0" w:space="0" w:color="auto"/>
                        <w:right w:val="none" w:sz="0" w:space="0" w:color="auto"/>
                      </w:divBdr>
                      <w:divsChild>
                        <w:div w:id="2031099281">
                          <w:marLeft w:val="0"/>
                          <w:marRight w:val="0"/>
                          <w:marTop w:val="0"/>
                          <w:marBottom w:val="0"/>
                          <w:divBdr>
                            <w:top w:val="none" w:sz="0" w:space="0" w:color="auto"/>
                            <w:left w:val="none" w:sz="0" w:space="0" w:color="auto"/>
                            <w:bottom w:val="none" w:sz="0" w:space="0" w:color="auto"/>
                            <w:right w:val="none" w:sz="0" w:space="0" w:color="auto"/>
                          </w:divBdr>
                          <w:divsChild>
                            <w:div w:id="17314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borrador-de-documentos-tipo-de-consultoria-de-obra-publica-de-infraestructura-de-transporte&amp;data=05%7C02%7Candreina.cerpa%40colombiacompra.gov.co%7C096eca3fdcca424ff1c708dcf932f947%7C7b09041e245149d08cb179d5e3d8c1be%7C0%7C0%7C638659244553089105%7CUnknown%7CTWFpbGZsb3d8eyJWIjoiMC4wLjAwMDAiLCJQIjoiV2luMzIiLCJBTiI6Ik1haWwiLCJXVCI6Mn0%3D%7C0%7C%7C%7C&amp;sdata=sbTbikmBPVtCbo7mXkVZFxvU9C9ryShyBoc6QGPGO1A%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santiago.herrera%40colombiacompra.gov.co%7C5aad36a736844ec87b2108dcc1fa4639%7C7b09041e245149d08cb179d5e3d8c1be%7C0%7C0%7C638598527916403321%7CUnknown%7CTWFpbGZsb3d8eyJWIjoiMC4wLjAwMDAiLCJQIjoiV2luMzIiLCJBTiI6Ik1haWwiLCJXVCI6Mn0%3D%7C0%7C%7C%7C&amp;sdata=neyw9B8a4kmrys5KzRYzkS0Ic%2B9lB44MAv0EAAX%2BfcY%3D&amp;reserved=0"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omuloareizataylor@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sucop.gov.co%2Fentidades%2Fcolombiacompra%2FNormativa%3FIDNorma%3D18320&amp;data=05%7C02%7Candreina.cerpa%40colombiacompra.gov.co%7C096eca3fdcca424ff1c708dcf932f947%7C7b09041e245149d08cb179d5e3d8c1be%7C0%7C0%7C638659244553118377%7CUnknown%7CTWFpbGZsb3d8eyJWIjoiMC4wLjAwMDAiLCJQIjoiV2luMzIiLCJBTiI6Ik1haWwiLCJXVCI6Mn0%3D%7C0%7C%7C%7C&amp;sdata=GLeg7SM%2B%2FRxgqbeVVQ2kAB42HlF%2BLA2V9MH2iP6TELo%3D&amp;reserved=0"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interventoria-de-obra-publica-de-infraestructura-de&amp;data=05%7C02%7Candreina.cerpa%40colombiacompra.gov.co%7C096eca3fdcca424ff1c708dcf932f947%7C7b09041e245149d08cb179d5e3d8c1be%7C0%7C0%7C638659244553106601%7CUnknown%7CTWFpbGZsb3d8eyJWIjoiMC4wLjAwMDAiLCJQIjoiV2luMzIiLCJBTiI6Ik1haWwiLCJXVCI6Mn0%3D%7C0%7C%7C%7C&amp;sdata=3bx45dHvyLBsz0xlBnt2sZ7JCsO1WHwvxX5esmdiOnE%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453869-9B8C-479A-813A-78B7E2A501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0563DD-EB19-4D23-80DF-ECEC424464A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AE60570-110D-475D-BD08-66EB5CF615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1391</TotalTime>
  <Pages>16</Pages>
  <Words>4943</Words>
  <Characters>27187</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Catalina del Pilar Lisa Cubides Estupinan</cp:lastModifiedBy>
  <cp:revision>37</cp:revision>
  <dcterms:created xsi:type="dcterms:W3CDTF">2024-11-13T21:34:00Z</dcterms:created>
  <dcterms:modified xsi:type="dcterms:W3CDTF">2025-10-09T01:25:00Z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