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D08F" w14:textId="77777777" w:rsidR="00353D81" w:rsidRDefault="00353D81" w:rsidP="00353D81">
      <w:pPr>
        <w:spacing w:after="0" w:line="240" w:lineRule="auto"/>
        <w:rPr>
          <w:rFonts w:ascii="Verdana" w:eastAsia="Geomanist Light" w:hAnsi="Verdana" w:cs="Arial"/>
          <w:color w:val="000000" w:themeColor="text1"/>
          <w:lang w:val="es-MX"/>
        </w:rPr>
      </w:pPr>
    </w:p>
    <w:p w14:paraId="57F08EC5" w14:textId="77777777" w:rsidR="00736243" w:rsidRDefault="00736243" w:rsidP="00353D81">
      <w:pPr>
        <w:spacing w:after="0" w:line="240" w:lineRule="auto"/>
        <w:rPr>
          <w:rFonts w:ascii="Verdana" w:eastAsia="Geomanist Light" w:hAnsi="Verdana" w:cs="Arial"/>
          <w:color w:val="000000" w:themeColor="text1"/>
          <w:lang w:val="es-MX"/>
        </w:rPr>
      </w:pPr>
    </w:p>
    <w:p w14:paraId="64EAE60C" w14:textId="77777777" w:rsidR="00736243" w:rsidRPr="00736243" w:rsidRDefault="00736243" w:rsidP="00736243">
      <w:pPr>
        <w:spacing w:after="0" w:line="240" w:lineRule="auto"/>
        <w:jc w:val="both"/>
        <w:rPr>
          <w:rFonts w:ascii="Verdana" w:eastAsia="Geomanist Light" w:hAnsi="Verdana" w:cs="Arial"/>
          <w:color w:val="000000" w:themeColor="text1"/>
        </w:rPr>
      </w:pPr>
      <w:r w:rsidRPr="00736243">
        <w:rPr>
          <w:rFonts w:ascii="Verdana" w:eastAsia="Geomanist Light" w:hAnsi="Verdana" w:cs="Arial"/>
          <w:b/>
          <w:bCs/>
          <w:color w:val="000000" w:themeColor="text1"/>
          <w:lang w:val="es-ES"/>
        </w:rPr>
        <w:t>INHABILIDADES ― Reserva legal – Interpretación restrictiva</w:t>
      </w:r>
      <w:r w:rsidRPr="00736243">
        <w:rPr>
          <w:rFonts w:ascii="Verdana" w:eastAsia="Geomanist Light" w:hAnsi="Verdana" w:cs="Arial"/>
          <w:color w:val="000000" w:themeColor="text1"/>
        </w:rPr>
        <w:t> </w:t>
      </w:r>
    </w:p>
    <w:p w14:paraId="22884AE7" w14:textId="77777777" w:rsidR="00736243" w:rsidRPr="00736243" w:rsidRDefault="00736243" w:rsidP="00736243">
      <w:pPr>
        <w:spacing w:after="0" w:line="240" w:lineRule="auto"/>
        <w:jc w:val="both"/>
        <w:rPr>
          <w:rFonts w:ascii="Verdana" w:eastAsia="Geomanist Light" w:hAnsi="Verdana" w:cs="Arial"/>
          <w:color w:val="000000" w:themeColor="text1"/>
        </w:rPr>
      </w:pPr>
      <w:r w:rsidRPr="00736243">
        <w:rPr>
          <w:rFonts w:ascii="Verdana" w:eastAsia="Geomanist Light" w:hAnsi="Verdana" w:cs="Arial"/>
          <w:color w:val="000000" w:themeColor="text1"/>
        </w:rPr>
        <w:t> </w:t>
      </w:r>
    </w:p>
    <w:p w14:paraId="61AE5303" w14:textId="77777777" w:rsidR="00736243" w:rsidRPr="00736243" w:rsidRDefault="00736243" w:rsidP="00736243">
      <w:pPr>
        <w:spacing w:after="0" w:line="240" w:lineRule="auto"/>
        <w:jc w:val="both"/>
        <w:rPr>
          <w:rFonts w:ascii="Verdana" w:eastAsia="Geomanist Light" w:hAnsi="Verdana" w:cs="Arial"/>
          <w:color w:val="000000" w:themeColor="text1"/>
        </w:rPr>
      </w:pPr>
      <w:r w:rsidRPr="00736243">
        <w:rPr>
          <w:rFonts w:ascii="Verdana" w:eastAsia="Geomanist Light" w:hAnsi="Verdana" w:cs="Arial"/>
          <w:color w:val="000000" w:themeColor="text1"/>
          <w:lang w:val="es-ES"/>
        </w:rPr>
        <w:t>[…] el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Bajo estas circunstancias, las entidades públicas no pueden establecer en el pliego de condiciones causales de inhabilidad no previstas en la Constitución o en la ley. En consecuencia, al tratarse de una materia que tiene reserva legal, no es posible que una entidad pública establezca nuevas causales que afecten la capacidad para contratar con el Estado, ni siquiera haciéndolas pasar como causa para rechazar los ofrecimientos realizados a la autoridad</w:t>
      </w:r>
      <w:r w:rsidRPr="00736243">
        <w:rPr>
          <w:rFonts w:ascii="Verdana" w:eastAsia="Geomanist Light" w:hAnsi="Verdana" w:cs="Arial"/>
          <w:color w:val="000000" w:themeColor="text1"/>
        </w:rPr>
        <w:t> </w:t>
      </w:r>
    </w:p>
    <w:p w14:paraId="5B251EE2" w14:textId="77777777" w:rsidR="00736243" w:rsidRPr="00736243" w:rsidRDefault="00736243" w:rsidP="00353D81">
      <w:pPr>
        <w:spacing w:after="0" w:line="240" w:lineRule="auto"/>
        <w:rPr>
          <w:rFonts w:ascii="Verdana" w:eastAsia="Geomanist Light" w:hAnsi="Verdana" w:cs="Arial"/>
          <w:color w:val="000000" w:themeColor="text1"/>
        </w:rPr>
      </w:pPr>
    </w:p>
    <w:p w14:paraId="77FE1FE1" w14:textId="6E8C70E9" w:rsidR="00736243" w:rsidRPr="00736243" w:rsidRDefault="00736243" w:rsidP="00736243">
      <w:pPr>
        <w:spacing w:after="0" w:line="240" w:lineRule="auto"/>
        <w:jc w:val="both"/>
        <w:rPr>
          <w:rFonts w:ascii="Verdana" w:eastAsia="Geomanist Light" w:hAnsi="Verdana" w:cs="Arial"/>
          <w:b/>
          <w:bCs/>
          <w:color w:val="000000" w:themeColor="text1"/>
        </w:rPr>
      </w:pPr>
      <w:r w:rsidRPr="00736243">
        <w:rPr>
          <w:rFonts w:ascii="Verdana" w:eastAsia="Geomanist Light" w:hAnsi="Verdana" w:cs="Arial"/>
          <w:b/>
          <w:bCs/>
          <w:color w:val="000000" w:themeColor="text1"/>
          <w:lang w:val="es-ES"/>
        </w:rPr>
        <w:t xml:space="preserve">INHABILIDADES ― </w:t>
      </w:r>
      <w:r w:rsidRPr="00736243">
        <w:rPr>
          <w:rFonts w:ascii="Verdana" w:eastAsia="Geomanist Light" w:hAnsi="Verdana" w:cs="Arial"/>
          <w:b/>
          <w:bCs/>
          <w:color w:val="000000" w:themeColor="text1"/>
        </w:rPr>
        <w:t>Clasificación</w:t>
      </w:r>
    </w:p>
    <w:p w14:paraId="6B19F16C" w14:textId="77777777" w:rsidR="00736243" w:rsidRPr="00736243" w:rsidRDefault="00736243" w:rsidP="00736243">
      <w:pPr>
        <w:spacing w:after="0" w:line="240" w:lineRule="auto"/>
        <w:jc w:val="both"/>
        <w:rPr>
          <w:rFonts w:ascii="Verdana" w:eastAsia="Geomanist Light" w:hAnsi="Verdana" w:cs="Arial"/>
          <w:color w:val="000000" w:themeColor="text1"/>
        </w:rPr>
      </w:pPr>
      <w:r w:rsidRPr="00736243">
        <w:rPr>
          <w:rFonts w:ascii="Verdana" w:eastAsia="Geomanist Light" w:hAnsi="Verdana" w:cs="Arial"/>
          <w:color w:val="000000" w:themeColor="text1"/>
        </w:rPr>
        <w:t> </w:t>
      </w:r>
    </w:p>
    <w:p w14:paraId="3C14AD0E" w14:textId="23DEC4D0" w:rsidR="00736243" w:rsidRPr="00736243" w:rsidRDefault="00736243" w:rsidP="00736243">
      <w:pPr>
        <w:spacing w:after="0" w:line="240" w:lineRule="auto"/>
        <w:jc w:val="both"/>
        <w:rPr>
          <w:rFonts w:ascii="Verdana" w:eastAsia="Geomanist Light" w:hAnsi="Verdana" w:cs="Arial"/>
          <w:color w:val="000000" w:themeColor="text1"/>
        </w:rPr>
      </w:pPr>
      <w:r w:rsidRPr="00024A32">
        <w:rPr>
          <w:rFonts w:ascii="Verdana" w:hAnsi="Verdana" w:cs="Arial"/>
          <w:color w:val="000000" w:themeColor="text1"/>
          <w:lang w:val="es-ES"/>
          <w14:ligatures w14:val="standardContextual"/>
        </w:rPr>
        <w:t xml:space="preserve">Conviene también distinguir las fuentes de las inhabilidades, las cuales han sido clasificadas en dos (2) grupos: i) inhabilidades-sanción y </w:t>
      </w:r>
      <w:proofErr w:type="spellStart"/>
      <w:r w:rsidRPr="00024A32">
        <w:rPr>
          <w:rFonts w:ascii="Verdana" w:hAnsi="Verdana" w:cs="Arial"/>
          <w:color w:val="000000" w:themeColor="text1"/>
          <w:lang w:val="es-ES"/>
          <w14:ligatures w14:val="standardContextual"/>
        </w:rPr>
        <w:t>ii</w:t>
      </w:r>
      <w:proofErr w:type="spellEnd"/>
      <w:r w:rsidRPr="00024A32">
        <w:rPr>
          <w:rFonts w:ascii="Verdana" w:hAnsi="Verdana" w:cs="Arial"/>
          <w:color w:val="000000" w:themeColor="text1"/>
          <w:lang w:val="es-ES"/>
          <w14:ligatures w14:val="standardContextual"/>
        </w:rPr>
        <w:t xml:space="preserve">) inhabilidades-requisito. En el </w:t>
      </w:r>
      <w:r w:rsidRPr="00024A32">
        <w:rPr>
          <w:rFonts w:ascii="Verdana" w:hAnsi="Verdana" w:cs="Arial"/>
          <w:i/>
          <w:iCs/>
          <w:color w:val="000000" w:themeColor="text1"/>
          <w:lang w:val="es-ES"/>
          <w14:ligatures w14:val="standardContextual"/>
        </w:rPr>
        <w:t>primer</w:t>
      </w:r>
      <w:r w:rsidRPr="00024A32">
        <w:rPr>
          <w:rFonts w:ascii="Verdana" w:hAnsi="Verdana" w:cs="Arial"/>
          <w:color w:val="000000" w:themeColor="text1"/>
          <w:lang w:val="es-ES"/>
          <w14:ligatures w14:val="standardContextual"/>
        </w:rPr>
        <w:t xml:space="preserve"> grupo se encuentran las inhabilidades que surgen como consecuencia de un proceso sancionatorio, en los ámbitos penal, disciplinario, contravencional o de pérdida de investidura. En el </w:t>
      </w:r>
      <w:r w:rsidRPr="00024A32">
        <w:rPr>
          <w:rFonts w:ascii="Verdana" w:hAnsi="Verdana" w:cs="Arial"/>
          <w:i/>
          <w:iCs/>
          <w:color w:val="000000" w:themeColor="text1"/>
          <w:lang w:val="es-ES"/>
          <w14:ligatures w14:val="standardContextual"/>
        </w:rPr>
        <w:t>segundo</w:t>
      </w:r>
      <w:r w:rsidRPr="00024A32">
        <w:rPr>
          <w:rFonts w:ascii="Verdana" w:hAnsi="Verdana" w:cs="Arial"/>
          <w:color w:val="000000" w:themeColor="text1"/>
          <w:lang w:val="es-ES"/>
          <w14:ligatures w14:val="standardContextual"/>
        </w:rPr>
        <w:t xml:space="preserve"> grupo están aquellas que no devienen de un proceso sancionatorio, sino de condiciones propias de la persona y garantizan la moralidad, la imparcialidad, la eficacia y la transparencia</w:t>
      </w:r>
    </w:p>
    <w:p w14:paraId="003FD765" w14:textId="77777777" w:rsidR="00736243" w:rsidRPr="00736243" w:rsidRDefault="00736243" w:rsidP="00736243">
      <w:pPr>
        <w:spacing w:after="0" w:line="240" w:lineRule="auto"/>
        <w:jc w:val="both"/>
        <w:rPr>
          <w:rFonts w:ascii="Verdana" w:eastAsia="Geomanist Light" w:hAnsi="Verdana" w:cs="Arial"/>
          <w:color w:val="000000" w:themeColor="text1"/>
        </w:rPr>
      </w:pPr>
      <w:r w:rsidRPr="00736243">
        <w:rPr>
          <w:rFonts w:ascii="Verdana" w:eastAsia="Geomanist Light" w:hAnsi="Verdana" w:cs="Arial"/>
          <w:color w:val="000000" w:themeColor="text1"/>
        </w:rPr>
        <w:t> </w:t>
      </w:r>
    </w:p>
    <w:p w14:paraId="43D775A3" w14:textId="77777777" w:rsidR="00736243" w:rsidRPr="00736243" w:rsidRDefault="00736243" w:rsidP="00353D81">
      <w:pPr>
        <w:spacing w:after="0" w:line="240" w:lineRule="auto"/>
        <w:rPr>
          <w:rFonts w:ascii="Verdana" w:eastAsia="Geomanist Light" w:hAnsi="Verdana" w:cs="Arial"/>
          <w:color w:val="000000" w:themeColor="text1"/>
        </w:rPr>
      </w:pPr>
    </w:p>
    <w:p w14:paraId="1FC3DD5D" w14:textId="77777777" w:rsidR="00736243" w:rsidRDefault="00736243" w:rsidP="00353D81">
      <w:pPr>
        <w:spacing w:after="0" w:line="240" w:lineRule="auto"/>
        <w:rPr>
          <w:rFonts w:ascii="Verdana" w:eastAsia="Geomanist Light" w:hAnsi="Verdana" w:cs="Arial"/>
          <w:color w:val="000000" w:themeColor="text1"/>
          <w:lang w:val="es-MX"/>
        </w:rPr>
      </w:pPr>
    </w:p>
    <w:p w14:paraId="208DA7E1" w14:textId="77777777" w:rsidR="00736243" w:rsidRDefault="00736243" w:rsidP="00353D81">
      <w:pPr>
        <w:spacing w:after="0" w:line="240" w:lineRule="auto"/>
        <w:rPr>
          <w:rFonts w:ascii="Verdana" w:eastAsia="Geomanist Light" w:hAnsi="Verdana" w:cs="Arial"/>
          <w:color w:val="000000" w:themeColor="text1"/>
          <w:lang w:val="es-MX"/>
        </w:rPr>
      </w:pPr>
    </w:p>
    <w:p w14:paraId="1C4B62AA" w14:textId="77777777" w:rsidR="00736243" w:rsidRDefault="00736243" w:rsidP="00353D81">
      <w:pPr>
        <w:spacing w:after="0" w:line="240" w:lineRule="auto"/>
        <w:rPr>
          <w:rFonts w:ascii="Verdana" w:eastAsia="Geomanist Light" w:hAnsi="Verdana" w:cs="Arial"/>
          <w:color w:val="000000" w:themeColor="text1"/>
          <w:lang w:val="es-MX"/>
        </w:rPr>
      </w:pPr>
    </w:p>
    <w:p w14:paraId="1E5D23C8" w14:textId="77777777" w:rsidR="00736243" w:rsidRDefault="00736243" w:rsidP="00353D81">
      <w:pPr>
        <w:spacing w:after="0" w:line="240" w:lineRule="auto"/>
        <w:rPr>
          <w:rFonts w:ascii="Verdana" w:eastAsia="Geomanist Light" w:hAnsi="Verdana" w:cs="Arial"/>
          <w:color w:val="000000" w:themeColor="text1"/>
          <w:lang w:val="es-MX"/>
        </w:rPr>
      </w:pPr>
    </w:p>
    <w:p w14:paraId="0A39712D" w14:textId="77777777" w:rsidR="00736243" w:rsidRDefault="00736243" w:rsidP="00353D81">
      <w:pPr>
        <w:spacing w:after="0" w:line="240" w:lineRule="auto"/>
        <w:rPr>
          <w:rFonts w:ascii="Verdana" w:eastAsia="Geomanist Light" w:hAnsi="Verdana" w:cs="Arial"/>
          <w:color w:val="000000" w:themeColor="text1"/>
          <w:lang w:val="es-MX"/>
        </w:rPr>
      </w:pPr>
    </w:p>
    <w:p w14:paraId="13EDA64A" w14:textId="77777777" w:rsidR="00736243" w:rsidRDefault="00736243" w:rsidP="00353D81">
      <w:pPr>
        <w:spacing w:after="0" w:line="240" w:lineRule="auto"/>
        <w:rPr>
          <w:rFonts w:ascii="Verdana" w:eastAsia="Geomanist Light" w:hAnsi="Verdana" w:cs="Arial"/>
          <w:color w:val="000000" w:themeColor="text1"/>
          <w:lang w:val="es-MX"/>
        </w:rPr>
      </w:pPr>
    </w:p>
    <w:p w14:paraId="71B766DD" w14:textId="77777777" w:rsidR="00736243" w:rsidRDefault="00736243" w:rsidP="00353D81">
      <w:pPr>
        <w:spacing w:after="0" w:line="240" w:lineRule="auto"/>
        <w:rPr>
          <w:rFonts w:ascii="Verdana" w:eastAsia="Geomanist Light" w:hAnsi="Verdana" w:cs="Arial"/>
          <w:color w:val="000000" w:themeColor="text1"/>
          <w:lang w:val="es-MX"/>
        </w:rPr>
      </w:pPr>
    </w:p>
    <w:p w14:paraId="1851BAD2" w14:textId="77777777" w:rsidR="00736243" w:rsidRDefault="00736243" w:rsidP="00353D81">
      <w:pPr>
        <w:spacing w:after="0" w:line="240" w:lineRule="auto"/>
        <w:rPr>
          <w:rFonts w:ascii="Verdana" w:eastAsia="Geomanist Light" w:hAnsi="Verdana" w:cs="Arial"/>
          <w:color w:val="000000" w:themeColor="text1"/>
          <w:lang w:val="es-MX"/>
        </w:rPr>
      </w:pPr>
    </w:p>
    <w:p w14:paraId="3F7EDE12" w14:textId="77777777" w:rsidR="00736243" w:rsidRDefault="00736243" w:rsidP="00353D81">
      <w:pPr>
        <w:spacing w:after="0" w:line="240" w:lineRule="auto"/>
        <w:rPr>
          <w:rFonts w:ascii="Verdana" w:eastAsia="Geomanist Light" w:hAnsi="Verdana" w:cs="Arial"/>
          <w:color w:val="000000" w:themeColor="text1"/>
          <w:lang w:val="es-MX"/>
        </w:rPr>
      </w:pPr>
    </w:p>
    <w:p w14:paraId="646D6C05" w14:textId="77777777" w:rsidR="00736243" w:rsidRDefault="00736243" w:rsidP="00353D81">
      <w:pPr>
        <w:spacing w:after="0" w:line="240" w:lineRule="auto"/>
        <w:rPr>
          <w:rFonts w:ascii="Verdana" w:eastAsia="Geomanist Light" w:hAnsi="Verdana" w:cs="Arial"/>
          <w:color w:val="000000" w:themeColor="text1"/>
          <w:lang w:val="es-MX"/>
        </w:rPr>
      </w:pPr>
    </w:p>
    <w:p w14:paraId="2F99CFCF" w14:textId="77777777" w:rsidR="00736243" w:rsidRDefault="00736243" w:rsidP="00353D81">
      <w:pPr>
        <w:spacing w:after="0" w:line="240" w:lineRule="auto"/>
        <w:rPr>
          <w:rFonts w:ascii="Verdana" w:eastAsia="Geomanist Light" w:hAnsi="Verdana" w:cs="Arial"/>
          <w:color w:val="000000" w:themeColor="text1"/>
          <w:lang w:val="es-MX"/>
        </w:rPr>
      </w:pPr>
    </w:p>
    <w:p w14:paraId="5A7C633F" w14:textId="77777777" w:rsidR="00736243" w:rsidRDefault="00736243" w:rsidP="00353D81">
      <w:pPr>
        <w:spacing w:after="0" w:line="240" w:lineRule="auto"/>
        <w:rPr>
          <w:rFonts w:ascii="Verdana" w:eastAsia="Geomanist Light" w:hAnsi="Verdana" w:cs="Arial"/>
          <w:color w:val="000000" w:themeColor="text1"/>
          <w:lang w:val="es-MX"/>
        </w:rPr>
      </w:pPr>
    </w:p>
    <w:p w14:paraId="7FEA03A2" w14:textId="77777777" w:rsidR="00736243" w:rsidRDefault="00736243" w:rsidP="00353D81">
      <w:pPr>
        <w:spacing w:after="0" w:line="240" w:lineRule="auto"/>
        <w:rPr>
          <w:rFonts w:ascii="Verdana" w:eastAsia="Geomanist Light" w:hAnsi="Verdana" w:cs="Arial"/>
          <w:color w:val="000000" w:themeColor="text1"/>
          <w:lang w:val="es-MX"/>
        </w:rPr>
      </w:pPr>
    </w:p>
    <w:p w14:paraId="711F84EF" w14:textId="77777777" w:rsidR="00736243" w:rsidRDefault="00736243" w:rsidP="00353D81">
      <w:pPr>
        <w:spacing w:after="0" w:line="240" w:lineRule="auto"/>
        <w:rPr>
          <w:rFonts w:ascii="Verdana" w:eastAsia="Geomanist Light" w:hAnsi="Verdana" w:cs="Arial"/>
          <w:color w:val="000000" w:themeColor="text1"/>
          <w:lang w:val="es-MX"/>
        </w:rPr>
      </w:pPr>
    </w:p>
    <w:p w14:paraId="02E5CDC0" w14:textId="75B77A10" w:rsidR="00353D81" w:rsidRPr="00115E3D" w:rsidRDefault="00353D81" w:rsidP="00353D81">
      <w:pPr>
        <w:spacing w:after="0" w:line="240" w:lineRule="auto"/>
        <w:rPr>
          <w:rFonts w:ascii="Verdana" w:eastAsia="Geomanist Light" w:hAnsi="Verdana" w:cs="Arial"/>
          <w:color w:val="000000" w:themeColor="text1"/>
          <w:lang w:val="es-MX"/>
        </w:rPr>
      </w:pPr>
      <w:r w:rsidRPr="00115E3D">
        <w:rPr>
          <w:rFonts w:ascii="Verdana" w:eastAsia="Geomanist Light" w:hAnsi="Verdana" w:cs="Arial"/>
          <w:color w:val="000000" w:themeColor="text1"/>
          <w:lang w:val="es-MX"/>
        </w:rPr>
        <w:lastRenderedPageBreak/>
        <w:t>Bogotá D.C., [Día] de [</w:t>
      </w:r>
      <w:proofErr w:type="spellStart"/>
      <w:r w:rsidRPr="00115E3D">
        <w:rPr>
          <w:rFonts w:ascii="Verdana" w:eastAsia="Geomanist Light" w:hAnsi="Verdana" w:cs="Arial"/>
          <w:color w:val="000000" w:themeColor="text1"/>
          <w:lang w:val="es-MX"/>
        </w:rPr>
        <w:t>Mes.NombreCapitalizado</w:t>
      </w:r>
      <w:proofErr w:type="spellEnd"/>
      <w:r w:rsidRPr="00115E3D">
        <w:rPr>
          <w:rFonts w:ascii="Verdana" w:eastAsia="Geomanist Light" w:hAnsi="Verdana" w:cs="Arial"/>
          <w:color w:val="000000" w:themeColor="text1"/>
          <w:lang w:val="es-MX"/>
        </w:rPr>
        <w:t>] de [Año]</w:t>
      </w:r>
    </w:p>
    <w:p w14:paraId="45130362" w14:textId="107484C3" w:rsidR="00353D81" w:rsidRPr="00115E3D" w:rsidRDefault="00674C82" w:rsidP="00353D81">
      <w:pPr>
        <w:spacing w:after="0" w:line="240" w:lineRule="auto"/>
        <w:jc w:val="both"/>
        <w:rPr>
          <w:rFonts w:ascii="Verdana" w:eastAsia="Calibri" w:hAnsi="Verdana" w:cs="Arial"/>
          <w:color w:val="000000" w:themeColor="text1"/>
          <w:lang w:val="es-ES"/>
        </w:rPr>
      </w:pPr>
      <w:r w:rsidRPr="00674C82">
        <w:rPr>
          <w:rFonts w:ascii="Verdana" w:eastAsia="Calibri" w:hAnsi="Verdana" w:cs="Arial"/>
          <w:color w:val="000000" w:themeColor="text1"/>
          <w:lang w:val="es-ES" w:eastAsia="es-ES"/>
        </w:rPr>
        <w:drawing>
          <wp:anchor distT="0" distB="0" distL="114300" distR="114300" simplePos="0" relativeHeight="251658240" behindDoc="1" locked="0" layoutInCell="1" allowOverlap="1" wp14:anchorId="14D25001" wp14:editId="44C1B3DF">
            <wp:simplePos x="0" y="0"/>
            <wp:positionH relativeFrom="column">
              <wp:posOffset>2386965</wp:posOffset>
            </wp:positionH>
            <wp:positionV relativeFrom="paragraph">
              <wp:posOffset>12065</wp:posOffset>
            </wp:positionV>
            <wp:extent cx="3590925" cy="1095375"/>
            <wp:effectExtent l="0" t="0" r="9525" b="9525"/>
            <wp:wrapTight wrapText="bothSides">
              <wp:wrapPolygon edited="0">
                <wp:start x="0" y="0"/>
                <wp:lineTo x="0" y="21412"/>
                <wp:lineTo x="21543" y="21412"/>
                <wp:lineTo x="21543" y="0"/>
                <wp:lineTo x="0" y="0"/>
              </wp:wrapPolygon>
            </wp:wrapTight>
            <wp:docPr id="12088578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57848"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590925" cy="1095375"/>
                    </a:xfrm>
                    <a:prstGeom prst="rect">
                      <a:avLst/>
                    </a:prstGeom>
                  </pic:spPr>
                </pic:pic>
              </a:graphicData>
            </a:graphic>
          </wp:anchor>
        </w:drawing>
      </w:r>
    </w:p>
    <w:p w14:paraId="706EE090" w14:textId="59721016" w:rsidR="00353D81" w:rsidRDefault="00353D81" w:rsidP="00353D81">
      <w:pPr>
        <w:spacing w:after="0" w:line="240" w:lineRule="auto"/>
        <w:jc w:val="both"/>
        <w:rPr>
          <w:rFonts w:ascii="Verdana" w:eastAsia="Calibri" w:hAnsi="Verdana" w:cs="Arial"/>
          <w:color w:val="000000" w:themeColor="text1"/>
          <w:lang w:val="es-ES" w:eastAsia="es-ES"/>
        </w:rPr>
      </w:pPr>
    </w:p>
    <w:p w14:paraId="5AD70C15" w14:textId="3320E817" w:rsidR="00353D81" w:rsidRDefault="00353D81" w:rsidP="00353D81">
      <w:pPr>
        <w:spacing w:after="0" w:line="240" w:lineRule="auto"/>
        <w:jc w:val="both"/>
        <w:rPr>
          <w:rFonts w:ascii="Verdana" w:eastAsia="Calibri" w:hAnsi="Verdana" w:cs="Arial"/>
          <w:color w:val="000000" w:themeColor="text1"/>
          <w:lang w:val="es-ES" w:eastAsia="es-ES"/>
        </w:rPr>
      </w:pPr>
    </w:p>
    <w:p w14:paraId="216A9CA8" w14:textId="77777777" w:rsidR="00674C82" w:rsidRDefault="00674C82" w:rsidP="00353D81">
      <w:pPr>
        <w:spacing w:after="0" w:line="240" w:lineRule="auto"/>
        <w:jc w:val="both"/>
        <w:rPr>
          <w:rFonts w:ascii="Verdana" w:eastAsia="Calibri" w:hAnsi="Verdana" w:cs="Arial"/>
          <w:color w:val="000000" w:themeColor="text1"/>
          <w:lang w:val="es-ES" w:eastAsia="es-ES"/>
        </w:rPr>
      </w:pPr>
    </w:p>
    <w:p w14:paraId="70F41B81" w14:textId="77777777" w:rsidR="00674C82" w:rsidRDefault="00674C82" w:rsidP="00353D81">
      <w:pPr>
        <w:spacing w:after="0" w:line="240" w:lineRule="auto"/>
        <w:jc w:val="both"/>
        <w:rPr>
          <w:rFonts w:ascii="Verdana" w:eastAsia="Calibri" w:hAnsi="Verdana" w:cs="Arial"/>
          <w:color w:val="000000" w:themeColor="text1"/>
          <w:lang w:val="es-ES" w:eastAsia="es-ES"/>
        </w:rPr>
      </w:pPr>
    </w:p>
    <w:p w14:paraId="0575AF22" w14:textId="1208A6CF" w:rsidR="00353D81" w:rsidRPr="00115E3D" w:rsidRDefault="00353D81" w:rsidP="00353D81">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p>
    <w:p w14:paraId="0ECC5E62" w14:textId="5A97B255" w:rsidR="00353D81" w:rsidRPr="00115E3D" w:rsidRDefault="00353D81" w:rsidP="00353D81">
      <w:pPr>
        <w:spacing w:after="0" w:line="240" w:lineRule="auto"/>
        <w:rPr>
          <w:rFonts w:ascii="Verdana" w:eastAsia="Calibri" w:hAnsi="Verdana" w:cs="Arial"/>
          <w:b/>
          <w:color w:val="000000" w:themeColor="text1"/>
          <w:lang w:val="es-ES_tradnl" w:eastAsia="es-ES_tradnl"/>
        </w:rPr>
      </w:pPr>
      <w:r>
        <w:rPr>
          <w:rFonts w:ascii="Verdana" w:eastAsia="Calibri" w:hAnsi="Verdana" w:cs="Arial"/>
          <w:b/>
          <w:color w:val="000000" w:themeColor="text1"/>
          <w:lang w:val="es-ES_tradnl" w:eastAsia="es-ES_tradnl"/>
        </w:rPr>
        <w:t>Romulo Areiza Taylor</w:t>
      </w:r>
    </w:p>
    <w:p w14:paraId="514D7D76" w14:textId="168DAAD8" w:rsidR="00353D81" w:rsidRDefault="00353D81" w:rsidP="00353D81">
      <w:pPr>
        <w:spacing w:after="0" w:line="240" w:lineRule="auto"/>
        <w:rPr>
          <w:rFonts w:ascii="Verdana" w:eastAsia="Calibri" w:hAnsi="Verdana" w:cs="Arial"/>
          <w:color w:val="000000" w:themeColor="text1"/>
          <w:u w:val="single"/>
          <w:lang w:eastAsia="es-ES"/>
        </w:rPr>
      </w:pPr>
      <w:hyperlink r:id="rId8" w:history="1">
        <w:r w:rsidRPr="00B222F5">
          <w:rPr>
            <w:rStyle w:val="Hipervnculo"/>
            <w:rFonts w:ascii="Verdana" w:eastAsia="Calibri" w:hAnsi="Verdana" w:cs="Arial"/>
            <w:lang w:eastAsia="es-ES"/>
          </w:rPr>
          <w:t>romuloareizataylor@gmail.com</w:t>
        </w:r>
      </w:hyperlink>
    </w:p>
    <w:p w14:paraId="24D309FC" w14:textId="65F3A8FB" w:rsidR="00353D81" w:rsidRPr="00024A32" w:rsidRDefault="00024A32" w:rsidP="00353D81">
      <w:pPr>
        <w:spacing w:after="0" w:line="240" w:lineRule="auto"/>
        <w:rPr>
          <w:rFonts w:ascii="Verdana" w:eastAsia="Calibri" w:hAnsi="Verdana" w:cs="Arial"/>
          <w:color w:val="000000" w:themeColor="text1"/>
          <w:lang w:eastAsia="es-ES"/>
        </w:rPr>
      </w:pPr>
      <w:r w:rsidRPr="00024A32">
        <w:rPr>
          <w:rFonts w:ascii="Verdana" w:eastAsia="Calibri" w:hAnsi="Verdana" w:cs="Arial"/>
          <w:color w:val="000000" w:themeColor="text1"/>
          <w:lang w:eastAsia="es-ES"/>
        </w:rPr>
        <w:t xml:space="preserve">San Andrés y Providencia, </w:t>
      </w:r>
      <w:r>
        <w:rPr>
          <w:rFonts w:ascii="Verdana" w:eastAsia="Calibri" w:hAnsi="Verdana" w:cs="Arial"/>
          <w:color w:val="000000" w:themeColor="text1"/>
          <w:lang w:eastAsia="es-ES"/>
        </w:rPr>
        <w:t>San Andres</w:t>
      </w:r>
      <w:r w:rsidRPr="00024A32">
        <w:rPr>
          <w:rFonts w:ascii="Verdana" w:eastAsia="Calibri" w:hAnsi="Verdana" w:cs="Arial"/>
          <w:color w:val="000000" w:themeColor="text1"/>
          <w:lang w:eastAsia="es-ES"/>
        </w:rPr>
        <w:t>.</w:t>
      </w:r>
    </w:p>
    <w:p w14:paraId="4F32D486" w14:textId="77777777" w:rsidR="00353D81" w:rsidRPr="00024A32" w:rsidRDefault="00353D81" w:rsidP="00353D81">
      <w:pPr>
        <w:spacing w:after="0" w:line="240" w:lineRule="auto"/>
        <w:rPr>
          <w:rFonts w:ascii="Verdana" w:eastAsia="Calibri" w:hAnsi="Verdana" w:cs="Arial"/>
          <w:b/>
          <w:bCs/>
          <w:color w:val="000000" w:themeColor="text1"/>
          <w:lang w:eastAsia="es-ES_tradnl"/>
        </w:rPr>
      </w:pPr>
    </w:p>
    <w:p w14:paraId="6C0FF98F" w14:textId="77777777" w:rsidR="00353D81" w:rsidRPr="00024A32" w:rsidRDefault="00353D81" w:rsidP="00353D81">
      <w:pPr>
        <w:spacing w:after="0" w:line="240" w:lineRule="auto"/>
        <w:rPr>
          <w:rFonts w:ascii="Verdana" w:eastAsia="Calibri" w:hAnsi="Verdana" w:cs="Arial"/>
          <w:b/>
          <w:bCs/>
          <w:color w:val="000000" w:themeColor="text1"/>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53D81" w:rsidRPr="00115E3D" w14:paraId="3D995342" w14:textId="77777777" w:rsidTr="00B065D0">
        <w:trPr>
          <w:trHeight w:val="884"/>
        </w:trPr>
        <w:tc>
          <w:tcPr>
            <w:tcW w:w="2689" w:type="dxa"/>
          </w:tcPr>
          <w:p w14:paraId="3BE5DDD5" w14:textId="77777777" w:rsidR="00353D81" w:rsidRPr="00024A32" w:rsidRDefault="00353D81" w:rsidP="00B065D0">
            <w:pPr>
              <w:jc w:val="both"/>
              <w:rPr>
                <w:rFonts w:ascii="Verdana" w:eastAsia="Calibri" w:hAnsi="Verdana" w:cs="Arial"/>
                <w:b/>
                <w:bCs/>
                <w:color w:val="000000" w:themeColor="text1"/>
                <w:lang w:eastAsia="es-ES_tradnl"/>
              </w:rPr>
            </w:pPr>
          </w:p>
        </w:tc>
        <w:tc>
          <w:tcPr>
            <w:tcW w:w="6100" w:type="dxa"/>
          </w:tcPr>
          <w:p w14:paraId="7C7C0A05" w14:textId="562385E4" w:rsidR="00353D81" w:rsidRPr="00115E3D" w:rsidRDefault="00353D81" w:rsidP="00B065D0">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797</w:t>
            </w:r>
            <w:r w:rsidRPr="00115E3D">
              <w:rPr>
                <w:rFonts w:ascii="Verdana" w:eastAsia="Calibri" w:hAnsi="Verdana" w:cs="Arial"/>
                <w:b/>
                <w:bCs/>
                <w:color w:val="000000" w:themeColor="text1"/>
                <w:lang w:val="es-ES" w:eastAsia="es-ES"/>
              </w:rPr>
              <w:t xml:space="preserve"> de 2024</w:t>
            </w:r>
          </w:p>
        </w:tc>
      </w:tr>
      <w:tr w:rsidR="00353D81" w:rsidRPr="00115E3D" w14:paraId="48F03C7E" w14:textId="77777777" w:rsidTr="00B065D0">
        <w:trPr>
          <w:trHeight w:val="884"/>
        </w:trPr>
        <w:tc>
          <w:tcPr>
            <w:tcW w:w="2689" w:type="dxa"/>
          </w:tcPr>
          <w:p w14:paraId="3E1BE51E" w14:textId="77777777" w:rsidR="00353D81" w:rsidRPr="00115E3D" w:rsidRDefault="00353D81" w:rsidP="00B065D0">
            <w:pPr>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100" w:type="dxa"/>
          </w:tcPr>
          <w:p w14:paraId="048BF08E" w14:textId="77777777" w:rsidR="00024A32" w:rsidRDefault="00024A32" w:rsidP="00024A32">
            <w:pPr>
              <w:spacing w:line="276" w:lineRule="auto"/>
              <w:jc w:val="both"/>
              <w:rPr>
                <w:rFonts w:ascii="Verdana" w:eastAsia="Calibri" w:hAnsi="Verdana" w:cs="Arial"/>
                <w:color w:val="000000" w:themeColor="text1"/>
                <w:lang w:eastAsia="es-ES"/>
              </w:rPr>
            </w:pPr>
            <w:r w:rsidRPr="00165D13">
              <w:rPr>
                <w:rFonts w:ascii="Verdana" w:eastAsia="Calibri" w:hAnsi="Verdana" w:cs="Arial"/>
                <w:color w:val="000000" w:themeColor="text1"/>
                <w:lang w:eastAsia="es-ES"/>
              </w:rPr>
              <w:t>INHABILIDADES E INCOMPATIBILIDADES ― Límites a la capacidad ― Régimen / INHABILIDADES E INCOMPATIBILIDADES ― Concepto ― Diferencias / INHABILIDADES E INCOMPATIBILIDADES ― Interpretación restrictiva ― Principio pro libértate / INHABILIDADES – Ley 80 – Artículo 9</w:t>
            </w:r>
          </w:p>
          <w:p w14:paraId="37B22989" w14:textId="77777777" w:rsidR="00353D81" w:rsidRPr="00024A32" w:rsidRDefault="00353D81" w:rsidP="00024A32">
            <w:pPr>
              <w:spacing w:line="276" w:lineRule="auto"/>
              <w:jc w:val="both"/>
              <w:rPr>
                <w:rFonts w:ascii="Verdana" w:eastAsia="Calibri" w:hAnsi="Verdana" w:cs="Arial"/>
                <w:color w:val="000000" w:themeColor="text1"/>
                <w:lang w:eastAsia="es-ES"/>
              </w:rPr>
            </w:pPr>
          </w:p>
        </w:tc>
      </w:tr>
      <w:tr w:rsidR="00353D81" w:rsidRPr="00115E3D" w14:paraId="3F5E3146" w14:textId="77777777" w:rsidTr="00024A32">
        <w:trPr>
          <w:trHeight w:val="311"/>
        </w:trPr>
        <w:tc>
          <w:tcPr>
            <w:tcW w:w="2689" w:type="dxa"/>
          </w:tcPr>
          <w:p w14:paraId="434D91CE" w14:textId="77777777" w:rsidR="00353D81" w:rsidRPr="00115E3D" w:rsidRDefault="00353D81" w:rsidP="00B065D0">
            <w:pPr>
              <w:jc w:val="both"/>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Radicación:</w:t>
            </w:r>
            <w:r w:rsidRPr="00115E3D">
              <w:rPr>
                <w:rFonts w:ascii="Verdana" w:eastAsia="Calibri" w:hAnsi="Verdana" w:cs="Arial"/>
                <w:color w:val="000000" w:themeColor="text1"/>
                <w:lang w:val="es-ES_tradnl" w:eastAsia="es-ES_tradnl"/>
              </w:rPr>
              <w:t xml:space="preserve">               </w:t>
            </w:r>
          </w:p>
        </w:tc>
        <w:tc>
          <w:tcPr>
            <w:tcW w:w="6100" w:type="dxa"/>
          </w:tcPr>
          <w:p w14:paraId="10FEC9C3" w14:textId="77777777" w:rsidR="00024A32" w:rsidRPr="00115E3D" w:rsidRDefault="00353D81" w:rsidP="00B065D0">
            <w:pPr>
              <w:jc w:val="both"/>
              <w:rPr>
                <w:rFonts w:ascii="Verdana" w:eastAsia="Calibri" w:hAnsi="Verdana" w:cs="Arial"/>
                <w:color w:val="000000" w:themeColor="text1"/>
                <w:lang w:val="es-ES_tradnl" w:eastAsia="es-ES_tradnl"/>
              </w:rPr>
            </w:pPr>
            <w:r w:rsidRPr="00115E3D">
              <w:rPr>
                <w:rFonts w:ascii="Verdana" w:eastAsia="Calibri" w:hAnsi="Verdana" w:cs="Arial"/>
                <w:color w:val="000000" w:themeColor="text1"/>
                <w:lang w:val="es-ES_tradnl" w:eastAsia="es-ES_tradnl"/>
              </w:rPr>
              <w:t xml:space="preserve">Respuesta a consulta con radicado No. </w:t>
            </w:r>
          </w:p>
          <w:p w14:paraId="56E0B2B5" w14:textId="77777777" w:rsidR="00024A32" w:rsidRDefault="00024A32" w:rsidP="00024A32">
            <w:pPr>
              <w:jc w:val="both"/>
              <w:rPr>
                <w:rFonts w:ascii="Verdana" w:hAnsi="Verdana"/>
              </w:rPr>
            </w:pPr>
            <w:r>
              <w:rPr>
                <w:rFonts w:ascii="Verdana" w:hAnsi="Verdana"/>
              </w:rPr>
              <w:t>P20241030011000</w:t>
            </w:r>
          </w:p>
          <w:p w14:paraId="11DF521F" w14:textId="539B89B5" w:rsidR="00353D81" w:rsidRPr="00115E3D" w:rsidRDefault="00353D81" w:rsidP="00B065D0">
            <w:pPr>
              <w:jc w:val="both"/>
              <w:rPr>
                <w:rFonts w:ascii="Verdana" w:eastAsia="Calibri" w:hAnsi="Verdana" w:cs="Arial"/>
                <w:color w:val="000000" w:themeColor="text1"/>
                <w:lang w:val="es-ES_tradnl" w:eastAsia="es-ES_tradnl"/>
              </w:rPr>
            </w:pPr>
          </w:p>
        </w:tc>
      </w:tr>
    </w:tbl>
    <w:p w14:paraId="1B95253F" w14:textId="77777777" w:rsidR="00353D81" w:rsidRPr="00115E3D" w:rsidRDefault="00353D81" w:rsidP="00353D81">
      <w:pPr>
        <w:spacing w:after="0" w:line="240" w:lineRule="auto"/>
        <w:jc w:val="both"/>
        <w:rPr>
          <w:rFonts w:ascii="Verdana" w:eastAsia="Calibri" w:hAnsi="Verdana" w:cs="Arial"/>
          <w:color w:val="000000" w:themeColor="text1"/>
          <w:lang w:val="es-ES_tradnl" w:eastAsia="es-ES_tradnl"/>
        </w:rPr>
      </w:pPr>
    </w:p>
    <w:p w14:paraId="43C29B0F" w14:textId="77777777" w:rsidR="00353D81" w:rsidRPr="00115E3D" w:rsidRDefault="00353D81" w:rsidP="00353D81">
      <w:pPr>
        <w:spacing w:after="0" w:line="240" w:lineRule="auto"/>
        <w:jc w:val="both"/>
        <w:rPr>
          <w:rFonts w:ascii="Verdana" w:eastAsia="Calibri" w:hAnsi="Verdana" w:cs="Arial"/>
          <w:color w:val="000000" w:themeColor="text1"/>
          <w:lang w:val="es-ES_tradnl" w:eastAsia="es-ES_tradnl"/>
        </w:rPr>
      </w:pPr>
    </w:p>
    <w:p w14:paraId="1BC358A1" w14:textId="13A04703" w:rsidR="00353D81" w:rsidRPr="00115E3D" w:rsidRDefault="00353D81" w:rsidP="00353D81">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Estimado señor </w:t>
      </w:r>
      <w:r>
        <w:rPr>
          <w:rFonts w:ascii="Verdana" w:eastAsia="Calibri" w:hAnsi="Verdana" w:cs="Arial"/>
          <w:color w:val="000000" w:themeColor="text1"/>
          <w:lang w:val="es-ES" w:eastAsia="es-ES"/>
        </w:rPr>
        <w:t>Areiza</w:t>
      </w:r>
      <w:r w:rsidRPr="00115E3D">
        <w:rPr>
          <w:rFonts w:ascii="Verdana" w:eastAsia="Calibri" w:hAnsi="Verdana" w:cs="Arial"/>
          <w:color w:val="000000" w:themeColor="text1"/>
          <w:lang w:val="es-ES" w:eastAsia="es-ES"/>
        </w:rPr>
        <w:t xml:space="preserve">: </w:t>
      </w:r>
    </w:p>
    <w:p w14:paraId="302BEB96" w14:textId="77777777" w:rsidR="00353D81" w:rsidRPr="00115E3D" w:rsidRDefault="00353D81" w:rsidP="00353D81">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1FF99DD4" w14:textId="53740481" w:rsidR="00353D81" w:rsidRPr="00115E3D" w:rsidRDefault="00353D81" w:rsidP="00353D81">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30</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octubre</w:t>
      </w:r>
      <w:r w:rsidRPr="00115E3D">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46289AAB" w14:textId="77777777" w:rsidR="00353D81" w:rsidRPr="00353D81" w:rsidRDefault="00353D81" w:rsidP="00353D81">
      <w:pPr>
        <w:pStyle w:val="Prrafodelista"/>
        <w:tabs>
          <w:tab w:val="left" w:pos="142"/>
          <w:tab w:val="left" w:pos="284"/>
        </w:tabs>
        <w:spacing w:line="276" w:lineRule="auto"/>
        <w:ind w:left="0"/>
        <w:jc w:val="both"/>
        <w:rPr>
          <w:rFonts w:ascii="Verdana" w:eastAsia="Century Gothic" w:hAnsi="Verdana" w:cs="Century Gothic"/>
          <w:b/>
          <w:bCs/>
          <w:i/>
          <w:iCs/>
          <w:color w:val="000000" w:themeColor="text1"/>
          <w:lang w:val="es-ES"/>
        </w:rPr>
      </w:pPr>
    </w:p>
    <w:p w14:paraId="0404CF90" w14:textId="4DA6E22E" w:rsidR="00353D81" w:rsidRPr="00353D81" w:rsidRDefault="00353D81" w:rsidP="00353D81">
      <w:pPr>
        <w:spacing w:after="0" w:line="240" w:lineRule="auto"/>
        <w:ind w:left="709" w:right="709"/>
        <w:jc w:val="both"/>
        <w:rPr>
          <w:rFonts w:ascii="Verdana" w:eastAsia="Century Gothic" w:hAnsi="Verdana" w:cs="Century Gothic"/>
          <w:i/>
          <w:iCs/>
          <w:color w:val="000000" w:themeColor="text1"/>
          <w:sz w:val="20"/>
          <w:szCs w:val="20"/>
          <w:lang w:val="es-ES"/>
        </w:rPr>
      </w:pPr>
      <w:bookmarkStart w:id="0" w:name="_Hlk95313578"/>
      <w:r w:rsidRPr="00353D81">
        <w:rPr>
          <w:rFonts w:ascii="Verdana" w:eastAsia="Century Gothic" w:hAnsi="Verdana" w:cs="Century Gothic"/>
          <w:i/>
          <w:iCs/>
          <w:color w:val="000000" w:themeColor="text1"/>
          <w:sz w:val="20"/>
          <w:szCs w:val="20"/>
          <w:lang w:val="es-ES"/>
        </w:rPr>
        <w:t>“</w:t>
      </w:r>
      <w:bookmarkEnd w:id="0"/>
      <w:r w:rsidRPr="00353D81">
        <w:rPr>
          <w:rFonts w:ascii="Verdana" w:eastAsia="Century Gothic" w:hAnsi="Verdana" w:cs="Century Gothic"/>
          <w:i/>
          <w:iCs/>
          <w:color w:val="000000" w:themeColor="text1"/>
          <w:sz w:val="20"/>
          <w:szCs w:val="20"/>
          <w:lang w:val="es-ES"/>
        </w:rPr>
        <w:t xml:space="preserve">¿EL SEÑOR SECRETARIO DE GESTIÓN DEL RIESGO DE DESASTRES DEL DEPARTAMENTO ARCHIPIÉLAGO DE SAN ANDRÉS, PROVIDENCIA Y </w:t>
      </w:r>
      <w:r w:rsidRPr="00353D81">
        <w:rPr>
          <w:rFonts w:ascii="Verdana" w:eastAsia="Century Gothic" w:hAnsi="Verdana" w:cs="Century Gothic"/>
          <w:i/>
          <w:iCs/>
          <w:color w:val="000000" w:themeColor="text1"/>
          <w:sz w:val="20"/>
          <w:szCs w:val="20"/>
          <w:lang w:val="es-ES"/>
        </w:rPr>
        <w:lastRenderedPageBreak/>
        <w:t>SANTA CATALINA PUEDE RENUNCIAR AL CARGO DE SECRETARIO DE DESPACHO DEPARTAMENTAL E INMEDIATAMENTE FIRMAR CONTRATO, ES</w:t>
      </w:r>
    </w:p>
    <w:p w14:paraId="51257731" w14:textId="2F31DCD0" w:rsidR="00353D81" w:rsidRPr="00353D81" w:rsidRDefault="00353D81" w:rsidP="00353D81">
      <w:pPr>
        <w:spacing w:after="0" w:line="240" w:lineRule="auto"/>
        <w:ind w:left="709" w:right="709"/>
        <w:jc w:val="both"/>
        <w:rPr>
          <w:rFonts w:ascii="Verdana" w:eastAsia="Century Gothic" w:hAnsi="Verdana" w:cs="Century Gothic"/>
          <w:i/>
          <w:iCs/>
          <w:color w:val="000000" w:themeColor="text1"/>
          <w:sz w:val="20"/>
          <w:szCs w:val="20"/>
          <w:lang w:val="es-ES"/>
        </w:rPr>
      </w:pPr>
      <w:r w:rsidRPr="00353D81">
        <w:rPr>
          <w:rFonts w:ascii="Verdana" w:eastAsia="Century Gothic" w:hAnsi="Verdana" w:cs="Century Gothic"/>
          <w:i/>
          <w:iCs/>
          <w:color w:val="000000" w:themeColor="text1"/>
          <w:sz w:val="20"/>
          <w:szCs w:val="20"/>
          <w:lang w:val="es-ES"/>
        </w:rPr>
        <w:t>DECIR SER CONTRATISTA PARA LA UNIDAD NACIONAL DE GESTIÓN DEL RIESGO UNGRD (NACIONAL), EN UN CONTRATO PARA LABORAR EN EL MUNICIPIO DE PROVIDENCIA Y SANTA CATALINA EN TEMAS DE RIESGO Y DESASTRES, EN EL MUNICIPIO DEL MISMO DEPARTAMENTO?</w:t>
      </w:r>
      <w:r w:rsidR="00024A32">
        <w:rPr>
          <w:rFonts w:ascii="Verdana" w:eastAsia="Century Gothic" w:hAnsi="Verdana" w:cs="Century Gothic"/>
          <w:i/>
          <w:iCs/>
          <w:color w:val="000000" w:themeColor="text1"/>
          <w:sz w:val="20"/>
          <w:szCs w:val="20"/>
          <w:lang w:val="es-ES"/>
        </w:rPr>
        <w:t>.”</w:t>
      </w:r>
    </w:p>
    <w:p w14:paraId="255A648D" w14:textId="77777777" w:rsidR="00353D81" w:rsidRPr="00115E3D" w:rsidRDefault="00353D81" w:rsidP="00353D81">
      <w:pPr>
        <w:pStyle w:val="Prrafodelista"/>
        <w:tabs>
          <w:tab w:val="left" w:pos="142"/>
          <w:tab w:val="left" w:pos="284"/>
        </w:tabs>
        <w:spacing w:line="276" w:lineRule="auto"/>
        <w:ind w:left="0"/>
        <w:jc w:val="both"/>
        <w:rPr>
          <w:rFonts w:ascii="Verdana" w:eastAsia="Century Gothic" w:hAnsi="Verdana" w:cs="Century Gothic"/>
          <w:b/>
          <w:bCs/>
          <w:color w:val="000000" w:themeColor="text1"/>
          <w:lang w:val="es-ES"/>
        </w:rPr>
      </w:pPr>
    </w:p>
    <w:p w14:paraId="17D02F38" w14:textId="77777777" w:rsidR="00353D81" w:rsidRPr="00115E3D" w:rsidRDefault="00353D81" w:rsidP="00353D81">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28B04173" w14:textId="77777777" w:rsidR="00353D81" w:rsidRPr="00115E3D" w:rsidRDefault="00353D81" w:rsidP="00353D81">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0CCBA4E8" w14:textId="77777777" w:rsidR="00353D81" w:rsidRPr="00115E3D" w:rsidRDefault="00353D81" w:rsidP="00353D81">
      <w:pPr>
        <w:spacing w:after="0" w:line="276" w:lineRule="auto"/>
        <w:ind w:firstLine="709"/>
        <w:jc w:val="both"/>
        <w:rPr>
          <w:rFonts w:ascii="Verdana" w:eastAsia="Calibri" w:hAnsi="Verdana" w:cs="Arial"/>
          <w:color w:val="000000" w:themeColor="text1"/>
          <w:lang w:val="es-ES" w:eastAsia="es-ES"/>
        </w:rPr>
      </w:pPr>
    </w:p>
    <w:p w14:paraId="7B8220BC" w14:textId="77777777" w:rsidR="00353D81" w:rsidRPr="00115E3D" w:rsidRDefault="00353D81" w:rsidP="00353D81">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Problema planteado:</w:t>
      </w:r>
    </w:p>
    <w:p w14:paraId="4A2EBEF0" w14:textId="77777777" w:rsidR="00353D81" w:rsidRPr="00115E3D" w:rsidRDefault="00353D81" w:rsidP="00353D81">
      <w:pPr>
        <w:tabs>
          <w:tab w:val="left" w:pos="426"/>
        </w:tabs>
        <w:spacing w:after="0" w:line="276" w:lineRule="auto"/>
        <w:jc w:val="both"/>
        <w:rPr>
          <w:rFonts w:ascii="Verdana" w:eastAsia="Century Gothic" w:hAnsi="Verdana" w:cs="Century Gothic"/>
          <w:color w:val="000000" w:themeColor="text1"/>
          <w:lang w:val="es-ES"/>
        </w:rPr>
      </w:pPr>
    </w:p>
    <w:p w14:paraId="7A72F86F" w14:textId="6CE1DC12" w:rsidR="00B15EE5" w:rsidRDefault="00353D81" w:rsidP="00353D81">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De acuerdo con el contenido de su solicitud, esta Agencia resolverá </w:t>
      </w:r>
      <w:r w:rsidR="00B15EE5" w:rsidRPr="00115E3D">
        <w:rPr>
          <w:rFonts w:ascii="Verdana" w:eastAsia="Century Gothic" w:hAnsi="Verdana" w:cs="Century Gothic"/>
          <w:color w:val="000000" w:themeColor="text1"/>
        </w:rPr>
        <w:t>el siguiente problemas</w:t>
      </w:r>
      <w:r w:rsidRPr="00115E3D">
        <w:rPr>
          <w:rFonts w:ascii="Verdana" w:eastAsia="Century Gothic" w:hAnsi="Verdana" w:cs="Century Gothic"/>
          <w:color w:val="000000" w:themeColor="text1"/>
        </w:rPr>
        <w:t xml:space="preserve"> jurídico: </w:t>
      </w:r>
    </w:p>
    <w:p w14:paraId="68CC1919" w14:textId="77777777" w:rsidR="00B15EE5" w:rsidRDefault="00B15EE5" w:rsidP="00353D81">
      <w:pPr>
        <w:spacing w:after="0" w:line="276" w:lineRule="auto"/>
        <w:jc w:val="both"/>
        <w:rPr>
          <w:rFonts w:ascii="Verdana" w:eastAsia="Century Gothic" w:hAnsi="Verdana" w:cs="Century Gothic"/>
          <w:color w:val="000000" w:themeColor="text1"/>
        </w:rPr>
      </w:pPr>
    </w:p>
    <w:p w14:paraId="7AD45C32" w14:textId="707271C9" w:rsidR="00BE33D8" w:rsidRPr="003B6B44" w:rsidRDefault="003B6B44" w:rsidP="003B6B44">
      <w:pPr>
        <w:pStyle w:val="Prrafodelista"/>
        <w:numPr>
          <w:ilvl w:val="0"/>
          <w:numId w:val="5"/>
        </w:numPr>
        <w:spacing w:after="0" w:line="276" w:lineRule="auto"/>
        <w:jc w:val="both"/>
        <w:rPr>
          <w:rFonts w:ascii="Verdana" w:eastAsia="Century Gothic" w:hAnsi="Verdana" w:cs="Century Gothic"/>
          <w:color w:val="000000" w:themeColor="text1"/>
        </w:rPr>
      </w:pPr>
      <w:r w:rsidRPr="003B6B44">
        <w:rPr>
          <w:rFonts w:ascii="Verdana" w:eastAsia="Century Gothic" w:hAnsi="Verdana" w:cs="Century Gothic"/>
          <w:color w:val="000000" w:themeColor="text1"/>
        </w:rPr>
        <w:t xml:space="preserve">¿Es posible que un exfuncionario </w:t>
      </w:r>
      <w:r w:rsidR="00D34FAF">
        <w:rPr>
          <w:rFonts w:ascii="Verdana" w:eastAsia="Century Gothic" w:hAnsi="Verdana" w:cs="Century Gothic"/>
          <w:color w:val="000000" w:themeColor="text1"/>
        </w:rPr>
        <w:t xml:space="preserve">de una entidad </w:t>
      </w:r>
      <w:r w:rsidR="00E46ECF">
        <w:rPr>
          <w:rFonts w:ascii="Verdana" w:eastAsia="Century Gothic" w:hAnsi="Verdana" w:cs="Century Gothic"/>
          <w:color w:val="000000" w:themeColor="text1"/>
        </w:rPr>
        <w:t xml:space="preserve">de </w:t>
      </w:r>
      <w:r w:rsidR="00973897">
        <w:rPr>
          <w:rFonts w:ascii="Verdana" w:eastAsia="Century Gothic" w:hAnsi="Verdana" w:cs="Century Gothic"/>
          <w:color w:val="000000" w:themeColor="text1"/>
        </w:rPr>
        <w:t>O</w:t>
      </w:r>
      <w:r w:rsidR="00E46ECF">
        <w:rPr>
          <w:rFonts w:ascii="Verdana" w:eastAsia="Century Gothic" w:hAnsi="Verdana" w:cs="Century Gothic"/>
          <w:color w:val="000000" w:themeColor="text1"/>
        </w:rPr>
        <w:t xml:space="preserve">rden </w:t>
      </w:r>
      <w:r w:rsidR="00973897">
        <w:rPr>
          <w:rFonts w:ascii="Verdana" w:eastAsia="Century Gothic" w:hAnsi="Verdana" w:cs="Century Gothic"/>
          <w:color w:val="000000" w:themeColor="text1"/>
        </w:rPr>
        <w:t>D</w:t>
      </w:r>
      <w:r w:rsidRPr="003B6B44">
        <w:rPr>
          <w:rFonts w:ascii="Verdana" w:eastAsia="Century Gothic" w:hAnsi="Verdana" w:cs="Century Gothic"/>
          <w:color w:val="000000" w:themeColor="text1"/>
        </w:rPr>
        <w:t>epartamental renunci</w:t>
      </w:r>
      <w:r w:rsidR="00D013C3">
        <w:rPr>
          <w:rFonts w:ascii="Verdana" w:eastAsia="Century Gothic" w:hAnsi="Verdana" w:cs="Century Gothic"/>
          <w:color w:val="000000" w:themeColor="text1"/>
        </w:rPr>
        <w:t>e, t</w:t>
      </w:r>
      <w:r w:rsidR="00D013C3" w:rsidRPr="00D013C3">
        <w:rPr>
          <w:rFonts w:ascii="Verdana" w:eastAsia="Century Gothic" w:hAnsi="Verdana" w:cs="Century Gothic"/>
          <w:color w:val="000000" w:themeColor="text1"/>
        </w:rPr>
        <w:t>ras su renuncia,</w:t>
      </w:r>
      <w:r w:rsidR="00D013C3">
        <w:rPr>
          <w:rFonts w:ascii="Verdana" w:eastAsia="Century Gothic" w:hAnsi="Verdana" w:cs="Century Gothic"/>
          <w:color w:val="000000" w:themeColor="text1"/>
        </w:rPr>
        <w:t xml:space="preserve"> </w:t>
      </w:r>
      <w:r w:rsidR="00D013C3" w:rsidRPr="00D013C3">
        <w:rPr>
          <w:rFonts w:ascii="Verdana" w:eastAsia="Century Gothic" w:hAnsi="Verdana" w:cs="Century Gothic"/>
          <w:color w:val="000000" w:themeColor="text1"/>
        </w:rPr>
        <w:t>firmar inmediatamente un contrato de prestación de servicios</w:t>
      </w:r>
      <w:r w:rsidRPr="003B6B44">
        <w:rPr>
          <w:rFonts w:ascii="Verdana" w:eastAsia="Century Gothic" w:hAnsi="Verdana" w:cs="Century Gothic"/>
          <w:color w:val="000000" w:themeColor="text1"/>
        </w:rPr>
        <w:t xml:space="preserve"> con una entidad de </w:t>
      </w:r>
      <w:r w:rsidR="00973897">
        <w:rPr>
          <w:rFonts w:ascii="Verdana" w:eastAsia="Century Gothic" w:hAnsi="Verdana" w:cs="Century Gothic"/>
          <w:color w:val="000000" w:themeColor="text1"/>
        </w:rPr>
        <w:t>Orden</w:t>
      </w:r>
      <w:r w:rsidRPr="003B6B44">
        <w:rPr>
          <w:rFonts w:ascii="Verdana" w:eastAsia="Century Gothic" w:hAnsi="Verdana" w:cs="Century Gothic"/>
          <w:color w:val="000000" w:themeColor="text1"/>
        </w:rPr>
        <w:t xml:space="preserve"> </w:t>
      </w:r>
      <w:r w:rsidR="00973897">
        <w:rPr>
          <w:rFonts w:ascii="Verdana" w:eastAsia="Century Gothic" w:hAnsi="Verdana" w:cs="Century Gothic"/>
          <w:color w:val="000000" w:themeColor="text1"/>
        </w:rPr>
        <w:t>N</w:t>
      </w:r>
      <w:r w:rsidRPr="003B6B44">
        <w:rPr>
          <w:rFonts w:ascii="Verdana" w:eastAsia="Century Gothic" w:hAnsi="Verdana" w:cs="Century Gothic"/>
          <w:color w:val="000000" w:themeColor="text1"/>
        </w:rPr>
        <w:t>acional</w:t>
      </w:r>
      <w:r w:rsidR="00BE33D8" w:rsidRPr="003B6B44">
        <w:rPr>
          <w:rFonts w:ascii="Verdana" w:eastAsia="Century Gothic" w:hAnsi="Verdana" w:cs="Century Gothic"/>
          <w:color w:val="000000" w:themeColor="text1"/>
        </w:rPr>
        <w:t>, sin incurrir en inhabilidades o incompatibilidades</w:t>
      </w:r>
      <w:r w:rsidR="00973897">
        <w:rPr>
          <w:rFonts w:ascii="Verdana" w:eastAsia="Century Gothic" w:hAnsi="Verdana" w:cs="Century Gothic"/>
          <w:color w:val="000000" w:themeColor="text1"/>
        </w:rPr>
        <w:t xml:space="preserve"> </w:t>
      </w:r>
      <w:r w:rsidR="00D67304">
        <w:rPr>
          <w:rFonts w:ascii="Verdana" w:eastAsia="Century Gothic" w:hAnsi="Verdana" w:cs="Century Gothic"/>
          <w:color w:val="000000" w:themeColor="text1"/>
        </w:rPr>
        <w:t>o conflicto de intereses</w:t>
      </w:r>
      <w:r w:rsidR="00BE33D8" w:rsidRPr="003B6B44">
        <w:rPr>
          <w:rFonts w:ascii="Verdana" w:eastAsia="Century Gothic" w:hAnsi="Verdana" w:cs="Century Gothic"/>
          <w:color w:val="000000" w:themeColor="text1"/>
        </w:rPr>
        <w:t>?</w:t>
      </w:r>
    </w:p>
    <w:p w14:paraId="53F90CA4" w14:textId="77777777" w:rsidR="007127B6" w:rsidRPr="00BE33D8" w:rsidRDefault="007127B6" w:rsidP="00BE33D8">
      <w:pPr>
        <w:pStyle w:val="Prrafodelista"/>
        <w:spacing w:after="0" w:line="276" w:lineRule="auto"/>
        <w:ind w:left="1080"/>
        <w:jc w:val="both"/>
        <w:rPr>
          <w:rFonts w:ascii="Verdana" w:eastAsia="Century Gothic" w:hAnsi="Verdana" w:cs="Century Gothic"/>
          <w:color w:val="000000" w:themeColor="text1"/>
        </w:rPr>
      </w:pPr>
    </w:p>
    <w:p w14:paraId="3D4A7EE8" w14:textId="77777777" w:rsidR="00353D81" w:rsidRPr="00115E3D" w:rsidRDefault="00353D81" w:rsidP="00353D81">
      <w:pPr>
        <w:spacing w:after="0" w:line="276" w:lineRule="auto"/>
        <w:jc w:val="both"/>
        <w:rPr>
          <w:rFonts w:ascii="Verdana" w:eastAsia="Calibri" w:hAnsi="Verdana" w:cs="Arial"/>
          <w:color w:val="000000" w:themeColor="text1"/>
          <w:lang w:val="es-ES"/>
        </w:rPr>
      </w:pPr>
    </w:p>
    <w:p w14:paraId="6DF35954" w14:textId="77777777" w:rsidR="00353D81" w:rsidRPr="00115E3D" w:rsidRDefault="00353D81" w:rsidP="00353D8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Respuesta:</w:t>
      </w:r>
    </w:p>
    <w:p w14:paraId="2BB6DD8F" w14:textId="77777777" w:rsidR="00353D81" w:rsidRDefault="00353D81" w:rsidP="00353D81">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51017F39" w14:textId="77777777" w:rsidR="00B15EE5" w:rsidRDefault="00B15EE5" w:rsidP="00353D81">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174F7946" w14:textId="77777777" w:rsidR="00B15EE5" w:rsidRPr="00115E3D" w:rsidRDefault="00B15EE5" w:rsidP="00353D81">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53D81" w:rsidRPr="00115E3D" w14:paraId="40CC0AC0" w14:textId="77777777" w:rsidTr="00B065D0">
        <w:tc>
          <w:tcPr>
            <w:tcW w:w="8828" w:type="dxa"/>
            <w:shd w:val="clear" w:color="auto" w:fill="auto"/>
          </w:tcPr>
          <w:p w14:paraId="21684515" w14:textId="0377E8C5" w:rsidR="00D94F69" w:rsidRDefault="00D94F69" w:rsidP="00D94F69">
            <w:pPr>
              <w:spacing w:line="276" w:lineRule="auto"/>
              <w:jc w:val="both"/>
              <w:rPr>
                <w:rFonts w:ascii="Verdana" w:eastAsia="Calibri" w:hAnsi="Verdana" w:cs="Arial"/>
                <w:color w:val="000000" w:themeColor="text1"/>
              </w:rPr>
            </w:pPr>
            <w:r w:rsidRPr="0094656B">
              <w:rPr>
                <w:rFonts w:ascii="Verdana" w:eastAsia="Calibri" w:hAnsi="Verdana" w:cs="Arial"/>
                <w:color w:val="000000" w:themeColor="text1"/>
              </w:rPr>
              <w:t>La ley establece inhabilidades de manera taxativa para evitar conflictos de interés y garantizar la transparencia en la contratación estatal</w:t>
            </w:r>
            <w:r>
              <w:rPr>
                <w:rFonts w:ascii="Verdana" w:eastAsia="Calibri" w:hAnsi="Verdana" w:cs="Arial"/>
                <w:color w:val="000000" w:themeColor="text1"/>
              </w:rPr>
              <w:t>.</w:t>
            </w:r>
          </w:p>
          <w:p w14:paraId="7DA39F46" w14:textId="77777777" w:rsidR="00D94F69" w:rsidRDefault="00D94F69" w:rsidP="000B524D">
            <w:pPr>
              <w:spacing w:line="276" w:lineRule="auto"/>
              <w:ind w:firstLine="709"/>
              <w:jc w:val="both"/>
              <w:rPr>
                <w:rFonts w:ascii="Verdana" w:eastAsia="Calibri" w:hAnsi="Verdana" w:cs="Arial"/>
                <w:color w:val="000000" w:themeColor="text1"/>
              </w:rPr>
            </w:pPr>
          </w:p>
          <w:p w14:paraId="56075A35" w14:textId="7877C063" w:rsidR="000B524D" w:rsidRDefault="00D97F40" w:rsidP="00D94F69">
            <w:pPr>
              <w:spacing w:line="276" w:lineRule="auto"/>
              <w:jc w:val="both"/>
              <w:rPr>
                <w:rFonts w:ascii="Verdana" w:eastAsia="Calibri" w:hAnsi="Verdana" w:cs="Arial"/>
                <w:color w:val="000000" w:themeColor="text1"/>
              </w:rPr>
            </w:pPr>
            <w:r>
              <w:rPr>
                <w:rFonts w:ascii="Verdana" w:eastAsia="Calibri" w:hAnsi="Verdana" w:cs="Arial"/>
                <w:color w:val="000000" w:themeColor="text1"/>
              </w:rPr>
              <w:t>S</w:t>
            </w:r>
            <w:r w:rsidR="0094656B" w:rsidRPr="0094656B">
              <w:rPr>
                <w:rFonts w:ascii="Verdana" w:eastAsia="Calibri" w:hAnsi="Verdana" w:cs="Arial"/>
                <w:color w:val="000000" w:themeColor="text1"/>
              </w:rPr>
              <w:t>egún el régimen de inhabilidades en la contratación estatal</w:t>
            </w:r>
            <w:r w:rsidR="001925E9">
              <w:rPr>
                <w:rFonts w:ascii="Verdana" w:eastAsia="Calibri" w:hAnsi="Verdana" w:cs="Arial"/>
                <w:color w:val="000000" w:themeColor="text1"/>
              </w:rPr>
              <w:t>,</w:t>
            </w:r>
            <w:r w:rsidR="0094656B" w:rsidRPr="0094656B">
              <w:rPr>
                <w:rFonts w:ascii="Verdana" w:eastAsia="Calibri" w:hAnsi="Verdana" w:cs="Arial"/>
                <w:color w:val="000000" w:themeColor="text1"/>
              </w:rPr>
              <w:t xml:space="preserve"> </w:t>
            </w:r>
            <w:r w:rsidR="000B524D">
              <w:rPr>
                <w:rFonts w:ascii="Verdana" w:eastAsia="Calibri" w:hAnsi="Verdana" w:cs="Arial"/>
                <w:color w:val="000000" w:themeColor="text1"/>
              </w:rPr>
              <w:t xml:space="preserve"> puntualmente en el literal f</w:t>
            </w:r>
            <w:r w:rsidR="001925E9">
              <w:rPr>
                <w:rFonts w:ascii="Verdana" w:eastAsia="Calibri" w:hAnsi="Verdana" w:cs="Arial"/>
                <w:color w:val="000000" w:themeColor="text1"/>
              </w:rPr>
              <w:t>, adicionado por el articulo 4 de la Ley 1474 de 2011</w:t>
            </w:r>
            <w:r w:rsidR="000B524D">
              <w:rPr>
                <w:rFonts w:ascii="Verdana" w:eastAsia="Calibri" w:hAnsi="Verdana" w:cs="Arial"/>
                <w:color w:val="000000" w:themeColor="text1"/>
              </w:rPr>
              <w:t>, numeral 2 del artículo 8</w:t>
            </w:r>
            <w:r w:rsidR="0094656B" w:rsidRPr="0094656B">
              <w:rPr>
                <w:rFonts w:ascii="Verdana" w:eastAsia="Calibri" w:hAnsi="Verdana" w:cs="Arial"/>
                <w:color w:val="000000" w:themeColor="text1"/>
              </w:rPr>
              <w:t xml:space="preserve"> </w:t>
            </w:r>
            <w:r w:rsidR="000B524D">
              <w:rPr>
                <w:rFonts w:ascii="Verdana" w:eastAsia="Calibri" w:hAnsi="Verdana" w:cs="Arial"/>
                <w:color w:val="000000" w:themeColor="text1"/>
              </w:rPr>
              <w:t xml:space="preserve">de la Ley 80 de 1993, </w:t>
            </w:r>
            <w:r w:rsidR="001925E9">
              <w:rPr>
                <w:rFonts w:ascii="Verdana" w:eastAsia="Calibri" w:hAnsi="Verdana" w:cs="Arial"/>
                <w:color w:val="000000" w:themeColor="text1"/>
              </w:rPr>
              <w:t xml:space="preserve">dispone que, </w:t>
            </w:r>
            <w:r w:rsidR="000B524D">
              <w:rPr>
                <w:rFonts w:ascii="Verdana" w:eastAsia="Calibri" w:hAnsi="Verdana" w:cs="Arial"/>
                <w:color w:val="000000" w:themeColor="text1"/>
              </w:rPr>
              <w:t xml:space="preserve">las personas que hayan ejercido cargos directivos no podrán celebrar contratos estatales </w:t>
            </w:r>
            <w:r w:rsidR="001925E9" w:rsidRPr="001925E9">
              <w:rPr>
                <w:rFonts w:ascii="Verdana" w:eastAsia="Calibri" w:hAnsi="Verdana" w:cs="Arial"/>
                <w:color w:val="000000" w:themeColor="text1"/>
              </w:rPr>
              <w:t>durante los dos (2) años siguientes al retiro del ejercicio del cargo público</w:t>
            </w:r>
            <w:r w:rsidR="001925E9">
              <w:rPr>
                <w:rFonts w:ascii="Verdana" w:eastAsia="Calibri" w:hAnsi="Verdana" w:cs="Arial"/>
                <w:color w:val="000000" w:themeColor="text1"/>
              </w:rPr>
              <w:t xml:space="preserve">, </w:t>
            </w:r>
            <w:r w:rsidR="000B524D">
              <w:rPr>
                <w:rFonts w:ascii="Verdana" w:eastAsia="Calibri" w:hAnsi="Verdana" w:cs="Arial"/>
                <w:color w:val="000000" w:themeColor="text1"/>
              </w:rPr>
              <w:t>cuando el objeto que desarrollen tenga relación con el sector al cual prestaron sus servicios.</w:t>
            </w:r>
          </w:p>
          <w:p w14:paraId="79E54F3D" w14:textId="77777777" w:rsidR="001925E9" w:rsidRDefault="001925E9" w:rsidP="001925E9">
            <w:pPr>
              <w:spacing w:line="276" w:lineRule="auto"/>
              <w:jc w:val="both"/>
              <w:rPr>
                <w:rFonts w:ascii="Verdana" w:hAnsi="Verdana" w:cs="Arial"/>
                <w:bCs/>
                <w:color w:val="000000" w:themeColor="text1"/>
                <w14:ligatures w14:val="standardContextual"/>
              </w:rPr>
            </w:pPr>
          </w:p>
          <w:p w14:paraId="269F3759" w14:textId="1E175587" w:rsidR="001925E9" w:rsidRDefault="001925E9" w:rsidP="001925E9">
            <w:pPr>
              <w:spacing w:line="276" w:lineRule="auto"/>
              <w:jc w:val="both"/>
              <w:rPr>
                <w:rFonts w:ascii="Verdana" w:eastAsia="Calibri" w:hAnsi="Verdana" w:cs="Arial"/>
                <w:color w:val="000000" w:themeColor="text1"/>
              </w:rPr>
            </w:pPr>
            <w:r>
              <w:rPr>
                <w:rFonts w:ascii="Verdana" w:hAnsi="Verdana" w:cs="Arial"/>
                <w:bCs/>
                <w:color w:val="000000" w:themeColor="text1"/>
                <w:lang w:val="es-MX"/>
                <w14:ligatures w14:val="standardContextual"/>
              </w:rPr>
              <w:t>En todo caso, c</w:t>
            </w:r>
            <w:r w:rsidR="00D94F69" w:rsidRPr="00024A32">
              <w:rPr>
                <w:rFonts w:ascii="Verdana" w:hAnsi="Verdana" w:cs="Arial"/>
                <w:bCs/>
                <w:color w:val="000000" w:themeColor="text1"/>
                <w:lang w:val="es-MX"/>
                <w14:ligatures w14:val="standardContextual"/>
              </w:rPr>
              <w:t>orresponde a cada Entidad Pública, en ejercicio de su competencia y previa valoración de l</w:t>
            </w:r>
            <w:r w:rsidR="00AF1C47">
              <w:rPr>
                <w:rFonts w:ascii="Verdana" w:hAnsi="Verdana" w:cs="Arial"/>
                <w:bCs/>
                <w:color w:val="000000" w:themeColor="text1"/>
                <w:lang w:val="es-MX"/>
                <w14:ligatures w14:val="standardContextual"/>
              </w:rPr>
              <w:t>as condiciones particulares y propias de la futura contratación</w:t>
            </w:r>
            <w:r w:rsidR="00D94F69" w:rsidRPr="00024A32">
              <w:rPr>
                <w:rFonts w:ascii="Verdana" w:hAnsi="Verdana" w:cs="Arial"/>
                <w:bCs/>
                <w:color w:val="000000" w:themeColor="text1"/>
                <w:lang w:val="es-MX"/>
                <w14:ligatures w14:val="standardContextual"/>
              </w:rPr>
              <w:t>, determinar si se está incurso en alguna causal de inhabilidad o incompatibilidad o si se configura un conflicto de intereses</w:t>
            </w:r>
            <w:r>
              <w:rPr>
                <w:rFonts w:ascii="Verdana" w:hAnsi="Verdana" w:cs="Arial"/>
                <w:bCs/>
                <w:color w:val="000000" w:themeColor="text1"/>
                <w:lang w:val="es-MX"/>
                <w14:ligatures w14:val="standardContextual"/>
              </w:rPr>
              <w:t xml:space="preserve">, </w:t>
            </w:r>
            <w:r w:rsidRPr="0094656B">
              <w:rPr>
                <w:rFonts w:ascii="Verdana" w:eastAsia="Calibri" w:hAnsi="Verdana" w:cs="Arial"/>
                <w:color w:val="000000" w:themeColor="text1"/>
              </w:rPr>
              <w:t>de ser así, tomar medidas para preservar la imparcialidad y transparencia en el proceso.</w:t>
            </w:r>
          </w:p>
          <w:p w14:paraId="215E7C1C" w14:textId="3D6E1301" w:rsidR="000A4B76" w:rsidRPr="00B15EE5" w:rsidRDefault="000A4B76" w:rsidP="001925E9">
            <w:pPr>
              <w:spacing w:line="276" w:lineRule="auto"/>
              <w:jc w:val="both"/>
              <w:rPr>
                <w:rFonts w:ascii="Verdana" w:eastAsia="Calibri" w:hAnsi="Verdana" w:cs="Arial"/>
                <w:color w:val="000000" w:themeColor="text1"/>
              </w:rPr>
            </w:pPr>
          </w:p>
        </w:tc>
      </w:tr>
    </w:tbl>
    <w:p w14:paraId="6EC533A6" w14:textId="77777777" w:rsidR="00353D81" w:rsidRPr="00115E3D" w:rsidRDefault="00353D81" w:rsidP="00353D81">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1E5B6796" w14:textId="77777777" w:rsidR="00353D81" w:rsidRPr="00115E3D" w:rsidRDefault="00353D81" w:rsidP="00353D8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Razones de la respuesta:</w:t>
      </w:r>
    </w:p>
    <w:p w14:paraId="33A197C5" w14:textId="77777777" w:rsidR="00353D81" w:rsidRPr="00115E3D" w:rsidRDefault="00353D81" w:rsidP="00353D81">
      <w:pPr>
        <w:spacing w:after="0" w:line="276" w:lineRule="auto"/>
        <w:jc w:val="both"/>
        <w:rPr>
          <w:rFonts w:ascii="Verdana" w:eastAsia="Calibri" w:hAnsi="Verdana" w:cs="Arial"/>
          <w:color w:val="000000" w:themeColor="text1"/>
          <w:lang w:val="es-ES"/>
        </w:rPr>
      </w:pPr>
    </w:p>
    <w:p w14:paraId="594835D5" w14:textId="77777777" w:rsidR="00353D81" w:rsidRPr="00115E3D" w:rsidRDefault="00353D81" w:rsidP="00353D81">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42462158" w14:textId="77777777" w:rsidR="00353D81" w:rsidRPr="00115E3D" w:rsidRDefault="00353D81" w:rsidP="00353D81">
      <w:pPr>
        <w:spacing w:after="0" w:line="276" w:lineRule="auto"/>
        <w:jc w:val="both"/>
        <w:rPr>
          <w:rFonts w:ascii="Verdana" w:eastAsia="Calibri" w:hAnsi="Verdana" w:cs="Arial"/>
          <w:color w:val="000000" w:themeColor="text1"/>
          <w:lang w:val="es-ES"/>
        </w:rPr>
      </w:pPr>
    </w:p>
    <w:p w14:paraId="558FCCEC"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MX"/>
          <w14:ligatures w14:val="standardContextual"/>
        </w:rPr>
      </w:pPr>
      <w:r w:rsidRPr="00024A32">
        <w:rPr>
          <w:rFonts w:ascii="Verdana" w:hAnsi="Verdana" w:cs="Arial"/>
          <w:color w:val="000000" w:themeColor="text1"/>
          <w:lang w:val="es-ES"/>
          <w14:ligatures w14:val="standardContextual"/>
        </w:rPr>
        <w:t>Respecto del objeto de su consulta, en primer lugar, debe advertirse que,</w:t>
      </w:r>
      <w:r w:rsidRPr="00024A32">
        <w:rPr>
          <w:rFonts w:ascii="Verdana" w:hAnsi="Verdana" w:cs="Arial"/>
          <w:color w:val="000000" w:themeColor="text1"/>
          <w:lang w:val="es-ES_tradnl"/>
          <w14:ligatures w14:val="standardContextual"/>
        </w:rPr>
        <w:t xml:space="preserve"> l</w:t>
      </w:r>
      <w:r w:rsidRPr="00024A32">
        <w:rPr>
          <w:rFonts w:ascii="Verdana" w:hAnsi="Verdana" w:cs="Arial"/>
          <w:color w:val="000000" w:themeColor="text1"/>
          <w:lang w:val="es-MX"/>
          <w14:ligatures w14:val="standardContextual"/>
        </w:rPr>
        <w:t xml:space="preserve">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08B56D94"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MX"/>
          <w14:ligatures w14:val="standardContextual"/>
        </w:rPr>
      </w:pPr>
    </w:p>
    <w:p w14:paraId="33397333"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MX"/>
          <w14:ligatures w14:val="standardContextual"/>
        </w:rPr>
      </w:pPr>
      <w:r w:rsidRPr="00024A32">
        <w:rPr>
          <w:rFonts w:ascii="Verdana" w:hAnsi="Verdana" w:cs="Arial"/>
          <w:color w:val="000000" w:themeColor="text1"/>
          <w:lang w:val="es-MX"/>
          <w14:ligatures w14:val="standardContextual"/>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Al respecto,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024A32">
        <w:rPr>
          <w:rFonts w:ascii="Verdana" w:hAnsi="Verdana" w:cs="Arial"/>
          <w:color w:val="000000" w:themeColor="text1"/>
          <w:vertAlign w:val="superscript"/>
          <w:lang w:val="es-MX"/>
          <w14:ligatures w14:val="standardContextual"/>
        </w:rPr>
        <w:footnoteReference w:id="1"/>
      </w:r>
      <w:r w:rsidRPr="00024A32">
        <w:rPr>
          <w:rFonts w:ascii="Verdana" w:hAnsi="Verdana" w:cs="Arial"/>
          <w:color w:val="000000" w:themeColor="text1"/>
          <w:lang w:val="es-MX"/>
          <w14:ligatures w14:val="standardContextual"/>
        </w:rPr>
        <w:t xml:space="preserve">. </w:t>
      </w:r>
    </w:p>
    <w:p w14:paraId="3E053A5A"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MX"/>
          <w14:ligatures w14:val="standardContextual"/>
        </w:rPr>
      </w:pPr>
    </w:p>
    <w:p w14:paraId="699C6BD4"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MX"/>
          <w14:ligatures w14:val="standardContextual"/>
        </w:rPr>
      </w:pPr>
      <w:r w:rsidRPr="00024A32">
        <w:rPr>
          <w:rFonts w:ascii="Verdana" w:hAnsi="Verdana" w:cs="Arial"/>
          <w:color w:val="000000" w:themeColor="text1"/>
          <w:lang w:val="es-MX"/>
          <w14:ligatures w14:val="standardContextual"/>
        </w:rPr>
        <w:t xml:space="preserve">La consagración de limitaciones que afectan la capacidad jurídica para contratar desarrolla los principios de la función administrativa consagrados en el artículo 209 de la Constitución Política, con especial énfasis el de moralidad. Así lo entiende el Consejo de Estado: </w:t>
      </w:r>
    </w:p>
    <w:p w14:paraId="30E19BC1"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MX"/>
          <w14:ligatures w14:val="standardContextual"/>
        </w:rPr>
      </w:pPr>
    </w:p>
    <w:p w14:paraId="5A20F8A1"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r w:rsidRPr="00024A32">
        <w:rPr>
          <w:rFonts w:ascii="Verdana" w:hAnsi="Verdana" w:cs="Arial"/>
          <w:i/>
          <w:iCs/>
          <w:color w:val="000000" w:themeColor="text1"/>
          <w:sz w:val="20"/>
          <w:szCs w:val="20"/>
          <w:lang w:val="es-ES"/>
          <w14:ligatures w14:val="standardContextual"/>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3DEF1733"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p>
    <w:p w14:paraId="1859C9C9"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r w:rsidRPr="00024A32">
        <w:rPr>
          <w:rFonts w:ascii="Verdana" w:hAnsi="Verdana" w:cs="Arial"/>
          <w:i/>
          <w:iCs/>
          <w:color w:val="000000" w:themeColor="text1"/>
          <w:sz w:val="20"/>
          <w:szCs w:val="20"/>
          <w:lang w:val="es-ES"/>
          <w14:ligatures w14:val="standardContextual"/>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w:t>
      </w:r>
      <w:r w:rsidRPr="00024A32">
        <w:rPr>
          <w:rFonts w:ascii="Verdana" w:hAnsi="Verdana" w:cs="Arial"/>
          <w:i/>
          <w:iCs/>
          <w:color w:val="000000" w:themeColor="text1"/>
          <w:sz w:val="20"/>
          <w:szCs w:val="20"/>
          <w:lang w:val="es-ES"/>
          <w14:ligatures w14:val="standardContextual"/>
        </w:rPr>
        <w:lastRenderedPageBreak/>
        <w:t>determinados potenciales contratistas, la cual se impone entonces por razón de ese fin de interés general como regla legal prevalente, esto es que puede ser impuesta sobre el derecho individual a contratar con el Estado”</w:t>
      </w:r>
      <w:r w:rsidRPr="00024A32">
        <w:rPr>
          <w:rFonts w:ascii="Verdana" w:hAnsi="Verdana" w:cs="Arial"/>
          <w:i/>
          <w:iCs/>
          <w:color w:val="000000" w:themeColor="text1"/>
          <w:sz w:val="20"/>
          <w:szCs w:val="20"/>
          <w:vertAlign w:val="superscript"/>
          <w:lang w:val="es-ES"/>
          <w14:ligatures w14:val="standardContextual"/>
        </w:rPr>
        <w:footnoteReference w:id="2"/>
      </w:r>
      <w:r w:rsidRPr="00024A32">
        <w:rPr>
          <w:rFonts w:ascii="Verdana" w:hAnsi="Verdana" w:cs="Arial"/>
          <w:i/>
          <w:iCs/>
          <w:color w:val="000000" w:themeColor="text1"/>
          <w:sz w:val="20"/>
          <w:szCs w:val="20"/>
          <w:lang w:val="es-ES"/>
          <w14:ligatures w14:val="standardContextual"/>
        </w:rPr>
        <w:t xml:space="preserve"> </w:t>
      </w:r>
    </w:p>
    <w:p w14:paraId="479ED7B8"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MX"/>
          <w14:ligatures w14:val="standardContextual"/>
        </w:rPr>
      </w:pPr>
    </w:p>
    <w:p w14:paraId="33C6946C"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MX"/>
          <w14:ligatures w14:val="standardContextual"/>
        </w:rPr>
      </w:pPr>
      <w:r w:rsidRPr="00024A32">
        <w:rPr>
          <w:rFonts w:ascii="Verdana" w:hAnsi="Verdana" w:cs="Arial"/>
          <w:color w:val="000000" w:themeColor="text1"/>
          <w:lang w:val="es-MX"/>
          <w14:ligatures w14:val="standardContextual"/>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6438C042"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
          <w14:ligatures w14:val="standardContextual"/>
        </w:rPr>
      </w:pPr>
    </w:p>
    <w:p w14:paraId="703499B0"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r w:rsidRPr="00024A32">
        <w:rPr>
          <w:rFonts w:ascii="Verdana" w:hAnsi="Verdana" w:cs="Arial"/>
          <w:color w:val="000000" w:themeColor="text1"/>
          <w:sz w:val="20"/>
          <w:szCs w:val="20"/>
          <w:lang w:val="es-ES"/>
          <w14:ligatures w14:val="standardContextual"/>
        </w:rPr>
        <w:t>“</w:t>
      </w:r>
      <w:r w:rsidRPr="00024A32">
        <w:rPr>
          <w:rFonts w:ascii="Verdana" w:hAnsi="Verdana" w:cs="Arial"/>
          <w:i/>
          <w:iCs/>
          <w:color w:val="000000" w:themeColor="text1"/>
          <w:sz w:val="20"/>
          <w:szCs w:val="20"/>
          <w:lang w:val="es-ES"/>
          <w14:ligatures w14:val="standardContextual"/>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024A32">
        <w:rPr>
          <w:rFonts w:ascii="Verdana" w:hAnsi="Verdana" w:cs="Arial"/>
          <w:i/>
          <w:iCs/>
          <w:color w:val="000000" w:themeColor="text1"/>
          <w:sz w:val="20"/>
          <w:szCs w:val="20"/>
          <w:lang w:val="es-ES"/>
          <w14:ligatures w14:val="standardContextual"/>
        </w:rPr>
        <w:t>incompatibilidades,</w:t>
      </w:r>
      <w:proofErr w:type="gramEnd"/>
      <w:r w:rsidRPr="00024A32">
        <w:rPr>
          <w:rFonts w:ascii="Verdana" w:hAnsi="Verdana" w:cs="Arial"/>
          <w:i/>
          <w:iCs/>
          <w:color w:val="000000" w:themeColor="text1"/>
          <w:sz w:val="20"/>
          <w:szCs w:val="20"/>
          <w:lang w:val="es-ES"/>
          <w14:ligatures w14:val="standardContextual"/>
        </w:rPr>
        <w:t xml:space="preserve"> se erige en causal de nulidad del contrato celebrado en esas condiciones (ley 80 de 1993, art. 44).</w:t>
      </w:r>
    </w:p>
    <w:p w14:paraId="2CF8DC7D"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p>
    <w:p w14:paraId="622F8272"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r w:rsidRPr="00024A32">
        <w:rPr>
          <w:rFonts w:ascii="Verdana" w:hAnsi="Verdana" w:cs="Arial"/>
          <w:i/>
          <w:iCs/>
          <w:color w:val="000000" w:themeColor="text1"/>
          <w:sz w:val="20"/>
          <w:szCs w:val="20"/>
          <w:lang w:val="es-ES"/>
          <w14:ligatures w14:val="standardContextual"/>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024A32">
        <w:rPr>
          <w:rFonts w:ascii="Verdana" w:hAnsi="Verdana" w:cs="Arial"/>
          <w:i/>
          <w:iCs/>
          <w:color w:val="000000" w:themeColor="text1"/>
          <w:sz w:val="20"/>
          <w:szCs w:val="20"/>
          <w:vertAlign w:val="superscript"/>
          <w:lang w:val="es-ES"/>
          <w14:ligatures w14:val="standardContextual"/>
        </w:rPr>
        <w:footnoteReference w:id="3"/>
      </w:r>
      <w:r w:rsidRPr="00024A32">
        <w:rPr>
          <w:rFonts w:ascii="Verdana" w:hAnsi="Verdana" w:cs="Arial"/>
          <w:i/>
          <w:iCs/>
          <w:color w:val="000000" w:themeColor="text1"/>
          <w:sz w:val="20"/>
          <w:szCs w:val="20"/>
          <w:lang w:val="es-ES"/>
          <w14:ligatures w14:val="standardContextual"/>
        </w:rPr>
        <w:t>.</w:t>
      </w:r>
    </w:p>
    <w:p w14:paraId="53AC43DA"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
          <w14:ligatures w14:val="standardContextual"/>
        </w:rPr>
      </w:pPr>
    </w:p>
    <w:p w14:paraId="12B3E661"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
          <w14:ligatures w14:val="standardContextual"/>
        </w:rPr>
      </w:pPr>
      <w:r w:rsidRPr="00024A32">
        <w:rPr>
          <w:rFonts w:ascii="Verdana" w:hAnsi="Verdana" w:cs="Arial"/>
          <w:color w:val="000000" w:themeColor="text1"/>
          <w:lang w:val="es-ES"/>
          <w14:ligatures w14:val="standardContextual"/>
        </w:rPr>
        <w:t>Además, la Corte Constitucional explica que el legislador tiene la competencia para determinar qué hechos o situaciones generan inhabilidad para contratar, pues este régimen es un aspecto propio del Estatuto General de Contratación de la Administración Pública – en adelante EGCAP –, cuya expedición compete al Congreso de la República a la luz del artículo 150 de la Constitución Política, y que en esta materia rige el principio de legalidad:</w:t>
      </w:r>
    </w:p>
    <w:p w14:paraId="1A99C519"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MX"/>
          <w14:ligatures w14:val="standardContextual"/>
        </w:rPr>
      </w:pPr>
    </w:p>
    <w:p w14:paraId="182B09DB"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r w:rsidRPr="00024A32">
        <w:rPr>
          <w:rFonts w:ascii="Verdana" w:hAnsi="Verdana" w:cs="Arial"/>
          <w:color w:val="000000" w:themeColor="text1"/>
          <w:sz w:val="20"/>
          <w:szCs w:val="20"/>
          <w:lang w:val="es-MX"/>
          <w14:ligatures w14:val="standardContextual"/>
        </w:rPr>
        <w:t>“</w:t>
      </w:r>
      <w:r w:rsidRPr="00024A32">
        <w:rPr>
          <w:rFonts w:ascii="Verdana" w:hAnsi="Verdana" w:cs="Arial"/>
          <w:i/>
          <w:iCs/>
          <w:color w:val="000000" w:themeColor="text1"/>
          <w:sz w:val="20"/>
          <w:szCs w:val="20"/>
          <w:lang w:val="es-ES"/>
          <w14:ligatures w14:val="standardContextual"/>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libértate, sino el de legalidad, el que ordena que la función pública debe someterse estrictamente a lo que disponga la Constitución y la ley (CP art. 6). </w:t>
      </w:r>
    </w:p>
    <w:p w14:paraId="4625CBC2"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p>
    <w:p w14:paraId="3306A9F8"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r w:rsidRPr="00024A32">
        <w:rPr>
          <w:rFonts w:ascii="Verdana" w:hAnsi="Verdana" w:cs="Arial"/>
          <w:i/>
          <w:iCs/>
          <w:color w:val="000000" w:themeColor="text1"/>
          <w:sz w:val="20"/>
          <w:szCs w:val="20"/>
          <w:lang w:val="es-ES"/>
          <w14:ligatures w14:val="standardContextual"/>
        </w:rPr>
        <w:t xml:space="preserve">[…] </w:t>
      </w:r>
    </w:p>
    <w:p w14:paraId="21B3566D"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p>
    <w:p w14:paraId="78076A70"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r w:rsidRPr="00024A32">
        <w:rPr>
          <w:rFonts w:ascii="Verdana" w:hAnsi="Verdana" w:cs="Arial"/>
          <w:i/>
          <w:iCs/>
          <w:color w:val="000000" w:themeColor="text1"/>
          <w:sz w:val="20"/>
          <w:szCs w:val="20"/>
          <w:lang w:val="es-ES"/>
          <w14:ligatures w14:val="standardContextual"/>
        </w:rPr>
        <w:t xml:space="preserve">Se comprende con facilidad que el régimen de inhabilidades e </w:t>
      </w:r>
      <w:proofErr w:type="gramStart"/>
      <w:r w:rsidRPr="00024A32">
        <w:rPr>
          <w:rFonts w:ascii="Verdana" w:hAnsi="Verdana" w:cs="Arial"/>
          <w:i/>
          <w:iCs/>
          <w:color w:val="000000" w:themeColor="text1"/>
          <w:sz w:val="20"/>
          <w:szCs w:val="20"/>
          <w:lang w:val="es-ES"/>
          <w14:ligatures w14:val="standardContextual"/>
        </w:rPr>
        <w:t>incompatibilidades,</w:t>
      </w:r>
      <w:proofErr w:type="gramEnd"/>
      <w:r w:rsidRPr="00024A32">
        <w:rPr>
          <w:rFonts w:ascii="Verdana" w:hAnsi="Verdana" w:cs="Arial"/>
          <w:i/>
          <w:iCs/>
          <w:color w:val="000000" w:themeColor="text1"/>
          <w:sz w:val="20"/>
          <w:szCs w:val="20"/>
          <w:lang w:val="es-ES"/>
          <w14:ligatures w14:val="standardContextual"/>
        </w:rPr>
        <w:t xml:space="preserve"> corresponde a una materia de normal y obligada inclusión en un estatuto contractual. El legislador, a quien se ha confiado expedir el indicado estatuto, tiene, pues, competencia para establecerlo (CP art. 150)”.</w:t>
      </w:r>
      <w:r w:rsidRPr="00024A32">
        <w:rPr>
          <w:rFonts w:ascii="Verdana" w:hAnsi="Verdana" w:cs="Arial"/>
          <w:i/>
          <w:iCs/>
          <w:color w:val="000000" w:themeColor="text1"/>
          <w:sz w:val="20"/>
          <w:szCs w:val="20"/>
          <w:vertAlign w:val="superscript"/>
          <w:lang w:val="es-ES"/>
          <w14:ligatures w14:val="standardContextual"/>
        </w:rPr>
        <w:footnoteReference w:id="4"/>
      </w:r>
    </w:p>
    <w:p w14:paraId="4F8B3888"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ES"/>
          <w14:ligatures w14:val="standardContextual"/>
        </w:rPr>
      </w:pPr>
    </w:p>
    <w:p w14:paraId="2B049E56"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
          <w14:ligatures w14:val="standardContextual"/>
        </w:rPr>
      </w:pPr>
      <w:r w:rsidRPr="00024A32">
        <w:rPr>
          <w:rFonts w:ascii="Verdana" w:hAnsi="Verdana" w:cs="Arial"/>
          <w:color w:val="000000" w:themeColor="text1"/>
          <w:lang w:val="es-ES"/>
          <w14:ligatures w14:val="standardContextual"/>
        </w:rPr>
        <w:t xml:space="preserve">Conviene también distinguir las fuentes de las inhabilidades, las cuales han sido clasificadas en dos (2) grupos: i) inhabilidades-sanción y </w:t>
      </w:r>
      <w:proofErr w:type="spellStart"/>
      <w:r w:rsidRPr="00024A32">
        <w:rPr>
          <w:rFonts w:ascii="Verdana" w:hAnsi="Verdana" w:cs="Arial"/>
          <w:color w:val="000000" w:themeColor="text1"/>
          <w:lang w:val="es-ES"/>
          <w14:ligatures w14:val="standardContextual"/>
        </w:rPr>
        <w:t>ii</w:t>
      </w:r>
      <w:proofErr w:type="spellEnd"/>
      <w:r w:rsidRPr="00024A32">
        <w:rPr>
          <w:rFonts w:ascii="Verdana" w:hAnsi="Verdana" w:cs="Arial"/>
          <w:color w:val="000000" w:themeColor="text1"/>
          <w:lang w:val="es-ES"/>
          <w14:ligatures w14:val="standardContextual"/>
        </w:rPr>
        <w:t xml:space="preserve">) inhabilidades-requisito. En el </w:t>
      </w:r>
      <w:r w:rsidRPr="00024A32">
        <w:rPr>
          <w:rFonts w:ascii="Verdana" w:hAnsi="Verdana" w:cs="Arial"/>
          <w:i/>
          <w:iCs/>
          <w:color w:val="000000" w:themeColor="text1"/>
          <w:lang w:val="es-ES"/>
          <w14:ligatures w14:val="standardContextual"/>
        </w:rPr>
        <w:t>primer</w:t>
      </w:r>
      <w:r w:rsidRPr="00024A32">
        <w:rPr>
          <w:rFonts w:ascii="Verdana" w:hAnsi="Verdana" w:cs="Arial"/>
          <w:color w:val="000000" w:themeColor="text1"/>
          <w:lang w:val="es-ES"/>
          <w14:ligatures w14:val="standardContextual"/>
        </w:rPr>
        <w:t xml:space="preserve"> grupo se encuentran las inhabilidades que surgen como consecuencia de un proceso sancionatorio, en los ámbitos penal, disciplinario, contravencional o de pérdida de investidura. En el </w:t>
      </w:r>
      <w:r w:rsidRPr="00024A32">
        <w:rPr>
          <w:rFonts w:ascii="Verdana" w:hAnsi="Verdana" w:cs="Arial"/>
          <w:i/>
          <w:iCs/>
          <w:color w:val="000000" w:themeColor="text1"/>
          <w:lang w:val="es-ES"/>
          <w14:ligatures w14:val="standardContextual"/>
        </w:rPr>
        <w:t>segundo</w:t>
      </w:r>
      <w:r w:rsidRPr="00024A32">
        <w:rPr>
          <w:rFonts w:ascii="Verdana" w:hAnsi="Verdana" w:cs="Arial"/>
          <w:color w:val="000000" w:themeColor="text1"/>
          <w:lang w:val="es-ES"/>
          <w14:ligatures w14:val="standardContextual"/>
        </w:rPr>
        <w:t xml:space="preserve"> grupo están aquellas que no devienen de un </w:t>
      </w:r>
      <w:r w:rsidRPr="00024A32">
        <w:rPr>
          <w:rFonts w:ascii="Verdana" w:hAnsi="Verdana" w:cs="Arial"/>
          <w:color w:val="000000" w:themeColor="text1"/>
          <w:lang w:val="es-ES"/>
          <w14:ligatures w14:val="standardContextual"/>
        </w:rPr>
        <w:lastRenderedPageBreak/>
        <w:t>proceso sancionatorio, sino de condiciones propias de la persona y garantizan la moralidad, la imparcialidad, la eficacia y la transparencia</w:t>
      </w:r>
      <w:r w:rsidRPr="00024A32">
        <w:rPr>
          <w:rFonts w:ascii="Verdana" w:hAnsi="Verdana" w:cs="Arial"/>
          <w:color w:val="000000" w:themeColor="text1"/>
          <w:vertAlign w:val="superscript"/>
          <w:lang w:val="es-ES"/>
          <w14:ligatures w14:val="standardContextual"/>
        </w:rPr>
        <w:footnoteReference w:id="5"/>
      </w:r>
      <w:r w:rsidRPr="00024A32">
        <w:rPr>
          <w:rFonts w:ascii="Verdana" w:hAnsi="Verdana" w:cs="Arial"/>
          <w:color w:val="000000" w:themeColor="text1"/>
          <w:lang w:val="es-ES"/>
          <w14:ligatures w14:val="standardContextual"/>
        </w:rPr>
        <w:t xml:space="preserve">. </w:t>
      </w:r>
    </w:p>
    <w:p w14:paraId="6B3B166B"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
          <w14:ligatures w14:val="standardContextual"/>
        </w:rPr>
      </w:pPr>
    </w:p>
    <w:p w14:paraId="54D7E428"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
          <w14:ligatures w14:val="standardContextual"/>
        </w:rPr>
      </w:pPr>
      <w:r w:rsidRPr="00024A32">
        <w:rPr>
          <w:rFonts w:ascii="Verdana" w:hAnsi="Verdana" w:cs="Arial"/>
          <w:color w:val="000000" w:themeColor="text1"/>
          <w:lang w:val="es-ES"/>
          <w14:ligatures w14:val="standardContextual"/>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numeral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7958B1E9"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
          <w14:ligatures w14:val="standardContextual"/>
        </w:rPr>
      </w:pPr>
    </w:p>
    <w:p w14:paraId="5AAE409D"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
          <w14:ligatures w14:val="standardContextual"/>
        </w:rPr>
      </w:pPr>
      <w:r w:rsidRPr="00024A32">
        <w:rPr>
          <w:rFonts w:ascii="Verdana" w:hAnsi="Verdana" w:cs="Arial"/>
          <w:color w:val="000000" w:themeColor="text1"/>
          <w:lang w:val="es-ES"/>
          <w14:ligatures w14:val="standardContextu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p w14:paraId="69F1A25F"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
          <w14:ligatures w14:val="standardContextual"/>
        </w:rPr>
      </w:pPr>
    </w:p>
    <w:p w14:paraId="75EF0075"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_tradnl"/>
          <w14:ligatures w14:val="standardContextual"/>
        </w:rPr>
      </w:pPr>
      <w:r w:rsidRPr="00024A32">
        <w:rPr>
          <w:rFonts w:ascii="Verdana" w:hAnsi="Verdana" w:cs="Arial"/>
          <w:color w:val="000000" w:themeColor="text1"/>
          <w:lang w:val="es-ES_tradnl"/>
          <w14:ligatures w14:val="standardContextua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024A32">
        <w:rPr>
          <w:rFonts w:ascii="Verdana" w:hAnsi="Verdana" w:cs="Arial"/>
          <w:i/>
          <w:iCs/>
          <w:color w:val="000000" w:themeColor="text1"/>
          <w:lang w:val="es-ES_tradnl"/>
          <w14:ligatures w14:val="standardContextual"/>
        </w:rPr>
        <w:t>restrictiva</w:t>
      </w:r>
      <w:r w:rsidRPr="00024A32">
        <w:rPr>
          <w:rFonts w:ascii="Verdana" w:hAnsi="Verdana" w:cs="Arial"/>
          <w:color w:val="000000" w:themeColor="text1"/>
          <w:vertAlign w:val="superscript"/>
          <w:lang w:val="es-ES"/>
          <w14:ligatures w14:val="standardContextual"/>
        </w:rPr>
        <w:footnoteReference w:id="6"/>
      </w:r>
      <w:r w:rsidRPr="00024A32">
        <w:rPr>
          <w:rFonts w:ascii="Verdana" w:hAnsi="Verdana" w:cs="Arial"/>
          <w:color w:val="000000" w:themeColor="text1"/>
          <w:lang w:val="es-ES_tradnl"/>
          <w14:ligatures w14:val="standardContextua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w:t>
      </w:r>
      <w:r w:rsidRPr="00024A32">
        <w:rPr>
          <w:rFonts w:ascii="Verdana" w:hAnsi="Verdana" w:cs="Arial"/>
          <w:color w:val="000000" w:themeColor="text1"/>
          <w:lang w:val="es-ES_tradnl"/>
          <w14:ligatures w14:val="standardContextual"/>
        </w:rPr>
        <w:lastRenderedPageBreak/>
        <w:t xml:space="preserve">de Estado. </w:t>
      </w:r>
    </w:p>
    <w:p w14:paraId="6CF1828F"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_tradnl"/>
          <w14:ligatures w14:val="standardContextual"/>
        </w:rPr>
      </w:pPr>
    </w:p>
    <w:p w14:paraId="082AA41C"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_tradnl"/>
          <w14:ligatures w14:val="standardContextual"/>
        </w:rPr>
      </w:pPr>
      <w:r w:rsidRPr="00024A32">
        <w:rPr>
          <w:rFonts w:ascii="Verdana" w:hAnsi="Verdana" w:cs="Arial"/>
          <w:color w:val="000000" w:themeColor="text1"/>
          <w:lang w:val="es-ES_tradnl"/>
          <w14:ligatures w14:val="standardContextual"/>
        </w:rPr>
        <w:t>En efecto, el máximo tribunal constitucional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024A32">
        <w:rPr>
          <w:rFonts w:ascii="Verdana" w:hAnsi="Verdana" w:cs="Arial"/>
          <w:color w:val="000000" w:themeColor="text1"/>
          <w:vertAlign w:val="superscript"/>
          <w:lang w:val="es-ES"/>
          <w14:ligatures w14:val="standardContextual"/>
        </w:rPr>
        <w:footnoteReference w:id="7"/>
      </w:r>
      <w:r w:rsidRPr="00024A32">
        <w:rPr>
          <w:rFonts w:ascii="Verdana" w:hAnsi="Verdana" w:cs="Arial"/>
          <w:color w:val="000000" w:themeColor="text1"/>
          <w:lang w:val="es-ES_tradnl"/>
          <w14:ligatures w14:val="standardContextua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024A32">
        <w:rPr>
          <w:rFonts w:ascii="Verdana" w:hAnsi="Verdana" w:cs="Arial"/>
          <w:color w:val="000000" w:themeColor="text1"/>
          <w:vertAlign w:val="superscript"/>
          <w:lang w:val="es-ES"/>
          <w14:ligatures w14:val="standardContextual"/>
        </w:rPr>
        <w:footnoteReference w:id="8"/>
      </w:r>
      <w:r w:rsidRPr="00024A32">
        <w:rPr>
          <w:rFonts w:ascii="Verdana" w:hAnsi="Verdana" w:cs="Arial"/>
          <w:color w:val="000000" w:themeColor="text1"/>
          <w:lang w:val="es-ES_tradnl"/>
          <w14:ligatures w14:val="standardContextual"/>
        </w:rPr>
        <w:t>. En tal sentido, la Sección Tercera ha señalado que:</w:t>
      </w:r>
    </w:p>
    <w:p w14:paraId="66E678E5"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_tradnl"/>
          <w14:ligatures w14:val="standardContextual"/>
        </w:rPr>
      </w:pPr>
    </w:p>
    <w:p w14:paraId="32B8E845"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MX"/>
          <w14:ligatures w14:val="standardContextual"/>
        </w:rPr>
      </w:pPr>
      <w:r w:rsidRPr="00024A32">
        <w:rPr>
          <w:rFonts w:ascii="Verdana" w:hAnsi="Verdana" w:cs="Arial"/>
          <w:i/>
          <w:iCs/>
          <w:color w:val="000000" w:themeColor="text1"/>
          <w:sz w:val="20"/>
          <w:szCs w:val="20"/>
          <w:lang w:val="es-MX"/>
          <w14:ligatures w14:val="standardContextua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024A32">
        <w:rPr>
          <w:rFonts w:ascii="Verdana" w:hAnsi="Verdana" w:cs="Arial"/>
          <w:i/>
          <w:iCs/>
          <w:color w:val="000000" w:themeColor="text1"/>
          <w:sz w:val="20"/>
          <w:szCs w:val="20"/>
          <w:vertAlign w:val="superscript"/>
          <w:lang w:val="es-MX"/>
          <w14:ligatures w14:val="standardContextual"/>
        </w:rPr>
        <w:footnoteReference w:id="9"/>
      </w:r>
      <w:r w:rsidRPr="00024A32">
        <w:rPr>
          <w:rFonts w:ascii="Verdana" w:hAnsi="Verdana" w:cs="Arial"/>
          <w:i/>
          <w:iCs/>
          <w:color w:val="000000" w:themeColor="text1"/>
          <w:sz w:val="20"/>
          <w:szCs w:val="20"/>
          <w:vertAlign w:val="superscript"/>
          <w:lang w:val="es-MX"/>
          <w14:ligatures w14:val="standardContextual"/>
        </w:rPr>
        <w:t>.</w:t>
      </w:r>
    </w:p>
    <w:p w14:paraId="7AB37B4D" w14:textId="77777777" w:rsidR="00024A32" w:rsidRPr="00024A32" w:rsidRDefault="00024A32" w:rsidP="00024A32">
      <w:pPr>
        <w:widowControl w:val="0"/>
        <w:autoSpaceDE w:val="0"/>
        <w:autoSpaceDN w:val="0"/>
        <w:spacing w:after="120" w:line="276" w:lineRule="auto"/>
        <w:ind w:left="709" w:right="709"/>
        <w:jc w:val="both"/>
        <w:rPr>
          <w:rFonts w:ascii="Verdana" w:hAnsi="Verdana" w:cs="Arial"/>
          <w:bCs/>
          <w:color w:val="000000" w:themeColor="text1"/>
          <w:sz w:val="20"/>
          <w:szCs w:val="20"/>
          <w:lang w:val="es-ES_tradnl"/>
          <w14:ligatures w14:val="standardContextual"/>
        </w:rPr>
      </w:pPr>
    </w:p>
    <w:p w14:paraId="528E29D0"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MX"/>
          <w14:ligatures w14:val="standardContextual"/>
        </w:rPr>
      </w:pPr>
      <w:r w:rsidRPr="00024A32">
        <w:rPr>
          <w:rFonts w:ascii="Verdana" w:hAnsi="Verdana" w:cs="Arial"/>
          <w:i/>
          <w:iCs/>
          <w:color w:val="000000" w:themeColor="text1"/>
          <w:sz w:val="20"/>
          <w:szCs w:val="20"/>
          <w:lang w:val="es-MX"/>
          <w14:ligatures w14:val="standardContextual"/>
        </w:rPr>
        <w:t>También ha dicho que:</w:t>
      </w:r>
    </w:p>
    <w:p w14:paraId="32E6FFAF"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MX"/>
          <w14:ligatures w14:val="standardContextual"/>
        </w:rPr>
      </w:pPr>
    </w:p>
    <w:p w14:paraId="62EB9E5C"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MX"/>
          <w14:ligatures w14:val="standardContextual"/>
        </w:rPr>
      </w:pPr>
      <w:r w:rsidRPr="00024A32">
        <w:rPr>
          <w:rFonts w:ascii="Verdana" w:hAnsi="Verdana" w:cs="Arial"/>
          <w:i/>
          <w:iCs/>
          <w:color w:val="000000" w:themeColor="text1"/>
          <w:sz w:val="20"/>
          <w:szCs w:val="20"/>
          <w:lang w:val="es-MX"/>
          <w14:ligatures w14:val="standardContextual"/>
        </w:rPr>
        <w:lastRenderedPageBreak/>
        <w:t>[…] la aplicación de estos preceptos exige una interpretación restrictiva, dado que según el principio hermenéutico pro libertate,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024A32">
        <w:rPr>
          <w:rFonts w:ascii="Verdana" w:hAnsi="Verdana" w:cs="Arial"/>
          <w:i/>
          <w:iCs/>
          <w:color w:val="000000" w:themeColor="text1"/>
          <w:sz w:val="20"/>
          <w:szCs w:val="20"/>
          <w:vertAlign w:val="superscript"/>
          <w:lang w:val="es-MX"/>
          <w14:ligatures w14:val="standardContextual"/>
        </w:rPr>
        <w:footnoteReference w:id="10"/>
      </w:r>
      <w:r w:rsidRPr="00024A32">
        <w:rPr>
          <w:rFonts w:ascii="Verdana" w:hAnsi="Verdana" w:cs="Arial"/>
          <w:i/>
          <w:iCs/>
          <w:color w:val="000000" w:themeColor="text1"/>
          <w:sz w:val="20"/>
          <w:szCs w:val="20"/>
          <w:lang w:val="es-MX"/>
          <w14:ligatures w14:val="standardContextual"/>
        </w:rPr>
        <w:t>.</w:t>
      </w:r>
    </w:p>
    <w:p w14:paraId="04271BB2"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_tradnl"/>
          <w14:ligatures w14:val="standardContextual"/>
        </w:rPr>
      </w:pPr>
    </w:p>
    <w:p w14:paraId="6B5E4132"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MX"/>
          <w14:ligatures w14:val="standardContextual"/>
        </w:rPr>
      </w:pPr>
      <w:r w:rsidRPr="00024A32">
        <w:rPr>
          <w:rFonts w:ascii="Verdana" w:hAnsi="Verdana" w:cs="Arial"/>
          <w:color w:val="000000" w:themeColor="text1"/>
          <w:lang w:val="es-ES_tradnl"/>
          <w14:ligatures w14:val="standardContextual"/>
        </w:rPr>
        <w:t xml:space="preserve">Como se aprecia, el principio </w:t>
      </w:r>
      <w:r w:rsidRPr="00024A32">
        <w:rPr>
          <w:rFonts w:ascii="Verdana" w:hAnsi="Verdana" w:cs="Arial"/>
          <w:i/>
          <w:iCs/>
          <w:color w:val="000000" w:themeColor="text1"/>
          <w:lang w:val="es-ES_tradnl"/>
          <w14:ligatures w14:val="standardContextual"/>
        </w:rPr>
        <w:t xml:space="preserve">pro </w:t>
      </w:r>
      <w:proofErr w:type="spellStart"/>
      <w:r w:rsidRPr="00024A32">
        <w:rPr>
          <w:rFonts w:ascii="Verdana" w:hAnsi="Verdana" w:cs="Arial"/>
          <w:i/>
          <w:iCs/>
          <w:color w:val="000000" w:themeColor="text1"/>
          <w:lang w:val="es-ES_tradnl"/>
          <w14:ligatures w14:val="standardContextual"/>
        </w:rPr>
        <w:t>libertate</w:t>
      </w:r>
      <w:proofErr w:type="spellEnd"/>
      <w:r w:rsidRPr="00024A32">
        <w:rPr>
          <w:rFonts w:ascii="Verdana" w:hAnsi="Verdana" w:cs="Arial"/>
          <w:color w:val="000000" w:themeColor="text1"/>
          <w:lang w:val="es-ES_tradnl"/>
          <w14:ligatures w14:val="standardContextual"/>
        </w:rPr>
        <w:t xml:space="preserve"> es el que debe dirigir la interpretación de las disposiciones normativas que consagran restricciones de derechos, como sucede con las causales de inhabilidad e incompatibilidad en la contratación estatal. </w:t>
      </w:r>
      <w:r w:rsidRPr="00024A32">
        <w:rPr>
          <w:rFonts w:ascii="Verdana" w:hAnsi="Verdana" w:cs="Arial"/>
          <w:color w:val="000000" w:themeColor="text1"/>
          <w:lang w:val="es-ES"/>
          <w14:ligatures w14:val="standardContextual"/>
        </w:rPr>
        <w:t xml:space="preserve">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 </w:t>
      </w:r>
    </w:p>
    <w:p w14:paraId="19F80A96"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
          <w14:ligatures w14:val="standardContextual"/>
        </w:rPr>
      </w:pPr>
    </w:p>
    <w:p w14:paraId="5BBAD3DD"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
          <w14:ligatures w14:val="standardContextual"/>
        </w:rPr>
      </w:pPr>
      <w:r w:rsidRPr="00024A32">
        <w:rPr>
          <w:rFonts w:ascii="Verdana" w:hAnsi="Verdana" w:cs="Arial"/>
          <w:color w:val="000000" w:themeColor="text1"/>
          <w:lang w:val="es-ES"/>
          <w14:ligatures w14:val="standardContextual"/>
        </w:rPr>
        <w:t>Teniendo en cuenta el objeto de su solicitud, es menester resaltar que, por el carácter de interpretación restrictiva del régimen de inhabilidades e incompatibilidades antes explicado, la aplicación de una causal de inhabilidad para celebrar un contrato estatal debe ser según lo descrito en la ley, de forma taxativa, por lo que la situación expresada, en principio, no se podría encuadrar en ninguna de las causales descritas en el artículo 8 de la Ley 80 de 1993. No obstante, esta norma no es la única fuente de inhabilidades e incompatibilidades, al respecto, y con relación a su pregunta, la Ley 1474 de 2011 consagra:</w:t>
      </w:r>
    </w:p>
    <w:p w14:paraId="295EA80B"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
          <w14:ligatures w14:val="standardContextual"/>
        </w:rPr>
      </w:pPr>
    </w:p>
    <w:p w14:paraId="2F6170E9" w14:textId="77777777" w:rsidR="00024A32" w:rsidRPr="00024A32" w:rsidRDefault="00024A32" w:rsidP="00024A32">
      <w:pPr>
        <w:widowControl w:val="0"/>
        <w:autoSpaceDE w:val="0"/>
        <w:autoSpaceDN w:val="0"/>
        <w:spacing w:after="120" w:line="240" w:lineRule="auto"/>
        <w:ind w:left="1134" w:right="357"/>
        <w:jc w:val="both"/>
        <w:rPr>
          <w:rFonts w:ascii="Verdana" w:hAnsi="Verdana" w:cs="Arial"/>
          <w:i/>
          <w:iCs/>
          <w:color w:val="000000" w:themeColor="text1"/>
          <w:sz w:val="20"/>
          <w:szCs w:val="20"/>
          <w:lang w:val="es-MX"/>
          <w14:ligatures w14:val="standardContextual"/>
        </w:rPr>
      </w:pPr>
      <w:r w:rsidRPr="00024A32">
        <w:rPr>
          <w:rFonts w:ascii="Verdana" w:hAnsi="Verdana" w:cs="Arial"/>
          <w:i/>
          <w:iCs/>
          <w:color w:val="000000" w:themeColor="text1"/>
          <w:sz w:val="20"/>
          <w:szCs w:val="20"/>
          <w:lang w:val="es-MX"/>
          <w14:ligatures w14:val="standardContextual"/>
        </w:rPr>
        <w:t xml:space="preserve">“ARTÍCULO 5. 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w:t>
      </w:r>
      <w:r w:rsidRPr="00024A32">
        <w:rPr>
          <w:rFonts w:ascii="Verdana" w:hAnsi="Verdana" w:cs="Arial"/>
          <w:i/>
          <w:iCs/>
          <w:color w:val="000000" w:themeColor="text1"/>
          <w:sz w:val="20"/>
          <w:szCs w:val="20"/>
          <w:lang w:val="es-MX"/>
          <w14:ligatures w14:val="standardContextual"/>
        </w:rPr>
        <w:lastRenderedPageBreak/>
        <w:t>refiere el artículo 2 de la Ley 80 de 1993, durante el plazo de ejecución y hasta la liquidación del mismo, no podrán celebrar contratos de interventoría con la misma entidad”.</w:t>
      </w:r>
    </w:p>
    <w:p w14:paraId="483555FD"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
          <w14:ligatures w14:val="standardContextual"/>
        </w:rPr>
      </w:pPr>
    </w:p>
    <w:p w14:paraId="41309F5B"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_tradnl"/>
          <w14:ligatures w14:val="standardContextual"/>
        </w:rPr>
      </w:pPr>
      <w:r w:rsidRPr="00024A32">
        <w:rPr>
          <w:rFonts w:ascii="Verdana" w:hAnsi="Verdana" w:cs="Arial"/>
          <w:color w:val="000000" w:themeColor="text1"/>
          <w:lang w:val="es-ES_tradnl"/>
          <w14:ligatures w14:val="standardContextual"/>
        </w:rPr>
        <w:t xml:space="preserve">Por tanto, es la entidad contratante la que debe determinar la aplicación de la anterior causal del régimen de inhabilidades e incompatibilidades, al supuesto de hecho descrito. </w:t>
      </w:r>
    </w:p>
    <w:p w14:paraId="015E34BD"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_tradnl"/>
          <w14:ligatures w14:val="standardContextual"/>
        </w:rPr>
      </w:pPr>
    </w:p>
    <w:p w14:paraId="1619DF80"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_tradnl"/>
          <w14:ligatures w14:val="standardContextual"/>
        </w:rPr>
      </w:pPr>
      <w:r w:rsidRPr="00024A32">
        <w:rPr>
          <w:rFonts w:ascii="Verdana" w:hAnsi="Verdana" w:cs="Arial"/>
          <w:color w:val="000000" w:themeColor="text1"/>
          <w:lang w:val="es-ES"/>
          <w14:ligatures w14:val="standardContextual"/>
        </w:rPr>
        <w:t>En segundo lugar</w:t>
      </w:r>
      <w:r w:rsidRPr="00024A32">
        <w:rPr>
          <w:rFonts w:ascii="Verdana" w:hAnsi="Verdana" w:cs="Arial"/>
          <w:color w:val="000000" w:themeColor="text1"/>
          <w:lang w:val="es-ES_tradnl"/>
          <w14:ligatures w14:val="standardContextual"/>
        </w:rPr>
        <w:t xml:space="preserve">, dado que en la pregunta de su consulta hace referencia al régimen de los conflictos de interés en la contratación estatal, debe señalarse que,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En desarrollo de esta directriz, </w:t>
      </w:r>
      <w:bookmarkStart w:id="1" w:name="_Hlk36672204"/>
      <w:r w:rsidRPr="00024A32">
        <w:rPr>
          <w:rFonts w:ascii="Verdana" w:hAnsi="Verdana" w:cs="Arial"/>
          <w:color w:val="000000" w:themeColor="text1"/>
          <w:lang w:val="es-ES_tradnl"/>
          <w14:ligatures w14:val="standardContextual"/>
        </w:rPr>
        <w:t xml:space="preserve">el régimen de los </w:t>
      </w:r>
      <w:r w:rsidRPr="00024A32">
        <w:rPr>
          <w:rFonts w:ascii="Verdana" w:hAnsi="Verdana" w:cs="Arial"/>
          <w:i/>
          <w:iCs/>
          <w:color w:val="000000" w:themeColor="text1"/>
          <w:lang w:val="es-ES_tradnl"/>
          <w14:ligatures w14:val="standardContextual"/>
        </w:rPr>
        <w:t>conflictos de interés</w:t>
      </w:r>
      <w:r w:rsidRPr="00024A32">
        <w:rPr>
          <w:rFonts w:ascii="Verdana" w:hAnsi="Verdana" w:cs="Arial"/>
          <w:color w:val="000000" w:themeColor="text1"/>
          <w:lang w:val="es-ES_tradnl"/>
          <w14:ligatures w14:val="standardContextual"/>
        </w:rPr>
        <w:t xml:space="preserve"> tiene como objetivo la prevalencia del bien común sobre el particular, razón por la cual se configuran cuando los servidores públicos actúan influenciados por consideraciones personales que colisionan con el deber de preservar su independencia e imparcialidad. En este sentido, se definen como la </w:t>
      </w:r>
      <w:bookmarkStart w:id="2" w:name="_Hlk36668905"/>
      <w:r w:rsidRPr="00024A32">
        <w:rPr>
          <w:rFonts w:ascii="Verdana" w:hAnsi="Verdana" w:cs="Arial"/>
          <w:color w:val="000000" w:themeColor="text1"/>
          <w:lang w:val="es-ES_tradnl"/>
          <w14:ligatures w14:val="standardContextual"/>
        </w:rPr>
        <w:t>concurrencia de intereses antagónicos que afectan la transparencia de las decisiones, al implicar –en detrimento del interés general– el aprovechamiento personal, familiar o particular</w:t>
      </w:r>
      <w:bookmarkEnd w:id="1"/>
      <w:bookmarkEnd w:id="2"/>
      <w:r w:rsidRPr="00024A32">
        <w:rPr>
          <w:rFonts w:ascii="Verdana" w:hAnsi="Verdana" w:cs="Arial"/>
          <w:color w:val="000000" w:themeColor="text1"/>
          <w:vertAlign w:val="superscript"/>
          <w:lang w:val="es-ES_tradnl"/>
          <w14:ligatures w14:val="standardContextual"/>
        </w:rPr>
        <w:footnoteReference w:id="11"/>
      </w:r>
      <w:r w:rsidRPr="00024A32">
        <w:rPr>
          <w:rFonts w:ascii="Verdana" w:hAnsi="Verdana" w:cs="Arial"/>
          <w:color w:val="000000" w:themeColor="text1"/>
          <w:lang w:val="es-ES_tradnl"/>
          <w14:ligatures w14:val="standardContextual"/>
        </w:rPr>
        <w:t>.</w:t>
      </w:r>
    </w:p>
    <w:p w14:paraId="799FE4C0"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_tradnl"/>
          <w14:ligatures w14:val="standardContextual"/>
        </w:rPr>
      </w:pPr>
    </w:p>
    <w:p w14:paraId="06178863"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
          <w14:ligatures w14:val="standardContextual"/>
        </w:rPr>
      </w:pPr>
      <w:r w:rsidRPr="00024A32">
        <w:rPr>
          <w:rFonts w:ascii="Verdana" w:hAnsi="Verdana" w:cs="Arial"/>
          <w:color w:val="000000" w:themeColor="text1"/>
          <w:lang w:val="es-ES"/>
          <w14:ligatures w14:val="standardContextual"/>
        </w:rPr>
        <w:t xml:space="preserve">La institución jurídica de los conflictos de interés no está definida con carácter general en el ordenamiento jurídico y tampoco de forma precisa en las normas que regulan la contratación estatal, por lo que es un asunto ausente en el EGCAP. No obstante, existen disposiciones especiales como el régimen de los congresistas, de los concejales o el régimen disciplinario de los servidores públicos, donde se definen causales de conflictos de interés. En todo caso, la satisfacción del principio de moralidad, el deber de probidad y rectitud también se exige a los contratistas. Al respecto, el </w:t>
      </w:r>
      <w:r w:rsidRPr="00024A32">
        <w:rPr>
          <w:rFonts w:ascii="Verdana" w:hAnsi="Verdana" w:cs="Arial"/>
          <w:color w:val="000000" w:themeColor="text1"/>
          <w:lang w:val="es-ES"/>
          <w14:ligatures w14:val="standardContextual"/>
        </w:rPr>
        <w:lastRenderedPageBreak/>
        <w:t xml:space="preserve">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EGCAP dispone que aquellos obrarán con lealtad y buena fe en las distintas etapas contractuales. </w:t>
      </w:r>
    </w:p>
    <w:p w14:paraId="4FD7E5C0"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
          <w14:ligatures w14:val="standardContextual"/>
        </w:rPr>
      </w:pPr>
    </w:p>
    <w:p w14:paraId="2895E1E6"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_tradnl"/>
          <w14:ligatures w14:val="standardContextual"/>
        </w:rPr>
      </w:pPr>
      <w:r w:rsidRPr="00024A32">
        <w:rPr>
          <w:rFonts w:ascii="Verdana" w:hAnsi="Verdana" w:cs="Arial"/>
          <w:color w:val="000000" w:themeColor="text1"/>
          <w:lang w:val="es-ES_tradnl"/>
          <w14:ligatures w14:val="standardContextual"/>
        </w:rPr>
        <w:t>Sin perjuicio de lo anterior,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mencionados.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190804A8" w14:textId="77777777" w:rsidR="00024A32" w:rsidRPr="00024A32" w:rsidRDefault="00024A32" w:rsidP="00024A32">
      <w:pPr>
        <w:widowControl w:val="0"/>
        <w:autoSpaceDE w:val="0"/>
        <w:autoSpaceDN w:val="0"/>
        <w:spacing w:after="0" w:line="276" w:lineRule="auto"/>
        <w:jc w:val="both"/>
        <w:rPr>
          <w:rFonts w:ascii="Verdana" w:hAnsi="Verdana" w:cs="Arial"/>
          <w:color w:val="000000" w:themeColor="text1"/>
          <w:lang w:val="es-ES_tradnl"/>
          <w14:ligatures w14:val="standardContextual"/>
        </w:rPr>
      </w:pPr>
    </w:p>
    <w:p w14:paraId="63A75B2C"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i/>
          <w:iCs/>
          <w:color w:val="000000" w:themeColor="text1"/>
          <w:lang w:val="es-ES"/>
          <w14:ligatures w14:val="standardContextual"/>
        </w:rPr>
      </w:pPr>
      <w:r w:rsidRPr="00024A32">
        <w:rPr>
          <w:rFonts w:ascii="Verdana" w:hAnsi="Verdana" w:cs="Arial"/>
          <w:color w:val="000000" w:themeColor="text1"/>
          <w:lang w:val="es-ES"/>
          <w14:ligatures w14:val="standardContextual"/>
        </w:rPr>
        <w:t>Finalmente, en virtud del principio de autonomía, las Entidades Estatales puede establecer causales de rechazo que consideren pertinentes en el Proceso de Contratación. Así mismo, es bueno resaltar, como lo señaló la Agencia Nacional de Contratación Pública – Colombia Compra Eficiente en los conceptos C-815 del 18 de febrero de 2021 y C-449 del 31 de agosto de 2021, que la doctrina</w:t>
      </w:r>
      <w:r w:rsidRPr="00024A32">
        <w:rPr>
          <w:rFonts w:ascii="Verdana" w:hAnsi="Verdana" w:cs="Arial"/>
          <w:color w:val="000000" w:themeColor="text1"/>
          <w:vertAlign w:val="superscript"/>
          <w:lang w:val="es-ES"/>
          <w14:ligatures w14:val="standardContextual"/>
        </w:rPr>
        <w:footnoteReference w:id="12"/>
      </w:r>
      <w:r w:rsidRPr="00024A32">
        <w:rPr>
          <w:rFonts w:ascii="Verdana" w:hAnsi="Verdana" w:cs="Arial"/>
          <w:color w:val="000000" w:themeColor="text1"/>
          <w:lang w:val="es-ES"/>
          <w14:ligatures w14:val="standardContextual"/>
        </w:rPr>
        <w:t xml:space="preserve"> y de forma particular la Sala de Consulta y </w:t>
      </w:r>
      <w:r w:rsidRPr="00024A32">
        <w:rPr>
          <w:rFonts w:ascii="Verdana" w:hAnsi="Verdana" w:cs="Arial"/>
          <w:color w:val="000000" w:themeColor="text1"/>
          <w:lang w:val="es-ES"/>
          <w14:ligatures w14:val="standardContextual"/>
        </w:rPr>
        <w:lastRenderedPageBreak/>
        <w:t>Servicio Civil del Consejo de Estado</w:t>
      </w:r>
      <w:r w:rsidRPr="00024A32">
        <w:rPr>
          <w:rFonts w:ascii="Verdana" w:hAnsi="Verdana" w:cs="Arial"/>
          <w:color w:val="000000" w:themeColor="text1"/>
          <w:vertAlign w:val="superscript"/>
          <w:lang w:val="es-ES"/>
          <w14:ligatures w14:val="standardContextual"/>
        </w:rPr>
        <w:footnoteReference w:id="13"/>
      </w:r>
      <w:r w:rsidRPr="00024A32">
        <w:rPr>
          <w:rFonts w:ascii="Verdana" w:hAnsi="Verdana" w:cs="Arial"/>
          <w:color w:val="000000" w:themeColor="text1"/>
          <w:lang w:val="es-ES"/>
          <w14:ligatures w14:val="standardContextual"/>
        </w:rPr>
        <w:t xml:space="preserve">, han reconocido la posibilidad que tienen las Entidades Estatales de establecer conflictos de interés en sus Pliegos de Condiciones, diferenciando dichas causales y su regulación de las inhabilidades e incompatibilidades consagradas en el EGCAP y demás normas complementarias. La Sala de Consulta y Servicio Civil del Consejo de Estado claramente ha admitido la inclusión de causales de conflicto de interés en los Pliegos de Condiciones o en los contratos de las Entidades Estatales, siempre y cuando estas satisfagan, entre otros requisitos, los criterios de </w:t>
      </w:r>
      <w:r w:rsidRPr="00024A32">
        <w:rPr>
          <w:rFonts w:ascii="Verdana" w:hAnsi="Verdana" w:cs="Arial"/>
          <w:i/>
          <w:iCs/>
          <w:color w:val="000000" w:themeColor="text1"/>
          <w:lang w:val="es-ES"/>
          <w14:ligatures w14:val="standardContextual"/>
        </w:rPr>
        <w:t xml:space="preserve">tipicidad </w:t>
      </w:r>
      <w:r w:rsidRPr="00024A32">
        <w:rPr>
          <w:rFonts w:ascii="Verdana" w:hAnsi="Verdana" w:cs="Arial"/>
          <w:color w:val="000000" w:themeColor="text1"/>
          <w:lang w:val="es-ES"/>
          <w14:ligatures w14:val="standardContextual"/>
        </w:rPr>
        <w:t xml:space="preserve">y </w:t>
      </w:r>
      <w:r w:rsidRPr="00024A32">
        <w:rPr>
          <w:rFonts w:ascii="Verdana" w:hAnsi="Verdana" w:cs="Arial"/>
          <w:i/>
          <w:iCs/>
          <w:color w:val="000000" w:themeColor="text1"/>
          <w:lang w:val="es-ES"/>
          <w14:ligatures w14:val="standardContextual"/>
        </w:rPr>
        <w:t>objetividad.</w:t>
      </w:r>
      <w:r w:rsidRPr="00024A32">
        <w:rPr>
          <w:rFonts w:ascii="Verdana" w:hAnsi="Verdana" w:cs="Arial"/>
          <w:color w:val="000000" w:themeColor="text1"/>
          <w:vertAlign w:val="superscript"/>
          <w:lang w:val="es-ES"/>
          <w14:ligatures w14:val="standardContextual"/>
        </w:rPr>
        <w:footnoteReference w:id="14"/>
      </w:r>
    </w:p>
    <w:p w14:paraId="2661A564" w14:textId="77777777" w:rsidR="00024A32" w:rsidRPr="00024A32" w:rsidRDefault="00024A32" w:rsidP="00024A32">
      <w:pPr>
        <w:widowControl w:val="0"/>
        <w:autoSpaceDE w:val="0"/>
        <w:autoSpaceDN w:val="0"/>
        <w:spacing w:after="0" w:line="276" w:lineRule="auto"/>
        <w:jc w:val="both"/>
        <w:rPr>
          <w:rFonts w:ascii="Verdana" w:hAnsi="Verdana" w:cs="Arial"/>
          <w:i/>
          <w:iCs/>
          <w:color w:val="000000" w:themeColor="text1"/>
          <w:lang w:val="es-ES_tradnl"/>
          <w14:ligatures w14:val="standardContextual"/>
        </w:rPr>
      </w:pPr>
    </w:p>
    <w:p w14:paraId="0B12B137" w14:textId="77777777" w:rsidR="00024A32" w:rsidRPr="00024A32" w:rsidRDefault="00024A32" w:rsidP="00024A32">
      <w:pPr>
        <w:widowControl w:val="0"/>
        <w:numPr>
          <w:ilvl w:val="0"/>
          <w:numId w:val="2"/>
        </w:numPr>
        <w:autoSpaceDE w:val="0"/>
        <w:autoSpaceDN w:val="0"/>
        <w:spacing w:after="0" w:line="276" w:lineRule="auto"/>
        <w:jc w:val="both"/>
        <w:rPr>
          <w:rFonts w:ascii="Verdana" w:hAnsi="Verdana" w:cs="Arial"/>
          <w:color w:val="000000" w:themeColor="text1"/>
          <w:lang w:val="es-ES"/>
          <w14:ligatures w14:val="standardContextual"/>
        </w:rPr>
      </w:pPr>
      <w:r w:rsidRPr="00024A32">
        <w:rPr>
          <w:rFonts w:ascii="Verdana" w:hAnsi="Verdana" w:cs="Arial"/>
          <w:bCs/>
          <w:color w:val="000000" w:themeColor="text1"/>
          <w:lang w:val="es-MX"/>
          <w14:ligatures w14:val="standardContextual"/>
        </w:rPr>
        <w:t xml:space="preserve">Bajo estas consideraciones, corresponde a cada Entidad Pública, en ejercicio de su competencia y previa valoración de los elementos fácticos y jurídicos, determinar si se está incurso en alguna causal de inhabilidad o incompatibilidad o si se configura un conflicto de intereses. </w:t>
      </w:r>
    </w:p>
    <w:p w14:paraId="257524D5" w14:textId="77777777" w:rsidR="00353D81" w:rsidRPr="00024A32" w:rsidRDefault="00353D81" w:rsidP="00353D81">
      <w:pPr>
        <w:widowControl w:val="0"/>
        <w:autoSpaceDE w:val="0"/>
        <w:autoSpaceDN w:val="0"/>
        <w:spacing w:after="0" w:line="276" w:lineRule="auto"/>
        <w:jc w:val="both"/>
        <w:rPr>
          <w:rFonts w:ascii="Verdana" w:hAnsi="Verdana" w:cs="Arial"/>
          <w:color w:val="000000" w:themeColor="text1"/>
          <w:lang w:val="es-ES"/>
        </w:rPr>
      </w:pPr>
    </w:p>
    <w:p w14:paraId="1A12D519" w14:textId="77777777" w:rsidR="00353D81" w:rsidRPr="00115E3D" w:rsidRDefault="00353D81" w:rsidP="00353D8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Referencias normativas, jurisprudenciales y otras fuentes:</w:t>
      </w:r>
    </w:p>
    <w:p w14:paraId="5F85F220" w14:textId="77777777" w:rsidR="00353D81" w:rsidRPr="00115E3D" w:rsidRDefault="00353D81" w:rsidP="00353D81">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53D81" w:rsidRPr="00115E3D" w14:paraId="1D7AB6E0" w14:textId="77777777" w:rsidTr="00B065D0">
        <w:trPr>
          <w:trHeight w:val="870"/>
        </w:trPr>
        <w:tc>
          <w:tcPr>
            <w:tcW w:w="8647" w:type="dxa"/>
          </w:tcPr>
          <w:p w14:paraId="3DEAEBD1" w14:textId="77777777" w:rsidR="00024A32" w:rsidRPr="007257E2" w:rsidRDefault="00024A32" w:rsidP="00024A32">
            <w:pPr>
              <w:pStyle w:val="Prrafodelista"/>
              <w:numPr>
                <w:ilvl w:val="0"/>
                <w:numId w:val="3"/>
              </w:numPr>
              <w:spacing w:after="160" w:line="259" w:lineRule="auto"/>
              <w:contextualSpacing w:val="0"/>
              <w:rPr>
                <w:rFonts w:ascii="Verdana" w:hAnsi="Verdana" w:cs="Arial"/>
                <w:color w:val="000000" w:themeColor="text1"/>
                <w:lang w:val="es-ES"/>
              </w:rPr>
            </w:pPr>
            <w:r w:rsidRPr="007257E2">
              <w:rPr>
                <w:rFonts w:ascii="Verdana" w:hAnsi="Verdana" w:cs="Arial"/>
                <w:color w:val="000000" w:themeColor="text1"/>
                <w:lang w:val="es-ES_tradnl"/>
              </w:rPr>
              <w:t>Constitución Política: artículo 209.</w:t>
            </w:r>
          </w:p>
          <w:p w14:paraId="78659601" w14:textId="77777777" w:rsidR="00024A32" w:rsidRPr="007257E2" w:rsidRDefault="00024A32" w:rsidP="00024A32">
            <w:pPr>
              <w:pStyle w:val="Prrafodelista"/>
              <w:numPr>
                <w:ilvl w:val="0"/>
                <w:numId w:val="3"/>
              </w:numPr>
              <w:spacing w:after="160" w:line="259" w:lineRule="auto"/>
              <w:contextualSpacing w:val="0"/>
              <w:rPr>
                <w:rFonts w:ascii="Verdana" w:hAnsi="Verdana" w:cs="Arial"/>
                <w:color w:val="000000" w:themeColor="text1"/>
                <w:lang w:val="es-ES"/>
              </w:rPr>
            </w:pPr>
            <w:r w:rsidRPr="007257E2">
              <w:rPr>
                <w:rFonts w:ascii="Verdana" w:hAnsi="Verdana" w:cs="Arial"/>
                <w:color w:val="000000" w:themeColor="text1"/>
                <w:lang w:val="es-ES"/>
              </w:rPr>
              <w:t>Ley 80 de 1993: artículo 8.</w:t>
            </w:r>
          </w:p>
          <w:p w14:paraId="6C38967A" w14:textId="77777777" w:rsidR="00024A32" w:rsidRPr="007257E2" w:rsidRDefault="00024A32" w:rsidP="00024A32">
            <w:pPr>
              <w:pStyle w:val="Prrafodelista"/>
              <w:numPr>
                <w:ilvl w:val="0"/>
                <w:numId w:val="3"/>
              </w:numPr>
              <w:spacing w:after="160" w:line="259" w:lineRule="auto"/>
              <w:contextualSpacing w:val="0"/>
              <w:rPr>
                <w:rFonts w:ascii="Verdana" w:hAnsi="Verdana" w:cs="Arial"/>
                <w:color w:val="000000" w:themeColor="text1"/>
                <w:lang w:val="es-ES"/>
              </w:rPr>
            </w:pPr>
            <w:r w:rsidRPr="007257E2">
              <w:rPr>
                <w:rFonts w:ascii="Verdana" w:hAnsi="Verdana" w:cs="Arial"/>
                <w:color w:val="000000" w:themeColor="text1"/>
                <w:lang w:val="es-MX"/>
              </w:rPr>
              <w:t>Ley 1150 de 2007: artículo 18.</w:t>
            </w:r>
          </w:p>
          <w:p w14:paraId="51F1B8BC" w14:textId="77777777" w:rsidR="00024A32" w:rsidRPr="007257E2" w:rsidRDefault="00024A32" w:rsidP="00024A32">
            <w:pPr>
              <w:pStyle w:val="Prrafodelista"/>
              <w:numPr>
                <w:ilvl w:val="0"/>
                <w:numId w:val="3"/>
              </w:numPr>
              <w:spacing w:after="160" w:line="259" w:lineRule="auto"/>
              <w:contextualSpacing w:val="0"/>
              <w:rPr>
                <w:rFonts w:ascii="Verdana" w:hAnsi="Verdana" w:cs="Arial"/>
                <w:color w:val="000000" w:themeColor="text1"/>
                <w:lang w:val="es-ES"/>
              </w:rPr>
            </w:pPr>
            <w:r w:rsidRPr="007257E2">
              <w:rPr>
                <w:rFonts w:ascii="Verdana" w:hAnsi="Verdana" w:cs="Arial"/>
                <w:color w:val="000000" w:themeColor="text1"/>
                <w:lang w:val="es-ES_tradnl"/>
              </w:rPr>
              <w:t>Ley 1437 de 2011: artículos 3 numeral 5, 11 y 12</w:t>
            </w:r>
            <w:r w:rsidRPr="007257E2">
              <w:rPr>
                <w:rFonts w:ascii="Verdana" w:hAnsi="Verdana" w:cs="Arial"/>
                <w:color w:val="000000" w:themeColor="text1"/>
                <w:lang w:val="es-MX"/>
              </w:rPr>
              <w:t>.</w:t>
            </w:r>
          </w:p>
          <w:p w14:paraId="4148EC39" w14:textId="77777777" w:rsidR="00024A32" w:rsidRPr="007257E2" w:rsidRDefault="00024A32" w:rsidP="00024A32">
            <w:pPr>
              <w:pStyle w:val="Prrafodelista"/>
              <w:numPr>
                <w:ilvl w:val="0"/>
                <w:numId w:val="3"/>
              </w:numPr>
              <w:spacing w:after="160" w:line="259" w:lineRule="auto"/>
              <w:contextualSpacing w:val="0"/>
              <w:rPr>
                <w:rFonts w:ascii="Verdana" w:hAnsi="Verdana" w:cs="Arial"/>
                <w:color w:val="000000" w:themeColor="text1"/>
                <w:lang w:val="es-ES"/>
              </w:rPr>
            </w:pPr>
            <w:r w:rsidRPr="007257E2">
              <w:rPr>
                <w:rFonts w:ascii="Verdana" w:hAnsi="Verdana" w:cs="Arial"/>
                <w:color w:val="000000" w:themeColor="text1"/>
                <w:lang w:val="pt-BR"/>
              </w:rPr>
              <w:t>Corte Constitucional. Sentencia C-1016 de 2012. M.P. Jorge Iván Palacio.</w:t>
            </w:r>
          </w:p>
          <w:p w14:paraId="259B1E13" w14:textId="77777777" w:rsidR="00024A32" w:rsidRPr="007257E2" w:rsidRDefault="00024A32" w:rsidP="00024A32">
            <w:pPr>
              <w:pStyle w:val="Prrafodelista"/>
              <w:numPr>
                <w:ilvl w:val="0"/>
                <w:numId w:val="3"/>
              </w:numPr>
              <w:spacing w:after="160" w:line="259" w:lineRule="auto"/>
              <w:contextualSpacing w:val="0"/>
              <w:jc w:val="both"/>
              <w:rPr>
                <w:rFonts w:ascii="Verdana" w:hAnsi="Verdana" w:cs="Arial"/>
                <w:color w:val="000000" w:themeColor="text1"/>
                <w:lang w:val="pt-BR"/>
              </w:rPr>
            </w:pPr>
            <w:r w:rsidRPr="007257E2">
              <w:rPr>
                <w:rFonts w:ascii="Verdana" w:hAnsi="Verdana" w:cs="Arial"/>
                <w:color w:val="000000" w:themeColor="text1"/>
                <w:lang w:val="pt-BR"/>
              </w:rPr>
              <w:t xml:space="preserve">Corte Constitucional. Sentencia C-415 de 1994. M.P. Eduardo </w:t>
            </w:r>
            <w:proofErr w:type="spellStart"/>
            <w:r w:rsidRPr="007257E2">
              <w:rPr>
                <w:rFonts w:ascii="Verdana" w:hAnsi="Verdana" w:cs="Arial"/>
                <w:color w:val="000000" w:themeColor="text1"/>
                <w:lang w:val="pt-BR"/>
              </w:rPr>
              <w:t>Cifuentes</w:t>
            </w:r>
            <w:proofErr w:type="spellEnd"/>
            <w:r w:rsidRPr="007257E2">
              <w:rPr>
                <w:rFonts w:ascii="Verdana" w:hAnsi="Verdana" w:cs="Arial"/>
                <w:color w:val="000000" w:themeColor="text1"/>
                <w:lang w:val="pt-BR"/>
              </w:rPr>
              <w:t xml:space="preserve"> Muñoz. </w:t>
            </w:r>
          </w:p>
          <w:p w14:paraId="4ADD90CC" w14:textId="77777777" w:rsidR="00024A32" w:rsidRPr="007257E2" w:rsidRDefault="00024A32" w:rsidP="00024A32">
            <w:pPr>
              <w:pStyle w:val="Prrafodelista"/>
              <w:numPr>
                <w:ilvl w:val="0"/>
                <w:numId w:val="3"/>
              </w:numPr>
              <w:spacing w:after="160" w:line="259" w:lineRule="auto"/>
              <w:contextualSpacing w:val="0"/>
              <w:rPr>
                <w:rFonts w:ascii="Verdana" w:hAnsi="Verdana" w:cs="Arial"/>
                <w:color w:val="000000" w:themeColor="text1"/>
                <w:lang w:val="es-ES"/>
              </w:rPr>
            </w:pPr>
            <w:r w:rsidRPr="007257E2">
              <w:rPr>
                <w:rFonts w:ascii="Verdana" w:hAnsi="Verdana" w:cs="Arial"/>
                <w:color w:val="000000" w:themeColor="text1"/>
                <w:lang w:val="pt-BR"/>
              </w:rPr>
              <w:lastRenderedPageBreak/>
              <w:t xml:space="preserve">Corte Constitucional. </w:t>
            </w:r>
            <w:r w:rsidRPr="007257E2">
              <w:rPr>
                <w:rFonts w:ascii="Verdana" w:hAnsi="Verdana" w:cs="Arial"/>
                <w:color w:val="000000" w:themeColor="text1"/>
              </w:rPr>
              <w:t>Sentencia C-780 de 2001. M.P. Jaime Córdoba Triviño.</w:t>
            </w:r>
          </w:p>
          <w:p w14:paraId="3108D068" w14:textId="77777777" w:rsidR="00024A32" w:rsidRPr="007257E2" w:rsidRDefault="00024A32" w:rsidP="00024A32">
            <w:pPr>
              <w:pStyle w:val="Prrafodelista"/>
              <w:numPr>
                <w:ilvl w:val="0"/>
                <w:numId w:val="3"/>
              </w:numPr>
              <w:spacing w:after="160" w:line="259" w:lineRule="auto"/>
              <w:contextualSpacing w:val="0"/>
              <w:jc w:val="both"/>
              <w:rPr>
                <w:rFonts w:ascii="Verdana" w:hAnsi="Verdana" w:cs="Arial"/>
                <w:color w:val="000000" w:themeColor="text1"/>
                <w:lang w:val="es-ES"/>
              </w:rPr>
            </w:pPr>
            <w:r w:rsidRPr="007257E2">
              <w:rPr>
                <w:rFonts w:ascii="Verdana" w:hAnsi="Verdana" w:cs="Arial"/>
                <w:color w:val="000000" w:themeColor="text1"/>
                <w:lang w:val="es-ES"/>
              </w:rPr>
              <w:t xml:space="preserve">Corte Constitucional. Sentencia T-1039 de 2006. Magistrado Ponente: Humberto Sierra Porto. </w:t>
            </w:r>
          </w:p>
          <w:p w14:paraId="3A2FE7A5" w14:textId="77777777" w:rsidR="00024A32" w:rsidRPr="007257E2" w:rsidRDefault="00024A32" w:rsidP="00024A32">
            <w:pPr>
              <w:pStyle w:val="Prrafodelista"/>
              <w:numPr>
                <w:ilvl w:val="0"/>
                <w:numId w:val="3"/>
              </w:numPr>
              <w:spacing w:after="160" w:line="259" w:lineRule="auto"/>
              <w:contextualSpacing w:val="0"/>
              <w:rPr>
                <w:rFonts w:ascii="Verdana" w:hAnsi="Verdana" w:cs="Arial"/>
                <w:color w:val="000000" w:themeColor="text1"/>
                <w:lang w:val="es-ES"/>
              </w:rPr>
            </w:pPr>
            <w:r w:rsidRPr="007257E2">
              <w:rPr>
                <w:rFonts w:ascii="Verdana" w:hAnsi="Verdana" w:cs="Arial"/>
                <w:color w:val="000000" w:themeColor="text1"/>
              </w:rPr>
              <w:t>Consejo de Estado. Sala de Consulta y de Servicio Civil. Concepto del 23 de marzo de 2011. Rad. 2.045. C.P. Enrique José Arboleda Perdomo.</w:t>
            </w:r>
          </w:p>
          <w:p w14:paraId="5AD671D1" w14:textId="77777777" w:rsidR="00024A32" w:rsidRPr="007257E2" w:rsidRDefault="00024A32" w:rsidP="00024A32">
            <w:pPr>
              <w:pStyle w:val="Prrafodelista"/>
              <w:numPr>
                <w:ilvl w:val="0"/>
                <w:numId w:val="3"/>
              </w:numPr>
              <w:spacing w:after="160" w:line="259" w:lineRule="auto"/>
              <w:contextualSpacing w:val="0"/>
              <w:rPr>
                <w:rFonts w:ascii="Verdana" w:hAnsi="Verdana" w:cs="Arial"/>
                <w:color w:val="000000" w:themeColor="text1"/>
                <w:lang w:val="es-ES"/>
              </w:rPr>
            </w:pPr>
            <w:r w:rsidRPr="007257E2">
              <w:rPr>
                <w:rFonts w:ascii="Verdana" w:hAnsi="Verdana" w:cs="Arial"/>
                <w:color w:val="000000" w:themeColor="text1"/>
              </w:rPr>
              <w:t xml:space="preserve">Consejo de Estado. Sección Tercera. Subsección C. Sentencia del 22 de mayo de 2013. </w:t>
            </w:r>
            <w:proofErr w:type="spellStart"/>
            <w:r w:rsidRPr="007257E2">
              <w:rPr>
                <w:rFonts w:ascii="Verdana" w:hAnsi="Verdana" w:cs="Arial"/>
                <w:color w:val="000000" w:themeColor="text1"/>
              </w:rPr>
              <w:t>Exp</w:t>
            </w:r>
            <w:proofErr w:type="spellEnd"/>
            <w:r w:rsidRPr="007257E2">
              <w:rPr>
                <w:rFonts w:ascii="Verdana" w:hAnsi="Verdana" w:cs="Arial"/>
                <w:color w:val="000000" w:themeColor="text1"/>
              </w:rPr>
              <w:t xml:space="preserve">. 24.057. Consejera Ponente: Olga </w:t>
            </w:r>
            <w:proofErr w:type="spellStart"/>
            <w:r w:rsidRPr="007257E2">
              <w:rPr>
                <w:rFonts w:ascii="Verdana" w:hAnsi="Verdana" w:cs="Arial"/>
                <w:color w:val="000000" w:themeColor="text1"/>
              </w:rPr>
              <w:t>Melida</w:t>
            </w:r>
            <w:proofErr w:type="spellEnd"/>
            <w:r w:rsidRPr="007257E2">
              <w:rPr>
                <w:rFonts w:ascii="Verdana" w:hAnsi="Verdana" w:cs="Arial"/>
                <w:color w:val="000000" w:themeColor="text1"/>
              </w:rPr>
              <w:t xml:space="preserve"> Valle De </w:t>
            </w:r>
            <w:proofErr w:type="spellStart"/>
            <w:r w:rsidRPr="007257E2">
              <w:rPr>
                <w:rFonts w:ascii="Verdana" w:hAnsi="Verdana" w:cs="Arial"/>
                <w:color w:val="000000" w:themeColor="text1"/>
              </w:rPr>
              <w:t>De</w:t>
            </w:r>
            <w:proofErr w:type="spellEnd"/>
            <w:r w:rsidRPr="007257E2">
              <w:rPr>
                <w:rFonts w:ascii="Verdana" w:hAnsi="Verdana" w:cs="Arial"/>
                <w:color w:val="000000" w:themeColor="text1"/>
              </w:rPr>
              <w:t xml:space="preserve"> La Hoz.</w:t>
            </w:r>
          </w:p>
          <w:p w14:paraId="6FD946B3" w14:textId="77777777" w:rsidR="00024A32" w:rsidRPr="007257E2" w:rsidRDefault="00024A32" w:rsidP="00024A32">
            <w:pPr>
              <w:pStyle w:val="Prrafodelista"/>
              <w:numPr>
                <w:ilvl w:val="0"/>
                <w:numId w:val="3"/>
              </w:numPr>
              <w:spacing w:after="160" w:line="259" w:lineRule="auto"/>
              <w:contextualSpacing w:val="0"/>
              <w:jc w:val="both"/>
              <w:rPr>
                <w:rFonts w:ascii="Verdana" w:hAnsi="Verdana" w:cs="Arial"/>
                <w:color w:val="000000" w:themeColor="text1"/>
                <w:lang w:val="es-ES"/>
              </w:rPr>
            </w:pPr>
            <w:r w:rsidRPr="007257E2">
              <w:rPr>
                <w:rFonts w:ascii="Verdana" w:hAnsi="Verdana" w:cs="Arial"/>
                <w:color w:val="000000" w:themeColor="text1"/>
              </w:rPr>
              <w:t xml:space="preserve">Consejo De Estado. Sección Tercera. Subsección A. Sentencia del 13 de noviembre de 2013. </w:t>
            </w:r>
            <w:r w:rsidRPr="007257E2">
              <w:rPr>
                <w:rFonts w:ascii="Verdana" w:hAnsi="Verdana" w:cs="Arial"/>
                <w:color w:val="000000" w:themeColor="text1"/>
                <w:lang w:val="pt-BR"/>
              </w:rPr>
              <w:t xml:space="preserve">Rad. 25.646. C.P. Mauricio Fajardo Gómez.  </w:t>
            </w:r>
          </w:p>
          <w:p w14:paraId="7D7A30D1" w14:textId="77777777" w:rsidR="00024A32" w:rsidRPr="007257E2" w:rsidRDefault="00024A32" w:rsidP="00024A32">
            <w:pPr>
              <w:pStyle w:val="Prrafodelista"/>
              <w:numPr>
                <w:ilvl w:val="0"/>
                <w:numId w:val="3"/>
              </w:numPr>
              <w:spacing w:after="160" w:line="259" w:lineRule="auto"/>
              <w:contextualSpacing w:val="0"/>
              <w:jc w:val="both"/>
              <w:rPr>
                <w:rFonts w:ascii="Verdana" w:hAnsi="Verdana" w:cs="Arial"/>
                <w:color w:val="000000" w:themeColor="text1"/>
                <w:lang w:val="es-ES"/>
              </w:rPr>
            </w:pPr>
            <w:r w:rsidRPr="007257E2">
              <w:rPr>
                <w:rFonts w:ascii="Verdana" w:hAnsi="Verdana" w:cs="Arial"/>
                <w:color w:val="000000" w:themeColor="text1"/>
                <w:lang w:val="es-ES"/>
              </w:rPr>
              <w:t xml:space="preserve">Consejo de Estado. Sala de Consulta y Servicio Civil. Concepto del 30 de abril de 2015. Expediente: 2.251. Consejero Ponente: Álvaro </w:t>
            </w:r>
            <w:proofErr w:type="spellStart"/>
            <w:r w:rsidRPr="007257E2">
              <w:rPr>
                <w:rFonts w:ascii="Verdana" w:hAnsi="Verdana" w:cs="Arial"/>
                <w:color w:val="000000" w:themeColor="text1"/>
                <w:lang w:val="es-ES"/>
              </w:rPr>
              <w:t>Namén</w:t>
            </w:r>
            <w:proofErr w:type="spellEnd"/>
            <w:r w:rsidRPr="007257E2">
              <w:rPr>
                <w:rFonts w:ascii="Verdana" w:hAnsi="Verdana" w:cs="Arial"/>
                <w:color w:val="000000" w:themeColor="text1"/>
                <w:lang w:val="es-ES"/>
              </w:rPr>
              <w:t xml:space="preserve"> Vargas.</w:t>
            </w:r>
          </w:p>
          <w:p w14:paraId="4BAF41C3" w14:textId="53AFC26D" w:rsidR="00353D81" w:rsidRPr="00115E3D" w:rsidRDefault="00024A32" w:rsidP="00024A32">
            <w:pPr>
              <w:pStyle w:val="Prrafodelista"/>
              <w:widowControl w:val="0"/>
              <w:numPr>
                <w:ilvl w:val="0"/>
                <w:numId w:val="3"/>
              </w:numPr>
              <w:autoSpaceDE w:val="0"/>
              <w:autoSpaceDN w:val="0"/>
              <w:spacing w:after="120" w:line="276" w:lineRule="auto"/>
              <w:contextualSpacing w:val="0"/>
              <w:jc w:val="both"/>
              <w:rPr>
                <w:rFonts w:ascii="Verdana" w:hAnsi="Verdana" w:cs="Arial"/>
                <w:color w:val="000000" w:themeColor="text1"/>
              </w:rPr>
            </w:pPr>
            <w:r w:rsidRPr="007257E2">
              <w:rPr>
                <w:rFonts w:ascii="Verdana" w:hAnsi="Verdana" w:cs="Arial"/>
                <w:color w:val="000000" w:themeColor="text1"/>
                <w:lang w:val="es-MX"/>
              </w:rPr>
              <w:t>Consejo de Estado. Sección Tercera. Subsección A. Sentencia del 24 de junio de 2015. Exp. 40.635. Consejero Ponente: Hernán Andrade Rincón (E).</w:t>
            </w:r>
          </w:p>
        </w:tc>
      </w:tr>
    </w:tbl>
    <w:p w14:paraId="07C66B79" w14:textId="77777777" w:rsidR="00353D81" w:rsidRPr="00115E3D" w:rsidRDefault="00353D81" w:rsidP="00353D81">
      <w:pPr>
        <w:widowControl w:val="0"/>
        <w:autoSpaceDE w:val="0"/>
        <w:autoSpaceDN w:val="0"/>
        <w:spacing w:after="0" w:line="276" w:lineRule="auto"/>
        <w:jc w:val="both"/>
        <w:rPr>
          <w:rFonts w:ascii="Verdana" w:hAnsi="Verdana" w:cs="Arial"/>
          <w:color w:val="000000" w:themeColor="text1"/>
        </w:rPr>
      </w:pPr>
    </w:p>
    <w:p w14:paraId="6215A7FE" w14:textId="77777777" w:rsidR="00353D81" w:rsidRPr="00115E3D" w:rsidRDefault="00353D81" w:rsidP="00353D81">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lang w:val="es-ES"/>
        </w:rPr>
      </w:pPr>
      <w:r w:rsidRPr="00115E3D">
        <w:rPr>
          <w:rFonts w:ascii="Verdana" w:eastAsia="Century Gothic" w:hAnsi="Verdana" w:cs="Century Gothic"/>
          <w:b/>
          <w:bCs/>
          <w:color w:val="000000" w:themeColor="text1"/>
          <w:lang w:val="es-ES"/>
        </w:rPr>
        <w:t>Doctrina de la Agencia Nacional de Contratación Pública:</w:t>
      </w:r>
    </w:p>
    <w:p w14:paraId="73DAAD76" w14:textId="77777777" w:rsidR="00353D81" w:rsidRPr="00115E3D" w:rsidRDefault="00353D81" w:rsidP="00353D81">
      <w:pPr>
        <w:widowControl w:val="0"/>
        <w:autoSpaceDE w:val="0"/>
        <w:autoSpaceDN w:val="0"/>
        <w:spacing w:after="0" w:line="276" w:lineRule="auto"/>
        <w:jc w:val="both"/>
        <w:rPr>
          <w:rFonts w:ascii="Verdana" w:hAnsi="Verdana" w:cs="Arial"/>
          <w:color w:val="000000" w:themeColor="text1"/>
        </w:rPr>
      </w:pPr>
    </w:p>
    <w:p w14:paraId="5025F2C5" w14:textId="77777777" w:rsidR="00024A32" w:rsidRDefault="00024A32" w:rsidP="00024A32">
      <w:pPr>
        <w:widowControl w:val="0"/>
        <w:autoSpaceDE w:val="0"/>
        <w:autoSpaceDN w:val="0"/>
        <w:spacing w:after="0" w:line="276" w:lineRule="auto"/>
        <w:jc w:val="both"/>
        <w:rPr>
          <w:rFonts w:ascii="Verdana" w:hAnsi="Verdana" w:cs="Arial"/>
          <w:color w:val="000000" w:themeColor="text1"/>
          <w:shd w:val="clear" w:color="auto" w:fill="FFFFFF"/>
        </w:rPr>
      </w:pPr>
      <w:r w:rsidRPr="000F155D">
        <w:rPr>
          <w:rFonts w:ascii="Verdana" w:hAnsi="Verdana" w:cs="Arial"/>
          <w:color w:val="000000" w:themeColor="text1"/>
          <w:shd w:val="clear" w:color="auto" w:fill="FFFFFF"/>
          <w:lang w:val="es-ES"/>
        </w:rPr>
        <w:t xml:space="preserve">Sobre el régimen de inhabilidades e incompatibilidades en la contratación pública, sus criterios de interpretación –restrictivo y pro </w:t>
      </w:r>
      <w:proofErr w:type="spellStart"/>
      <w:r w:rsidRPr="000F155D">
        <w:rPr>
          <w:rFonts w:ascii="Verdana" w:hAnsi="Verdana" w:cs="Arial"/>
          <w:color w:val="000000" w:themeColor="text1"/>
          <w:shd w:val="clear" w:color="auto" w:fill="FFFFFF"/>
          <w:lang w:val="es-ES"/>
        </w:rPr>
        <w:t>libertate</w:t>
      </w:r>
      <w:proofErr w:type="spellEnd"/>
      <w:r w:rsidRPr="000F155D">
        <w:rPr>
          <w:rFonts w:ascii="Verdana" w:hAnsi="Verdana" w:cs="Arial"/>
          <w:color w:val="000000" w:themeColor="text1"/>
          <w:shd w:val="clear" w:color="auto" w:fill="FFFFFF"/>
          <w:lang w:val="es-ES"/>
        </w:rPr>
        <w:t>– y sus efectos en la capacidad contractual, entre otros se pronunció esta Subdirección en los conceptos</w:t>
      </w:r>
      <w:r w:rsidRPr="000F155D">
        <w:rPr>
          <w:rFonts w:ascii="Verdana" w:hAnsi="Verdana" w:cs="Arial"/>
          <w:color w:val="000000" w:themeColor="text1"/>
          <w:shd w:val="clear" w:color="auto" w:fill="FFFFFF"/>
        </w:rPr>
        <w:t xml:space="preserve"> </w:t>
      </w:r>
      <w:r w:rsidRPr="000F155D">
        <w:rPr>
          <w:rFonts w:ascii="Verdana" w:hAnsi="Verdana" w:cs="Arial"/>
          <w:color w:val="000000" w:themeColor="text1"/>
          <w:shd w:val="clear" w:color="auto" w:fill="FFFFFF"/>
          <w:lang w:val="es-ES"/>
        </w:rPr>
        <w:t xml:space="preserve">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C-252 del 30 de mayo de 2022, C-619 del 27 de septiembre de 2022, C-035 del 24 de abril de 2024, C-067 del 16 de mayo de 2024, C-041 del 29 de mayo de 2024, C-078 del 04 de junio de 2024, C-193 del 19 de julio de 2024, C-271 del 25 de julio de 2024, C-108 de 06 de </w:t>
      </w:r>
      <w:r w:rsidRPr="000F155D">
        <w:rPr>
          <w:rFonts w:ascii="Verdana" w:hAnsi="Verdana" w:cs="Arial"/>
          <w:color w:val="000000" w:themeColor="text1"/>
          <w:shd w:val="clear" w:color="auto" w:fill="FFFFFF"/>
          <w:lang w:val="es-ES"/>
        </w:rPr>
        <w:lastRenderedPageBreak/>
        <w:t xml:space="preserve">agosto de 2024 y C-332 del 27 de agosto del 2024, entre otros. También se ha pronunciado sobre el conflicto de interés en los conceptos C-229 del 16 de abril de 2020, C-815 del 18 de febrero de 2021, C-449 del 31 de agosto de 2021, C-288 del 14 de julio de 2023 </w:t>
      </w:r>
      <w:r>
        <w:rPr>
          <w:rFonts w:ascii="Verdana" w:hAnsi="Verdana" w:cs="Arial"/>
          <w:color w:val="000000" w:themeColor="text1"/>
          <w:shd w:val="clear" w:color="auto" w:fill="FFFFFF"/>
          <w:lang w:val="es-ES"/>
        </w:rPr>
        <w:t>,</w:t>
      </w:r>
      <w:r w:rsidRPr="000F155D">
        <w:rPr>
          <w:rFonts w:ascii="Verdana" w:hAnsi="Verdana" w:cs="Arial"/>
          <w:color w:val="000000" w:themeColor="text1"/>
          <w:shd w:val="clear" w:color="auto" w:fill="FFFFFF"/>
          <w:lang w:val="es-ES"/>
        </w:rPr>
        <w:t xml:space="preserve"> C-294 del 14 de agosto de 2024</w:t>
      </w:r>
      <w:r>
        <w:rPr>
          <w:rFonts w:ascii="Verdana" w:hAnsi="Verdana" w:cs="Arial"/>
          <w:color w:val="000000" w:themeColor="text1"/>
          <w:shd w:val="clear" w:color="auto" w:fill="FFFFFF"/>
          <w:lang w:val="es-ES"/>
        </w:rPr>
        <w:t xml:space="preserve"> y C-560 del 27 de septiembre de 2024</w:t>
      </w:r>
      <w:r w:rsidRPr="000F155D">
        <w:rPr>
          <w:rFonts w:ascii="Verdana" w:hAnsi="Verdana" w:cs="Arial"/>
          <w:color w:val="000000" w:themeColor="text1"/>
          <w:shd w:val="clear" w:color="auto" w:fill="FFFFFF"/>
          <w:lang w:val="es-ES"/>
        </w:rPr>
        <w:t xml:space="preserve">. </w:t>
      </w:r>
      <w:r w:rsidRPr="000F155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9" w:tgtFrame="_blank" w:tooltip="Dirección URL original: https://relatoria.colombiacompra.gov.co/. Haga clic o pulse si confía en este vínculo." w:history="1">
        <w:r w:rsidRPr="000F155D">
          <w:rPr>
            <w:rStyle w:val="Hipervnculo"/>
            <w:rFonts w:ascii="Verdana" w:hAnsi="Verdana" w:cs="Arial"/>
            <w:shd w:val="clear" w:color="auto" w:fill="FFFFFF"/>
          </w:rPr>
          <w:t>https://relatoria.colombiacompra.gov.co/</w:t>
        </w:r>
      </w:hyperlink>
      <w:r w:rsidRPr="000F155D">
        <w:rPr>
          <w:rFonts w:ascii="Verdana" w:hAnsi="Verdana" w:cs="Arial"/>
          <w:color w:val="000000" w:themeColor="text1"/>
          <w:shd w:val="clear" w:color="auto" w:fill="FFFFFF"/>
        </w:rPr>
        <w:t> .</w:t>
      </w:r>
    </w:p>
    <w:p w14:paraId="5ADF3DCA" w14:textId="77777777" w:rsidR="00024A32" w:rsidRPr="00115E3D" w:rsidRDefault="00024A32" w:rsidP="00024A32">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41526080" w14:textId="77777777" w:rsidR="00024A32" w:rsidRDefault="00024A32" w:rsidP="00024A32">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0" w:tgtFrame="_blank" w:tooltip="Dirección URL original: https://www.colombiacompra.gov.co/content/borrador-de-documentos-tipo-de-consultoria-de-obra-publica-de-infraestructura-de-transporte. Haga clic o pulse si confía en este vínculo." w:history="1">
        <w:r w:rsidRPr="00C76656">
          <w:rPr>
            <w:rStyle w:val="Hipervnculo"/>
            <w:rFonts w:ascii="Verdana" w:hAnsi="Verdana" w:cs="Arial"/>
          </w:rPr>
          <w:t>https://www.colombiacompra.gov.co/content/borrador-de-documentos-tipo-de-consultoria-de-obra-publica-de-infraestructura-de-transporte</w:t>
        </w:r>
      </w:hyperlink>
      <w:r w:rsidRPr="00C76656">
        <w:rPr>
          <w:rFonts w:ascii="Verdana" w:hAnsi="Verdana" w:cs="Arial"/>
          <w:color w:val="000000" w:themeColor="text1"/>
        </w:rPr>
        <w:t> y </w:t>
      </w:r>
      <w:hyperlink r:id="rId11" w:tgtFrame="_blank" w:tooltip="Dirección URL original: https://www.colombiacompra.gov.co/content/borrador-de-documentos-tipo-de-interventoria-de-obra-publica-de-infraestructura-de. Haga clic o pulse si confía en este vínculo." w:history="1">
        <w:r w:rsidRPr="00C76656">
          <w:rPr>
            <w:rStyle w:val="Hipervnculo"/>
            <w:rFonts w:ascii="Verdana" w:hAnsi="Verdana" w:cs="Arial"/>
          </w:rPr>
          <w:t>https://www.colombiacompra.gov.co/content/borrador-de-documentos-tipo-de-interventoria-de-obra-publica-de-infraestructura-de</w:t>
        </w:r>
      </w:hyperlink>
      <w:r w:rsidRPr="00C76656">
        <w:rPr>
          <w:rFonts w:ascii="Verdana" w:hAnsi="Verdana" w:cs="Arial"/>
          <w:color w:val="000000" w:themeColor="text1"/>
        </w:rPr>
        <w:t> .</w:t>
      </w:r>
    </w:p>
    <w:p w14:paraId="104CDA7B" w14:textId="77777777" w:rsidR="00024A32" w:rsidRPr="00C76656" w:rsidRDefault="00024A32" w:rsidP="00024A32">
      <w:pPr>
        <w:widowControl w:val="0"/>
        <w:autoSpaceDE w:val="0"/>
        <w:autoSpaceDN w:val="0"/>
        <w:spacing w:after="0" w:line="276" w:lineRule="auto"/>
        <w:jc w:val="both"/>
        <w:rPr>
          <w:rFonts w:ascii="Verdana" w:hAnsi="Verdana" w:cs="Arial"/>
          <w:color w:val="000000" w:themeColor="text1"/>
        </w:rPr>
      </w:pPr>
    </w:p>
    <w:p w14:paraId="6F665B33" w14:textId="77777777" w:rsidR="00024A32" w:rsidRDefault="00024A32" w:rsidP="00024A32">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De otra parte, te contamos que ya publicamos el borrador de la nueva Guía de Contratación Pública Sostenible y Socialmente Responsable. Conoce el documento y realiza tus comentarios hasta el 14 de noviembre de 2024 a través del siguiente enlace: </w:t>
      </w:r>
      <w:hyperlink r:id="rId12" w:tgtFrame="_blank" w:tooltip="Dirección URL original: https://www.sucop.gov.co/entidades/colombiacompra/Normativa?IDNorma=18320. Haga clic o pulse si confía en este vínculo." w:history="1">
        <w:r w:rsidRPr="00C76656">
          <w:rPr>
            <w:rStyle w:val="Hipervnculo"/>
            <w:rFonts w:ascii="Verdana" w:hAnsi="Verdana" w:cs="Arial"/>
          </w:rPr>
          <w:t>https://www.sucop.gov.co/entidades/colombiacompra/Normativa?IDNorma=18320</w:t>
        </w:r>
      </w:hyperlink>
      <w:r w:rsidRPr="00C76656">
        <w:rPr>
          <w:rFonts w:ascii="Verdana" w:hAnsi="Verdana" w:cs="Arial"/>
          <w:color w:val="000000" w:themeColor="text1"/>
        </w:rPr>
        <w:t>  </w:t>
      </w:r>
    </w:p>
    <w:p w14:paraId="44C5AE69" w14:textId="77777777" w:rsidR="00024A32" w:rsidRPr="00C76656" w:rsidRDefault="00024A32" w:rsidP="00024A32">
      <w:pPr>
        <w:widowControl w:val="0"/>
        <w:autoSpaceDE w:val="0"/>
        <w:autoSpaceDN w:val="0"/>
        <w:spacing w:after="0" w:line="276" w:lineRule="auto"/>
        <w:jc w:val="both"/>
        <w:rPr>
          <w:rFonts w:ascii="Verdana" w:hAnsi="Verdana" w:cs="Arial"/>
          <w:color w:val="000000" w:themeColor="text1"/>
        </w:rPr>
      </w:pPr>
    </w:p>
    <w:p w14:paraId="6EC0C7C9" w14:textId="77777777" w:rsidR="00024A32" w:rsidRPr="00C76656" w:rsidRDefault="00024A32" w:rsidP="00024A32">
      <w:pPr>
        <w:widowControl w:val="0"/>
        <w:autoSpaceDE w:val="0"/>
        <w:autoSpaceDN w:val="0"/>
        <w:spacing w:after="0" w:line="276" w:lineRule="auto"/>
        <w:jc w:val="both"/>
        <w:rPr>
          <w:rFonts w:ascii="Verdana" w:hAnsi="Verdana" w:cs="Arial"/>
          <w:color w:val="000000" w:themeColor="text1"/>
        </w:rPr>
      </w:pPr>
      <w:r w:rsidRPr="00C76656">
        <w:rPr>
          <w:rFonts w:ascii="Verdana" w:hAnsi="Verdana" w:cs="Arial"/>
          <w:color w:val="000000" w:themeColor="text1"/>
        </w:rPr>
        <w:t xml:space="preserve">También le invitamos a consultar las versiones V y VI de 2024 del Boletín de Relatoría de la Subdirección de Gestión Contractual relacionados con las guías de Plan Anual de Adquisiciones y la </w:t>
      </w:r>
      <w:proofErr w:type="spellStart"/>
      <w:r w:rsidRPr="00C76656">
        <w:rPr>
          <w:rFonts w:ascii="Verdana" w:hAnsi="Verdana" w:cs="Arial"/>
          <w:color w:val="000000" w:themeColor="text1"/>
        </w:rPr>
        <w:t>odalidad</w:t>
      </w:r>
      <w:proofErr w:type="spellEnd"/>
      <w:r w:rsidRPr="00C76656">
        <w:rPr>
          <w:rFonts w:ascii="Verdana" w:hAnsi="Verdana" w:cs="Arial"/>
          <w:color w:val="000000" w:themeColor="text1"/>
        </w:rPr>
        <w:t xml:space="preserve"> de selección de mínima cuantía , los cuales se pueden descargar en la página web de la Agencia: </w:t>
      </w:r>
      <w:hyperlink r:id="rId13" w:tgtFrame="_blank" w:tooltip="Dirección URL original: https://www.colombiacompra.gov.co/sala-de-prensa/boletin-digital. Haga clic o pulse si confía en este vínculo." w:history="1">
        <w:r w:rsidRPr="00C76656">
          <w:rPr>
            <w:rStyle w:val="Hipervnculo"/>
            <w:rFonts w:ascii="Verdana" w:hAnsi="Verdana" w:cs="Arial"/>
          </w:rPr>
          <w:t>https://www.colombiacompra.gov.co/sala-de-prensa/boletin-digital</w:t>
        </w:r>
      </w:hyperlink>
      <w:r w:rsidRPr="00C76656">
        <w:rPr>
          <w:rFonts w:ascii="Verdana" w:hAnsi="Verdana" w:cs="Arial"/>
          <w:color w:val="000000" w:themeColor="text1"/>
        </w:rPr>
        <w:t> "    </w:t>
      </w:r>
    </w:p>
    <w:p w14:paraId="74BD5B75" w14:textId="77777777" w:rsidR="00024A32" w:rsidRDefault="00024A32" w:rsidP="00024A32">
      <w:pPr>
        <w:widowControl w:val="0"/>
        <w:autoSpaceDE w:val="0"/>
        <w:autoSpaceDN w:val="0"/>
        <w:spacing w:after="0" w:line="276" w:lineRule="auto"/>
        <w:jc w:val="both"/>
        <w:rPr>
          <w:rFonts w:ascii="Verdana" w:hAnsi="Verdana" w:cs="Arial"/>
          <w:color w:val="000000" w:themeColor="text1"/>
        </w:rPr>
      </w:pPr>
    </w:p>
    <w:p w14:paraId="1F6A9802" w14:textId="77777777" w:rsidR="00024A32" w:rsidRPr="00E91F32" w:rsidRDefault="00024A32" w:rsidP="00024A32">
      <w:pPr>
        <w:widowControl w:val="0"/>
        <w:autoSpaceDE w:val="0"/>
        <w:autoSpaceDN w:val="0"/>
        <w:spacing w:after="0" w:line="276" w:lineRule="auto"/>
        <w:jc w:val="both"/>
        <w:rPr>
          <w:rFonts w:ascii="Verdana" w:hAnsi="Verdana" w:cs="Arial"/>
          <w:color w:val="000000" w:themeColor="text1"/>
        </w:rPr>
      </w:pPr>
      <w:r w:rsidRPr="00E91F32">
        <w:rPr>
          <w:rFonts w:ascii="Verdana" w:hAnsi="Verdana" w:cs="Arial"/>
          <w:color w:val="000000" w:themeColor="text1"/>
        </w:rPr>
        <w:t xml:space="preserve">Por último, lo invitamos a seguirnos en las redes sociales en las cuales se difunde información institucional: </w:t>
      </w:r>
    </w:p>
    <w:p w14:paraId="57564BFB" w14:textId="77777777" w:rsidR="00024A32" w:rsidRPr="00CA17B5" w:rsidRDefault="00024A32" w:rsidP="00024A32">
      <w:pPr>
        <w:widowControl w:val="0"/>
        <w:autoSpaceDE w:val="0"/>
        <w:autoSpaceDN w:val="0"/>
        <w:spacing w:after="0" w:line="276" w:lineRule="auto"/>
        <w:jc w:val="both"/>
        <w:rPr>
          <w:rFonts w:ascii="Verdana" w:hAnsi="Verdana" w:cs="Arial"/>
          <w:color w:val="000000" w:themeColor="text1"/>
        </w:rPr>
      </w:pPr>
    </w:p>
    <w:p w14:paraId="24ADD26C" w14:textId="77777777" w:rsidR="00024A32" w:rsidRPr="00CA17B5" w:rsidRDefault="00024A32" w:rsidP="00024A32">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Twitter: </w:t>
      </w:r>
      <w:r w:rsidRPr="00CA17B5">
        <w:rPr>
          <w:rFonts w:ascii="Verdana" w:hAnsi="Verdana" w:cs="Arial"/>
          <w:color w:val="000000" w:themeColor="text1"/>
          <w:u w:val="single"/>
        </w:rPr>
        <w:t>@colombiacompra</w:t>
      </w:r>
      <w:r w:rsidRPr="00CA17B5">
        <w:rPr>
          <w:rFonts w:ascii="Verdana" w:hAnsi="Verdana" w:cs="Arial"/>
          <w:color w:val="000000" w:themeColor="text1"/>
        </w:rPr>
        <w:t xml:space="preserve"> </w:t>
      </w:r>
    </w:p>
    <w:p w14:paraId="3B6E44D6" w14:textId="77777777" w:rsidR="00024A32" w:rsidRPr="00CA17B5" w:rsidRDefault="00024A32" w:rsidP="00024A32">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Facebook: </w:t>
      </w:r>
      <w:proofErr w:type="spellStart"/>
      <w:r w:rsidRPr="00CA17B5">
        <w:rPr>
          <w:rFonts w:ascii="Verdana" w:hAnsi="Verdana" w:cs="Arial"/>
          <w:color w:val="000000" w:themeColor="text1"/>
          <w:u w:val="single"/>
        </w:rPr>
        <w:t>ColombiaCompraEficiente</w:t>
      </w:r>
      <w:proofErr w:type="spellEnd"/>
    </w:p>
    <w:p w14:paraId="1053AA26" w14:textId="77777777" w:rsidR="00024A32" w:rsidRPr="00CA17B5" w:rsidRDefault="00024A32" w:rsidP="00024A32">
      <w:pPr>
        <w:widowControl w:val="0"/>
        <w:autoSpaceDE w:val="0"/>
        <w:autoSpaceDN w:val="0"/>
        <w:spacing w:after="0" w:line="276" w:lineRule="auto"/>
        <w:jc w:val="both"/>
        <w:rPr>
          <w:rFonts w:ascii="Verdana" w:hAnsi="Verdana" w:cs="Arial"/>
          <w:color w:val="000000" w:themeColor="text1"/>
        </w:rPr>
      </w:pPr>
      <w:r w:rsidRPr="00CA17B5">
        <w:rPr>
          <w:rFonts w:ascii="Verdana" w:hAnsi="Verdana" w:cs="Arial"/>
          <w:color w:val="000000" w:themeColor="text1"/>
        </w:rPr>
        <w:t xml:space="preserve">LinkedIn: </w:t>
      </w:r>
      <w:r w:rsidRPr="00CA17B5">
        <w:rPr>
          <w:rFonts w:ascii="Verdana" w:hAnsi="Verdana" w:cs="Arial"/>
          <w:color w:val="000000" w:themeColor="text1"/>
          <w:u w:val="single"/>
        </w:rPr>
        <w:t>Agencia Nacional de Contratación Pública - Colombia Compra Eficiente</w:t>
      </w:r>
      <w:r w:rsidRPr="00CA17B5">
        <w:rPr>
          <w:rFonts w:ascii="Verdana" w:hAnsi="Verdana" w:cs="Arial"/>
          <w:color w:val="000000" w:themeColor="text1"/>
        </w:rPr>
        <w:t xml:space="preserve"> Instagram: </w:t>
      </w:r>
      <w:r w:rsidRPr="00CA17B5">
        <w:rPr>
          <w:rFonts w:ascii="Verdana" w:hAnsi="Verdana" w:cs="Arial"/>
          <w:color w:val="000000" w:themeColor="text1"/>
          <w:u w:val="single"/>
        </w:rPr>
        <w:t>@colombiacompraeficiente_cce</w:t>
      </w:r>
    </w:p>
    <w:p w14:paraId="74B33690" w14:textId="77777777" w:rsidR="00024A32" w:rsidRPr="00CA17B5" w:rsidRDefault="00024A32" w:rsidP="00024A32">
      <w:pPr>
        <w:widowControl w:val="0"/>
        <w:autoSpaceDE w:val="0"/>
        <w:autoSpaceDN w:val="0"/>
        <w:spacing w:after="0" w:line="276" w:lineRule="auto"/>
        <w:jc w:val="both"/>
        <w:rPr>
          <w:rFonts w:ascii="Verdana" w:hAnsi="Verdana" w:cs="Arial"/>
          <w:color w:val="000000" w:themeColor="text1"/>
        </w:rPr>
      </w:pPr>
    </w:p>
    <w:p w14:paraId="1A412C73" w14:textId="77777777" w:rsidR="00024A32" w:rsidRPr="00CA17B5" w:rsidRDefault="00024A32" w:rsidP="00024A32">
      <w:pPr>
        <w:widowControl w:val="0"/>
        <w:autoSpaceDE w:val="0"/>
        <w:autoSpaceDN w:val="0"/>
        <w:spacing w:after="0" w:line="276" w:lineRule="auto"/>
        <w:jc w:val="both"/>
        <w:rPr>
          <w:rFonts w:ascii="Verdana" w:hAnsi="Verdana" w:cs="Arial"/>
          <w:color w:val="000000" w:themeColor="text1"/>
          <w:lang w:val="es-ES_tradnl"/>
        </w:rPr>
      </w:pPr>
      <w:r w:rsidRPr="00CA17B5">
        <w:rPr>
          <w:rFonts w:ascii="Verdana" w:hAnsi="Verdana" w:cs="Arial"/>
          <w:color w:val="000000" w:themeColor="text1"/>
        </w:rPr>
        <w:t xml:space="preserve">Este concepto tiene el alcance previsto en el artículo 28 del Código de Procedimiento Administrativo y de lo Contencioso Administrativo </w:t>
      </w:r>
      <w:r w:rsidRPr="00CA17B5">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294059FA" w14:textId="77777777" w:rsidR="00353D81" w:rsidRPr="00024A32" w:rsidRDefault="00353D81" w:rsidP="00353D81">
      <w:pPr>
        <w:widowControl w:val="0"/>
        <w:autoSpaceDE w:val="0"/>
        <w:autoSpaceDN w:val="0"/>
        <w:spacing w:after="0" w:line="276" w:lineRule="auto"/>
        <w:jc w:val="both"/>
        <w:rPr>
          <w:rFonts w:ascii="Verdana" w:hAnsi="Verdana" w:cs="Arial"/>
          <w:color w:val="000000" w:themeColor="text1"/>
          <w:lang w:val="es-ES_tradnl"/>
        </w:rPr>
      </w:pPr>
    </w:p>
    <w:p w14:paraId="24C89F5E" w14:textId="77777777" w:rsidR="00353D81" w:rsidRPr="00115E3D" w:rsidRDefault="00353D81" w:rsidP="00353D81">
      <w:pPr>
        <w:spacing w:after="0" w:line="240" w:lineRule="auto"/>
        <w:rPr>
          <w:rFonts w:ascii="Verdana" w:hAnsi="Verdana" w:cs="Arial"/>
          <w:color w:val="000000" w:themeColor="text1"/>
          <w:lang w:eastAsia="es-CO"/>
        </w:rPr>
      </w:pPr>
      <w:r w:rsidRPr="00115E3D">
        <w:rPr>
          <w:rFonts w:ascii="Verdana" w:eastAsia="Times New Roman" w:hAnsi="Verdana" w:cs="Arial"/>
          <w:color w:val="000000" w:themeColor="text1"/>
          <w:lang w:eastAsia="es-CO"/>
        </w:rPr>
        <w:t>Atentamente,</w:t>
      </w:r>
      <w:r w:rsidRPr="00115E3D">
        <w:rPr>
          <w:rFonts w:ascii="Verdana" w:hAnsi="Verdana" w:cs="Arial"/>
          <w:color w:val="000000" w:themeColor="text1"/>
          <w:lang w:eastAsia="es-CO"/>
        </w:rPr>
        <w:t xml:space="preserve"> </w:t>
      </w:r>
    </w:p>
    <w:p w14:paraId="3F96A0EE" w14:textId="5E633E6E" w:rsidR="00353D81" w:rsidRPr="00115E3D" w:rsidRDefault="00674C82" w:rsidP="00353D81">
      <w:pPr>
        <w:spacing w:line="276" w:lineRule="auto"/>
        <w:jc w:val="center"/>
        <w:rPr>
          <w:rFonts w:ascii="Verdana" w:hAnsi="Verdana" w:cs="Arial"/>
          <w:color w:val="000000" w:themeColor="text1"/>
          <w:lang w:val="es-ES_tradnl" w:eastAsia="es-CO"/>
        </w:rPr>
      </w:pPr>
      <w:r>
        <w:rPr>
          <w:noProof/>
        </w:rPr>
        <w:drawing>
          <wp:inline distT="0" distB="0" distL="0" distR="0" wp14:anchorId="205EEB03" wp14:editId="746A9EE3">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53D81" w:rsidRPr="00115E3D" w14:paraId="05157A53" w14:textId="77777777" w:rsidTr="00B065D0">
        <w:trPr>
          <w:trHeight w:val="315"/>
        </w:trPr>
        <w:tc>
          <w:tcPr>
            <w:tcW w:w="893" w:type="dxa"/>
            <w:vAlign w:val="center"/>
            <w:hideMark/>
          </w:tcPr>
          <w:p w14:paraId="10A8A4C1" w14:textId="77777777" w:rsidR="00353D81" w:rsidRPr="00115E3D" w:rsidRDefault="00353D81" w:rsidP="00B065D0">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0C52EDF" w14:textId="71540692" w:rsidR="00353D81" w:rsidRPr="00024A32" w:rsidRDefault="00024A32" w:rsidP="00B065D0">
            <w:pPr>
              <w:contextualSpacing/>
              <w:rPr>
                <w:rFonts w:ascii="Verdana" w:eastAsia="Arial" w:hAnsi="Verdana" w:cs="Arial"/>
                <w:color w:val="000000" w:themeColor="text1"/>
                <w:sz w:val="16"/>
                <w:szCs w:val="16"/>
              </w:rPr>
            </w:pPr>
            <w:r w:rsidRPr="00024A32">
              <w:rPr>
                <w:rFonts w:ascii="Verdana" w:eastAsia="Arial" w:hAnsi="Verdana" w:cs="Arial"/>
                <w:color w:val="000000" w:themeColor="text1"/>
                <w:sz w:val="16"/>
                <w:szCs w:val="16"/>
              </w:rPr>
              <w:t>D</w:t>
            </w:r>
            <w:r w:rsidRPr="00024A32">
              <w:rPr>
                <w:rFonts w:ascii="Verdana" w:eastAsia="Arial" w:hAnsi="Verdana" w:cs="Arial"/>
                <w:sz w:val="16"/>
                <w:szCs w:val="16"/>
              </w:rPr>
              <w:t xml:space="preserve">iego Jesús Ortega Cruz </w:t>
            </w:r>
          </w:p>
          <w:p w14:paraId="17A3E1AD" w14:textId="133B6AE3" w:rsidR="00353D81" w:rsidRPr="00115E3D" w:rsidRDefault="00024A32" w:rsidP="00B065D0">
            <w:pPr>
              <w:contextualSpacing/>
              <w:rPr>
                <w:rFonts w:ascii="Verdana" w:eastAsia="Arial" w:hAnsi="Verdana" w:cs="Arial"/>
                <w:color w:val="000000" w:themeColor="text1"/>
                <w:sz w:val="16"/>
                <w:szCs w:val="16"/>
              </w:rPr>
            </w:pPr>
            <w:r w:rsidRPr="00024A32">
              <w:rPr>
                <w:rStyle w:val="normaltextrun"/>
                <w:rFonts w:ascii="Verdana" w:eastAsia="Arial" w:hAnsi="Verdana" w:cs="Arial"/>
                <w:color w:val="000000" w:themeColor="text1"/>
                <w:sz w:val="16"/>
                <w:szCs w:val="16"/>
              </w:rPr>
              <w:t xml:space="preserve">Contratista </w:t>
            </w:r>
            <w:r w:rsidR="00353D81" w:rsidRPr="00024A32">
              <w:rPr>
                <w:rStyle w:val="normaltextrun"/>
                <w:rFonts w:ascii="Verdana" w:eastAsia="Arial" w:hAnsi="Verdana" w:cs="Arial"/>
                <w:color w:val="000000" w:themeColor="text1"/>
                <w:sz w:val="16"/>
                <w:szCs w:val="16"/>
              </w:rPr>
              <w:t>de la Subdirección de Gestión Contractual</w:t>
            </w:r>
          </w:p>
        </w:tc>
      </w:tr>
      <w:tr w:rsidR="00353D81" w:rsidRPr="00115E3D" w14:paraId="00577844" w14:textId="77777777" w:rsidTr="00B065D0">
        <w:trPr>
          <w:trHeight w:val="330"/>
        </w:trPr>
        <w:tc>
          <w:tcPr>
            <w:tcW w:w="893" w:type="dxa"/>
            <w:vAlign w:val="center"/>
            <w:hideMark/>
          </w:tcPr>
          <w:p w14:paraId="240278C7" w14:textId="77777777" w:rsidR="00353D81" w:rsidRPr="00115E3D" w:rsidRDefault="00353D81" w:rsidP="00B065D0">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DE02DBB" w14:textId="456BAE9A" w:rsidR="00353D81" w:rsidRPr="00024A32" w:rsidRDefault="00024A32" w:rsidP="00B065D0">
            <w:pPr>
              <w:pStyle w:val="paragraph"/>
              <w:spacing w:before="0" w:beforeAutospacing="0" w:after="0" w:afterAutospacing="0"/>
              <w:contextualSpacing/>
              <w:textAlignment w:val="baseline"/>
              <w:rPr>
                <w:rFonts w:ascii="Verdana" w:hAnsi="Verdana" w:cs="Segoe UI"/>
                <w:color w:val="000000" w:themeColor="text1"/>
                <w:sz w:val="16"/>
                <w:szCs w:val="16"/>
              </w:rPr>
            </w:pPr>
            <w:r w:rsidRPr="00024A32">
              <w:rPr>
                <w:rFonts w:ascii="Verdana" w:hAnsi="Verdana" w:cs="Segoe UI"/>
                <w:color w:val="000000" w:themeColor="text1"/>
                <w:sz w:val="16"/>
                <w:szCs w:val="16"/>
              </w:rPr>
              <w:t>J</w:t>
            </w:r>
            <w:r w:rsidRPr="00024A32">
              <w:rPr>
                <w:rFonts w:ascii="Verdana" w:hAnsi="Verdana" w:cs="Segoe UI"/>
                <w:sz w:val="16"/>
                <w:szCs w:val="16"/>
              </w:rPr>
              <w:t xml:space="preserve">uan David Cardenas Cabeza </w:t>
            </w:r>
          </w:p>
          <w:p w14:paraId="6C4724B1" w14:textId="75A42066" w:rsidR="00353D81" w:rsidRPr="00115E3D" w:rsidRDefault="00024A32" w:rsidP="00B065D0">
            <w:pPr>
              <w:pStyle w:val="paragraph"/>
              <w:spacing w:before="0" w:beforeAutospacing="0" w:after="0" w:afterAutospacing="0"/>
              <w:contextualSpacing/>
              <w:textAlignment w:val="baseline"/>
              <w:rPr>
                <w:rFonts w:ascii="Verdana" w:hAnsi="Verdana" w:cs="Segoe UI"/>
                <w:color w:val="000000" w:themeColor="text1"/>
                <w:sz w:val="16"/>
                <w:szCs w:val="16"/>
              </w:rPr>
            </w:pPr>
            <w:r w:rsidRPr="00024A32">
              <w:rPr>
                <w:rStyle w:val="normaltextrun"/>
                <w:rFonts w:ascii="Verdana" w:hAnsi="Verdana" w:cs="Arial"/>
                <w:color w:val="000000" w:themeColor="text1"/>
                <w:sz w:val="16"/>
                <w:szCs w:val="16"/>
                <w:lang w:val="es-ES"/>
              </w:rPr>
              <w:t xml:space="preserve">Contratista </w:t>
            </w:r>
            <w:r w:rsidR="00353D81" w:rsidRPr="00024A32">
              <w:rPr>
                <w:rStyle w:val="normaltextrun"/>
                <w:rFonts w:ascii="Verdana" w:hAnsi="Verdana" w:cs="Arial"/>
                <w:color w:val="000000" w:themeColor="text1"/>
                <w:sz w:val="16"/>
                <w:szCs w:val="16"/>
                <w:lang w:val="es-ES"/>
              </w:rPr>
              <w:t xml:space="preserve"> de la Subdirección de Gestión Contractual</w:t>
            </w:r>
            <w:r w:rsidR="00353D81" w:rsidRPr="00115E3D">
              <w:rPr>
                <w:rStyle w:val="eop"/>
                <w:rFonts w:ascii="Verdana" w:hAnsi="Verdana" w:cs="Arial"/>
                <w:color w:val="000000" w:themeColor="text1"/>
                <w:sz w:val="16"/>
                <w:szCs w:val="16"/>
              </w:rPr>
              <w:t> </w:t>
            </w:r>
          </w:p>
        </w:tc>
      </w:tr>
      <w:tr w:rsidR="00353D81" w:rsidRPr="00115E3D" w14:paraId="034368F6" w14:textId="77777777" w:rsidTr="00B065D0">
        <w:trPr>
          <w:trHeight w:val="300"/>
        </w:trPr>
        <w:tc>
          <w:tcPr>
            <w:tcW w:w="893" w:type="dxa"/>
            <w:vAlign w:val="center"/>
          </w:tcPr>
          <w:p w14:paraId="36AD73CA" w14:textId="77777777" w:rsidR="00353D81" w:rsidRPr="00115E3D" w:rsidRDefault="00353D81" w:rsidP="00B065D0">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73FD0DF" w14:textId="77777777" w:rsidR="00353D81" w:rsidRPr="00115E3D" w:rsidRDefault="00353D81" w:rsidP="00B065D0">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val="pt-BR" w:eastAsia="es-ES"/>
              </w:rPr>
              <w:t xml:space="preserve">Carolina Quintero </w:t>
            </w:r>
            <w:proofErr w:type="spellStart"/>
            <w:r w:rsidRPr="00115E3D">
              <w:rPr>
                <w:rFonts w:ascii="Verdana" w:eastAsia="Calibri" w:hAnsi="Verdana" w:cs="Arial"/>
                <w:color w:val="000000" w:themeColor="text1"/>
                <w:sz w:val="16"/>
                <w:szCs w:val="16"/>
                <w:lang w:val="pt-BR" w:eastAsia="es-ES"/>
              </w:rPr>
              <w:t>Gacharná</w:t>
            </w:r>
            <w:proofErr w:type="spellEnd"/>
          </w:p>
          <w:p w14:paraId="263CBDA0" w14:textId="77777777" w:rsidR="00353D81" w:rsidRPr="00115E3D" w:rsidRDefault="00353D81" w:rsidP="00B065D0">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eastAsia="es-ES"/>
              </w:rPr>
              <w:t>Subdirectora</w:t>
            </w:r>
            <w:r w:rsidRPr="00115E3D">
              <w:rPr>
                <w:rFonts w:ascii="Verdana" w:eastAsia="Calibri" w:hAnsi="Verdana" w:cs="Arial"/>
                <w:color w:val="000000" w:themeColor="text1"/>
                <w:sz w:val="16"/>
                <w:szCs w:val="16"/>
                <w:lang w:val="pt-BR" w:eastAsia="es-ES"/>
              </w:rPr>
              <w:t xml:space="preserve"> de Gestión </w:t>
            </w:r>
            <w:proofErr w:type="spellStart"/>
            <w:r w:rsidRPr="00115E3D">
              <w:rPr>
                <w:rFonts w:ascii="Verdana" w:eastAsia="Calibri" w:hAnsi="Verdana" w:cs="Arial"/>
                <w:color w:val="000000" w:themeColor="text1"/>
                <w:sz w:val="16"/>
                <w:szCs w:val="16"/>
                <w:lang w:val="pt-BR" w:eastAsia="es-ES"/>
              </w:rPr>
              <w:t>Contractual</w:t>
            </w:r>
            <w:proofErr w:type="spellEnd"/>
            <w:r w:rsidRPr="00115E3D">
              <w:rPr>
                <w:rFonts w:ascii="Verdana" w:eastAsia="Calibri" w:hAnsi="Verdana" w:cs="Arial"/>
                <w:color w:val="000000" w:themeColor="text1"/>
                <w:sz w:val="16"/>
                <w:szCs w:val="16"/>
                <w:lang w:val="pt-BR" w:eastAsia="es-ES"/>
              </w:rPr>
              <w:t xml:space="preserve"> ANCP – CCE</w:t>
            </w:r>
          </w:p>
        </w:tc>
      </w:tr>
    </w:tbl>
    <w:p w14:paraId="4C1E63EF" w14:textId="77777777" w:rsidR="00353D81" w:rsidRPr="00115E3D" w:rsidRDefault="00353D81" w:rsidP="00353D81">
      <w:pPr>
        <w:spacing w:after="0" w:line="240" w:lineRule="auto"/>
        <w:rPr>
          <w:rFonts w:ascii="Verdana" w:eastAsia="Times New Roman" w:hAnsi="Verdana" w:cs="Arial"/>
          <w:color w:val="000000" w:themeColor="text1"/>
          <w:sz w:val="24"/>
          <w:szCs w:val="24"/>
          <w:lang w:eastAsia="es-ES"/>
        </w:rPr>
      </w:pPr>
    </w:p>
    <w:p w14:paraId="44EC9501" w14:textId="77777777" w:rsidR="00353D81" w:rsidRPr="00115E3D" w:rsidRDefault="00353D81" w:rsidP="00353D81">
      <w:pPr>
        <w:rPr>
          <w:color w:val="000000" w:themeColor="text1"/>
        </w:rPr>
      </w:pPr>
    </w:p>
    <w:p w14:paraId="074473FE" w14:textId="77777777" w:rsidR="000F5A42" w:rsidRDefault="000F5A42"/>
    <w:sectPr w:rsidR="000F5A42" w:rsidSect="00353D81">
      <w:headerReference w:type="default" r:id="rId15"/>
      <w:footerReference w:type="default" r:id="rId1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B2605" w14:textId="77777777" w:rsidR="0071146E" w:rsidRDefault="0071146E" w:rsidP="00353D81">
      <w:pPr>
        <w:spacing w:after="0" w:line="240" w:lineRule="auto"/>
      </w:pPr>
      <w:r>
        <w:separator/>
      </w:r>
    </w:p>
  </w:endnote>
  <w:endnote w:type="continuationSeparator" w:id="0">
    <w:p w14:paraId="75B8B557" w14:textId="77777777" w:rsidR="0071146E" w:rsidRDefault="0071146E" w:rsidP="0035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D5F2" w14:textId="77777777" w:rsidR="00BB488E" w:rsidRDefault="00BB488E" w:rsidP="000849D5">
    <w:pPr>
      <w:spacing w:after="0"/>
      <w:rPr>
        <w:rFonts w:ascii="Verdana" w:hAnsi="Verdana"/>
        <w:b/>
        <w:bCs/>
        <w:sz w:val="20"/>
        <w:szCs w:val="20"/>
      </w:rPr>
    </w:pPr>
  </w:p>
  <w:p w14:paraId="1D17AAAA" w14:textId="77777777" w:rsidR="00BB488E" w:rsidRPr="00174B77" w:rsidRDefault="00AF1C47"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FFAF814" w14:textId="77777777" w:rsidR="00BB488E" w:rsidRDefault="00AF1C47"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4A0BD335" w14:textId="77777777" w:rsidR="00BB488E" w:rsidRPr="00E41027" w:rsidRDefault="00AF1C47" w:rsidP="000849D5">
    <w:pPr>
      <w:spacing w:after="0"/>
      <w:jc w:val="both"/>
      <w:rPr>
        <w:rFonts w:ascii="Verdana" w:hAnsi="Verdana"/>
        <w:sz w:val="18"/>
        <w:szCs w:val="18"/>
      </w:rPr>
    </w:pPr>
    <w:r w:rsidRPr="00E41027">
      <w:rPr>
        <w:rFonts w:ascii="Verdana" w:hAnsi="Verdana"/>
        <w:sz w:val="18"/>
        <w:szCs w:val="18"/>
      </w:rPr>
      <w:t>Mesa de servicio: (+57) 601 7456788</w:t>
    </w:r>
  </w:p>
  <w:p w14:paraId="42B27E15" w14:textId="77777777" w:rsidR="00BB488E" w:rsidRDefault="00AF1C47"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549BBFB3" w14:textId="77777777" w:rsidR="00BB488E" w:rsidRPr="007D04B2" w:rsidRDefault="00BB488E" w:rsidP="000849D5">
    <w:pPr>
      <w:pStyle w:val="Piedepgina"/>
    </w:pPr>
  </w:p>
  <w:p w14:paraId="76160839" w14:textId="77777777" w:rsidR="00BB488E" w:rsidRPr="000849D5" w:rsidRDefault="00BB488E"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B8CC" w14:textId="77777777" w:rsidR="0071146E" w:rsidRDefault="0071146E" w:rsidP="00353D81">
      <w:pPr>
        <w:spacing w:after="0" w:line="240" w:lineRule="auto"/>
      </w:pPr>
      <w:r>
        <w:separator/>
      </w:r>
    </w:p>
  </w:footnote>
  <w:footnote w:type="continuationSeparator" w:id="0">
    <w:p w14:paraId="46256982" w14:textId="77777777" w:rsidR="0071146E" w:rsidRDefault="0071146E" w:rsidP="00353D81">
      <w:pPr>
        <w:spacing w:after="0" w:line="240" w:lineRule="auto"/>
      </w:pPr>
      <w:r>
        <w:continuationSeparator/>
      </w:r>
    </w:p>
  </w:footnote>
  <w:footnote w:id="1">
    <w:p w14:paraId="6725542F" w14:textId="77777777" w:rsidR="00024A32" w:rsidRPr="00B95C23" w:rsidRDefault="00024A32" w:rsidP="00024A32">
      <w:pPr>
        <w:pStyle w:val="Textonotapie"/>
        <w:ind w:firstLine="708"/>
        <w:contextualSpacing/>
        <w:jc w:val="both"/>
        <w:rPr>
          <w:rFonts w:ascii="Verdana" w:hAnsi="Verdana" w:cs="Arial"/>
          <w:sz w:val="18"/>
          <w:szCs w:val="18"/>
          <w:lang w:val="pt-BR"/>
        </w:rPr>
      </w:pPr>
      <w:r w:rsidRPr="00B95C23">
        <w:rPr>
          <w:rFonts w:ascii="Verdana" w:hAnsi="Verdana" w:cs="Arial"/>
          <w:sz w:val="18"/>
          <w:szCs w:val="18"/>
          <w:vertAlign w:val="superscript"/>
        </w:rPr>
        <w:footnoteRef/>
      </w:r>
      <w:r w:rsidRPr="00B95C23">
        <w:rPr>
          <w:rFonts w:ascii="Verdana" w:hAnsi="Verdana" w:cs="Arial"/>
          <w:sz w:val="18"/>
          <w:szCs w:val="18"/>
          <w:lang w:val="pt-BR"/>
        </w:rPr>
        <w:t xml:space="preserve"> Corte Constitucional. Sentencia C-1016 de 2012. M.P. Jorge Iván Palacio. </w:t>
      </w:r>
    </w:p>
    <w:p w14:paraId="1E1B7AAC" w14:textId="77777777" w:rsidR="00024A32" w:rsidRDefault="00024A32" w:rsidP="00024A32">
      <w:pPr>
        <w:pStyle w:val="Textonotapie"/>
        <w:ind w:firstLine="708"/>
        <w:contextualSpacing/>
        <w:jc w:val="both"/>
      </w:pPr>
    </w:p>
  </w:footnote>
  <w:footnote w:id="2">
    <w:p w14:paraId="1F3DEC08" w14:textId="77777777" w:rsidR="00024A32" w:rsidRPr="00B95C23" w:rsidRDefault="00024A32" w:rsidP="00024A32">
      <w:pPr>
        <w:pStyle w:val="Textonotapie"/>
        <w:ind w:firstLine="708"/>
        <w:contextualSpacing/>
        <w:jc w:val="both"/>
        <w:rPr>
          <w:rFonts w:ascii="Verdana" w:hAnsi="Verdana" w:cs="Arial"/>
          <w:sz w:val="18"/>
          <w:szCs w:val="18"/>
          <w:lang w:val="pt-BR"/>
        </w:rPr>
      </w:pPr>
      <w:r w:rsidRPr="00B95C23">
        <w:rPr>
          <w:rFonts w:ascii="Verdana" w:hAnsi="Verdana" w:cs="Arial"/>
          <w:sz w:val="18"/>
          <w:szCs w:val="18"/>
          <w:vertAlign w:val="superscript"/>
        </w:rPr>
        <w:footnoteRef/>
      </w:r>
      <w:r w:rsidRPr="00B95C23">
        <w:rPr>
          <w:rFonts w:ascii="Verdana" w:hAnsi="Verdana" w:cs="Arial"/>
          <w:sz w:val="18"/>
          <w:szCs w:val="18"/>
        </w:rPr>
        <w:t xml:space="preserve"> Consejo De Estado. Sección Tercera. Subsección A. Sentencia del 13 de noviembre de 2013. </w:t>
      </w:r>
      <w:r w:rsidRPr="00B95C23">
        <w:rPr>
          <w:rFonts w:ascii="Verdana" w:hAnsi="Verdana" w:cs="Arial"/>
          <w:sz w:val="18"/>
          <w:szCs w:val="18"/>
          <w:lang w:val="pt-BR"/>
        </w:rPr>
        <w:t xml:space="preserve">Rad. 25.646. C.P. Mauricio Fajardo Gómez.  </w:t>
      </w:r>
    </w:p>
    <w:p w14:paraId="2594B6B1" w14:textId="77777777" w:rsidR="00024A32" w:rsidRDefault="00024A32" w:rsidP="00024A32">
      <w:pPr>
        <w:pStyle w:val="Textonotapie"/>
        <w:ind w:firstLine="708"/>
        <w:contextualSpacing/>
        <w:jc w:val="both"/>
      </w:pPr>
    </w:p>
  </w:footnote>
  <w:footnote w:id="3">
    <w:p w14:paraId="5531583A" w14:textId="77777777" w:rsidR="00024A32" w:rsidRPr="00B95C23" w:rsidRDefault="00024A32" w:rsidP="00024A32">
      <w:pPr>
        <w:pStyle w:val="Textonotapie"/>
        <w:ind w:firstLine="708"/>
        <w:contextualSpacing/>
        <w:jc w:val="both"/>
        <w:rPr>
          <w:rFonts w:ascii="Verdana" w:hAnsi="Verdana" w:cs="Arial"/>
          <w:sz w:val="18"/>
          <w:szCs w:val="18"/>
          <w:lang w:val="pt-BR"/>
        </w:rPr>
      </w:pPr>
      <w:r w:rsidRPr="00B95C23">
        <w:rPr>
          <w:rFonts w:ascii="Verdana" w:hAnsi="Verdana" w:cs="Arial"/>
          <w:sz w:val="18"/>
          <w:szCs w:val="18"/>
          <w:vertAlign w:val="superscript"/>
        </w:rPr>
        <w:footnoteRef/>
      </w:r>
      <w:r w:rsidRPr="00B95C23">
        <w:rPr>
          <w:rFonts w:ascii="Verdana" w:hAnsi="Verdana" w:cs="Arial"/>
          <w:sz w:val="18"/>
          <w:szCs w:val="18"/>
          <w:lang w:val="pt-BR"/>
        </w:rPr>
        <w:t xml:space="preserve"> Corte Constitucional. Sentencia C-415 de 1994. M.P. Eduardo Cifuentes Muñoz. </w:t>
      </w:r>
    </w:p>
    <w:p w14:paraId="61127E30" w14:textId="77777777" w:rsidR="00024A32" w:rsidRDefault="00024A32" w:rsidP="00024A32">
      <w:pPr>
        <w:pStyle w:val="Textonotapie"/>
        <w:ind w:firstLine="708"/>
        <w:contextualSpacing/>
        <w:jc w:val="both"/>
      </w:pPr>
    </w:p>
  </w:footnote>
  <w:footnote w:id="4">
    <w:p w14:paraId="1D7FDE77" w14:textId="77777777" w:rsidR="00024A32" w:rsidRPr="00B95C23" w:rsidRDefault="00024A32" w:rsidP="00024A32">
      <w:pPr>
        <w:pStyle w:val="Textonotapie"/>
        <w:ind w:firstLine="708"/>
        <w:contextualSpacing/>
        <w:jc w:val="both"/>
        <w:rPr>
          <w:rFonts w:ascii="Verdana" w:hAnsi="Verdana" w:cs="Arial"/>
          <w:sz w:val="18"/>
          <w:szCs w:val="18"/>
          <w:lang w:val="pt-BR"/>
        </w:rPr>
      </w:pPr>
      <w:r w:rsidRPr="00B95C23">
        <w:rPr>
          <w:rFonts w:ascii="Verdana" w:hAnsi="Verdana" w:cs="Arial"/>
          <w:sz w:val="18"/>
          <w:szCs w:val="18"/>
          <w:vertAlign w:val="superscript"/>
        </w:rPr>
        <w:footnoteRef/>
      </w:r>
      <w:r w:rsidRPr="00B95C23">
        <w:rPr>
          <w:rFonts w:ascii="Verdana" w:hAnsi="Verdana" w:cs="Arial"/>
          <w:sz w:val="18"/>
          <w:szCs w:val="18"/>
          <w:lang w:val="pt-BR"/>
        </w:rPr>
        <w:t xml:space="preserve"> Ibídem. </w:t>
      </w:r>
    </w:p>
    <w:p w14:paraId="4D864BB4" w14:textId="77777777" w:rsidR="00024A32" w:rsidRDefault="00024A32" w:rsidP="00024A32">
      <w:pPr>
        <w:pStyle w:val="Textonotapie"/>
        <w:ind w:firstLine="708"/>
        <w:contextualSpacing/>
        <w:jc w:val="both"/>
      </w:pPr>
    </w:p>
  </w:footnote>
  <w:footnote w:id="5">
    <w:p w14:paraId="34131561" w14:textId="77777777" w:rsidR="00024A32" w:rsidRPr="00B95C23" w:rsidRDefault="00024A32" w:rsidP="00024A32">
      <w:pPr>
        <w:pStyle w:val="Textonotapie"/>
        <w:ind w:firstLine="708"/>
        <w:contextualSpacing/>
        <w:jc w:val="both"/>
        <w:rPr>
          <w:rFonts w:ascii="Verdana" w:hAnsi="Verdana" w:cs="Arial"/>
          <w:sz w:val="18"/>
          <w:szCs w:val="18"/>
        </w:rPr>
      </w:pPr>
      <w:r w:rsidRPr="00B95C23">
        <w:rPr>
          <w:rFonts w:ascii="Verdana" w:hAnsi="Verdana" w:cs="Arial"/>
          <w:sz w:val="18"/>
          <w:szCs w:val="18"/>
          <w:vertAlign w:val="superscript"/>
        </w:rPr>
        <w:footnoteRef/>
      </w:r>
      <w:r w:rsidRPr="00B95C23">
        <w:rPr>
          <w:rFonts w:ascii="Verdana" w:hAnsi="Verdana" w:cs="Arial"/>
          <w:sz w:val="18"/>
          <w:szCs w:val="18"/>
          <w:lang w:val="pt-BR"/>
        </w:rPr>
        <w:t xml:space="preserve"> Corte Constitucional. </w:t>
      </w:r>
      <w:r w:rsidRPr="00B95C23">
        <w:rPr>
          <w:rFonts w:ascii="Verdana" w:hAnsi="Verdana" w:cs="Arial"/>
          <w:sz w:val="18"/>
          <w:szCs w:val="18"/>
        </w:rPr>
        <w:t xml:space="preserve">Sentencia C-780 de 2001. M.P. Jaime Córdoba Triviño. </w:t>
      </w:r>
    </w:p>
    <w:p w14:paraId="5B27EDAC" w14:textId="77777777" w:rsidR="00024A32" w:rsidRDefault="00024A32" w:rsidP="00024A32">
      <w:pPr>
        <w:pStyle w:val="Textonotapie"/>
        <w:ind w:firstLine="708"/>
        <w:contextualSpacing/>
        <w:jc w:val="both"/>
      </w:pPr>
    </w:p>
  </w:footnote>
  <w:footnote w:id="6">
    <w:p w14:paraId="25D5CB9C" w14:textId="77777777" w:rsidR="00024A32" w:rsidRPr="00B95C23" w:rsidRDefault="00024A32" w:rsidP="00024A32">
      <w:pPr>
        <w:pStyle w:val="Textonotapie"/>
        <w:ind w:firstLine="709"/>
        <w:contextualSpacing/>
        <w:jc w:val="both"/>
        <w:rPr>
          <w:rFonts w:ascii="Verdana" w:hAnsi="Verdana" w:cs="Arial"/>
          <w:color w:val="000000"/>
          <w:sz w:val="18"/>
          <w:szCs w:val="18"/>
          <w:lang w:val="es-ES"/>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w:t>
      </w:r>
      <w:r w:rsidRPr="00B95C23">
        <w:rPr>
          <w:rFonts w:ascii="Verdana" w:hAnsi="Verdana" w:cs="Arial"/>
          <w:color w:val="000000"/>
          <w:sz w:val="18"/>
          <w:szCs w:val="18"/>
          <w:lang w:val="es-ES"/>
        </w:rPr>
        <w:t>Ibíd., p. 69.</w:t>
      </w:r>
    </w:p>
    <w:p w14:paraId="15F0D746" w14:textId="77777777" w:rsidR="00024A32" w:rsidRDefault="00024A32" w:rsidP="00024A32">
      <w:pPr>
        <w:pStyle w:val="Textonotapie"/>
        <w:ind w:firstLine="709"/>
        <w:contextualSpacing/>
        <w:jc w:val="both"/>
      </w:pPr>
    </w:p>
  </w:footnote>
  <w:footnote w:id="7">
    <w:p w14:paraId="537F435D" w14:textId="77777777" w:rsidR="00024A32" w:rsidRPr="00B95C23" w:rsidRDefault="00024A32" w:rsidP="00024A32">
      <w:pPr>
        <w:pStyle w:val="Textonotapie"/>
        <w:ind w:firstLine="709"/>
        <w:contextualSpacing/>
        <w:jc w:val="both"/>
        <w:rPr>
          <w:rFonts w:ascii="Verdana" w:hAnsi="Verdana" w:cs="Arial"/>
          <w:color w:val="000000"/>
          <w:sz w:val="18"/>
          <w:szCs w:val="18"/>
          <w:lang w:val="es-ES"/>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w:t>
      </w:r>
      <w:r w:rsidRPr="00B95C23">
        <w:rPr>
          <w:rFonts w:ascii="Verdana" w:hAnsi="Verdana" w:cs="Arial"/>
          <w:color w:val="000000"/>
          <w:sz w:val="18"/>
          <w:szCs w:val="18"/>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544823B2" w14:textId="77777777" w:rsidR="00024A32" w:rsidRDefault="00024A32" w:rsidP="00024A32">
      <w:pPr>
        <w:pStyle w:val="Textonotapie"/>
        <w:ind w:firstLine="709"/>
        <w:contextualSpacing/>
        <w:jc w:val="both"/>
      </w:pPr>
    </w:p>
  </w:footnote>
  <w:footnote w:id="8">
    <w:p w14:paraId="6E8E467E" w14:textId="77777777" w:rsidR="00024A32" w:rsidRPr="00B95C23" w:rsidRDefault="00024A32" w:rsidP="00024A32">
      <w:pPr>
        <w:pStyle w:val="Textonotapie"/>
        <w:ind w:firstLine="709"/>
        <w:contextualSpacing/>
        <w:jc w:val="both"/>
        <w:rPr>
          <w:rFonts w:ascii="Verdana" w:hAnsi="Verdana" w:cs="Arial"/>
          <w:color w:val="000000"/>
          <w:sz w:val="18"/>
          <w:szCs w:val="18"/>
          <w:lang w:val="es-ES"/>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w:t>
      </w:r>
      <w:r w:rsidRPr="00B95C23">
        <w:rPr>
          <w:rFonts w:ascii="Verdana" w:hAnsi="Verdana" w:cs="Arial"/>
          <w:color w:val="000000"/>
          <w:sz w:val="18"/>
          <w:szCs w:val="18"/>
          <w:lang w:val="es-ES"/>
        </w:rPr>
        <w:t>Consejo de Estado. Sala de Consulta y Servicio Civil. Concepto del 30 de abril de 2015. Expediente: 2.251. Consejero Ponente: Álvaro Namén Vargas.</w:t>
      </w:r>
    </w:p>
    <w:p w14:paraId="63334004" w14:textId="77777777" w:rsidR="00024A32" w:rsidRDefault="00024A32" w:rsidP="00024A32">
      <w:pPr>
        <w:pStyle w:val="Textonotapie"/>
        <w:ind w:firstLine="709"/>
        <w:contextualSpacing/>
        <w:jc w:val="both"/>
      </w:pPr>
    </w:p>
  </w:footnote>
  <w:footnote w:id="9">
    <w:p w14:paraId="402BB730" w14:textId="77777777" w:rsidR="00024A32" w:rsidRPr="00B95C23" w:rsidRDefault="00024A32" w:rsidP="00024A32">
      <w:pPr>
        <w:pStyle w:val="Textonotapie"/>
        <w:ind w:firstLine="709"/>
        <w:contextualSpacing/>
        <w:jc w:val="both"/>
        <w:rPr>
          <w:rFonts w:ascii="Verdana" w:hAnsi="Verdana" w:cs="Arial"/>
          <w:color w:val="000000"/>
          <w:sz w:val="18"/>
          <w:szCs w:val="18"/>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Consejo de Estado. Sección Tercera. Subsección A. Sentencia del 24 de junio de 2015. Exp. 40.635. Consejero Ponente: Hernán Andrade Rincón (E).</w:t>
      </w:r>
    </w:p>
    <w:p w14:paraId="681F8F31" w14:textId="77777777" w:rsidR="00024A32" w:rsidRDefault="00024A32" w:rsidP="00024A32">
      <w:pPr>
        <w:pStyle w:val="Textonotapie"/>
        <w:ind w:firstLine="709"/>
        <w:contextualSpacing/>
        <w:jc w:val="both"/>
      </w:pPr>
    </w:p>
  </w:footnote>
  <w:footnote w:id="10">
    <w:p w14:paraId="1DC53414" w14:textId="77777777" w:rsidR="00024A32" w:rsidRPr="00B95C23" w:rsidRDefault="00024A32" w:rsidP="00024A32">
      <w:pPr>
        <w:pStyle w:val="Textonotapie"/>
        <w:ind w:firstLine="709"/>
        <w:contextualSpacing/>
        <w:jc w:val="both"/>
        <w:rPr>
          <w:rFonts w:ascii="Verdana" w:hAnsi="Verdana" w:cs="Arial"/>
          <w:color w:val="000000"/>
          <w:sz w:val="18"/>
          <w:szCs w:val="18"/>
        </w:rPr>
      </w:pPr>
      <w:r w:rsidRPr="00B95C23">
        <w:rPr>
          <w:rFonts w:ascii="Verdana" w:hAnsi="Verdana"/>
          <w:sz w:val="18"/>
          <w:szCs w:val="18"/>
          <w:vertAlign w:val="superscript"/>
        </w:rPr>
        <w:footnoteRef/>
      </w:r>
      <w:r w:rsidRPr="00B95C23">
        <w:rPr>
          <w:rFonts w:ascii="Verdana" w:hAnsi="Verdana" w:cs="Arial"/>
          <w:color w:val="000000"/>
          <w:sz w:val="18"/>
          <w:szCs w:val="18"/>
        </w:rPr>
        <w:t xml:space="preserve"> Consejo de Estado. Sección Tercera. Subsección C. Sentencia del 22 de mayo de 2013. Exp. 24.057. Consejera Ponente: Olga Melida Valle De De La Hoz.</w:t>
      </w:r>
    </w:p>
    <w:p w14:paraId="316B9E9C" w14:textId="77777777" w:rsidR="00024A32" w:rsidRDefault="00024A32" w:rsidP="00024A32">
      <w:pPr>
        <w:pStyle w:val="Textonotapie"/>
        <w:ind w:firstLine="709"/>
        <w:contextualSpacing/>
        <w:jc w:val="both"/>
      </w:pPr>
    </w:p>
  </w:footnote>
  <w:footnote w:id="11">
    <w:p w14:paraId="08B09B1F" w14:textId="77777777" w:rsidR="00024A32" w:rsidRPr="00B95C23" w:rsidRDefault="00024A32" w:rsidP="00024A32">
      <w:pPr>
        <w:pStyle w:val="Textonotapie"/>
        <w:ind w:firstLine="708"/>
        <w:contextualSpacing/>
        <w:jc w:val="both"/>
        <w:rPr>
          <w:rFonts w:ascii="Verdana" w:hAnsi="Verdana" w:cs="Arial"/>
          <w:color w:val="000000"/>
          <w:sz w:val="18"/>
          <w:szCs w:val="18"/>
        </w:rPr>
      </w:pPr>
      <w:r w:rsidRPr="00B95C23">
        <w:rPr>
          <w:rFonts w:ascii="Verdana" w:hAnsi="Verdana" w:cs="Arial"/>
          <w:color w:val="000000"/>
          <w:sz w:val="18"/>
          <w:szCs w:val="18"/>
          <w:vertAlign w:val="superscript"/>
        </w:rPr>
        <w:footnoteRef/>
      </w:r>
      <w:r w:rsidRPr="00B95C23">
        <w:rPr>
          <w:rFonts w:ascii="Verdana" w:hAnsi="Verdana" w:cs="Arial"/>
          <w:color w:val="000000"/>
          <w:sz w:val="18"/>
          <w:szCs w:val="18"/>
        </w:rPr>
        <w:t xml:space="preserve"> Consejo de Estado. Sala de Consulta y de Servicio Civil. Concepto del 23 de marzo de 2011. Rad. 2.045. C.P. Enrique José Arboleda Perdomo.</w:t>
      </w:r>
    </w:p>
    <w:p w14:paraId="7A3B9C92" w14:textId="77777777" w:rsidR="00024A32" w:rsidRDefault="00024A32" w:rsidP="00024A32">
      <w:pPr>
        <w:pStyle w:val="Textonotapie"/>
        <w:ind w:firstLine="708"/>
        <w:contextualSpacing/>
        <w:jc w:val="both"/>
      </w:pPr>
    </w:p>
  </w:footnote>
  <w:footnote w:id="12">
    <w:p w14:paraId="5BF2829A" w14:textId="77777777" w:rsidR="00024A32" w:rsidRPr="00B95C23" w:rsidRDefault="00024A32" w:rsidP="00024A32">
      <w:pPr>
        <w:pStyle w:val="Textonotapie"/>
        <w:ind w:firstLine="708"/>
        <w:contextualSpacing/>
        <w:jc w:val="both"/>
        <w:rPr>
          <w:rFonts w:ascii="Verdana" w:hAnsi="Verdana" w:cs="Arial"/>
          <w:color w:val="000000"/>
          <w:sz w:val="18"/>
          <w:szCs w:val="18"/>
        </w:rPr>
      </w:pPr>
      <w:r w:rsidRPr="00B95C23">
        <w:rPr>
          <w:rFonts w:ascii="Verdana" w:hAnsi="Verdana" w:cs="Arial"/>
          <w:color w:val="000000"/>
          <w:sz w:val="18"/>
          <w:szCs w:val="18"/>
          <w:vertAlign w:val="superscript"/>
        </w:rPr>
        <w:footnoteRef/>
      </w:r>
      <w:r w:rsidRPr="00B95C23">
        <w:rPr>
          <w:rFonts w:ascii="Verdana" w:hAnsi="Verdana" w:cs="Arial"/>
          <w:color w:val="000000"/>
          <w:sz w:val="18"/>
          <w:szCs w:val="18"/>
        </w:rPr>
        <w:t xml:space="preserve"> DÁVILA VINUEZA, Luis Guillermo. Op. Cit., pp. 149-153.</w:t>
      </w:r>
    </w:p>
    <w:p w14:paraId="018927A3" w14:textId="77777777" w:rsidR="00024A32" w:rsidRDefault="00024A32" w:rsidP="00024A32">
      <w:pPr>
        <w:pStyle w:val="Textonotapie"/>
        <w:ind w:firstLine="708"/>
        <w:contextualSpacing/>
        <w:jc w:val="both"/>
      </w:pPr>
    </w:p>
  </w:footnote>
  <w:footnote w:id="13">
    <w:p w14:paraId="05C25BF4" w14:textId="77777777" w:rsidR="00024A32" w:rsidRPr="00B95C23" w:rsidRDefault="00024A32" w:rsidP="00024A32">
      <w:pPr>
        <w:pStyle w:val="Textonotapie"/>
        <w:ind w:firstLine="708"/>
        <w:contextualSpacing/>
        <w:jc w:val="both"/>
        <w:rPr>
          <w:rFonts w:ascii="Verdana" w:hAnsi="Verdana" w:cs="Arial"/>
          <w:color w:val="000000"/>
          <w:sz w:val="18"/>
          <w:szCs w:val="18"/>
        </w:rPr>
      </w:pPr>
      <w:r w:rsidRPr="00B95C23">
        <w:rPr>
          <w:rFonts w:ascii="Verdana" w:hAnsi="Verdana" w:cs="Arial"/>
          <w:color w:val="000000"/>
          <w:sz w:val="18"/>
          <w:szCs w:val="18"/>
          <w:vertAlign w:val="superscript"/>
        </w:rPr>
        <w:footnoteRef/>
      </w:r>
      <w:r w:rsidRPr="00B95C23">
        <w:rPr>
          <w:rFonts w:ascii="Verdana" w:hAnsi="Verdana" w:cs="Arial"/>
          <w:color w:val="000000"/>
          <w:sz w:val="18"/>
          <w:szCs w:val="18"/>
        </w:rPr>
        <w:t xml:space="preserve"> Siendo los pronunciamientos más relevantes el Concepto del 10 de agosto de 2006. Exp. 1.767 –C.P. Luis Fernando Álvarez Jaramillo–, reiterado y complementado en el Concepto del 23 de marzo de 2011. Rad. 2.045 –C.P. Enrique José Arboleda Perdomo–.</w:t>
      </w:r>
    </w:p>
    <w:p w14:paraId="0C4E5AEA" w14:textId="77777777" w:rsidR="00024A32" w:rsidRDefault="00024A32" w:rsidP="00024A32">
      <w:pPr>
        <w:pStyle w:val="Textonotapie"/>
        <w:ind w:firstLine="708"/>
        <w:contextualSpacing/>
        <w:jc w:val="both"/>
      </w:pPr>
    </w:p>
  </w:footnote>
  <w:footnote w:id="14">
    <w:p w14:paraId="3502759E" w14:textId="77777777" w:rsidR="00024A32" w:rsidRDefault="00024A32" w:rsidP="00024A32">
      <w:pPr>
        <w:pStyle w:val="Textonotapie"/>
        <w:ind w:firstLine="708"/>
        <w:contextualSpacing/>
        <w:jc w:val="both"/>
      </w:pPr>
      <w:r w:rsidRPr="00B95C23">
        <w:rPr>
          <w:rFonts w:ascii="Verdana" w:hAnsi="Verdana" w:cs="Arial"/>
          <w:sz w:val="18"/>
          <w:szCs w:val="18"/>
          <w:vertAlign w:val="superscript"/>
        </w:rPr>
        <w:footnoteRef/>
      </w:r>
      <w:r w:rsidRPr="00B95C23">
        <w:rPr>
          <w:rFonts w:ascii="Verdana" w:hAnsi="Verdana" w:cs="Arial"/>
          <w:sz w:val="18"/>
          <w:szCs w:val="18"/>
        </w:rPr>
        <w:t xml:space="preserve"> Consejo de Estado. Sala de Consulta y Servicio Civil. </w:t>
      </w:r>
      <w:r w:rsidRPr="00B95C23">
        <w:rPr>
          <w:rFonts w:ascii="Verdana" w:hAnsi="Verdana" w:cs="Arial"/>
          <w:color w:val="000000"/>
          <w:sz w:val="18"/>
          <w:szCs w:val="18"/>
        </w:rPr>
        <w:t>Concepto del 23 de marzo de 2011. Rad. 2.045.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E671" w14:textId="77777777" w:rsidR="00BB488E" w:rsidRDefault="00AF1C47" w:rsidP="00515FB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371B755" wp14:editId="0C930642">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F63C54D" wp14:editId="3195051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81B50D3" w14:textId="77777777" w:rsidR="00BB488E" w:rsidRDefault="00BB488E" w:rsidP="00515FB5">
    <w:pPr>
      <w:pStyle w:val="Encabezado"/>
    </w:pPr>
  </w:p>
  <w:p w14:paraId="3AF864FA" w14:textId="77777777" w:rsidR="00BB488E" w:rsidRDefault="00BB488E" w:rsidP="00515FB5">
    <w:pPr>
      <w:pStyle w:val="Encabezado"/>
    </w:pPr>
  </w:p>
  <w:p w14:paraId="664698BE" w14:textId="77777777" w:rsidR="00BB488E" w:rsidRPr="00515FB5" w:rsidRDefault="00BB488E"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1835DF4"/>
    <w:multiLevelType w:val="hybridMultilevel"/>
    <w:tmpl w:val="2C74C334"/>
    <w:lvl w:ilvl="0" w:tplc="781068BA">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69551B"/>
    <w:multiLevelType w:val="hybridMultilevel"/>
    <w:tmpl w:val="E4180D82"/>
    <w:lvl w:ilvl="0" w:tplc="0964AE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41274352">
    <w:abstractNumId w:val="0"/>
  </w:num>
  <w:num w:numId="2" w16cid:durableId="1492209491">
    <w:abstractNumId w:val="2"/>
  </w:num>
  <w:num w:numId="3" w16cid:durableId="679089576">
    <w:abstractNumId w:val="3"/>
  </w:num>
  <w:num w:numId="4" w16cid:durableId="1896354106">
    <w:abstractNumId w:val="4"/>
  </w:num>
  <w:num w:numId="5" w16cid:durableId="65549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81"/>
    <w:rsid w:val="00024A32"/>
    <w:rsid w:val="0004656C"/>
    <w:rsid w:val="000971DB"/>
    <w:rsid w:val="000A4B76"/>
    <w:rsid w:val="000B524D"/>
    <w:rsid w:val="000F5A42"/>
    <w:rsid w:val="001925E9"/>
    <w:rsid w:val="001B6601"/>
    <w:rsid w:val="002A4062"/>
    <w:rsid w:val="00353D81"/>
    <w:rsid w:val="003B6B44"/>
    <w:rsid w:val="004038B4"/>
    <w:rsid w:val="00406C58"/>
    <w:rsid w:val="004214D1"/>
    <w:rsid w:val="00547C15"/>
    <w:rsid w:val="00674C82"/>
    <w:rsid w:val="0071146E"/>
    <w:rsid w:val="007127B6"/>
    <w:rsid w:val="00736243"/>
    <w:rsid w:val="0074124C"/>
    <w:rsid w:val="008617C9"/>
    <w:rsid w:val="008952A0"/>
    <w:rsid w:val="0094132C"/>
    <w:rsid w:val="0094656B"/>
    <w:rsid w:val="00973897"/>
    <w:rsid w:val="00A12218"/>
    <w:rsid w:val="00A545D2"/>
    <w:rsid w:val="00A90678"/>
    <w:rsid w:val="00AF1C47"/>
    <w:rsid w:val="00B1115F"/>
    <w:rsid w:val="00B15EE5"/>
    <w:rsid w:val="00B31C3C"/>
    <w:rsid w:val="00B37B97"/>
    <w:rsid w:val="00B84A73"/>
    <w:rsid w:val="00BB488E"/>
    <w:rsid w:val="00BC7A98"/>
    <w:rsid w:val="00BE33D8"/>
    <w:rsid w:val="00C7037B"/>
    <w:rsid w:val="00D013C3"/>
    <w:rsid w:val="00D21BC3"/>
    <w:rsid w:val="00D34FAF"/>
    <w:rsid w:val="00D67304"/>
    <w:rsid w:val="00D74335"/>
    <w:rsid w:val="00D94F69"/>
    <w:rsid w:val="00D97F40"/>
    <w:rsid w:val="00DE150B"/>
    <w:rsid w:val="00E46ECF"/>
    <w:rsid w:val="00F12372"/>
    <w:rsid w:val="00F550AD"/>
    <w:rsid w:val="00F61685"/>
    <w:rsid w:val="00FB2C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E779"/>
  <w15:chartTrackingRefBased/>
  <w15:docId w15:val="{3021D41B-0FE2-4B78-828D-1107BD18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2A0"/>
    <w:rPr>
      <w:kern w:val="0"/>
      <w14:ligatures w14:val="none"/>
    </w:rPr>
  </w:style>
  <w:style w:type="paragraph" w:styleId="Ttulo1">
    <w:name w:val="heading 1"/>
    <w:basedOn w:val="Normal"/>
    <w:next w:val="Normal"/>
    <w:link w:val="Ttulo1Car"/>
    <w:uiPriority w:val="9"/>
    <w:qFormat/>
    <w:rsid w:val="00353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3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3D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3D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3D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3D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3D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3D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3D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3D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3D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3D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3D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3D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3D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3D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3D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3D81"/>
    <w:rPr>
      <w:rFonts w:eastAsiaTheme="majorEastAsia" w:cstheme="majorBidi"/>
      <w:color w:val="272727" w:themeColor="text1" w:themeTint="D8"/>
    </w:rPr>
  </w:style>
  <w:style w:type="paragraph" w:styleId="Ttulo">
    <w:name w:val="Title"/>
    <w:basedOn w:val="Normal"/>
    <w:next w:val="Normal"/>
    <w:link w:val="TtuloCar"/>
    <w:uiPriority w:val="10"/>
    <w:qFormat/>
    <w:rsid w:val="00353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3D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3D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3D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3D81"/>
    <w:pPr>
      <w:spacing w:before="160"/>
      <w:jc w:val="center"/>
    </w:pPr>
    <w:rPr>
      <w:i/>
      <w:iCs/>
      <w:color w:val="404040" w:themeColor="text1" w:themeTint="BF"/>
    </w:rPr>
  </w:style>
  <w:style w:type="character" w:customStyle="1" w:styleId="CitaCar">
    <w:name w:val="Cita Car"/>
    <w:basedOn w:val="Fuentedeprrafopredeter"/>
    <w:link w:val="Cita"/>
    <w:uiPriority w:val="29"/>
    <w:rsid w:val="00353D81"/>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53D81"/>
    <w:pPr>
      <w:ind w:left="720"/>
      <w:contextualSpacing/>
    </w:pPr>
  </w:style>
  <w:style w:type="character" w:styleId="nfasisintenso">
    <w:name w:val="Intense Emphasis"/>
    <w:basedOn w:val="Fuentedeprrafopredeter"/>
    <w:uiPriority w:val="21"/>
    <w:qFormat/>
    <w:rsid w:val="00353D81"/>
    <w:rPr>
      <w:i/>
      <w:iCs/>
      <w:color w:val="0F4761" w:themeColor="accent1" w:themeShade="BF"/>
    </w:rPr>
  </w:style>
  <w:style w:type="paragraph" w:styleId="Citadestacada">
    <w:name w:val="Intense Quote"/>
    <w:basedOn w:val="Normal"/>
    <w:next w:val="Normal"/>
    <w:link w:val="CitadestacadaCar"/>
    <w:uiPriority w:val="30"/>
    <w:qFormat/>
    <w:rsid w:val="00353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3D81"/>
    <w:rPr>
      <w:i/>
      <w:iCs/>
      <w:color w:val="0F4761" w:themeColor="accent1" w:themeShade="BF"/>
    </w:rPr>
  </w:style>
  <w:style w:type="character" w:styleId="Referenciaintensa">
    <w:name w:val="Intense Reference"/>
    <w:basedOn w:val="Fuentedeprrafopredeter"/>
    <w:uiPriority w:val="32"/>
    <w:qFormat/>
    <w:rsid w:val="00353D81"/>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53D8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353D8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353D8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53D81"/>
    <w:rPr>
      <w:vertAlign w:val="superscript"/>
    </w:rPr>
  </w:style>
  <w:style w:type="paragraph" w:customStyle="1" w:styleId="Appelnotedebasde">
    <w:name w:val="Appel note de bas de..."/>
    <w:basedOn w:val="Normal"/>
    <w:link w:val="Refdenotaalpie"/>
    <w:uiPriority w:val="99"/>
    <w:rsid w:val="00353D81"/>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353D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D81"/>
    <w:rPr>
      <w:kern w:val="0"/>
      <w14:ligatures w14:val="none"/>
    </w:rPr>
  </w:style>
  <w:style w:type="paragraph" w:styleId="Piedepgina">
    <w:name w:val="footer"/>
    <w:basedOn w:val="Normal"/>
    <w:link w:val="PiedepginaCar"/>
    <w:uiPriority w:val="99"/>
    <w:unhideWhenUsed/>
    <w:rsid w:val="00353D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D81"/>
    <w:rPr>
      <w:kern w:val="0"/>
      <w14:ligatures w14:val="none"/>
    </w:rPr>
  </w:style>
  <w:style w:type="table" w:styleId="Tablaconcuadrcula">
    <w:name w:val="Table Grid"/>
    <w:basedOn w:val="Tablanormal"/>
    <w:uiPriority w:val="39"/>
    <w:qFormat/>
    <w:rsid w:val="00353D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3D81"/>
    <w:rPr>
      <w:color w:val="467886" w:themeColor="hyperlink"/>
      <w:u w:val="single"/>
    </w:rPr>
  </w:style>
  <w:style w:type="character" w:styleId="Refdecomentario">
    <w:name w:val="annotation reference"/>
    <w:basedOn w:val="Fuentedeprrafopredeter"/>
    <w:uiPriority w:val="99"/>
    <w:semiHidden/>
    <w:unhideWhenUsed/>
    <w:rsid w:val="00353D81"/>
    <w:rPr>
      <w:sz w:val="16"/>
      <w:szCs w:val="16"/>
    </w:rPr>
  </w:style>
  <w:style w:type="paragraph" w:styleId="Textocomentario">
    <w:name w:val="annotation text"/>
    <w:basedOn w:val="Normal"/>
    <w:link w:val="TextocomentarioCar"/>
    <w:uiPriority w:val="99"/>
    <w:unhideWhenUsed/>
    <w:rsid w:val="00353D81"/>
    <w:pPr>
      <w:spacing w:line="240" w:lineRule="auto"/>
    </w:pPr>
    <w:rPr>
      <w:sz w:val="20"/>
      <w:szCs w:val="20"/>
    </w:rPr>
  </w:style>
  <w:style w:type="character" w:customStyle="1" w:styleId="TextocomentarioCar">
    <w:name w:val="Texto comentario Car"/>
    <w:basedOn w:val="Fuentedeprrafopredeter"/>
    <w:link w:val="Textocomentario"/>
    <w:uiPriority w:val="99"/>
    <w:rsid w:val="00353D81"/>
    <w:rPr>
      <w:kern w:val="0"/>
      <w:sz w:val="20"/>
      <w:szCs w:val="20"/>
      <w14:ligatures w14:val="none"/>
    </w:rPr>
  </w:style>
  <w:style w:type="character" w:customStyle="1" w:styleId="normaltextrun">
    <w:name w:val="normaltextrun"/>
    <w:basedOn w:val="Fuentedeprrafopredeter"/>
    <w:rsid w:val="00353D81"/>
  </w:style>
  <w:style w:type="character" w:customStyle="1" w:styleId="eop">
    <w:name w:val="eop"/>
    <w:basedOn w:val="Fuentedeprrafopredeter"/>
    <w:rsid w:val="00353D81"/>
  </w:style>
  <w:style w:type="paragraph" w:customStyle="1" w:styleId="paragraph">
    <w:name w:val="paragraph"/>
    <w:basedOn w:val="Normal"/>
    <w:rsid w:val="00353D8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53D81"/>
  </w:style>
  <w:style w:type="character" w:styleId="Mencinsinresolver">
    <w:name w:val="Unresolved Mention"/>
    <w:basedOn w:val="Fuentedeprrafopredeter"/>
    <w:uiPriority w:val="99"/>
    <w:semiHidden/>
    <w:unhideWhenUsed/>
    <w:rsid w:val="00353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4335">
      <w:bodyDiv w:val="1"/>
      <w:marLeft w:val="0"/>
      <w:marRight w:val="0"/>
      <w:marTop w:val="0"/>
      <w:marBottom w:val="0"/>
      <w:divBdr>
        <w:top w:val="none" w:sz="0" w:space="0" w:color="auto"/>
        <w:left w:val="none" w:sz="0" w:space="0" w:color="auto"/>
        <w:bottom w:val="none" w:sz="0" w:space="0" w:color="auto"/>
        <w:right w:val="none" w:sz="0" w:space="0" w:color="auto"/>
      </w:divBdr>
      <w:divsChild>
        <w:div w:id="70396864">
          <w:marLeft w:val="0"/>
          <w:marRight w:val="0"/>
          <w:marTop w:val="0"/>
          <w:marBottom w:val="0"/>
          <w:divBdr>
            <w:top w:val="none" w:sz="0" w:space="0" w:color="auto"/>
            <w:left w:val="none" w:sz="0" w:space="0" w:color="auto"/>
            <w:bottom w:val="none" w:sz="0" w:space="0" w:color="auto"/>
            <w:right w:val="none" w:sz="0" w:space="0" w:color="auto"/>
          </w:divBdr>
          <w:divsChild>
            <w:div w:id="374736833">
              <w:marLeft w:val="0"/>
              <w:marRight w:val="0"/>
              <w:marTop w:val="0"/>
              <w:marBottom w:val="0"/>
              <w:divBdr>
                <w:top w:val="none" w:sz="0" w:space="0" w:color="auto"/>
                <w:left w:val="none" w:sz="0" w:space="0" w:color="auto"/>
                <w:bottom w:val="none" w:sz="0" w:space="0" w:color="auto"/>
                <w:right w:val="none" w:sz="0" w:space="0" w:color="auto"/>
              </w:divBdr>
              <w:divsChild>
                <w:div w:id="2107266451">
                  <w:marLeft w:val="0"/>
                  <w:marRight w:val="0"/>
                  <w:marTop w:val="0"/>
                  <w:marBottom w:val="0"/>
                  <w:divBdr>
                    <w:top w:val="none" w:sz="0" w:space="0" w:color="auto"/>
                    <w:left w:val="none" w:sz="0" w:space="0" w:color="auto"/>
                    <w:bottom w:val="none" w:sz="0" w:space="0" w:color="auto"/>
                    <w:right w:val="none" w:sz="0" w:space="0" w:color="auto"/>
                  </w:divBdr>
                  <w:divsChild>
                    <w:div w:id="835344450">
                      <w:marLeft w:val="0"/>
                      <w:marRight w:val="0"/>
                      <w:marTop w:val="0"/>
                      <w:marBottom w:val="0"/>
                      <w:divBdr>
                        <w:top w:val="none" w:sz="0" w:space="0" w:color="auto"/>
                        <w:left w:val="none" w:sz="0" w:space="0" w:color="auto"/>
                        <w:bottom w:val="none" w:sz="0" w:space="0" w:color="auto"/>
                        <w:right w:val="none" w:sz="0" w:space="0" w:color="auto"/>
                      </w:divBdr>
                      <w:divsChild>
                        <w:div w:id="1994137186">
                          <w:marLeft w:val="0"/>
                          <w:marRight w:val="0"/>
                          <w:marTop w:val="0"/>
                          <w:marBottom w:val="0"/>
                          <w:divBdr>
                            <w:top w:val="none" w:sz="0" w:space="0" w:color="auto"/>
                            <w:left w:val="none" w:sz="0" w:space="0" w:color="auto"/>
                            <w:bottom w:val="none" w:sz="0" w:space="0" w:color="auto"/>
                            <w:right w:val="none" w:sz="0" w:space="0" w:color="auto"/>
                          </w:divBdr>
                          <w:divsChild>
                            <w:div w:id="9677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018386">
      <w:bodyDiv w:val="1"/>
      <w:marLeft w:val="0"/>
      <w:marRight w:val="0"/>
      <w:marTop w:val="0"/>
      <w:marBottom w:val="0"/>
      <w:divBdr>
        <w:top w:val="none" w:sz="0" w:space="0" w:color="auto"/>
        <w:left w:val="none" w:sz="0" w:space="0" w:color="auto"/>
        <w:bottom w:val="none" w:sz="0" w:space="0" w:color="auto"/>
        <w:right w:val="none" w:sz="0" w:space="0" w:color="auto"/>
      </w:divBdr>
    </w:div>
    <w:div w:id="591398011">
      <w:bodyDiv w:val="1"/>
      <w:marLeft w:val="0"/>
      <w:marRight w:val="0"/>
      <w:marTop w:val="0"/>
      <w:marBottom w:val="0"/>
      <w:divBdr>
        <w:top w:val="none" w:sz="0" w:space="0" w:color="auto"/>
        <w:left w:val="none" w:sz="0" w:space="0" w:color="auto"/>
        <w:bottom w:val="none" w:sz="0" w:space="0" w:color="auto"/>
        <w:right w:val="none" w:sz="0" w:space="0" w:color="auto"/>
      </w:divBdr>
      <w:divsChild>
        <w:div w:id="923881417">
          <w:marLeft w:val="0"/>
          <w:marRight w:val="0"/>
          <w:marTop w:val="0"/>
          <w:marBottom w:val="0"/>
          <w:divBdr>
            <w:top w:val="none" w:sz="0" w:space="0" w:color="auto"/>
            <w:left w:val="none" w:sz="0" w:space="0" w:color="auto"/>
            <w:bottom w:val="none" w:sz="0" w:space="0" w:color="auto"/>
            <w:right w:val="none" w:sz="0" w:space="0" w:color="auto"/>
          </w:divBdr>
        </w:div>
        <w:div w:id="1846168473">
          <w:marLeft w:val="0"/>
          <w:marRight w:val="0"/>
          <w:marTop w:val="0"/>
          <w:marBottom w:val="0"/>
          <w:divBdr>
            <w:top w:val="none" w:sz="0" w:space="0" w:color="auto"/>
            <w:left w:val="none" w:sz="0" w:space="0" w:color="auto"/>
            <w:bottom w:val="none" w:sz="0" w:space="0" w:color="auto"/>
            <w:right w:val="none" w:sz="0" w:space="0" w:color="auto"/>
          </w:divBdr>
        </w:div>
        <w:div w:id="1066948855">
          <w:marLeft w:val="0"/>
          <w:marRight w:val="0"/>
          <w:marTop w:val="0"/>
          <w:marBottom w:val="0"/>
          <w:divBdr>
            <w:top w:val="none" w:sz="0" w:space="0" w:color="auto"/>
            <w:left w:val="none" w:sz="0" w:space="0" w:color="auto"/>
            <w:bottom w:val="none" w:sz="0" w:space="0" w:color="auto"/>
            <w:right w:val="none" w:sz="0" w:space="0" w:color="auto"/>
          </w:divBdr>
        </w:div>
      </w:divsChild>
    </w:div>
    <w:div w:id="810564280">
      <w:bodyDiv w:val="1"/>
      <w:marLeft w:val="0"/>
      <w:marRight w:val="0"/>
      <w:marTop w:val="0"/>
      <w:marBottom w:val="0"/>
      <w:divBdr>
        <w:top w:val="none" w:sz="0" w:space="0" w:color="auto"/>
        <w:left w:val="none" w:sz="0" w:space="0" w:color="auto"/>
        <w:bottom w:val="none" w:sz="0" w:space="0" w:color="auto"/>
        <w:right w:val="none" w:sz="0" w:space="0" w:color="auto"/>
      </w:divBdr>
      <w:divsChild>
        <w:div w:id="1709866901">
          <w:marLeft w:val="0"/>
          <w:marRight w:val="0"/>
          <w:marTop w:val="0"/>
          <w:marBottom w:val="0"/>
          <w:divBdr>
            <w:top w:val="none" w:sz="0" w:space="0" w:color="auto"/>
            <w:left w:val="none" w:sz="0" w:space="0" w:color="auto"/>
            <w:bottom w:val="none" w:sz="0" w:space="0" w:color="auto"/>
            <w:right w:val="none" w:sz="0" w:space="0" w:color="auto"/>
          </w:divBdr>
        </w:div>
        <w:div w:id="881206733">
          <w:marLeft w:val="0"/>
          <w:marRight w:val="0"/>
          <w:marTop w:val="0"/>
          <w:marBottom w:val="0"/>
          <w:divBdr>
            <w:top w:val="none" w:sz="0" w:space="0" w:color="auto"/>
            <w:left w:val="none" w:sz="0" w:space="0" w:color="auto"/>
            <w:bottom w:val="none" w:sz="0" w:space="0" w:color="auto"/>
            <w:right w:val="none" w:sz="0" w:space="0" w:color="auto"/>
          </w:divBdr>
        </w:div>
        <w:div w:id="1293753697">
          <w:marLeft w:val="0"/>
          <w:marRight w:val="0"/>
          <w:marTop w:val="0"/>
          <w:marBottom w:val="0"/>
          <w:divBdr>
            <w:top w:val="none" w:sz="0" w:space="0" w:color="auto"/>
            <w:left w:val="none" w:sz="0" w:space="0" w:color="auto"/>
            <w:bottom w:val="none" w:sz="0" w:space="0" w:color="auto"/>
            <w:right w:val="none" w:sz="0" w:space="0" w:color="auto"/>
          </w:divBdr>
        </w:div>
      </w:divsChild>
    </w:div>
    <w:div w:id="814226693">
      <w:bodyDiv w:val="1"/>
      <w:marLeft w:val="0"/>
      <w:marRight w:val="0"/>
      <w:marTop w:val="0"/>
      <w:marBottom w:val="0"/>
      <w:divBdr>
        <w:top w:val="none" w:sz="0" w:space="0" w:color="auto"/>
        <w:left w:val="none" w:sz="0" w:space="0" w:color="auto"/>
        <w:bottom w:val="none" w:sz="0" w:space="0" w:color="auto"/>
        <w:right w:val="none" w:sz="0" w:space="0" w:color="auto"/>
      </w:divBdr>
    </w:div>
    <w:div w:id="921719516">
      <w:bodyDiv w:val="1"/>
      <w:marLeft w:val="0"/>
      <w:marRight w:val="0"/>
      <w:marTop w:val="0"/>
      <w:marBottom w:val="0"/>
      <w:divBdr>
        <w:top w:val="none" w:sz="0" w:space="0" w:color="auto"/>
        <w:left w:val="none" w:sz="0" w:space="0" w:color="auto"/>
        <w:bottom w:val="none" w:sz="0" w:space="0" w:color="auto"/>
        <w:right w:val="none" w:sz="0" w:space="0" w:color="auto"/>
      </w:divBdr>
    </w:div>
    <w:div w:id="1258756129">
      <w:bodyDiv w:val="1"/>
      <w:marLeft w:val="0"/>
      <w:marRight w:val="0"/>
      <w:marTop w:val="0"/>
      <w:marBottom w:val="0"/>
      <w:divBdr>
        <w:top w:val="none" w:sz="0" w:space="0" w:color="auto"/>
        <w:left w:val="none" w:sz="0" w:space="0" w:color="auto"/>
        <w:bottom w:val="none" w:sz="0" w:space="0" w:color="auto"/>
        <w:right w:val="none" w:sz="0" w:space="0" w:color="auto"/>
      </w:divBdr>
    </w:div>
    <w:div w:id="1428963287">
      <w:bodyDiv w:val="1"/>
      <w:marLeft w:val="0"/>
      <w:marRight w:val="0"/>
      <w:marTop w:val="0"/>
      <w:marBottom w:val="0"/>
      <w:divBdr>
        <w:top w:val="none" w:sz="0" w:space="0" w:color="auto"/>
        <w:left w:val="none" w:sz="0" w:space="0" w:color="auto"/>
        <w:bottom w:val="none" w:sz="0" w:space="0" w:color="auto"/>
        <w:right w:val="none" w:sz="0" w:space="0" w:color="auto"/>
      </w:divBdr>
    </w:div>
    <w:div w:id="1599212349">
      <w:bodyDiv w:val="1"/>
      <w:marLeft w:val="0"/>
      <w:marRight w:val="0"/>
      <w:marTop w:val="0"/>
      <w:marBottom w:val="0"/>
      <w:divBdr>
        <w:top w:val="none" w:sz="0" w:space="0" w:color="auto"/>
        <w:left w:val="none" w:sz="0" w:space="0" w:color="auto"/>
        <w:bottom w:val="none" w:sz="0" w:space="0" w:color="auto"/>
        <w:right w:val="none" w:sz="0" w:space="0" w:color="auto"/>
      </w:divBdr>
    </w:div>
    <w:div w:id="1633633824">
      <w:bodyDiv w:val="1"/>
      <w:marLeft w:val="0"/>
      <w:marRight w:val="0"/>
      <w:marTop w:val="0"/>
      <w:marBottom w:val="0"/>
      <w:divBdr>
        <w:top w:val="none" w:sz="0" w:space="0" w:color="auto"/>
        <w:left w:val="none" w:sz="0" w:space="0" w:color="auto"/>
        <w:bottom w:val="none" w:sz="0" w:space="0" w:color="auto"/>
        <w:right w:val="none" w:sz="0" w:space="0" w:color="auto"/>
      </w:divBdr>
      <w:divsChild>
        <w:div w:id="2052537523">
          <w:marLeft w:val="0"/>
          <w:marRight w:val="0"/>
          <w:marTop w:val="0"/>
          <w:marBottom w:val="0"/>
          <w:divBdr>
            <w:top w:val="none" w:sz="0" w:space="0" w:color="auto"/>
            <w:left w:val="none" w:sz="0" w:space="0" w:color="auto"/>
            <w:bottom w:val="none" w:sz="0" w:space="0" w:color="auto"/>
            <w:right w:val="none" w:sz="0" w:space="0" w:color="auto"/>
          </w:divBdr>
          <w:divsChild>
            <w:div w:id="960497190">
              <w:marLeft w:val="0"/>
              <w:marRight w:val="0"/>
              <w:marTop w:val="0"/>
              <w:marBottom w:val="0"/>
              <w:divBdr>
                <w:top w:val="none" w:sz="0" w:space="0" w:color="auto"/>
                <w:left w:val="none" w:sz="0" w:space="0" w:color="auto"/>
                <w:bottom w:val="none" w:sz="0" w:space="0" w:color="auto"/>
                <w:right w:val="none" w:sz="0" w:space="0" w:color="auto"/>
              </w:divBdr>
              <w:divsChild>
                <w:div w:id="777457089">
                  <w:marLeft w:val="0"/>
                  <w:marRight w:val="0"/>
                  <w:marTop w:val="0"/>
                  <w:marBottom w:val="0"/>
                  <w:divBdr>
                    <w:top w:val="none" w:sz="0" w:space="0" w:color="auto"/>
                    <w:left w:val="none" w:sz="0" w:space="0" w:color="auto"/>
                    <w:bottom w:val="none" w:sz="0" w:space="0" w:color="auto"/>
                    <w:right w:val="none" w:sz="0" w:space="0" w:color="auto"/>
                  </w:divBdr>
                  <w:divsChild>
                    <w:div w:id="1981617945">
                      <w:marLeft w:val="0"/>
                      <w:marRight w:val="0"/>
                      <w:marTop w:val="0"/>
                      <w:marBottom w:val="0"/>
                      <w:divBdr>
                        <w:top w:val="none" w:sz="0" w:space="0" w:color="auto"/>
                        <w:left w:val="none" w:sz="0" w:space="0" w:color="auto"/>
                        <w:bottom w:val="none" w:sz="0" w:space="0" w:color="auto"/>
                        <w:right w:val="none" w:sz="0" w:space="0" w:color="auto"/>
                      </w:divBdr>
                      <w:divsChild>
                        <w:div w:id="1512797198">
                          <w:marLeft w:val="0"/>
                          <w:marRight w:val="0"/>
                          <w:marTop w:val="60"/>
                          <w:marBottom w:val="300"/>
                          <w:divBdr>
                            <w:top w:val="none" w:sz="0" w:space="0" w:color="auto"/>
                            <w:left w:val="none" w:sz="0" w:space="0" w:color="auto"/>
                            <w:bottom w:val="none" w:sz="0" w:space="0" w:color="auto"/>
                            <w:right w:val="none" w:sz="0" w:space="0" w:color="auto"/>
                          </w:divBdr>
                          <w:divsChild>
                            <w:div w:id="463817822">
                              <w:marLeft w:val="0"/>
                              <w:marRight w:val="240"/>
                              <w:marTop w:val="0"/>
                              <w:marBottom w:val="0"/>
                              <w:divBdr>
                                <w:top w:val="none" w:sz="0" w:space="0" w:color="auto"/>
                                <w:left w:val="none" w:sz="0" w:space="0" w:color="auto"/>
                                <w:bottom w:val="none" w:sz="0" w:space="0" w:color="auto"/>
                                <w:right w:val="none" w:sz="0" w:space="0" w:color="auto"/>
                              </w:divBdr>
                              <w:divsChild>
                                <w:div w:id="465973422">
                                  <w:marLeft w:val="0"/>
                                  <w:marRight w:val="0"/>
                                  <w:marTop w:val="0"/>
                                  <w:marBottom w:val="0"/>
                                  <w:divBdr>
                                    <w:top w:val="none" w:sz="0" w:space="0" w:color="auto"/>
                                    <w:left w:val="none" w:sz="0" w:space="0" w:color="auto"/>
                                    <w:bottom w:val="none" w:sz="0" w:space="0" w:color="auto"/>
                                    <w:right w:val="none" w:sz="0" w:space="0" w:color="auto"/>
                                  </w:divBdr>
                                  <w:divsChild>
                                    <w:div w:id="1626428729">
                                      <w:marLeft w:val="0"/>
                                      <w:marRight w:val="0"/>
                                      <w:marTop w:val="0"/>
                                      <w:marBottom w:val="0"/>
                                      <w:divBdr>
                                        <w:top w:val="none" w:sz="0" w:space="0" w:color="auto"/>
                                        <w:left w:val="none" w:sz="0" w:space="0" w:color="auto"/>
                                        <w:bottom w:val="none" w:sz="0" w:space="0" w:color="auto"/>
                                        <w:right w:val="none" w:sz="0" w:space="0" w:color="auto"/>
                                      </w:divBdr>
                                      <w:divsChild>
                                        <w:div w:id="1601448648">
                                          <w:marLeft w:val="0"/>
                                          <w:marRight w:val="0"/>
                                          <w:marTop w:val="0"/>
                                          <w:marBottom w:val="0"/>
                                          <w:divBdr>
                                            <w:top w:val="none" w:sz="0" w:space="0" w:color="auto"/>
                                            <w:left w:val="none" w:sz="0" w:space="0" w:color="auto"/>
                                            <w:bottom w:val="none" w:sz="0" w:space="0" w:color="auto"/>
                                            <w:right w:val="none" w:sz="0" w:space="0" w:color="auto"/>
                                          </w:divBdr>
                                          <w:divsChild>
                                            <w:div w:id="303396064">
                                              <w:marLeft w:val="0"/>
                                              <w:marRight w:val="0"/>
                                              <w:marTop w:val="0"/>
                                              <w:marBottom w:val="0"/>
                                              <w:divBdr>
                                                <w:top w:val="none" w:sz="0" w:space="0" w:color="auto"/>
                                                <w:left w:val="none" w:sz="0" w:space="0" w:color="auto"/>
                                                <w:bottom w:val="none" w:sz="0" w:space="0" w:color="auto"/>
                                                <w:right w:val="none" w:sz="0" w:space="0" w:color="auto"/>
                                              </w:divBdr>
                                              <w:divsChild>
                                                <w:div w:id="1815945379">
                                                  <w:marLeft w:val="0"/>
                                                  <w:marRight w:val="0"/>
                                                  <w:marTop w:val="0"/>
                                                  <w:marBottom w:val="0"/>
                                                  <w:divBdr>
                                                    <w:top w:val="none" w:sz="0" w:space="0" w:color="auto"/>
                                                    <w:left w:val="none" w:sz="0" w:space="0" w:color="auto"/>
                                                    <w:bottom w:val="none" w:sz="0" w:space="0" w:color="auto"/>
                                                    <w:right w:val="none" w:sz="0" w:space="0" w:color="auto"/>
                                                  </w:divBdr>
                                                  <w:divsChild>
                                                    <w:div w:id="16147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26384">
          <w:marLeft w:val="0"/>
          <w:marRight w:val="0"/>
          <w:marTop w:val="0"/>
          <w:marBottom w:val="0"/>
          <w:divBdr>
            <w:top w:val="none" w:sz="0" w:space="0" w:color="auto"/>
            <w:left w:val="none" w:sz="0" w:space="0" w:color="auto"/>
            <w:bottom w:val="none" w:sz="0" w:space="0" w:color="auto"/>
            <w:right w:val="none" w:sz="0" w:space="0" w:color="auto"/>
          </w:divBdr>
        </w:div>
      </w:divsChild>
    </w:div>
    <w:div w:id="1941985903">
      <w:bodyDiv w:val="1"/>
      <w:marLeft w:val="0"/>
      <w:marRight w:val="0"/>
      <w:marTop w:val="0"/>
      <w:marBottom w:val="0"/>
      <w:divBdr>
        <w:top w:val="none" w:sz="0" w:space="0" w:color="auto"/>
        <w:left w:val="none" w:sz="0" w:space="0" w:color="auto"/>
        <w:bottom w:val="none" w:sz="0" w:space="0" w:color="auto"/>
        <w:right w:val="none" w:sz="0" w:space="0" w:color="auto"/>
      </w:divBdr>
    </w:div>
    <w:div w:id="1998344132">
      <w:bodyDiv w:val="1"/>
      <w:marLeft w:val="0"/>
      <w:marRight w:val="0"/>
      <w:marTop w:val="0"/>
      <w:marBottom w:val="0"/>
      <w:divBdr>
        <w:top w:val="none" w:sz="0" w:space="0" w:color="auto"/>
        <w:left w:val="none" w:sz="0" w:space="0" w:color="auto"/>
        <w:bottom w:val="none" w:sz="0" w:space="0" w:color="auto"/>
        <w:right w:val="none" w:sz="0" w:space="0" w:color="auto"/>
      </w:divBdr>
      <w:divsChild>
        <w:div w:id="1662394413">
          <w:marLeft w:val="0"/>
          <w:marRight w:val="0"/>
          <w:marTop w:val="0"/>
          <w:marBottom w:val="0"/>
          <w:divBdr>
            <w:top w:val="none" w:sz="0" w:space="0" w:color="auto"/>
            <w:left w:val="none" w:sz="0" w:space="0" w:color="auto"/>
            <w:bottom w:val="none" w:sz="0" w:space="0" w:color="auto"/>
            <w:right w:val="none" w:sz="0" w:space="0" w:color="auto"/>
          </w:divBdr>
          <w:divsChild>
            <w:div w:id="211237177">
              <w:marLeft w:val="0"/>
              <w:marRight w:val="0"/>
              <w:marTop w:val="0"/>
              <w:marBottom w:val="0"/>
              <w:divBdr>
                <w:top w:val="none" w:sz="0" w:space="0" w:color="auto"/>
                <w:left w:val="none" w:sz="0" w:space="0" w:color="auto"/>
                <w:bottom w:val="none" w:sz="0" w:space="0" w:color="auto"/>
                <w:right w:val="none" w:sz="0" w:space="0" w:color="auto"/>
              </w:divBdr>
              <w:divsChild>
                <w:div w:id="1539078199">
                  <w:marLeft w:val="0"/>
                  <w:marRight w:val="0"/>
                  <w:marTop w:val="0"/>
                  <w:marBottom w:val="0"/>
                  <w:divBdr>
                    <w:top w:val="none" w:sz="0" w:space="0" w:color="auto"/>
                    <w:left w:val="none" w:sz="0" w:space="0" w:color="auto"/>
                    <w:bottom w:val="none" w:sz="0" w:space="0" w:color="auto"/>
                    <w:right w:val="none" w:sz="0" w:space="0" w:color="auto"/>
                  </w:divBdr>
                  <w:divsChild>
                    <w:div w:id="1901479720">
                      <w:marLeft w:val="0"/>
                      <w:marRight w:val="0"/>
                      <w:marTop w:val="0"/>
                      <w:marBottom w:val="0"/>
                      <w:divBdr>
                        <w:top w:val="none" w:sz="0" w:space="0" w:color="auto"/>
                        <w:left w:val="none" w:sz="0" w:space="0" w:color="auto"/>
                        <w:bottom w:val="none" w:sz="0" w:space="0" w:color="auto"/>
                        <w:right w:val="none" w:sz="0" w:space="0" w:color="auto"/>
                      </w:divBdr>
                      <w:divsChild>
                        <w:div w:id="354619679">
                          <w:marLeft w:val="0"/>
                          <w:marRight w:val="0"/>
                          <w:marTop w:val="0"/>
                          <w:marBottom w:val="0"/>
                          <w:divBdr>
                            <w:top w:val="none" w:sz="0" w:space="0" w:color="auto"/>
                            <w:left w:val="none" w:sz="0" w:space="0" w:color="auto"/>
                            <w:bottom w:val="none" w:sz="0" w:space="0" w:color="auto"/>
                            <w:right w:val="none" w:sz="0" w:space="0" w:color="auto"/>
                          </w:divBdr>
                          <w:divsChild>
                            <w:div w:id="1640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21916">
      <w:bodyDiv w:val="1"/>
      <w:marLeft w:val="0"/>
      <w:marRight w:val="0"/>
      <w:marTop w:val="0"/>
      <w:marBottom w:val="0"/>
      <w:divBdr>
        <w:top w:val="none" w:sz="0" w:space="0" w:color="auto"/>
        <w:left w:val="none" w:sz="0" w:space="0" w:color="auto"/>
        <w:bottom w:val="none" w:sz="0" w:space="0" w:color="auto"/>
        <w:right w:val="none" w:sz="0" w:space="0" w:color="auto"/>
      </w:divBdr>
      <w:divsChild>
        <w:div w:id="1778676061">
          <w:marLeft w:val="0"/>
          <w:marRight w:val="0"/>
          <w:marTop w:val="0"/>
          <w:marBottom w:val="0"/>
          <w:divBdr>
            <w:top w:val="none" w:sz="0" w:space="0" w:color="auto"/>
            <w:left w:val="none" w:sz="0" w:space="0" w:color="auto"/>
            <w:bottom w:val="none" w:sz="0" w:space="0" w:color="auto"/>
            <w:right w:val="none" w:sz="0" w:space="0" w:color="auto"/>
          </w:divBdr>
          <w:divsChild>
            <w:div w:id="1986815076">
              <w:marLeft w:val="0"/>
              <w:marRight w:val="0"/>
              <w:marTop w:val="0"/>
              <w:marBottom w:val="0"/>
              <w:divBdr>
                <w:top w:val="none" w:sz="0" w:space="0" w:color="auto"/>
                <w:left w:val="none" w:sz="0" w:space="0" w:color="auto"/>
                <w:bottom w:val="none" w:sz="0" w:space="0" w:color="auto"/>
                <w:right w:val="none" w:sz="0" w:space="0" w:color="auto"/>
              </w:divBdr>
              <w:divsChild>
                <w:div w:id="258415347">
                  <w:marLeft w:val="0"/>
                  <w:marRight w:val="0"/>
                  <w:marTop w:val="0"/>
                  <w:marBottom w:val="0"/>
                  <w:divBdr>
                    <w:top w:val="none" w:sz="0" w:space="0" w:color="auto"/>
                    <w:left w:val="none" w:sz="0" w:space="0" w:color="auto"/>
                    <w:bottom w:val="none" w:sz="0" w:space="0" w:color="auto"/>
                    <w:right w:val="none" w:sz="0" w:space="0" w:color="auto"/>
                  </w:divBdr>
                  <w:divsChild>
                    <w:div w:id="1439788717">
                      <w:marLeft w:val="0"/>
                      <w:marRight w:val="0"/>
                      <w:marTop w:val="0"/>
                      <w:marBottom w:val="0"/>
                      <w:divBdr>
                        <w:top w:val="none" w:sz="0" w:space="0" w:color="auto"/>
                        <w:left w:val="none" w:sz="0" w:space="0" w:color="auto"/>
                        <w:bottom w:val="none" w:sz="0" w:space="0" w:color="auto"/>
                        <w:right w:val="none" w:sz="0" w:space="0" w:color="auto"/>
                      </w:divBdr>
                      <w:divsChild>
                        <w:div w:id="2038460920">
                          <w:marLeft w:val="0"/>
                          <w:marRight w:val="0"/>
                          <w:marTop w:val="60"/>
                          <w:marBottom w:val="300"/>
                          <w:divBdr>
                            <w:top w:val="none" w:sz="0" w:space="0" w:color="auto"/>
                            <w:left w:val="none" w:sz="0" w:space="0" w:color="auto"/>
                            <w:bottom w:val="none" w:sz="0" w:space="0" w:color="auto"/>
                            <w:right w:val="none" w:sz="0" w:space="0" w:color="auto"/>
                          </w:divBdr>
                          <w:divsChild>
                            <w:div w:id="1855848534">
                              <w:marLeft w:val="0"/>
                              <w:marRight w:val="240"/>
                              <w:marTop w:val="0"/>
                              <w:marBottom w:val="0"/>
                              <w:divBdr>
                                <w:top w:val="none" w:sz="0" w:space="0" w:color="auto"/>
                                <w:left w:val="none" w:sz="0" w:space="0" w:color="auto"/>
                                <w:bottom w:val="none" w:sz="0" w:space="0" w:color="auto"/>
                                <w:right w:val="none" w:sz="0" w:space="0" w:color="auto"/>
                              </w:divBdr>
                              <w:divsChild>
                                <w:div w:id="1491017353">
                                  <w:marLeft w:val="0"/>
                                  <w:marRight w:val="0"/>
                                  <w:marTop w:val="0"/>
                                  <w:marBottom w:val="0"/>
                                  <w:divBdr>
                                    <w:top w:val="none" w:sz="0" w:space="0" w:color="auto"/>
                                    <w:left w:val="none" w:sz="0" w:space="0" w:color="auto"/>
                                    <w:bottom w:val="none" w:sz="0" w:space="0" w:color="auto"/>
                                    <w:right w:val="none" w:sz="0" w:space="0" w:color="auto"/>
                                  </w:divBdr>
                                  <w:divsChild>
                                    <w:div w:id="878515030">
                                      <w:marLeft w:val="0"/>
                                      <w:marRight w:val="0"/>
                                      <w:marTop w:val="0"/>
                                      <w:marBottom w:val="0"/>
                                      <w:divBdr>
                                        <w:top w:val="none" w:sz="0" w:space="0" w:color="auto"/>
                                        <w:left w:val="none" w:sz="0" w:space="0" w:color="auto"/>
                                        <w:bottom w:val="none" w:sz="0" w:space="0" w:color="auto"/>
                                        <w:right w:val="none" w:sz="0" w:space="0" w:color="auto"/>
                                      </w:divBdr>
                                      <w:divsChild>
                                        <w:div w:id="707074751">
                                          <w:marLeft w:val="0"/>
                                          <w:marRight w:val="0"/>
                                          <w:marTop w:val="0"/>
                                          <w:marBottom w:val="0"/>
                                          <w:divBdr>
                                            <w:top w:val="none" w:sz="0" w:space="0" w:color="auto"/>
                                            <w:left w:val="none" w:sz="0" w:space="0" w:color="auto"/>
                                            <w:bottom w:val="none" w:sz="0" w:space="0" w:color="auto"/>
                                            <w:right w:val="none" w:sz="0" w:space="0" w:color="auto"/>
                                          </w:divBdr>
                                          <w:divsChild>
                                            <w:div w:id="1036005290">
                                              <w:marLeft w:val="0"/>
                                              <w:marRight w:val="0"/>
                                              <w:marTop w:val="0"/>
                                              <w:marBottom w:val="0"/>
                                              <w:divBdr>
                                                <w:top w:val="none" w:sz="0" w:space="0" w:color="auto"/>
                                                <w:left w:val="none" w:sz="0" w:space="0" w:color="auto"/>
                                                <w:bottom w:val="none" w:sz="0" w:space="0" w:color="auto"/>
                                                <w:right w:val="none" w:sz="0" w:space="0" w:color="auto"/>
                                              </w:divBdr>
                                              <w:divsChild>
                                                <w:div w:id="1272857032">
                                                  <w:marLeft w:val="0"/>
                                                  <w:marRight w:val="0"/>
                                                  <w:marTop w:val="0"/>
                                                  <w:marBottom w:val="0"/>
                                                  <w:divBdr>
                                                    <w:top w:val="none" w:sz="0" w:space="0" w:color="auto"/>
                                                    <w:left w:val="none" w:sz="0" w:space="0" w:color="auto"/>
                                                    <w:bottom w:val="none" w:sz="0" w:space="0" w:color="auto"/>
                                                    <w:right w:val="none" w:sz="0" w:space="0" w:color="auto"/>
                                                  </w:divBdr>
                                                  <w:divsChild>
                                                    <w:div w:id="20334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433391">
          <w:marLeft w:val="0"/>
          <w:marRight w:val="0"/>
          <w:marTop w:val="0"/>
          <w:marBottom w:val="0"/>
          <w:divBdr>
            <w:top w:val="none" w:sz="0" w:space="0" w:color="auto"/>
            <w:left w:val="none" w:sz="0" w:space="0" w:color="auto"/>
            <w:bottom w:val="none" w:sz="0" w:space="0" w:color="auto"/>
            <w:right w:val="none" w:sz="0" w:space="0" w:color="auto"/>
          </w:divBdr>
        </w:div>
      </w:divsChild>
    </w:div>
    <w:div w:id="2116631064">
      <w:bodyDiv w:val="1"/>
      <w:marLeft w:val="0"/>
      <w:marRight w:val="0"/>
      <w:marTop w:val="0"/>
      <w:marBottom w:val="0"/>
      <w:divBdr>
        <w:top w:val="none" w:sz="0" w:space="0" w:color="auto"/>
        <w:left w:val="none" w:sz="0" w:space="0" w:color="auto"/>
        <w:bottom w:val="none" w:sz="0" w:space="0" w:color="auto"/>
        <w:right w:val="none" w:sz="0" w:space="0" w:color="auto"/>
      </w:divBdr>
      <w:divsChild>
        <w:div w:id="393241006">
          <w:marLeft w:val="0"/>
          <w:marRight w:val="0"/>
          <w:marTop w:val="0"/>
          <w:marBottom w:val="0"/>
          <w:divBdr>
            <w:top w:val="none" w:sz="0" w:space="0" w:color="auto"/>
            <w:left w:val="none" w:sz="0" w:space="0" w:color="auto"/>
            <w:bottom w:val="none" w:sz="0" w:space="0" w:color="auto"/>
            <w:right w:val="none" w:sz="0" w:space="0" w:color="auto"/>
          </w:divBdr>
          <w:divsChild>
            <w:div w:id="2045401468">
              <w:marLeft w:val="0"/>
              <w:marRight w:val="0"/>
              <w:marTop w:val="0"/>
              <w:marBottom w:val="0"/>
              <w:divBdr>
                <w:top w:val="none" w:sz="0" w:space="0" w:color="auto"/>
                <w:left w:val="none" w:sz="0" w:space="0" w:color="auto"/>
                <w:bottom w:val="none" w:sz="0" w:space="0" w:color="auto"/>
                <w:right w:val="none" w:sz="0" w:space="0" w:color="auto"/>
              </w:divBdr>
              <w:divsChild>
                <w:div w:id="117457404">
                  <w:marLeft w:val="0"/>
                  <w:marRight w:val="0"/>
                  <w:marTop w:val="0"/>
                  <w:marBottom w:val="0"/>
                  <w:divBdr>
                    <w:top w:val="none" w:sz="0" w:space="0" w:color="auto"/>
                    <w:left w:val="none" w:sz="0" w:space="0" w:color="auto"/>
                    <w:bottom w:val="none" w:sz="0" w:space="0" w:color="auto"/>
                    <w:right w:val="none" w:sz="0" w:space="0" w:color="auto"/>
                  </w:divBdr>
                  <w:divsChild>
                    <w:div w:id="1232156556">
                      <w:marLeft w:val="0"/>
                      <w:marRight w:val="0"/>
                      <w:marTop w:val="0"/>
                      <w:marBottom w:val="0"/>
                      <w:divBdr>
                        <w:top w:val="none" w:sz="0" w:space="0" w:color="auto"/>
                        <w:left w:val="none" w:sz="0" w:space="0" w:color="auto"/>
                        <w:bottom w:val="none" w:sz="0" w:space="0" w:color="auto"/>
                        <w:right w:val="none" w:sz="0" w:space="0" w:color="auto"/>
                      </w:divBdr>
                      <w:divsChild>
                        <w:div w:id="2031099281">
                          <w:marLeft w:val="0"/>
                          <w:marRight w:val="0"/>
                          <w:marTop w:val="0"/>
                          <w:marBottom w:val="0"/>
                          <w:divBdr>
                            <w:top w:val="none" w:sz="0" w:space="0" w:color="auto"/>
                            <w:left w:val="none" w:sz="0" w:space="0" w:color="auto"/>
                            <w:bottom w:val="none" w:sz="0" w:space="0" w:color="auto"/>
                            <w:right w:val="none" w:sz="0" w:space="0" w:color="auto"/>
                          </w:divBdr>
                          <w:divsChild>
                            <w:div w:id="17314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uloareizataylor@gmail.com" TargetMode="External"/><Relationship Id="rId13" Type="http://schemas.openxmlformats.org/officeDocument/2006/relationships/hyperlink" Target="https://nam02.safelinks.protection.outlook.com/?url=https%3A%2F%2Fwww.colombiacompra.gov.co%2Fsala-de-prensa%2Fboletin-digital&amp;data=05%7C02%7Candreina.cerpa%40colombiacompra.gov.co%7C096eca3fdcca424ff1c708dcf932f947%7C7b09041e245149d08cb179d5e3d8c1be%7C0%7C0%7C638659244553129750%7CUnknown%7CTWFpbGZsb3d8eyJWIjoiMC4wLjAwMDAiLCJQIjoiV2luMzIiLCJBTiI6Ik1haWwiLCJXVCI6Mn0%3D%7C0%7C%7C%7C&amp;sdata=TPSikXYdiaZ7j6%2BW39%2BMNPMouatq7ONRQMFwgX4AQak%3D&amp;reserved=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nam02.safelinks.protection.outlook.com/?url=https%3A%2F%2Fwww.sucop.gov.co%2Fentidades%2Fcolombiacompra%2FNormativa%3FIDNorma%3D18320&amp;data=05%7C02%7Candreina.cerpa%40colombiacompra.gov.co%7C096eca3fdcca424ff1c708dcf932f947%7C7b09041e245149d08cb179d5e3d8c1be%7C0%7C0%7C638659244553118377%7CUnknown%7CTWFpbGZsb3d8eyJWIjoiMC4wLjAwMDAiLCJQIjoiV2luMzIiLCJBTiI6Ik1haWwiLCJXVCI6Mn0%3D%7C0%7C%7C%7C&amp;sdata=GLeg7SM%2B%2FRxgqbeVVQ2kAB42HlF%2BLA2V9MH2iP6TELo%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3A%2F%2Fwww.colombiacompra.gov.co%2Fcontent%2Fborrador-de-documentos-tipo-de-interventoria-de-obra-publica-de-infraestructura-de&amp;data=05%7C02%7Candreina.cerpa%40colombiacompra.gov.co%7C096eca3fdcca424ff1c708dcf932f947%7C7b09041e245149d08cb179d5e3d8c1be%7C0%7C0%7C638659244553106601%7CUnknown%7CTWFpbGZsb3d8eyJWIjoiMC4wLjAwMDAiLCJQIjoiV2luMzIiLCJBTiI6Ik1haWwiLCJXVCI6Mn0%3D%7C0%7C%7C%7C&amp;sdata=3bx45dHvyLBsz0xlBnt2sZ7JCsO1WHwvxX5esmdiOnE%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m02.safelinks.protection.outlook.com/?url=https%3A%2F%2Fwww.colombiacompra.gov.co%2Fcontent%2Fborrador-de-documentos-tipo-de-consultoria-de-obra-publica-de-infraestructura-de-transporte&amp;data=05%7C02%7Candreina.cerpa%40colombiacompra.gov.co%7C096eca3fdcca424ff1c708dcf932f947%7C7b09041e245149d08cb179d5e3d8c1be%7C0%7C0%7C638659244553089105%7CUnknown%7CTWFpbGZsb3d8eyJWIjoiMC4wLjAwMDAiLCJQIjoiV2luMzIiLCJBTiI6Ik1haWwiLCJXVCI6Mn0%3D%7C0%7C%7C%7C&amp;sdata=sbTbikmBPVtCbo7mXkVZFxvU9C9ryShyBoc6QGPGO1A%3D&amp;reserved=0"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nam02.safelinks.protection.outlook.com/?url=https%3A%2F%2Frelatoria.colombiacompra.gov.co%2F&amp;data=05%7C02%7Csantiago.herrera%40colombiacompra.gov.co%7C5aad36a736844ec87b2108dcc1fa4639%7C7b09041e245149d08cb179d5e3d8c1be%7C0%7C0%7C638598527916403321%7CUnknown%7CTWFpbGZsb3d8eyJWIjoiMC4wLjAwMDAiLCJQIjoiV2luMzIiLCJBTiI6Ik1haWwiLCJXVCI6Mn0%3D%7C0%7C%7C%7C&amp;sdata=neyw9B8a4kmrys5KzRYzkS0Ic%2B9lB44MAv0EAAX%2BfcY%3D&amp;reserved=0"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453869-9B8C-479A-813A-78B7E2A501B6}"/>
</file>

<file path=customXml/itemProps2.xml><?xml version="1.0" encoding="utf-8"?>
<ds:datastoreItem xmlns:ds="http://schemas.openxmlformats.org/officeDocument/2006/customXml" ds:itemID="{BAE60570-110D-475D-BD08-66EB5CF61582}"/>
</file>

<file path=customXml/itemProps3.xml><?xml version="1.0" encoding="utf-8"?>
<ds:datastoreItem xmlns:ds="http://schemas.openxmlformats.org/officeDocument/2006/customXml" ds:itemID="{550563DD-EB19-4D23-80DF-ECEC424464AE}"/>
</file>

<file path=docProps/app.xml><?xml version="1.0" encoding="utf-8"?>
<Properties xmlns="http://schemas.openxmlformats.org/officeDocument/2006/extended-properties" xmlns:vt="http://schemas.openxmlformats.org/officeDocument/2006/docPropsVTypes">
  <Template>Normal</Template>
  <TotalTime>1055</TotalTime>
  <Pages>16</Pages>
  <Words>4905</Words>
  <Characters>26982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36</cp:revision>
  <dcterms:created xsi:type="dcterms:W3CDTF">2024-11-13T21:34:00Z</dcterms:created>
  <dcterms:modified xsi:type="dcterms:W3CDTF">2024-12-24T16:54:00Z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