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414A3" w14:textId="77777777" w:rsidR="00BC6C87" w:rsidRDefault="00BC6C87" w:rsidP="00E80F98">
      <w:pPr>
        <w:spacing w:after="0" w:line="240" w:lineRule="auto"/>
        <w:rPr>
          <w:rFonts w:ascii="Verdana" w:eastAsia="Geomanist Light" w:hAnsi="Verdana" w:cs="Arial"/>
          <w:lang w:val="es-MX"/>
        </w:rPr>
      </w:pPr>
    </w:p>
    <w:p w14:paraId="6D6EFBEB" w14:textId="77777777" w:rsidR="00BC6C87" w:rsidRDefault="00BC6C87" w:rsidP="00E80F98">
      <w:pPr>
        <w:spacing w:after="0" w:line="240" w:lineRule="auto"/>
        <w:rPr>
          <w:rFonts w:ascii="Verdana" w:eastAsia="Geomanist Light" w:hAnsi="Verdana" w:cs="Arial"/>
          <w:lang w:val="es-MX"/>
        </w:rPr>
      </w:pPr>
    </w:p>
    <w:p w14:paraId="415A6892" w14:textId="77777777" w:rsidR="00BC6C87" w:rsidRDefault="00BC6C87" w:rsidP="00E80F98">
      <w:pPr>
        <w:spacing w:after="0" w:line="240" w:lineRule="auto"/>
        <w:rPr>
          <w:rFonts w:ascii="Verdana" w:eastAsia="Geomanist Light" w:hAnsi="Verdana" w:cs="Arial"/>
          <w:lang w:val="es-MX"/>
        </w:rPr>
      </w:pPr>
    </w:p>
    <w:p w14:paraId="36889746" w14:textId="77777777" w:rsidR="00BC6C87" w:rsidRPr="00BC6C87" w:rsidRDefault="00BC6C87" w:rsidP="00BC6C87">
      <w:pPr>
        <w:spacing w:after="0" w:line="240" w:lineRule="auto"/>
        <w:jc w:val="both"/>
        <w:rPr>
          <w:rFonts w:ascii="Verdana" w:eastAsia="Geomanist Light" w:hAnsi="Verdana" w:cs="Arial"/>
          <w:b/>
          <w:lang w:val="es-ES_tradnl"/>
        </w:rPr>
      </w:pPr>
      <w:r w:rsidRPr="00BC6C87">
        <w:rPr>
          <w:rFonts w:ascii="Verdana" w:eastAsia="Geomanist Light" w:hAnsi="Verdana" w:cs="Arial"/>
          <w:b/>
          <w:lang w:val="es-ES_tradnl"/>
        </w:rPr>
        <w:t xml:space="preserve">LIQUIDACIÓN DEL CONTRATO – Definición – Objetivo </w:t>
      </w:r>
    </w:p>
    <w:p w14:paraId="31201A11" w14:textId="77777777" w:rsidR="00BC6C87" w:rsidRPr="00BC6C87" w:rsidRDefault="00BC6C87" w:rsidP="00BC6C87">
      <w:pPr>
        <w:spacing w:after="0" w:line="240" w:lineRule="auto"/>
        <w:jc w:val="both"/>
        <w:rPr>
          <w:rFonts w:ascii="Verdana" w:eastAsia="Geomanist Light" w:hAnsi="Verdana" w:cs="Arial"/>
          <w:b/>
          <w:lang w:val="es-ES_tradnl"/>
        </w:rPr>
      </w:pPr>
    </w:p>
    <w:p w14:paraId="3794DC83" w14:textId="77777777" w:rsidR="00BC6C87" w:rsidRPr="00BC6C87" w:rsidRDefault="00BC6C87" w:rsidP="7F41951F">
      <w:pPr>
        <w:spacing w:after="0" w:line="240" w:lineRule="auto"/>
        <w:jc w:val="both"/>
        <w:rPr>
          <w:rFonts w:ascii="Verdana" w:eastAsia="Geomanist Light" w:hAnsi="Verdana" w:cs="Arial"/>
          <w:lang w:val="es-ES"/>
        </w:rPr>
      </w:pPr>
      <w:r w:rsidRPr="7F41951F">
        <w:rPr>
          <w:rFonts w:ascii="Verdana" w:eastAsia="Geomanist Light" w:hAnsi="Verdana" w:cs="Arial"/>
          <w:lang w:val="es-ES"/>
        </w:rPr>
        <w:t xml:space="preserve">La liquidación del contrato estatal es el ajuste de cuentas en el cual se realiza un balance económico, técnico y jurídico del negocio. Así lo manifestó el Consejo de Estado en la sentencia del 20 de octubre de 2014, en la que consideró, por un lado, que </w:t>
      </w:r>
      <w:r w:rsidRPr="7F41951F">
        <w:rPr>
          <w:rFonts w:ascii="Verdana" w:eastAsia="Geomanist Light" w:hAnsi="Verdana" w:cs="Arial"/>
          <w:i/>
          <w:iCs/>
          <w:lang w:val="es-ES"/>
        </w:rPr>
        <w:t>liquidar</w:t>
      </w:r>
      <w:r w:rsidRPr="7F41951F">
        <w:rPr>
          <w:rFonts w:ascii="Verdana" w:eastAsia="Geomanist Light" w:hAnsi="Verdana" w:cs="Arial"/>
          <w:lang w:val="es-ES"/>
        </w:rPr>
        <w:t xml:space="preserve"> supone un ajuste en relación con las cuentas y el estado de cumplimiento del contrato estatal y, por otro, que la </w:t>
      </w:r>
      <w:r w:rsidRPr="7F41951F">
        <w:rPr>
          <w:rFonts w:ascii="Verdana" w:eastAsia="Geomanist Light" w:hAnsi="Verdana" w:cs="Arial"/>
          <w:i/>
          <w:iCs/>
          <w:lang w:val="es-ES"/>
        </w:rPr>
        <w:t>liquidación</w:t>
      </w:r>
      <w:r w:rsidRPr="7F41951F">
        <w:rPr>
          <w:rFonts w:ascii="Verdana" w:eastAsia="Geomanist Light" w:hAnsi="Verdana" w:cs="Arial"/>
          <w:lang w:val="es-ES"/>
        </w:rPr>
        <w:t xml:space="preserve"> debe incluir el análisis de las condiciones de calidad y oportunidad en la entrega de los bienes, obras o servicios, así como el balance económico y el comportamiento financiero del negocio.</w:t>
      </w:r>
    </w:p>
    <w:p w14:paraId="4414EFF4" w14:textId="77777777" w:rsidR="00BC6C87" w:rsidRDefault="00BC6C87" w:rsidP="00E80F98">
      <w:pPr>
        <w:spacing w:after="0" w:line="240" w:lineRule="auto"/>
        <w:rPr>
          <w:rFonts w:ascii="Verdana" w:eastAsia="Geomanist Light" w:hAnsi="Verdana" w:cs="Arial"/>
          <w:lang w:val="es-MX"/>
        </w:rPr>
      </w:pPr>
    </w:p>
    <w:p w14:paraId="0E0A2E54" w14:textId="77777777" w:rsidR="00BC6C87" w:rsidRDefault="00BC6C87" w:rsidP="00E80F98">
      <w:pPr>
        <w:spacing w:after="0" w:line="240" w:lineRule="auto"/>
        <w:rPr>
          <w:rFonts w:ascii="Verdana" w:eastAsia="Geomanist Light" w:hAnsi="Verdana" w:cs="Arial"/>
          <w:lang w:val="es-MX"/>
        </w:rPr>
      </w:pPr>
    </w:p>
    <w:p w14:paraId="1345E141" w14:textId="77777777" w:rsidR="00BC6C87" w:rsidRDefault="00BC6C87" w:rsidP="00E80F98">
      <w:pPr>
        <w:spacing w:after="0" w:line="240" w:lineRule="auto"/>
        <w:rPr>
          <w:rFonts w:ascii="Verdana" w:eastAsia="Geomanist Light" w:hAnsi="Verdana" w:cs="Arial"/>
          <w:lang w:val="es-MX"/>
        </w:rPr>
      </w:pPr>
    </w:p>
    <w:p w14:paraId="60EC2386" w14:textId="77777777" w:rsidR="00BC6C87" w:rsidRDefault="00BC6C87" w:rsidP="00E80F98">
      <w:pPr>
        <w:spacing w:after="0" w:line="240" w:lineRule="auto"/>
        <w:rPr>
          <w:rFonts w:ascii="Verdana" w:eastAsia="Geomanist Light" w:hAnsi="Verdana" w:cs="Arial"/>
          <w:lang w:val="es-MX"/>
        </w:rPr>
      </w:pPr>
    </w:p>
    <w:p w14:paraId="675E9D54" w14:textId="77777777" w:rsidR="00BC6C87" w:rsidRDefault="00BC6C87" w:rsidP="00E80F98">
      <w:pPr>
        <w:spacing w:after="0" w:line="240" w:lineRule="auto"/>
        <w:rPr>
          <w:rFonts w:ascii="Verdana" w:eastAsia="Geomanist Light" w:hAnsi="Verdana" w:cs="Arial"/>
          <w:lang w:val="es-MX"/>
        </w:rPr>
      </w:pPr>
    </w:p>
    <w:p w14:paraId="63F5FE04" w14:textId="77777777" w:rsidR="00BC6C87" w:rsidRDefault="00BC6C87" w:rsidP="00E80F98">
      <w:pPr>
        <w:spacing w:after="0" w:line="240" w:lineRule="auto"/>
        <w:rPr>
          <w:rFonts w:ascii="Verdana" w:eastAsia="Geomanist Light" w:hAnsi="Verdana" w:cs="Arial"/>
          <w:lang w:val="es-MX"/>
        </w:rPr>
      </w:pPr>
    </w:p>
    <w:p w14:paraId="0C9F96EA" w14:textId="77777777" w:rsidR="00BC6C87" w:rsidRDefault="00BC6C87" w:rsidP="00E80F98">
      <w:pPr>
        <w:spacing w:after="0" w:line="240" w:lineRule="auto"/>
        <w:rPr>
          <w:rFonts w:ascii="Verdana" w:eastAsia="Geomanist Light" w:hAnsi="Verdana" w:cs="Arial"/>
          <w:lang w:val="es-MX"/>
        </w:rPr>
      </w:pPr>
    </w:p>
    <w:p w14:paraId="3B1D385F" w14:textId="77777777" w:rsidR="00BC6C87" w:rsidRDefault="00BC6C87" w:rsidP="00E80F98">
      <w:pPr>
        <w:spacing w:after="0" w:line="240" w:lineRule="auto"/>
        <w:rPr>
          <w:rFonts w:ascii="Verdana" w:eastAsia="Geomanist Light" w:hAnsi="Verdana" w:cs="Arial"/>
          <w:lang w:val="es-MX"/>
        </w:rPr>
      </w:pPr>
    </w:p>
    <w:p w14:paraId="3A762749" w14:textId="77777777" w:rsidR="00BC6C87" w:rsidRDefault="00BC6C87" w:rsidP="00E80F98">
      <w:pPr>
        <w:spacing w:after="0" w:line="240" w:lineRule="auto"/>
        <w:rPr>
          <w:rFonts w:ascii="Verdana" w:eastAsia="Geomanist Light" w:hAnsi="Verdana" w:cs="Arial"/>
          <w:lang w:val="es-MX"/>
        </w:rPr>
      </w:pPr>
    </w:p>
    <w:p w14:paraId="353F1C9D" w14:textId="77777777" w:rsidR="00BC6C87" w:rsidRDefault="00BC6C87" w:rsidP="00E80F98">
      <w:pPr>
        <w:spacing w:after="0" w:line="240" w:lineRule="auto"/>
        <w:rPr>
          <w:rFonts w:ascii="Verdana" w:eastAsia="Geomanist Light" w:hAnsi="Verdana" w:cs="Arial"/>
          <w:lang w:val="es-MX"/>
        </w:rPr>
      </w:pPr>
    </w:p>
    <w:p w14:paraId="2485A597" w14:textId="77777777" w:rsidR="00BC6C87" w:rsidRDefault="00BC6C87" w:rsidP="00E80F98">
      <w:pPr>
        <w:spacing w:after="0" w:line="240" w:lineRule="auto"/>
        <w:rPr>
          <w:rFonts w:ascii="Verdana" w:eastAsia="Geomanist Light" w:hAnsi="Verdana" w:cs="Arial"/>
          <w:lang w:val="es-MX"/>
        </w:rPr>
      </w:pPr>
    </w:p>
    <w:p w14:paraId="28269F8D" w14:textId="77777777" w:rsidR="00BC6C87" w:rsidRDefault="00BC6C87" w:rsidP="00E80F98">
      <w:pPr>
        <w:spacing w:after="0" w:line="240" w:lineRule="auto"/>
        <w:rPr>
          <w:rFonts w:ascii="Verdana" w:eastAsia="Geomanist Light" w:hAnsi="Verdana" w:cs="Arial"/>
          <w:lang w:val="es-MX"/>
        </w:rPr>
      </w:pPr>
    </w:p>
    <w:p w14:paraId="2C4DFE43" w14:textId="77777777" w:rsidR="00BC6C87" w:rsidRDefault="00BC6C87" w:rsidP="00E80F98">
      <w:pPr>
        <w:spacing w:after="0" w:line="240" w:lineRule="auto"/>
        <w:rPr>
          <w:rFonts w:ascii="Verdana" w:eastAsia="Geomanist Light" w:hAnsi="Verdana" w:cs="Arial"/>
          <w:lang w:val="es-MX"/>
        </w:rPr>
      </w:pPr>
    </w:p>
    <w:p w14:paraId="35E290B2" w14:textId="77777777" w:rsidR="00BC6C87" w:rsidRDefault="00BC6C87" w:rsidP="00E80F98">
      <w:pPr>
        <w:spacing w:after="0" w:line="240" w:lineRule="auto"/>
        <w:rPr>
          <w:rFonts w:ascii="Verdana" w:eastAsia="Geomanist Light" w:hAnsi="Verdana" w:cs="Arial"/>
          <w:lang w:val="es-MX"/>
        </w:rPr>
      </w:pPr>
    </w:p>
    <w:p w14:paraId="5AA11861" w14:textId="77777777" w:rsidR="00BC6C87" w:rsidRDefault="00BC6C87" w:rsidP="00E80F98">
      <w:pPr>
        <w:spacing w:after="0" w:line="240" w:lineRule="auto"/>
        <w:rPr>
          <w:rFonts w:ascii="Verdana" w:eastAsia="Geomanist Light" w:hAnsi="Verdana" w:cs="Arial"/>
          <w:lang w:val="es-MX"/>
        </w:rPr>
      </w:pPr>
    </w:p>
    <w:p w14:paraId="0347A72F" w14:textId="77777777" w:rsidR="00BC6C87" w:rsidRDefault="00BC6C87" w:rsidP="00E80F98">
      <w:pPr>
        <w:spacing w:after="0" w:line="240" w:lineRule="auto"/>
        <w:rPr>
          <w:rFonts w:ascii="Verdana" w:eastAsia="Geomanist Light" w:hAnsi="Verdana" w:cs="Arial"/>
          <w:lang w:val="es-MX"/>
        </w:rPr>
      </w:pPr>
    </w:p>
    <w:p w14:paraId="721A9760" w14:textId="77777777" w:rsidR="00BC6C87" w:rsidRDefault="00BC6C87" w:rsidP="00E80F98">
      <w:pPr>
        <w:spacing w:after="0" w:line="240" w:lineRule="auto"/>
        <w:rPr>
          <w:rFonts w:ascii="Verdana" w:eastAsia="Geomanist Light" w:hAnsi="Verdana" w:cs="Arial"/>
          <w:lang w:val="es-MX"/>
        </w:rPr>
      </w:pPr>
    </w:p>
    <w:p w14:paraId="66FC0C68" w14:textId="77777777" w:rsidR="00BC6C87" w:rsidRDefault="00BC6C87" w:rsidP="00E80F98">
      <w:pPr>
        <w:spacing w:after="0" w:line="240" w:lineRule="auto"/>
        <w:rPr>
          <w:rFonts w:ascii="Verdana" w:eastAsia="Geomanist Light" w:hAnsi="Verdana" w:cs="Arial"/>
          <w:lang w:val="es-MX"/>
        </w:rPr>
      </w:pPr>
    </w:p>
    <w:p w14:paraId="13C837FA" w14:textId="77777777" w:rsidR="00BC6C87" w:rsidRDefault="00BC6C87" w:rsidP="00E80F98">
      <w:pPr>
        <w:spacing w:after="0" w:line="240" w:lineRule="auto"/>
        <w:rPr>
          <w:rFonts w:ascii="Verdana" w:eastAsia="Geomanist Light" w:hAnsi="Verdana" w:cs="Arial"/>
          <w:lang w:val="es-MX"/>
        </w:rPr>
      </w:pPr>
    </w:p>
    <w:p w14:paraId="4FD1AC7D" w14:textId="77777777" w:rsidR="00BC6C87" w:rsidRDefault="00BC6C87" w:rsidP="00E80F98">
      <w:pPr>
        <w:spacing w:after="0" w:line="240" w:lineRule="auto"/>
        <w:rPr>
          <w:rFonts w:ascii="Verdana" w:eastAsia="Geomanist Light" w:hAnsi="Verdana" w:cs="Arial"/>
          <w:lang w:val="es-MX"/>
        </w:rPr>
      </w:pPr>
    </w:p>
    <w:p w14:paraId="721E635A" w14:textId="77777777" w:rsidR="00BC6C87" w:rsidRDefault="00BC6C87" w:rsidP="00E80F98">
      <w:pPr>
        <w:spacing w:after="0" w:line="240" w:lineRule="auto"/>
        <w:rPr>
          <w:rFonts w:ascii="Verdana" w:eastAsia="Geomanist Light" w:hAnsi="Verdana" w:cs="Arial"/>
          <w:lang w:val="es-MX"/>
        </w:rPr>
      </w:pPr>
    </w:p>
    <w:p w14:paraId="4706BD70" w14:textId="77777777" w:rsidR="00BC6C87" w:rsidRDefault="00BC6C87" w:rsidP="00E80F98">
      <w:pPr>
        <w:spacing w:after="0" w:line="240" w:lineRule="auto"/>
        <w:rPr>
          <w:rFonts w:ascii="Verdana" w:eastAsia="Geomanist Light" w:hAnsi="Verdana" w:cs="Arial"/>
          <w:lang w:val="es-MX"/>
        </w:rPr>
      </w:pPr>
    </w:p>
    <w:p w14:paraId="1CEC5E66" w14:textId="77777777" w:rsidR="00BC6C87" w:rsidRDefault="00BC6C87" w:rsidP="00E80F98">
      <w:pPr>
        <w:spacing w:after="0" w:line="240" w:lineRule="auto"/>
        <w:rPr>
          <w:rFonts w:ascii="Verdana" w:eastAsia="Geomanist Light" w:hAnsi="Verdana" w:cs="Arial"/>
          <w:lang w:val="es-MX"/>
        </w:rPr>
      </w:pPr>
    </w:p>
    <w:p w14:paraId="743F721E" w14:textId="77777777" w:rsidR="00BC6C87" w:rsidRDefault="00BC6C87" w:rsidP="00E80F98">
      <w:pPr>
        <w:spacing w:after="0" w:line="240" w:lineRule="auto"/>
        <w:rPr>
          <w:rFonts w:ascii="Verdana" w:eastAsia="Geomanist Light" w:hAnsi="Verdana" w:cs="Arial"/>
          <w:lang w:val="es-MX"/>
        </w:rPr>
      </w:pPr>
    </w:p>
    <w:p w14:paraId="3545F080" w14:textId="77777777" w:rsidR="00BC6C87" w:rsidRDefault="00BC6C87" w:rsidP="00E80F98">
      <w:pPr>
        <w:spacing w:after="0" w:line="240" w:lineRule="auto"/>
        <w:rPr>
          <w:rFonts w:ascii="Verdana" w:eastAsia="Geomanist Light" w:hAnsi="Verdana" w:cs="Arial"/>
          <w:lang w:val="es-MX"/>
        </w:rPr>
      </w:pPr>
    </w:p>
    <w:p w14:paraId="3A966F57" w14:textId="77777777" w:rsidR="00BC6C87" w:rsidRDefault="00BC6C87" w:rsidP="00E80F98">
      <w:pPr>
        <w:spacing w:after="0" w:line="240" w:lineRule="auto"/>
        <w:rPr>
          <w:rFonts w:ascii="Verdana" w:eastAsia="Geomanist Light" w:hAnsi="Verdana" w:cs="Arial"/>
          <w:lang w:val="es-MX"/>
        </w:rPr>
      </w:pPr>
    </w:p>
    <w:p w14:paraId="3B911060" w14:textId="77777777" w:rsidR="00BC6C87" w:rsidRDefault="00BC6C87" w:rsidP="00E80F98">
      <w:pPr>
        <w:spacing w:after="0" w:line="240" w:lineRule="auto"/>
        <w:rPr>
          <w:rFonts w:ascii="Verdana" w:eastAsia="Geomanist Light" w:hAnsi="Verdana" w:cs="Arial"/>
          <w:lang w:val="es-MX"/>
        </w:rPr>
      </w:pPr>
    </w:p>
    <w:p w14:paraId="4CC1991E" w14:textId="77777777" w:rsidR="00BC6C87" w:rsidRDefault="00BC6C87" w:rsidP="00E80F98">
      <w:pPr>
        <w:spacing w:after="0" w:line="240" w:lineRule="auto"/>
        <w:rPr>
          <w:rFonts w:ascii="Verdana" w:eastAsia="Geomanist Light" w:hAnsi="Verdana" w:cs="Arial"/>
          <w:lang w:val="es-MX"/>
        </w:rPr>
      </w:pPr>
    </w:p>
    <w:p w14:paraId="5D39F4CC" w14:textId="77777777" w:rsidR="00BC6C87" w:rsidRDefault="00BC6C87" w:rsidP="00E80F98">
      <w:pPr>
        <w:spacing w:after="0" w:line="240" w:lineRule="auto"/>
        <w:rPr>
          <w:rFonts w:ascii="Verdana" w:eastAsia="Geomanist Light" w:hAnsi="Verdana" w:cs="Arial"/>
          <w:lang w:val="es-MX"/>
        </w:rPr>
      </w:pPr>
    </w:p>
    <w:p w14:paraId="72E835AC" w14:textId="77777777" w:rsidR="00BC6C87" w:rsidRDefault="00BC6C87" w:rsidP="00E80F98">
      <w:pPr>
        <w:spacing w:after="0" w:line="240" w:lineRule="auto"/>
        <w:rPr>
          <w:rFonts w:ascii="Verdana" w:eastAsia="Geomanist Light" w:hAnsi="Verdana" w:cs="Arial"/>
          <w:lang w:val="es-MX"/>
        </w:rPr>
      </w:pPr>
    </w:p>
    <w:p w14:paraId="69A118E0" w14:textId="77777777" w:rsidR="00BC6C87" w:rsidRDefault="00BC6C87" w:rsidP="00E80F98">
      <w:pPr>
        <w:spacing w:after="0" w:line="240" w:lineRule="auto"/>
        <w:rPr>
          <w:rFonts w:ascii="Verdana" w:eastAsia="Geomanist Light" w:hAnsi="Verdana" w:cs="Arial"/>
          <w:lang w:val="es-MX"/>
        </w:rPr>
      </w:pPr>
    </w:p>
    <w:p w14:paraId="6DC09294" w14:textId="644439C4" w:rsidR="00E80F98" w:rsidRPr="009322DA" w:rsidRDefault="00E80F98" w:rsidP="00E80F98">
      <w:pPr>
        <w:spacing w:after="0" w:line="240" w:lineRule="auto"/>
        <w:rPr>
          <w:rFonts w:ascii="Verdana" w:eastAsia="Geomanist Light" w:hAnsi="Verdana" w:cs="Arial"/>
          <w:lang w:val="es-MX"/>
        </w:rPr>
      </w:pPr>
      <w:r w:rsidRPr="009322DA">
        <w:rPr>
          <w:rFonts w:ascii="Verdana" w:eastAsia="Geomanist Light" w:hAnsi="Verdana" w:cs="Arial"/>
          <w:lang w:val="es-MX"/>
        </w:rPr>
        <w:lastRenderedPageBreak/>
        <w:t>Bogotá D.C., [Día] de [</w:t>
      </w:r>
      <w:proofErr w:type="spellStart"/>
      <w:r w:rsidRPr="009322DA">
        <w:rPr>
          <w:rFonts w:ascii="Verdana" w:eastAsia="Geomanist Light" w:hAnsi="Verdana" w:cs="Arial"/>
          <w:lang w:val="es-MX"/>
        </w:rPr>
        <w:t>Mes.NombreCapitalizado</w:t>
      </w:r>
      <w:proofErr w:type="spellEnd"/>
      <w:r w:rsidRPr="009322DA">
        <w:rPr>
          <w:rFonts w:ascii="Verdana" w:eastAsia="Geomanist Light" w:hAnsi="Verdana" w:cs="Arial"/>
          <w:lang w:val="es-MX"/>
        </w:rPr>
        <w:t>] de [Año]</w:t>
      </w:r>
    </w:p>
    <w:p w14:paraId="0FC423BE" w14:textId="54D95219" w:rsidR="00E80F98" w:rsidRDefault="00503D9F" w:rsidP="00E80F98">
      <w:pPr>
        <w:spacing w:after="0" w:line="240" w:lineRule="auto"/>
        <w:jc w:val="both"/>
        <w:rPr>
          <w:rFonts w:ascii="Verdana" w:eastAsia="Calibri" w:hAnsi="Verdana" w:cs="Arial"/>
          <w:lang w:val="es-ES"/>
        </w:rPr>
      </w:pPr>
      <w:r w:rsidRPr="00CF5898">
        <w:rPr>
          <w:rFonts w:ascii="Verdana" w:eastAsia="Calibri" w:hAnsi="Verdana" w:cs="Arial"/>
          <w:b/>
          <w:bCs/>
          <w:noProof/>
          <w:lang w:val="es-ES_tradnl" w:eastAsia="es-ES_tradnl"/>
        </w:rPr>
        <w:drawing>
          <wp:anchor distT="0" distB="0" distL="114300" distR="114300" simplePos="0" relativeHeight="251658240" behindDoc="1" locked="0" layoutInCell="1" allowOverlap="1" wp14:anchorId="0834F088" wp14:editId="300993FC">
            <wp:simplePos x="0" y="0"/>
            <wp:positionH relativeFrom="column">
              <wp:posOffset>2034540</wp:posOffset>
            </wp:positionH>
            <wp:positionV relativeFrom="paragraph">
              <wp:posOffset>127635</wp:posOffset>
            </wp:positionV>
            <wp:extent cx="3947502" cy="1127858"/>
            <wp:effectExtent l="0" t="0" r="0" b="0"/>
            <wp:wrapTight wrapText="bothSides">
              <wp:wrapPolygon edited="0">
                <wp:start x="0" y="0"/>
                <wp:lineTo x="0" y="21162"/>
                <wp:lineTo x="21475" y="21162"/>
                <wp:lineTo x="21475" y="0"/>
                <wp:lineTo x="0" y="0"/>
              </wp:wrapPolygon>
            </wp:wrapTight>
            <wp:docPr id="22208706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22318"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947502" cy="1127858"/>
                    </a:xfrm>
                    <a:prstGeom prst="rect">
                      <a:avLst/>
                    </a:prstGeom>
                  </pic:spPr>
                </pic:pic>
              </a:graphicData>
            </a:graphic>
          </wp:anchor>
        </w:drawing>
      </w:r>
    </w:p>
    <w:p w14:paraId="366E70A1" w14:textId="555AA1F7" w:rsidR="00503D9F" w:rsidRDefault="00503D9F" w:rsidP="00E80F98">
      <w:pPr>
        <w:spacing w:after="0" w:line="240" w:lineRule="auto"/>
        <w:jc w:val="both"/>
        <w:rPr>
          <w:rFonts w:ascii="Verdana" w:eastAsia="Calibri" w:hAnsi="Verdana" w:cs="Arial"/>
          <w:lang w:val="es-ES"/>
        </w:rPr>
      </w:pPr>
    </w:p>
    <w:p w14:paraId="4A57C6B2" w14:textId="19B23EAA" w:rsidR="00503D9F" w:rsidRDefault="00503D9F" w:rsidP="00E80F98">
      <w:pPr>
        <w:spacing w:after="0" w:line="240" w:lineRule="auto"/>
        <w:jc w:val="both"/>
        <w:rPr>
          <w:rFonts w:ascii="Verdana" w:eastAsia="Calibri" w:hAnsi="Verdana" w:cs="Arial"/>
          <w:lang w:val="es-ES"/>
        </w:rPr>
      </w:pPr>
    </w:p>
    <w:p w14:paraId="3CF9A4B7" w14:textId="506DF010" w:rsidR="00503D9F" w:rsidRDefault="00503D9F" w:rsidP="00E80F98">
      <w:pPr>
        <w:spacing w:after="0" w:line="240" w:lineRule="auto"/>
        <w:jc w:val="both"/>
        <w:rPr>
          <w:rFonts w:ascii="Verdana" w:eastAsia="Calibri" w:hAnsi="Verdana" w:cs="Arial"/>
          <w:lang w:val="es-ES"/>
        </w:rPr>
      </w:pPr>
    </w:p>
    <w:p w14:paraId="7E17633E" w14:textId="77777777" w:rsidR="00503D9F" w:rsidRDefault="00503D9F" w:rsidP="00E80F98">
      <w:pPr>
        <w:spacing w:after="0" w:line="240" w:lineRule="auto"/>
        <w:jc w:val="both"/>
        <w:rPr>
          <w:rFonts w:ascii="Verdana" w:eastAsia="Calibri" w:hAnsi="Verdana" w:cs="Arial"/>
          <w:lang w:val="es-ES"/>
        </w:rPr>
      </w:pPr>
    </w:p>
    <w:p w14:paraId="5FD44F38" w14:textId="19866B91" w:rsidR="00503D9F" w:rsidRDefault="00503D9F" w:rsidP="00E80F98">
      <w:pPr>
        <w:spacing w:after="0" w:line="240" w:lineRule="auto"/>
        <w:jc w:val="both"/>
        <w:rPr>
          <w:rFonts w:ascii="Verdana" w:eastAsia="Calibri" w:hAnsi="Verdana" w:cs="Arial"/>
          <w:lang w:val="es-ES"/>
        </w:rPr>
      </w:pPr>
    </w:p>
    <w:p w14:paraId="23A83848" w14:textId="77777777" w:rsidR="00503D9F" w:rsidRDefault="00503D9F" w:rsidP="00065E20">
      <w:pPr>
        <w:spacing w:after="0" w:line="240" w:lineRule="auto"/>
        <w:rPr>
          <w:rFonts w:ascii="Verdana" w:eastAsia="Calibri" w:hAnsi="Verdana" w:cs="Arial"/>
          <w:lang w:val="es-MX" w:eastAsia="es-ES"/>
        </w:rPr>
      </w:pPr>
    </w:p>
    <w:p w14:paraId="027FFB52" w14:textId="302F5A4E" w:rsidR="00065E20" w:rsidRPr="009322DA" w:rsidRDefault="00065E20" w:rsidP="00065E20">
      <w:pPr>
        <w:spacing w:after="0" w:line="240" w:lineRule="auto"/>
        <w:rPr>
          <w:rFonts w:ascii="Verdana" w:eastAsia="Calibri" w:hAnsi="Verdana" w:cs="Arial"/>
          <w:lang w:val="es-MX" w:eastAsia="es-ES"/>
        </w:rPr>
      </w:pPr>
      <w:r w:rsidRPr="009322DA">
        <w:rPr>
          <w:rFonts w:ascii="Verdana" w:eastAsia="Calibri" w:hAnsi="Verdana" w:cs="Arial"/>
          <w:lang w:val="es-MX" w:eastAsia="es-ES"/>
        </w:rPr>
        <w:t>Señor</w:t>
      </w:r>
    </w:p>
    <w:p w14:paraId="02D93A21" w14:textId="77777777" w:rsidR="00065E20" w:rsidRDefault="00065E20" w:rsidP="00065E20">
      <w:pPr>
        <w:spacing w:after="0" w:line="240" w:lineRule="auto"/>
        <w:rPr>
          <w:rFonts w:ascii="Verdana" w:eastAsia="Calibri" w:hAnsi="Verdana" w:cs="Arial"/>
          <w:b/>
          <w:bCs/>
          <w:lang w:val="es-MX" w:eastAsia="es-ES"/>
        </w:rPr>
      </w:pPr>
      <w:r w:rsidRPr="001A4CCF">
        <w:rPr>
          <w:rFonts w:ascii="Verdana" w:eastAsia="Calibri" w:hAnsi="Verdana" w:cs="Arial"/>
          <w:b/>
          <w:bCs/>
          <w:lang w:val="es-MX" w:eastAsia="es-ES"/>
        </w:rPr>
        <w:t>William Francisco Quintero Villarreal</w:t>
      </w:r>
    </w:p>
    <w:p w14:paraId="6297C673" w14:textId="77777777" w:rsidR="00065E20" w:rsidRDefault="00065E20" w:rsidP="00065E20">
      <w:pPr>
        <w:spacing w:after="0" w:line="240" w:lineRule="auto"/>
        <w:rPr>
          <w:rFonts w:ascii="Verdana" w:eastAsia="Calibri" w:hAnsi="Verdana" w:cs="Arial"/>
          <w:lang w:val="es-MX" w:eastAsia="es-ES"/>
        </w:rPr>
      </w:pPr>
      <w:hyperlink r:id="rId12" w:history="1">
        <w:r w:rsidRPr="00285CC0">
          <w:rPr>
            <w:rStyle w:val="Hipervnculo"/>
            <w:rFonts w:ascii="Verdana" w:eastAsia="Calibri" w:hAnsi="Verdana" w:cs="Arial"/>
            <w:lang w:val="es-MX" w:eastAsia="es-ES"/>
          </w:rPr>
          <w:t>Quintero_abo@hotmail.com</w:t>
        </w:r>
      </w:hyperlink>
    </w:p>
    <w:p w14:paraId="73A51F08" w14:textId="77777777" w:rsidR="00065E20" w:rsidRPr="009322DA" w:rsidRDefault="00065E20" w:rsidP="00065E20">
      <w:pPr>
        <w:spacing w:after="0" w:line="240" w:lineRule="auto"/>
        <w:rPr>
          <w:rFonts w:ascii="Verdana" w:eastAsia="Calibri" w:hAnsi="Verdana" w:cs="Arial"/>
          <w:b/>
          <w:bCs/>
          <w:lang w:val="es-ES" w:eastAsia="es-ES"/>
        </w:rPr>
      </w:pPr>
      <w:r>
        <w:rPr>
          <w:rFonts w:ascii="Verdana" w:eastAsia="Calibri" w:hAnsi="Verdana" w:cs="Arial"/>
          <w:lang w:val="es-MX" w:eastAsia="es-ES"/>
        </w:rPr>
        <w:t xml:space="preserve">Montería, Córdoba. </w:t>
      </w:r>
    </w:p>
    <w:p w14:paraId="20A478BC" w14:textId="77777777" w:rsidR="00065E20" w:rsidRPr="009322DA" w:rsidRDefault="00065E20" w:rsidP="00065E20">
      <w:pPr>
        <w:spacing w:after="0" w:line="240" w:lineRule="auto"/>
        <w:rPr>
          <w:rFonts w:ascii="Verdana" w:eastAsia="Calibri" w:hAnsi="Verdana" w:cs="Arial"/>
          <w:b/>
          <w:bCs/>
          <w:lang w:val="es-ES_tradnl" w:eastAsia="es-ES_tradnl"/>
        </w:rPr>
      </w:pPr>
    </w:p>
    <w:p w14:paraId="60B87D77" w14:textId="669DB3E5" w:rsidR="00065E20" w:rsidRPr="009322DA" w:rsidRDefault="00065E20" w:rsidP="00CF5898">
      <w:pPr>
        <w:spacing w:after="0" w:line="240" w:lineRule="auto"/>
        <w:jc w:val="right"/>
        <w:rPr>
          <w:rFonts w:ascii="Verdana" w:eastAsia="Calibri" w:hAnsi="Verdana" w:cs="Arial"/>
          <w:b/>
          <w:bCs/>
          <w:lang w:val="es-ES_tradnl" w:eastAsia="es-ES_tradnl"/>
        </w:rPr>
      </w:pPr>
    </w:p>
    <w:tbl>
      <w:tblPr>
        <w:tblStyle w:val="Tablaconcuadrcula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65E20" w:rsidRPr="009322DA" w14:paraId="523411E0" w14:textId="77777777" w:rsidTr="00B66C68">
        <w:trPr>
          <w:trHeight w:val="884"/>
        </w:trPr>
        <w:tc>
          <w:tcPr>
            <w:tcW w:w="2689" w:type="dxa"/>
          </w:tcPr>
          <w:p w14:paraId="20B22EC6" w14:textId="77777777" w:rsidR="00065E20" w:rsidRPr="009322DA" w:rsidRDefault="00065E20" w:rsidP="00B66C68">
            <w:pPr>
              <w:jc w:val="both"/>
              <w:rPr>
                <w:rFonts w:ascii="Verdana" w:hAnsi="Verdana" w:cs="Arial"/>
                <w:b/>
                <w:bCs/>
                <w:lang w:val="es-ES_tradnl" w:eastAsia="es-ES_tradnl"/>
              </w:rPr>
            </w:pPr>
          </w:p>
        </w:tc>
        <w:tc>
          <w:tcPr>
            <w:tcW w:w="6100" w:type="dxa"/>
            <w:hideMark/>
          </w:tcPr>
          <w:p w14:paraId="6EB93506" w14:textId="77777777" w:rsidR="00065E20" w:rsidRPr="009322DA" w:rsidRDefault="00065E20" w:rsidP="00B66C68">
            <w:pPr>
              <w:jc w:val="both"/>
              <w:rPr>
                <w:rFonts w:ascii="Verdana" w:hAnsi="Verdana" w:cs="Arial"/>
                <w:b/>
                <w:bCs/>
                <w:lang w:val="es-ES" w:eastAsia="es-ES"/>
              </w:rPr>
            </w:pPr>
            <w:r w:rsidRPr="009322DA">
              <w:rPr>
                <w:rFonts w:ascii="Verdana" w:hAnsi="Verdana" w:cs="Arial"/>
                <w:b/>
                <w:bCs/>
                <w:lang w:val="es-ES" w:eastAsia="es-ES"/>
              </w:rPr>
              <w:t xml:space="preserve">Concepto </w:t>
            </w:r>
            <w:r>
              <w:rPr>
                <w:rFonts w:ascii="Verdana" w:hAnsi="Verdana" w:cs="Arial"/>
                <w:b/>
                <w:bCs/>
                <w:lang w:val="es-ES" w:eastAsia="es-ES"/>
              </w:rPr>
              <w:t>C-799</w:t>
            </w:r>
            <w:r w:rsidRPr="009322DA">
              <w:rPr>
                <w:rFonts w:ascii="Verdana" w:hAnsi="Verdana" w:cs="Arial"/>
                <w:b/>
                <w:bCs/>
                <w:lang w:val="es-ES" w:eastAsia="es-ES"/>
              </w:rPr>
              <w:t xml:space="preserve"> de 2024</w:t>
            </w:r>
          </w:p>
        </w:tc>
      </w:tr>
      <w:tr w:rsidR="00065E20" w:rsidRPr="009322DA" w14:paraId="17AF70CF" w14:textId="77777777" w:rsidTr="00B66C68">
        <w:trPr>
          <w:trHeight w:val="884"/>
        </w:trPr>
        <w:tc>
          <w:tcPr>
            <w:tcW w:w="2689" w:type="dxa"/>
            <w:hideMark/>
          </w:tcPr>
          <w:p w14:paraId="329EB164" w14:textId="77777777" w:rsidR="00065E20" w:rsidRPr="009322DA" w:rsidRDefault="00065E20" w:rsidP="00B66C68">
            <w:pPr>
              <w:jc w:val="both"/>
              <w:rPr>
                <w:rFonts w:ascii="Verdana" w:hAnsi="Verdana" w:cs="Arial"/>
                <w:lang w:val="es-ES_tradnl" w:eastAsia="es-ES_tradnl"/>
              </w:rPr>
            </w:pPr>
            <w:r w:rsidRPr="009322DA">
              <w:rPr>
                <w:rFonts w:ascii="Verdana" w:hAnsi="Verdana" w:cs="Arial"/>
                <w:b/>
                <w:lang w:val="es-ES_tradnl" w:eastAsia="es-ES_tradnl"/>
              </w:rPr>
              <w:t>Temas:</w:t>
            </w:r>
            <w:r w:rsidRPr="009322DA">
              <w:rPr>
                <w:rFonts w:ascii="Verdana" w:hAnsi="Verdana" w:cs="Arial"/>
                <w:lang w:val="es-ES_tradnl" w:eastAsia="es-ES_tradnl"/>
              </w:rPr>
              <w:t xml:space="preserve">                   </w:t>
            </w:r>
          </w:p>
        </w:tc>
        <w:tc>
          <w:tcPr>
            <w:tcW w:w="6100" w:type="dxa"/>
          </w:tcPr>
          <w:p w14:paraId="0D081C34" w14:textId="77777777" w:rsidR="00065E20" w:rsidRDefault="00065E20" w:rsidP="00B66C68">
            <w:pPr>
              <w:jc w:val="both"/>
              <w:rPr>
                <w:rFonts w:ascii="Verdana" w:eastAsia="Calibri" w:hAnsi="Verdana" w:cs="Arial"/>
                <w:bCs/>
                <w:lang w:val="es-MX" w:eastAsia="es-ES"/>
              </w:rPr>
            </w:pPr>
            <w:r w:rsidRPr="002A43BA">
              <w:rPr>
                <w:rFonts w:ascii="Verdana" w:eastAsia="Calibri" w:hAnsi="Verdana" w:cs="Arial"/>
                <w:bCs/>
                <w:lang w:val="es-MX" w:eastAsia="es-ES"/>
              </w:rPr>
              <w:t>LIQUIDACIÓN DEL CONTRATO – Definición – Objetivo / LIQUIDACIÓN DEL CONTRATO – Normativa / LIQUIDACIÓN DEL CONTRATO – Oportunidad</w:t>
            </w:r>
          </w:p>
          <w:p w14:paraId="0B2EA653" w14:textId="77777777" w:rsidR="00065E20" w:rsidRPr="00EB3000" w:rsidRDefault="00065E20" w:rsidP="00B66C68">
            <w:pPr>
              <w:jc w:val="both"/>
              <w:rPr>
                <w:rFonts w:ascii="Verdana" w:hAnsi="Verdana" w:cs="Arial"/>
                <w:lang w:val="es-ES_tradnl" w:eastAsia="es-ES"/>
              </w:rPr>
            </w:pPr>
          </w:p>
        </w:tc>
      </w:tr>
      <w:tr w:rsidR="00065E20" w:rsidRPr="009322DA" w14:paraId="22438316" w14:textId="77777777" w:rsidTr="00B66C68">
        <w:tc>
          <w:tcPr>
            <w:tcW w:w="2689" w:type="dxa"/>
            <w:hideMark/>
          </w:tcPr>
          <w:p w14:paraId="40876095" w14:textId="77777777" w:rsidR="00065E20" w:rsidRPr="009322DA" w:rsidRDefault="00065E20" w:rsidP="00B66C68">
            <w:pPr>
              <w:jc w:val="both"/>
              <w:rPr>
                <w:rFonts w:ascii="Verdana" w:hAnsi="Verdana" w:cs="Arial"/>
                <w:b/>
                <w:lang w:val="es-ES_tradnl" w:eastAsia="es-ES_tradnl"/>
              </w:rPr>
            </w:pPr>
            <w:r w:rsidRPr="009322DA">
              <w:rPr>
                <w:rFonts w:ascii="Verdana" w:hAnsi="Verdana" w:cs="Arial"/>
                <w:b/>
                <w:lang w:val="es-ES_tradnl" w:eastAsia="es-ES_tradnl"/>
              </w:rPr>
              <w:t>Radicación:</w:t>
            </w:r>
            <w:r w:rsidRPr="009322DA">
              <w:rPr>
                <w:rFonts w:ascii="Verdana" w:hAnsi="Verdana" w:cs="Arial"/>
                <w:lang w:val="es-ES_tradnl" w:eastAsia="es-ES_tradnl"/>
              </w:rPr>
              <w:t xml:space="preserve">               </w:t>
            </w:r>
          </w:p>
        </w:tc>
        <w:tc>
          <w:tcPr>
            <w:tcW w:w="6100" w:type="dxa"/>
          </w:tcPr>
          <w:p w14:paraId="2491147D" w14:textId="77777777" w:rsidR="00065E20" w:rsidRPr="002A43BA" w:rsidRDefault="00065E20" w:rsidP="00B66C68">
            <w:pPr>
              <w:jc w:val="both"/>
              <w:rPr>
                <w:rFonts w:ascii="Verdana" w:hAnsi="Verdana"/>
                <w:b/>
                <w:bCs/>
                <w:lang w:eastAsia="es-ES_tradnl"/>
              </w:rPr>
            </w:pPr>
            <w:r w:rsidRPr="009322DA">
              <w:rPr>
                <w:rFonts w:ascii="Verdana" w:hAnsi="Verdana" w:cs="Arial"/>
                <w:lang w:val="es-ES_tradnl" w:eastAsia="es-ES_tradnl"/>
              </w:rPr>
              <w:t xml:space="preserve">Respuesta a consulta con radicado No. </w:t>
            </w:r>
            <w:r w:rsidRPr="001A4CCF">
              <w:rPr>
                <w:rFonts w:ascii="Verdana" w:hAnsi="Verdana"/>
                <w:lang w:eastAsia="es-ES_tradnl"/>
              </w:rPr>
              <w:t>P20241030011005</w:t>
            </w:r>
          </w:p>
          <w:p w14:paraId="6CCBC983" w14:textId="77777777" w:rsidR="00065E20" w:rsidRPr="00347A72" w:rsidRDefault="00065E20" w:rsidP="00B66C68">
            <w:pPr>
              <w:jc w:val="both"/>
              <w:rPr>
                <w:rFonts w:ascii="Verdana" w:hAnsi="Verdana"/>
                <w:b/>
                <w:bCs/>
                <w:lang w:eastAsia="es-ES_tradnl"/>
              </w:rPr>
            </w:pPr>
          </w:p>
          <w:p w14:paraId="60FE9914" w14:textId="77777777" w:rsidR="00065E20" w:rsidRPr="009322DA" w:rsidRDefault="00065E20" w:rsidP="00B66C68">
            <w:pPr>
              <w:jc w:val="both"/>
              <w:rPr>
                <w:rFonts w:ascii="Verdana" w:hAnsi="Verdana" w:cs="Arial"/>
                <w:lang w:val="es-ES_tradnl" w:eastAsia="es-ES_tradnl"/>
              </w:rPr>
            </w:pPr>
          </w:p>
        </w:tc>
      </w:tr>
    </w:tbl>
    <w:p w14:paraId="1308AF46" w14:textId="77777777" w:rsidR="00065E20" w:rsidRPr="009322DA" w:rsidRDefault="00065E20" w:rsidP="00065E20">
      <w:pPr>
        <w:spacing w:after="0" w:line="240" w:lineRule="auto"/>
        <w:jc w:val="both"/>
        <w:rPr>
          <w:rFonts w:ascii="Verdana" w:eastAsia="Calibri" w:hAnsi="Verdana" w:cs="Arial"/>
          <w:lang w:val="es-ES_tradnl" w:eastAsia="es-ES_tradnl"/>
        </w:rPr>
      </w:pPr>
    </w:p>
    <w:p w14:paraId="4F38C075" w14:textId="77777777" w:rsidR="00065E20" w:rsidRPr="009322DA" w:rsidRDefault="00065E20" w:rsidP="00065E20">
      <w:pPr>
        <w:spacing w:after="0" w:line="240" w:lineRule="auto"/>
        <w:jc w:val="both"/>
        <w:rPr>
          <w:rFonts w:ascii="Verdana" w:eastAsia="Calibri" w:hAnsi="Verdana" w:cs="Arial"/>
          <w:lang w:val="es-ES_tradnl" w:eastAsia="es-ES_tradnl"/>
        </w:rPr>
      </w:pPr>
    </w:p>
    <w:p w14:paraId="4F3C32E7" w14:textId="77777777" w:rsidR="00065E20" w:rsidRPr="009322DA" w:rsidRDefault="00065E20" w:rsidP="00065E20">
      <w:pPr>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Estimad</w:t>
      </w:r>
      <w:r>
        <w:rPr>
          <w:rFonts w:ascii="Verdana" w:eastAsia="Calibri" w:hAnsi="Verdana" w:cs="Arial"/>
          <w:lang w:val="es-ES" w:eastAsia="es-ES"/>
        </w:rPr>
        <w:t>o señor Quintero</w:t>
      </w:r>
      <w:r w:rsidRPr="009322DA">
        <w:rPr>
          <w:rFonts w:ascii="Verdana" w:eastAsia="Calibri" w:hAnsi="Verdana" w:cs="Arial"/>
          <w:lang w:val="es-ES" w:eastAsia="es-ES"/>
        </w:rPr>
        <w:t xml:space="preserve">: </w:t>
      </w:r>
    </w:p>
    <w:p w14:paraId="53799F0F" w14:textId="77777777" w:rsidR="00065E20" w:rsidRPr="009322DA" w:rsidRDefault="00065E20" w:rsidP="00065E20">
      <w:pPr>
        <w:tabs>
          <w:tab w:val="left" w:pos="3768"/>
        </w:tabs>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ab/>
      </w:r>
    </w:p>
    <w:p w14:paraId="7BD7E5CD" w14:textId="77777777" w:rsidR="00065E20" w:rsidRPr="009322DA" w:rsidRDefault="00065E20" w:rsidP="00065E20">
      <w:pPr>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En ejercicio de la competencia otorgada por los artículos 3, numeral 5º, y 11, numeral 8º, del Decreto Ley 4170 de 2011,</w:t>
      </w:r>
      <w:r w:rsidRPr="009322DA">
        <w:rPr>
          <w:rFonts w:ascii="Verdana" w:eastAsia="Arial MT" w:hAnsi="Verdana" w:cs="Arial MT"/>
          <w:lang w:val="es-ES" w:eastAsia="es-ES"/>
        </w:rPr>
        <w:t xml:space="preserve"> </w:t>
      </w:r>
      <w:r w:rsidRPr="009322DA">
        <w:rPr>
          <w:rFonts w:ascii="Verdana" w:eastAsia="Calibri" w:hAnsi="Verdana" w:cs="Arial"/>
        </w:rPr>
        <w:t xml:space="preserve">así como lo establecido en el artículo 4 de la Resolución 1707 de 2018 expedida por esta Entidad, </w:t>
      </w:r>
      <w:r w:rsidRPr="009322DA">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 xml:space="preserve">30 </w:t>
      </w:r>
      <w:r w:rsidRPr="009322DA">
        <w:rPr>
          <w:rFonts w:ascii="Verdana" w:eastAsia="Calibri" w:hAnsi="Verdana" w:cs="Arial"/>
          <w:lang w:val="es-ES" w:eastAsia="es-ES"/>
        </w:rPr>
        <w:t xml:space="preserve">de </w:t>
      </w:r>
      <w:r>
        <w:rPr>
          <w:rFonts w:ascii="Verdana" w:eastAsia="Calibri" w:hAnsi="Verdana" w:cs="Arial"/>
          <w:lang w:val="es-ES" w:eastAsia="es-ES"/>
        </w:rPr>
        <w:t>octubre</w:t>
      </w:r>
      <w:r w:rsidRPr="009322DA">
        <w:rPr>
          <w:rFonts w:ascii="Verdana" w:eastAsia="Calibri" w:hAnsi="Verdana" w:cs="Arial"/>
          <w:lang w:val="es-ES" w:eastAsia="es-ES"/>
        </w:rPr>
        <w:t xml:space="preserve"> de 2024, en la cual manifiesta lo siguiente: </w:t>
      </w:r>
    </w:p>
    <w:p w14:paraId="2497E422" w14:textId="77777777" w:rsidR="00065E20" w:rsidRPr="009322DA" w:rsidRDefault="00065E20" w:rsidP="00065E20">
      <w:pPr>
        <w:spacing w:after="0" w:line="240" w:lineRule="auto"/>
        <w:ind w:left="709" w:right="709"/>
        <w:jc w:val="both"/>
        <w:rPr>
          <w:rFonts w:ascii="Verdana" w:eastAsia="Century Gothic" w:hAnsi="Verdana" w:cs="Century Gothic"/>
          <w:sz w:val="20"/>
          <w:szCs w:val="20"/>
          <w:lang w:val="es-ES"/>
        </w:rPr>
      </w:pPr>
      <w:bookmarkStart w:id="0" w:name="_Hlk95313578"/>
    </w:p>
    <w:p w14:paraId="7217AD29" w14:textId="77777777" w:rsidR="00065E20" w:rsidRPr="009D4BCF" w:rsidRDefault="00065E20" w:rsidP="00065E20">
      <w:pPr>
        <w:spacing w:line="240" w:lineRule="auto"/>
        <w:ind w:left="709" w:right="709"/>
        <w:jc w:val="both"/>
        <w:rPr>
          <w:rFonts w:ascii="Verdana" w:eastAsia="Century Gothic" w:hAnsi="Verdana" w:cs="Century Gothic"/>
          <w:i/>
          <w:iCs/>
          <w:sz w:val="20"/>
          <w:szCs w:val="20"/>
        </w:rPr>
      </w:pPr>
      <w:r w:rsidRPr="00772836">
        <w:rPr>
          <w:rFonts w:ascii="Verdana" w:eastAsia="Century Gothic" w:hAnsi="Verdana" w:cs="Century Gothic"/>
          <w:i/>
          <w:iCs/>
          <w:sz w:val="20"/>
          <w:szCs w:val="20"/>
          <w:lang w:val="es-ES"/>
        </w:rPr>
        <w:t>“</w:t>
      </w:r>
      <w:r w:rsidRPr="001A4CCF">
        <w:rPr>
          <w:rFonts w:ascii="Verdana" w:eastAsia="Century Gothic" w:hAnsi="Verdana" w:cs="Century Gothic"/>
          <w:i/>
          <w:iCs/>
          <w:sz w:val="20"/>
          <w:szCs w:val="20"/>
        </w:rPr>
        <w:t>A PARTIR DE QUE FECHA SE CONTABILIZAN LOS TERMINOS QUE TIENE UNA</w:t>
      </w:r>
      <w:r>
        <w:rPr>
          <w:rFonts w:ascii="Verdana" w:eastAsia="Century Gothic" w:hAnsi="Verdana" w:cs="Century Gothic"/>
          <w:i/>
          <w:iCs/>
          <w:sz w:val="20"/>
          <w:szCs w:val="20"/>
        </w:rPr>
        <w:t xml:space="preserve"> </w:t>
      </w:r>
      <w:r w:rsidRPr="001A4CCF">
        <w:rPr>
          <w:rFonts w:ascii="Verdana" w:eastAsia="Century Gothic" w:hAnsi="Verdana" w:cs="Century Gothic"/>
          <w:i/>
          <w:iCs/>
          <w:sz w:val="20"/>
          <w:szCs w:val="20"/>
        </w:rPr>
        <w:t>ENTIDAD ESTATAL PARA LIQUIDAR UN CONTRATO DE OBRAS CUANDO LA</w:t>
      </w:r>
      <w:r>
        <w:rPr>
          <w:rFonts w:ascii="Verdana" w:eastAsia="Century Gothic" w:hAnsi="Verdana" w:cs="Century Gothic"/>
          <w:i/>
          <w:iCs/>
          <w:sz w:val="20"/>
          <w:szCs w:val="20"/>
        </w:rPr>
        <w:t xml:space="preserve"> </w:t>
      </w:r>
      <w:r w:rsidRPr="001A4CCF">
        <w:rPr>
          <w:rFonts w:ascii="Verdana" w:eastAsia="Century Gothic" w:hAnsi="Verdana" w:cs="Century Gothic"/>
          <w:i/>
          <w:iCs/>
          <w:sz w:val="20"/>
          <w:szCs w:val="20"/>
        </w:rPr>
        <w:t>CAR CORRESPONDIENTE NO HA HECHO EL CIERRE AMBIENTAL Y HAN</w:t>
      </w:r>
      <w:r>
        <w:rPr>
          <w:rFonts w:ascii="Verdana" w:eastAsia="Century Gothic" w:hAnsi="Verdana" w:cs="Century Gothic"/>
          <w:i/>
          <w:iCs/>
          <w:sz w:val="20"/>
          <w:szCs w:val="20"/>
        </w:rPr>
        <w:t xml:space="preserve"> </w:t>
      </w:r>
      <w:r w:rsidRPr="001A4CCF">
        <w:rPr>
          <w:rFonts w:ascii="Verdana" w:eastAsia="Century Gothic" w:hAnsi="Verdana" w:cs="Century Gothic"/>
          <w:i/>
          <w:iCs/>
          <w:sz w:val="20"/>
          <w:szCs w:val="20"/>
        </w:rPr>
        <w:t>TRANSCURRIDO MAS 8 MESES DE HABER SIDO RECIBIDO LAS OBRAS A</w:t>
      </w:r>
      <w:r>
        <w:rPr>
          <w:rFonts w:ascii="Verdana" w:eastAsia="Century Gothic" w:hAnsi="Verdana" w:cs="Century Gothic"/>
          <w:i/>
          <w:iCs/>
          <w:sz w:val="20"/>
          <w:szCs w:val="20"/>
        </w:rPr>
        <w:t xml:space="preserve"> </w:t>
      </w:r>
      <w:r w:rsidRPr="001A4CCF">
        <w:rPr>
          <w:rFonts w:ascii="Verdana" w:eastAsia="Century Gothic" w:hAnsi="Verdana" w:cs="Century Gothic"/>
          <w:i/>
          <w:iCs/>
          <w:sz w:val="20"/>
          <w:szCs w:val="20"/>
        </w:rPr>
        <w:t>SATISFACCION POR LA ENTIDAD CONTRATANTE. ALEGAN QUE HASTA QUE</w:t>
      </w:r>
      <w:r>
        <w:rPr>
          <w:rFonts w:ascii="Verdana" w:eastAsia="Century Gothic" w:hAnsi="Verdana" w:cs="Century Gothic"/>
          <w:i/>
          <w:iCs/>
          <w:sz w:val="20"/>
          <w:szCs w:val="20"/>
        </w:rPr>
        <w:t xml:space="preserve"> </w:t>
      </w:r>
      <w:r w:rsidRPr="001A4CCF">
        <w:rPr>
          <w:rFonts w:ascii="Verdana" w:eastAsia="Century Gothic" w:hAnsi="Verdana" w:cs="Century Gothic"/>
          <w:i/>
          <w:iCs/>
          <w:sz w:val="20"/>
          <w:szCs w:val="20"/>
        </w:rPr>
        <w:t>NO SE PRODUZCA EL CIERRE AMBIENTAL NO PUEDE INICIAR A</w:t>
      </w:r>
      <w:r>
        <w:rPr>
          <w:rFonts w:ascii="Verdana" w:eastAsia="Century Gothic" w:hAnsi="Verdana" w:cs="Century Gothic"/>
          <w:i/>
          <w:iCs/>
          <w:sz w:val="20"/>
          <w:szCs w:val="20"/>
        </w:rPr>
        <w:t xml:space="preserve"> </w:t>
      </w:r>
      <w:r w:rsidRPr="001A4CCF">
        <w:rPr>
          <w:rFonts w:ascii="Verdana" w:eastAsia="Century Gothic" w:hAnsi="Verdana" w:cs="Century Gothic"/>
          <w:i/>
          <w:iCs/>
          <w:sz w:val="20"/>
          <w:szCs w:val="20"/>
        </w:rPr>
        <w:t>LIQUIDACION DEL CONTRATO.:</w:t>
      </w:r>
      <w:r w:rsidRPr="009D4BCF">
        <w:rPr>
          <w:rFonts w:ascii="Verdana" w:eastAsia="Century Gothic" w:hAnsi="Verdana" w:cs="Century Gothic"/>
          <w:i/>
          <w:iCs/>
          <w:sz w:val="20"/>
          <w:szCs w:val="20"/>
        </w:rPr>
        <w:t>”</w:t>
      </w:r>
      <w:bookmarkEnd w:id="0"/>
      <w:r w:rsidRPr="009D4BCF">
        <w:rPr>
          <w:rFonts w:ascii="Verdana" w:eastAsia="Century Gothic" w:hAnsi="Verdana" w:cs="Century Gothic"/>
          <w:i/>
          <w:iCs/>
          <w:sz w:val="20"/>
          <w:szCs w:val="20"/>
        </w:rPr>
        <w:t>.</w:t>
      </w:r>
    </w:p>
    <w:p w14:paraId="115B02AC" w14:textId="77777777" w:rsidR="00065E20" w:rsidRPr="00D6203F" w:rsidRDefault="00065E20" w:rsidP="00065E20">
      <w:pPr>
        <w:spacing w:line="240" w:lineRule="auto"/>
        <w:ind w:left="709" w:right="709"/>
        <w:jc w:val="both"/>
        <w:rPr>
          <w:rFonts w:ascii="Verdana" w:eastAsia="Calibri" w:hAnsi="Verdana" w:cs="Arial"/>
          <w:i/>
          <w:iCs/>
          <w:sz w:val="20"/>
          <w:szCs w:val="20"/>
          <w:shd w:val="clear" w:color="auto" w:fill="FFFFFF"/>
        </w:rPr>
      </w:pPr>
    </w:p>
    <w:p w14:paraId="6B822EDD" w14:textId="77777777" w:rsidR="00065E20" w:rsidRPr="009322DA" w:rsidRDefault="00065E20" w:rsidP="00065E20">
      <w:pPr>
        <w:spacing w:after="120" w:line="276" w:lineRule="auto"/>
        <w:ind w:firstLine="709"/>
        <w:jc w:val="both"/>
        <w:rPr>
          <w:rFonts w:ascii="Verdana" w:eastAsia="Calibri" w:hAnsi="Verdana" w:cs="Arial"/>
          <w:szCs w:val="24"/>
          <w:lang w:val="es-ES_tradnl" w:eastAsia="es-ES_tradnl"/>
        </w:rPr>
      </w:pPr>
      <w:r w:rsidRPr="009322DA">
        <w:rPr>
          <w:rFonts w:ascii="Verdana" w:eastAsia="Calibri" w:hAnsi="Verdana" w:cs="Arial"/>
          <w:lang w:val="es-ES" w:eastAsia="es-ES"/>
        </w:rPr>
        <w:lastRenderedPageBreak/>
        <w:t xml:space="preserve">De manera preliminar, resulta necesario resaltar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322DA">
        <w:rPr>
          <w:rFonts w:ascii="Verdana" w:eastAsia="Calibri" w:hAnsi="Verdana" w:cs="Arial"/>
          <w:szCs w:val="24"/>
          <w:lang w:val="es-ES_tradnl" w:eastAsia="es-ES_tradnl"/>
        </w:rPr>
        <w:tab/>
      </w:r>
    </w:p>
    <w:p w14:paraId="7C4CBED4" w14:textId="77777777" w:rsidR="00065E20" w:rsidRPr="009322DA" w:rsidRDefault="00065E20" w:rsidP="00065E20">
      <w:pPr>
        <w:spacing w:after="0" w:line="276" w:lineRule="auto"/>
        <w:ind w:firstLine="708"/>
        <w:jc w:val="both"/>
        <w:rPr>
          <w:rFonts w:ascii="Verdana" w:eastAsia="Calibri" w:hAnsi="Verdana" w:cs="Arial"/>
          <w:lang w:val="es-ES" w:eastAsia="es-ES"/>
        </w:rPr>
      </w:pPr>
      <w:r w:rsidRPr="009322DA">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2741D69C" w14:textId="77777777" w:rsidR="00065E20" w:rsidRPr="009322DA" w:rsidRDefault="00065E20" w:rsidP="00065E20">
      <w:pPr>
        <w:spacing w:after="0" w:line="276" w:lineRule="auto"/>
        <w:ind w:firstLine="709"/>
        <w:jc w:val="both"/>
        <w:rPr>
          <w:rFonts w:ascii="Verdana" w:eastAsia="Calibri" w:hAnsi="Verdana" w:cs="Arial"/>
          <w:lang w:val="es-ES" w:eastAsia="es-ES"/>
        </w:rPr>
      </w:pPr>
    </w:p>
    <w:p w14:paraId="23D2E16F" w14:textId="77777777" w:rsidR="00065E20" w:rsidRPr="009322DA" w:rsidRDefault="00065E20" w:rsidP="00065E20">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Problema planteado:</w:t>
      </w:r>
    </w:p>
    <w:p w14:paraId="6C1F3317" w14:textId="77777777" w:rsidR="00065E20" w:rsidRPr="009322DA" w:rsidRDefault="00065E20" w:rsidP="00065E20">
      <w:pPr>
        <w:tabs>
          <w:tab w:val="left" w:pos="426"/>
        </w:tabs>
        <w:spacing w:after="0" w:line="276" w:lineRule="auto"/>
        <w:jc w:val="both"/>
        <w:rPr>
          <w:rFonts w:ascii="Verdana" w:eastAsia="Century Gothic" w:hAnsi="Verdana" w:cs="Century Gothic"/>
          <w:lang w:val="es-ES"/>
        </w:rPr>
      </w:pPr>
    </w:p>
    <w:p w14:paraId="03F7FC69" w14:textId="77777777" w:rsidR="00065E20" w:rsidRPr="001A4CCF" w:rsidRDefault="00065E20" w:rsidP="00065E20">
      <w:pPr>
        <w:spacing w:after="0" w:line="276" w:lineRule="auto"/>
        <w:jc w:val="both"/>
        <w:rPr>
          <w:rFonts w:ascii="Verdana" w:eastAsia="Century Gothic" w:hAnsi="Verdana" w:cs="Century Gothic"/>
        </w:rPr>
      </w:pPr>
      <w:r w:rsidRPr="009322DA">
        <w:rPr>
          <w:rFonts w:ascii="Verdana" w:eastAsia="Century Gothic" w:hAnsi="Verdana" w:cs="Century Gothic"/>
        </w:rPr>
        <w:t>De acuerdo con el contenido de su solicitud, esta Agencia resolverá los siguientes problemas jurídicos:</w:t>
      </w:r>
      <w:r>
        <w:rPr>
          <w:rFonts w:ascii="Verdana" w:eastAsia="Century Gothic" w:hAnsi="Verdana" w:cs="Century Gothic"/>
        </w:rPr>
        <w:t xml:space="preserve"> </w:t>
      </w:r>
      <w:r w:rsidRPr="001A4CCF">
        <w:rPr>
          <w:rFonts w:ascii="Verdana" w:eastAsia="Century Gothic" w:hAnsi="Verdana" w:cs="Century Gothic"/>
        </w:rPr>
        <w:t xml:space="preserve">i) ¿Cuál </w:t>
      </w:r>
      <w:r>
        <w:rPr>
          <w:rFonts w:ascii="Verdana" w:eastAsia="Century Gothic" w:hAnsi="Verdana" w:cs="Century Gothic"/>
        </w:rPr>
        <w:t>es el p</w:t>
      </w:r>
      <w:r w:rsidRPr="001A4CCF">
        <w:rPr>
          <w:rFonts w:ascii="Verdana" w:eastAsia="Century Gothic" w:hAnsi="Verdana" w:cs="Century Gothic"/>
        </w:rPr>
        <w:t xml:space="preserve">lazo </w:t>
      </w:r>
      <w:r>
        <w:rPr>
          <w:rFonts w:ascii="Verdana" w:eastAsia="Century Gothic" w:hAnsi="Verdana" w:cs="Century Gothic"/>
        </w:rPr>
        <w:t>p</w:t>
      </w:r>
      <w:r w:rsidRPr="001A4CCF">
        <w:rPr>
          <w:rFonts w:ascii="Verdana" w:eastAsia="Century Gothic" w:hAnsi="Verdana" w:cs="Century Gothic"/>
        </w:rPr>
        <w:t xml:space="preserve">ara liquidar un contrato de obra de una entidad sujeta </w:t>
      </w:r>
      <w:r>
        <w:rPr>
          <w:rFonts w:ascii="Verdana" w:eastAsia="Century Gothic" w:hAnsi="Verdana" w:cs="Century Gothic"/>
        </w:rPr>
        <w:t>al estatuto general de contratación de la administración pública</w:t>
      </w:r>
      <w:r w:rsidRPr="001A4CCF">
        <w:rPr>
          <w:rFonts w:ascii="Verdana" w:eastAsia="Century Gothic" w:hAnsi="Verdana" w:cs="Century Gothic"/>
        </w:rPr>
        <w:t>?  </w:t>
      </w:r>
      <w:proofErr w:type="spellStart"/>
      <w:r>
        <w:rPr>
          <w:rFonts w:ascii="Verdana" w:eastAsia="Century Gothic" w:hAnsi="Verdana" w:cs="Century Gothic"/>
        </w:rPr>
        <w:t>i</w:t>
      </w:r>
      <w:r w:rsidRPr="001A4CCF">
        <w:rPr>
          <w:rFonts w:ascii="Verdana" w:eastAsia="Century Gothic" w:hAnsi="Verdana" w:cs="Century Gothic"/>
        </w:rPr>
        <w:t>i</w:t>
      </w:r>
      <w:proofErr w:type="spellEnd"/>
      <w:r w:rsidRPr="001A4CCF">
        <w:rPr>
          <w:rFonts w:ascii="Verdana" w:eastAsia="Century Gothic" w:hAnsi="Verdana" w:cs="Century Gothic"/>
        </w:rPr>
        <w:t xml:space="preserve">) </w:t>
      </w:r>
      <w:proofErr w:type="gramStart"/>
      <w:r w:rsidRPr="00320B44">
        <w:rPr>
          <w:rFonts w:ascii="Verdana" w:eastAsia="Century Gothic" w:hAnsi="Verdana" w:cs="Century Gothic"/>
        </w:rPr>
        <w:t>¿ Cuáles</w:t>
      </w:r>
      <w:proofErr w:type="gramEnd"/>
      <w:r w:rsidRPr="00320B44">
        <w:rPr>
          <w:rFonts w:ascii="Verdana" w:eastAsia="Century Gothic" w:hAnsi="Verdana" w:cs="Century Gothic"/>
        </w:rPr>
        <w:t xml:space="preserve"> son los documentos que hacen parte de la liquidación del contrato? </w:t>
      </w:r>
    </w:p>
    <w:p w14:paraId="5B9AEFC8" w14:textId="77777777" w:rsidR="00065E20" w:rsidRPr="001A4CCF" w:rsidRDefault="00065E20" w:rsidP="00065E20">
      <w:pPr>
        <w:spacing w:after="0" w:line="276" w:lineRule="auto"/>
        <w:jc w:val="both"/>
        <w:rPr>
          <w:rFonts w:ascii="Verdana" w:eastAsia="Century Gothic" w:hAnsi="Verdana" w:cs="Century Gothic"/>
        </w:rPr>
      </w:pPr>
    </w:p>
    <w:p w14:paraId="61EDA8DE" w14:textId="77777777" w:rsidR="00065E20" w:rsidRPr="001A4CCF" w:rsidRDefault="00065E20" w:rsidP="00065E20">
      <w:pPr>
        <w:spacing w:after="0" w:line="276" w:lineRule="auto"/>
        <w:jc w:val="both"/>
        <w:rPr>
          <w:rFonts w:ascii="Verdana" w:eastAsia="Calibri" w:hAnsi="Verdana" w:cs="Arial"/>
        </w:rPr>
      </w:pPr>
    </w:p>
    <w:p w14:paraId="757424FC" w14:textId="77777777" w:rsidR="00065E20" w:rsidRDefault="00065E20" w:rsidP="00065E20">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Respuesta:</w:t>
      </w:r>
    </w:p>
    <w:p w14:paraId="03BBDDAC" w14:textId="77777777" w:rsidR="00065E20" w:rsidRPr="009322DA" w:rsidRDefault="00065E20" w:rsidP="00065E20">
      <w:pPr>
        <w:tabs>
          <w:tab w:val="left" w:pos="142"/>
          <w:tab w:val="left" w:pos="284"/>
        </w:tabs>
        <w:spacing w:after="0" w:line="276" w:lineRule="auto"/>
        <w:contextualSpacing/>
        <w:jc w:val="both"/>
        <w:rPr>
          <w:rFonts w:ascii="Verdana" w:eastAsia="Century Gothic" w:hAnsi="Verdana" w:cs="Century Gothic"/>
          <w:b/>
          <w:bCs/>
          <w:lang w:val="es-ES"/>
        </w:rPr>
      </w:pPr>
    </w:p>
    <w:tbl>
      <w:tblPr>
        <w:tblStyle w:val="Tablaconcuadrcula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65E20" w:rsidRPr="009322DA" w14:paraId="39FBBEAA" w14:textId="77777777" w:rsidTr="00B66C68">
        <w:tc>
          <w:tcPr>
            <w:tcW w:w="8828" w:type="dxa"/>
            <w:tcBorders>
              <w:top w:val="dotted" w:sz="4" w:space="0" w:color="auto"/>
              <w:left w:val="dotted" w:sz="4" w:space="0" w:color="auto"/>
              <w:bottom w:val="dotted" w:sz="4" w:space="0" w:color="auto"/>
              <w:right w:val="dotted" w:sz="4" w:space="0" w:color="auto"/>
            </w:tcBorders>
          </w:tcPr>
          <w:p w14:paraId="5933C85B" w14:textId="77777777" w:rsidR="00065E20" w:rsidRPr="00FA2C27" w:rsidRDefault="00065E20" w:rsidP="00B66C68">
            <w:pPr>
              <w:pStyle w:val="Prrafodelista"/>
              <w:numPr>
                <w:ilvl w:val="0"/>
                <w:numId w:val="18"/>
              </w:numPr>
              <w:spacing w:after="120" w:line="276" w:lineRule="auto"/>
              <w:jc w:val="both"/>
              <w:rPr>
                <w:rFonts w:ascii="Verdana" w:eastAsia="Calibri" w:hAnsi="Verdana" w:cs="Arial"/>
              </w:rPr>
            </w:pPr>
            <w:r>
              <w:rPr>
                <w:rFonts w:ascii="Verdana" w:eastAsia="Calibri" w:hAnsi="Verdana" w:cs="Arial"/>
              </w:rPr>
              <w:t xml:space="preserve">Frente al primer interrogante planteado, </w:t>
            </w:r>
            <w:r w:rsidRPr="002A43BA">
              <w:rPr>
                <w:rFonts w:ascii="Verdana" w:eastAsia="Calibri" w:hAnsi="Verdana" w:cs="Arial"/>
              </w:rPr>
              <w:t>el artículo 11 de la Ley 1150 de 2007</w:t>
            </w:r>
            <w:r>
              <w:rPr>
                <w:rFonts w:ascii="Verdana" w:eastAsia="Calibri" w:hAnsi="Verdana" w:cs="Arial"/>
              </w:rPr>
              <w:t xml:space="preserve"> establece que la </w:t>
            </w:r>
            <w:proofErr w:type="gramStart"/>
            <w:r>
              <w:rPr>
                <w:rFonts w:ascii="Verdana" w:eastAsia="Calibri" w:hAnsi="Verdana" w:cs="Arial"/>
              </w:rPr>
              <w:t>liquidación  del</w:t>
            </w:r>
            <w:proofErr w:type="gramEnd"/>
            <w:r>
              <w:rPr>
                <w:rFonts w:ascii="Verdana" w:eastAsia="Calibri" w:hAnsi="Verdana" w:cs="Arial"/>
              </w:rPr>
              <w:t xml:space="preserve"> contrato estatal se hará  de mutuo acuerdo dentro del término fijado en los pliegos de condiciones </w:t>
            </w:r>
            <w:r w:rsidRPr="00166A60">
              <w:rPr>
                <w:rFonts w:ascii="Verdana" w:eastAsia="Calibri" w:hAnsi="Verdana" w:cs="Arial"/>
                <w:lang w:val="es-CO"/>
              </w:rPr>
              <w:t xml:space="preserve">o sus equivalentes, o dentro del que acuerden las partes para el efecto. </w:t>
            </w:r>
            <w:r>
              <w:rPr>
                <w:rFonts w:ascii="Verdana" w:eastAsia="Calibri" w:hAnsi="Verdana" w:cs="Arial"/>
                <w:lang w:val="es-CO"/>
              </w:rPr>
              <w:t xml:space="preserve"> </w:t>
            </w:r>
          </w:p>
          <w:p w14:paraId="329A1FBB" w14:textId="77777777" w:rsidR="00065E20" w:rsidRDefault="00065E20" w:rsidP="00B66C68">
            <w:pPr>
              <w:pStyle w:val="Prrafodelista"/>
              <w:spacing w:after="120" w:line="276" w:lineRule="auto"/>
              <w:ind w:left="1080"/>
              <w:jc w:val="both"/>
              <w:rPr>
                <w:rFonts w:ascii="Verdana" w:eastAsia="Calibri" w:hAnsi="Verdana" w:cs="Arial"/>
              </w:rPr>
            </w:pPr>
          </w:p>
          <w:p w14:paraId="5DC00626" w14:textId="77777777" w:rsidR="00065E20" w:rsidRDefault="00065E20" w:rsidP="00B66C68">
            <w:pPr>
              <w:pStyle w:val="Prrafodelista"/>
              <w:spacing w:after="120" w:line="276" w:lineRule="auto"/>
              <w:ind w:left="1080"/>
              <w:jc w:val="both"/>
              <w:rPr>
                <w:rFonts w:ascii="Verdana" w:eastAsia="Calibri" w:hAnsi="Verdana" w:cs="Arial"/>
                <w:lang w:val="es-CO"/>
              </w:rPr>
            </w:pPr>
            <w:r>
              <w:rPr>
                <w:rFonts w:ascii="Verdana" w:eastAsia="Calibri" w:hAnsi="Verdana" w:cs="Arial"/>
                <w:lang w:val="es-CO"/>
              </w:rPr>
              <w:t>Ahora bien, la norma ibidem establece plazos legales a falta de estipulación para liquidar el contrato estatal, bajo las siguientes consideraciones:</w:t>
            </w:r>
          </w:p>
          <w:p w14:paraId="2AB8C901" w14:textId="77777777" w:rsidR="00065E20" w:rsidRDefault="00065E20" w:rsidP="00B66C68">
            <w:pPr>
              <w:pStyle w:val="Prrafodelista"/>
              <w:spacing w:after="120" w:line="276" w:lineRule="auto"/>
              <w:ind w:left="1080"/>
              <w:jc w:val="both"/>
              <w:rPr>
                <w:rFonts w:ascii="Verdana" w:eastAsia="Calibri" w:hAnsi="Verdana" w:cs="Arial"/>
                <w:lang w:val="es-CO"/>
              </w:rPr>
            </w:pPr>
          </w:p>
          <w:p w14:paraId="0E04061B" w14:textId="77777777" w:rsidR="00065E20" w:rsidRPr="00D9362F" w:rsidRDefault="00065E20" w:rsidP="00B66C68">
            <w:pPr>
              <w:pStyle w:val="Prrafodelista"/>
              <w:numPr>
                <w:ilvl w:val="0"/>
                <w:numId w:val="23"/>
              </w:numPr>
              <w:jc w:val="both"/>
              <w:rPr>
                <w:rFonts w:asciiTheme="minorHAnsi" w:hAnsiTheme="minorHAnsi"/>
              </w:rPr>
            </w:pPr>
            <w:r w:rsidRPr="00FA2C27">
              <w:rPr>
                <w:rFonts w:ascii="Verdana" w:eastAsia="Calibri" w:hAnsi="Verdana" w:cs="Arial"/>
              </w:rPr>
              <w:t xml:space="preserve">Cuando exista falta de estipulación en los documentos del contrato </w:t>
            </w:r>
            <w:r w:rsidRPr="00D9362F">
              <w:rPr>
                <w:rFonts w:ascii="Arial" w:hAnsi="Arial" w:cs="Arial"/>
                <w:color w:val="333333"/>
                <w:sz w:val="25"/>
                <w:szCs w:val="25"/>
                <w:shd w:val="clear" w:color="auto" w:fill="FFFFFF"/>
              </w:rPr>
              <w:t>o dentro del que acuerden las partes para el efecto</w:t>
            </w:r>
            <w:r w:rsidRPr="00C3666F">
              <w:rPr>
                <w:rFonts w:ascii="Arial" w:hAnsi="Arial" w:cs="Arial"/>
                <w:color w:val="333333"/>
                <w:sz w:val="25"/>
                <w:szCs w:val="25"/>
                <w:shd w:val="clear" w:color="auto" w:fill="FFFFFF"/>
              </w:rPr>
              <w:t xml:space="preserve"> </w:t>
            </w:r>
            <w:r w:rsidRPr="00FA2C27">
              <w:rPr>
                <w:rFonts w:ascii="Verdana" w:eastAsia="Calibri" w:hAnsi="Verdana" w:cs="Arial"/>
              </w:rPr>
              <w:t>se realizará dentro de los cuatro (4) meses siguientes a la expiración del término previsto para la ejecución del contrato o a la expedición del acto administrativo que ordene la terminación, o a la fecha del acuerdo que la disponga.</w:t>
            </w:r>
          </w:p>
          <w:p w14:paraId="4B6AEC03" w14:textId="77777777" w:rsidR="00065E20" w:rsidRPr="00FA2C27" w:rsidRDefault="00065E20" w:rsidP="00B66C68">
            <w:pPr>
              <w:pStyle w:val="Prrafodelista"/>
              <w:numPr>
                <w:ilvl w:val="0"/>
                <w:numId w:val="23"/>
              </w:numPr>
              <w:spacing w:after="120" w:line="276" w:lineRule="auto"/>
              <w:jc w:val="both"/>
              <w:rPr>
                <w:rFonts w:ascii="Verdana" w:eastAsia="Calibri" w:hAnsi="Verdana" w:cs="Arial"/>
              </w:rPr>
            </w:pPr>
            <w:r>
              <w:rPr>
                <w:rFonts w:ascii="Verdana" w:eastAsia="Calibri" w:hAnsi="Verdana" w:cs="Arial"/>
              </w:rPr>
              <w:t xml:space="preserve">Cuando </w:t>
            </w:r>
            <w:r w:rsidRPr="00166A60">
              <w:rPr>
                <w:rFonts w:ascii="Verdana" w:eastAsia="Calibri" w:hAnsi="Verdana" w:cs="Arial"/>
                <w:lang w:val="es-CO"/>
              </w:rPr>
              <w:t>el contratista no se presente a la liquidación previa notificación o convocatoria que le haga la entidad, o las partes no lleguen a un acuerdo sobre su contenido, la entidad tendrá la facultad de liquidar en forma unilateral dentro de los dos (2) meses siguientes</w:t>
            </w:r>
            <w:r>
              <w:rPr>
                <w:rFonts w:ascii="Verdana" w:eastAsia="Calibri" w:hAnsi="Verdana" w:cs="Arial"/>
                <w:lang w:val="es-CO"/>
              </w:rPr>
              <w:t>.</w:t>
            </w:r>
          </w:p>
          <w:p w14:paraId="5FECFD63" w14:textId="77777777" w:rsidR="00065E20" w:rsidRPr="003575EF" w:rsidRDefault="00065E20" w:rsidP="00B66C68">
            <w:pPr>
              <w:pStyle w:val="Prrafodelista"/>
              <w:numPr>
                <w:ilvl w:val="0"/>
                <w:numId w:val="23"/>
              </w:numPr>
              <w:spacing w:after="120" w:line="276" w:lineRule="auto"/>
              <w:jc w:val="both"/>
              <w:rPr>
                <w:rFonts w:ascii="Verdana" w:eastAsia="Calibri" w:hAnsi="Verdana" w:cs="Arial"/>
              </w:rPr>
            </w:pPr>
            <w:r>
              <w:rPr>
                <w:rFonts w:ascii="Verdana" w:eastAsia="Calibri" w:hAnsi="Verdana" w:cs="Arial"/>
              </w:rPr>
              <w:t xml:space="preserve">Vencido los plazos previamente señalados, </w:t>
            </w:r>
            <w:r w:rsidRPr="003575EF">
              <w:rPr>
                <w:rFonts w:ascii="Verdana" w:eastAsia="Calibri" w:hAnsi="Verdana" w:cs="Arial"/>
              </w:rPr>
              <w:t xml:space="preserve">existe la posibilidad de liquidar de mutuo acuerdo o unilateralmente el contrato dentro de los 2 años siguientes, sin perjuicio de acudir a un proceso donde se pretenda la liquidación judicial. </w:t>
            </w:r>
          </w:p>
          <w:p w14:paraId="21C1B80D" w14:textId="77777777" w:rsidR="00065E20" w:rsidRPr="00166A60" w:rsidRDefault="00065E20" w:rsidP="00B66C68">
            <w:pPr>
              <w:pStyle w:val="Prrafodelista"/>
              <w:spacing w:after="120" w:line="276" w:lineRule="auto"/>
              <w:ind w:left="1080"/>
              <w:jc w:val="both"/>
              <w:rPr>
                <w:rFonts w:ascii="Verdana" w:eastAsia="Calibri" w:hAnsi="Verdana" w:cs="Arial"/>
                <w:lang w:val="es-CO"/>
              </w:rPr>
            </w:pPr>
          </w:p>
          <w:p w14:paraId="1FBE9295" w14:textId="77777777" w:rsidR="00065E20" w:rsidRPr="002A43BA" w:rsidRDefault="00065E20" w:rsidP="00B66C68">
            <w:pPr>
              <w:rPr>
                <w:rFonts w:eastAsia="Calibri" w:cs="Arial"/>
              </w:rPr>
            </w:pPr>
          </w:p>
          <w:p w14:paraId="6D0A1905" w14:textId="77777777" w:rsidR="00065E20" w:rsidRPr="00FA2C27" w:rsidRDefault="00065E20" w:rsidP="00B66C68">
            <w:pPr>
              <w:pStyle w:val="Prrafodelista"/>
              <w:numPr>
                <w:ilvl w:val="0"/>
                <w:numId w:val="18"/>
              </w:numPr>
              <w:spacing w:after="120" w:line="276" w:lineRule="auto"/>
              <w:jc w:val="both"/>
              <w:rPr>
                <w:rFonts w:ascii="Verdana" w:eastAsia="Calibri" w:hAnsi="Verdana" w:cs="Arial"/>
              </w:rPr>
            </w:pPr>
            <w:r>
              <w:rPr>
                <w:rFonts w:ascii="Verdana" w:eastAsia="Calibri" w:hAnsi="Verdana" w:cs="Arial"/>
              </w:rPr>
              <w:t xml:space="preserve">Frente al segundo interrogante planteado, le corresponde a la Entidad Contratante dentro de los pliegos de condiciones o documentos precontractuales y durante la etapa de ejecución establecer los documentos que hacen parte de la liquidación del contrato. Ahora bien, </w:t>
            </w:r>
            <w:r>
              <w:rPr>
                <w:rFonts w:ascii="Verdana" w:eastAsia="Calibri" w:hAnsi="Verdana" w:cs="Arial"/>
                <w:lang w:val="es-CO"/>
              </w:rPr>
              <w:t>el acta</w:t>
            </w:r>
            <w:r w:rsidRPr="00F4753F">
              <w:rPr>
                <w:rFonts w:ascii="Verdana" w:eastAsia="Calibri" w:hAnsi="Verdana" w:cs="Arial"/>
                <w:lang w:val="es-CO"/>
              </w:rPr>
              <w:t xml:space="preserve"> liquidación del contrato estatal debe</w:t>
            </w:r>
            <w:r>
              <w:rPr>
                <w:rFonts w:ascii="Verdana" w:eastAsia="Calibri" w:hAnsi="Verdana" w:cs="Arial"/>
                <w:lang w:val="es-CO"/>
              </w:rPr>
              <w:t>rá</w:t>
            </w:r>
            <w:r w:rsidRPr="00F4753F">
              <w:rPr>
                <w:rFonts w:ascii="Verdana" w:eastAsia="Calibri" w:hAnsi="Verdana" w:cs="Arial"/>
                <w:lang w:val="es-CO"/>
              </w:rPr>
              <w:t xml:space="preserve"> contener, en general, las identificaciones del contrato y de las partes </w:t>
            </w:r>
            <w:proofErr w:type="gramStart"/>
            <w:r w:rsidRPr="00F4753F">
              <w:rPr>
                <w:rFonts w:ascii="Verdana" w:eastAsia="Calibri" w:hAnsi="Verdana" w:cs="Arial"/>
                <w:lang w:val="es-CO"/>
              </w:rPr>
              <w:t>del mismo</w:t>
            </w:r>
            <w:proofErr w:type="gramEnd"/>
            <w:r w:rsidRPr="00F4753F">
              <w:rPr>
                <w:rFonts w:ascii="Verdana" w:eastAsia="Calibri" w:hAnsi="Verdana" w:cs="Arial"/>
                <w:lang w:val="es-CO"/>
              </w:rPr>
              <w:t>; los balances técnico, económico, financiero, administrativo y jurídico que arroja el contrato, el finiquito y paz y salvo a que haya lugar</w:t>
            </w:r>
            <w:r>
              <w:rPr>
                <w:rFonts w:ascii="Verdana" w:eastAsia="Calibri" w:hAnsi="Verdana" w:cs="Arial"/>
                <w:lang w:val="es-CO"/>
              </w:rPr>
              <w:t xml:space="preserve"> conforme a los dispuesto en la norma</w:t>
            </w:r>
            <w:r w:rsidRPr="00F4753F">
              <w:rPr>
                <w:rFonts w:ascii="Verdana" w:eastAsia="Calibri" w:hAnsi="Verdana" w:cs="Arial"/>
                <w:lang w:val="es-CO"/>
              </w:rPr>
              <w:t>.</w:t>
            </w:r>
          </w:p>
          <w:p w14:paraId="376ECC2E" w14:textId="77777777" w:rsidR="00065E20" w:rsidRPr="00FA2C27" w:rsidRDefault="00065E20" w:rsidP="00B66C68">
            <w:pPr>
              <w:pStyle w:val="Prrafodelista"/>
              <w:spacing w:after="120" w:line="276" w:lineRule="auto"/>
              <w:ind w:left="1080"/>
              <w:jc w:val="both"/>
              <w:rPr>
                <w:rFonts w:ascii="Verdana" w:eastAsia="Calibri" w:hAnsi="Verdana" w:cs="Arial"/>
              </w:rPr>
            </w:pPr>
          </w:p>
          <w:p w14:paraId="309BC1D3" w14:textId="77777777" w:rsidR="00065E20" w:rsidRPr="005B68B3" w:rsidRDefault="00065E20" w:rsidP="00B66C68">
            <w:pPr>
              <w:pStyle w:val="Prrafodelista"/>
              <w:spacing w:after="120" w:line="276" w:lineRule="auto"/>
              <w:ind w:left="1080"/>
              <w:jc w:val="both"/>
              <w:rPr>
                <w:rFonts w:ascii="Verdana" w:eastAsia="Calibri" w:hAnsi="Verdana" w:cs="Arial"/>
              </w:rPr>
            </w:pPr>
            <w:r w:rsidRPr="00F4753F">
              <w:rPr>
                <w:rFonts w:ascii="Verdana" w:eastAsia="Calibri" w:hAnsi="Verdana" w:cs="Arial"/>
                <w:lang w:val="es-CO"/>
              </w:rPr>
              <w:t xml:space="preserve">En razón al contenido de la liquidación se desprende que sus finalidades o funciones son de carácter declarativo, constitutivo y probatorio. Al respecto, ha señalado la Sección Tercera </w:t>
            </w:r>
            <w:r>
              <w:rPr>
                <w:rFonts w:ascii="Verdana" w:eastAsia="Calibri" w:hAnsi="Verdana" w:cs="Arial"/>
                <w:lang w:val="es-CO"/>
              </w:rPr>
              <w:t xml:space="preserve">del Consejo de Estado </w:t>
            </w:r>
            <w:r w:rsidRPr="00F4753F">
              <w:rPr>
                <w:rFonts w:ascii="Verdana" w:eastAsia="Calibri" w:hAnsi="Verdana" w:cs="Arial"/>
                <w:lang w:val="es-CO"/>
              </w:rPr>
              <w:t>que tiene por objeto: "(i) el estado en que quedaron las obligaciones que surgieron de la ejecución del contrato; (</w:t>
            </w:r>
            <w:proofErr w:type="spellStart"/>
            <w:r w:rsidRPr="00F4753F">
              <w:rPr>
                <w:rFonts w:ascii="Verdana" w:eastAsia="Calibri" w:hAnsi="Verdana" w:cs="Arial"/>
                <w:lang w:val="es-CO"/>
              </w:rPr>
              <w:t>ii</w:t>
            </w:r>
            <w:proofErr w:type="spellEnd"/>
            <w:r w:rsidRPr="00F4753F">
              <w:rPr>
                <w:rFonts w:ascii="Verdana" w:eastAsia="Calibri" w:hAnsi="Verdana" w:cs="Arial"/>
                <w:lang w:val="es-CO"/>
              </w:rPr>
              <w:t>) los ajustes, revisiones y reconocimientos a que haya lugar según lo ejecutado y lo pagado; (</w:t>
            </w:r>
            <w:proofErr w:type="spellStart"/>
            <w:r w:rsidRPr="00F4753F">
              <w:rPr>
                <w:rFonts w:ascii="Verdana" w:eastAsia="Calibri" w:hAnsi="Verdana" w:cs="Arial"/>
                <w:lang w:val="es-CO"/>
              </w:rPr>
              <w:t>iii</w:t>
            </w:r>
            <w:proofErr w:type="spellEnd"/>
            <w:r w:rsidRPr="00F4753F">
              <w:rPr>
                <w:rFonts w:ascii="Verdana" w:eastAsia="Calibri" w:hAnsi="Verdana" w:cs="Arial"/>
                <w:lang w:val="es-CO"/>
              </w:rPr>
              <w:t>) las garantías inherentes al objeto contractual, así como, (</w:t>
            </w:r>
            <w:proofErr w:type="spellStart"/>
            <w:r w:rsidRPr="00F4753F">
              <w:rPr>
                <w:rFonts w:ascii="Verdana" w:eastAsia="Calibri" w:hAnsi="Verdana" w:cs="Arial"/>
                <w:lang w:val="es-CO"/>
              </w:rPr>
              <w:t>iv</w:t>
            </w:r>
            <w:proofErr w:type="spellEnd"/>
            <w:r w:rsidRPr="00F4753F">
              <w:rPr>
                <w:rFonts w:ascii="Verdana" w:eastAsia="Calibri" w:hAnsi="Verdana" w:cs="Arial"/>
                <w:lang w:val="es-CO"/>
              </w:rPr>
              <w:t xml:space="preserve">) contener los acuerdos, conciliaciones y </w:t>
            </w:r>
            <w:r w:rsidRPr="00F4753F">
              <w:rPr>
                <w:rFonts w:ascii="Verdana" w:eastAsia="Calibri" w:hAnsi="Verdana" w:cs="Arial"/>
                <w:lang w:val="es-CO"/>
              </w:rPr>
              <w:lastRenderedPageBreak/>
              <w:t>transacciones a que llegaren las partes para poner fin a las divergencias presentadas y poder declararse a paz y salvo.</w:t>
            </w:r>
            <w:r>
              <w:rPr>
                <w:rStyle w:val="Refdenotaalpie"/>
                <w:rFonts w:ascii="Verdana" w:eastAsia="Calibri" w:hAnsi="Verdana" w:cs="Arial"/>
              </w:rPr>
              <w:footnoteReference w:id="1"/>
            </w:r>
          </w:p>
          <w:p w14:paraId="62678F92" w14:textId="77777777" w:rsidR="00065E20" w:rsidRPr="005B68B3" w:rsidRDefault="00065E20" w:rsidP="00B66C68">
            <w:pPr>
              <w:spacing w:before="120" w:line="276" w:lineRule="auto"/>
              <w:ind w:left="1156"/>
              <w:jc w:val="both"/>
              <w:rPr>
                <w:rFonts w:ascii="Arial" w:hAnsi="Arial" w:cs="Arial"/>
                <w:lang w:val="es-ES"/>
              </w:rPr>
            </w:pPr>
          </w:p>
        </w:tc>
      </w:tr>
    </w:tbl>
    <w:p w14:paraId="09CE4572" w14:textId="77777777" w:rsidR="00065E20" w:rsidRPr="009322DA" w:rsidRDefault="00065E20" w:rsidP="00065E20">
      <w:pPr>
        <w:tabs>
          <w:tab w:val="left" w:pos="142"/>
          <w:tab w:val="left" w:pos="284"/>
        </w:tabs>
        <w:spacing w:after="0" w:line="276" w:lineRule="auto"/>
        <w:jc w:val="both"/>
        <w:rPr>
          <w:rFonts w:ascii="Verdana" w:eastAsia="Century Gothic" w:hAnsi="Verdana" w:cs="Century Gothic"/>
          <w:b/>
          <w:bCs/>
          <w:lang w:val="es-ES"/>
        </w:rPr>
      </w:pPr>
    </w:p>
    <w:p w14:paraId="494AD70B" w14:textId="77777777" w:rsidR="00065E20" w:rsidRPr="009322DA" w:rsidRDefault="00065E20" w:rsidP="00065E20">
      <w:pPr>
        <w:tabs>
          <w:tab w:val="left" w:pos="142"/>
          <w:tab w:val="left" w:pos="284"/>
        </w:tabs>
        <w:spacing w:after="0" w:line="276" w:lineRule="auto"/>
        <w:jc w:val="both"/>
        <w:rPr>
          <w:rFonts w:ascii="Verdana" w:eastAsia="Century Gothic" w:hAnsi="Verdana" w:cs="Century Gothic"/>
          <w:b/>
          <w:bCs/>
          <w:lang w:val="es-ES"/>
        </w:rPr>
      </w:pPr>
    </w:p>
    <w:p w14:paraId="5728966A" w14:textId="77777777" w:rsidR="00065E20" w:rsidRPr="009322DA" w:rsidRDefault="00065E20" w:rsidP="00065E20">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Razones de la respuesta:</w:t>
      </w:r>
    </w:p>
    <w:p w14:paraId="4B1F3D0B" w14:textId="77777777" w:rsidR="00065E20" w:rsidRPr="009322DA" w:rsidRDefault="00065E20" w:rsidP="00065E20">
      <w:pPr>
        <w:spacing w:after="0" w:line="276" w:lineRule="auto"/>
        <w:jc w:val="both"/>
        <w:rPr>
          <w:rFonts w:ascii="Verdana" w:eastAsia="Calibri" w:hAnsi="Verdana" w:cs="Arial"/>
          <w:lang w:val="es-ES"/>
        </w:rPr>
      </w:pPr>
    </w:p>
    <w:p w14:paraId="0875B55A" w14:textId="77777777" w:rsidR="00065E20" w:rsidRDefault="00065E20" w:rsidP="00065E20">
      <w:pPr>
        <w:spacing w:after="0" w:line="276" w:lineRule="auto"/>
        <w:jc w:val="both"/>
        <w:rPr>
          <w:rFonts w:ascii="Verdana" w:eastAsia="Calibri" w:hAnsi="Verdana" w:cs="Arial"/>
          <w:lang w:val="es-ES"/>
        </w:rPr>
      </w:pPr>
      <w:r w:rsidRPr="009322DA">
        <w:rPr>
          <w:rFonts w:ascii="Verdana" w:eastAsia="Calibri" w:hAnsi="Verdana" w:cs="Arial"/>
          <w:lang w:val="es-ES"/>
        </w:rPr>
        <w:t xml:space="preserve">Lo anterior se sustenta en las siguientes consideraciones: </w:t>
      </w:r>
    </w:p>
    <w:p w14:paraId="26BAF5D2" w14:textId="77777777" w:rsidR="00065E20" w:rsidRDefault="00065E20" w:rsidP="00065E20">
      <w:pPr>
        <w:spacing w:after="0" w:line="276" w:lineRule="auto"/>
        <w:jc w:val="both"/>
        <w:rPr>
          <w:rFonts w:ascii="Verdana" w:eastAsia="Calibri" w:hAnsi="Verdana" w:cs="Arial"/>
          <w:lang w:val="es-ES"/>
        </w:rPr>
      </w:pPr>
    </w:p>
    <w:p w14:paraId="6D752EA3" w14:textId="77777777" w:rsidR="00065E20" w:rsidRPr="00D9072F" w:rsidRDefault="00065E20" w:rsidP="00065E20">
      <w:pPr>
        <w:pStyle w:val="Prrafodelista"/>
        <w:numPr>
          <w:ilvl w:val="0"/>
          <w:numId w:val="21"/>
        </w:numPr>
        <w:spacing w:after="0" w:line="276" w:lineRule="auto"/>
        <w:jc w:val="both"/>
        <w:rPr>
          <w:rFonts w:ascii="Verdana" w:eastAsia="Calibri" w:hAnsi="Verdana" w:cs="Arial"/>
          <w:color w:val="000000"/>
          <w:lang w:val="es-ES_tradnl"/>
        </w:rPr>
      </w:pPr>
      <w:r w:rsidRPr="00D9072F">
        <w:rPr>
          <w:rFonts w:ascii="Verdana" w:eastAsia="Calibri" w:hAnsi="Verdana" w:cs="Arial"/>
          <w:color w:val="000000"/>
          <w:lang w:val="es-ES_tradnl"/>
        </w:rPr>
        <w:t>La liquidación es el momento en el cual, una vez concluido el contrato estatal, las partes cruzan cuentas respecto de sus obligaciones. Por tanto, su objetivo es determinar si pueden declararse a paz y salvo mutuo o si, por el contrario, existen aún obligaciones por cumplir, para acordar la forma en que deben ser finalizadas</w:t>
      </w:r>
      <w:r w:rsidRPr="00FB5FC4">
        <w:rPr>
          <w:vertAlign w:val="superscript"/>
        </w:rPr>
        <w:footnoteReference w:id="2"/>
      </w:r>
      <w:r w:rsidRPr="00D9072F">
        <w:rPr>
          <w:rFonts w:ascii="Verdana" w:eastAsia="Calibri" w:hAnsi="Verdana" w:cs="Arial"/>
          <w:color w:val="000000"/>
          <w:lang w:val="es-ES_tradnl"/>
        </w:rPr>
        <w:t>. En armonía con lo anterior, la doctrina ha definido la liquidación de la siguiente manera:</w:t>
      </w:r>
    </w:p>
    <w:p w14:paraId="438B09A4" w14:textId="77777777" w:rsidR="00065E20" w:rsidRPr="00D9072F" w:rsidRDefault="00065E20" w:rsidP="00065E20">
      <w:pPr>
        <w:pStyle w:val="Prrafodelista"/>
        <w:spacing w:after="0" w:line="276" w:lineRule="auto"/>
        <w:jc w:val="both"/>
        <w:rPr>
          <w:rFonts w:ascii="Verdana" w:eastAsia="Calibri" w:hAnsi="Verdana" w:cs="Arial"/>
          <w:color w:val="000000"/>
          <w:lang w:val="es-ES_tradnl"/>
        </w:rPr>
      </w:pPr>
    </w:p>
    <w:p w14:paraId="47FDBE1B" w14:textId="77777777" w:rsidR="00065E20" w:rsidRPr="00D9072F" w:rsidRDefault="00065E20" w:rsidP="00065E20">
      <w:pPr>
        <w:pStyle w:val="Prrafodelista"/>
        <w:spacing w:after="0" w:line="240" w:lineRule="auto"/>
        <w:ind w:right="758"/>
        <w:jc w:val="both"/>
        <w:rPr>
          <w:rFonts w:ascii="Verdana" w:eastAsia="Calibri" w:hAnsi="Verdana" w:cs="Arial"/>
          <w:sz w:val="21"/>
          <w:szCs w:val="21"/>
          <w:lang w:val="es-MX"/>
        </w:rPr>
      </w:pPr>
      <w:r w:rsidRPr="00D9072F">
        <w:rPr>
          <w:rFonts w:ascii="Verdana" w:eastAsia="Calibri" w:hAnsi="Verdana" w:cs="Arial"/>
          <w:i/>
          <w:iCs/>
          <w:color w:val="000000"/>
          <w:sz w:val="21"/>
          <w:szCs w:val="21"/>
          <w:lang w:val="es-ES_tradnl"/>
        </w:rPr>
        <w:t>“</w:t>
      </w:r>
      <w:r w:rsidRPr="00D9072F">
        <w:rPr>
          <w:rFonts w:ascii="Verdana" w:eastAsia="Calibri" w:hAnsi="Verdana" w:cs="Arial"/>
          <w:sz w:val="21"/>
          <w:szCs w:val="21"/>
          <w:lang w:val="es-MX"/>
        </w:rPr>
        <w:t xml:space="preserve">[…] la liquidación del contrato estatal corresponde al arreglo o ajuste económico, técnico y jurídico al que se llega de forma bilateral (por las partes del negocio), unilateralmente (por la administración), por el juez o por el árbitro, según el caso, para determinar el estado final de la relación contractual, no solo en cuento al cumplimiento del objeto acordado y al recibo a satisfacción de los productos contratados (bienes y servicios), sino, además, para definir la situación en la que quedan los contratantes, luego de la ejecución del contrato, en el sentido de disponer cuánto se adeudan, de qué manera y en qué plazos se han de efectuar los pagos pendientes y las condiciones para el establecimiento del respectivo paz y salvo. En otras palabras, la liquidación es el acto jurídico bilateral, administrativo o judicial, en el que se plasma y formaliza la situación financiera y jurídica de las partes, al término de la relación contractual (aspecto subjetivo) y el grado de cumplimiento del objeto contratado (aspecto objetivo); de ahí que pueda hablarse, en términos amplios, de un doble contenido, que debe estar presente en toda liquidación. En efecto, el corte de cuentas realizado en ella tiene un doble alcance: (i) hacer un balance definitivo del negocio, en sus aspectos técnicos, financieros y jurídicos (aspecto objetivo o material) y </w:t>
      </w:r>
      <w:proofErr w:type="spellStart"/>
      <w:r w:rsidRPr="00D9072F">
        <w:rPr>
          <w:rFonts w:ascii="Verdana" w:eastAsia="Calibri" w:hAnsi="Verdana" w:cs="Arial"/>
          <w:sz w:val="21"/>
          <w:szCs w:val="21"/>
          <w:lang w:val="es-MX"/>
        </w:rPr>
        <w:t>ii</w:t>
      </w:r>
      <w:proofErr w:type="spellEnd"/>
      <w:r w:rsidRPr="00D9072F">
        <w:rPr>
          <w:rFonts w:ascii="Verdana" w:eastAsia="Calibri" w:hAnsi="Verdana" w:cs="Arial"/>
          <w:sz w:val="21"/>
          <w:szCs w:val="21"/>
          <w:lang w:val="es-MX"/>
        </w:rPr>
        <w:t xml:space="preserve">) definir la situación jurídica de las </w:t>
      </w:r>
      <w:r w:rsidRPr="00D9072F">
        <w:rPr>
          <w:rFonts w:ascii="Verdana" w:eastAsia="Calibri" w:hAnsi="Verdana" w:cs="Arial"/>
          <w:sz w:val="21"/>
          <w:szCs w:val="21"/>
          <w:lang w:val="es-MX"/>
        </w:rPr>
        <w:lastRenderedPageBreak/>
        <w:t>partes, estableciendo si pueden constituirse o no a paz y salvo; lo que exige, en la práctica, que los negociantes dialoguen e intenten ponerse de acuerdo (aspecto subjetivo)”</w:t>
      </w:r>
      <w:r w:rsidRPr="00FB5FC4">
        <w:rPr>
          <w:vertAlign w:val="superscript"/>
        </w:rPr>
        <w:footnoteReference w:id="3"/>
      </w:r>
      <w:r w:rsidRPr="00D9072F">
        <w:rPr>
          <w:rFonts w:ascii="Verdana" w:eastAsia="Calibri" w:hAnsi="Verdana" w:cs="Arial"/>
          <w:sz w:val="21"/>
          <w:szCs w:val="21"/>
          <w:lang w:val="es-MX"/>
        </w:rPr>
        <w:t>.</w:t>
      </w:r>
    </w:p>
    <w:p w14:paraId="6C72F05E" w14:textId="77777777" w:rsidR="00065E20" w:rsidRPr="003575EF" w:rsidRDefault="00065E20" w:rsidP="00065E20">
      <w:pPr>
        <w:pStyle w:val="Prrafodelista"/>
        <w:spacing w:after="0" w:line="276" w:lineRule="auto"/>
        <w:jc w:val="both"/>
        <w:rPr>
          <w:rFonts w:ascii="Verdana" w:eastAsia="Calibri" w:hAnsi="Verdana" w:cs="Arial"/>
          <w:color w:val="000000"/>
          <w:lang w:val="es-MX"/>
        </w:rPr>
      </w:pPr>
    </w:p>
    <w:p w14:paraId="107C28D5" w14:textId="77777777" w:rsidR="00065E20" w:rsidRPr="00D9072F" w:rsidRDefault="00065E20" w:rsidP="00065E20">
      <w:pPr>
        <w:pStyle w:val="Prrafodelista"/>
        <w:numPr>
          <w:ilvl w:val="0"/>
          <w:numId w:val="21"/>
        </w:numPr>
        <w:spacing w:after="120" w:line="276" w:lineRule="auto"/>
        <w:jc w:val="both"/>
        <w:rPr>
          <w:rFonts w:ascii="Verdana" w:eastAsia="Times New Roman" w:hAnsi="Verdana" w:cs="Arial"/>
          <w:color w:val="000000"/>
          <w:sz w:val="21"/>
          <w:szCs w:val="21"/>
          <w:lang w:val="es-ES_tradnl" w:eastAsia="es-ES_tradnl"/>
        </w:rPr>
      </w:pPr>
      <w:r w:rsidRPr="00D9072F">
        <w:rPr>
          <w:rFonts w:ascii="Verdana" w:eastAsia="Times New Roman" w:hAnsi="Verdana" w:cs="Arial"/>
          <w:color w:val="000000"/>
          <w:szCs w:val="24"/>
          <w:lang w:val="es-ES_tradnl" w:eastAsia="es-ES_tradnl"/>
        </w:rPr>
        <w:t xml:space="preserve">Según la jurisprudencia, la liquidación es el ajuste de cuentas donde las partes hacen un balance económico, técnico y jurídico del cumplimiento de las obligaciones que tienen a su cargo. Así lo manifestó el Consejo de Estado en la Sentencia del 20 de octubre de 2014, en la que consideró, por un lado, que </w:t>
      </w:r>
      <w:r w:rsidRPr="00D9072F">
        <w:rPr>
          <w:rFonts w:ascii="Verdana" w:eastAsia="Times New Roman" w:hAnsi="Verdana" w:cs="Arial"/>
          <w:i/>
          <w:iCs/>
          <w:color w:val="000000"/>
          <w:szCs w:val="24"/>
          <w:lang w:val="es-ES_tradnl" w:eastAsia="es-ES_tradnl"/>
        </w:rPr>
        <w:t>liquidar</w:t>
      </w:r>
      <w:r w:rsidRPr="00D9072F">
        <w:rPr>
          <w:rFonts w:ascii="Verdana" w:eastAsia="Times New Roman" w:hAnsi="Verdana" w:cs="Arial"/>
          <w:color w:val="000000"/>
          <w:szCs w:val="24"/>
          <w:lang w:val="es-ES_tradnl" w:eastAsia="es-ES_tradnl"/>
        </w:rPr>
        <w:t xml:space="preserve"> supone un ajuste en relación con las cuentas y el estado de cumplimiento del contrato estatal y, por el otro, que la </w:t>
      </w:r>
      <w:r w:rsidRPr="00D9072F">
        <w:rPr>
          <w:rFonts w:ascii="Verdana" w:eastAsia="Times New Roman" w:hAnsi="Verdana" w:cs="Arial"/>
          <w:i/>
          <w:iCs/>
          <w:color w:val="000000"/>
          <w:szCs w:val="24"/>
          <w:lang w:val="es-ES_tradnl" w:eastAsia="es-ES_tradnl"/>
        </w:rPr>
        <w:t>liquidación</w:t>
      </w:r>
      <w:r w:rsidRPr="00D9072F">
        <w:rPr>
          <w:rFonts w:ascii="Verdana" w:eastAsia="Times New Roman" w:hAnsi="Verdana" w:cs="Arial"/>
          <w:color w:val="000000"/>
          <w:szCs w:val="24"/>
          <w:lang w:val="es-ES_tradnl" w:eastAsia="es-ES_tradnl"/>
        </w:rPr>
        <w:t xml:space="preserve"> debe incluir el análisis de las condiciones de calidad y oportunidad en la entrega de los bienes, obras o servicios, así como el balance económico y el comportamiento financiero del negocio</w:t>
      </w:r>
      <w:r w:rsidRPr="00FB5FC4">
        <w:rPr>
          <w:vertAlign w:val="superscript"/>
          <w:lang w:eastAsia="es-ES_tradnl"/>
        </w:rPr>
        <w:footnoteReference w:id="4"/>
      </w:r>
      <w:r w:rsidRPr="00D9072F">
        <w:rPr>
          <w:rFonts w:ascii="Verdana" w:eastAsia="Times New Roman" w:hAnsi="Verdana" w:cs="Arial"/>
          <w:color w:val="000000"/>
          <w:szCs w:val="24"/>
          <w:lang w:val="es-ES_tradnl" w:eastAsia="es-ES_tradnl"/>
        </w:rPr>
        <w:t xml:space="preserve">. </w:t>
      </w:r>
    </w:p>
    <w:p w14:paraId="06372F66" w14:textId="77777777" w:rsidR="00065E20" w:rsidRDefault="00065E20" w:rsidP="00065E20">
      <w:pPr>
        <w:pStyle w:val="Prrafodelista"/>
        <w:jc w:val="both"/>
        <w:rPr>
          <w:rFonts w:ascii="Verdana" w:eastAsia="Calibri" w:hAnsi="Verdana" w:cs="Arial"/>
          <w:bCs/>
          <w:color w:val="000000"/>
        </w:rPr>
      </w:pPr>
    </w:p>
    <w:p w14:paraId="0E22227E" w14:textId="77777777" w:rsidR="00065E20" w:rsidRPr="00F80DEF" w:rsidRDefault="00065E20" w:rsidP="00065E20">
      <w:pPr>
        <w:pStyle w:val="Prrafodelista"/>
        <w:numPr>
          <w:ilvl w:val="0"/>
          <w:numId w:val="21"/>
        </w:numPr>
        <w:jc w:val="both"/>
        <w:rPr>
          <w:rFonts w:ascii="Verdana" w:eastAsia="Calibri" w:hAnsi="Verdana" w:cs="Arial"/>
          <w:bCs/>
          <w:color w:val="000000"/>
        </w:rPr>
      </w:pPr>
      <w:r w:rsidRPr="00F80DEF">
        <w:rPr>
          <w:rFonts w:ascii="Verdana" w:eastAsia="Calibri" w:hAnsi="Verdana" w:cs="Arial"/>
          <w:bCs/>
          <w:color w:val="000000"/>
        </w:rPr>
        <w:t>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segundo contiene reglas procedimentales para su realización. En relación con el artículo 60 referido, la doctrina ha indicado que:</w:t>
      </w:r>
    </w:p>
    <w:p w14:paraId="4E91E55C" w14:textId="77777777" w:rsidR="00065E20" w:rsidRPr="00F80DEF" w:rsidRDefault="00065E20" w:rsidP="00065E20">
      <w:pPr>
        <w:ind w:left="1416"/>
        <w:jc w:val="both"/>
        <w:rPr>
          <w:rFonts w:ascii="Verdana" w:eastAsia="Calibri" w:hAnsi="Verdana" w:cs="Arial"/>
          <w:bCs/>
          <w:color w:val="000000"/>
          <w:sz w:val="20"/>
          <w:szCs w:val="20"/>
          <w:lang w:val="es-ES"/>
        </w:rPr>
      </w:pPr>
      <w:r w:rsidRPr="00F80DEF">
        <w:rPr>
          <w:rFonts w:ascii="Verdana" w:eastAsia="Calibri" w:hAnsi="Verdana" w:cs="Arial"/>
          <w:bCs/>
          <w:color w:val="000000"/>
          <w:sz w:val="20"/>
          <w:szCs w:val="20"/>
          <w:lang w:val="es-ES"/>
        </w:rPr>
        <w:t>“La ley 80 de 1993 […] dispuso en el artículo 60 que serían objeto de liquidación todos los contratos de tracto sucesivo, entendiendo por estos los de ejecución y cumplimiento prolongados en el tiempo, así como los demás que lo requieran –que son generalmente aquellos de ejecución instantánea en los que la misma se ha extendido temporalmente–, etapa en la cual las partes debían acordar los ajustes, revisiones y reconocimientos a que hubiera lugar, y que el contenido de la misma debía reflejar «los acuerdos, conciliaciones y transacciones a que llegaren las partes para poner fin a las divergencias presentadas y poder declararse a paz y salvo</w:t>
      </w:r>
      <w:r w:rsidRPr="00F80DEF">
        <w:rPr>
          <w:rFonts w:ascii="Verdana" w:eastAsia="Calibri" w:hAnsi="Verdana" w:cs="Arial"/>
          <w:bCs/>
          <w:color w:val="000000"/>
          <w:sz w:val="10"/>
          <w:szCs w:val="10"/>
          <w:lang w:val="es-ES"/>
        </w:rPr>
        <w:footnoteReference w:id="5"/>
      </w:r>
      <w:r w:rsidRPr="00F80DEF">
        <w:rPr>
          <w:rFonts w:ascii="Verdana" w:eastAsia="Calibri" w:hAnsi="Verdana" w:cs="Arial"/>
          <w:bCs/>
          <w:color w:val="000000"/>
          <w:sz w:val="20"/>
          <w:szCs w:val="20"/>
          <w:lang w:val="es-ES"/>
        </w:rPr>
        <w:t>.”</w:t>
      </w:r>
    </w:p>
    <w:p w14:paraId="4E18CCFE" w14:textId="77777777" w:rsidR="00065E20" w:rsidRPr="00F80DEF" w:rsidRDefault="00065E20" w:rsidP="00065E20">
      <w:pPr>
        <w:jc w:val="both"/>
        <w:rPr>
          <w:rFonts w:ascii="Verdana" w:eastAsia="Calibri" w:hAnsi="Verdana" w:cs="Arial"/>
          <w:bCs/>
          <w:color w:val="000000"/>
          <w:lang w:val="es-ES_tradnl"/>
        </w:rPr>
      </w:pPr>
    </w:p>
    <w:p w14:paraId="287D0C8F" w14:textId="77777777" w:rsidR="00065E20" w:rsidRPr="00F80DEF" w:rsidRDefault="00065E20" w:rsidP="00065E20">
      <w:pPr>
        <w:numPr>
          <w:ilvl w:val="0"/>
          <w:numId w:val="20"/>
        </w:numPr>
        <w:jc w:val="both"/>
        <w:rPr>
          <w:rFonts w:ascii="Verdana" w:eastAsia="Calibri" w:hAnsi="Verdana" w:cs="Arial"/>
          <w:bCs/>
          <w:color w:val="000000"/>
          <w:lang w:val="es-ES"/>
        </w:rPr>
      </w:pPr>
      <w:r w:rsidRPr="00F80DEF">
        <w:rPr>
          <w:rFonts w:ascii="Verdana" w:eastAsia="Calibri" w:hAnsi="Verdana" w:cs="Arial"/>
          <w:bCs/>
          <w:color w:val="000000"/>
          <w:lang w:val="es-ES"/>
        </w:rPr>
        <w:lastRenderedPageBreak/>
        <w:t>El artículo 60 de la Ley 80 de 1993, los contratos de tracto sucesivo, aquellos cuyo cumplimiento o ejecución se prolongue en el tiempo y los demás que lo requieran “serán objeto de liquidación”. El mismo artículo prescribe que no será obligatoria la liquidación en los contratos de prestación de servicios profesionales y de apoyo a la gestión. Adicionalmente, en los contratos las entidades estatales deben definir la oportunidad y forma de recibir el objeto contratado y, en cada caso, si un contrato requiere o no de liquidación, con arreglo a criterios tales como la naturaleza, objeto y plazo del contrato</w:t>
      </w:r>
      <w:r w:rsidRPr="00F80DEF">
        <w:rPr>
          <w:rFonts w:ascii="Verdana" w:eastAsia="Calibri" w:hAnsi="Verdana" w:cs="Arial"/>
          <w:bCs/>
          <w:color w:val="000000"/>
          <w:lang w:val="es-ES"/>
        </w:rPr>
        <w:footnoteReference w:id="6"/>
      </w:r>
      <w:r w:rsidRPr="00F80DEF">
        <w:rPr>
          <w:rFonts w:ascii="Verdana" w:eastAsia="Calibri" w:hAnsi="Verdana" w:cs="Arial"/>
          <w:bCs/>
          <w:color w:val="000000"/>
          <w:lang w:val="es-ES"/>
        </w:rPr>
        <w:t>, así como la probabilidad de que puedan surgir diferencias durante la ejecución del contrato; sin perjuicio de que, como se indicó, todos los contratos estatales de tracto sucesivo o aquellos cuya ejecución se prolongue en el tiempo siempre deban liquidarse, convirtiéndose en estos contratos en una cláusula de la naturaleza, conforme a la clasificación prevista en el Código Civil.</w:t>
      </w:r>
    </w:p>
    <w:p w14:paraId="60578D15" w14:textId="77777777" w:rsidR="00065E20" w:rsidRPr="00F80DEF" w:rsidRDefault="00065E20" w:rsidP="00065E20">
      <w:pPr>
        <w:jc w:val="both"/>
        <w:rPr>
          <w:rFonts w:ascii="Verdana" w:eastAsia="Calibri" w:hAnsi="Verdana" w:cs="Arial"/>
          <w:bCs/>
          <w:color w:val="000000"/>
          <w:lang w:val="es-ES"/>
        </w:rPr>
      </w:pPr>
    </w:p>
    <w:p w14:paraId="19CC553E" w14:textId="77777777" w:rsidR="00065E20" w:rsidRPr="00F80DEF" w:rsidRDefault="00065E20" w:rsidP="00065E20">
      <w:pPr>
        <w:numPr>
          <w:ilvl w:val="0"/>
          <w:numId w:val="20"/>
        </w:numPr>
        <w:jc w:val="both"/>
        <w:rPr>
          <w:rFonts w:ascii="Verdana" w:eastAsia="Calibri" w:hAnsi="Verdana" w:cs="Arial"/>
          <w:bCs/>
          <w:color w:val="000000"/>
          <w:lang w:val="es-ES"/>
        </w:rPr>
      </w:pPr>
      <w:r w:rsidRPr="00F80DEF">
        <w:rPr>
          <w:rFonts w:ascii="Verdana" w:eastAsia="Calibri" w:hAnsi="Verdana" w:cs="Arial"/>
          <w:bCs/>
          <w:color w:val="000000"/>
          <w:lang w:val="es-ES"/>
        </w:rPr>
        <w:t>El artículo 11 de la Ley 1150 de 2007</w:t>
      </w:r>
      <w:r w:rsidRPr="00F80DEF">
        <w:rPr>
          <w:rFonts w:ascii="Verdana" w:eastAsia="Calibri" w:hAnsi="Verdana" w:cs="Arial"/>
          <w:bCs/>
          <w:color w:val="000000"/>
          <w:lang w:val="es-ES"/>
        </w:rPr>
        <w:footnoteReference w:id="7"/>
      </w:r>
      <w:r w:rsidRPr="00F80DEF">
        <w:rPr>
          <w:rFonts w:ascii="Verdana" w:eastAsia="Calibri" w:hAnsi="Verdana" w:cs="Arial"/>
          <w:bCs/>
          <w:color w:val="000000"/>
          <w:lang w:val="es-ES"/>
        </w:rPr>
        <w:t xml:space="preserve"> contiene las reglas de tipo procedimental para liquidar los contratos estatales, las cuales se pasan a explicar. En primer lugar, 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w:t>
      </w:r>
      <w:proofErr w:type="spellStart"/>
      <w:r w:rsidRPr="00F80DEF">
        <w:rPr>
          <w:rFonts w:ascii="Verdana" w:eastAsia="Calibri" w:hAnsi="Verdana" w:cs="Arial"/>
          <w:bCs/>
          <w:color w:val="000000"/>
          <w:lang w:val="es-ES"/>
        </w:rPr>
        <w:t>ii</w:t>
      </w:r>
      <w:proofErr w:type="spellEnd"/>
      <w:r w:rsidRPr="00F80DEF">
        <w:rPr>
          <w:rFonts w:ascii="Verdana" w:eastAsia="Calibri" w:hAnsi="Verdana" w:cs="Arial"/>
          <w:bCs/>
          <w:color w:val="000000"/>
          <w:lang w:val="es-ES"/>
        </w:rPr>
        <w:t xml:space="preserve">) la expedición del acto administrativo que ordene la terminación del contrato; o, </w:t>
      </w:r>
      <w:proofErr w:type="spellStart"/>
      <w:r w:rsidRPr="00F80DEF">
        <w:rPr>
          <w:rFonts w:ascii="Verdana" w:eastAsia="Calibri" w:hAnsi="Verdana" w:cs="Arial"/>
          <w:bCs/>
          <w:color w:val="000000"/>
          <w:lang w:val="es-ES"/>
        </w:rPr>
        <w:t>iii</w:t>
      </w:r>
      <w:proofErr w:type="spellEnd"/>
      <w:r w:rsidRPr="00F80DEF">
        <w:rPr>
          <w:rFonts w:ascii="Verdana" w:eastAsia="Calibri" w:hAnsi="Verdana" w:cs="Arial"/>
          <w:bCs/>
          <w:color w:val="000000"/>
          <w:lang w:val="es-ES"/>
        </w:rPr>
        <w:t>) la fecha del acuerdo que disponga la terminación del contrato.</w:t>
      </w:r>
    </w:p>
    <w:p w14:paraId="4EEEF39B" w14:textId="77777777" w:rsidR="00065E20" w:rsidRPr="00F80DEF" w:rsidRDefault="00065E20" w:rsidP="00065E20">
      <w:pPr>
        <w:jc w:val="both"/>
        <w:rPr>
          <w:rFonts w:ascii="Verdana" w:eastAsia="Calibri" w:hAnsi="Verdana" w:cs="Arial"/>
          <w:bCs/>
          <w:color w:val="000000"/>
          <w:lang w:val="es-ES"/>
        </w:rPr>
      </w:pPr>
    </w:p>
    <w:p w14:paraId="4004511C" w14:textId="77777777" w:rsidR="00065E20" w:rsidRPr="00F80DEF" w:rsidRDefault="00065E20" w:rsidP="00065E20">
      <w:pPr>
        <w:numPr>
          <w:ilvl w:val="0"/>
          <w:numId w:val="20"/>
        </w:numPr>
        <w:jc w:val="both"/>
        <w:rPr>
          <w:rFonts w:ascii="Verdana" w:eastAsia="Calibri" w:hAnsi="Verdana" w:cs="Arial"/>
          <w:bCs/>
          <w:color w:val="000000"/>
          <w:lang w:val="es-MX"/>
        </w:rPr>
      </w:pPr>
      <w:r w:rsidRPr="00F80DEF">
        <w:rPr>
          <w:rFonts w:ascii="Verdana" w:eastAsia="Calibri" w:hAnsi="Verdana" w:cs="Arial"/>
          <w:bCs/>
          <w:color w:val="000000"/>
          <w:lang w:val="es-MX"/>
        </w:rPr>
        <w:lastRenderedPageBreak/>
        <w:t>El mismo artículo 11 de la Ley 1150 de 2007 señala que la liquidación de mutuo acuerdo deberá realizar dentro del plazo previsto en “los pliegos de condiciones o sus equivalentes, o dentro del que acuerden las partes para el efecto”. Para dilucidar a qué se refiere la norma con “equivalentes” resulta necesario tener presente que el pliego de condiciones es un documento contentivo de las reglas aplicables a un determinado proceso de selección, que “materializa los principios de planeación contractual y de trasparencia, comoquiera que su adecuada formulación permite o garantiza la selección objetiva del contratista de acuerdo con los parámetros de calificación correspondientes para cada tipo de procedimiento [y que] constituye la ley tanto del procedimiento administrativo de selección del contratista, como del contrato a celebrar”</w:t>
      </w:r>
      <w:r w:rsidRPr="00F80DEF">
        <w:rPr>
          <w:rFonts w:ascii="Verdana" w:eastAsia="Calibri" w:hAnsi="Verdana" w:cs="Arial"/>
          <w:bCs/>
          <w:color w:val="000000"/>
          <w:lang w:val="es-MX"/>
        </w:rPr>
        <w:footnoteReference w:id="8"/>
      </w:r>
      <w:r w:rsidRPr="00F80DEF">
        <w:rPr>
          <w:rFonts w:ascii="Verdana" w:eastAsia="Calibri" w:hAnsi="Verdana" w:cs="Arial"/>
          <w:bCs/>
          <w:color w:val="000000"/>
          <w:lang w:val="es-MX"/>
        </w:rPr>
        <w:t>. A partir de tales características debe determinarse la equivalencia de un documento con un pliego de condiciones, la cual se puede ejemplificar claramente con la invitación a participar en los procesos de mínima cuantía</w:t>
      </w:r>
      <w:r w:rsidRPr="00F80DEF">
        <w:rPr>
          <w:rFonts w:ascii="Verdana" w:eastAsia="Calibri" w:hAnsi="Verdana" w:cs="Arial"/>
          <w:bCs/>
          <w:color w:val="000000"/>
          <w:lang w:val="es-MX"/>
        </w:rPr>
        <w:footnoteReference w:id="9"/>
      </w:r>
      <w:r w:rsidRPr="00F80DEF">
        <w:rPr>
          <w:rFonts w:ascii="Verdana" w:eastAsia="Calibri" w:hAnsi="Verdana" w:cs="Arial"/>
          <w:bCs/>
          <w:color w:val="000000"/>
          <w:lang w:val="es-MX"/>
        </w:rPr>
        <w:t xml:space="preserve">, documento dentro del cual la entidad contratante debe fijar las reglas aplicables al procedimiento de selección, cumpliendo con la función del pliego de condiciones. En tal sentido, es un documento «equivalente» del mismo en los términos del artículo 11 </w:t>
      </w:r>
      <w:r w:rsidRPr="00F80DEF">
        <w:rPr>
          <w:rFonts w:ascii="Verdana" w:eastAsia="Calibri" w:hAnsi="Verdana" w:cs="Arial"/>
          <w:bCs/>
          <w:i/>
          <w:iCs/>
          <w:color w:val="000000"/>
          <w:lang w:val="es-MX"/>
        </w:rPr>
        <w:t>Ibídem,</w:t>
      </w:r>
      <w:r w:rsidRPr="00F80DEF">
        <w:rPr>
          <w:rFonts w:ascii="Verdana" w:eastAsia="Calibri" w:hAnsi="Verdana" w:cs="Arial"/>
          <w:bCs/>
          <w:color w:val="000000"/>
          <w:lang w:val="es-MX"/>
        </w:rPr>
        <w:t xml:space="preserve"> dentro del cual es viable establecer el plazo para la liquidación de mutuo acuerdo. </w:t>
      </w:r>
    </w:p>
    <w:p w14:paraId="00A863CF" w14:textId="77777777" w:rsidR="00065E20" w:rsidRPr="00F80DEF" w:rsidRDefault="00065E20" w:rsidP="00065E20">
      <w:pPr>
        <w:jc w:val="both"/>
        <w:rPr>
          <w:rFonts w:ascii="Verdana" w:eastAsia="Calibri" w:hAnsi="Verdana" w:cs="Arial"/>
          <w:bCs/>
          <w:color w:val="000000"/>
          <w:lang w:val="es-MX"/>
        </w:rPr>
      </w:pPr>
    </w:p>
    <w:p w14:paraId="5709BE5C" w14:textId="77777777" w:rsidR="00065E20" w:rsidRDefault="00065E20" w:rsidP="00065E20">
      <w:pPr>
        <w:numPr>
          <w:ilvl w:val="0"/>
          <w:numId w:val="20"/>
        </w:numPr>
        <w:jc w:val="both"/>
        <w:rPr>
          <w:rFonts w:ascii="Verdana" w:eastAsia="Calibri" w:hAnsi="Verdana" w:cs="Arial"/>
          <w:bCs/>
          <w:color w:val="000000"/>
          <w:lang w:val="es-MX"/>
        </w:rPr>
      </w:pPr>
      <w:r w:rsidRPr="00F80DEF">
        <w:rPr>
          <w:rFonts w:ascii="Verdana" w:eastAsia="Calibri" w:hAnsi="Verdana" w:cs="Arial"/>
          <w:bCs/>
          <w:color w:val="000000"/>
          <w:lang w:val="es-MX"/>
        </w:rPr>
        <w:t xml:space="preserve">El término de 4 meses previsto en el artículo 11 de la Ley 1150 de 2007, dado su carácter supletivo, solo resulta aplicable ante la ausencia de regulación de este en el pliego de condiciones –documento equivalente– o acuerdo entre las partes en torno al plazo de liquidación bilateral. Por lo tanto, las partes, en desarrollo de la autonomía de la voluntad que les asiste, están habilitadas para pactar un término diferente, el cual puede ser inferior o incluso superior al plazo supletivo, ante la ausencia de una </w:t>
      </w:r>
      <w:r w:rsidRPr="00F80DEF">
        <w:rPr>
          <w:rFonts w:ascii="Verdana" w:eastAsia="Calibri" w:hAnsi="Verdana" w:cs="Arial"/>
          <w:bCs/>
          <w:color w:val="000000"/>
          <w:lang w:val="es-MX"/>
        </w:rPr>
        <w:lastRenderedPageBreak/>
        <w:t>prohibición normativa al respecto, y ante la existencia, en cambio, de habilitación legal. Sobre este punto, no debe perderse de vista que las actuaciones contractuales regidas por el Estatuto General de Contratación de la Administración pública se encuentran sometidas a los principios de la función administrativa</w:t>
      </w:r>
      <w:r w:rsidRPr="00265537">
        <w:rPr>
          <w:rFonts w:ascii="Verdana" w:eastAsia="Calibri" w:hAnsi="Verdana" w:cs="Arial"/>
          <w:color w:val="000000"/>
          <w:vertAlign w:val="superscript"/>
          <w:lang w:val="es-MX"/>
        </w:rPr>
        <w:footnoteReference w:id="10"/>
      </w:r>
      <w:r w:rsidRPr="00F80DEF">
        <w:rPr>
          <w:rFonts w:ascii="Verdana" w:eastAsia="Calibri" w:hAnsi="Verdana" w:cs="Arial"/>
          <w:bCs/>
          <w:color w:val="000000"/>
          <w:lang w:val="es-MX"/>
        </w:rPr>
        <w:t>, lo cual implica que las mismas se desarrollen en procura de la economía y la celeridad</w:t>
      </w:r>
      <w:r w:rsidRPr="00265537">
        <w:rPr>
          <w:rFonts w:ascii="Verdana" w:eastAsia="Calibri" w:hAnsi="Verdana" w:cs="Arial"/>
          <w:color w:val="000000"/>
          <w:vertAlign w:val="superscript"/>
          <w:lang w:val="es-MX"/>
        </w:rPr>
        <w:footnoteReference w:id="11"/>
      </w:r>
      <w:r w:rsidRPr="00F80DEF">
        <w:rPr>
          <w:rFonts w:ascii="Verdana" w:eastAsia="Calibri" w:hAnsi="Verdana" w:cs="Arial"/>
          <w:bCs/>
          <w:color w:val="000000"/>
          <w:lang w:val="es-MX"/>
        </w:rPr>
        <w:t xml:space="preserve">. </w:t>
      </w:r>
    </w:p>
    <w:p w14:paraId="2BD8B82D" w14:textId="77777777" w:rsidR="00065E20" w:rsidRDefault="00065E20" w:rsidP="00065E20">
      <w:pPr>
        <w:pStyle w:val="Prrafodelista"/>
        <w:rPr>
          <w:rFonts w:ascii="Verdana" w:eastAsia="Calibri" w:hAnsi="Verdana" w:cs="Arial"/>
          <w:bCs/>
          <w:color w:val="000000"/>
          <w:lang w:val="es-MX"/>
        </w:rPr>
      </w:pPr>
    </w:p>
    <w:p w14:paraId="341E52BE" w14:textId="77777777" w:rsidR="00065E20" w:rsidRPr="003575EF" w:rsidRDefault="00065E20" w:rsidP="00065E20">
      <w:pPr>
        <w:pStyle w:val="Prrafodelista"/>
        <w:numPr>
          <w:ilvl w:val="0"/>
          <w:numId w:val="24"/>
        </w:numPr>
        <w:spacing w:after="120" w:line="276" w:lineRule="auto"/>
        <w:jc w:val="both"/>
        <w:rPr>
          <w:rFonts w:ascii="Verdana" w:hAnsi="Verdana" w:cs="Arial"/>
        </w:rPr>
      </w:pPr>
      <w:r>
        <w:rPr>
          <w:rFonts w:ascii="Verdana" w:eastAsia="Calibri" w:hAnsi="Verdana" w:cs="Arial"/>
          <w:bCs/>
          <w:color w:val="000000"/>
          <w:lang w:val="es-MX"/>
        </w:rPr>
        <w:t>Lo anterior</w:t>
      </w:r>
      <w:r w:rsidRPr="00F80DEF">
        <w:rPr>
          <w:rFonts w:ascii="Verdana" w:eastAsia="Calibri" w:hAnsi="Verdana" w:cs="Arial"/>
          <w:bCs/>
          <w:color w:val="000000"/>
          <w:lang w:val="es-MX"/>
        </w:rPr>
        <w:t xml:space="preserve"> significa que, en ejercicio de la facultad que les asiste para fijar el plazo para la liquidación bilateral, las partes deben actuar en garantía de estos principios, por lo que el término que se acuerde debe ser fijado de manera razonable.</w:t>
      </w:r>
      <w:r w:rsidRPr="001D50C1">
        <w:rPr>
          <w:rFonts w:ascii="Verdana" w:hAnsi="Verdana" w:cs="Arial"/>
          <w:color w:val="000000" w:themeColor="text1"/>
        </w:rPr>
        <w:t xml:space="preserve"> </w:t>
      </w:r>
      <w:r w:rsidRPr="00626CAA">
        <w:rPr>
          <w:rFonts w:ascii="Verdana" w:hAnsi="Verdana" w:cs="Arial"/>
          <w:color w:val="000000" w:themeColor="text1"/>
        </w:rPr>
        <w:t>Durante este término, el contratista puede solicitar que se adelante el trámite de liquidación. Sin embargo, es responsabilidad de la Entidad Estatal convocarlo para adelantar la liquidación de común acuerdo o notificarlo para que se presente a realizarla</w:t>
      </w:r>
      <w:r w:rsidRPr="00626CAA">
        <w:rPr>
          <w:rFonts w:ascii="Verdana" w:hAnsi="Verdana"/>
          <w:color w:val="000000" w:themeColor="text1"/>
          <w:vertAlign w:val="superscript"/>
        </w:rPr>
        <w:footnoteReference w:id="12"/>
      </w:r>
      <w:r w:rsidRPr="00626CAA">
        <w:rPr>
          <w:rFonts w:ascii="Verdana" w:hAnsi="Verdana" w:cs="Arial"/>
          <w:color w:val="000000" w:themeColor="text1"/>
        </w:rPr>
        <w:t>, de manera que el contrato pueda ser liquidado bilateralmente, bien sea en el plazo previsto en el pliego de condiciones, el acordado por las partes, o el supletivo de cuatro meses señalado en la ley, según corresponda.</w:t>
      </w:r>
      <w:r w:rsidRPr="0061482F">
        <w:rPr>
          <w:rFonts w:ascii="Verdana" w:hAnsi="Verdana" w:cs="Arial"/>
          <w:color w:val="000000" w:themeColor="text1"/>
        </w:rPr>
        <w:t xml:space="preserve"> </w:t>
      </w:r>
    </w:p>
    <w:p w14:paraId="0A5905F0" w14:textId="77777777" w:rsidR="00065E20" w:rsidRPr="00626CAA" w:rsidRDefault="00065E20" w:rsidP="00065E20">
      <w:pPr>
        <w:pStyle w:val="Prrafodelista"/>
        <w:numPr>
          <w:ilvl w:val="0"/>
          <w:numId w:val="24"/>
        </w:numPr>
        <w:spacing w:after="120" w:line="276" w:lineRule="auto"/>
        <w:jc w:val="both"/>
        <w:rPr>
          <w:rFonts w:ascii="Verdana" w:hAnsi="Verdana" w:cs="Arial"/>
        </w:rPr>
      </w:pPr>
      <w:r w:rsidRPr="00626CAA">
        <w:rPr>
          <w:rFonts w:ascii="Verdana" w:hAnsi="Verdana" w:cs="Arial"/>
          <w:color w:val="000000" w:themeColor="text1"/>
        </w:rPr>
        <w:t>Esta liquidación bilateral puede ser total o parcial</w:t>
      </w:r>
      <w:r w:rsidRPr="00626CAA">
        <w:rPr>
          <w:rFonts w:ascii="Verdana" w:hAnsi="Verdana"/>
          <w:color w:val="000000" w:themeColor="text1"/>
          <w:vertAlign w:val="superscript"/>
        </w:rPr>
        <w:footnoteReference w:id="13"/>
      </w:r>
      <w:r w:rsidRPr="00626CAA">
        <w:rPr>
          <w:rFonts w:ascii="Verdana" w:hAnsi="Verdana" w:cs="Arial"/>
          <w:color w:val="000000" w:themeColor="text1"/>
        </w:rPr>
        <w:t>, y el documento que la contiene presta mérito ejecutivo, siempre que se satisfagan los elementos para considerarlo como tal.</w:t>
      </w:r>
      <w:r w:rsidRPr="001F3D3D">
        <w:t xml:space="preserve"> </w:t>
      </w:r>
      <w:r w:rsidRPr="001F3D3D">
        <w:rPr>
          <w:rFonts w:ascii="Verdana" w:hAnsi="Verdana" w:cs="Arial"/>
          <w:color w:val="000000" w:themeColor="text1"/>
        </w:rPr>
        <w:t xml:space="preserve">Si no es posible efectuar la liquidación de manera bilateral, el ordenamiento jurídico prevé una </w:t>
      </w:r>
      <w:r w:rsidRPr="001F3D3D">
        <w:rPr>
          <w:rFonts w:ascii="Verdana" w:hAnsi="Verdana" w:cs="Arial"/>
          <w:color w:val="000000" w:themeColor="text1"/>
        </w:rPr>
        <w:lastRenderedPageBreak/>
        <w:t>facultad, de carácter subsidiario, para que la Entidad Estatal realice la liquidación unilateralmente</w:t>
      </w:r>
      <w:r>
        <w:rPr>
          <w:rFonts w:ascii="Verdana" w:hAnsi="Verdana" w:cs="Arial"/>
          <w:color w:val="000000" w:themeColor="text1"/>
        </w:rPr>
        <w:t>.</w:t>
      </w:r>
    </w:p>
    <w:p w14:paraId="14458389" w14:textId="77777777" w:rsidR="00065E20" w:rsidRPr="00626CAA" w:rsidRDefault="00065E20" w:rsidP="00065E20">
      <w:pPr>
        <w:pStyle w:val="Prrafodelista"/>
        <w:spacing w:after="0" w:line="276" w:lineRule="auto"/>
        <w:jc w:val="both"/>
        <w:rPr>
          <w:rFonts w:ascii="Verdana" w:eastAsia="Calibri" w:hAnsi="Verdana" w:cs="Arial"/>
          <w:lang w:val="es-MX"/>
        </w:rPr>
      </w:pPr>
    </w:p>
    <w:p w14:paraId="49D3CCDA" w14:textId="77777777" w:rsidR="00065E20" w:rsidRPr="00F80DEF" w:rsidRDefault="00065E20" w:rsidP="00065E20">
      <w:pPr>
        <w:numPr>
          <w:ilvl w:val="0"/>
          <w:numId w:val="20"/>
        </w:numPr>
        <w:jc w:val="both"/>
        <w:rPr>
          <w:rFonts w:ascii="Verdana" w:eastAsia="Calibri" w:hAnsi="Verdana" w:cs="Arial"/>
          <w:bCs/>
          <w:color w:val="000000"/>
          <w:lang w:val="es-MX"/>
        </w:rPr>
      </w:pPr>
      <w:proofErr w:type="spellStart"/>
      <w:r>
        <w:rPr>
          <w:rFonts w:ascii="Verdana" w:eastAsia="Calibri" w:hAnsi="Verdana" w:cs="Arial"/>
          <w:bCs/>
          <w:color w:val="000000"/>
          <w:lang w:val="es-MX"/>
        </w:rPr>
        <w:t>Tengase</w:t>
      </w:r>
      <w:proofErr w:type="spellEnd"/>
      <w:r>
        <w:rPr>
          <w:rFonts w:ascii="Verdana" w:eastAsia="Calibri" w:hAnsi="Verdana" w:cs="Arial"/>
          <w:bCs/>
          <w:color w:val="000000"/>
          <w:lang w:val="es-MX"/>
        </w:rPr>
        <w:t xml:space="preserve"> en cuenta que </w:t>
      </w:r>
      <w:r w:rsidRPr="00F80DEF">
        <w:rPr>
          <w:rFonts w:ascii="Verdana" w:eastAsia="Calibri" w:hAnsi="Verdana" w:cs="Arial"/>
          <w:bCs/>
          <w:color w:val="000000"/>
          <w:lang w:val="es-MX"/>
        </w:rPr>
        <w:t>ordenamiento jurídico prevé una facultad, de carácter subsidiario, para que la Entidad Estatal realice la liquidación unilateralmente</w:t>
      </w:r>
      <w:r>
        <w:rPr>
          <w:rFonts w:ascii="Verdana" w:eastAsia="Calibri" w:hAnsi="Verdana" w:cs="Arial"/>
          <w:bCs/>
          <w:color w:val="000000"/>
          <w:lang w:val="es-MX"/>
        </w:rPr>
        <w:t xml:space="preserve"> y e</w:t>
      </w:r>
      <w:r w:rsidRPr="00F80DEF">
        <w:rPr>
          <w:rFonts w:ascii="Verdana" w:eastAsia="Calibri" w:hAnsi="Verdana" w:cs="Arial"/>
          <w:bCs/>
          <w:color w:val="000000"/>
          <w:lang w:val="es-MX"/>
        </w:rPr>
        <w:t>n relación con este aspecto, la Sala de Consulta y Servicio Civil del Consejo de Estado, en concepto del 28 de junio de 2016</w:t>
      </w:r>
      <w:r w:rsidRPr="00F80DEF">
        <w:rPr>
          <w:rFonts w:ascii="Verdana" w:eastAsia="Calibri" w:hAnsi="Verdana" w:cs="Arial"/>
          <w:bCs/>
          <w:color w:val="000000"/>
          <w:lang w:val="es-MX"/>
        </w:rPr>
        <w:footnoteReference w:id="14"/>
      </w:r>
      <w:r w:rsidRPr="00F80DEF">
        <w:rPr>
          <w:rFonts w:ascii="Verdana" w:eastAsia="Calibri" w:hAnsi="Verdana" w:cs="Arial"/>
          <w:bCs/>
          <w:color w:val="000000"/>
          <w:lang w:val="es-MX"/>
        </w:rPr>
        <w:t>, manifestó que:  </w:t>
      </w:r>
    </w:p>
    <w:p w14:paraId="5D6695DE" w14:textId="77777777" w:rsidR="00065E20" w:rsidRDefault="00065E20" w:rsidP="00065E20">
      <w:pPr>
        <w:ind w:left="1068"/>
        <w:jc w:val="both"/>
        <w:rPr>
          <w:rFonts w:ascii="Verdana" w:eastAsia="Calibri" w:hAnsi="Verdana" w:cs="Arial"/>
          <w:bCs/>
          <w:color w:val="000000"/>
          <w:sz w:val="20"/>
          <w:szCs w:val="20"/>
          <w:lang w:val="es-MX"/>
        </w:rPr>
      </w:pPr>
      <w:r w:rsidRPr="00F80DEF">
        <w:rPr>
          <w:rFonts w:ascii="Verdana" w:eastAsia="Calibri" w:hAnsi="Verdana" w:cs="Arial"/>
          <w:bCs/>
          <w:color w:val="000000"/>
          <w:sz w:val="20"/>
          <w:szCs w:val="20"/>
          <w:lang w:val="es-MX"/>
        </w:rPr>
        <w:t>“[…] se debe tener en cuenta que la liquidación unilateral es subsidiaria o supletoria frente a la bilateral, dado que el contratista tiene derecho a acordar la liquidación, debidamente reconocido por el ordenamiento jurídico. Para tal efecto, el contratista debe ser convocado o citado por la entidad contratante con el fin de intentar la liquidación bilateral, puesto que en el supuesto caso de que no sea así, la (.liquidación unilateral posterior que llegase a practicar la administración resultaría inválida, dado que no tendría competencia material para hacerla y por cuanto su adopción con tal omisión vulneraría el derecho del contratista al debido proceso y sus corolarios de defensa y contradicción y, además, configuraría un abuso de poder”.   </w:t>
      </w:r>
    </w:p>
    <w:p w14:paraId="43905B36" w14:textId="77777777" w:rsidR="00065E20" w:rsidRPr="00F80DEF" w:rsidRDefault="00065E20" w:rsidP="00065E20">
      <w:pPr>
        <w:ind w:left="1068"/>
        <w:jc w:val="both"/>
        <w:rPr>
          <w:rFonts w:ascii="Verdana" w:eastAsia="Calibri" w:hAnsi="Verdana" w:cs="Arial"/>
          <w:bCs/>
          <w:color w:val="000000"/>
          <w:sz w:val="20"/>
          <w:szCs w:val="20"/>
          <w:lang w:val="es-MX"/>
        </w:rPr>
      </w:pPr>
    </w:p>
    <w:p w14:paraId="1408003C" w14:textId="77777777" w:rsidR="00065E20" w:rsidRDefault="00065E20" w:rsidP="00065E20">
      <w:pPr>
        <w:widowControl w:val="0"/>
        <w:numPr>
          <w:ilvl w:val="0"/>
          <w:numId w:val="22"/>
        </w:numPr>
        <w:autoSpaceDE w:val="0"/>
        <w:autoSpaceDN w:val="0"/>
        <w:spacing w:after="0" w:line="276" w:lineRule="auto"/>
        <w:contextualSpacing/>
        <w:jc w:val="both"/>
        <w:rPr>
          <w:rFonts w:ascii="Verdana" w:eastAsia="Aptos" w:hAnsi="Verdana" w:cs="Arial"/>
        </w:rPr>
      </w:pPr>
      <w:r>
        <w:rPr>
          <w:rFonts w:ascii="Verdana" w:eastAsia="Calibri" w:hAnsi="Verdana" w:cs="Arial"/>
          <w:bCs/>
          <w:color w:val="000000"/>
          <w:lang w:val="es-MX"/>
        </w:rPr>
        <w:t xml:space="preserve">Por otro lado, es menester señalar que, </w:t>
      </w:r>
      <w:r>
        <w:rPr>
          <w:rFonts w:ascii="Verdana" w:eastAsia="Calibri" w:hAnsi="Verdana" w:cs="Arial"/>
          <w:bCs/>
          <w:color w:val="000000"/>
        </w:rPr>
        <w:t>l</w:t>
      </w:r>
      <w:r w:rsidRPr="002955BC">
        <w:rPr>
          <w:rFonts w:ascii="Verdana" w:eastAsia="Calibri" w:hAnsi="Verdana" w:cs="Arial"/>
          <w:bCs/>
          <w:color w:val="000000"/>
        </w:rPr>
        <w:t xml:space="preserve">a entidad contratante en los documentos precontractuales y contractuales deberá definir que documentos hacen parte de la liquidación del contrato, de no estar incorporados en estos, conforme a lo que señale el Manual de contratación de la entidad y las listas de chequeo de </w:t>
      </w:r>
      <w:proofErr w:type="gramStart"/>
      <w:r w:rsidRPr="002955BC">
        <w:rPr>
          <w:rFonts w:ascii="Verdana" w:eastAsia="Calibri" w:hAnsi="Verdana" w:cs="Arial"/>
          <w:bCs/>
          <w:color w:val="000000"/>
        </w:rPr>
        <w:t>la misma</w:t>
      </w:r>
      <w:proofErr w:type="gramEnd"/>
      <w:r w:rsidRPr="002955BC">
        <w:rPr>
          <w:rFonts w:ascii="Verdana" w:eastAsia="Calibri" w:hAnsi="Verdana" w:cs="Arial"/>
          <w:bCs/>
          <w:color w:val="000000"/>
        </w:rPr>
        <w:t>.</w:t>
      </w:r>
      <w:r>
        <w:rPr>
          <w:rFonts w:ascii="Verdana" w:eastAsia="Calibri" w:hAnsi="Verdana" w:cs="Arial"/>
          <w:bCs/>
          <w:color w:val="000000"/>
        </w:rPr>
        <w:t xml:space="preserve"> Tengas en cuanta que la liquidación </w:t>
      </w:r>
      <w:r w:rsidRPr="001B7242">
        <w:rPr>
          <w:rFonts w:ascii="Verdana" w:eastAsia="Aptos" w:hAnsi="Verdana" w:cs="Arial"/>
        </w:rPr>
        <w:t xml:space="preserve">incorporar los asuntos relacionados con las prestaciones derivadas del contrato y su </w:t>
      </w:r>
      <w:proofErr w:type="spellStart"/>
      <w:r w:rsidRPr="001B7242">
        <w:rPr>
          <w:rFonts w:ascii="Verdana" w:eastAsia="Aptos" w:hAnsi="Verdana" w:cs="Arial"/>
        </w:rPr>
        <w:t>ejecución</w:t>
      </w:r>
      <w:proofErr w:type="spellEnd"/>
      <w:r w:rsidRPr="001B7242">
        <w:rPr>
          <w:rFonts w:ascii="Verdana" w:eastAsia="Aptos" w:hAnsi="Verdana" w:cs="Arial"/>
        </w:rPr>
        <w:t xml:space="preserve">. </w:t>
      </w:r>
    </w:p>
    <w:p w14:paraId="11FDBA91" w14:textId="77777777" w:rsidR="00065E20" w:rsidRDefault="00065E20" w:rsidP="00065E20">
      <w:pPr>
        <w:widowControl w:val="0"/>
        <w:numPr>
          <w:ilvl w:val="0"/>
          <w:numId w:val="22"/>
        </w:numPr>
        <w:autoSpaceDE w:val="0"/>
        <w:autoSpaceDN w:val="0"/>
        <w:spacing w:after="0" w:line="276" w:lineRule="auto"/>
        <w:contextualSpacing/>
        <w:jc w:val="both"/>
        <w:rPr>
          <w:rFonts w:ascii="Verdana" w:eastAsia="Aptos" w:hAnsi="Verdana" w:cs="Arial"/>
        </w:rPr>
      </w:pPr>
      <w:r w:rsidRPr="00AC3900">
        <w:rPr>
          <w:rFonts w:ascii="Verdana" w:eastAsia="Aptos" w:hAnsi="Verdana" w:cs="Arial"/>
        </w:rPr>
        <w:t xml:space="preserve">En el acto de liquidación debe constar el balance </w:t>
      </w:r>
      <w:proofErr w:type="spellStart"/>
      <w:r w:rsidRPr="00AC3900">
        <w:rPr>
          <w:rFonts w:ascii="Verdana" w:eastAsia="Aptos" w:hAnsi="Verdana" w:cs="Arial"/>
        </w:rPr>
        <w:t>técnico</w:t>
      </w:r>
      <w:proofErr w:type="spellEnd"/>
      <w:r w:rsidRPr="00AC3900">
        <w:rPr>
          <w:rFonts w:ascii="Verdana" w:eastAsia="Aptos" w:hAnsi="Verdana" w:cs="Arial"/>
        </w:rPr>
        <w:t xml:space="preserve"> y </w:t>
      </w:r>
      <w:proofErr w:type="spellStart"/>
      <w:r w:rsidRPr="00AC3900">
        <w:rPr>
          <w:rFonts w:ascii="Verdana" w:eastAsia="Aptos" w:hAnsi="Verdana" w:cs="Arial"/>
        </w:rPr>
        <w:t>económico</w:t>
      </w:r>
      <w:proofErr w:type="spellEnd"/>
      <w:r w:rsidRPr="00AC3900">
        <w:rPr>
          <w:rFonts w:ascii="Verdana" w:eastAsia="Aptos" w:hAnsi="Verdana" w:cs="Arial"/>
        </w:rPr>
        <w:t xml:space="preserve"> de las obligaciones a cargo de las partes, es decir, el </w:t>
      </w:r>
      <w:proofErr w:type="spellStart"/>
      <w:r w:rsidRPr="00AC3900">
        <w:rPr>
          <w:rFonts w:ascii="Verdana" w:eastAsia="Aptos" w:hAnsi="Verdana" w:cs="Arial"/>
        </w:rPr>
        <w:t>análisis</w:t>
      </w:r>
      <w:proofErr w:type="spellEnd"/>
      <w:r w:rsidRPr="00AC3900">
        <w:rPr>
          <w:rFonts w:ascii="Verdana" w:eastAsia="Aptos" w:hAnsi="Verdana" w:cs="Arial"/>
        </w:rPr>
        <w:t xml:space="preserve"> detallado de las condiciones de calidad y oportunidad en la entrega de los bienes, obras o servicios y el balance </w:t>
      </w:r>
      <w:proofErr w:type="spellStart"/>
      <w:r w:rsidRPr="00AC3900">
        <w:rPr>
          <w:rFonts w:ascii="Verdana" w:eastAsia="Aptos" w:hAnsi="Verdana" w:cs="Arial"/>
        </w:rPr>
        <w:t>económico</w:t>
      </w:r>
      <w:proofErr w:type="spellEnd"/>
      <w:r w:rsidRPr="00AC3900">
        <w:rPr>
          <w:rFonts w:ascii="Verdana" w:eastAsia="Aptos" w:hAnsi="Verdana" w:cs="Arial"/>
        </w:rPr>
        <w:t xml:space="preserve"> que </w:t>
      </w:r>
      <w:proofErr w:type="spellStart"/>
      <w:r w:rsidRPr="00AC3900">
        <w:rPr>
          <w:rFonts w:ascii="Verdana" w:eastAsia="Aptos" w:hAnsi="Verdana" w:cs="Arial"/>
        </w:rPr>
        <w:t>dara</w:t>
      </w:r>
      <w:proofErr w:type="spellEnd"/>
      <w:r w:rsidRPr="00AC3900">
        <w:rPr>
          <w:rFonts w:ascii="Verdana" w:eastAsia="Aptos" w:hAnsi="Verdana" w:cs="Arial"/>
        </w:rPr>
        <w:t>́ cuenta del comportamiento financiero del negocio</w:t>
      </w:r>
      <w:r>
        <w:rPr>
          <w:rStyle w:val="Refdenotaalpie"/>
          <w:rFonts w:ascii="Verdana" w:eastAsia="Aptos" w:hAnsi="Verdana" w:cs="Arial"/>
        </w:rPr>
        <w:footnoteReference w:id="15"/>
      </w:r>
      <w:r>
        <w:rPr>
          <w:rFonts w:ascii="Verdana" w:eastAsia="Aptos" w:hAnsi="Verdana" w:cs="Arial"/>
        </w:rPr>
        <w:t>.</w:t>
      </w:r>
    </w:p>
    <w:p w14:paraId="4DEB0C11" w14:textId="77777777" w:rsidR="00065E20" w:rsidRPr="003575EF" w:rsidRDefault="00065E20" w:rsidP="00065E20">
      <w:pPr>
        <w:pStyle w:val="NormalWeb"/>
        <w:numPr>
          <w:ilvl w:val="0"/>
          <w:numId w:val="22"/>
        </w:numPr>
        <w:jc w:val="both"/>
        <w:rPr>
          <w:rFonts w:ascii="Verdana" w:hAnsi="Verdana"/>
          <w:sz w:val="22"/>
          <w:szCs w:val="22"/>
        </w:rPr>
      </w:pPr>
      <w:proofErr w:type="spellStart"/>
      <w:r w:rsidRPr="003575EF">
        <w:rPr>
          <w:rFonts w:ascii="Verdana" w:hAnsi="Verdana"/>
          <w:color w:val="565659"/>
          <w:sz w:val="22"/>
          <w:szCs w:val="22"/>
        </w:rPr>
        <w:t>Asi</w:t>
      </w:r>
      <w:proofErr w:type="spellEnd"/>
      <w:r w:rsidRPr="003575EF">
        <w:rPr>
          <w:rFonts w:ascii="Verdana" w:hAnsi="Verdana"/>
          <w:color w:val="565659"/>
          <w:sz w:val="22"/>
          <w:szCs w:val="22"/>
        </w:rPr>
        <w:t xml:space="preserve">́ mismo, deben constar en el acto de </w:t>
      </w:r>
      <w:proofErr w:type="spellStart"/>
      <w:r w:rsidRPr="003575EF">
        <w:rPr>
          <w:rFonts w:ascii="Verdana" w:hAnsi="Verdana"/>
          <w:color w:val="565659"/>
          <w:sz w:val="22"/>
          <w:szCs w:val="22"/>
        </w:rPr>
        <w:t>liquidación</w:t>
      </w:r>
      <w:proofErr w:type="spellEnd"/>
      <w:r w:rsidRPr="003575EF">
        <w:rPr>
          <w:rFonts w:ascii="Verdana" w:hAnsi="Verdana"/>
          <w:color w:val="565659"/>
          <w:sz w:val="22"/>
          <w:szCs w:val="22"/>
        </w:rPr>
        <w:t xml:space="preserve"> los derechos a cargo o a favor de las partes resultantes de la </w:t>
      </w:r>
      <w:proofErr w:type="spellStart"/>
      <w:r w:rsidRPr="003575EF">
        <w:rPr>
          <w:rFonts w:ascii="Verdana" w:hAnsi="Verdana"/>
          <w:color w:val="565659"/>
          <w:sz w:val="22"/>
          <w:szCs w:val="22"/>
        </w:rPr>
        <w:t>ejecución</w:t>
      </w:r>
      <w:proofErr w:type="spellEnd"/>
      <w:r w:rsidRPr="003575EF">
        <w:rPr>
          <w:rFonts w:ascii="Verdana" w:hAnsi="Verdana"/>
          <w:color w:val="565659"/>
          <w:sz w:val="22"/>
          <w:szCs w:val="22"/>
        </w:rPr>
        <w:t xml:space="preserve"> del contrato. La </w:t>
      </w:r>
      <w:proofErr w:type="spellStart"/>
      <w:r w:rsidRPr="003575EF">
        <w:rPr>
          <w:rFonts w:ascii="Verdana" w:hAnsi="Verdana"/>
          <w:color w:val="565659"/>
          <w:sz w:val="22"/>
          <w:szCs w:val="22"/>
        </w:rPr>
        <w:t>liquidación</w:t>
      </w:r>
      <w:proofErr w:type="spellEnd"/>
      <w:r w:rsidRPr="003575EF">
        <w:rPr>
          <w:rFonts w:ascii="Verdana" w:hAnsi="Verdana"/>
          <w:color w:val="565659"/>
          <w:sz w:val="22"/>
          <w:szCs w:val="22"/>
        </w:rPr>
        <w:t xml:space="preserve"> puede indicar el estado de cumplimiento de las obligaciones y </w:t>
      </w:r>
      <w:proofErr w:type="spellStart"/>
      <w:r w:rsidRPr="003575EF">
        <w:rPr>
          <w:rFonts w:ascii="Verdana" w:hAnsi="Verdana"/>
          <w:color w:val="565659"/>
          <w:sz w:val="22"/>
          <w:szCs w:val="22"/>
        </w:rPr>
        <w:lastRenderedPageBreak/>
        <w:t>también</w:t>
      </w:r>
      <w:proofErr w:type="spellEnd"/>
      <w:r w:rsidRPr="003575EF">
        <w:rPr>
          <w:rFonts w:ascii="Verdana" w:hAnsi="Verdana"/>
          <w:color w:val="565659"/>
          <w:sz w:val="22"/>
          <w:szCs w:val="22"/>
        </w:rPr>
        <w:t xml:space="preserve"> incluir obligaciones que surgen para las partes con </w:t>
      </w:r>
      <w:proofErr w:type="spellStart"/>
      <w:r w:rsidRPr="003575EF">
        <w:rPr>
          <w:rFonts w:ascii="Verdana" w:hAnsi="Verdana"/>
          <w:color w:val="565659"/>
          <w:sz w:val="22"/>
          <w:szCs w:val="22"/>
        </w:rPr>
        <w:t>ocasión</w:t>
      </w:r>
      <w:proofErr w:type="spellEnd"/>
      <w:r w:rsidRPr="003575EF">
        <w:rPr>
          <w:rFonts w:ascii="Verdana" w:hAnsi="Verdana"/>
          <w:color w:val="565659"/>
          <w:sz w:val="22"/>
          <w:szCs w:val="22"/>
        </w:rPr>
        <w:t xml:space="preserve"> de su </w:t>
      </w:r>
      <w:proofErr w:type="spellStart"/>
      <w:r w:rsidRPr="003575EF">
        <w:rPr>
          <w:rFonts w:ascii="Verdana" w:hAnsi="Verdana"/>
          <w:color w:val="565659"/>
          <w:sz w:val="22"/>
          <w:szCs w:val="22"/>
        </w:rPr>
        <w:t>suscripción</w:t>
      </w:r>
      <w:proofErr w:type="spellEnd"/>
      <w:r w:rsidRPr="003575EF">
        <w:rPr>
          <w:rFonts w:ascii="Verdana" w:hAnsi="Verdana"/>
          <w:color w:val="565659"/>
          <w:sz w:val="22"/>
          <w:szCs w:val="22"/>
        </w:rPr>
        <w:t>.</w:t>
      </w:r>
      <w:r w:rsidRPr="003575EF">
        <w:rPr>
          <w:rStyle w:val="Refdenotaalpie"/>
          <w:rFonts w:ascii="Verdana" w:hAnsi="Verdana"/>
          <w:sz w:val="22"/>
          <w:szCs w:val="22"/>
        </w:rPr>
        <w:footnoteReference w:id="16"/>
      </w:r>
    </w:p>
    <w:p w14:paraId="4D3AB547" w14:textId="77777777" w:rsidR="00065E20" w:rsidRPr="003575EF" w:rsidRDefault="00065E20" w:rsidP="00065E20">
      <w:pPr>
        <w:pStyle w:val="NormalWeb"/>
        <w:numPr>
          <w:ilvl w:val="0"/>
          <w:numId w:val="22"/>
        </w:numPr>
        <w:jc w:val="both"/>
        <w:rPr>
          <w:rFonts w:ascii="Verdana" w:hAnsi="Verdana"/>
          <w:sz w:val="22"/>
          <w:szCs w:val="22"/>
        </w:rPr>
      </w:pPr>
      <w:r w:rsidRPr="003575EF">
        <w:rPr>
          <w:rFonts w:ascii="Verdana" w:hAnsi="Verdana"/>
          <w:color w:val="565659"/>
          <w:sz w:val="22"/>
          <w:szCs w:val="22"/>
        </w:rPr>
        <w:t xml:space="preserve">De igual manera, la </w:t>
      </w:r>
      <w:proofErr w:type="spellStart"/>
      <w:r w:rsidRPr="003575EF">
        <w:rPr>
          <w:rFonts w:ascii="Verdana" w:hAnsi="Verdana"/>
          <w:color w:val="565659"/>
          <w:sz w:val="22"/>
          <w:szCs w:val="22"/>
        </w:rPr>
        <w:t>liquidación</w:t>
      </w:r>
      <w:proofErr w:type="spellEnd"/>
      <w:r w:rsidRPr="003575EF">
        <w:rPr>
          <w:rFonts w:ascii="Verdana" w:hAnsi="Verdana"/>
          <w:color w:val="565659"/>
          <w:sz w:val="22"/>
          <w:szCs w:val="22"/>
        </w:rPr>
        <w:t xml:space="preserve"> debe dar cuenta de los reconocimientos y ajustes derivados de la </w:t>
      </w:r>
      <w:proofErr w:type="spellStart"/>
      <w:r w:rsidRPr="003575EF">
        <w:rPr>
          <w:rFonts w:ascii="Verdana" w:hAnsi="Verdana"/>
          <w:color w:val="565659"/>
          <w:sz w:val="22"/>
          <w:szCs w:val="22"/>
        </w:rPr>
        <w:t>ejecución</w:t>
      </w:r>
      <w:proofErr w:type="spellEnd"/>
      <w:r w:rsidRPr="003575EF">
        <w:rPr>
          <w:rFonts w:ascii="Verdana" w:hAnsi="Verdana"/>
          <w:color w:val="565659"/>
          <w:sz w:val="22"/>
          <w:szCs w:val="22"/>
        </w:rPr>
        <w:t xml:space="preserve"> del contrato que correspondan, y de los acuerdos, conciliaciones y transacciones a los que lleguen las partes con el objeto de dar por terminadas sus diferencias y declararse a paz y salvo.</w:t>
      </w:r>
      <w:r w:rsidRPr="003575EF">
        <w:rPr>
          <w:rStyle w:val="Refdenotaalpie"/>
          <w:rFonts w:ascii="Verdana" w:hAnsi="Verdana"/>
          <w:sz w:val="22"/>
          <w:szCs w:val="22"/>
        </w:rPr>
        <w:footnoteReference w:id="17"/>
      </w:r>
    </w:p>
    <w:p w14:paraId="60493B1C" w14:textId="77777777" w:rsidR="00065E20" w:rsidRPr="00073194" w:rsidRDefault="00065E20" w:rsidP="00065E20">
      <w:pPr>
        <w:widowControl w:val="0"/>
        <w:numPr>
          <w:ilvl w:val="0"/>
          <w:numId w:val="22"/>
        </w:numPr>
        <w:autoSpaceDE w:val="0"/>
        <w:autoSpaceDN w:val="0"/>
        <w:spacing w:after="0" w:line="276" w:lineRule="auto"/>
        <w:contextualSpacing/>
        <w:jc w:val="both"/>
        <w:rPr>
          <w:rFonts w:ascii="Verdana" w:eastAsia="Aptos" w:hAnsi="Verdana" w:cs="Arial"/>
        </w:rPr>
      </w:pPr>
      <w:proofErr w:type="spellStart"/>
      <w:r>
        <w:rPr>
          <w:rFonts w:ascii="Verdana" w:eastAsia="Aptos" w:hAnsi="Verdana" w:cs="Arial"/>
        </w:rPr>
        <w:t>Tengase</w:t>
      </w:r>
      <w:proofErr w:type="spellEnd"/>
      <w:r>
        <w:rPr>
          <w:rFonts w:ascii="Verdana" w:eastAsia="Aptos" w:hAnsi="Verdana" w:cs="Arial"/>
        </w:rPr>
        <w:t xml:space="preserve"> en cuenta que, el</w:t>
      </w:r>
      <w:r w:rsidRPr="00073194">
        <w:rPr>
          <w:rFonts w:ascii="Verdana" w:eastAsia="Aptos" w:hAnsi="Verdana" w:cs="Arial"/>
        </w:rPr>
        <w:t xml:space="preserve"> </w:t>
      </w:r>
      <w:proofErr w:type="spellStart"/>
      <w:r w:rsidRPr="00073194">
        <w:rPr>
          <w:rFonts w:ascii="Verdana" w:eastAsia="Aptos" w:hAnsi="Verdana" w:cs="Arial"/>
        </w:rPr>
        <w:t>artículo</w:t>
      </w:r>
      <w:proofErr w:type="spellEnd"/>
      <w:r w:rsidRPr="00073194">
        <w:rPr>
          <w:rFonts w:ascii="Verdana" w:eastAsia="Aptos" w:hAnsi="Verdana" w:cs="Arial"/>
        </w:rPr>
        <w:t xml:space="preserve"> 11 de la Ley 1150 de 2007 permite a los contratistas efectuar salvedades a la </w:t>
      </w:r>
      <w:proofErr w:type="spellStart"/>
      <w:r w:rsidRPr="00073194">
        <w:rPr>
          <w:rFonts w:ascii="Verdana" w:eastAsia="Aptos" w:hAnsi="Verdana" w:cs="Arial"/>
        </w:rPr>
        <w:t>liquidación</w:t>
      </w:r>
      <w:proofErr w:type="spellEnd"/>
      <w:r w:rsidRPr="00073194">
        <w:rPr>
          <w:rFonts w:ascii="Verdana" w:eastAsia="Aptos" w:hAnsi="Verdana" w:cs="Arial"/>
        </w:rPr>
        <w:t xml:space="preserve"> por mutuo acuerdo y en este evento la </w:t>
      </w:r>
      <w:proofErr w:type="spellStart"/>
      <w:r w:rsidRPr="00073194">
        <w:rPr>
          <w:rFonts w:ascii="Verdana" w:eastAsia="Aptos" w:hAnsi="Verdana" w:cs="Arial"/>
        </w:rPr>
        <w:t>liquidación</w:t>
      </w:r>
      <w:proofErr w:type="spellEnd"/>
      <w:r w:rsidRPr="00073194">
        <w:rPr>
          <w:rFonts w:ascii="Verdana" w:eastAsia="Aptos" w:hAnsi="Verdana" w:cs="Arial"/>
        </w:rPr>
        <w:t xml:space="preserve"> unilateral solo </w:t>
      </w:r>
      <w:proofErr w:type="spellStart"/>
      <w:r w:rsidRPr="00073194">
        <w:rPr>
          <w:rFonts w:ascii="Verdana" w:eastAsia="Aptos" w:hAnsi="Verdana" w:cs="Arial"/>
        </w:rPr>
        <w:t>procedera</w:t>
      </w:r>
      <w:proofErr w:type="spellEnd"/>
      <w:r w:rsidRPr="00073194">
        <w:rPr>
          <w:rFonts w:ascii="Verdana" w:eastAsia="Aptos" w:hAnsi="Verdana" w:cs="Arial"/>
        </w:rPr>
        <w:t xml:space="preserve">́ en </w:t>
      </w:r>
      <w:proofErr w:type="spellStart"/>
      <w:r w:rsidRPr="00073194">
        <w:rPr>
          <w:rFonts w:ascii="Verdana" w:eastAsia="Aptos" w:hAnsi="Verdana" w:cs="Arial"/>
        </w:rPr>
        <w:t>relación</w:t>
      </w:r>
      <w:proofErr w:type="spellEnd"/>
      <w:r w:rsidRPr="00073194">
        <w:rPr>
          <w:rFonts w:ascii="Verdana" w:eastAsia="Aptos" w:hAnsi="Verdana" w:cs="Arial"/>
        </w:rPr>
        <w:t xml:space="preserve"> con los aspectos que no hayan sido objeto de acuerdo. En esas condiciones, el efecto que produce la </w:t>
      </w:r>
      <w:proofErr w:type="spellStart"/>
      <w:r w:rsidRPr="00073194">
        <w:rPr>
          <w:rFonts w:ascii="Verdana" w:eastAsia="Aptos" w:hAnsi="Verdana" w:cs="Arial"/>
        </w:rPr>
        <w:t>inclusión</w:t>
      </w:r>
      <w:proofErr w:type="spellEnd"/>
      <w:r w:rsidRPr="00073194">
        <w:rPr>
          <w:rFonts w:ascii="Verdana" w:eastAsia="Aptos" w:hAnsi="Verdana" w:cs="Arial"/>
        </w:rPr>
        <w:t xml:space="preserve"> de salvedades en el acta de </w:t>
      </w:r>
      <w:proofErr w:type="spellStart"/>
      <w:r w:rsidRPr="00073194">
        <w:rPr>
          <w:rFonts w:ascii="Verdana" w:eastAsia="Aptos" w:hAnsi="Verdana" w:cs="Arial"/>
        </w:rPr>
        <w:t>liquidación</w:t>
      </w:r>
      <w:proofErr w:type="spellEnd"/>
      <w:r w:rsidRPr="00073194">
        <w:rPr>
          <w:rFonts w:ascii="Verdana" w:eastAsia="Aptos" w:hAnsi="Verdana" w:cs="Arial"/>
        </w:rPr>
        <w:t xml:space="preserve"> bilateral consiste en restringir los asuntos respecto de los cuales tanto el contratista como la Entidad Estatal pueden reclamar posteriormente por </w:t>
      </w:r>
      <w:proofErr w:type="spellStart"/>
      <w:r w:rsidRPr="00073194">
        <w:rPr>
          <w:rFonts w:ascii="Verdana" w:eastAsia="Aptos" w:hAnsi="Verdana" w:cs="Arial"/>
        </w:rPr>
        <w:t>vía</w:t>
      </w:r>
      <w:proofErr w:type="spellEnd"/>
      <w:r w:rsidRPr="00073194">
        <w:rPr>
          <w:rFonts w:ascii="Verdana" w:eastAsia="Aptos" w:hAnsi="Verdana" w:cs="Arial"/>
        </w:rPr>
        <w:t xml:space="preserve"> judicial. </w:t>
      </w:r>
    </w:p>
    <w:p w14:paraId="746D8499" w14:textId="77777777" w:rsidR="00065E20" w:rsidRPr="00073194" w:rsidRDefault="00065E20" w:rsidP="00065E20">
      <w:pPr>
        <w:widowControl w:val="0"/>
        <w:numPr>
          <w:ilvl w:val="0"/>
          <w:numId w:val="22"/>
        </w:numPr>
        <w:autoSpaceDE w:val="0"/>
        <w:autoSpaceDN w:val="0"/>
        <w:spacing w:after="0" w:line="276" w:lineRule="auto"/>
        <w:contextualSpacing/>
        <w:jc w:val="both"/>
        <w:rPr>
          <w:rFonts w:ascii="Verdana" w:eastAsia="Aptos" w:hAnsi="Verdana" w:cs="Arial"/>
        </w:rPr>
      </w:pPr>
      <w:r w:rsidRPr="00073194">
        <w:rPr>
          <w:rFonts w:ascii="Verdana" w:eastAsia="Aptos" w:hAnsi="Verdana" w:cs="Arial"/>
        </w:rPr>
        <w:t xml:space="preserve">La </w:t>
      </w:r>
      <w:proofErr w:type="spellStart"/>
      <w:r w:rsidRPr="00073194">
        <w:rPr>
          <w:rFonts w:ascii="Verdana" w:eastAsia="Aptos" w:hAnsi="Verdana" w:cs="Arial"/>
        </w:rPr>
        <w:t>inclusión</w:t>
      </w:r>
      <w:proofErr w:type="spellEnd"/>
      <w:r w:rsidRPr="00073194">
        <w:rPr>
          <w:rFonts w:ascii="Verdana" w:eastAsia="Aptos" w:hAnsi="Verdana" w:cs="Arial"/>
        </w:rPr>
        <w:t xml:space="preserve"> de salvedades en el acta de </w:t>
      </w:r>
      <w:proofErr w:type="spellStart"/>
      <w:r w:rsidRPr="00073194">
        <w:rPr>
          <w:rFonts w:ascii="Verdana" w:eastAsia="Aptos" w:hAnsi="Verdana" w:cs="Arial"/>
        </w:rPr>
        <w:t>liquidación</w:t>
      </w:r>
      <w:proofErr w:type="spellEnd"/>
      <w:r w:rsidRPr="00073194">
        <w:rPr>
          <w:rFonts w:ascii="Verdana" w:eastAsia="Aptos" w:hAnsi="Verdana" w:cs="Arial"/>
        </w:rPr>
        <w:t xml:space="preserve"> no implica el reconocimiento por parte de la Entidad Estatal de los derechos o las situaciones a las que se refieren tales salvedades, sino que ellas reflejan los asuntos respecto de los cuales las partes no llegaron a un acuerdo </w:t>
      </w:r>
    </w:p>
    <w:p w14:paraId="2884E336" w14:textId="77777777" w:rsidR="00065E20" w:rsidRPr="003575EF" w:rsidRDefault="00065E20" w:rsidP="00065E20">
      <w:pPr>
        <w:widowControl w:val="0"/>
        <w:autoSpaceDE w:val="0"/>
        <w:autoSpaceDN w:val="0"/>
        <w:spacing w:after="0" w:line="276" w:lineRule="auto"/>
        <w:contextualSpacing/>
        <w:jc w:val="both"/>
        <w:rPr>
          <w:rFonts w:ascii="Verdana" w:eastAsia="Aptos" w:hAnsi="Verdana" w:cs="Arial"/>
        </w:rPr>
      </w:pPr>
    </w:p>
    <w:p w14:paraId="0D0D4B63" w14:textId="77777777" w:rsidR="00065E20" w:rsidRPr="00406AA6" w:rsidRDefault="00065E20" w:rsidP="00065E20">
      <w:pPr>
        <w:widowControl w:val="0"/>
        <w:numPr>
          <w:ilvl w:val="0"/>
          <w:numId w:val="22"/>
        </w:numPr>
        <w:autoSpaceDE w:val="0"/>
        <w:autoSpaceDN w:val="0"/>
        <w:spacing w:after="0" w:line="276" w:lineRule="auto"/>
        <w:contextualSpacing/>
        <w:jc w:val="both"/>
        <w:rPr>
          <w:rFonts w:ascii="Verdana" w:eastAsia="Aptos" w:hAnsi="Verdana" w:cs="Arial"/>
        </w:rPr>
      </w:pPr>
      <w:r>
        <w:rPr>
          <w:rFonts w:ascii="Verdana" w:eastAsia="Aptos" w:hAnsi="Verdana" w:cs="Arial"/>
        </w:rPr>
        <w:t xml:space="preserve">Finalmente, debe destacarse que la Agencia Nacional de Contratación Pública – Colombia Compra Eficiente, por vía consultiva, no puede </w:t>
      </w:r>
      <w:r w:rsidRPr="006157A4">
        <w:rPr>
          <w:rFonts w:ascii="Verdana" w:eastAsia="Aptos" w:hAnsi="Verdana" w:cs="Arial"/>
        </w:rPr>
        <w:t xml:space="preserve">definir un criterio universal y absoluto, sino que brinda elementos hermenéuticos de carácter general para que los partícipes del sistema de compras y contratación pública adopten la decisión que corresponda, lo cual es acorde con el principio de juridicidad.  Por ello, corresponderá a las </w:t>
      </w:r>
      <w:r>
        <w:rPr>
          <w:rFonts w:ascii="Verdana" w:eastAsia="Aptos" w:hAnsi="Verdana" w:cs="Arial"/>
        </w:rPr>
        <w:t>Entidades Estatales</w:t>
      </w:r>
      <w:r w:rsidRPr="006157A4">
        <w:rPr>
          <w:rFonts w:ascii="Verdana" w:eastAsia="Aptos" w:hAnsi="Verdana" w:cs="Arial"/>
        </w:rPr>
        <w:t>, en virtud de las facultades legales que les han sido conferidas por el ordenamiento jurídico, determinar la forma en la que realizarán la liquidación de sus contratos</w:t>
      </w:r>
      <w:r>
        <w:rPr>
          <w:rFonts w:ascii="Verdana" w:eastAsia="Aptos" w:hAnsi="Verdana" w:cs="Arial"/>
        </w:rPr>
        <w:t>.</w:t>
      </w:r>
    </w:p>
    <w:p w14:paraId="5211D45A" w14:textId="77777777" w:rsidR="00065E20" w:rsidRPr="00F80DEF" w:rsidRDefault="00065E20" w:rsidP="00065E20">
      <w:pPr>
        <w:pStyle w:val="Prrafodelista"/>
        <w:jc w:val="both"/>
        <w:rPr>
          <w:rFonts w:ascii="Verdana" w:eastAsia="Calibri" w:hAnsi="Verdana" w:cs="Arial"/>
          <w:bCs/>
          <w:color w:val="000000"/>
          <w:lang w:val="es-MX"/>
        </w:rPr>
      </w:pPr>
    </w:p>
    <w:p w14:paraId="110C742A" w14:textId="77777777" w:rsidR="00065E20" w:rsidRPr="00F80DEF" w:rsidRDefault="00065E20" w:rsidP="00065E20">
      <w:pPr>
        <w:jc w:val="both"/>
        <w:rPr>
          <w:rFonts w:ascii="Verdana" w:eastAsia="Calibri" w:hAnsi="Verdana" w:cs="Arial"/>
          <w:bCs/>
          <w:color w:val="000000"/>
          <w:lang w:val="es-MX"/>
        </w:rPr>
      </w:pPr>
    </w:p>
    <w:p w14:paraId="25D11F37" w14:textId="77777777" w:rsidR="00065E20" w:rsidRPr="009322DA" w:rsidRDefault="00065E20" w:rsidP="00065E20">
      <w:pPr>
        <w:jc w:val="both"/>
        <w:rPr>
          <w:rFonts w:ascii="Verdana" w:eastAsia="Calibri" w:hAnsi="Verdana" w:cs="Arial"/>
          <w:b/>
          <w:bCs/>
        </w:rPr>
      </w:pPr>
      <w:r w:rsidRPr="009322DA">
        <w:rPr>
          <w:rFonts w:ascii="Verdana" w:eastAsia="Calibri" w:hAnsi="Verdana" w:cs="Arial"/>
          <w:b/>
          <w:bCs/>
        </w:rPr>
        <w:t>4. Referencias</w:t>
      </w:r>
      <w:r>
        <w:rPr>
          <w:rFonts w:ascii="Verdana" w:eastAsia="Calibri" w:hAnsi="Verdana" w:cs="Arial"/>
          <w:b/>
          <w:bCs/>
        </w:rPr>
        <w:t xml:space="preserve"> </w:t>
      </w:r>
      <w:r w:rsidRPr="009322DA">
        <w:rPr>
          <w:rFonts w:ascii="Verdana" w:eastAsia="Calibri" w:hAnsi="Verdana" w:cs="Arial"/>
          <w:b/>
          <w:bCs/>
        </w:rPr>
        <w:t>normativas, jurisprudenciales y otras fuentes:</w:t>
      </w: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065E20" w:rsidRPr="009322DA" w14:paraId="027CE474" w14:textId="77777777" w:rsidTr="00B66C68">
        <w:trPr>
          <w:trHeight w:val="1068"/>
        </w:trPr>
        <w:tc>
          <w:tcPr>
            <w:tcW w:w="8647" w:type="dxa"/>
            <w:tcBorders>
              <w:top w:val="dotted" w:sz="4" w:space="0" w:color="auto"/>
              <w:left w:val="dotted" w:sz="4" w:space="0" w:color="auto"/>
              <w:bottom w:val="dotted" w:sz="4" w:space="0" w:color="auto"/>
              <w:right w:val="dotted" w:sz="4" w:space="0" w:color="auto"/>
            </w:tcBorders>
          </w:tcPr>
          <w:p w14:paraId="62A73E0C" w14:textId="77777777" w:rsidR="00065E20" w:rsidRPr="00F80DEF" w:rsidRDefault="00065E20" w:rsidP="00B66C68">
            <w:pPr>
              <w:widowControl w:val="0"/>
              <w:numPr>
                <w:ilvl w:val="0"/>
                <w:numId w:val="17"/>
              </w:numPr>
              <w:autoSpaceDE w:val="0"/>
              <w:autoSpaceDN w:val="0"/>
              <w:spacing w:after="120" w:line="276" w:lineRule="auto"/>
              <w:contextualSpacing/>
              <w:jc w:val="both"/>
              <w:rPr>
                <w:rFonts w:ascii="Verdana" w:hAnsi="Verdana" w:cs="Arial"/>
                <w:lang w:val="es-MX"/>
              </w:rPr>
            </w:pPr>
            <w:r w:rsidRPr="00F80DEF">
              <w:rPr>
                <w:rFonts w:ascii="Verdana" w:hAnsi="Verdana" w:cs="Arial"/>
                <w:lang w:val="es-MX"/>
              </w:rPr>
              <w:lastRenderedPageBreak/>
              <w:t xml:space="preserve">Ley 80 de 1993, artículo 60 modificado por el artículo 217 del Decreto 019 de 2012. </w:t>
            </w:r>
          </w:p>
          <w:p w14:paraId="45042D9F" w14:textId="77777777" w:rsidR="00065E20" w:rsidRPr="00F80DEF" w:rsidRDefault="00065E20" w:rsidP="00B66C68">
            <w:pPr>
              <w:widowControl w:val="0"/>
              <w:numPr>
                <w:ilvl w:val="0"/>
                <w:numId w:val="17"/>
              </w:numPr>
              <w:autoSpaceDE w:val="0"/>
              <w:autoSpaceDN w:val="0"/>
              <w:spacing w:after="120" w:line="276" w:lineRule="auto"/>
              <w:contextualSpacing/>
              <w:jc w:val="both"/>
              <w:rPr>
                <w:rFonts w:ascii="Verdana" w:hAnsi="Verdana" w:cs="Arial"/>
                <w:lang w:val="es-MX"/>
              </w:rPr>
            </w:pPr>
            <w:r w:rsidRPr="00F80DEF">
              <w:rPr>
                <w:rFonts w:ascii="Verdana" w:hAnsi="Verdana" w:cs="Arial"/>
                <w:lang w:val="es-MX"/>
              </w:rPr>
              <w:t>Ley 1150 de 2007, artículo 11.</w:t>
            </w:r>
          </w:p>
          <w:p w14:paraId="4C570FBE" w14:textId="77777777" w:rsidR="00065E20" w:rsidRPr="00F80DEF" w:rsidRDefault="00065E20" w:rsidP="00B66C68">
            <w:pPr>
              <w:widowControl w:val="0"/>
              <w:numPr>
                <w:ilvl w:val="0"/>
                <w:numId w:val="17"/>
              </w:numPr>
              <w:autoSpaceDE w:val="0"/>
              <w:autoSpaceDN w:val="0"/>
              <w:spacing w:after="120" w:line="276" w:lineRule="auto"/>
              <w:contextualSpacing/>
              <w:jc w:val="both"/>
              <w:rPr>
                <w:rFonts w:ascii="Verdana" w:hAnsi="Verdana" w:cs="Arial"/>
                <w:lang w:val="es-MX"/>
              </w:rPr>
            </w:pPr>
            <w:r w:rsidRPr="00F80DEF">
              <w:rPr>
                <w:rFonts w:ascii="Verdana" w:hAnsi="Verdana" w:cs="Arial"/>
                <w:lang w:val="es-MX"/>
              </w:rPr>
              <w:t xml:space="preserve">Jurisprudencia del Consejo de Estado. Disponible en: </w:t>
            </w:r>
            <w:hyperlink r:id="rId13" w:history="1">
              <w:r w:rsidRPr="006421CD">
                <w:rPr>
                  <w:rStyle w:val="Hipervnculo"/>
                  <w:rFonts w:ascii="Verdana" w:hAnsi="Verdana" w:cs="Arial"/>
                  <w:lang w:val="es-MX"/>
                </w:rPr>
                <w:t>https://relatoria.colombiacompra.gov.co/providencias-consejo-de-estado/</w:t>
              </w:r>
            </w:hyperlink>
            <w:r>
              <w:rPr>
                <w:rFonts w:ascii="Verdana" w:hAnsi="Verdana" w:cs="Arial"/>
                <w:lang w:val="es-MX"/>
              </w:rPr>
              <w:t xml:space="preserve"> </w:t>
            </w:r>
            <w:r w:rsidRPr="00F80DEF">
              <w:rPr>
                <w:rFonts w:ascii="Verdana" w:hAnsi="Verdana" w:cs="Arial"/>
                <w:lang w:val="es-MX"/>
              </w:rPr>
              <w:t xml:space="preserve"> </w:t>
            </w:r>
          </w:p>
          <w:p w14:paraId="4303C3D7" w14:textId="77777777" w:rsidR="00065E20" w:rsidRPr="00F80DEF" w:rsidRDefault="00065E20" w:rsidP="00B66C68">
            <w:pPr>
              <w:widowControl w:val="0"/>
              <w:numPr>
                <w:ilvl w:val="0"/>
                <w:numId w:val="17"/>
              </w:numPr>
              <w:autoSpaceDE w:val="0"/>
              <w:autoSpaceDN w:val="0"/>
              <w:spacing w:after="120" w:line="276" w:lineRule="auto"/>
              <w:contextualSpacing/>
              <w:jc w:val="both"/>
              <w:rPr>
                <w:rFonts w:ascii="Verdana" w:hAnsi="Verdana" w:cs="Arial"/>
                <w:lang w:val="es-MX"/>
              </w:rPr>
            </w:pPr>
            <w:r w:rsidRPr="00F80DEF">
              <w:rPr>
                <w:rFonts w:ascii="Verdana" w:hAnsi="Verdana" w:cs="Arial"/>
                <w:lang w:val="es-MX"/>
              </w:rPr>
              <w:t xml:space="preserve">Guías y manuales expedidos por la ANCP-CCE. Disponible en: </w:t>
            </w:r>
            <w:hyperlink r:id="rId14" w:history="1">
              <w:r w:rsidRPr="006421CD">
                <w:rPr>
                  <w:rStyle w:val="Hipervnculo"/>
                  <w:rFonts w:ascii="Verdana" w:hAnsi="Verdana" w:cs="Arial"/>
                  <w:lang w:val="es-MX"/>
                </w:rPr>
                <w:t>https://www.colombiacompra.gov.co/manuales-guias-y-pliegos-tipo/manuales-y-guias</w:t>
              </w:r>
            </w:hyperlink>
            <w:r>
              <w:rPr>
                <w:rFonts w:ascii="Verdana" w:hAnsi="Verdana" w:cs="Arial"/>
                <w:lang w:val="es-MX"/>
              </w:rPr>
              <w:t xml:space="preserve"> </w:t>
            </w:r>
          </w:p>
        </w:tc>
      </w:tr>
    </w:tbl>
    <w:p w14:paraId="0C54E559" w14:textId="77777777" w:rsidR="00065E20" w:rsidRPr="009322DA" w:rsidRDefault="00065E20" w:rsidP="00065E20">
      <w:pPr>
        <w:tabs>
          <w:tab w:val="left" w:pos="142"/>
          <w:tab w:val="left" w:pos="284"/>
        </w:tabs>
        <w:spacing w:after="0" w:line="276" w:lineRule="auto"/>
        <w:jc w:val="both"/>
        <w:rPr>
          <w:rFonts w:ascii="Verdana" w:eastAsia="Calibri" w:hAnsi="Verdana" w:cs="Arial"/>
        </w:rPr>
      </w:pPr>
    </w:p>
    <w:p w14:paraId="2FEF4B72" w14:textId="77777777" w:rsidR="00065E20" w:rsidRDefault="00065E20" w:rsidP="00065E20">
      <w:pPr>
        <w:tabs>
          <w:tab w:val="left" w:pos="142"/>
          <w:tab w:val="left" w:pos="284"/>
        </w:tabs>
        <w:spacing w:after="0" w:line="276" w:lineRule="auto"/>
        <w:jc w:val="both"/>
        <w:rPr>
          <w:rFonts w:ascii="Verdana" w:eastAsia="Century Gothic" w:hAnsi="Verdana" w:cs="Century Gothic"/>
          <w:b/>
          <w:bCs/>
          <w:lang w:val="es-ES"/>
        </w:rPr>
      </w:pPr>
      <w:r w:rsidRPr="00196A7A">
        <w:rPr>
          <w:rFonts w:ascii="Verdana" w:eastAsia="Calibri" w:hAnsi="Verdana" w:cs="Arial"/>
          <w:b/>
          <w:bCs/>
        </w:rPr>
        <w:t>5.</w:t>
      </w:r>
      <w:r>
        <w:rPr>
          <w:rFonts w:ascii="Verdana" w:eastAsia="Calibri" w:hAnsi="Verdana" w:cs="Arial"/>
          <w:b/>
          <w:bCs/>
        </w:rPr>
        <w:t xml:space="preserve"> </w:t>
      </w:r>
      <w:r w:rsidRPr="00196A7A">
        <w:rPr>
          <w:rFonts w:ascii="Verdana" w:eastAsia="Century Gothic" w:hAnsi="Verdana" w:cs="Century Gothic"/>
          <w:b/>
          <w:bCs/>
          <w:lang w:val="es-ES"/>
        </w:rPr>
        <w:t>Doctrina</w:t>
      </w:r>
      <w:r w:rsidRPr="009322DA">
        <w:rPr>
          <w:rFonts w:ascii="Verdana" w:eastAsia="Century Gothic" w:hAnsi="Verdana" w:cs="Century Gothic"/>
          <w:b/>
          <w:bCs/>
          <w:lang w:val="es-ES"/>
        </w:rPr>
        <w:t xml:space="preserve"> de la Agencia Nacional de Contratación Pública:</w:t>
      </w:r>
    </w:p>
    <w:p w14:paraId="0A2E2328" w14:textId="77777777" w:rsidR="00065E20" w:rsidRPr="009322DA" w:rsidRDefault="00065E20" w:rsidP="00065E20">
      <w:pPr>
        <w:tabs>
          <w:tab w:val="left" w:pos="142"/>
          <w:tab w:val="left" w:pos="284"/>
        </w:tabs>
        <w:spacing w:after="0" w:line="276" w:lineRule="auto"/>
        <w:jc w:val="both"/>
        <w:rPr>
          <w:rFonts w:ascii="Verdana" w:eastAsia="Century Gothic" w:hAnsi="Verdana" w:cs="Century Gothic"/>
          <w:b/>
          <w:bCs/>
          <w:lang w:val="es-ES"/>
        </w:rPr>
      </w:pPr>
    </w:p>
    <w:p w14:paraId="27077C74" w14:textId="77777777" w:rsidR="00065E20" w:rsidRDefault="00065E20" w:rsidP="00065E20">
      <w:pPr>
        <w:spacing w:after="0" w:line="276" w:lineRule="auto"/>
        <w:jc w:val="both"/>
        <w:rPr>
          <w:rStyle w:val="Hipervnculo"/>
          <w:rFonts w:ascii="Verdana" w:eastAsia="Calibri" w:hAnsi="Verdana" w:cs="Arial"/>
          <w:color w:val="000000" w:themeColor="text1"/>
          <w:shd w:val="clear" w:color="auto" w:fill="FFFFFF"/>
        </w:rPr>
      </w:pPr>
      <w:r w:rsidRPr="00F80DEF">
        <w:rPr>
          <w:rFonts w:ascii="Verdana" w:hAnsi="Verdana" w:cs="Arial"/>
          <w:shd w:val="clear" w:color="auto" w:fill="FFFFFF"/>
        </w:rPr>
        <w:t>L</w:t>
      </w:r>
      <w:r w:rsidRPr="00F80DEF">
        <w:rPr>
          <w:rFonts w:ascii="Verdana" w:hAnsi="Verdana" w:cs="Arial"/>
          <w:shd w:val="clear" w:color="auto" w:fill="FFFFFF"/>
          <w:lang w:val="es-ES"/>
        </w:rPr>
        <w:t xml:space="preserve">a Agencia Nacional de Contratación Pública – Colombia Compra Eficiente, en los conceptos </w:t>
      </w:r>
      <w:r w:rsidRPr="00F80DEF">
        <w:rPr>
          <w:rFonts w:ascii="Verdana" w:hAnsi="Verdana" w:cs="Arial"/>
          <w:shd w:val="clear" w:color="auto" w:fill="FFFFFF"/>
        </w:rPr>
        <w:t>4201912000004908 del 27 de septiembre de 2019, CU-028 de 25 de febrero de 2020, C-221 de 21 de abril de 2020, C-078 del 17 de marzo de 2021, C-220 del 18 de mayo de 2021, C-548 del 5 de octubre de 2021</w:t>
      </w:r>
      <w:r>
        <w:rPr>
          <w:rFonts w:ascii="Verdana" w:hAnsi="Verdana" w:cs="Arial"/>
          <w:shd w:val="clear" w:color="auto" w:fill="FFFFFF"/>
        </w:rPr>
        <w:t>,</w:t>
      </w:r>
      <w:r w:rsidRPr="00F80DEF">
        <w:rPr>
          <w:rFonts w:ascii="Verdana" w:hAnsi="Verdana" w:cs="Arial"/>
          <w:shd w:val="clear" w:color="auto" w:fill="FFFFFF"/>
        </w:rPr>
        <w:t xml:space="preserve"> C-739 del 29 de noviembre de 2022</w:t>
      </w:r>
      <w:r>
        <w:rPr>
          <w:rFonts w:ascii="Verdana" w:hAnsi="Verdana" w:cs="Arial"/>
          <w:shd w:val="clear" w:color="auto" w:fill="FFFFFF"/>
        </w:rPr>
        <w:t xml:space="preserve"> y C</w:t>
      </w:r>
      <w:r w:rsidRPr="00F80DEF">
        <w:rPr>
          <w:rFonts w:ascii="Verdana" w:hAnsi="Verdana" w:cs="Arial"/>
          <w:shd w:val="clear" w:color="auto" w:fill="FFFFFF"/>
        </w:rPr>
        <w:t>-</w:t>
      </w:r>
      <w:r>
        <w:rPr>
          <w:rFonts w:ascii="Verdana" w:hAnsi="Verdana" w:cs="Arial"/>
          <w:shd w:val="clear" w:color="auto" w:fill="FFFFFF"/>
        </w:rPr>
        <w:t>144 de 2024</w:t>
      </w:r>
      <w:r w:rsidRPr="00F80DEF">
        <w:rPr>
          <w:rFonts w:ascii="Verdana" w:hAnsi="Verdana" w:cs="Arial"/>
          <w:shd w:val="clear" w:color="auto" w:fill="FFFFFF"/>
          <w:lang w:val="es-ES"/>
        </w:rPr>
        <w:t>, analizó la etapa de liquidación</w:t>
      </w:r>
      <w:r w:rsidRPr="00EA761C">
        <w:rPr>
          <w:rStyle w:val="normaltextrun"/>
          <w:rFonts w:ascii="Verdana" w:hAnsi="Verdana" w:cs="Arial"/>
          <w:shd w:val="clear" w:color="auto" w:fill="FFFFFF"/>
          <w:lang w:val="es-ES"/>
        </w:rPr>
        <w:t xml:space="preserve">. </w:t>
      </w:r>
      <w:r w:rsidRPr="008328CE">
        <w:rPr>
          <w:rFonts w:ascii="Verdana" w:eastAsia="Calibri"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5" w:history="1">
        <w:r w:rsidRPr="002D07B4">
          <w:rPr>
            <w:rStyle w:val="Hipervnculo"/>
            <w:rFonts w:ascii="Verdana" w:eastAsia="Calibri" w:hAnsi="Verdana" w:cs="Arial"/>
            <w:shd w:val="clear" w:color="auto" w:fill="FFFFFF"/>
          </w:rPr>
          <w:t>https://relatoria.colombiacompra.gov.co/</w:t>
        </w:r>
      </w:hyperlink>
    </w:p>
    <w:p w14:paraId="653E31D6" w14:textId="77777777" w:rsidR="00065E20" w:rsidRDefault="00065E20" w:rsidP="00065E20">
      <w:pPr>
        <w:spacing w:after="0" w:line="276" w:lineRule="auto"/>
        <w:jc w:val="both"/>
        <w:rPr>
          <w:rStyle w:val="Hipervnculo"/>
          <w:rFonts w:ascii="Verdana" w:eastAsia="Calibri" w:hAnsi="Verdana" w:cs="Arial"/>
          <w:color w:val="000000" w:themeColor="text1"/>
          <w:shd w:val="clear" w:color="auto" w:fill="FFFFFF"/>
        </w:rPr>
      </w:pPr>
    </w:p>
    <w:p w14:paraId="1E0AD013" w14:textId="77777777" w:rsidR="00065E20" w:rsidRDefault="00065E20" w:rsidP="00065E20">
      <w:pPr>
        <w:spacing w:after="0" w:line="276" w:lineRule="auto"/>
        <w:jc w:val="both"/>
        <w:rPr>
          <w:rFonts w:ascii="Verdana" w:eastAsia="Calibri" w:hAnsi="Verdana" w:cs="Arial"/>
          <w:color w:val="000000" w:themeColor="text1"/>
          <w:shd w:val="clear" w:color="auto" w:fill="FFFFFF"/>
        </w:rPr>
      </w:pPr>
    </w:p>
    <w:p w14:paraId="1FDD254C" w14:textId="77777777" w:rsidR="00065E20" w:rsidRPr="00942844" w:rsidRDefault="00065E20" w:rsidP="00065E20">
      <w:pPr>
        <w:widowControl w:val="0"/>
        <w:autoSpaceDE w:val="0"/>
        <w:autoSpaceDN w:val="0"/>
        <w:spacing w:after="0" w:line="276" w:lineRule="auto"/>
        <w:jc w:val="both"/>
        <w:rPr>
          <w:rFonts w:ascii="Verdana" w:eastAsia="Calibri" w:hAnsi="Verdana" w:cs="Arial"/>
          <w:shd w:val="clear" w:color="auto" w:fill="FFFFFF"/>
          <w:lang w:val="es-ES"/>
        </w:rPr>
      </w:pPr>
      <w:r w:rsidRPr="00942844">
        <w:rPr>
          <w:rFonts w:ascii="Verdana" w:hAnsi="Verdana" w:cs="Arial"/>
          <w:shd w:val="clear" w:color="auto" w:fill="FFFFFF"/>
        </w:rPr>
        <w:t>También le invitamos a consultar la versión VII  de 2024 , del Boletín de Relatoría de la Subdirección de Gestión Contractual relacionado con las ASOCIACIONES PÚBLICO POPULARES , el cual se puede descargar en la página web de la Agencia: </w:t>
      </w:r>
      <w:hyperlink r:id="rId16" w:tgtFrame="_blank" w:tooltip="Dirección URL original: https://www.colombiacompra.gov.co/sala-de-prensa/boletin-digital. Haga clic o pulse si confía en este vínculo." w:history="1">
        <w:r w:rsidRPr="00942844">
          <w:rPr>
            <w:rStyle w:val="Hipervnculo"/>
            <w:rFonts w:ascii="Verdana" w:hAnsi="Verdana" w:cs="Arial"/>
            <w:shd w:val="clear" w:color="auto" w:fill="FFFFFF"/>
          </w:rPr>
          <w:t>https://www.colombiacompra.gov.co/sala-de-prensa/boletin-digital</w:t>
        </w:r>
      </w:hyperlink>
      <w:r w:rsidRPr="00942844">
        <w:rPr>
          <w:rFonts w:ascii="Verdana" w:hAnsi="Verdana" w:cs="Arial"/>
          <w:shd w:val="clear" w:color="auto" w:fill="FFFFFF"/>
        </w:rPr>
        <w:t>    </w:t>
      </w:r>
    </w:p>
    <w:p w14:paraId="01EC9786" w14:textId="77777777" w:rsidR="00065E20" w:rsidRPr="00942844" w:rsidRDefault="00065E20" w:rsidP="00065E20">
      <w:pPr>
        <w:spacing w:after="0" w:line="240" w:lineRule="auto"/>
        <w:jc w:val="both"/>
        <w:rPr>
          <w:rFonts w:ascii="Verdana" w:eastAsia="Calibri" w:hAnsi="Verdana" w:cs="Times New Roman"/>
        </w:rPr>
      </w:pPr>
      <w:r w:rsidRPr="00942844">
        <w:rPr>
          <w:rFonts w:ascii="Verdana" w:eastAsia="Calibri" w:hAnsi="Verdana" w:cs="Times New Roman"/>
        </w:rPr>
        <w:t xml:space="preserve">Por último, los invitamos a seguirnos en las redes sociales, en las cuales se difunde información institucional: </w:t>
      </w:r>
    </w:p>
    <w:p w14:paraId="6C7DAB05" w14:textId="77777777" w:rsidR="00065E20" w:rsidRPr="00942844" w:rsidRDefault="00065E20" w:rsidP="00065E20">
      <w:pPr>
        <w:spacing w:after="0" w:line="240" w:lineRule="auto"/>
        <w:jc w:val="both"/>
        <w:rPr>
          <w:rFonts w:ascii="Verdana" w:eastAsia="Calibri" w:hAnsi="Verdana" w:cs="Times New Roman"/>
        </w:rPr>
      </w:pPr>
    </w:p>
    <w:p w14:paraId="2C16D9A1" w14:textId="77777777" w:rsidR="00065E20" w:rsidRPr="00942844" w:rsidRDefault="00065E20" w:rsidP="00065E20">
      <w:pPr>
        <w:spacing w:after="0" w:line="240" w:lineRule="auto"/>
        <w:jc w:val="both"/>
        <w:rPr>
          <w:rFonts w:ascii="Verdana" w:eastAsia="Calibri" w:hAnsi="Verdana" w:cs="Times New Roman"/>
        </w:rPr>
      </w:pPr>
      <w:r w:rsidRPr="00942844">
        <w:rPr>
          <w:rFonts w:ascii="Verdana" w:eastAsia="Calibri" w:hAnsi="Verdana" w:cs="Times New Roman"/>
        </w:rPr>
        <w:t xml:space="preserve">Twitter: </w:t>
      </w:r>
      <w:r w:rsidRPr="00942844">
        <w:rPr>
          <w:rFonts w:ascii="Verdana" w:eastAsia="Calibri" w:hAnsi="Verdana" w:cs="Times New Roman"/>
          <w:u w:val="single"/>
        </w:rPr>
        <w:t>@colombiacompra</w:t>
      </w:r>
      <w:r w:rsidRPr="00942844">
        <w:rPr>
          <w:rFonts w:ascii="Verdana" w:eastAsia="Calibri" w:hAnsi="Verdana" w:cs="Times New Roman"/>
        </w:rPr>
        <w:t xml:space="preserve"> </w:t>
      </w:r>
    </w:p>
    <w:p w14:paraId="03A7B4CF" w14:textId="77777777" w:rsidR="00065E20" w:rsidRPr="00942844" w:rsidRDefault="00065E20" w:rsidP="00065E20">
      <w:pPr>
        <w:spacing w:after="0" w:line="240" w:lineRule="auto"/>
        <w:jc w:val="both"/>
        <w:rPr>
          <w:rFonts w:ascii="Verdana" w:eastAsia="Calibri" w:hAnsi="Verdana" w:cs="Times New Roman"/>
        </w:rPr>
      </w:pPr>
      <w:r w:rsidRPr="00942844">
        <w:rPr>
          <w:rFonts w:ascii="Verdana" w:eastAsia="Calibri" w:hAnsi="Verdana" w:cs="Times New Roman"/>
        </w:rPr>
        <w:t xml:space="preserve">Facebook: </w:t>
      </w:r>
      <w:proofErr w:type="spellStart"/>
      <w:r w:rsidRPr="00942844">
        <w:rPr>
          <w:rFonts w:ascii="Verdana" w:eastAsia="Calibri" w:hAnsi="Verdana" w:cs="Times New Roman"/>
          <w:u w:val="single"/>
        </w:rPr>
        <w:t>ColombiaCompraEficiente</w:t>
      </w:r>
      <w:proofErr w:type="spellEnd"/>
    </w:p>
    <w:p w14:paraId="53D008F8" w14:textId="77777777" w:rsidR="00065E20" w:rsidRPr="00942844" w:rsidRDefault="00065E20" w:rsidP="00065E20">
      <w:pPr>
        <w:spacing w:after="0" w:line="240" w:lineRule="auto"/>
        <w:jc w:val="both"/>
        <w:rPr>
          <w:rFonts w:ascii="Verdana" w:eastAsia="Calibri" w:hAnsi="Verdana" w:cs="Times New Roman"/>
        </w:rPr>
      </w:pPr>
      <w:r w:rsidRPr="00942844">
        <w:rPr>
          <w:rFonts w:ascii="Verdana" w:eastAsia="Calibri" w:hAnsi="Verdana" w:cs="Times New Roman"/>
        </w:rPr>
        <w:t xml:space="preserve">LinkedIn: </w:t>
      </w:r>
      <w:r w:rsidRPr="00942844">
        <w:rPr>
          <w:rFonts w:ascii="Verdana" w:eastAsia="Calibri" w:hAnsi="Verdana" w:cs="Times New Roman"/>
          <w:u w:val="single"/>
        </w:rPr>
        <w:t>Agencia Nacional de Contratación Pública - Colombia Compra Eficiente</w:t>
      </w:r>
      <w:r w:rsidRPr="00942844">
        <w:rPr>
          <w:rFonts w:ascii="Verdana" w:eastAsia="Calibri" w:hAnsi="Verdana" w:cs="Times New Roman"/>
        </w:rPr>
        <w:t xml:space="preserve"> Instagram: </w:t>
      </w:r>
      <w:r w:rsidRPr="00942844">
        <w:rPr>
          <w:rFonts w:ascii="Verdana" w:eastAsia="Calibri" w:hAnsi="Verdana" w:cs="Times New Roman"/>
          <w:u w:val="single"/>
        </w:rPr>
        <w:t>@colombiacompraeficiente_cce</w:t>
      </w:r>
    </w:p>
    <w:p w14:paraId="6EF4EC88" w14:textId="77777777" w:rsidR="00065E20" w:rsidRPr="00942844" w:rsidRDefault="00065E20" w:rsidP="00065E20">
      <w:pPr>
        <w:widowControl w:val="0"/>
        <w:autoSpaceDE w:val="0"/>
        <w:autoSpaceDN w:val="0"/>
        <w:spacing w:after="0" w:line="276" w:lineRule="auto"/>
        <w:jc w:val="both"/>
        <w:rPr>
          <w:rFonts w:ascii="Verdana" w:eastAsia="Calibri" w:hAnsi="Verdana" w:cs="Arial"/>
        </w:rPr>
      </w:pPr>
    </w:p>
    <w:p w14:paraId="45230076" w14:textId="77777777" w:rsidR="00065E20" w:rsidRPr="00942844" w:rsidRDefault="00065E20" w:rsidP="00065E20">
      <w:pPr>
        <w:widowControl w:val="0"/>
        <w:autoSpaceDE w:val="0"/>
        <w:autoSpaceDN w:val="0"/>
        <w:spacing w:after="0" w:line="276" w:lineRule="auto"/>
        <w:jc w:val="both"/>
        <w:rPr>
          <w:rFonts w:ascii="Verdana" w:eastAsia="Calibri" w:hAnsi="Verdana" w:cs="Arial"/>
          <w:lang w:val="es-ES_tradnl"/>
        </w:rPr>
      </w:pPr>
      <w:r w:rsidRPr="00942844">
        <w:rPr>
          <w:rFonts w:ascii="Verdana" w:eastAsia="Calibri" w:hAnsi="Verdana" w:cs="Arial"/>
        </w:rPr>
        <w:t xml:space="preserve">Este concepto tiene el alcance previsto en el artículo 28 del Código de Procedimiento Administrativo y de lo Contencioso Administrativo </w:t>
      </w:r>
      <w:r w:rsidRPr="00942844">
        <w:rPr>
          <w:rFonts w:ascii="Verdana" w:eastAsia="Calibri" w:hAnsi="Verdana" w:cs="Arial"/>
          <w:lang w:val="es-ES_tradnl"/>
        </w:rPr>
        <w:t xml:space="preserve">y las expresiones aquí utilizadas con mayúscula inicial deben ser entendidas con el </w:t>
      </w:r>
      <w:r w:rsidRPr="00942844">
        <w:rPr>
          <w:rFonts w:ascii="Verdana" w:eastAsia="Calibri" w:hAnsi="Verdana" w:cs="Arial"/>
          <w:lang w:val="es-ES_tradnl"/>
        </w:rPr>
        <w:lastRenderedPageBreak/>
        <w:t>significado que les otorga el artículo 2.2.1.1.1.3.1. del Decreto 1082 de 2015.</w:t>
      </w:r>
    </w:p>
    <w:p w14:paraId="6AD58DCD" w14:textId="77777777" w:rsidR="00065E20" w:rsidRPr="005B68B3" w:rsidRDefault="00065E20" w:rsidP="00065E20">
      <w:pPr>
        <w:widowControl w:val="0"/>
        <w:autoSpaceDE w:val="0"/>
        <w:autoSpaceDN w:val="0"/>
        <w:spacing w:after="0" w:line="276" w:lineRule="auto"/>
        <w:jc w:val="both"/>
        <w:rPr>
          <w:rFonts w:ascii="Verdana" w:hAnsi="Verdana"/>
          <w:lang w:val="es-ES_tradnl"/>
        </w:rPr>
      </w:pPr>
    </w:p>
    <w:p w14:paraId="1DADD0A2" w14:textId="77777777" w:rsidR="00065E20" w:rsidRPr="009322DA" w:rsidRDefault="00065E20" w:rsidP="00065E20">
      <w:pPr>
        <w:widowControl w:val="0"/>
        <w:autoSpaceDE w:val="0"/>
        <w:autoSpaceDN w:val="0"/>
        <w:spacing w:after="0" w:line="276" w:lineRule="auto"/>
        <w:jc w:val="both"/>
        <w:rPr>
          <w:rFonts w:ascii="Verdana" w:eastAsia="Calibri" w:hAnsi="Verdana" w:cs="Arial"/>
          <w:lang w:val="es-ES_tradnl"/>
        </w:rPr>
      </w:pPr>
      <w:r w:rsidRPr="009322DA">
        <w:rPr>
          <w:rFonts w:ascii="Verdana" w:eastAsia="Calibri" w:hAnsi="Verdana" w:cs="Arial"/>
        </w:rPr>
        <w:t>Este concepto tiene el alcance previsto en el artículo 28 del Código de Procedimiento Administrativo y de lo Contencioso Administrativo.</w:t>
      </w:r>
    </w:p>
    <w:p w14:paraId="3029A4B4" w14:textId="77777777" w:rsidR="00065E20" w:rsidRPr="009322DA" w:rsidRDefault="00065E20" w:rsidP="00065E20">
      <w:pPr>
        <w:widowControl w:val="0"/>
        <w:autoSpaceDE w:val="0"/>
        <w:autoSpaceDN w:val="0"/>
        <w:spacing w:after="0" w:line="276" w:lineRule="auto"/>
        <w:jc w:val="both"/>
        <w:rPr>
          <w:rFonts w:ascii="Verdana" w:eastAsia="Calibri" w:hAnsi="Verdana" w:cs="Arial"/>
        </w:rPr>
      </w:pPr>
    </w:p>
    <w:p w14:paraId="48A05CAA" w14:textId="77777777" w:rsidR="00065E20" w:rsidRPr="009322DA" w:rsidRDefault="00065E20" w:rsidP="00065E20">
      <w:pPr>
        <w:spacing w:after="0" w:line="240" w:lineRule="auto"/>
        <w:rPr>
          <w:rFonts w:ascii="Verdana" w:eastAsia="Calibri" w:hAnsi="Verdana" w:cs="Arial"/>
          <w:lang w:eastAsia="es-CO"/>
        </w:rPr>
      </w:pPr>
      <w:r w:rsidRPr="009322DA">
        <w:rPr>
          <w:rFonts w:ascii="Verdana" w:eastAsia="Times New Roman" w:hAnsi="Verdana" w:cs="Arial"/>
          <w:lang w:eastAsia="es-CO"/>
        </w:rPr>
        <w:t>Atentamente,</w:t>
      </w:r>
      <w:r w:rsidRPr="009322DA">
        <w:rPr>
          <w:rFonts w:ascii="Verdana" w:eastAsia="Calibri" w:hAnsi="Verdana" w:cs="Arial"/>
          <w:lang w:eastAsia="es-CO"/>
        </w:rPr>
        <w:t xml:space="preserve"> </w:t>
      </w:r>
    </w:p>
    <w:p w14:paraId="4B0FC657" w14:textId="77777777" w:rsidR="00065E20" w:rsidRDefault="00065E20" w:rsidP="00065E20">
      <w:pPr>
        <w:spacing w:line="276" w:lineRule="auto"/>
        <w:jc w:val="center"/>
        <w:rPr>
          <w:rFonts w:ascii="Century Gothic" w:hAnsi="Century Gothic"/>
          <w:noProof/>
        </w:rPr>
      </w:pPr>
    </w:p>
    <w:p w14:paraId="3738D69E" w14:textId="76F30AF1" w:rsidR="00065E20" w:rsidRDefault="00003DA7" w:rsidP="00065E20">
      <w:pPr>
        <w:spacing w:line="276" w:lineRule="auto"/>
        <w:jc w:val="center"/>
        <w:rPr>
          <w:rFonts w:ascii="Century Gothic" w:hAnsi="Century Gothic"/>
          <w:noProof/>
          <w:color w:val="000000"/>
          <w:lang w:eastAsia="es-CO"/>
        </w:rPr>
      </w:pPr>
      <w:r w:rsidRPr="002C3AD6">
        <w:rPr>
          <w:rFonts w:ascii="Century Gothic" w:hAnsi="Century Gothic"/>
          <w:noProof/>
        </w:rPr>
        <w:drawing>
          <wp:inline distT="0" distB="0" distL="0" distR="0" wp14:anchorId="64F7B8C8" wp14:editId="0E78CCF7">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7"/>
                    <a:stretch>
                      <a:fillRect/>
                    </a:stretch>
                  </pic:blipFill>
                  <pic:spPr>
                    <a:xfrm>
                      <a:off x="0" y="0"/>
                      <a:ext cx="3772426" cy="1400370"/>
                    </a:xfrm>
                    <a:prstGeom prst="rect">
                      <a:avLst/>
                    </a:prstGeom>
                  </pic:spPr>
                </pic:pic>
              </a:graphicData>
            </a:graphic>
          </wp:inline>
        </w:drawing>
      </w:r>
    </w:p>
    <w:p w14:paraId="1A8E2B2A" w14:textId="77777777" w:rsidR="00065E20" w:rsidRDefault="00065E20" w:rsidP="00065E20">
      <w:pPr>
        <w:spacing w:line="276" w:lineRule="auto"/>
        <w:jc w:val="center"/>
        <w:rPr>
          <w:rFonts w:ascii="Century Gothic" w:hAnsi="Century Gothic"/>
          <w:noProof/>
          <w:color w:val="000000"/>
          <w:lang w:eastAsia="es-CO"/>
        </w:rPr>
      </w:pPr>
    </w:p>
    <w:tbl>
      <w:tblPr>
        <w:tblStyle w:val="Tablaconcuadrcula1"/>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065E20" w:rsidRPr="009322DA" w14:paraId="07D19C18" w14:textId="77777777" w:rsidTr="00B66C68">
        <w:trPr>
          <w:trHeight w:val="315"/>
        </w:trPr>
        <w:tc>
          <w:tcPr>
            <w:tcW w:w="893" w:type="dxa"/>
            <w:vAlign w:val="center"/>
            <w:hideMark/>
          </w:tcPr>
          <w:p w14:paraId="5B1AB3D6" w14:textId="77777777" w:rsidR="00065E20" w:rsidRPr="009322DA" w:rsidRDefault="00065E20" w:rsidP="00B66C68">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A7200D2" w14:textId="77777777" w:rsidR="00065E20" w:rsidRPr="009322DA" w:rsidRDefault="00065E20" w:rsidP="00B66C68">
            <w:pPr>
              <w:spacing w:after="255"/>
              <w:contextualSpacing/>
              <w:rPr>
                <w:rFonts w:ascii="Verdana" w:eastAsia="Arial" w:hAnsi="Verdana" w:cs="Arial"/>
                <w:sz w:val="16"/>
                <w:szCs w:val="16"/>
              </w:rPr>
            </w:pPr>
            <w:r>
              <w:rPr>
                <w:rFonts w:ascii="Verdana" w:eastAsia="Arial" w:hAnsi="Verdana" w:cs="Arial"/>
                <w:sz w:val="16"/>
                <w:szCs w:val="16"/>
              </w:rPr>
              <w:t>D</w:t>
            </w:r>
            <w:r>
              <w:rPr>
                <w:rFonts w:eastAsia="Arial" w:cs="Arial"/>
              </w:rPr>
              <w:t xml:space="preserve">iana </w:t>
            </w:r>
            <w:r>
              <w:rPr>
                <w:rFonts w:ascii="Verdana" w:eastAsia="Arial" w:hAnsi="Verdana" w:cs="Arial"/>
                <w:sz w:val="16"/>
                <w:szCs w:val="16"/>
              </w:rPr>
              <w:t xml:space="preserve">Carolina Blanco Rodriguez </w:t>
            </w:r>
          </w:p>
          <w:p w14:paraId="7296373A" w14:textId="77777777" w:rsidR="00065E20" w:rsidRPr="009322DA" w:rsidRDefault="00065E20" w:rsidP="00B66C68">
            <w:pPr>
              <w:spacing w:after="255"/>
              <w:contextualSpacing/>
              <w:rPr>
                <w:rFonts w:ascii="Verdana" w:eastAsia="Arial" w:hAnsi="Verdana" w:cs="Arial"/>
                <w:sz w:val="16"/>
                <w:szCs w:val="16"/>
              </w:rPr>
            </w:pPr>
            <w:r w:rsidRPr="009322DA">
              <w:rPr>
                <w:rFonts w:ascii="Verdana" w:eastAsia="Arial" w:hAnsi="Verdana" w:cs="Arial"/>
                <w:sz w:val="16"/>
                <w:szCs w:val="16"/>
              </w:rPr>
              <w:t>Contratista de la Subdirección de Gestión Contractual</w:t>
            </w:r>
          </w:p>
        </w:tc>
      </w:tr>
      <w:tr w:rsidR="00065E20" w:rsidRPr="009322DA" w14:paraId="0628B65A" w14:textId="77777777" w:rsidTr="00B66C68">
        <w:trPr>
          <w:trHeight w:val="330"/>
        </w:trPr>
        <w:tc>
          <w:tcPr>
            <w:tcW w:w="893" w:type="dxa"/>
            <w:vAlign w:val="center"/>
            <w:hideMark/>
          </w:tcPr>
          <w:p w14:paraId="0F5DE71D" w14:textId="77777777" w:rsidR="00065E20" w:rsidRPr="009322DA" w:rsidRDefault="00065E20" w:rsidP="00B66C68">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0780553" w14:textId="77777777" w:rsidR="00065E20" w:rsidRPr="00F80DEF" w:rsidRDefault="00065E20" w:rsidP="00B66C68">
            <w:pPr>
              <w:contextualSpacing/>
              <w:textAlignment w:val="baseline"/>
              <w:rPr>
                <w:rFonts w:ascii="Verdana" w:eastAsia="Times New Roman" w:hAnsi="Verdana" w:cs="Arial"/>
                <w:sz w:val="16"/>
                <w:szCs w:val="16"/>
                <w:lang w:eastAsia="es-ES_tradnl"/>
              </w:rPr>
            </w:pPr>
            <w:r>
              <w:rPr>
                <w:rFonts w:ascii="Verdana" w:eastAsia="Times New Roman" w:hAnsi="Verdana" w:cs="Arial"/>
                <w:sz w:val="16"/>
                <w:szCs w:val="16"/>
                <w:lang w:eastAsia="es-ES_tradnl"/>
              </w:rPr>
              <w:t xml:space="preserve">Cielo Victoria González </w:t>
            </w:r>
          </w:p>
          <w:p w14:paraId="37710710" w14:textId="77777777" w:rsidR="00065E20" w:rsidRPr="00F80DEF" w:rsidRDefault="00065E20" w:rsidP="00B66C68">
            <w:pPr>
              <w:contextualSpacing/>
              <w:textAlignment w:val="baseline"/>
              <w:rPr>
                <w:rFonts w:ascii="Verdana" w:eastAsia="Times New Roman" w:hAnsi="Verdana" w:cs="Segoe UI"/>
                <w:sz w:val="16"/>
                <w:szCs w:val="16"/>
                <w:lang w:eastAsia="es-ES_tradnl"/>
              </w:rPr>
            </w:pPr>
            <w:r w:rsidRPr="00F80DEF">
              <w:rPr>
                <w:rFonts w:ascii="Verdana" w:eastAsia="Times New Roman" w:hAnsi="Verdana" w:cs="Arial"/>
                <w:sz w:val="16"/>
                <w:szCs w:val="16"/>
                <w:lang w:eastAsia="es-ES_tradnl"/>
              </w:rPr>
              <w:t>Contratista de la Subdirección de Gestión Contractual</w:t>
            </w:r>
          </w:p>
        </w:tc>
      </w:tr>
      <w:tr w:rsidR="00065E20" w:rsidRPr="009322DA" w14:paraId="5D46F50A" w14:textId="77777777" w:rsidTr="00B66C68">
        <w:trPr>
          <w:trHeight w:val="300"/>
        </w:trPr>
        <w:tc>
          <w:tcPr>
            <w:tcW w:w="893" w:type="dxa"/>
            <w:vAlign w:val="center"/>
            <w:hideMark/>
          </w:tcPr>
          <w:p w14:paraId="62E83D63" w14:textId="77777777" w:rsidR="00065E20" w:rsidRPr="009322DA" w:rsidRDefault="00065E20" w:rsidP="00B66C68">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287DCA1" w14:textId="77777777" w:rsidR="00065E20" w:rsidRPr="009322DA" w:rsidRDefault="00065E20" w:rsidP="00B66C68">
            <w:pPr>
              <w:spacing w:after="255"/>
              <w:contextualSpacing/>
              <w:rPr>
                <w:rFonts w:ascii="Verdana" w:hAnsi="Verdana" w:cs="Arial"/>
                <w:sz w:val="16"/>
                <w:szCs w:val="16"/>
                <w:lang w:val="pt-BR" w:eastAsia="es-ES"/>
              </w:rPr>
            </w:pPr>
            <w:r w:rsidRPr="009322DA">
              <w:rPr>
                <w:rFonts w:ascii="Verdana" w:hAnsi="Verdana" w:cs="Arial"/>
                <w:sz w:val="16"/>
                <w:szCs w:val="16"/>
                <w:lang w:val="pt-BR" w:eastAsia="es-ES"/>
              </w:rPr>
              <w:t xml:space="preserve">Carolina Quintero </w:t>
            </w:r>
            <w:proofErr w:type="spellStart"/>
            <w:r w:rsidRPr="009322DA">
              <w:rPr>
                <w:rFonts w:ascii="Verdana" w:hAnsi="Verdana" w:cs="Arial"/>
                <w:sz w:val="16"/>
                <w:szCs w:val="16"/>
                <w:lang w:val="pt-BR" w:eastAsia="es-ES"/>
              </w:rPr>
              <w:t>Gacharná</w:t>
            </w:r>
            <w:proofErr w:type="spellEnd"/>
          </w:p>
          <w:p w14:paraId="3127C1EA" w14:textId="77777777" w:rsidR="00065E20" w:rsidRPr="009322DA" w:rsidRDefault="00065E20" w:rsidP="00B66C68">
            <w:pPr>
              <w:spacing w:after="255"/>
              <w:contextualSpacing/>
              <w:rPr>
                <w:rFonts w:ascii="Verdana" w:hAnsi="Verdana" w:cs="Arial"/>
                <w:sz w:val="16"/>
                <w:szCs w:val="16"/>
                <w:lang w:val="pt-BR" w:eastAsia="es-ES"/>
              </w:rPr>
            </w:pPr>
            <w:r w:rsidRPr="009322DA">
              <w:rPr>
                <w:rFonts w:ascii="Verdana" w:hAnsi="Verdana" w:cs="Arial"/>
                <w:sz w:val="16"/>
                <w:szCs w:val="16"/>
                <w:lang w:eastAsia="es-ES"/>
              </w:rPr>
              <w:t>Subdirectora</w:t>
            </w:r>
            <w:r w:rsidRPr="009322DA">
              <w:rPr>
                <w:rFonts w:ascii="Verdana" w:hAnsi="Verdana" w:cs="Arial"/>
                <w:sz w:val="16"/>
                <w:szCs w:val="16"/>
                <w:lang w:val="pt-BR" w:eastAsia="es-ES"/>
              </w:rPr>
              <w:t xml:space="preserve"> de Gestión </w:t>
            </w:r>
            <w:proofErr w:type="spellStart"/>
            <w:r w:rsidRPr="009322DA">
              <w:rPr>
                <w:rFonts w:ascii="Verdana" w:hAnsi="Verdana" w:cs="Arial"/>
                <w:sz w:val="16"/>
                <w:szCs w:val="16"/>
                <w:lang w:val="pt-BR" w:eastAsia="es-ES"/>
              </w:rPr>
              <w:t>Contractual</w:t>
            </w:r>
            <w:proofErr w:type="spellEnd"/>
            <w:r w:rsidRPr="009322DA">
              <w:rPr>
                <w:rFonts w:ascii="Verdana" w:hAnsi="Verdana" w:cs="Arial"/>
                <w:sz w:val="16"/>
                <w:szCs w:val="16"/>
                <w:lang w:val="pt-BR" w:eastAsia="es-ES"/>
              </w:rPr>
              <w:t xml:space="preserve"> ANCP – CCE</w:t>
            </w:r>
          </w:p>
        </w:tc>
      </w:tr>
    </w:tbl>
    <w:p w14:paraId="063378F9" w14:textId="77777777" w:rsidR="00065E20" w:rsidRPr="00E80F98" w:rsidRDefault="00065E20" w:rsidP="00065E20"/>
    <w:p w14:paraId="7FB490FD" w14:textId="77777777" w:rsidR="00065E20" w:rsidRPr="0044528D" w:rsidRDefault="00065E20" w:rsidP="00065E20">
      <w:pPr>
        <w:spacing w:after="0"/>
        <w:rPr>
          <w:rFonts w:ascii="Verdana" w:hAnsi="Verdana"/>
        </w:rPr>
      </w:pPr>
    </w:p>
    <w:p w14:paraId="5FFDC7FC" w14:textId="77777777" w:rsidR="00E80F98" w:rsidRPr="009322DA" w:rsidRDefault="00E80F98" w:rsidP="00E80F98">
      <w:pPr>
        <w:spacing w:after="0" w:line="240" w:lineRule="auto"/>
        <w:rPr>
          <w:rFonts w:ascii="Verdana" w:eastAsia="Calibri" w:hAnsi="Verdana" w:cs="Arial"/>
          <w:lang w:val="es-MX" w:eastAsia="es-ES"/>
        </w:rPr>
      </w:pPr>
    </w:p>
    <w:sectPr w:rsidR="00E80F98" w:rsidRPr="009322DA"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30B31" w14:textId="77777777" w:rsidR="002E7094" w:rsidRDefault="002E7094" w:rsidP="004A1847">
      <w:pPr>
        <w:spacing w:after="0" w:line="240" w:lineRule="auto"/>
      </w:pPr>
      <w:r>
        <w:separator/>
      </w:r>
    </w:p>
  </w:endnote>
  <w:endnote w:type="continuationSeparator" w:id="0">
    <w:p w14:paraId="1BA78EAC" w14:textId="77777777" w:rsidR="002E7094" w:rsidRDefault="002E7094"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CC48C" w14:textId="77777777" w:rsidR="002E7094" w:rsidRDefault="002E7094" w:rsidP="004A1847">
      <w:pPr>
        <w:spacing w:after="0" w:line="240" w:lineRule="auto"/>
      </w:pPr>
      <w:r>
        <w:separator/>
      </w:r>
    </w:p>
  </w:footnote>
  <w:footnote w:type="continuationSeparator" w:id="0">
    <w:p w14:paraId="6AA3ADCE" w14:textId="77777777" w:rsidR="002E7094" w:rsidRDefault="002E7094" w:rsidP="004A1847">
      <w:pPr>
        <w:spacing w:after="0" w:line="240" w:lineRule="auto"/>
      </w:pPr>
      <w:r>
        <w:continuationSeparator/>
      </w:r>
    </w:p>
  </w:footnote>
  <w:footnote w:id="1">
    <w:p w14:paraId="46FE41AA" w14:textId="77777777" w:rsidR="00065E20" w:rsidRPr="006072DE" w:rsidRDefault="00065E20" w:rsidP="00065E20">
      <w:pPr>
        <w:pStyle w:val="Textonotapie"/>
        <w:rPr>
          <w:rFonts w:ascii="Verdana" w:hAnsi="Verdana"/>
          <w:sz w:val="14"/>
          <w:szCs w:val="14"/>
        </w:rPr>
      </w:pPr>
      <w:r w:rsidRPr="006072DE">
        <w:rPr>
          <w:rStyle w:val="Refdenotaalpie"/>
          <w:rFonts w:ascii="Verdana" w:hAnsi="Verdana"/>
          <w:sz w:val="14"/>
          <w:szCs w:val="14"/>
        </w:rPr>
        <w:footnoteRef/>
      </w:r>
      <w:r w:rsidRPr="006072DE">
        <w:rPr>
          <w:rFonts w:ascii="Verdana" w:hAnsi="Verdana"/>
          <w:sz w:val="14"/>
          <w:szCs w:val="14"/>
        </w:rPr>
        <w:t xml:space="preserve"> </w:t>
      </w:r>
      <w:r w:rsidRPr="006072DE">
        <w:rPr>
          <w:rFonts w:ascii="Verdana" w:hAnsi="Verdana"/>
          <w:sz w:val="14"/>
          <w:szCs w:val="14"/>
          <w:lang w:val="es-CO"/>
        </w:rPr>
        <w:t>Consejo de Estado, Sala de lo Contencioso Administrativo, Sección Tercera. Sentencia del 26 de mayo de 2010, Exp. n.0 18606.</w:t>
      </w:r>
    </w:p>
  </w:footnote>
  <w:footnote w:id="2">
    <w:p w14:paraId="2329F1F3" w14:textId="77777777" w:rsidR="00065E20" w:rsidRPr="008457D2" w:rsidRDefault="00065E20" w:rsidP="00065E20">
      <w:pPr>
        <w:pStyle w:val="Textonotapie"/>
        <w:ind w:firstLine="708"/>
        <w:jc w:val="both"/>
        <w:rPr>
          <w:rFonts w:ascii="Verdana" w:hAnsi="Verdana" w:cs="Arial"/>
          <w:color w:val="000000"/>
          <w:sz w:val="16"/>
          <w:szCs w:val="16"/>
        </w:rPr>
      </w:pPr>
      <w:r w:rsidRPr="006072DE">
        <w:rPr>
          <w:rStyle w:val="Refdenotaalpie"/>
          <w:rFonts w:ascii="Verdana" w:hAnsi="Verdana" w:cs="Arial"/>
          <w:color w:val="000000"/>
          <w:sz w:val="14"/>
          <w:szCs w:val="14"/>
        </w:rPr>
        <w:footnoteRef/>
      </w:r>
      <w:r w:rsidRPr="006072DE">
        <w:rPr>
          <w:rFonts w:ascii="Verdana" w:hAnsi="Verdana" w:cs="Arial"/>
          <w:color w:val="000000"/>
          <w:sz w:val="14"/>
          <w:szCs w:val="14"/>
        </w:rPr>
        <w:t xml:space="preserve"> “La última formalidad que deben cumplir los contratos de la Administración dentro del marco jurídico de la contratación estatal se refiere a la liquidación, definida, en principio, como un negocio jurídico bilateral cuyo objeto es la realización del corte de cuentas entre las partes contratantes, en el cual queda establecida la relación directa entre las prestaciones ejecutaras, el valor cobrado por las mismas y su cancelación por parte del deudor de estas, sin perjuicio de los descuentos económicos a que haya lugar con motivo de la aplicación de estipulaciones contractuales específicas</w:t>
      </w:r>
      <w:r w:rsidRPr="006072DE">
        <w:rPr>
          <w:rFonts w:ascii="Verdana" w:hAnsi="Verdana" w:cs="Arial"/>
          <w:color w:val="000000"/>
          <w:sz w:val="14"/>
          <w:szCs w:val="14"/>
          <w:shd w:val="clear" w:color="auto" w:fill="FFFFFF"/>
        </w:rPr>
        <w:t>” (</w:t>
      </w:r>
      <w:r w:rsidRPr="006072DE">
        <w:rPr>
          <w:rFonts w:ascii="Verdana" w:hAnsi="Verdana" w:cs="Arial"/>
          <w:color w:val="000000"/>
          <w:sz w:val="14"/>
          <w:szCs w:val="14"/>
        </w:rPr>
        <w:t>EXPOSITO, Juan Carlos. Forma y contenido del contrato estatal. Bogotá: Universidad Externado de Colombia, p. 89 y 90).</w:t>
      </w:r>
    </w:p>
  </w:footnote>
  <w:footnote w:id="3">
    <w:p w14:paraId="1B33ACEE" w14:textId="77777777" w:rsidR="00065E20" w:rsidRPr="006072DE" w:rsidRDefault="00065E20" w:rsidP="00065E20">
      <w:pPr>
        <w:pStyle w:val="Textonotapie"/>
        <w:ind w:firstLine="708"/>
        <w:jc w:val="both"/>
        <w:rPr>
          <w:rFonts w:ascii="Verdana" w:hAnsi="Verdana" w:cs="Arial"/>
          <w:color w:val="000000"/>
          <w:sz w:val="14"/>
          <w:szCs w:val="14"/>
          <w:lang w:val="es-CO"/>
        </w:rPr>
      </w:pPr>
      <w:r w:rsidRPr="006072DE">
        <w:rPr>
          <w:rStyle w:val="Refdenotaalpie"/>
          <w:rFonts w:ascii="Verdana" w:hAnsi="Verdana" w:cs="Arial"/>
          <w:color w:val="000000"/>
          <w:sz w:val="14"/>
          <w:szCs w:val="14"/>
        </w:rPr>
        <w:footnoteRef/>
      </w:r>
      <w:r w:rsidRPr="006072DE">
        <w:rPr>
          <w:rFonts w:ascii="Verdana" w:hAnsi="Verdana" w:cs="Arial"/>
          <w:color w:val="000000"/>
          <w:sz w:val="14"/>
          <w:szCs w:val="14"/>
        </w:rPr>
        <w:t xml:space="preserve"> DÍAZ DÍEZ, Cristian Andrés. La liquidación. Serie: Las Cláusulas del Contrato Estatal. Medellín: Librería Jurídica Sánchez y Centro de Estudios de Derecho Administrativo –CEDA–, 2013, pp. 53-54.</w:t>
      </w:r>
    </w:p>
  </w:footnote>
  <w:footnote w:id="4">
    <w:p w14:paraId="287DDC09" w14:textId="77777777" w:rsidR="00065E20" w:rsidRPr="008457D2" w:rsidRDefault="00065E20" w:rsidP="00065E20">
      <w:pPr>
        <w:spacing w:after="0"/>
        <w:ind w:firstLine="708"/>
        <w:jc w:val="both"/>
        <w:rPr>
          <w:rFonts w:ascii="Verdana" w:hAnsi="Verdana" w:cs="Arial"/>
          <w:color w:val="000000"/>
          <w:sz w:val="16"/>
          <w:szCs w:val="16"/>
          <w:lang w:val="es-ES"/>
        </w:rPr>
      </w:pPr>
      <w:r w:rsidRPr="006072DE">
        <w:rPr>
          <w:rStyle w:val="Refdenotaalpie"/>
          <w:rFonts w:ascii="Verdana" w:hAnsi="Verdana" w:cs="Arial"/>
          <w:color w:val="000000"/>
          <w:sz w:val="14"/>
          <w:szCs w:val="14"/>
        </w:rPr>
        <w:footnoteRef/>
      </w:r>
      <w:r w:rsidRPr="006072DE">
        <w:rPr>
          <w:rFonts w:ascii="Verdana" w:hAnsi="Verdana" w:cs="Arial"/>
          <w:color w:val="000000"/>
          <w:sz w:val="14"/>
          <w:szCs w:val="14"/>
        </w:rPr>
        <w:t xml:space="preserve"> Consejo de Estado. Sección Tercera. Subsección C. 20 de octubre de 2014, M.P: Enrique Gil Botero. Exp. 27.777. Allí se dijo: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footnote>
  <w:footnote w:id="5">
    <w:p w14:paraId="7F6F1A3C" w14:textId="77777777" w:rsidR="00065E20" w:rsidRPr="006072DE" w:rsidRDefault="00065E20" w:rsidP="00065E20">
      <w:pPr>
        <w:pStyle w:val="Textonotapie"/>
        <w:ind w:firstLine="708"/>
        <w:jc w:val="both"/>
        <w:rPr>
          <w:rFonts w:ascii="Verdana" w:hAnsi="Verdana" w:cs="Arial"/>
          <w:color w:val="000000" w:themeColor="text1"/>
          <w:sz w:val="14"/>
          <w:szCs w:val="14"/>
        </w:rPr>
      </w:pPr>
      <w:r w:rsidRPr="006072DE">
        <w:rPr>
          <w:rStyle w:val="Refdenotaalpie"/>
          <w:rFonts w:ascii="Verdana" w:hAnsi="Verdana" w:cs="Arial"/>
          <w:color w:val="000000" w:themeColor="text1"/>
          <w:sz w:val="14"/>
          <w:szCs w:val="14"/>
        </w:rPr>
        <w:footnoteRef/>
      </w:r>
      <w:r w:rsidRPr="006072DE">
        <w:rPr>
          <w:rFonts w:ascii="Verdana" w:hAnsi="Verdana" w:cs="Arial"/>
          <w:color w:val="000000" w:themeColor="text1"/>
          <w:sz w:val="14"/>
          <w:szCs w:val="14"/>
        </w:rPr>
        <w:t xml:space="preserve"> EXPÓSITO VÉLEZ. Juan Carlos. Forma y contenido del contrato estatal, p. 90.</w:t>
      </w:r>
    </w:p>
    <w:p w14:paraId="644E6F3F" w14:textId="77777777" w:rsidR="00065E20" w:rsidRPr="006072DE" w:rsidRDefault="00065E20" w:rsidP="00065E20">
      <w:pPr>
        <w:pStyle w:val="Textonotapie"/>
        <w:ind w:firstLine="708"/>
        <w:jc w:val="both"/>
        <w:rPr>
          <w:rFonts w:ascii="Verdana" w:hAnsi="Verdana" w:cs="Arial"/>
          <w:color w:val="000000" w:themeColor="text1"/>
          <w:sz w:val="14"/>
          <w:szCs w:val="14"/>
        </w:rPr>
      </w:pPr>
    </w:p>
  </w:footnote>
  <w:footnote w:id="6">
    <w:p w14:paraId="300EC30B" w14:textId="77777777" w:rsidR="00065E20" w:rsidRPr="006072DE" w:rsidRDefault="00065E20" w:rsidP="00065E20">
      <w:pPr>
        <w:pStyle w:val="Textonotapie"/>
        <w:ind w:firstLine="708"/>
        <w:jc w:val="both"/>
        <w:rPr>
          <w:rFonts w:ascii="Verdana" w:hAnsi="Verdana" w:cs="Arial"/>
          <w:color w:val="000000" w:themeColor="text1"/>
          <w:sz w:val="14"/>
          <w:szCs w:val="14"/>
        </w:rPr>
      </w:pPr>
      <w:r w:rsidRPr="006072DE">
        <w:rPr>
          <w:rStyle w:val="Refdenotaalpie"/>
          <w:rFonts w:ascii="Verdana" w:hAnsi="Verdana" w:cs="Arial"/>
          <w:color w:val="000000" w:themeColor="text1"/>
          <w:sz w:val="14"/>
          <w:szCs w:val="14"/>
        </w:rPr>
        <w:footnoteRef/>
      </w:r>
      <w:r w:rsidRPr="006072DE">
        <w:rPr>
          <w:rFonts w:ascii="Verdana" w:hAnsi="Verdana" w:cs="Arial"/>
          <w:color w:val="000000" w:themeColor="text1"/>
          <w:sz w:val="14"/>
          <w:szCs w:val="14"/>
        </w:rPr>
        <w:t xml:space="preserve"> CONSEJO DE ESTADO, Sala de Consulta y Servicio Civil. Radicado No. 1453. Concepto de 6 de agosto de 2003. MP. Augusto Trejos.</w:t>
      </w:r>
    </w:p>
    <w:p w14:paraId="415D39D7" w14:textId="77777777" w:rsidR="00065E20" w:rsidRPr="006072DE" w:rsidRDefault="00065E20" w:rsidP="00065E20">
      <w:pPr>
        <w:pStyle w:val="Textonotapie"/>
        <w:ind w:firstLine="708"/>
        <w:jc w:val="both"/>
        <w:rPr>
          <w:rFonts w:ascii="Verdana" w:hAnsi="Verdana" w:cs="Arial"/>
          <w:color w:val="000000" w:themeColor="text1"/>
          <w:sz w:val="14"/>
          <w:szCs w:val="14"/>
        </w:rPr>
      </w:pPr>
    </w:p>
  </w:footnote>
  <w:footnote w:id="7">
    <w:p w14:paraId="3080B377" w14:textId="77777777" w:rsidR="00065E20" w:rsidRPr="006072DE" w:rsidRDefault="00065E20" w:rsidP="00065E20">
      <w:pPr>
        <w:pStyle w:val="Textonotapie"/>
        <w:ind w:firstLine="708"/>
        <w:jc w:val="both"/>
        <w:rPr>
          <w:rFonts w:ascii="Verdana" w:hAnsi="Verdana" w:cs="Arial"/>
          <w:color w:val="000000" w:themeColor="text1"/>
          <w:sz w:val="14"/>
          <w:szCs w:val="14"/>
          <w:lang w:val="es-ES"/>
        </w:rPr>
      </w:pPr>
      <w:r w:rsidRPr="006072DE">
        <w:rPr>
          <w:rStyle w:val="Refdenotaalpie"/>
          <w:rFonts w:ascii="Verdana" w:hAnsi="Verdana" w:cs="Arial"/>
          <w:color w:val="000000" w:themeColor="text1"/>
          <w:sz w:val="14"/>
          <w:szCs w:val="14"/>
        </w:rPr>
        <w:footnoteRef/>
      </w:r>
      <w:r w:rsidRPr="006072DE">
        <w:rPr>
          <w:rFonts w:ascii="Verdana" w:hAnsi="Verdana" w:cs="Arial"/>
          <w:color w:val="000000" w:themeColor="text1"/>
          <w:sz w:val="14"/>
          <w:szCs w:val="14"/>
        </w:rPr>
        <w:t xml:space="preserve"> </w:t>
      </w:r>
      <w:r w:rsidRPr="006072DE">
        <w:rPr>
          <w:rFonts w:ascii="Verdana" w:hAnsi="Verdana" w:cs="Arial"/>
          <w:color w:val="000000" w:themeColor="text1"/>
          <w:sz w:val="14"/>
          <w:szCs w:val="14"/>
          <w:lang w:val="es-ES"/>
        </w:rPr>
        <w:t>El artículo 11 de la Ley 1150 de 2007 prescribe: «Artículo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5471A536" w14:textId="77777777" w:rsidR="00065E20" w:rsidRPr="006072DE" w:rsidRDefault="00065E20" w:rsidP="00065E20">
      <w:pPr>
        <w:pStyle w:val="Textonotapie"/>
        <w:ind w:firstLine="708"/>
        <w:jc w:val="both"/>
        <w:rPr>
          <w:rFonts w:ascii="Verdana" w:hAnsi="Verdana" w:cs="Arial"/>
          <w:color w:val="000000" w:themeColor="text1"/>
          <w:sz w:val="14"/>
          <w:szCs w:val="14"/>
          <w:lang w:val="es-ES"/>
        </w:rPr>
      </w:pPr>
      <w:r w:rsidRPr="006072DE">
        <w:rPr>
          <w:rFonts w:ascii="Verdana" w:hAnsi="Verdana" w:cs="Arial"/>
          <w:color w:val="000000" w:themeColor="text1"/>
          <w:sz w:val="14"/>
          <w:szCs w:val="14"/>
          <w:lang w:val="es-ES"/>
        </w:rPr>
        <w:t>“ 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26DBDF50" w14:textId="77777777" w:rsidR="00065E20" w:rsidRPr="006072DE" w:rsidRDefault="00065E20" w:rsidP="00065E20">
      <w:pPr>
        <w:pStyle w:val="Textonotapie"/>
        <w:ind w:firstLine="708"/>
        <w:jc w:val="both"/>
        <w:rPr>
          <w:rFonts w:ascii="Verdana" w:hAnsi="Verdana" w:cs="Arial"/>
          <w:color w:val="000000" w:themeColor="text1"/>
          <w:sz w:val="14"/>
          <w:szCs w:val="14"/>
          <w:lang w:val="es-ES"/>
        </w:rPr>
      </w:pPr>
      <w:r w:rsidRPr="006072DE">
        <w:rPr>
          <w:rFonts w:ascii="Verdana" w:hAnsi="Verdana" w:cs="Arial"/>
          <w:color w:val="000000" w:themeColor="text1"/>
          <w:sz w:val="14"/>
          <w:szCs w:val="14"/>
          <w:lang w:val="es-ES"/>
        </w:rPr>
        <w:t>“ 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5C12B99B" w14:textId="77777777" w:rsidR="00065E20" w:rsidRPr="00541D6E" w:rsidRDefault="00065E20" w:rsidP="00065E20">
      <w:pPr>
        <w:pStyle w:val="Textonotapie"/>
        <w:ind w:firstLine="708"/>
        <w:jc w:val="both"/>
        <w:rPr>
          <w:rFonts w:ascii="Verdana" w:hAnsi="Verdana" w:cs="Arial"/>
          <w:color w:val="000000" w:themeColor="text1"/>
          <w:sz w:val="16"/>
          <w:szCs w:val="16"/>
          <w:lang w:val="es-ES"/>
        </w:rPr>
      </w:pPr>
      <w:r w:rsidRPr="006072DE">
        <w:rPr>
          <w:rFonts w:ascii="Verdana" w:hAnsi="Verdana" w:cs="Arial"/>
          <w:color w:val="000000" w:themeColor="text1"/>
          <w:sz w:val="14"/>
          <w:szCs w:val="14"/>
          <w:lang w:val="es-ES"/>
        </w:rPr>
        <w:t>“ Los contratistas tendrán derecho a efectuar salvedades a la liquidación por mutuo acuerdo, y en este evento la liquidación unilateral solo procederá en relación con los aspectos que no hayan sido objeto de acuerdo</w:t>
      </w:r>
      <w:r>
        <w:rPr>
          <w:rFonts w:ascii="Verdana" w:hAnsi="Verdana" w:cs="Arial"/>
          <w:color w:val="000000" w:themeColor="text1"/>
          <w:sz w:val="14"/>
          <w:szCs w:val="14"/>
          <w:lang w:val="es-ES"/>
        </w:rPr>
        <w:t>”</w:t>
      </w:r>
      <w:r w:rsidRPr="006072DE">
        <w:rPr>
          <w:rFonts w:ascii="Verdana" w:hAnsi="Verdana" w:cs="Arial"/>
          <w:color w:val="000000" w:themeColor="text1"/>
          <w:sz w:val="14"/>
          <w:szCs w:val="14"/>
          <w:lang w:val="es-ES"/>
        </w:rPr>
        <w:t>.</w:t>
      </w:r>
    </w:p>
  </w:footnote>
  <w:footnote w:id="8">
    <w:p w14:paraId="55675C54" w14:textId="77777777" w:rsidR="00065E20" w:rsidRPr="00C11220" w:rsidRDefault="00065E20" w:rsidP="00065E20">
      <w:pPr>
        <w:pStyle w:val="Textonotapie"/>
        <w:ind w:firstLine="709"/>
        <w:jc w:val="both"/>
        <w:rPr>
          <w:rFonts w:ascii="Verdana" w:hAnsi="Verdana" w:cs="Arial"/>
          <w:color w:val="000000" w:themeColor="text1"/>
          <w:sz w:val="14"/>
          <w:szCs w:val="14"/>
        </w:rPr>
      </w:pPr>
      <w:r w:rsidRPr="00C11220">
        <w:rPr>
          <w:rStyle w:val="Refdenotaalpie"/>
          <w:rFonts w:ascii="Verdana" w:hAnsi="Verdana" w:cs="Arial"/>
          <w:color w:val="000000" w:themeColor="text1"/>
          <w:sz w:val="14"/>
          <w:szCs w:val="14"/>
        </w:rPr>
        <w:footnoteRef/>
      </w:r>
      <w:r w:rsidRPr="00C11220">
        <w:rPr>
          <w:rFonts w:ascii="Verdana" w:hAnsi="Verdana" w:cs="Arial"/>
          <w:color w:val="000000" w:themeColor="text1"/>
          <w:sz w:val="14"/>
          <w:szCs w:val="14"/>
        </w:rPr>
        <w:t xml:space="preserve"> CONSEJO DE ESTADO, Sección Tercera, Subsección C, Sentencia del 24 de julio de 2013, radicado No. 25.642, Consejero Ponente Enrique Gil Botero.</w:t>
      </w:r>
    </w:p>
    <w:p w14:paraId="794DE75E" w14:textId="77777777" w:rsidR="00065E20" w:rsidRPr="00C11220" w:rsidRDefault="00065E20" w:rsidP="00065E20">
      <w:pPr>
        <w:pStyle w:val="Textonotapie"/>
        <w:ind w:firstLine="709"/>
        <w:jc w:val="both"/>
        <w:rPr>
          <w:rFonts w:ascii="Verdana" w:hAnsi="Verdana" w:cs="Arial"/>
          <w:color w:val="000000" w:themeColor="text1"/>
          <w:sz w:val="14"/>
          <w:szCs w:val="14"/>
          <w:lang w:val="es-CO"/>
        </w:rPr>
      </w:pPr>
    </w:p>
  </w:footnote>
  <w:footnote w:id="9">
    <w:p w14:paraId="3CB1EDB8" w14:textId="77777777" w:rsidR="00065E20" w:rsidRPr="00C11220" w:rsidRDefault="00065E20" w:rsidP="00065E20">
      <w:pPr>
        <w:pStyle w:val="NormalWeb"/>
        <w:spacing w:after="0"/>
        <w:ind w:firstLine="709"/>
        <w:jc w:val="both"/>
        <w:rPr>
          <w:rFonts w:ascii="Verdana" w:hAnsi="Verdana" w:cs="Arial"/>
          <w:color w:val="000000" w:themeColor="text1"/>
          <w:sz w:val="14"/>
          <w:szCs w:val="14"/>
        </w:rPr>
      </w:pPr>
      <w:r w:rsidRPr="00C11220">
        <w:rPr>
          <w:rStyle w:val="Refdenotaalpie"/>
          <w:rFonts w:ascii="Verdana" w:hAnsi="Verdana" w:cs="Arial"/>
          <w:color w:val="000000" w:themeColor="text1"/>
          <w:sz w:val="14"/>
          <w:szCs w:val="14"/>
        </w:rPr>
        <w:footnoteRef/>
      </w:r>
      <w:r w:rsidRPr="00C11220">
        <w:rPr>
          <w:rFonts w:ascii="Verdana" w:hAnsi="Verdana" w:cs="Arial"/>
          <w:color w:val="000000" w:themeColor="text1"/>
          <w:sz w:val="14"/>
          <w:szCs w:val="14"/>
        </w:rPr>
        <w:t xml:space="preserve"> Decreto 1082 de 2015 “</w:t>
      </w:r>
      <w:r w:rsidRPr="00C11220">
        <w:rPr>
          <w:rStyle w:val="Textoennegrita"/>
          <w:rFonts w:ascii="Verdana" w:hAnsi="Verdana" w:cs="Arial"/>
          <w:color w:val="000000" w:themeColor="text1"/>
          <w:sz w:val="14"/>
          <w:szCs w:val="14"/>
        </w:rPr>
        <w:t>Artículo 2.2.1.2.1.5.2. </w:t>
      </w:r>
      <w:r w:rsidRPr="00C11220">
        <w:rPr>
          <w:rStyle w:val="nfasis"/>
          <w:rFonts w:ascii="Verdana" w:eastAsiaTheme="minorEastAsia" w:hAnsi="Verdana" w:cs="Arial"/>
          <w:color w:val="000000" w:themeColor="text1"/>
          <w:sz w:val="14"/>
          <w:szCs w:val="14"/>
        </w:rPr>
        <w:t>Procedimiento para la contratación de mínima cuantía. </w:t>
      </w:r>
      <w:r w:rsidRPr="00C11220">
        <w:rPr>
          <w:rFonts w:ascii="Verdana" w:hAnsi="Verdana" w:cs="Arial"/>
          <w:color w:val="000000" w:themeColor="text1"/>
          <w:sz w:val="14"/>
          <w:szCs w:val="14"/>
        </w:rPr>
        <w:t>Las siguientes reglas son aplicables a la contratación cuyo valor no excede del 10% de la menor cuantía de la Entidad Estatal, independientemente de su objeto: </w:t>
      </w:r>
    </w:p>
    <w:p w14:paraId="10F98D54" w14:textId="77777777" w:rsidR="00065E20" w:rsidRPr="00C11220" w:rsidRDefault="00065E20" w:rsidP="00065E20">
      <w:pPr>
        <w:pStyle w:val="NormalWeb"/>
        <w:spacing w:after="0"/>
        <w:jc w:val="both"/>
        <w:rPr>
          <w:rFonts w:ascii="Verdana" w:hAnsi="Verdana" w:cs="Arial"/>
          <w:color w:val="000000" w:themeColor="text1"/>
          <w:sz w:val="14"/>
          <w:szCs w:val="14"/>
        </w:rPr>
      </w:pPr>
      <w:r w:rsidRPr="00C11220">
        <w:rPr>
          <w:rFonts w:ascii="Verdana" w:hAnsi="Verdana" w:cs="Arial"/>
          <w:color w:val="000000" w:themeColor="text1"/>
          <w:sz w:val="14"/>
          <w:szCs w:val="14"/>
        </w:rPr>
        <w:t>  </w:t>
      </w:r>
      <w:r w:rsidRPr="00C11220">
        <w:rPr>
          <w:rFonts w:ascii="Verdana" w:hAnsi="Verdana" w:cs="Arial"/>
          <w:color w:val="000000" w:themeColor="text1"/>
          <w:sz w:val="14"/>
          <w:szCs w:val="14"/>
        </w:rPr>
        <w:tab/>
        <w:t>“1.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el cumplimiento de las condiciones técnicas exigidas […]”. </w:t>
      </w:r>
    </w:p>
    <w:p w14:paraId="50AF8F0E" w14:textId="77777777" w:rsidR="00065E20" w:rsidRPr="00541D6E" w:rsidRDefault="00065E20" w:rsidP="00065E20">
      <w:pPr>
        <w:pStyle w:val="NormalWeb"/>
        <w:spacing w:after="0"/>
        <w:jc w:val="both"/>
        <w:rPr>
          <w:rFonts w:ascii="Verdana" w:hAnsi="Verdana" w:cs="Arial"/>
          <w:color w:val="000000" w:themeColor="text1"/>
          <w:sz w:val="16"/>
          <w:szCs w:val="16"/>
        </w:rPr>
      </w:pPr>
    </w:p>
  </w:footnote>
  <w:footnote w:id="10">
    <w:p w14:paraId="7A0FE71F" w14:textId="77777777" w:rsidR="00065E20" w:rsidRPr="00C11220" w:rsidRDefault="00065E20" w:rsidP="00065E20">
      <w:pPr>
        <w:pStyle w:val="Textonotapie"/>
        <w:ind w:firstLine="709"/>
        <w:jc w:val="both"/>
        <w:rPr>
          <w:rFonts w:ascii="Verdana" w:hAnsi="Verdana" w:cs="Arial"/>
          <w:color w:val="000000" w:themeColor="text1"/>
          <w:sz w:val="14"/>
          <w:szCs w:val="14"/>
        </w:rPr>
      </w:pPr>
      <w:r w:rsidRPr="00C11220">
        <w:rPr>
          <w:rStyle w:val="Refdenotaalpie"/>
          <w:rFonts w:ascii="Verdana" w:hAnsi="Verdana" w:cs="Arial"/>
          <w:color w:val="000000" w:themeColor="text1"/>
          <w:sz w:val="14"/>
          <w:szCs w:val="14"/>
        </w:rPr>
        <w:footnoteRef/>
      </w:r>
      <w:r w:rsidRPr="00C11220">
        <w:rPr>
          <w:rFonts w:ascii="Verdana" w:hAnsi="Verdana" w:cs="Arial"/>
          <w:color w:val="000000" w:themeColor="text1"/>
          <w:sz w:val="14"/>
          <w:szCs w:val="14"/>
        </w:rPr>
        <w:t xml:space="preserve"> Ley 80 de 1993 “</w:t>
      </w:r>
      <w:r w:rsidRPr="00C11220">
        <w:rPr>
          <w:rStyle w:val="Textoennegrita"/>
          <w:rFonts w:ascii="Verdana" w:hAnsi="Verdana" w:cs="Arial"/>
          <w:color w:val="000000" w:themeColor="text1"/>
          <w:sz w:val="14"/>
          <w:szCs w:val="14"/>
        </w:rPr>
        <w:t>Artículo 77. De la normatividad aplicable en las actuaciones administrativas.</w:t>
      </w:r>
      <w:r w:rsidRPr="00C11220">
        <w:rPr>
          <w:rFonts w:ascii="Verdana" w:hAnsi="Verdana" w:cs="Arial"/>
          <w:color w:val="000000" w:themeColor="text1"/>
          <w:sz w:val="14"/>
          <w:szCs w:val="14"/>
        </w:rPr>
        <w:t> En cuanto sean compatibles con la finalidad y los principios de esta ley, las normas que rigen los procedimientos y actuaciones en la función administrativa, serán aplicables en las actuaciones contractuales. A falta de estas, regirán las disposiciones del Código de Procedimiento Civil» […]”. </w:t>
      </w:r>
    </w:p>
  </w:footnote>
  <w:footnote w:id="11">
    <w:p w14:paraId="4F2284B3" w14:textId="77777777" w:rsidR="00065E20" w:rsidRPr="00C11220" w:rsidRDefault="00065E20" w:rsidP="00065E20">
      <w:pPr>
        <w:pStyle w:val="NormalWeb"/>
        <w:spacing w:after="0"/>
        <w:ind w:firstLine="709"/>
        <w:jc w:val="both"/>
        <w:rPr>
          <w:rFonts w:ascii="Verdana" w:hAnsi="Verdana" w:cs="Arial"/>
          <w:color w:val="000000" w:themeColor="text1"/>
          <w:sz w:val="14"/>
          <w:szCs w:val="14"/>
        </w:rPr>
      </w:pPr>
      <w:r w:rsidRPr="00C11220">
        <w:rPr>
          <w:rStyle w:val="Refdenotaalpie"/>
          <w:rFonts w:ascii="Verdana" w:hAnsi="Verdana" w:cs="Arial"/>
          <w:color w:val="000000" w:themeColor="text1"/>
          <w:sz w:val="14"/>
          <w:szCs w:val="14"/>
        </w:rPr>
        <w:footnoteRef/>
      </w:r>
      <w:r w:rsidRPr="00C11220">
        <w:rPr>
          <w:rFonts w:ascii="Verdana" w:hAnsi="Verdana" w:cs="Arial"/>
          <w:color w:val="000000" w:themeColor="text1"/>
          <w:sz w:val="14"/>
          <w:szCs w:val="14"/>
        </w:rPr>
        <w:t xml:space="preserve"> Ley 80 de 1993 “</w:t>
      </w:r>
      <w:r w:rsidRPr="00C11220">
        <w:rPr>
          <w:rStyle w:val="Textoennegrita"/>
          <w:rFonts w:ascii="Verdana" w:hAnsi="Verdana" w:cs="Arial"/>
          <w:color w:val="000000" w:themeColor="text1"/>
          <w:sz w:val="14"/>
          <w:szCs w:val="14"/>
        </w:rPr>
        <w:t>Artículo 25. Del principio de economía.</w:t>
      </w:r>
      <w:r w:rsidRPr="00C11220">
        <w:rPr>
          <w:rFonts w:ascii="Verdana" w:hAnsi="Verdana" w:cs="Arial"/>
          <w:color w:val="000000" w:themeColor="text1"/>
          <w:sz w:val="14"/>
          <w:szCs w:val="14"/>
        </w:rPr>
        <w:t> En virtud de este principio: </w:t>
      </w:r>
    </w:p>
    <w:p w14:paraId="7A49AB5A" w14:textId="77777777" w:rsidR="00065E20" w:rsidRPr="00C11220" w:rsidRDefault="00065E20" w:rsidP="00065E20">
      <w:pPr>
        <w:pStyle w:val="NormalWeb"/>
        <w:spacing w:after="0"/>
        <w:ind w:firstLine="709"/>
        <w:jc w:val="both"/>
        <w:rPr>
          <w:rFonts w:ascii="Verdana" w:hAnsi="Verdana" w:cs="Arial"/>
          <w:color w:val="000000" w:themeColor="text1"/>
          <w:sz w:val="14"/>
          <w:szCs w:val="14"/>
        </w:rPr>
      </w:pPr>
      <w:r w:rsidRPr="00C11220">
        <w:rPr>
          <w:rFonts w:ascii="Verdana" w:hAnsi="Verdana" w:cs="Arial"/>
          <w:color w:val="000000" w:themeColor="text1"/>
          <w:sz w:val="14"/>
          <w:szCs w:val="14"/>
        </w:rPr>
        <w:t>[…]</w:t>
      </w:r>
    </w:p>
    <w:p w14:paraId="773FA436" w14:textId="77777777" w:rsidR="00065E20" w:rsidRPr="00C11220" w:rsidRDefault="00065E20" w:rsidP="00065E20">
      <w:pPr>
        <w:pStyle w:val="NormalWeb"/>
        <w:spacing w:after="0"/>
        <w:ind w:firstLine="709"/>
        <w:jc w:val="both"/>
        <w:rPr>
          <w:rFonts w:ascii="Verdana" w:hAnsi="Verdana" w:cs="Arial"/>
          <w:color w:val="000000" w:themeColor="text1"/>
          <w:sz w:val="14"/>
          <w:szCs w:val="14"/>
        </w:rPr>
      </w:pPr>
      <w:r w:rsidRPr="00C11220">
        <w:rPr>
          <w:rFonts w:ascii="Verdana" w:hAnsi="Verdana" w:cs="Arial"/>
          <w:color w:val="000000" w:themeColor="text1"/>
          <w:sz w:val="14"/>
          <w:szCs w:val="14"/>
        </w:rPr>
        <w:t>“4o. Los trámites se adelantarán con austeridad de tiempo, medios y gastos y se impedirán las dilaciones y los retardos en la ejecución del contrato. </w:t>
      </w:r>
    </w:p>
    <w:p w14:paraId="5F8BAA05" w14:textId="77777777" w:rsidR="00065E20" w:rsidRPr="00C11220" w:rsidRDefault="00065E20" w:rsidP="00065E20">
      <w:pPr>
        <w:pStyle w:val="NormalWeb"/>
        <w:spacing w:after="0"/>
        <w:jc w:val="both"/>
        <w:rPr>
          <w:rFonts w:ascii="Verdana" w:hAnsi="Verdana" w:cs="Arial"/>
          <w:color w:val="000000" w:themeColor="text1"/>
          <w:sz w:val="14"/>
          <w:szCs w:val="14"/>
        </w:rPr>
      </w:pPr>
      <w:r w:rsidRPr="00C11220">
        <w:rPr>
          <w:rFonts w:ascii="Verdana" w:hAnsi="Verdana" w:cs="Arial"/>
          <w:color w:val="000000" w:themeColor="text1"/>
          <w:sz w:val="14"/>
          <w:szCs w:val="14"/>
        </w:rPr>
        <w:t>  </w:t>
      </w:r>
      <w:r w:rsidRPr="00C11220">
        <w:rPr>
          <w:rFonts w:ascii="Verdana" w:hAnsi="Verdana" w:cs="Arial"/>
          <w:color w:val="000000" w:themeColor="text1"/>
          <w:sz w:val="14"/>
          <w:szCs w:val="14"/>
        </w:rPr>
        <w:tab/>
        <w:t>“5o. Se adoptarán procedimientos que garanticen la pronta solución de las diferencias y controversias que con motivo de la celebración y ejecución del contrato se presenten […]”.</w:t>
      </w:r>
    </w:p>
  </w:footnote>
  <w:footnote w:id="12">
    <w:p w14:paraId="0C066C25" w14:textId="77777777" w:rsidR="00065E20" w:rsidRPr="00C11220" w:rsidRDefault="00065E20" w:rsidP="00065E20">
      <w:pPr>
        <w:pStyle w:val="Textonotapie"/>
        <w:ind w:firstLine="708"/>
        <w:jc w:val="both"/>
        <w:rPr>
          <w:rFonts w:ascii="Verdana" w:hAnsi="Verdana" w:cs="Arial"/>
          <w:color w:val="000000" w:themeColor="text1"/>
          <w:sz w:val="14"/>
          <w:szCs w:val="14"/>
        </w:rPr>
      </w:pPr>
      <w:r w:rsidRPr="00C11220">
        <w:rPr>
          <w:rStyle w:val="Refdenotaalpie"/>
          <w:rFonts w:ascii="Verdana" w:hAnsi="Verdana" w:cs="Arial"/>
          <w:color w:val="000000" w:themeColor="text1"/>
          <w:sz w:val="14"/>
          <w:szCs w:val="14"/>
        </w:rPr>
        <w:footnoteRef/>
      </w:r>
      <w:r w:rsidRPr="00C11220">
        <w:rPr>
          <w:rFonts w:ascii="Verdana" w:hAnsi="Verdana" w:cs="Arial"/>
          <w:color w:val="000000" w:themeColor="text1"/>
          <w:sz w:val="14"/>
          <w:szCs w:val="14"/>
        </w:rPr>
        <w:t xml:space="preserve"> COLOMBIA COMPRA EFICIENTE. Guía para la Liquidación de los Procesos de Contratación. página 5, disponible en:   </w:t>
      </w:r>
      <w:hyperlink r:id="rId1" w:history="1">
        <w:r w:rsidRPr="00C11220">
          <w:rPr>
            <w:rStyle w:val="Hipervnculo"/>
            <w:rFonts w:ascii="Verdana" w:hAnsi="Verdana" w:cs="Arial"/>
            <w:sz w:val="14"/>
            <w:szCs w:val="14"/>
          </w:rPr>
          <w:t>https://www.colombiacompra.gov.co/sites/cce_public/files/cce_documents/cce_guia_liquidacion_procesos.pdf</w:t>
        </w:r>
      </w:hyperlink>
      <w:r w:rsidRPr="00C11220">
        <w:rPr>
          <w:rStyle w:val="Hipervnculo"/>
          <w:rFonts w:ascii="Verdana" w:hAnsi="Verdana" w:cs="Arial"/>
          <w:color w:val="000000" w:themeColor="text1"/>
          <w:sz w:val="14"/>
          <w:szCs w:val="14"/>
        </w:rPr>
        <w:t xml:space="preserve">     </w:t>
      </w:r>
      <w:r w:rsidRPr="00C11220">
        <w:rPr>
          <w:rFonts w:ascii="Verdana" w:hAnsi="Verdana" w:cs="Arial"/>
          <w:color w:val="000000" w:themeColor="text1"/>
          <w:sz w:val="14"/>
          <w:szCs w:val="14"/>
        </w:rPr>
        <w:t xml:space="preserve">      </w:t>
      </w:r>
    </w:p>
    <w:p w14:paraId="6D6F7140" w14:textId="77777777" w:rsidR="00065E20" w:rsidRPr="00FB79F8" w:rsidRDefault="00065E20" w:rsidP="00065E20">
      <w:pPr>
        <w:pStyle w:val="Textonotapie"/>
        <w:ind w:firstLine="708"/>
        <w:jc w:val="both"/>
        <w:rPr>
          <w:rFonts w:ascii="Verdana" w:hAnsi="Verdana" w:cs="Arial"/>
          <w:color w:val="000000" w:themeColor="text1"/>
          <w:sz w:val="16"/>
          <w:szCs w:val="16"/>
        </w:rPr>
      </w:pPr>
    </w:p>
  </w:footnote>
  <w:footnote w:id="13">
    <w:p w14:paraId="67588BB9" w14:textId="77777777" w:rsidR="00065E20" w:rsidRPr="00C11220" w:rsidRDefault="00065E20" w:rsidP="00065E20">
      <w:pPr>
        <w:pStyle w:val="Textonotapie"/>
        <w:ind w:firstLine="708"/>
        <w:jc w:val="both"/>
        <w:rPr>
          <w:rFonts w:ascii="Verdana" w:hAnsi="Verdana" w:cs="Arial"/>
          <w:color w:val="000000" w:themeColor="text1"/>
          <w:sz w:val="14"/>
          <w:szCs w:val="14"/>
        </w:rPr>
      </w:pPr>
      <w:r w:rsidRPr="00C11220">
        <w:rPr>
          <w:rStyle w:val="Refdenotaalpie"/>
          <w:rFonts w:ascii="Verdana" w:hAnsi="Verdana" w:cs="Arial"/>
          <w:color w:val="000000" w:themeColor="text1"/>
          <w:sz w:val="14"/>
          <w:szCs w:val="14"/>
        </w:rPr>
        <w:footnoteRef/>
      </w:r>
      <w:r w:rsidRPr="00C11220">
        <w:rPr>
          <w:rFonts w:ascii="Verdana" w:hAnsi="Verdana" w:cs="Arial"/>
          <w:color w:val="000000" w:themeColor="text1"/>
          <w:sz w:val="14"/>
          <w:szCs w:val="14"/>
        </w:rPr>
        <w:t xml:space="preserve"> 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footnote>
  <w:footnote w:id="14">
    <w:p w14:paraId="4AF53291" w14:textId="77777777" w:rsidR="00065E20" w:rsidRPr="00C11220" w:rsidRDefault="00065E20" w:rsidP="00065E20">
      <w:pPr>
        <w:pStyle w:val="Textonotapie"/>
        <w:ind w:firstLine="708"/>
        <w:jc w:val="both"/>
        <w:rPr>
          <w:rFonts w:ascii="Verdana" w:hAnsi="Verdana" w:cs="Arial"/>
          <w:color w:val="000000" w:themeColor="text1"/>
          <w:sz w:val="14"/>
          <w:szCs w:val="14"/>
        </w:rPr>
      </w:pPr>
      <w:r w:rsidRPr="00C11220">
        <w:rPr>
          <w:rStyle w:val="Refdenotaalpie"/>
          <w:rFonts w:ascii="Verdana" w:hAnsi="Verdana" w:cs="Arial"/>
          <w:color w:val="000000" w:themeColor="text1"/>
          <w:sz w:val="14"/>
          <w:szCs w:val="14"/>
        </w:rPr>
        <w:footnoteRef/>
      </w:r>
      <w:r w:rsidRPr="00C11220">
        <w:rPr>
          <w:rFonts w:ascii="Verdana" w:hAnsi="Verdana" w:cs="Arial"/>
          <w:color w:val="000000" w:themeColor="text1"/>
          <w:sz w:val="14"/>
          <w:szCs w:val="14"/>
        </w:rPr>
        <w:t xml:space="preserve"> CONSEJO DE ESTADO. Sala de Consulta y Servicio Civil. Concepto de 28 de Junio de 2016. Radicación: 2253. C.P. Álvaro Namén Vargas. </w:t>
      </w:r>
    </w:p>
    <w:p w14:paraId="3BA1AFE8" w14:textId="77777777" w:rsidR="00065E20" w:rsidRPr="00D15703" w:rsidRDefault="00065E20" w:rsidP="00065E20">
      <w:pPr>
        <w:pStyle w:val="Textonotapie"/>
        <w:ind w:firstLine="708"/>
        <w:jc w:val="both"/>
        <w:rPr>
          <w:rFonts w:ascii="Arial" w:hAnsi="Arial" w:cs="Arial"/>
          <w:color w:val="000000" w:themeColor="text1"/>
          <w:sz w:val="16"/>
          <w:szCs w:val="16"/>
        </w:rPr>
      </w:pPr>
    </w:p>
  </w:footnote>
  <w:footnote w:id="15">
    <w:p w14:paraId="44E618D8" w14:textId="77777777" w:rsidR="00065E20" w:rsidRPr="00C11220" w:rsidRDefault="00065E20" w:rsidP="00065E20">
      <w:pPr>
        <w:pStyle w:val="Textonotapie"/>
        <w:rPr>
          <w:rFonts w:ascii="Verdana" w:hAnsi="Verdana"/>
          <w:sz w:val="14"/>
          <w:szCs w:val="14"/>
          <w:lang w:val="es-CO"/>
        </w:rPr>
      </w:pPr>
      <w:r w:rsidRPr="00C11220">
        <w:rPr>
          <w:rStyle w:val="Refdenotaalpie"/>
          <w:rFonts w:ascii="Verdana" w:hAnsi="Verdana"/>
          <w:sz w:val="14"/>
          <w:szCs w:val="14"/>
        </w:rPr>
        <w:footnoteRef/>
      </w:r>
      <w:r w:rsidRPr="00C11220">
        <w:rPr>
          <w:rFonts w:ascii="Verdana" w:hAnsi="Verdana"/>
          <w:sz w:val="14"/>
          <w:szCs w:val="14"/>
        </w:rPr>
        <w:t xml:space="preserve"> </w:t>
      </w:r>
      <w:r w:rsidRPr="00C11220">
        <w:rPr>
          <w:rFonts w:ascii="Verdana" w:hAnsi="Verdana"/>
          <w:sz w:val="14"/>
          <w:szCs w:val="14"/>
          <w:lang w:val="es-CO"/>
        </w:rPr>
        <w:t>Guía para la liquidación de los Procesos de Contratación  expedida por la ANCP-CCE</w:t>
      </w:r>
    </w:p>
    <w:p w14:paraId="4A53EDD6" w14:textId="77777777" w:rsidR="00065E20" w:rsidRPr="00C11220" w:rsidRDefault="00065E20" w:rsidP="00065E20">
      <w:pPr>
        <w:pStyle w:val="Textonotapie"/>
        <w:rPr>
          <w:rFonts w:ascii="Verdana" w:hAnsi="Verdana"/>
          <w:sz w:val="14"/>
          <w:szCs w:val="14"/>
          <w:lang w:val="es-ES"/>
        </w:rPr>
      </w:pPr>
    </w:p>
  </w:footnote>
  <w:footnote w:id="16">
    <w:p w14:paraId="10D7FCA4" w14:textId="77777777" w:rsidR="00065E20" w:rsidRPr="00C11220" w:rsidRDefault="00065E20" w:rsidP="00065E20">
      <w:pPr>
        <w:pStyle w:val="Textonotapie"/>
        <w:rPr>
          <w:rFonts w:ascii="Verdana" w:hAnsi="Verdana"/>
          <w:sz w:val="14"/>
          <w:szCs w:val="14"/>
          <w:lang w:val="es-CO"/>
        </w:rPr>
      </w:pPr>
      <w:r w:rsidRPr="00C11220">
        <w:rPr>
          <w:rStyle w:val="Refdenotaalpie"/>
          <w:rFonts w:ascii="Verdana" w:hAnsi="Verdana"/>
          <w:sz w:val="14"/>
          <w:szCs w:val="14"/>
        </w:rPr>
        <w:footnoteRef/>
      </w:r>
      <w:r w:rsidRPr="00C11220">
        <w:rPr>
          <w:rFonts w:ascii="Verdana" w:hAnsi="Verdana"/>
          <w:sz w:val="14"/>
          <w:szCs w:val="14"/>
        </w:rPr>
        <w:t xml:space="preserve"> </w:t>
      </w:r>
      <w:r w:rsidRPr="00C11220">
        <w:rPr>
          <w:rFonts w:ascii="Verdana" w:hAnsi="Verdana"/>
          <w:sz w:val="14"/>
          <w:szCs w:val="14"/>
          <w:lang w:val="es-CO"/>
        </w:rPr>
        <w:t xml:space="preserve">Laudo entre DRAGADOS HIDRÁULICOS LTDA. – LA NACIÓN – MINISTERIO DE TRANSPORTE.28 de Febrero de 2001 </w:t>
      </w:r>
    </w:p>
    <w:p w14:paraId="4903E782" w14:textId="77777777" w:rsidR="00065E20" w:rsidRPr="00C11220" w:rsidRDefault="00065E20" w:rsidP="00065E20">
      <w:pPr>
        <w:pStyle w:val="Textonotapie"/>
        <w:rPr>
          <w:rFonts w:ascii="Verdana" w:hAnsi="Verdana"/>
          <w:sz w:val="14"/>
          <w:szCs w:val="14"/>
          <w:lang w:val="es-CO"/>
        </w:rPr>
      </w:pPr>
    </w:p>
  </w:footnote>
  <w:footnote w:id="17">
    <w:p w14:paraId="35D54E74" w14:textId="77777777" w:rsidR="00065E20" w:rsidRPr="003575EF" w:rsidRDefault="00065E20" w:rsidP="00065E20">
      <w:pPr>
        <w:pStyle w:val="Textonotapie"/>
        <w:rPr>
          <w:lang w:val="es-ES"/>
        </w:rPr>
      </w:pPr>
      <w:r w:rsidRPr="00C11220">
        <w:rPr>
          <w:rStyle w:val="Refdenotaalpie"/>
          <w:rFonts w:ascii="Verdana" w:hAnsi="Verdana"/>
          <w:sz w:val="14"/>
          <w:szCs w:val="14"/>
        </w:rPr>
        <w:footnoteRef/>
      </w:r>
      <w:r w:rsidRPr="00C11220">
        <w:rPr>
          <w:rFonts w:ascii="Verdana" w:hAnsi="Verdana"/>
          <w:sz w:val="14"/>
          <w:szCs w:val="14"/>
        </w:rPr>
        <w:t xml:space="preserve"> </w:t>
      </w:r>
      <w:r w:rsidRPr="00C11220">
        <w:rPr>
          <w:rFonts w:ascii="Verdana" w:hAnsi="Verdana"/>
          <w:sz w:val="14"/>
          <w:szCs w:val="14"/>
          <w:lang w:val="es-CO"/>
        </w:rPr>
        <w:t>Guía para la liquidación de los Procesos de Contratación  expedida por la ANCP-CCE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0.5pt;height:10.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7445982"/>
    <w:multiLevelType w:val="hybridMultilevel"/>
    <w:tmpl w:val="D5A0D2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BC7074"/>
    <w:multiLevelType w:val="hybridMultilevel"/>
    <w:tmpl w:val="548E4D16"/>
    <w:lvl w:ilvl="0" w:tplc="295054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2B1B38"/>
    <w:multiLevelType w:val="hybridMultilevel"/>
    <w:tmpl w:val="3A7AE4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EA26A8D"/>
    <w:multiLevelType w:val="hybridMultilevel"/>
    <w:tmpl w:val="A8B226AA"/>
    <w:lvl w:ilvl="0" w:tplc="CA20E99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4FDA11BD"/>
    <w:multiLevelType w:val="hybridMultilevel"/>
    <w:tmpl w:val="42BEF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CB31985"/>
    <w:multiLevelType w:val="hybridMultilevel"/>
    <w:tmpl w:val="C0F4035C"/>
    <w:lvl w:ilvl="0" w:tplc="1B420D7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7" w15:restartNumberingAfterBreak="0">
    <w:nsid w:val="67BD047C"/>
    <w:multiLevelType w:val="hybridMultilevel"/>
    <w:tmpl w:val="90022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9"/>
  </w:num>
  <w:num w:numId="2" w16cid:durableId="19822139">
    <w:abstractNumId w:val="2"/>
  </w:num>
  <w:num w:numId="3" w16cid:durableId="876742304">
    <w:abstractNumId w:val="7"/>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20"/>
  </w:num>
  <w:num w:numId="7" w16cid:durableId="1946422806">
    <w:abstractNumId w:val="8"/>
  </w:num>
  <w:num w:numId="8" w16cid:durableId="152644682">
    <w:abstractNumId w:val="19"/>
  </w:num>
  <w:num w:numId="9" w16cid:durableId="1317221377">
    <w:abstractNumId w:val="10"/>
  </w:num>
  <w:num w:numId="10" w16cid:durableId="1471245386">
    <w:abstractNumId w:val="18"/>
  </w:num>
  <w:num w:numId="11" w16cid:durableId="289172385">
    <w:abstractNumId w:val="11"/>
  </w:num>
  <w:num w:numId="12" w16cid:durableId="1470781324">
    <w:abstractNumId w:val="1"/>
  </w:num>
  <w:num w:numId="13" w16cid:durableId="1512908409">
    <w:abstractNumId w:val="6"/>
  </w:num>
  <w:num w:numId="14" w16cid:durableId="895897244">
    <w:abstractNumId w:val="21"/>
  </w:num>
  <w:num w:numId="15" w16cid:durableId="390349800">
    <w:abstractNumId w:val="16"/>
  </w:num>
  <w:num w:numId="16" w16cid:durableId="202817398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9089576">
    <w:abstractNumId w:val="12"/>
  </w:num>
  <w:num w:numId="18" w16cid:durableId="510485053">
    <w:abstractNumId w:val="4"/>
  </w:num>
  <w:num w:numId="19" w16cid:durableId="1321957370">
    <w:abstractNumId w:val="15"/>
  </w:num>
  <w:num w:numId="20" w16cid:durableId="354035714">
    <w:abstractNumId w:val="3"/>
  </w:num>
  <w:num w:numId="21" w16cid:durableId="2025521580">
    <w:abstractNumId w:val="14"/>
  </w:num>
  <w:num w:numId="22" w16cid:durableId="1838886980">
    <w:abstractNumId w:val="17"/>
  </w:num>
  <w:num w:numId="23" w16cid:durableId="623390158">
    <w:abstractNumId w:val="13"/>
  </w:num>
  <w:num w:numId="24" w16cid:durableId="1869298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3DA7"/>
    <w:rsid w:val="00033F67"/>
    <w:rsid w:val="00061B2A"/>
    <w:rsid w:val="00065E20"/>
    <w:rsid w:val="00082362"/>
    <w:rsid w:val="0008686D"/>
    <w:rsid w:val="000A683E"/>
    <w:rsid w:val="000B19B9"/>
    <w:rsid w:val="000D0334"/>
    <w:rsid w:val="000F6486"/>
    <w:rsid w:val="00125105"/>
    <w:rsid w:val="00127233"/>
    <w:rsid w:val="00140BFF"/>
    <w:rsid w:val="001A4CCF"/>
    <w:rsid w:val="001E4177"/>
    <w:rsid w:val="001F7DC6"/>
    <w:rsid w:val="002030AD"/>
    <w:rsid w:val="002421BB"/>
    <w:rsid w:val="0025796E"/>
    <w:rsid w:val="002609E1"/>
    <w:rsid w:val="002707A2"/>
    <w:rsid w:val="002951A0"/>
    <w:rsid w:val="002962BC"/>
    <w:rsid w:val="002A093D"/>
    <w:rsid w:val="002A0DD0"/>
    <w:rsid w:val="002A49AC"/>
    <w:rsid w:val="002A64FD"/>
    <w:rsid w:val="002C7A84"/>
    <w:rsid w:val="002E4FD9"/>
    <w:rsid w:val="002E7094"/>
    <w:rsid w:val="00304414"/>
    <w:rsid w:val="00322A85"/>
    <w:rsid w:val="00324168"/>
    <w:rsid w:val="003448F4"/>
    <w:rsid w:val="00374F5E"/>
    <w:rsid w:val="00377E3E"/>
    <w:rsid w:val="00381FEF"/>
    <w:rsid w:val="003A26D1"/>
    <w:rsid w:val="003A779E"/>
    <w:rsid w:val="003D0F4D"/>
    <w:rsid w:val="003D5B0D"/>
    <w:rsid w:val="003E0499"/>
    <w:rsid w:val="003F3941"/>
    <w:rsid w:val="00406575"/>
    <w:rsid w:val="0042722E"/>
    <w:rsid w:val="0044528D"/>
    <w:rsid w:val="00461450"/>
    <w:rsid w:val="004A1847"/>
    <w:rsid w:val="004A305D"/>
    <w:rsid w:val="004B7AF5"/>
    <w:rsid w:val="004C042E"/>
    <w:rsid w:val="004F21C4"/>
    <w:rsid w:val="004F685F"/>
    <w:rsid w:val="00503D9F"/>
    <w:rsid w:val="00541D6E"/>
    <w:rsid w:val="005566E8"/>
    <w:rsid w:val="00574867"/>
    <w:rsid w:val="00591460"/>
    <w:rsid w:val="00592628"/>
    <w:rsid w:val="0059478F"/>
    <w:rsid w:val="005B68B3"/>
    <w:rsid w:val="005C3777"/>
    <w:rsid w:val="005C5CDC"/>
    <w:rsid w:val="005D476C"/>
    <w:rsid w:val="005D571F"/>
    <w:rsid w:val="00610812"/>
    <w:rsid w:val="006219F8"/>
    <w:rsid w:val="00650FF7"/>
    <w:rsid w:val="00665D70"/>
    <w:rsid w:val="00671DAC"/>
    <w:rsid w:val="006900D9"/>
    <w:rsid w:val="006D12F8"/>
    <w:rsid w:val="006D5D18"/>
    <w:rsid w:val="00706C16"/>
    <w:rsid w:val="0072412A"/>
    <w:rsid w:val="00756841"/>
    <w:rsid w:val="007649AB"/>
    <w:rsid w:val="00771D0C"/>
    <w:rsid w:val="007833AC"/>
    <w:rsid w:val="007B1A51"/>
    <w:rsid w:val="007B268C"/>
    <w:rsid w:val="007B7171"/>
    <w:rsid w:val="007C0C0F"/>
    <w:rsid w:val="007C3DC2"/>
    <w:rsid w:val="007E5497"/>
    <w:rsid w:val="00806F5F"/>
    <w:rsid w:val="00820278"/>
    <w:rsid w:val="00873E5D"/>
    <w:rsid w:val="008843B6"/>
    <w:rsid w:val="00891928"/>
    <w:rsid w:val="008A446D"/>
    <w:rsid w:val="008D13DA"/>
    <w:rsid w:val="008D180B"/>
    <w:rsid w:val="008F0EA7"/>
    <w:rsid w:val="00923EEF"/>
    <w:rsid w:val="009419F9"/>
    <w:rsid w:val="0095685E"/>
    <w:rsid w:val="00961B09"/>
    <w:rsid w:val="00965334"/>
    <w:rsid w:val="0097093E"/>
    <w:rsid w:val="009A0DFA"/>
    <w:rsid w:val="009B2D26"/>
    <w:rsid w:val="009C71FA"/>
    <w:rsid w:val="009C72E7"/>
    <w:rsid w:val="009D3058"/>
    <w:rsid w:val="009F0C66"/>
    <w:rsid w:val="009F3A13"/>
    <w:rsid w:val="00A04625"/>
    <w:rsid w:val="00A122D3"/>
    <w:rsid w:val="00A17F13"/>
    <w:rsid w:val="00A20739"/>
    <w:rsid w:val="00A33C78"/>
    <w:rsid w:val="00A62BC0"/>
    <w:rsid w:val="00A76022"/>
    <w:rsid w:val="00AB0ADB"/>
    <w:rsid w:val="00B01B1A"/>
    <w:rsid w:val="00B72CD3"/>
    <w:rsid w:val="00B72FFF"/>
    <w:rsid w:val="00BC3D36"/>
    <w:rsid w:val="00BC6C87"/>
    <w:rsid w:val="00BD7F72"/>
    <w:rsid w:val="00C04FB3"/>
    <w:rsid w:val="00C330EB"/>
    <w:rsid w:val="00C71CDC"/>
    <w:rsid w:val="00C754BE"/>
    <w:rsid w:val="00C76B1C"/>
    <w:rsid w:val="00CB6357"/>
    <w:rsid w:val="00CC1B26"/>
    <w:rsid w:val="00CF5898"/>
    <w:rsid w:val="00CF7A4C"/>
    <w:rsid w:val="00D12898"/>
    <w:rsid w:val="00D423A2"/>
    <w:rsid w:val="00D520D8"/>
    <w:rsid w:val="00D63AC2"/>
    <w:rsid w:val="00D7383B"/>
    <w:rsid w:val="00D75F5B"/>
    <w:rsid w:val="00DA231B"/>
    <w:rsid w:val="00DA23A0"/>
    <w:rsid w:val="00DC39FC"/>
    <w:rsid w:val="00DF5254"/>
    <w:rsid w:val="00E16408"/>
    <w:rsid w:val="00E20894"/>
    <w:rsid w:val="00E245AB"/>
    <w:rsid w:val="00E2764C"/>
    <w:rsid w:val="00E27F2E"/>
    <w:rsid w:val="00E413EA"/>
    <w:rsid w:val="00E50AFE"/>
    <w:rsid w:val="00E75C92"/>
    <w:rsid w:val="00E771DC"/>
    <w:rsid w:val="00E80F98"/>
    <w:rsid w:val="00E83B93"/>
    <w:rsid w:val="00E8772A"/>
    <w:rsid w:val="00E90F6B"/>
    <w:rsid w:val="00E92C27"/>
    <w:rsid w:val="00EA0E3D"/>
    <w:rsid w:val="00EC38A7"/>
    <w:rsid w:val="00EE1AA8"/>
    <w:rsid w:val="00EF28CE"/>
    <w:rsid w:val="00EF6424"/>
    <w:rsid w:val="00F31EDC"/>
    <w:rsid w:val="00F462B3"/>
    <w:rsid w:val="00F5664F"/>
    <w:rsid w:val="00F666C4"/>
    <w:rsid w:val="00F76AFC"/>
    <w:rsid w:val="00FA47C0"/>
    <w:rsid w:val="00FA71CA"/>
    <w:rsid w:val="00FB5DD1"/>
    <w:rsid w:val="00FC2B5D"/>
    <w:rsid w:val="00FF1449"/>
    <w:rsid w:val="5CEADB7B"/>
    <w:rsid w:val="7F4195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E80F98"/>
    <w:pPr>
      <w:spacing w:line="240" w:lineRule="exact"/>
    </w:pPr>
    <w:rPr>
      <w:vertAlign w:val="superscript"/>
    </w:rPr>
  </w:style>
  <w:style w:type="table" w:customStyle="1" w:styleId="Tablaconcuadrcula1">
    <w:name w:val="Tabla con cuadrícula1"/>
    <w:basedOn w:val="Tablanormal"/>
    <w:next w:val="Tablaconcuadrcula"/>
    <w:uiPriority w:val="39"/>
    <w:qFormat/>
    <w:rsid w:val="00E80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80F98"/>
    <w:rPr>
      <w:rFonts w:ascii="Geomanist Light" w:hAnsi="Geomanist Light"/>
      <w:lang w:val="es-ES"/>
    </w:rPr>
  </w:style>
  <w:style w:type="character" w:styleId="Textoennegrita">
    <w:name w:val="Strong"/>
    <w:basedOn w:val="Fuentedeprrafopredeter"/>
    <w:uiPriority w:val="22"/>
    <w:qFormat/>
    <w:rsid w:val="00E80F98"/>
    <w:rPr>
      <w:b/>
      <w:bCs/>
    </w:rPr>
  </w:style>
  <w:style w:type="character" w:styleId="nfasis">
    <w:name w:val="Emphasis"/>
    <w:basedOn w:val="Fuentedeprrafopredeter"/>
    <w:uiPriority w:val="20"/>
    <w:qFormat/>
    <w:rsid w:val="00E80F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08492">
      <w:bodyDiv w:val="1"/>
      <w:marLeft w:val="0"/>
      <w:marRight w:val="0"/>
      <w:marTop w:val="0"/>
      <w:marBottom w:val="0"/>
      <w:divBdr>
        <w:top w:val="none" w:sz="0" w:space="0" w:color="auto"/>
        <w:left w:val="none" w:sz="0" w:space="0" w:color="auto"/>
        <w:bottom w:val="none" w:sz="0" w:space="0" w:color="auto"/>
        <w:right w:val="none" w:sz="0" w:space="0" w:color="auto"/>
      </w:divBdr>
      <w:divsChild>
        <w:div w:id="44912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86240">
              <w:marLeft w:val="0"/>
              <w:marRight w:val="0"/>
              <w:marTop w:val="0"/>
              <w:marBottom w:val="0"/>
              <w:divBdr>
                <w:top w:val="none" w:sz="0" w:space="0" w:color="auto"/>
                <w:left w:val="none" w:sz="0" w:space="0" w:color="auto"/>
                <w:bottom w:val="none" w:sz="0" w:space="0" w:color="auto"/>
                <w:right w:val="none" w:sz="0" w:space="0" w:color="auto"/>
              </w:divBdr>
              <w:divsChild>
                <w:div w:id="94438523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067612667">
      <w:bodyDiv w:val="1"/>
      <w:marLeft w:val="0"/>
      <w:marRight w:val="0"/>
      <w:marTop w:val="0"/>
      <w:marBottom w:val="0"/>
      <w:divBdr>
        <w:top w:val="none" w:sz="0" w:space="0" w:color="auto"/>
        <w:left w:val="none" w:sz="0" w:space="0" w:color="auto"/>
        <w:bottom w:val="none" w:sz="0" w:space="0" w:color="auto"/>
        <w:right w:val="none" w:sz="0" w:space="0" w:color="auto"/>
      </w:divBdr>
      <w:divsChild>
        <w:div w:id="235940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363491">
              <w:marLeft w:val="0"/>
              <w:marRight w:val="0"/>
              <w:marTop w:val="0"/>
              <w:marBottom w:val="0"/>
              <w:divBdr>
                <w:top w:val="none" w:sz="0" w:space="0" w:color="auto"/>
                <w:left w:val="none" w:sz="0" w:space="0" w:color="auto"/>
                <w:bottom w:val="none" w:sz="0" w:space="0" w:color="auto"/>
                <w:right w:val="none" w:sz="0" w:space="0" w:color="auto"/>
              </w:divBdr>
              <w:divsChild>
                <w:div w:id="564804327">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610576919">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providencias-consejo-de-estad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Quintero_abo@hotmail.co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amp;data=05%7C02%7Cmartha.romero%40colombiacompra.gov.co%7C315ed31c447042b59dd908dd07f079f5%7C7b09041e245149d08cb179d5e3d8c1be%7C0%7C0%7C638675451604900896%7CUnknown%7CTWFpbGZsb3d8eyJFbXB0eU1hcGkiOnRydWUsIlYiOiIwLjAuMDAwMCIsIlAiOiJXaW4zMiIsIkFOIjoiTWFpbCIsIldUIjoyfQ%3D%3D%7C0%7C%7C%7C&amp;sdata=4OynsIcDoUi0wn09UzrJ8oeVVfEtQqotlfuOBHDZvw8%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relatoria.colombiacompra.gov.c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manuales-guias-y-pliegos-tipo/manuales-y-guia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liquidacion_proceso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50EF1-95F2-4ACC-9BAB-ECDAE57A2DEF}">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8981359C-48EB-40C1-A0BB-E605AA73E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3477</Words>
  <Characters>19127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6</cp:revision>
  <cp:lastPrinted>2023-01-10T21:18:00Z</cp:lastPrinted>
  <dcterms:created xsi:type="dcterms:W3CDTF">2024-12-04T03:26:00Z</dcterms:created>
  <dcterms:modified xsi:type="dcterms:W3CDTF">2024-12-23T18:02:00Z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