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72396" w14:textId="77777777" w:rsidR="003D0433" w:rsidRPr="003D0433" w:rsidRDefault="003D0433" w:rsidP="003D0433">
      <w:pPr>
        <w:spacing w:line="276" w:lineRule="auto"/>
        <w:jc w:val="both"/>
        <w:rPr>
          <w:rFonts w:ascii="Verdana" w:eastAsia="Calibri" w:hAnsi="Verdana" w:cs="Arial"/>
          <w:b/>
        </w:rPr>
      </w:pPr>
      <w:r w:rsidRPr="003D0433">
        <w:rPr>
          <w:rFonts w:ascii="Verdana" w:eastAsia="Calibri" w:hAnsi="Verdana" w:cs="Arial"/>
          <w:b/>
        </w:rPr>
        <w:t xml:space="preserve">SUBSANABILIDAD DE LAS OFERTAS – Alcance de la regla – Ley 1882 de 2018 – Ámbito temporal – Criterio material </w:t>
      </w:r>
    </w:p>
    <w:p w14:paraId="56D46E74" w14:textId="1C16DF83" w:rsidR="003D0433" w:rsidRPr="00773D24" w:rsidRDefault="00773D24" w:rsidP="003D0433">
      <w:pPr>
        <w:spacing w:line="276" w:lineRule="auto"/>
        <w:jc w:val="both"/>
        <w:rPr>
          <w:rFonts w:ascii="Verdana" w:eastAsia="Calibri" w:hAnsi="Verdana" w:cs="Arial"/>
          <w:sz w:val="20"/>
        </w:rPr>
      </w:pPr>
      <w:r w:rsidRPr="00773D24">
        <w:rPr>
          <w:rFonts w:ascii="Verdana" w:eastAsia="Calibri" w:hAnsi="Verdana" w:cs="Arial"/>
          <w:sz w:val="20"/>
        </w:rPr>
        <w:t xml:space="preserve">En ese orden de ideas, extendiendo las anteriores consideraciones a la regla de </w:t>
      </w:r>
      <w:proofErr w:type="spellStart"/>
      <w:r w:rsidRPr="00773D24">
        <w:rPr>
          <w:rFonts w:ascii="Verdana" w:eastAsia="Calibri" w:hAnsi="Verdana" w:cs="Arial"/>
          <w:sz w:val="20"/>
        </w:rPr>
        <w:t>subsanabilidad</w:t>
      </w:r>
      <w:proofErr w:type="spellEnd"/>
      <w:r w:rsidRPr="00773D24">
        <w:rPr>
          <w:rFonts w:ascii="Verdana" w:eastAsia="Calibri" w:hAnsi="Verdana" w:cs="Arial"/>
          <w:sz w:val="20"/>
        </w:rPr>
        <w:t xml:space="preserve"> consagrada en el parágrafo 1 del artículo 5 de la Ley 1150 de 2007 –modificado por la Ley 1882 de 2018–</w:t>
      </w:r>
      <w:r w:rsidRPr="00773D24">
        <w:rPr>
          <w:rFonts w:ascii="Verdana" w:eastAsia="Calibri" w:hAnsi="Verdana" w:cs="Arial"/>
          <w:i/>
          <w:iCs/>
          <w:sz w:val="20"/>
        </w:rPr>
        <w:t>,</w:t>
      </w:r>
      <w:r w:rsidRPr="00773D24">
        <w:rPr>
          <w:rFonts w:ascii="Verdana" w:eastAsia="Calibri" w:hAnsi="Verdana" w:cs="Arial"/>
          <w:sz w:val="20"/>
        </w:rPr>
        <w:t xml:space="preserve"> en el caso de la modalidad de licitación pública, los proponentes podrán subsanar los requisitos habilitantes que sean solicitados en el informe de evaluación durante el traslado del informe de evaluación, de cinco (5) días hábiles, por lo que después de finalizado el plazo señalado y expedido el informe de evaluación definitivo, los proponentes únicamente podrán pronunciarse sobre las respuestas dadas por la Entidad Estatal a las observaciones presentadas respecto del informe de evaluación definitivo, lo cual no implica una nueva oportunidad para mejorar o modificar, es decir no podrían subsanar ningún requisito habilitante a la luz de lo señalado en el numeral 1 del artículo 2.2.1.2.1.1.2. del Decreto 1082 de 2015, vencido el término de traslado del respectivo informe de evaluación</w:t>
      </w:r>
      <w:r>
        <w:rPr>
          <w:rFonts w:ascii="Verdana" w:eastAsia="Calibri" w:hAnsi="Verdana" w:cs="Arial"/>
          <w:sz w:val="20"/>
        </w:rPr>
        <w:t>.</w:t>
      </w:r>
    </w:p>
    <w:p w14:paraId="2E73DE83" w14:textId="77777777" w:rsidR="003D0433" w:rsidRDefault="003D0433" w:rsidP="003D0433">
      <w:pPr>
        <w:spacing w:line="276" w:lineRule="auto"/>
        <w:jc w:val="both"/>
        <w:rPr>
          <w:rFonts w:ascii="Verdana" w:eastAsia="Calibri" w:hAnsi="Verdana" w:cs="Arial"/>
        </w:rPr>
      </w:pPr>
    </w:p>
    <w:p w14:paraId="49C4F4DE" w14:textId="2E9E4E61" w:rsidR="003D0433" w:rsidRPr="003D0433" w:rsidRDefault="003D0433" w:rsidP="003D0433">
      <w:pPr>
        <w:spacing w:line="276" w:lineRule="auto"/>
        <w:jc w:val="both"/>
        <w:rPr>
          <w:rFonts w:ascii="Verdana" w:eastAsia="Calibri" w:hAnsi="Verdana" w:cs="Arial"/>
          <w:b/>
          <w:lang w:val="es-ES_tradnl"/>
        </w:rPr>
      </w:pPr>
      <w:r w:rsidRPr="003D0433">
        <w:rPr>
          <w:rFonts w:ascii="Verdana" w:eastAsia="Calibri" w:hAnsi="Verdana" w:cs="Arial"/>
          <w:b/>
        </w:rPr>
        <w:t xml:space="preserve">LICITACIÓN PÚBLICA – Regla de </w:t>
      </w:r>
      <w:proofErr w:type="spellStart"/>
      <w:r w:rsidRPr="003D0433">
        <w:rPr>
          <w:rFonts w:ascii="Verdana" w:eastAsia="Calibri" w:hAnsi="Verdana" w:cs="Arial"/>
          <w:b/>
        </w:rPr>
        <w:t>subsanabilidad</w:t>
      </w:r>
      <w:proofErr w:type="spellEnd"/>
      <w:r w:rsidRPr="003D0433">
        <w:rPr>
          <w:rFonts w:ascii="Verdana" w:eastAsia="Calibri" w:hAnsi="Verdana" w:cs="Arial"/>
          <w:b/>
        </w:rPr>
        <w:t xml:space="preserve"> – Tiempo límite – Alcance normativo </w:t>
      </w:r>
    </w:p>
    <w:p w14:paraId="12ECB5E3" w14:textId="77777777" w:rsidR="00773D24" w:rsidRPr="00773D24" w:rsidRDefault="00773D24" w:rsidP="00773D24">
      <w:pPr>
        <w:spacing w:after="0"/>
        <w:jc w:val="both"/>
        <w:rPr>
          <w:rFonts w:ascii="Verdana" w:eastAsia="Calibri" w:hAnsi="Verdana" w:cs="Arial"/>
          <w:sz w:val="20"/>
        </w:rPr>
      </w:pPr>
      <w:r w:rsidRPr="00773D24">
        <w:rPr>
          <w:rFonts w:ascii="Verdana" w:eastAsia="Calibri" w:hAnsi="Verdana" w:cs="Arial"/>
          <w:sz w:val="20"/>
        </w:rPr>
        <w:t>De lo anterior se encuentra que para el proceso de licitación pública, luego del traslado al informe de evaluación durante cinco (5) días hables, en donde los proponentes pueden realizar subsanaciones y presentar observaciones respecto al informe de evaluación, la Entidad contratante procederá a expedir un informe final de los requisitos habilitantes y los requisitos ponderables diferentes a la oferta económica, el cual se puede entender como el informe de evaluación definitivo, previo a la realización de la audiencia de adjudicación de la que hace mención el numeral 10 del artículo 30 de la Ley 80 de 1993, y que se encuentra desarrollada en el artículo 2.2.1.2.1.1.2. del Decreto 1082 de 2015.</w:t>
      </w:r>
    </w:p>
    <w:p w14:paraId="4629B9AD" w14:textId="77777777" w:rsidR="003D0433" w:rsidRDefault="003D0433">
      <w:pPr>
        <w:rPr>
          <w:rFonts w:ascii="Verdana" w:eastAsia="Calibri" w:hAnsi="Verdana" w:cs="Times New Roman"/>
        </w:rPr>
      </w:pPr>
      <w:r>
        <w:rPr>
          <w:rFonts w:ascii="Verdana" w:eastAsia="Calibri" w:hAnsi="Verdana" w:cs="Times New Roman"/>
        </w:rPr>
        <w:br w:type="page"/>
      </w:r>
    </w:p>
    <w:p w14:paraId="7E03D6F6" w14:textId="4B4F1FD6" w:rsidR="000365B6" w:rsidRPr="00CC2A30" w:rsidRDefault="000365B6" w:rsidP="000365B6">
      <w:pPr>
        <w:spacing w:after="0"/>
        <w:jc w:val="both"/>
        <w:rPr>
          <w:rFonts w:ascii="Verdana" w:hAnsi="Verdana"/>
          <w:lang w:val="es-MX"/>
        </w:rPr>
      </w:pPr>
      <w:r w:rsidRPr="00CC2A30">
        <w:rPr>
          <w:rFonts w:ascii="Verdana" w:eastAsia="Calibri" w:hAnsi="Verdana" w:cs="Times New Roman"/>
        </w:rPr>
        <w:lastRenderedPageBreak/>
        <w:t xml:space="preserve">Bogotá D.C., </w:t>
      </w:r>
      <w:r w:rsidR="00417D59">
        <w:rPr>
          <w:rFonts w:ascii="Verdana" w:eastAsia="Calibri" w:hAnsi="Verdana" w:cs="Times New Roman"/>
        </w:rPr>
        <w:t>16 Diciembre 2024</w:t>
      </w:r>
    </w:p>
    <w:p w14:paraId="745A9B0B" w14:textId="619B9B3F" w:rsidR="000365B6" w:rsidRPr="00CC2A30" w:rsidRDefault="00417D59" w:rsidP="00417D59">
      <w:pPr>
        <w:spacing w:after="0"/>
        <w:jc w:val="right"/>
        <w:rPr>
          <w:rFonts w:ascii="Verdana" w:hAnsi="Verdana"/>
          <w:lang w:val="es-MX"/>
        </w:rPr>
      </w:pPr>
      <w:r w:rsidRPr="00417D59">
        <w:rPr>
          <w:rFonts w:ascii="Verdana" w:hAnsi="Verdana"/>
          <w:noProof/>
          <w:lang w:val="es-MX"/>
        </w:rPr>
        <w:drawing>
          <wp:inline distT="0" distB="0" distL="0" distR="0" wp14:anchorId="299FB168" wp14:editId="0964787D">
            <wp:extent cx="2813664" cy="8210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8557" cy="834150"/>
                    </a:xfrm>
                    <a:prstGeom prst="rect">
                      <a:avLst/>
                    </a:prstGeom>
                  </pic:spPr>
                </pic:pic>
              </a:graphicData>
            </a:graphic>
          </wp:inline>
        </w:drawing>
      </w:r>
    </w:p>
    <w:p w14:paraId="52FAE29E" w14:textId="79C59231" w:rsidR="000365B6" w:rsidRPr="00CC2A30" w:rsidRDefault="000365B6" w:rsidP="000365B6">
      <w:pPr>
        <w:spacing w:after="0"/>
        <w:jc w:val="both"/>
        <w:rPr>
          <w:rFonts w:ascii="Verdana" w:hAnsi="Verdana"/>
          <w:lang w:val="es-MX"/>
        </w:rPr>
      </w:pPr>
      <w:r w:rsidRPr="00CC2A30">
        <w:rPr>
          <w:rFonts w:ascii="Verdana" w:hAnsi="Verdana"/>
          <w:lang w:val="es-MX"/>
        </w:rPr>
        <w:t>Señor</w:t>
      </w:r>
    </w:p>
    <w:p w14:paraId="262B6A1D" w14:textId="4898E69D" w:rsidR="004B7E9E" w:rsidRDefault="00A52F22" w:rsidP="000365B6">
      <w:pPr>
        <w:spacing w:after="0"/>
        <w:jc w:val="both"/>
        <w:rPr>
          <w:rFonts w:ascii="Verdana" w:hAnsi="Verdana"/>
        </w:rPr>
      </w:pPr>
      <w:r w:rsidRPr="00A52F22">
        <w:rPr>
          <w:rFonts w:ascii="Verdana" w:hAnsi="Verdana"/>
          <w:b/>
        </w:rPr>
        <w:t xml:space="preserve">Fernando </w:t>
      </w:r>
      <w:r w:rsidR="008F57E2" w:rsidRPr="00A52F22">
        <w:rPr>
          <w:rFonts w:ascii="Verdana" w:hAnsi="Verdana"/>
          <w:b/>
        </w:rPr>
        <w:t>José</w:t>
      </w:r>
      <w:r w:rsidR="008F57E2">
        <w:rPr>
          <w:rFonts w:ascii="Verdana" w:hAnsi="Verdana"/>
          <w:b/>
        </w:rPr>
        <w:t xml:space="preserve"> </w:t>
      </w:r>
      <w:r w:rsidR="008F57E2" w:rsidRPr="008F57E2">
        <w:rPr>
          <w:rFonts w:ascii="Verdana" w:hAnsi="Verdana"/>
          <w:b/>
        </w:rPr>
        <w:t>Gutiérrez Ibáñez</w:t>
      </w:r>
      <w:r>
        <w:rPr>
          <w:rFonts w:ascii="Verdana" w:hAnsi="Verdana"/>
          <w:b/>
        </w:rPr>
        <w:tab/>
      </w:r>
      <w:r w:rsidR="000365B6" w:rsidRPr="00CC2A30">
        <w:rPr>
          <w:rFonts w:ascii="Verdana" w:hAnsi="Verdana"/>
          <w:bCs/>
        </w:rPr>
        <w:br/>
      </w:r>
      <w:hyperlink r:id="rId12" w:history="1">
        <w:r w:rsidR="003E353E" w:rsidRPr="009A311F">
          <w:rPr>
            <w:rStyle w:val="Hipervnculo"/>
            <w:rFonts w:ascii="Verdana" w:hAnsi="Verdana"/>
          </w:rPr>
          <w:t>fernandog213@hotmail.com</w:t>
        </w:r>
      </w:hyperlink>
    </w:p>
    <w:p w14:paraId="5FBF03E7" w14:textId="48F72A31" w:rsidR="000365B6" w:rsidRPr="00CC2A30" w:rsidRDefault="00231F42" w:rsidP="000365B6">
      <w:pPr>
        <w:spacing w:after="0"/>
        <w:jc w:val="both"/>
        <w:rPr>
          <w:rFonts w:ascii="Verdana" w:hAnsi="Verdana"/>
        </w:rPr>
      </w:pPr>
      <w:r>
        <w:rPr>
          <w:rFonts w:ascii="Verdana" w:hAnsi="Verdana"/>
        </w:rPr>
        <w:t>Valledupar</w:t>
      </w:r>
      <w:r w:rsidR="006D04DE">
        <w:rPr>
          <w:rFonts w:ascii="Verdana" w:hAnsi="Verdana"/>
        </w:rPr>
        <w:t>, Cesar</w:t>
      </w:r>
    </w:p>
    <w:p w14:paraId="3E05955A" w14:textId="77777777" w:rsidR="000365B6" w:rsidRPr="00CC2A30" w:rsidRDefault="000365B6" w:rsidP="000365B6">
      <w:pPr>
        <w:spacing w:after="0"/>
        <w:jc w:val="both"/>
        <w:rPr>
          <w:rFonts w:ascii="Verdana" w:hAnsi="Verdana"/>
        </w:rPr>
      </w:pPr>
    </w:p>
    <w:p w14:paraId="773F6EC4" w14:textId="7A5700CC" w:rsidR="000365B6" w:rsidRPr="00CC2A30" w:rsidRDefault="000365B6" w:rsidP="000365B6">
      <w:pPr>
        <w:spacing w:after="0" w:line="240" w:lineRule="auto"/>
        <w:ind w:left="2694"/>
        <w:jc w:val="both"/>
        <w:rPr>
          <w:rFonts w:ascii="Verdana" w:eastAsia="Calibri" w:hAnsi="Verdana" w:cs="Arial"/>
          <w:b/>
          <w:bCs/>
          <w:lang w:val="es-ES" w:eastAsia="es-ES"/>
        </w:rPr>
      </w:pPr>
      <w:r w:rsidRPr="00CC2A30">
        <w:rPr>
          <w:rFonts w:ascii="Verdana" w:eastAsia="Calibri" w:hAnsi="Verdana" w:cs="Arial"/>
          <w:b/>
          <w:bCs/>
          <w:lang w:val="es-ES" w:eastAsia="es-ES"/>
        </w:rPr>
        <w:t>Concepto C–</w:t>
      </w:r>
      <w:r w:rsidR="005B5993">
        <w:rPr>
          <w:rFonts w:ascii="Verdana" w:eastAsia="Calibri" w:hAnsi="Verdana" w:cs="Arial"/>
          <w:b/>
          <w:bCs/>
          <w:lang w:val="es-ES" w:eastAsia="es-ES"/>
        </w:rPr>
        <w:t>812</w:t>
      </w:r>
      <w:r w:rsidRPr="00CC2A30">
        <w:rPr>
          <w:rFonts w:ascii="Verdana" w:eastAsia="Calibri" w:hAnsi="Verdana" w:cs="Arial"/>
          <w:b/>
          <w:bCs/>
          <w:lang w:val="es-ES" w:eastAsia="es-ES"/>
        </w:rPr>
        <w:t xml:space="preserve"> de 2024</w:t>
      </w:r>
    </w:p>
    <w:p w14:paraId="57894392" w14:textId="77777777" w:rsidR="000365B6" w:rsidRPr="00CC2A30" w:rsidRDefault="000365B6" w:rsidP="000365B6">
      <w:pPr>
        <w:spacing w:after="0" w:line="240" w:lineRule="auto"/>
        <w:jc w:val="both"/>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gridCol w:w="6237"/>
      </w:tblGrid>
      <w:tr w:rsidR="000365B6" w:rsidRPr="00CC2A30" w14:paraId="5393F6FC" w14:textId="77777777" w:rsidTr="00FF3367">
        <w:trPr>
          <w:trHeight w:val="884"/>
        </w:trPr>
        <w:tc>
          <w:tcPr>
            <w:tcW w:w="2835" w:type="dxa"/>
            <w:hideMark/>
          </w:tcPr>
          <w:p w14:paraId="47F2274F" w14:textId="77777777" w:rsidR="000365B6" w:rsidRPr="00CC2A30" w:rsidRDefault="000365B6" w:rsidP="0039783E">
            <w:pPr>
              <w:jc w:val="both"/>
              <w:rPr>
                <w:rFonts w:ascii="Verdana" w:eastAsia="Calibri" w:hAnsi="Verdana" w:cs="Arial"/>
                <w:b/>
                <w:bCs/>
                <w:szCs w:val="24"/>
                <w:lang w:val="es-ES_tradnl" w:eastAsia="es-ES_tradnl"/>
              </w:rPr>
            </w:pPr>
            <w:r w:rsidRPr="00CC2A30">
              <w:rPr>
                <w:rFonts w:ascii="Verdana" w:eastAsia="Calibri" w:hAnsi="Verdana" w:cs="Arial"/>
                <w:b/>
                <w:bCs/>
                <w:szCs w:val="24"/>
                <w:lang w:val="es-ES_tradnl" w:eastAsia="es-ES_tradnl"/>
              </w:rPr>
              <w:t xml:space="preserve">Temas:                   </w:t>
            </w:r>
          </w:p>
        </w:tc>
        <w:tc>
          <w:tcPr>
            <w:tcW w:w="6091" w:type="dxa"/>
            <w:hideMark/>
          </w:tcPr>
          <w:p w14:paraId="3788E15F" w14:textId="051E6E89" w:rsidR="00012E8B" w:rsidRPr="004C6846" w:rsidRDefault="00012E8B" w:rsidP="00012E8B">
            <w:pPr>
              <w:spacing w:line="276" w:lineRule="auto"/>
              <w:jc w:val="both"/>
              <w:rPr>
                <w:rFonts w:ascii="Verdana" w:eastAsia="Calibri" w:hAnsi="Verdana" w:cs="Arial"/>
                <w:lang w:val="es-ES_tradnl"/>
              </w:rPr>
            </w:pPr>
            <w:r w:rsidRPr="004C6846">
              <w:rPr>
                <w:rFonts w:ascii="Verdana" w:eastAsia="Calibri" w:hAnsi="Verdana" w:cs="Arial"/>
              </w:rPr>
              <w:t>SUBSANABILIDAD DE LAS OFERTAS – Alcance de la regla – Ley 1882 de 2018</w:t>
            </w:r>
            <w:r w:rsidR="00DC356E">
              <w:rPr>
                <w:rFonts w:ascii="Verdana" w:eastAsia="Calibri" w:hAnsi="Verdana" w:cs="Arial"/>
              </w:rPr>
              <w:t xml:space="preserve"> </w:t>
            </w:r>
            <w:r w:rsidRPr="004C6846">
              <w:rPr>
                <w:rFonts w:ascii="Verdana" w:eastAsia="Calibri" w:hAnsi="Verdana" w:cs="Arial"/>
              </w:rPr>
              <w:t xml:space="preserve">– Ámbito temporal – Criterio material / </w:t>
            </w:r>
            <w:r>
              <w:rPr>
                <w:rFonts w:ascii="Verdana" w:eastAsia="Calibri" w:hAnsi="Verdana" w:cs="Arial"/>
              </w:rPr>
              <w:t>LICITACIÓN P</w:t>
            </w:r>
            <w:r w:rsidR="00F8683D">
              <w:rPr>
                <w:rFonts w:ascii="Verdana" w:eastAsia="Calibri" w:hAnsi="Verdana" w:cs="Arial"/>
              </w:rPr>
              <w:t>Ú</w:t>
            </w:r>
            <w:r>
              <w:rPr>
                <w:rFonts w:ascii="Verdana" w:eastAsia="Calibri" w:hAnsi="Verdana" w:cs="Arial"/>
              </w:rPr>
              <w:t>BLICA</w:t>
            </w:r>
            <w:r w:rsidRPr="004C6846">
              <w:rPr>
                <w:rFonts w:ascii="Verdana" w:eastAsia="Calibri" w:hAnsi="Verdana" w:cs="Arial"/>
              </w:rPr>
              <w:t xml:space="preserve"> – Regla de subsanabilidad – Tiempo límite – Alcance normativo </w:t>
            </w:r>
          </w:p>
          <w:p w14:paraId="2FDAD16D" w14:textId="3A325237" w:rsidR="000365B6" w:rsidRPr="00CC2A30" w:rsidRDefault="000365B6" w:rsidP="0039783E">
            <w:pPr>
              <w:spacing w:line="276" w:lineRule="auto"/>
              <w:jc w:val="both"/>
              <w:rPr>
                <w:rFonts w:ascii="Verdana" w:hAnsi="Verdana"/>
              </w:rPr>
            </w:pPr>
          </w:p>
        </w:tc>
        <w:tc>
          <w:tcPr>
            <w:tcW w:w="6237" w:type="dxa"/>
          </w:tcPr>
          <w:p w14:paraId="78A10043" w14:textId="77777777" w:rsidR="000365B6" w:rsidRPr="00CC2A30" w:rsidRDefault="000365B6" w:rsidP="0039783E">
            <w:pPr>
              <w:jc w:val="both"/>
              <w:rPr>
                <w:rFonts w:ascii="Verdana" w:hAnsi="Verdana" w:cs="Arial"/>
                <w:lang w:val="es-ES"/>
              </w:rPr>
            </w:pPr>
          </w:p>
        </w:tc>
      </w:tr>
      <w:tr w:rsidR="000365B6" w:rsidRPr="00CC2A30" w14:paraId="4FF1A404" w14:textId="77777777" w:rsidTr="00FF3367">
        <w:tc>
          <w:tcPr>
            <w:tcW w:w="2835" w:type="dxa"/>
            <w:hideMark/>
          </w:tcPr>
          <w:p w14:paraId="6E770A12" w14:textId="77777777" w:rsidR="000365B6" w:rsidRPr="00CC2A30" w:rsidRDefault="000365B6" w:rsidP="0039783E">
            <w:pPr>
              <w:spacing w:before="120"/>
              <w:jc w:val="both"/>
              <w:rPr>
                <w:rFonts w:ascii="Verdana" w:eastAsia="Calibri" w:hAnsi="Verdana" w:cs="Arial"/>
                <w:b/>
                <w:bCs/>
                <w:szCs w:val="24"/>
                <w:lang w:val="es-ES_tradnl" w:eastAsia="es-ES_tradnl"/>
              </w:rPr>
            </w:pPr>
            <w:r w:rsidRPr="00CC2A30">
              <w:rPr>
                <w:rFonts w:ascii="Verdana" w:eastAsia="Calibri" w:hAnsi="Verdana" w:cs="Arial"/>
                <w:b/>
                <w:bCs/>
                <w:szCs w:val="24"/>
                <w:lang w:val="es-ES_tradnl" w:eastAsia="es-ES_tradnl"/>
              </w:rPr>
              <w:t xml:space="preserve">Radicación:               </w:t>
            </w:r>
          </w:p>
        </w:tc>
        <w:tc>
          <w:tcPr>
            <w:tcW w:w="6091" w:type="dxa"/>
            <w:hideMark/>
          </w:tcPr>
          <w:p w14:paraId="67CA3D49" w14:textId="4746BA42" w:rsidR="000365B6" w:rsidRPr="00CC2A30" w:rsidRDefault="000365B6" w:rsidP="0039783E">
            <w:pPr>
              <w:spacing w:before="120" w:line="276" w:lineRule="auto"/>
              <w:jc w:val="both"/>
              <w:rPr>
                <w:rFonts w:ascii="Verdana" w:eastAsia="Calibri" w:hAnsi="Verdana" w:cs="Arial"/>
                <w:szCs w:val="24"/>
                <w:lang w:val="es-ES_tradnl" w:eastAsia="es-ES_tradnl"/>
              </w:rPr>
            </w:pPr>
            <w:r w:rsidRPr="00CC2A30">
              <w:rPr>
                <w:rFonts w:ascii="Verdana" w:eastAsia="Calibri" w:hAnsi="Verdana" w:cs="Arial"/>
                <w:szCs w:val="24"/>
                <w:lang w:val="es-ES_tradnl" w:eastAsia="es-ES_tradnl"/>
              </w:rPr>
              <w:t>Respuesta a consulta</w:t>
            </w:r>
            <w:r w:rsidR="007F0342">
              <w:rPr>
                <w:rFonts w:ascii="Verdana" w:eastAsia="Calibri" w:hAnsi="Verdana" w:cs="Arial"/>
                <w:szCs w:val="24"/>
                <w:lang w:val="es-ES_tradnl" w:eastAsia="es-ES_tradnl"/>
              </w:rPr>
              <w:t>s</w:t>
            </w:r>
            <w:r w:rsidRPr="00CC2A30">
              <w:rPr>
                <w:rFonts w:ascii="Verdana" w:eastAsia="Calibri" w:hAnsi="Verdana" w:cs="Arial"/>
                <w:szCs w:val="24"/>
                <w:lang w:val="es-ES_tradnl" w:eastAsia="es-ES_tradnl"/>
              </w:rPr>
              <w:t xml:space="preserve"> con radicado</w:t>
            </w:r>
            <w:r w:rsidR="007F0342">
              <w:rPr>
                <w:rFonts w:ascii="Verdana" w:eastAsia="Calibri" w:hAnsi="Verdana" w:cs="Arial"/>
                <w:szCs w:val="24"/>
                <w:lang w:val="es-ES_tradnl" w:eastAsia="es-ES_tradnl"/>
              </w:rPr>
              <w:t>s</w:t>
            </w:r>
            <w:r w:rsidRPr="00CC2A30">
              <w:rPr>
                <w:rFonts w:ascii="Verdana" w:eastAsia="Calibri" w:hAnsi="Verdana" w:cs="Arial"/>
                <w:szCs w:val="24"/>
                <w:lang w:val="es-ES_tradnl" w:eastAsia="es-ES_tradnl"/>
              </w:rPr>
              <w:t xml:space="preserve"> No. </w:t>
            </w:r>
            <w:r w:rsidR="00060E3D" w:rsidRPr="00060E3D">
              <w:rPr>
                <w:rFonts w:ascii="Verdana" w:eastAsia="Calibri" w:hAnsi="Verdana" w:cs="Arial"/>
                <w:szCs w:val="24"/>
                <w:lang w:eastAsia="es-ES_tradnl"/>
              </w:rPr>
              <w:t>P20241102011109</w:t>
            </w:r>
            <w:r w:rsidR="00B55E69">
              <w:rPr>
                <w:rFonts w:ascii="Verdana" w:eastAsia="Calibri" w:hAnsi="Verdana" w:cs="Arial"/>
                <w:szCs w:val="24"/>
                <w:lang w:eastAsia="es-ES_tradnl"/>
              </w:rPr>
              <w:t xml:space="preserve">, </w:t>
            </w:r>
            <w:r w:rsidR="008B318E" w:rsidRPr="008B318E">
              <w:rPr>
                <w:rFonts w:ascii="Verdana" w:eastAsia="Calibri" w:hAnsi="Verdana" w:cs="Arial"/>
                <w:szCs w:val="24"/>
                <w:lang w:eastAsia="es-ES_tradnl"/>
              </w:rPr>
              <w:t>P20241102011110</w:t>
            </w:r>
            <w:r w:rsidR="008B318E">
              <w:rPr>
                <w:rFonts w:ascii="Verdana" w:eastAsia="Calibri" w:hAnsi="Verdana" w:cs="Arial"/>
                <w:szCs w:val="24"/>
                <w:lang w:eastAsia="es-ES_tradnl"/>
              </w:rPr>
              <w:t xml:space="preserve"> y </w:t>
            </w:r>
            <w:r w:rsidR="00C37DB2" w:rsidRPr="00C37DB2">
              <w:rPr>
                <w:rFonts w:ascii="Verdana" w:eastAsia="Calibri" w:hAnsi="Verdana" w:cs="Arial"/>
                <w:szCs w:val="24"/>
                <w:lang w:eastAsia="es-ES_tradnl"/>
              </w:rPr>
              <w:t>P20241102011111</w:t>
            </w:r>
          </w:p>
        </w:tc>
        <w:tc>
          <w:tcPr>
            <w:tcW w:w="6237" w:type="dxa"/>
          </w:tcPr>
          <w:p w14:paraId="549E1753" w14:textId="77777777" w:rsidR="000365B6" w:rsidRPr="00CC2A30" w:rsidRDefault="000365B6" w:rsidP="0039783E">
            <w:pPr>
              <w:spacing w:before="120"/>
              <w:jc w:val="both"/>
              <w:rPr>
                <w:rFonts w:ascii="Verdana" w:eastAsia="Calibri" w:hAnsi="Verdana" w:cs="Arial"/>
                <w:szCs w:val="24"/>
                <w:lang w:val="es-ES_tradnl" w:eastAsia="es-ES_tradnl"/>
              </w:rPr>
            </w:pPr>
          </w:p>
        </w:tc>
      </w:tr>
    </w:tbl>
    <w:p w14:paraId="042E17A1" w14:textId="77777777" w:rsidR="000365B6" w:rsidRPr="00CC2A30" w:rsidRDefault="000365B6" w:rsidP="000365B6">
      <w:pPr>
        <w:spacing w:after="0" w:line="240" w:lineRule="auto"/>
        <w:jc w:val="both"/>
        <w:rPr>
          <w:rFonts w:ascii="Verdana" w:eastAsia="Calibri" w:hAnsi="Verdana" w:cs="Arial"/>
          <w:szCs w:val="24"/>
          <w:lang w:val="es-ES_tradnl" w:eastAsia="es-ES_tradnl"/>
        </w:rPr>
      </w:pPr>
    </w:p>
    <w:p w14:paraId="774D3DB9" w14:textId="1FD963B3" w:rsidR="000365B6" w:rsidRPr="00CC2A30" w:rsidRDefault="00EA4271" w:rsidP="000365B6">
      <w:pPr>
        <w:spacing w:after="0" w:line="240" w:lineRule="auto"/>
        <w:jc w:val="both"/>
        <w:rPr>
          <w:rFonts w:ascii="Verdana" w:eastAsia="Calibri" w:hAnsi="Verdana" w:cs="Arial"/>
          <w:lang w:val="es-ES" w:eastAsia="es-ES"/>
        </w:rPr>
      </w:pPr>
      <w:r>
        <w:rPr>
          <w:rFonts w:ascii="Verdana" w:eastAsia="Calibri" w:hAnsi="Verdana" w:cs="Arial"/>
          <w:lang w:val="es-ES" w:eastAsia="es-ES"/>
        </w:rPr>
        <w:t>Estimado Fernando José</w:t>
      </w:r>
      <w:r w:rsidR="000365B6" w:rsidRPr="00CC2A30">
        <w:rPr>
          <w:rFonts w:ascii="Verdana" w:eastAsia="Calibri" w:hAnsi="Verdana" w:cs="Arial"/>
          <w:lang w:val="es-ES" w:eastAsia="es-ES"/>
        </w:rPr>
        <w:t xml:space="preserve">: </w:t>
      </w:r>
    </w:p>
    <w:p w14:paraId="6945D1EC" w14:textId="77777777" w:rsidR="000365B6" w:rsidRPr="00CC2A30" w:rsidRDefault="000365B6" w:rsidP="000365B6">
      <w:pPr>
        <w:spacing w:after="0" w:line="240" w:lineRule="auto"/>
        <w:jc w:val="both"/>
        <w:rPr>
          <w:rFonts w:ascii="Verdana" w:eastAsia="Calibri" w:hAnsi="Verdana" w:cs="Arial"/>
          <w:lang w:val="es-ES" w:eastAsia="es-ES"/>
        </w:rPr>
      </w:pPr>
    </w:p>
    <w:p w14:paraId="36934458" w14:textId="35AE9B7B" w:rsidR="000365B6" w:rsidRPr="00CC2A30" w:rsidRDefault="000365B6" w:rsidP="000365B6">
      <w:pPr>
        <w:spacing w:after="120" w:line="276" w:lineRule="auto"/>
        <w:jc w:val="both"/>
        <w:rPr>
          <w:rFonts w:ascii="Verdana" w:eastAsia="Calibri" w:hAnsi="Verdana" w:cs="Arial"/>
          <w:lang w:val="es-ES" w:eastAsia="es-ES"/>
        </w:rPr>
      </w:pPr>
      <w:r w:rsidRPr="00CC2A30">
        <w:rPr>
          <w:rFonts w:ascii="Verdana" w:eastAsia="Calibri" w:hAnsi="Verdana" w:cs="Arial"/>
          <w:lang w:val="es-ES" w:eastAsia="es-ES"/>
        </w:rPr>
        <w:t>En ejercicio de la competencia otorgada por los artículos 3, numeral 5º, y 11, numeral 8º, del Decreto Ley 4170 de 2011,</w:t>
      </w:r>
      <w:r w:rsidRPr="00CC2A30">
        <w:rPr>
          <w:rFonts w:ascii="Verdana" w:eastAsia="Arial MT" w:hAnsi="Verdana" w:cs="Arial MT"/>
          <w:lang w:val="es-ES" w:eastAsia="es-ES"/>
        </w:rPr>
        <w:t xml:space="preserve"> </w:t>
      </w:r>
      <w:r w:rsidRPr="00CC2A30">
        <w:rPr>
          <w:rFonts w:ascii="Verdana" w:eastAsia="Calibri" w:hAnsi="Verdana" w:cs="Arial"/>
          <w:lang w:val="es-ES" w:eastAsia="es-ES"/>
        </w:rPr>
        <w:t>la Agencia Nacional de Contratación Pública – Colombia Compra Eficiente– responde la</w:t>
      </w:r>
      <w:r w:rsidR="00122DEE">
        <w:rPr>
          <w:rFonts w:ascii="Verdana" w:eastAsia="Calibri" w:hAnsi="Verdana" w:cs="Arial"/>
          <w:lang w:val="es-ES" w:eastAsia="es-ES"/>
        </w:rPr>
        <w:t>s</w:t>
      </w:r>
      <w:r w:rsidRPr="00CC2A30">
        <w:rPr>
          <w:rFonts w:ascii="Verdana" w:eastAsia="Calibri" w:hAnsi="Verdana" w:cs="Arial"/>
          <w:lang w:val="es-ES" w:eastAsia="es-ES"/>
        </w:rPr>
        <w:t xml:space="preserve"> solicitud</w:t>
      </w:r>
      <w:r w:rsidR="00122DEE">
        <w:rPr>
          <w:rFonts w:ascii="Verdana" w:eastAsia="Calibri" w:hAnsi="Verdana" w:cs="Arial"/>
          <w:lang w:val="es-ES" w:eastAsia="es-ES"/>
        </w:rPr>
        <w:t>es</w:t>
      </w:r>
      <w:r w:rsidRPr="00CC2A30">
        <w:rPr>
          <w:rFonts w:ascii="Verdana" w:eastAsia="Calibri" w:hAnsi="Verdana" w:cs="Arial"/>
          <w:lang w:val="es-ES" w:eastAsia="es-ES"/>
        </w:rPr>
        <w:t xml:space="preserve"> de consulta del </w:t>
      </w:r>
      <w:r w:rsidR="001162CA">
        <w:rPr>
          <w:rFonts w:ascii="Verdana" w:eastAsia="Calibri" w:hAnsi="Verdana" w:cs="Arial"/>
          <w:lang w:val="es-ES" w:eastAsia="es-ES"/>
        </w:rPr>
        <w:t>02</w:t>
      </w:r>
      <w:r w:rsidRPr="00CC2A30">
        <w:rPr>
          <w:rFonts w:ascii="Verdana" w:eastAsia="Calibri" w:hAnsi="Verdana" w:cs="Arial"/>
          <w:lang w:val="es-ES" w:eastAsia="es-ES"/>
        </w:rPr>
        <w:t xml:space="preserve"> de </w:t>
      </w:r>
      <w:r w:rsidR="001162CA">
        <w:rPr>
          <w:rFonts w:ascii="Verdana" w:eastAsia="Calibri" w:hAnsi="Verdana" w:cs="Arial"/>
          <w:lang w:val="es-ES" w:eastAsia="es-ES"/>
        </w:rPr>
        <w:t>noviembre</w:t>
      </w:r>
      <w:r w:rsidRPr="00CC2A30">
        <w:rPr>
          <w:rFonts w:ascii="Verdana" w:eastAsia="Calibri" w:hAnsi="Verdana" w:cs="Arial"/>
          <w:lang w:val="es-ES" w:eastAsia="es-ES"/>
        </w:rPr>
        <w:t xml:space="preserve"> de 2024. En la</w:t>
      </w:r>
      <w:r w:rsidR="00122DEE">
        <w:rPr>
          <w:rFonts w:ascii="Verdana" w:eastAsia="Calibri" w:hAnsi="Verdana" w:cs="Arial"/>
          <w:lang w:val="es-ES" w:eastAsia="es-ES"/>
        </w:rPr>
        <w:t>s</w:t>
      </w:r>
      <w:r w:rsidRPr="00CC2A30">
        <w:rPr>
          <w:rFonts w:ascii="Verdana" w:eastAsia="Calibri" w:hAnsi="Verdana" w:cs="Arial"/>
          <w:lang w:val="es-ES" w:eastAsia="es-ES"/>
        </w:rPr>
        <w:t xml:space="preserve"> cual</w:t>
      </w:r>
      <w:r w:rsidR="00122DEE">
        <w:rPr>
          <w:rFonts w:ascii="Verdana" w:eastAsia="Calibri" w:hAnsi="Verdana" w:cs="Arial"/>
          <w:lang w:val="es-ES" w:eastAsia="es-ES"/>
        </w:rPr>
        <w:t>es</w:t>
      </w:r>
      <w:r w:rsidRPr="00CC2A30">
        <w:rPr>
          <w:rFonts w:ascii="Verdana" w:eastAsia="Calibri" w:hAnsi="Verdana" w:cs="Arial"/>
          <w:lang w:val="es-ES" w:eastAsia="es-ES"/>
        </w:rPr>
        <w:t xml:space="preserve"> manifiesta lo siguiente:</w:t>
      </w:r>
    </w:p>
    <w:p w14:paraId="341D4773" w14:textId="77777777" w:rsidR="00E53867" w:rsidRDefault="00E53867" w:rsidP="000365B6">
      <w:pPr>
        <w:spacing w:after="0" w:line="240" w:lineRule="auto"/>
        <w:ind w:left="709" w:right="709"/>
        <w:jc w:val="both"/>
        <w:rPr>
          <w:rFonts w:ascii="Verdana" w:eastAsia="Calibri" w:hAnsi="Verdana" w:cs="Arial"/>
          <w:sz w:val="20"/>
          <w:szCs w:val="20"/>
          <w:lang w:val="es-ES" w:eastAsia="es-ES"/>
        </w:rPr>
      </w:pPr>
    </w:p>
    <w:p w14:paraId="6C6A0CA6" w14:textId="5D527DC2" w:rsidR="00E53867" w:rsidRDefault="00E53867" w:rsidP="00E53867">
      <w:pPr>
        <w:spacing w:after="0" w:line="240" w:lineRule="auto"/>
        <w:ind w:right="709"/>
        <w:jc w:val="both"/>
        <w:rPr>
          <w:rFonts w:ascii="Verdana" w:eastAsia="Calibri" w:hAnsi="Verdana" w:cs="Arial"/>
          <w:szCs w:val="24"/>
          <w:lang w:eastAsia="es-ES_tradnl"/>
        </w:rPr>
      </w:pPr>
      <w:r>
        <w:rPr>
          <w:rFonts w:ascii="Verdana" w:eastAsia="Calibri" w:hAnsi="Verdana" w:cs="Arial"/>
          <w:sz w:val="20"/>
          <w:szCs w:val="20"/>
          <w:lang w:val="es-ES" w:eastAsia="es-ES"/>
        </w:rPr>
        <w:tab/>
        <w:t xml:space="preserve">Radicado </w:t>
      </w:r>
      <w:r w:rsidRPr="00060E3D">
        <w:rPr>
          <w:rFonts w:ascii="Verdana" w:eastAsia="Calibri" w:hAnsi="Verdana" w:cs="Arial"/>
          <w:szCs w:val="24"/>
          <w:lang w:eastAsia="es-ES_tradnl"/>
        </w:rPr>
        <w:t>P20241102011109</w:t>
      </w:r>
    </w:p>
    <w:p w14:paraId="52C48A79" w14:textId="77777777" w:rsidR="00E53867" w:rsidRDefault="00E53867" w:rsidP="00E53867">
      <w:pPr>
        <w:spacing w:after="0" w:line="240" w:lineRule="auto"/>
        <w:ind w:right="709"/>
        <w:jc w:val="both"/>
        <w:rPr>
          <w:rFonts w:ascii="Verdana" w:eastAsia="Calibri" w:hAnsi="Verdana" w:cs="Arial"/>
          <w:sz w:val="20"/>
          <w:szCs w:val="20"/>
          <w:lang w:val="es-ES" w:eastAsia="es-ES"/>
        </w:rPr>
      </w:pPr>
    </w:p>
    <w:p w14:paraId="4AB1B63D" w14:textId="624AD8BF" w:rsidR="000365B6" w:rsidRPr="00CC2A30" w:rsidRDefault="000365B6" w:rsidP="000365B6">
      <w:pPr>
        <w:spacing w:after="0" w:line="240" w:lineRule="auto"/>
        <w:ind w:left="709" w:right="709"/>
        <w:jc w:val="both"/>
        <w:rPr>
          <w:rFonts w:ascii="Verdana" w:hAnsi="Verdana"/>
          <w:sz w:val="20"/>
          <w:szCs w:val="20"/>
        </w:rPr>
      </w:pPr>
      <w:r w:rsidRPr="00CC2A30">
        <w:rPr>
          <w:rFonts w:ascii="Verdana" w:eastAsia="Calibri" w:hAnsi="Verdana" w:cs="Arial"/>
          <w:sz w:val="20"/>
          <w:szCs w:val="20"/>
          <w:lang w:val="es-ES" w:eastAsia="es-ES"/>
        </w:rPr>
        <w:t>“(…)</w:t>
      </w:r>
    </w:p>
    <w:p w14:paraId="7EAAA795" w14:textId="3FBF99D8" w:rsidR="001162CA" w:rsidRDefault="00F44020" w:rsidP="000365B6">
      <w:pPr>
        <w:spacing w:after="0" w:line="240" w:lineRule="auto"/>
        <w:ind w:left="709" w:right="709"/>
        <w:jc w:val="both"/>
        <w:rPr>
          <w:rFonts w:ascii="Verdana" w:hAnsi="Verdana"/>
          <w:sz w:val="20"/>
          <w:szCs w:val="20"/>
        </w:rPr>
      </w:pPr>
      <w:r w:rsidRPr="00F44020">
        <w:rPr>
          <w:rFonts w:ascii="Verdana" w:hAnsi="Verdana"/>
          <w:sz w:val="20"/>
          <w:szCs w:val="20"/>
        </w:rPr>
        <w:t xml:space="preserve">después de finalizado el término del traslado del informe preliminar de evaluación en una licitación </w:t>
      </w:r>
      <w:r w:rsidR="006B6B2D" w:rsidRPr="00F44020">
        <w:rPr>
          <w:rFonts w:ascii="Verdana" w:hAnsi="Verdana"/>
          <w:sz w:val="20"/>
          <w:szCs w:val="20"/>
        </w:rPr>
        <w:t>pública</w:t>
      </w:r>
      <w:r w:rsidRPr="00F44020">
        <w:rPr>
          <w:rFonts w:ascii="Verdana" w:hAnsi="Verdana"/>
          <w:sz w:val="20"/>
          <w:szCs w:val="20"/>
        </w:rPr>
        <w:t xml:space="preserve"> los oferentes pueden presentar documentos para subsanar lo allí observado en caso tal seria </w:t>
      </w:r>
      <w:r w:rsidR="0027250B" w:rsidRPr="00F44020">
        <w:rPr>
          <w:rFonts w:ascii="Verdana" w:hAnsi="Verdana"/>
          <w:sz w:val="20"/>
          <w:szCs w:val="20"/>
        </w:rPr>
        <w:t>subsanación</w:t>
      </w:r>
      <w:r w:rsidRPr="00F44020">
        <w:rPr>
          <w:rFonts w:ascii="Verdana" w:hAnsi="Verdana"/>
          <w:sz w:val="20"/>
          <w:szCs w:val="20"/>
        </w:rPr>
        <w:t xml:space="preserve"> </w:t>
      </w:r>
      <w:r w:rsidR="0027250B" w:rsidRPr="00F44020">
        <w:rPr>
          <w:rFonts w:ascii="Verdana" w:hAnsi="Verdana"/>
          <w:sz w:val="20"/>
          <w:szCs w:val="20"/>
        </w:rPr>
        <w:t>extemporánea</w:t>
      </w:r>
      <w:r w:rsidRPr="00F44020">
        <w:rPr>
          <w:rFonts w:ascii="Verdana" w:hAnsi="Verdana"/>
          <w:sz w:val="20"/>
          <w:szCs w:val="20"/>
        </w:rPr>
        <w:t xml:space="preserve">, a su vez </w:t>
      </w:r>
      <w:r w:rsidR="0027250B" w:rsidRPr="00F44020">
        <w:rPr>
          <w:rFonts w:ascii="Verdana" w:hAnsi="Verdana"/>
          <w:sz w:val="20"/>
          <w:szCs w:val="20"/>
        </w:rPr>
        <w:t>después</w:t>
      </w:r>
      <w:r w:rsidRPr="00F44020">
        <w:rPr>
          <w:rFonts w:ascii="Verdana" w:hAnsi="Verdana"/>
          <w:sz w:val="20"/>
          <w:szCs w:val="20"/>
        </w:rPr>
        <w:t xml:space="preserve"> de publicado el informe definitivo pueden presentar </w:t>
      </w:r>
      <w:r w:rsidR="0027250B" w:rsidRPr="00F44020">
        <w:rPr>
          <w:rFonts w:ascii="Verdana" w:hAnsi="Verdana"/>
          <w:sz w:val="20"/>
          <w:szCs w:val="20"/>
        </w:rPr>
        <w:t>documentación</w:t>
      </w:r>
      <w:r w:rsidRPr="00F44020">
        <w:rPr>
          <w:rFonts w:ascii="Verdana" w:hAnsi="Verdana"/>
          <w:sz w:val="20"/>
          <w:szCs w:val="20"/>
        </w:rPr>
        <w:t xml:space="preserve"> subsanado o aportando nueva </w:t>
      </w:r>
      <w:r w:rsidR="0027250B" w:rsidRPr="00F44020">
        <w:rPr>
          <w:rFonts w:ascii="Verdana" w:hAnsi="Verdana"/>
          <w:sz w:val="20"/>
          <w:szCs w:val="20"/>
        </w:rPr>
        <w:t>documentación</w:t>
      </w:r>
      <w:r w:rsidRPr="00F44020">
        <w:rPr>
          <w:rFonts w:ascii="Verdana" w:hAnsi="Verdana"/>
          <w:sz w:val="20"/>
          <w:szCs w:val="20"/>
        </w:rPr>
        <w:t>:</w:t>
      </w:r>
    </w:p>
    <w:p w14:paraId="5B2DA071" w14:textId="39048D39" w:rsidR="000365B6" w:rsidRPr="00CC2A30" w:rsidRDefault="000365B6" w:rsidP="000365B6">
      <w:pPr>
        <w:spacing w:after="0" w:line="240" w:lineRule="auto"/>
        <w:ind w:left="709" w:right="709"/>
        <w:jc w:val="both"/>
        <w:rPr>
          <w:rFonts w:ascii="Verdana" w:hAnsi="Verdana"/>
          <w:sz w:val="20"/>
          <w:szCs w:val="20"/>
        </w:rPr>
      </w:pPr>
      <w:r w:rsidRPr="00CC2A30">
        <w:rPr>
          <w:rFonts w:ascii="Verdana" w:hAnsi="Verdana"/>
          <w:sz w:val="20"/>
          <w:szCs w:val="20"/>
        </w:rPr>
        <w:t>(…)”</w:t>
      </w:r>
    </w:p>
    <w:p w14:paraId="0071042B" w14:textId="77777777" w:rsidR="000365B6" w:rsidRDefault="000365B6" w:rsidP="000365B6">
      <w:pPr>
        <w:spacing w:after="0" w:line="240" w:lineRule="auto"/>
        <w:ind w:left="709" w:right="709"/>
        <w:jc w:val="both"/>
        <w:rPr>
          <w:rFonts w:ascii="Verdana" w:eastAsia="Calibri" w:hAnsi="Verdana" w:cs="Arial"/>
          <w:sz w:val="20"/>
          <w:szCs w:val="20"/>
          <w:lang w:val="es-ES" w:eastAsia="es-ES"/>
        </w:rPr>
      </w:pPr>
    </w:p>
    <w:p w14:paraId="750495E9" w14:textId="2616FB8B" w:rsidR="00E53867" w:rsidRDefault="00E53867" w:rsidP="000365B6">
      <w:pPr>
        <w:spacing w:after="0" w:line="240" w:lineRule="auto"/>
        <w:ind w:left="709" w:right="709"/>
        <w:jc w:val="both"/>
        <w:rPr>
          <w:rFonts w:ascii="Verdana" w:eastAsia="Calibri" w:hAnsi="Verdana" w:cs="Arial"/>
          <w:sz w:val="20"/>
          <w:szCs w:val="20"/>
          <w:lang w:val="es-ES" w:eastAsia="es-ES"/>
        </w:rPr>
      </w:pPr>
      <w:r>
        <w:rPr>
          <w:rFonts w:ascii="Verdana" w:eastAsia="Calibri" w:hAnsi="Verdana" w:cs="Arial"/>
          <w:sz w:val="20"/>
          <w:szCs w:val="20"/>
          <w:lang w:val="es-ES" w:eastAsia="es-ES"/>
        </w:rPr>
        <w:t xml:space="preserve">Radicado </w:t>
      </w:r>
      <w:r w:rsidRPr="008B318E">
        <w:rPr>
          <w:rFonts w:ascii="Verdana" w:eastAsia="Calibri" w:hAnsi="Verdana" w:cs="Arial"/>
          <w:szCs w:val="24"/>
          <w:lang w:eastAsia="es-ES_tradnl"/>
        </w:rPr>
        <w:t>P20241102011110</w:t>
      </w:r>
    </w:p>
    <w:p w14:paraId="24B98F29" w14:textId="13388AAE" w:rsidR="00B55E69" w:rsidRDefault="00F36065" w:rsidP="000365B6">
      <w:pPr>
        <w:spacing w:after="0" w:line="240" w:lineRule="auto"/>
        <w:ind w:left="709" w:right="709"/>
        <w:jc w:val="both"/>
        <w:rPr>
          <w:rFonts w:ascii="Verdana" w:eastAsia="Calibri" w:hAnsi="Verdana" w:cs="Arial"/>
          <w:sz w:val="20"/>
          <w:szCs w:val="20"/>
          <w:lang w:val="es-ES" w:eastAsia="es-ES"/>
        </w:rPr>
      </w:pPr>
      <w:r>
        <w:rPr>
          <w:rFonts w:ascii="Verdana" w:eastAsia="Calibri" w:hAnsi="Verdana" w:cs="Arial"/>
          <w:sz w:val="20"/>
          <w:szCs w:val="20"/>
          <w:lang w:val="es-ES" w:eastAsia="es-ES"/>
        </w:rPr>
        <w:t>“</w:t>
      </w:r>
      <w:r w:rsidR="00F63FB1">
        <w:rPr>
          <w:rFonts w:ascii="Verdana" w:eastAsia="Calibri" w:hAnsi="Verdana" w:cs="Arial"/>
          <w:sz w:val="20"/>
          <w:szCs w:val="20"/>
          <w:lang w:val="es-ES" w:eastAsia="es-ES"/>
        </w:rPr>
        <w:t>(…)</w:t>
      </w:r>
    </w:p>
    <w:p w14:paraId="0682871F" w14:textId="2CDC4FC4" w:rsidR="00F63FB1" w:rsidRPr="00F63FB1" w:rsidRDefault="00F63FB1" w:rsidP="000365B6">
      <w:pPr>
        <w:spacing w:after="0" w:line="240" w:lineRule="auto"/>
        <w:ind w:left="709" w:right="709"/>
        <w:jc w:val="both"/>
        <w:rPr>
          <w:rFonts w:ascii="Verdana" w:hAnsi="Verdana"/>
          <w:sz w:val="20"/>
          <w:szCs w:val="20"/>
        </w:rPr>
      </w:pPr>
      <w:r w:rsidRPr="00F63FB1">
        <w:rPr>
          <w:rFonts w:ascii="Verdana" w:hAnsi="Verdana"/>
          <w:sz w:val="20"/>
          <w:szCs w:val="20"/>
        </w:rPr>
        <w:lastRenderedPageBreak/>
        <w:t xml:space="preserve">una vez </w:t>
      </w:r>
      <w:proofErr w:type="spellStart"/>
      <w:r w:rsidRPr="00F63FB1">
        <w:rPr>
          <w:rFonts w:ascii="Verdana" w:hAnsi="Verdana"/>
          <w:sz w:val="20"/>
          <w:szCs w:val="20"/>
        </w:rPr>
        <w:t>venciso</w:t>
      </w:r>
      <w:proofErr w:type="spellEnd"/>
      <w:r w:rsidRPr="00F63FB1">
        <w:rPr>
          <w:rFonts w:ascii="Verdana" w:hAnsi="Verdana"/>
          <w:sz w:val="20"/>
          <w:szCs w:val="20"/>
        </w:rPr>
        <w:t xml:space="preserve"> el </w:t>
      </w:r>
      <w:proofErr w:type="spellStart"/>
      <w:r w:rsidRPr="00F63FB1">
        <w:rPr>
          <w:rFonts w:ascii="Verdana" w:hAnsi="Verdana"/>
          <w:sz w:val="20"/>
          <w:szCs w:val="20"/>
        </w:rPr>
        <w:t>termino</w:t>
      </w:r>
      <w:proofErr w:type="spellEnd"/>
      <w:r w:rsidRPr="00F63FB1">
        <w:rPr>
          <w:rFonts w:ascii="Verdana" w:hAnsi="Verdana"/>
          <w:sz w:val="20"/>
          <w:szCs w:val="20"/>
        </w:rPr>
        <w:t xml:space="preserve"> del traslado del informe evaluador se pueden presentar observaciones o serian </w:t>
      </w:r>
      <w:proofErr w:type="spellStart"/>
      <w:r w:rsidRPr="00F63FB1">
        <w:rPr>
          <w:rFonts w:ascii="Verdana" w:hAnsi="Verdana"/>
          <w:sz w:val="20"/>
          <w:szCs w:val="20"/>
        </w:rPr>
        <w:t>extemporaneas</w:t>
      </w:r>
      <w:proofErr w:type="spellEnd"/>
      <w:r w:rsidRPr="00F63FB1">
        <w:rPr>
          <w:rFonts w:ascii="Verdana" w:hAnsi="Verdana"/>
          <w:sz w:val="20"/>
          <w:szCs w:val="20"/>
        </w:rPr>
        <w:t xml:space="preserve"> y si se publica el informe evaluador definitivo se pueden presentar nuevas observaciones a este siendo ya </w:t>
      </w:r>
      <w:proofErr w:type="spellStart"/>
      <w:r w:rsidRPr="00F63FB1">
        <w:rPr>
          <w:rFonts w:ascii="Verdana" w:hAnsi="Verdana"/>
          <w:sz w:val="20"/>
          <w:szCs w:val="20"/>
        </w:rPr>
        <w:t>ya</w:t>
      </w:r>
      <w:proofErr w:type="spellEnd"/>
      <w:r w:rsidRPr="00F63FB1">
        <w:rPr>
          <w:rFonts w:ascii="Verdana" w:hAnsi="Verdana"/>
          <w:sz w:val="20"/>
          <w:szCs w:val="20"/>
        </w:rPr>
        <w:t xml:space="preserve"> finalizo la etapa</w:t>
      </w:r>
    </w:p>
    <w:p w14:paraId="46CE3911" w14:textId="395E2B66" w:rsidR="00B55E69" w:rsidRDefault="00F63FB1" w:rsidP="000365B6">
      <w:pPr>
        <w:spacing w:after="0" w:line="240" w:lineRule="auto"/>
        <w:ind w:left="709" w:right="709"/>
        <w:jc w:val="both"/>
        <w:rPr>
          <w:rFonts w:ascii="Verdana" w:eastAsia="Calibri" w:hAnsi="Verdana" w:cs="Arial"/>
          <w:sz w:val="20"/>
          <w:szCs w:val="20"/>
          <w:lang w:val="es-ES" w:eastAsia="es-ES"/>
        </w:rPr>
      </w:pPr>
      <w:r>
        <w:rPr>
          <w:rFonts w:ascii="Verdana" w:eastAsia="Calibri" w:hAnsi="Verdana" w:cs="Arial"/>
          <w:sz w:val="20"/>
          <w:szCs w:val="20"/>
          <w:lang w:val="es-ES" w:eastAsia="es-ES"/>
        </w:rPr>
        <w:t>(…)”</w:t>
      </w:r>
    </w:p>
    <w:p w14:paraId="7331A412" w14:textId="04A4723B" w:rsidR="00C2223A" w:rsidRDefault="00E53867" w:rsidP="000365B6">
      <w:pPr>
        <w:spacing w:after="0" w:line="240" w:lineRule="auto"/>
        <w:ind w:left="709" w:right="709"/>
        <w:jc w:val="both"/>
        <w:rPr>
          <w:rFonts w:ascii="Verdana" w:eastAsia="Calibri" w:hAnsi="Verdana" w:cs="Arial"/>
          <w:sz w:val="20"/>
          <w:szCs w:val="20"/>
          <w:lang w:val="es-ES" w:eastAsia="es-ES"/>
        </w:rPr>
      </w:pPr>
      <w:r>
        <w:rPr>
          <w:rFonts w:ascii="Verdana" w:eastAsia="Calibri" w:hAnsi="Verdana" w:cs="Arial"/>
          <w:szCs w:val="24"/>
          <w:lang w:eastAsia="es-ES_tradnl"/>
        </w:rPr>
        <w:t xml:space="preserve">Radicado </w:t>
      </w:r>
      <w:r w:rsidRPr="00C37DB2">
        <w:rPr>
          <w:rFonts w:ascii="Verdana" w:eastAsia="Calibri" w:hAnsi="Verdana" w:cs="Arial"/>
          <w:szCs w:val="24"/>
          <w:lang w:eastAsia="es-ES_tradnl"/>
        </w:rPr>
        <w:t>P20241102011111</w:t>
      </w:r>
    </w:p>
    <w:p w14:paraId="395C4D14" w14:textId="533F9E80" w:rsidR="00C2223A" w:rsidRDefault="00505820" w:rsidP="000365B6">
      <w:pPr>
        <w:spacing w:after="0" w:line="240" w:lineRule="auto"/>
        <w:ind w:left="709" w:right="709"/>
        <w:jc w:val="both"/>
        <w:rPr>
          <w:rFonts w:ascii="Verdana" w:eastAsia="Calibri" w:hAnsi="Verdana" w:cs="Arial"/>
          <w:sz w:val="20"/>
          <w:szCs w:val="20"/>
          <w:lang w:val="es-ES" w:eastAsia="es-ES"/>
        </w:rPr>
      </w:pPr>
      <w:r>
        <w:rPr>
          <w:rFonts w:ascii="Verdana" w:eastAsia="Calibri" w:hAnsi="Verdana" w:cs="Arial"/>
          <w:sz w:val="20"/>
          <w:szCs w:val="20"/>
          <w:lang w:val="es-ES" w:eastAsia="es-ES"/>
        </w:rPr>
        <w:t xml:space="preserve">“(…) </w:t>
      </w:r>
    </w:p>
    <w:p w14:paraId="5BD9079F" w14:textId="66980609" w:rsidR="00505820" w:rsidRDefault="00505820" w:rsidP="000365B6">
      <w:pPr>
        <w:spacing w:after="0" w:line="240" w:lineRule="auto"/>
        <w:ind w:left="709" w:right="709"/>
        <w:jc w:val="both"/>
        <w:rPr>
          <w:rFonts w:ascii="Verdana" w:eastAsia="Calibri" w:hAnsi="Verdana" w:cs="Arial"/>
          <w:sz w:val="20"/>
          <w:szCs w:val="20"/>
          <w:lang w:val="es-ES" w:eastAsia="es-ES"/>
        </w:rPr>
      </w:pPr>
      <w:r w:rsidRPr="00505820">
        <w:rPr>
          <w:rFonts w:ascii="Verdana" w:eastAsia="Calibri" w:hAnsi="Verdana" w:cs="Arial"/>
          <w:sz w:val="20"/>
          <w:szCs w:val="20"/>
          <w:lang w:val="es-ES" w:eastAsia="es-ES"/>
        </w:rPr>
        <w:t xml:space="preserve">la audiencia de </w:t>
      </w:r>
      <w:proofErr w:type="spellStart"/>
      <w:r w:rsidRPr="00505820">
        <w:rPr>
          <w:rFonts w:ascii="Verdana" w:eastAsia="Calibri" w:hAnsi="Verdana" w:cs="Arial"/>
          <w:sz w:val="20"/>
          <w:szCs w:val="20"/>
          <w:lang w:val="es-ES" w:eastAsia="es-ES"/>
        </w:rPr>
        <w:t>adjudicacion</w:t>
      </w:r>
      <w:proofErr w:type="spellEnd"/>
      <w:r w:rsidRPr="00505820">
        <w:rPr>
          <w:rFonts w:ascii="Verdana" w:eastAsia="Calibri" w:hAnsi="Verdana" w:cs="Arial"/>
          <w:sz w:val="20"/>
          <w:szCs w:val="20"/>
          <w:lang w:val="es-ES" w:eastAsia="es-ES"/>
        </w:rPr>
        <w:t xml:space="preserve"> de un proceso de </w:t>
      </w:r>
      <w:proofErr w:type="spellStart"/>
      <w:r w:rsidRPr="00505820">
        <w:rPr>
          <w:rFonts w:ascii="Verdana" w:eastAsia="Calibri" w:hAnsi="Verdana" w:cs="Arial"/>
          <w:sz w:val="20"/>
          <w:szCs w:val="20"/>
          <w:lang w:val="es-ES" w:eastAsia="es-ES"/>
        </w:rPr>
        <w:t>licitacion</w:t>
      </w:r>
      <w:proofErr w:type="spellEnd"/>
      <w:r w:rsidRPr="00505820">
        <w:rPr>
          <w:rFonts w:ascii="Verdana" w:eastAsia="Calibri" w:hAnsi="Verdana" w:cs="Arial"/>
          <w:sz w:val="20"/>
          <w:szCs w:val="20"/>
          <w:lang w:val="es-ES" w:eastAsia="es-ES"/>
        </w:rPr>
        <w:t xml:space="preserve"> se realiza por etapas, una vez culminada la etapa de </w:t>
      </w:r>
      <w:proofErr w:type="spellStart"/>
      <w:r w:rsidRPr="00505820">
        <w:rPr>
          <w:rFonts w:ascii="Verdana" w:eastAsia="Calibri" w:hAnsi="Verdana" w:cs="Arial"/>
          <w:sz w:val="20"/>
          <w:szCs w:val="20"/>
          <w:lang w:val="es-ES" w:eastAsia="es-ES"/>
        </w:rPr>
        <w:t>intervencion</w:t>
      </w:r>
      <w:proofErr w:type="spellEnd"/>
      <w:r w:rsidRPr="00505820">
        <w:rPr>
          <w:rFonts w:ascii="Verdana" w:eastAsia="Calibri" w:hAnsi="Verdana" w:cs="Arial"/>
          <w:sz w:val="20"/>
          <w:szCs w:val="20"/>
          <w:lang w:val="es-ES" w:eastAsia="es-ES"/>
        </w:rPr>
        <w:t xml:space="preserve"> y lectura del </w:t>
      </w:r>
      <w:proofErr w:type="spellStart"/>
      <w:r w:rsidRPr="00505820">
        <w:rPr>
          <w:rFonts w:ascii="Verdana" w:eastAsia="Calibri" w:hAnsi="Verdana" w:cs="Arial"/>
          <w:sz w:val="20"/>
          <w:szCs w:val="20"/>
          <w:lang w:val="es-ES" w:eastAsia="es-ES"/>
        </w:rPr>
        <w:t>infome</w:t>
      </w:r>
      <w:proofErr w:type="spellEnd"/>
      <w:r w:rsidRPr="00505820">
        <w:rPr>
          <w:rFonts w:ascii="Verdana" w:eastAsia="Calibri" w:hAnsi="Verdana" w:cs="Arial"/>
          <w:sz w:val="20"/>
          <w:szCs w:val="20"/>
          <w:lang w:val="es-ES" w:eastAsia="es-ES"/>
        </w:rPr>
        <w:t xml:space="preserve"> definitivo el cual queda en firme viene la etapa de apertura de sobres </w:t>
      </w:r>
      <w:proofErr w:type="spellStart"/>
      <w:r w:rsidRPr="00505820">
        <w:rPr>
          <w:rFonts w:ascii="Verdana" w:eastAsia="Calibri" w:hAnsi="Verdana" w:cs="Arial"/>
          <w:sz w:val="20"/>
          <w:szCs w:val="20"/>
          <w:lang w:val="es-ES" w:eastAsia="es-ES"/>
        </w:rPr>
        <w:t>economicos</w:t>
      </w:r>
      <w:proofErr w:type="spellEnd"/>
      <w:r w:rsidRPr="00505820">
        <w:rPr>
          <w:rFonts w:ascii="Verdana" w:eastAsia="Calibri" w:hAnsi="Verdana" w:cs="Arial"/>
          <w:sz w:val="20"/>
          <w:szCs w:val="20"/>
          <w:lang w:val="es-ES" w:eastAsia="es-ES"/>
        </w:rPr>
        <w:t xml:space="preserve">, dos interrogantes una vez terminada y cerrada esa etapa pueden hacer </w:t>
      </w:r>
      <w:proofErr w:type="spellStart"/>
      <w:r w:rsidRPr="00505820">
        <w:rPr>
          <w:rFonts w:ascii="Verdana" w:eastAsia="Calibri" w:hAnsi="Verdana" w:cs="Arial"/>
          <w:sz w:val="20"/>
          <w:szCs w:val="20"/>
          <w:lang w:val="es-ES" w:eastAsia="es-ES"/>
        </w:rPr>
        <w:t>mas</w:t>
      </w:r>
      <w:proofErr w:type="spellEnd"/>
      <w:r w:rsidRPr="00505820">
        <w:rPr>
          <w:rFonts w:ascii="Verdana" w:eastAsia="Calibri" w:hAnsi="Verdana" w:cs="Arial"/>
          <w:sz w:val="20"/>
          <w:szCs w:val="20"/>
          <w:lang w:val="es-ES" w:eastAsia="es-ES"/>
        </w:rPr>
        <w:t xml:space="preserve"> observaciones o serian </w:t>
      </w:r>
      <w:proofErr w:type="spellStart"/>
      <w:r w:rsidRPr="00505820">
        <w:rPr>
          <w:rFonts w:ascii="Verdana" w:eastAsia="Calibri" w:hAnsi="Verdana" w:cs="Arial"/>
          <w:sz w:val="20"/>
          <w:szCs w:val="20"/>
          <w:lang w:val="es-ES" w:eastAsia="es-ES"/>
        </w:rPr>
        <w:t>extermporaneas</w:t>
      </w:r>
      <w:proofErr w:type="spellEnd"/>
      <w:r w:rsidRPr="00505820">
        <w:rPr>
          <w:rFonts w:ascii="Verdana" w:eastAsia="Calibri" w:hAnsi="Verdana" w:cs="Arial"/>
          <w:sz w:val="20"/>
          <w:szCs w:val="20"/>
          <w:lang w:val="es-ES" w:eastAsia="es-ES"/>
        </w:rPr>
        <w:t xml:space="preserve"> y la segunda en la etapa de los sobres </w:t>
      </w:r>
      <w:proofErr w:type="spellStart"/>
      <w:r w:rsidRPr="00505820">
        <w:rPr>
          <w:rFonts w:ascii="Verdana" w:eastAsia="Calibri" w:hAnsi="Verdana" w:cs="Arial"/>
          <w:sz w:val="20"/>
          <w:szCs w:val="20"/>
          <w:lang w:val="es-ES" w:eastAsia="es-ES"/>
        </w:rPr>
        <w:t>economicos</w:t>
      </w:r>
      <w:proofErr w:type="spellEnd"/>
      <w:r w:rsidRPr="00505820">
        <w:rPr>
          <w:rFonts w:ascii="Verdana" w:eastAsia="Calibri" w:hAnsi="Verdana" w:cs="Arial"/>
          <w:sz w:val="20"/>
          <w:szCs w:val="20"/>
          <w:lang w:val="es-ES" w:eastAsia="es-ES"/>
        </w:rPr>
        <w:t xml:space="preserve"> pueden hacer nuevas observaciones sobre lo ya debatido o solo debe </w:t>
      </w:r>
      <w:proofErr w:type="spellStart"/>
      <w:r w:rsidRPr="00505820">
        <w:rPr>
          <w:rFonts w:ascii="Verdana" w:eastAsia="Calibri" w:hAnsi="Verdana" w:cs="Arial"/>
          <w:sz w:val="20"/>
          <w:szCs w:val="20"/>
          <w:lang w:val="es-ES" w:eastAsia="es-ES"/>
        </w:rPr>
        <w:t>realizarce</w:t>
      </w:r>
      <w:proofErr w:type="spellEnd"/>
      <w:r w:rsidRPr="00505820">
        <w:rPr>
          <w:rFonts w:ascii="Verdana" w:eastAsia="Calibri" w:hAnsi="Verdana" w:cs="Arial"/>
          <w:sz w:val="20"/>
          <w:szCs w:val="20"/>
          <w:lang w:val="es-ES" w:eastAsia="es-ES"/>
        </w:rPr>
        <w:t xml:space="preserve"> con los habilitados y sobre las propuestas </w:t>
      </w:r>
      <w:r>
        <w:rPr>
          <w:rFonts w:ascii="Verdana" w:eastAsia="Calibri" w:hAnsi="Verdana" w:cs="Arial"/>
          <w:sz w:val="20"/>
          <w:szCs w:val="20"/>
          <w:lang w:val="es-ES" w:eastAsia="es-ES"/>
        </w:rPr>
        <w:t>económicas.</w:t>
      </w:r>
    </w:p>
    <w:p w14:paraId="1C2FA81E" w14:textId="4DB29665" w:rsidR="00B55E69" w:rsidRDefault="00505820" w:rsidP="000365B6">
      <w:pPr>
        <w:spacing w:after="0" w:line="240" w:lineRule="auto"/>
        <w:ind w:left="709" w:right="709"/>
        <w:jc w:val="both"/>
        <w:rPr>
          <w:rFonts w:ascii="Verdana" w:eastAsia="Calibri" w:hAnsi="Verdana" w:cs="Arial"/>
          <w:sz w:val="20"/>
          <w:szCs w:val="20"/>
          <w:lang w:val="es-ES" w:eastAsia="es-ES"/>
        </w:rPr>
      </w:pPr>
      <w:r>
        <w:rPr>
          <w:rFonts w:ascii="Verdana" w:eastAsia="Calibri" w:hAnsi="Verdana" w:cs="Arial"/>
          <w:sz w:val="20"/>
          <w:szCs w:val="20"/>
          <w:lang w:val="es-ES" w:eastAsia="es-ES"/>
        </w:rPr>
        <w:t>(…)</w:t>
      </w:r>
    </w:p>
    <w:p w14:paraId="2A0A9A94" w14:textId="77777777" w:rsidR="00B55E69" w:rsidRPr="00CC2A30" w:rsidRDefault="00B55E69" w:rsidP="000365B6">
      <w:pPr>
        <w:spacing w:after="0" w:line="240" w:lineRule="auto"/>
        <w:ind w:left="709" w:right="709"/>
        <w:jc w:val="both"/>
        <w:rPr>
          <w:rFonts w:ascii="Verdana" w:eastAsia="Calibri" w:hAnsi="Verdana" w:cs="Arial"/>
          <w:sz w:val="20"/>
          <w:szCs w:val="20"/>
          <w:lang w:val="es-ES" w:eastAsia="es-ES"/>
        </w:rPr>
      </w:pPr>
    </w:p>
    <w:p w14:paraId="0AB9956E" w14:textId="77777777" w:rsidR="000365B6" w:rsidRPr="00CC2A30" w:rsidRDefault="000365B6" w:rsidP="000365B6">
      <w:pPr>
        <w:spacing w:after="120" w:line="276" w:lineRule="auto"/>
        <w:jc w:val="both"/>
        <w:rPr>
          <w:rFonts w:ascii="Verdana" w:eastAsia="Calibri" w:hAnsi="Verdana" w:cs="Arial"/>
          <w:lang w:val="es-ES" w:eastAsia="es-ES"/>
        </w:rPr>
      </w:pPr>
      <w:r w:rsidRPr="00CC2A30">
        <w:rPr>
          <w:rFonts w:ascii="Verdana" w:eastAsia="Calibri" w:hAnsi="Verdana" w:cs="Arial"/>
          <w:lang w:val="es-ES_tradnl" w:eastAsia="es-ES_tradnl"/>
        </w:rPr>
        <w:tab/>
      </w:r>
      <w:r w:rsidRPr="00CC2A30">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0CA64C18" w14:textId="77777777" w:rsidR="000365B6" w:rsidRPr="00CC2A30" w:rsidRDefault="000365B6" w:rsidP="000365B6">
      <w:pPr>
        <w:spacing w:after="0" w:line="276" w:lineRule="auto"/>
        <w:jc w:val="both"/>
        <w:rPr>
          <w:rFonts w:ascii="Verdana" w:eastAsia="Calibri" w:hAnsi="Verdana" w:cs="Arial"/>
          <w:lang w:val="es-ES" w:eastAsia="es-ES"/>
        </w:rPr>
      </w:pPr>
      <w:r w:rsidRPr="00CC2A30">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62C1FD5C" w14:textId="77777777" w:rsidR="000365B6" w:rsidRPr="00CC2A30" w:rsidRDefault="000365B6" w:rsidP="000365B6">
      <w:pPr>
        <w:spacing w:after="0" w:line="276" w:lineRule="auto"/>
        <w:jc w:val="both"/>
        <w:rPr>
          <w:rFonts w:ascii="Verdana" w:eastAsia="Calibri" w:hAnsi="Verdana" w:cs="Arial"/>
          <w:lang w:val="es-ES" w:eastAsia="es-ES"/>
        </w:rPr>
      </w:pPr>
    </w:p>
    <w:p w14:paraId="4721A34D" w14:textId="77777777" w:rsidR="000365B6" w:rsidRPr="00CC2A30" w:rsidRDefault="000365B6" w:rsidP="000365B6">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C2A30">
        <w:rPr>
          <w:rFonts w:ascii="Verdana" w:eastAsia="Century Gothic" w:hAnsi="Verdana" w:cs="Century Gothic"/>
          <w:b/>
          <w:bCs/>
        </w:rPr>
        <w:t>Problema planteado:</w:t>
      </w:r>
    </w:p>
    <w:p w14:paraId="7082A047" w14:textId="77777777" w:rsidR="000365B6" w:rsidRPr="00CC2A30" w:rsidRDefault="000365B6" w:rsidP="000365B6">
      <w:pPr>
        <w:spacing w:after="0" w:line="240" w:lineRule="auto"/>
        <w:jc w:val="both"/>
        <w:rPr>
          <w:rFonts w:ascii="Verdana" w:eastAsia="Century Gothic" w:hAnsi="Verdana" w:cs="Century Gothic"/>
        </w:rPr>
      </w:pPr>
    </w:p>
    <w:p w14:paraId="5E4BC5CB" w14:textId="17AFD8EE" w:rsidR="000365B6" w:rsidRPr="00CC2A30" w:rsidRDefault="000365B6" w:rsidP="000365B6">
      <w:pPr>
        <w:spacing w:after="0" w:line="276" w:lineRule="auto"/>
        <w:jc w:val="both"/>
        <w:rPr>
          <w:rFonts w:ascii="Verdana" w:hAnsi="Verdana"/>
        </w:rPr>
      </w:pPr>
      <w:r w:rsidRPr="00EB4013">
        <w:rPr>
          <w:rFonts w:ascii="Verdana" w:eastAsia="Century Gothic" w:hAnsi="Verdana" w:cs="Century Gothic"/>
        </w:rPr>
        <w:lastRenderedPageBreak/>
        <w:t>De acuerdo con el contenido de su</w:t>
      </w:r>
      <w:r w:rsidR="00E9578F">
        <w:rPr>
          <w:rFonts w:ascii="Verdana" w:eastAsia="Century Gothic" w:hAnsi="Verdana" w:cs="Century Gothic"/>
        </w:rPr>
        <w:t xml:space="preserve">s </w:t>
      </w:r>
      <w:r w:rsidRPr="00EB4013">
        <w:rPr>
          <w:rFonts w:ascii="Verdana" w:eastAsia="Century Gothic" w:hAnsi="Verdana" w:cs="Century Gothic"/>
        </w:rPr>
        <w:t>solicitud</w:t>
      </w:r>
      <w:r w:rsidR="00E9578F">
        <w:rPr>
          <w:rFonts w:ascii="Verdana" w:eastAsia="Century Gothic" w:hAnsi="Verdana" w:cs="Century Gothic"/>
        </w:rPr>
        <w:t>es y que versan sobre la modalidad de licitación pública</w:t>
      </w:r>
      <w:r w:rsidRPr="00EB4013">
        <w:rPr>
          <w:rFonts w:ascii="Verdana" w:eastAsia="Century Gothic" w:hAnsi="Verdana" w:cs="Century Gothic"/>
        </w:rPr>
        <w:t xml:space="preserve">, esta Agencia resolverá </w:t>
      </w:r>
      <w:r w:rsidR="003E29FD">
        <w:rPr>
          <w:rFonts w:ascii="Verdana" w:eastAsia="Century Gothic" w:hAnsi="Verdana" w:cs="Century Gothic"/>
        </w:rPr>
        <w:t xml:space="preserve">los </w:t>
      </w:r>
      <w:r w:rsidR="00EE6FA9" w:rsidRPr="00EB4013">
        <w:rPr>
          <w:rFonts w:ascii="Verdana" w:eastAsia="Century Gothic" w:hAnsi="Verdana" w:cs="Century Gothic"/>
        </w:rPr>
        <w:t>siguiente</w:t>
      </w:r>
      <w:r w:rsidR="00E9578F">
        <w:rPr>
          <w:rFonts w:ascii="Verdana" w:eastAsia="Century Gothic" w:hAnsi="Verdana" w:cs="Century Gothic"/>
        </w:rPr>
        <w:t>s</w:t>
      </w:r>
      <w:r w:rsidR="00EE6FA9" w:rsidRPr="00EB4013">
        <w:rPr>
          <w:rFonts w:ascii="Verdana" w:eastAsia="Century Gothic" w:hAnsi="Verdana" w:cs="Century Gothic"/>
        </w:rPr>
        <w:t xml:space="preserve"> problema</w:t>
      </w:r>
      <w:r w:rsidR="00E9578F">
        <w:rPr>
          <w:rFonts w:ascii="Verdana" w:eastAsia="Century Gothic" w:hAnsi="Verdana" w:cs="Century Gothic"/>
        </w:rPr>
        <w:t>s</w:t>
      </w:r>
      <w:r w:rsidR="00EE6FA9" w:rsidRPr="00EB4013">
        <w:rPr>
          <w:rFonts w:ascii="Verdana" w:eastAsia="Century Gothic" w:hAnsi="Verdana" w:cs="Century Gothic"/>
        </w:rPr>
        <w:t xml:space="preserve"> </w:t>
      </w:r>
      <w:r w:rsidR="00EB4013" w:rsidRPr="00EB4013">
        <w:rPr>
          <w:rFonts w:ascii="Verdana" w:eastAsia="Century Gothic" w:hAnsi="Verdana" w:cs="Century Gothic"/>
        </w:rPr>
        <w:t>jurídico</w:t>
      </w:r>
      <w:r w:rsidR="00E9578F">
        <w:rPr>
          <w:rFonts w:ascii="Verdana" w:eastAsia="Century Gothic" w:hAnsi="Verdana" w:cs="Century Gothic"/>
        </w:rPr>
        <w:t>s</w:t>
      </w:r>
      <w:r w:rsidRPr="00EB4013">
        <w:rPr>
          <w:rFonts w:ascii="Verdana" w:eastAsia="Century Gothic" w:hAnsi="Verdana" w:cs="Century Gothic"/>
        </w:rPr>
        <w:t>: (i</w:t>
      </w:r>
      <w:r w:rsidR="000A680E" w:rsidRPr="00EB4013">
        <w:rPr>
          <w:rFonts w:ascii="Verdana" w:eastAsia="Century Gothic" w:hAnsi="Verdana" w:cs="Century Gothic"/>
        </w:rPr>
        <w:t>)</w:t>
      </w:r>
      <w:r w:rsidR="00EE6FA9" w:rsidRPr="00EB4013">
        <w:rPr>
          <w:rFonts w:ascii="Verdana" w:eastAsia="Century Gothic" w:hAnsi="Verdana" w:cs="Century Gothic"/>
        </w:rPr>
        <w:t xml:space="preserve"> ¿</w:t>
      </w:r>
      <w:r w:rsidR="00693017">
        <w:rPr>
          <w:rFonts w:ascii="Verdana" w:eastAsia="Century Gothic" w:hAnsi="Verdana" w:cs="Century Gothic"/>
        </w:rPr>
        <w:t>D</w:t>
      </w:r>
      <w:r w:rsidR="00EE6FA9" w:rsidRPr="00EB4013">
        <w:rPr>
          <w:rFonts w:ascii="Verdana" w:eastAsia="Century Gothic" w:hAnsi="Verdana" w:cs="Century Gothic"/>
        </w:rPr>
        <w:t>espués</w:t>
      </w:r>
      <w:r w:rsidR="005729A0" w:rsidRPr="00EB4013">
        <w:rPr>
          <w:rFonts w:ascii="Verdana" w:eastAsia="Century Gothic" w:hAnsi="Verdana" w:cs="Century Gothic"/>
        </w:rPr>
        <w:t xml:space="preserve"> de vencido el término de traslado del informe de evaluación</w:t>
      </w:r>
      <w:r w:rsidR="00BE66C5">
        <w:rPr>
          <w:rFonts w:ascii="Verdana" w:eastAsia="Century Gothic" w:hAnsi="Verdana" w:cs="Century Gothic"/>
        </w:rPr>
        <w:t xml:space="preserve"> preliminar o definitivo</w:t>
      </w:r>
      <w:r w:rsidR="005729A0" w:rsidRPr="00EB4013">
        <w:rPr>
          <w:rFonts w:ascii="Verdana" w:eastAsia="Century Gothic" w:hAnsi="Verdana" w:cs="Century Gothic"/>
        </w:rPr>
        <w:t xml:space="preserve"> en un proceso de licitación </w:t>
      </w:r>
      <w:r w:rsidR="00EE6FA9" w:rsidRPr="00EB4013">
        <w:rPr>
          <w:rFonts w:ascii="Verdana" w:eastAsia="Century Gothic" w:hAnsi="Verdana" w:cs="Century Gothic"/>
        </w:rPr>
        <w:t>pública</w:t>
      </w:r>
      <w:r w:rsidR="005729A0" w:rsidRPr="00EB4013">
        <w:rPr>
          <w:rFonts w:ascii="Verdana" w:eastAsia="Century Gothic" w:hAnsi="Verdana" w:cs="Century Gothic"/>
        </w:rPr>
        <w:t>, los proponentes pueden subsanar</w:t>
      </w:r>
      <w:r w:rsidR="00EE6FA9" w:rsidRPr="00EB4013">
        <w:rPr>
          <w:rFonts w:ascii="Verdana" w:eastAsia="Century Gothic" w:hAnsi="Verdana" w:cs="Century Gothic"/>
        </w:rPr>
        <w:t xml:space="preserve"> requisitos </w:t>
      </w:r>
      <w:r w:rsidR="00E9578F" w:rsidRPr="00EB4013">
        <w:rPr>
          <w:rFonts w:ascii="Verdana" w:eastAsia="Century Gothic" w:hAnsi="Verdana" w:cs="Century Gothic"/>
        </w:rPr>
        <w:t>habilitantes?</w:t>
      </w:r>
      <w:r w:rsidR="00E9578F">
        <w:rPr>
          <w:rFonts w:ascii="Verdana" w:eastAsia="Century Gothic" w:hAnsi="Verdana" w:cs="Century Gothic"/>
        </w:rPr>
        <w:t xml:space="preserve"> </w:t>
      </w:r>
      <w:r w:rsidR="00E9578F" w:rsidRPr="00EB4013">
        <w:rPr>
          <w:rFonts w:ascii="Verdana" w:eastAsia="Century Gothic" w:hAnsi="Verdana" w:cs="Century Gothic"/>
        </w:rPr>
        <w:t>(</w:t>
      </w:r>
      <w:proofErr w:type="spellStart"/>
      <w:r w:rsidR="00E9578F" w:rsidRPr="00EB4013">
        <w:rPr>
          <w:rFonts w:ascii="Verdana" w:eastAsia="Century Gothic" w:hAnsi="Verdana" w:cs="Century Gothic"/>
        </w:rPr>
        <w:t>i</w:t>
      </w:r>
      <w:r w:rsidR="00E9578F">
        <w:rPr>
          <w:rFonts w:ascii="Verdana" w:eastAsia="Century Gothic" w:hAnsi="Verdana" w:cs="Century Gothic"/>
        </w:rPr>
        <w:t>i</w:t>
      </w:r>
      <w:proofErr w:type="spellEnd"/>
      <w:r w:rsidR="00E9578F" w:rsidRPr="00EB4013">
        <w:rPr>
          <w:rFonts w:ascii="Verdana" w:eastAsia="Century Gothic" w:hAnsi="Verdana" w:cs="Century Gothic"/>
        </w:rPr>
        <w:t xml:space="preserve">) </w:t>
      </w:r>
      <w:r w:rsidR="008C6D96">
        <w:rPr>
          <w:rFonts w:ascii="Verdana" w:eastAsia="Century Gothic" w:hAnsi="Verdana" w:cs="Century Gothic"/>
        </w:rPr>
        <w:t>¿</w:t>
      </w:r>
      <w:r w:rsidR="004B1A01">
        <w:rPr>
          <w:rFonts w:ascii="Verdana" w:eastAsia="Century Gothic" w:hAnsi="Verdana" w:cs="Century Gothic"/>
        </w:rPr>
        <w:t>D</w:t>
      </w:r>
      <w:r w:rsidR="00464DE2">
        <w:rPr>
          <w:rFonts w:ascii="Verdana" w:eastAsia="Century Gothic" w:hAnsi="Verdana" w:cs="Century Gothic"/>
        </w:rPr>
        <w:t xml:space="preserve">espués de la apertura del sobre económico en la audiencia de adjudicación, se pueden hacer nuevas observaciones? </w:t>
      </w:r>
    </w:p>
    <w:p w14:paraId="1BEFDC48" w14:textId="77777777" w:rsidR="000365B6" w:rsidRPr="00CC2A30" w:rsidRDefault="000365B6" w:rsidP="000365B6">
      <w:pPr>
        <w:spacing w:after="0" w:line="276" w:lineRule="auto"/>
        <w:jc w:val="both"/>
        <w:rPr>
          <w:rFonts w:ascii="Verdana" w:eastAsia="Century Gothic" w:hAnsi="Verdana" w:cs="Century Gothic"/>
        </w:rPr>
      </w:pPr>
    </w:p>
    <w:p w14:paraId="5BE28055" w14:textId="77777777" w:rsidR="000365B6" w:rsidRPr="00CC2A30" w:rsidRDefault="000365B6" w:rsidP="000365B6">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C2A30">
        <w:rPr>
          <w:rFonts w:ascii="Verdana" w:eastAsia="Century Gothic" w:hAnsi="Verdana" w:cs="Century Gothic"/>
          <w:b/>
          <w:bCs/>
        </w:rPr>
        <w:t>Respuesta:</w:t>
      </w:r>
    </w:p>
    <w:p w14:paraId="1B623657" w14:textId="77777777" w:rsidR="000365B6" w:rsidRPr="00CC2A30" w:rsidRDefault="000365B6" w:rsidP="000365B6">
      <w:pPr>
        <w:pStyle w:val="Prrafodelista"/>
        <w:tabs>
          <w:tab w:val="left" w:pos="142"/>
          <w:tab w:val="left" w:pos="284"/>
        </w:tabs>
        <w:spacing w:after="0" w:line="276" w:lineRule="auto"/>
        <w:ind w:left="0"/>
        <w:jc w:val="both"/>
        <w:rPr>
          <w:rFonts w:ascii="Verdana" w:eastAsia="Century Gothic" w:hAnsi="Verdana" w:cs="Century Gothic"/>
          <w:b/>
          <w:bCs/>
        </w:rPr>
      </w:pPr>
    </w:p>
    <w:p w14:paraId="44E55FC8" w14:textId="1851A207" w:rsidR="000E40B7" w:rsidRDefault="00FC5AE8" w:rsidP="00741839">
      <w:pPr>
        <w:spacing w:line="276" w:lineRule="auto"/>
        <w:jc w:val="both"/>
        <w:rPr>
          <w:rFonts w:ascii="Verdana" w:eastAsia="Calibri" w:hAnsi="Verdana" w:cs="Arial"/>
        </w:rPr>
      </w:pPr>
      <w:r>
        <w:rPr>
          <w:rFonts w:ascii="Verdana" w:eastAsia="Calibri" w:hAnsi="Verdana" w:cs="Arial"/>
          <w:lang w:val="es-ES"/>
        </w:rPr>
        <w:t xml:space="preserve">i) </w:t>
      </w:r>
      <w:r w:rsidR="00F03F62">
        <w:rPr>
          <w:rFonts w:ascii="Verdana" w:eastAsia="Calibri" w:hAnsi="Verdana" w:cs="Arial"/>
          <w:lang w:val="es-ES"/>
        </w:rPr>
        <w:t xml:space="preserve">Respecto al </w:t>
      </w:r>
      <w:r w:rsidR="00F03F62" w:rsidRPr="00F03F62">
        <w:rPr>
          <w:rFonts w:ascii="Verdana" w:eastAsia="Calibri" w:hAnsi="Verdana" w:cs="Arial"/>
          <w:i/>
          <w:iCs/>
          <w:lang w:val="es-ES"/>
        </w:rPr>
        <w:t>primer interrogante</w:t>
      </w:r>
      <w:r w:rsidR="00F03F62">
        <w:rPr>
          <w:rFonts w:ascii="Verdana" w:eastAsia="Calibri" w:hAnsi="Verdana" w:cs="Arial"/>
          <w:lang w:val="es-ES"/>
        </w:rPr>
        <w:t>, se debe p</w:t>
      </w:r>
      <w:r w:rsidR="00D940C1">
        <w:rPr>
          <w:rFonts w:ascii="Verdana" w:eastAsia="Calibri" w:hAnsi="Verdana" w:cs="Arial"/>
          <w:lang w:val="es-ES"/>
        </w:rPr>
        <w:t>recisar e</w:t>
      </w:r>
      <w:r w:rsidR="00741839" w:rsidRPr="004C6846">
        <w:rPr>
          <w:rFonts w:ascii="Verdana" w:eastAsia="Calibri" w:hAnsi="Verdana" w:cs="Arial"/>
        </w:rPr>
        <w:t xml:space="preserve">n torno a la subsanabilidad de las ofertas </w:t>
      </w:r>
      <w:r w:rsidR="00A047C4">
        <w:rPr>
          <w:rFonts w:ascii="Verdana" w:eastAsia="Calibri" w:hAnsi="Verdana" w:cs="Arial"/>
        </w:rPr>
        <w:t>que</w:t>
      </w:r>
      <w:r w:rsidR="00741839" w:rsidRPr="004C6846">
        <w:rPr>
          <w:rFonts w:ascii="Verdana" w:eastAsia="Calibri" w:hAnsi="Verdana" w:cs="Arial"/>
        </w:rPr>
        <w:t xml:space="preserve"> las reglas dispuestas en la Ley 1882 de 2018, mantiene</w:t>
      </w:r>
      <w:r w:rsidR="00ED2F5B">
        <w:rPr>
          <w:rFonts w:ascii="Verdana" w:eastAsia="Calibri" w:hAnsi="Verdana" w:cs="Arial"/>
        </w:rPr>
        <w:t>n</w:t>
      </w:r>
      <w:r w:rsidR="00741839" w:rsidRPr="004C6846">
        <w:rPr>
          <w:rFonts w:ascii="Verdana" w:eastAsia="Calibri" w:hAnsi="Verdana" w:cs="Arial"/>
        </w:rPr>
        <w:t xml:space="preserve"> el criterio de la Ley 80 de 1993, relativo a que todo lo que no sea necesario para la comparación de propuestas no es argumento suficiente para su rechazo; y</w:t>
      </w:r>
      <w:r w:rsidR="00ED2F5B">
        <w:rPr>
          <w:rFonts w:ascii="Verdana" w:eastAsia="Calibri" w:hAnsi="Verdana" w:cs="Arial"/>
        </w:rPr>
        <w:t xml:space="preserve"> también</w:t>
      </w:r>
      <w:r w:rsidR="00741839" w:rsidRPr="004C6846">
        <w:rPr>
          <w:rFonts w:ascii="Verdana" w:eastAsia="Calibri" w:hAnsi="Verdana" w:cs="Arial"/>
        </w:rPr>
        <w:t xml:space="preserve"> se mantiene el criterio aclaratorio de la Ley 1150 de 2007, según el cual todo lo que no afecte la asignación de puntaje puede subsanarse. Por ello, si los requisitos no otorgan puntaje y tienen el carácter de habilitantes para la participación en el proceso de contratación, se entiende que, en principio, pueden subsanarse. </w:t>
      </w:r>
    </w:p>
    <w:p w14:paraId="360AB1EF" w14:textId="4BD1A9BC" w:rsidR="00474E24" w:rsidRDefault="00741839" w:rsidP="00C85229">
      <w:pPr>
        <w:spacing w:line="276" w:lineRule="auto"/>
        <w:ind w:firstLine="708"/>
        <w:jc w:val="both"/>
        <w:rPr>
          <w:rFonts w:ascii="Verdana" w:eastAsia="Calibri" w:hAnsi="Verdana" w:cs="Arial"/>
        </w:rPr>
      </w:pPr>
      <w:r w:rsidRPr="004C6846">
        <w:rPr>
          <w:rFonts w:ascii="Verdana" w:eastAsia="Calibri" w:hAnsi="Verdana" w:cs="Arial"/>
        </w:rPr>
        <w:t xml:space="preserve">En ese orden de ideas, extendiendo las anteriores consideraciones a la regla de subsanabilidad consagrada en el parágrafo </w:t>
      </w:r>
      <w:r w:rsidR="00AA6789">
        <w:rPr>
          <w:rFonts w:ascii="Verdana" w:eastAsia="Calibri" w:hAnsi="Verdana" w:cs="Arial"/>
        </w:rPr>
        <w:t>1</w:t>
      </w:r>
      <w:r w:rsidRPr="004C6846">
        <w:rPr>
          <w:rFonts w:ascii="Verdana" w:eastAsia="Calibri" w:hAnsi="Verdana" w:cs="Arial"/>
        </w:rPr>
        <w:t xml:space="preserve"> del artículo 5 de la Ley 1150 de 2007</w:t>
      </w:r>
      <w:r w:rsidR="00AA6789">
        <w:rPr>
          <w:rFonts w:ascii="Verdana" w:eastAsia="Calibri" w:hAnsi="Verdana" w:cs="Arial"/>
        </w:rPr>
        <w:t xml:space="preserve"> </w:t>
      </w:r>
      <w:r w:rsidRPr="004C6846">
        <w:rPr>
          <w:rFonts w:ascii="Verdana" w:eastAsia="Calibri" w:hAnsi="Verdana" w:cs="Arial"/>
        </w:rPr>
        <w:t>–modificad</w:t>
      </w:r>
      <w:r w:rsidR="00AA6789">
        <w:rPr>
          <w:rFonts w:ascii="Verdana" w:eastAsia="Calibri" w:hAnsi="Verdana" w:cs="Arial"/>
        </w:rPr>
        <w:t>o</w:t>
      </w:r>
      <w:r w:rsidRPr="004C6846">
        <w:rPr>
          <w:rFonts w:ascii="Verdana" w:eastAsia="Calibri" w:hAnsi="Verdana" w:cs="Arial"/>
        </w:rPr>
        <w:t xml:space="preserve"> por la Ley 1882 de 2018</w:t>
      </w:r>
      <w:r w:rsidR="00DC5AF8" w:rsidRPr="004C6846">
        <w:rPr>
          <w:rFonts w:ascii="Verdana" w:eastAsia="Calibri" w:hAnsi="Verdana" w:cs="Arial"/>
        </w:rPr>
        <w:t>–</w:t>
      </w:r>
      <w:r w:rsidR="0080543F">
        <w:rPr>
          <w:rFonts w:ascii="Verdana" w:eastAsia="Calibri" w:hAnsi="Verdana" w:cs="Arial"/>
          <w:i/>
          <w:iCs/>
        </w:rPr>
        <w:t>,</w:t>
      </w:r>
      <w:r w:rsidR="00AD506C">
        <w:rPr>
          <w:rFonts w:ascii="Verdana" w:eastAsia="Calibri" w:hAnsi="Verdana" w:cs="Arial"/>
        </w:rPr>
        <w:t xml:space="preserve"> en el caso de la </w:t>
      </w:r>
      <w:r w:rsidR="009958DE">
        <w:rPr>
          <w:rFonts w:ascii="Verdana" w:eastAsia="Calibri" w:hAnsi="Verdana" w:cs="Arial"/>
        </w:rPr>
        <w:t>modalidad</w:t>
      </w:r>
      <w:r w:rsidR="00700A09">
        <w:rPr>
          <w:rFonts w:ascii="Verdana" w:eastAsia="Calibri" w:hAnsi="Verdana" w:cs="Arial"/>
        </w:rPr>
        <w:t xml:space="preserve"> </w:t>
      </w:r>
      <w:r w:rsidR="00AD506C">
        <w:rPr>
          <w:rFonts w:ascii="Verdana" w:eastAsia="Calibri" w:hAnsi="Verdana" w:cs="Arial"/>
        </w:rPr>
        <w:t xml:space="preserve">de licitación </w:t>
      </w:r>
      <w:r w:rsidR="00F377E0">
        <w:rPr>
          <w:rFonts w:ascii="Verdana" w:eastAsia="Calibri" w:hAnsi="Verdana" w:cs="Arial"/>
        </w:rPr>
        <w:t>pública</w:t>
      </w:r>
      <w:r w:rsidR="00D5339F">
        <w:rPr>
          <w:rFonts w:ascii="Verdana" w:eastAsia="Calibri" w:hAnsi="Verdana" w:cs="Arial"/>
        </w:rPr>
        <w:t xml:space="preserve">, </w:t>
      </w:r>
      <w:r w:rsidR="00D53EC1">
        <w:rPr>
          <w:rFonts w:ascii="Verdana" w:eastAsia="Calibri" w:hAnsi="Verdana" w:cs="Arial"/>
        </w:rPr>
        <w:t xml:space="preserve">los proponentes </w:t>
      </w:r>
      <w:r w:rsidR="00EB4013">
        <w:rPr>
          <w:rFonts w:ascii="Verdana" w:eastAsia="Calibri" w:hAnsi="Verdana" w:cs="Arial"/>
        </w:rPr>
        <w:t>podrán</w:t>
      </w:r>
      <w:r w:rsidR="00D53EC1">
        <w:rPr>
          <w:rFonts w:ascii="Verdana" w:eastAsia="Calibri" w:hAnsi="Verdana" w:cs="Arial"/>
        </w:rPr>
        <w:t xml:space="preserve"> subsanar los requisitos habilitantes que sean solicitados en el informe de evaluación durante el traslado </w:t>
      </w:r>
      <w:r w:rsidR="00DB6DC6">
        <w:rPr>
          <w:rFonts w:ascii="Verdana" w:eastAsia="Calibri" w:hAnsi="Verdana" w:cs="Arial"/>
        </w:rPr>
        <w:t>del informe de evaluación, de</w:t>
      </w:r>
      <w:r w:rsidR="00D53EC1">
        <w:rPr>
          <w:rFonts w:ascii="Verdana" w:eastAsia="Calibri" w:hAnsi="Verdana" w:cs="Arial"/>
        </w:rPr>
        <w:t xml:space="preserve"> cinco (5) días hábiles</w:t>
      </w:r>
      <w:r w:rsidR="008A0159">
        <w:rPr>
          <w:rFonts w:ascii="Verdana" w:eastAsia="Calibri" w:hAnsi="Verdana" w:cs="Arial"/>
        </w:rPr>
        <w:t xml:space="preserve">, por lo que </w:t>
      </w:r>
      <w:r w:rsidR="000853F7">
        <w:rPr>
          <w:rFonts w:ascii="Verdana" w:eastAsia="Calibri" w:hAnsi="Verdana" w:cs="Arial"/>
        </w:rPr>
        <w:t>después</w:t>
      </w:r>
      <w:r w:rsidR="008A0159">
        <w:rPr>
          <w:rFonts w:ascii="Verdana" w:eastAsia="Calibri" w:hAnsi="Verdana" w:cs="Arial"/>
        </w:rPr>
        <w:t xml:space="preserve"> d</w:t>
      </w:r>
      <w:r w:rsidR="000853F7">
        <w:rPr>
          <w:rFonts w:ascii="Verdana" w:eastAsia="Calibri" w:hAnsi="Verdana" w:cs="Arial"/>
        </w:rPr>
        <w:t xml:space="preserve">e finalizado el plazo señalado y expedido el informe de evaluación definitivo, los proponentes únicamente podrán </w:t>
      </w:r>
      <w:r w:rsidR="00474E24" w:rsidRPr="00474E24">
        <w:rPr>
          <w:rFonts w:ascii="Verdana" w:eastAsia="Calibri" w:hAnsi="Verdana" w:cs="Arial"/>
        </w:rPr>
        <w:t>pronunciarse sobre las respuestas dadas por la Entidad Estatal a las observaciones presentadas respecto del informe de evaluación</w:t>
      </w:r>
      <w:r w:rsidR="00474E24">
        <w:rPr>
          <w:rFonts w:ascii="Verdana" w:eastAsia="Calibri" w:hAnsi="Verdana" w:cs="Arial"/>
        </w:rPr>
        <w:t xml:space="preserve"> definitivo</w:t>
      </w:r>
      <w:r w:rsidR="00474E24" w:rsidRPr="00474E24">
        <w:rPr>
          <w:rFonts w:ascii="Verdana" w:eastAsia="Calibri" w:hAnsi="Verdana" w:cs="Arial"/>
        </w:rPr>
        <w:t>, lo cual no implica una nueva oportunidad para mejorar o modificar</w:t>
      </w:r>
      <w:r w:rsidR="00EB4013">
        <w:rPr>
          <w:rFonts w:ascii="Verdana" w:eastAsia="Calibri" w:hAnsi="Verdana" w:cs="Arial"/>
        </w:rPr>
        <w:t xml:space="preserve">, es decir no podrían subsanar ningún requisito habilitante a </w:t>
      </w:r>
      <w:r w:rsidR="00474E24">
        <w:rPr>
          <w:rFonts w:ascii="Verdana" w:eastAsia="Calibri" w:hAnsi="Verdana" w:cs="Arial"/>
        </w:rPr>
        <w:t xml:space="preserve">la luz de lo señalado en el numeral 1 del </w:t>
      </w:r>
      <w:r w:rsidR="00AE7B1B" w:rsidRPr="00393E08">
        <w:rPr>
          <w:rFonts w:ascii="Verdana" w:eastAsia="Calibri" w:hAnsi="Verdana" w:cs="Arial"/>
        </w:rPr>
        <w:t>artículo 2.2.1.2.1.1.2. del Decreto 1082 de 2015</w:t>
      </w:r>
      <w:r w:rsidR="00167CED">
        <w:rPr>
          <w:rFonts w:ascii="Verdana" w:eastAsia="Calibri" w:hAnsi="Verdana" w:cs="Arial"/>
        </w:rPr>
        <w:t xml:space="preserve">, vencido el término de traslado del respectivo </w:t>
      </w:r>
      <w:r w:rsidR="00357A77">
        <w:rPr>
          <w:rFonts w:ascii="Verdana" w:eastAsia="Calibri" w:hAnsi="Verdana" w:cs="Arial"/>
        </w:rPr>
        <w:t>informe de evaluación.</w:t>
      </w:r>
    </w:p>
    <w:p w14:paraId="51BC8664" w14:textId="30C35C27" w:rsidR="00464DE2" w:rsidRDefault="00FC5AE8" w:rsidP="00AF19C1">
      <w:pPr>
        <w:pStyle w:val="Textoindependiente"/>
        <w:spacing w:before="1" w:line="276" w:lineRule="auto"/>
        <w:ind w:right="205" w:firstLine="708"/>
        <w:jc w:val="both"/>
        <w:rPr>
          <w:rFonts w:ascii="Verdana" w:eastAsia="Calibri" w:hAnsi="Verdana"/>
          <w:lang w:val="es-CO"/>
        </w:rPr>
      </w:pPr>
      <w:proofErr w:type="spellStart"/>
      <w:r>
        <w:rPr>
          <w:rFonts w:ascii="Verdana" w:eastAsia="Calibri" w:hAnsi="Verdana"/>
          <w:lang w:val="es-CO"/>
        </w:rPr>
        <w:t>ii</w:t>
      </w:r>
      <w:proofErr w:type="spellEnd"/>
      <w:r>
        <w:rPr>
          <w:rFonts w:ascii="Verdana" w:eastAsia="Calibri" w:hAnsi="Verdana"/>
          <w:lang w:val="es-CO"/>
        </w:rPr>
        <w:t xml:space="preserve">) </w:t>
      </w:r>
      <w:r w:rsidR="00C85229" w:rsidRPr="00C85229">
        <w:rPr>
          <w:rFonts w:ascii="Verdana" w:eastAsia="Calibri" w:hAnsi="Verdana"/>
          <w:lang w:val="es-CO"/>
        </w:rPr>
        <w:t xml:space="preserve">Finalmente, respecto al </w:t>
      </w:r>
      <w:r w:rsidR="00C85229">
        <w:rPr>
          <w:rFonts w:ascii="Verdana" w:eastAsia="Calibri" w:hAnsi="Verdana"/>
          <w:lang w:val="es-CO"/>
        </w:rPr>
        <w:t>segundo</w:t>
      </w:r>
      <w:r w:rsidR="00C85229" w:rsidRPr="00C85229">
        <w:rPr>
          <w:rFonts w:ascii="Verdana" w:eastAsia="Calibri" w:hAnsi="Verdana"/>
          <w:lang w:val="es-CO"/>
        </w:rPr>
        <w:t xml:space="preserve"> interrogante planteado, de conformidad a lo establecido en el inciso final del parágrafo 3 del artículo 30 de la Ley 80 de 1993,</w:t>
      </w:r>
      <w:r w:rsidR="00B33DEC">
        <w:rPr>
          <w:rFonts w:ascii="Verdana" w:eastAsia="Calibri" w:hAnsi="Verdana"/>
          <w:lang w:val="es-CO"/>
        </w:rPr>
        <w:t xml:space="preserve"> después de realizar la </w:t>
      </w:r>
      <w:r w:rsidR="00B33DEC">
        <w:rPr>
          <w:rFonts w:ascii="Verdana" w:eastAsia="Century Gothic" w:hAnsi="Verdana" w:cs="Century Gothic"/>
        </w:rPr>
        <w:t xml:space="preserve">apertura del sobre económico en la audiencia de adjudicación, se pueden hacer nuevas observaciones, para lo </w:t>
      </w:r>
      <w:r w:rsidR="00B33DEC">
        <w:rPr>
          <w:rFonts w:ascii="Verdana" w:eastAsia="Century Gothic" w:hAnsi="Verdana" w:cs="Century Gothic"/>
        </w:rPr>
        <w:lastRenderedPageBreak/>
        <w:t>cual</w:t>
      </w:r>
      <w:r w:rsidR="00C85229" w:rsidRPr="00C85229">
        <w:rPr>
          <w:rFonts w:ascii="Verdana" w:eastAsia="Calibri" w:hAnsi="Verdana"/>
          <w:lang w:val="es-CO"/>
        </w:rPr>
        <w:t xml:space="preserve"> la entidad dará traslado a los proponentes habilitados</w:t>
      </w:r>
      <w:r w:rsidR="00B33DEC">
        <w:rPr>
          <w:rFonts w:ascii="Verdana" w:eastAsia="Calibri" w:hAnsi="Verdana"/>
          <w:lang w:val="es-CO"/>
        </w:rPr>
        <w:t xml:space="preserve">, </w:t>
      </w:r>
      <w:r w:rsidR="00C55634">
        <w:rPr>
          <w:rFonts w:ascii="Verdana" w:eastAsia="Calibri" w:hAnsi="Verdana"/>
          <w:lang w:val="es-CO"/>
        </w:rPr>
        <w:t xml:space="preserve">advirtiendo que estas </w:t>
      </w:r>
      <w:r w:rsidR="002C6E6B">
        <w:rPr>
          <w:rFonts w:ascii="Verdana" w:eastAsia="Calibri" w:hAnsi="Verdana"/>
          <w:lang w:val="es-CO"/>
        </w:rPr>
        <w:t>observaciones deberán</w:t>
      </w:r>
      <w:r w:rsidR="00B40BBE">
        <w:rPr>
          <w:rFonts w:ascii="Verdana" w:eastAsia="Calibri" w:hAnsi="Verdana"/>
          <w:lang w:val="es-CO"/>
        </w:rPr>
        <w:t xml:space="preserve"> versar sobre </w:t>
      </w:r>
      <w:r w:rsidR="00C85229" w:rsidRPr="00C85229">
        <w:rPr>
          <w:rFonts w:ascii="Verdana" w:eastAsia="Calibri" w:hAnsi="Verdana"/>
          <w:lang w:val="es-CO"/>
        </w:rPr>
        <w:t>la ponderación de la oferta económica, con lo cual se aclara que los proponentes no podrían hacer observaciones sobre condiciones o situaciones diferentes.</w:t>
      </w:r>
      <w:r w:rsidR="00934532">
        <w:rPr>
          <w:rFonts w:ascii="Verdana" w:eastAsia="Calibri" w:hAnsi="Verdana"/>
          <w:lang w:val="es-CO"/>
        </w:rPr>
        <w:t xml:space="preserve"> </w:t>
      </w:r>
    </w:p>
    <w:p w14:paraId="17A86411" w14:textId="77777777" w:rsidR="002814F9" w:rsidRDefault="002814F9" w:rsidP="00741839">
      <w:pPr>
        <w:pStyle w:val="Textoindependiente"/>
        <w:spacing w:before="1" w:line="276" w:lineRule="auto"/>
        <w:ind w:right="205"/>
        <w:jc w:val="both"/>
        <w:rPr>
          <w:rFonts w:ascii="Verdana" w:eastAsia="Calibri" w:hAnsi="Verdana"/>
          <w:lang w:val="es-CO"/>
        </w:rPr>
      </w:pPr>
    </w:p>
    <w:p w14:paraId="6DD5E00C" w14:textId="77777777" w:rsidR="000365B6" w:rsidRPr="00CC2A30" w:rsidRDefault="000365B6" w:rsidP="000365B6">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C2A30">
        <w:rPr>
          <w:rFonts w:ascii="Verdana" w:eastAsia="Century Gothic" w:hAnsi="Verdana" w:cs="Century Gothic"/>
          <w:b/>
          <w:bCs/>
        </w:rPr>
        <w:t>Razones de la respuesta:</w:t>
      </w:r>
    </w:p>
    <w:p w14:paraId="41011CD4" w14:textId="77777777" w:rsidR="000365B6" w:rsidRPr="00CC2A30" w:rsidRDefault="000365B6" w:rsidP="000365B6">
      <w:pPr>
        <w:pStyle w:val="Prrafodelista"/>
        <w:tabs>
          <w:tab w:val="left" w:pos="142"/>
          <w:tab w:val="left" w:pos="284"/>
        </w:tabs>
        <w:spacing w:after="0" w:line="276" w:lineRule="auto"/>
        <w:ind w:left="0"/>
        <w:jc w:val="both"/>
        <w:rPr>
          <w:rFonts w:ascii="Verdana" w:eastAsia="Century Gothic" w:hAnsi="Verdana" w:cs="Century Gothic"/>
          <w:b/>
          <w:bCs/>
        </w:rPr>
      </w:pPr>
    </w:p>
    <w:p w14:paraId="62BBBD37" w14:textId="77777777" w:rsidR="000365B6" w:rsidRPr="00CC2A30" w:rsidRDefault="000365B6" w:rsidP="000365B6">
      <w:pPr>
        <w:spacing w:after="0" w:line="276" w:lineRule="auto"/>
        <w:jc w:val="both"/>
        <w:rPr>
          <w:rFonts w:ascii="Verdana" w:eastAsia="Calibri" w:hAnsi="Verdana" w:cs="Arial"/>
          <w:lang w:val="es-ES"/>
        </w:rPr>
      </w:pPr>
      <w:r w:rsidRPr="00CC2A30">
        <w:rPr>
          <w:rFonts w:ascii="Verdana" w:eastAsia="Calibri" w:hAnsi="Verdana" w:cs="Arial"/>
          <w:lang w:val="es-ES"/>
        </w:rPr>
        <w:t xml:space="preserve">Lo anterior se sustenta en las siguientes consideraciones: </w:t>
      </w:r>
    </w:p>
    <w:p w14:paraId="7BDC7155" w14:textId="77777777" w:rsidR="000365B6" w:rsidRDefault="000365B6" w:rsidP="000365B6">
      <w:pPr>
        <w:spacing w:after="0" w:line="276" w:lineRule="auto"/>
        <w:jc w:val="both"/>
        <w:rPr>
          <w:rFonts w:ascii="Verdana" w:eastAsia="Calibri" w:hAnsi="Verdana" w:cs="Arial"/>
          <w:lang w:val="es-ES"/>
        </w:rPr>
      </w:pPr>
    </w:p>
    <w:p w14:paraId="4B6007EB" w14:textId="2FA6DB4F" w:rsidR="00DD1F8B" w:rsidRDefault="00321C96" w:rsidP="00B627EF">
      <w:pPr>
        <w:pStyle w:val="Prrafodelista"/>
        <w:numPr>
          <w:ilvl w:val="0"/>
          <w:numId w:val="24"/>
        </w:numPr>
        <w:spacing w:after="0"/>
        <w:ind w:left="360"/>
        <w:jc w:val="both"/>
        <w:rPr>
          <w:rFonts w:ascii="Verdana" w:eastAsia="Calibri" w:hAnsi="Verdana" w:cs="Arial"/>
          <w:color w:val="000000" w:themeColor="text1"/>
        </w:rPr>
      </w:pPr>
      <w:r>
        <w:rPr>
          <w:rFonts w:ascii="Verdana" w:eastAsia="Calibri" w:hAnsi="Verdana" w:cs="Arial"/>
          <w:bCs/>
          <w:lang w:val="es-ES_tradnl" w:eastAsia="es-MX"/>
        </w:rPr>
        <w:t xml:space="preserve">Para iniciar la sustentación de </w:t>
      </w:r>
      <w:r w:rsidR="006A26A4">
        <w:rPr>
          <w:rFonts w:ascii="Verdana" w:eastAsia="Calibri" w:hAnsi="Verdana" w:cs="Arial"/>
          <w:bCs/>
          <w:lang w:val="es-ES_tradnl" w:eastAsia="es-MX"/>
        </w:rPr>
        <w:t>la respuesta</w:t>
      </w:r>
      <w:r>
        <w:rPr>
          <w:rFonts w:ascii="Verdana" w:eastAsia="Calibri" w:hAnsi="Verdana" w:cs="Arial"/>
          <w:bCs/>
          <w:lang w:val="es-ES_tradnl" w:eastAsia="es-MX"/>
        </w:rPr>
        <w:t>, se debe</w:t>
      </w:r>
      <w:r w:rsidR="002E3486">
        <w:rPr>
          <w:rFonts w:ascii="Verdana" w:eastAsia="Calibri" w:hAnsi="Verdana" w:cs="Arial"/>
          <w:bCs/>
          <w:lang w:val="es-ES_tradnl" w:eastAsia="es-MX"/>
        </w:rPr>
        <w:t xml:space="preserve"> hacer referencia a la estructura del proceso de licitación </w:t>
      </w:r>
      <w:r w:rsidR="00DD1F8B">
        <w:rPr>
          <w:rFonts w:ascii="Verdana" w:eastAsia="Calibri" w:hAnsi="Verdana" w:cs="Arial"/>
          <w:bCs/>
          <w:lang w:val="es-ES_tradnl" w:eastAsia="es-MX"/>
        </w:rPr>
        <w:t>pública</w:t>
      </w:r>
      <w:r w:rsidR="002E3486">
        <w:rPr>
          <w:rFonts w:ascii="Verdana" w:eastAsia="Calibri" w:hAnsi="Verdana" w:cs="Arial"/>
          <w:bCs/>
          <w:lang w:val="es-ES_tradnl" w:eastAsia="es-MX"/>
        </w:rPr>
        <w:t xml:space="preserve">, que es la modalidad mencionada en la consulta, para lo cual es </w:t>
      </w:r>
      <w:r w:rsidR="00E7031C">
        <w:rPr>
          <w:rFonts w:ascii="Verdana" w:eastAsia="Calibri" w:hAnsi="Verdana" w:cs="Arial"/>
          <w:bCs/>
          <w:lang w:val="es-ES_tradnl" w:eastAsia="es-MX"/>
        </w:rPr>
        <w:t>pertinente indicar que l</w:t>
      </w:r>
      <w:r w:rsidR="00D43819">
        <w:rPr>
          <w:rFonts w:ascii="Verdana" w:hAnsi="Verdana"/>
        </w:rPr>
        <w:t>os Procesos de Contratación que deben adelantar las Entidades Estatales para</w:t>
      </w:r>
      <w:r w:rsidR="00D43819" w:rsidRPr="0007375E">
        <w:rPr>
          <w:rFonts w:ascii="Verdana" w:eastAsia="Calibri" w:hAnsi="Verdana" w:cs="Arial"/>
          <w:color w:val="000000" w:themeColor="text1"/>
        </w:rPr>
        <w:t xml:space="preserve"> adquirir </w:t>
      </w:r>
      <w:r w:rsidR="00D43819">
        <w:rPr>
          <w:rFonts w:ascii="Verdana" w:eastAsia="Calibri" w:hAnsi="Verdana" w:cs="Arial"/>
          <w:color w:val="000000" w:themeColor="text1"/>
        </w:rPr>
        <w:t xml:space="preserve">los </w:t>
      </w:r>
      <w:r w:rsidR="00D43819" w:rsidRPr="0007375E">
        <w:rPr>
          <w:rFonts w:ascii="Verdana" w:eastAsia="Calibri" w:hAnsi="Verdana" w:cs="Arial"/>
          <w:color w:val="000000" w:themeColor="text1"/>
        </w:rPr>
        <w:t>bienes</w:t>
      </w:r>
      <w:r w:rsidR="00D43819">
        <w:rPr>
          <w:rFonts w:ascii="Verdana" w:eastAsia="Calibri" w:hAnsi="Verdana" w:cs="Arial"/>
          <w:color w:val="000000" w:themeColor="text1"/>
        </w:rPr>
        <w:t>,</w:t>
      </w:r>
      <w:r w:rsidR="00D43819" w:rsidRPr="0007375E">
        <w:rPr>
          <w:rFonts w:ascii="Verdana" w:eastAsia="Calibri" w:hAnsi="Verdana" w:cs="Arial"/>
          <w:color w:val="000000" w:themeColor="text1"/>
        </w:rPr>
        <w:t xml:space="preserve"> o</w:t>
      </w:r>
      <w:r w:rsidR="00D43819">
        <w:rPr>
          <w:rFonts w:ascii="Verdana" w:eastAsia="Calibri" w:hAnsi="Verdana" w:cs="Arial"/>
          <w:color w:val="000000" w:themeColor="text1"/>
        </w:rPr>
        <w:t xml:space="preserve">bras o </w:t>
      </w:r>
      <w:r w:rsidR="00D43819" w:rsidRPr="0007375E">
        <w:rPr>
          <w:rFonts w:ascii="Verdana" w:eastAsia="Calibri" w:hAnsi="Verdana" w:cs="Arial"/>
          <w:color w:val="000000" w:themeColor="text1"/>
        </w:rPr>
        <w:t xml:space="preserve">servicios </w:t>
      </w:r>
      <w:r w:rsidR="00D43819">
        <w:rPr>
          <w:rFonts w:ascii="Verdana" w:eastAsia="Calibri" w:hAnsi="Verdana" w:cs="Arial"/>
          <w:color w:val="000000" w:themeColor="text1"/>
        </w:rPr>
        <w:t>que se requieren, se rigen por procedimientos reglados establecidos por la ley y el reglamento</w:t>
      </w:r>
      <w:r w:rsidR="00D43819" w:rsidRPr="0007375E">
        <w:rPr>
          <w:rFonts w:ascii="Verdana" w:eastAsia="Calibri" w:hAnsi="Verdana" w:cs="Arial"/>
          <w:color w:val="000000" w:themeColor="text1"/>
        </w:rPr>
        <w:t>.</w:t>
      </w:r>
      <w:r w:rsidR="00D43819">
        <w:rPr>
          <w:rFonts w:ascii="Verdana" w:eastAsia="Calibri" w:hAnsi="Verdana" w:cs="Arial"/>
          <w:color w:val="000000" w:themeColor="text1"/>
        </w:rPr>
        <w:t xml:space="preserve"> </w:t>
      </w:r>
    </w:p>
    <w:p w14:paraId="32CDDDFA" w14:textId="77777777" w:rsidR="00E923E4" w:rsidRPr="00B627EF" w:rsidRDefault="00E923E4" w:rsidP="00B627EF">
      <w:pPr>
        <w:pStyle w:val="Prrafodelista"/>
        <w:spacing w:after="0"/>
        <w:ind w:left="360"/>
        <w:jc w:val="both"/>
        <w:rPr>
          <w:rFonts w:ascii="Verdana" w:hAnsi="Verdana" w:cs="Arial"/>
          <w:color w:val="000000" w:themeColor="text1"/>
        </w:rPr>
      </w:pPr>
    </w:p>
    <w:p w14:paraId="6499D224" w14:textId="715DB3F6" w:rsidR="00D43819" w:rsidRPr="0007375E" w:rsidRDefault="00227130" w:rsidP="00227130">
      <w:pPr>
        <w:pStyle w:val="Prrafodelista"/>
        <w:numPr>
          <w:ilvl w:val="0"/>
          <w:numId w:val="24"/>
        </w:numPr>
        <w:spacing w:after="0"/>
        <w:ind w:left="360"/>
        <w:jc w:val="both"/>
        <w:rPr>
          <w:rFonts w:ascii="Verdana" w:hAnsi="Verdana" w:cs="Arial"/>
          <w:color w:val="000000" w:themeColor="text1"/>
        </w:rPr>
      </w:pPr>
      <w:r>
        <w:rPr>
          <w:rFonts w:ascii="Verdana" w:eastAsia="Calibri" w:hAnsi="Verdana" w:cs="Arial"/>
        </w:rPr>
        <w:t>L</w:t>
      </w:r>
      <w:r w:rsidR="00D43819" w:rsidRPr="00013611">
        <w:rPr>
          <w:rFonts w:ascii="Verdana" w:eastAsia="Calibri" w:hAnsi="Verdana" w:cs="Arial"/>
        </w:rPr>
        <w:t>a</w:t>
      </w:r>
      <w:r>
        <w:rPr>
          <w:rFonts w:ascii="Verdana" w:eastAsia="Calibri" w:hAnsi="Verdana" w:cs="Arial"/>
        </w:rPr>
        <w:t xml:space="preserve"> modalidad de selección de contratistas por regla general y determinada por parte del </w:t>
      </w:r>
      <w:r w:rsidR="006A26A4">
        <w:rPr>
          <w:rFonts w:ascii="Verdana" w:eastAsia="Calibri" w:hAnsi="Verdana" w:cs="Arial"/>
        </w:rPr>
        <w:t>legislador</w:t>
      </w:r>
      <w:r>
        <w:rPr>
          <w:rFonts w:ascii="Verdana" w:eastAsia="Calibri" w:hAnsi="Verdana" w:cs="Arial"/>
        </w:rPr>
        <w:t xml:space="preserve"> es la</w:t>
      </w:r>
      <w:r w:rsidR="00D43819" w:rsidRPr="00013611">
        <w:rPr>
          <w:rFonts w:ascii="Verdana" w:eastAsia="Calibri" w:hAnsi="Verdana" w:cs="Arial"/>
        </w:rPr>
        <w:t xml:space="preserve"> licitación pública, </w:t>
      </w:r>
      <w:r>
        <w:rPr>
          <w:rFonts w:ascii="Verdana" w:eastAsia="Calibri" w:hAnsi="Verdana" w:cs="Arial"/>
        </w:rPr>
        <w:t xml:space="preserve">la cual </w:t>
      </w:r>
      <w:r w:rsidR="00214B24">
        <w:rPr>
          <w:rFonts w:ascii="Verdana" w:eastAsia="Calibri" w:hAnsi="Verdana" w:cs="Arial"/>
        </w:rPr>
        <w:t>tiene en</w:t>
      </w:r>
      <w:r w:rsidR="00DC4610">
        <w:rPr>
          <w:rFonts w:ascii="Verdana" w:eastAsia="Calibri" w:hAnsi="Verdana" w:cs="Arial"/>
        </w:rPr>
        <w:t xml:space="preserve"> </w:t>
      </w:r>
      <w:r w:rsidR="00D43819" w:rsidRPr="00013611">
        <w:rPr>
          <w:rFonts w:ascii="Verdana" w:eastAsia="Calibri" w:hAnsi="Verdana" w:cs="Arial"/>
        </w:rPr>
        <w:t>el artículo 30 de la Ley 80 de 1993</w:t>
      </w:r>
      <w:r w:rsidR="00DC4610">
        <w:rPr>
          <w:rFonts w:ascii="Verdana" w:eastAsia="Calibri" w:hAnsi="Verdana" w:cs="Arial"/>
        </w:rPr>
        <w:t>,</w:t>
      </w:r>
      <w:r w:rsidR="0016243E">
        <w:rPr>
          <w:rFonts w:ascii="Verdana" w:eastAsia="Calibri" w:hAnsi="Verdana" w:cs="Arial"/>
        </w:rPr>
        <w:t xml:space="preserve"> </w:t>
      </w:r>
      <w:r w:rsidR="00D43819" w:rsidRPr="00013611">
        <w:rPr>
          <w:rFonts w:ascii="Verdana" w:eastAsia="Calibri" w:hAnsi="Verdana" w:cs="Arial"/>
        </w:rPr>
        <w:t>la estructura del proceso y sus fases.</w:t>
      </w:r>
      <w:r w:rsidR="00D43819" w:rsidRPr="0007375E">
        <w:rPr>
          <w:rFonts w:ascii="Verdana" w:hAnsi="Verdana" w:cs="Arial"/>
          <w:color w:val="000000" w:themeColor="text1"/>
        </w:rPr>
        <w:t xml:space="preserve"> </w:t>
      </w:r>
    </w:p>
    <w:p w14:paraId="1CADBD53" w14:textId="77777777" w:rsidR="00187799" w:rsidRPr="00187799" w:rsidRDefault="00187799" w:rsidP="00187799">
      <w:pPr>
        <w:pStyle w:val="Prrafodelista"/>
        <w:rPr>
          <w:rFonts w:ascii="Verdana" w:hAnsi="Verdana" w:cs="Arial"/>
          <w:color w:val="000000" w:themeColor="text1"/>
        </w:rPr>
      </w:pPr>
    </w:p>
    <w:p w14:paraId="4A0D5785" w14:textId="77777777" w:rsidR="0078753A" w:rsidRDefault="00D43819" w:rsidP="00B30959">
      <w:pPr>
        <w:pStyle w:val="Prrafodelista"/>
        <w:numPr>
          <w:ilvl w:val="0"/>
          <w:numId w:val="24"/>
        </w:numPr>
        <w:spacing w:after="0"/>
        <w:ind w:left="360"/>
        <w:jc w:val="both"/>
        <w:rPr>
          <w:rStyle w:val="normaltextrun"/>
          <w:rFonts w:ascii="Verdana" w:hAnsi="Verdana" w:cs="Arial"/>
          <w:color w:val="000000"/>
          <w:shd w:val="clear" w:color="auto" w:fill="FFFFFF"/>
        </w:rPr>
      </w:pPr>
      <w:r w:rsidRPr="00187799">
        <w:rPr>
          <w:rFonts w:ascii="Verdana" w:hAnsi="Verdana" w:cs="Arial"/>
          <w:color w:val="000000" w:themeColor="text1"/>
        </w:rPr>
        <w:t xml:space="preserve">El </w:t>
      </w:r>
      <w:r w:rsidR="00187799">
        <w:rPr>
          <w:rFonts w:ascii="Verdana" w:hAnsi="Verdana" w:cs="Arial"/>
          <w:color w:val="000000" w:themeColor="text1"/>
        </w:rPr>
        <w:t xml:space="preserve">numeral 1, </w:t>
      </w:r>
      <w:r w:rsidR="005B30BC">
        <w:rPr>
          <w:rFonts w:ascii="Verdana" w:hAnsi="Verdana" w:cs="Arial"/>
          <w:color w:val="000000" w:themeColor="text1"/>
        </w:rPr>
        <w:t xml:space="preserve">del </w:t>
      </w:r>
      <w:r w:rsidRPr="00187799">
        <w:rPr>
          <w:rFonts w:ascii="Verdana" w:hAnsi="Verdana" w:cs="Arial"/>
          <w:color w:val="000000" w:themeColor="text1"/>
        </w:rPr>
        <w:t xml:space="preserve">artículo 30 de la Ley 80 establece que el jefe o representante de la entidad ordenará la apertura mediante un acto administrativo, en la forma prevista en el artículo </w:t>
      </w:r>
      <w:bookmarkStart w:id="0" w:name="_Hlk177288819"/>
      <w:r w:rsidRPr="00187799">
        <w:rPr>
          <w:rFonts w:ascii="Verdana" w:hAnsi="Verdana" w:cs="Arial"/>
          <w:color w:val="000000" w:themeColor="text1"/>
        </w:rPr>
        <w:t xml:space="preserve">2.2.1.1.2.1.5. </w:t>
      </w:r>
      <w:bookmarkEnd w:id="0"/>
      <w:r w:rsidRPr="00187799">
        <w:rPr>
          <w:rFonts w:ascii="Verdana" w:hAnsi="Verdana" w:cs="Arial"/>
          <w:color w:val="000000" w:themeColor="text1"/>
        </w:rPr>
        <w:t xml:space="preserve">del Decreto 1082 de 2015, y deberá expedirse el pliego de condiciones definitivo. Con este acto de apertura inicia la etapa de licitación propiamente dicha, en la que –previa resolución de las observaciones que se realicen– los interesados podrán presentar ofertas. </w:t>
      </w:r>
      <w:r w:rsidRPr="00187799">
        <w:rPr>
          <w:rStyle w:val="normaltextrun"/>
          <w:rFonts w:ascii="Verdana" w:hAnsi="Verdana" w:cs="Arial"/>
          <w:color w:val="000000"/>
          <w:shd w:val="clear" w:color="auto" w:fill="FFFFFF"/>
        </w:rPr>
        <w:t>Esta etapa fue denominada por el legislador como </w:t>
      </w:r>
      <w:r w:rsidRPr="00187799">
        <w:rPr>
          <w:rStyle w:val="normaltextrun"/>
          <w:rFonts w:ascii="Verdana" w:hAnsi="Verdana" w:cs="Arial"/>
          <w:i/>
          <w:iCs/>
          <w:color w:val="000000"/>
          <w:shd w:val="clear" w:color="auto" w:fill="FFFFFF"/>
        </w:rPr>
        <w:t>plazo de licitación, </w:t>
      </w:r>
      <w:r w:rsidRPr="00187799">
        <w:rPr>
          <w:rStyle w:val="normaltextrun"/>
          <w:rFonts w:ascii="Verdana" w:hAnsi="Verdana" w:cs="Arial"/>
          <w:color w:val="000000"/>
          <w:shd w:val="clear" w:color="auto" w:fill="FFFFFF"/>
        </w:rPr>
        <w:t>y alude a la oportunidad que tienen los proponentes para presentar ofertas. Este plazo, según el numeral 5 del inciso del artículo 30 de la Ley 80 de 1993, se computa desde la fecha a partir de la cual se pueden presentar propuestas y hasta la de su cierre, según lo defina el pliego de condiciones. </w:t>
      </w:r>
    </w:p>
    <w:p w14:paraId="7CE36B3F" w14:textId="77777777" w:rsidR="0078753A" w:rsidRPr="0078753A" w:rsidRDefault="0078753A" w:rsidP="0078753A">
      <w:pPr>
        <w:pStyle w:val="Prrafodelista"/>
        <w:rPr>
          <w:rFonts w:ascii="Verdana" w:hAnsi="Verdana" w:cs="Arial"/>
          <w:color w:val="000000" w:themeColor="text1"/>
        </w:rPr>
      </w:pPr>
    </w:p>
    <w:p w14:paraId="6FC5542C" w14:textId="4658D4F0" w:rsidR="00D43819" w:rsidRPr="00B30959" w:rsidRDefault="00D43819" w:rsidP="00B30959">
      <w:pPr>
        <w:pStyle w:val="Prrafodelista"/>
        <w:numPr>
          <w:ilvl w:val="0"/>
          <w:numId w:val="24"/>
        </w:numPr>
        <w:spacing w:after="0"/>
        <w:ind w:left="360"/>
        <w:jc w:val="both"/>
        <w:rPr>
          <w:rFonts w:ascii="Verdana" w:hAnsi="Verdana" w:cs="Arial"/>
          <w:color w:val="000000"/>
          <w:shd w:val="clear" w:color="auto" w:fill="FFFFFF"/>
        </w:rPr>
      </w:pPr>
      <w:r w:rsidRPr="0078753A">
        <w:rPr>
          <w:rFonts w:ascii="Verdana" w:hAnsi="Verdana" w:cs="Arial"/>
          <w:color w:val="000000" w:themeColor="text1"/>
        </w:rPr>
        <w:t xml:space="preserve">Así las cosas, la entidad pública es quien define el término con que contarán los oferentes para preparar y presentar sus ofertas, que deberá, en todo caso, responder a la naturaleza, objeto y cuantía del contrato. Además, los numerales 4 y 5 de la noma facultan a la entidad para prorrogar este término, pues, de un lado, el numeral 4 permite a la entidad prorrogar este plazo hasta por 6 días hábiles, cuando de la audiencia de que trata este numeral el jefe </w:t>
      </w:r>
      <w:r w:rsidRPr="0078753A">
        <w:rPr>
          <w:rFonts w:ascii="Verdana" w:hAnsi="Verdana" w:cs="Arial"/>
          <w:color w:val="000000" w:themeColor="text1"/>
        </w:rPr>
        <w:lastRenderedPageBreak/>
        <w:t>de la entidad expida las modificaciones a los pliegos; y de otro, el numeral 5 prevé que antes de su vencimiento, y cuando la entidad interesada lo estime conveniente, podrá prorrogarlo por un término no superior a la mitad del inicialmente fijado, aunque en todo caso no podrán expedirse una adenda dentro de los 3 días anteriores al cierre de la licitación. De todos modos, el término fijado es perentorio y de obligatorio cumplimiento para los oferente</w:t>
      </w:r>
      <w:r w:rsidR="008523E4">
        <w:rPr>
          <w:rFonts w:ascii="Verdana" w:hAnsi="Verdana" w:cs="Arial"/>
          <w:color w:val="000000" w:themeColor="text1"/>
        </w:rPr>
        <w:t>s.</w:t>
      </w:r>
    </w:p>
    <w:p w14:paraId="2B29F028" w14:textId="77777777" w:rsidR="00B30959" w:rsidRPr="00B30959" w:rsidRDefault="00B30959" w:rsidP="00B30959">
      <w:pPr>
        <w:pStyle w:val="Prrafodelista"/>
        <w:rPr>
          <w:rFonts w:ascii="Verdana" w:hAnsi="Verdana" w:cs="Arial"/>
          <w:color w:val="000000"/>
          <w:shd w:val="clear" w:color="auto" w:fill="FFFFFF"/>
        </w:rPr>
      </w:pPr>
    </w:p>
    <w:p w14:paraId="003B014B" w14:textId="77777777" w:rsidR="00D43819" w:rsidRDefault="00D43819" w:rsidP="00B30959">
      <w:pPr>
        <w:pStyle w:val="Prrafodelista"/>
        <w:numPr>
          <w:ilvl w:val="0"/>
          <w:numId w:val="24"/>
        </w:numPr>
        <w:spacing w:after="0"/>
        <w:ind w:left="360"/>
        <w:jc w:val="both"/>
        <w:rPr>
          <w:rFonts w:ascii="Verdana" w:hAnsi="Verdana" w:cs="Arial"/>
          <w:color w:val="000000" w:themeColor="text1"/>
        </w:rPr>
      </w:pPr>
      <w:r w:rsidRPr="00B30959">
        <w:rPr>
          <w:rFonts w:ascii="Verdana" w:hAnsi="Verdana" w:cs="Arial"/>
          <w:color w:val="000000" w:themeColor="text1"/>
        </w:rPr>
        <w:t>Es pertinente señalar que en esta etapa de presentación de propuestas se</w:t>
      </w:r>
      <w:r w:rsidRPr="0007375E">
        <w:rPr>
          <w:rFonts w:ascii="Verdana" w:hAnsi="Verdana" w:cs="Arial"/>
          <w:color w:val="000000" w:themeColor="text1"/>
        </w:rPr>
        <w:t xml:space="preserve"> surtirán otras actuaciones. El numeral 4 de la misma disposición establece una de ellas: la audiencia para precisar el alcance de los pliegos de condiciones y de asignación de riesgos. La oportunidad para celebrar esta audiencia es dentro de los tres (3) días hábiles siguientes al inicio del plazo de licitación.</w:t>
      </w:r>
    </w:p>
    <w:p w14:paraId="0B7C4156" w14:textId="77777777" w:rsidR="00D8283A" w:rsidRPr="00D8283A" w:rsidRDefault="00D8283A" w:rsidP="00D8283A">
      <w:pPr>
        <w:pStyle w:val="Prrafodelista"/>
        <w:rPr>
          <w:rFonts w:ascii="Verdana" w:hAnsi="Verdana" w:cs="Arial"/>
          <w:color w:val="000000" w:themeColor="text1"/>
        </w:rPr>
      </w:pPr>
    </w:p>
    <w:p w14:paraId="2F1FD6FF" w14:textId="77777777" w:rsidR="003A329D" w:rsidRDefault="00D43819" w:rsidP="007C1AFB">
      <w:pPr>
        <w:pStyle w:val="Prrafodelista"/>
        <w:numPr>
          <w:ilvl w:val="0"/>
          <w:numId w:val="24"/>
        </w:numPr>
        <w:spacing w:after="0"/>
        <w:ind w:left="360"/>
        <w:jc w:val="both"/>
        <w:rPr>
          <w:rFonts w:ascii="Verdana" w:hAnsi="Verdana" w:cs="Arial"/>
          <w:color w:val="000000" w:themeColor="text1"/>
        </w:rPr>
      </w:pPr>
      <w:r w:rsidRPr="009745B0">
        <w:rPr>
          <w:rFonts w:ascii="Verdana" w:hAnsi="Verdana" w:cs="Arial"/>
          <w:color w:val="000000" w:themeColor="text1"/>
        </w:rPr>
        <w:t xml:space="preserve">Una vez precluida la oportunidad para presentar ofertas, en el plazo que señala el pliego de condiciones </w:t>
      </w:r>
      <w:r w:rsidRPr="009745B0">
        <w:rPr>
          <w:rFonts w:ascii="Verdana" w:eastAsia="Calibri" w:hAnsi="Verdana" w:cs="Arial"/>
          <w:bCs/>
          <w:color w:val="000000" w:themeColor="text1"/>
        </w:rPr>
        <w:t>conforme al</w:t>
      </w:r>
      <w:r w:rsidR="004F7DCF">
        <w:rPr>
          <w:rFonts w:ascii="Verdana" w:eastAsia="Calibri" w:hAnsi="Verdana" w:cs="Arial"/>
          <w:bCs/>
          <w:color w:val="000000" w:themeColor="text1"/>
        </w:rPr>
        <w:t xml:space="preserve"> numeral 7 del </w:t>
      </w:r>
      <w:r w:rsidRPr="009745B0">
        <w:rPr>
          <w:rFonts w:ascii="Verdana" w:eastAsia="Calibri" w:hAnsi="Verdana" w:cs="Arial"/>
          <w:bCs/>
          <w:color w:val="000000" w:themeColor="text1"/>
        </w:rPr>
        <w:t>artículo 30 de la Ley 80 de 1993</w:t>
      </w:r>
      <w:r w:rsidRPr="009745B0">
        <w:rPr>
          <w:rFonts w:ascii="Verdana" w:hAnsi="Verdana" w:cs="Arial"/>
          <w:bCs/>
          <w:color w:val="000000" w:themeColor="text1"/>
        </w:rPr>
        <w:t>,</w:t>
      </w:r>
      <w:r w:rsidRPr="009745B0">
        <w:rPr>
          <w:rFonts w:ascii="Verdana" w:hAnsi="Verdana" w:cs="Arial"/>
          <w:color w:val="000000" w:themeColor="text1"/>
        </w:rPr>
        <w:t xml:space="preserve"> el comité evaluador de la entidad realizará “los estudios técnicos, económicos y jurídicos necesarios para la evaluación de las propuestas” y además podrá pedir a los proponentes las aclaraciones y explicaciones que considere pertinentes.  </w:t>
      </w:r>
    </w:p>
    <w:p w14:paraId="7387D36B" w14:textId="77777777" w:rsidR="003A329D" w:rsidRPr="003A329D" w:rsidRDefault="003A329D" w:rsidP="003A329D">
      <w:pPr>
        <w:pStyle w:val="Prrafodelista"/>
        <w:rPr>
          <w:rFonts w:ascii="Verdana" w:hAnsi="Verdana" w:cs="Arial"/>
          <w:color w:val="000000" w:themeColor="text1"/>
        </w:rPr>
      </w:pPr>
    </w:p>
    <w:p w14:paraId="2714C090" w14:textId="796191B5" w:rsidR="00633689" w:rsidRPr="009745B0" w:rsidRDefault="00D43819" w:rsidP="007C1AFB">
      <w:pPr>
        <w:pStyle w:val="Prrafodelista"/>
        <w:numPr>
          <w:ilvl w:val="0"/>
          <w:numId w:val="24"/>
        </w:numPr>
        <w:spacing w:after="0"/>
        <w:ind w:left="360"/>
        <w:jc w:val="both"/>
        <w:rPr>
          <w:rFonts w:ascii="Verdana" w:hAnsi="Verdana" w:cs="Arial"/>
          <w:color w:val="000000" w:themeColor="text1"/>
        </w:rPr>
      </w:pPr>
      <w:r w:rsidRPr="009745B0">
        <w:rPr>
          <w:rFonts w:ascii="Verdana" w:hAnsi="Verdana" w:cs="Arial"/>
          <w:color w:val="000000" w:themeColor="text1"/>
        </w:rPr>
        <w:t>Al respecto, el artículo 2.2.1.1.2.2.3 del Decreto 1082 de 2015 consagra el deber de los comités evaluadores de actuar de manera objetiva y de conformidad con los criterios señalados en el pliego de condiciones, y fija una cláusula de responsabilidad por el ejercicio de la labor encomendada.</w:t>
      </w:r>
    </w:p>
    <w:p w14:paraId="47B16D47" w14:textId="77777777" w:rsidR="007C7FAB" w:rsidRDefault="007C7FAB" w:rsidP="00DE433F">
      <w:pPr>
        <w:pStyle w:val="Prrafodelista"/>
        <w:spacing w:after="0"/>
        <w:ind w:left="360"/>
        <w:jc w:val="both"/>
        <w:rPr>
          <w:rFonts w:ascii="Verdana" w:eastAsia="Calibri" w:hAnsi="Verdana" w:cs="Arial"/>
          <w:lang w:val="es-ES_tradnl"/>
        </w:rPr>
      </w:pPr>
    </w:p>
    <w:p w14:paraId="1401DE6A" w14:textId="2562505B" w:rsidR="007F04FF" w:rsidRPr="00F85199" w:rsidRDefault="003D7E0E" w:rsidP="00666981">
      <w:pPr>
        <w:pStyle w:val="Prrafodelista"/>
        <w:numPr>
          <w:ilvl w:val="0"/>
          <w:numId w:val="23"/>
        </w:numPr>
        <w:spacing w:after="0"/>
        <w:jc w:val="both"/>
        <w:rPr>
          <w:rFonts w:ascii="Verdana" w:eastAsia="Calibri" w:hAnsi="Verdana" w:cs="Arial"/>
          <w:lang w:val="es-ES_tradnl"/>
        </w:rPr>
      </w:pPr>
      <w:r>
        <w:rPr>
          <w:rFonts w:ascii="Verdana" w:eastAsia="Calibri" w:hAnsi="Verdana" w:cs="Arial"/>
          <w:lang w:val="es-ES_tradnl"/>
        </w:rPr>
        <w:t xml:space="preserve">A su turno señala el numeral </w:t>
      </w:r>
      <w:r w:rsidR="00881B21">
        <w:rPr>
          <w:rFonts w:ascii="Verdana" w:eastAsia="Calibri" w:hAnsi="Verdana" w:cs="Arial"/>
          <w:lang w:val="es-ES_tradnl"/>
        </w:rPr>
        <w:t xml:space="preserve">8 del citado artículo 30 de la Ley 80 de 1993, </w:t>
      </w:r>
      <w:r w:rsidR="00F85199">
        <w:rPr>
          <w:rFonts w:ascii="Verdana" w:eastAsia="Calibri" w:hAnsi="Verdana" w:cs="Arial"/>
          <w:lang w:val="es-ES_tradnl"/>
        </w:rPr>
        <w:t xml:space="preserve">indica que </w:t>
      </w:r>
      <w:r w:rsidR="00CA78EE">
        <w:rPr>
          <w:rFonts w:ascii="Verdana" w:eastAsia="Calibri" w:hAnsi="Verdana" w:cs="Arial"/>
          <w:lang w:val="es-ES_tradnl"/>
        </w:rPr>
        <w:t>el</w:t>
      </w:r>
      <w:r w:rsidR="00CA78EE" w:rsidRPr="00F85199">
        <w:rPr>
          <w:rFonts w:ascii="Verdana" w:eastAsia="Calibri" w:hAnsi="Verdana" w:cs="Arial"/>
          <w:lang w:val="es-CO"/>
        </w:rPr>
        <w:t xml:space="preserve"> informe de evaluación de las propuestas permanecerá</w:t>
      </w:r>
      <w:r w:rsidR="00F85199" w:rsidRPr="00F85199">
        <w:rPr>
          <w:rFonts w:ascii="Verdana" w:eastAsia="Calibri" w:hAnsi="Verdana" w:cs="Arial"/>
          <w:lang w:val="es-CO"/>
        </w:rPr>
        <w:t xml:space="preserve"> en la secretaría de la entidad por un término de cinco (5) días hábiles para que los oferentes presenten las observaciones que estimen pertinentes. En ejercicio de esta facultad, los oferentes no podrán completar, adicionar, modificar o mejorar sus propuestas. </w:t>
      </w:r>
    </w:p>
    <w:p w14:paraId="36E9A67D" w14:textId="77777777" w:rsidR="00F85199" w:rsidRPr="007F04FF" w:rsidRDefault="00F85199" w:rsidP="00F85199">
      <w:pPr>
        <w:pStyle w:val="Prrafodelista"/>
        <w:spacing w:after="0"/>
        <w:ind w:left="360"/>
        <w:jc w:val="both"/>
        <w:rPr>
          <w:rFonts w:ascii="Verdana" w:eastAsia="Calibri" w:hAnsi="Verdana" w:cs="Arial"/>
          <w:lang w:val="es-ES_tradnl"/>
        </w:rPr>
      </w:pPr>
    </w:p>
    <w:p w14:paraId="72B4BCEB" w14:textId="77777777" w:rsidR="0016243E" w:rsidRDefault="00DE7823" w:rsidP="00666981">
      <w:pPr>
        <w:pStyle w:val="Prrafodelista"/>
        <w:numPr>
          <w:ilvl w:val="0"/>
          <w:numId w:val="23"/>
        </w:numPr>
        <w:spacing w:after="0"/>
        <w:jc w:val="both"/>
        <w:rPr>
          <w:rFonts w:ascii="Verdana" w:eastAsia="Calibri" w:hAnsi="Verdana" w:cs="Arial"/>
          <w:lang w:val="es-ES_tradnl"/>
        </w:rPr>
      </w:pPr>
      <w:r>
        <w:rPr>
          <w:rFonts w:ascii="Verdana" w:eastAsia="Calibri" w:hAnsi="Verdana" w:cs="Arial"/>
        </w:rPr>
        <w:t xml:space="preserve">En este escenario al momento de la verificación de las propuestas, </w:t>
      </w:r>
      <w:r w:rsidR="008A7A62">
        <w:rPr>
          <w:rFonts w:ascii="Verdana" w:eastAsia="Calibri" w:hAnsi="Verdana" w:cs="Arial"/>
        </w:rPr>
        <w:t xml:space="preserve">es donde hace aparición la </w:t>
      </w:r>
      <w:r w:rsidR="00666981" w:rsidRPr="004C6846">
        <w:rPr>
          <w:rFonts w:ascii="Verdana" w:eastAsia="Calibri" w:hAnsi="Verdana" w:cs="Arial"/>
        </w:rPr>
        <w:t xml:space="preserve">regla de subsanabilidad, </w:t>
      </w:r>
      <w:r w:rsidR="00666981" w:rsidRPr="004C6846">
        <w:rPr>
          <w:rFonts w:ascii="Verdana" w:eastAsia="Calibri" w:hAnsi="Verdana" w:cs="Arial"/>
          <w:lang w:val="es-ES_tradnl"/>
        </w:rPr>
        <w:t xml:space="preserve">contenida en el artículo 5 de la Ley 1150 de 2007, se concreta en los siguientes supuestos a saber: i) la falta de entrega o </w:t>
      </w:r>
      <w:proofErr w:type="spellStart"/>
      <w:r w:rsidR="00666981" w:rsidRPr="004C6846">
        <w:rPr>
          <w:rFonts w:ascii="Verdana" w:eastAsia="Calibri" w:hAnsi="Verdana" w:cs="Arial"/>
          <w:lang w:val="es-ES_tradnl"/>
        </w:rPr>
        <w:t>ii</w:t>
      </w:r>
      <w:proofErr w:type="spellEnd"/>
      <w:r w:rsidR="00666981" w:rsidRPr="004C6846">
        <w:rPr>
          <w:rFonts w:ascii="Verdana" w:eastAsia="Calibri" w:hAnsi="Verdana" w:cs="Arial"/>
          <w:lang w:val="es-ES_tradnl"/>
        </w:rPr>
        <w:t xml:space="preserve">) los defectos de los requisitos habilitantes. Así las cosas, la norma en mención dispone un criterio claro para determinar si la ausencia de documentos o requisitos de la oferta conlleva a su rechazo o al requerimiento del proponente para que la subsane. </w:t>
      </w:r>
    </w:p>
    <w:p w14:paraId="1AC08586" w14:textId="77777777" w:rsidR="0016243E" w:rsidRPr="0016243E" w:rsidRDefault="0016243E" w:rsidP="0016243E">
      <w:pPr>
        <w:pStyle w:val="Prrafodelista"/>
        <w:rPr>
          <w:rFonts w:ascii="Verdana" w:eastAsia="Calibri" w:hAnsi="Verdana" w:cs="Arial"/>
          <w:lang w:val="es-ES_tradnl"/>
        </w:rPr>
      </w:pPr>
    </w:p>
    <w:p w14:paraId="65413472" w14:textId="4248821F" w:rsidR="00666981" w:rsidRPr="00D2444C" w:rsidRDefault="00666981" w:rsidP="00666981">
      <w:pPr>
        <w:pStyle w:val="Prrafodelista"/>
        <w:numPr>
          <w:ilvl w:val="0"/>
          <w:numId w:val="23"/>
        </w:numPr>
        <w:spacing w:after="0"/>
        <w:jc w:val="both"/>
        <w:rPr>
          <w:rFonts w:ascii="Verdana" w:eastAsia="Calibri" w:hAnsi="Verdana" w:cs="Arial"/>
          <w:lang w:val="es-ES_tradnl"/>
        </w:rPr>
      </w:pPr>
      <w:r w:rsidRPr="004C6846">
        <w:rPr>
          <w:rFonts w:ascii="Verdana" w:eastAsia="Calibri" w:hAnsi="Verdana" w:cs="Arial"/>
          <w:lang w:val="es-ES_tradnl"/>
        </w:rPr>
        <w:t>Bajo este contexto, debe tenerse en consideración que los requisitos o documentos que no sean necesarios para la comparación de las ofertas pueden subsanarse</w:t>
      </w:r>
      <w:r w:rsidR="0060504A">
        <w:rPr>
          <w:rFonts w:ascii="Verdana" w:eastAsia="Calibri" w:hAnsi="Verdana" w:cs="Arial"/>
          <w:lang w:val="es-ES_tradnl"/>
        </w:rPr>
        <w:t xml:space="preserve"> y que de acuerdo a lo señalado en el artículo 5 </w:t>
      </w:r>
      <w:r w:rsidR="00F90832">
        <w:rPr>
          <w:rFonts w:ascii="Verdana" w:eastAsia="Calibri" w:hAnsi="Verdana" w:cs="Arial"/>
          <w:lang w:val="es-ES_tradnl"/>
        </w:rPr>
        <w:t xml:space="preserve">de la Ley 1150 de 2007, modificado por el artículo 5 de la Ley 1882 de 2018, </w:t>
      </w:r>
      <w:r w:rsidR="00F01D72" w:rsidRPr="00F01D72">
        <w:rPr>
          <w:rFonts w:ascii="Verdana" w:eastAsia="Calibri" w:hAnsi="Verdana" w:cs="Arial"/>
          <w:lang w:val="es-CO"/>
        </w:rPr>
        <w:t>deberán ser solicitados por las entidades estatales y deberán ser entregados por los proponentes hasta el término de traslado del informe de evaluación que corresponda a cada modalidad de selección</w:t>
      </w:r>
      <w:r w:rsidR="00764877">
        <w:rPr>
          <w:rFonts w:ascii="Verdana" w:eastAsia="Calibri" w:hAnsi="Verdana" w:cs="Arial"/>
          <w:lang w:val="es-CO"/>
        </w:rPr>
        <w:t xml:space="preserve">, y en licitación pública, como ya se indicó es de cinco (5) días hábiles. </w:t>
      </w:r>
    </w:p>
    <w:p w14:paraId="10BD2797" w14:textId="77777777" w:rsidR="00666981" w:rsidRPr="004C6846" w:rsidRDefault="00666981" w:rsidP="00666981">
      <w:pPr>
        <w:pStyle w:val="Prrafodelista"/>
        <w:rPr>
          <w:rFonts w:ascii="Verdana" w:eastAsia="Calibri" w:hAnsi="Verdana" w:cs="Arial"/>
          <w:lang w:val="es-ES_tradnl"/>
        </w:rPr>
      </w:pPr>
    </w:p>
    <w:p w14:paraId="43A477FD" w14:textId="03DF33DF" w:rsidR="00666981" w:rsidRDefault="00666981" w:rsidP="00666981">
      <w:pPr>
        <w:pStyle w:val="Prrafodelista"/>
        <w:numPr>
          <w:ilvl w:val="0"/>
          <w:numId w:val="23"/>
        </w:numPr>
        <w:spacing w:after="0"/>
        <w:jc w:val="both"/>
        <w:rPr>
          <w:rFonts w:ascii="Verdana" w:eastAsia="Calibri" w:hAnsi="Verdana" w:cs="Arial"/>
          <w:lang w:val="es-ES_tradnl"/>
        </w:rPr>
      </w:pPr>
      <w:r w:rsidRPr="004C6846">
        <w:rPr>
          <w:rFonts w:ascii="Verdana" w:eastAsia="Calibri" w:hAnsi="Verdana" w:cs="Arial"/>
          <w:lang w:val="es-ES_tradnl"/>
        </w:rPr>
        <w:t>En línea con lo expuesto, se evidencia que en lo relacionado al ámbito temporal para subsanar la oferta se cuenta con una regla general y una excepción. La regla general es que el límite para que la entidad solicite y para que el proponente corrija lo que haga falta es hasta el término de traslado del informe de evaluación</w:t>
      </w:r>
      <w:r w:rsidR="00B80979">
        <w:rPr>
          <w:rFonts w:ascii="Verdana" w:eastAsia="Calibri" w:hAnsi="Verdana" w:cs="Arial"/>
          <w:lang w:val="es-ES_tradnl"/>
        </w:rPr>
        <w:t xml:space="preserve">. </w:t>
      </w:r>
    </w:p>
    <w:p w14:paraId="4145CAC6" w14:textId="77777777" w:rsidR="00254690" w:rsidRPr="00254690" w:rsidRDefault="00254690" w:rsidP="00254690">
      <w:pPr>
        <w:pStyle w:val="Prrafodelista"/>
        <w:rPr>
          <w:rFonts w:ascii="Verdana" w:eastAsia="Calibri" w:hAnsi="Verdana" w:cs="Arial"/>
          <w:lang w:val="es-ES_tradnl"/>
        </w:rPr>
      </w:pPr>
    </w:p>
    <w:p w14:paraId="6DA07F70" w14:textId="26B65B72" w:rsidR="00254690" w:rsidRDefault="001E6557" w:rsidP="00666981">
      <w:pPr>
        <w:pStyle w:val="Prrafodelista"/>
        <w:numPr>
          <w:ilvl w:val="0"/>
          <w:numId w:val="23"/>
        </w:numPr>
        <w:spacing w:after="0"/>
        <w:jc w:val="both"/>
        <w:rPr>
          <w:rFonts w:ascii="Verdana" w:eastAsia="Calibri" w:hAnsi="Verdana" w:cs="Arial"/>
          <w:lang w:val="es-ES_tradnl"/>
        </w:rPr>
      </w:pPr>
      <w:r>
        <w:rPr>
          <w:rFonts w:ascii="Verdana" w:eastAsia="Calibri" w:hAnsi="Verdana" w:cs="Arial"/>
          <w:lang w:val="es-ES_tradnl"/>
        </w:rPr>
        <w:t xml:space="preserve">Ahora bien, </w:t>
      </w:r>
      <w:r w:rsidR="00AE6F0B">
        <w:rPr>
          <w:rFonts w:ascii="Verdana" w:eastAsia="Calibri" w:hAnsi="Verdana" w:cs="Arial"/>
          <w:lang w:val="es-ES_tradnl"/>
        </w:rPr>
        <w:t xml:space="preserve">resulta </w:t>
      </w:r>
      <w:r w:rsidR="007F5006">
        <w:rPr>
          <w:rFonts w:ascii="Verdana" w:eastAsia="Calibri" w:hAnsi="Verdana" w:cs="Arial"/>
          <w:lang w:val="es-ES_tradnl"/>
        </w:rPr>
        <w:t xml:space="preserve">pertinente resaltar la inclusión del parágrafo 3 al artículo 30 de la Ley 80 de 1993, mediante </w:t>
      </w:r>
      <w:r w:rsidR="0004620D">
        <w:rPr>
          <w:rFonts w:ascii="Verdana" w:eastAsia="Calibri" w:hAnsi="Verdana" w:cs="Arial"/>
          <w:lang w:val="es-ES_tradnl"/>
        </w:rPr>
        <w:t xml:space="preserve">el artículo 1 de la Ley 1882 de 2018, en donde </w:t>
      </w:r>
      <w:r w:rsidR="00C004CE">
        <w:rPr>
          <w:rFonts w:ascii="Verdana" w:eastAsia="Calibri" w:hAnsi="Verdana" w:cs="Arial"/>
          <w:lang w:val="es-ES_tradnl"/>
        </w:rPr>
        <w:t>se incluye</w:t>
      </w:r>
      <w:r w:rsidR="0004620D">
        <w:rPr>
          <w:rFonts w:ascii="Verdana" w:eastAsia="Calibri" w:hAnsi="Verdana" w:cs="Arial"/>
          <w:lang w:val="es-ES_tradnl"/>
        </w:rPr>
        <w:t xml:space="preserve"> lo siguiente: </w:t>
      </w:r>
    </w:p>
    <w:p w14:paraId="390BFDC1" w14:textId="77777777" w:rsidR="00393E08" w:rsidRDefault="00393E08" w:rsidP="006816A2">
      <w:pPr>
        <w:spacing w:after="0" w:line="240" w:lineRule="auto"/>
        <w:ind w:left="360" w:right="900"/>
        <w:jc w:val="both"/>
        <w:rPr>
          <w:rFonts w:ascii="Verdana" w:eastAsia="Calibri" w:hAnsi="Verdana" w:cs="Arial"/>
          <w:sz w:val="20"/>
          <w:szCs w:val="20"/>
        </w:rPr>
      </w:pPr>
    </w:p>
    <w:p w14:paraId="7F46ECF1" w14:textId="5C155287" w:rsidR="006816A2" w:rsidRPr="006816A2" w:rsidRDefault="006816A2" w:rsidP="006816A2">
      <w:pPr>
        <w:spacing w:after="0" w:line="240" w:lineRule="auto"/>
        <w:ind w:left="360" w:right="900"/>
        <w:jc w:val="both"/>
        <w:rPr>
          <w:rFonts w:ascii="Verdana" w:eastAsia="Calibri" w:hAnsi="Verdana" w:cs="Arial"/>
          <w:sz w:val="20"/>
          <w:szCs w:val="20"/>
        </w:rPr>
      </w:pPr>
      <w:r>
        <w:rPr>
          <w:rFonts w:ascii="Verdana" w:eastAsia="Calibri" w:hAnsi="Verdana" w:cs="Arial"/>
          <w:sz w:val="20"/>
          <w:szCs w:val="20"/>
        </w:rPr>
        <w:t>(…)</w:t>
      </w:r>
    </w:p>
    <w:p w14:paraId="610DCD63" w14:textId="77777777" w:rsidR="001F4141" w:rsidRDefault="006816A2" w:rsidP="006816A2">
      <w:pPr>
        <w:spacing w:after="0" w:line="240" w:lineRule="auto"/>
        <w:ind w:left="360" w:right="900"/>
        <w:jc w:val="both"/>
        <w:rPr>
          <w:rFonts w:ascii="Verdana" w:eastAsia="Calibri" w:hAnsi="Verdana" w:cs="Arial"/>
          <w:sz w:val="20"/>
          <w:szCs w:val="20"/>
        </w:rPr>
      </w:pPr>
      <w:r w:rsidRPr="006816A2">
        <w:rPr>
          <w:rFonts w:ascii="Verdana" w:eastAsia="Calibri" w:hAnsi="Verdana" w:cs="Arial"/>
          <w:b/>
          <w:bCs/>
          <w:sz w:val="20"/>
          <w:szCs w:val="20"/>
        </w:rPr>
        <w:t>Parágrafo 3°. </w:t>
      </w:r>
      <w:r w:rsidRPr="006816A2">
        <w:rPr>
          <w:rFonts w:ascii="Verdana" w:eastAsia="Calibri" w:hAnsi="Verdana" w:cs="Arial"/>
          <w:sz w:val="20"/>
          <w:szCs w:val="20"/>
        </w:rPr>
        <w:t>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472BDA32" w14:textId="431D95EF" w:rsidR="006816A2" w:rsidRPr="006816A2" w:rsidRDefault="006816A2" w:rsidP="006816A2">
      <w:pPr>
        <w:spacing w:after="0" w:line="240" w:lineRule="auto"/>
        <w:ind w:left="360" w:right="900"/>
        <w:jc w:val="both"/>
        <w:rPr>
          <w:rFonts w:ascii="Verdana" w:eastAsia="Calibri" w:hAnsi="Verdana" w:cs="Arial"/>
          <w:sz w:val="20"/>
          <w:szCs w:val="20"/>
        </w:rPr>
      </w:pPr>
      <w:r w:rsidRPr="006816A2">
        <w:rPr>
          <w:rFonts w:ascii="Verdana" w:eastAsia="Calibri" w:hAnsi="Verdana" w:cs="Arial"/>
          <w:sz w:val="20"/>
          <w:szCs w:val="20"/>
        </w:rPr>
        <w:t> </w:t>
      </w:r>
    </w:p>
    <w:p w14:paraId="6F040688" w14:textId="0BF31472" w:rsidR="001F4141" w:rsidRDefault="006816A2" w:rsidP="006816A2">
      <w:pPr>
        <w:spacing w:after="0" w:line="240" w:lineRule="auto"/>
        <w:ind w:left="360" w:right="900"/>
        <w:jc w:val="both"/>
        <w:rPr>
          <w:rFonts w:ascii="Verdana" w:eastAsia="Calibri" w:hAnsi="Verdana" w:cs="Arial"/>
          <w:sz w:val="20"/>
          <w:szCs w:val="20"/>
        </w:rPr>
      </w:pPr>
      <w:r w:rsidRPr="006816A2">
        <w:rPr>
          <w:rFonts w:ascii="Verdana" w:eastAsia="Calibri" w:hAnsi="Verdana" w:cs="Arial"/>
          <w:sz w:val="20"/>
          <w:szCs w:val="20"/>
        </w:rPr>
        <w:t xml:space="preserve">En estos procesos el informe permanecerá publicado en el </w:t>
      </w:r>
      <w:r w:rsidR="00F31F12" w:rsidRPr="006816A2">
        <w:rPr>
          <w:rFonts w:ascii="Verdana" w:eastAsia="Calibri" w:hAnsi="Verdana" w:cs="Arial"/>
          <w:sz w:val="20"/>
          <w:szCs w:val="20"/>
        </w:rPr>
        <w:t>SECOP</w:t>
      </w:r>
      <w:r w:rsidRPr="006816A2">
        <w:rPr>
          <w:rFonts w:ascii="Verdana" w:eastAsia="Calibri" w:hAnsi="Verdana" w:cs="Arial"/>
          <w:sz w:val="20"/>
          <w:szCs w:val="20"/>
        </w:rPr>
        <w:t xml:space="preserve"> </w:t>
      </w:r>
      <w:r w:rsidRPr="006816A2">
        <w:rPr>
          <w:rFonts w:ascii="Verdana" w:eastAsia="Calibri" w:hAnsi="Verdana" w:cs="Arial"/>
          <w:sz w:val="20"/>
          <w:szCs w:val="20"/>
          <w:u w:val="single"/>
        </w:rPr>
        <w:t>durante cinco (5) días hábiles, término hasta el cual los proponentes podrán hacer las observaciones que consideren y entregar los documentos y la información solicitada por la entidad estatal</w:t>
      </w:r>
      <w:r w:rsidRPr="006816A2">
        <w:rPr>
          <w:rFonts w:ascii="Verdana" w:eastAsia="Calibri" w:hAnsi="Verdana" w:cs="Arial"/>
          <w:sz w:val="20"/>
          <w:szCs w:val="20"/>
        </w:rPr>
        <w:t xml:space="preserve">. Al finalizar este plazo, la entidad estatal se pronunciará sobre las observaciones y publicará el </w:t>
      </w:r>
      <w:r w:rsidRPr="006816A2">
        <w:rPr>
          <w:rFonts w:ascii="Verdana" w:eastAsia="Calibri" w:hAnsi="Verdana" w:cs="Arial"/>
          <w:sz w:val="20"/>
          <w:szCs w:val="20"/>
          <w:u w:val="single"/>
        </w:rPr>
        <w:t>informe final de evaluación de los requisitos habilitantes</w:t>
      </w:r>
      <w:r w:rsidRPr="006816A2">
        <w:rPr>
          <w:rFonts w:ascii="Verdana" w:eastAsia="Calibri" w:hAnsi="Verdana" w:cs="Arial"/>
          <w:sz w:val="20"/>
          <w:szCs w:val="20"/>
        </w:rPr>
        <w:t xml:space="preserve"> y los requisitos objeto de puntuación distintos a la oferta económica.</w:t>
      </w:r>
    </w:p>
    <w:p w14:paraId="059D784E" w14:textId="77777777" w:rsidR="001F4141" w:rsidRDefault="001F4141" w:rsidP="006816A2">
      <w:pPr>
        <w:spacing w:after="0" w:line="240" w:lineRule="auto"/>
        <w:ind w:left="360" w:right="900"/>
        <w:jc w:val="both"/>
        <w:rPr>
          <w:rFonts w:ascii="Verdana" w:eastAsia="Calibri" w:hAnsi="Verdana" w:cs="Arial"/>
          <w:sz w:val="20"/>
          <w:szCs w:val="20"/>
        </w:rPr>
      </w:pPr>
    </w:p>
    <w:p w14:paraId="5B85CA0F" w14:textId="051CF632" w:rsidR="00070FA8" w:rsidRDefault="000B3976" w:rsidP="006816A2">
      <w:pPr>
        <w:spacing w:after="0" w:line="240" w:lineRule="auto"/>
        <w:ind w:left="360" w:right="900"/>
        <w:jc w:val="both"/>
        <w:rPr>
          <w:rFonts w:ascii="Verdana" w:eastAsia="Calibri" w:hAnsi="Verdana" w:cs="Arial"/>
          <w:sz w:val="20"/>
          <w:szCs w:val="20"/>
        </w:rPr>
      </w:pPr>
      <w:r w:rsidRPr="000B3976">
        <w:rPr>
          <w:rFonts w:ascii="Verdana" w:eastAsia="Calibri" w:hAnsi="Verdana" w:cs="Arial"/>
          <w:sz w:val="20"/>
          <w:szCs w:val="20"/>
        </w:rPr>
        <w:t>Para estos procesos, el segundo sobre, que contiene la oferta económica, se mantendrá cerrado hasta la audiencia efectiva de adjudicación,</w:t>
      </w:r>
      <w:r w:rsidRPr="001F4141">
        <w:rPr>
          <w:rFonts w:ascii="Verdana" w:eastAsia="Calibri" w:hAnsi="Verdana" w:cs="Arial"/>
          <w:sz w:val="20"/>
          <w:szCs w:val="20"/>
          <w:u w:val="single"/>
        </w:rPr>
        <w:t xml:space="preserve"> momento en el cual se podrán hacer observaciones al informe de evaluación</w:t>
      </w:r>
      <w:r w:rsidRPr="000B3976">
        <w:rPr>
          <w:rFonts w:ascii="Verdana" w:eastAsia="Calibri" w:hAnsi="Verdana" w:cs="Arial"/>
          <w:sz w:val="20"/>
          <w:szCs w:val="20"/>
        </w:rPr>
        <w:t xml:space="preserve">, las cuales se decidirán en la misma. Durante esta audiencia se dará apertura al sobre, se evaluará la oferta económica a través del mecanismo escogido mediante el método aleatorio que se establezca en los pliegos de condiciones, </w:t>
      </w:r>
      <w:r w:rsidRPr="00A208B1">
        <w:rPr>
          <w:rFonts w:ascii="Verdana" w:eastAsia="Calibri" w:hAnsi="Verdana" w:cs="Arial"/>
          <w:sz w:val="20"/>
          <w:szCs w:val="20"/>
          <w:u w:val="single"/>
        </w:rPr>
        <w:t xml:space="preserve">corriendo traslado a los proponentes habilitados en la misma </w:t>
      </w:r>
      <w:r w:rsidRPr="00A208B1">
        <w:rPr>
          <w:rFonts w:ascii="Verdana" w:eastAsia="Calibri" w:hAnsi="Verdana" w:cs="Arial"/>
          <w:sz w:val="20"/>
          <w:szCs w:val="20"/>
          <w:u w:val="single"/>
        </w:rPr>
        <w:lastRenderedPageBreak/>
        <w:t>diligencia solo para la revisión del aspecto económico y se establecerá el orden de elegibilidad</w:t>
      </w:r>
      <w:r w:rsidRPr="000B3976">
        <w:rPr>
          <w:rFonts w:ascii="Verdana" w:eastAsia="Calibri" w:hAnsi="Verdana" w:cs="Arial"/>
          <w:sz w:val="20"/>
          <w:szCs w:val="20"/>
        </w:rPr>
        <w:t>. </w:t>
      </w:r>
      <w:r w:rsidR="00070FA8">
        <w:rPr>
          <w:rFonts w:ascii="Verdana" w:eastAsia="Calibri" w:hAnsi="Verdana" w:cs="Arial"/>
          <w:sz w:val="20"/>
          <w:szCs w:val="20"/>
        </w:rPr>
        <w:t>” (Subrayado fuera de texto)</w:t>
      </w:r>
    </w:p>
    <w:p w14:paraId="5CCAB91A" w14:textId="77777777" w:rsidR="00070FA8" w:rsidRDefault="00070FA8" w:rsidP="006816A2">
      <w:pPr>
        <w:spacing w:after="0" w:line="240" w:lineRule="auto"/>
        <w:ind w:left="360" w:right="900"/>
        <w:jc w:val="both"/>
        <w:rPr>
          <w:rFonts w:ascii="Verdana" w:eastAsia="Calibri" w:hAnsi="Verdana" w:cs="Arial"/>
          <w:sz w:val="20"/>
          <w:szCs w:val="20"/>
        </w:rPr>
      </w:pPr>
      <w:r>
        <w:rPr>
          <w:rFonts w:ascii="Verdana" w:eastAsia="Calibri" w:hAnsi="Verdana" w:cs="Arial"/>
          <w:sz w:val="20"/>
          <w:szCs w:val="20"/>
        </w:rPr>
        <w:t>(…)</w:t>
      </w:r>
    </w:p>
    <w:p w14:paraId="7C1605DB" w14:textId="77777777" w:rsidR="00070FA8" w:rsidRDefault="00070FA8" w:rsidP="006816A2">
      <w:pPr>
        <w:spacing w:after="0" w:line="240" w:lineRule="auto"/>
        <w:ind w:left="360" w:right="900"/>
        <w:jc w:val="both"/>
        <w:rPr>
          <w:rFonts w:ascii="Verdana" w:eastAsia="Calibri" w:hAnsi="Verdana" w:cs="Arial"/>
          <w:sz w:val="20"/>
          <w:szCs w:val="20"/>
        </w:rPr>
      </w:pPr>
    </w:p>
    <w:p w14:paraId="785E8F9F" w14:textId="10B1E26A" w:rsidR="006816A2" w:rsidRPr="00393E08" w:rsidRDefault="00070FA8" w:rsidP="00070FA8">
      <w:pPr>
        <w:pStyle w:val="Prrafodelista"/>
        <w:numPr>
          <w:ilvl w:val="0"/>
          <w:numId w:val="23"/>
        </w:numPr>
        <w:spacing w:after="0"/>
        <w:jc w:val="both"/>
        <w:rPr>
          <w:rFonts w:ascii="Verdana" w:eastAsia="Calibri" w:hAnsi="Verdana" w:cs="Arial"/>
          <w:lang w:val="es-CO"/>
        </w:rPr>
      </w:pPr>
      <w:r w:rsidRPr="00393E08">
        <w:rPr>
          <w:rFonts w:ascii="Verdana" w:eastAsia="Calibri" w:hAnsi="Verdana" w:cs="Arial"/>
          <w:lang w:val="es-CO"/>
        </w:rPr>
        <w:t xml:space="preserve">De lo anterior se encuentra que para el proceso de licitación </w:t>
      </w:r>
      <w:r w:rsidR="00970255" w:rsidRPr="00393E08">
        <w:rPr>
          <w:rFonts w:ascii="Verdana" w:eastAsia="Calibri" w:hAnsi="Verdana" w:cs="Arial"/>
          <w:lang w:val="es-CO"/>
        </w:rPr>
        <w:t>pública</w:t>
      </w:r>
      <w:r w:rsidRPr="00393E08">
        <w:rPr>
          <w:rFonts w:ascii="Verdana" w:eastAsia="Calibri" w:hAnsi="Verdana" w:cs="Arial"/>
          <w:lang w:val="es-CO"/>
        </w:rPr>
        <w:t xml:space="preserve">, </w:t>
      </w:r>
      <w:r w:rsidR="00970255" w:rsidRPr="00393E08">
        <w:rPr>
          <w:rFonts w:ascii="Verdana" w:eastAsia="Calibri" w:hAnsi="Verdana" w:cs="Arial"/>
          <w:lang w:val="es-CO"/>
        </w:rPr>
        <w:t>luego del traslado al informe de evaluación durante cinco (5) días hables</w:t>
      </w:r>
      <w:r w:rsidR="004117AF" w:rsidRPr="00393E08">
        <w:rPr>
          <w:rFonts w:ascii="Verdana" w:eastAsia="Calibri" w:hAnsi="Verdana" w:cs="Arial"/>
          <w:lang w:val="es-CO"/>
        </w:rPr>
        <w:t>, en donde los proponentes pueden realizar subsanaciones y presentar observaciones respecto al informe de evaluación, la Entidad contratant</w:t>
      </w:r>
      <w:r w:rsidR="0082748C" w:rsidRPr="00393E08">
        <w:rPr>
          <w:rFonts w:ascii="Verdana" w:eastAsia="Calibri" w:hAnsi="Verdana" w:cs="Arial"/>
          <w:lang w:val="es-CO"/>
        </w:rPr>
        <w:t>e</w:t>
      </w:r>
      <w:r w:rsidR="004117AF" w:rsidRPr="00393E08">
        <w:rPr>
          <w:rFonts w:ascii="Verdana" w:eastAsia="Calibri" w:hAnsi="Verdana" w:cs="Arial"/>
          <w:lang w:val="es-CO"/>
        </w:rPr>
        <w:t xml:space="preserve"> procederá a expedir un informe final de los requisitos habilitantes y </w:t>
      </w:r>
      <w:r w:rsidR="0082748C" w:rsidRPr="00393E08">
        <w:rPr>
          <w:rFonts w:ascii="Verdana" w:eastAsia="Calibri" w:hAnsi="Verdana" w:cs="Arial"/>
          <w:lang w:val="es-CO"/>
        </w:rPr>
        <w:t>los requisitos ponderables diferente</w:t>
      </w:r>
      <w:r w:rsidR="00543C42" w:rsidRPr="00393E08">
        <w:rPr>
          <w:rFonts w:ascii="Verdana" w:eastAsia="Calibri" w:hAnsi="Verdana" w:cs="Arial"/>
          <w:lang w:val="es-CO"/>
        </w:rPr>
        <w:t>s</w:t>
      </w:r>
      <w:r w:rsidR="0082748C" w:rsidRPr="00393E08">
        <w:rPr>
          <w:rFonts w:ascii="Verdana" w:eastAsia="Calibri" w:hAnsi="Verdana" w:cs="Arial"/>
          <w:lang w:val="es-CO"/>
        </w:rPr>
        <w:t xml:space="preserve"> a la oferta económica, el cual se puede entender como el informe de evaluación </w:t>
      </w:r>
      <w:r w:rsidR="003B69AA" w:rsidRPr="00393E08">
        <w:rPr>
          <w:rFonts w:ascii="Verdana" w:eastAsia="Calibri" w:hAnsi="Verdana" w:cs="Arial"/>
          <w:lang w:val="es-CO"/>
        </w:rPr>
        <w:t>definitivo, previo a la realización de la audiencia de adjudicación</w:t>
      </w:r>
      <w:r w:rsidR="0090715C" w:rsidRPr="00393E08">
        <w:rPr>
          <w:rFonts w:ascii="Verdana" w:eastAsia="Calibri" w:hAnsi="Verdana" w:cs="Arial"/>
          <w:lang w:val="es-CO"/>
        </w:rPr>
        <w:t xml:space="preserve"> de la que hace mención el numeral 10 del artículo 30 de la Ley 80 de 1993, y que se encuentra desarrollada en el artículo </w:t>
      </w:r>
      <w:r w:rsidR="00575B6A" w:rsidRPr="00393E08">
        <w:rPr>
          <w:rFonts w:ascii="Verdana" w:eastAsia="Calibri" w:hAnsi="Verdana" w:cs="Arial"/>
          <w:lang w:val="es-CO"/>
        </w:rPr>
        <w:t>2.2.1.2.1.1.2. del Decreto 1082 de 2015.</w:t>
      </w:r>
    </w:p>
    <w:p w14:paraId="3B0E7E85" w14:textId="77777777" w:rsidR="00401A3B" w:rsidRPr="00393E08" w:rsidRDefault="00401A3B" w:rsidP="00401A3B">
      <w:pPr>
        <w:pStyle w:val="Prrafodelista"/>
        <w:spacing w:after="0"/>
        <w:ind w:left="360"/>
        <w:jc w:val="both"/>
        <w:rPr>
          <w:rFonts w:ascii="Verdana" w:eastAsia="Calibri" w:hAnsi="Verdana" w:cs="Arial"/>
          <w:lang w:val="es-CO"/>
        </w:rPr>
      </w:pPr>
    </w:p>
    <w:p w14:paraId="747949DB" w14:textId="0FB96E8B" w:rsidR="00401A3B" w:rsidRPr="00393E08" w:rsidRDefault="00FB7BCB" w:rsidP="00070FA8">
      <w:pPr>
        <w:pStyle w:val="Prrafodelista"/>
        <w:numPr>
          <w:ilvl w:val="0"/>
          <w:numId w:val="23"/>
        </w:numPr>
        <w:spacing w:after="0"/>
        <w:jc w:val="both"/>
        <w:rPr>
          <w:rFonts w:ascii="Verdana" w:eastAsia="Calibri" w:hAnsi="Verdana" w:cs="Arial"/>
          <w:lang w:val="es-CO"/>
        </w:rPr>
      </w:pPr>
      <w:r w:rsidRPr="00393E08">
        <w:rPr>
          <w:rFonts w:ascii="Verdana" w:eastAsia="Calibri" w:hAnsi="Verdana" w:cs="Arial"/>
          <w:lang w:val="es-CO"/>
        </w:rPr>
        <w:t>El mentado artículo señala la estructura de la audiencia de adjudicación en los s</w:t>
      </w:r>
      <w:r w:rsidR="007E69C1" w:rsidRPr="00393E08">
        <w:rPr>
          <w:rFonts w:ascii="Verdana" w:eastAsia="Calibri" w:hAnsi="Verdana" w:cs="Arial"/>
          <w:lang w:val="es-CO"/>
        </w:rPr>
        <w:t xml:space="preserve">iguientes términos: </w:t>
      </w:r>
    </w:p>
    <w:p w14:paraId="2D4F6075" w14:textId="77777777" w:rsidR="00DF353E" w:rsidRDefault="00DF353E" w:rsidP="00DF353E">
      <w:pPr>
        <w:spacing w:line="240" w:lineRule="auto"/>
        <w:ind w:left="426" w:right="900"/>
        <w:jc w:val="both"/>
        <w:rPr>
          <w:rFonts w:ascii="Verdana" w:eastAsia="Calibri" w:hAnsi="Verdana" w:cs="Arial"/>
          <w:sz w:val="20"/>
          <w:szCs w:val="20"/>
        </w:rPr>
      </w:pPr>
    </w:p>
    <w:p w14:paraId="33C24067" w14:textId="61D7C28C" w:rsidR="00DF353E" w:rsidRPr="00DF353E" w:rsidRDefault="00DF353E" w:rsidP="00DF353E">
      <w:pPr>
        <w:spacing w:line="240" w:lineRule="auto"/>
        <w:ind w:left="426" w:right="900"/>
        <w:jc w:val="both"/>
        <w:rPr>
          <w:rFonts w:ascii="Verdana" w:eastAsia="Calibri" w:hAnsi="Verdana" w:cs="Arial"/>
          <w:sz w:val="20"/>
          <w:szCs w:val="20"/>
        </w:rPr>
      </w:pPr>
      <w:r>
        <w:rPr>
          <w:rFonts w:ascii="Verdana" w:eastAsia="Calibri" w:hAnsi="Verdana" w:cs="Arial"/>
          <w:sz w:val="20"/>
          <w:szCs w:val="20"/>
        </w:rPr>
        <w:t>(…)</w:t>
      </w:r>
    </w:p>
    <w:p w14:paraId="3B2B5BD0" w14:textId="6C1D1BD9" w:rsidR="007E69C1" w:rsidRPr="007E69C1" w:rsidRDefault="00DF353E" w:rsidP="00DF353E">
      <w:pPr>
        <w:spacing w:line="240" w:lineRule="auto"/>
        <w:ind w:left="426" w:right="900"/>
        <w:jc w:val="both"/>
        <w:rPr>
          <w:rFonts w:ascii="Verdana" w:eastAsia="Calibri" w:hAnsi="Verdana" w:cs="Arial"/>
          <w:i/>
          <w:iCs/>
          <w:sz w:val="20"/>
          <w:szCs w:val="20"/>
        </w:rPr>
      </w:pPr>
      <w:r w:rsidRPr="00DF353E">
        <w:rPr>
          <w:rFonts w:ascii="Verdana" w:eastAsia="Calibri" w:hAnsi="Verdana" w:cs="Arial"/>
          <w:i/>
          <w:iCs/>
          <w:sz w:val="20"/>
          <w:szCs w:val="20"/>
        </w:rPr>
        <w:t>La Entidad Estatal debe realizar la audiencia de adjudicación en la fecha y hora establecida en el Cronograma, la cual se realizará de acuerdo</w:t>
      </w:r>
      <w:r w:rsidR="007E69C1" w:rsidRPr="007E69C1">
        <w:rPr>
          <w:rFonts w:ascii="Verdana" w:eastAsia="Calibri" w:hAnsi="Verdana" w:cs="Arial"/>
          <w:i/>
          <w:iCs/>
          <w:sz w:val="20"/>
          <w:szCs w:val="20"/>
        </w:rPr>
        <w:t xml:space="preserve"> con las reglas establecidas para el efecto en los mismos y las siguientes consideraciones: </w:t>
      </w:r>
    </w:p>
    <w:p w14:paraId="5DA195A4" w14:textId="2184F64A" w:rsidR="007E69C1" w:rsidRPr="007E69C1" w:rsidRDefault="007E69C1" w:rsidP="00DF353E">
      <w:pPr>
        <w:spacing w:line="240" w:lineRule="auto"/>
        <w:ind w:left="426" w:right="900"/>
        <w:jc w:val="both"/>
        <w:rPr>
          <w:rFonts w:ascii="Verdana" w:eastAsia="Calibri" w:hAnsi="Verdana" w:cs="Arial"/>
          <w:i/>
          <w:iCs/>
          <w:sz w:val="20"/>
          <w:szCs w:val="20"/>
        </w:rPr>
      </w:pPr>
      <w:r w:rsidRPr="007E69C1">
        <w:rPr>
          <w:rFonts w:ascii="Verdana" w:eastAsia="Calibri" w:hAnsi="Verdana" w:cs="Arial"/>
          <w:i/>
          <w:iCs/>
          <w:sz w:val="20"/>
          <w:szCs w:val="20"/>
        </w:rPr>
        <w:t xml:space="preserve"> 1. </w:t>
      </w:r>
      <w:r w:rsidRPr="007E69C1">
        <w:rPr>
          <w:rFonts w:ascii="Verdana" w:eastAsia="Calibri" w:hAnsi="Verdana" w:cs="Arial"/>
          <w:i/>
          <w:iCs/>
          <w:sz w:val="20"/>
          <w:szCs w:val="20"/>
          <w:u w:val="single"/>
        </w:rPr>
        <w:t>En la audiencia los oferentes pueden pronunciarse sobre las respuestas dadas por la Entidad Estatal a las observaciones presentadas respecto del informe de evaluación, lo cual no implica una nueva oportunidad para mejorar o modificar la oferta</w:t>
      </w:r>
      <w:r w:rsidRPr="007E69C1">
        <w:rPr>
          <w:rFonts w:ascii="Verdana" w:eastAsia="Calibri" w:hAnsi="Verdana" w:cs="Arial"/>
          <w:i/>
          <w:iCs/>
          <w:sz w:val="20"/>
          <w:szCs w:val="20"/>
        </w:rPr>
        <w:t>.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 </w:t>
      </w:r>
    </w:p>
    <w:p w14:paraId="0400FFA9" w14:textId="59FF6DBE" w:rsidR="007E69C1" w:rsidRPr="007E69C1" w:rsidRDefault="007E69C1" w:rsidP="00DF353E">
      <w:pPr>
        <w:spacing w:line="240" w:lineRule="auto"/>
        <w:ind w:left="426" w:right="900"/>
        <w:jc w:val="both"/>
        <w:rPr>
          <w:rFonts w:ascii="Verdana" w:eastAsia="Calibri" w:hAnsi="Verdana" w:cs="Arial"/>
          <w:i/>
          <w:iCs/>
          <w:sz w:val="20"/>
          <w:szCs w:val="20"/>
        </w:rPr>
      </w:pPr>
      <w:r w:rsidRPr="007E69C1">
        <w:rPr>
          <w:rFonts w:ascii="Verdana" w:eastAsia="Calibri" w:hAnsi="Verdana" w:cs="Arial"/>
          <w:i/>
          <w:iCs/>
          <w:sz w:val="20"/>
          <w:szCs w:val="20"/>
        </w:rPr>
        <w:t>2. La Entidad Estatal debe conceder el uso de la palabra por una única vez al oferente que así lo solicite, para que responda a las observaciones que sobre la evaluación de su oferta hayan hecho los intervinientes. </w:t>
      </w:r>
    </w:p>
    <w:p w14:paraId="41210856" w14:textId="3C590F29" w:rsidR="007E69C1" w:rsidRPr="007E69C1" w:rsidRDefault="007E69C1" w:rsidP="00DF353E">
      <w:pPr>
        <w:spacing w:line="240" w:lineRule="auto"/>
        <w:ind w:left="426" w:right="900"/>
        <w:jc w:val="both"/>
        <w:rPr>
          <w:rFonts w:ascii="Verdana" w:eastAsia="Calibri" w:hAnsi="Verdana" w:cs="Arial"/>
          <w:i/>
          <w:iCs/>
          <w:sz w:val="20"/>
          <w:szCs w:val="20"/>
        </w:rPr>
      </w:pPr>
      <w:r w:rsidRPr="007E69C1">
        <w:rPr>
          <w:rFonts w:ascii="Verdana" w:eastAsia="Calibri" w:hAnsi="Verdana" w:cs="Arial"/>
          <w:i/>
          <w:iCs/>
          <w:sz w:val="20"/>
          <w:szCs w:val="20"/>
        </w:rPr>
        <w:t>3. Toda intervención debe ser hecha por la persona o las personas previamente designadas por el oferente, y estar limitada a la duración máxima que la Entidad Estatal haya señalado con anterioridad. </w:t>
      </w:r>
    </w:p>
    <w:p w14:paraId="42ED2CB3" w14:textId="77777777" w:rsidR="007E69C1" w:rsidRPr="007E69C1" w:rsidRDefault="007E69C1" w:rsidP="00DF353E">
      <w:pPr>
        <w:spacing w:line="240" w:lineRule="auto"/>
        <w:ind w:left="426" w:right="900"/>
        <w:jc w:val="both"/>
        <w:rPr>
          <w:rFonts w:ascii="Verdana" w:eastAsia="Calibri" w:hAnsi="Verdana" w:cs="Arial"/>
          <w:i/>
          <w:iCs/>
          <w:sz w:val="20"/>
          <w:szCs w:val="20"/>
        </w:rPr>
      </w:pPr>
      <w:r w:rsidRPr="007E69C1">
        <w:rPr>
          <w:rFonts w:ascii="Verdana" w:eastAsia="Calibri" w:hAnsi="Verdana" w:cs="Arial"/>
          <w:i/>
          <w:iCs/>
          <w:sz w:val="20"/>
          <w:szCs w:val="20"/>
        </w:rPr>
        <w:t>4. La Entidad Estatal puede prescindir de la lectura del borrador del acto administrativo de adjudicación siempre que lo haya publicado en el Secop con antelación. </w:t>
      </w:r>
    </w:p>
    <w:p w14:paraId="53C2361E" w14:textId="3BCE44A6" w:rsidR="007E69C1" w:rsidRDefault="007E69C1" w:rsidP="00DF353E">
      <w:pPr>
        <w:spacing w:line="240" w:lineRule="auto"/>
        <w:ind w:left="426" w:right="900"/>
        <w:jc w:val="both"/>
        <w:rPr>
          <w:rFonts w:ascii="Verdana" w:eastAsia="Calibri" w:hAnsi="Verdana" w:cs="Arial"/>
          <w:sz w:val="20"/>
          <w:szCs w:val="20"/>
        </w:rPr>
      </w:pPr>
      <w:r w:rsidRPr="007E69C1">
        <w:rPr>
          <w:rFonts w:ascii="Verdana" w:eastAsia="Calibri" w:hAnsi="Verdana" w:cs="Arial"/>
          <w:i/>
          <w:iCs/>
          <w:sz w:val="20"/>
          <w:szCs w:val="20"/>
        </w:rPr>
        <w:lastRenderedPageBreak/>
        <w:t> 5. Terminadas las intervenciones de los asistentes a la audiencia, se procederá a adoptar la decisión que corresponda. </w:t>
      </w:r>
      <w:r w:rsidR="00DF353E">
        <w:rPr>
          <w:rFonts w:ascii="Verdana" w:eastAsia="Calibri" w:hAnsi="Verdana" w:cs="Arial"/>
          <w:sz w:val="20"/>
          <w:szCs w:val="20"/>
        </w:rPr>
        <w:t>(…)</w:t>
      </w:r>
    </w:p>
    <w:p w14:paraId="13C2BBC3" w14:textId="6F0A5FBF" w:rsidR="000365B6" w:rsidRPr="00826C00" w:rsidRDefault="00E121EB" w:rsidP="00CE5CFB">
      <w:pPr>
        <w:pStyle w:val="Prrafodelista"/>
        <w:numPr>
          <w:ilvl w:val="0"/>
          <w:numId w:val="25"/>
        </w:numPr>
        <w:spacing w:before="120" w:after="0" w:line="276" w:lineRule="auto"/>
        <w:ind w:left="360" w:right="49"/>
        <w:jc w:val="both"/>
        <w:rPr>
          <w:rFonts w:ascii="Verdana" w:hAnsi="Verdana" w:cs="Arial"/>
        </w:rPr>
      </w:pPr>
      <w:r w:rsidRPr="00CE5CFB">
        <w:rPr>
          <w:rFonts w:ascii="Verdana" w:eastAsia="Calibri" w:hAnsi="Verdana" w:cs="Arial"/>
        </w:rPr>
        <w:t xml:space="preserve">Como se evidencia en el numeral 1 antes citado, se da la oportunidad </w:t>
      </w:r>
      <w:r w:rsidR="004D4C07" w:rsidRPr="00CE5CFB">
        <w:rPr>
          <w:rFonts w:ascii="Verdana" w:eastAsia="Calibri" w:hAnsi="Verdana" w:cs="Arial"/>
        </w:rPr>
        <w:t xml:space="preserve">en el desarrollo </w:t>
      </w:r>
      <w:r w:rsidR="00954F2B" w:rsidRPr="00CE5CFB">
        <w:rPr>
          <w:rFonts w:ascii="Verdana" w:eastAsia="Calibri" w:hAnsi="Verdana" w:cs="Arial"/>
        </w:rPr>
        <w:t xml:space="preserve">de la audiencia de adjudicación, </w:t>
      </w:r>
      <w:r w:rsidRPr="00CE5CFB">
        <w:rPr>
          <w:rFonts w:ascii="Verdana" w:eastAsia="Calibri" w:hAnsi="Verdana" w:cs="Arial"/>
        </w:rPr>
        <w:t xml:space="preserve">para que los proponentes </w:t>
      </w:r>
      <w:r w:rsidR="009F6DFA" w:rsidRPr="00CE5CFB">
        <w:rPr>
          <w:rFonts w:ascii="Verdana" w:eastAsia="Calibri" w:hAnsi="Verdana" w:cs="Arial"/>
        </w:rPr>
        <w:t xml:space="preserve">se pronuncien sobre las respuestas dadas al informe de evaluación, </w:t>
      </w:r>
      <w:r w:rsidR="00FB159D" w:rsidRPr="00CE5CFB">
        <w:rPr>
          <w:rFonts w:ascii="Verdana" w:eastAsia="Calibri" w:hAnsi="Verdana" w:cs="Arial"/>
        </w:rPr>
        <w:t xml:space="preserve">lo cual, como lo señala el legislador, no </w:t>
      </w:r>
      <w:r w:rsidR="00954F2B" w:rsidRPr="00CE5CFB">
        <w:rPr>
          <w:rFonts w:ascii="Verdana" w:eastAsia="Calibri" w:hAnsi="Verdana" w:cs="Arial"/>
        </w:rPr>
        <w:t>puede entenderse como</w:t>
      </w:r>
      <w:r w:rsidR="00FB159D" w:rsidRPr="00CE5CFB">
        <w:rPr>
          <w:rFonts w:ascii="Verdana" w:eastAsia="Calibri" w:hAnsi="Verdana" w:cs="Arial"/>
        </w:rPr>
        <w:t xml:space="preserve"> una nueva oportunidad para mejorar o modificar la oferta, es decir que aquellos aspectos que </w:t>
      </w:r>
      <w:r w:rsidR="00FE0678" w:rsidRPr="00CE5CFB">
        <w:rPr>
          <w:rFonts w:ascii="Verdana" w:eastAsia="Calibri" w:hAnsi="Verdana" w:cs="Arial"/>
        </w:rPr>
        <w:t xml:space="preserve">no resultaron subsanados durante la etapa del traslado del informe de </w:t>
      </w:r>
      <w:r w:rsidR="00A53800" w:rsidRPr="00CE5CFB">
        <w:rPr>
          <w:rFonts w:ascii="Verdana" w:eastAsia="Calibri" w:hAnsi="Verdana" w:cs="Arial"/>
        </w:rPr>
        <w:t>evaluación</w:t>
      </w:r>
      <w:r w:rsidR="00FE0678" w:rsidRPr="00CE5CFB">
        <w:rPr>
          <w:rFonts w:ascii="Verdana" w:eastAsia="Calibri" w:hAnsi="Verdana" w:cs="Arial"/>
        </w:rPr>
        <w:t xml:space="preserve"> no podrían llegar a ser presentados y subsanados por parte del proponente</w:t>
      </w:r>
      <w:r w:rsidR="00214B24" w:rsidRPr="00CE5CFB">
        <w:rPr>
          <w:rFonts w:ascii="Verdana" w:eastAsia="Calibri" w:hAnsi="Verdana" w:cs="Arial"/>
        </w:rPr>
        <w:t>,</w:t>
      </w:r>
      <w:r w:rsidR="0013455E" w:rsidRPr="00CE5CFB">
        <w:rPr>
          <w:rFonts w:ascii="Verdana" w:eastAsia="Calibri" w:hAnsi="Verdana" w:cs="Arial"/>
        </w:rPr>
        <w:t xml:space="preserve"> lo anterior en </w:t>
      </w:r>
      <w:r w:rsidR="0043568A" w:rsidRPr="00CE5CFB">
        <w:rPr>
          <w:rFonts w:ascii="Verdana" w:eastAsia="Calibri" w:hAnsi="Verdana" w:cs="Arial"/>
        </w:rPr>
        <w:t xml:space="preserve">atención al </w:t>
      </w:r>
      <w:r w:rsidR="00E02879" w:rsidRPr="00CE5CFB">
        <w:rPr>
          <w:rFonts w:ascii="Verdana" w:eastAsia="Calibri" w:hAnsi="Verdana" w:cs="Arial"/>
        </w:rPr>
        <w:t xml:space="preserve"> principio de economía</w:t>
      </w:r>
      <w:r w:rsidR="0016243E" w:rsidRPr="00CE5CFB">
        <w:rPr>
          <w:rStyle w:val="Refdenotaalpie"/>
          <w:rFonts w:ascii="Verdana" w:eastAsia="Calibri" w:hAnsi="Verdana" w:cs="Arial"/>
        </w:rPr>
        <w:footnoteReference w:id="2"/>
      </w:r>
      <w:r w:rsidR="00E02879" w:rsidRPr="00CE5CFB">
        <w:rPr>
          <w:rFonts w:ascii="Verdana" w:eastAsia="Calibri" w:hAnsi="Verdana" w:cs="Arial"/>
        </w:rPr>
        <w:t xml:space="preserve">, el cual </w:t>
      </w:r>
      <w:r w:rsidR="00601AEA" w:rsidRPr="00CE5CFB">
        <w:rPr>
          <w:rFonts w:ascii="Verdana" w:eastAsia="Calibri" w:hAnsi="Verdana" w:cs="Arial"/>
        </w:rPr>
        <w:t>impone que los términos serán preclusivos y perentorios</w:t>
      </w:r>
      <w:r w:rsidR="0016243E" w:rsidRPr="00CE5CFB">
        <w:rPr>
          <w:rFonts w:ascii="Verdana" w:eastAsia="Calibri" w:hAnsi="Verdana" w:cs="Arial"/>
        </w:rPr>
        <w:t xml:space="preserve"> en las diferentes etapas de proceso de selección. </w:t>
      </w:r>
      <w:r w:rsidR="00601AEA" w:rsidRPr="00CE5CFB">
        <w:rPr>
          <w:rFonts w:ascii="Verdana" w:eastAsia="Calibri" w:hAnsi="Verdana" w:cs="Arial"/>
        </w:rPr>
        <w:t xml:space="preserve"> </w:t>
      </w:r>
    </w:p>
    <w:p w14:paraId="60C99D40" w14:textId="77777777" w:rsidR="006A6A27" w:rsidRPr="00CE5CFB" w:rsidRDefault="006A6A27" w:rsidP="00CE5CFB">
      <w:pPr>
        <w:pStyle w:val="Prrafodelista"/>
        <w:spacing w:before="120" w:after="0" w:line="276" w:lineRule="auto"/>
        <w:ind w:left="360" w:right="49"/>
        <w:jc w:val="both"/>
        <w:rPr>
          <w:rFonts w:ascii="Verdana" w:hAnsi="Verdana" w:cs="Arial"/>
        </w:rPr>
      </w:pPr>
    </w:p>
    <w:p w14:paraId="3585AA7B" w14:textId="040A8323" w:rsidR="00076B0F" w:rsidRDefault="00943C5C" w:rsidP="00CE5CFB">
      <w:pPr>
        <w:pStyle w:val="Textoindependiente"/>
        <w:numPr>
          <w:ilvl w:val="0"/>
          <w:numId w:val="25"/>
        </w:numPr>
        <w:spacing w:before="1" w:line="276" w:lineRule="auto"/>
        <w:ind w:left="284" w:right="49"/>
        <w:jc w:val="both"/>
        <w:rPr>
          <w:rFonts w:ascii="Verdana" w:eastAsia="Calibri" w:hAnsi="Verdana"/>
          <w:lang w:val="es-CO"/>
        </w:rPr>
      </w:pPr>
      <w:r>
        <w:rPr>
          <w:rFonts w:ascii="Verdana" w:eastAsia="Calibri" w:hAnsi="Verdana"/>
          <w:lang w:val="es-CO"/>
        </w:rPr>
        <w:t xml:space="preserve">Ahora </w:t>
      </w:r>
      <w:r w:rsidR="005A71EF">
        <w:rPr>
          <w:rFonts w:ascii="Verdana" w:eastAsia="Calibri" w:hAnsi="Verdana"/>
          <w:lang w:val="es-CO"/>
        </w:rPr>
        <w:t xml:space="preserve">bien, es preciso </w:t>
      </w:r>
      <w:r w:rsidR="00005AF8">
        <w:rPr>
          <w:rFonts w:ascii="Verdana" w:eastAsia="Calibri" w:hAnsi="Verdana"/>
          <w:lang w:val="es-CO"/>
        </w:rPr>
        <w:t>resaltar la mo</w:t>
      </w:r>
      <w:r w:rsidR="00953FD2">
        <w:rPr>
          <w:rFonts w:ascii="Verdana" w:eastAsia="Calibri" w:hAnsi="Verdana"/>
          <w:lang w:val="es-CO"/>
        </w:rPr>
        <w:t xml:space="preserve">dificación </w:t>
      </w:r>
      <w:r w:rsidR="00076B0F">
        <w:rPr>
          <w:rFonts w:ascii="Verdana" w:eastAsia="Calibri" w:hAnsi="Verdana"/>
          <w:lang w:val="es-CO"/>
        </w:rPr>
        <w:t>con la adición</w:t>
      </w:r>
      <w:r w:rsidR="00076B0F" w:rsidRPr="00CE5CFB">
        <w:rPr>
          <w:rFonts w:ascii="Verdana" w:eastAsia="Calibri" w:hAnsi="Verdana"/>
          <w:lang w:val="es-CO"/>
        </w:rPr>
        <w:t xml:space="preserve"> </w:t>
      </w:r>
      <w:r w:rsidR="00076B0F">
        <w:rPr>
          <w:rFonts w:ascii="Verdana" w:eastAsia="Calibri" w:hAnsi="Verdana"/>
          <w:lang w:val="es-CO"/>
        </w:rPr>
        <w:t>de un parágrafo 3 a</w:t>
      </w:r>
      <w:r w:rsidR="00953FD2">
        <w:rPr>
          <w:rFonts w:ascii="Verdana" w:eastAsia="Calibri" w:hAnsi="Verdana"/>
          <w:lang w:val="es-CO"/>
        </w:rPr>
        <w:t xml:space="preserve">l artículo 30 de la Ley 80 de 1993, </w:t>
      </w:r>
      <w:r w:rsidR="00076B0F">
        <w:rPr>
          <w:rFonts w:ascii="Verdana" w:eastAsia="Calibri" w:hAnsi="Verdana"/>
          <w:lang w:val="es-CO"/>
        </w:rPr>
        <w:t>mediante el artículo 1 de la Ley 1882 de 2018</w:t>
      </w:r>
      <w:r w:rsidR="006A6A27" w:rsidRPr="00CE5CFB">
        <w:rPr>
          <w:rFonts w:ascii="Verdana" w:eastAsia="Calibri" w:hAnsi="Verdana"/>
          <w:lang w:val="es-CO"/>
        </w:rPr>
        <w:t>,</w:t>
      </w:r>
      <w:r w:rsidR="00076B0F">
        <w:rPr>
          <w:rFonts w:ascii="Verdana" w:eastAsia="Calibri" w:hAnsi="Verdana"/>
          <w:lang w:val="es-CO"/>
        </w:rPr>
        <w:t xml:space="preserve"> </w:t>
      </w:r>
      <w:r w:rsidR="00544B68">
        <w:rPr>
          <w:rFonts w:ascii="Verdana" w:eastAsia="Calibri" w:hAnsi="Verdana"/>
          <w:lang w:val="es-CO"/>
        </w:rPr>
        <w:t xml:space="preserve">el cual reza de la siguiente manera: </w:t>
      </w:r>
    </w:p>
    <w:p w14:paraId="4232C8AB" w14:textId="77777777" w:rsidR="00544B68" w:rsidRDefault="00544B68" w:rsidP="00544B68">
      <w:pPr>
        <w:ind w:left="284"/>
        <w:rPr>
          <w:rFonts w:ascii="Verdana" w:eastAsia="Calibri" w:hAnsi="Verdana"/>
        </w:rPr>
      </w:pPr>
    </w:p>
    <w:p w14:paraId="6CB9CCA6" w14:textId="040917EA" w:rsidR="00544B68" w:rsidRDefault="00544B68" w:rsidP="00544B68">
      <w:pPr>
        <w:ind w:left="284"/>
        <w:rPr>
          <w:rFonts w:ascii="Verdana" w:eastAsia="Calibri" w:hAnsi="Verdana"/>
        </w:rPr>
      </w:pPr>
      <w:r>
        <w:rPr>
          <w:rFonts w:ascii="Verdana" w:eastAsia="Calibri" w:hAnsi="Verdana"/>
        </w:rPr>
        <w:t>(…)</w:t>
      </w:r>
    </w:p>
    <w:p w14:paraId="1C456580" w14:textId="77753E8D" w:rsidR="00544B68" w:rsidRDefault="00545EF3" w:rsidP="00545EF3">
      <w:pPr>
        <w:spacing w:line="240" w:lineRule="auto"/>
        <w:ind w:left="284"/>
        <w:jc w:val="both"/>
        <w:rPr>
          <w:rFonts w:ascii="Verdana" w:eastAsia="Calibri" w:hAnsi="Verdana"/>
          <w:i/>
          <w:iCs/>
          <w:sz w:val="20"/>
          <w:szCs w:val="20"/>
        </w:rPr>
      </w:pPr>
      <w:r w:rsidRPr="00545EF3">
        <w:rPr>
          <w:rFonts w:ascii="Verdana" w:eastAsia="Calibri" w:hAnsi="Verdana"/>
          <w:i/>
          <w:iCs/>
          <w:sz w:val="20"/>
          <w:szCs w:val="20"/>
        </w:rPr>
        <w:t xml:space="preserve">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w:t>
      </w:r>
      <w:r w:rsidRPr="00545EF3">
        <w:rPr>
          <w:rFonts w:ascii="Verdana" w:eastAsia="Calibri" w:hAnsi="Verdana"/>
          <w:i/>
          <w:iCs/>
          <w:sz w:val="20"/>
          <w:szCs w:val="20"/>
          <w:u w:val="single"/>
        </w:rPr>
        <w:t>corriendo traslado a los proponentes habilitados en la misma diligencia solo para la revisión del aspecto económico y se establecerá el orden de elegibilidad.</w:t>
      </w:r>
    </w:p>
    <w:p w14:paraId="2ED868D3" w14:textId="5DFCC4F6" w:rsidR="00545EF3" w:rsidRPr="00545EF3" w:rsidRDefault="00545EF3" w:rsidP="00545EF3">
      <w:pPr>
        <w:ind w:left="284"/>
        <w:rPr>
          <w:rFonts w:ascii="Verdana" w:eastAsia="Calibri" w:hAnsi="Verdana"/>
        </w:rPr>
      </w:pPr>
      <w:r w:rsidRPr="00545EF3">
        <w:rPr>
          <w:rFonts w:ascii="Verdana" w:eastAsia="Calibri" w:hAnsi="Verdana"/>
        </w:rPr>
        <w:t>(…)</w:t>
      </w:r>
    </w:p>
    <w:p w14:paraId="4D642C6B" w14:textId="5AE2003B" w:rsidR="006A6A27" w:rsidRDefault="00642B4D" w:rsidP="003F36D1">
      <w:pPr>
        <w:pStyle w:val="Textoindependiente"/>
        <w:spacing w:before="1" w:line="276" w:lineRule="auto"/>
        <w:ind w:left="284" w:right="49" w:firstLine="424"/>
        <w:jc w:val="both"/>
        <w:rPr>
          <w:rFonts w:ascii="Verdana" w:eastAsia="Calibri" w:hAnsi="Verdana"/>
          <w:lang w:val="es-CO"/>
        </w:rPr>
      </w:pPr>
      <w:r>
        <w:rPr>
          <w:rFonts w:ascii="Verdana" w:eastAsia="Calibri" w:hAnsi="Verdana"/>
          <w:lang w:val="es-CO"/>
        </w:rPr>
        <w:t xml:space="preserve">De lo anterior se precisa que una vez se realice la apertura del sobre que contiene la oferta económica, </w:t>
      </w:r>
      <w:r w:rsidR="00FF1910">
        <w:rPr>
          <w:rFonts w:ascii="Verdana" w:eastAsia="Calibri" w:hAnsi="Verdana"/>
          <w:lang w:val="es-CO"/>
        </w:rPr>
        <w:t xml:space="preserve">se dará traslado a los proponentes que fueron habilitados, para </w:t>
      </w:r>
      <w:r w:rsidR="003F36D1">
        <w:rPr>
          <w:rFonts w:ascii="Verdana" w:eastAsia="Calibri" w:hAnsi="Verdana"/>
          <w:lang w:val="es-CO"/>
        </w:rPr>
        <w:t xml:space="preserve">realizar </w:t>
      </w:r>
      <w:r w:rsidR="003F36D1" w:rsidRPr="00CE5CFB">
        <w:rPr>
          <w:rFonts w:ascii="Verdana" w:eastAsia="Calibri" w:hAnsi="Verdana"/>
          <w:lang w:val="es-CO"/>
        </w:rPr>
        <w:t>observaciones</w:t>
      </w:r>
      <w:r w:rsidR="006A6A27" w:rsidRPr="00CE5CFB">
        <w:rPr>
          <w:rFonts w:ascii="Verdana" w:eastAsia="Calibri" w:hAnsi="Verdana"/>
          <w:lang w:val="es-CO"/>
        </w:rPr>
        <w:t xml:space="preserve"> </w:t>
      </w:r>
      <w:r w:rsidR="003F36D1">
        <w:rPr>
          <w:rFonts w:ascii="Verdana" w:eastAsia="Calibri" w:hAnsi="Verdana"/>
          <w:lang w:val="es-CO"/>
        </w:rPr>
        <w:t xml:space="preserve">si es del caso y que </w:t>
      </w:r>
      <w:r w:rsidR="006A6A27" w:rsidRPr="00CE5CFB">
        <w:rPr>
          <w:rFonts w:ascii="Verdana" w:eastAsia="Calibri" w:hAnsi="Verdana"/>
          <w:lang w:val="es-CO"/>
        </w:rPr>
        <w:t xml:space="preserve">deberán versar sobre la ponderación de la oferta económica, con lo cual se aclara que los proponentes no podrían hacer observaciones sobre condiciones o situaciones diferentes. </w:t>
      </w:r>
    </w:p>
    <w:p w14:paraId="5EE1A569" w14:textId="77777777" w:rsidR="003F36D1" w:rsidRDefault="003F36D1" w:rsidP="003F36D1">
      <w:pPr>
        <w:pStyle w:val="Textoindependiente"/>
        <w:spacing w:before="1" w:line="276" w:lineRule="auto"/>
        <w:ind w:left="284" w:right="49" w:firstLine="424"/>
        <w:jc w:val="both"/>
        <w:rPr>
          <w:rFonts w:ascii="Verdana" w:eastAsia="Calibri" w:hAnsi="Verdana"/>
          <w:lang w:val="es-CO"/>
        </w:rPr>
      </w:pPr>
    </w:p>
    <w:p w14:paraId="67D5D35E" w14:textId="77777777" w:rsidR="00826C00" w:rsidRPr="00CE5CFB" w:rsidRDefault="00826C00" w:rsidP="003F36D1">
      <w:pPr>
        <w:pStyle w:val="Textoindependiente"/>
        <w:spacing w:before="1" w:line="276" w:lineRule="auto"/>
        <w:ind w:left="284" w:right="49" w:firstLine="424"/>
        <w:jc w:val="both"/>
        <w:rPr>
          <w:rFonts w:ascii="Verdana" w:eastAsia="Calibri" w:hAnsi="Verdana"/>
          <w:lang w:val="es-CO"/>
        </w:rPr>
      </w:pPr>
    </w:p>
    <w:p w14:paraId="30A9DC71" w14:textId="77777777" w:rsidR="000365B6" w:rsidRPr="00CC2A30" w:rsidRDefault="000365B6" w:rsidP="000365B6">
      <w:pPr>
        <w:numPr>
          <w:ilvl w:val="0"/>
          <w:numId w:val="17"/>
        </w:numPr>
        <w:tabs>
          <w:tab w:val="left" w:pos="142"/>
          <w:tab w:val="left" w:pos="284"/>
        </w:tabs>
        <w:spacing w:after="0" w:line="276" w:lineRule="auto"/>
        <w:ind w:left="0" w:firstLine="0"/>
        <w:jc w:val="both"/>
        <w:rPr>
          <w:rFonts w:ascii="Verdana" w:eastAsia="Century Gothic" w:hAnsi="Verdana" w:cs="Century Gothic"/>
          <w:b/>
          <w:bCs/>
          <w:lang w:val="es-ES"/>
        </w:rPr>
      </w:pPr>
      <w:r w:rsidRPr="00CC2A30">
        <w:rPr>
          <w:rFonts w:ascii="Verdana" w:eastAsia="Century Gothic" w:hAnsi="Verdana" w:cs="Century Gothic"/>
          <w:b/>
          <w:bCs/>
          <w:lang w:val="es-ES"/>
        </w:rPr>
        <w:t>Referencias normativas, jurisprudenciales y otras fuentes:</w:t>
      </w:r>
    </w:p>
    <w:p w14:paraId="7F7AA227" w14:textId="77777777" w:rsidR="000365B6" w:rsidRDefault="000365B6" w:rsidP="000365B6">
      <w:pPr>
        <w:pStyle w:val="Prrafodelista"/>
        <w:widowControl w:val="0"/>
        <w:autoSpaceDE w:val="0"/>
        <w:autoSpaceDN w:val="0"/>
        <w:spacing w:after="120" w:line="276" w:lineRule="auto"/>
        <w:contextualSpacing w:val="0"/>
        <w:jc w:val="both"/>
        <w:rPr>
          <w:rFonts w:ascii="Verdana" w:hAnsi="Verdana" w:cs="Arial"/>
        </w:rPr>
      </w:pPr>
    </w:p>
    <w:p w14:paraId="1EABC0D5" w14:textId="3854170E" w:rsidR="000365B6" w:rsidRPr="00E15CF6" w:rsidRDefault="000365B6" w:rsidP="000365B6">
      <w:pPr>
        <w:pStyle w:val="Prrafodelista"/>
        <w:widowControl w:val="0"/>
        <w:numPr>
          <w:ilvl w:val="0"/>
          <w:numId w:val="18"/>
        </w:numPr>
        <w:autoSpaceDE w:val="0"/>
        <w:autoSpaceDN w:val="0"/>
        <w:spacing w:after="120" w:line="276" w:lineRule="auto"/>
        <w:contextualSpacing w:val="0"/>
        <w:jc w:val="both"/>
        <w:rPr>
          <w:rStyle w:val="Hipervnculo"/>
          <w:rFonts w:ascii="Verdana" w:hAnsi="Verdana" w:cs="Arial"/>
          <w:color w:val="auto"/>
          <w:u w:val="none"/>
        </w:rPr>
      </w:pPr>
      <w:r w:rsidRPr="00E15CF6">
        <w:rPr>
          <w:rFonts w:ascii="Verdana" w:hAnsi="Verdana" w:cs="Arial"/>
        </w:rPr>
        <w:t xml:space="preserve">Ley 80 de 1993, </w:t>
      </w:r>
      <w:r w:rsidR="00EA6CCA" w:rsidRPr="00E15CF6">
        <w:rPr>
          <w:rFonts w:ascii="Verdana" w:hAnsi="Verdana" w:cs="Arial"/>
        </w:rPr>
        <w:t xml:space="preserve">artículo 24, artículo 25, </w:t>
      </w:r>
      <w:r w:rsidRPr="00E15CF6">
        <w:rPr>
          <w:rFonts w:ascii="Verdana" w:hAnsi="Verdana" w:cs="Arial"/>
        </w:rPr>
        <w:t xml:space="preserve">artículo 30. Disponible en: </w:t>
      </w:r>
      <w:hyperlink r:id="rId13" w:history="1">
        <w:r w:rsidRPr="00E15CF6">
          <w:rPr>
            <w:rStyle w:val="Hipervnculo"/>
            <w:rFonts w:ascii="Verdana" w:hAnsi="Verdana" w:cs="Arial"/>
          </w:rPr>
          <w:t>https://relatoria.colombiacompra.gov.co/normativa/ley-80-de-1993/</w:t>
        </w:r>
      </w:hyperlink>
    </w:p>
    <w:p w14:paraId="3E117F39" w14:textId="402CD8B3" w:rsidR="000365B6" w:rsidRPr="00E15CF6" w:rsidRDefault="000365B6" w:rsidP="000365B6">
      <w:pPr>
        <w:pStyle w:val="Prrafodelista"/>
        <w:widowControl w:val="0"/>
        <w:numPr>
          <w:ilvl w:val="0"/>
          <w:numId w:val="18"/>
        </w:numPr>
        <w:autoSpaceDE w:val="0"/>
        <w:autoSpaceDN w:val="0"/>
        <w:spacing w:after="120" w:line="276" w:lineRule="auto"/>
        <w:contextualSpacing w:val="0"/>
        <w:jc w:val="both"/>
        <w:rPr>
          <w:rStyle w:val="Hipervnculo"/>
          <w:rFonts w:ascii="Verdana" w:hAnsi="Verdana" w:cs="Arial"/>
          <w:color w:val="auto"/>
          <w:u w:val="none"/>
        </w:rPr>
      </w:pPr>
      <w:r w:rsidRPr="00E15CF6">
        <w:rPr>
          <w:rFonts w:ascii="Verdana" w:hAnsi="Verdana" w:cs="Arial"/>
        </w:rPr>
        <w:t xml:space="preserve">Ley 1150 de 2007, artículo </w:t>
      </w:r>
      <w:r w:rsidR="00EA6CCA" w:rsidRPr="00E15CF6">
        <w:rPr>
          <w:rFonts w:ascii="Verdana" w:hAnsi="Verdana" w:cs="Arial"/>
        </w:rPr>
        <w:t>5</w:t>
      </w:r>
      <w:r w:rsidRPr="00E15CF6">
        <w:rPr>
          <w:rFonts w:ascii="Verdana" w:hAnsi="Verdana" w:cs="Arial"/>
        </w:rPr>
        <w:t xml:space="preserve">. Disponible en: </w:t>
      </w:r>
      <w:hyperlink r:id="rId14" w:history="1">
        <w:r w:rsidRPr="00E15CF6">
          <w:rPr>
            <w:rStyle w:val="Hipervnculo"/>
            <w:rFonts w:ascii="Verdana" w:hAnsi="Verdana" w:cs="Arial"/>
          </w:rPr>
          <w:t>https://relatoria.colombiacompra.gov.co/normativa/ley-1150-de-2007/</w:t>
        </w:r>
      </w:hyperlink>
    </w:p>
    <w:p w14:paraId="005B14EB" w14:textId="0264A2CC" w:rsidR="00354B82" w:rsidRPr="00E15CF6" w:rsidRDefault="00354B82" w:rsidP="000365B6">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E15CF6">
        <w:rPr>
          <w:rFonts w:ascii="Verdana" w:hAnsi="Verdana" w:cs="Arial"/>
        </w:rPr>
        <w:t xml:space="preserve">Ley 1882 de 2018, artículo 1, artículo 5. Disponible en: </w:t>
      </w:r>
      <w:hyperlink r:id="rId15" w:history="1">
        <w:r w:rsidR="00E15CF6" w:rsidRPr="00E15CF6">
          <w:rPr>
            <w:rStyle w:val="Hipervnculo"/>
            <w:rFonts w:ascii="Verdana" w:hAnsi="Verdana" w:cs="Arial"/>
          </w:rPr>
          <w:t>https://relatoria.colombiacompra.gov.co/normativa/ley-1882-de-2018/</w:t>
        </w:r>
      </w:hyperlink>
    </w:p>
    <w:p w14:paraId="07B76698" w14:textId="4480EC75" w:rsidR="000365B6" w:rsidRPr="005078CC" w:rsidRDefault="000365B6" w:rsidP="000365B6">
      <w:pPr>
        <w:pStyle w:val="Prrafodelista"/>
        <w:widowControl w:val="0"/>
        <w:numPr>
          <w:ilvl w:val="0"/>
          <w:numId w:val="18"/>
        </w:numPr>
        <w:autoSpaceDE w:val="0"/>
        <w:autoSpaceDN w:val="0"/>
        <w:spacing w:after="120" w:line="276" w:lineRule="auto"/>
        <w:contextualSpacing w:val="0"/>
        <w:jc w:val="both"/>
        <w:rPr>
          <w:rStyle w:val="Hipervnculo"/>
          <w:rFonts w:ascii="Verdana" w:hAnsi="Verdana" w:cs="Arial"/>
          <w:color w:val="auto"/>
          <w:u w:val="none"/>
        </w:rPr>
      </w:pPr>
      <w:r w:rsidRPr="00E15CF6">
        <w:rPr>
          <w:rFonts w:ascii="Verdana" w:hAnsi="Verdana" w:cs="Arial"/>
        </w:rPr>
        <w:t xml:space="preserve">Decreto 1082 de 2015, artículo </w:t>
      </w:r>
      <w:r w:rsidRPr="00E15CF6">
        <w:rPr>
          <w:rFonts w:ascii="Verdana" w:hAnsi="Verdana"/>
        </w:rPr>
        <w:t xml:space="preserve">2.2.1.1.2.1.1, artículo </w:t>
      </w:r>
      <w:r w:rsidR="00EA6CCA" w:rsidRPr="00E15CF6">
        <w:rPr>
          <w:rFonts w:ascii="Verdana" w:hAnsi="Verdana" w:cs="Arial"/>
          <w:color w:val="000000" w:themeColor="text1"/>
        </w:rPr>
        <w:t xml:space="preserve">2.2.1.1.2.1.3 </w:t>
      </w:r>
      <w:r w:rsidR="00E15CF6" w:rsidRPr="00E15CF6">
        <w:rPr>
          <w:rFonts w:ascii="Verdana" w:eastAsia="Calibri" w:hAnsi="Verdana" w:cs="Arial"/>
          <w:lang w:val="es-CO"/>
        </w:rPr>
        <w:t>artículo 2.2.1.2.1.1.2</w:t>
      </w:r>
      <w:r w:rsidRPr="00E15CF6">
        <w:rPr>
          <w:rFonts w:ascii="Verdana" w:hAnsi="Verdana" w:cs="Arial"/>
          <w:color w:val="000000" w:themeColor="text1"/>
        </w:rPr>
        <w:t xml:space="preserve">. </w:t>
      </w:r>
      <w:r w:rsidRPr="00E15CF6">
        <w:rPr>
          <w:rFonts w:ascii="Verdana" w:hAnsi="Verdana"/>
        </w:rPr>
        <w:t xml:space="preserve"> </w:t>
      </w:r>
      <w:r w:rsidRPr="00E15CF6">
        <w:rPr>
          <w:rFonts w:ascii="Verdana" w:hAnsi="Verdana" w:cs="Arial"/>
        </w:rPr>
        <w:t>Disponible en:</w:t>
      </w:r>
      <w:r w:rsidRPr="00E15CF6">
        <w:rPr>
          <w:rFonts w:ascii="Verdana" w:hAnsi="Verdana" w:cs="Arial"/>
        </w:rPr>
        <w:tab/>
        <w:t xml:space="preserve"> </w:t>
      </w:r>
      <w:hyperlink r:id="rId16" w:history="1">
        <w:r w:rsidR="003A329D" w:rsidRPr="00A9265C">
          <w:rPr>
            <w:rStyle w:val="Hipervnculo"/>
            <w:rFonts w:ascii="Verdana" w:hAnsi="Verdana" w:cs="Arial"/>
          </w:rPr>
          <w:t>https://relatoria.colombiacompra.gov.co/normativa/decreto-1082-de-2015/</w:t>
        </w:r>
      </w:hyperlink>
    </w:p>
    <w:p w14:paraId="6985B143" w14:textId="77777777" w:rsidR="005078CC" w:rsidRPr="00E15CF6" w:rsidRDefault="005078CC" w:rsidP="005078CC">
      <w:pPr>
        <w:pStyle w:val="Prrafodelista"/>
        <w:widowControl w:val="0"/>
        <w:autoSpaceDE w:val="0"/>
        <w:autoSpaceDN w:val="0"/>
        <w:spacing w:after="120" w:line="276" w:lineRule="auto"/>
        <w:contextualSpacing w:val="0"/>
        <w:jc w:val="both"/>
        <w:rPr>
          <w:rFonts w:ascii="Verdana" w:hAnsi="Verdana" w:cs="Arial"/>
        </w:rPr>
      </w:pPr>
    </w:p>
    <w:p w14:paraId="57627E5B" w14:textId="77777777" w:rsidR="000365B6" w:rsidRPr="00CC2A30" w:rsidRDefault="000365B6" w:rsidP="000365B6">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C2A30">
        <w:rPr>
          <w:rFonts w:ascii="Verdana" w:eastAsia="Century Gothic" w:hAnsi="Verdana" w:cs="Century Gothic"/>
          <w:b/>
          <w:bCs/>
        </w:rPr>
        <w:t>Doctrina de la Agencia Nacional de Contratación Pública:</w:t>
      </w:r>
    </w:p>
    <w:p w14:paraId="78965926" w14:textId="77777777" w:rsidR="000365B6" w:rsidRPr="00CC2A30" w:rsidRDefault="000365B6" w:rsidP="000365B6">
      <w:pPr>
        <w:widowControl w:val="0"/>
        <w:autoSpaceDE w:val="0"/>
        <w:autoSpaceDN w:val="0"/>
        <w:spacing w:after="0" w:line="276" w:lineRule="auto"/>
        <w:jc w:val="both"/>
        <w:rPr>
          <w:rFonts w:ascii="Verdana" w:eastAsia="Calibri" w:hAnsi="Verdana" w:cs="Arial"/>
          <w:lang w:val="es-ES" w:eastAsia="es-ES"/>
        </w:rPr>
      </w:pPr>
    </w:p>
    <w:p w14:paraId="273FA5A7" w14:textId="77777777" w:rsidR="00EA0CC7" w:rsidRDefault="008E4E5C" w:rsidP="000365B6">
      <w:pPr>
        <w:widowControl w:val="0"/>
        <w:autoSpaceDE w:val="0"/>
        <w:autoSpaceDN w:val="0"/>
        <w:spacing w:after="0" w:line="276" w:lineRule="auto"/>
        <w:jc w:val="both"/>
        <w:rPr>
          <w:rFonts w:ascii="Verdana" w:eastAsia="Calibri" w:hAnsi="Verdana" w:cs="Arial"/>
          <w:color w:val="000000" w:themeColor="text1"/>
          <w:lang w:val="es-ES"/>
        </w:rPr>
      </w:pPr>
      <w:r>
        <w:rPr>
          <w:rFonts w:ascii="Verdana" w:eastAsia="Calibri" w:hAnsi="Verdana" w:cs="Arial"/>
        </w:rPr>
        <w:t>La</w:t>
      </w:r>
      <w:r w:rsidRPr="0007375E">
        <w:rPr>
          <w:rFonts w:ascii="Verdana" w:eastAsia="Calibri" w:hAnsi="Verdana" w:cs="Arial"/>
        </w:rPr>
        <w:t xml:space="preserve"> Agencia Nacional de Contratación Pública − Colombia Compra Eficiente se ha pronunciado </w:t>
      </w:r>
      <w:r>
        <w:rPr>
          <w:rStyle w:val="normaltextrun"/>
          <w:rFonts w:ascii="Verdana" w:hAnsi="Verdana" w:cs="Arial"/>
          <w:shd w:val="clear" w:color="auto" w:fill="FFFFFF"/>
          <w:lang w:val="es-ES"/>
        </w:rPr>
        <w:t>s</w:t>
      </w:r>
      <w:r w:rsidR="000365B6" w:rsidRPr="00CC2A30">
        <w:rPr>
          <w:rStyle w:val="normaltextrun"/>
          <w:rFonts w:ascii="Verdana" w:hAnsi="Verdana" w:cs="Arial"/>
          <w:shd w:val="clear" w:color="auto" w:fill="FFFFFF"/>
          <w:lang w:val="es-ES"/>
        </w:rPr>
        <w:t xml:space="preserve">obre </w:t>
      </w:r>
      <w:r w:rsidR="000365B6" w:rsidRPr="00CC2A30">
        <w:rPr>
          <w:rFonts w:ascii="Verdana" w:eastAsia="Calibri" w:hAnsi="Verdana" w:cs="Arial"/>
          <w:color w:val="000000" w:themeColor="text1"/>
          <w:lang w:val="es-ES"/>
        </w:rPr>
        <w:t>el</w:t>
      </w:r>
      <w:r w:rsidR="000365B6">
        <w:rPr>
          <w:rFonts w:ascii="Verdana" w:eastAsia="Calibri" w:hAnsi="Verdana" w:cs="Arial"/>
          <w:color w:val="000000" w:themeColor="text1"/>
          <w:lang w:val="es-ES"/>
        </w:rPr>
        <w:t xml:space="preserve"> </w:t>
      </w:r>
      <w:r w:rsidR="000365B6" w:rsidRPr="00E3764A">
        <w:rPr>
          <w:rFonts w:ascii="Verdana" w:eastAsia="Calibri" w:hAnsi="Verdana" w:cs="Arial"/>
          <w:color w:val="000000" w:themeColor="text1"/>
          <w:lang w:val="es-ES"/>
        </w:rPr>
        <w:t>principio de transparencia en la contratación pública</w:t>
      </w:r>
      <w:r w:rsidR="000365B6">
        <w:rPr>
          <w:rFonts w:ascii="Verdana" w:eastAsia="Calibri" w:hAnsi="Verdana" w:cs="Arial"/>
          <w:color w:val="000000" w:themeColor="text1"/>
          <w:lang w:val="es-ES"/>
        </w:rPr>
        <w:t xml:space="preserve"> </w:t>
      </w:r>
      <w:r w:rsidR="000365B6" w:rsidRPr="00E3764A">
        <w:rPr>
          <w:rFonts w:ascii="Verdana" w:eastAsia="Calibri" w:hAnsi="Verdana" w:cs="Arial"/>
          <w:color w:val="000000" w:themeColor="text1"/>
          <w:lang w:val="es-ES"/>
        </w:rPr>
        <w:t>en los conceptos C-124 del 5 de marzo de 2020, C-171 del 7 de abril de 2020, C-419 del 12 de agosto de 2021, C-746 del 11 de noviembre de 2022, C-366 del 8 de septiembre de 2023</w:t>
      </w:r>
      <w:r w:rsidR="000365B6">
        <w:rPr>
          <w:rFonts w:ascii="Verdana" w:eastAsia="Calibri" w:hAnsi="Verdana" w:cs="Arial"/>
          <w:color w:val="000000" w:themeColor="text1"/>
          <w:lang w:val="es-ES"/>
        </w:rPr>
        <w:t xml:space="preserve"> y C-017 del 26 de febrero de 2024,</w:t>
      </w:r>
      <w:r w:rsidR="000365B6" w:rsidRPr="00E3764A">
        <w:rPr>
          <w:rFonts w:ascii="Verdana" w:eastAsia="Calibri" w:hAnsi="Verdana" w:cs="Arial"/>
          <w:color w:val="000000" w:themeColor="text1"/>
          <w:lang w:val="es-ES"/>
        </w:rPr>
        <w:t xml:space="preserve"> entre otros</w:t>
      </w:r>
      <w:r w:rsidR="000365B6">
        <w:rPr>
          <w:rFonts w:ascii="Verdana" w:eastAsia="Calibri" w:hAnsi="Verdana" w:cs="Arial"/>
          <w:color w:val="000000" w:themeColor="text1"/>
          <w:lang w:val="es-ES"/>
        </w:rPr>
        <w:t>.</w:t>
      </w:r>
      <w:r w:rsidR="00026733">
        <w:rPr>
          <w:rFonts w:ascii="Verdana" w:eastAsia="Calibri" w:hAnsi="Verdana" w:cs="Arial"/>
          <w:color w:val="000000" w:themeColor="text1"/>
          <w:lang w:val="es-ES"/>
        </w:rPr>
        <w:t xml:space="preserve"> </w:t>
      </w:r>
    </w:p>
    <w:p w14:paraId="0CE4BBAE" w14:textId="47243BDD" w:rsidR="00EA0CC7" w:rsidRDefault="00EA0CC7" w:rsidP="000365B6">
      <w:pPr>
        <w:widowControl w:val="0"/>
        <w:autoSpaceDE w:val="0"/>
        <w:autoSpaceDN w:val="0"/>
        <w:spacing w:after="0" w:line="276" w:lineRule="auto"/>
        <w:jc w:val="both"/>
        <w:rPr>
          <w:rFonts w:ascii="Verdana" w:eastAsia="Calibri" w:hAnsi="Verdana" w:cs="Arial"/>
        </w:rPr>
      </w:pPr>
    </w:p>
    <w:p w14:paraId="14967F4B" w14:textId="16005428" w:rsidR="00F847E2" w:rsidRDefault="00EA0CC7" w:rsidP="000365B6">
      <w:pPr>
        <w:widowControl w:val="0"/>
        <w:autoSpaceDE w:val="0"/>
        <w:autoSpaceDN w:val="0"/>
        <w:spacing w:after="0" w:line="276" w:lineRule="auto"/>
        <w:jc w:val="both"/>
        <w:rPr>
          <w:rFonts w:ascii="Verdana" w:eastAsia="Calibri" w:hAnsi="Verdana" w:cs="Arial"/>
        </w:rPr>
      </w:pPr>
      <w:r>
        <w:rPr>
          <w:rFonts w:ascii="Verdana" w:eastAsia="Calibri" w:hAnsi="Verdana" w:cs="Arial"/>
        </w:rPr>
        <w:t>Finalmente respecto a la r</w:t>
      </w:r>
      <w:proofErr w:type="spellStart"/>
      <w:r w:rsidRPr="00D16A5E">
        <w:rPr>
          <w:rFonts w:ascii="Verdana" w:eastAsia="Calibri" w:hAnsi="Verdana" w:cs="Arial"/>
          <w:lang w:val="es-ES"/>
        </w:rPr>
        <w:t>egla</w:t>
      </w:r>
      <w:proofErr w:type="spellEnd"/>
      <w:r w:rsidRPr="00D16A5E">
        <w:rPr>
          <w:rFonts w:ascii="Verdana" w:eastAsia="Calibri" w:hAnsi="Verdana" w:cs="Arial"/>
          <w:lang w:val="es-ES"/>
        </w:rPr>
        <w:t xml:space="preserve"> de </w:t>
      </w:r>
      <w:proofErr w:type="spellStart"/>
      <w:r w:rsidRPr="00D16A5E">
        <w:rPr>
          <w:rFonts w:ascii="Verdana" w:eastAsia="Calibri" w:hAnsi="Verdana" w:cs="Arial"/>
          <w:lang w:val="es-ES"/>
        </w:rPr>
        <w:t>subsanabilidad</w:t>
      </w:r>
      <w:proofErr w:type="spellEnd"/>
      <w:r w:rsidRPr="00D16A5E">
        <w:rPr>
          <w:rFonts w:ascii="Verdana" w:eastAsia="Calibri" w:hAnsi="Verdana" w:cs="Arial"/>
          <w:lang w:val="es-ES"/>
        </w:rPr>
        <w:t xml:space="preserve"> en los procesos de selección,</w:t>
      </w:r>
      <w:r w:rsidRPr="00D16A5E">
        <w:rPr>
          <w:rStyle w:val="superscript"/>
          <w:rFonts w:ascii="Verdana" w:hAnsi="Verdana" w:cs="Arial"/>
          <w:shd w:val="clear" w:color="auto" w:fill="FFFFFF"/>
          <w:lang w:val="es-ES"/>
        </w:rPr>
        <w:t xml:space="preserve"> </w:t>
      </w:r>
      <w:r w:rsidRPr="00D16A5E">
        <w:rPr>
          <w:rStyle w:val="normaltextrun"/>
          <w:rFonts w:ascii="Verdana" w:hAnsi="Verdana" w:cs="Arial"/>
          <w:shd w:val="clear" w:color="auto" w:fill="FFFFFF"/>
          <w:lang w:val="es-ES"/>
        </w:rPr>
        <w:t>se pronunció esta Subdirección</w:t>
      </w:r>
      <w:r>
        <w:rPr>
          <w:rStyle w:val="normaltextrun"/>
          <w:rFonts w:ascii="Verdana" w:hAnsi="Verdana" w:cs="Arial"/>
          <w:shd w:val="clear" w:color="auto" w:fill="FFFFFF"/>
          <w:lang w:val="es-ES"/>
        </w:rPr>
        <w:t xml:space="preserve"> </w:t>
      </w:r>
      <w:r w:rsidRPr="00D16A5E">
        <w:rPr>
          <w:rFonts w:ascii="Verdana" w:eastAsia="Calibri" w:hAnsi="Verdana" w:cs="Arial"/>
          <w:lang w:val="es-ES"/>
        </w:rPr>
        <w:t>en los conceptos 4201913000007643 del 26 de diciembre de 2019, C-343 del 17 de junio de 2020, C-518 del 9 de septiembre de 2020, C-614 del 5 de octubre de 2022, C-882 del 21 de diciembre de 2022</w:t>
      </w:r>
      <w:r>
        <w:rPr>
          <w:rFonts w:ascii="Verdana" w:eastAsia="Calibri" w:hAnsi="Verdana" w:cs="Arial"/>
          <w:lang w:val="es-ES"/>
        </w:rPr>
        <w:t>,</w:t>
      </w:r>
      <w:r w:rsidRPr="00D16A5E">
        <w:rPr>
          <w:rFonts w:ascii="Verdana" w:eastAsia="Calibri" w:hAnsi="Verdana" w:cs="Arial"/>
          <w:lang w:val="es-ES"/>
        </w:rPr>
        <w:t xml:space="preserve"> C-172 del 6 de junio de 2023</w:t>
      </w:r>
      <w:r>
        <w:rPr>
          <w:rFonts w:ascii="Verdana" w:eastAsia="Calibri" w:hAnsi="Verdana" w:cs="Arial"/>
          <w:lang w:val="es-ES"/>
        </w:rPr>
        <w:t xml:space="preserve">,C-696 del 20 de noviembre de 2024, C-720 del 25 de noviembre de 2024 y C-748 del 29 de noviembre de 2024. </w:t>
      </w:r>
    </w:p>
    <w:p w14:paraId="6936BCAD" w14:textId="77777777" w:rsidR="00F847E2" w:rsidRPr="00CC2A30" w:rsidRDefault="00F847E2" w:rsidP="000365B6">
      <w:pPr>
        <w:widowControl w:val="0"/>
        <w:autoSpaceDE w:val="0"/>
        <w:autoSpaceDN w:val="0"/>
        <w:spacing w:after="0" w:line="276" w:lineRule="auto"/>
        <w:jc w:val="both"/>
        <w:rPr>
          <w:rFonts w:ascii="Verdana" w:eastAsia="Calibri" w:hAnsi="Verdana" w:cs="Arial"/>
          <w:color w:val="000000" w:themeColor="text1"/>
          <w:lang w:val="es-ES"/>
        </w:rPr>
      </w:pPr>
    </w:p>
    <w:p w14:paraId="39DCBB5A" w14:textId="77777777" w:rsidR="000365B6" w:rsidRPr="00CC2A30" w:rsidRDefault="000365B6" w:rsidP="000365B6">
      <w:pPr>
        <w:widowControl w:val="0"/>
        <w:autoSpaceDE w:val="0"/>
        <w:autoSpaceDN w:val="0"/>
        <w:spacing w:after="0" w:line="276" w:lineRule="auto"/>
        <w:jc w:val="both"/>
        <w:rPr>
          <w:rFonts w:ascii="Verdana" w:hAnsi="Verdana"/>
        </w:rPr>
      </w:pPr>
      <w:r w:rsidRPr="00CC2A30">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CC2A30">
        <w:rPr>
          <w:rFonts w:ascii="Verdana" w:hAnsi="Verdana"/>
        </w:rPr>
        <w:t>, accede a través del siguiente enlace:</w:t>
      </w:r>
    </w:p>
    <w:p w14:paraId="57440835" w14:textId="77777777" w:rsidR="005078CC" w:rsidRPr="00CC2A30" w:rsidRDefault="005078CC" w:rsidP="000365B6">
      <w:pPr>
        <w:widowControl w:val="0"/>
        <w:autoSpaceDE w:val="0"/>
        <w:autoSpaceDN w:val="0"/>
        <w:spacing w:after="0" w:line="276" w:lineRule="auto"/>
        <w:jc w:val="both"/>
        <w:rPr>
          <w:rFonts w:ascii="Verdana" w:hAnsi="Verdana"/>
        </w:rPr>
      </w:pPr>
    </w:p>
    <w:p w14:paraId="640C35F3" w14:textId="77777777" w:rsidR="000365B6" w:rsidRPr="00CC2A30" w:rsidRDefault="000365B6" w:rsidP="000365B6">
      <w:pPr>
        <w:widowControl w:val="0"/>
        <w:autoSpaceDE w:val="0"/>
        <w:autoSpaceDN w:val="0"/>
        <w:spacing w:after="0" w:line="276" w:lineRule="auto"/>
        <w:jc w:val="both"/>
        <w:rPr>
          <w:rStyle w:val="normaltextrun"/>
          <w:rFonts w:ascii="Verdana" w:hAnsi="Verdana"/>
        </w:rPr>
      </w:pPr>
      <w:hyperlink r:id="rId17" w:history="1">
        <w:r w:rsidRPr="00CC2A30">
          <w:rPr>
            <w:rStyle w:val="Hipervnculo"/>
            <w:rFonts w:ascii="Verdana" w:hAnsi="Verdana" w:cs="Arial"/>
            <w:shd w:val="clear" w:color="auto" w:fill="FFFFFF"/>
            <w:lang w:val="es-ES"/>
          </w:rPr>
          <w:t>https://relatoria.colombiacompra.gov.co/busqueda/conceptos</w:t>
        </w:r>
      </w:hyperlink>
      <w:r w:rsidRPr="00CC2A30">
        <w:rPr>
          <w:rStyle w:val="normaltextrun"/>
          <w:rFonts w:ascii="Verdana" w:hAnsi="Verdana" w:cs="Arial"/>
          <w:shd w:val="clear" w:color="auto" w:fill="FFFFFF"/>
        </w:rPr>
        <w:t xml:space="preserve">. </w:t>
      </w:r>
    </w:p>
    <w:p w14:paraId="437E8557" w14:textId="77777777" w:rsidR="000365B6" w:rsidRPr="00CC2A30" w:rsidRDefault="000365B6" w:rsidP="000365B6">
      <w:pPr>
        <w:spacing w:after="0" w:line="240" w:lineRule="auto"/>
        <w:jc w:val="both"/>
        <w:rPr>
          <w:rFonts w:ascii="Verdana" w:eastAsia="Calibri" w:hAnsi="Verdana"/>
        </w:rPr>
      </w:pPr>
    </w:p>
    <w:p w14:paraId="67CE412E" w14:textId="77777777" w:rsidR="000365B6" w:rsidRPr="00CC2A30" w:rsidRDefault="000365B6" w:rsidP="000365B6">
      <w:pPr>
        <w:spacing w:after="0" w:line="254" w:lineRule="auto"/>
        <w:jc w:val="both"/>
        <w:rPr>
          <w:rFonts w:ascii="Verdana" w:eastAsia="Calibri" w:hAnsi="Verdana" w:cs="Times New Roman"/>
        </w:rPr>
      </w:pPr>
      <w:r w:rsidRPr="00CC2A30">
        <w:rPr>
          <w:rFonts w:ascii="Verdana" w:eastAsia="Calibri" w:hAnsi="Verdana" w:cs="Times New Roman"/>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w:t>
      </w:r>
    </w:p>
    <w:p w14:paraId="6EA77519" w14:textId="77777777" w:rsidR="000365B6" w:rsidRDefault="000365B6" w:rsidP="000365B6">
      <w:pPr>
        <w:spacing w:after="0" w:line="254" w:lineRule="auto"/>
        <w:jc w:val="both"/>
        <w:rPr>
          <w:rStyle w:val="Hipervnculo"/>
          <w:rFonts w:ascii="Verdana" w:eastAsia="Calibri" w:hAnsi="Verdana" w:cs="Times New Roman"/>
        </w:rPr>
      </w:pPr>
      <w:hyperlink r:id="rId18" w:tgtFrame="_blank" w:tooltip="Dirección URL original: https://www.colombiacompra.gov.co/sites/cce_public/files/cce_documents/manual_para_el_manejo_de_acuerdos_comerciales_vf.pdf. Haga clic o pulse si confía en este vínculo." w:history="1">
        <w:r w:rsidRPr="00CC2A30">
          <w:rPr>
            <w:rStyle w:val="Hipervnculo"/>
            <w:rFonts w:ascii="Verdana" w:eastAsia="Calibri" w:hAnsi="Verdana" w:cs="Times New Roman"/>
          </w:rPr>
          <w:t>manual_para_el_manejo_de_acuerdos_comerciales_vf.pdf</w:t>
        </w:r>
      </w:hyperlink>
    </w:p>
    <w:p w14:paraId="34523C01" w14:textId="77777777" w:rsidR="005078CC" w:rsidRPr="00CC2A30" w:rsidRDefault="005078CC" w:rsidP="000365B6">
      <w:pPr>
        <w:spacing w:after="0" w:line="254" w:lineRule="auto"/>
        <w:jc w:val="both"/>
        <w:rPr>
          <w:rFonts w:ascii="Verdana" w:eastAsia="Calibri" w:hAnsi="Verdana" w:cs="Times New Roman"/>
        </w:rPr>
      </w:pPr>
    </w:p>
    <w:p w14:paraId="32B2CCA8" w14:textId="77777777" w:rsidR="000365B6" w:rsidRPr="00CC2A30" w:rsidRDefault="000365B6" w:rsidP="00B627EF">
      <w:pPr>
        <w:spacing w:after="0" w:line="254" w:lineRule="auto"/>
        <w:rPr>
          <w:rFonts w:ascii="Verdana" w:eastAsia="Calibri" w:hAnsi="Verdana" w:cs="Times New Roman"/>
        </w:rPr>
      </w:pPr>
      <w:r w:rsidRPr="00CC2A30">
        <w:rPr>
          <w:rFonts w:ascii="Verdana" w:eastAsia="Calibri" w:hAnsi="Verdana" w:cs="Times New Roman"/>
        </w:rPr>
        <w:t>También le invitamos a consultar la versión VII  de 2024 , del Boletín de Relatoría de la Subdirección de Gestión Contractual relacionado con las ASOCIACIONES PÚBLICO POPULARES , el cual se puede descargar en la página web de la Agencia: </w:t>
      </w:r>
      <w:hyperlink r:id="rId19" w:tgtFrame="_blank" w:tooltip="Dirección URL original: https://www.colombiacompra.gov.co/sala-de-prensa/boletin-digital. Haga clic o pulse si confía en este vínculo." w:history="1">
        <w:r w:rsidRPr="00CC2A30">
          <w:rPr>
            <w:rStyle w:val="Hipervnculo"/>
            <w:rFonts w:ascii="Verdana" w:eastAsia="Calibri" w:hAnsi="Verdana" w:cs="Times New Roman"/>
          </w:rPr>
          <w:t>https://www.colombiacompra.gov.co/sala-de-prensa/boletin-digital</w:t>
        </w:r>
      </w:hyperlink>
      <w:r w:rsidRPr="00CC2A30">
        <w:rPr>
          <w:rFonts w:ascii="Verdana" w:eastAsia="Calibri" w:hAnsi="Verdana" w:cs="Times New Roman"/>
        </w:rPr>
        <w:t> ".</w:t>
      </w:r>
    </w:p>
    <w:p w14:paraId="10622951" w14:textId="77777777" w:rsidR="000365B6" w:rsidRPr="00CC2A30" w:rsidRDefault="000365B6" w:rsidP="000365B6">
      <w:pPr>
        <w:spacing w:after="0" w:line="254" w:lineRule="auto"/>
        <w:rPr>
          <w:rFonts w:ascii="Verdana" w:eastAsia="Calibri" w:hAnsi="Verdana" w:cs="Times New Roman"/>
        </w:rPr>
      </w:pPr>
    </w:p>
    <w:p w14:paraId="20D7CB90" w14:textId="77777777" w:rsidR="000365B6" w:rsidRPr="00CC2A30" w:rsidRDefault="000365B6" w:rsidP="000365B6">
      <w:pPr>
        <w:spacing w:after="0" w:line="254" w:lineRule="auto"/>
        <w:rPr>
          <w:rFonts w:ascii="Verdana" w:eastAsia="Calibri" w:hAnsi="Verdana" w:cs="Times New Roman"/>
        </w:rPr>
      </w:pPr>
      <w:r w:rsidRPr="00CC2A30">
        <w:rPr>
          <w:rFonts w:ascii="Verdana" w:eastAsia="Calibri" w:hAnsi="Verdana" w:cs="Times New Roman"/>
        </w:rPr>
        <w:t xml:space="preserve">Por último, lo invitamos a seguirnos en las redes sociales en las cuales se difunde información institucional: </w:t>
      </w:r>
    </w:p>
    <w:p w14:paraId="11A92390" w14:textId="77777777" w:rsidR="000365B6" w:rsidRPr="00CC2A30" w:rsidRDefault="000365B6" w:rsidP="000365B6">
      <w:pPr>
        <w:spacing w:after="0" w:line="254" w:lineRule="auto"/>
        <w:rPr>
          <w:rFonts w:ascii="Verdana" w:eastAsia="Calibri" w:hAnsi="Verdana" w:cs="Times New Roman"/>
        </w:rPr>
      </w:pPr>
    </w:p>
    <w:p w14:paraId="20C61365" w14:textId="77777777" w:rsidR="000365B6" w:rsidRPr="00CC2A30" w:rsidRDefault="000365B6" w:rsidP="000365B6">
      <w:pPr>
        <w:spacing w:after="0" w:line="254" w:lineRule="auto"/>
        <w:rPr>
          <w:rFonts w:ascii="Verdana" w:eastAsia="Calibri" w:hAnsi="Verdana" w:cs="Times New Roman"/>
        </w:rPr>
      </w:pPr>
      <w:r w:rsidRPr="00CC2A30">
        <w:rPr>
          <w:rFonts w:ascii="Verdana" w:eastAsia="Calibri" w:hAnsi="Verdana" w:cs="Times New Roman"/>
        </w:rPr>
        <w:t xml:space="preserve">Twitter: </w:t>
      </w:r>
      <w:r w:rsidRPr="00CC2A30">
        <w:rPr>
          <w:rFonts w:ascii="Verdana" w:eastAsia="Calibri" w:hAnsi="Verdana" w:cs="Times New Roman"/>
          <w:u w:val="single"/>
        </w:rPr>
        <w:t>@colombiacompra</w:t>
      </w:r>
      <w:r w:rsidRPr="00CC2A30">
        <w:rPr>
          <w:rFonts w:ascii="Verdana" w:eastAsia="Calibri" w:hAnsi="Verdana" w:cs="Times New Roman"/>
        </w:rPr>
        <w:t xml:space="preserve"> </w:t>
      </w:r>
    </w:p>
    <w:p w14:paraId="69E2D97D" w14:textId="77777777" w:rsidR="000365B6" w:rsidRPr="00CC2A30" w:rsidRDefault="000365B6" w:rsidP="000365B6">
      <w:pPr>
        <w:spacing w:after="0" w:line="254" w:lineRule="auto"/>
        <w:rPr>
          <w:rFonts w:ascii="Verdana" w:eastAsia="Calibri" w:hAnsi="Verdana" w:cs="Times New Roman"/>
        </w:rPr>
      </w:pPr>
      <w:r w:rsidRPr="00CC2A30">
        <w:rPr>
          <w:rFonts w:ascii="Verdana" w:eastAsia="Calibri" w:hAnsi="Verdana" w:cs="Times New Roman"/>
        </w:rPr>
        <w:t xml:space="preserve">Facebook: </w:t>
      </w:r>
      <w:proofErr w:type="spellStart"/>
      <w:r w:rsidRPr="00CC2A30">
        <w:rPr>
          <w:rFonts w:ascii="Verdana" w:eastAsia="Calibri" w:hAnsi="Verdana" w:cs="Times New Roman"/>
          <w:u w:val="single"/>
        </w:rPr>
        <w:t>ColombiaCompraEficiente</w:t>
      </w:r>
      <w:proofErr w:type="spellEnd"/>
    </w:p>
    <w:p w14:paraId="3EBE7B68" w14:textId="77777777" w:rsidR="000365B6" w:rsidRPr="00CC2A30" w:rsidRDefault="000365B6" w:rsidP="000365B6">
      <w:pPr>
        <w:spacing w:after="0" w:line="254" w:lineRule="auto"/>
        <w:rPr>
          <w:rFonts w:ascii="Verdana" w:eastAsia="Calibri" w:hAnsi="Verdana" w:cs="Times New Roman"/>
          <w:u w:val="single"/>
        </w:rPr>
      </w:pPr>
      <w:r w:rsidRPr="00CC2A30">
        <w:rPr>
          <w:rFonts w:ascii="Verdana" w:eastAsia="Calibri" w:hAnsi="Verdana" w:cs="Times New Roman"/>
        </w:rPr>
        <w:t xml:space="preserve">LinkedIn: </w:t>
      </w:r>
      <w:r w:rsidRPr="00CC2A30">
        <w:rPr>
          <w:rFonts w:ascii="Verdana" w:eastAsia="Calibri" w:hAnsi="Verdana" w:cs="Times New Roman"/>
          <w:u w:val="single"/>
        </w:rPr>
        <w:t>Agencia Nacional de Contratación Pública - Colombia Compra Eficiente</w:t>
      </w:r>
      <w:r w:rsidRPr="00CC2A30">
        <w:rPr>
          <w:rFonts w:ascii="Verdana" w:eastAsia="Calibri" w:hAnsi="Verdana" w:cs="Times New Roman"/>
        </w:rPr>
        <w:t xml:space="preserve"> Instagram: </w:t>
      </w:r>
      <w:r w:rsidRPr="00CC2A30">
        <w:rPr>
          <w:rFonts w:ascii="Verdana" w:eastAsia="Calibri" w:hAnsi="Verdana" w:cs="Times New Roman"/>
          <w:u w:val="single"/>
        </w:rPr>
        <w:t>@colombiacompraeficiente_cce</w:t>
      </w:r>
    </w:p>
    <w:p w14:paraId="2C912D4F" w14:textId="77777777" w:rsidR="000365B6" w:rsidRPr="00CC2A30" w:rsidRDefault="000365B6" w:rsidP="000365B6">
      <w:pPr>
        <w:spacing w:after="0" w:line="254" w:lineRule="auto"/>
        <w:rPr>
          <w:rFonts w:ascii="Verdana" w:eastAsia="Calibri" w:hAnsi="Verdana" w:cs="Times New Roman"/>
          <w:b/>
          <w:bCs/>
        </w:rPr>
      </w:pPr>
    </w:p>
    <w:p w14:paraId="5883F216" w14:textId="77777777" w:rsidR="000365B6" w:rsidRPr="00CC2A30" w:rsidRDefault="000365B6" w:rsidP="000365B6">
      <w:pPr>
        <w:spacing w:after="0" w:line="254" w:lineRule="auto"/>
        <w:jc w:val="both"/>
        <w:rPr>
          <w:rFonts w:ascii="Verdana" w:eastAsia="Calibri" w:hAnsi="Verdana" w:cs="Times New Roman"/>
          <w:lang w:val="es-ES_tradnl"/>
        </w:rPr>
      </w:pPr>
      <w:r w:rsidRPr="00CC2A30">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58EB0D48" w14:textId="7E268A0F" w:rsidR="000365B6" w:rsidRDefault="000365B6" w:rsidP="000365B6">
      <w:pPr>
        <w:spacing w:after="0" w:line="240" w:lineRule="auto"/>
        <w:jc w:val="both"/>
        <w:rPr>
          <w:rFonts w:ascii="Verdana" w:eastAsia="Calibri" w:hAnsi="Verdana"/>
        </w:rPr>
      </w:pPr>
    </w:p>
    <w:p w14:paraId="278B5FDB" w14:textId="6FF480E2" w:rsidR="00ED3FB9" w:rsidRPr="00CC2A30" w:rsidRDefault="00ED3FB9" w:rsidP="00ED3FB9">
      <w:pPr>
        <w:spacing w:after="0" w:line="240" w:lineRule="auto"/>
        <w:jc w:val="center"/>
        <w:rPr>
          <w:rFonts w:ascii="Verdana" w:eastAsia="Calibri" w:hAnsi="Verdana"/>
        </w:rPr>
      </w:pPr>
      <w:r w:rsidRPr="002C3AD6">
        <w:rPr>
          <w:rFonts w:ascii="Century Gothic" w:hAnsi="Century Gothic"/>
          <w:noProof/>
        </w:rPr>
        <w:drawing>
          <wp:inline distT="0" distB="0" distL="0" distR="0" wp14:anchorId="12015863" wp14:editId="58A89239">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0"/>
                    <a:stretch>
                      <a:fillRect/>
                    </a:stretch>
                  </pic:blipFill>
                  <pic:spPr>
                    <a:xfrm>
                      <a:off x="0" y="0"/>
                      <a:ext cx="3772426" cy="1400370"/>
                    </a:xfrm>
                    <a:prstGeom prst="rect">
                      <a:avLst/>
                    </a:prstGeom>
                  </pic:spPr>
                </pic:pic>
              </a:graphicData>
            </a:graphic>
          </wp:inline>
        </w:drawing>
      </w:r>
    </w:p>
    <w:p w14:paraId="4C697473" w14:textId="77777777" w:rsidR="000365B6" w:rsidRPr="00CC2A30" w:rsidRDefault="000365B6" w:rsidP="000365B6">
      <w:pPr>
        <w:spacing w:after="0" w:line="240" w:lineRule="auto"/>
        <w:jc w:val="both"/>
        <w:rPr>
          <w:rFonts w:ascii="Verdana" w:eastAsia="Times New Roman" w:hAnsi="Verdana" w:cs="Arial"/>
          <w:lang w:eastAsia="es-CO"/>
        </w:rPr>
      </w:pPr>
      <w:r w:rsidRPr="00CC2A30">
        <w:rPr>
          <w:rFonts w:ascii="Verdana" w:eastAsia="Times New Roman" w:hAnsi="Verdana" w:cs="Arial"/>
          <w:lang w:eastAsia="es-CO"/>
        </w:rPr>
        <w:t>Atentamente,</w:t>
      </w:r>
    </w:p>
    <w:p w14:paraId="475E540C" w14:textId="35853733" w:rsidR="000365B6" w:rsidRPr="00CC2A30" w:rsidRDefault="000365B6" w:rsidP="000365B6">
      <w:pPr>
        <w:spacing w:after="0" w:line="240" w:lineRule="auto"/>
        <w:jc w:val="center"/>
        <w:rPr>
          <w:rFonts w:ascii="Verdana" w:eastAsia="Times New Roman" w:hAnsi="Verdana" w:cs="Arial"/>
          <w:lang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0365B6" w:rsidRPr="00CC2A30" w14:paraId="62071F41" w14:textId="77777777" w:rsidTr="0039783E">
        <w:trPr>
          <w:trHeight w:val="409"/>
        </w:trPr>
        <w:tc>
          <w:tcPr>
            <w:tcW w:w="817" w:type="dxa"/>
            <w:tcBorders>
              <w:top w:val="nil"/>
              <w:left w:val="nil"/>
              <w:bottom w:val="nil"/>
              <w:right w:val="nil"/>
            </w:tcBorders>
            <w:vAlign w:val="center"/>
            <w:hideMark/>
          </w:tcPr>
          <w:p w14:paraId="748C1ECB" w14:textId="77777777" w:rsidR="000365B6" w:rsidRPr="00CC2A30" w:rsidRDefault="000365B6" w:rsidP="0039783E">
            <w:pPr>
              <w:spacing w:after="0" w:line="240" w:lineRule="auto"/>
              <w:jc w:val="both"/>
              <w:rPr>
                <w:rFonts w:ascii="Verdana" w:hAnsi="Verdana" w:cs="Arial"/>
                <w:sz w:val="14"/>
                <w:szCs w:val="14"/>
              </w:rPr>
            </w:pPr>
            <w:r w:rsidRPr="00CC2A30">
              <w:rPr>
                <w:rFonts w:ascii="Verdana" w:hAnsi="Verdana" w:cs="Arial"/>
                <w:sz w:val="14"/>
                <w:szCs w:val="14"/>
              </w:rPr>
              <w:t>Elaboró: </w:t>
            </w:r>
          </w:p>
        </w:tc>
        <w:tc>
          <w:tcPr>
            <w:tcW w:w="4937" w:type="dxa"/>
            <w:tcBorders>
              <w:top w:val="nil"/>
              <w:left w:val="nil"/>
              <w:bottom w:val="dotted" w:sz="6" w:space="0" w:color="7F7F7F" w:themeColor="text1" w:themeTint="80"/>
              <w:right w:val="nil"/>
            </w:tcBorders>
            <w:vAlign w:val="center"/>
            <w:hideMark/>
          </w:tcPr>
          <w:p w14:paraId="3E863D7E" w14:textId="77777777" w:rsidR="000365B6" w:rsidRPr="00CC2A30" w:rsidRDefault="000365B6" w:rsidP="0039783E">
            <w:pPr>
              <w:spacing w:after="0" w:line="240" w:lineRule="auto"/>
              <w:jc w:val="both"/>
              <w:rPr>
                <w:rFonts w:ascii="Verdana" w:hAnsi="Verdana" w:cs="Arial"/>
                <w:sz w:val="14"/>
                <w:szCs w:val="14"/>
              </w:rPr>
            </w:pPr>
            <w:r w:rsidRPr="00CC2A30">
              <w:rPr>
                <w:rFonts w:ascii="Verdana" w:hAnsi="Verdana" w:cs="Arial"/>
                <w:sz w:val="14"/>
                <w:szCs w:val="14"/>
              </w:rPr>
              <w:t>Gustavo Hinestroza Martínez</w:t>
            </w:r>
          </w:p>
          <w:p w14:paraId="3EF1EC68" w14:textId="77777777" w:rsidR="000365B6" w:rsidRPr="00CC2A30" w:rsidRDefault="000365B6" w:rsidP="0039783E">
            <w:pPr>
              <w:spacing w:after="0" w:line="240" w:lineRule="auto"/>
              <w:jc w:val="both"/>
              <w:rPr>
                <w:rFonts w:ascii="Verdana" w:hAnsi="Verdana" w:cs="Arial"/>
                <w:sz w:val="14"/>
                <w:szCs w:val="14"/>
              </w:rPr>
            </w:pPr>
            <w:r w:rsidRPr="00CC2A30">
              <w:rPr>
                <w:rFonts w:ascii="Verdana" w:hAnsi="Verdana" w:cs="Arial"/>
                <w:sz w:val="14"/>
                <w:szCs w:val="14"/>
              </w:rPr>
              <w:t>Contratista de la Subdirección de Gestión Contractual</w:t>
            </w:r>
          </w:p>
        </w:tc>
      </w:tr>
      <w:tr w:rsidR="000365B6" w:rsidRPr="00CC2A30" w14:paraId="7071149F" w14:textId="77777777" w:rsidTr="0039783E">
        <w:trPr>
          <w:trHeight w:val="409"/>
        </w:trPr>
        <w:tc>
          <w:tcPr>
            <w:tcW w:w="817" w:type="dxa"/>
            <w:tcBorders>
              <w:top w:val="nil"/>
              <w:left w:val="nil"/>
              <w:bottom w:val="nil"/>
              <w:right w:val="nil"/>
            </w:tcBorders>
            <w:vAlign w:val="center"/>
            <w:hideMark/>
          </w:tcPr>
          <w:p w14:paraId="4646F9C6" w14:textId="77777777" w:rsidR="000365B6" w:rsidRPr="00CC2A30" w:rsidRDefault="000365B6" w:rsidP="0039783E">
            <w:pPr>
              <w:spacing w:after="0"/>
              <w:jc w:val="both"/>
              <w:rPr>
                <w:rFonts w:ascii="Verdana" w:hAnsi="Verdana" w:cs="Arial"/>
                <w:sz w:val="14"/>
                <w:szCs w:val="14"/>
              </w:rPr>
            </w:pPr>
            <w:r w:rsidRPr="00CC2A30">
              <w:rPr>
                <w:rFonts w:ascii="Verdana" w:hAnsi="Verdana" w:cs="Arial"/>
                <w:sz w:val="14"/>
                <w:szCs w:val="14"/>
              </w:rPr>
              <w:lastRenderedPageBreak/>
              <w:t>Revisó</w:t>
            </w:r>
            <w:r w:rsidRPr="00CC2A30">
              <w:rPr>
                <w:rFonts w:ascii="Verdana" w:hAnsi="Verdana" w:cs="Arial"/>
                <w:sz w:val="20"/>
                <w:szCs w:val="20"/>
              </w:rPr>
              <w:t>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BE8EFC1" w14:textId="77777777" w:rsidR="000365B6" w:rsidRPr="00CC2A30" w:rsidRDefault="000365B6" w:rsidP="0039783E">
            <w:pPr>
              <w:pStyle w:val="paragraph"/>
              <w:spacing w:before="0" w:beforeAutospacing="0" w:after="0" w:afterAutospacing="0"/>
              <w:textAlignment w:val="baseline"/>
              <w:rPr>
                <w:rFonts w:ascii="Verdana" w:eastAsiaTheme="minorHAnsi" w:hAnsi="Verdana" w:cs="Arial"/>
                <w:sz w:val="14"/>
                <w:szCs w:val="14"/>
                <w:lang w:eastAsia="en-US"/>
              </w:rPr>
            </w:pPr>
            <w:r w:rsidRPr="00CC2A30">
              <w:rPr>
                <w:rFonts w:ascii="Verdana" w:eastAsiaTheme="minorHAnsi" w:hAnsi="Verdana" w:cs="Arial"/>
                <w:sz w:val="14"/>
                <w:szCs w:val="14"/>
                <w:lang w:eastAsia="en-US"/>
              </w:rPr>
              <w:t>Ximena Rios López</w:t>
            </w:r>
          </w:p>
          <w:p w14:paraId="22429C40" w14:textId="77777777" w:rsidR="000365B6" w:rsidRPr="00CC2A30" w:rsidRDefault="000365B6" w:rsidP="0039783E">
            <w:pPr>
              <w:spacing w:after="0" w:line="240" w:lineRule="auto"/>
              <w:jc w:val="both"/>
              <w:rPr>
                <w:rFonts w:ascii="Verdana" w:hAnsi="Verdana" w:cs="Arial"/>
                <w:sz w:val="14"/>
                <w:szCs w:val="14"/>
              </w:rPr>
            </w:pPr>
            <w:r w:rsidRPr="00CC2A30">
              <w:rPr>
                <w:rFonts w:ascii="Verdana" w:hAnsi="Verdana" w:cs="Arial"/>
                <w:sz w:val="14"/>
                <w:szCs w:val="14"/>
              </w:rPr>
              <w:t>Gestor código T1 grado 11 Subdirección de Gestión Contractual</w:t>
            </w:r>
          </w:p>
        </w:tc>
      </w:tr>
      <w:tr w:rsidR="000365B6" w:rsidRPr="00CC2A30" w14:paraId="4708A8AB" w14:textId="77777777" w:rsidTr="0039783E">
        <w:trPr>
          <w:trHeight w:val="389"/>
        </w:trPr>
        <w:tc>
          <w:tcPr>
            <w:tcW w:w="817" w:type="dxa"/>
            <w:tcBorders>
              <w:top w:val="nil"/>
              <w:left w:val="nil"/>
              <w:bottom w:val="nil"/>
              <w:right w:val="nil"/>
            </w:tcBorders>
            <w:vAlign w:val="center"/>
            <w:hideMark/>
          </w:tcPr>
          <w:p w14:paraId="3D30FBA4" w14:textId="77777777" w:rsidR="000365B6" w:rsidRPr="00CC2A30" w:rsidRDefault="000365B6" w:rsidP="0039783E">
            <w:pPr>
              <w:spacing w:after="0" w:line="240" w:lineRule="auto"/>
              <w:jc w:val="both"/>
              <w:rPr>
                <w:rFonts w:ascii="Verdana" w:hAnsi="Verdana" w:cs="Arial"/>
                <w:sz w:val="14"/>
                <w:szCs w:val="14"/>
              </w:rPr>
            </w:pPr>
            <w:r w:rsidRPr="00CC2A30">
              <w:rPr>
                <w:rFonts w:ascii="Verdana" w:hAnsi="Verdana" w:cs="Arial"/>
                <w:sz w:val="14"/>
                <w:szCs w:val="14"/>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B32A15D" w14:textId="77777777" w:rsidR="000365B6" w:rsidRPr="00CC2A30" w:rsidRDefault="000365B6" w:rsidP="0039783E">
            <w:pPr>
              <w:spacing w:after="0"/>
              <w:jc w:val="both"/>
              <w:rPr>
                <w:rFonts w:ascii="Verdana" w:hAnsi="Verdana" w:cs="Arial"/>
                <w:sz w:val="14"/>
                <w:szCs w:val="14"/>
              </w:rPr>
            </w:pPr>
            <w:r w:rsidRPr="00CC2A30">
              <w:rPr>
                <w:rFonts w:ascii="Verdana" w:hAnsi="Verdana" w:cs="Arial"/>
                <w:sz w:val="14"/>
                <w:szCs w:val="14"/>
              </w:rPr>
              <w:t>Carolina Quintero Gacharná</w:t>
            </w:r>
          </w:p>
          <w:p w14:paraId="00653E03" w14:textId="77777777" w:rsidR="000365B6" w:rsidRPr="00CC2A30" w:rsidRDefault="000365B6" w:rsidP="0039783E">
            <w:pPr>
              <w:spacing w:after="0" w:line="240" w:lineRule="auto"/>
              <w:jc w:val="both"/>
              <w:rPr>
                <w:rFonts w:ascii="Verdana" w:hAnsi="Verdana" w:cs="Arial"/>
                <w:sz w:val="14"/>
                <w:szCs w:val="14"/>
              </w:rPr>
            </w:pPr>
            <w:r w:rsidRPr="00CC2A30">
              <w:rPr>
                <w:rFonts w:ascii="Verdana" w:hAnsi="Verdana" w:cs="Arial"/>
                <w:sz w:val="14"/>
                <w:szCs w:val="14"/>
              </w:rPr>
              <w:t>Subdirectora de Gestión Contractual ANCP – CCE</w:t>
            </w:r>
          </w:p>
        </w:tc>
      </w:tr>
    </w:tbl>
    <w:p w14:paraId="3900974D" w14:textId="77777777" w:rsidR="003D5B0D" w:rsidRPr="000365B6" w:rsidRDefault="003D5B0D" w:rsidP="00FE48EE"/>
    <w:sectPr w:rsidR="003D5B0D" w:rsidRPr="000365B6"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C399C" w14:textId="77777777" w:rsidR="00EB5DCC" w:rsidRDefault="00EB5DCC" w:rsidP="004A1847">
      <w:pPr>
        <w:spacing w:after="0" w:line="240" w:lineRule="auto"/>
      </w:pPr>
      <w:r>
        <w:separator/>
      </w:r>
    </w:p>
  </w:endnote>
  <w:endnote w:type="continuationSeparator" w:id="0">
    <w:p w14:paraId="551D90EC" w14:textId="77777777" w:rsidR="00EB5DCC" w:rsidRDefault="00EB5DCC" w:rsidP="004A1847">
      <w:pPr>
        <w:spacing w:after="0" w:line="240" w:lineRule="auto"/>
      </w:pPr>
      <w:r>
        <w:continuationSeparator/>
      </w:r>
    </w:p>
  </w:endnote>
  <w:endnote w:type="continuationNotice" w:id="1">
    <w:p w14:paraId="3CDAF29E" w14:textId="77777777" w:rsidR="00EB5DCC" w:rsidRDefault="00EB5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5E33B" w14:textId="77777777" w:rsidR="00EB5DCC" w:rsidRDefault="00EB5DCC" w:rsidP="004A1847">
      <w:pPr>
        <w:spacing w:after="0" w:line="240" w:lineRule="auto"/>
      </w:pPr>
      <w:r>
        <w:separator/>
      </w:r>
    </w:p>
  </w:footnote>
  <w:footnote w:type="continuationSeparator" w:id="0">
    <w:p w14:paraId="6523F419" w14:textId="77777777" w:rsidR="00EB5DCC" w:rsidRDefault="00EB5DCC" w:rsidP="004A1847">
      <w:pPr>
        <w:spacing w:after="0" w:line="240" w:lineRule="auto"/>
      </w:pPr>
      <w:r>
        <w:continuationSeparator/>
      </w:r>
    </w:p>
  </w:footnote>
  <w:footnote w:type="continuationNotice" w:id="1">
    <w:p w14:paraId="68C6C8A7" w14:textId="77777777" w:rsidR="00EB5DCC" w:rsidRDefault="00EB5DCC">
      <w:pPr>
        <w:spacing w:after="0" w:line="240" w:lineRule="auto"/>
      </w:pPr>
    </w:p>
  </w:footnote>
  <w:footnote w:id="2">
    <w:p w14:paraId="7C080956" w14:textId="76C354BF" w:rsidR="0016243E" w:rsidRDefault="0016243E" w:rsidP="007016C9">
      <w:pPr>
        <w:pStyle w:val="Textonotapie"/>
        <w:ind w:firstLine="708"/>
        <w:jc w:val="both"/>
      </w:pPr>
      <w:r>
        <w:rPr>
          <w:rStyle w:val="Refdenotaalpie"/>
        </w:rPr>
        <w:footnoteRef/>
      </w:r>
      <w:r>
        <w:t xml:space="preserve"> </w:t>
      </w:r>
      <w:r w:rsidRPr="007016C9">
        <w:rPr>
          <w:rFonts w:ascii="Verdana" w:hAnsi="Verdana"/>
          <w:sz w:val="16"/>
          <w:szCs w:val="16"/>
        </w:rPr>
        <w:t xml:space="preserve">Ley 80 de 1993, </w:t>
      </w:r>
      <w:r w:rsidR="007016C9" w:rsidRPr="007016C9">
        <w:rPr>
          <w:rFonts w:ascii="Verdana" w:hAnsi="Verdana"/>
          <w:sz w:val="16"/>
          <w:szCs w:val="16"/>
        </w:rPr>
        <w:t xml:space="preserve">artículo 5 numeral 1: (…) </w:t>
      </w:r>
      <w:r w:rsidR="007016C9" w:rsidRPr="007016C9">
        <w:rPr>
          <w:rFonts w:ascii="Verdana" w:hAnsi="Verdana"/>
          <w:sz w:val="16"/>
          <w:szCs w:val="16"/>
          <w:lang w:val="es-CO"/>
        </w:rPr>
        <w:t>1o. En las normas de selección y en los pliegos de condiciones o términos de referencia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10.9pt;height:10.9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825602"/>
    <w:multiLevelType w:val="hybridMultilevel"/>
    <w:tmpl w:val="E16209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0F4636"/>
    <w:multiLevelType w:val="hybridMultilevel"/>
    <w:tmpl w:val="F7228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79719B"/>
    <w:multiLevelType w:val="hybridMultilevel"/>
    <w:tmpl w:val="39246A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FF6398A"/>
    <w:multiLevelType w:val="multilevel"/>
    <w:tmpl w:val="1EFA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D97B18"/>
    <w:multiLevelType w:val="hybridMultilevel"/>
    <w:tmpl w:val="7766E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F14C50"/>
    <w:multiLevelType w:val="hybridMultilevel"/>
    <w:tmpl w:val="C6F669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18C0F7F"/>
    <w:multiLevelType w:val="hybridMultilevel"/>
    <w:tmpl w:val="5156E3DA"/>
    <w:lvl w:ilvl="0" w:tplc="240A0001">
      <w:start w:val="1"/>
      <w:numFmt w:val="bullet"/>
      <w:lvlText w:val=""/>
      <w:lvlJc w:val="left"/>
      <w:pPr>
        <w:ind w:left="1446" w:hanging="360"/>
      </w:pPr>
      <w:rPr>
        <w:rFonts w:ascii="Symbol" w:hAnsi="Symbol" w:hint="default"/>
      </w:rPr>
    </w:lvl>
    <w:lvl w:ilvl="1" w:tplc="240A0003" w:tentative="1">
      <w:start w:val="1"/>
      <w:numFmt w:val="bullet"/>
      <w:lvlText w:val="o"/>
      <w:lvlJc w:val="left"/>
      <w:pPr>
        <w:ind w:left="2166" w:hanging="360"/>
      </w:pPr>
      <w:rPr>
        <w:rFonts w:ascii="Courier New" w:hAnsi="Courier New" w:cs="Courier New" w:hint="default"/>
      </w:rPr>
    </w:lvl>
    <w:lvl w:ilvl="2" w:tplc="240A0005" w:tentative="1">
      <w:start w:val="1"/>
      <w:numFmt w:val="bullet"/>
      <w:lvlText w:val=""/>
      <w:lvlJc w:val="left"/>
      <w:pPr>
        <w:ind w:left="2886" w:hanging="360"/>
      </w:pPr>
      <w:rPr>
        <w:rFonts w:ascii="Wingdings" w:hAnsi="Wingdings" w:hint="default"/>
      </w:rPr>
    </w:lvl>
    <w:lvl w:ilvl="3" w:tplc="240A0001" w:tentative="1">
      <w:start w:val="1"/>
      <w:numFmt w:val="bullet"/>
      <w:lvlText w:val=""/>
      <w:lvlJc w:val="left"/>
      <w:pPr>
        <w:ind w:left="3606" w:hanging="360"/>
      </w:pPr>
      <w:rPr>
        <w:rFonts w:ascii="Symbol" w:hAnsi="Symbol" w:hint="default"/>
      </w:rPr>
    </w:lvl>
    <w:lvl w:ilvl="4" w:tplc="240A0003" w:tentative="1">
      <w:start w:val="1"/>
      <w:numFmt w:val="bullet"/>
      <w:lvlText w:val="o"/>
      <w:lvlJc w:val="left"/>
      <w:pPr>
        <w:ind w:left="4326" w:hanging="360"/>
      </w:pPr>
      <w:rPr>
        <w:rFonts w:ascii="Courier New" w:hAnsi="Courier New" w:cs="Courier New" w:hint="default"/>
      </w:rPr>
    </w:lvl>
    <w:lvl w:ilvl="5" w:tplc="240A0005" w:tentative="1">
      <w:start w:val="1"/>
      <w:numFmt w:val="bullet"/>
      <w:lvlText w:val=""/>
      <w:lvlJc w:val="left"/>
      <w:pPr>
        <w:ind w:left="5046" w:hanging="360"/>
      </w:pPr>
      <w:rPr>
        <w:rFonts w:ascii="Wingdings" w:hAnsi="Wingdings" w:hint="default"/>
      </w:rPr>
    </w:lvl>
    <w:lvl w:ilvl="6" w:tplc="240A0001" w:tentative="1">
      <w:start w:val="1"/>
      <w:numFmt w:val="bullet"/>
      <w:lvlText w:val=""/>
      <w:lvlJc w:val="left"/>
      <w:pPr>
        <w:ind w:left="5766" w:hanging="360"/>
      </w:pPr>
      <w:rPr>
        <w:rFonts w:ascii="Symbol" w:hAnsi="Symbol" w:hint="default"/>
      </w:rPr>
    </w:lvl>
    <w:lvl w:ilvl="7" w:tplc="240A0003" w:tentative="1">
      <w:start w:val="1"/>
      <w:numFmt w:val="bullet"/>
      <w:lvlText w:val="o"/>
      <w:lvlJc w:val="left"/>
      <w:pPr>
        <w:ind w:left="6486" w:hanging="360"/>
      </w:pPr>
      <w:rPr>
        <w:rFonts w:ascii="Courier New" w:hAnsi="Courier New" w:cs="Courier New" w:hint="default"/>
      </w:rPr>
    </w:lvl>
    <w:lvl w:ilvl="8" w:tplc="240A0005" w:tentative="1">
      <w:start w:val="1"/>
      <w:numFmt w:val="bullet"/>
      <w:lvlText w:val=""/>
      <w:lvlJc w:val="left"/>
      <w:pPr>
        <w:ind w:left="7206" w:hanging="360"/>
      </w:pPr>
      <w:rPr>
        <w:rFonts w:ascii="Wingdings" w:hAnsi="Wingdings" w:hint="default"/>
      </w:rPr>
    </w:lvl>
  </w:abstractNum>
  <w:abstractNum w:abstractNumId="16"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CC6F5F"/>
    <w:multiLevelType w:val="hybridMultilevel"/>
    <w:tmpl w:val="EC1A4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49262943">
    <w:abstractNumId w:val="10"/>
  </w:num>
  <w:num w:numId="2" w16cid:durableId="1091391278">
    <w:abstractNumId w:val="2"/>
  </w:num>
  <w:num w:numId="3" w16cid:durableId="876116759">
    <w:abstractNumId w:val="8"/>
  </w:num>
  <w:num w:numId="4" w16cid:durableId="1876577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4896439">
    <w:abstractNumId w:val="2"/>
  </w:num>
  <w:num w:numId="6" w16cid:durableId="1916236968">
    <w:abstractNumId w:val="19"/>
  </w:num>
  <w:num w:numId="7" w16cid:durableId="1388919266">
    <w:abstractNumId w:val="9"/>
  </w:num>
  <w:num w:numId="8" w16cid:durableId="1709644287">
    <w:abstractNumId w:val="18"/>
  </w:num>
  <w:num w:numId="9" w16cid:durableId="170337613">
    <w:abstractNumId w:val="11"/>
  </w:num>
  <w:num w:numId="10" w16cid:durableId="2049528384">
    <w:abstractNumId w:val="17"/>
  </w:num>
  <w:num w:numId="11" w16cid:durableId="1174538416">
    <w:abstractNumId w:val="12"/>
  </w:num>
  <w:num w:numId="12" w16cid:durableId="98138043">
    <w:abstractNumId w:val="1"/>
  </w:num>
  <w:num w:numId="13" w16cid:durableId="1901406604">
    <w:abstractNumId w:val="5"/>
  </w:num>
  <w:num w:numId="14" w16cid:durableId="1031224197">
    <w:abstractNumId w:val="20"/>
  </w:num>
  <w:num w:numId="15" w16cid:durableId="846752012">
    <w:abstractNumId w:val="16"/>
  </w:num>
  <w:num w:numId="16" w16cid:durableId="89963370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9578584">
    <w:abstractNumId w:val="0"/>
  </w:num>
  <w:num w:numId="18" w16cid:durableId="1074937993">
    <w:abstractNumId w:val="21"/>
  </w:num>
  <w:num w:numId="19" w16cid:durableId="1050422979">
    <w:abstractNumId w:val="7"/>
  </w:num>
  <w:num w:numId="20" w16cid:durableId="438065219">
    <w:abstractNumId w:val="13"/>
  </w:num>
  <w:num w:numId="21" w16cid:durableId="21127800">
    <w:abstractNumId w:val="4"/>
  </w:num>
  <w:num w:numId="22" w16cid:durableId="530919113">
    <w:abstractNumId w:val="3"/>
  </w:num>
  <w:num w:numId="23" w16cid:durableId="971637073">
    <w:abstractNumId w:val="6"/>
  </w:num>
  <w:num w:numId="24" w16cid:durableId="1612207271">
    <w:abstractNumId w:val="15"/>
  </w:num>
  <w:num w:numId="25" w16cid:durableId="16985038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CF3"/>
    <w:rsid w:val="00005AF8"/>
    <w:rsid w:val="00012E8B"/>
    <w:rsid w:val="00013275"/>
    <w:rsid w:val="00013611"/>
    <w:rsid w:val="00016F78"/>
    <w:rsid w:val="00026733"/>
    <w:rsid w:val="000365B6"/>
    <w:rsid w:val="0004620D"/>
    <w:rsid w:val="00046945"/>
    <w:rsid w:val="000521A1"/>
    <w:rsid w:val="00060BC5"/>
    <w:rsid w:val="00060E3D"/>
    <w:rsid w:val="00061B2A"/>
    <w:rsid w:val="00067C57"/>
    <w:rsid w:val="00070FA8"/>
    <w:rsid w:val="00076B0F"/>
    <w:rsid w:val="00082362"/>
    <w:rsid w:val="00084769"/>
    <w:rsid w:val="000853F7"/>
    <w:rsid w:val="000A3392"/>
    <w:rsid w:val="000A519F"/>
    <w:rsid w:val="000A680E"/>
    <w:rsid w:val="000A683E"/>
    <w:rsid w:val="000B19B9"/>
    <w:rsid w:val="000B3976"/>
    <w:rsid w:val="000C6F34"/>
    <w:rsid w:val="000D0334"/>
    <w:rsid w:val="000D7171"/>
    <w:rsid w:val="000E40B7"/>
    <w:rsid w:val="000F6486"/>
    <w:rsid w:val="00115CD0"/>
    <w:rsid w:val="00116210"/>
    <w:rsid w:val="001162CA"/>
    <w:rsid w:val="00122DEE"/>
    <w:rsid w:val="00125105"/>
    <w:rsid w:val="00127233"/>
    <w:rsid w:val="0013455E"/>
    <w:rsid w:val="001511A0"/>
    <w:rsid w:val="00153EFB"/>
    <w:rsid w:val="0016243E"/>
    <w:rsid w:val="00167CED"/>
    <w:rsid w:val="00187799"/>
    <w:rsid w:val="001B10F2"/>
    <w:rsid w:val="001B2557"/>
    <w:rsid w:val="001E07C7"/>
    <w:rsid w:val="001E4177"/>
    <w:rsid w:val="001E6557"/>
    <w:rsid w:val="001E738E"/>
    <w:rsid w:val="001F4141"/>
    <w:rsid w:val="001F7DC6"/>
    <w:rsid w:val="00203E23"/>
    <w:rsid w:val="00214B24"/>
    <w:rsid w:val="00227130"/>
    <w:rsid w:val="00231F42"/>
    <w:rsid w:val="0024019D"/>
    <w:rsid w:val="002421BB"/>
    <w:rsid w:val="00246615"/>
    <w:rsid w:val="00254690"/>
    <w:rsid w:val="0025796E"/>
    <w:rsid w:val="002707A2"/>
    <w:rsid w:val="0027250B"/>
    <w:rsid w:val="00280606"/>
    <w:rsid w:val="002814F9"/>
    <w:rsid w:val="002951A0"/>
    <w:rsid w:val="002962BC"/>
    <w:rsid w:val="002A093D"/>
    <w:rsid w:val="002A0DD0"/>
    <w:rsid w:val="002A49AC"/>
    <w:rsid w:val="002A64FD"/>
    <w:rsid w:val="002C6E6B"/>
    <w:rsid w:val="002C7A84"/>
    <w:rsid w:val="002D2AC9"/>
    <w:rsid w:val="002E02A6"/>
    <w:rsid w:val="002E3486"/>
    <w:rsid w:val="002E4F8B"/>
    <w:rsid w:val="002E4FD9"/>
    <w:rsid w:val="0031039C"/>
    <w:rsid w:val="00321C96"/>
    <w:rsid w:val="00322A85"/>
    <w:rsid w:val="00324168"/>
    <w:rsid w:val="00330472"/>
    <w:rsid w:val="003448F4"/>
    <w:rsid w:val="00354B82"/>
    <w:rsid w:val="00357A77"/>
    <w:rsid w:val="00374F5E"/>
    <w:rsid w:val="003763E4"/>
    <w:rsid w:val="00377E3E"/>
    <w:rsid w:val="00380154"/>
    <w:rsid w:val="00387DB0"/>
    <w:rsid w:val="00393E08"/>
    <w:rsid w:val="003A2B9E"/>
    <w:rsid w:val="003A329D"/>
    <w:rsid w:val="003A779E"/>
    <w:rsid w:val="003B69AA"/>
    <w:rsid w:val="003B716D"/>
    <w:rsid w:val="003D0433"/>
    <w:rsid w:val="003D0F4D"/>
    <w:rsid w:val="003D5B0D"/>
    <w:rsid w:val="003D7E0E"/>
    <w:rsid w:val="003D7FE6"/>
    <w:rsid w:val="003E0499"/>
    <w:rsid w:val="003E29FD"/>
    <w:rsid w:val="003E353E"/>
    <w:rsid w:val="003F36D1"/>
    <w:rsid w:val="003F3941"/>
    <w:rsid w:val="003F79C3"/>
    <w:rsid w:val="00401A3B"/>
    <w:rsid w:val="00406575"/>
    <w:rsid w:val="004117AF"/>
    <w:rsid w:val="00414C74"/>
    <w:rsid w:val="00415A78"/>
    <w:rsid w:val="00417D59"/>
    <w:rsid w:val="0042722E"/>
    <w:rsid w:val="0043568A"/>
    <w:rsid w:val="0044528D"/>
    <w:rsid w:val="00464DE2"/>
    <w:rsid w:val="00474E24"/>
    <w:rsid w:val="00487615"/>
    <w:rsid w:val="004A1847"/>
    <w:rsid w:val="004A305D"/>
    <w:rsid w:val="004A7D21"/>
    <w:rsid w:val="004B1A01"/>
    <w:rsid w:val="004B7526"/>
    <w:rsid w:val="004B7E9E"/>
    <w:rsid w:val="004D4C07"/>
    <w:rsid w:val="004F21C4"/>
    <w:rsid w:val="004F685F"/>
    <w:rsid w:val="004F7DCF"/>
    <w:rsid w:val="00505820"/>
    <w:rsid w:val="005078CC"/>
    <w:rsid w:val="00524B06"/>
    <w:rsid w:val="00542B2B"/>
    <w:rsid w:val="00543C42"/>
    <w:rsid w:val="00544B68"/>
    <w:rsid w:val="00545EF3"/>
    <w:rsid w:val="005566E8"/>
    <w:rsid w:val="00557C58"/>
    <w:rsid w:val="005729A0"/>
    <w:rsid w:val="00574867"/>
    <w:rsid w:val="00575B6A"/>
    <w:rsid w:val="00583145"/>
    <w:rsid w:val="00591460"/>
    <w:rsid w:val="005A71EF"/>
    <w:rsid w:val="005B30BC"/>
    <w:rsid w:val="005B3816"/>
    <w:rsid w:val="005B5993"/>
    <w:rsid w:val="005C3777"/>
    <w:rsid w:val="005C5CDC"/>
    <w:rsid w:val="005C6AB2"/>
    <w:rsid w:val="005D476C"/>
    <w:rsid w:val="005E4744"/>
    <w:rsid w:val="005F51E6"/>
    <w:rsid w:val="00601AEA"/>
    <w:rsid w:val="0060504A"/>
    <w:rsid w:val="00611028"/>
    <w:rsid w:val="006219F8"/>
    <w:rsid w:val="00633689"/>
    <w:rsid w:val="00642B4D"/>
    <w:rsid w:val="00655864"/>
    <w:rsid w:val="00665D70"/>
    <w:rsid w:val="00666981"/>
    <w:rsid w:val="006816A2"/>
    <w:rsid w:val="006900D9"/>
    <w:rsid w:val="00693017"/>
    <w:rsid w:val="006A26A4"/>
    <w:rsid w:val="006A28F7"/>
    <w:rsid w:val="006A37DB"/>
    <w:rsid w:val="006A6A27"/>
    <w:rsid w:val="006B6B2D"/>
    <w:rsid w:val="006D04DE"/>
    <w:rsid w:val="006D53CD"/>
    <w:rsid w:val="006E6803"/>
    <w:rsid w:val="00700A09"/>
    <w:rsid w:val="007016C9"/>
    <w:rsid w:val="00703BCC"/>
    <w:rsid w:val="00706C16"/>
    <w:rsid w:val="007160DB"/>
    <w:rsid w:val="007271B9"/>
    <w:rsid w:val="00727E15"/>
    <w:rsid w:val="0074134E"/>
    <w:rsid w:val="00741839"/>
    <w:rsid w:val="007513E8"/>
    <w:rsid w:val="007566EE"/>
    <w:rsid w:val="00756841"/>
    <w:rsid w:val="0076054B"/>
    <w:rsid w:val="00764877"/>
    <w:rsid w:val="007649AB"/>
    <w:rsid w:val="00771D0C"/>
    <w:rsid w:val="00773D24"/>
    <w:rsid w:val="007833AC"/>
    <w:rsid w:val="0078753A"/>
    <w:rsid w:val="007930C0"/>
    <w:rsid w:val="007B268C"/>
    <w:rsid w:val="007B7171"/>
    <w:rsid w:val="007C0C0F"/>
    <w:rsid w:val="007C3DC2"/>
    <w:rsid w:val="007C7FAB"/>
    <w:rsid w:val="007D446B"/>
    <w:rsid w:val="007E5497"/>
    <w:rsid w:val="007E69C1"/>
    <w:rsid w:val="007E77FD"/>
    <w:rsid w:val="007F0342"/>
    <w:rsid w:val="007F04FF"/>
    <w:rsid w:val="007F5006"/>
    <w:rsid w:val="007F5933"/>
    <w:rsid w:val="00803F25"/>
    <w:rsid w:val="0080543F"/>
    <w:rsid w:val="00806F5F"/>
    <w:rsid w:val="008112E8"/>
    <w:rsid w:val="00820278"/>
    <w:rsid w:val="00826C00"/>
    <w:rsid w:val="0082748C"/>
    <w:rsid w:val="00842AF5"/>
    <w:rsid w:val="008523E4"/>
    <w:rsid w:val="00867F95"/>
    <w:rsid w:val="00881B21"/>
    <w:rsid w:val="008843B6"/>
    <w:rsid w:val="008852FA"/>
    <w:rsid w:val="008879AB"/>
    <w:rsid w:val="00891928"/>
    <w:rsid w:val="008A0159"/>
    <w:rsid w:val="008A446D"/>
    <w:rsid w:val="008A7A62"/>
    <w:rsid w:val="008B077F"/>
    <w:rsid w:val="008B318E"/>
    <w:rsid w:val="008C6D96"/>
    <w:rsid w:val="008D180B"/>
    <w:rsid w:val="008E4E5C"/>
    <w:rsid w:val="008F0EA7"/>
    <w:rsid w:val="008F57E2"/>
    <w:rsid w:val="008F6857"/>
    <w:rsid w:val="0090715C"/>
    <w:rsid w:val="0091270F"/>
    <w:rsid w:val="00923EEF"/>
    <w:rsid w:val="00934532"/>
    <w:rsid w:val="009419F9"/>
    <w:rsid w:val="00943C5C"/>
    <w:rsid w:val="00953FD2"/>
    <w:rsid w:val="00954F2B"/>
    <w:rsid w:val="0095685E"/>
    <w:rsid w:val="00961B09"/>
    <w:rsid w:val="00965334"/>
    <w:rsid w:val="0096558E"/>
    <w:rsid w:val="00970255"/>
    <w:rsid w:val="0097093E"/>
    <w:rsid w:val="009745B0"/>
    <w:rsid w:val="00976165"/>
    <w:rsid w:val="00983F99"/>
    <w:rsid w:val="00986AC5"/>
    <w:rsid w:val="009958DE"/>
    <w:rsid w:val="00996691"/>
    <w:rsid w:val="009A0DFA"/>
    <w:rsid w:val="009B05A2"/>
    <w:rsid w:val="009B2D26"/>
    <w:rsid w:val="009C29AB"/>
    <w:rsid w:val="009C473D"/>
    <w:rsid w:val="009C71FA"/>
    <w:rsid w:val="009C72E7"/>
    <w:rsid w:val="009D3058"/>
    <w:rsid w:val="009E7FC2"/>
    <w:rsid w:val="009F3A13"/>
    <w:rsid w:val="009F6DFA"/>
    <w:rsid w:val="00A047C4"/>
    <w:rsid w:val="00A122D3"/>
    <w:rsid w:val="00A13042"/>
    <w:rsid w:val="00A17F13"/>
    <w:rsid w:val="00A20739"/>
    <w:rsid w:val="00A208B1"/>
    <w:rsid w:val="00A239C7"/>
    <w:rsid w:val="00A33C78"/>
    <w:rsid w:val="00A52F22"/>
    <w:rsid w:val="00A53800"/>
    <w:rsid w:val="00AA6789"/>
    <w:rsid w:val="00AB0ADB"/>
    <w:rsid w:val="00AD1E4B"/>
    <w:rsid w:val="00AD506C"/>
    <w:rsid w:val="00AE6F0B"/>
    <w:rsid w:val="00AE7B1B"/>
    <w:rsid w:val="00AF19C1"/>
    <w:rsid w:val="00AF561B"/>
    <w:rsid w:val="00B01B1A"/>
    <w:rsid w:val="00B30959"/>
    <w:rsid w:val="00B33DEC"/>
    <w:rsid w:val="00B40BBE"/>
    <w:rsid w:val="00B473B8"/>
    <w:rsid w:val="00B55E69"/>
    <w:rsid w:val="00B627EF"/>
    <w:rsid w:val="00B64E3E"/>
    <w:rsid w:val="00B66319"/>
    <w:rsid w:val="00B72CD3"/>
    <w:rsid w:val="00B72FFF"/>
    <w:rsid w:val="00B80979"/>
    <w:rsid w:val="00B817B3"/>
    <w:rsid w:val="00B85D9D"/>
    <w:rsid w:val="00B927CA"/>
    <w:rsid w:val="00BB146A"/>
    <w:rsid w:val="00BC3D36"/>
    <w:rsid w:val="00BD7F72"/>
    <w:rsid w:val="00BE1A4D"/>
    <w:rsid w:val="00BE23F3"/>
    <w:rsid w:val="00BE66C5"/>
    <w:rsid w:val="00BF3F4F"/>
    <w:rsid w:val="00C004CE"/>
    <w:rsid w:val="00C04FB3"/>
    <w:rsid w:val="00C2223A"/>
    <w:rsid w:val="00C330EB"/>
    <w:rsid w:val="00C37DB2"/>
    <w:rsid w:val="00C41061"/>
    <w:rsid w:val="00C55634"/>
    <w:rsid w:val="00C66CBB"/>
    <w:rsid w:val="00C754BE"/>
    <w:rsid w:val="00C76B1C"/>
    <w:rsid w:val="00C85229"/>
    <w:rsid w:val="00CA78EE"/>
    <w:rsid w:val="00CB5EA9"/>
    <w:rsid w:val="00CB6357"/>
    <w:rsid w:val="00CC042D"/>
    <w:rsid w:val="00CC1B26"/>
    <w:rsid w:val="00CC4936"/>
    <w:rsid w:val="00CC6625"/>
    <w:rsid w:val="00CE5CFB"/>
    <w:rsid w:val="00D10BC8"/>
    <w:rsid w:val="00D23BBC"/>
    <w:rsid w:val="00D2444C"/>
    <w:rsid w:val="00D35868"/>
    <w:rsid w:val="00D423A2"/>
    <w:rsid w:val="00D43819"/>
    <w:rsid w:val="00D4760E"/>
    <w:rsid w:val="00D520D8"/>
    <w:rsid w:val="00D5339F"/>
    <w:rsid w:val="00D53EC1"/>
    <w:rsid w:val="00D634E1"/>
    <w:rsid w:val="00D63AC2"/>
    <w:rsid w:val="00D7383B"/>
    <w:rsid w:val="00D8283A"/>
    <w:rsid w:val="00D940C1"/>
    <w:rsid w:val="00DA231B"/>
    <w:rsid w:val="00DB6DC6"/>
    <w:rsid w:val="00DC356E"/>
    <w:rsid w:val="00DC39FC"/>
    <w:rsid w:val="00DC4610"/>
    <w:rsid w:val="00DC5AF8"/>
    <w:rsid w:val="00DD1F8B"/>
    <w:rsid w:val="00DE433F"/>
    <w:rsid w:val="00DE6B9D"/>
    <w:rsid w:val="00DE7823"/>
    <w:rsid w:val="00DF14A4"/>
    <w:rsid w:val="00DF353E"/>
    <w:rsid w:val="00DF5254"/>
    <w:rsid w:val="00E02879"/>
    <w:rsid w:val="00E07BC5"/>
    <w:rsid w:val="00E121EB"/>
    <w:rsid w:val="00E15CF6"/>
    <w:rsid w:val="00E16408"/>
    <w:rsid w:val="00E20894"/>
    <w:rsid w:val="00E245AB"/>
    <w:rsid w:val="00E2764C"/>
    <w:rsid w:val="00E27F2E"/>
    <w:rsid w:val="00E50AFE"/>
    <w:rsid w:val="00E53867"/>
    <w:rsid w:val="00E7031C"/>
    <w:rsid w:val="00E75C92"/>
    <w:rsid w:val="00E771DC"/>
    <w:rsid w:val="00E8772A"/>
    <w:rsid w:val="00E90F6B"/>
    <w:rsid w:val="00E923E4"/>
    <w:rsid w:val="00E92C27"/>
    <w:rsid w:val="00E9578F"/>
    <w:rsid w:val="00E9664B"/>
    <w:rsid w:val="00EA0CC7"/>
    <w:rsid w:val="00EA0E3D"/>
    <w:rsid w:val="00EA1285"/>
    <w:rsid w:val="00EA3397"/>
    <w:rsid w:val="00EA4271"/>
    <w:rsid w:val="00EA6CCA"/>
    <w:rsid w:val="00EB4013"/>
    <w:rsid w:val="00EB5DCC"/>
    <w:rsid w:val="00EC38A7"/>
    <w:rsid w:val="00ED2F5B"/>
    <w:rsid w:val="00ED3FB9"/>
    <w:rsid w:val="00ED7384"/>
    <w:rsid w:val="00EE1AA8"/>
    <w:rsid w:val="00EE6FA9"/>
    <w:rsid w:val="00F01D72"/>
    <w:rsid w:val="00F03F62"/>
    <w:rsid w:val="00F31EDC"/>
    <w:rsid w:val="00F31F12"/>
    <w:rsid w:val="00F36065"/>
    <w:rsid w:val="00F377E0"/>
    <w:rsid w:val="00F44020"/>
    <w:rsid w:val="00F462B3"/>
    <w:rsid w:val="00F46E9C"/>
    <w:rsid w:val="00F523F3"/>
    <w:rsid w:val="00F558D8"/>
    <w:rsid w:val="00F5664F"/>
    <w:rsid w:val="00F63FB1"/>
    <w:rsid w:val="00F666C4"/>
    <w:rsid w:val="00F762B0"/>
    <w:rsid w:val="00F76AFC"/>
    <w:rsid w:val="00F80835"/>
    <w:rsid w:val="00F847E2"/>
    <w:rsid w:val="00F849BE"/>
    <w:rsid w:val="00F85199"/>
    <w:rsid w:val="00F8683D"/>
    <w:rsid w:val="00F90832"/>
    <w:rsid w:val="00F91554"/>
    <w:rsid w:val="00FA47C0"/>
    <w:rsid w:val="00FB159D"/>
    <w:rsid w:val="00FB5DD1"/>
    <w:rsid w:val="00FB7BCB"/>
    <w:rsid w:val="00FC2B5D"/>
    <w:rsid w:val="00FC5AE8"/>
    <w:rsid w:val="00FE0678"/>
    <w:rsid w:val="00FE48EE"/>
    <w:rsid w:val="00FF1449"/>
    <w:rsid w:val="00FF1910"/>
    <w:rsid w:val="00FF3367"/>
    <w:rsid w:val="00FF3A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365B6"/>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365B6"/>
    <w:rPr>
      <w:rFonts w:ascii="Geomanist Light" w:hAnsi="Geomanist Light"/>
      <w:lang w:val="es-ES"/>
    </w:rPr>
  </w:style>
  <w:style w:type="paragraph" w:styleId="Textoindependiente">
    <w:name w:val="Body Text"/>
    <w:basedOn w:val="Normal"/>
    <w:link w:val="TextoindependienteCar"/>
    <w:uiPriority w:val="1"/>
    <w:qFormat/>
    <w:rsid w:val="000365B6"/>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0365B6"/>
    <w:rPr>
      <w:rFonts w:ascii="Arial" w:eastAsia="Arial" w:hAnsi="Arial" w:cs="Arial"/>
      <w:lang w:val="es-ES"/>
    </w:rPr>
  </w:style>
  <w:style w:type="character" w:styleId="Refdecomentario">
    <w:name w:val="annotation reference"/>
    <w:basedOn w:val="Fuentedeprrafopredeter"/>
    <w:uiPriority w:val="99"/>
    <w:semiHidden/>
    <w:unhideWhenUsed/>
    <w:rsid w:val="007566EE"/>
    <w:rPr>
      <w:sz w:val="16"/>
      <w:szCs w:val="16"/>
    </w:rPr>
  </w:style>
  <w:style w:type="paragraph" w:styleId="Textocomentario">
    <w:name w:val="annotation text"/>
    <w:basedOn w:val="Normal"/>
    <w:link w:val="TextocomentarioCar"/>
    <w:uiPriority w:val="99"/>
    <w:unhideWhenUsed/>
    <w:rsid w:val="007566EE"/>
    <w:pPr>
      <w:spacing w:line="240" w:lineRule="auto"/>
    </w:pPr>
    <w:rPr>
      <w:sz w:val="20"/>
      <w:szCs w:val="20"/>
    </w:rPr>
  </w:style>
  <w:style w:type="character" w:customStyle="1" w:styleId="TextocomentarioCar">
    <w:name w:val="Texto comentario Car"/>
    <w:basedOn w:val="Fuentedeprrafopredeter"/>
    <w:link w:val="Textocomentario"/>
    <w:uiPriority w:val="99"/>
    <w:rsid w:val="007566EE"/>
    <w:rPr>
      <w:sz w:val="20"/>
      <w:szCs w:val="20"/>
    </w:rPr>
  </w:style>
  <w:style w:type="paragraph" w:styleId="Asuntodelcomentario">
    <w:name w:val="annotation subject"/>
    <w:basedOn w:val="Textocomentario"/>
    <w:next w:val="Textocomentario"/>
    <w:link w:val="AsuntodelcomentarioCar"/>
    <w:uiPriority w:val="99"/>
    <w:semiHidden/>
    <w:unhideWhenUsed/>
    <w:rsid w:val="007566EE"/>
    <w:rPr>
      <w:b/>
      <w:bCs/>
    </w:rPr>
  </w:style>
  <w:style w:type="character" w:customStyle="1" w:styleId="AsuntodelcomentarioCar">
    <w:name w:val="Asunto del comentario Car"/>
    <w:basedOn w:val="TextocomentarioCar"/>
    <w:link w:val="Asuntodelcomentario"/>
    <w:uiPriority w:val="99"/>
    <w:semiHidden/>
    <w:rsid w:val="007566EE"/>
    <w:rPr>
      <w:b/>
      <w:bCs/>
      <w:sz w:val="20"/>
      <w:szCs w:val="20"/>
    </w:rPr>
  </w:style>
  <w:style w:type="paragraph" w:styleId="Textodeglobo">
    <w:name w:val="Balloon Text"/>
    <w:basedOn w:val="Normal"/>
    <w:link w:val="TextodegloboCar"/>
    <w:uiPriority w:val="99"/>
    <w:semiHidden/>
    <w:unhideWhenUsed/>
    <w:rsid w:val="009C47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473D"/>
    <w:rPr>
      <w:rFonts w:ascii="Segoe UI" w:hAnsi="Segoe UI" w:cs="Segoe UI"/>
      <w:sz w:val="18"/>
      <w:szCs w:val="18"/>
    </w:rPr>
  </w:style>
  <w:style w:type="character" w:customStyle="1" w:styleId="superscript">
    <w:name w:val="superscript"/>
    <w:basedOn w:val="Fuentedeprrafopredeter"/>
    <w:rsid w:val="00EA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563737">
      <w:bodyDiv w:val="1"/>
      <w:marLeft w:val="0"/>
      <w:marRight w:val="0"/>
      <w:marTop w:val="0"/>
      <w:marBottom w:val="0"/>
      <w:divBdr>
        <w:top w:val="none" w:sz="0" w:space="0" w:color="auto"/>
        <w:left w:val="none" w:sz="0" w:space="0" w:color="auto"/>
        <w:bottom w:val="none" w:sz="0" w:space="0" w:color="auto"/>
        <w:right w:val="none" w:sz="0" w:space="0" w:color="auto"/>
      </w:divBdr>
    </w:div>
    <w:div w:id="555052532">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73647075">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476334200">
      <w:bodyDiv w:val="1"/>
      <w:marLeft w:val="0"/>
      <w:marRight w:val="0"/>
      <w:marTop w:val="0"/>
      <w:marBottom w:val="0"/>
      <w:divBdr>
        <w:top w:val="none" w:sz="0" w:space="0" w:color="auto"/>
        <w:left w:val="none" w:sz="0" w:space="0" w:color="auto"/>
        <w:bottom w:val="none" w:sz="0" w:space="0" w:color="auto"/>
        <w:right w:val="none" w:sz="0" w:space="0" w:color="auto"/>
      </w:divBdr>
    </w:div>
    <w:div w:id="1611888127">
      <w:bodyDiv w:val="1"/>
      <w:marLeft w:val="0"/>
      <w:marRight w:val="0"/>
      <w:marTop w:val="0"/>
      <w:marBottom w:val="0"/>
      <w:divBdr>
        <w:top w:val="none" w:sz="0" w:space="0" w:color="auto"/>
        <w:left w:val="none" w:sz="0" w:space="0" w:color="auto"/>
        <w:bottom w:val="none" w:sz="0" w:space="0" w:color="auto"/>
        <w:right w:val="none" w:sz="0" w:space="0" w:color="auto"/>
      </w:divBdr>
    </w:div>
    <w:div w:id="1792625364">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80-de-1993/" TargetMode="External"/><Relationship Id="rId18" Type="http://schemas.openxmlformats.org/officeDocument/2006/relationships/hyperlink" Target="https://nam02.safelinks.protection.outlook.com/?url=https%3A%2F%2Fwww.colombiacompra.gov.co%2Fsites%2Fcce_public%2Ffiles%2Fcce_documents%2Fmanual_para_el_manejo_de_acuerdos_comerciales_vf.pdf&amp;data=05%7C02%7Cgustavo.hinestroza%40colombiacompra.gov.co%7C6192b0470d324981a09708dd0a6c28db%7C7b09041e245149d08cb179d5e3d8c1be%7C0%7C0%7C638678181875638724%7CUnknown%7CTWFpbGZsb3d8eyJFbXB0eU1hcGkiOnRydWUsIlYiOiIwLjAuMDAwMCIsIlAiOiJXaW4zMiIsIkFOIjoiTWFpbCIsIldUIjoyfQ%3D%3D%7C0%7C%7C%7C&amp;sdata=D2gvwV1HBSM3Glv6qzrJ%2BhQK0MQfollQEGy%2BIJz57QQ%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ernandog213@hotmail.com" TargetMode="External"/><Relationship Id="rId17" Type="http://schemas.openxmlformats.org/officeDocument/2006/relationships/hyperlink" Target="https://relatoria.colombiacompra.gov.co/busqueda/conceptos" TargetMode="External"/><Relationship Id="rId2" Type="http://schemas.openxmlformats.org/officeDocument/2006/relationships/customXml" Target="../customXml/item2.xml"/><Relationship Id="rId16" Type="http://schemas.openxmlformats.org/officeDocument/2006/relationships/hyperlink" Target="https://relatoria.colombiacompra.gov.co/normativa/decreto-1082-de-2015/"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normativa/ley-1882-de-201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ala-de-prensa%2Fboletin-digital&amp;data=05%7C02%7Cgustavo.hinestroza%40colombiacompra.gov.co%7C6192b0470d324981a09708dd0a6c28db%7C7b09041e245149d08cb179d5e3d8c1be%7C0%7C0%7C638678181875718117%7CUnknown%7CTWFpbGZsb3d8eyJFbXB0eU1hcGkiOnRydWUsIlYiOiIwLjAuMDAwMCIsIlAiOiJXaW4zMiIsIkFOIjoiTWFpbCIsIldUIjoyfQ%3D%3D%7C0%7C%7C%7C&amp;sdata=NQf8sHVLeX1EMijPzi4sFFNtM8H6xwFFBG8sdRHH78U%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1150-de-2007/"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73077-4F5E-4B63-9F2F-BBC144489D5D}">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openxmlformats.org/package/2006/metadata/core-properties"/>
    <ds:schemaRef ds:uri="http://purl.org/dc/dcmitype/"/>
    <ds:schemaRef ds:uri="a6cb9e4b-f1d1-4245-83ec-6cad768d538a"/>
    <ds:schemaRef ds:uri="http://purl.org/dc/elements/1.1/"/>
    <ds:schemaRef ds:uri="http://schemas.microsoft.com/office/2006/documentManagement/types"/>
    <ds:schemaRef ds:uri="http://www.w3.org/XML/1998/namespace"/>
    <ds:schemaRef ds:uri="http://schemas.microsoft.com/office/infopath/2007/PartnerControls"/>
    <ds:schemaRef ds:uri="9d85dbaf-23eb-4e57-a637-93dcacc8b1a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69AA7E8-5C7C-4268-9767-3548D9901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3802</Words>
  <Characters>20917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24670</CharactersWithSpaces>
  <SharedDoc>false</SharedDoc>
  <HLinks>
    <vt:vector size="48" baseType="variant">
      <vt:variant>
        <vt:i4>2162742</vt:i4>
      </vt:variant>
      <vt:variant>
        <vt:i4>21</vt:i4>
      </vt:variant>
      <vt:variant>
        <vt:i4>0</vt:i4>
      </vt:variant>
      <vt:variant>
        <vt:i4>5</vt:i4>
      </vt:variant>
      <vt:variant>
        <vt:lpwstr>https://nam02.safelinks.protection.outlook.com/?url=https%3A%2F%2Fwww.colombiacompra.gov.co%2Fsala-de-prensa%2Fboletin-digital&amp;data=05%7C02%7Cgustavo.hinestroza%40colombiacompra.gov.co%7C6192b0470d324981a09708dd0a6c28db%7C7b09041e245149d08cb179d5e3d8c1be%7C0%7C0%7C638678181875718117%7CUnknown%7CTWFpbGZsb3d8eyJFbXB0eU1hcGkiOnRydWUsIlYiOiIwLjAuMDAwMCIsIlAiOiJXaW4zMiIsIkFOIjoiTWFpbCIsIldUIjoyfQ%3D%3D%7C0%7C%7C%7C&amp;sdata=NQf8sHVLeX1EMijPzi4sFFNtM8H6xwFFBG8sdRHH78U%3D&amp;reserved=0</vt:lpwstr>
      </vt:variant>
      <vt:variant>
        <vt:lpwstr/>
      </vt:variant>
      <vt:variant>
        <vt:i4>8192074</vt:i4>
      </vt:variant>
      <vt:variant>
        <vt:i4>18</vt:i4>
      </vt:variant>
      <vt:variant>
        <vt:i4>0</vt:i4>
      </vt:variant>
      <vt:variant>
        <vt:i4>5</vt:i4>
      </vt:variant>
      <vt:variant>
        <vt:lpwstr>https://nam02.safelinks.protection.outlook.com/?url=https%3A%2F%2Fwww.colombiacompra.gov.co%2Fsites%2Fcce_public%2Ffiles%2Fcce_documents%2Fmanual_para_el_manejo_de_acuerdos_comerciales_vf.pdf&amp;data=05%7C02%7Cgustavo.hinestroza%40colombiacompra.gov.co%7C6192b0470d324981a09708dd0a6c28db%7C7b09041e245149d08cb179d5e3d8c1be%7C0%7C0%7C638678181875638724%7CUnknown%7CTWFpbGZsb3d8eyJFbXB0eU1hcGkiOnRydWUsIlYiOiIwLjAuMDAwMCIsIlAiOiJXaW4zMiIsIkFOIjoiTWFpbCIsIldUIjoyfQ%3D%3D%7C0%7C%7C%7C&amp;sdata=D2gvwV1HBSM3Glv6qzrJ%2BhQK0MQfollQEGy%2BIJz57QQ%3D&amp;reserved=0</vt:lpwstr>
      </vt:variant>
      <vt:variant>
        <vt:lpwstr/>
      </vt:variant>
      <vt:variant>
        <vt:i4>7471218</vt:i4>
      </vt:variant>
      <vt:variant>
        <vt:i4>15</vt:i4>
      </vt:variant>
      <vt:variant>
        <vt:i4>0</vt:i4>
      </vt:variant>
      <vt:variant>
        <vt:i4>5</vt:i4>
      </vt:variant>
      <vt:variant>
        <vt:lpwstr>https://relatoria.colombiacompra.gov.co/busqueda/conceptos</vt:lpwstr>
      </vt:variant>
      <vt:variant>
        <vt:lpwstr/>
      </vt:variant>
      <vt:variant>
        <vt:i4>3276916</vt:i4>
      </vt:variant>
      <vt:variant>
        <vt:i4>12</vt:i4>
      </vt:variant>
      <vt:variant>
        <vt:i4>0</vt:i4>
      </vt:variant>
      <vt:variant>
        <vt:i4>5</vt:i4>
      </vt:variant>
      <vt:variant>
        <vt:lpwstr>https://relatoria.colombiacompra.gov.co/normativa/decreto-1082-de-2015/</vt:lpwstr>
      </vt:variant>
      <vt:variant>
        <vt:lpwstr/>
      </vt:variant>
      <vt:variant>
        <vt:i4>3211372</vt:i4>
      </vt:variant>
      <vt:variant>
        <vt:i4>9</vt:i4>
      </vt:variant>
      <vt:variant>
        <vt:i4>0</vt:i4>
      </vt:variant>
      <vt:variant>
        <vt:i4>5</vt:i4>
      </vt:variant>
      <vt:variant>
        <vt:lpwstr>https://relatoria.colombiacompra.gov.co/normativa/ley-1882-de-2018/</vt:lpwstr>
      </vt:variant>
      <vt:variant>
        <vt:lpwstr/>
      </vt:variant>
      <vt:variant>
        <vt:i4>3473504</vt:i4>
      </vt:variant>
      <vt:variant>
        <vt:i4>6</vt:i4>
      </vt:variant>
      <vt:variant>
        <vt:i4>0</vt:i4>
      </vt:variant>
      <vt:variant>
        <vt:i4>5</vt:i4>
      </vt:variant>
      <vt:variant>
        <vt:lpwstr>https://relatoria.colombiacompra.gov.co/normativa/ley-1150-de-2007/</vt:lpwstr>
      </vt:variant>
      <vt:variant>
        <vt:lpwstr/>
      </vt:variant>
      <vt:variant>
        <vt:i4>589910</vt:i4>
      </vt:variant>
      <vt:variant>
        <vt:i4>3</vt:i4>
      </vt:variant>
      <vt:variant>
        <vt:i4>0</vt:i4>
      </vt:variant>
      <vt:variant>
        <vt:i4>5</vt:i4>
      </vt:variant>
      <vt:variant>
        <vt:lpwstr>https://relatoria.colombiacompra.gov.co/normativa/ley-80-de-1993/</vt:lpwstr>
      </vt:variant>
      <vt:variant>
        <vt:lpwstr/>
      </vt:variant>
      <vt:variant>
        <vt:i4>5177395</vt:i4>
      </vt:variant>
      <vt:variant>
        <vt:i4>0</vt:i4>
      </vt:variant>
      <vt:variant>
        <vt:i4>0</vt:i4>
      </vt:variant>
      <vt:variant>
        <vt:i4>5</vt:i4>
      </vt:variant>
      <vt:variant>
        <vt:lpwstr>mailto:fernandog213@hotmail.com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2</cp:revision>
  <cp:lastPrinted>2023-01-10T21:18:00Z</cp:lastPrinted>
  <dcterms:created xsi:type="dcterms:W3CDTF">2024-12-27T14:48:00Z</dcterms:created>
  <dcterms:modified xsi:type="dcterms:W3CDTF">2024-12-27T14:48:00Z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