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BD1C" w14:textId="77777777" w:rsidR="000327C7" w:rsidRDefault="000327C7" w:rsidP="007436D1">
      <w:pPr>
        <w:spacing w:after="0" w:line="240" w:lineRule="auto"/>
        <w:rPr>
          <w:rFonts w:ascii="Verdana" w:eastAsia="Geomanist Light" w:hAnsi="Verdana" w:cs="Arial"/>
          <w:color w:val="000000" w:themeColor="text1"/>
          <w:lang w:val="es-MX"/>
        </w:rPr>
      </w:pPr>
    </w:p>
    <w:p w14:paraId="478C4D60" w14:textId="77777777" w:rsidR="000327C7" w:rsidRDefault="000327C7" w:rsidP="007436D1">
      <w:pPr>
        <w:spacing w:after="0" w:line="240" w:lineRule="auto"/>
        <w:rPr>
          <w:rFonts w:ascii="Verdana" w:eastAsia="Geomanist Light" w:hAnsi="Verdana" w:cs="Arial"/>
          <w:color w:val="000000" w:themeColor="text1"/>
          <w:lang w:val="es-MX"/>
        </w:rPr>
      </w:pPr>
    </w:p>
    <w:p w14:paraId="34D6B511" w14:textId="77777777" w:rsidR="000327C7" w:rsidRDefault="000327C7" w:rsidP="007436D1">
      <w:pPr>
        <w:spacing w:after="0" w:line="240" w:lineRule="auto"/>
        <w:rPr>
          <w:rFonts w:ascii="Verdana" w:eastAsia="Geomanist Light" w:hAnsi="Verdana" w:cs="Arial"/>
          <w:color w:val="000000" w:themeColor="text1"/>
          <w:lang w:val="es-MX"/>
        </w:rPr>
      </w:pPr>
    </w:p>
    <w:p w14:paraId="41BFAFFE" w14:textId="294E37F9" w:rsidR="000327C7" w:rsidRPr="008C32C0" w:rsidRDefault="008C32C0" w:rsidP="008C32C0">
      <w:pPr>
        <w:spacing w:after="0" w:line="240" w:lineRule="auto"/>
        <w:jc w:val="both"/>
        <w:rPr>
          <w:rFonts w:ascii="Verdana" w:eastAsia="Geomanist Light" w:hAnsi="Verdana" w:cs="Arial"/>
          <w:b/>
          <w:bCs/>
          <w:color w:val="000000" w:themeColor="text1"/>
          <w:lang w:val="es-MX"/>
        </w:rPr>
      </w:pPr>
      <w:r w:rsidRPr="008C32C0">
        <w:rPr>
          <w:rFonts w:ascii="Verdana" w:eastAsia="Calibri" w:hAnsi="Verdana" w:cs="Arial"/>
          <w:b/>
          <w:bCs/>
          <w:color w:val="000000" w:themeColor="text1"/>
          <w:lang w:val="es-ES_tradnl" w:eastAsia="es-ES"/>
        </w:rPr>
        <w:t>PROCEDIMIENTO SANCIONATORIO CONTRACTUAL – Citación a audiencia</w:t>
      </w:r>
      <w:r>
        <w:rPr>
          <w:rFonts w:ascii="Verdana" w:eastAsia="Calibri" w:hAnsi="Verdana" w:cs="Arial"/>
          <w:b/>
          <w:bCs/>
          <w:color w:val="000000" w:themeColor="text1"/>
          <w:lang w:val="es-ES_tradnl" w:eastAsia="es-ES"/>
        </w:rPr>
        <w:t xml:space="preserve">  - Contenido</w:t>
      </w:r>
    </w:p>
    <w:p w14:paraId="44B5D2E9" w14:textId="77777777" w:rsidR="008C32C0" w:rsidRDefault="008C32C0" w:rsidP="008C32C0">
      <w:pPr>
        <w:spacing w:after="120" w:line="276" w:lineRule="auto"/>
        <w:contextualSpacing/>
        <w:jc w:val="both"/>
        <w:rPr>
          <w:rFonts w:ascii="Verdana" w:eastAsia="Geomanist Light" w:hAnsi="Verdana" w:cs="Arial"/>
          <w:color w:val="000000" w:themeColor="text1"/>
          <w:lang w:val="es-MX"/>
        </w:rPr>
      </w:pPr>
    </w:p>
    <w:p w14:paraId="20E08560" w14:textId="01E18B9E" w:rsidR="008C32C0" w:rsidRDefault="008C32C0" w:rsidP="008C32C0">
      <w:pPr>
        <w:spacing w:after="120" w:line="276" w:lineRule="auto"/>
        <w:contextualSpacing/>
        <w:jc w:val="both"/>
        <w:rPr>
          <w:rFonts w:ascii="Verdana" w:eastAsia="Times New Roman" w:hAnsi="Verdana" w:cs="Arial"/>
          <w:lang w:val="es-ES" w:eastAsia="es-ES"/>
        </w:rPr>
      </w:pPr>
      <w:r>
        <w:rPr>
          <w:rFonts w:ascii="Verdana" w:eastAsia="Times New Roman" w:hAnsi="Verdana" w:cs="Arial"/>
          <w:lang w:val="es-ES" w:eastAsia="es-ES"/>
        </w:rPr>
        <w:t>E</w:t>
      </w:r>
      <w:r w:rsidRPr="00217328">
        <w:rPr>
          <w:rFonts w:ascii="Verdana" w:eastAsia="Times New Roman" w:hAnsi="Verdana" w:cs="Arial"/>
          <w:lang w:val="es-ES" w:eastAsia="es-ES"/>
        </w:rPr>
        <w:t>l</w:t>
      </w:r>
      <w:r>
        <w:rPr>
          <w:rFonts w:ascii="Verdana" w:eastAsia="Times New Roman" w:hAnsi="Verdana" w:cs="Arial"/>
          <w:lang w:val="es-ES" w:eastAsia="es-ES"/>
        </w:rPr>
        <w:t xml:space="preserve"> </w:t>
      </w:r>
      <w:r w:rsidRPr="00217328">
        <w:rPr>
          <w:rFonts w:ascii="Verdana" w:eastAsia="Times New Roman" w:hAnsi="Verdana" w:cs="Arial"/>
          <w:lang w:val="es-ES" w:eastAsia="es-ES"/>
        </w:rPr>
        <w:t>artículo 86 de la Ley 1474 de 2011 establece las etapas del procedimiento que se deben seguir, las cuales se sintetizan, de forma esquemática, así: i) c</w:t>
      </w:r>
      <w:r w:rsidRPr="00217328">
        <w:rPr>
          <w:rFonts w:ascii="Verdana" w:eastAsia="Times New Roman" w:hAnsi="Verdana" w:cs="Arial"/>
          <w:i/>
          <w:iCs/>
          <w:lang w:val="es-ES" w:eastAsia="es-ES"/>
        </w:rPr>
        <w:t>itación a audiencia</w:t>
      </w:r>
      <w:r w:rsidRPr="00217328">
        <w:rPr>
          <w:rFonts w:ascii="Verdana" w:eastAsia="Times New Roman" w:hAnsi="Verdana" w:cs="Arial"/>
          <w:lang w:val="es-ES" w:eastAsia="es-ES"/>
        </w:rPr>
        <w:t xml:space="preserve">. Es necesario remitir una citación a audiencia al contratista y al garante –cuando proceda–, cuyo contenido de señalará más adelante. </w:t>
      </w:r>
      <w:proofErr w:type="spellStart"/>
      <w:r w:rsidRPr="00217328">
        <w:rPr>
          <w:rFonts w:ascii="Verdana" w:eastAsia="Times New Roman" w:hAnsi="Verdana" w:cs="Arial"/>
          <w:lang w:val="es-ES" w:eastAsia="es-ES"/>
        </w:rPr>
        <w:t>ii</w:t>
      </w:r>
      <w:proofErr w:type="spellEnd"/>
      <w:r w:rsidRPr="00217328">
        <w:rPr>
          <w:rFonts w:ascii="Verdana" w:eastAsia="Times New Roman" w:hAnsi="Verdana" w:cs="Arial"/>
          <w:lang w:val="es-ES" w:eastAsia="es-ES"/>
        </w:rPr>
        <w:t xml:space="preserve">) </w:t>
      </w:r>
      <w:r w:rsidRPr="00217328">
        <w:rPr>
          <w:rFonts w:ascii="Verdana" w:eastAsia="Times New Roman" w:hAnsi="Verdana" w:cs="Arial"/>
          <w:i/>
          <w:iCs/>
          <w:lang w:val="es-ES" w:eastAsia="es-ES"/>
        </w:rPr>
        <w:t>Audiencia</w:t>
      </w:r>
      <w:r w:rsidRPr="00217328">
        <w:rPr>
          <w:rFonts w:ascii="Verdana" w:eastAsia="Times New Roman" w:hAnsi="Verdana" w:cs="Arial"/>
          <w:lang w:val="es-ES" w:eastAsia="es-ES"/>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217328">
        <w:rPr>
          <w:rFonts w:ascii="Verdana" w:eastAsia="Times New Roman" w:hAnsi="Verdana" w:cs="Arial"/>
          <w:lang w:val="es-ES" w:eastAsia="es-ES"/>
        </w:rPr>
        <w:t>iii</w:t>
      </w:r>
      <w:proofErr w:type="spellEnd"/>
      <w:r w:rsidRPr="00217328">
        <w:rPr>
          <w:rFonts w:ascii="Verdana" w:eastAsia="Times New Roman" w:hAnsi="Verdana" w:cs="Arial"/>
          <w:lang w:val="es-ES" w:eastAsia="es-ES"/>
        </w:rPr>
        <w:t xml:space="preserve">) </w:t>
      </w:r>
      <w:r w:rsidRPr="00217328">
        <w:rPr>
          <w:rFonts w:ascii="Verdana" w:eastAsia="Times New Roman" w:hAnsi="Verdana" w:cs="Arial"/>
          <w:i/>
          <w:iCs/>
          <w:lang w:val="es-ES" w:eastAsia="es-ES"/>
        </w:rPr>
        <w:t>Decisión</w:t>
      </w:r>
      <w:r w:rsidRPr="00217328">
        <w:rPr>
          <w:rFonts w:ascii="Verdana" w:eastAsia="Times New Roman" w:hAnsi="Verdana" w:cs="Arial"/>
          <w:lang w:val="es-ES" w:eastAsia="es-ES"/>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3764A4ED" w14:textId="77777777" w:rsidR="008C32C0" w:rsidRDefault="008C32C0" w:rsidP="008C32C0">
      <w:pPr>
        <w:spacing w:line="276" w:lineRule="auto"/>
        <w:contextualSpacing/>
        <w:jc w:val="both"/>
        <w:rPr>
          <w:rFonts w:ascii="Verdana" w:eastAsia="Geomanist Light" w:hAnsi="Verdana" w:cs="Arial"/>
          <w:color w:val="000000" w:themeColor="text1"/>
          <w:lang w:val="es-ES"/>
        </w:rPr>
      </w:pPr>
    </w:p>
    <w:p w14:paraId="401263EE" w14:textId="7034A6C1" w:rsidR="008C32C0" w:rsidRDefault="008C32C0" w:rsidP="008C32C0">
      <w:pPr>
        <w:spacing w:line="276" w:lineRule="auto"/>
        <w:contextualSpacing/>
        <w:jc w:val="both"/>
        <w:rPr>
          <w:rFonts w:ascii="Verdana" w:eastAsia="Times New Roman" w:hAnsi="Verdana" w:cs="Arial"/>
          <w:lang w:val="es-ES" w:eastAsia="es-ES_tradnl"/>
        </w:rPr>
      </w:pPr>
      <w:r w:rsidRPr="00217328">
        <w:rPr>
          <w:rFonts w:ascii="Verdana" w:eastAsia="Times New Roman" w:hAnsi="Verdana" w:cs="Arial"/>
          <w:lang w:val="es-ES" w:eastAsia="es-ES_tradnl"/>
        </w:rPr>
        <w:t xml:space="preserve">La Corte Constitucional en sentencia SU 339 del 4 de mayo de 2011, indicó que el derecho al debido proceso, en ciertos casos tiene un </w:t>
      </w:r>
      <w:r w:rsidRPr="00217328">
        <w:rPr>
          <w:rFonts w:ascii="Verdana" w:eastAsia="Times New Roman" w:hAnsi="Verdana" w:cs="Arial"/>
          <w:iCs/>
          <w:lang w:val="es-ES_tradnl" w:eastAsia="es-ES_tradnl"/>
        </w:rPr>
        <w:t xml:space="preserve">“carácter instrumental” pues el estricto cumplimiento de “las garantías constitutivas del debido proceso administrativo y de las regulaciones legales que determinan la actuación del poder público, </w:t>
      </w:r>
      <w:r w:rsidRPr="00217328">
        <w:rPr>
          <w:rFonts w:ascii="Verdana" w:eastAsia="Times New Roman" w:hAnsi="Verdana" w:cs="Arial"/>
          <w:i/>
          <w:lang w:val="es-ES_tradnl" w:eastAsia="es-ES_tradnl"/>
        </w:rPr>
        <w:t>se deriva la salvaguarda de otros derechos fundamentales</w:t>
      </w:r>
      <w:r w:rsidRPr="00217328">
        <w:rPr>
          <w:rFonts w:ascii="Verdana" w:eastAsia="Times New Roman" w:hAnsi="Verdana" w:cs="Arial"/>
          <w:iCs/>
          <w:lang w:val="es-ES_tradnl" w:eastAsia="es-ES_tradnl"/>
        </w:rPr>
        <w:t xml:space="preserve">”. </w:t>
      </w:r>
      <w:r w:rsidRPr="00217328">
        <w:rPr>
          <w:rFonts w:ascii="Verdana" w:eastAsia="Times New Roman" w:hAnsi="Verdana" w:cs="Arial"/>
          <w:lang w:val="es-ES" w:eastAsia="es-ES_tradnl"/>
        </w:rPr>
        <w:t xml:space="preserve">En virtud a ello, el contratista contra quien se adelanta esta clase de procedimiento administrativo sancionatorio cuenta, entre otros, con los siguientes derechos: i) a un procedimiento público; </w:t>
      </w:r>
      <w:proofErr w:type="spellStart"/>
      <w:r w:rsidRPr="00217328">
        <w:rPr>
          <w:rFonts w:ascii="Verdana" w:eastAsia="Times New Roman" w:hAnsi="Verdana" w:cs="Arial"/>
          <w:lang w:val="es-ES" w:eastAsia="es-ES_tradnl"/>
        </w:rPr>
        <w:t>ii</w:t>
      </w:r>
      <w:proofErr w:type="spellEnd"/>
      <w:r w:rsidRPr="00217328">
        <w:rPr>
          <w:rFonts w:ascii="Verdana" w:eastAsia="Times New Roman" w:hAnsi="Verdana" w:cs="Arial"/>
          <w:lang w:val="es-ES" w:eastAsia="es-ES_tradnl"/>
        </w:rPr>
        <w:t xml:space="preserve">) el ser oído antes de la decisión; </w:t>
      </w:r>
      <w:proofErr w:type="spellStart"/>
      <w:r w:rsidRPr="00217328">
        <w:rPr>
          <w:rFonts w:ascii="Verdana" w:eastAsia="Times New Roman" w:hAnsi="Verdana" w:cs="Arial"/>
          <w:lang w:val="es-ES" w:eastAsia="es-ES_tradnl"/>
        </w:rPr>
        <w:t>iii</w:t>
      </w:r>
      <w:proofErr w:type="spellEnd"/>
      <w:r w:rsidRPr="00217328">
        <w:rPr>
          <w:rFonts w:ascii="Verdana" w:eastAsia="Times New Roman" w:hAnsi="Verdana" w:cs="Arial"/>
          <w:lang w:val="es-ES" w:eastAsia="es-ES_tradnl"/>
        </w:rPr>
        <w:t xml:space="preserve">) a la defensa y contradicción; </w:t>
      </w:r>
      <w:proofErr w:type="spellStart"/>
      <w:r w:rsidRPr="00217328">
        <w:rPr>
          <w:rFonts w:ascii="Verdana" w:eastAsia="Times New Roman" w:hAnsi="Verdana" w:cs="Arial"/>
          <w:lang w:val="es-ES" w:eastAsia="es-ES_tradnl"/>
        </w:rPr>
        <w:t>iv</w:t>
      </w:r>
      <w:proofErr w:type="spellEnd"/>
      <w:r w:rsidRPr="00217328">
        <w:rPr>
          <w:rFonts w:ascii="Verdana" w:eastAsia="Times New Roman" w:hAnsi="Verdana" w:cs="Arial"/>
          <w:lang w:val="es-ES" w:eastAsia="es-ES_tradnl"/>
        </w:rPr>
        <w:t xml:space="preserve">) a aportar pruebas y a contradecir las que se alleguen en su contra; </w:t>
      </w:r>
      <w:proofErr w:type="spellStart"/>
      <w:r w:rsidRPr="00217328">
        <w:rPr>
          <w:rFonts w:ascii="Verdana" w:eastAsia="Times New Roman" w:hAnsi="Verdana" w:cs="Arial"/>
          <w:lang w:val="es-ES" w:eastAsia="es-ES_tradnl"/>
        </w:rPr>
        <w:t>iv</w:t>
      </w:r>
      <w:proofErr w:type="spellEnd"/>
      <w:r w:rsidRPr="00217328">
        <w:rPr>
          <w:rFonts w:ascii="Verdana" w:eastAsia="Times New Roman" w:hAnsi="Verdana" w:cs="Arial"/>
          <w:lang w:val="es-ES" w:eastAsia="es-ES_tradnl"/>
        </w:rPr>
        <w:t xml:space="preserve">) que el procedimiento se adelante ante la autoridad competente para conocer del asunto; v) a que se le otorgue un tratamiento igual que el dado a otros particulares; vi)  a que el procedimiento se adelante en un término razonable; y, </w:t>
      </w:r>
      <w:proofErr w:type="spellStart"/>
      <w:r w:rsidRPr="00217328">
        <w:rPr>
          <w:rFonts w:ascii="Verdana" w:eastAsia="Times New Roman" w:hAnsi="Verdana" w:cs="Arial"/>
          <w:lang w:val="es-ES" w:eastAsia="es-ES_tradnl"/>
        </w:rPr>
        <w:t>vii</w:t>
      </w:r>
      <w:proofErr w:type="spellEnd"/>
      <w:r w:rsidRPr="00217328">
        <w:rPr>
          <w:rFonts w:ascii="Verdana" w:eastAsia="Times New Roman" w:hAnsi="Verdana" w:cs="Arial"/>
          <w:lang w:val="es-ES" w:eastAsia="es-ES_tradnl"/>
        </w:rPr>
        <w:t>) a que las decisiones sean motivadas, debidamente notificadas y a impugnar las mismas.</w:t>
      </w:r>
    </w:p>
    <w:p w14:paraId="253543DB" w14:textId="77777777" w:rsidR="000327C7" w:rsidRPr="008C32C0" w:rsidRDefault="000327C7" w:rsidP="007436D1">
      <w:pPr>
        <w:spacing w:after="0" w:line="240" w:lineRule="auto"/>
        <w:rPr>
          <w:rFonts w:ascii="Verdana" w:eastAsia="Geomanist Light" w:hAnsi="Verdana" w:cs="Arial"/>
          <w:color w:val="000000" w:themeColor="text1"/>
          <w:lang w:val="es-ES"/>
        </w:rPr>
      </w:pPr>
    </w:p>
    <w:p w14:paraId="472762B2" w14:textId="77777777" w:rsidR="000327C7" w:rsidRDefault="000327C7" w:rsidP="007436D1">
      <w:pPr>
        <w:spacing w:after="0" w:line="240" w:lineRule="auto"/>
        <w:rPr>
          <w:rFonts w:ascii="Verdana" w:eastAsia="Geomanist Light" w:hAnsi="Verdana" w:cs="Arial"/>
          <w:color w:val="000000" w:themeColor="text1"/>
          <w:lang w:val="es-MX"/>
        </w:rPr>
      </w:pPr>
    </w:p>
    <w:p w14:paraId="634A21B1" w14:textId="77777777" w:rsidR="000327C7" w:rsidRDefault="000327C7" w:rsidP="007436D1">
      <w:pPr>
        <w:spacing w:after="0" w:line="240" w:lineRule="auto"/>
        <w:rPr>
          <w:rFonts w:ascii="Verdana" w:eastAsia="Geomanist Light" w:hAnsi="Verdana" w:cs="Arial"/>
          <w:color w:val="000000" w:themeColor="text1"/>
          <w:lang w:val="es-MX"/>
        </w:rPr>
      </w:pPr>
    </w:p>
    <w:p w14:paraId="2255DB8A" w14:textId="77777777" w:rsidR="000327C7" w:rsidRDefault="000327C7" w:rsidP="007436D1">
      <w:pPr>
        <w:spacing w:after="0" w:line="240" w:lineRule="auto"/>
        <w:rPr>
          <w:rFonts w:ascii="Verdana" w:eastAsia="Geomanist Light" w:hAnsi="Verdana" w:cs="Arial"/>
          <w:color w:val="000000" w:themeColor="text1"/>
          <w:lang w:val="es-MX"/>
        </w:rPr>
      </w:pPr>
    </w:p>
    <w:p w14:paraId="2CFDE614" w14:textId="77777777" w:rsidR="000327C7" w:rsidRDefault="000327C7" w:rsidP="007436D1">
      <w:pPr>
        <w:spacing w:after="0" w:line="240" w:lineRule="auto"/>
        <w:rPr>
          <w:rFonts w:ascii="Verdana" w:eastAsia="Geomanist Light" w:hAnsi="Verdana" w:cs="Arial"/>
          <w:color w:val="000000" w:themeColor="text1"/>
          <w:lang w:val="es-MX"/>
        </w:rPr>
      </w:pPr>
    </w:p>
    <w:p w14:paraId="29C8CD23" w14:textId="77777777" w:rsidR="000327C7" w:rsidRDefault="000327C7" w:rsidP="007436D1">
      <w:pPr>
        <w:spacing w:after="0" w:line="240" w:lineRule="auto"/>
        <w:rPr>
          <w:rFonts w:ascii="Verdana" w:eastAsia="Geomanist Light" w:hAnsi="Verdana" w:cs="Arial"/>
          <w:color w:val="000000" w:themeColor="text1"/>
          <w:lang w:val="es-MX"/>
        </w:rPr>
      </w:pPr>
    </w:p>
    <w:p w14:paraId="20720FD5" w14:textId="77777777" w:rsidR="000327C7" w:rsidRDefault="000327C7" w:rsidP="007436D1">
      <w:pPr>
        <w:spacing w:after="0" w:line="240" w:lineRule="auto"/>
        <w:rPr>
          <w:rFonts w:ascii="Verdana" w:eastAsia="Geomanist Light" w:hAnsi="Verdana" w:cs="Arial"/>
          <w:color w:val="000000" w:themeColor="text1"/>
          <w:lang w:val="es-MX"/>
        </w:rPr>
      </w:pPr>
    </w:p>
    <w:p w14:paraId="46D8D872" w14:textId="369F3184" w:rsidR="007436D1" w:rsidRPr="00115E3D" w:rsidRDefault="007436D1" w:rsidP="007436D1">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t>Bogotá D.C., [Día] de [</w:t>
      </w:r>
      <w:proofErr w:type="spellStart"/>
      <w:r w:rsidRPr="00115E3D">
        <w:rPr>
          <w:rFonts w:ascii="Verdana" w:eastAsia="Geomanist Light" w:hAnsi="Verdana" w:cs="Arial"/>
          <w:color w:val="000000" w:themeColor="text1"/>
          <w:lang w:val="es-MX"/>
        </w:rPr>
        <w:t>Mes.NombreCapitalizado</w:t>
      </w:r>
      <w:proofErr w:type="spellEnd"/>
      <w:r w:rsidRPr="00115E3D">
        <w:rPr>
          <w:rFonts w:ascii="Verdana" w:eastAsia="Geomanist Light" w:hAnsi="Verdana" w:cs="Arial"/>
          <w:color w:val="000000" w:themeColor="text1"/>
          <w:lang w:val="es-MX"/>
        </w:rPr>
        <w:t>] de [Año]</w:t>
      </w:r>
    </w:p>
    <w:p w14:paraId="07F4653C" w14:textId="3CAE47C2" w:rsidR="007436D1" w:rsidRDefault="00673D9A" w:rsidP="007436D1">
      <w:pPr>
        <w:spacing w:after="0" w:line="240" w:lineRule="auto"/>
        <w:jc w:val="both"/>
        <w:rPr>
          <w:rFonts w:ascii="Verdana" w:eastAsia="Calibri" w:hAnsi="Verdana" w:cs="Arial"/>
          <w:color w:val="000000" w:themeColor="text1"/>
          <w:lang w:val="es-ES"/>
        </w:rPr>
      </w:pPr>
      <w:r w:rsidRPr="00673D9A">
        <w:rPr>
          <w:rFonts w:ascii="Verdana" w:eastAsia="Calibri" w:hAnsi="Verdana" w:cs="Arial"/>
          <w:color w:val="000000" w:themeColor="text1"/>
          <w:lang w:val="es-ES" w:eastAsia="es-ES"/>
        </w:rPr>
        <w:drawing>
          <wp:anchor distT="0" distB="0" distL="114300" distR="114300" simplePos="0" relativeHeight="251658240" behindDoc="1" locked="0" layoutInCell="1" allowOverlap="1" wp14:anchorId="31FFA223" wp14:editId="23ECC832">
            <wp:simplePos x="0" y="0"/>
            <wp:positionH relativeFrom="column">
              <wp:posOffset>2491740</wp:posOffset>
            </wp:positionH>
            <wp:positionV relativeFrom="paragraph">
              <wp:posOffset>40640</wp:posOffset>
            </wp:positionV>
            <wp:extent cx="3429000" cy="1009650"/>
            <wp:effectExtent l="0" t="0" r="0" b="0"/>
            <wp:wrapTight wrapText="bothSides">
              <wp:wrapPolygon edited="0">
                <wp:start x="0" y="0"/>
                <wp:lineTo x="0" y="21192"/>
                <wp:lineTo x="21480" y="21192"/>
                <wp:lineTo x="21480" y="0"/>
                <wp:lineTo x="0" y="0"/>
              </wp:wrapPolygon>
            </wp:wrapTight>
            <wp:docPr id="9248859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8591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29000" cy="1009650"/>
                    </a:xfrm>
                    <a:prstGeom prst="rect">
                      <a:avLst/>
                    </a:prstGeom>
                  </pic:spPr>
                </pic:pic>
              </a:graphicData>
            </a:graphic>
          </wp:anchor>
        </w:drawing>
      </w:r>
    </w:p>
    <w:p w14:paraId="45DC5DC7" w14:textId="77777777" w:rsidR="007436D1" w:rsidRPr="00115E3D" w:rsidRDefault="007436D1" w:rsidP="007436D1">
      <w:pPr>
        <w:spacing w:after="0" w:line="240" w:lineRule="auto"/>
        <w:jc w:val="both"/>
        <w:rPr>
          <w:rFonts w:ascii="Verdana" w:eastAsia="Calibri" w:hAnsi="Verdana" w:cs="Arial"/>
          <w:color w:val="000000" w:themeColor="text1"/>
          <w:lang w:val="es-ES"/>
        </w:rPr>
      </w:pPr>
    </w:p>
    <w:p w14:paraId="320670DD" w14:textId="4E12A770" w:rsidR="007436D1" w:rsidRDefault="007436D1" w:rsidP="007436D1">
      <w:pPr>
        <w:spacing w:after="0" w:line="240" w:lineRule="auto"/>
        <w:jc w:val="both"/>
        <w:rPr>
          <w:rFonts w:ascii="Verdana" w:eastAsia="Calibri" w:hAnsi="Verdana" w:cs="Arial"/>
          <w:color w:val="000000" w:themeColor="text1"/>
          <w:lang w:val="es-ES" w:eastAsia="es-ES"/>
        </w:rPr>
      </w:pPr>
    </w:p>
    <w:p w14:paraId="0F9DC644" w14:textId="77777777" w:rsidR="00673D9A" w:rsidRDefault="00673D9A" w:rsidP="007436D1">
      <w:pPr>
        <w:spacing w:after="0" w:line="240" w:lineRule="auto"/>
        <w:jc w:val="both"/>
        <w:rPr>
          <w:rFonts w:ascii="Verdana" w:eastAsia="Calibri" w:hAnsi="Verdana" w:cs="Arial"/>
          <w:color w:val="000000" w:themeColor="text1"/>
          <w:lang w:val="es-ES" w:eastAsia="es-ES"/>
        </w:rPr>
      </w:pPr>
    </w:p>
    <w:p w14:paraId="79773D49" w14:textId="77777777" w:rsidR="00673D9A" w:rsidRDefault="00673D9A" w:rsidP="007436D1">
      <w:pPr>
        <w:spacing w:after="0" w:line="240" w:lineRule="auto"/>
        <w:jc w:val="both"/>
        <w:rPr>
          <w:rFonts w:ascii="Verdana" w:eastAsia="Calibri" w:hAnsi="Verdana" w:cs="Arial"/>
          <w:color w:val="000000" w:themeColor="text1"/>
          <w:lang w:val="es-ES" w:eastAsia="es-ES"/>
        </w:rPr>
      </w:pPr>
    </w:p>
    <w:p w14:paraId="3C249265" w14:textId="0503AFAD" w:rsidR="007436D1" w:rsidRPr="00115E3D" w:rsidRDefault="007436D1" w:rsidP="007436D1">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a</w:t>
      </w:r>
    </w:p>
    <w:p w14:paraId="62110ACD" w14:textId="77777777" w:rsidR="007436D1" w:rsidRPr="00115E3D" w:rsidRDefault="007436D1" w:rsidP="007436D1">
      <w:pPr>
        <w:spacing w:after="0" w:line="240" w:lineRule="auto"/>
        <w:rPr>
          <w:rFonts w:ascii="Verdana" w:eastAsia="Calibri" w:hAnsi="Verdana" w:cs="Arial"/>
          <w:b/>
          <w:color w:val="000000" w:themeColor="text1"/>
          <w:lang w:val="es-ES_tradnl" w:eastAsia="es-ES_tradnl"/>
        </w:rPr>
      </w:pPr>
      <w:r w:rsidRPr="00200363">
        <w:rPr>
          <w:rFonts w:ascii="Verdana" w:eastAsia="Calibri" w:hAnsi="Verdana" w:cs="Arial"/>
          <w:b/>
          <w:color w:val="000000" w:themeColor="text1"/>
          <w:lang w:val="es-ES_tradnl" w:eastAsia="es-ES_tradnl"/>
        </w:rPr>
        <w:t>Manuela</w:t>
      </w:r>
      <w:r>
        <w:rPr>
          <w:rFonts w:ascii="Verdana" w:eastAsia="Calibri" w:hAnsi="Verdana" w:cs="Arial"/>
          <w:b/>
          <w:color w:val="000000" w:themeColor="text1"/>
          <w:lang w:val="es-ES_tradnl" w:eastAsia="es-ES_tradnl"/>
        </w:rPr>
        <w:t xml:space="preserve"> </w:t>
      </w:r>
      <w:r w:rsidRPr="00200363">
        <w:rPr>
          <w:rFonts w:ascii="Verdana" w:eastAsia="Calibri" w:hAnsi="Verdana" w:cs="Arial"/>
          <w:b/>
          <w:color w:val="000000" w:themeColor="text1"/>
          <w:lang w:val="es-ES_tradnl" w:eastAsia="es-ES_tradnl"/>
        </w:rPr>
        <w:t>Castellanos Castillo</w:t>
      </w:r>
      <w:r>
        <w:rPr>
          <w:rFonts w:ascii="Verdana" w:eastAsia="Calibri" w:hAnsi="Verdana" w:cs="Arial"/>
          <w:b/>
          <w:color w:val="000000" w:themeColor="text1"/>
          <w:lang w:val="es-ES_tradnl" w:eastAsia="es-ES_tradnl"/>
        </w:rPr>
        <w:t xml:space="preserve"> </w:t>
      </w:r>
    </w:p>
    <w:p w14:paraId="42D839B5" w14:textId="77777777" w:rsidR="007436D1" w:rsidRDefault="007436D1" w:rsidP="007436D1">
      <w:pPr>
        <w:spacing w:after="0" w:line="240" w:lineRule="auto"/>
        <w:rPr>
          <w:rFonts w:ascii="Verdana" w:eastAsia="Calibri" w:hAnsi="Verdana" w:cs="Arial"/>
          <w:color w:val="000000" w:themeColor="text1"/>
          <w:u w:val="single"/>
          <w:lang w:val="es-ES" w:eastAsia="es-ES"/>
        </w:rPr>
      </w:pPr>
      <w:hyperlink r:id="rId11" w:history="1">
        <w:r w:rsidRPr="00B222F5">
          <w:rPr>
            <w:rStyle w:val="Hipervnculo"/>
            <w:rFonts w:ascii="Verdana" w:eastAsia="Calibri" w:hAnsi="Verdana" w:cs="Arial"/>
            <w:lang w:val="es-ES" w:eastAsia="es-ES"/>
          </w:rPr>
          <w:t>manucaste94@gmail.com</w:t>
        </w:r>
      </w:hyperlink>
    </w:p>
    <w:p w14:paraId="7C2AA96B" w14:textId="77777777" w:rsidR="007436D1" w:rsidRPr="00115E3D" w:rsidRDefault="007436D1" w:rsidP="007436D1">
      <w:pPr>
        <w:spacing w:after="0" w:line="240" w:lineRule="auto"/>
        <w:rPr>
          <w:rFonts w:ascii="Verdana" w:eastAsia="Calibri" w:hAnsi="Verdana" w:cs="Arial"/>
          <w:b/>
          <w:bCs/>
          <w:color w:val="000000" w:themeColor="text1"/>
          <w:lang w:val="es-ES" w:eastAsia="es-ES"/>
        </w:rPr>
      </w:pPr>
      <w:r w:rsidRPr="00115E3D">
        <w:rPr>
          <w:rFonts w:ascii="Verdana" w:eastAsia="Calibri" w:hAnsi="Verdana" w:cs="Arial"/>
          <w:color w:val="000000" w:themeColor="text1"/>
          <w:lang w:val="es-ES" w:eastAsia="es-ES"/>
        </w:rPr>
        <w:t>C</w:t>
      </w:r>
      <w:r>
        <w:rPr>
          <w:rFonts w:ascii="Verdana" w:eastAsia="Calibri" w:hAnsi="Verdana" w:cs="Arial"/>
          <w:color w:val="000000" w:themeColor="text1"/>
          <w:lang w:val="es-ES" w:eastAsia="es-ES"/>
        </w:rPr>
        <w:t>iudad</w:t>
      </w:r>
    </w:p>
    <w:p w14:paraId="0BB277D1" w14:textId="77777777" w:rsidR="007436D1" w:rsidRPr="00115E3D" w:rsidRDefault="007436D1" w:rsidP="007436D1">
      <w:pPr>
        <w:spacing w:after="0" w:line="240" w:lineRule="auto"/>
        <w:rPr>
          <w:rFonts w:ascii="Verdana" w:eastAsia="Calibri" w:hAnsi="Verdana" w:cs="Arial"/>
          <w:b/>
          <w:bCs/>
          <w:color w:val="000000" w:themeColor="text1"/>
          <w:lang w:val="es-ES_tradnl" w:eastAsia="es-ES_tradnl"/>
        </w:rPr>
      </w:pPr>
    </w:p>
    <w:p w14:paraId="58AB4FD6" w14:textId="77777777" w:rsidR="007436D1" w:rsidRPr="00115E3D" w:rsidRDefault="007436D1" w:rsidP="007436D1">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436D1" w:rsidRPr="00115E3D" w14:paraId="6C237F61" w14:textId="77777777" w:rsidTr="006E6A42">
        <w:trPr>
          <w:trHeight w:val="884"/>
        </w:trPr>
        <w:tc>
          <w:tcPr>
            <w:tcW w:w="2689" w:type="dxa"/>
          </w:tcPr>
          <w:p w14:paraId="3F22A673" w14:textId="77777777" w:rsidR="007436D1" w:rsidRPr="00115E3D" w:rsidRDefault="007436D1" w:rsidP="006E6A42">
            <w:pPr>
              <w:jc w:val="both"/>
              <w:rPr>
                <w:rFonts w:ascii="Verdana" w:eastAsia="Calibri" w:hAnsi="Verdana" w:cs="Arial"/>
                <w:b/>
                <w:bCs/>
                <w:color w:val="000000" w:themeColor="text1"/>
                <w:lang w:val="es-ES_tradnl" w:eastAsia="es-ES_tradnl"/>
              </w:rPr>
            </w:pPr>
          </w:p>
        </w:tc>
        <w:tc>
          <w:tcPr>
            <w:tcW w:w="6100" w:type="dxa"/>
          </w:tcPr>
          <w:p w14:paraId="2F585E39" w14:textId="77777777" w:rsidR="007436D1" w:rsidRPr="00115E3D" w:rsidRDefault="007436D1" w:rsidP="006E6A42">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815</w:t>
            </w:r>
            <w:r w:rsidRPr="00115E3D">
              <w:rPr>
                <w:rFonts w:ascii="Verdana" w:eastAsia="Calibri" w:hAnsi="Verdana" w:cs="Arial"/>
                <w:b/>
                <w:bCs/>
                <w:color w:val="000000" w:themeColor="text1"/>
                <w:lang w:val="es-ES" w:eastAsia="es-ES"/>
              </w:rPr>
              <w:t xml:space="preserve"> de 2024</w:t>
            </w:r>
          </w:p>
        </w:tc>
      </w:tr>
      <w:tr w:rsidR="007436D1" w:rsidRPr="00115E3D" w14:paraId="003FCEE9" w14:textId="77777777" w:rsidTr="006E6A42">
        <w:trPr>
          <w:trHeight w:val="884"/>
        </w:trPr>
        <w:tc>
          <w:tcPr>
            <w:tcW w:w="2689" w:type="dxa"/>
          </w:tcPr>
          <w:p w14:paraId="28DAA1CD" w14:textId="77777777" w:rsidR="007436D1" w:rsidRPr="00115E3D" w:rsidRDefault="007436D1" w:rsidP="006E6A42">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667E0F29" w14:textId="50DB6377" w:rsidR="007436D1" w:rsidRPr="00217328" w:rsidRDefault="007436D1" w:rsidP="006E6A42">
            <w:pPr>
              <w:spacing w:line="276" w:lineRule="auto"/>
              <w:jc w:val="both"/>
              <w:rPr>
                <w:rFonts w:ascii="Verdana" w:eastAsia="Calibri" w:hAnsi="Verdana" w:cs="Arial"/>
                <w:bCs/>
                <w:color w:val="000000" w:themeColor="text1"/>
                <w:lang w:val="es-ES_tradnl" w:eastAsia="es-ES"/>
              </w:rPr>
            </w:pPr>
            <w:r w:rsidRPr="00217328">
              <w:rPr>
                <w:rFonts w:ascii="Verdana" w:eastAsia="Calibri" w:hAnsi="Verdana" w:cs="Arial"/>
                <w:color w:val="000000" w:themeColor="text1"/>
                <w:lang w:val="es-ES_tradnl" w:eastAsia="es-ES"/>
              </w:rPr>
              <w:t xml:space="preserve">PROCEDIMIENTO SANCIONATORIO CONTRACTUAL – Citación a audiencia – Contenido – Ley 1474 de 2011 – Artículo 86 </w:t>
            </w:r>
            <w:r w:rsidRPr="00217328">
              <w:rPr>
                <w:rFonts w:ascii="Verdana" w:eastAsia="Calibri" w:hAnsi="Verdana" w:cs="Arial"/>
                <w:bCs/>
                <w:color w:val="000000" w:themeColor="text1"/>
                <w:lang w:val="es-ES_tradnl" w:eastAsia="es-ES"/>
              </w:rPr>
              <w:t>– Facultad sancionatoria</w:t>
            </w:r>
          </w:p>
          <w:p w14:paraId="0D1881FF" w14:textId="77777777" w:rsidR="007436D1" w:rsidRPr="00217328" w:rsidRDefault="007436D1" w:rsidP="006E6A42">
            <w:pPr>
              <w:spacing w:line="276" w:lineRule="auto"/>
              <w:jc w:val="both"/>
              <w:rPr>
                <w:rFonts w:ascii="Verdana" w:eastAsia="Calibri" w:hAnsi="Verdana" w:cs="Arial"/>
                <w:color w:val="000000" w:themeColor="text1"/>
                <w:lang w:val="es-ES_tradnl" w:eastAsia="es-ES"/>
              </w:rPr>
            </w:pPr>
          </w:p>
        </w:tc>
      </w:tr>
      <w:tr w:rsidR="007436D1" w:rsidRPr="00115E3D" w14:paraId="5B21EDEB" w14:textId="77777777" w:rsidTr="00673D9A">
        <w:trPr>
          <w:trHeight w:val="611"/>
        </w:trPr>
        <w:tc>
          <w:tcPr>
            <w:tcW w:w="2689" w:type="dxa"/>
          </w:tcPr>
          <w:p w14:paraId="2AF167C2" w14:textId="77777777" w:rsidR="007436D1" w:rsidRPr="00115E3D" w:rsidRDefault="007436D1" w:rsidP="006E6A42">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0A265047" w14:textId="77777777" w:rsidR="007436D1" w:rsidRPr="00115E3D" w:rsidRDefault="007436D1" w:rsidP="006E6A42">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 xml:space="preserve">Respuesta a consulta con radicado No. </w:t>
            </w:r>
          </w:p>
          <w:p w14:paraId="7AE26AA3" w14:textId="77777777" w:rsidR="007436D1" w:rsidRPr="00200363" w:rsidRDefault="007436D1" w:rsidP="006E6A42">
            <w:pPr>
              <w:jc w:val="both"/>
              <w:rPr>
                <w:rFonts w:ascii="Verdana" w:hAnsi="Verdana"/>
              </w:rPr>
            </w:pPr>
            <w:r>
              <w:rPr>
                <w:rFonts w:ascii="Verdana" w:hAnsi="Verdana"/>
              </w:rPr>
              <w:t>P20241105011124</w:t>
            </w:r>
          </w:p>
        </w:tc>
      </w:tr>
    </w:tbl>
    <w:p w14:paraId="3FB13034" w14:textId="77777777" w:rsidR="007436D1" w:rsidRPr="00115E3D" w:rsidRDefault="007436D1" w:rsidP="007436D1">
      <w:pPr>
        <w:spacing w:after="0" w:line="240" w:lineRule="auto"/>
        <w:jc w:val="both"/>
        <w:rPr>
          <w:rFonts w:ascii="Verdana" w:eastAsia="Calibri" w:hAnsi="Verdana" w:cs="Arial"/>
          <w:color w:val="000000" w:themeColor="text1"/>
          <w:lang w:val="es-ES_tradnl" w:eastAsia="es-ES_tradnl"/>
        </w:rPr>
      </w:pPr>
    </w:p>
    <w:p w14:paraId="0B9320F2" w14:textId="77777777" w:rsidR="007436D1" w:rsidRPr="00115E3D" w:rsidRDefault="007436D1" w:rsidP="007436D1">
      <w:pPr>
        <w:spacing w:after="0" w:line="240" w:lineRule="auto"/>
        <w:jc w:val="both"/>
        <w:rPr>
          <w:rFonts w:ascii="Verdana" w:eastAsia="Calibri" w:hAnsi="Verdana" w:cs="Arial"/>
          <w:color w:val="000000" w:themeColor="text1"/>
          <w:lang w:val="es-ES_tradnl" w:eastAsia="es-ES_tradnl"/>
        </w:rPr>
      </w:pPr>
    </w:p>
    <w:p w14:paraId="2663A687" w14:textId="0B83A865" w:rsidR="007436D1" w:rsidRPr="00115E3D" w:rsidRDefault="007436D1" w:rsidP="007436D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sidR="00194A92">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Castellanos</w:t>
      </w:r>
      <w:r w:rsidRPr="00115E3D">
        <w:rPr>
          <w:rFonts w:ascii="Verdana" w:eastAsia="Calibri" w:hAnsi="Verdana" w:cs="Arial"/>
          <w:color w:val="000000" w:themeColor="text1"/>
          <w:lang w:val="es-ES" w:eastAsia="es-ES"/>
        </w:rPr>
        <w:t xml:space="preserve">: </w:t>
      </w:r>
    </w:p>
    <w:p w14:paraId="57F84EE0" w14:textId="77777777" w:rsidR="007436D1" w:rsidRPr="00115E3D" w:rsidRDefault="007436D1" w:rsidP="007436D1">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6BF6CC4D" w14:textId="77777777" w:rsidR="007436D1" w:rsidRPr="00115E3D" w:rsidRDefault="007436D1" w:rsidP="007436D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05</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noviembre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76089982" w14:textId="77777777" w:rsidR="007436D1" w:rsidRPr="00115E3D" w:rsidRDefault="007436D1" w:rsidP="007436D1">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42F61407" w14:textId="77777777" w:rsidR="007436D1" w:rsidRDefault="007436D1" w:rsidP="007436D1">
      <w:pPr>
        <w:spacing w:after="0" w:line="240" w:lineRule="auto"/>
        <w:ind w:left="709" w:right="709"/>
        <w:jc w:val="both"/>
        <w:rPr>
          <w:rFonts w:ascii="Verdana" w:eastAsia="Century Gothic" w:hAnsi="Verdana" w:cs="Century Gothic"/>
          <w:i/>
          <w:iCs/>
          <w:color w:val="000000" w:themeColor="text1"/>
          <w:sz w:val="20"/>
          <w:szCs w:val="20"/>
          <w:lang w:val="es-ES"/>
        </w:rPr>
      </w:pPr>
      <w:bookmarkStart w:id="0" w:name="_Hlk95313578"/>
      <w:r w:rsidRPr="00200363">
        <w:rPr>
          <w:rFonts w:ascii="Verdana" w:eastAsia="Century Gothic" w:hAnsi="Verdana" w:cs="Century Gothic"/>
          <w:i/>
          <w:iCs/>
          <w:color w:val="000000" w:themeColor="text1"/>
          <w:sz w:val="20"/>
          <w:szCs w:val="20"/>
          <w:lang w:val="es-ES"/>
        </w:rPr>
        <w:t>“</w:t>
      </w:r>
      <w:bookmarkEnd w:id="0"/>
      <w:r w:rsidRPr="00FA293C">
        <w:rPr>
          <w:rFonts w:ascii="Verdana" w:eastAsia="Century Gothic" w:hAnsi="Verdana" w:cs="Century Gothic"/>
          <w:i/>
          <w:iCs/>
          <w:color w:val="000000" w:themeColor="text1"/>
          <w:sz w:val="20"/>
          <w:szCs w:val="20"/>
          <w:lang w:val="es-ES"/>
        </w:rPr>
        <w:t xml:space="preserve">Si bien el artículo 86 de la ley 1474 no establece un plazo entre la notificación de la citación y la realización de </w:t>
      </w:r>
      <w:proofErr w:type="gramStart"/>
      <w:r w:rsidRPr="00FA293C">
        <w:rPr>
          <w:rFonts w:ascii="Verdana" w:eastAsia="Century Gothic" w:hAnsi="Verdana" w:cs="Century Gothic"/>
          <w:i/>
          <w:iCs/>
          <w:color w:val="000000" w:themeColor="text1"/>
          <w:sz w:val="20"/>
          <w:szCs w:val="20"/>
          <w:lang w:val="es-ES"/>
        </w:rPr>
        <w:t>la misma</w:t>
      </w:r>
      <w:proofErr w:type="gramEnd"/>
      <w:r w:rsidRPr="00FA293C">
        <w:rPr>
          <w:rFonts w:ascii="Verdana" w:eastAsia="Century Gothic" w:hAnsi="Verdana" w:cs="Century Gothic"/>
          <w:i/>
          <w:iCs/>
          <w:color w:val="000000" w:themeColor="text1"/>
          <w:sz w:val="20"/>
          <w:szCs w:val="20"/>
          <w:lang w:val="es-ES"/>
        </w:rPr>
        <w:t>, teniendo en cuenta que la jurisprudencia hace</w:t>
      </w:r>
      <w:r>
        <w:rPr>
          <w:rFonts w:ascii="Verdana" w:eastAsia="Century Gothic" w:hAnsi="Verdana" w:cs="Century Gothic"/>
          <w:i/>
          <w:iCs/>
          <w:color w:val="000000" w:themeColor="text1"/>
          <w:sz w:val="20"/>
          <w:szCs w:val="20"/>
          <w:lang w:val="es-ES"/>
        </w:rPr>
        <w:t xml:space="preserve"> </w:t>
      </w:r>
      <w:r w:rsidRPr="00FA293C">
        <w:rPr>
          <w:rFonts w:ascii="Verdana" w:eastAsia="Century Gothic" w:hAnsi="Verdana" w:cs="Century Gothic"/>
          <w:i/>
          <w:iCs/>
          <w:color w:val="000000" w:themeColor="text1"/>
          <w:sz w:val="20"/>
          <w:szCs w:val="20"/>
          <w:lang w:val="es-ES"/>
        </w:rPr>
        <w:t>referencia a un tiempo prudente para garantizar el debido proceso a las partes</w:t>
      </w:r>
      <w:r>
        <w:rPr>
          <w:rFonts w:ascii="Verdana" w:eastAsia="Century Gothic" w:hAnsi="Verdana" w:cs="Century Gothic"/>
          <w:i/>
          <w:iCs/>
          <w:color w:val="000000" w:themeColor="text1"/>
          <w:sz w:val="20"/>
          <w:szCs w:val="20"/>
          <w:lang w:val="es-ES"/>
        </w:rPr>
        <w:t>.</w:t>
      </w:r>
    </w:p>
    <w:p w14:paraId="756B177F" w14:textId="77777777" w:rsidR="007436D1" w:rsidRPr="00200363" w:rsidRDefault="007436D1" w:rsidP="007436D1">
      <w:pPr>
        <w:spacing w:after="0" w:line="240" w:lineRule="auto"/>
        <w:ind w:left="709" w:right="709"/>
        <w:jc w:val="both"/>
        <w:rPr>
          <w:rFonts w:ascii="Verdana" w:eastAsia="Century Gothic" w:hAnsi="Verdana" w:cs="Century Gothic"/>
          <w:i/>
          <w:iCs/>
          <w:color w:val="000000" w:themeColor="text1"/>
          <w:sz w:val="20"/>
          <w:szCs w:val="20"/>
          <w:lang w:val="es-ES"/>
        </w:rPr>
      </w:pPr>
      <w:r w:rsidRPr="00200363">
        <w:rPr>
          <w:rFonts w:ascii="Verdana" w:eastAsia="Century Gothic" w:hAnsi="Verdana" w:cs="Century Gothic"/>
          <w:i/>
          <w:iCs/>
          <w:color w:val="000000" w:themeColor="text1"/>
          <w:sz w:val="20"/>
          <w:szCs w:val="20"/>
          <w:lang w:val="es-ES"/>
        </w:rPr>
        <w:lastRenderedPageBreak/>
        <w:t xml:space="preserve">¿Cuál es el término prudente que se debe otorgar al contratista y al garante para que preparen la audiencia a la que fueron citados? Igualmente ¿La Entidad debe suspender la audiencia una vez notifica la resolución por medio de la cual se declara el incumplimiento, para que las partes preparen y sustenten el recurso? de ser así ¿Cuál es el término prudente para reanudar la audiencia en la que se sustentará el </w:t>
      </w:r>
      <w:proofErr w:type="gramStart"/>
      <w:r w:rsidRPr="00200363">
        <w:rPr>
          <w:rFonts w:ascii="Verdana" w:eastAsia="Century Gothic" w:hAnsi="Verdana" w:cs="Century Gothic"/>
          <w:i/>
          <w:iCs/>
          <w:color w:val="000000" w:themeColor="text1"/>
          <w:sz w:val="20"/>
          <w:szCs w:val="20"/>
          <w:lang w:val="es-ES"/>
        </w:rPr>
        <w:t>recurso?.</w:t>
      </w:r>
      <w:proofErr w:type="gramEnd"/>
      <w:r w:rsidRPr="00200363">
        <w:rPr>
          <w:rFonts w:ascii="Verdana" w:eastAsia="Century Gothic" w:hAnsi="Verdana" w:cs="Century Gothic"/>
          <w:i/>
          <w:iCs/>
          <w:color w:val="000000" w:themeColor="text1"/>
          <w:sz w:val="20"/>
          <w:szCs w:val="20"/>
          <w:lang w:val="es-ES"/>
        </w:rPr>
        <w:t>”</w:t>
      </w:r>
    </w:p>
    <w:p w14:paraId="287163DE" w14:textId="77777777" w:rsidR="007436D1" w:rsidRPr="00115E3D" w:rsidRDefault="007436D1" w:rsidP="007436D1">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2110F186" w14:textId="77777777" w:rsidR="007436D1" w:rsidRPr="00115E3D" w:rsidRDefault="007436D1" w:rsidP="007436D1">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220E6C29" w14:textId="77777777" w:rsidR="007436D1" w:rsidRPr="00115E3D" w:rsidRDefault="007436D1" w:rsidP="007436D1">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1E582981" w14:textId="77777777" w:rsidR="007436D1" w:rsidRPr="00115E3D" w:rsidRDefault="007436D1" w:rsidP="007436D1">
      <w:pPr>
        <w:spacing w:after="0" w:line="276" w:lineRule="auto"/>
        <w:ind w:firstLine="709"/>
        <w:jc w:val="both"/>
        <w:rPr>
          <w:rFonts w:ascii="Verdana" w:eastAsia="Calibri" w:hAnsi="Verdana" w:cs="Arial"/>
          <w:color w:val="000000" w:themeColor="text1"/>
          <w:lang w:val="es-ES" w:eastAsia="es-ES"/>
        </w:rPr>
      </w:pPr>
    </w:p>
    <w:p w14:paraId="373CEDB7" w14:textId="77777777" w:rsidR="007436D1" w:rsidRPr="00115E3D" w:rsidRDefault="007436D1" w:rsidP="007436D1">
      <w:pPr>
        <w:pStyle w:val="Prrafodelista"/>
        <w:numPr>
          <w:ilvl w:val="0"/>
          <w:numId w:val="30"/>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377853A2" w14:textId="77777777" w:rsidR="007436D1" w:rsidRPr="00115E3D" w:rsidRDefault="007436D1" w:rsidP="007436D1">
      <w:pPr>
        <w:tabs>
          <w:tab w:val="left" w:pos="426"/>
        </w:tabs>
        <w:spacing w:after="0" w:line="276" w:lineRule="auto"/>
        <w:jc w:val="both"/>
        <w:rPr>
          <w:rFonts w:ascii="Verdana" w:eastAsia="Century Gothic" w:hAnsi="Verdana" w:cs="Century Gothic"/>
          <w:color w:val="000000" w:themeColor="text1"/>
          <w:lang w:val="es-ES"/>
        </w:rPr>
      </w:pPr>
    </w:p>
    <w:p w14:paraId="1E2D32A3" w14:textId="54DFEE33" w:rsidR="007436D1" w:rsidRDefault="007436D1" w:rsidP="007436D1">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sidR="006339D3">
        <w:rPr>
          <w:rFonts w:ascii="Verdana" w:eastAsia="Century Gothic" w:hAnsi="Verdana" w:cs="Century Gothic"/>
          <w:color w:val="000000" w:themeColor="text1"/>
        </w:rPr>
        <w:t>los</w:t>
      </w:r>
      <w:r w:rsidRPr="00115E3D">
        <w:rPr>
          <w:rFonts w:ascii="Verdana" w:eastAsia="Century Gothic" w:hAnsi="Verdana" w:cs="Century Gothic"/>
          <w:color w:val="000000" w:themeColor="text1"/>
        </w:rPr>
        <w:t xml:space="preserve"> siguiente</w:t>
      </w:r>
      <w:r w:rsidR="006339D3">
        <w:rPr>
          <w:rFonts w:ascii="Verdana" w:eastAsia="Century Gothic" w:hAnsi="Verdana" w:cs="Century Gothic"/>
          <w:color w:val="000000" w:themeColor="text1"/>
        </w:rPr>
        <w:t>s</w:t>
      </w:r>
      <w:r w:rsidRPr="00115E3D">
        <w:rPr>
          <w:rFonts w:ascii="Verdana" w:eastAsia="Century Gothic" w:hAnsi="Verdana" w:cs="Century Gothic"/>
          <w:color w:val="000000" w:themeColor="text1"/>
        </w:rPr>
        <w:t xml:space="preserve"> problema</w:t>
      </w:r>
      <w:r w:rsidR="006339D3">
        <w:rPr>
          <w:rFonts w:ascii="Verdana" w:eastAsia="Century Gothic" w:hAnsi="Verdana" w:cs="Century Gothic"/>
          <w:color w:val="000000" w:themeColor="text1"/>
        </w:rPr>
        <w:t>s</w:t>
      </w:r>
      <w:r w:rsidRPr="00115E3D">
        <w:rPr>
          <w:rFonts w:ascii="Verdana" w:eastAsia="Century Gothic" w:hAnsi="Verdana" w:cs="Century Gothic"/>
          <w:color w:val="000000" w:themeColor="text1"/>
        </w:rPr>
        <w:t xml:space="preserve"> jurídico:</w:t>
      </w:r>
      <w:r>
        <w:rPr>
          <w:rFonts w:ascii="Verdana" w:eastAsia="Century Gothic" w:hAnsi="Verdana" w:cs="Century Gothic"/>
          <w:color w:val="000000" w:themeColor="text1"/>
        </w:rPr>
        <w:t xml:space="preserve"> </w:t>
      </w:r>
    </w:p>
    <w:p w14:paraId="46FC6750" w14:textId="77777777" w:rsidR="007436D1" w:rsidRDefault="007436D1" w:rsidP="007436D1">
      <w:pPr>
        <w:spacing w:after="0" w:line="276" w:lineRule="auto"/>
        <w:jc w:val="both"/>
        <w:rPr>
          <w:rFonts w:ascii="Verdana" w:eastAsia="Century Gothic" w:hAnsi="Verdana" w:cs="Century Gothic"/>
          <w:color w:val="000000" w:themeColor="text1"/>
        </w:rPr>
      </w:pPr>
    </w:p>
    <w:p w14:paraId="5C144892" w14:textId="1D77397B" w:rsidR="007436D1" w:rsidRPr="00696BB7" w:rsidRDefault="007436D1" w:rsidP="007436D1">
      <w:pPr>
        <w:pStyle w:val="Prrafodelista"/>
        <w:numPr>
          <w:ilvl w:val="0"/>
          <w:numId w:val="32"/>
        </w:numPr>
        <w:spacing w:after="0" w:line="276" w:lineRule="auto"/>
        <w:jc w:val="both"/>
        <w:rPr>
          <w:rFonts w:ascii="Verdana" w:eastAsia="Century Gothic" w:hAnsi="Verdana" w:cs="Century Gothic"/>
          <w:color w:val="000000" w:themeColor="text1"/>
        </w:rPr>
      </w:pPr>
      <w:r w:rsidRPr="00696BB7">
        <w:rPr>
          <w:rFonts w:ascii="Verdana" w:eastAsia="Century Gothic" w:hAnsi="Verdana" w:cs="Century Gothic"/>
          <w:color w:val="000000" w:themeColor="text1"/>
        </w:rPr>
        <w:t>¿</w:t>
      </w:r>
      <w:r w:rsidR="005F149C">
        <w:rPr>
          <w:rFonts w:ascii="Verdana" w:eastAsia="Century Gothic" w:hAnsi="Verdana" w:cs="Century Gothic"/>
          <w:color w:val="000000" w:themeColor="text1"/>
        </w:rPr>
        <w:t>En</w:t>
      </w:r>
      <w:r w:rsidRPr="00696BB7">
        <w:rPr>
          <w:rFonts w:ascii="Verdana" w:eastAsia="Century Gothic" w:hAnsi="Verdana" w:cs="Century Gothic"/>
          <w:color w:val="000000" w:themeColor="text1"/>
        </w:rPr>
        <w:t xml:space="preserve"> el</w:t>
      </w:r>
      <w:r w:rsidR="005F149C">
        <w:rPr>
          <w:rFonts w:ascii="Verdana" w:eastAsia="Century Gothic" w:hAnsi="Verdana" w:cs="Century Gothic"/>
          <w:color w:val="000000" w:themeColor="text1"/>
        </w:rPr>
        <w:t xml:space="preserve"> marco del procedimiento sancionatorio contractual de que trata el</w:t>
      </w:r>
      <w:r w:rsidRPr="00696BB7">
        <w:rPr>
          <w:rFonts w:ascii="Verdana" w:eastAsia="Century Gothic" w:hAnsi="Verdana" w:cs="Century Gothic"/>
          <w:color w:val="000000" w:themeColor="text1"/>
        </w:rPr>
        <w:t xml:space="preserve"> artículo 86 de la Ley 1474 de 2011</w:t>
      </w:r>
      <w:r w:rsidR="005F149C">
        <w:rPr>
          <w:rFonts w:ascii="Verdana" w:eastAsia="Century Gothic" w:hAnsi="Verdana" w:cs="Century Gothic"/>
          <w:color w:val="000000" w:themeColor="text1"/>
        </w:rPr>
        <w:t xml:space="preserve">, </w:t>
      </w:r>
      <w:r w:rsidR="005C1D82">
        <w:rPr>
          <w:rFonts w:ascii="Verdana" w:eastAsia="Century Gothic" w:hAnsi="Verdana" w:cs="Century Gothic"/>
          <w:color w:val="000000" w:themeColor="text1"/>
        </w:rPr>
        <w:t xml:space="preserve">cual </w:t>
      </w:r>
      <w:r w:rsidRPr="00696BB7">
        <w:rPr>
          <w:rFonts w:ascii="Verdana" w:eastAsia="Century Gothic" w:hAnsi="Verdana" w:cs="Century Gothic"/>
          <w:color w:val="000000" w:themeColor="text1"/>
        </w:rPr>
        <w:t xml:space="preserve">es el término adecuado que permita al contratista y al garante preparar su defensa en </w:t>
      </w:r>
      <w:r w:rsidR="00EB4A29">
        <w:rPr>
          <w:rFonts w:ascii="Verdana" w:eastAsia="Century Gothic" w:hAnsi="Verdana" w:cs="Century Gothic"/>
          <w:color w:val="000000" w:themeColor="text1"/>
        </w:rPr>
        <w:t xml:space="preserve">el marco de la </w:t>
      </w:r>
      <w:r w:rsidRPr="00696BB7">
        <w:rPr>
          <w:rFonts w:ascii="Verdana" w:eastAsia="Century Gothic" w:hAnsi="Verdana" w:cs="Century Gothic"/>
          <w:color w:val="000000" w:themeColor="text1"/>
        </w:rPr>
        <w:t xml:space="preserve">audiencia de </w:t>
      </w:r>
      <w:proofErr w:type="gramStart"/>
      <w:r w:rsidRPr="00696BB7">
        <w:rPr>
          <w:rFonts w:ascii="Verdana" w:eastAsia="Century Gothic" w:hAnsi="Verdana" w:cs="Century Gothic"/>
          <w:color w:val="000000" w:themeColor="text1"/>
        </w:rPr>
        <w:t>incumplimiento</w:t>
      </w:r>
      <w:r w:rsidR="00D067EA">
        <w:rPr>
          <w:rFonts w:ascii="Verdana" w:eastAsia="Century Gothic" w:hAnsi="Verdana" w:cs="Century Gothic"/>
          <w:color w:val="000000" w:themeColor="text1"/>
        </w:rPr>
        <w:t>?</w:t>
      </w:r>
      <w:r w:rsidR="006339D3">
        <w:rPr>
          <w:rFonts w:ascii="Verdana" w:eastAsia="Century Gothic" w:hAnsi="Verdana" w:cs="Century Gothic"/>
          <w:color w:val="000000" w:themeColor="text1"/>
        </w:rPr>
        <w:t>¿</w:t>
      </w:r>
      <w:proofErr w:type="gramEnd"/>
      <w:r w:rsidR="006339D3">
        <w:rPr>
          <w:rFonts w:ascii="Verdana" w:eastAsia="Century Gothic" w:hAnsi="Verdana" w:cs="Century Gothic"/>
          <w:color w:val="000000" w:themeColor="text1"/>
        </w:rPr>
        <w:t xml:space="preserve">Es viable </w:t>
      </w:r>
      <w:r w:rsidRPr="00696BB7">
        <w:rPr>
          <w:rFonts w:ascii="Verdana" w:eastAsia="Century Gothic" w:hAnsi="Verdana" w:cs="Century Gothic"/>
          <w:color w:val="000000" w:themeColor="text1"/>
        </w:rPr>
        <w:t xml:space="preserve"> suspender la audiencia para la sustentación del recurso de reposición</w:t>
      </w:r>
      <w:r>
        <w:rPr>
          <w:rFonts w:ascii="Verdana" w:eastAsia="Century Gothic" w:hAnsi="Verdana" w:cs="Century Gothic"/>
          <w:color w:val="000000" w:themeColor="text1"/>
        </w:rPr>
        <w:t>?</w:t>
      </w:r>
    </w:p>
    <w:p w14:paraId="1130E115" w14:textId="77777777" w:rsidR="007436D1" w:rsidRPr="00115E3D" w:rsidRDefault="007436D1" w:rsidP="007436D1">
      <w:pPr>
        <w:spacing w:after="0" w:line="276" w:lineRule="auto"/>
        <w:jc w:val="both"/>
        <w:rPr>
          <w:rFonts w:ascii="Verdana" w:eastAsia="Calibri" w:hAnsi="Verdana" w:cs="Arial"/>
          <w:color w:val="000000" w:themeColor="text1"/>
          <w:lang w:val="es-ES"/>
        </w:rPr>
      </w:pPr>
    </w:p>
    <w:p w14:paraId="1B37A684" w14:textId="77777777" w:rsidR="007436D1" w:rsidRPr="00115E3D" w:rsidRDefault="007436D1" w:rsidP="007436D1">
      <w:pPr>
        <w:pStyle w:val="Prrafodelista"/>
        <w:numPr>
          <w:ilvl w:val="0"/>
          <w:numId w:val="30"/>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40FBDF29" w14:textId="77777777" w:rsidR="007436D1" w:rsidRPr="00115E3D" w:rsidRDefault="007436D1" w:rsidP="007436D1">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436D1" w:rsidRPr="00115E3D" w14:paraId="32E2FC83" w14:textId="77777777" w:rsidTr="006E6A42">
        <w:tc>
          <w:tcPr>
            <w:tcW w:w="8828" w:type="dxa"/>
            <w:shd w:val="clear" w:color="auto" w:fill="auto"/>
          </w:tcPr>
          <w:p w14:paraId="19ACED22" w14:textId="44330527" w:rsidR="007436D1" w:rsidRPr="00140980" w:rsidRDefault="007436D1" w:rsidP="0032022C">
            <w:pPr>
              <w:spacing w:line="276" w:lineRule="auto"/>
              <w:jc w:val="both"/>
              <w:rPr>
                <w:rFonts w:ascii="Verdana" w:eastAsia="Calibri" w:hAnsi="Verdana" w:cs="Arial"/>
                <w:color w:val="000000" w:themeColor="text1"/>
              </w:rPr>
            </w:pPr>
            <w:r w:rsidRPr="00140980">
              <w:rPr>
                <w:rFonts w:ascii="Verdana" w:eastAsia="Calibri" w:hAnsi="Verdana" w:cs="Arial"/>
                <w:color w:val="000000" w:themeColor="text1"/>
              </w:rPr>
              <w:t xml:space="preserve">El artículo 86 de la Ley 1474 de 2011 establece que el procedimiento sancionatorio </w:t>
            </w:r>
            <w:r w:rsidR="00736CC5">
              <w:rPr>
                <w:rFonts w:ascii="Verdana" w:eastAsia="Calibri" w:hAnsi="Verdana" w:cs="Arial"/>
                <w:color w:val="000000" w:themeColor="text1"/>
              </w:rPr>
              <w:t>contractual</w:t>
            </w:r>
            <w:r w:rsidRPr="00140980">
              <w:rPr>
                <w:rFonts w:ascii="Verdana" w:eastAsia="Calibri" w:hAnsi="Verdana" w:cs="Arial"/>
                <w:color w:val="000000" w:themeColor="text1"/>
              </w:rPr>
              <w:t xml:space="preserve"> debe garantizar el derecho de defensa </w:t>
            </w:r>
            <w:r w:rsidR="00736CC5">
              <w:rPr>
                <w:rFonts w:ascii="Verdana" w:eastAsia="Calibri" w:hAnsi="Verdana" w:cs="Arial"/>
                <w:color w:val="000000" w:themeColor="text1"/>
              </w:rPr>
              <w:t xml:space="preserve">y contradicción </w:t>
            </w:r>
            <w:r w:rsidRPr="00140980">
              <w:rPr>
                <w:rFonts w:ascii="Verdana" w:eastAsia="Calibri" w:hAnsi="Verdana" w:cs="Arial"/>
                <w:color w:val="000000" w:themeColor="text1"/>
              </w:rPr>
              <w:t>del contratista y el garante, lo cual incluye un plazo adecuado para preparar su defensa antes de la audiencia. Aunque la ley no determina un término específico, se debe aplicar el principio de razonabilidad, teniendo en cuenta la naturaleza del contrato, la complejidad del caso y las obligaciones contractuales que se están evaluando</w:t>
            </w:r>
            <w:r w:rsidR="00D33707">
              <w:rPr>
                <w:rFonts w:ascii="Verdana" w:eastAsia="Calibri" w:hAnsi="Verdana" w:cs="Arial"/>
                <w:color w:val="000000" w:themeColor="text1"/>
              </w:rPr>
              <w:t>, y sin que por ello</w:t>
            </w:r>
            <w:r w:rsidR="00936D31">
              <w:rPr>
                <w:rFonts w:ascii="Verdana" w:eastAsia="Calibri" w:hAnsi="Verdana" w:cs="Arial"/>
                <w:color w:val="000000" w:themeColor="text1"/>
              </w:rPr>
              <w:t xml:space="preserve"> se </w:t>
            </w:r>
            <w:r w:rsidR="00345D72">
              <w:rPr>
                <w:rFonts w:ascii="Verdana" w:eastAsia="Calibri" w:hAnsi="Verdana" w:cs="Arial"/>
                <w:color w:val="000000" w:themeColor="text1"/>
              </w:rPr>
              <w:t xml:space="preserve">ponga en riesgo la pertinencia y oportunidad de cara al </w:t>
            </w:r>
            <w:r w:rsidR="00E979FC">
              <w:rPr>
                <w:rFonts w:ascii="Verdana" w:eastAsia="Calibri" w:hAnsi="Verdana" w:cs="Arial"/>
                <w:color w:val="000000" w:themeColor="text1"/>
              </w:rPr>
              <w:t>trámite</w:t>
            </w:r>
            <w:r w:rsidR="00345D72">
              <w:rPr>
                <w:rFonts w:ascii="Verdana" w:eastAsia="Calibri" w:hAnsi="Verdana" w:cs="Arial"/>
                <w:color w:val="000000" w:themeColor="text1"/>
              </w:rPr>
              <w:t xml:space="preserve"> del procedimiento contractual y la necesidad de la entidad frente al cumplimiento de </w:t>
            </w:r>
            <w:r w:rsidR="00E979FC">
              <w:rPr>
                <w:rFonts w:ascii="Verdana" w:eastAsia="Calibri" w:hAnsi="Verdana" w:cs="Arial"/>
                <w:color w:val="000000" w:themeColor="text1"/>
              </w:rPr>
              <w:t xml:space="preserve">las obligaciones contractuales </w:t>
            </w:r>
            <w:r w:rsidRPr="00140980">
              <w:rPr>
                <w:rFonts w:ascii="Verdana" w:eastAsia="Calibri" w:hAnsi="Verdana" w:cs="Arial"/>
                <w:color w:val="000000" w:themeColor="text1"/>
              </w:rPr>
              <w:t>. Este término debe ser suficiente para que el contratista y el garante puedan revisar las pruebas presentadas en su contra, analizar los hechos que motivan la actuación y preparar sus descargos. La citación debe contener toda la información relevante (hechos, pruebas,</w:t>
            </w:r>
            <w:r w:rsidR="0005385D">
              <w:rPr>
                <w:rFonts w:ascii="Verdana" w:eastAsia="Calibri" w:hAnsi="Verdana" w:cs="Arial"/>
                <w:color w:val="000000" w:themeColor="text1"/>
              </w:rPr>
              <w:t xml:space="preserve"> clausulas presuntamente incumplidas,</w:t>
            </w:r>
            <w:r w:rsidRPr="00140980">
              <w:rPr>
                <w:rFonts w:ascii="Verdana" w:eastAsia="Calibri" w:hAnsi="Verdana" w:cs="Arial"/>
                <w:color w:val="000000" w:themeColor="text1"/>
              </w:rPr>
              <w:t xml:space="preserve"> normas </w:t>
            </w:r>
            <w:r w:rsidR="0005385D">
              <w:rPr>
                <w:rFonts w:ascii="Verdana" w:eastAsia="Calibri" w:hAnsi="Verdana" w:cs="Arial"/>
                <w:color w:val="000000" w:themeColor="text1"/>
              </w:rPr>
              <w:t>presuntamente desconocidas</w:t>
            </w:r>
            <w:r w:rsidR="0005385D" w:rsidRPr="00140980">
              <w:rPr>
                <w:rFonts w:ascii="Verdana" w:eastAsia="Calibri" w:hAnsi="Verdana" w:cs="Arial"/>
                <w:color w:val="000000" w:themeColor="text1"/>
              </w:rPr>
              <w:t xml:space="preserve"> </w:t>
            </w:r>
            <w:r w:rsidRPr="00140980">
              <w:rPr>
                <w:rFonts w:ascii="Verdana" w:eastAsia="Calibri" w:hAnsi="Verdana" w:cs="Arial"/>
                <w:color w:val="000000" w:themeColor="text1"/>
              </w:rPr>
              <w:t>y consecuencias del incumplimiento) para que las partes puedan ejercer su derecho de defensa de manera efectiva.</w:t>
            </w:r>
          </w:p>
          <w:p w14:paraId="3A92F58D" w14:textId="1D35F5F1" w:rsidR="007436D1" w:rsidRPr="00845568" w:rsidRDefault="007436D1" w:rsidP="005118B4">
            <w:pPr>
              <w:spacing w:line="276" w:lineRule="auto"/>
              <w:ind w:firstLine="709"/>
              <w:jc w:val="both"/>
              <w:rPr>
                <w:rFonts w:ascii="Verdana" w:eastAsia="Calibri" w:hAnsi="Verdana" w:cs="Arial"/>
                <w:color w:val="000000" w:themeColor="text1"/>
              </w:rPr>
            </w:pPr>
            <w:r w:rsidRPr="00140980">
              <w:rPr>
                <w:rFonts w:ascii="Verdana" w:eastAsia="Calibri" w:hAnsi="Verdana" w:cs="Arial"/>
                <w:color w:val="000000" w:themeColor="text1"/>
              </w:rPr>
              <w:t>Respecto a la</w:t>
            </w:r>
            <w:r w:rsidR="002B7D0B">
              <w:rPr>
                <w:rFonts w:ascii="Verdana" w:eastAsia="Calibri" w:hAnsi="Verdana" w:cs="Arial"/>
                <w:color w:val="000000" w:themeColor="text1"/>
              </w:rPr>
              <w:t xml:space="preserve"> viabilidad de </w:t>
            </w:r>
            <w:r w:rsidR="00930AC5">
              <w:rPr>
                <w:rFonts w:ascii="Verdana" w:eastAsia="Calibri" w:hAnsi="Verdana" w:cs="Arial"/>
                <w:color w:val="000000" w:themeColor="text1"/>
              </w:rPr>
              <w:t>suspender</w:t>
            </w:r>
            <w:r w:rsidRPr="00140980">
              <w:rPr>
                <w:rFonts w:ascii="Verdana" w:eastAsia="Calibri" w:hAnsi="Verdana" w:cs="Arial"/>
                <w:color w:val="000000" w:themeColor="text1"/>
              </w:rPr>
              <w:t xml:space="preserve"> la audiencia para la sustentación del recurso de reposición,</w:t>
            </w:r>
            <w:r w:rsidR="00B1093A">
              <w:rPr>
                <w:rFonts w:ascii="Verdana" w:eastAsia="Calibri" w:hAnsi="Verdana" w:cs="Arial"/>
                <w:color w:val="000000" w:themeColor="text1"/>
              </w:rPr>
              <w:t xml:space="preserve"> es de indicar que</w:t>
            </w:r>
            <w:r w:rsidRPr="00140980">
              <w:rPr>
                <w:rFonts w:ascii="Verdana" w:eastAsia="Calibri" w:hAnsi="Verdana" w:cs="Arial"/>
                <w:color w:val="000000" w:themeColor="text1"/>
              </w:rPr>
              <w:t xml:space="preserve"> el artículo 86 permite que la audiencia sea suspendida en cualquier momento, ya sea de oficio o a petición de parte, si es necesario para allegar pruebas adicionales o por razones debidamente sustentadas que aseguren el correcto desarrollo del procedimiento. La suspensión es procedente si se justifica la necesidad de más tiempo para presentar o analizar pruebas relevantes, lo que debe ser motivado por la autoridad. Después de la suspensión, la audiencia debe reanudarse en un término razonable, garantizando que ambas partes tengan la oportunidad de participar plenamente. El recurso de reposición </w:t>
            </w:r>
            <w:r w:rsidR="00936D31">
              <w:rPr>
                <w:rFonts w:ascii="Verdana" w:eastAsia="Calibri" w:hAnsi="Verdana" w:cs="Arial"/>
                <w:color w:val="000000" w:themeColor="text1"/>
              </w:rPr>
              <w:t xml:space="preserve">debe ser </w:t>
            </w:r>
            <w:r w:rsidR="00857644">
              <w:rPr>
                <w:rFonts w:ascii="Verdana" w:eastAsia="Calibri" w:hAnsi="Verdana" w:cs="Arial"/>
                <w:color w:val="000000" w:themeColor="text1"/>
              </w:rPr>
              <w:t xml:space="preserve">interpuesto </w:t>
            </w:r>
            <w:r w:rsidR="00936D31">
              <w:rPr>
                <w:rFonts w:ascii="Verdana" w:eastAsia="Calibri" w:hAnsi="Verdana" w:cs="Arial"/>
                <w:color w:val="000000" w:themeColor="text1"/>
              </w:rPr>
              <w:t>y</w:t>
            </w:r>
            <w:r w:rsidR="00857644">
              <w:rPr>
                <w:rFonts w:ascii="Verdana" w:eastAsia="Calibri" w:hAnsi="Verdana" w:cs="Arial"/>
                <w:color w:val="000000" w:themeColor="text1"/>
              </w:rPr>
              <w:t xml:space="preserve"> </w:t>
            </w:r>
            <w:r w:rsidRPr="00140980">
              <w:rPr>
                <w:rFonts w:ascii="Verdana" w:eastAsia="Calibri" w:hAnsi="Verdana" w:cs="Arial"/>
                <w:color w:val="000000" w:themeColor="text1"/>
              </w:rPr>
              <w:t>resuelto en la misma audiencia</w:t>
            </w:r>
            <w:r w:rsidR="00D33707">
              <w:rPr>
                <w:rFonts w:ascii="Verdana" w:eastAsia="Calibri" w:hAnsi="Verdana" w:cs="Arial"/>
                <w:color w:val="000000" w:themeColor="text1"/>
              </w:rPr>
              <w:t xml:space="preserve">, atendiendo a que </w:t>
            </w:r>
            <w:r w:rsidR="00936D31">
              <w:rPr>
                <w:rFonts w:ascii="Verdana" w:eastAsia="Calibri" w:hAnsi="Verdana" w:cs="Arial"/>
                <w:color w:val="000000" w:themeColor="text1"/>
              </w:rPr>
              <w:t>é</w:t>
            </w:r>
            <w:r w:rsidR="00D33707">
              <w:rPr>
                <w:rFonts w:ascii="Verdana" w:eastAsia="Calibri" w:hAnsi="Verdana" w:cs="Arial"/>
                <w:color w:val="000000" w:themeColor="text1"/>
              </w:rPr>
              <w:t>ste se tramita a través de un proceso oral</w:t>
            </w:r>
            <w:r w:rsidRPr="00140980">
              <w:rPr>
                <w:rFonts w:ascii="Verdana" w:eastAsia="Calibri" w:hAnsi="Verdana" w:cs="Arial"/>
                <w:color w:val="000000" w:themeColor="text1"/>
              </w:rPr>
              <w:t xml:space="preserve">, y la decisión </w:t>
            </w:r>
            <w:r w:rsidR="00936D31">
              <w:rPr>
                <w:rFonts w:ascii="Verdana" w:eastAsia="Calibri" w:hAnsi="Verdana" w:cs="Arial"/>
                <w:color w:val="000000" w:themeColor="text1"/>
              </w:rPr>
              <w:t>que desate el</w:t>
            </w:r>
            <w:r w:rsidRPr="00140980">
              <w:rPr>
                <w:rFonts w:ascii="Verdana" w:eastAsia="Calibri" w:hAnsi="Verdana" w:cs="Arial"/>
                <w:color w:val="000000" w:themeColor="text1"/>
              </w:rPr>
              <w:t xml:space="preserve"> recurso </w:t>
            </w:r>
            <w:r w:rsidR="00936D31">
              <w:rPr>
                <w:rFonts w:ascii="Verdana" w:eastAsia="Calibri" w:hAnsi="Verdana" w:cs="Arial"/>
                <w:color w:val="000000" w:themeColor="text1"/>
              </w:rPr>
              <w:t>deber</w:t>
            </w:r>
            <w:r w:rsidRPr="00140980">
              <w:rPr>
                <w:rFonts w:ascii="Verdana" w:eastAsia="Calibri" w:hAnsi="Verdana" w:cs="Arial"/>
                <w:color w:val="000000" w:themeColor="text1"/>
              </w:rPr>
              <w:t xml:space="preserve">á </w:t>
            </w:r>
            <w:r w:rsidR="00936D31">
              <w:rPr>
                <w:rFonts w:ascii="Verdana" w:eastAsia="Calibri" w:hAnsi="Verdana" w:cs="Arial"/>
                <w:color w:val="000000" w:themeColor="text1"/>
              </w:rPr>
              <w:t xml:space="preserve">ser </w:t>
            </w:r>
            <w:r w:rsidRPr="00140980">
              <w:rPr>
                <w:rFonts w:ascii="Verdana" w:eastAsia="Calibri" w:hAnsi="Verdana" w:cs="Arial"/>
                <w:color w:val="000000" w:themeColor="text1"/>
              </w:rPr>
              <w:t xml:space="preserve">notificada en </w:t>
            </w:r>
            <w:r w:rsidR="00D33707">
              <w:rPr>
                <w:rFonts w:ascii="Verdana" w:eastAsia="Calibri" w:hAnsi="Verdana" w:cs="Arial"/>
                <w:color w:val="000000" w:themeColor="text1"/>
              </w:rPr>
              <w:t>estrados</w:t>
            </w:r>
            <w:r w:rsidRPr="00140980">
              <w:rPr>
                <w:rFonts w:ascii="Verdana" w:eastAsia="Calibri" w:hAnsi="Verdana" w:cs="Arial"/>
                <w:color w:val="000000" w:themeColor="text1"/>
              </w:rPr>
              <w:t>. La suspensión, por tanto, debe respetar los principios de debido proceso, buscando siempre evitar demoras innecesarias que perjudiquen la resolución del procedimiento.</w:t>
            </w:r>
          </w:p>
        </w:tc>
      </w:tr>
    </w:tbl>
    <w:p w14:paraId="48FE02B5" w14:textId="77777777" w:rsidR="007436D1" w:rsidRPr="00115E3D" w:rsidRDefault="007436D1" w:rsidP="007436D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53BAC0C8" w14:textId="77777777" w:rsidR="007436D1" w:rsidRPr="00115E3D" w:rsidRDefault="007436D1" w:rsidP="007436D1">
      <w:pPr>
        <w:pStyle w:val="Prrafodelista"/>
        <w:numPr>
          <w:ilvl w:val="0"/>
          <w:numId w:val="30"/>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3E828921" w14:textId="77777777" w:rsidR="007436D1" w:rsidRPr="00115E3D" w:rsidRDefault="007436D1" w:rsidP="007436D1">
      <w:pPr>
        <w:spacing w:after="0" w:line="276" w:lineRule="auto"/>
        <w:jc w:val="both"/>
        <w:rPr>
          <w:rFonts w:ascii="Verdana" w:eastAsia="Calibri" w:hAnsi="Verdana" w:cs="Arial"/>
          <w:color w:val="000000" w:themeColor="text1"/>
          <w:lang w:val="es-ES"/>
        </w:rPr>
      </w:pPr>
    </w:p>
    <w:p w14:paraId="30D393FA" w14:textId="77777777" w:rsidR="007436D1" w:rsidRPr="00115E3D" w:rsidRDefault="007436D1" w:rsidP="007436D1">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3FE0A142" w14:textId="77777777" w:rsidR="007436D1" w:rsidRPr="00115E3D" w:rsidRDefault="007436D1" w:rsidP="007436D1">
      <w:pPr>
        <w:spacing w:after="0" w:line="276" w:lineRule="auto"/>
        <w:jc w:val="both"/>
        <w:rPr>
          <w:rFonts w:ascii="Verdana" w:eastAsia="Calibri" w:hAnsi="Verdana" w:cs="Arial"/>
          <w:color w:val="000000" w:themeColor="text1"/>
          <w:lang w:val="es-ES"/>
        </w:rPr>
      </w:pPr>
    </w:p>
    <w:p w14:paraId="279726BD" w14:textId="77777777" w:rsidR="007436D1" w:rsidRDefault="007436D1" w:rsidP="007436D1">
      <w:pPr>
        <w:numPr>
          <w:ilvl w:val="0"/>
          <w:numId w:val="33"/>
        </w:numPr>
        <w:spacing w:after="120" w:line="276" w:lineRule="auto"/>
        <w:contextualSpacing/>
        <w:jc w:val="both"/>
        <w:rPr>
          <w:rFonts w:ascii="Verdana" w:eastAsia="Times New Roman" w:hAnsi="Verdana" w:cs="Arial"/>
          <w:lang w:val="es-ES" w:eastAsia="es-ES"/>
        </w:rPr>
      </w:pPr>
      <w:r w:rsidRPr="00217328">
        <w:rPr>
          <w:rFonts w:ascii="Verdana" w:eastAsia="Times New Roman" w:hAnsi="Verdana" w:cs="Arial"/>
          <w:lang w:val="es-ES" w:eastAsia="es-ES"/>
        </w:rPr>
        <w:lastRenderedPageBreak/>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cuantificando los perjuicios </w:t>
      </w:r>
      <w:proofErr w:type="gramStart"/>
      <w:r w:rsidRPr="00217328">
        <w:rPr>
          <w:rFonts w:ascii="Verdana" w:eastAsia="Times New Roman" w:hAnsi="Verdana" w:cs="Arial"/>
          <w:lang w:val="es-ES" w:eastAsia="es-ES"/>
        </w:rPr>
        <w:t>del mismo</w:t>
      </w:r>
      <w:proofErr w:type="gramEnd"/>
      <w:r w:rsidRPr="00217328">
        <w:rPr>
          <w:rFonts w:ascii="Verdana" w:eastAsia="Times New Roman" w:hAnsi="Verdana" w:cs="Arial"/>
          <w:lang w:val="es-ES" w:eastAsia="es-ES"/>
        </w:rPr>
        <w:t xml:space="preserve">, imponer las multas y sanciones pactadas en el contrato, y hacer efectiva la cláusula penal. Para tal efecto observarán el siguiente procedimiento: (…)”. </w:t>
      </w:r>
    </w:p>
    <w:p w14:paraId="27BF295F" w14:textId="77777777" w:rsidR="00777EC8" w:rsidRPr="00217328" w:rsidRDefault="00777EC8" w:rsidP="0032022C">
      <w:pPr>
        <w:spacing w:after="120" w:line="276" w:lineRule="auto"/>
        <w:ind w:left="720"/>
        <w:contextualSpacing/>
        <w:jc w:val="both"/>
        <w:rPr>
          <w:rFonts w:ascii="Verdana" w:eastAsia="Times New Roman" w:hAnsi="Verdana" w:cs="Arial"/>
          <w:lang w:val="es-ES" w:eastAsia="es-ES"/>
        </w:rPr>
      </w:pPr>
    </w:p>
    <w:p w14:paraId="6CB5D841" w14:textId="77777777" w:rsidR="007436D1" w:rsidRDefault="007436D1" w:rsidP="007436D1">
      <w:pPr>
        <w:numPr>
          <w:ilvl w:val="0"/>
          <w:numId w:val="33"/>
        </w:numPr>
        <w:spacing w:after="120" w:line="276" w:lineRule="auto"/>
        <w:contextualSpacing/>
        <w:jc w:val="both"/>
        <w:rPr>
          <w:rFonts w:ascii="Verdana" w:eastAsia="Times New Roman" w:hAnsi="Verdana" w:cs="Arial"/>
          <w:iCs/>
          <w:lang w:val="es-ES_tradnl" w:eastAsia="es-ES_tradnl"/>
        </w:rPr>
      </w:pPr>
      <w:r w:rsidRPr="00217328">
        <w:rPr>
          <w:rFonts w:ascii="Verdana" w:eastAsia="Times New Roman" w:hAnsi="Verdana" w:cs="Arial"/>
          <w:iCs/>
          <w:lang w:val="es-ES_tradnl" w:eastAsia="es-ES_tradnl"/>
        </w:rPr>
        <w:t>Cabe destacar que esta norma no cualifica o se circunscribe a ciertos tipos de incumplimiento. En consecuencia, la declaratoria de cualquier incumplimiento, sea total o parcial, durante o posterior a la terminación del contrato e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217328">
        <w:rPr>
          <w:rFonts w:ascii="Geomanist Light" w:eastAsia="Times New Roman" w:hAnsi="Geomanist Light" w:cs="Times New Roman"/>
          <w:vertAlign w:val="superscript"/>
          <w:lang w:val="es-ES" w:eastAsia="es-ES_tradnl"/>
        </w:rPr>
        <w:footnoteReference w:id="1"/>
      </w:r>
      <w:r w:rsidRPr="00217328">
        <w:rPr>
          <w:rFonts w:ascii="Verdana" w:eastAsia="Times New Roman" w:hAnsi="Verdana" w:cs="Arial"/>
          <w:iCs/>
          <w:lang w:val="es-ES_tradnl" w:eastAsia="es-ES_tradnl"/>
        </w:rPr>
        <w:t xml:space="preserve">. A la misma conclusión se llega si se tiene en consideración la necesidad de respetar el debido proceso en “todas las actuaciones administrativas” como lo ordena el artículo 29 superior. </w:t>
      </w:r>
    </w:p>
    <w:p w14:paraId="17362D47" w14:textId="77777777" w:rsidR="007436D1" w:rsidRPr="00217328" w:rsidRDefault="007436D1" w:rsidP="007436D1">
      <w:pPr>
        <w:spacing w:after="120" w:line="276" w:lineRule="auto"/>
        <w:ind w:left="720"/>
        <w:contextualSpacing/>
        <w:jc w:val="both"/>
        <w:rPr>
          <w:rFonts w:ascii="Verdana" w:eastAsia="Times New Roman" w:hAnsi="Verdana" w:cs="Arial"/>
          <w:iCs/>
          <w:lang w:val="es-ES_tradnl" w:eastAsia="es-ES_tradnl"/>
        </w:rPr>
      </w:pPr>
    </w:p>
    <w:p w14:paraId="1473B36B" w14:textId="4616A164" w:rsidR="007436D1" w:rsidRDefault="007436D1" w:rsidP="007436D1">
      <w:pPr>
        <w:numPr>
          <w:ilvl w:val="0"/>
          <w:numId w:val="33"/>
        </w:numPr>
        <w:spacing w:after="120" w:line="276" w:lineRule="auto"/>
        <w:contextualSpacing/>
        <w:jc w:val="both"/>
        <w:rPr>
          <w:rFonts w:ascii="Verdana" w:eastAsia="Times New Roman" w:hAnsi="Verdana" w:cs="Arial"/>
          <w:lang w:val="es-ES" w:eastAsia="es-ES"/>
        </w:rPr>
      </w:pPr>
      <w:r w:rsidRPr="00217328">
        <w:rPr>
          <w:rFonts w:ascii="Verdana" w:eastAsia="Times New Roman" w:hAnsi="Verdana" w:cs="Arial"/>
          <w:lang w:val="es-ES" w:eastAsia="es-ES"/>
        </w:rPr>
        <w:t>De conformidad con lo anterior, el</w:t>
      </w:r>
      <w:r w:rsidR="00777EC8">
        <w:rPr>
          <w:rFonts w:ascii="Verdana" w:eastAsia="Times New Roman" w:hAnsi="Verdana" w:cs="Arial"/>
          <w:lang w:val="es-ES" w:eastAsia="es-ES"/>
        </w:rPr>
        <w:t xml:space="preserve"> </w:t>
      </w:r>
      <w:r w:rsidRPr="00217328">
        <w:rPr>
          <w:rFonts w:ascii="Verdana" w:eastAsia="Times New Roman" w:hAnsi="Verdana" w:cs="Arial"/>
          <w:lang w:val="es-ES" w:eastAsia="es-ES"/>
        </w:rPr>
        <w:t>artículo 86 de la Ley 1474 de 2011 establece las etapas del procedimiento que se deben seguir, las cuales se sintetizan, de forma esquemática, así: i) c</w:t>
      </w:r>
      <w:r w:rsidRPr="00217328">
        <w:rPr>
          <w:rFonts w:ascii="Verdana" w:eastAsia="Times New Roman" w:hAnsi="Verdana" w:cs="Arial"/>
          <w:i/>
          <w:iCs/>
          <w:lang w:val="es-ES" w:eastAsia="es-ES"/>
        </w:rPr>
        <w:t>itación a audiencia</w:t>
      </w:r>
      <w:r w:rsidRPr="00217328">
        <w:rPr>
          <w:rFonts w:ascii="Verdana" w:eastAsia="Times New Roman" w:hAnsi="Verdana" w:cs="Arial"/>
          <w:lang w:val="es-ES" w:eastAsia="es-ES"/>
        </w:rPr>
        <w:t xml:space="preserve">. Es necesario remitir una citación a audiencia al contratista y al garante –cuando proceda–, cuyo contenido de señalará más adelante. </w:t>
      </w:r>
      <w:proofErr w:type="spellStart"/>
      <w:r w:rsidRPr="00217328">
        <w:rPr>
          <w:rFonts w:ascii="Verdana" w:eastAsia="Times New Roman" w:hAnsi="Verdana" w:cs="Arial"/>
          <w:lang w:val="es-ES" w:eastAsia="es-ES"/>
        </w:rPr>
        <w:t>ii</w:t>
      </w:r>
      <w:proofErr w:type="spellEnd"/>
      <w:r w:rsidRPr="00217328">
        <w:rPr>
          <w:rFonts w:ascii="Verdana" w:eastAsia="Times New Roman" w:hAnsi="Verdana" w:cs="Arial"/>
          <w:lang w:val="es-ES" w:eastAsia="es-ES"/>
        </w:rPr>
        <w:t xml:space="preserve">) </w:t>
      </w:r>
      <w:r w:rsidRPr="00217328">
        <w:rPr>
          <w:rFonts w:ascii="Verdana" w:eastAsia="Times New Roman" w:hAnsi="Verdana" w:cs="Arial"/>
          <w:i/>
          <w:iCs/>
          <w:lang w:val="es-ES" w:eastAsia="es-ES"/>
        </w:rPr>
        <w:t>Audiencia</w:t>
      </w:r>
      <w:r w:rsidRPr="00217328">
        <w:rPr>
          <w:rFonts w:ascii="Verdana" w:eastAsia="Times New Roman" w:hAnsi="Verdana" w:cs="Arial"/>
          <w:lang w:val="es-ES" w:eastAsia="es-ES"/>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217328">
        <w:rPr>
          <w:rFonts w:ascii="Verdana" w:eastAsia="Times New Roman" w:hAnsi="Verdana" w:cs="Arial"/>
          <w:lang w:val="es-ES" w:eastAsia="es-ES"/>
        </w:rPr>
        <w:t>iii</w:t>
      </w:r>
      <w:proofErr w:type="spellEnd"/>
      <w:r w:rsidRPr="00217328">
        <w:rPr>
          <w:rFonts w:ascii="Verdana" w:eastAsia="Times New Roman" w:hAnsi="Verdana" w:cs="Arial"/>
          <w:lang w:val="es-ES" w:eastAsia="es-ES"/>
        </w:rPr>
        <w:t xml:space="preserve">) </w:t>
      </w:r>
      <w:r w:rsidRPr="00217328">
        <w:rPr>
          <w:rFonts w:ascii="Verdana" w:eastAsia="Times New Roman" w:hAnsi="Verdana" w:cs="Arial"/>
          <w:i/>
          <w:iCs/>
          <w:lang w:val="es-ES" w:eastAsia="es-ES"/>
        </w:rPr>
        <w:t>Decisión</w:t>
      </w:r>
      <w:r w:rsidRPr="00217328">
        <w:rPr>
          <w:rFonts w:ascii="Verdana" w:eastAsia="Times New Roman" w:hAnsi="Verdana" w:cs="Arial"/>
          <w:lang w:val="es-ES" w:eastAsia="es-ES"/>
        </w:rPr>
        <w:t xml:space="preserve">.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w:t>
      </w:r>
      <w:r w:rsidRPr="00217328">
        <w:rPr>
          <w:rFonts w:ascii="Verdana" w:eastAsia="Times New Roman" w:hAnsi="Verdana" w:cs="Arial"/>
          <w:lang w:val="es-ES" w:eastAsia="es-ES"/>
        </w:rPr>
        <w:lastRenderedPageBreak/>
        <w:t>procede el recurso de reposición que se interpondrá, sustentará y decidirá en la misma diligencia. Ambas decisiones se entenderán notificadas en audiencia. Lo anterior, por supuesto, sin perjuicio del control judicial que llegue a efectuarse.</w:t>
      </w:r>
    </w:p>
    <w:p w14:paraId="35B6D34F" w14:textId="77777777" w:rsidR="007436D1" w:rsidRPr="00217328" w:rsidRDefault="007436D1" w:rsidP="007436D1">
      <w:pPr>
        <w:spacing w:after="120" w:line="276" w:lineRule="auto"/>
        <w:ind w:left="720"/>
        <w:contextualSpacing/>
        <w:jc w:val="both"/>
        <w:rPr>
          <w:rFonts w:ascii="Verdana" w:eastAsia="Times New Roman" w:hAnsi="Verdana" w:cs="Arial"/>
          <w:lang w:val="es-ES" w:eastAsia="es-ES"/>
        </w:rPr>
      </w:pPr>
    </w:p>
    <w:p w14:paraId="41D54375" w14:textId="77777777" w:rsidR="007436D1" w:rsidRPr="00217328" w:rsidRDefault="007436D1" w:rsidP="007436D1">
      <w:pPr>
        <w:numPr>
          <w:ilvl w:val="0"/>
          <w:numId w:val="33"/>
        </w:numPr>
        <w:contextualSpacing/>
        <w:jc w:val="both"/>
        <w:rPr>
          <w:rFonts w:ascii="Verdana" w:eastAsia="Times New Roman" w:hAnsi="Verdana" w:cs="Arial"/>
          <w:lang w:val="es-ES_tradnl" w:eastAsia="es-ES_tradnl"/>
        </w:rPr>
      </w:pPr>
      <w:r w:rsidRPr="00217328">
        <w:rPr>
          <w:rFonts w:ascii="Verdana" w:eastAsia="Times New Roman" w:hAnsi="Verdana" w:cs="Arial"/>
          <w:iCs/>
          <w:lang w:val="es-ES_tradnl" w:eastAsia="es-ES_tradnl"/>
        </w:rPr>
        <w:t>Como precisión previa, vale la pena aclarar que e</w:t>
      </w:r>
      <w:r w:rsidRPr="00217328">
        <w:rPr>
          <w:rFonts w:ascii="Verdana" w:eastAsia="Times New Roman" w:hAnsi="Verdana" w:cs="Arial"/>
          <w:lang w:val="es-ES_tradnl" w:eastAsia="es-ES_tradnl"/>
        </w:rPr>
        <w:t>l artículo 86 de la Ley 1474 de 2011 regula un procedimiento administrativo sancionatorio dirigido a sujetos específicos: las entidades sometidas al EGCAP</w:t>
      </w:r>
      <w:r w:rsidRPr="00217328">
        <w:rPr>
          <w:rFonts w:ascii="Geomanist Light" w:eastAsia="Times New Roman" w:hAnsi="Geomanist Light" w:cs="Times New Roman"/>
          <w:vertAlign w:val="superscript"/>
          <w:lang w:val="es-ES" w:eastAsia="es-ES_tradnl"/>
        </w:rPr>
        <w:footnoteReference w:id="2"/>
      </w:r>
      <w:r w:rsidRPr="00217328">
        <w:rPr>
          <w:rFonts w:ascii="Verdana" w:eastAsia="Times New Roman" w:hAnsi="Verdana" w:cs="Arial"/>
          <w:lang w:val="es-ES_tradnl" w:eastAsia="es-ES_tradnl"/>
        </w:rPr>
        <w:t xml:space="preserve">. De ahí que las entidades de </w:t>
      </w:r>
      <w:r w:rsidRPr="00217328">
        <w:rPr>
          <w:rFonts w:ascii="Verdana" w:eastAsia="Times New Roman" w:hAnsi="Verdana" w:cs="Arial"/>
          <w:i/>
          <w:iCs/>
          <w:lang w:val="es-ES_tradnl" w:eastAsia="es-ES_tradnl"/>
        </w:rPr>
        <w:t>régimen especial</w:t>
      </w:r>
      <w:r w:rsidRPr="00217328">
        <w:rPr>
          <w:rFonts w:ascii="Geomanist Light" w:eastAsia="Times New Roman" w:hAnsi="Geomanist Light" w:cs="Times New Roman"/>
          <w:vertAlign w:val="superscript"/>
          <w:lang w:val="es-ES" w:eastAsia="es-ES_tradnl"/>
        </w:rPr>
        <w:footnoteReference w:id="3"/>
      </w:r>
      <w:r w:rsidRPr="00217328">
        <w:rPr>
          <w:rFonts w:ascii="Verdana" w:eastAsia="Times New Roman" w:hAnsi="Verdana" w:cs="Arial"/>
          <w:lang w:val="es-ES_tradnl" w:eastAsia="es-ES_tradnl"/>
        </w:rPr>
        <w:t xml:space="preserve"> en materia contractual no pueden aplicar el procedimiento administrativo sancionatorio regulado en el artículo 86 de la Ley 1474 de 2011, al no ser entidades sometidas al EGCAP, sino, por el contrario, entidades exceptuadas de este</w:t>
      </w:r>
      <w:r w:rsidRPr="00217328">
        <w:rPr>
          <w:rFonts w:ascii="Geomanist Light" w:eastAsia="Times New Roman" w:hAnsi="Geomanist Light" w:cs="Times New Roman"/>
          <w:vertAlign w:val="superscript"/>
          <w:lang w:val="es-ES" w:eastAsia="es-ES_tradnl"/>
        </w:rPr>
        <w:footnoteReference w:id="4"/>
      </w:r>
      <w:r w:rsidRPr="00217328">
        <w:rPr>
          <w:rFonts w:ascii="Verdana" w:eastAsia="Times New Roman" w:hAnsi="Verdana" w:cs="Arial"/>
          <w:lang w:val="es-ES_tradnl" w:eastAsia="es-ES_tradnl"/>
        </w:rPr>
        <w:t>. La norma indicada desarrolla el procedimiento de la siguiente manera:</w:t>
      </w:r>
    </w:p>
    <w:p w14:paraId="2D89BD77" w14:textId="77777777" w:rsidR="007436D1" w:rsidRPr="00217328" w:rsidRDefault="007436D1" w:rsidP="007436D1">
      <w:pPr>
        <w:ind w:left="720"/>
        <w:contextualSpacing/>
        <w:jc w:val="both"/>
        <w:rPr>
          <w:rFonts w:ascii="Verdana" w:eastAsia="Times New Roman" w:hAnsi="Verdana" w:cs="Arial"/>
          <w:lang w:val="es-ES_tradnl" w:eastAsia="es-ES_tradnl"/>
        </w:rPr>
      </w:pPr>
    </w:p>
    <w:p w14:paraId="18364F88" w14:textId="35B3B7BE" w:rsidR="007436D1" w:rsidRPr="00217328" w:rsidRDefault="007436D1" w:rsidP="007436D1">
      <w:pPr>
        <w:spacing w:before="120" w:after="120" w:line="240" w:lineRule="auto"/>
        <w:ind w:left="1134" w:right="709"/>
        <w:contextualSpacing/>
        <w:jc w:val="both"/>
        <w:rPr>
          <w:rFonts w:ascii="Verdana" w:eastAsia="Times New Roman" w:hAnsi="Verdana" w:cs="Arial"/>
          <w:sz w:val="20"/>
          <w:szCs w:val="20"/>
          <w:lang w:val="es-ES"/>
        </w:rPr>
      </w:pPr>
      <w:bookmarkStart w:id="1" w:name="86"/>
      <w:bookmarkEnd w:id="1"/>
      <w:r w:rsidRPr="00217328">
        <w:rPr>
          <w:rFonts w:ascii="Verdana" w:eastAsia="Times New Roman" w:hAnsi="Verdana" w:cs="Arial"/>
          <w:sz w:val="20"/>
          <w:szCs w:val="20"/>
          <w:lang w:val="es-ES"/>
        </w:rPr>
        <w:t xml:space="preserve">“Artículo 86. Imposición de multas, sanciones y declaratorias de incumplimiento. Las entidades sometidas al Estatuto General de Contratación de la Administración Pública podrán declarar el incumplimiento, cuantificando los perjuicios </w:t>
      </w:r>
      <w:proofErr w:type="gramStart"/>
      <w:r w:rsidRPr="00217328">
        <w:rPr>
          <w:rFonts w:ascii="Verdana" w:eastAsia="Times New Roman" w:hAnsi="Verdana" w:cs="Arial"/>
          <w:sz w:val="20"/>
          <w:szCs w:val="20"/>
          <w:lang w:val="es-ES"/>
        </w:rPr>
        <w:t>del mismo</w:t>
      </w:r>
      <w:proofErr w:type="gramEnd"/>
      <w:r w:rsidRPr="00217328">
        <w:rPr>
          <w:rFonts w:ascii="Verdana" w:eastAsia="Times New Roman" w:hAnsi="Verdana" w:cs="Arial"/>
          <w:sz w:val="20"/>
          <w:szCs w:val="20"/>
          <w:lang w:val="es-ES"/>
        </w:rPr>
        <w:t>, imponer las multas y sanciones pactadas en el contrato, y hacer efectiva la cláusula penal. Para tal efecto observarán el siguiente procedimiento:</w:t>
      </w:r>
    </w:p>
    <w:p w14:paraId="7695CAF3" w14:textId="77777777" w:rsidR="007436D1" w:rsidRPr="00217328" w:rsidRDefault="007436D1" w:rsidP="007436D1">
      <w:pPr>
        <w:spacing w:after="0" w:line="240" w:lineRule="auto"/>
        <w:ind w:left="709" w:right="709"/>
        <w:contextualSpacing/>
        <w:jc w:val="both"/>
        <w:rPr>
          <w:rFonts w:ascii="Verdana" w:eastAsia="Times New Roman" w:hAnsi="Verdana" w:cs="Arial"/>
          <w:iCs/>
          <w:sz w:val="20"/>
          <w:szCs w:val="20"/>
          <w:lang w:val="es-ES_tradnl"/>
        </w:rPr>
      </w:pPr>
    </w:p>
    <w:p w14:paraId="6B97D578"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
        </w:rPr>
      </w:pPr>
      <w:r w:rsidRPr="00217328">
        <w:rPr>
          <w:rFonts w:ascii="Verdana" w:eastAsia="Times New Roman" w:hAnsi="Verdana" w:cs="Arial"/>
          <w:i/>
          <w:iCs/>
          <w:sz w:val="20"/>
          <w:szCs w:val="20"/>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3AE54CE9"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_tradnl"/>
        </w:rPr>
      </w:pPr>
    </w:p>
    <w:p w14:paraId="09C46B47"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
        </w:rPr>
      </w:pPr>
      <w:r w:rsidRPr="00217328">
        <w:rPr>
          <w:rFonts w:ascii="Verdana" w:eastAsia="Times New Roman" w:hAnsi="Verdana" w:cs="Arial"/>
          <w:i/>
          <w:iCs/>
          <w:sz w:val="20"/>
          <w:szCs w:val="20"/>
          <w:lang w:val="es-ES"/>
        </w:rPr>
        <w:t xml:space="preserve">b) En desarrollo de la audiencia, el jefe de la entidad o su </w:t>
      </w:r>
      <w:proofErr w:type="gramStart"/>
      <w:r w:rsidRPr="00217328">
        <w:rPr>
          <w:rFonts w:ascii="Verdana" w:eastAsia="Times New Roman" w:hAnsi="Verdana" w:cs="Arial"/>
          <w:i/>
          <w:iCs/>
          <w:sz w:val="20"/>
          <w:szCs w:val="20"/>
          <w:lang w:val="es-ES"/>
        </w:rPr>
        <w:t>delegado,</w:t>
      </w:r>
      <w:proofErr w:type="gramEnd"/>
      <w:r w:rsidRPr="00217328">
        <w:rPr>
          <w:rFonts w:ascii="Verdana" w:eastAsia="Times New Roman" w:hAnsi="Verdana" w:cs="Arial"/>
          <w:i/>
          <w:iCs/>
          <w:sz w:val="20"/>
          <w:szCs w:val="20"/>
          <w:lang w:val="es-ES"/>
        </w:rPr>
        <w:t xml:space="preserve"> presentará las circunstancias de hecho que motivan la actuación, </w:t>
      </w:r>
      <w:r w:rsidRPr="00217328">
        <w:rPr>
          <w:rFonts w:ascii="Verdana" w:eastAsia="Times New Roman" w:hAnsi="Verdana" w:cs="Arial"/>
          <w:i/>
          <w:iCs/>
          <w:sz w:val="20"/>
          <w:szCs w:val="20"/>
          <w:lang w:val="es-ES"/>
        </w:rPr>
        <w:lastRenderedPageBreak/>
        <w:t>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4F543418"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_tradnl"/>
        </w:rPr>
      </w:pPr>
    </w:p>
    <w:p w14:paraId="6C5F6A7C"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
        </w:rPr>
      </w:pPr>
      <w:r w:rsidRPr="00217328">
        <w:rPr>
          <w:rFonts w:ascii="Verdana" w:eastAsia="Times New Roman" w:hAnsi="Verdana" w:cs="Arial"/>
          <w:i/>
          <w:iCs/>
          <w:sz w:val="20"/>
          <w:szCs w:val="20"/>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23851B39"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_tradnl"/>
        </w:rPr>
      </w:pPr>
    </w:p>
    <w:p w14:paraId="44721D11" w14:textId="77777777" w:rsidR="007436D1" w:rsidRPr="00217328" w:rsidRDefault="007436D1" w:rsidP="007436D1">
      <w:pPr>
        <w:spacing w:before="120" w:after="120" w:line="240" w:lineRule="auto"/>
        <w:ind w:left="1134" w:right="709"/>
        <w:contextualSpacing/>
        <w:jc w:val="both"/>
        <w:rPr>
          <w:rFonts w:ascii="Verdana" w:eastAsia="Times New Roman" w:hAnsi="Verdana" w:cs="Arial"/>
          <w:i/>
          <w:iCs/>
          <w:sz w:val="20"/>
          <w:szCs w:val="20"/>
          <w:lang w:val="es-ES"/>
        </w:rPr>
      </w:pPr>
      <w:r w:rsidRPr="00217328">
        <w:rPr>
          <w:rFonts w:ascii="Verdana" w:eastAsia="Times New Roman" w:hAnsi="Verdana" w:cs="Arial"/>
          <w:i/>
          <w:iCs/>
          <w:sz w:val="20"/>
          <w:szCs w:val="20"/>
          <w:lang w:val="es-ES"/>
        </w:rPr>
        <w:t xml:space="preserve">d) En cualquier momento del desarrollo de la audiencia, el jefe de la entidad o su </w:t>
      </w:r>
      <w:proofErr w:type="gramStart"/>
      <w:r w:rsidRPr="00217328">
        <w:rPr>
          <w:rFonts w:ascii="Verdana" w:eastAsia="Times New Roman" w:hAnsi="Verdana" w:cs="Arial"/>
          <w:i/>
          <w:iCs/>
          <w:sz w:val="20"/>
          <w:szCs w:val="20"/>
          <w:lang w:val="es-ES"/>
        </w:rPr>
        <w:t>delegado,</w:t>
      </w:r>
      <w:proofErr w:type="gramEnd"/>
      <w:r w:rsidRPr="00217328">
        <w:rPr>
          <w:rFonts w:ascii="Verdana" w:eastAsia="Times New Roman" w:hAnsi="Verdana" w:cs="Arial"/>
          <w:i/>
          <w:iCs/>
          <w:sz w:val="20"/>
          <w:szCs w:val="20"/>
          <w:lang w:val="es-ES"/>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68D1FA54" w14:textId="77777777" w:rsidR="007436D1" w:rsidRPr="00217328" w:rsidRDefault="007436D1" w:rsidP="007436D1">
      <w:pPr>
        <w:spacing w:after="0" w:line="276" w:lineRule="auto"/>
        <w:ind w:right="142"/>
        <w:contextualSpacing/>
        <w:jc w:val="both"/>
        <w:rPr>
          <w:rFonts w:ascii="Verdana" w:eastAsia="Times New Roman" w:hAnsi="Verdana" w:cs="Arial"/>
          <w:szCs w:val="24"/>
          <w:lang w:val="es-ES_tradnl" w:eastAsia="es-ES_tradnl"/>
        </w:rPr>
      </w:pPr>
    </w:p>
    <w:p w14:paraId="5A7D4A98" w14:textId="77777777" w:rsidR="007436D1" w:rsidRDefault="007436D1" w:rsidP="007436D1">
      <w:pPr>
        <w:numPr>
          <w:ilvl w:val="0"/>
          <w:numId w:val="34"/>
        </w:numPr>
        <w:spacing w:after="120" w:line="276" w:lineRule="auto"/>
        <w:contextualSpacing/>
        <w:jc w:val="both"/>
        <w:rPr>
          <w:rFonts w:ascii="Verdana" w:eastAsia="Times New Roman" w:hAnsi="Verdana" w:cs="Arial"/>
          <w:lang w:val="es-ES_tradnl" w:eastAsia="es-ES_tradnl"/>
        </w:rPr>
      </w:pPr>
      <w:r w:rsidRPr="00217328">
        <w:rPr>
          <w:rFonts w:ascii="Verdana" w:eastAsia="Times New Roman" w:hAnsi="Verdana" w:cs="Arial"/>
          <w:lang w:val="es-ES_tradnl" w:eastAsia="es-ES_tradnl"/>
        </w:rPr>
        <w:t xml:space="preserve">Como se observa, la citación a la audiencia debe cumplir </w:t>
      </w:r>
      <w:r w:rsidRPr="00217328">
        <w:rPr>
          <w:rFonts w:ascii="Verdana" w:eastAsia="Times New Roman" w:hAnsi="Verdana" w:cs="Arial"/>
          <w:i/>
          <w:iCs/>
          <w:lang w:val="es-ES_tradnl" w:eastAsia="es-ES_tradnl"/>
        </w:rPr>
        <w:t>mínimamente</w:t>
      </w:r>
      <w:r w:rsidRPr="00217328">
        <w:rPr>
          <w:rFonts w:ascii="Verdana" w:eastAsia="Times New Roman" w:hAnsi="Verdana" w:cs="Arial"/>
          <w:lang w:val="es-ES_tradnl" w:eastAsia="es-ES_tradnl"/>
        </w:rPr>
        <w:t xml:space="preserve"> los siguientes aspectos: i) señalar los </w:t>
      </w:r>
      <w:r w:rsidRPr="00217328">
        <w:rPr>
          <w:rFonts w:ascii="Verdana" w:eastAsia="Times New Roman" w:hAnsi="Verdana" w:cs="Arial"/>
          <w:i/>
          <w:iCs/>
          <w:lang w:val="es-ES_tradnl" w:eastAsia="es-ES_tradnl"/>
        </w:rPr>
        <w:t>hechos</w:t>
      </w:r>
      <w:r w:rsidRPr="00217328">
        <w:rPr>
          <w:rFonts w:ascii="Verdana" w:eastAsia="Times New Roman" w:hAnsi="Verdana" w:cs="Arial"/>
          <w:lang w:val="es-ES_tradnl" w:eastAsia="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217328">
        <w:rPr>
          <w:rFonts w:ascii="Verdana" w:eastAsia="Times New Roman" w:hAnsi="Verdana" w:cs="Arial"/>
          <w:lang w:val="es-ES_tradnl" w:eastAsia="es-ES_tradnl"/>
        </w:rPr>
        <w:t>ii</w:t>
      </w:r>
      <w:proofErr w:type="spellEnd"/>
      <w:r w:rsidRPr="00217328">
        <w:rPr>
          <w:rFonts w:ascii="Verdana" w:eastAsia="Times New Roman" w:hAnsi="Verdana" w:cs="Arial"/>
          <w:lang w:val="es-ES_tradnl" w:eastAsia="es-ES_tradnl"/>
        </w:rPr>
        <w:t xml:space="preserve">) adjuntar los </w:t>
      </w:r>
      <w:r w:rsidRPr="00217328">
        <w:rPr>
          <w:rFonts w:ascii="Verdana" w:eastAsia="Times New Roman" w:hAnsi="Verdana" w:cs="Arial"/>
          <w:i/>
          <w:iCs/>
          <w:lang w:val="es-ES_tradnl" w:eastAsia="es-ES_tradnl"/>
        </w:rPr>
        <w:t>informes de supervisión o de interventoría</w:t>
      </w:r>
      <w:r w:rsidRPr="00217328">
        <w:rPr>
          <w:rFonts w:ascii="Verdana" w:eastAsia="Times New Roman" w:hAnsi="Verdana" w:cs="Arial"/>
          <w:lang w:val="es-ES_tradnl" w:eastAsia="es-ES_tradnl"/>
        </w:rPr>
        <w:t xml:space="preserve"> que soportan la actuación, donde la entidad fundamenta su decisión de iniciar el procedimiento sancionatorio. Asimismo, </w:t>
      </w:r>
      <w:proofErr w:type="spellStart"/>
      <w:r w:rsidRPr="00217328">
        <w:rPr>
          <w:rFonts w:ascii="Verdana" w:eastAsia="Times New Roman" w:hAnsi="Verdana" w:cs="Arial"/>
          <w:lang w:val="es-ES_tradnl" w:eastAsia="es-ES_tradnl"/>
        </w:rPr>
        <w:t>iii</w:t>
      </w:r>
      <w:proofErr w:type="spellEnd"/>
      <w:r w:rsidRPr="00217328">
        <w:rPr>
          <w:rFonts w:ascii="Verdana" w:eastAsia="Times New Roman" w:hAnsi="Verdana" w:cs="Arial"/>
          <w:lang w:val="es-ES_tradnl" w:eastAsia="es-ES_tradnl"/>
        </w:rPr>
        <w:t xml:space="preserve">) lo anterior debe acompañarse de las </w:t>
      </w:r>
      <w:r w:rsidRPr="00217328">
        <w:rPr>
          <w:rFonts w:ascii="Verdana" w:eastAsia="Times New Roman" w:hAnsi="Verdana" w:cs="Arial"/>
          <w:i/>
          <w:iCs/>
          <w:lang w:val="es-ES_tradnl" w:eastAsia="es-ES_tradnl"/>
        </w:rPr>
        <w:t>pruebas adicionales</w:t>
      </w:r>
      <w:r w:rsidRPr="00217328">
        <w:rPr>
          <w:rFonts w:ascii="Verdana" w:eastAsia="Times New Roman" w:hAnsi="Verdana" w:cs="Arial"/>
          <w:lang w:val="es-ES_tradnl" w:eastAsia="es-ES_tradnl"/>
        </w:rPr>
        <w:t xml:space="preserve"> con que cuente la entidad y que sirven para acreditar el incumplimiento. </w:t>
      </w:r>
      <w:proofErr w:type="spellStart"/>
      <w:r w:rsidRPr="00217328">
        <w:rPr>
          <w:rFonts w:ascii="Verdana" w:eastAsia="Times New Roman" w:hAnsi="Verdana" w:cs="Arial"/>
          <w:lang w:val="es-ES_tradnl" w:eastAsia="es-ES_tradnl"/>
        </w:rPr>
        <w:t>iv</w:t>
      </w:r>
      <w:proofErr w:type="spellEnd"/>
      <w:r w:rsidRPr="00217328">
        <w:rPr>
          <w:rFonts w:ascii="Verdana" w:eastAsia="Times New Roman" w:hAnsi="Verdana" w:cs="Arial"/>
          <w:lang w:val="es-ES_tradnl" w:eastAsia="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217328">
        <w:rPr>
          <w:rFonts w:ascii="Verdana" w:eastAsia="Times New Roman" w:hAnsi="Verdana" w:cs="Arial"/>
          <w:lang w:val="es-ES_tradnl" w:eastAsia="es-ES_tradnl"/>
        </w:rPr>
        <w:t>vii</w:t>
      </w:r>
      <w:proofErr w:type="spellEnd"/>
      <w:r w:rsidRPr="00217328">
        <w:rPr>
          <w:rFonts w:ascii="Verdana" w:eastAsia="Times New Roman" w:hAnsi="Verdana" w:cs="Arial"/>
          <w:lang w:val="es-ES_tradnl" w:eastAsia="es-ES_tradnl"/>
        </w:rPr>
        <w:t xml:space="preserve">) deben </w:t>
      </w:r>
      <w:r w:rsidRPr="00217328">
        <w:rPr>
          <w:rFonts w:ascii="Verdana" w:eastAsia="Times New Roman" w:hAnsi="Verdana" w:cs="Arial"/>
          <w:lang w:val="es-ES_tradnl" w:eastAsia="es-ES_tradnl"/>
        </w:rPr>
        <w:lastRenderedPageBreak/>
        <w:t>indicar el lugar, fecha y hora para la realización de la audiencia, sin perjuicio de que esta se pueda efectuar por medios electrónicos</w:t>
      </w:r>
      <w:r w:rsidRPr="00217328">
        <w:rPr>
          <w:rFonts w:ascii="Geomanist Light" w:eastAsia="Times New Roman" w:hAnsi="Geomanist Light" w:cs="Times New Roman"/>
          <w:vertAlign w:val="superscript"/>
          <w:lang w:val="es-ES" w:eastAsia="es-ES_tradnl"/>
        </w:rPr>
        <w:footnoteReference w:id="5"/>
      </w:r>
      <w:r w:rsidRPr="00217328">
        <w:rPr>
          <w:rFonts w:ascii="Verdana" w:eastAsia="Times New Roman" w:hAnsi="Verdana" w:cs="Arial"/>
          <w:lang w:val="es-ES_tradnl" w:eastAsia="es-ES_tradnl"/>
        </w:rPr>
        <w:t>.</w:t>
      </w:r>
    </w:p>
    <w:p w14:paraId="13A3A082" w14:textId="77777777" w:rsidR="007436D1" w:rsidRPr="00217328" w:rsidRDefault="007436D1" w:rsidP="007436D1">
      <w:pPr>
        <w:spacing w:after="120" w:line="276" w:lineRule="auto"/>
        <w:ind w:left="720"/>
        <w:contextualSpacing/>
        <w:jc w:val="both"/>
        <w:rPr>
          <w:rFonts w:ascii="Verdana" w:eastAsia="Times New Roman" w:hAnsi="Verdana" w:cs="Arial"/>
          <w:lang w:val="es-ES_tradnl" w:eastAsia="es-ES_tradnl"/>
        </w:rPr>
      </w:pPr>
      <w:r w:rsidRPr="00217328">
        <w:rPr>
          <w:rFonts w:ascii="Verdana" w:eastAsia="Times New Roman" w:hAnsi="Verdana" w:cs="Arial"/>
          <w:lang w:val="es-ES_tradnl" w:eastAsia="es-ES_tradnl"/>
        </w:rPr>
        <w:t xml:space="preserve"> </w:t>
      </w:r>
    </w:p>
    <w:p w14:paraId="0751554D" w14:textId="77777777" w:rsidR="007436D1" w:rsidRPr="00217328" w:rsidRDefault="007436D1" w:rsidP="007436D1">
      <w:pPr>
        <w:numPr>
          <w:ilvl w:val="0"/>
          <w:numId w:val="34"/>
        </w:numPr>
        <w:spacing w:before="240" w:line="276" w:lineRule="auto"/>
        <w:contextualSpacing/>
        <w:jc w:val="both"/>
        <w:rPr>
          <w:rFonts w:ascii="Verdana" w:eastAsia="Times New Roman" w:hAnsi="Verdana" w:cs="Times New Roman"/>
          <w:lang w:val="es-ES"/>
        </w:rPr>
      </w:pPr>
      <w:r w:rsidRPr="00217328">
        <w:rPr>
          <w:rFonts w:ascii="Verdana" w:eastAsia="Times New Roman" w:hAnsi="Verdana" w:cs="Arial"/>
          <w:lang w:val="es-ES" w:eastAsia="es-ES"/>
        </w:rPr>
        <w:t xml:space="preserve">Como se observa, sobre la cuantificación de perjuicios </w:t>
      </w:r>
      <w:r w:rsidRPr="00217328">
        <w:rPr>
          <w:rFonts w:ascii="Verdana" w:eastAsia="Times New Roman" w:hAnsi="Verdana" w:cs="Arial"/>
          <w:lang w:val="es-ES"/>
        </w:rPr>
        <w:t>ocasionados por el incumplimiento –inciso primero del artículo 86–, no se puede entender este como requisito obligatorio del contenido de la citación a la audiencia de que trata el artículo en cita, toda vez que, en el inciso respectivo de la Ley, no está contenido textualmente, no obstante, de la lectura de la norma se entiende que estos podrán ser agregados en la citación por parte de la Entidad Estatal, si así lo considera pertinente. Sin embargo, se aclara que para efectos de imponer las multas y sanciones y hacer efectiva la cláusula penal, es necesario dar a conocer dicha cuantificación al contratista en garantía de su derecho de defensa, contradicción, y al debido proceso que consagra el artículo 29 de la Constitución Política de 1991, pues con base en estos se determinará y verificará la proporcionalidad de las sanciones a aplicar.</w:t>
      </w:r>
    </w:p>
    <w:p w14:paraId="564215AE" w14:textId="77777777" w:rsidR="007436D1" w:rsidRPr="00217328" w:rsidRDefault="007436D1" w:rsidP="007436D1">
      <w:pPr>
        <w:spacing w:before="240" w:line="276" w:lineRule="auto"/>
        <w:ind w:left="720"/>
        <w:contextualSpacing/>
        <w:jc w:val="both"/>
        <w:rPr>
          <w:rFonts w:ascii="Verdana" w:eastAsia="Times New Roman" w:hAnsi="Verdana" w:cs="Times New Roman"/>
          <w:lang w:val="es-ES"/>
        </w:rPr>
      </w:pPr>
    </w:p>
    <w:p w14:paraId="4046A295" w14:textId="5B665D21" w:rsidR="007436D1" w:rsidRDefault="007436D1" w:rsidP="007436D1">
      <w:pPr>
        <w:numPr>
          <w:ilvl w:val="0"/>
          <w:numId w:val="34"/>
        </w:numPr>
        <w:spacing w:line="276" w:lineRule="auto"/>
        <w:contextualSpacing/>
        <w:jc w:val="both"/>
        <w:rPr>
          <w:rFonts w:ascii="Verdana" w:eastAsia="Times New Roman" w:hAnsi="Verdana" w:cs="Arial"/>
          <w:lang w:val="es-ES" w:eastAsia="es-ES_tradnl"/>
        </w:rPr>
      </w:pPr>
      <w:r w:rsidRPr="00217328">
        <w:rPr>
          <w:rFonts w:ascii="Verdana" w:eastAsia="Times New Roman" w:hAnsi="Verdana" w:cs="Arial"/>
          <w:lang w:val="es-ES" w:eastAsia="es-ES_tradnl"/>
        </w:rPr>
        <w:t>Al respecto, es importante indicar que el artículo 17 de la Ley 1150 de 2007 dispuso el debido proceso como principio rector de la potestad sancionatoria de la administración en contratación estatal, y el artículo 86 de la Ley 1474 de 2011</w:t>
      </w:r>
      <w:r w:rsidRPr="00217328">
        <w:rPr>
          <w:rFonts w:ascii="Verdana" w:eastAsia="Times New Roman" w:hAnsi="Verdana" w:cs="Arial"/>
          <w:vertAlign w:val="superscript"/>
          <w:lang w:val="es-ES" w:eastAsia="es-ES_tradnl"/>
        </w:rPr>
        <w:footnoteReference w:id="6"/>
      </w:r>
      <w:r w:rsidRPr="00217328">
        <w:rPr>
          <w:rFonts w:ascii="Verdana" w:eastAsia="Times New Roman" w:hAnsi="Verdana" w:cs="Arial"/>
          <w:lang w:val="es-ES" w:eastAsia="es-ES_tradnl"/>
        </w:rPr>
        <w:t xml:space="preserve">, como ya lo vimos, reglamentó su procedimiento. De la lectura de dichos artículos se observa el querer, por parte del legislador, de que el contratista cuente con un procedimiento sancionatorio contractual que tenga plena garantía al debido proceso. </w:t>
      </w:r>
    </w:p>
    <w:p w14:paraId="0F6103C1" w14:textId="77777777" w:rsidR="009B332B" w:rsidRDefault="009B332B" w:rsidP="0032022C">
      <w:pPr>
        <w:pStyle w:val="Prrafodelista"/>
        <w:rPr>
          <w:rFonts w:ascii="Verdana" w:eastAsia="Times New Roman" w:hAnsi="Verdana" w:cs="Arial"/>
          <w:lang w:eastAsia="es-ES_tradnl"/>
        </w:rPr>
      </w:pPr>
    </w:p>
    <w:p w14:paraId="70D7F6F5" w14:textId="77777777" w:rsidR="007436D1" w:rsidRDefault="007436D1" w:rsidP="007436D1">
      <w:pPr>
        <w:numPr>
          <w:ilvl w:val="0"/>
          <w:numId w:val="34"/>
        </w:numPr>
        <w:spacing w:line="276" w:lineRule="auto"/>
        <w:contextualSpacing/>
        <w:jc w:val="both"/>
        <w:rPr>
          <w:rFonts w:ascii="Verdana" w:eastAsia="Times New Roman" w:hAnsi="Verdana" w:cs="Arial"/>
          <w:lang w:val="es-ES" w:eastAsia="es-ES_tradnl"/>
        </w:rPr>
      </w:pPr>
      <w:r w:rsidRPr="00217328">
        <w:rPr>
          <w:rFonts w:ascii="Verdana" w:eastAsia="Times New Roman" w:hAnsi="Verdana" w:cs="Arial"/>
          <w:lang w:val="es-ES" w:eastAsia="es-ES_tradnl"/>
        </w:rPr>
        <w:lastRenderedPageBreak/>
        <w:t>La Corte Constitucional en sentencia SU 339 del 4 de mayo de 2011</w:t>
      </w:r>
      <w:r w:rsidRPr="00217328">
        <w:rPr>
          <w:rFonts w:ascii="Verdana" w:eastAsia="Times New Roman" w:hAnsi="Verdana" w:cs="Arial"/>
          <w:vertAlign w:val="superscript"/>
          <w:lang w:val="es-ES" w:eastAsia="es-ES_tradnl"/>
        </w:rPr>
        <w:footnoteReference w:id="7"/>
      </w:r>
      <w:r w:rsidRPr="00217328">
        <w:rPr>
          <w:rFonts w:ascii="Verdana" w:eastAsia="Times New Roman" w:hAnsi="Verdana" w:cs="Arial"/>
          <w:lang w:val="es-ES" w:eastAsia="es-ES_tradnl"/>
        </w:rPr>
        <w:t xml:space="preserve">, indicó que el derecho al debido proceso, en ciertos casos tiene un </w:t>
      </w:r>
      <w:r w:rsidRPr="00217328">
        <w:rPr>
          <w:rFonts w:ascii="Verdana" w:eastAsia="Times New Roman" w:hAnsi="Verdana" w:cs="Arial"/>
          <w:iCs/>
          <w:lang w:val="es-ES_tradnl" w:eastAsia="es-ES_tradnl"/>
        </w:rPr>
        <w:t xml:space="preserve">“carácter instrumental” pues el estricto cumplimiento de “las garantías constitutivas del debido proceso administrativo y de las regulaciones legales que determinan la actuación del poder público, </w:t>
      </w:r>
      <w:r w:rsidRPr="00217328">
        <w:rPr>
          <w:rFonts w:ascii="Verdana" w:eastAsia="Times New Roman" w:hAnsi="Verdana" w:cs="Arial"/>
          <w:i/>
          <w:lang w:val="es-ES_tradnl" w:eastAsia="es-ES_tradnl"/>
        </w:rPr>
        <w:t>se deriva la salvaguarda de otros derechos fundamentales</w:t>
      </w:r>
      <w:r w:rsidRPr="00217328">
        <w:rPr>
          <w:rFonts w:ascii="Verdana" w:eastAsia="Times New Roman" w:hAnsi="Verdana" w:cs="Arial"/>
          <w:iCs/>
          <w:lang w:val="es-ES_tradnl" w:eastAsia="es-ES_tradnl"/>
        </w:rPr>
        <w:t xml:space="preserve">”. </w:t>
      </w:r>
      <w:r w:rsidRPr="00217328">
        <w:rPr>
          <w:rFonts w:ascii="Verdana" w:eastAsia="Times New Roman" w:hAnsi="Verdana" w:cs="Arial"/>
          <w:lang w:val="es-ES" w:eastAsia="es-ES_tradnl"/>
        </w:rPr>
        <w:t xml:space="preserve">En virtud a ello, el contratista contra quien se adelanta esta clase de procedimiento administrativo sancionatorio cuenta, entre otros, con los siguientes derechos: i) a un procedimiento público; </w:t>
      </w:r>
      <w:proofErr w:type="spellStart"/>
      <w:r w:rsidRPr="00217328">
        <w:rPr>
          <w:rFonts w:ascii="Verdana" w:eastAsia="Times New Roman" w:hAnsi="Verdana" w:cs="Arial"/>
          <w:lang w:val="es-ES" w:eastAsia="es-ES_tradnl"/>
        </w:rPr>
        <w:t>ii</w:t>
      </w:r>
      <w:proofErr w:type="spellEnd"/>
      <w:r w:rsidRPr="00217328">
        <w:rPr>
          <w:rFonts w:ascii="Verdana" w:eastAsia="Times New Roman" w:hAnsi="Verdana" w:cs="Arial"/>
          <w:lang w:val="es-ES" w:eastAsia="es-ES_tradnl"/>
        </w:rPr>
        <w:t xml:space="preserve">) el ser oído antes de la decisión; </w:t>
      </w:r>
      <w:proofErr w:type="spellStart"/>
      <w:r w:rsidRPr="00217328">
        <w:rPr>
          <w:rFonts w:ascii="Verdana" w:eastAsia="Times New Roman" w:hAnsi="Verdana" w:cs="Arial"/>
          <w:lang w:val="es-ES" w:eastAsia="es-ES_tradnl"/>
        </w:rPr>
        <w:t>iii</w:t>
      </w:r>
      <w:proofErr w:type="spellEnd"/>
      <w:r w:rsidRPr="00217328">
        <w:rPr>
          <w:rFonts w:ascii="Verdana" w:eastAsia="Times New Roman" w:hAnsi="Verdana" w:cs="Arial"/>
          <w:lang w:val="es-ES" w:eastAsia="es-ES_tradnl"/>
        </w:rPr>
        <w:t xml:space="preserve">) a la defensa y contradicción; </w:t>
      </w:r>
      <w:proofErr w:type="spellStart"/>
      <w:r w:rsidRPr="00217328">
        <w:rPr>
          <w:rFonts w:ascii="Verdana" w:eastAsia="Times New Roman" w:hAnsi="Verdana" w:cs="Arial"/>
          <w:lang w:val="es-ES" w:eastAsia="es-ES_tradnl"/>
        </w:rPr>
        <w:t>iv</w:t>
      </w:r>
      <w:proofErr w:type="spellEnd"/>
      <w:r w:rsidRPr="00217328">
        <w:rPr>
          <w:rFonts w:ascii="Verdana" w:eastAsia="Times New Roman" w:hAnsi="Verdana" w:cs="Arial"/>
          <w:lang w:val="es-ES" w:eastAsia="es-ES_tradnl"/>
        </w:rPr>
        <w:t xml:space="preserve">) a aportar pruebas y a contradecir las que se alleguen en su contra; </w:t>
      </w:r>
      <w:proofErr w:type="spellStart"/>
      <w:r w:rsidRPr="00217328">
        <w:rPr>
          <w:rFonts w:ascii="Verdana" w:eastAsia="Times New Roman" w:hAnsi="Verdana" w:cs="Arial"/>
          <w:lang w:val="es-ES" w:eastAsia="es-ES_tradnl"/>
        </w:rPr>
        <w:t>iv</w:t>
      </w:r>
      <w:proofErr w:type="spellEnd"/>
      <w:r w:rsidRPr="00217328">
        <w:rPr>
          <w:rFonts w:ascii="Verdana" w:eastAsia="Times New Roman" w:hAnsi="Verdana" w:cs="Arial"/>
          <w:lang w:val="es-ES" w:eastAsia="es-ES_tradnl"/>
        </w:rPr>
        <w:t xml:space="preserve">) que el procedimiento se adelante ante la autoridad competente para conocer del asunto; v) a que se le otorgue un tratamiento igual que el dado a otros particulares; vi)  a que el procedimiento se adelante en un término razonable; y, </w:t>
      </w:r>
      <w:proofErr w:type="spellStart"/>
      <w:r w:rsidRPr="00217328">
        <w:rPr>
          <w:rFonts w:ascii="Verdana" w:eastAsia="Times New Roman" w:hAnsi="Verdana" w:cs="Arial"/>
          <w:lang w:val="es-ES" w:eastAsia="es-ES_tradnl"/>
        </w:rPr>
        <w:t>vii</w:t>
      </w:r>
      <w:proofErr w:type="spellEnd"/>
      <w:r w:rsidRPr="00217328">
        <w:rPr>
          <w:rFonts w:ascii="Verdana" w:eastAsia="Times New Roman" w:hAnsi="Verdana" w:cs="Arial"/>
          <w:lang w:val="es-ES" w:eastAsia="es-ES_tradnl"/>
        </w:rPr>
        <w:t>) a que las decisiones sean motivadas, debidamente notificadas y a impugnar las mismas.</w:t>
      </w:r>
    </w:p>
    <w:p w14:paraId="282A0420" w14:textId="77777777" w:rsidR="007436D1" w:rsidRPr="00217328" w:rsidRDefault="007436D1" w:rsidP="007436D1">
      <w:pPr>
        <w:spacing w:line="276" w:lineRule="auto"/>
        <w:ind w:left="720"/>
        <w:contextualSpacing/>
        <w:jc w:val="both"/>
        <w:rPr>
          <w:rFonts w:ascii="Verdana" w:eastAsia="Times New Roman" w:hAnsi="Verdana" w:cs="Arial"/>
          <w:lang w:val="es-ES" w:eastAsia="es-ES_tradnl"/>
        </w:rPr>
      </w:pPr>
    </w:p>
    <w:p w14:paraId="6EED017C" w14:textId="3399F0F5" w:rsidR="007436D1" w:rsidRDefault="007436D1" w:rsidP="007436D1">
      <w:pPr>
        <w:numPr>
          <w:ilvl w:val="0"/>
          <w:numId w:val="34"/>
        </w:numPr>
        <w:spacing w:after="120" w:line="276" w:lineRule="auto"/>
        <w:contextualSpacing/>
        <w:jc w:val="both"/>
        <w:rPr>
          <w:rFonts w:ascii="Verdana" w:eastAsia="Times New Roman" w:hAnsi="Verdana" w:cs="Arial"/>
          <w:lang w:val="es-ES_tradnl" w:eastAsia="es-ES_tradnl"/>
        </w:rPr>
      </w:pPr>
      <w:r w:rsidRPr="00217328">
        <w:rPr>
          <w:rFonts w:ascii="Verdana" w:eastAsia="Times New Roman" w:hAnsi="Verdana" w:cs="Arial"/>
          <w:lang w:val="es-ES_tradnl" w:eastAsia="es-ES_tradnl"/>
        </w:rPr>
        <w:t>En fin, el principio al debido proceso busca en materia de contratación estatal “en su interrelación obtener una actuación administrativa coherente a las necedades públicas sin lesionar los intereses individuales en juego”. Al respecto la Corte Constitucional en sentencia T-722 de 2010</w:t>
      </w:r>
      <w:r w:rsidR="00F025D0" w:rsidRPr="00217328">
        <w:rPr>
          <w:rFonts w:ascii="Verdana" w:eastAsia="Times New Roman" w:hAnsi="Verdana" w:cs="Arial"/>
          <w:vertAlign w:val="superscript"/>
          <w:lang w:val="es-ES_tradnl" w:eastAsia="es-ES_tradnl"/>
        </w:rPr>
        <w:footnoteReference w:id="8"/>
      </w:r>
      <w:r w:rsidRPr="00217328">
        <w:rPr>
          <w:rFonts w:ascii="Verdana" w:eastAsia="Times New Roman" w:hAnsi="Verdana" w:cs="Arial"/>
          <w:lang w:val="es-ES_tradnl" w:eastAsia="es-ES_tradnl"/>
        </w:rPr>
        <w:t>, recordó que el derecho al debido proceso administrativo como la garantía a todas las personas de acceder a un proceso justo y adecuado, permite que “la afectación o la privación de ciertos bienes jurídicos por parte del Estado, no pueda hacerse con detrimento de sus derechos fundamentales”.</w:t>
      </w:r>
    </w:p>
    <w:p w14:paraId="155EE54A" w14:textId="77777777" w:rsidR="007436D1" w:rsidRPr="00217328" w:rsidRDefault="007436D1" w:rsidP="007436D1">
      <w:pPr>
        <w:spacing w:after="120" w:line="276" w:lineRule="auto"/>
        <w:ind w:left="720"/>
        <w:contextualSpacing/>
        <w:jc w:val="both"/>
        <w:rPr>
          <w:rFonts w:ascii="Verdana" w:eastAsia="Times New Roman" w:hAnsi="Verdana" w:cs="Arial"/>
          <w:lang w:val="es-ES_tradnl" w:eastAsia="es-ES_tradnl"/>
        </w:rPr>
      </w:pPr>
    </w:p>
    <w:p w14:paraId="748F0971" w14:textId="77777777" w:rsidR="007436D1" w:rsidRPr="00217328" w:rsidRDefault="007436D1" w:rsidP="007436D1">
      <w:pPr>
        <w:numPr>
          <w:ilvl w:val="0"/>
          <w:numId w:val="34"/>
        </w:numPr>
        <w:spacing w:after="120" w:line="276" w:lineRule="auto"/>
        <w:contextualSpacing/>
        <w:jc w:val="both"/>
        <w:rPr>
          <w:rFonts w:ascii="Verdana" w:eastAsia="Times New Roman" w:hAnsi="Verdana" w:cs="Arial"/>
          <w:iCs/>
          <w:lang w:val="es-ES_tradnl" w:eastAsia="es-ES_tradnl"/>
        </w:rPr>
      </w:pPr>
      <w:r w:rsidRPr="00217328">
        <w:rPr>
          <w:rFonts w:ascii="Verdana" w:eastAsia="Times New Roman" w:hAnsi="Verdana" w:cs="Arial"/>
          <w:lang w:val="es-ES_tradnl" w:eastAsia="es-ES_tradnl"/>
        </w:rPr>
        <w:t xml:space="preserve">Conforme lo expuesto, es importante que la entidad acompañe la citación de la audiencia, con las pruebas que dan a lugar al reproche sancionatorio, adicionales a los informes de supervisión o de interventoría que sirven para acreditar el incumplimiento de obligaciones contractuales. </w:t>
      </w:r>
      <w:r w:rsidRPr="00217328">
        <w:rPr>
          <w:rFonts w:ascii="Verdana" w:eastAsia="Times New Roman" w:hAnsi="Verdana" w:cs="Arial"/>
          <w:lang w:val="es-ES" w:eastAsia="es-ES_tradnl"/>
        </w:rPr>
        <w:t xml:space="preserve">Por otro lado, </w:t>
      </w:r>
      <w:r w:rsidRPr="00217328">
        <w:rPr>
          <w:rFonts w:ascii="Verdana" w:eastAsia="Times New Roman" w:hAnsi="Verdana" w:cs="Arial"/>
          <w:lang w:val="es-ES_tradnl" w:eastAsia="es-ES_tradnl"/>
        </w:rPr>
        <w:t xml:space="preserve">debe señalarse que el literal d) del artículo 86 dispone que, en </w:t>
      </w:r>
      <w:r w:rsidRPr="00217328">
        <w:rPr>
          <w:rFonts w:ascii="Verdana" w:eastAsia="Times New Roman" w:hAnsi="Verdana" w:cs="Arial"/>
          <w:iCs/>
          <w:lang w:val="es-ES_tradnl" w:eastAsia="es-ES_tradnl"/>
        </w:rPr>
        <w:t xml:space="preserve">cualquier momento del desarrollo de la audiencia, el jefe de la entidad o su delegado podrá suspender la audiencia cuando de oficio o a petición de parte, ello resulte en su criterio necesario para allegar o practicar pruebas </w:t>
      </w:r>
      <w:r w:rsidRPr="00217328">
        <w:rPr>
          <w:rFonts w:ascii="Verdana" w:eastAsia="Times New Roman" w:hAnsi="Verdana" w:cs="Arial"/>
          <w:iCs/>
          <w:lang w:val="es-ES_tradnl" w:eastAsia="es-ES_tradnl"/>
        </w:rPr>
        <w:lastRenderedPageBreak/>
        <w:t xml:space="preserve">que estime conducentes y pertinentes, o cuando por cualquier otra razón debidamente sustentada, ello resulte necesario para el correcto desarrollo de la actuación administrativa. En todo caso, al adoptar la decisión, se señalará fecha y hora para reanudar la audiencia. </w:t>
      </w:r>
    </w:p>
    <w:p w14:paraId="2E6A31C8" w14:textId="77777777" w:rsidR="007436D1" w:rsidRPr="00115E3D" w:rsidRDefault="007436D1" w:rsidP="007436D1">
      <w:pPr>
        <w:widowControl w:val="0"/>
        <w:autoSpaceDE w:val="0"/>
        <w:autoSpaceDN w:val="0"/>
        <w:spacing w:after="0" w:line="276" w:lineRule="auto"/>
        <w:jc w:val="both"/>
        <w:rPr>
          <w:rFonts w:ascii="Verdana" w:hAnsi="Verdana" w:cs="Arial"/>
          <w:color w:val="000000" w:themeColor="text1"/>
        </w:rPr>
      </w:pPr>
    </w:p>
    <w:p w14:paraId="3B0497B4" w14:textId="77777777" w:rsidR="007436D1" w:rsidRPr="00115E3D" w:rsidRDefault="007436D1" w:rsidP="007436D1">
      <w:pPr>
        <w:pStyle w:val="Prrafodelista"/>
        <w:numPr>
          <w:ilvl w:val="0"/>
          <w:numId w:val="30"/>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3A3CAA42" w14:textId="77777777" w:rsidR="007436D1" w:rsidRPr="00115E3D" w:rsidRDefault="007436D1" w:rsidP="007436D1">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436D1" w:rsidRPr="00115E3D" w14:paraId="6D7D8C3E" w14:textId="77777777" w:rsidTr="006E6A42">
        <w:trPr>
          <w:trHeight w:val="870"/>
        </w:trPr>
        <w:tc>
          <w:tcPr>
            <w:tcW w:w="8647" w:type="dxa"/>
          </w:tcPr>
          <w:p w14:paraId="445C85F6"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rPr>
            </w:pPr>
            <w:r w:rsidRPr="00217328">
              <w:rPr>
                <w:rFonts w:ascii="Verdana" w:hAnsi="Verdana" w:cs="Arial"/>
                <w:color w:val="000000" w:themeColor="text1"/>
              </w:rPr>
              <w:t xml:space="preserve">Constitución Política de Colombia de 1991, artículo 29. </w:t>
            </w:r>
          </w:p>
          <w:p w14:paraId="2C8BFBFF"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rPr>
            </w:pPr>
            <w:r w:rsidRPr="00217328">
              <w:rPr>
                <w:rFonts w:ascii="Verdana" w:hAnsi="Verdana" w:cs="Arial"/>
                <w:color w:val="000000" w:themeColor="text1"/>
              </w:rPr>
              <w:t>Ley 1150 de 2007, artículo 17.</w:t>
            </w:r>
          </w:p>
          <w:p w14:paraId="114F2002"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rPr>
            </w:pPr>
            <w:r w:rsidRPr="00217328">
              <w:rPr>
                <w:rFonts w:ascii="Verdana" w:hAnsi="Verdana" w:cs="Arial"/>
                <w:color w:val="000000" w:themeColor="text1"/>
              </w:rPr>
              <w:t>Ley 1474 de 2011, artículo 86.</w:t>
            </w:r>
          </w:p>
          <w:p w14:paraId="238BB350"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rPr>
            </w:pPr>
            <w:r w:rsidRPr="00217328">
              <w:rPr>
                <w:rFonts w:ascii="Verdana" w:hAnsi="Verdana" w:cs="Arial"/>
                <w:color w:val="000000" w:themeColor="text1"/>
              </w:rPr>
              <w:t>Decreto Legislativo 537 de 2020.</w:t>
            </w:r>
          </w:p>
          <w:p w14:paraId="416ABB96"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lang w:val="es-MX"/>
              </w:rPr>
            </w:pPr>
            <w:r w:rsidRPr="0032022C">
              <w:rPr>
                <w:rFonts w:ascii="Verdana" w:hAnsi="Verdana" w:cs="Arial"/>
                <w:color w:val="000000" w:themeColor="text1"/>
                <w:lang w:val="pt-BR"/>
              </w:rPr>
              <w:t xml:space="preserve">Sentencia T-722 de 2010. Magistrado Ponente: Jorge Ignacio Pretelt. </w:t>
            </w:r>
            <w:r w:rsidRPr="00217328">
              <w:rPr>
                <w:rFonts w:ascii="Verdana" w:hAnsi="Verdana" w:cs="Arial"/>
                <w:color w:val="000000" w:themeColor="text1"/>
              </w:rPr>
              <w:t>Corte Constitucional.</w:t>
            </w:r>
          </w:p>
          <w:p w14:paraId="36AB33D2" w14:textId="77777777" w:rsidR="007436D1" w:rsidRPr="00217328" w:rsidRDefault="007436D1" w:rsidP="007436D1">
            <w:pPr>
              <w:pStyle w:val="Prrafodelista"/>
              <w:widowControl w:val="0"/>
              <w:numPr>
                <w:ilvl w:val="0"/>
                <w:numId w:val="31"/>
              </w:numPr>
              <w:autoSpaceDE w:val="0"/>
              <w:autoSpaceDN w:val="0"/>
              <w:spacing w:after="120" w:line="276" w:lineRule="auto"/>
              <w:contextualSpacing w:val="0"/>
              <w:rPr>
                <w:rFonts w:ascii="Verdana" w:hAnsi="Verdana" w:cs="Arial"/>
                <w:color w:val="000000" w:themeColor="text1"/>
                <w:lang w:val="es-MX"/>
              </w:rPr>
            </w:pPr>
            <w:r w:rsidRPr="00217328">
              <w:rPr>
                <w:rFonts w:ascii="Verdana" w:hAnsi="Verdana" w:cs="Arial"/>
                <w:color w:val="000000" w:themeColor="text1"/>
              </w:rPr>
              <w:t xml:space="preserve">Sentencia de Unificación Jurisprudencial SU 339 del 4 de mayo de 2011, Magistrado ponente: Humberto Antonio Sierra Porto. </w:t>
            </w:r>
            <w:proofErr w:type="spellStart"/>
            <w:r w:rsidRPr="00217328">
              <w:rPr>
                <w:rFonts w:ascii="Verdana" w:hAnsi="Verdana" w:cs="Arial"/>
                <w:color w:val="000000" w:themeColor="text1"/>
              </w:rPr>
              <w:t>Exp</w:t>
            </w:r>
            <w:proofErr w:type="spellEnd"/>
            <w:r w:rsidRPr="00217328">
              <w:rPr>
                <w:rFonts w:ascii="Verdana" w:hAnsi="Verdana" w:cs="Arial"/>
                <w:color w:val="000000" w:themeColor="text1"/>
              </w:rPr>
              <w:t>. T-2.735.401.</w:t>
            </w:r>
          </w:p>
          <w:p w14:paraId="60EFE052" w14:textId="77777777" w:rsidR="007436D1" w:rsidRPr="00115E3D" w:rsidRDefault="007436D1" w:rsidP="007436D1">
            <w:pPr>
              <w:pStyle w:val="Prrafodelista"/>
              <w:widowControl w:val="0"/>
              <w:numPr>
                <w:ilvl w:val="0"/>
                <w:numId w:val="31"/>
              </w:numPr>
              <w:autoSpaceDE w:val="0"/>
              <w:autoSpaceDN w:val="0"/>
              <w:spacing w:after="120" w:line="276" w:lineRule="auto"/>
              <w:contextualSpacing w:val="0"/>
              <w:jc w:val="both"/>
              <w:rPr>
                <w:rFonts w:ascii="Verdana" w:hAnsi="Verdana" w:cs="Arial"/>
                <w:color w:val="000000" w:themeColor="text1"/>
              </w:rPr>
            </w:pPr>
            <w:r w:rsidRPr="00217328">
              <w:rPr>
                <w:rFonts w:ascii="Verdana" w:hAnsi="Verdana" w:cs="Arial"/>
                <w:color w:val="000000" w:themeColor="text1"/>
              </w:rPr>
              <w:t xml:space="preserve"> Sentencia C-317 de 2012.</w:t>
            </w:r>
          </w:p>
        </w:tc>
      </w:tr>
    </w:tbl>
    <w:p w14:paraId="047A1A4B" w14:textId="77777777" w:rsidR="007436D1" w:rsidRPr="00115E3D" w:rsidRDefault="007436D1" w:rsidP="007436D1">
      <w:pPr>
        <w:widowControl w:val="0"/>
        <w:autoSpaceDE w:val="0"/>
        <w:autoSpaceDN w:val="0"/>
        <w:spacing w:after="0" w:line="276" w:lineRule="auto"/>
        <w:jc w:val="both"/>
        <w:rPr>
          <w:rFonts w:ascii="Verdana" w:hAnsi="Verdana" w:cs="Arial"/>
          <w:color w:val="000000" w:themeColor="text1"/>
        </w:rPr>
      </w:pPr>
    </w:p>
    <w:p w14:paraId="5B4F54C9" w14:textId="77777777" w:rsidR="007436D1" w:rsidRPr="00115E3D" w:rsidRDefault="007436D1" w:rsidP="007436D1">
      <w:pPr>
        <w:pStyle w:val="Prrafodelista"/>
        <w:numPr>
          <w:ilvl w:val="0"/>
          <w:numId w:val="30"/>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0D747CF0" w14:textId="77777777" w:rsidR="007436D1" w:rsidRPr="00115E3D" w:rsidRDefault="007436D1" w:rsidP="007436D1">
      <w:pPr>
        <w:widowControl w:val="0"/>
        <w:autoSpaceDE w:val="0"/>
        <w:autoSpaceDN w:val="0"/>
        <w:spacing w:after="0" w:line="276" w:lineRule="auto"/>
        <w:jc w:val="both"/>
        <w:rPr>
          <w:rFonts w:ascii="Verdana" w:hAnsi="Verdana" w:cs="Arial"/>
          <w:color w:val="000000" w:themeColor="text1"/>
        </w:rPr>
      </w:pPr>
    </w:p>
    <w:p w14:paraId="48E9B577" w14:textId="0D5D6107" w:rsidR="007436D1" w:rsidRPr="00115E3D" w:rsidRDefault="007436D1" w:rsidP="007436D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217328">
        <w:rPr>
          <w:rFonts w:ascii="Verdana" w:hAnsi="Verdana" w:cs="Arial"/>
          <w:color w:val="000000" w:themeColor="text1"/>
          <w:shd w:val="clear" w:color="auto" w:fill="FFFFFF"/>
          <w:lang w:val="es-ES"/>
        </w:rPr>
        <w:t>Sobre el tema del procedimiento sancionatorio esta Subdirección</w:t>
      </w:r>
      <w:r w:rsidR="00333D38">
        <w:rPr>
          <w:rFonts w:ascii="Verdana" w:hAnsi="Verdana" w:cs="Arial"/>
          <w:color w:val="000000" w:themeColor="text1"/>
          <w:shd w:val="clear" w:color="auto" w:fill="FFFFFF"/>
          <w:lang w:val="es-ES"/>
        </w:rPr>
        <w:t xml:space="preserve"> se</w:t>
      </w:r>
      <w:r w:rsidRPr="00217328">
        <w:rPr>
          <w:rFonts w:ascii="Verdana" w:hAnsi="Verdana" w:cs="Arial"/>
          <w:color w:val="000000" w:themeColor="text1"/>
          <w:shd w:val="clear" w:color="auto" w:fill="FFFFFF"/>
          <w:lang w:val="es-ES"/>
        </w:rPr>
        <w:t xml:space="preserve"> ha </w:t>
      </w:r>
      <w:r w:rsidR="00333D38">
        <w:rPr>
          <w:rFonts w:ascii="Verdana" w:hAnsi="Verdana" w:cs="Arial"/>
          <w:color w:val="000000" w:themeColor="text1"/>
          <w:shd w:val="clear" w:color="auto" w:fill="FFFFFF"/>
          <w:lang w:val="es-ES"/>
        </w:rPr>
        <w:t xml:space="preserve">pronunciado </w:t>
      </w:r>
      <w:r w:rsidRPr="00217328">
        <w:rPr>
          <w:rFonts w:ascii="Verdana" w:hAnsi="Verdana" w:cs="Arial"/>
          <w:color w:val="000000" w:themeColor="text1"/>
          <w:shd w:val="clear" w:color="auto" w:fill="FFFFFF"/>
          <w:lang w:val="es-ES"/>
        </w:rPr>
        <w:t>en distintos conceptos, como el C-219 del 29 de abril de 2020, el C-280 del 6 de julio de 2020 y el C–434 del 29 de julio de 2020, C-047 del 25 de abril de 2024</w:t>
      </w:r>
      <w:r>
        <w:rPr>
          <w:rFonts w:ascii="Verdana" w:hAnsi="Verdana" w:cs="Arial"/>
          <w:color w:val="000000" w:themeColor="text1"/>
          <w:shd w:val="clear" w:color="auto" w:fill="FFFFFF"/>
          <w:lang w:val="es-ES"/>
        </w:rPr>
        <w:t xml:space="preserve"> y C-438 del 17 de septiembre de 2024</w:t>
      </w:r>
      <w:r w:rsidRPr="00217328">
        <w:rPr>
          <w:rFonts w:ascii="Verdana" w:hAnsi="Verdana" w:cs="Arial"/>
          <w:color w:val="000000" w:themeColor="text1"/>
          <w:shd w:val="clear" w:color="auto" w:fill="FFFFFF"/>
          <w:lang w:val="es-ES"/>
        </w:rPr>
        <w:t>.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https://relatoria.colombiacompra.gov.co/</w:t>
      </w:r>
    </w:p>
    <w:p w14:paraId="48E36B80" w14:textId="77777777" w:rsidR="007436D1" w:rsidRPr="00115E3D" w:rsidRDefault="007436D1" w:rsidP="007436D1">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45B20616" w14:textId="77777777" w:rsidR="004B6C60" w:rsidRPr="004B6C60" w:rsidRDefault="004B6C60" w:rsidP="004B6C60">
      <w:pPr>
        <w:widowControl w:val="0"/>
        <w:autoSpaceDE w:val="0"/>
        <w:autoSpaceDN w:val="0"/>
        <w:spacing w:after="0" w:line="276" w:lineRule="auto"/>
        <w:jc w:val="both"/>
        <w:rPr>
          <w:rFonts w:ascii="Verdana" w:hAnsi="Verdana" w:cs="Arial"/>
          <w:color w:val="000000" w:themeColor="text1"/>
        </w:rPr>
      </w:pPr>
      <w:r w:rsidRPr="004B6C60">
        <w:rPr>
          <w:rFonts w:ascii="Verdana" w:hAnsi="Verdana" w:cs="Arial"/>
          <w:color w:val="000000" w:themeColor="text1"/>
        </w:rPr>
        <w:t xml:space="preserve">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w:t>
      </w:r>
      <w:r w:rsidRPr="004B6C60">
        <w:rPr>
          <w:rFonts w:ascii="Verdana" w:hAnsi="Verdana" w:cs="Arial"/>
          <w:color w:val="000000" w:themeColor="text1"/>
        </w:rPr>
        <w:lastRenderedPageBreak/>
        <w:t>enlace: </w:t>
      </w:r>
      <w:hyperlink r:id="rId12" w:tgtFrame="_blank" w:tooltip="Dirección URL original: https://www.colombiacompra.gov.co/sites/cce_public/files/cce_documents/manual_para_el_manejo_de_acuerdos_comerciales_vf.pdf. Haga clic o pulse si confía en este vínculo." w:history="1">
        <w:r w:rsidRPr="004B6C60">
          <w:rPr>
            <w:rStyle w:val="Hipervnculo"/>
            <w:rFonts w:ascii="Verdana" w:hAnsi="Verdana" w:cs="Arial"/>
          </w:rPr>
          <w:t>manual_para_el_manejo_de_acuerdos_comerciales_vf.pdf</w:t>
        </w:r>
      </w:hyperlink>
    </w:p>
    <w:p w14:paraId="1F8554D0" w14:textId="77777777" w:rsidR="004B6C60" w:rsidRDefault="004B6C60" w:rsidP="004B6C60">
      <w:pPr>
        <w:widowControl w:val="0"/>
        <w:autoSpaceDE w:val="0"/>
        <w:autoSpaceDN w:val="0"/>
        <w:spacing w:after="0" w:line="276" w:lineRule="auto"/>
        <w:jc w:val="both"/>
        <w:rPr>
          <w:rFonts w:ascii="Verdana" w:hAnsi="Verdana" w:cs="Arial"/>
          <w:color w:val="000000" w:themeColor="text1"/>
        </w:rPr>
      </w:pPr>
    </w:p>
    <w:p w14:paraId="59A04837" w14:textId="57241D4F" w:rsidR="004B6C60" w:rsidRPr="004B6C60" w:rsidRDefault="004B6C60" w:rsidP="004B6C60">
      <w:pPr>
        <w:widowControl w:val="0"/>
        <w:autoSpaceDE w:val="0"/>
        <w:autoSpaceDN w:val="0"/>
        <w:spacing w:after="0" w:line="276" w:lineRule="auto"/>
        <w:jc w:val="both"/>
        <w:rPr>
          <w:rFonts w:ascii="Verdana" w:hAnsi="Verdana" w:cs="Arial"/>
          <w:color w:val="000000" w:themeColor="text1"/>
        </w:rPr>
      </w:pPr>
      <w:r w:rsidRPr="004B6C60">
        <w:rPr>
          <w:rFonts w:ascii="Verdana" w:hAnsi="Verdana" w:cs="Arial"/>
          <w:color w:val="000000" w:themeColor="text1"/>
        </w:rPr>
        <w:t>De otra parte, te contamos que ya publicamos el borrador de la nueva Guía para Incentivar la Participación de Mujeres en el Sistema de Compras y Contratación Pública. Conoce el documento y realiza tus comentarios hasta el 2 de diciembre de 2024</w:t>
      </w:r>
      <w:r w:rsidRPr="004B6C60">
        <w:rPr>
          <w:rFonts w:ascii="Verdana" w:hAnsi="Verdana" w:cs="Arial"/>
          <w:b/>
          <w:bCs/>
          <w:color w:val="000000" w:themeColor="text1"/>
        </w:rPr>
        <w:t> </w:t>
      </w:r>
      <w:r w:rsidRPr="004B6C60">
        <w:rPr>
          <w:rFonts w:ascii="Verdana" w:hAnsi="Verdana" w:cs="Arial"/>
          <w:color w:val="000000" w:themeColor="text1"/>
        </w:rPr>
        <w:t>a través de estos enlaces:</w:t>
      </w:r>
    </w:p>
    <w:p w14:paraId="74FF5818" w14:textId="77777777" w:rsidR="004B6C60" w:rsidRPr="004B6C60" w:rsidRDefault="004B6C60" w:rsidP="004B6C60">
      <w:pPr>
        <w:widowControl w:val="0"/>
        <w:numPr>
          <w:ilvl w:val="0"/>
          <w:numId w:val="35"/>
        </w:numPr>
        <w:autoSpaceDE w:val="0"/>
        <w:autoSpaceDN w:val="0"/>
        <w:spacing w:after="0" w:line="276" w:lineRule="auto"/>
        <w:jc w:val="both"/>
        <w:rPr>
          <w:rFonts w:ascii="Verdana" w:hAnsi="Verdana" w:cs="Arial"/>
          <w:color w:val="000000" w:themeColor="text1"/>
        </w:rPr>
      </w:pPr>
      <w:r w:rsidRPr="004B6C60">
        <w:rPr>
          <w:rFonts w:ascii="Verdana" w:hAnsi="Verdana" w:cs="Arial"/>
          <w:color w:val="000000" w:themeColor="text1"/>
        </w:rPr>
        <w:t>Enlace página ANCP-CCE: </w:t>
      </w:r>
      <w:hyperlink r:id="rId13" w:tgtFrame="_blank" w:tooltip="Dirección URL original: https://www.colombiacompra.gov.co/content/convocatorias. Haga clic o pulse si confía en este vínculo." w:history="1">
        <w:r w:rsidRPr="004B6C60">
          <w:rPr>
            <w:rStyle w:val="Hipervnculo"/>
            <w:rFonts w:ascii="Verdana" w:hAnsi="Verdana" w:cs="Arial"/>
          </w:rPr>
          <w:t>https://www.colombiacompra.gov.co/content/convocatorias</w:t>
        </w:r>
      </w:hyperlink>
    </w:p>
    <w:p w14:paraId="02E38310" w14:textId="77777777" w:rsidR="004B6C60" w:rsidRPr="0032022C" w:rsidRDefault="004B6C60" w:rsidP="004B6C60">
      <w:pPr>
        <w:widowControl w:val="0"/>
        <w:numPr>
          <w:ilvl w:val="0"/>
          <w:numId w:val="35"/>
        </w:numPr>
        <w:autoSpaceDE w:val="0"/>
        <w:autoSpaceDN w:val="0"/>
        <w:spacing w:after="0" w:line="276" w:lineRule="auto"/>
        <w:jc w:val="both"/>
        <w:rPr>
          <w:rFonts w:ascii="Verdana" w:hAnsi="Verdana" w:cs="Arial"/>
          <w:color w:val="000000" w:themeColor="text1"/>
          <w:lang w:val="en-US"/>
        </w:rPr>
      </w:pPr>
      <w:r w:rsidRPr="0032022C">
        <w:rPr>
          <w:rFonts w:ascii="Verdana" w:hAnsi="Verdana" w:cs="Arial"/>
          <w:color w:val="000000" w:themeColor="text1"/>
          <w:lang w:val="en-US"/>
        </w:rPr>
        <w:t>Enlace SUCOP:  </w:t>
      </w:r>
      <w:hyperlink r:id="rId14" w:tgtFrame="_blank" w:tooltip="Dirección URL original: https://www.sucop.gov.co/entidades/colombiacompra/Normativa?IDNorma=19201. Haga clic o pulse si confía en este vínculo." w:history="1">
        <w:r w:rsidRPr="0032022C">
          <w:rPr>
            <w:rStyle w:val="Hipervnculo"/>
            <w:rFonts w:ascii="Verdana" w:hAnsi="Verdana" w:cs="Arial"/>
            <w:lang w:val="en-US"/>
          </w:rPr>
          <w:t>https://www.sucop.gov.co/entidades/colombiacompra/Normativa?IDNorma=19201</w:t>
        </w:r>
      </w:hyperlink>
    </w:p>
    <w:p w14:paraId="6D27B77B" w14:textId="77777777" w:rsidR="004B6C60" w:rsidRPr="0032022C" w:rsidRDefault="004B6C60" w:rsidP="004B6C60">
      <w:pPr>
        <w:widowControl w:val="0"/>
        <w:autoSpaceDE w:val="0"/>
        <w:autoSpaceDN w:val="0"/>
        <w:spacing w:after="0" w:line="276" w:lineRule="auto"/>
        <w:jc w:val="both"/>
        <w:rPr>
          <w:rFonts w:ascii="Verdana" w:hAnsi="Verdana" w:cs="Arial"/>
          <w:color w:val="000000" w:themeColor="text1"/>
          <w:lang w:val="en-US"/>
        </w:rPr>
      </w:pPr>
      <w:r w:rsidRPr="0032022C">
        <w:rPr>
          <w:rFonts w:ascii="Verdana" w:hAnsi="Verdana" w:cs="Arial"/>
          <w:color w:val="000000" w:themeColor="text1"/>
          <w:lang w:val="en-US"/>
        </w:rPr>
        <w:t> </w:t>
      </w:r>
    </w:p>
    <w:p w14:paraId="27B6CC25" w14:textId="77777777" w:rsidR="004B6C60" w:rsidRPr="004B6C60" w:rsidRDefault="004B6C60" w:rsidP="004B6C60">
      <w:pPr>
        <w:widowControl w:val="0"/>
        <w:autoSpaceDE w:val="0"/>
        <w:autoSpaceDN w:val="0"/>
        <w:spacing w:after="0" w:line="276" w:lineRule="auto"/>
        <w:jc w:val="both"/>
        <w:rPr>
          <w:rFonts w:ascii="Verdana" w:hAnsi="Verdana" w:cs="Arial"/>
          <w:color w:val="000000" w:themeColor="text1"/>
        </w:rPr>
      </w:pPr>
      <w:r w:rsidRPr="004B6C60">
        <w:rPr>
          <w:rFonts w:ascii="Verdana" w:hAnsi="Verdana" w:cs="Arial"/>
          <w:color w:val="000000" w:themeColor="text1"/>
        </w:rPr>
        <w:t>También le invitamos a consultar la versión VII  de 2024 , del Boletín de Relatoría de la Subdirección de Gestión Contractual relacionado con las ASOCIACIONES PÚBLICO POPULARES , el cual se puede descargar en la página web de la Agencia: </w:t>
      </w:r>
      <w:hyperlink r:id="rId15" w:tgtFrame="_blank" w:tooltip="Dirección URL original: https://www.colombiacompra.gov.co/sala-de-prensa/boletin-digital. Haga clic o pulse si confía en este vínculo." w:history="1">
        <w:r w:rsidRPr="004B6C60">
          <w:rPr>
            <w:rStyle w:val="Hipervnculo"/>
            <w:rFonts w:ascii="Verdana" w:hAnsi="Verdana" w:cs="Arial"/>
          </w:rPr>
          <w:t>https://www.colombiacompra.gov.co/sala-de-prensa/boletin-digital</w:t>
        </w:r>
      </w:hyperlink>
    </w:p>
    <w:p w14:paraId="02EA527F" w14:textId="77777777" w:rsidR="00063EBB" w:rsidRDefault="00063EBB" w:rsidP="007436D1">
      <w:pPr>
        <w:widowControl w:val="0"/>
        <w:autoSpaceDE w:val="0"/>
        <w:autoSpaceDN w:val="0"/>
        <w:spacing w:after="0" w:line="276" w:lineRule="auto"/>
        <w:jc w:val="both"/>
        <w:rPr>
          <w:rFonts w:ascii="Verdana" w:hAnsi="Verdana" w:cs="Arial"/>
          <w:color w:val="000000" w:themeColor="text1"/>
        </w:rPr>
      </w:pPr>
    </w:p>
    <w:p w14:paraId="0C71B894" w14:textId="77777777" w:rsidR="007436D1" w:rsidRPr="00E91F32" w:rsidRDefault="007436D1" w:rsidP="007436D1">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01C2AE15"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rPr>
      </w:pPr>
    </w:p>
    <w:p w14:paraId="249D0478"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36C122D9"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proofErr w:type="spellStart"/>
      <w:r w:rsidRPr="00CA17B5">
        <w:rPr>
          <w:rFonts w:ascii="Verdana" w:hAnsi="Verdana" w:cs="Arial"/>
          <w:color w:val="000000" w:themeColor="text1"/>
          <w:u w:val="single"/>
        </w:rPr>
        <w:t>ColombiaCompraEficiente</w:t>
      </w:r>
      <w:proofErr w:type="spellEnd"/>
    </w:p>
    <w:p w14:paraId="2A62B29A"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276A9AA2"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rPr>
      </w:pPr>
    </w:p>
    <w:p w14:paraId="3FBB06C7" w14:textId="77777777" w:rsidR="007436D1" w:rsidRPr="00CA17B5" w:rsidRDefault="007436D1" w:rsidP="007436D1">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04FFD68A" w14:textId="77777777" w:rsidR="007436D1" w:rsidRPr="00140980" w:rsidRDefault="007436D1" w:rsidP="007436D1">
      <w:pPr>
        <w:widowControl w:val="0"/>
        <w:autoSpaceDE w:val="0"/>
        <w:autoSpaceDN w:val="0"/>
        <w:spacing w:after="0" w:line="276" w:lineRule="auto"/>
        <w:jc w:val="both"/>
        <w:rPr>
          <w:rFonts w:ascii="Verdana" w:hAnsi="Verdana" w:cs="Arial"/>
          <w:color w:val="000000" w:themeColor="text1"/>
          <w:lang w:val="es-ES_tradnl"/>
        </w:rPr>
      </w:pPr>
    </w:p>
    <w:p w14:paraId="65D6223B" w14:textId="77777777" w:rsidR="007436D1" w:rsidRPr="00115E3D" w:rsidRDefault="007436D1" w:rsidP="007436D1">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62EC10D1" w14:textId="074A49E4" w:rsidR="007436D1" w:rsidRPr="00115E3D" w:rsidRDefault="00673D9A" w:rsidP="007436D1">
      <w:pPr>
        <w:spacing w:line="276" w:lineRule="auto"/>
        <w:jc w:val="center"/>
        <w:rPr>
          <w:rFonts w:ascii="Verdana" w:hAnsi="Verdana" w:cs="Arial"/>
          <w:color w:val="000000" w:themeColor="text1"/>
          <w:lang w:val="es-ES_tradnl" w:eastAsia="es-CO"/>
        </w:rPr>
      </w:pPr>
      <w:r>
        <w:rPr>
          <w:noProof/>
        </w:rPr>
        <w:drawing>
          <wp:inline distT="0" distB="0" distL="0" distR="0" wp14:anchorId="48016673" wp14:editId="78C43393">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436D1" w:rsidRPr="00115E3D" w14:paraId="61D0EE4D" w14:textId="77777777" w:rsidTr="006E6A42">
        <w:trPr>
          <w:trHeight w:val="315"/>
        </w:trPr>
        <w:tc>
          <w:tcPr>
            <w:tcW w:w="893" w:type="dxa"/>
            <w:vAlign w:val="center"/>
            <w:hideMark/>
          </w:tcPr>
          <w:p w14:paraId="154E0489" w14:textId="77777777" w:rsidR="007436D1" w:rsidRPr="00115E3D" w:rsidRDefault="007436D1" w:rsidP="006E6A4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6D10B0BE" w14:textId="77777777" w:rsidR="007436D1" w:rsidRPr="00B23D30" w:rsidRDefault="007436D1" w:rsidP="006E6A42">
            <w:pPr>
              <w:contextualSpacing/>
              <w:rPr>
                <w:rFonts w:ascii="Verdana" w:eastAsia="Arial" w:hAnsi="Verdana" w:cs="Arial"/>
                <w:color w:val="000000" w:themeColor="text1"/>
                <w:sz w:val="16"/>
                <w:szCs w:val="16"/>
              </w:rPr>
            </w:pPr>
            <w:r w:rsidRPr="00B23D30">
              <w:rPr>
                <w:rFonts w:ascii="Verdana" w:eastAsia="Arial" w:hAnsi="Verdana" w:cs="Arial"/>
                <w:color w:val="000000" w:themeColor="text1"/>
                <w:sz w:val="16"/>
                <w:szCs w:val="16"/>
              </w:rPr>
              <w:t xml:space="preserve">Diego Jesús Ortega Cruz </w:t>
            </w:r>
          </w:p>
          <w:p w14:paraId="345952F9" w14:textId="77777777" w:rsidR="007436D1" w:rsidRPr="00B23D30" w:rsidRDefault="007436D1" w:rsidP="006E6A42">
            <w:pPr>
              <w:contextualSpacing/>
              <w:rPr>
                <w:rFonts w:ascii="Verdana" w:eastAsia="Arial" w:hAnsi="Verdana" w:cs="Arial"/>
                <w:color w:val="000000" w:themeColor="text1"/>
                <w:sz w:val="16"/>
                <w:szCs w:val="16"/>
              </w:rPr>
            </w:pPr>
            <w:r w:rsidRPr="00B23D30">
              <w:rPr>
                <w:rStyle w:val="normaltextrun"/>
                <w:rFonts w:ascii="Verdana" w:eastAsia="Arial" w:hAnsi="Verdana" w:cs="Arial"/>
                <w:color w:val="000000" w:themeColor="text1"/>
                <w:sz w:val="16"/>
                <w:szCs w:val="16"/>
              </w:rPr>
              <w:t>Contratista de la Subdirección de Gestión Contractual</w:t>
            </w:r>
          </w:p>
        </w:tc>
      </w:tr>
      <w:tr w:rsidR="007436D1" w:rsidRPr="00115E3D" w14:paraId="4B73073A" w14:textId="77777777" w:rsidTr="006E6A42">
        <w:trPr>
          <w:trHeight w:val="330"/>
        </w:trPr>
        <w:tc>
          <w:tcPr>
            <w:tcW w:w="893" w:type="dxa"/>
            <w:vAlign w:val="center"/>
            <w:hideMark/>
          </w:tcPr>
          <w:p w14:paraId="2752E3A1" w14:textId="77777777" w:rsidR="007436D1" w:rsidRPr="00115E3D" w:rsidRDefault="007436D1" w:rsidP="006E6A4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1F3614B" w14:textId="77777777" w:rsidR="007436D1" w:rsidRPr="00B23D30" w:rsidRDefault="007436D1" w:rsidP="006E6A42">
            <w:pPr>
              <w:pStyle w:val="paragraph"/>
              <w:spacing w:before="0" w:beforeAutospacing="0" w:after="0" w:afterAutospacing="0"/>
              <w:contextualSpacing/>
              <w:textAlignment w:val="baseline"/>
              <w:rPr>
                <w:rFonts w:ascii="Verdana" w:hAnsi="Verdana" w:cs="Segoe UI"/>
                <w:color w:val="000000" w:themeColor="text1"/>
                <w:sz w:val="16"/>
                <w:szCs w:val="16"/>
              </w:rPr>
            </w:pPr>
            <w:r w:rsidRPr="00B23D30">
              <w:rPr>
                <w:rFonts w:ascii="Verdana" w:hAnsi="Verdana" w:cs="Segoe UI"/>
                <w:color w:val="000000" w:themeColor="text1"/>
                <w:sz w:val="16"/>
                <w:szCs w:val="16"/>
              </w:rPr>
              <w:t>X</w:t>
            </w:r>
            <w:r w:rsidRPr="00B23D30">
              <w:rPr>
                <w:rFonts w:ascii="Verdana" w:hAnsi="Verdana" w:cs="Segoe UI"/>
                <w:sz w:val="16"/>
                <w:szCs w:val="16"/>
              </w:rPr>
              <w:t xml:space="preserve">imena Ríos López </w:t>
            </w:r>
          </w:p>
          <w:p w14:paraId="60E850DD" w14:textId="77777777" w:rsidR="007436D1" w:rsidRPr="00B23D30" w:rsidRDefault="007436D1" w:rsidP="006E6A42">
            <w:pPr>
              <w:pStyle w:val="paragraph"/>
              <w:spacing w:before="0" w:beforeAutospacing="0" w:after="0" w:afterAutospacing="0"/>
              <w:contextualSpacing/>
              <w:textAlignment w:val="baseline"/>
              <w:rPr>
                <w:rFonts w:ascii="Verdana" w:hAnsi="Verdana" w:cs="Segoe UI"/>
                <w:color w:val="000000" w:themeColor="text1"/>
                <w:sz w:val="16"/>
                <w:szCs w:val="16"/>
              </w:rPr>
            </w:pPr>
            <w:r w:rsidRPr="00B23D30">
              <w:rPr>
                <w:rStyle w:val="normaltextrun"/>
                <w:rFonts w:ascii="Verdana" w:hAnsi="Verdana" w:cs="Arial"/>
                <w:color w:val="000000" w:themeColor="text1"/>
                <w:sz w:val="16"/>
                <w:szCs w:val="16"/>
                <w:lang w:val="es-ES"/>
              </w:rPr>
              <w:t>Gestor T1-11 de la Subdirección de Gestión Contractual</w:t>
            </w:r>
            <w:r w:rsidRPr="00B23D30">
              <w:rPr>
                <w:rStyle w:val="eop"/>
                <w:rFonts w:ascii="Verdana" w:hAnsi="Verdana" w:cs="Arial"/>
                <w:color w:val="000000" w:themeColor="text1"/>
                <w:sz w:val="16"/>
                <w:szCs w:val="16"/>
              </w:rPr>
              <w:t> </w:t>
            </w:r>
          </w:p>
        </w:tc>
      </w:tr>
      <w:tr w:rsidR="007436D1" w:rsidRPr="00115E3D" w14:paraId="45F8B865" w14:textId="77777777" w:rsidTr="006E6A42">
        <w:trPr>
          <w:trHeight w:val="300"/>
        </w:trPr>
        <w:tc>
          <w:tcPr>
            <w:tcW w:w="893" w:type="dxa"/>
            <w:vAlign w:val="center"/>
          </w:tcPr>
          <w:p w14:paraId="16E906DA" w14:textId="77777777" w:rsidR="007436D1" w:rsidRPr="00115E3D" w:rsidRDefault="007436D1" w:rsidP="006E6A4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4B89751" w14:textId="77777777" w:rsidR="007436D1" w:rsidRPr="00B23D30" w:rsidRDefault="007436D1" w:rsidP="006E6A42">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val="pt-BR" w:eastAsia="es-ES"/>
              </w:rPr>
              <w:t>Carolina Quintero Gacharná</w:t>
            </w:r>
          </w:p>
          <w:p w14:paraId="3891A1CB" w14:textId="77777777" w:rsidR="007436D1" w:rsidRPr="00B23D30" w:rsidRDefault="007436D1" w:rsidP="006E6A42">
            <w:pPr>
              <w:contextualSpacing/>
              <w:rPr>
                <w:rFonts w:ascii="Verdana" w:eastAsia="Calibri" w:hAnsi="Verdana" w:cs="Arial"/>
                <w:color w:val="000000" w:themeColor="text1"/>
                <w:sz w:val="16"/>
                <w:szCs w:val="16"/>
                <w:lang w:val="pt-BR" w:eastAsia="es-ES"/>
              </w:rPr>
            </w:pPr>
            <w:r w:rsidRPr="00B23D30">
              <w:rPr>
                <w:rFonts w:ascii="Verdana" w:eastAsia="Calibri" w:hAnsi="Verdana" w:cs="Arial"/>
                <w:color w:val="000000" w:themeColor="text1"/>
                <w:sz w:val="16"/>
                <w:szCs w:val="16"/>
                <w:lang w:eastAsia="es-ES"/>
              </w:rPr>
              <w:t>Subdirectora</w:t>
            </w:r>
            <w:r w:rsidRPr="00B23D30">
              <w:rPr>
                <w:rFonts w:ascii="Verdana" w:eastAsia="Calibri" w:hAnsi="Verdana" w:cs="Arial"/>
                <w:color w:val="000000" w:themeColor="text1"/>
                <w:sz w:val="16"/>
                <w:szCs w:val="16"/>
                <w:lang w:val="pt-BR" w:eastAsia="es-ES"/>
              </w:rPr>
              <w:t xml:space="preserve"> de Gestión Contractual ANCP – CCE</w:t>
            </w:r>
          </w:p>
        </w:tc>
      </w:tr>
    </w:tbl>
    <w:p w14:paraId="2C033A42" w14:textId="744FD184" w:rsidR="003D5B0D" w:rsidRPr="0044528D" w:rsidRDefault="6E461925" w:rsidP="20CA8C91">
      <w:pPr>
        <w:spacing w:after="0" w:line="240" w:lineRule="auto"/>
        <w:jc w:val="both"/>
        <w:textAlignment w:val="baseline"/>
        <w:rPr>
          <w:rFonts w:ascii="Verdana" w:eastAsia="Verdana" w:hAnsi="Verdana" w:cs="Verdana"/>
        </w:rPr>
      </w:pPr>
      <w:r w:rsidRPr="20CA8C91">
        <w:rPr>
          <w:rFonts w:ascii="Verdana" w:eastAsia="Verdana" w:hAnsi="Verdana" w:cs="Verdana"/>
        </w:rPr>
        <w:t xml:space="preserve"> </w:t>
      </w:r>
    </w:p>
    <w:sectPr w:rsidR="003D5B0D"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A411" w14:textId="77777777" w:rsidR="009101C9" w:rsidRDefault="009101C9" w:rsidP="004A1847">
      <w:pPr>
        <w:spacing w:after="0" w:line="240" w:lineRule="auto"/>
      </w:pPr>
      <w:r>
        <w:separator/>
      </w:r>
    </w:p>
  </w:endnote>
  <w:endnote w:type="continuationSeparator" w:id="0">
    <w:p w14:paraId="05F1EB57" w14:textId="77777777" w:rsidR="009101C9" w:rsidRDefault="009101C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D7CB" w14:textId="77777777" w:rsidR="009101C9" w:rsidRDefault="009101C9" w:rsidP="004A1847">
      <w:pPr>
        <w:spacing w:after="0" w:line="240" w:lineRule="auto"/>
      </w:pPr>
      <w:r>
        <w:separator/>
      </w:r>
    </w:p>
  </w:footnote>
  <w:footnote w:type="continuationSeparator" w:id="0">
    <w:p w14:paraId="18A18791" w14:textId="77777777" w:rsidR="009101C9" w:rsidRDefault="009101C9" w:rsidP="004A1847">
      <w:pPr>
        <w:spacing w:after="0" w:line="240" w:lineRule="auto"/>
      </w:pPr>
      <w:r>
        <w:continuationSeparator/>
      </w:r>
    </w:p>
  </w:footnote>
  <w:footnote w:id="1">
    <w:p w14:paraId="2378005C" w14:textId="77777777" w:rsidR="007436D1" w:rsidRDefault="007436D1" w:rsidP="0032022C">
      <w:pPr>
        <w:pStyle w:val="Textonotapie"/>
        <w:ind w:firstLine="708"/>
        <w:contextualSpacing/>
        <w:jc w:val="both"/>
        <w:rPr>
          <w:rFonts w:ascii="Verdana" w:hAnsi="Verdana" w:cs="Arial"/>
          <w:color w:val="000000"/>
          <w:sz w:val="12"/>
          <w:szCs w:val="12"/>
        </w:rPr>
      </w:pPr>
      <w:r w:rsidRPr="00217328">
        <w:rPr>
          <w:rFonts w:ascii="Verdana" w:hAnsi="Verdana" w:cs="Arial"/>
          <w:color w:val="000000"/>
          <w:sz w:val="12"/>
          <w:szCs w:val="12"/>
          <w:vertAlign w:val="superscript"/>
        </w:rPr>
        <w:footnoteRef/>
      </w:r>
      <w:r w:rsidRPr="0032022C">
        <w:rPr>
          <w:rFonts w:ascii="Verdana" w:hAnsi="Verdana" w:cs="Arial"/>
          <w:color w:val="000000"/>
          <w:sz w:val="12"/>
          <w:szCs w:val="12"/>
          <w:lang w:val="pt-BR"/>
        </w:rPr>
        <w:t xml:space="preserve"> Corte Constitucional. Sentencia C-317 de 2012. </w:t>
      </w:r>
      <w:r w:rsidRPr="00217328">
        <w:rPr>
          <w:rFonts w:ascii="Verdana" w:hAnsi="Verdana" w:cs="Arial"/>
          <w:color w:val="000000"/>
          <w:sz w:val="12"/>
          <w:szCs w:val="12"/>
        </w:rPr>
        <w:t xml:space="preserve">M.P. María Victoria Calle Correa. </w:t>
      </w:r>
    </w:p>
    <w:p w14:paraId="45A5C0EF" w14:textId="77777777" w:rsidR="00777EC8" w:rsidRDefault="00777EC8" w:rsidP="007436D1">
      <w:pPr>
        <w:pStyle w:val="Textonotapie"/>
        <w:contextualSpacing/>
        <w:jc w:val="both"/>
      </w:pPr>
    </w:p>
  </w:footnote>
  <w:footnote w:id="2">
    <w:p w14:paraId="55FDB7BD" w14:textId="77777777" w:rsidR="007436D1" w:rsidRPr="00217328" w:rsidRDefault="007436D1" w:rsidP="0032022C">
      <w:pPr>
        <w:pStyle w:val="Textonotapie"/>
        <w:ind w:firstLine="708"/>
        <w:contextualSpacing/>
        <w:jc w:val="both"/>
        <w:rPr>
          <w:rFonts w:ascii="Verdana" w:hAnsi="Verdana" w:cs="Arial"/>
          <w:color w:val="000000"/>
          <w:sz w:val="12"/>
          <w:szCs w:val="12"/>
        </w:rPr>
      </w:pPr>
      <w:r w:rsidRPr="00217328">
        <w:rPr>
          <w:rFonts w:ascii="Verdana" w:hAnsi="Verdana" w:cs="Arial"/>
          <w:color w:val="000000"/>
          <w:sz w:val="12"/>
          <w:szCs w:val="12"/>
          <w:vertAlign w:val="superscript"/>
        </w:rPr>
        <w:footnoteRef/>
      </w:r>
      <w:r w:rsidRPr="00217328">
        <w:rPr>
          <w:rFonts w:ascii="Verdana" w:hAnsi="Verdana" w:cs="Arial"/>
          <w:color w:val="000000"/>
          <w:sz w:val="12"/>
          <w:szCs w:val="12"/>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017EBA89" w14:textId="77777777" w:rsidR="007436D1" w:rsidRDefault="007436D1" w:rsidP="007436D1">
      <w:pPr>
        <w:pStyle w:val="Textonotapie"/>
        <w:contextualSpacing/>
        <w:jc w:val="both"/>
      </w:pPr>
    </w:p>
  </w:footnote>
  <w:footnote w:id="3">
    <w:p w14:paraId="75C6CA52" w14:textId="77777777" w:rsidR="007436D1" w:rsidRPr="00217328" w:rsidRDefault="007436D1" w:rsidP="0032022C">
      <w:pPr>
        <w:pStyle w:val="Textonotapie"/>
        <w:ind w:firstLine="708"/>
        <w:contextualSpacing/>
        <w:jc w:val="both"/>
        <w:rPr>
          <w:rFonts w:ascii="Verdana" w:hAnsi="Verdana" w:cs="Arial"/>
          <w:color w:val="000000"/>
          <w:sz w:val="12"/>
          <w:szCs w:val="12"/>
        </w:rPr>
      </w:pPr>
      <w:r w:rsidRPr="00217328">
        <w:rPr>
          <w:rFonts w:ascii="Verdana" w:hAnsi="Verdana" w:cs="Arial"/>
          <w:color w:val="000000"/>
          <w:sz w:val="12"/>
          <w:szCs w:val="12"/>
          <w:vertAlign w:val="superscript"/>
        </w:rPr>
        <w:footnoteRef/>
      </w:r>
      <w:r w:rsidRPr="00217328">
        <w:rPr>
          <w:rFonts w:ascii="Verdana" w:hAnsi="Verdana" w:cs="Arial"/>
          <w:color w:val="000000"/>
          <w:sz w:val="12"/>
          <w:szCs w:val="12"/>
        </w:rPr>
        <w:t xml:space="preserve"> Se entiende por entidades de </w:t>
      </w:r>
      <w:r w:rsidRPr="00217328">
        <w:rPr>
          <w:rFonts w:ascii="Verdana" w:hAnsi="Verdana" w:cs="Arial"/>
          <w:i/>
          <w:iCs/>
          <w:color w:val="000000"/>
          <w:sz w:val="12"/>
          <w:szCs w:val="12"/>
        </w:rPr>
        <w:t xml:space="preserve">régimen especial </w:t>
      </w:r>
      <w:r w:rsidRPr="00217328">
        <w:rPr>
          <w:rFonts w:ascii="Verdana" w:hAnsi="Verdana" w:cs="Arial"/>
          <w:color w:val="000000"/>
          <w:sz w:val="12"/>
          <w:szCs w:val="12"/>
        </w:rPr>
        <w:t>aquellas que tienen un régimen contractual distinto al Estatuto General de Contratación de la Administración Pública, y que por regla general se rigen por el derecho privado.</w:t>
      </w:r>
    </w:p>
    <w:p w14:paraId="664CA09A" w14:textId="77777777" w:rsidR="007436D1" w:rsidRDefault="007436D1" w:rsidP="007436D1">
      <w:pPr>
        <w:pStyle w:val="Textonotapie"/>
        <w:contextualSpacing/>
        <w:jc w:val="both"/>
      </w:pPr>
    </w:p>
  </w:footnote>
  <w:footnote w:id="4">
    <w:p w14:paraId="24BA2038" w14:textId="77777777" w:rsidR="007436D1" w:rsidRDefault="007436D1" w:rsidP="0032022C">
      <w:pPr>
        <w:pStyle w:val="Textonotapie"/>
        <w:ind w:firstLine="708"/>
        <w:contextualSpacing/>
        <w:jc w:val="both"/>
        <w:rPr>
          <w:rFonts w:ascii="Verdana" w:hAnsi="Verdana" w:cs="Arial"/>
          <w:color w:val="000000"/>
          <w:sz w:val="12"/>
          <w:szCs w:val="12"/>
        </w:rPr>
      </w:pPr>
      <w:r w:rsidRPr="00217328">
        <w:rPr>
          <w:rFonts w:ascii="Verdana" w:hAnsi="Verdana" w:cs="Arial"/>
          <w:color w:val="000000"/>
          <w:sz w:val="12"/>
          <w:szCs w:val="12"/>
          <w:vertAlign w:val="superscript"/>
        </w:rPr>
        <w:footnoteRef/>
      </w:r>
      <w:r w:rsidRPr="00217328">
        <w:rPr>
          <w:rFonts w:ascii="Verdana" w:hAnsi="Verdana" w:cs="Arial"/>
          <w:color w:val="000000"/>
          <w:sz w:val="12"/>
          <w:szCs w:val="12"/>
        </w:rPr>
        <w:t xml:space="preserve"> Esto se ha señalado en distintos conceptos de esta Subdirección, como el C-219 del 29 de abril de 2020, el C-280 del 6 de julio de 2020 y el C–434 del 29 de julio de 2020.</w:t>
      </w:r>
    </w:p>
    <w:p w14:paraId="33235611" w14:textId="77777777" w:rsidR="00063EBB" w:rsidRDefault="00063EBB" w:rsidP="007436D1">
      <w:pPr>
        <w:pStyle w:val="Textonotapie"/>
        <w:contextualSpacing/>
        <w:jc w:val="both"/>
      </w:pPr>
    </w:p>
  </w:footnote>
  <w:footnote w:id="5">
    <w:p w14:paraId="35B785CB" w14:textId="77777777" w:rsidR="007436D1" w:rsidRPr="00217328" w:rsidRDefault="007436D1" w:rsidP="0032022C">
      <w:pPr>
        <w:pStyle w:val="Textonotapie"/>
        <w:ind w:firstLine="708"/>
        <w:contextualSpacing/>
        <w:jc w:val="both"/>
        <w:rPr>
          <w:rFonts w:ascii="Verdana" w:hAnsi="Verdana" w:cs="Arial"/>
          <w:color w:val="000000"/>
          <w:sz w:val="12"/>
          <w:szCs w:val="12"/>
        </w:rPr>
      </w:pPr>
      <w:r w:rsidRPr="00217328">
        <w:rPr>
          <w:rFonts w:ascii="Verdana" w:hAnsi="Verdana" w:cs="Arial"/>
          <w:color w:val="000000"/>
          <w:sz w:val="12"/>
          <w:szCs w:val="12"/>
          <w:vertAlign w:val="superscript"/>
        </w:rPr>
        <w:footnoteRef/>
      </w:r>
      <w:r w:rsidRPr="00217328">
        <w:rPr>
          <w:rFonts w:ascii="Verdana" w:hAnsi="Verdana" w:cs="Arial"/>
          <w:color w:val="000000"/>
          <w:sz w:val="12"/>
          <w:szCs w:val="12"/>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5C949A68" w14:textId="77777777" w:rsidR="007436D1" w:rsidRPr="00217328" w:rsidRDefault="007436D1" w:rsidP="007436D1">
      <w:pPr>
        <w:pStyle w:val="Textonotapie"/>
        <w:ind w:firstLine="709"/>
        <w:contextualSpacing/>
        <w:jc w:val="both"/>
        <w:rPr>
          <w:rFonts w:ascii="Verdana" w:hAnsi="Verdana" w:cs="Arial"/>
          <w:color w:val="000000"/>
          <w:sz w:val="12"/>
          <w:szCs w:val="12"/>
        </w:rPr>
      </w:pPr>
    </w:p>
    <w:p w14:paraId="4BF46391" w14:textId="77777777" w:rsidR="007436D1" w:rsidRPr="00217328" w:rsidRDefault="007436D1" w:rsidP="007436D1">
      <w:pPr>
        <w:pStyle w:val="Textonotapie"/>
        <w:contextualSpacing/>
        <w:jc w:val="both"/>
        <w:rPr>
          <w:rFonts w:ascii="Verdana" w:hAnsi="Verdana" w:cs="Arial"/>
          <w:color w:val="000000"/>
          <w:sz w:val="12"/>
          <w:szCs w:val="12"/>
        </w:rPr>
      </w:pPr>
      <w:r w:rsidRPr="00217328">
        <w:rPr>
          <w:rFonts w:ascii="Verdana" w:hAnsi="Verdana" w:cs="Arial"/>
          <w:color w:val="000000"/>
          <w:sz w:val="12"/>
          <w:szCs w:val="12"/>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799C9F11" w14:textId="77777777" w:rsidR="007436D1" w:rsidRPr="00217328" w:rsidRDefault="007436D1" w:rsidP="007436D1">
      <w:pPr>
        <w:pStyle w:val="Textonotapie"/>
        <w:ind w:firstLine="709"/>
        <w:contextualSpacing/>
        <w:jc w:val="both"/>
        <w:rPr>
          <w:rFonts w:ascii="Verdana" w:hAnsi="Verdana" w:cs="Arial"/>
          <w:color w:val="000000"/>
          <w:sz w:val="12"/>
          <w:szCs w:val="12"/>
        </w:rPr>
      </w:pPr>
    </w:p>
    <w:p w14:paraId="088F56E0" w14:textId="77777777" w:rsidR="007436D1" w:rsidRPr="00217328" w:rsidRDefault="007436D1" w:rsidP="007436D1">
      <w:pPr>
        <w:pStyle w:val="Textonotapie"/>
        <w:contextualSpacing/>
        <w:jc w:val="both"/>
        <w:rPr>
          <w:rFonts w:ascii="Verdana" w:hAnsi="Verdana" w:cs="Arial"/>
          <w:color w:val="000000"/>
          <w:sz w:val="12"/>
          <w:szCs w:val="12"/>
        </w:rPr>
      </w:pPr>
      <w:r w:rsidRPr="00217328">
        <w:rPr>
          <w:rFonts w:ascii="Verdana" w:hAnsi="Verdana" w:cs="Arial"/>
          <w:color w:val="000000"/>
          <w:sz w:val="12"/>
          <w:szCs w:val="12"/>
        </w:rPr>
        <w:t>La entidad estatal debe elegir y garantizar los medios electrónicos y de comunicación que utilizará, así como los mecanismos para el registro de la Información generada.</w:t>
      </w:r>
    </w:p>
    <w:p w14:paraId="7E04810D" w14:textId="77777777" w:rsidR="007436D1" w:rsidRPr="00217328" w:rsidRDefault="007436D1" w:rsidP="007436D1">
      <w:pPr>
        <w:pStyle w:val="Textonotapie"/>
        <w:ind w:firstLine="709"/>
        <w:contextualSpacing/>
        <w:jc w:val="both"/>
        <w:rPr>
          <w:rFonts w:ascii="Verdana" w:hAnsi="Verdana" w:cs="Arial"/>
          <w:color w:val="000000"/>
          <w:sz w:val="12"/>
          <w:szCs w:val="12"/>
        </w:rPr>
      </w:pPr>
    </w:p>
    <w:p w14:paraId="0DD7B9F9" w14:textId="77777777" w:rsidR="007436D1" w:rsidRPr="00217328" w:rsidRDefault="007436D1" w:rsidP="007436D1">
      <w:pPr>
        <w:pStyle w:val="Textonotapie"/>
        <w:contextualSpacing/>
        <w:jc w:val="both"/>
        <w:rPr>
          <w:rFonts w:ascii="Verdana" w:hAnsi="Verdana" w:cs="Arial"/>
          <w:color w:val="000000"/>
          <w:sz w:val="12"/>
          <w:szCs w:val="12"/>
        </w:rPr>
      </w:pPr>
      <w:r w:rsidRPr="00217328">
        <w:rPr>
          <w:rFonts w:ascii="Verdana" w:hAnsi="Verdana" w:cs="Arial"/>
          <w:color w:val="000000"/>
          <w:sz w:val="12"/>
          <w:szCs w:val="12"/>
        </w:rPr>
        <w:t>Sin perjuicio de lo anterior, el ordenador del gasto o funcionario competente podrá decretar la suspensión de términos, inclusive los iniciados con anterioridad a la vigencia de este Decreto”.</w:t>
      </w:r>
    </w:p>
    <w:p w14:paraId="28064ED0" w14:textId="77777777" w:rsidR="007436D1" w:rsidRDefault="007436D1" w:rsidP="007436D1">
      <w:pPr>
        <w:pStyle w:val="Textonotapie"/>
        <w:ind w:firstLine="709"/>
        <w:contextualSpacing/>
        <w:jc w:val="both"/>
      </w:pPr>
      <w:r w:rsidRPr="00217328">
        <w:rPr>
          <w:rFonts w:ascii="Verdana" w:hAnsi="Verdana" w:cs="Arial"/>
          <w:color w:val="000000"/>
          <w:sz w:val="12"/>
          <w:szCs w:val="12"/>
        </w:rPr>
        <w:t xml:space="preserve"> </w:t>
      </w:r>
    </w:p>
  </w:footnote>
  <w:footnote w:id="6">
    <w:p w14:paraId="7BBEC4AB" w14:textId="77777777" w:rsidR="00063EBB" w:rsidRDefault="00063EBB" w:rsidP="00063EBB">
      <w:pPr>
        <w:pStyle w:val="Textonotapie"/>
        <w:ind w:firstLine="708"/>
        <w:rPr>
          <w:rFonts w:ascii="Verdana" w:hAnsi="Verdana"/>
          <w:sz w:val="12"/>
          <w:szCs w:val="12"/>
        </w:rPr>
      </w:pPr>
    </w:p>
    <w:p w14:paraId="48617B9A" w14:textId="417029D6" w:rsidR="007436D1" w:rsidRDefault="007436D1" w:rsidP="00063EBB">
      <w:pPr>
        <w:pStyle w:val="Textonotapie"/>
        <w:ind w:firstLine="708"/>
        <w:rPr>
          <w:rFonts w:ascii="Verdana" w:hAnsi="Verdana"/>
          <w:sz w:val="12"/>
          <w:szCs w:val="12"/>
        </w:rPr>
      </w:pPr>
      <w:r w:rsidRPr="00E911E0">
        <w:rPr>
          <w:rFonts w:ascii="Verdana" w:hAnsi="Verdana"/>
          <w:sz w:val="12"/>
          <w:szCs w:val="12"/>
          <w:vertAlign w:val="superscript"/>
        </w:rPr>
        <w:footnoteRef/>
      </w:r>
      <w:r w:rsidRPr="00E911E0">
        <w:rPr>
          <w:rFonts w:ascii="Verdana" w:hAnsi="Verdana"/>
          <w:sz w:val="12"/>
          <w:szCs w:val="12"/>
        </w:rPr>
        <w:t xml:space="preserve"> </w:t>
      </w:r>
      <w:r w:rsidR="00063EBB" w:rsidRPr="00E911E0">
        <w:rPr>
          <w:rFonts w:ascii="Verdana" w:hAnsi="Verdana"/>
          <w:sz w:val="12"/>
          <w:szCs w:val="12"/>
        </w:rPr>
        <w:t>I</w:t>
      </w:r>
      <w:r w:rsidR="00063EBB">
        <w:rPr>
          <w:rFonts w:ascii="Verdana" w:hAnsi="Verdana"/>
          <w:sz w:val="12"/>
          <w:szCs w:val="12"/>
        </w:rPr>
        <w:t>bi</w:t>
      </w:r>
      <w:r w:rsidRPr="00E911E0">
        <w:rPr>
          <w:rFonts w:ascii="Verdana" w:hAnsi="Verdana"/>
          <w:sz w:val="12"/>
          <w:szCs w:val="12"/>
        </w:rPr>
        <w:t>dem</w:t>
      </w:r>
      <w:r w:rsidR="00063EBB">
        <w:rPr>
          <w:rFonts w:ascii="Verdana" w:hAnsi="Verdana"/>
          <w:sz w:val="12"/>
          <w:szCs w:val="12"/>
        </w:rPr>
        <w:t>.</w:t>
      </w:r>
    </w:p>
    <w:p w14:paraId="660F03D4" w14:textId="77777777" w:rsidR="00063EBB" w:rsidRDefault="00063EBB" w:rsidP="0032022C">
      <w:pPr>
        <w:pStyle w:val="Textonotapie"/>
        <w:ind w:firstLine="708"/>
      </w:pPr>
    </w:p>
  </w:footnote>
  <w:footnote w:id="7">
    <w:p w14:paraId="5ECF8B79" w14:textId="77777777" w:rsidR="007436D1" w:rsidRPr="00E911E0" w:rsidRDefault="007436D1" w:rsidP="0032022C">
      <w:pPr>
        <w:pStyle w:val="Textonotapie"/>
        <w:ind w:firstLine="708"/>
        <w:jc w:val="both"/>
        <w:rPr>
          <w:rFonts w:ascii="Verdana" w:hAnsi="Verdana" w:cs="Arial"/>
          <w:sz w:val="12"/>
          <w:szCs w:val="12"/>
          <w:lang w:val="es-CO"/>
        </w:rPr>
      </w:pPr>
      <w:r w:rsidRPr="00E911E0">
        <w:rPr>
          <w:rFonts w:ascii="Verdana" w:hAnsi="Verdana" w:cs="Arial"/>
          <w:sz w:val="12"/>
          <w:szCs w:val="12"/>
          <w:vertAlign w:val="superscript"/>
        </w:rPr>
        <w:footnoteRef/>
      </w:r>
      <w:r w:rsidRPr="00E911E0">
        <w:rPr>
          <w:rFonts w:ascii="Verdana" w:hAnsi="Verdana" w:cs="Arial"/>
          <w:sz w:val="12"/>
          <w:szCs w:val="12"/>
        </w:rPr>
        <w:t xml:space="preserve"> </w:t>
      </w:r>
      <w:r w:rsidRPr="00E911E0">
        <w:rPr>
          <w:rFonts w:ascii="Verdana" w:hAnsi="Verdana" w:cs="Arial"/>
          <w:sz w:val="12"/>
          <w:szCs w:val="12"/>
          <w:lang w:val="es-CO"/>
        </w:rPr>
        <w:t>Corte Constitucional, sentencia de Unificación Jurisprudencial SU 339 del 4 de mayo de 2011. Magistrado ponente: Humberto Antonio Sierra Porto. Exp. T-2.735.401</w:t>
      </w:r>
    </w:p>
    <w:p w14:paraId="5B269A90" w14:textId="77777777" w:rsidR="007436D1" w:rsidRDefault="007436D1" w:rsidP="007436D1">
      <w:pPr>
        <w:pStyle w:val="Textonotapie"/>
        <w:jc w:val="both"/>
      </w:pPr>
    </w:p>
  </w:footnote>
  <w:footnote w:id="8">
    <w:p w14:paraId="21A45C5D" w14:textId="77777777" w:rsidR="00F025D0" w:rsidRDefault="00F025D0" w:rsidP="00F025D0">
      <w:pPr>
        <w:pStyle w:val="Textonotapie"/>
        <w:ind w:firstLine="708"/>
      </w:pPr>
      <w:r>
        <w:rPr>
          <w:vertAlign w:val="superscript"/>
        </w:rPr>
        <w:footnoteRef/>
      </w:r>
      <w:r>
        <w:t xml:space="preserve"> </w:t>
      </w:r>
      <w:r w:rsidRPr="00470CD2">
        <w:rPr>
          <w:rFonts w:ascii="Verdana" w:hAnsi="Verdana"/>
          <w:sz w:val="12"/>
          <w:szCs w:val="12"/>
        </w:rPr>
        <w:t>Sentencia T-722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FED79"/>
    <w:multiLevelType w:val="hybridMultilevel"/>
    <w:tmpl w:val="B2A85700"/>
    <w:lvl w:ilvl="0" w:tplc="2CC03C28">
      <w:start w:val="1"/>
      <w:numFmt w:val="bullet"/>
      <w:lvlText w:val=""/>
      <w:lvlJc w:val="left"/>
      <w:pPr>
        <w:ind w:left="720" w:hanging="360"/>
      </w:pPr>
      <w:rPr>
        <w:rFonts w:ascii="Symbol" w:hAnsi="Symbol" w:hint="default"/>
      </w:rPr>
    </w:lvl>
    <w:lvl w:ilvl="1" w:tplc="5ACA5A2E">
      <w:start w:val="1"/>
      <w:numFmt w:val="bullet"/>
      <w:lvlText w:val="o"/>
      <w:lvlJc w:val="left"/>
      <w:pPr>
        <w:ind w:left="1440" w:hanging="360"/>
      </w:pPr>
      <w:rPr>
        <w:rFonts w:ascii="Courier New" w:hAnsi="Courier New" w:hint="default"/>
      </w:rPr>
    </w:lvl>
    <w:lvl w:ilvl="2" w:tplc="22D80BFA">
      <w:start w:val="1"/>
      <w:numFmt w:val="bullet"/>
      <w:lvlText w:val=""/>
      <w:lvlJc w:val="left"/>
      <w:pPr>
        <w:ind w:left="2160" w:hanging="360"/>
      </w:pPr>
      <w:rPr>
        <w:rFonts w:ascii="Wingdings" w:hAnsi="Wingdings" w:hint="default"/>
      </w:rPr>
    </w:lvl>
    <w:lvl w:ilvl="3" w:tplc="D56ABF44">
      <w:start w:val="1"/>
      <w:numFmt w:val="bullet"/>
      <w:lvlText w:val=""/>
      <w:lvlJc w:val="left"/>
      <w:pPr>
        <w:ind w:left="2880" w:hanging="360"/>
      </w:pPr>
      <w:rPr>
        <w:rFonts w:ascii="Symbol" w:hAnsi="Symbol" w:hint="default"/>
      </w:rPr>
    </w:lvl>
    <w:lvl w:ilvl="4" w:tplc="2C5C4BCE">
      <w:start w:val="1"/>
      <w:numFmt w:val="bullet"/>
      <w:lvlText w:val="o"/>
      <w:lvlJc w:val="left"/>
      <w:pPr>
        <w:ind w:left="3600" w:hanging="360"/>
      </w:pPr>
      <w:rPr>
        <w:rFonts w:ascii="Courier New" w:hAnsi="Courier New" w:hint="default"/>
      </w:rPr>
    </w:lvl>
    <w:lvl w:ilvl="5" w:tplc="AA502C2A">
      <w:start w:val="1"/>
      <w:numFmt w:val="bullet"/>
      <w:lvlText w:val=""/>
      <w:lvlJc w:val="left"/>
      <w:pPr>
        <w:ind w:left="4320" w:hanging="360"/>
      </w:pPr>
      <w:rPr>
        <w:rFonts w:ascii="Wingdings" w:hAnsi="Wingdings" w:hint="default"/>
      </w:rPr>
    </w:lvl>
    <w:lvl w:ilvl="6" w:tplc="922C38F2">
      <w:start w:val="1"/>
      <w:numFmt w:val="bullet"/>
      <w:lvlText w:val=""/>
      <w:lvlJc w:val="left"/>
      <w:pPr>
        <w:ind w:left="5040" w:hanging="360"/>
      </w:pPr>
      <w:rPr>
        <w:rFonts w:ascii="Symbol" w:hAnsi="Symbol" w:hint="default"/>
      </w:rPr>
    </w:lvl>
    <w:lvl w:ilvl="7" w:tplc="0288785C">
      <w:start w:val="1"/>
      <w:numFmt w:val="bullet"/>
      <w:lvlText w:val="o"/>
      <w:lvlJc w:val="left"/>
      <w:pPr>
        <w:ind w:left="5760" w:hanging="360"/>
      </w:pPr>
      <w:rPr>
        <w:rFonts w:ascii="Courier New" w:hAnsi="Courier New" w:hint="default"/>
      </w:rPr>
    </w:lvl>
    <w:lvl w:ilvl="8" w:tplc="FBDA8B82">
      <w:start w:val="1"/>
      <w:numFmt w:val="bullet"/>
      <w:lvlText w:val=""/>
      <w:lvlJc w:val="left"/>
      <w:pPr>
        <w:ind w:left="6480" w:hanging="360"/>
      </w:pPr>
      <w:rPr>
        <w:rFonts w:ascii="Wingdings" w:hAnsi="Wingdings" w:hint="default"/>
      </w:rPr>
    </w:lvl>
  </w:abstractNum>
  <w:abstractNum w:abstractNumId="3" w15:restartNumberingAfterBreak="0">
    <w:nsid w:val="04092A12"/>
    <w:multiLevelType w:val="hybridMultilevel"/>
    <w:tmpl w:val="61FC798E"/>
    <w:lvl w:ilvl="0" w:tplc="DD50C262">
      <w:start w:val="1"/>
      <w:numFmt w:val="bullet"/>
      <w:lvlText w:val=""/>
      <w:lvlJc w:val="left"/>
      <w:pPr>
        <w:ind w:left="720" w:hanging="360"/>
      </w:pPr>
      <w:rPr>
        <w:rFonts w:ascii="Symbol" w:hAnsi="Symbol" w:hint="default"/>
      </w:rPr>
    </w:lvl>
    <w:lvl w:ilvl="1" w:tplc="A4AE1244">
      <w:start w:val="1"/>
      <w:numFmt w:val="bullet"/>
      <w:lvlText w:val="o"/>
      <w:lvlJc w:val="left"/>
      <w:pPr>
        <w:ind w:left="1440" w:hanging="360"/>
      </w:pPr>
      <w:rPr>
        <w:rFonts w:ascii="Courier New" w:hAnsi="Courier New" w:hint="default"/>
      </w:rPr>
    </w:lvl>
    <w:lvl w:ilvl="2" w:tplc="1F86ABBE">
      <w:start w:val="1"/>
      <w:numFmt w:val="bullet"/>
      <w:lvlText w:val=""/>
      <w:lvlJc w:val="left"/>
      <w:pPr>
        <w:ind w:left="2160" w:hanging="360"/>
      </w:pPr>
      <w:rPr>
        <w:rFonts w:ascii="Wingdings" w:hAnsi="Wingdings" w:hint="default"/>
      </w:rPr>
    </w:lvl>
    <w:lvl w:ilvl="3" w:tplc="2D020E90">
      <w:start w:val="1"/>
      <w:numFmt w:val="bullet"/>
      <w:lvlText w:val=""/>
      <w:lvlJc w:val="left"/>
      <w:pPr>
        <w:ind w:left="2880" w:hanging="360"/>
      </w:pPr>
      <w:rPr>
        <w:rFonts w:ascii="Symbol" w:hAnsi="Symbol" w:hint="default"/>
      </w:rPr>
    </w:lvl>
    <w:lvl w:ilvl="4" w:tplc="1A98ADE0">
      <w:start w:val="1"/>
      <w:numFmt w:val="bullet"/>
      <w:lvlText w:val="o"/>
      <w:lvlJc w:val="left"/>
      <w:pPr>
        <w:ind w:left="3600" w:hanging="360"/>
      </w:pPr>
      <w:rPr>
        <w:rFonts w:ascii="Courier New" w:hAnsi="Courier New" w:hint="default"/>
      </w:rPr>
    </w:lvl>
    <w:lvl w:ilvl="5" w:tplc="EAC41F40">
      <w:start w:val="1"/>
      <w:numFmt w:val="bullet"/>
      <w:lvlText w:val=""/>
      <w:lvlJc w:val="left"/>
      <w:pPr>
        <w:ind w:left="4320" w:hanging="360"/>
      </w:pPr>
      <w:rPr>
        <w:rFonts w:ascii="Wingdings" w:hAnsi="Wingdings" w:hint="default"/>
      </w:rPr>
    </w:lvl>
    <w:lvl w:ilvl="6" w:tplc="62109DEA">
      <w:start w:val="1"/>
      <w:numFmt w:val="bullet"/>
      <w:lvlText w:val=""/>
      <w:lvlJc w:val="left"/>
      <w:pPr>
        <w:ind w:left="5040" w:hanging="360"/>
      </w:pPr>
      <w:rPr>
        <w:rFonts w:ascii="Symbol" w:hAnsi="Symbol" w:hint="default"/>
      </w:rPr>
    </w:lvl>
    <w:lvl w:ilvl="7" w:tplc="C9F2F5B8">
      <w:start w:val="1"/>
      <w:numFmt w:val="bullet"/>
      <w:lvlText w:val="o"/>
      <w:lvlJc w:val="left"/>
      <w:pPr>
        <w:ind w:left="5760" w:hanging="360"/>
      </w:pPr>
      <w:rPr>
        <w:rFonts w:ascii="Courier New" w:hAnsi="Courier New" w:hint="default"/>
      </w:rPr>
    </w:lvl>
    <w:lvl w:ilvl="8" w:tplc="2D56971A">
      <w:start w:val="1"/>
      <w:numFmt w:val="bullet"/>
      <w:lvlText w:val=""/>
      <w:lvlJc w:val="left"/>
      <w:pPr>
        <w:ind w:left="6480"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0E928E7"/>
    <w:multiLevelType w:val="hybridMultilevel"/>
    <w:tmpl w:val="23167EFA"/>
    <w:lvl w:ilvl="0" w:tplc="D578D544">
      <w:start w:val="1"/>
      <w:numFmt w:val="bullet"/>
      <w:lvlText w:val=""/>
      <w:lvlJc w:val="left"/>
      <w:pPr>
        <w:ind w:left="720" w:hanging="360"/>
      </w:pPr>
      <w:rPr>
        <w:rFonts w:ascii="Symbol" w:hAnsi="Symbol" w:hint="default"/>
      </w:rPr>
    </w:lvl>
    <w:lvl w:ilvl="1" w:tplc="3D9626DC">
      <w:start w:val="1"/>
      <w:numFmt w:val="bullet"/>
      <w:lvlText w:val="o"/>
      <w:lvlJc w:val="left"/>
      <w:pPr>
        <w:ind w:left="1440" w:hanging="360"/>
      </w:pPr>
      <w:rPr>
        <w:rFonts w:ascii="Courier New" w:hAnsi="Courier New" w:hint="default"/>
      </w:rPr>
    </w:lvl>
    <w:lvl w:ilvl="2" w:tplc="2D74107C">
      <w:start w:val="1"/>
      <w:numFmt w:val="bullet"/>
      <w:lvlText w:val=""/>
      <w:lvlJc w:val="left"/>
      <w:pPr>
        <w:ind w:left="2160" w:hanging="360"/>
      </w:pPr>
      <w:rPr>
        <w:rFonts w:ascii="Wingdings" w:hAnsi="Wingdings" w:hint="default"/>
      </w:rPr>
    </w:lvl>
    <w:lvl w:ilvl="3" w:tplc="A7A01AAA">
      <w:start w:val="1"/>
      <w:numFmt w:val="bullet"/>
      <w:lvlText w:val=""/>
      <w:lvlJc w:val="left"/>
      <w:pPr>
        <w:ind w:left="2880" w:hanging="360"/>
      </w:pPr>
      <w:rPr>
        <w:rFonts w:ascii="Symbol" w:hAnsi="Symbol" w:hint="default"/>
      </w:rPr>
    </w:lvl>
    <w:lvl w:ilvl="4" w:tplc="2D14CA16">
      <w:start w:val="1"/>
      <w:numFmt w:val="bullet"/>
      <w:lvlText w:val="o"/>
      <w:lvlJc w:val="left"/>
      <w:pPr>
        <w:ind w:left="3600" w:hanging="360"/>
      </w:pPr>
      <w:rPr>
        <w:rFonts w:ascii="Courier New" w:hAnsi="Courier New" w:hint="default"/>
      </w:rPr>
    </w:lvl>
    <w:lvl w:ilvl="5" w:tplc="2676F510">
      <w:start w:val="1"/>
      <w:numFmt w:val="bullet"/>
      <w:lvlText w:val=""/>
      <w:lvlJc w:val="left"/>
      <w:pPr>
        <w:ind w:left="4320" w:hanging="360"/>
      </w:pPr>
      <w:rPr>
        <w:rFonts w:ascii="Wingdings" w:hAnsi="Wingdings" w:hint="default"/>
      </w:rPr>
    </w:lvl>
    <w:lvl w:ilvl="6" w:tplc="1D16492A">
      <w:start w:val="1"/>
      <w:numFmt w:val="bullet"/>
      <w:lvlText w:val=""/>
      <w:lvlJc w:val="left"/>
      <w:pPr>
        <w:ind w:left="5040" w:hanging="360"/>
      </w:pPr>
      <w:rPr>
        <w:rFonts w:ascii="Symbol" w:hAnsi="Symbol" w:hint="default"/>
      </w:rPr>
    </w:lvl>
    <w:lvl w:ilvl="7" w:tplc="5F92EC76">
      <w:start w:val="1"/>
      <w:numFmt w:val="bullet"/>
      <w:lvlText w:val="o"/>
      <w:lvlJc w:val="left"/>
      <w:pPr>
        <w:ind w:left="5760" w:hanging="360"/>
      </w:pPr>
      <w:rPr>
        <w:rFonts w:ascii="Courier New" w:hAnsi="Courier New" w:hint="default"/>
      </w:rPr>
    </w:lvl>
    <w:lvl w:ilvl="8" w:tplc="26DE9862">
      <w:start w:val="1"/>
      <w:numFmt w:val="bullet"/>
      <w:lvlText w:val=""/>
      <w:lvlJc w:val="left"/>
      <w:pPr>
        <w:ind w:left="6480" w:hanging="360"/>
      </w:pPr>
      <w:rPr>
        <w:rFonts w:ascii="Wingdings" w:hAnsi="Wingdings" w:hint="default"/>
      </w:rPr>
    </w:lvl>
  </w:abstractNum>
  <w:abstractNum w:abstractNumId="6" w15:restartNumberingAfterBreak="0">
    <w:nsid w:val="17001DF3"/>
    <w:multiLevelType w:val="multilevel"/>
    <w:tmpl w:val="540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6853A"/>
    <w:multiLevelType w:val="hybridMultilevel"/>
    <w:tmpl w:val="DDB8839E"/>
    <w:lvl w:ilvl="0" w:tplc="B9A2FBAC">
      <w:start w:val="1"/>
      <w:numFmt w:val="lowerRoman"/>
      <w:lvlText w:val="i)"/>
      <w:lvlJc w:val="right"/>
      <w:pPr>
        <w:ind w:left="720" w:hanging="360"/>
      </w:pPr>
    </w:lvl>
    <w:lvl w:ilvl="1" w:tplc="ACF25C82">
      <w:start w:val="1"/>
      <w:numFmt w:val="lowerLetter"/>
      <w:lvlText w:val="%2."/>
      <w:lvlJc w:val="left"/>
      <w:pPr>
        <w:ind w:left="1440" w:hanging="360"/>
      </w:pPr>
    </w:lvl>
    <w:lvl w:ilvl="2" w:tplc="45C2AF8E">
      <w:start w:val="1"/>
      <w:numFmt w:val="lowerRoman"/>
      <w:lvlText w:val="%3."/>
      <w:lvlJc w:val="right"/>
      <w:pPr>
        <w:ind w:left="2160" w:hanging="180"/>
      </w:pPr>
    </w:lvl>
    <w:lvl w:ilvl="3" w:tplc="5F8CEE4A">
      <w:start w:val="1"/>
      <w:numFmt w:val="decimal"/>
      <w:lvlText w:val="%4."/>
      <w:lvlJc w:val="left"/>
      <w:pPr>
        <w:ind w:left="2880" w:hanging="360"/>
      </w:pPr>
    </w:lvl>
    <w:lvl w:ilvl="4" w:tplc="21448728">
      <w:start w:val="1"/>
      <w:numFmt w:val="lowerLetter"/>
      <w:lvlText w:val="%5."/>
      <w:lvlJc w:val="left"/>
      <w:pPr>
        <w:ind w:left="3600" w:hanging="360"/>
      </w:pPr>
    </w:lvl>
    <w:lvl w:ilvl="5" w:tplc="A9941D50">
      <w:start w:val="1"/>
      <w:numFmt w:val="lowerRoman"/>
      <w:lvlText w:val="%6."/>
      <w:lvlJc w:val="right"/>
      <w:pPr>
        <w:ind w:left="4320" w:hanging="180"/>
      </w:pPr>
    </w:lvl>
    <w:lvl w:ilvl="6" w:tplc="C50A8A3A">
      <w:start w:val="1"/>
      <w:numFmt w:val="decimal"/>
      <w:lvlText w:val="%7."/>
      <w:lvlJc w:val="left"/>
      <w:pPr>
        <w:ind w:left="5040" w:hanging="360"/>
      </w:pPr>
    </w:lvl>
    <w:lvl w:ilvl="7" w:tplc="41DAC844">
      <w:start w:val="1"/>
      <w:numFmt w:val="lowerLetter"/>
      <w:lvlText w:val="%8."/>
      <w:lvlJc w:val="left"/>
      <w:pPr>
        <w:ind w:left="5760" w:hanging="360"/>
      </w:pPr>
    </w:lvl>
    <w:lvl w:ilvl="8" w:tplc="59D2260A">
      <w:start w:val="1"/>
      <w:numFmt w:val="lowerRoman"/>
      <w:lvlText w:val="%9."/>
      <w:lvlJc w:val="right"/>
      <w:pPr>
        <w:ind w:left="6480" w:hanging="180"/>
      </w:pPr>
    </w:lvl>
  </w:abstractNum>
  <w:abstractNum w:abstractNumId="9" w15:restartNumberingAfterBreak="0">
    <w:nsid w:val="2C6022CB"/>
    <w:multiLevelType w:val="hybridMultilevel"/>
    <w:tmpl w:val="A3B00C0C"/>
    <w:lvl w:ilvl="0" w:tplc="81B0A64A">
      <w:start w:val="1"/>
      <w:numFmt w:val="bullet"/>
      <w:lvlText w:val=""/>
      <w:lvlJc w:val="left"/>
      <w:pPr>
        <w:ind w:left="720" w:hanging="360"/>
      </w:pPr>
      <w:rPr>
        <w:rFonts w:ascii="Symbol" w:hAnsi="Symbol" w:hint="default"/>
      </w:rPr>
    </w:lvl>
    <w:lvl w:ilvl="1" w:tplc="1396A0D6">
      <w:start w:val="1"/>
      <w:numFmt w:val="bullet"/>
      <w:lvlText w:val="o"/>
      <w:lvlJc w:val="left"/>
      <w:pPr>
        <w:ind w:left="1440" w:hanging="360"/>
      </w:pPr>
      <w:rPr>
        <w:rFonts w:ascii="Courier New" w:hAnsi="Courier New" w:hint="default"/>
      </w:rPr>
    </w:lvl>
    <w:lvl w:ilvl="2" w:tplc="E1D42C70">
      <w:start w:val="1"/>
      <w:numFmt w:val="bullet"/>
      <w:lvlText w:val=""/>
      <w:lvlJc w:val="left"/>
      <w:pPr>
        <w:ind w:left="2160" w:hanging="360"/>
      </w:pPr>
      <w:rPr>
        <w:rFonts w:ascii="Wingdings" w:hAnsi="Wingdings" w:hint="default"/>
      </w:rPr>
    </w:lvl>
    <w:lvl w:ilvl="3" w:tplc="1BCCD2C2">
      <w:start w:val="1"/>
      <w:numFmt w:val="bullet"/>
      <w:lvlText w:val=""/>
      <w:lvlJc w:val="left"/>
      <w:pPr>
        <w:ind w:left="2880" w:hanging="360"/>
      </w:pPr>
      <w:rPr>
        <w:rFonts w:ascii="Symbol" w:hAnsi="Symbol" w:hint="default"/>
      </w:rPr>
    </w:lvl>
    <w:lvl w:ilvl="4" w:tplc="1476519C">
      <w:start w:val="1"/>
      <w:numFmt w:val="bullet"/>
      <w:lvlText w:val="o"/>
      <w:lvlJc w:val="left"/>
      <w:pPr>
        <w:ind w:left="3600" w:hanging="360"/>
      </w:pPr>
      <w:rPr>
        <w:rFonts w:ascii="Courier New" w:hAnsi="Courier New" w:hint="default"/>
      </w:rPr>
    </w:lvl>
    <w:lvl w:ilvl="5" w:tplc="2C2A8CD2">
      <w:start w:val="1"/>
      <w:numFmt w:val="bullet"/>
      <w:lvlText w:val=""/>
      <w:lvlJc w:val="left"/>
      <w:pPr>
        <w:ind w:left="4320" w:hanging="360"/>
      </w:pPr>
      <w:rPr>
        <w:rFonts w:ascii="Wingdings" w:hAnsi="Wingdings" w:hint="default"/>
      </w:rPr>
    </w:lvl>
    <w:lvl w:ilvl="6" w:tplc="E03E6B9E">
      <w:start w:val="1"/>
      <w:numFmt w:val="bullet"/>
      <w:lvlText w:val=""/>
      <w:lvlJc w:val="left"/>
      <w:pPr>
        <w:ind w:left="5040" w:hanging="360"/>
      </w:pPr>
      <w:rPr>
        <w:rFonts w:ascii="Symbol" w:hAnsi="Symbol" w:hint="default"/>
      </w:rPr>
    </w:lvl>
    <w:lvl w:ilvl="7" w:tplc="EAAA0A40">
      <w:start w:val="1"/>
      <w:numFmt w:val="bullet"/>
      <w:lvlText w:val="o"/>
      <w:lvlJc w:val="left"/>
      <w:pPr>
        <w:ind w:left="5760" w:hanging="360"/>
      </w:pPr>
      <w:rPr>
        <w:rFonts w:ascii="Courier New" w:hAnsi="Courier New" w:hint="default"/>
      </w:rPr>
    </w:lvl>
    <w:lvl w:ilvl="8" w:tplc="AB60294C">
      <w:start w:val="1"/>
      <w:numFmt w:val="bullet"/>
      <w:lvlText w:val=""/>
      <w:lvlJc w:val="left"/>
      <w:pPr>
        <w:ind w:left="6480" w:hanging="360"/>
      </w:pPr>
      <w:rPr>
        <w:rFonts w:ascii="Wingdings" w:hAnsi="Wingdings" w:hint="default"/>
      </w:rPr>
    </w:lvl>
  </w:abstractNum>
  <w:abstractNum w:abstractNumId="10" w15:restartNumberingAfterBreak="0">
    <w:nsid w:val="30482865"/>
    <w:multiLevelType w:val="hybridMultilevel"/>
    <w:tmpl w:val="DC7C17B0"/>
    <w:lvl w:ilvl="0" w:tplc="2F8A0738">
      <w:start w:val="4"/>
      <w:numFmt w:val="decimal"/>
      <w:lvlText w:val="%1."/>
      <w:lvlJc w:val="left"/>
      <w:pPr>
        <w:ind w:left="720" w:hanging="360"/>
      </w:pPr>
    </w:lvl>
    <w:lvl w:ilvl="1" w:tplc="3BC085AC">
      <w:start w:val="1"/>
      <w:numFmt w:val="lowerLetter"/>
      <w:lvlText w:val="%2."/>
      <w:lvlJc w:val="left"/>
      <w:pPr>
        <w:ind w:left="1440" w:hanging="360"/>
      </w:pPr>
    </w:lvl>
    <w:lvl w:ilvl="2" w:tplc="9D96FA82">
      <w:start w:val="1"/>
      <w:numFmt w:val="lowerRoman"/>
      <w:lvlText w:val="%3."/>
      <w:lvlJc w:val="right"/>
      <w:pPr>
        <w:ind w:left="2160" w:hanging="180"/>
      </w:pPr>
    </w:lvl>
    <w:lvl w:ilvl="3" w:tplc="F35CDA00">
      <w:start w:val="1"/>
      <w:numFmt w:val="decimal"/>
      <w:lvlText w:val="%4."/>
      <w:lvlJc w:val="left"/>
      <w:pPr>
        <w:ind w:left="2880" w:hanging="360"/>
      </w:pPr>
    </w:lvl>
    <w:lvl w:ilvl="4" w:tplc="F01633C8">
      <w:start w:val="1"/>
      <w:numFmt w:val="lowerLetter"/>
      <w:lvlText w:val="%5."/>
      <w:lvlJc w:val="left"/>
      <w:pPr>
        <w:ind w:left="3600" w:hanging="360"/>
      </w:pPr>
    </w:lvl>
    <w:lvl w:ilvl="5" w:tplc="CA9095BA">
      <w:start w:val="1"/>
      <w:numFmt w:val="lowerRoman"/>
      <w:lvlText w:val="%6."/>
      <w:lvlJc w:val="right"/>
      <w:pPr>
        <w:ind w:left="4320" w:hanging="180"/>
      </w:pPr>
    </w:lvl>
    <w:lvl w:ilvl="6" w:tplc="904AEDE8">
      <w:start w:val="1"/>
      <w:numFmt w:val="decimal"/>
      <w:lvlText w:val="%7."/>
      <w:lvlJc w:val="left"/>
      <w:pPr>
        <w:ind w:left="5040" w:hanging="360"/>
      </w:pPr>
    </w:lvl>
    <w:lvl w:ilvl="7" w:tplc="A5262D3C">
      <w:start w:val="1"/>
      <w:numFmt w:val="lowerLetter"/>
      <w:lvlText w:val="%8."/>
      <w:lvlJc w:val="left"/>
      <w:pPr>
        <w:ind w:left="5760" w:hanging="360"/>
      </w:pPr>
    </w:lvl>
    <w:lvl w:ilvl="8" w:tplc="CDC20F16">
      <w:start w:val="1"/>
      <w:numFmt w:val="lowerRoman"/>
      <w:lvlText w:val="%9."/>
      <w:lvlJc w:val="right"/>
      <w:pPr>
        <w:ind w:left="6480" w:hanging="180"/>
      </w:p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9938F1"/>
    <w:multiLevelType w:val="hybridMultilevel"/>
    <w:tmpl w:val="3B6AD368"/>
    <w:lvl w:ilvl="0" w:tplc="CA803C60">
      <w:start w:val="1"/>
      <w:numFmt w:val="decimal"/>
      <w:lvlText w:val="%1."/>
      <w:lvlJc w:val="left"/>
      <w:pPr>
        <w:ind w:left="720" w:hanging="360"/>
      </w:pPr>
    </w:lvl>
    <w:lvl w:ilvl="1" w:tplc="B5983E6C">
      <w:start w:val="1"/>
      <w:numFmt w:val="lowerLetter"/>
      <w:lvlText w:val="%2."/>
      <w:lvlJc w:val="left"/>
      <w:pPr>
        <w:ind w:left="1440" w:hanging="360"/>
      </w:pPr>
    </w:lvl>
    <w:lvl w:ilvl="2" w:tplc="3CB092F2">
      <w:start w:val="1"/>
      <w:numFmt w:val="lowerRoman"/>
      <w:lvlText w:val="%3."/>
      <w:lvlJc w:val="right"/>
      <w:pPr>
        <w:ind w:left="2160" w:hanging="180"/>
      </w:pPr>
    </w:lvl>
    <w:lvl w:ilvl="3" w:tplc="EB745B60">
      <w:start w:val="1"/>
      <w:numFmt w:val="decimal"/>
      <w:lvlText w:val="%4."/>
      <w:lvlJc w:val="left"/>
      <w:pPr>
        <w:ind w:left="2880" w:hanging="360"/>
      </w:pPr>
    </w:lvl>
    <w:lvl w:ilvl="4" w:tplc="D2BAB1B6">
      <w:start w:val="1"/>
      <w:numFmt w:val="lowerLetter"/>
      <w:lvlText w:val="%5."/>
      <w:lvlJc w:val="left"/>
      <w:pPr>
        <w:ind w:left="3600" w:hanging="360"/>
      </w:pPr>
    </w:lvl>
    <w:lvl w:ilvl="5" w:tplc="1F36C0C8">
      <w:start w:val="1"/>
      <w:numFmt w:val="lowerRoman"/>
      <w:lvlText w:val="%6."/>
      <w:lvlJc w:val="right"/>
      <w:pPr>
        <w:ind w:left="4320" w:hanging="180"/>
      </w:pPr>
    </w:lvl>
    <w:lvl w:ilvl="6" w:tplc="4EBE2BE6">
      <w:start w:val="1"/>
      <w:numFmt w:val="decimal"/>
      <w:lvlText w:val="%7."/>
      <w:lvlJc w:val="left"/>
      <w:pPr>
        <w:ind w:left="5040" w:hanging="360"/>
      </w:pPr>
    </w:lvl>
    <w:lvl w:ilvl="7" w:tplc="7F72E016">
      <w:start w:val="1"/>
      <w:numFmt w:val="lowerLetter"/>
      <w:lvlText w:val="%8."/>
      <w:lvlJc w:val="left"/>
      <w:pPr>
        <w:ind w:left="5760" w:hanging="360"/>
      </w:pPr>
    </w:lvl>
    <w:lvl w:ilvl="8" w:tplc="5DCA8A64">
      <w:start w:val="1"/>
      <w:numFmt w:val="lowerRoman"/>
      <w:lvlText w:val="%9."/>
      <w:lvlJc w:val="right"/>
      <w:pPr>
        <w:ind w:left="6480" w:hanging="180"/>
      </w:pPr>
    </w:lvl>
  </w:abstractNum>
  <w:abstractNum w:abstractNumId="15" w15:restartNumberingAfterBreak="0">
    <w:nsid w:val="33FB1C8A"/>
    <w:multiLevelType w:val="hybridMultilevel"/>
    <w:tmpl w:val="A0EAB4A0"/>
    <w:lvl w:ilvl="0" w:tplc="FC2CAC78">
      <w:start w:val="1"/>
      <w:numFmt w:val="bullet"/>
      <w:lvlText w:val=""/>
      <w:lvlJc w:val="left"/>
      <w:pPr>
        <w:ind w:left="720" w:hanging="360"/>
      </w:pPr>
      <w:rPr>
        <w:rFonts w:ascii="Symbol" w:hAnsi="Symbol" w:hint="default"/>
      </w:rPr>
    </w:lvl>
    <w:lvl w:ilvl="1" w:tplc="2BA604B8">
      <w:start w:val="1"/>
      <w:numFmt w:val="bullet"/>
      <w:lvlText w:val="o"/>
      <w:lvlJc w:val="left"/>
      <w:pPr>
        <w:ind w:left="1440" w:hanging="360"/>
      </w:pPr>
      <w:rPr>
        <w:rFonts w:ascii="Courier New" w:hAnsi="Courier New" w:hint="default"/>
      </w:rPr>
    </w:lvl>
    <w:lvl w:ilvl="2" w:tplc="566E0BB0">
      <w:start w:val="1"/>
      <w:numFmt w:val="bullet"/>
      <w:lvlText w:val=""/>
      <w:lvlJc w:val="left"/>
      <w:pPr>
        <w:ind w:left="2160" w:hanging="360"/>
      </w:pPr>
      <w:rPr>
        <w:rFonts w:ascii="Wingdings" w:hAnsi="Wingdings" w:hint="default"/>
      </w:rPr>
    </w:lvl>
    <w:lvl w:ilvl="3" w:tplc="BED20284">
      <w:start w:val="1"/>
      <w:numFmt w:val="bullet"/>
      <w:lvlText w:val=""/>
      <w:lvlJc w:val="left"/>
      <w:pPr>
        <w:ind w:left="2880" w:hanging="360"/>
      </w:pPr>
      <w:rPr>
        <w:rFonts w:ascii="Symbol" w:hAnsi="Symbol" w:hint="default"/>
      </w:rPr>
    </w:lvl>
    <w:lvl w:ilvl="4" w:tplc="D3783BE2">
      <w:start w:val="1"/>
      <w:numFmt w:val="bullet"/>
      <w:lvlText w:val="o"/>
      <w:lvlJc w:val="left"/>
      <w:pPr>
        <w:ind w:left="3600" w:hanging="360"/>
      </w:pPr>
      <w:rPr>
        <w:rFonts w:ascii="Courier New" w:hAnsi="Courier New" w:hint="default"/>
      </w:rPr>
    </w:lvl>
    <w:lvl w:ilvl="5" w:tplc="BBE4A7D4">
      <w:start w:val="1"/>
      <w:numFmt w:val="bullet"/>
      <w:lvlText w:val=""/>
      <w:lvlJc w:val="left"/>
      <w:pPr>
        <w:ind w:left="4320" w:hanging="360"/>
      </w:pPr>
      <w:rPr>
        <w:rFonts w:ascii="Wingdings" w:hAnsi="Wingdings" w:hint="default"/>
      </w:rPr>
    </w:lvl>
    <w:lvl w:ilvl="6" w:tplc="0AE2CD0A">
      <w:start w:val="1"/>
      <w:numFmt w:val="bullet"/>
      <w:lvlText w:val=""/>
      <w:lvlJc w:val="left"/>
      <w:pPr>
        <w:ind w:left="5040" w:hanging="360"/>
      </w:pPr>
      <w:rPr>
        <w:rFonts w:ascii="Symbol" w:hAnsi="Symbol" w:hint="default"/>
      </w:rPr>
    </w:lvl>
    <w:lvl w:ilvl="7" w:tplc="9EDA8AE8">
      <w:start w:val="1"/>
      <w:numFmt w:val="bullet"/>
      <w:lvlText w:val="o"/>
      <w:lvlJc w:val="left"/>
      <w:pPr>
        <w:ind w:left="5760" w:hanging="360"/>
      </w:pPr>
      <w:rPr>
        <w:rFonts w:ascii="Courier New" w:hAnsi="Courier New" w:hint="default"/>
      </w:rPr>
    </w:lvl>
    <w:lvl w:ilvl="8" w:tplc="82A6AA74">
      <w:start w:val="1"/>
      <w:numFmt w:val="bullet"/>
      <w:lvlText w:val=""/>
      <w:lvlJc w:val="left"/>
      <w:pPr>
        <w:ind w:left="6480" w:hanging="360"/>
      </w:pPr>
      <w:rPr>
        <w:rFonts w:ascii="Wingdings" w:hAnsi="Wingdings" w:hint="default"/>
      </w:rPr>
    </w:lvl>
  </w:abstractNum>
  <w:abstractNum w:abstractNumId="1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F7B89B0"/>
    <w:multiLevelType w:val="hybridMultilevel"/>
    <w:tmpl w:val="BB843F12"/>
    <w:lvl w:ilvl="0" w:tplc="F162F082">
      <w:start w:val="1"/>
      <w:numFmt w:val="bullet"/>
      <w:lvlText w:val=""/>
      <w:lvlJc w:val="left"/>
      <w:pPr>
        <w:ind w:left="720" w:hanging="360"/>
      </w:pPr>
      <w:rPr>
        <w:rFonts w:ascii="Symbol" w:hAnsi="Symbol" w:hint="default"/>
      </w:rPr>
    </w:lvl>
    <w:lvl w:ilvl="1" w:tplc="2E0003F8">
      <w:start w:val="1"/>
      <w:numFmt w:val="bullet"/>
      <w:lvlText w:val="o"/>
      <w:lvlJc w:val="left"/>
      <w:pPr>
        <w:ind w:left="1440" w:hanging="360"/>
      </w:pPr>
      <w:rPr>
        <w:rFonts w:ascii="Courier New" w:hAnsi="Courier New" w:hint="default"/>
      </w:rPr>
    </w:lvl>
    <w:lvl w:ilvl="2" w:tplc="8354AA84">
      <w:start w:val="1"/>
      <w:numFmt w:val="bullet"/>
      <w:lvlText w:val=""/>
      <w:lvlJc w:val="left"/>
      <w:pPr>
        <w:ind w:left="2160" w:hanging="360"/>
      </w:pPr>
      <w:rPr>
        <w:rFonts w:ascii="Wingdings" w:hAnsi="Wingdings" w:hint="default"/>
      </w:rPr>
    </w:lvl>
    <w:lvl w:ilvl="3" w:tplc="F39E94C4">
      <w:start w:val="1"/>
      <w:numFmt w:val="bullet"/>
      <w:lvlText w:val=""/>
      <w:lvlJc w:val="left"/>
      <w:pPr>
        <w:ind w:left="2880" w:hanging="360"/>
      </w:pPr>
      <w:rPr>
        <w:rFonts w:ascii="Symbol" w:hAnsi="Symbol" w:hint="default"/>
      </w:rPr>
    </w:lvl>
    <w:lvl w:ilvl="4" w:tplc="B1C66954">
      <w:start w:val="1"/>
      <w:numFmt w:val="bullet"/>
      <w:lvlText w:val="o"/>
      <w:lvlJc w:val="left"/>
      <w:pPr>
        <w:ind w:left="3600" w:hanging="360"/>
      </w:pPr>
      <w:rPr>
        <w:rFonts w:ascii="Courier New" w:hAnsi="Courier New" w:hint="default"/>
      </w:rPr>
    </w:lvl>
    <w:lvl w:ilvl="5" w:tplc="48568726">
      <w:start w:val="1"/>
      <w:numFmt w:val="bullet"/>
      <w:lvlText w:val=""/>
      <w:lvlJc w:val="left"/>
      <w:pPr>
        <w:ind w:left="4320" w:hanging="360"/>
      </w:pPr>
      <w:rPr>
        <w:rFonts w:ascii="Wingdings" w:hAnsi="Wingdings" w:hint="default"/>
      </w:rPr>
    </w:lvl>
    <w:lvl w:ilvl="6" w:tplc="5260B536">
      <w:start w:val="1"/>
      <w:numFmt w:val="bullet"/>
      <w:lvlText w:val=""/>
      <w:lvlJc w:val="left"/>
      <w:pPr>
        <w:ind w:left="5040" w:hanging="360"/>
      </w:pPr>
      <w:rPr>
        <w:rFonts w:ascii="Symbol" w:hAnsi="Symbol" w:hint="default"/>
      </w:rPr>
    </w:lvl>
    <w:lvl w:ilvl="7" w:tplc="89784EE6">
      <w:start w:val="1"/>
      <w:numFmt w:val="bullet"/>
      <w:lvlText w:val="o"/>
      <w:lvlJc w:val="left"/>
      <w:pPr>
        <w:ind w:left="5760" w:hanging="360"/>
      </w:pPr>
      <w:rPr>
        <w:rFonts w:ascii="Courier New" w:hAnsi="Courier New" w:hint="default"/>
      </w:rPr>
    </w:lvl>
    <w:lvl w:ilvl="8" w:tplc="53741BBC">
      <w:start w:val="1"/>
      <w:numFmt w:val="bullet"/>
      <w:lvlText w:val=""/>
      <w:lvlJc w:val="left"/>
      <w:pPr>
        <w:ind w:left="6480" w:hanging="360"/>
      </w:pPr>
      <w:rPr>
        <w:rFonts w:ascii="Wingdings" w:hAnsi="Wingdings" w:hint="default"/>
      </w:rPr>
    </w:lvl>
  </w:abstractNum>
  <w:abstractNum w:abstractNumId="20" w15:restartNumberingAfterBreak="0">
    <w:nsid w:val="41FA4C4F"/>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C74F64"/>
    <w:multiLevelType w:val="hybridMultilevel"/>
    <w:tmpl w:val="FB2C94FE"/>
    <w:lvl w:ilvl="0" w:tplc="39746DF4">
      <w:start w:val="2"/>
      <w:numFmt w:val="decimal"/>
      <w:lvlText w:val="%1."/>
      <w:lvlJc w:val="left"/>
      <w:pPr>
        <w:ind w:left="720" w:hanging="360"/>
      </w:pPr>
    </w:lvl>
    <w:lvl w:ilvl="1" w:tplc="AEB24FF2">
      <w:start w:val="1"/>
      <w:numFmt w:val="lowerLetter"/>
      <w:lvlText w:val="%2."/>
      <w:lvlJc w:val="left"/>
      <w:pPr>
        <w:ind w:left="1440" w:hanging="360"/>
      </w:pPr>
    </w:lvl>
    <w:lvl w:ilvl="2" w:tplc="8A0ECC78">
      <w:start w:val="1"/>
      <w:numFmt w:val="lowerRoman"/>
      <w:lvlText w:val="%3."/>
      <w:lvlJc w:val="right"/>
      <w:pPr>
        <w:ind w:left="2160" w:hanging="180"/>
      </w:pPr>
    </w:lvl>
    <w:lvl w:ilvl="3" w:tplc="A84E4836">
      <w:start w:val="1"/>
      <w:numFmt w:val="decimal"/>
      <w:lvlText w:val="%4."/>
      <w:lvlJc w:val="left"/>
      <w:pPr>
        <w:ind w:left="2880" w:hanging="360"/>
      </w:pPr>
    </w:lvl>
    <w:lvl w:ilvl="4" w:tplc="AF3AB628">
      <w:start w:val="1"/>
      <w:numFmt w:val="lowerLetter"/>
      <w:lvlText w:val="%5."/>
      <w:lvlJc w:val="left"/>
      <w:pPr>
        <w:ind w:left="3600" w:hanging="360"/>
      </w:pPr>
    </w:lvl>
    <w:lvl w:ilvl="5" w:tplc="AF9A2644">
      <w:start w:val="1"/>
      <w:numFmt w:val="lowerRoman"/>
      <w:lvlText w:val="%6."/>
      <w:lvlJc w:val="right"/>
      <w:pPr>
        <w:ind w:left="4320" w:hanging="180"/>
      </w:pPr>
    </w:lvl>
    <w:lvl w:ilvl="6" w:tplc="514E6BE0">
      <w:start w:val="1"/>
      <w:numFmt w:val="decimal"/>
      <w:lvlText w:val="%7."/>
      <w:lvlJc w:val="left"/>
      <w:pPr>
        <w:ind w:left="5040" w:hanging="360"/>
      </w:pPr>
    </w:lvl>
    <w:lvl w:ilvl="7" w:tplc="FD52F868">
      <w:start w:val="1"/>
      <w:numFmt w:val="lowerLetter"/>
      <w:lvlText w:val="%8."/>
      <w:lvlJc w:val="left"/>
      <w:pPr>
        <w:ind w:left="5760" w:hanging="360"/>
      </w:pPr>
    </w:lvl>
    <w:lvl w:ilvl="8" w:tplc="54B039FA">
      <w:start w:val="1"/>
      <w:numFmt w:val="lowerRoman"/>
      <w:lvlText w:val="%9."/>
      <w:lvlJc w:val="right"/>
      <w:pPr>
        <w:ind w:left="6480" w:hanging="180"/>
      </w:pPr>
    </w:lvl>
  </w:abstractNum>
  <w:abstractNum w:abstractNumId="22" w15:restartNumberingAfterBreak="0">
    <w:nsid w:val="5FC84A40"/>
    <w:multiLevelType w:val="hybridMultilevel"/>
    <w:tmpl w:val="80F4B306"/>
    <w:lvl w:ilvl="0" w:tplc="67709D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4" w15:restartNumberingAfterBreak="0">
    <w:nsid w:val="67FD3277"/>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87F2D"/>
    <w:multiLevelType w:val="hybridMultilevel"/>
    <w:tmpl w:val="49466ED2"/>
    <w:lvl w:ilvl="0" w:tplc="E1D2C4B8">
      <w:start w:val="5"/>
      <w:numFmt w:val="decimal"/>
      <w:lvlText w:val="%1."/>
      <w:lvlJc w:val="left"/>
      <w:pPr>
        <w:ind w:left="720" w:hanging="360"/>
      </w:pPr>
    </w:lvl>
    <w:lvl w:ilvl="1" w:tplc="517EE910">
      <w:start w:val="1"/>
      <w:numFmt w:val="lowerLetter"/>
      <w:lvlText w:val="%2."/>
      <w:lvlJc w:val="left"/>
      <w:pPr>
        <w:ind w:left="1440" w:hanging="360"/>
      </w:pPr>
    </w:lvl>
    <w:lvl w:ilvl="2" w:tplc="98321B18">
      <w:start w:val="1"/>
      <w:numFmt w:val="lowerRoman"/>
      <w:lvlText w:val="%3."/>
      <w:lvlJc w:val="right"/>
      <w:pPr>
        <w:ind w:left="2160" w:hanging="180"/>
      </w:pPr>
    </w:lvl>
    <w:lvl w:ilvl="3" w:tplc="E9C489F8">
      <w:start w:val="1"/>
      <w:numFmt w:val="decimal"/>
      <w:lvlText w:val="%4."/>
      <w:lvlJc w:val="left"/>
      <w:pPr>
        <w:ind w:left="2880" w:hanging="360"/>
      </w:pPr>
    </w:lvl>
    <w:lvl w:ilvl="4" w:tplc="6234D5CA">
      <w:start w:val="1"/>
      <w:numFmt w:val="lowerLetter"/>
      <w:lvlText w:val="%5."/>
      <w:lvlJc w:val="left"/>
      <w:pPr>
        <w:ind w:left="3600" w:hanging="360"/>
      </w:pPr>
    </w:lvl>
    <w:lvl w:ilvl="5" w:tplc="28A48624">
      <w:start w:val="1"/>
      <w:numFmt w:val="lowerRoman"/>
      <w:lvlText w:val="%6."/>
      <w:lvlJc w:val="right"/>
      <w:pPr>
        <w:ind w:left="4320" w:hanging="180"/>
      </w:pPr>
    </w:lvl>
    <w:lvl w:ilvl="6" w:tplc="A3C06DAE">
      <w:start w:val="1"/>
      <w:numFmt w:val="decimal"/>
      <w:lvlText w:val="%7."/>
      <w:lvlJc w:val="left"/>
      <w:pPr>
        <w:ind w:left="5040" w:hanging="360"/>
      </w:pPr>
    </w:lvl>
    <w:lvl w:ilvl="7" w:tplc="1812D32C">
      <w:start w:val="1"/>
      <w:numFmt w:val="lowerLetter"/>
      <w:lvlText w:val="%8."/>
      <w:lvlJc w:val="left"/>
      <w:pPr>
        <w:ind w:left="5760" w:hanging="360"/>
      </w:pPr>
    </w:lvl>
    <w:lvl w:ilvl="8" w:tplc="EA401B42">
      <w:start w:val="1"/>
      <w:numFmt w:val="lowerRoman"/>
      <w:lvlText w:val="%9."/>
      <w:lvlJc w:val="right"/>
      <w:pPr>
        <w:ind w:left="6480" w:hanging="180"/>
      </w:pPr>
    </w:lvl>
  </w:abstractNum>
  <w:abstractNum w:abstractNumId="28" w15:restartNumberingAfterBreak="0">
    <w:nsid w:val="6DDDCA62"/>
    <w:multiLevelType w:val="hybridMultilevel"/>
    <w:tmpl w:val="B456DD9C"/>
    <w:lvl w:ilvl="0" w:tplc="5E0689E4">
      <w:start w:val="1"/>
      <w:numFmt w:val="bullet"/>
      <w:lvlText w:val=""/>
      <w:lvlJc w:val="left"/>
      <w:pPr>
        <w:ind w:left="720" w:hanging="360"/>
      </w:pPr>
      <w:rPr>
        <w:rFonts w:ascii="Symbol" w:hAnsi="Symbol" w:hint="default"/>
      </w:rPr>
    </w:lvl>
    <w:lvl w:ilvl="1" w:tplc="6C58F30E">
      <w:start w:val="1"/>
      <w:numFmt w:val="bullet"/>
      <w:lvlText w:val="o"/>
      <w:lvlJc w:val="left"/>
      <w:pPr>
        <w:ind w:left="1440" w:hanging="360"/>
      </w:pPr>
      <w:rPr>
        <w:rFonts w:ascii="Courier New" w:hAnsi="Courier New" w:hint="default"/>
      </w:rPr>
    </w:lvl>
    <w:lvl w:ilvl="2" w:tplc="0AD02F88">
      <w:start w:val="1"/>
      <w:numFmt w:val="bullet"/>
      <w:lvlText w:val=""/>
      <w:lvlJc w:val="left"/>
      <w:pPr>
        <w:ind w:left="2160" w:hanging="360"/>
      </w:pPr>
      <w:rPr>
        <w:rFonts w:ascii="Wingdings" w:hAnsi="Wingdings" w:hint="default"/>
      </w:rPr>
    </w:lvl>
    <w:lvl w:ilvl="3" w:tplc="EB2A625C">
      <w:start w:val="1"/>
      <w:numFmt w:val="bullet"/>
      <w:lvlText w:val=""/>
      <w:lvlJc w:val="left"/>
      <w:pPr>
        <w:ind w:left="2880" w:hanging="360"/>
      </w:pPr>
      <w:rPr>
        <w:rFonts w:ascii="Symbol" w:hAnsi="Symbol" w:hint="default"/>
      </w:rPr>
    </w:lvl>
    <w:lvl w:ilvl="4" w:tplc="E468F588">
      <w:start w:val="1"/>
      <w:numFmt w:val="bullet"/>
      <w:lvlText w:val="o"/>
      <w:lvlJc w:val="left"/>
      <w:pPr>
        <w:ind w:left="3600" w:hanging="360"/>
      </w:pPr>
      <w:rPr>
        <w:rFonts w:ascii="Courier New" w:hAnsi="Courier New" w:hint="default"/>
      </w:rPr>
    </w:lvl>
    <w:lvl w:ilvl="5" w:tplc="FA02B17C">
      <w:start w:val="1"/>
      <w:numFmt w:val="bullet"/>
      <w:lvlText w:val=""/>
      <w:lvlJc w:val="left"/>
      <w:pPr>
        <w:ind w:left="4320" w:hanging="360"/>
      </w:pPr>
      <w:rPr>
        <w:rFonts w:ascii="Wingdings" w:hAnsi="Wingdings" w:hint="default"/>
      </w:rPr>
    </w:lvl>
    <w:lvl w:ilvl="6" w:tplc="6D165FFA">
      <w:start w:val="1"/>
      <w:numFmt w:val="bullet"/>
      <w:lvlText w:val=""/>
      <w:lvlJc w:val="left"/>
      <w:pPr>
        <w:ind w:left="5040" w:hanging="360"/>
      </w:pPr>
      <w:rPr>
        <w:rFonts w:ascii="Symbol" w:hAnsi="Symbol" w:hint="default"/>
      </w:rPr>
    </w:lvl>
    <w:lvl w:ilvl="7" w:tplc="7FDE0472">
      <w:start w:val="1"/>
      <w:numFmt w:val="bullet"/>
      <w:lvlText w:val="o"/>
      <w:lvlJc w:val="left"/>
      <w:pPr>
        <w:ind w:left="5760" w:hanging="360"/>
      </w:pPr>
      <w:rPr>
        <w:rFonts w:ascii="Courier New" w:hAnsi="Courier New" w:hint="default"/>
      </w:rPr>
    </w:lvl>
    <w:lvl w:ilvl="8" w:tplc="07D491D4">
      <w:start w:val="1"/>
      <w:numFmt w:val="bullet"/>
      <w:lvlText w:val=""/>
      <w:lvlJc w:val="left"/>
      <w:pPr>
        <w:ind w:left="6480" w:hanging="360"/>
      </w:pPr>
      <w:rPr>
        <w:rFonts w:ascii="Wingdings" w:hAnsi="Wingdings" w:hint="default"/>
      </w:rPr>
    </w:lvl>
  </w:abstractNum>
  <w:abstractNum w:abstractNumId="2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DD0F5"/>
    <w:multiLevelType w:val="hybridMultilevel"/>
    <w:tmpl w:val="71CE654E"/>
    <w:lvl w:ilvl="0" w:tplc="FFC25F4C">
      <w:start w:val="1"/>
      <w:numFmt w:val="bullet"/>
      <w:lvlText w:val=""/>
      <w:lvlJc w:val="left"/>
      <w:pPr>
        <w:ind w:left="720" w:hanging="360"/>
      </w:pPr>
      <w:rPr>
        <w:rFonts w:ascii="Symbol" w:hAnsi="Symbol" w:hint="default"/>
      </w:rPr>
    </w:lvl>
    <w:lvl w:ilvl="1" w:tplc="633A1E2A">
      <w:start w:val="1"/>
      <w:numFmt w:val="bullet"/>
      <w:lvlText w:val="o"/>
      <w:lvlJc w:val="left"/>
      <w:pPr>
        <w:ind w:left="1440" w:hanging="360"/>
      </w:pPr>
      <w:rPr>
        <w:rFonts w:ascii="Courier New" w:hAnsi="Courier New" w:hint="default"/>
      </w:rPr>
    </w:lvl>
    <w:lvl w:ilvl="2" w:tplc="BAF030D4">
      <w:start w:val="1"/>
      <w:numFmt w:val="bullet"/>
      <w:lvlText w:val=""/>
      <w:lvlJc w:val="left"/>
      <w:pPr>
        <w:ind w:left="2160" w:hanging="360"/>
      </w:pPr>
      <w:rPr>
        <w:rFonts w:ascii="Wingdings" w:hAnsi="Wingdings" w:hint="default"/>
      </w:rPr>
    </w:lvl>
    <w:lvl w:ilvl="3" w:tplc="AD26296E">
      <w:start w:val="1"/>
      <w:numFmt w:val="bullet"/>
      <w:lvlText w:val=""/>
      <w:lvlJc w:val="left"/>
      <w:pPr>
        <w:ind w:left="2880" w:hanging="360"/>
      </w:pPr>
      <w:rPr>
        <w:rFonts w:ascii="Symbol" w:hAnsi="Symbol" w:hint="default"/>
      </w:rPr>
    </w:lvl>
    <w:lvl w:ilvl="4" w:tplc="B5AC409A">
      <w:start w:val="1"/>
      <w:numFmt w:val="bullet"/>
      <w:lvlText w:val="o"/>
      <w:lvlJc w:val="left"/>
      <w:pPr>
        <w:ind w:left="3600" w:hanging="360"/>
      </w:pPr>
      <w:rPr>
        <w:rFonts w:ascii="Courier New" w:hAnsi="Courier New" w:hint="default"/>
      </w:rPr>
    </w:lvl>
    <w:lvl w:ilvl="5" w:tplc="E752C6CC">
      <w:start w:val="1"/>
      <w:numFmt w:val="bullet"/>
      <w:lvlText w:val=""/>
      <w:lvlJc w:val="left"/>
      <w:pPr>
        <w:ind w:left="4320" w:hanging="360"/>
      </w:pPr>
      <w:rPr>
        <w:rFonts w:ascii="Wingdings" w:hAnsi="Wingdings" w:hint="default"/>
      </w:rPr>
    </w:lvl>
    <w:lvl w:ilvl="6" w:tplc="33D01320">
      <w:start w:val="1"/>
      <w:numFmt w:val="bullet"/>
      <w:lvlText w:val=""/>
      <w:lvlJc w:val="left"/>
      <w:pPr>
        <w:ind w:left="5040" w:hanging="360"/>
      </w:pPr>
      <w:rPr>
        <w:rFonts w:ascii="Symbol" w:hAnsi="Symbol" w:hint="default"/>
      </w:rPr>
    </w:lvl>
    <w:lvl w:ilvl="7" w:tplc="021E8C50">
      <w:start w:val="1"/>
      <w:numFmt w:val="bullet"/>
      <w:lvlText w:val="o"/>
      <w:lvlJc w:val="left"/>
      <w:pPr>
        <w:ind w:left="5760" w:hanging="360"/>
      </w:pPr>
      <w:rPr>
        <w:rFonts w:ascii="Courier New" w:hAnsi="Courier New" w:hint="default"/>
      </w:rPr>
    </w:lvl>
    <w:lvl w:ilvl="8" w:tplc="464C1FBC">
      <w:start w:val="1"/>
      <w:numFmt w:val="bullet"/>
      <w:lvlText w:val=""/>
      <w:lvlJc w:val="left"/>
      <w:pPr>
        <w:ind w:left="6480" w:hanging="360"/>
      </w:pPr>
      <w:rPr>
        <w:rFonts w:ascii="Wingdings" w:hAnsi="Wingdings" w:hint="default"/>
      </w:rPr>
    </w:lvl>
  </w:abstractNum>
  <w:abstractNum w:abstractNumId="32" w15:restartNumberingAfterBreak="0">
    <w:nsid w:val="79E5AEA1"/>
    <w:multiLevelType w:val="hybridMultilevel"/>
    <w:tmpl w:val="DC8CA7BC"/>
    <w:lvl w:ilvl="0" w:tplc="781AEBC0">
      <w:start w:val="1"/>
      <w:numFmt w:val="bullet"/>
      <w:lvlText w:val="·"/>
      <w:lvlJc w:val="left"/>
      <w:pPr>
        <w:ind w:left="720" w:hanging="360"/>
      </w:pPr>
      <w:rPr>
        <w:rFonts w:ascii="Symbol" w:hAnsi="Symbol" w:hint="default"/>
      </w:rPr>
    </w:lvl>
    <w:lvl w:ilvl="1" w:tplc="B740897A">
      <w:start w:val="1"/>
      <w:numFmt w:val="bullet"/>
      <w:lvlText w:val="o"/>
      <w:lvlJc w:val="left"/>
      <w:pPr>
        <w:ind w:left="1440" w:hanging="360"/>
      </w:pPr>
      <w:rPr>
        <w:rFonts w:ascii="Courier New" w:hAnsi="Courier New" w:hint="default"/>
      </w:rPr>
    </w:lvl>
    <w:lvl w:ilvl="2" w:tplc="9416780E">
      <w:start w:val="1"/>
      <w:numFmt w:val="bullet"/>
      <w:lvlText w:val=""/>
      <w:lvlJc w:val="left"/>
      <w:pPr>
        <w:ind w:left="2160" w:hanging="360"/>
      </w:pPr>
      <w:rPr>
        <w:rFonts w:ascii="Wingdings" w:hAnsi="Wingdings" w:hint="default"/>
      </w:rPr>
    </w:lvl>
    <w:lvl w:ilvl="3" w:tplc="31028676">
      <w:start w:val="1"/>
      <w:numFmt w:val="bullet"/>
      <w:lvlText w:val=""/>
      <w:lvlJc w:val="left"/>
      <w:pPr>
        <w:ind w:left="2880" w:hanging="360"/>
      </w:pPr>
      <w:rPr>
        <w:rFonts w:ascii="Symbol" w:hAnsi="Symbol" w:hint="default"/>
      </w:rPr>
    </w:lvl>
    <w:lvl w:ilvl="4" w:tplc="BF64E078">
      <w:start w:val="1"/>
      <w:numFmt w:val="bullet"/>
      <w:lvlText w:val="o"/>
      <w:lvlJc w:val="left"/>
      <w:pPr>
        <w:ind w:left="3600" w:hanging="360"/>
      </w:pPr>
      <w:rPr>
        <w:rFonts w:ascii="Courier New" w:hAnsi="Courier New" w:hint="default"/>
      </w:rPr>
    </w:lvl>
    <w:lvl w:ilvl="5" w:tplc="1B0CEB64">
      <w:start w:val="1"/>
      <w:numFmt w:val="bullet"/>
      <w:lvlText w:val=""/>
      <w:lvlJc w:val="left"/>
      <w:pPr>
        <w:ind w:left="4320" w:hanging="360"/>
      </w:pPr>
      <w:rPr>
        <w:rFonts w:ascii="Wingdings" w:hAnsi="Wingdings" w:hint="default"/>
      </w:rPr>
    </w:lvl>
    <w:lvl w:ilvl="6" w:tplc="D8E2D350">
      <w:start w:val="1"/>
      <w:numFmt w:val="bullet"/>
      <w:lvlText w:val=""/>
      <w:lvlJc w:val="left"/>
      <w:pPr>
        <w:ind w:left="5040" w:hanging="360"/>
      </w:pPr>
      <w:rPr>
        <w:rFonts w:ascii="Symbol" w:hAnsi="Symbol" w:hint="default"/>
      </w:rPr>
    </w:lvl>
    <w:lvl w:ilvl="7" w:tplc="351E20C8">
      <w:start w:val="1"/>
      <w:numFmt w:val="bullet"/>
      <w:lvlText w:val="o"/>
      <w:lvlJc w:val="left"/>
      <w:pPr>
        <w:ind w:left="5760" w:hanging="360"/>
      </w:pPr>
      <w:rPr>
        <w:rFonts w:ascii="Courier New" w:hAnsi="Courier New" w:hint="default"/>
      </w:rPr>
    </w:lvl>
    <w:lvl w:ilvl="8" w:tplc="2424C3A4">
      <w:start w:val="1"/>
      <w:numFmt w:val="bullet"/>
      <w:lvlText w:val=""/>
      <w:lvlJc w:val="left"/>
      <w:pPr>
        <w:ind w:left="6480" w:hanging="360"/>
      </w:pPr>
      <w:rPr>
        <w:rFonts w:ascii="Wingdings" w:hAnsi="Wingdings" w:hint="default"/>
      </w:rPr>
    </w:lvl>
  </w:abstractNum>
  <w:num w:numId="1" w16cid:durableId="1554541012">
    <w:abstractNumId w:val="27"/>
  </w:num>
  <w:num w:numId="2" w16cid:durableId="781261620">
    <w:abstractNumId w:val="32"/>
  </w:num>
  <w:num w:numId="3" w16cid:durableId="1735814178">
    <w:abstractNumId w:val="10"/>
  </w:num>
  <w:num w:numId="4" w16cid:durableId="1233854530">
    <w:abstractNumId w:val="5"/>
  </w:num>
  <w:num w:numId="5" w16cid:durableId="2108454665">
    <w:abstractNumId w:val="31"/>
  </w:num>
  <w:num w:numId="6" w16cid:durableId="1803496769">
    <w:abstractNumId w:val="19"/>
  </w:num>
  <w:num w:numId="7" w16cid:durableId="1593736592">
    <w:abstractNumId w:val="3"/>
  </w:num>
  <w:num w:numId="8" w16cid:durableId="2106806327">
    <w:abstractNumId w:val="9"/>
  </w:num>
  <w:num w:numId="9" w16cid:durableId="106853875">
    <w:abstractNumId w:val="15"/>
  </w:num>
  <w:num w:numId="10" w16cid:durableId="1785153769">
    <w:abstractNumId w:val="28"/>
  </w:num>
  <w:num w:numId="11" w16cid:durableId="1047023077">
    <w:abstractNumId w:val="2"/>
  </w:num>
  <w:num w:numId="12" w16cid:durableId="690884331">
    <w:abstractNumId w:val="21"/>
  </w:num>
  <w:num w:numId="13" w16cid:durableId="589243710">
    <w:abstractNumId w:val="8"/>
  </w:num>
  <w:num w:numId="14" w16cid:durableId="2142723295">
    <w:abstractNumId w:val="14"/>
  </w:num>
  <w:num w:numId="15" w16cid:durableId="948779781">
    <w:abstractNumId w:val="13"/>
  </w:num>
  <w:num w:numId="16" w16cid:durableId="19822139">
    <w:abstractNumId w:val="4"/>
  </w:num>
  <w:num w:numId="17" w16cid:durableId="876742304">
    <w:abstractNumId w:val="11"/>
  </w:num>
  <w:num w:numId="18" w16cid:durableId="24518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721115">
    <w:abstractNumId w:val="4"/>
  </w:num>
  <w:num w:numId="20" w16cid:durableId="316692925">
    <w:abstractNumId w:val="29"/>
  </w:num>
  <w:num w:numId="21" w16cid:durableId="1946422806">
    <w:abstractNumId w:val="12"/>
  </w:num>
  <w:num w:numId="22" w16cid:durableId="152644682">
    <w:abstractNumId w:val="26"/>
  </w:num>
  <w:num w:numId="23" w16cid:durableId="1317221377">
    <w:abstractNumId w:val="16"/>
  </w:num>
  <w:num w:numId="24" w16cid:durableId="1471245386">
    <w:abstractNumId w:val="25"/>
  </w:num>
  <w:num w:numId="25" w16cid:durableId="289172385">
    <w:abstractNumId w:val="17"/>
  </w:num>
  <w:num w:numId="26" w16cid:durableId="1470781324">
    <w:abstractNumId w:val="1"/>
  </w:num>
  <w:num w:numId="27" w16cid:durableId="1512908409">
    <w:abstractNumId w:val="7"/>
  </w:num>
  <w:num w:numId="28" w16cid:durableId="895897244">
    <w:abstractNumId w:val="30"/>
  </w:num>
  <w:num w:numId="29" w16cid:durableId="390349800">
    <w:abstractNumId w:val="23"/>
  </w:num>
  <w:num w:numId="30" w16cid:durableId="341274352">
    <w:abstractNumId w:val="0"/>
  </w:num>
  <w:num w:numId="31" w16cid:durableId="679089576">
    <w:abstractNumId w:val="18"/>
  </w:num>
  <w:num w:numId="32" w16cid:durableId="518203715">
    <w:abstractNumId w:val="22"/>
  </w:num>
  <w:num w:numId="33" w16cid:durableId="1035958015">
    <w:abstractNumId w:val="20"/>
  </w:num>
  <w:num w:numId="34" w16cid:durableId="1679309429">
    <w:abstractNumId w:val="24"/>
  </w:num>
  <w:num w:numId="35" w16cid:durableId="462892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271"/>
    <w:rsid w:val="00016F78"/>
    <w:rsid w:val="000327C7"/>
    <w:rsid w:val="00046945"/>
    <w:rsid w:val="0005385D"/>
    <w:rsid w:val="00061B2A"/>
    <w:rsid w:val="00063EBB"/>
    <w:rsid w:val="00082362"/>
    <w:rsid w:val="0008495E"/>
    <w:rsid w:val="000971DB"/>
    <w:rsid w:val="000A683E"/>
    <w:rsid w:val="000B19B9"/>
    <w:rsid w:val="000C1578"/>
    <w:rsid w:val="000D0334"/>
    <w:rsid w:val="000F6486"/>
    <w:rsid w:val="00125105"/>
    <w:rsid w:val="00127233"/>
    <w:rsid w:val="001511A0"/>
    <w:rsid w:val="001743D8"/>
    <w:rsid w:val="00194A92"/>
    <w:rsid w:val="001E4177"/>
    <w:rsid w:val="001F7DC6"/>
    <w:rsid w:val="002421BB"/>
    <w:rsid w:val="0025796E"/>
    <w:rsid w:val="002707A2"/>
    <w:rsid w:val="002951A0"/>
    <w:rsid w:val="002962BC"/>
    <w:rsid w:val="002A093D"/>
    <w:rsid w:val="002A0DD0"/>
    <w:rsid w:val="002A49AC"/>
    <w:rsid w:val="002A64FD"/>
    <w:rsid w:val="002B7D0B"/>
    <w:rsid w:val="002C7A84"/>
    <w:rsid w:val="002E4FD9"/>
    <w:rsid w:val="0032022C"/>
    <w:rsid w:val="00322A85"/>
    <w:rsid w:val="00324168"/>
    <w:rsid w:val="00327798"/>
    <w:rsid w:val="00333D38"/>
    <w:rsid w:val="003448F4"/>
    <w:rsid w:val="00345D72"/>
    <w:rsid w:val="00357AAA"/>
    <w:rsid w:val="00374F5E"/>
    <w:rsid w:val="00377E3E"/>
    <w:rsid w:val="003A779E"/>
    <w:rsid w:val="003D0F4D"/>
    <w:rsid w:val="003D5B0D"/>
    <w:rsid w:val="003E0499"/>
    <w:rsid w:val="003F3941"/>
    <w:rsid w:val="00403365"/>
    <w:rsid w:val="00406575"/>
    <w:rsid w:val="00406C58"/>
    <w:rsid w:val="00414C74"/>
    <w:rsid w:val="0042722E"/>
    <w:rsid w:val="0044528D"/>
    <w:rsid w:val="004555D6"/>
    <w:rsid w:val="004767A7"/>
    <w:rsid w:val="0048596D"/>
    <w:rsid w:val="004A1847"/>
    <w:rsid w:val="004A305D"/>
    <w:rsid w:val="004B6C60"/>
    <w:rsid w:val="004C4C9F"/>
    <w:rsid w:val="004F21C4"/>
    <w:rsid w:val="004F685F"/>
    <w:rsid w:val="005118B4"/>
    <w:rsid w:val="00536E90"/>
    <w:rsid w:val="005566E8"/>
    <w:rsid w:val="00574867"/>
    <w:rsid w:val="00591460"/>
    <w:rsid w:val="005B3816"/>
    <w:rsid w:val="005C1D82"/>
    <w:rsid w:val="005C3777"/>
    <w:rsid w:val="005C5CDC"/>
    <w:rsid w:val="005D476C"/>
    <w:rsid w:val="005F149C"/>
    <w:rsid w:val="006219F8"/>
    <w:rsid w:val="006339D3"/>
    <w:rsid w:val="00665D70"/>
    <w:rsid w:val="00673D9A"/>
    <w:rsid w:val="006900D9"/>
    <w:rsid w:val="00706C16"/>
    <w:rsid w:val="00736CC5"/>
    <w:rsid w:val="00740576"/>
    <w:rsid w:val="007436D1"/>
    <w:rsid w:val="00756841"/>
    <w:rsid w:val="007649AB"/>
    <w:rsid w:val="00771D0C"/>
    <w:rsid w:val="00777EC8"/>
    <w:rsid w:val="007833AC"/>
    <w:rsid w:val="00793ECD"/>
    <w:rsid w:val="007B268C"/>
    <w:rsid w:val="007B7171"/>
    <w:rsid w:val="007C0C0F"/>
    <w:rsid w:val="007C3DC2"/>
    <w:rsid w:val="007E5497"/>
    <w:rsid w:val="00806F5F"/>
    <w:rsid w:val="00820278"/>
    <w:rsid w:val="00857644"/>
    <w:rsid w:val="00867F95"/>
    <w:rsid w:val="008843B6"/>
    <w:rsid w:val="00891928"/>
    <w:rsid w:val="008A446D"/>
    <w:rsid w:val="008C32C0"/>
    <w:rsid w:val="008D180B"/>
    <w:rsid w:val="008F0EA7"/>
    <w:rsid w:val="009101C9"/>
    <w:rsid w:val="00923EEF"/>
    <w:rsid w:val="00930AC5"/>
    <w:rsid w:val="00936D31"/>
    <w:rsid w:val="009419F9"/>
    <w:rsid w:val="0095685E"/>
    <w:rsid w:val="00961B09"/>
    <w:rsid w:val="00965334"/>
    <w:rsid w:val="0097093E"/>
    <w:rsid w:val="00986AC5"/>
    <w:rsid w:val="00994565"/>
    <w:rsid w:val="009A0DFA"/>
    <w:rsid w:val="009B2D26"/>
    <w:rsid w:val="009B332B"/>
    <w:rsid w:val="009C71FA"/>
    <w:rsid w:val="009C72E7"/>
    <w:rsid w:val="009D3058"/>
    <w:rsid w:val="009F3A13"/>
    <w:rsid w:val="00A122D3"/>
    <w:rsid w:val="00A17F13"/>
    <w:rsid w:val="00A20739"/>
    <w:rsid w:val="00A33C78"/>
    <w:rsid w:val="00A770CA"/>
    <w:rsid w:val="00AA4289"/>
    <w:rsid w:val="00AB0ADB"/>
    <w:rsid w:val="00B01B1A"/>
    <w:rsid w:val="00B1093A"/>
    <w:rsid w:val="00B42938"/>
    <w:rsid w:val="00B52CC4"/>
    <w:rsid w:val="00B66319"/>
    <w:rsid w:val="00B7107C"/>
    <w:rsid w:val="00B72CD3"/>
    <w:rsid w:val="00B72FFF"/>
    <w:rsid w:val="00BC3D36"/>
    <w:rsid w:val="00BD7F72"/>
    <w:rsid w:val="00C04FB3"/>
    <w:rsid w:val="00C330EB"/>
    <w:rsid w:val="00C41061"/>
    <w:rsid w:val="00C754BE"/>
    <w:rsid w:val="00C76B1C"/>
    <w:rsid w:val="00C76B72"/>
    <w:rsid w:val="00C82BED"/>
    <w:rsid w:val="00CB6357"/>
    <w:rsid w:val="00CC1B26"/>
    <w:rsid w:val="00D067EA"/>
    <w:rsid w:val="00D33707"/>
    <w:rsid w:val="00D423A2"/>
    <w:rsid w:val="00D520D8"/>
    <w:rsid w:val="00D63AC2"/>
    <w:rsid w:val="00D7383B"/>
    <w:rsid w:val="00DA231B"/>
    <w:rsid w:val="00DC2DF4"/>
    <w:rsid w:val="00DC39FC"/>
    <w:rsid w:val="00DF5254"/>
    <w:rsid w:val="00E062E6"/>
    <w:rsid w:val="00E16408"/>
    <w:rsid w:val="00E20894"/>
    <w:rsid w:val="00E245AB"/>
    <w:rsid w:val="00E2764C"/>
    <w:rsid w:val="00E27F2E"/>
    <w:rsid w:val="00E50AFE"/>
    <w:rsid w:val="00E75C92"/>
    <w:rsid w:val="00E771DC"/>
    <w:rsid w:val="00E8482A"/>
    <w:rsid w:val="00E8772A"/>
    <w:rsid w:val="00E90F6B"/>
    <w:rsid w:val="00E92C27"/>
    <w:rsid w:val="00E96934"/>
    <w:rsid w:val="00E979FC"/>
    <w:rsid w:val="00EA0E3D"/>
    <w:rsid w:val="00EB4A29"/>
    <w:rsid w:val="00EC38A7"/>
    <w:rsid w:val="00ED7384"/>
    <w:rsid w:val="00EE1AA8"/>
    <w:rsid w:val="00F025D0"/>
    <w:rsid w:val="00F31EDC"/>
    <w:rsid w:val="00F462B3"/>
    <w:rsid w:val="00F5664F"/>
    <w:rsid w:val="00F57396"/>
    <w:rsid w:val="00F648F8"/>
    <w:rsid w:val="00F666C4"/>
    <w:rsid w:val="00F76AFC"/>
    <w:rsid w:val="00FA47C0"/>
    <w:rsid w:val="00FB3A72"/>
    <w:rsid w:val="00FB5DD1"/>
    <w:rsid w:val="00FC2B5D"/>
    <w:rsid w:val="00FF1449"/>
    <w:rsid w:val="026B6C49"/>
    <w:rsid w:val="202D3B8B"/>
    <w:rsid w:val="20CA8C91"/>
    <w:rsid w:val="25C86504"/>
    <w:rsid w:val="61912D38"/>
    <w:rsid w:val="6E461925"/>
    <w:rsid w:val="71940F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436D1"/>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837261006">
      <w:bodyDiv w:val="1"/>
      <w:marLeft w:val="0"/>
      <w:marRight w:val="0"/>
      <w:marTop w:val="0"/>
      <w:marBottom w:val="0"/>
      <w:divBdr>
        <w:top w:val="none" w:sz="0" w:space="0" w:color="auto"/>
        <w:left w:val="none" w:sz="0" w:space="0" w:color="auto"/>
        <w:bottom w:val="none" w:sz="0" w:space="0" w:color="auto"/>
        <w:right w:val="none" w:sz="0" w:space="0" w:color="auto"/>
      </w:divBdr>
      <w:divsChild>
        <w:div w:id="817890692">
          <w:marLeft w:val="0"/>
          <w:marRight w:val="0"/>
          <w:marTop w:val="240"/>
          <w:marBottom w:val="240"/>
          <w:divBdr>
            <w:top w:val="none" w:sz="0" w:space="0" w:color="auto"/>
            <w:left w:val="none" w:sz="0" w:space="0" w:color="auto"/>
            <w:bottom w:val="none" w:sz="0" w:space="0" w:color="auto"/>
            <w:right w:val="none" w:sz="0" w:space="0" w:color="auto"/>
          </w:divBdr>
        </w:div>
        <w:div w:id="448748077">
          <w:marLeft w:val="0"/>
          <w:marRight w:val="0"/>
          <w:marTop w:val="240"/>
          <w:marBottom w:val="240"/>
          <w:divBdr>
            <w:top w:val="none" w:sz="0" w:space="0" w:color="auto"/>
            <w:left w:val="none" w:sz="0" w:space="0" w:color="auto"/>
            <w:bottom w:val="none" w:sz="0" w:space="0" w:color="auto"/>
            <w:right w:val="none" w:sz="0" w:space="0" w:color="auto"/>
          </w:divBdr>
        </w:div>
        <w:div w:id="748424211">
          <w:marLeft w:val="0"/>
          <w:marRight w:val="0"/>
          <w:marTop w:val="240"/>
          <w:marBottom w:val="240"/>
          <w:divBdr>
            <w:top w:val="none" w:sz="0" w:space="0" w:color="auto"/>
            <w:left w:val="none" w:sz="0" w:space="0" w:color="auto"/>
            <w:bottom w:val="none" w:sz="0" w:space="0" w:color="auto"/>
            <w:right w:val="none" w:sz="0" w:space="0" w:color="auto"/>
          </w:divBdr>
        </w:div>
        <w:div w:id="762801876">
          <w:marLeft w:val="0"/>
          <w:marRight w:val="0"/>
          <w:marTop w:val="240"/>
          <w:marBottom w:val="240"/>
          <w:divBdr>
            <w:top w:val="none" w:sz="0" w:space="0" w:color="auto"/>
            <w:left w:val="none" w:sz="0" w:space="0" w:color="auto"/>
            <w:bottom w:val="none" w:sz="0" w:space="0" w:color="auto"/>
            <w:right w:val="none" w:sz="0" w:space="0" w:color="auto"/>
          </w:divBdr>
        </w:div>
      </w:divsChild>
    </w:div>
    <w:div w:id="1911425498">
      <w:bodyDiv w:val="1"/>
      <w:marLeft w:val="0"/>
      <w:marRight w:val="0"/>
      <w:marTop w:val="0"/>
      <w:marBottom w:val="0"/>
      <w:divBdr>
        <w:top w:val="none" w:sz="0" w:space="0" w:color="auto"/>
        <w:left w:val="none" w:sz="0" w:space="0" w:color="auto"/>
        <w:bottom w:val="none" w:sz="0" w:space="0" w:color="auto"/>
        <w:right w:val="none" w:sz="0" w:space="0" w:color="auto"/>
      </w:divBdr>
      <w:divsChild>
        <w:div w:id="1204441763">
          <w:marLeft w:val="0"/>
          <w:marRight w:val="0"/>
          <w:marTop w:val="240"/>
          <w:marBottom w:val="240"/>
          <w:divBdr>
            <w:top w:val="none" w:sz="0" w:space="0" w:color="auto"/>
            <w:left w:val="none" w:sz="0" w:space="0" w:color="auto"/>
            <w:bottom w:val="none" w:sz="0" w:space="0" w:color="auto"/>
            <w:right w:val="none" w:sz="0" w:space="0" w:color="auto"/>
          </w:divBdr>
        </w:div>
        <w:div w:id="1688824713">
          <w:marLeft w:val="0"/>
          <w:marRight w:val="0"/>
          <w:marTop w:val="240"/>
          <w:marBottom w:val="240"/>
          <w:divBdr>
            <w:top w:val="none" w:sz="0" w:space="0" w:color="auto"/>
            <w:left w:val="none" w:sz="0" w:space="0" w:color="auto"/>
            <w:bottom w:val="none" w:sz="0" w:space="0" w:color="auto"/>
            <w:right w:val="none" w:sz="0" w:space="0" w:color="auto"/>
          </w:divBdr>
        </w:div>
        <w:div w:id="1826503861">
          <w:marLeft w:val="0"/>
          <w:marRight w:val="0"/>
          <w:marTop w:val="240"/>
          <w:marBottom w:val="240"/>
          <w:divBdr>
            <w:top w:val="none" w:sz="0" w:space="0" w:color="auto"/>
            <w:left w:val="none" w:sz="0" w:space="0" w:color="auto"/>
            <w:bottom w:val="none" w:sz="0" w:space="0" w:color="auto"/>
            <w:right w:val="none" w:sz="0" w:space="0" w:color="auto"/>
          </w:divBdr>
        </w:div>
        <w:div w:id="271591233">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ucaste94@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E45A0F2-BC80-4B3E-A77A-A675EE4E7320}"/>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3876</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2023-01-10T21:18:00Z</cp:lastPrinted>
  <dcterms:created xsi:type="dcterms:W3CDTF">2024-12-11T19:43:00Z</dcterms:created>
  <dcterms:modified xsi:type="dcterms:W3CDTF">2024-12-24T16:51:00Z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