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DA67B" w14:textId="77777777" w:rsidR="00FF2F27" w:rsidRPr="00FF0864" w:rsidRDefault="00FF2F27" w:rsidP="00FF2F27">
      <w:pPr>
        <w:pStyle w:val="Sinespaciado"/>
        <w:jc w:val="both"/>
        <w:rPr>
          <w:rFonts w:ascii="Verdana" w:hAnsi="Verdana" w:cs="Arial"/>
          <w:b/>
          <w:bCs/>
          <w:sz w:val="22"/>
        </w:rPr>
      </w:pPr>
      <w:bookmarkStart w:id="0" w:name="_Hlk143780582"/>
      <w:r w:rsidRPr="00FF0864">
        <w:rPr>
          <w:rFonts w:ascii="Verdana" w:hAnsi="Verdana" w:cs="Arial"/>
          <w:b/>
          <w:bCs/>
          <w:sz w:val="22"/>
        </w:rPr>
        <w:t>INHABILIDADES – Definición – Finalidad – Limitación capacidad contractual</w:t>
      </w:r>
    </w:p>
    <w:p w14:paraId="35F8A270" w14:textId="77777777" w:rsidR="00FF2F27" w:rsidRPr="00FF0864" w:rsidRDefault="00FF2F27" w:rsidP="00FF2F27">
      <w:pPr>
        <w:pStyle w:val="Sinespaciado"/>
        <w:jc w:val="both"/>
        <w:rPr>
          <w:rFonts w:ascii="Verdana" w:hAnsi="Verdana" w:cs="Arial"/>
          <w:sz w:val="20"/>
          <w:szCs w:val="20"/>
        </w:rPr>
      </w:pPr>
    </w:p>
    <w:p w14:paraId="1E7C6FCB" w14:textId="77777777" w:rsidR="00FF2F27" w:rsidRPr="00FF0864" w:rsidRDefault="00FF2F27" w:rsidP="00FF2F27">
      <w:pPr>
        <w:pStyle w:val="Sinespaciado"/>
        <w:spacing w:after="120"/>
        <w:jc w:val="both"/>
        <w:rPr>
          <w:rFonts w:ascii="Verdana" w:hAnsi="Verdana" w:cs="Arial"/>
          <w:sz w:val="20"/>
          <w:szCs w:val="20"/>
        </w:rPr>
      </w:pPr>
      <w:r w:rsidRPr="00FF0864">
        <w:rPr>
          <w:rFonts w:ascii="Verdana" w:hAnsi="Verdana" w:cs="Arial"/>
          <w:sz w:val="20"/>
          <w:szCs w:val="20"/>
        </w:rPr>
        <w:t xml:space="preserve">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26D96EB4" w14:textId="6A287311" w:rsidR="00FF2F27" w:rsidRPr="00FF0864" w:rsidRDefault="00FF2F27" w:rsidP="00FF2F27">
      <w:pPr>
        <w:pStyle w:val="Sinespaciado"/>
        <w:spacing w:before="120"/>
        <w:jc w:val="both"/>
        <w:rPr>
          <w:rFonts w:ascii="Verdana" w:hAnsi="Verdana" w:cs="Arial"/>
          <w:sz w:val="22"/>
        </w:rPr>
      </w:pPr>
      <w:r w:rsidRPr="00FF0864">
        <w:rPr>
          <w:rFonts w:ascii="Verdana" w:hAnsi="Verdana" w:cs="Arial"/>
          <w:sz w:val="20"/>
          <w:szCs w:val="20"/>
        </w:rPr>
        <w:t xml:space="preserve">El régimen de inhabilidades para contratar con el Estado es un conjunto de restricciones establecidas por el constituyente o por el legislador que afectan directamente la capacidad de las personas para establecer unas relaciones contractuales con el Estado, que pueden resultar de condenas, sanciones o situaciones previamente establecidas por el ordenamiento jurídico. En esta medida, la Corte Constitucional explica que </w:t>
      </w:r>
      <w:r w:rsidR="00FF0864" w:rsidRPr="00FF0864">
        <w:rPr>
          <w:rFonts w:ascii="Verdana" w:hAnsi="Verdana" w:cs="Arial"/>
          <w:sz w:val="20"/>
          <w:szCs w:val="20"/>
        </w:rPr>
        <w:t>“</w:t>
      </w:r>
      <w:r w:rsidRPr="00FF0864">
        <w:rPr>
          <w:rFonts w:ascii="Verdana" w:hAnsi="Verdana" w:cs="Arial"/>
          <w:sz w:val="20"/>
          <w:szCs w:val="20"/>
        </w:rPr>
        <w:t>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00FF0864" w:rsidRPr="00FF0864">
        <w:rPr>
          <w:rFonts w:ascii="Verdana" w:hAnsi="Verdana" w:cs="Arial"/>
          <w:sz w:val="20"/>
          <w:szCs w:val="20"/>
        </w:rPr>
        <w:t>”</w:t>
      </w:r>
      <w:r w:rsidRPr="00FF0864">
        <w:rPr>
          <w:rFonts w:ascii="Verdana" w:hAnsi="Verdana" w:cs="Arial"/>
          <w:sz w:val="20"/>
          <w:szCs w:val="20"/>
        </w:rPr>
        <w:t>.</w:t>
      </w:r>
      <w:r w:rsidRPr="00FF0864">
        <w:rPr>
          <w:rFonts w:ascii="Verdana" w:hAnsi="Verdana" w:cs="Arial"/>
          <w:sz w:val="22"/>
        </w:rPr>
        <w:t xml:space="preserve"> </w:t>
      </w:r>
    </w:p>
    <w:p w14:paraId="7E78AC74" w14:textId="77777777" w:rsidR="00FF2F27" w:rsidRPr="00FF0864" w:rsidRDefault="00FF2F27" w:rsidP="00FF2F27">
      <w:pPr>
        <w:pStyle w:val="Sinespaciado"/>
        <w:jc w:val="both"/>
        <w:rPr>
          <w:rFonts w:ascii="Verdana" w:hAnsi="Verdana" w:cs="Arial"/>
          <w:sz w:val="20"/>
          <w:szCs w:val="20"/>
        </w:rPr>
      </w:pPr>
    </w:p>
    <w:p w14:paraId="767CDFC3" w14:textId="77777777" w:rsidR="00FF2F27" w:rsidRPr="00FF0864" w:rsidRDefault="00FF2F27" w:rsidP="00FF2F27">
      <w:pPr>
        <w:tabs>
          <w:tab w:val="left" w:pos="426"/>
        </w:tabs>
        <w:jc w:val="both"/>
        <w:rPr>
          <w:rFonts w:ascii="Verdana" w:eastAsia="Calibri" w:hAnsi="Verdana" w:cs="Arial"/>
          <w:b/>
          <w:lang w:val="es-ES_tradnl"/>
        </w:rPr>
      </w:pPr>
      <w:r w:rsidRPr="00FF0864">
        <w:rPr>
          <w:rFonts w:ascii="Verdana" w:eastAsia="Calibri" w:hAnsi="Verdana" w:cs="Arial"/>
          <w:b/>
          <w:lang w:val="es-ES_tradnl"/>
        </w:rPr>
        <w:t>CONTRATACIÓN ESTATAL – Capacidad – Validez contratos – Régimen de contratación – Inscripción – Limitación de la capacidad</w:t>
      </w:r>
    </w:p>
    <w:p w14:paraId="2FA14556" w14:textId="77777777" w:rsidR="00FF2F27" w:rsidRPr="00FF0864" w:rsidRDefault="00FF2F27" w:rsidP="00FF2F27">
      <w:pPr>
        <w:jc w:val="both"/>
        <w:rPr>
          <w:rFonts w:ascii="Verdana" w:eastAsia="Calibri" w:hAnsi="Verdana" w:cs="Arial"/>
          <w:sz w:val="20"/>
          <w:szCs w:val="20"/>
          <w:lang w:val="es-ES_tradnl"/>
        </w:rPr>
      </w:pPr>
    </w:p>
    <w:p w14:paraId="58EDB3B5" w14:textId="77777777" w:rsidR="00FF2F27" w:rsidRPr="00FF0864" w:rsidRDefault="00FF2F27" w:rsidP="00FF2F27">
      <w:pPr>
        <w:spacing w:after="120"/>
        <w:jc w:val="both"/>
        <w:rPr>
          <w:rFonts w:ascii="Verdana" w:eastAsia="Calibri" w:hAnsi="Verdana" w:cs="Arial"/>
          <w:sz w:val="20"/>
          <w:szCs w:val="20"/>
          <w:lang w:val="es-ES_tradnl"/>
        </w:rPr>
      </w:pPr>
      <w:r w:rsidRPr="00FF0864">
        <w:rPr>
          <w:rFonts w:ascii="Verdana" w:eastAsia="Calibri" w:hAnsi="Verdana" w:cs="Arial"/>
          <w:sz w:val="20"/>
          <w:szCs w:val="20"/>
          <w:lang w:val="es-ES_tradnl"/>
        </w:rPr>
        <w:t xml:space="preserve">En la contratación estatal, la </w:t>
      </w:r>
      <w:r w:rsidRPr="00FF0864">
        <w:rPr>
          <w:rFonts w:ascii="Verdana" w:eastAsia="Calibri" w:hAnsi="Verdana" w:cs="Arial"/>
          <w:i/>
          <w:iCs/>
          <w:sz w:val="20"/>
          <w:szCs w:val="20"/>
          <w:lang w:val="es-ES_tradnl"/>
        </w:rPr>
        <w:t>capacidad</w:t>
      </w:r>
      <w:r w:rsidRPr="00FF0864">
        <w:rPr>
          <w:rFonts w:ascii="Verdana" w:eastAsia="Calibri" w:hAnsi="Verdana" w:cs="Arial"/>
          <w:sz w:val="20"/>
          <w:szCs w:val="20"/>
          <w:lang w:val="es-ES_tradnl"/>
        </w:rPr>
        <w:t xml:space="preserve"> también es un requisito de validez de los contratos, tanto en el régimen de las entidades sujetas al Estatuto General de Contratación de la Administración Pública como en el de las entidades exceptuadas de aquel.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 se destaca el régimen de inhabilidades e incompatibilidades como un conjunto de normas que imponen restricciones para los sujetos que, eventualmente, pretendan participar en los procedimientos de selección o celebrar contratos con las entidades estatales.</w:t>
      </w:r>
    </w:p>
    <w:p w14:paraId="3213FAD3" w14:textId="77777777" w:rsidR="00FF2F27" w:rsidRPr="00FF0864" w:rsidRDefault="00FF2F27" w:rsidP="00FF2F27">
      <w:pPr>
        <w:spacing w:before="120"/>
        <w:jc w:val="both"/>
        <w:rPr>
          <w:rFonts w:ascii="Verdana" w:eastAsia="Calibri" w:hAnsi="Verdana" w:cs="Arial"/>
          <w:sz w:val="20"/>
          <w:szCs w:val="20"/>
          <w:lang w:val="es-ES_tradnl"/>
        </w:rPr>
      </w:pPr>
      <w:r w:rsidRPr="00FF0864">
        <w:rPr>
          <w:rFonts w:ascii="Verdana" w:eastAsia="Calibri" w:hAnsi="Verdana" w:cs="Arial"/>
          <w:sz w:val="20"/>
          <w:szCs w:val="20"/>
          <w:lang w:val="es-ES_tradnl"/>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0FF0864">
        <w:rPr>
          <w:rFonts w:ascii="Verdana" w:eastAsia="Calibri" w:hAnsi="Verdana" w:cs="Arial"/>
          <w:sz w:val="20"/>
          <w:szCs w:val="20"/>
          <w:lang w:val="es-ES_tradnl"/>
        </w:rPr>
        <w:t>ii</w:t>
      </w:r>
      <w:proofErr w:type="spellEnd"/>
      <w:r w:rsidRPr="00FF0864">
        <w:rPr>
          <w:rFonts w:ascii="Verdana" w:eastAsia="Calibri" w:hAnsi="Verdana" w:cs="Arial"/>
          <w:sz w:val="20"/>
          <w:szCs w:val="20"/>
          <w:lang w:val="es-ES_tradnl"/>
        </w:rPr>
        <w:t xml:space="preserve">) de vínculos personales relativos al parentesco o al estado civil o </w:t>
      </w:r>
      <w:proofErr w:type="spellStart"/>
      <w:r w:rsidRPr="00FF0864">
        <w:rPr>
          <w:rFonts w:ascii="Verdana" w:eastAsia="Calibri" w:hAnsi="Verdana" w:cs="Arial"/>
          <w:sz w:val="20"/>
          <w:szCs w:val="20"/>
          <w:lang w:val="es-ES_tradnl"/>
        </w:rPr>
        <w:t>iii</w:t>
      </w:r>
      <w:proofErr w:type="spellEnd"/>
      <w:r w:rsidRPr="00FF0864">
        <w:rPr>
          <w:rFonts w:ascii="Verdana" w:eastAsia="Calibri" w:hAnsi="Verdana" w:cs="Arial"/>
          <w:sz w:val="20"/>
          <w:szCs w:val="20"/>
          <w:lang w:val="es-ES_tradnl"/>
        </w:rPr>
        <w:t>) de una actividad u oficio que se desempeñó en el pasado.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p>
    <w:p w14:paraId="438A42D9" w14:textId="77777777" w:rsidR="00FF2F27" w:rsidRPr="00FF0864" w:rsidRDefault="00FF2F27" w:rsidP="00FF2F27">
      <w:pPr>
        <w:jc w:val="both"/>
        <w:rPr>
          <w:rFonts w:ascii="Verdana" w:eastAsia="Calibri" w:hAnsi="Verdana" w:cs="Arial"/>
          <w:sz w:val="20"/>
          <w:szCs w:val="20"/>
          <w:lang w:val="es-ES_tradnl"/>
        </w:rPr>
      </w:pPr>
    </w:p>
    <w:p w14:paraId="2A3362A3" w14:textId="77777777" w:rsidR="00FF2F27" w:rsidRPr="00FF0864" w:rsidRDefault="00FF2F27" w:rsidP="00FF2F27">
      <w:pPr>
        <w:jc w:val="both"/>
        <w:rPr>
          <w:rFonts w:ascii="Verdana" w:eastAsia="Calibri" w:hAnsi="Verdana" w:cs="Arial"/>
          <w:b/>
          <w:bCs/>
          <w:lang w:val="es-ES_tradnl"/>
        </w:rPr>
      </w:pPr>
      <w:r w:rsidRPr="00FF0864">
        <w:rPr>
          <w:rFonts w:ascii="Verdana" w:eastAsia="Calibri" w:hAnsi="Verdana" w:cs="Arial"/>
          <w:b/>
          <w:bCs/>
          <w:lang w:val="es-ES_tradnl"/>
        </w:rPr>
        <w:t>INHABILIDADES – Taxatividad – Principio de legalidad – Interpretación restrictiva</w:t>
      </w:r>
    </w:p>
    <w:p w14:paraId="105BDEF6" w14:textId="77777777" w:rsidR="00FF2F27" w:rsidRPr="00FF0864" w:rsidRDefault="00FF2F27" w:rsidP="00FF2F27">
      <w:pPr>
        <w:jc w:val="both"/>
        <w:rPr>
          <w:rFonts w:ascii="Verdana" w:eastAsia="Calibri" w:hAnsi="Verdana" w:cs="Arial"/>
          <w:sz w:val="20"/>
          <w:szCs w:val="20"/>
          <w:lang w:val="es-ES_tradnl"/>
        </w:rPr>
      </w:pPr>
    </w:p>
    <w:p w14:paraId="2F852B61" w14:textId="77777777" w:rsidR="00FF2F27" w:rsidRPr="00FF0864" w:rsidRDefault="00FF2F27" w:rsidP="00FF2F27">
      <w:pPr>
        <w:jc w:val="both"/>
        <w:rPr>
          <w:rFonts w:ascii="Verdana" w:eastAsia="Calibri" w:hAnsi="Verdana" w:cs="Arial"/>
          <w:sz w:val="20"/>
          <w:szCs w:val="20"/>
          <w:lang w:val="es-ES_tradnl"/>
        </w:rPr>
      </w:pPr>
      <w:r w:rsidRPr="00FF0864">
        <w:rPr>
          <w:rFonts w:ascii="Verdana" w:eastAsia="Calibri" w:hAnsi="Verdana" w:cs="Arial"/>
          <w:sz w:val="20"/>
          <w:szCs w:val="20"/>
          <w:lang w:val="es-ES_tradnl"/>
        </w:rPr>
        <w:t xml:space="preserve">Ahora bien, las inhabilidades e incompatibilidades al ser restricciones o límites especiales a la capacidad para presentar ofertas y celebrar contratos estatales, solo pueden tipificarse en la ley –o sea, deben satisfacer el principio de legalidad– y su interpretación debe ser </w:t>
      </w:r>
      <w:r w:rsidRPr="00FF0864">
        <w:rPr>
          <w:rFonts w:ascii="Verdana" w:eastAsia="Calibri" w:hAnsi="Verdana" w:cs="Arial"/>
          <w:i/>
          <w:iCs/>
          <w:sz w:val="20"/>
          <w:szCs w:val="20"/>
          <w:lang w:val="es-ES_tradnl"/>
        </w:rPr>
        <w:t>restrictiva</w:t>
      </w:r>
      <w:r w:rsidRPr="00FF0864">
        <w:rPr>
          <w:rFonts w:ascii="Verdana" w:eastAsia="Calibri" w:hAnsi="Verdana" w:cs="Arial"/>
          <w:sz w:val="20"/>
          <w:szCs w:val="20"/>
          <w:lang w:val="es-ES_tradnl"/>
        </w:rPr>
        <w:t xml:space="preserve">, 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7D2C3355" w14:textId="67B9A722" w:rsidR="0050012F" w:rsidRPr="00FF0864" w:rsidRDefault="0050012F" w:rsidP="0060538B">
      <w:pPr>
        <w:jc w:val="both"/>
        <w:rPr>
          <w:rFonts w:ascii="Verdana" w:eastAsia="Times New Roman" w:hAnsi="Verdana" w:cs="Arial"/>
          <w:i/>
          <w:iCs/>
          <w:color w:val="333333"/>
          <w:lang w:val="es-MX" w:eastAsia="es-CO"/>
        </w:rPr>
      </w:pPr>
      <w:r w:rsidRPr="00FF0864">
        <w:rPr>
          <w:rFonts w:ascii="Verdana" w:eastAsia="Times New Roman" w:hAnsi="Verdana" w:cs="Arial"/>
          <w:i/>
          <w:iCs/>
          <w:color w:val="333333"/>
          <w:lang w:val="es-MX" w:eastAsia="es-CO"/>
        </w:rPr>
        <w:br w:type="page"/>
      </w:r>
    </w:p>
    <w:p w14:paraId="5D34D269" w14:textId="77777777" w:rsidR="00C04209" w:rsidRPr="00FF0864" w:rsidRDefault="00C04209" w:rsidP="00C04209">
      <w:pPr>
        <w:spacing w:after="0" w:line="240" w:lineRule="auto"/>
        <w:contextualSpacing/>
        <w:jc w:val="both"/>
        <w:rPr>
          <w:rFonts w:ascii="Verdana" w:eastAsia="Times New Roman" w:hAnsi="Verdana" w:cs="Arial"/>
          <w:i/>
          <w:iCs/>
          <w:color w:val="333333"/>
          <w:lang w:val="es-MX" w:eastAsia="es-CO"/>
        </w:rPr>
      </w:pPr>
    </w:p>
    <w:p w14:paraId="131A973B" w14:textId="3B932FB7" w:rsidR="00AB64A5" w:rsidRPr="00FF0864" w:rsidRDefault="00AB64A5" w:rsidP="00CD258B">
      <w:pPr>
        <w:rPr>
          <w:rFonts w:ascii="Verdana" w:eastAsia="Calibri" w:hAnsi="Verdana" w:cs="Arial"/>
          <w:bCs/>
          <w:sz w:val="20"/>
          <w:szCs w:val="20"/>
          <w:lang w:val="es-ES_tradnl"/>
        </w:rPr>
      </w:pPr>
      <w:r w:rsidRPr="00FF0864">
        <w:rPr>
          <w:rFonts w:ascii="Verdana" w:hAnsi="Verdana"/>
        </w:rPr>
        <w:t>Bogo</w:t>
      </w:r>
      <w:r w:rsidR="00FC3EC1" w:rsidRPr="00FF0864">
        <w:rPr>
          <w:rFonts w:ascii="Verdana" w:hAnsi="Verdana"/>
        </w:rPr>
        <w:t>t</w:t>
      </w:r>
      <w:r w:rsidRPr="00FF0864">
        <w:rPr>
          <w:rFonts w:ascii="Verdana" w:hAnsi="Verdana"/>
        </w:rPr>
        <w:t xml:space="preserve">á D.C., </w:t>
      </w:r>
      <w:r w:rsidR="00146DA7">
        <w:rPr>
          <w:rFonts w:ascii="Verdana" w:hAnsi="Verdana"/>
        </w:rPr>
        <w:t xml:space="preserve">16 de </w:t>
      </w:r>
      <w:proofErr w:type="gramStart"/>
      <w:r w:rsidR="00146DA7">
        <w:rPr>
          <w:rFonts w:ascii="Verdana" w:hAnsi="Verdana"/>
        </w:rPr>
        <w:t>Diciembre</w:t>
      </w:r>
      <w:proofErr w:type="gramEnd"/>
      <w:r w:rsidR="00146DA7">
        <w:rPr>
          <w:rFonts w:ascii="Verdana" w:hAnsi="Verdana"/>
        </w:rPr>
        <w:t xml:space="preserve"> 2024</w:t>
      </w:r>
      <w:r w:rsidRPr="00FF0864">
        <w:rPr>
          <w:rFonts w:ascii="Verdana" w:hAnsi="Verdana"/>
        </w:rPr>
        <w:tab/>
      </w:r>
    </w:p>
    <w:p w14:paraId="6F8CA54C" w14:textId="72666D7B" w:rsidR="00AB64A5" w:rsidRPr="00FF0864" w:rsidRDefault="001965BE" w:rsidP="00AB64A5">
      <w:pPr>
        <w:spacing w:after="0"/>
        <w:rPr>
          <w:rFonts w:ascii="Verdana" w:hAnsi="Verdana"/>
        </w:rPr>
      </w:pPr>
      <w:r w:rsidRPr="00782C22">
        <w:rPr>
          <w:rFonts w:ascii="Verdana" w:eastAsia="Calibri" w:hAnsi="Verdana" w:cs="Arial"/>
          <w:b/>
          <w:bCs/>
          <w:noProof/>
          <w:color w:val="000000"/>
          <w:lang w:val="es-ES_tradnl" w:eastAsia="es-ES_tradnl"/>
        </w:rPr>
        <w:drawing>
          <wp:anchor distT="0" distB="0" distL="114300" distR="114300" simplePos="0" relativeHeight="251658240" behindDoc="1" locked="0" layoutInCell="1" allowOverlap="1" wp14:anchorId="7C43B002" wp14:editId="07E732B4">
            <wp:simplePos x="0" y="0"/>
            <wp:positionH relativeFrom="column">
              <wp:posOffset>2520315</wp:posOffset>
            </wp:positionH>
            <wp:positionV relativeFrom="paragraph">
              <wp:posOffset>156845</wp:posOffset>
            </wp:positionV>
            <wp:extent cx="3699510" cy="904875"/>
            <wp:effectExtent l="0" t="0" r="0" b="9525"/>
            <wp:wrapTight wrapText="bothSides">
              <wp:wrapPolygon edited="0">
                <wp:start x="0" y="0"/>
                <wp:lineTo x="0" y="21373"/>
                <wp:lineTo x="21467" y="21373"/>
                <wp:lineTo x="21467" y="0"/>
                <wp:lineTo x="0" y="0"/>
              </wp:wrapPolygon>
            </wp:wrapTight>
            <wp:docPr id="3719649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964987" name=""/>
                    <pic:cNvPicPr/>
                  </pic:nvPicPr>
                  <pic:blipFill>
                    <a:blip r:embed="rId11">
                      <a:extLst>
                        <a:ext uri="{28A0092B-C50C-407E-A947-70E740481C1C}">
                          <a14:useLocalDpi xmlns:a14="http://schemas.microsoft.com/office/drawing/2010/main" val="0"/>
                        </a:ext>
                      </a:extLst>
                    </a:blip>
                    <a:stretch>
                      <a:fillRect/>
                    </a:stretch>
                  </pic:blipFill>
                  <pic:spPr>
                    <a:xfrm>
                      <a:off x="0" y="0"/>
                      <a:ext cx="3699510" cy="904875"/>
                    </a:xfrm>
                    <a:prstGeom prst="rect">
                      <a:avLst/>
                    </a:prstGeom>
                  </pic:spPr>
                </pic:pic>
              </a:graphicData>
            </a:graphic>
            <wp14:sizeRelH relativeFrom="margin">
              <wp14:pctWidth>0</wp14:pctWidth>
            </wp14:sizeRelH>
            <wp14:sizeRelV relativeFrom="margin">
              <wp14:pctHeight>0</wp14:pctHeight>
            </wp14:sizeRelV>
          </wp:anchor>
        </w:drawing>
      </w:r>
    </w:p>
    <w:p w14:paraId="01AE3B0A" w14:textId="68828E06" w:rsidR="00AB64A5" w:rsidRPr="00FF0864" w:rsidRDefault="00AB64A5" w:rsidP="00AB64A5">
      <w:pPr>
        <w:spacing w:after="0" w:line="240" w:lineRule="auto"/>
        <w:jc w:val="both"/>
        <w:rPr>
          <w:rFonts w:ascii="Verdana" w:eastAsia="Calibri" w:hAnsi="Verdana" w:cs="Arial"/>
          <w:lang w:eastAsia="es-ES"/>
        </w:rPr>
      </w:pPr>
      <w:r w:rsidRPr="00FF0864">
        <w:rPr>
          <w:rFonts w:ascii="Verdana" w:eastAsia="Calibri" w:hAnsi="Verdana" w:cs="Arial"/>
          <w:lang w:eastAsia="es-ES"/>
        </w:rPr>
        <w:t>Señor</w:t>
      </w:r>
    </w:p>
    <w:p w14:paraId="407D5F6D" w14:textId="2F60F8FE" w:rsidR="00FF0864" w:rsidRPr="001965BE" w:rsidRDefault="00FF0864" w:rsidP="00FF0864">
      <w:pPr>
        <w:tabs>
          <w:tab w:val="left" w:pos="1946"/>
        </w:tabs>
        <w:spacing w:after="0" w:line="240" w:lineRule="auto"/>
        <w:rPr>
          <w:rFonts w:ascii="Verdana" w:hAnsi="Verdana"/>
          <w:b/>
          <w:bCs/>
          <w:lang w:val="en-US"/>
        </w:rPr>
      </w:pPr>
      <w:r w:rsidRPr="001965BE">
        <w:rPr>
          <w:rFonts w:ascii="Verdana" w:hAnsi="Verdana"/>
          <w:b/>
          <w:bCs/>
          <w:lang w:val="en-US"/>
        </w:rPr>
        <w:t>Frank David Zuluaga Agudelo</w:t>
      </w:r>
    </w:p>
    <w:p w14:paraId="6A23B91F" w14:textId="39885CEE" w:rsidR="0050012F" w:rsidRPr="001965BE" w:rsidRDefault="00FF0864" w:rsidP="00FC3EC1">
      <w:pPr>
        <w:spacing w:after="0" w:line="240" w:lineRule="auto"/>
        <w:rPr>
          <w:rFonts w:ascii="Verdana" w:eastAsia="Calibri" w:hAnsi="Verdana" w:cs="Arial"/>
          <w:u w:val="single"/>
          <w:lang w:val="en-US" w:eastAsia="es-ES"/>
        </w:rPr>
      </w:pPr>
      <w:r w:rsidRPr="001965BE">
        <w:rPr>
          <w:rFonts w:ascii="Verdana" w:eastAsia="Calibri" w:hAnsi="Verdana" w:cs="Arial"/>
          <w:u w:val="single"/>
          <w:lang w:val="en-US" w:eastAsia="es-ES"/>
        </w:rPr>
        <w:t>Fzuluaga@unal.edu.co</w:t>
      </w:r>
    </w:p>
    <w:p w14:paraId="38021ECE" w14:textId="7701E60E" w:rsidR="00AB64A5" w:rsidRPr="00FF0864" w:rsidRDefault="00AB64A5" w:rsidP="00FC3EC1">
      <w:pPr>
        <w:spacing w:after="0" w:line="240" w:lineRule="auto"/>
        <w:rPr>
          <w:rFonts w:ascii="Verdana" w:eastAsia="Calibri" w:hAnsi="Verdana" w:cs="Arial"/>
          <w:lang w:eastAsia="es-ES"/>
        </w:rPr>
      </w:pPr>
      <w:r w:rsidRPr="00FF0864">
        <w:rPr>
          <w:rFonts w:ascii="Verdana" w:eastAsia="Calibri" w:hAnsi="Verdana" w:cs="Arial"/>
          <w:lang w:eastAsia="es-ES"/>
        </w:rPr>
        <w:t>Bogotá D.C.</w:t>
      </w:r>
    </w:p>
    <w:p w14:paraId="44649E13" w14:textId="20DAE767" w:rsidR="00AB64A5" w:rsidRDefault="00AB64A5" w:rsidP="00AB64A5">
      <w:pPr>
        <w:spacing w:after="0" w:line="240" w:lineRule="auto"/>
        <w:rPr>
          <w:rFonts w:ascii="Verdana" w:eastAsia="Calibri" w:hAnsi="Verdana" w:cs="Arial"/>
          <w:b/>
          <w:bCs/>
          <w:color w:val="000000"/>
          <w:lang w:val="es-ES_tradnl" w:eastAsia="es-ES_tradnl"/>
        </w:rPr>
      </w:pPr>
    </w:p>
    <w:p w14:paraId="2DB49E90" w14:textId="42BD4755" w:rsidR="00782C22" w:rsidRDefault="00782C22" w:rsidP="00782C22">
      <w:pPr>
        <w:spacing w:after="0" w:line="240" w:lineRule="auto"/>
        <w:jc w:val="right"/>
        <w:rPr>
          <w:rFonts w:ascii="Verdana" w:eastAsia="Calibri" w:hAnsi="Verdana" w:cs="Arial"/>
          <w:b/>
          <w:bCs/>
          <w:color w:val="000000"/>
          <w:lang w:val="es-ES_tradnl" w:eastAsia="es-ES_tradnl"/>
        </w:rPr>
      </w:pPr>
    </w:p>
    <w:p w14:paraId="191DFAAD" w14:textId="77777777" w:rsidR="005F78DC" w:rsidRPr="00FF0864" w:rsidRDefault="005F78DC" w:rsidP="00782C22">
      <w:pPr>
        <w:spacing w:after="0" w:line="240" w:lineRule="auto"/>
        <w:jc w:val="right"/>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946"/>
      </w:tblGrid>
      <w:tr w:rsidR="00AB64A5" w:rsidRPr="00FF0864" w14:paraId="124FFB5C" w14:textId="77777777" w:rsidTr="007B0B27">
        <w:trPr>
          <w:trHeight w:val="884"/>
        </w:trPr>
        <w:tc>
          <w:tcPr>
            <w:tcW w:w="2268" w:type="dxa"/>
          </w:tcPr>
          <w:p w14:paraId="6311258D" w14:textId="77777777" w:rsidR="00AB64A5" w:rsidRPr="00FF0864" w:rsidRDefault="00AB64A5" w:rsidP="007B0B27">
            <w:pPr>
              <w:jc w:val="both"/>
              <w:rPr>
                <w:rFonts w:ascii="Verdana" w:eastAsia="Calibri" w:hAnsi="Verdana" w:cs="Arial"/>
                <w:b/>
                <w:bCs/>
                <w:color w:val="7030A0"/>
                <w:lang w:val="es-ES_tradnl" w:eastAsia="es-ES_tradnl"/>
              </w:rPr>
            </w:pPr>
          </w:p>
        </w:tc>
        <w:tc>
          <w:tcPr>
            <w:tcW w:w="6946" w:type="dxa"/>
          </w:tcPr>
          <w:p w14:paraId="23DA8C95" w14:textId="390D5024" w:rsidR="00AB64A5" w:rsidRPr="00FF0864" w:rsidRDefault="00AB64A5" w:rsidP="007B0B27">
            <w:pPr>
              <w:jc w:val="both"/>
              <w:rPr>
                <w:rFonts w:ascii="Verdana" w:eastAsia="Calibri" w:hAnsi="Verdana" w:cs="Arial"/>
                <w:b/>
                <w:bCs/>
                <w:color w:val="7030A0"/>
                <w:lang w:val="es-ES" w:eastAsia="es-ES"/>
              </w:rPr>
            </w:pPr>
            <w:r w:rsidRPr="00FF0864">
              <w:rPr>
                <w:rFonts w:ascii="Verdana" w:eastAsia="Calibri" w:hAnsi="Verdana" w:cs="Arial"/>
                <w:b/>
                <w:bCs/>
                <w:lang w:val="es-ES" w:eastAsia="es-ES"/>
              </w:rPr>
              <w:t xml:space="preserve">Concepto C- </w:t>
            </w:r>
            <w:r w:rsidR="00FF0864" w:rsidRPr="00FF0864">
              <w:rPr>
                <w:rFonts w:ascii="Verdana" w:eastAsia="Calibri" w:hAnsi="Verdana" w:cs="Arial"/>
                <w:b/>
                <w:bCs/>
                <w:lang w:val="es-ES" w:eastAsia="es-ES"/>
              </w:rPr>
              <w:t>816</w:t>
            </w:r>
            <w:r w:rsidR="00BE2B78" w:rsidRPr="00FF0864">
              <w:rPr>
                <w:rFonts w:ascii="Verdana" w:eastAsia="Calibri" w:hAnsi="Verdana" w:cs="Arial"/>
                <w:b/>
                <w:bCs/>
                <w:lang w:val="es-ES" w:eastAsia="es-ES"/>
              </w:rPr>
              <w:t xml:space="preserve"> </w:t>
            </w:r>
            <w:r w:rsidRPr="00FF0864">
              <w:rPr>
                <w:rFonts w:ascii="Verdana" w:eastAsia="Calibri" w:hAnsi="Verdana" w:cs="Arial"/>
                <w:b/>
                <w:bCs/>
                <w:lang w:val="es-ES" w:eastAsia="es-ES"/>
              </w:rPr>
              <w:t>de 2024</w:t>
            </w:r>
          </w:p>
        </w:tc>
      </w:tr>
      <w:tr w:rsidR="0050012F" w:rsidRPr="00FF0864" w14:paraId="317258D8" w14:textId="77777777" w:rsidTr="007B0B27">
        <w:trPr>
          <w:trHeight w:val="884"/>
        </w:trPr>
        <w:tc>
          <w:tcPr>
            <w:tcW w:w="2268" w:type="dxa"/>
          </w:tcPr>
          <w:p w14:paraId="216AB9FC" w14:textId="77777777" w:rsidR="0050012F" w:rsidRPr="00FF0864" w:rsidRDefault="0050012F" w:rsidP="0050012F">
            <w:pPr>
              <w:jc w:val="both"/>
              <w:rPr>
                <w:rFonts w:ascii="Verdana" w:eastAsia="Calibri" w:hAnsi="Verdana" w:cs="Arial"/>
                <w:b/>
                <w:bCs/>
                <w:lang w:val="es-ES_tradnl" w:eastAsia="es-ES_tradnl"/>
              </w:rPr>
            </w:pPr>
            <w:r w:rsidRPr="00FF0864">
              <w:rPr>
                <w:rFonts w:ascii="Verdana" w:eastAsia="Calibri" w:hAnsi="Verdana" w:cs="Arial"/>
                <w:b/>
                <w:bCs/>
                <w:lang w:val="es-ES_tradnl" w:eastAsia="es-ES_tradnl"/>
              </w:rPr>
              <w:t xml:space="preserve">Temas:                   </w:t>
            </w:r>
          </w:p>
        </w:tc>
        <w:tc>
          <w:tcPr>
            <w:tcW w:w="6946" w:type="dxa"/>
          </w:tcPr>
          <w:p w14:paraId="7D22D41A" w14:textId="77777777" w:rsidR="00A96BF0" w:rsidRPr="00FF0864" w:rsidRDefault="00A96BF0" w:rsidP="00A96BF0">
            <w:pPr>
              <w:jc w:val="both"/>
              <w:rPr>
                <w:rFonts w:ascii="Verdana" w:eastAsia="Calibri" w:hAnsi="Verdana" w:cs="Arial"/>
                <w:lang w:val="es-ES_tradnl" w:eastAsia="es-ES_tradnl"/>
              </w:rPr>
            </w:pPr>
            <w:r w:rsidRPr="00FF0864">
              <w:rPr>
                <w:rFonts w:ascii="Verdana" w:eastAsia="Calibri" w:hAnsi="Verdana" w:cs="Arial"/>
                <w:lang w:val="es-ES_tradnl" w:eastAsia="es-ES_tradnl"/>
              </w:rPr>
              <w:t>INHABILIDADES – Definición – Finalidad – Limitación capacidad contractual / CONTRATACIÓN ESTATAL – Capacidad – Validez contratos – Régimen de contratación – Inscripción – Limitación de la capacidad / INHABILIDADES – Taxatividad – Principio de legalidad – Interpretación restrictiva</w:t>
            </w:r>
          </w:p>
          <w:p w14:paraId="07A9E108" w14:textId="3C2FF69C" w:rsidR="00A96BF0" w:rsidRPr="00FF0864" w:rsidRDefault="00A96BF0" w:rsidP="00A96BF0">
            <w:pPr>
              <w:tabs>
                <w:tab w:val="left" w:pos="426"/>
              </w:tabs>
              <w:jc w:val="both"/>
              <w:rPr>
                <w:rFonts w:ascii="Verdana" w:eastAsia="Calibri" w:hAnsi="Verdana" w:cs="Arial"/>
                <w:b/>
                <w:lang w:val="es-ES_tradnl"/>
              </w:rPr>
            </w:pPr>
          </w:p>
          <w:p w14:paraId="362B2D37" w14:textId="77777777" w:rsidR="0050012F" w:rsidRPr="00FF0864" w:rsidRDefault="0050012F" w:rsidP="0050012F">
            <w:pPr>
              <w:spacing w:line="276" w:lineRule="auto"/>
              <w:jc w:val="both"/>
              <w:rPr>
                <w:rFonts w:ascii="Verdana" w:eastAsia="Calibri" w:hAnsi="Verdana" w:cs="Arial"/>
                <w:lang w:eastAsia="es-ES_tradnl"/>
              </w:rPr>
            </w:pPr>
          </w:p>
        </w:tc>
      </w:tr>
      <w:tr w:rsidR="0050012F" w:rsidRPr="00FF0864" w14:paraId="6B3F3ED0" w14:textId="77777777" w:rsidTr="007B0B27">
        <w:tc>
          <w:tcPr>
            <w:tcW w:w="2268" w:type="dxa"/>
          </w:tcPr>
          <w:p w14:paraId="0AC72359" w14:textId="77777777" w:rsidR="0050012F" w:rsidRPr="00FF0864" w:rsidRDefault="0050012F" w:rsidP="0050012F">
            <w:pPr>
              <w:jc w:val="both"/>
              <w:rPr>
                <w:rFonts w:ascii="Verdana" w:eastAsia="Calibri" w:hAnsi="Verdana" w:cs="Arial"/>
                <w:b/>
                <w:lang w:val="es-ES_tradnl" w:eastAsia="es-ES_tradnl"/>
              </w:rPr>
            </w:pPr>
            <w:r w:rsidRPr="00FF0864">
              <w:rPr>
                <w:rFonts w:ascii="Verdana" w:eastAsia="Calibri" w:hAnsi="Verdana" w:cs="Arial"/>
                <w:b/>
                <w:lang w:val="es-ES_tradnl" w:eastAsia="es-ES_tradnl"/>
              </w:rPr>
              <w:t>Radicación:</w:t>
            </w:r>
            <w:r w:rsidRPr="00FF0864">
              <w:rPr>
                <w:rFonts w:ascii="Verdana" w:eastAsia="Calibri" w:hAnsi="Verdana" w:cs="Arial"/>
                <w:lang w:val="es-ES_tradnl" w:eastAsia="es-ES_tradnl"/>
              </w:rPr>
              <w:t xml:space="preserve">               </w:t>
            </w:r>
          </w:p>
        </w:tc>
        <w:tc>
          <w:tcPr>
            <w:tcW w:w="6946" w:type="dxa"/>
          </w:tcPr>
          <w:p w14:paraId="3BC81AFB" w14:textId="6AC345F8" w:rsidR="0050012F" w:rsidRPr="00FF0864" w:rsidRDefault="0050012F" w:rsidP="0050012F">
            <w:pPr>
              <w:rPr>
                <w:rFonts w:ascii="Verdana" w:eastAsia="Times New Roman" w:hAnsi="Verdana" w:cs="Calibri"/>
                <w:color w:val="000000"/>
                <w:lang w:val="es-419" w:eastAsia="es-419"/>
              </w:rPr>
            </w:pPr>
            <w:r w:rsidRPr="00FF0864">
              <w:rPr>
                <w:rFonts w:ascii="Verdana" w:eastAsia="Calibri" w:hAnsi="Verdana" w:cs="Arial"/>
                <w:lang w:val="es-ES_tradnl" w:eastAsia="es-ES_tradnl"/>
              </w:rPr>
              <w:t xml:space="preserve">Respuesta a consulta con radicado No. </w:t>
            </w:r>
            <w:r w:rsidR="00FF0864" w:rsidRPr="00FF0864">
              <w:rPr>
                <w:rFonts w:ascii="Verdana" w:eastAsia="Times New Roman" w:hAnsi="Verdana" w:cs="Calibri"/>
                <w:color w:val="000000"/>
                <w:lang w:val="es-419" w:eastAsia="es-419"/>
              </w:rPr>
              <w:t>P20241105011129</w:t>
            </w:r>
          </w:p>
          <w:p w14:paraId="14A3CEBF" w14:textId="06BFF59D" w:rsidR="0050012F" w:rsidRPr="00FF0864" w:rsidRDefault="0050012F" w:rsidP="0050012F">
            <w:pPr>
              <w:jc w:val="both"/>
              <w:rPr>
                <w:rFonts w:ascii="Verdana" w:eastAsia="Calibri" w:hAnsi="Verdana" w:cs="Arial"/>
                <w:lang w:val="es-ES_tradnl" w:eastAsia="es-ES_tradnl"/>
              </w:rPr>
            </w:pPr>
          </w:p>
        </w:tc>
      </w:tr>
    </w:tbl>
    <w:p w14:paraId="7459B210" w14:textId="77777777" w:rsidR="00AB64A5" w:rsidRPr="00FF0864" w:rsidRDefault="00AB64A5" w:rsidP="00AB64A5">
      <w:pPr>
        <w:spacing w:after="0" w:line="240" w:lineRule="auto"/>
        <w:jc w:val="both"/>
        <w:rPr>
          <w:rFonts w:ascii="Verdana" w:eastAsia="Calibri" w:hAnsi="Verdana" w:cs="Arial"/>
          <w:color w:val="000000"/>
          <w:lang w:val="es-ES_tradnl" w:eastAsia="es-ES_tradnl"/>
        </w:rPr>
      </w:pPr>
    </w:p>
    <w:p w14:paraId="3010FD6F" w14:textId="77777777" w:rsidR="00AB64A5" w:rsidRPr="00FF0864" w:rsidRDefault="00AB64A5" w:rsidP="00AB64A5">
      <w:pPr>
        <w:spacing w:after="0" w:line="240" w:lineRule="auto"/>
        <w:jc w:val="both"/>
        <w:rPr>
          <w:rFonts w:ascii="Verdana" w:eastAsia="Calibri" w:hAnsi="Verdana" w:cs="Arial"/>
          <w:color w:val="000000"/>
          <w:lang w:val="es-ES_tradnl" w:eastAsia="es-ES_tradnl"/>
        </w:rPr>
      </w:pPr>
    </w:p>
    <w:p w14:paraId="16D75B47" w14:textId="596984EC" w:rsidR="00AB64A5" w:rsidRPr="00FF0864" w:rsidRDefault="00AB64A5" w:rsidP="00AB64A5">
      <w:pPr>
        <w:spacing w:after="0" w:line="276" w:lineRule="auto"/>
        <w:jc w:val="both"/>
        <w:rPr>
          <w:rFonts w:ascii="Verdana" w:eastAsia="Calibri" w:hAnsi="Verdana" w:cs="Arial"/>
          <w:lang w:val="es-ES" w:eastAsia="es-ES"/>
        </w:rPr>
      </w:pPr>
      <w:r w:rsidRPr="00FF0864">
        <w:rPr>
          <w:rFonts w:ascii="Verdana" w:eastAsia="Calibri" w:hAnsi="Verdana" w:cs="Arial"/>
          <w:lang w:val="es-ES" w:eastAsia="es-ES"/>
        </w:rPr>
        <w:t>Estimad</w:t>
      </w:r>
      <w:r w:rsidR="0050012F" w:rsidRPr="00FF0864">
        <w:rPr>
          <w:rFonts w:ascii="Verdana" w:eastAsia="Calibri" w:hAnsi="Verdana" w:cs="Arial"/>
          <w:lang w:val="es-ES" w:eastAsia="es-ES"/>
        </w:rPr>
        <w:t xml:space="preserve">o señor </w:t>
      </w:r>
      <w:r w:rsidR="00FF0864" w:rsidRPr="00FF0864">
        <w:rPr>
          <w:rFonts w:ascii="Verdana" w:eastAsia="Calibri" w:hAnsi="Verdana" w:cs="Arial"/>
          <w:lang w:val="es-ES" w:eastAsia="es-ES"/>
        </w:rPr>
        <w:t>Zuluaga</w:t>
      </w:r>
      <w:r w:rsidR="00A96BF0" w:rsidRPr="00FF0864">
        <w:rPr>
          <w:rFonts w:ascii="Verdana" w:eastAsia="Calibri" w:hAnsi="Verdana" w:cs="Arial"/>
          <w:lang w:val="es-ES" w:eastAsia="es-ES"/>
        </w:rPr>
        <w:t>:</w:t>
      </w:r>
      <w:r w:rsidRPr="00FF0864">
        <w:rPr>
          <w:rFonts w:ascii="Verdana" w:eastAsia="Calibri" w:hAnsi="Verdana" w:cs="Arial"/>
          <w:lang w:val="es-ES" w:eastAsia="es-ES"/>
        </w:rPr>
        <w:t xml:space="preserve"> </w:t>
      </w:r>
    </w:p>
    <w:p w14:paraId="5ED55F00" w14:textId="77777777" w:rsidR="00AB64A5" w:rsidRPr="00FF0864" w:rsidRDefault="00AB64A5" w:rsidP="00AB64A5">
      <w:pPr>
        <w:tabs>
          <w:tab w:val="left" w:pos="3768"/>
        </w:tabs>
        <w:spacing w:after="0" w:line="276" w:lineRule="auto"/>
        <w:jc w:val="both"/>
        <w:rPr>
          <w:rFonts w:ascii="Verdana" w:eastAsia="Calibri" w:hAnsi="Verdana" w:cs="Arial"/>
          <w:color w:val="000000" w:themeColor="text1"/>
          <w:lang w:val="es-ES" w:eastAsia="es-ES"/>
        </w:rPr>
      </w:pPr>
      <w:r w:rsidRPr="00FF0864">
        <w:rPr>
          <w:rFonts w:ascii="Verdana" w:eastAsia="Calibri" w:hAnsi="Verdana" w:cs="Arial"/>
          <w:color w:val="000000" w:themeColor="text1"/>
          <w:lang w:val="es-ES" w:eastAsia="es-ES"/>
        </w:rPr>
        <w:tab/>
      </w:r>
    </w:p>
    <w:p w14:paraId="3AAA6349" w14:textId="3819DF50" w:rsidR="00AB64A5" w:rsidRPr="00FF0864" w:rsidRDefault="00AB64A5" w:rsidP="00AB64A5">
      <w:pPr>
        <w:spacing w:after="0" w:line="276" w:lineRule="auto"/>
        <w:jc w:val="both"/>
        <w:rPr>
          <w:rFonts w:ascii="Verdana" w:eastAsia="Calibri" w:hAnsi="Verdana" w:cs="Arial"/>
          <w:lang w:val="es-ES" w:eastAsia="es-ES"/>
        </w:rPr>
      </w:pPr>
      <w:r w:rsidRPr="00FF0864">
        <w:rPr>
          <w:rFonts w:ascii="Verdana" w:eastAsia="Calibri" w:hAnsi="Verdana" w:cs="Arial"/>
          <w:lang w:val="es-ES" w:eastAsia="es-ES"/>
        </w:rPr>
        <w:t>En ejercicio de la competencia otorgada por los artículos 3, numeral 5º, y 11, numeral 8º, del Decreto Ley 4170 de 2011,</w:t>
      </w:r>
      <w:r w:rsidRPr="00FF0864">
        <w:rPr>
          <w:rFonts w:ascii="Verdana" w:eastAsia="Arial MT" w:hAnsi="Verdana" w:cs="Arial MT"/>
          <w:lang w:val="es-ES" w:eastAsia="es-ES"/>
        </w:rPr>
        <w:t xml:space="preserve"> </w:t>
      </w:r>
      <w:r w:rsidRPr="00FF0864">
        <w:rPr>
          <w:rFonts w:ascii="Verdana" w:hAnsi="Verdana" w:cs="Arial"/>
        </w:rPr>
        <w:t xml:space="preserve">así como lo establecido en el artículo 4 de la Resolución 1707 de 2018 expedida por esta Entidad, </w:t>
      </w:r>
      <w:r w:rsidRPr="00FF0864">
        <w:rPr>
          <w:rFonts w:ascii="Verdana" w:eastAsia="Calibri" w:hAnsi="Verdana" w:cs="Arial"/>
          <w:lang w:val="es-ES" w:eastAsia="es-ES"/>
        </w:rPr>
        <w:t xml:space="preserve">la Agencia Nacional de Contratación Pública – Colombia Compra Eficiente– responde su solicitud radicada en esta entidad el </w:t>
      </w:r>
      <w:r w:rsidR="005F6633">
        <w:rPr>
          <w:rFonts w:ascii="Verdana" w:eastAsia="Calibri" w:hAnsi="Verdana" w:cs="Arial"/>
          <w:lang w:val="es-ES" w:eastAsia="es-ES"/>
        </w:rPr>
        <w:t>5</w:t>
      </w:r>
      <w:r w:rsidRPr="00FF0864">
        <w:rPr>
          <w:rFonts w:ascii="Verdana" w:eastAsia="Calibri" w:hAnsi="Verdana" w:cs="Arial"/>
          <w:lang w:val="es-ES" w:eastAsia="es-ES"/>
        </w:rPr>
        <w:t xml:space="preserve"> de </w:t>
      </w:r>
      <w:r w:rsidR="009F4B33">
        <w:rPr>
          <w:rFonts w:ascii="Verdana" w:eastAsia="Calibri" w:hAnsi="Verdana" w:cs="Arial"/>
          <w:lang w:val="es-ES" w:eastAsia="es-ES"/>
        </w:rPr>
        <w:t>noviembre</w:t>
      </w:r>
      <w:r w:rsidRPr="00FF0864">
        <w:rPr>
          <w:rFonts w:ascii="Verdana" w:eastAsia="Calibri" w:hAnsi="Verdana" w:cs="Arial"/>
          <w:lang w:val="es-ES" w:eastAsia="es-ES"/>
        </w:rPr>
        <w:t xml:space="preserve"> de 2024, en la cual manifiesta lo siguiente: </w:t>
      </w:r>
    </w:p>
    <w:p w14:paraId="35AFAAA8" w14:textId="77777777" w:rsidR="00AB64A5" w:rsidRPr="00FF0864" w:rsidRDefault="00AB64A5" w:rsidP="00AB64A5">
      <w:pPr>
        <w:spacing w:after="0" w:line="240" w:lineRule="auto"/>
        <w:ind w:left="709" w:right="709"/>
        <w:jc w:val="both"/>
        <w:rPr>
          <w:rFonts w:ascii="Verdana" w:hAnsi="Verdana" w:cs="Arial"/>
          <w:shd w:val="clear" w:color="auto" w:fill="FFFFFF"/>
        </w:rPr>
      </w:pPr>
      <w:bookmarkStart w:id="1" w:name="_Hlk95313578"/>
    </w:p>
    <w:bookmarkEnd w:id="1"/>
    <w:p w14:paraId="4E543B6E" w14:textId="15B0778F" w:rsidR="00AB64A5" w:rsidRPr="00FF0864" w:rsidRDefault="00FC3EC1" w:rsidP="00FF0864">
      <w:pPr>
        <w:spacing w:after="0" w:line="276" w:lineRule="auto"/>
        <w:ind w:left="709" w:right="758"/>
        <w:jc w:val="both"/>
        <w:rPr>
          <w:rFonts w:ascii="Verdana" w:eastAsia="Calibri" w:hAnsi="Verdana" w:cs="Arial"/>
          <w:sz w:val="21"/>
          <w:szCs w:val="21"/>
          <w:lang w:val="es-ES" w:eastAsia="es-ES"/>
        </w:rPr>
      </w:pPr>
      <w:r w:rsidRPr="00FF0864">
        <w:rPr>
          <w:rFonts w:ascii="Verdana" w:eastAsia="Calibri" w:hAnsi="Verdana" w:cs="Arial"/>
          <w:sz w:val="21"/>
          <w:szCs w:val="21"/>
          <w:lang w:val="es-ES" w:eastAsia="es-ES"/>
        </w:rPr>
        <w:t>“</w:t>
      </w:r>
      <w:r w:rsidR="00FF0864" w:rsidRPr="00FF0864">
        <w:rPr>
          <w:rFonts w:ascii="Verdana" w:eastAsia="Calibri" w:hAnsi="Verdana" w:cs="Arial"/>
          <w:sz w:val="21"/>
          <w:szCs w:val="21"/>
          <w:lang w:eastAsia="es-ES"/>
        </w:rPr>
        <w:t>Si soy contratista por prestación de servicios de una Administración Municipal, ¿puedo ser socio de una Entidad Sin Ánimo de Lucro (ESAL)? Si soy socio y miembro de la junta directiva de una ESAL, ¿puede esta entidad contratar con la misma Administración Municipal para la cual trabajo como contratista?</w:t>
      </w:r>
      <w:r w:rsidR="00FF0864" w:rsidRPr="00FF0864">
        <w:rPr>
          <w:rFonts w:ascii="Verdana" w:eastAsia="Calibri" w:hAnsi="Verdana" w:cs="Arial"/>
          <w:sz w:val="21"/>
          <w:szCs w:val="21"/>
          <w:lang w:val="es-ES" w:eastAsia="es-ES"/>
        </w:rPr>
        <w:t xml:space="preserve"> </w:t>
      </w:r>
      <w:r w:rsidRPr="00FF0864">
        <w:rPr>
          <w:rFonts w:ascii="Verdana" w:eastAsia="Calibri" w:hAnsi="Verdana" w:cs="Arial"/>
          <w:sz w:val="21"/>
          <w:szCs w:val="21"/>
          <w:lang w:val="es-ES" w:eastAsia="es-ES"/>
        </w:rPr>
        <w:t>[sic]</w:t>
      </w:r>
      <w:r w:rsidR="00A96BF0" w:rsidRPr="00FF0864">
        <w:rPr>
          <w:rFonts w:ascii="Verdana" w:eastAsia="Calibri" w:hAnsi="Verdana" w:cs="Arial"/>
          <w:sz w:val="21"/>
          <w:szCs w:val="21"/>
          <w:lang w:val="es-ES" w:eastAsia="es-ES"/>
        </w:rPr>
        <w:t>”</w:t>
      </w:r>
    </w:p>
    <w:p w14:paraId="59ACC790" w14:textId="77777777" w:rsidR="00FC3EC1" w:rsidRPr="00FF0864" w:rsidRDefault="00FC3EC1" w:rsidP="00FC3EC1">
      <w:pPr>
        <w:spacing w:after="0" w:line="276" w:lineRule="auto"/>
        <w:ind w:left="709" w:right="758"/>
        <w:jc w:val="both"/>
        <w:rPr>
          <w:rFonts w:ascii="Verdana" w:eastAsia="Century Gothic" w:hAnsi="Verdana" w:cs="Century Gothic"/>
          <w:i/>
          <w:iCs/>
        </w:rPr>
      </w:pPr>
    </w:p>
    <w:p w14:paraId="1078C241" w14:textId="77777777" w:rsidR="00AB64A5" w:rsidRPr="00FF0864" w:rsidRDefault="00AB64A5" w:rsidP="00AB64A5">
      <w:pPr>
        <w:spacing w:after="120" w:line="276" w:lineRule="auto"/>
        <w:ind w:firstLine="709"/>
        <w:jc w:val="both"/>
        <w:rPr>
          <w:rFonts w:ascii="Verdana" w:eastAsia="Calibri" w:hAnsi="Verdana" w:cs="Arial"/>
          <w:color w:val="000000"/>
          <w:lang w:val="es-ES_tradnl" w:eastAsia="es-ES_tradnl"/>
        </w:rPr>
      </w:pPr>
      <w:r w:rsidRPr="00FF0864">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F0864">
        <w:rPr>
          <w:rFonts w:ascii="Verdana" w:eastAsia="Calibri" w:hAnsi="Verdana" w:cs="Arial"/>
          <w:color w:val="000000"/>
          <w:lang w:val="es-ES_tradnl" w:eastAsia="es-ES_tradnl"/>
        </w:rPr>
        <w:tab/>
      </w:r>
    </w:p>
    <w:p w14:paraId="03C1028C" w14:textId="77777777" w:rsidR="00AB64A5" w:rsidRPr="00FF0864" w:rsidRDefault="00AB64A5" w:rsidP="00AB64A5">
      <w:pPr>
        <w:spacing w:after="0" w:line="276" w:lineRule="auto"/>
        <w:ind w:firstLine="709"/>
        <w:jc w:val="both"/>
        <w:rPr>
          <w:rFonts w:ascii="Verdana" w:eastAsia="Calibri" w:hAnsi="Verdana" w:cs="Arial"/>
          <w:color w:val="000000"/>
          <w:lang w:val="es-ES" w:eastAsia="es-ES"/>
        </w:rPr>
      </w:pPr>
      <w:r w:rsidRPr="00FF0864">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FF0864">
        <w:rPr>
          <w:rFonts w:ascii="Verdana" w:eastAsia="Calibri" w:hAnsi="Verdana" w:cs="Arial"/>
          <w:color w:val="7030A0"/>
          <w:lang w:val="es-ES" w:eastAsia="es-ES"/>
        </w:rPr>
        <w:t xml:space="preserve"> </w:t>
      </w:r>
      <w:r w:rsidRPr="00FF0864">
        <w:rPr>
          <w:rFonts w:ascii="Verdana" w:eastAsia="Calibri" w:hAnsi="Verdana" w:cs="Arial"/>
          <w:color w:val="000000"/>
          <w:lang w:val="es-ES" w:eastAsia="es-ES"/>
        </w:rPr>
        <w:t>jurídico</w:t>
      </w:r>
      <w:r w:rsidRPr="00FF0864">
        <w:rPr>
          <w:rFonts w:ascii="Verdana" w:eastAsia="Calibri" w:hAnsi="Verdana" w:cs="Arial"/>
          <w:color w:val="7030A0"/>
          <w:lang w:val="es-ES" w:eastAsia="es-ES"/>
        </w:rPr>
        <w:t xml:space="preserve"> </w:t>
      </w:r>
      <w:r w:rsidRPr="00FF0864">
        <w:rPr>
          <w:rFonts w:ascii="Verdana" w:eastAsia="Calibri" w:hAnsi="Verdana" w:cs="Arial"/>
          <w:color w:val="000000"/>
          <w:lang w:val="es-ES" w:eastAsia="es-ES"/>
        </w:rPr>
        <w:t xml:space="preserve">de su consulta. </w:t>
      </w:r>
    </w:p>
    <w:p w14:paraId="1E8B5A8D" w14:textId="77777777" w:rsidR="00AB64A5" w:rsidRPr="00FF0864" w:rsidRDefault="00AB64A5" w:rsidP="00AB64A5">
      <w:pPr>
        <w:spacing w:after="0" w:line="276" w:lineRule="auto"/>
        <w:ind w:firstLine="709"/>
        <w:jc w:val="both"/>
        <w:rPr>
          <w:rFonts w:ascii="Verdana" w:eastAsia="Calibri" w:hAnsi="Verdana" w:cs="Arial"/>
          <w:color w:val="000000"/>
          <w:lang w:val="es-ES" w:eastAsia="es-ES"/>
        </w:rPr>
      </w:pPr>
    </w:p>
    <w:p w14:paraId="631D94B5" w14:textId="77777777" w:rsidR="00AB64A5" w:rsidRPr="00FF0864" w:rsidRDefault="00AB64A5" w:rsidP="00AB64A5">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FF0864">
        <w:rPr>
          <w:rFonts w:ascii="Verdana" w:eastAsia="Century Gothic" w:hAnsi="Verdana" w:cs="Century Gothic"/>
          <w:b/>
          <w:bCs/>
        </w:rPr>
        <w:t>Problema planteado:</w:t>
      </w:r>
    </w:p>
    <w:p w14:paraId="00DEDA85" w14:textId="77777777" w:rsidR="00AB64A5" w:rsidRPr="00FF0864" w:rsidRDefault="00AB64A5" w:rsidP="00AB64A5">
      <w:pPr>
        <w:tabs>
          <w:tab w:val="left" w:pos="426"/>
        </w:tabs>
        <w:spacing w:after="0" w:line="276" w:lineRule="auto"/>
        <w:jc w:val="both"/>
        <w:rPr>
          <w:rFonts w:ascii="Verdana" w:eastAsia="Century Gothic" w:hAnsi="Verdana" w:cs="Century Gothic"/>
          <w:lang w:val="es-ES"/>
        </w:rPr>
      </w:pPr>
    </w:p>
    <w:p w14:paraId="510EDFE3" w14:textId="1AF5F299" w:rsidR="00CD258B" w:rsidRDefault="00F13E08" w:rsidP="00CD258B">
      <w:pPr>
        <w:spacing w:after="0" w:line="276" w:lineRule="auto"/>
        <w:jc w:val="both"/>
        <w:rPr>
          <w:rFonts w:ascii="Verdana" w:eastAsia="Century Gothic" w:hAnsi="Verdana" w:cs="Century Gothic"/>
        </w:rPr>
      </w:pPr>
      <w:r w:rsidRPr="00F13E08">
        <w:rPr>
          <w:rFonts w:ascii="Verdana" w:eastAsia="Century Gothic" w:hAnsi="Verdana" w:cs="Century Gothic"/>
        </w:rPr>
        <w:t>De acuerdo con el contenido de su solicitud, esta Agencia resolverá el siguiente problema jurídico: ¿En qué consiste el régimen de inhabilidades e incompatibilidades para celebrar un contrato de prestación de servicios con una entidad del estado?</w:t>
      </w:r>
    </w:p>
    <w:p w14:paraId="0C9178D8" w14:textId="77777777" w:rsidR="00F13E08" w:rsidRPr="00FF0864" w:rsidRDefault="00F13E08" w:rsidP="00CD258B">
      <w:pPr>
        <w:spacing w:after="0" w:line="276" w:lineRule="auto"/>
        <w:jc w:val="both"/>
        <w:rPr>
          <w:rFonts w:ascii="Verdana" w:eastAsia="Century Gothic" w:hAnsi="Verdana" w:cs="Century Gothic"/>
          <w:lang w:val="es-ES"/>
        </w:rPr>
      </w:pPr>
    </w:p>
    <w:p w14:paraId="7105E377" w14:textId="77777777" w:rsidR="00AB64A5" w:rsidRPr="00FF0864"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F0864">
        <w:rPr>
          <w:rFonts w:ascii="Verdana" w:eastAsia="Century Gothic" w:hAnsi="Verdana" w:cs="Century Gothic"/>
          <w:b/>
          <w:bCs/>
        </w:rPr>
        <w:t>Respuesta:</w:t>
      </w:r>
    </w:p>
    <w:p w14:paraId="09F450DC" w14:textId="77777777" w:rsidR="00AB64A5" w:rsidRPr="00FF0864" w:rsidRDefault="00AB64A5" w:rsidP="00AB64A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B64A5" w:rsidRPr="00FF0864" w14:paraId="7E3B28CD" w14:textId="77777777" w:rsidTr="007B0B27">
        <w:tc>
          <w:tcPr>
            <w:tcW w:w="8828" w:type="dxa"/>
          </w:tcPr>
          <w:p w14:paraId="6AE7007E" w14:textId="77777777" w:rsidR="0050012F" w:rsidRPr="00FF0864" w:rsidRDefault="009A2511" w:rsidP="006D51B2">
            <w:pPr>
              <w:widowControl w:val="0"/>
              <w:tabs>
                <w:tab w:val="left" w:pos="2143"/>
              </w:tabs>
              <w:autoSpaceDE w:val="0"/>
              <w:autoSpaceDN w:val="0"/>
              <w:spacing w:after="120" w:line="276" w:lineRule="auto"/>
              <w:jc w:val="both"/>
              <w:rPr>
                <w:rFonts w:ascii="Verdana" w:hAnsi="Verdana" w:cs="Arial"/>
              </w:rPr>
            </w:pPr>
            <w:r w:rsidRPr="00FF0864">
              <w:rPr>
                <w:rFonts w:ascii="Verdana" w:hAnsi="Verdana" w:cs="Arial"/>
              </w:rPr>
              <w:t xml:space="preserve">Conforme a lo expuesto, las disposiciones del régimen de inhabilidades e incompatibilidades afectan la capacidad jurídica, la cual constituye uno de los requisitos habilitantes en los procesos de selección. Esto implica que las entidades estatales, al evaluar los requisitos habilitantes de los oferentes, deben verificar que estos no se encuentren incursos en causales de inhabilidad o incompatibilidad que restrinjan su capacidad para participar en el proceso o </w:t>
            </w:r>
            <w:r w:rsidRPr="00FF0864">
              <w:rPr>
                <w:rFonts w:ascii="Verdana" w:hAnsi="Verdana" w:cs="Arial"/>
              </w:rPr>
              <w:lastRenderedPageBreak/>
              <w:t>celebrar contratos.</w:t>
            </w:r>
          </w:p>
          <w:p w14:paraId="7DB8FA41" w14:textId="4B4E78CE" w:rsidR="00942844" w:rsidRPr="00FF0864" w:rsidRDefault="00942844" w:rsidP="006D51B2">
            <w:pPr>
              <w:widowControl w:val="0"/>
              <w:tabs>
                <w:tab w:val="left" w:pos="2143"/>
              </w:tabs>
              <w:autoSpaceDE w:val="0"/>
              <w:autoSpaceDN w:val="0"/>
              <w:spacing w:after="120" w:line="276" w:lineRule="auto"/>
              <w:jc w:val="both"/>
              <w:rPr>
                <w:rFonts w:ascii="Verdana" w:eastAsia="Calibri" w:hAnsi="Verdana" w:cs="Arial"/>
              </w:rPr>
            </w:pPr>
            <w:r w:rsidRPr="00FF0864">
              <w:rPr>
                <w:rFonts w:ascii="Verdana" w:eastAsia="Calibri" w:hAnsi="Verdana" w:cs="Arial"/>
              </w:rPr>
              <w:t xml:space="preserve">En este sentido, mientras exista una persona que cuente con alguna inhabilidad o incompatibilidad para contratar con el Estado, no será viable suscribir contratos con entidades estatales. Esto se debe a que las restricciones legales impuestas por dichas inhabilidades e incompatibilidades buscan garantizar la transparencia y el cumplimiento de la normativa en los procesos de contratación pública. </w:t>
            </w:r>
          </w:p>
          <w:p w14:paraId="4108809F" w14:textId="2F9EEDC0" w:rsidR="009A2511" w:rsidRPr="00FF0864" w:rsidRDefault="009A2511" w:rsidP="006D51B2">
            <w:pPr>
              <w:widowControl w:val="0"/>
              <w:tabs>
                <w:tab w:val="left" w:pos="2143"/>
              </w:tabs>
              <w:autoSpaceDE w:val="0"/>
              <w:autoSpaceDN w:val="0"/>
              <w:spacing w:after="120" w:line="276" w:lineRule="auto"/>
              <w:jc w:val="both"/>
              <w:rPr>
                <w:rFonts w:ascii="Verdana" w:eastAsia="Calibri" w:hAnsi="Verdana" w:cs="Arial"/>
                <w:u w:val="single"/>
              </w:rPr>
            </w:pPr>
            <w:r w:rsidRPr="00FF0864">
              <w:rPr>
                <w:rFonts w:ascii="Verdana" w:eastAsia="Calibri" w:hAnsi="Verdana" w:cs="Arial"/>
              </w:rPr>
              <w:t>Al respecto no existe norma que regule como debe acreditarse la ausencia de inhabilidades, por lo que existe libertad probatoria respecto de dicha circunstancia. En ese sentido, resulta válido que como anexo de la oferta se exijan declaraciones bajo la gravedad de juramento, en las que los oferentes den fe de no estar incursos en causales de inhabilidad o incompatibilidad. De acuerdo con esto, dicha declaración es un medio de acreditación admisible para que el proponente demuestre no estar incurso en la inhabilidad del literal g) del numeral 1 del artículo 8 de la Ley 80 de 1993.</w:t>
            </w:r>
          </w:p>
        </w:tc>
      </w:tr>
    </w:tbl>
    <w:p w14:paraId="25FD70A0" w14:textId="77777777" w:rsidR="00C04209" w:rsidRPr="00FF0864" w:rsidRDefault="00C04209" w:rsidP="00C0420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94193F0" w14:textId="1CFCB6CC" w:rsidR="00AB64A5" w:rsidRPr="00FF0864"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F0864">
        <w:rPr>
          <w:rFonts w:ascii="Verdana" w:eastAsia="Century Gothic" w:hAnsi="Verdana" w:cs="Century Gothic"/>
          <w:b/>
          <w:bCs/>
        </w:rPr>
        <w:t>Razones de la respuesta:</w:t>
      </w:r>
    </w:p>
    <w:p w14:paraId="03D52260" w14:textId="77777777" w:rsidR="00AB64A5" w:rsidRPr="00FF0864" w:rsidRDefault="00AB64A5" w:rsidP="00AB64A5">
      <w:pPr>
        <w:spacing w:after="0" w:line="276" w:lineRule="auto"/>
        <w:jc w:val="both"/>
        <w:rPr>
          <w:rFonts w:ascii="Verdana" w:eastAsia="Calibri" w:hAnsi="Verdana" w:cs="Arial"/>
          <w:color w:val="7030A0"/>
          <w:lang w:val="es-ES"/>
        </w:rPr>
      </w:pPr>
    </w:p>
    <w:p w14:paraId="22947B98" w14:textId="77777777" w:rsidR="00AB64A5" w:rsidRPr="00FF0864" w:rsidRDefault="00AB64A5" w:rsidP="00AB64A5">
      <w:pPr>
        <w:spacing w:after="0" w:line="276" w:lineRule="auto"/>
        <w:jc w:val="both"/>
        <w:rPr>
          <w:rFonts w:ascii="Verdana" w:eastAsia="Calibri" w:hAnsi="Verdana" w:cs="Arial"/>
          <w:lang w:val="es-ES"/>
        </w:rPr>
      </w:pPr>
      <w:r w:rsidRPr="00FF0864">
        <w:rPr>
          <w:rFonts w:ascii="Verdana" w:eastAsia="Calibri" w:hAnsi="Verdana" w:cs="Arial"/>
          <w:lang w:val="es-ES"/>
        </w:rPr>
        <w:t xml:space="preserve">Lo anterior se sustenta en las siguientes consideraciones: </w:t>
      </w:r>
    </w:p>
    <w:p w14:paraId="1B0B6DAD" w14:textId="77777777" w:rsidR="000E2148" w:rsidRPr="00FF0864" w:rsidRDefault="000E2148" w:rsidP="00AB64A5">
      <w:pPr>
        <w:spacing w:after="0" w:line="276" w:lineRule="auto"/>
        <w:jc w:val="both"/>
        <w:rPr>
          <w:rFonts w:ascii="Verdana" w:eastAsia="Calibri" w:hAnsi="Verdana" w:cs="Arial"/>
          <w:lang w:val="es-ES"/>
        </w:rPr>
      </w:pPr>
    </w:p>
    <w:p w14:paraId="78F0B116" w14:textId="2DAB083F" w:rsidR="00FF2F27" w:rsidRPr="00FF0864" w:rsidRDefault="00FF2F27" w:rsidP="00942844">
      <w:pPr>
        <w:pStyle w:val="Sinespaciado"/>
        <w:numPr>
          <w:ilvl w:val="0"/>
          <w:numId w:val="32"/>
        </w:numPr>
        <w:spacing w:after="120" w:line="276" w:lineRule="auto"/>
        <w:jc w:val="both"/>
        <w:rPr>
          <w:rFonts w:ascii="Verdana" w:hAnsi="Verdana" w:cs="Arial"/>
          <w:sz w:val="22"/>
        </w:rPr>
      </w:pPr>
      <w:r w:rsidRPr="00FF0864">
        <w:rPr>
          <w:rFonts w:ascii="Verdana" w:hAnsi="Verdana" w:cs="Arial"/>
          <w:sz w:val="22"/>
        </w:rPr>
        <w:t xml:space="preserve">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44C6900E" w14:textId="77777777" w:rsidR="00FF2F27" w:rsidRPr="00FF0864" w:rsidRDefault="00FF2F27" w:rsidP="00FF2F27">
      <w:pPr>
        <w:pStyle w:val="Sinespaciado"/>
        <w:numPr>
          <w:ilvl w:val="0"/>
          <w:numId w:val="32"/>
        </w:numPr>
        <w:spacing w:before="120" w:line="276" w:lineRule="auto"/>
        <w:jc w:val="both"/>
        <w:rPr>
          <w:rFonts w:ascii="Verdana" w:hAnsi="Verdana" w:cs="Arial"/>
          <w:sz w:val="22"/>
        </w:rPr>
      </w:pPr>
      <w:r w:rsidRPr="00FF0864">
        <w:rPr>
          <w:rFonts w:ascii="Verdana" w:hAnsi="Verdana" w:cs="Arial"/>
          <w:sz w:val="22"/>
        </w:rPr>
        <w:t xml:space="preserve">La consagración limitaciones que afectan la capacidad jurídica para contratar desarrolla los principios de la función administrativa consagrados en el artículo 209 de la Constitución Política, con especial énfasis el de moralidad. Así lo entiende el Consejo de Estado: </w:t>
      </w:r>
    </w:p>
    <w:p w14:paraId="109134B1" w14:textId="77777777" w:rsidR="00FF2F27" w:rsidRPr="00FF0864" w:rsidRDefault="00FF2F27" w:rsidP="00FF2F27">
      <w:pPr>
        <w:pStyle w:val="Sinespaciado"/>
        <w:spacing w:line="276" w:lineRule="auto"/>
        <w:jc w:val="both"/>
        <w:rPr>
          <w:rFonts w:ascii="Verdana" w:hAnsi="Verdana" w:cs="Arial"/>
          <w:sz w:val="22"/>
        </w:rPr>
      </w:pPr>
    </w:p>
    <w:p w14:paraId="2D9F2858" w14:textId="6AB9C998" w:rsidR="00FF2F27" w:rsidRPr="00FF0864" w:rsidRDefault="00FF2F27" w:rsidP="00FF2F27">
      <w:pPr>
        <w:pStyle w:val="NormalWeb"/>
        <w:shd w:val="clear" w:color="auto" w:fill="FFFFFF"/>
        <w:spacing w:before="0" w:beforeAutospacing="0" w:after="120" w:afterAutospacing="0"/>
        <w:ind w:left="720" w:right="709"/>
        <w:jc w:val="both"/>
        <w:rPr>
          <w:rFonts w:ascii="Verdana" w:eastAsiaTheme="minorHAnsi" w:hAnsi="Verdana" w:cs="Arial"/>
          <w:sz w:val="21"/>
          <w:szCs w:val="21"/>
          <w:lang w:val="es-ES" w:eastAsia="en-US"/>
        </w:rPr>
      </w:pPr>
      <w:r w:rsidRPr="00FF0864">
        <w:rPr>
          <w:rFonts w:ascii="Verdana" w:eastAsiaTheme="minorHAnsi" w:hAnsi="Verdana" w:cs="Arial"/>
          <w:sz w:val="21"/>
          <w:szCs w:val="21"/>
          <w:lang w:val="es-ES" w:eastAsia="en-US"/>
        </w:rPr>
        <w:t xml:space="preserve">“De manera primordial en esta reflexión debe advertirse que la consagración legal de las incompatibilidades e inhabilidades en materia contractual, no es sino desarrollo del Principio de Moralidad que la </w:t>
      </w:r>
      <w:r w:rsidRPr="00FF0864">
        <w:rPr>
          <w:rFonts w:ascii="Verdana" w:eastAsiaTheme="minorHAnsi" w:hAnsi="Verdana" w:cs="Arial"/>
          <w:sz w:val="21"/>
          <w:szCs w:val="21"/>
          <w:lang w:val="es-ES" w:eastAsia="en-US"/>
        </w:rPr>
        <w:lastRenderedPageBreak/>
        <w:t>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4DDB7ABB" w14:textId="422EAA85" w:rsidR="00FF2F27" w:rsidRPr="00FF0864" w:rsidRDefault="00FF2F27" w:rsidP="00FF2F27">
      <w:pPr>
        <w:pStyle w:val="NormalWeb"/>
        <w:shd w:val="clear" w:color="auto" w:fill="FFFFFF"/>
        <w:spacing w:before="0" w:beforeAutospacing="0" w:after="0" w:afterAutospacing="0"/>
        <w:ind w:left="720" w:right="709"/>
        <w:jc w:val="both"/>
        <w:rPr>
          <w:rFonts w:ascii="Verdana" w:eastAsiaTheme="minorHAnsi" w:hAnsi="Verdana" w:cs="Arial"/>
          <w:sz w:val="21"/>
          <w:szCs w:val="21"/>
          <w:lang w:val="es-ES" w:eastAsia="en-US"/>
        </w:rPr>
      </w:pPr>
      <w:r w:rsidRPr="00FF0864">
        <w:rPr>
          <w:rFonts w:ascii="Verdana" w:eastAsiaTheme="minorHAnsi" w:hAnsi="Verdana" w:cs="Arial"/>
          <w:sz w:val="21"/>
          <w:szCs w:val="21"/>
          <w:lang w:val="es-ES" w:eastAsia="en-U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FF0864">
        <w:rPr>
          <w:rStyle w:val="Refdenotaalpie"/>
          <w:rFonts w:ascii="Verdana" w:eastAsiaTheme="minorHAnsi" w:hAnsi="Verdana" w:cs="Arial"/>
          <w:sz w:val="21"/>
          <w:szCs w:val="21"/>
          <w:lang w:val="es-ES" w:eastAsia="en-US"/>
        </w:rPr>
        <w:footnoteReference w:id="1"/>
      </w:r>
      <w:r w:rsidRPr="00FF0864">
        <w:rPr>
          <w:rFonts w:ascii="Verdana" w:eastAsiaTheme="minorHAnsi" w:hAnsi="Verdana" w:cs="Arial"/>
          <w:sz w:val="21"/>
          <w:szCs w:val="21"/>
          <w:lang w:val="es-ES" w:eastAsia="en-US"/>
        </w:rPr>
        <w:t xml:space="preserve">.” </w:t>
      </w:r>
    </w:p>
    <w:p w14:paraId="78002BB3" w14:textId="77777777" w:rsidR="00FF2F27" w:rsidRPr="00FF0864" w:rsidRDefault="00FF2F27" w:rsidP="00FF2F27">
      <w:pPr>
        <w:pStyle w:val="Sinespaciado"/>
        <w:spacing w:line="276" w:lineRule="auto"/>
        <w:jc w:val="both"/>
        <w:rPr>
          <w:rFonts w:ascii="Verdana" w:hAnsi="Verdana" w:cs="Arial"/>
          <w:sz w:val="22"/>
        </w:rPr>
      </w:pPr>
    </w:p>
    <w:p w14:paraId="39997514" w14:textId="77777777" w:rsidR="00FF2F27" w:rsidRPr="00FF0864" w:rsidRDefault="00FF2F27" w:rsidP="00FF2F27">
      <w:pPr>
        <w:pStyle w:val="Sinespaciado"/>
        <w:numPr>
          <w:ilvl w:val="0"/>
          <w:numId w:val="32"/>
        </w:numPr>
        <w:spacing w:line="276" w:lineRule="auto"/>
        <w:jc w:val="both"/>
        <w:rPr>
          <w:rFonts w:ascii="Verdana" w:hAnsi="Verdana" w:cs="Arial"/>
          <w:sz w:val="22"/>
        </w:rPr>
      </w:pPr>
      <w:r w:rsidRPr="00FF0864">
        <w:rPr>
          <w:rFonts w:ascii="Verdana" w:hAnsi="Verdana" w:cs="Arial"/>
          <w:sz w:val="22"/>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justificadas en la salvaguarda del interés general y que su lectura e interpretación es taxativa y restrictiva: </w:t>
      </w:r>
    </w:p>
    <w:p w14:paraId="4F2D4E44" w14:textId="77777777" w:rsidR="00FF2F27" w:rsidRPr="00FF0864" w:rsidRDefault="00FF2F27" w:rsidP="00FF2F27">
      <w:pPr>
        <w:rPr>
          <w:rFonts w:ascii="Verdana" w:eastAsia="Times New Roman" w:hAnsi="Verdana" w:cs="Arial"/>
          <w:shd w:val="clear" w:color="auto" w:fill="FFFFFF"/>
          <w:lang w:eastAsia="es-ES_tradnl"/>
        </w:rPr>
      </w:pPr>
    </w:p>
    <w:p w14:paraId="182063EB" w14:textId="18AFC99D" w:rsidR="00FF2F27" w:rsidRPr="00FF0864" w:rsidRDefault="00FF2F27" w:rsidP="00FF2F27">
      <w:pPr>
        <w:pStyle w:val="Prrafodelista"/>
        <w:spacing w:after="120"/>
        <w:ind w:right="709"/>
        <w:jc w:val="both"/>
        <w:rPr>
          <w:rFonts w:ascii="Verdana" w:hAnsi="Verdana" w:cs="Arial"/>
          <w:sz w:val="21"/>
          <w:szCs w:val="21"/>
        </w:rPr>
      </w:pPr>
      <w:r w:rsidRPr="00FF0864">
        <w:rPr>
          <w:rFonts w:ascii="Verdana" w:hAnsi="Verdana" w:cs="Arial"/>
          <w:sz w:val="21"/>
          <w:szCs w:val="21"/>
        </w:rPr>
        <w:t xml:space="preserve">“Todo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w:t>
      </w:r>
      <w:r w:rsidRPr="00FF0864">
        <w:rPr>
          <w:rFonts w:ascii="Verdana" w:hAnsi="Verdana" w:cs="Arial"/>
          <w:sz w:val="21"/>
          <w:szCs w:val="21"/>
        </w:rPr>
        <w:lastRenderedPageBreak/>
        <w:t xml:space="preserve">ordinario, como ocurre en la contratación estatal, la inobservancia del régimen de inhabilidades e </w:t>
      </w:r>
      <w:proofErr w:type="gramStart"/>
      <w:r w:rsidRPr="00FF0864">
        <w:rPr>
          <w:rFonts w:ascii="Verdana" w:hAnsi="Verdana" w:cs="Arial"/>
          <w:sz w:val="21"/>
          <w:szCs w:val="21"/>
        </w:rPr>
        <w:t>incompatibilidades,</w:t>
      </w:r>
      <w:proofErr w:type="gramEnd"/>
      <w:r w:rsidRPr="00FF0864">
        <w:rPr>
          <w:rFonts w:ascii="Verdana" w:hAnsi="Verdana" w:cs="Arial"/>
          <w:sz w:val="21"/>
          <w:szCs w:val="21"/>
        </w:rPr>
        <w:t xml:space="preserve"> se erige en causal de nulidad del contrato celebrado en esas condiciones (ley 80 de 1993, art. 44).</w:t>
      </w:r>
    </w:p>
    <w:p w14:paraId="79FE82DC" w14:textId="77777777" w:rsidR="00FF2F27" w:rsidRPr="00FF0864" w:rsidRDefault="00FF2F27" w:rsidP="00FF2F27">
      <w:pPr>
        <w:pStyle w:val="Prrafodelista"/>
        <w:spacing w:after="120"/>
        <w:ind w:right="709"/>
        <w:jc w:val="both"/>
        <w:rPr>
          <w:rFonts w:ascii="Verdana" w:hAnsi="Verdana" w:cs="Arial"/>
          <w:sz w:val="21"/>
          <w:szCs w:val="21"/>
        </w:rPr>
      </w:pPr>
    </w:p>
    <w:p w14:paraId="2DA5E05A" w14:textId="28ECEEDE" w:rsidR="00FF2F27" w:rsidRPr="00FF0864" w:rsidRDefault="00FF2F27" w:rsidP="00FF2F27">
      <w:pPr>
        <w:pStyle w:val="Prrafodelista"/>
        <w:ind w:right="709"/>
        <w:jc w:val="both"/>
        <w:rPr>
          <w:rFonts w:ascii="Verdana" w:hAnsi="Verdana" w:cs="Arial"/>
          <w:sz w:val="21"/>
          <w:szCs w:val="21"/>
        </w:rPr>
      </w:pPr>
      <w:r w:rsidRPr="00FF0864">
        <w:rPr>
          <w:rFonts w:ascii="Verdana" w:hAnsi="Verdana" w:cs="Arial"/>
          <w:sz w:val="21"/>
          <w:szCs w:val="21"/>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FF0864">
        <w:rPr>
          <w:rStyle w:val="Refdenotaalpie"/>
          <w:rFonts w:ascii="Verdana" w:hAnsi="Verdana" w:cs="Arial"/>
          <w:sz w:val="21"/>
          <w:szCs w:val="21"/>
        </w:rPr>
        <w:footnoteReference w:id="2"/>
      </w:r>
      <w:r w:rsidRPr="00FF0864">
        <w:rPr>
          <w:rFonts w:ascii="Verdana" w:hAnsi="Verdana" w:cs="Arial"/>
          <w:sz w:val="21"/>
          <w:szCs w:val="21"/>
        </w:rPr>
        <w:t>.”</w:t>
      </w:r>
    </w:p>
    <w:p w14:paraId="2BF1BCCB" w14:textId="77777777" w:rsidR="00942844" w:rsidRPr="00FF0864" w:rsidRDefault="00942844" w:rsidP="00942844">
      <w:pPr>
        <w:pStyle w:val="Prrafodelista"/>
        <w:spacing w:after="120" w:line="276" w:lineRule="auto"/>
        <w:jc w:val="both"/>
        <w:rPr>
          <w:rFonts w:ascii="Verdana" w:hAnsi="Verdana" w:cs="Arial"/>
        </w:rPr>
      </w:pPr>
    </w:p>
    <w:p w14:paraId="7E1BF1F0" w14:textId="018D7C99" w:rsidR="00FF2F27" w:rsidRPr="00FF0864" w:rsidRDefault="00FF2F27" w:rsidP="00FF2F27">
      <w:pPr>
        <w:pStyle w:val="Prrafodelista"/>
        <w:numPr>
          <w:ilvl w:val="0"/>
          <w:numId w:val="32"/>
        </w:numPr>
        <w:spacing w:after="120" w:line="276" w:lineRule="auto"/>
        <w:jc w:val="both"/>
        <w:rPr>
          <w:rFonts w:ascii="Verdana" w:hAnsi="Verdana" w:cs="Arial"/>
        </w:rPr>
      </w:pPr>
      <w:r w:rsidRPr="00FF0864">
        <w:rPr>
          <w:rFonts w:ascii="Verdana" w:hAnsi="Verdana" w:cs="Arial"/>
        </w:rPr>
        <w:t xml:space="preserve">Conviene también distinguir las fuentes de las inhabilidades, las cuales han sido clasificadas en dos (2) grupos: i) inhabilidades-sanción y </w:t>
      </w:r>
      <w:proofErr w:type="spellStart"/>
      <w:r w:rsidRPr="00FF0864">
        <w:rPr>
          <w:rFonts w:ascii="Verdana" w:hAnsi="Verdana" w:cs="Arial"/>
        </w:rPr>
        <w:t>ii</w:t>
      </w:r>
      <w:proofErr w:type="spellEnd"/>
      <w:r w:rsidRPr="00FF0864">
        <w:rPr>
          <w:rFonts w:ascii="Verdana" w:hAnsi="Verdana" w:cs="Arial"/>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FF0864">
        <w:rPr>
          <w:rStyle w:val="Refdenotaalpie"/>
          <w:rFonts w:ascii="Verdana" w:hAnsi="Verdana" w:cs="Arial"/>
        </w:rPr>
        <w:footnoteReference w:id="3"/>
      </w:r>
      <w:r w:rsidRPr="00FF0864">
        <w:rPr>
          <w:rFonts w:ascii="Verdana" w:hAnsi="Verdana" w:cs="Arial"/>
        </w:rPr>
        <w:t xml:space="preserve">. </w:t>
      </w:r>
    </w:p>
    <w:p w14:paraId="111D7A21" w14:textId="77777777" w:rsidR="00FF2F27" w:rsidRPr="00FF0864" w:rsidRDefault="00FF2F27" w:rsidP="00FF2F27">
      <w:pPr>
        <w:pStyle w:val="Prrafodelista"/>
        <w:numPr>
          <w:ilvl w:val="0"/>
          <w:numId w:val="32"/>
        </w:numPr>
        <w:spacing w:before="120" w:after="120" w:line="276" w:lineRule="auto"/>
        <w:jc w:val="both"/>
        <w:rPr>
          <w:rFonts w:ascii="Verdana" w:hAnsi="Verdana" w:cs="Arial"/>
        </w:rPr>
      </w:pPr>
      <w:r w:rsidRPr="00FF0864">
        <w:rPr>
          <w:rFonts w:ascii="Verdana" w:hAnsi="Verdana" w:cs="Arial"/>
        </w:rPr>
        <w:t>A manera de ejemplo, en materia contractual, los literales c), d) y j) del numeral 1 del artículo 8 de la Ley 80 de 1993</w:t>
      </w:r>
      <w:r w:rsidRPr="00FF0864">
        <w:rPr>
          <w:rFonts w:ascii="Verdana" w:hAnsi="Verdana"/>
          <w:vertAlign w:val="superscript"/>
        </w:rPr>
        <w:footnoteReference w:id="4"/>
      </w:r>
      <w:r w:rsidRPr="00FF0864">
        <w:rPr>
          <w:rFonts w:ascii="Verdana" w:hAnsi="Verdana" w:cs="Arial"/>
        </w:rPr>
        <w:t xml:space="preserve">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literal </w:t>
      </w:r>
      <w:r w:rsidRPr="00FF0864">
        <w:rPr>
          <w:rFonts w:ascii="Verdana" w:hAnsi="Verdana" w:cs="Arial"/>
        </w:rPr>
        <w:lastRenderedPageBreak/>
        <w:t xml:space="preserve">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12B6FF32" w14:textId="507F7E37" w:rsidR="00FF2F27" w:rsidRPr="00FF0864" w:rsidRDefault="00FF2F27" w:rsidP="00FF2F27">
      <w:pPr>
        <w:pStyle w:val="Prrafodelista"/>
        <w:numPr>
          <w:ilvl w:val="0"/>
          <w:numId w:val="32"/>
        </w:numPr>
        <w:spacing w:before="120" w:line="276" w:lineRule="auto"/>
        <w:jc w:val="both"/>
        <w:rPr>
          <w:rFonts w:ascii="Verdana" w:hAnsi="Verdana" w:cs="Arial"/>
        </w:rPr>
      </w:pPr>
      <w:bookmarkStart w:id="2" w:name="_Hlk40976328"/>
      <w:r w:rsidRPr="00FF0864">
        <w:rPr>
          <w:rFonts w:ascii="Verdana" w:hAnsi="Verdana" w:cs="Aria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bookmarkEnd w:id="2"/>
    </w:p>
    <w:p w14:paraId="1168D624" w14:textId="77777777" w:rsidR="00FF2F27" w:rsidRPr="00FF0864" w:rsidRDefault="00FF2F27" w:rsidP="00FF2F27">
      <w:pPr>
        <w:pStyle w:val="Prrafodelista"/>
        <w:numPr>
          <w:ilvl w:val="0"/>
          <w:numId w:val="32"/>
        </w:numPr>
        <w:spacing w:line="276" w:lineRule="auto"/>
        <w:jc w:val="both"/>
        <w:rPr>
          <w:rFonts w:ascii="Verdana" w:eastAsia="Calibri" w:hAnsi="Verdana" w:cs="Arial"/>
          <w:lang w:val="es-ES_tradnl"/>
        </w:rPr>
      </w:pPr>
      <w:r w:rsidRPr="00FF0864">
        <w:rPr>
          <w:rFonts w:ascii="Verdana" w:eastAsia="Calibri" w:hAnsi="Verdana" w:cs="Arial"/>
          <w:lang w:val="es-ES_tradnl"/>
        </w:rPr>
        <w:t xml:space="preserve">En la contratación estatal, la </w:t>
      </w:r>
      <w:r w:rsidRPr="00FF0864">
        <w:rPr>
          <w:rFonts w:ascii="Verdana" w:eastAsia="Calibri" w:hAnsi="Verdana" w:cs="Arial"/>
          <w:i/>
          <w:iCs/>
          <w:lang w:val="es-ES_tradnl"/>
        </w:rPr>
        <w:t>capacidad</w:t>
      </w:r>
      <w:r w:rsidRPr="00FF0864">
        <w:rPr>
          <w:rFonts w:ascii="Verdana" w:eastAsia="Calibri" w:hAnsi="Verdana" w:cs="Arial"/>
          <w:lang w:val="es-ES_tradnl"/>
        </w:rPr>
        <w:t xml:space="preserve"> también es un requisito de validez de los contratos, tanto en el régimen de las entidades sujetas al Estatuto General de Contratación de la Administración Pública</w:t>
      </w:r>
      <w:r w:rsidRPr="00FF0864">
        <w:rPr>
          <w:rFonts w:ascii="Verdana" w:hAnsi="Verdana"/>
          <w:vertAlign w:val="superscript"/>
          <w:lang w:val="es-ES_tradnl"/>
        </w:rPr>
        <w:footnoteReference w:id="5"/>
      </w:r>
      <w:r w:rsidRPr="00FF0864">
        <w:rPr>
          <w:rFonts w:ascii="Verdana" w:eastAsia="Calibri" w:hAnsi="Verdana" w:cs="Arial"/>
          <w:lang w:val="es-ES_tradnl"/>
        </w:rPr>
        <w:t xml:space="preserve"> como en el de las entidades exceptuadas de aquel</w:t>
      </w:r>
      <w:r w:rsidRPr="00FF0864">
        <w:rPr>
          <w:rFonts w:ascii="Verdana" w:hAnsi="Verdana"/>
          <w:vertAlign w:val="superscript"/>
          <w:lang w:val="es-ES_tradnl"/>
        </w:rPr>
        <w:footnoteReference w:id="6"/>
      </w:r>
      <w:r w:rsidRPr="00FF0864">
        <w:rPr>
          <w:rFonts w:ascii="Verdana" w:eastAsia="Calibri" w:hAnsi="Verdana" w:cs="Arial"/>
          <w:lang w:val="es-ES_tradnl"/>
        </w:rPr>
        <w:t>.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w:t>
      </w:r>
      <w:r w:rsidRPr="00FF0864">
        <w:rPr>
          <w:rFonts w:ascii="Verdana" w:hAnsi="Verdana"/>
          <w:vertAlign w:val="superscript"/>
          <w:lang w:val="es-ES_tradnl"/>
        </w:rPr>
        <w:footnoteReference w:id="7"/>
      </w:r>
      <w:r w:rsidRPr="00FF0864">
        <w:rPr>
          <w:rFonts w:ascii="Verdana" w:eastAsia="Calibri" w:hAnsi="Verdana" w:cs="Arial"/>
          <w:lang w:val="es-ES_tradnl"/>
        </w:rPr>
        <w:t>–, se destaca el régimen de inhabilidades e incompatibilidades como un conjunto de normas que imponen restricciones para los sujetos que, eventualmente, pretendan participar en los procedimientos de selección o celebrar contratos con las entidades estatales</w:t>
      </w:r>
      <w:r w:rsidRPr="00FF0864">
        <w:rPr>
          <w:rFonts w:ascii="Verdana" w:hAnsi="Verdana"/>
          <w:vertAlign w:val="superscript"/>
          <w:lang w:val="es-ES_tradnl"/>
        </w:rPr>
        <w:footnoteReference w:id="8"/>
      </w:r>
      <w:r w:rsidRPr="00FF0864">
        <w:rPr>
          <w:rFonts w:ascii="Verdana" w:eastAsia="Calibri" w:hAnsi="Verdana" w:cs="Arial"/>
          <w:lang w:val="es-ES_tradnl"/>
        </w:rPr>
        <w:t>.</w:t>
      </w:r>
    </w:p>
    <w:p w14:paraId="7DEBE6A9" w14:textId="5726EBEF" w:rsidR="00FF2F27" w:rsidRPr="00FF0864" w:rsidRDefault="00FF2F27" w:rsidP="00FF2F27">
      <w:pPr>
        <w:pStyle w:val="Prrafodelista"/>
        <w:numPr>
          <w:ilvl w:val="0"/>
          <w:numId w:val="32"/>
        </w:numPr>
        <w:spacing w:before="120" w:after="120" w:line="276" w:lineRule="auto"/>
        <w:jc w:val="both"/>
        <w:rPr>
          <w:rFonts w:ascii="Verdana" w:eastAsia="Calibri" w:hAnsi="Verdana" w:cs="Arial"/>
          <w:lang w:val="es-ES_tradnl"/>
        </w:rPr>
      </w:pPr>
      <w:r w:rsidRPr="00FF0864">
        <w:rPr>
          <w:rFonts w:ascii="Verdana" w:eastAsia="Calibri" w:hAnsi="Verdana" w:cs="Arial"/>
          <w:lang w:val="es-ES_tradnl"/>
        </w:rPr>
        <w:t xml:space="preserve">Las inhabilidades son prohibiciones para concurrir a los procedimientos de selección y para contratar con el Estado, que se derivan: i) de la existencia de comportamientos reprochables o de sanciones anteriormente </w:t>
      </w:r>
      <w:r w:rsidRPr="00FF0864">
        <w:rPr>
          <w:rFonts w:ascii="Verdana" w:eastAsia="Calibri" w:hAnsi="Verdana" w:cs="Arial"/>
          <w:lang w:val="es-ES_tradnl"/>
        </w:rPr>
        <w:lastRenderedPageBreak/>
        <w:t>impuestas</w:t>
      </w:r>
      <w:r w:rsidRPr="00FF0864">
        <w:rPr>
          <w:rFonts w:ascii="Verdana" w:hAnsi="Verdana"/>
          <w:vertAlign w:val="superscript"/>
          <w:lang w:val="es-ES_tradnl"/>
        </w:rPr>
        <w:footnoteReference w:id="9"/>
      </w:r>
      <w:r w:rsidRPr="00FF0864">
        <w:rPr>
          <w:rFonts w:ascii="Verdana" w:eastAsia="Calibri" w:hAnsi="Verdana" w:cs="Arial"/>
          <w:lang w:val="es-ES_tradnl"/>
        </w:rPr>
        <w:t xml:space="preserve">, </w:t>
      </w:r>
      <w:proofErr w:type="spellStart"/>
      <w:r w:rsidRPr="00FF0864">
        <w:rPr>
          <w:rFonts w:ascii="Verdana" w:eastAsia="Calibri" w:hAnsi="Verdana" w:cs="Arial"/>
          <w:lang w:val="es-ES_tradnl"/>
        </w:rPr>
        <w:t>ii</w:t>
      </w:r>
      <w:proofErr w:type="spellEnd"/>
      <w:r w:rsidRPr="00FF0864">
        <w:rPr>
          <w:rFonts w:ascii="Verdana" w:eastAsia="Calibri" w:hAnsi="Verdana" w:cs="Arial"/>
          <w:lang w:val="es-ES_tradnl"/>
        </w:rPr>
        <w:t>) de vínculos personales relativos al parentesco o al estado civil</w:t>
      </w:r>
      <w:r w:rsidRPr="00FF0864">
        <w:rPr>
          <w:rFonts w:ascii="Verdana" w:hAnsi="Verdana"/>
          <w:vertAlign w:val="superscript"/>
          <w:lang w:val="es-ES_tradnl"/>
        </w:rPr>
        <w:footnoteReference w:id="10"/>
      </w:r>
      <w:r w:rsidRPr="00FF0864">
        <w:rPr>
          <w:rFonts w:ascii="Verdana" w:eastAsia="Calibri" w:hAnsi="Verdana" w:cs="Arial"/>
          <w:lang w:val="es-ES_tradnl"/>
        </w:rPr>
        <w:t xml:space="preserve"> o </w:t>
      </w:r>
      <w:proofErr w:type="spellStart"/>
      <w:r w:rsidRPr="00FF0864">
        <w:rPr>
          <w:rFonts w:ascii="Verdana" w:eastAsia="Calibri" w:hAnsi="Verdana" w:cs="Arial"/>
          <w:lang w:val="es-ES_tradnl"/>
        </w:rPr>
        <w:t>iii</w:t>
      </w:r>
      <w:proofErr w:type="spellEnd"/>
      <w:r w:rsidRPr="00FF0864">
        <w:rPr>
          <w:rFonts w:ascii="Verdana" w:eastAsia="Calibri" w:hAnsi="Verdana" w:cs="Arial"/>
          <w:lang w:val="es-ES_tradnl"/>
        </w:rPr>
        <w:t>) de una actividad u oficio que se desempeñó en el pasado</w:t>
      </w:r>
      <w:r w:rsidRPr="00FF0864">
        <w:rPr>
          <w:rFonts w:ascii="Verdana" w:hAnsi="Verdana"/>
          <w:vertAlign w:val="superscript"/>
          <w:lang w:val="es-ES_tradnl"/>
        </w:rPr>
        <w:footnoteReference w:id="11"/>
      </w:r>
      <w:r w:rsidRPr="00FF0864">
        <w:rPr>
          <w:rFonts w:ascii="Verdana" w:eastAsia="Calibri" w:hAnsi="Verdana" w:cs="Arial"/>
          <w:lang w:val="es-ES_tradnl"/>
        </w:rPr>
        <w:t>.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como se desarrolló en el numeral 2.1. de este concepto. De manera que la presencia de ellas impide que se puedan celebrar contratos con el Estado o participar en procedimientos de selección de las entidades estatales, por lo que de cualquiera de ellas se derivan los mismos efectos jurídicos</w:t>
      </w:r>
      <w:r w:rsidRPr="00FF0864">
        <w:rPr>
          <w:rStyle w:val="Refdenotaalpie"/>
          <w:rFonts w:ascii="Verdana" w:eastAsia="Calibri" w:hAnsi="Verdana" w:cs="Arial"/>
          <w:lang w:val="es-ES_tradnl"/>
        </w:rPr>
        <w:footnoteReference w:id="12"/>
      </w:r>
      <w:r w:rsidRPr="00FF0864">
        <w:rPr>
          <w:rFonts w:ascii="Verdana" w:eastAsia="Calibri" w:hAnsi="Verdana" w:cs="Arial"/>
          <w:lang w:val="es-ES_tradnl"/>
        </w:rPr>
        <w:t>.</w:t>
      </w:r>
    </w:p>
    <w:p w14:paraId="3522F927" w14:textId="77777777" w:rsidR="00FF0864" w:rsidRPr="00FF0864" w:rsidRDefault="00FF0864" w:rsidP="00FF0864">
      <w:pPr>
        <w:pStyle w:val="Prrafodelista"/>
        <w:spacing w:before="120" w:after="120" w:line="276" w:lineRule="auto"/>
        <w:jc w:val="both"/>
        <w:rPr>
          <w:rFonts w:ascii="Verdana" w:eastAsia="Calibri" w:hAnsi="Verdana" w:cs="Arial"/>
          <w:lang w:val="es-ES_tradnl"/>
        </w:rPr>
      </w:pPr>
    </w:p>
    <w:p w14:paraId="5DFCDB74" w14:textId="33046824" w:rsidR="00FF2F27" w:rsidRPr="00FF0864" w:rsidRDefault="00FF2F27" w:rsidP="00FF2F27">
      <w:pPr>
        <w:pStyle w:val="Prrafodelista"/>
        <w:numPr>
          <w:ilvl w:val="0"/>
          <w:numId w:val="32"/>
        </w:numPr>
        <w:spacing w:before="120" w:after="120" w:line="276" w:lineRule="auto"/>
        <w:jc w:val="both"/>
        <w:rPr>
          <w:rFonts w:ascii="Verdana" w:eastAsia="Calibri" w:hAnsi="Verdana" w:cs="Arial"/>
          <w:lang w:val="es-ES_tradnl"/>
        </w:rPr>
      </w:pPr>
      <w:r w:rsidRPr="00FF0864">
        <w:rPr>
          <w:rFonts w:ascii="Verdana" w:eastAsia="Calibri" w:hAnsi="Verdana" w:cs="Arial"/>
          <w:lang w:val="es-ES_tradnl"/>
        </w:rPr>
        <w:t xml:space="preserve">De otro lado, el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entidades estatales se efectúe cumpliendo con los principios de la función administrativa y de la gestión fiscal, especialmente con probidad y transparencia. Por ello, como destaca la doctrina, las inhabilidades e incompatibilidades son herramientas en la lucha contra la corrupción, adoptando paulatinamente una naturaleza sancionatoria o </w:t>
      </w:r>
      <w:r w:rsidR="00FF0864" w:rsidRPr="00FF0864">
        <w:rPr>
          <w:rFonts w:ascii="Verdana" w:eastAsia="Calibri" w:hAnsi="Verdana" w:cs="Arial"/>
          <w:lang w:val="es-ES_tradnl"/>
        </w:rPr>
        <w:t>“</w:t>
      </w:r>
      <w:proofErr w:type="spellStart"/>
      <w:r w:rsidRPr="00FF0864">
        <w:rPr>
          <w:rFonts w:ascii="Verdana" w:eastAsia="Calibri" w:hAnsi="Verdana" w:cs="Arial"/>
          <w:lang w:val="es-ES_tradnl"/>
        </w:rPr>
        <w:t>neopunitiva</w:t>
      </w:r>
      <w:proofErr w:type="spellEnd"/>
      <w:r w:rsidR="00FF0864" w:rsidRPr="00FF0864">
        <w:rPr>
          <w:rFonts w:ascii="Verdana" w:eastAsia="Calibri" w:hAnsi="Verdana" w:cs="Arial"/>
          <w:lang w:val="es-ES_tradnl"/>
        </w:rPr>
        <w:t>”</w:t>
      </w:r>
      <w:r w:rsidRPr="00FF0864">
        <w:rPr>
          <w:rFonts w:ascii="Verdana" w:hAnsi="Verdana"/>
          <w:vertAlign w:val="superscript"/>
          <w:lang w:val="es-ES_tradnl"/>
        </w:rPr>
        <w:footnoteReference w:id="13"/>
      </w:r>
      <w:r w:rsidRPr="00FF0864">
        <w:rPr>
          <w:rFonts w:ascii="Verdana" w:eastAsia="Calibri" w:hAnsi="Verdana" w:cs="Arial"/>
          <w:lang w:val="es-ES_tradnl"/>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487BC6EF" w14:textId="77777777" w:rsidR="00FF2F27" w:rsidRPr="00FF0864" w:rsidRDefault="00FF2F27" w:rsidP="00FF2F27">
      <w:pPr>
        <w:pStyle w:val="Prrafodelista"/>
        <w:numPr>
          <w:ilvl w:val="0"/>
          <w:numId w:val="32"/>
        </w:numPr>
        <w:spacing w:before="120" w:after="120" w:line="276" w:lineRule="auto"/>
        <w:jc w:val="both"/>
        <w:rPr>
          <w:rFonts w:ascii="Verdana" w:eastAsia="Calibri" w:hAnsi="Verdana" w:cs="Arial"/>
          <w:lang w:val="es-ES_tradnl"/>
        </w:rPr>
      </w:pPr>
      <w:r w:rsidRPr="00FF0864">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FF0864">
        <w:rPr>
          <w:rFonts w:ascii="Verdana" w:eastAsia="Calibri" w:hAnsi="Verdana" w:cs="Arial"/>
          <w:i/>
          <w:iCs/>
          <w:lang w:val="es-ES_tradnl"/>
        </w:rPr>
        <w:t>restrictiva</w:t>
      </w:r>
      <w:r w:rsidRPr="00FF0864">
        <w:rPr>
          <w:rFonts w:ascii="Verdana" w:hAnsi="Verdana"/>
          <w:vertAlign w:val="superscript"/>
          <w:lang w:val="es-ES_tradnl"/>
        </w:rPr>
        <w:footnoteReference w:id="14"/>
      </w:r>
      <w:r w:rsidRPr="00FF0864">
        <w:rPr>
          <w:rFonts w:ascii="Verdana" w:eastAsia="Calibri" w:hAnsi="Verdana" w:cs="Arial"/>
          <w:lang w:val="es-ES_tradnl"/>
        </w:rPr>
        <w:t xml:space="preserve">, 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66401137" w14:textId="77777777" w:rsidR="00FF2F27" w:rsidRPr="00FF0864" w:rsidRDefault="00FF2F27" w:rsidP="00FF2F27">
      <w:pPr>
        <w:pStyle w:val="Prrafodelista"/>
        <w:spacing w:before="120" w:after="120" w:line="276" w:lineRule="auto"/>
        <w:jc w:val="both"/>
        <w:rPr>
          <w:rFonts w:ascii="Verdana" w:eastAsia="Calibri" w:hAnsi="Verdana" w:cs="Arial"/>
          <w:lang w:val="es-ES_tradnl"/>
        </w:rPr>
      </w:pPr>
    </w:p>
    <w:p w14:paraId="5AC15790" w14:textId="77777777" w:rsidR="00FF2F27" w:rsidRPr="00FF0864" w:rsidRDefault="00FF2F27" w:rsidP="00FF2F27">
      <w:pPr>
        <w:pStyle w:val="Prrafodelista"/>
        <w:numPr>
          <w:ilvl w:val="0"/>
          <w:numId w:val="32"/>
        </w:numPr>
        <w:spacing w:line="276" w:lineRule="auto"/>
        <w:jc w:val="both"/>
        <w:rPr>
          <w:rFonts w:ascii="Verdana" w:eastAsia="Calibri" w:hAnsi="Verdana" w:cs="Arial"/>
          <w:lang w:val="es-ES_tradnl"/>
        </w:rPr>
      </w:pPr>
      <w:r w:rsidRPr="00FF0864">
        <w:rPr>
          <w:rFonts w:ascii="Verdana" w:eastAsia="Arial" w:hAnsi="Verdana" w:cs="Arial"/>
          <w:color w:val="000000"/>
          <w:lang w:val="es-ES_tradnl"/>
        </w:rPr>
        <w:lastRenderedPageBreak/>
        <w:t xml:space="preserve">Como se aprecia, el principio </w:t>
      </w:r>
      <w:r w:rsidRPr="00FF0864">
        <w:rPr>
          <w:rFonts w:ascii="Verdana" w:eastAsia="Arial" w:hAnsi="Verdana" w:cs="Arial"/>
          <w:i/>
          <w:iCs/>
          <w:color w:val="000000"/>
          <w:lang w:val="es-ES_tradnl"/>
        </w:rPr>
        <w:t xml:space="preserve">pro </w:t>
      </w:r>
      <w:proofErr w:type="spellStart"/>
      <w:r w:rsidRPr="00FF0864">
        <w:rPr>
          <w:rFonts w:ascii="Verdana" w:eastAsia="Arial" w:hAnsi="Verdana" w:cs="Arial"/>
          <w:i/>
          <w:iCs/>
          <w:color w:val="000000"/>
          <w:lang w:val="es-ES_tradnl"/>
        </w:rPr>
        <w:t>libertate</w:t>
      </w:r>
      <w:proofErr w:type="spellEnd"/>
      <w:r w:rsidRPr="00FF0864">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FF0864">
        <w:rPr>
          <w:rFonts w:ascii="Verdana" w:hAnsi="Verdana" w:cs="Arial"/>
          <w:color w:val="000000" w:themeColor="text1"/>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FF0864">
        <w:rPr>
          <w:rStyle w:val="Refdenotaalpie"/>
          <w:rFonts w:ascii="Verdana" w:hAnsi="Verdana" w:cs="Arial"/>
          <w:color w:val="000000" w:themeColor="text1"/>
        </w:rPr>
        <w:footnoteReference w:id="15"/>
      </w:r>
      <w:r w:rsidRPr="00FF0864">
        <w:rPr>
          <w:rFonts w:ascii="Verdana" w:hAnsi="Verdana" w:cs="Arial"/>
          <w:color w:val="000000" w:themeColor="text1"/>
        </w:rPr>
        <w:t>.</w:t>
      </w:r>
    </w:p>
    <w:p w14:paraId="46490674" w14:textId="30148A73" w:rsidR="00FF2F27" w:rsidRPr="00FF0864" w:rsidRDefault="00FF2F27" w:rsidP="00FF2F27">
      <w:pPr>
        <w:pStyle w:val="CEDAContenido"/>
        <w:numPr>
          <w:ilvl w:val="0"/>
          <w:numId w:val="32"/>
        </w:numPr>
        <w:rPr>
          <w:rFonts w:ascii="Verdana" w:hAnsi="Verdana" w:cs="Arial"/>
          <w:b/>
          <w:bCs/>
        </w:rPr>
      </w:pPr>
      <w:r w:rsidRPr="00FF0864">
        <w:rPr>
          <w:rFonts w:ascii="Verdana" w:hAnsi="Verdana" w:cs="Arial"/>
          <w:shd w:val="clear" w:color="auto" w:fill="FFFFFF"/>
          <w:lang w:val="es-MX"/>
        </w:rPr>
        <w:t xml:space="preserve">En este sentido, retomando una idea esbozada con anterioridad, la doctrina y la jurisprudencia son pacíficas en considerar que la creación de inhabilidades e incompatibilidades es un asunto con reserva de ley, en tanto, </w:t>
      </w:r>
      <w:r w:rsidR="00FF0864" w:rsidRPr="00FF0864">
        <w:rPr>
          <w:rFonts w:ascii="Verdana" w:hAnsi="Verdana" w:cs="Arial"/>
          <w:shd w:val="clear" w:color="auto" w:fill="FFFFFF"/>
          <w:lang w:val="es-MX"/>
        </w:rPr>
        <w:t>“</w:t>
      </w:r>
      <w:r w:rsidRPr="00FF0864">
        <w:rPr>
          <w:rFonts w:ascii="Verdana" w:hAnsi="Verdana" w:cs="Arial"/>
          <w:shd w:val="clear" w:color="auto" w:fill="FFFFFF"/>
        </w:rPr>
        <w:t>[…] su previsión y desarrollo es materia exclusiva del legislador (reserva de ley), quien en virtud del principio democrático debe definir y tipificar expresamente sus causas, vigencia, naturaleza y efectos</w:t>
      </w:r>
      <w:r w:rsidR="00FF0864" w:rsidRPr="00FF0864">
        <w:rPr>
          <w:rFonts w:ascii="Verdana" w:hAnsi="Verdana" w:cs="Arial"/>
          <w:shd w:val="clear" w:color="auto" w:fill="FFFFFF"/>
          <w:lang w:val="es-MX"/>
        </w:rPr>
        <w:t>”</w:t>
      </w:r>
      <w:r w:rsidRPr="00FF0864">
        <w:rPr>
          <w:rStyle w:val="Refdenotaalpie"/>
          <w:rFonts w:ascii="Verdana" w:hAnsi="Verdana" w:cs="Arial"/>
          <w:shd w:val="clear" w:color="auto" w:fill="FFFFFF"/>
          <w:lang w:val="es-MX"/>
        </w:rPr>
        <w:footnoteReference w:id="16"/>
      </w:r>
      <w:r w:rsidRPr="00FF0864">
        <w:rPr>
          <w:rFonts w:ascii="Verdana" w:hAnsi="Verdana" w:cs="Arial"/>
          <w:shd w:val="clear" w:color="auto" w:fill="FFFFFF"/>
          <w:lang w:val="es-MX"/>
        </w:rPr>
        <w:t xml:space="preserve">. En similar sentido, la Sala de Consulta y Servicio Civil del Consejo de Estado expresó </w:t>
      </w:r>
      <w:r w:rsidRPr="00FF0864">
        <w:rPr>
          <w:rFonts w:ascii="Verdana" w:hAnsi="Verdana" w:cs="Arial"/>
          <w:color w:val="000000"/>
          <w:shd w:val="clear" w:color="auto" w:fill="FFFFFF"/>
        </w:rPr>
        <w:t xml:space="preserve">que </w:t>
      </w:r>
      <w:r w:rsidR="00FF0864" w:rsidRPr="00FF0864">
        <w:rPr>
          <w:rFonts w:ascii="Verdana" w:hAnsi="Verdana" w:cs="Arial"/>
          <w:color w:val="000000"/>
          <w:shd w:val="clear" w:color="auto" w:fill="FFFFFF"/>
        </w:rPr>
        <w:t>“</w:t>
      </w:r>
      <w:r w:rsidRPr="00FF0864">
        <w:rPr>
          <w:rFonts w:ascii="Verdana" w:hAnsi="Verdana" w:cs="Arial"/>
          <w:color w:val="000000"/>
          <w:shd w:val="clear" w:color="auto" w:fill="FFFFFF"/>
        </w:rPr>
        <w:t>[…] las causales de inhabilidad e incompatibilidad deben estar expresa y taxativamente establecidas en la Constitución o en la ley y son de aplicación e interpretación restrictivas […]</w:t>
      </w:r>
      <w:r w:rsidR="00FF0864" w:rsidRPr="00FF0864">
        <w:rPr>
          <w:rFonts w:ascii="Verdana" w:hAnsi="Verdana" w:cs="Arial"/>
          <w:color w:val="000000"/>
          <w:shd w:val="clear" w:color="auto" w:fill="FFFFFF"/>
        </w:rPr>
        <w:t>”</w:t>
      </w:r>
      <w:r w:rsidRPr="00FF0864">
        <w:rPr>
          <w:rStyle w:val="Refdenotaalpie"/>
          <w:rFonts w:ascii="Verdana" w:hAnsi="Verdana" w:cs="Arial"/>
          <w:color w:val="000000"/>
          <w:shd w:val="clear" w:color="auto" w:fill="FFFFFF"/>
        </w:rPr>
        <w:footnoteReference w:id="17"/>
      </w:r>
      <w:r w:rsidRPr="00FF0864">
        <w:rPr>
          <w:rFonts w:ascii="Verdana" w:hAnsi="Verdana" w:cs="Arial"/>
          <w:color w:val="000000"/>
          <w:shd w:val="clear" w:color="auto" w:fill="FFFFFF"/>
        </w:rPr>
        <w:t xml:space="preserve">. En este sentido, como se observa, existe consenso, incluso como lo ha expresado esta </w:t>
      </w:r>
      <w:r w:rsidRPr="00FF0864">
        <w:rPr>
          <w:rFonts w:ascii="Verdana" w:hAnsi="Verdana" w:cs="Arial"/>
          <w:color w:val="000000"/>
          <w:shd w:val="clear" w:color="auto" w:fill="FFFFFF"/>
        </w:rPr>
        <w:lastRenderedPageBreak/>
        <w:t>Agencia en ocasiones anteriores, que la creación de inhabilidades o incompatibilidades está reservada al constituyente o al legislador.</w:t>
      </w:r>
    </w:p>
    <w:p w14:paraId="00DE3BCA" w14:textId="4A806D99" w:rsidR="00FF2F27" w:rsidRPr="00FF0864" w:rsidRDefault="00FF2F27" w:rsidP="00FF2F27">
      <w:pPr>
        <w:pStyle w:val="Prrafodelista"/>
        <w:numPr>
          <w:ilvl w:val="0"/>
          <w:numId w:val="32"/>
        </w:numPr>
        <w:spacing w:after="120" w:line="276" w:lineRule="auto"/>
        <w:jc w:val="both"/>
        <w:rPr>
          <w:rFonts w:ascii="Verdana" w:eastAsia="Calibri" w:hAnsi="Verdana" w:cs="Arial"/>
          <w:lang w:val="es-ES_tradnl"/>
        </w:rPr>
      </w:pPr>
      <w:r w:rsidRPr="00FF0864">
        <w:rPr>
          <w:rFonts w:ascii="Verdana" w:eastAsia="Calibri" w:hAnsi="Verdana" w:cs="Arial"/>
          <w:lang w:val="es-ES_tradnl"/>
        </w:rPr>
        <w:t xml:space="preserve">El literal g) del numeral 1 del artículo 8 de la Ley 80 de 1993 determina que son inhábiles para participar en procesos de contratación o suscribir contratos con entidades estatales </w:t>
      </w:r>
      <w:r w:rsidR="00FF0864" w:rsidRPr="00FF0864">
        <w:rPr>
          <w:rFonts w:ascii="Verdana" w:eastAsia="Calibri" w:hAnsi="Verdana" w:cs="Arial"/>
          <w:lang w:val="es-ES_tradnl"/>
        </w:rPr>
        <w:t>“</w:t>
      </w:r>
      <w:r w:rsidRPr="00FF0864">
        <w:rPr>
          <w:rFonts w:ascii="Verdana" w:eastAsia="Calibri" w:hAnsi="Verdana" w:cs="Arial"/>
          <w:lang w:val="es-ES_tradnl"/>
        </w:rPr>
        <w:t>Quienes sean cónyuges o compañeros permanentes y quienes se encuentren dentro del segundo grado de consanguinidad o segundo de afinidad con cualquier otra persona que formalmente haya presentado propuesta para una misma licitación</w:t>
      </w:r>
      <w:r w:rsidR="00FF0864" w:rsidRPr="00FF0864">
        <w:rPr>
          <w:rFonts w:ascii="Verdana" w:eastAsia="Calibri" w:hAnsi="Verdana" w:cs="Arial"/>
          <w:lang w:val="es-ES_tradnl"/>
        </w:rPr>
        <w:t>”</w:t>
      </w:r>
      <w:r w:rsidRPr="00FF0864">
        <w:rPr>
          <w:rFonts w:ascii="Verdana" w:eastAsia="Calibri" w:hAnsi="Verdana" w:cs="Arial"/>
          <w:lang w:val="es-ES_tradnl"/>
        </w:rPr>
        <w:t>.</w:t>
      </w:r>
    </w:p>
    <w:p w14:paraId="7119135E" w14:textId="77777777" w:rsidR="00FF2F27" w:rsidRPr="00FF0864" w:rsidRDefault="00FF2F27" w:rsidP="00FF2F27">
      <w:pPr>
        <w:pStyle w:val="Prrafodelista"/>
        <w:numPr>
          <w:ilvl w:val="0"/>
          <w:numId w:val="32"/>
        </w:numPr>
        <w:spacing w:before="120" w:after="120" w:line="276" w:lineRule="auto"/>
        <w:jc w:val="both"/>
        <w:rPr>
          <w:rFonts w:ascii="Verdana" w:eastAsia="Calibri" w:hAnsi="Verdana" w:cs="Arial"/>
          <w:lang w:val="es-ES_tradnl"/>
        </w:rPr>
      </w:pPr>
      <w:r w:rsidRPr="00FF0864">
        <w:rPr>
          <w:rFonts w:ascii="Verdana" w:eastAsia="Calibri" w:hAnsi="Verdana" w:cs="Arial"/>
          <w:lang w:val="es-ES"/>
        </w:rPr>
        <w:t>La citada inhabilidad tiene fundamento en las relaciones familiares o de parentesco, tales como los cónyuges o compañeros permanentes, así como aquellas personas respecto de las que se predican relaciones de consanguinidad o afinidad hasta el segundo grado. Esa circunstancia implica que esa causal de inhabilidad se instituyó, única y exclusivamente, con el propósito de limitar la capacidad en la participación en procesos de contratación de las denominadas personas naturales</w:t>
      </w:r>
      <w:r w:rsidRPr="00FF0864">
        <w:rPr>
          <w:rStyle w:val="Refdenotaalpie"/>
          <w:rFonts w:ascii="Verdana" w:eastAsia="Calibri" w:hAnsi="Verdana" w:cs="Arial"/>
          <w:lang w:val="es-ES"/>
        </w:rPr>
        <w:footnoteReference w:id="18"/>
      </w:r>
      <w:r w:rsidRPr="00FF0864">
        <w:rPr>
          <w:rFonts w:ascii="Verdana" w:eastAsia="Calibri" w:hAnsi="Verdana" w:cs="Arial"/>
          <w:lang w:val="es-ES"/>
        </w:rPr>
        <w:t>, esto es, sujetos de derechos y obligaciones de la especie humana unidos entre si ya sea por vínculos naturales o jurídicos</w:t>
      </w:r>
      <w:r w:rsidRPr="00FF0864">
        <w:rPr>
          <w:rStyle w:val="Refdenotaalpie"/>
          <w:rFonts w:ascii="Verdana" w:eastAsia="Calibri" w:hAnsi="Verdana" w:cs="Arial"/>
          <w:lang w:val="es-ES"/>
        </w:rPr>
        <w:footnoteReference w:id="19"/>
      </w:r>
      <w:r w:rsidRPr="00FF0864">
        <w:rPr>
          <w:rFonts w:ascii="Verdana" w:eastAsia="Calibri" w:hAnsi="Verdana" w:cs="Arial"/>
          <w:lang w:val="es-ES"/>
        </w:rPr>
        <w:t>.</w:t>
      </w:r>
    </w:p>
    <w:p w14:paraId="187A0B8A" w14:textId="3537C530" w:rsidR="00FF2F27" w:rsidRPr="00FF0864" w:rsidRDefault="00FF2F27" w:rsidP="00FF2F27">
      <w:pPr>
        <w:pStyle w:val="Prrafodelista"/>
        <w:numPr>
          <w:ilvl w:val="0"/>
          <w:numId w:val="32"/>
        </w:numPr>
        <w:spacing w:after="120" w:line="276" w:lineRule="auto"/>
        <w:jc w:val="both"/>
        <w:rPr>
          <w:rFonts w:ascii="Verdana" w:eastAsia="Calibri" w:hAnsi="Verdana" w:cs="Arial"/>
          <w:lang w:val="es-ES_tradnl"/>
        </w:rPr>
      </w:pPr>
      <w:r w:rsidRPr="00FF0864">
        <w:rPr>
          <w:rFonts w:ascii="Verdana" w:eastAsia="Calibri" w:hAnsi="Verdana" w:cs="Arial"/>
          <w:lang w:val="es-ES_tradnl"/>
        </w:rPr>
        <w:t>En ese sentido, para acreditar que los proponentes no se encuentran incursos en inhabilidades, es válido que las entidades estatales estales, al adelantar procesos de selección, exijan a los proponentes, declaraciones en las que, bajo la gravedad de juramento, manifiesten no estar incursos en causales de inhabilidad o incompatibilidad. Ello ciertamente corresponde una forma viable para demostrar el hecho al que se refiere, al ser el juramento un medio de prueba válido a luz de las normas procesales</w:t>
      </w:r>
      <w:r w:rsidRPr="00FF0864">
        <w:rPr>
          <w:rStyle w:val="Refdenotaalpie"/>
          <w:rFonts w:ascii="Verdana" w:eastAsia="Calibri" w:hAnsi="Verdana" w:cs="Arial"/>
          <w:lang w:val="es-ES_tradnl"/>
        </w:rPr>
        <w:footnoteReference w:id="20"/>
      </w:r>
      <w:r w:rsidRPr="00FF0864">
        <w:rPr>
          <w:rFonts w:ascii="Verdana" w:eastAsia="Calibri" w:hAnsi="Verdana" w:cs="Arial"/>
          <w:lang w:val="es-ES_tradnl"/>
        </w:rPr>
        <w:t xml:space="preserve">. La negación en la que consiste tal declaración, siempre que </w:t>
      </w:r>
      <w:r w:rsidRPr="00FF0864">
        <w:rPr>
          <w:rFonts w:ascii="Verdana" w:eastAsia="Calibri" w:hAnsi="Verdana" w:cs="Arial"/>
          <w:lang w:val="es-ES_tradnl"/>
        </w:rPr>
        <w:lastRenderedPageBreak/>
        <w:t xml:space="preserve">sea formulada de forma indefinida o general, respecto del régimen de inhabilidades e incompatibilidades, o aludiendo específicamente al literal g) del numeral 1 del artículo 8 de la Ley 80 de 1993, cobija el supuesto de hecho al que se refiere dicha norma. En ese sentido, el proponente mediante tal declaración acredita no estar incurso en la inhabilidad bajo estudio. </w:t>
      </w:r>
    </w:p>
    <w:p w14:paraId="1D196854" w14:textId="113E44E5" w:rsidR="00FF2F27" w:rsidRPr="00FF0864" w:rsidRDefault="00FF2F27" w:rsidP="00FF2F27">
      <w:pPr>
        <w:pStyle w:val="Prrafodelista"/>
        <w:numPr>
          <w:ilvl w:val="0"/>
          <w:numId w:val="32"/>
        </w:numPr>
        <w:spacing w:after="120" w:line="276" w:lineRule="auto"/>
        <w:jc w:val="both"/>
        <w:rPr>
          <w:rFonts w:ascii="Verdana" w:eastAsia="Calibri" w:hAnsi="Verdana" w:cs="Arial"/>
          <w:lang w:val="es-ES_tradnl"/>
        </w:rPr>
      </w:pPr>
      <w:r w:rsidRPr="00FF0864">
        <w:rPr>
          <w:rFonts w:ascii="Verdana" w:eastAsia="Calibri" w:hAnsi="Verdana" w:cs="Arial"/>
          <w:lang w:val="es-ES_tradnl"/>
        </w:rPr>
        <w:t xml:space="preserve">No obstante, tal declaración no exime a la entidad estatal del deber de ejercer la potestad verificadora que le compete, respecto de la acreditación de la capacidad jurídica, en lo atinente a la inhabilidad del literal g) del numeral 1 del artículo 8 </w:t>
      </w:r>
      <w:r w:rsidRPr="00FF0864">
        <w:rPr>
          <w:rFonts w:ascii="Verdana" w:eastAsia="Calibri" w:hAnsi="Verdana" w:cs="Arial"/>
          <w:i/>
          <w:iCs/>
          <w:lang w:val="es-ES_tradnl"/>
        </w:rPr>
        <w:t xml:space="preserve">Ibídem, </w:t>
      </w:r>
      <w:r w:rsidRPr="00FF0864">
        <w:rPr>
          <w:rFonts w:ascii="Verdana" w:eastAsia="Calibri" w:hAnsi="Verdana" w:cs="Arial"/>
          <w:lang w:val="es-ES_tradnl"/>
        </w:rPr>
        <w:t xml:space="preserve">cuando en el marco de la evaluación de las propuestas, se tienen dudas en relación con la configuración de dicha inhabilidad. En ese sentido, en primer lugar, si en el marco de la evaluación de ofertas, antes de la publicación del respectivo informe, la entidad estatal tiene conocimiento de circunstancias que le indiquen la eventual configuración de la respectiva inhabilidad, tiene la posibilidad de solicitar a los proponentes el esclarecimiento de dicha circunstancia, exigiendo las explicaciones y aclaraciones que sean procedentes. </w:t>
      </w:r>
    </w:p>
    <w:p w14:paraId="72C42505" w14:textId="77777777" w:rsidR="00FF2F27" w:rsidRPr="00FF0864" w:rsidRDefault="00FF2F27" w:rsidP="00FF2F27">
      <w:pPr>
        <w:pStyle w:val="Prrafodelista"/>
        <w:numPr>
          <w:ilvl w:val="0"/>
          <w:numId w:val="32"/>
        </w:numPr>
        <w:spacing w:after="120" w:line="276" w:lineRule="auto"/>
        <w:jc w:val="both"/>
        <w:rPr>
          <w:rFonts w:ascii="Verdana" w:eastAsia="Calibri" w:hAnsi="Verdana" w:cs="Arial"/>
          <w:lang w:val="es-ES_tradnl"/>
        </w:rPr>
      </w:pPr>
      <w:r w:rsidRPr="00FF0864">
        <w:rPr>
          <w:rFonts w:ascii="Verdana" w:eastAsia="Calibri" w:hAnsi="Verdana" w:cs="Arial"/>
          <w:lang w:val="es-ES_tradnl"/>
        </w:rPr>
        <w:t xml:space="preserve">En ese sentido, al ser capacidad jurídica un requisito habilitante, ante la ausencia de claridad en su acreditación, procede la aplicación de la regla de </w:t>
      </w:r>
      <w:proofErr w:type="spellStart"/>
      <w:r w:rsidRPr="00FF0864">
        <w:rPr>
          <w:rFonts w:ascii="Verdana" w:eastAsia="Calibri" w:hAnsi="Verdana" w:cs="Arial"/>
          <w:lang w:val="es-ES_tradnl"/>
        </w:rPr>
        <w:t>subsanabilidad</w:t>
      </w:r>
      <w:proofErr w:type="spellEnd"/>
      <w:r w:rsidRPr="00FF0864">
        <w:rPr>
          <w:rFonts w:ascii="Verdana" w:eastAsia="Calibri" w:hAnsi="Verdana" w:cs="Arial"/>
          <w:lang w:val="es-ES_tradnl"/>
        </w:rPr>
        <w:t xml:space="preserve"> prevista en el parágrafo 1 del artículo 5 de la Ley 1150 de 2007. Conforme a esta, hasta el término de traslado del informe de evaluación, la entidad estatal tiene la posibilidad de solicitar a los proponentes los medios de prueba necesarios para verificar la configuración o no de las circunstancias y condiciones sancionadas con la inhabilidad, que confirmen o desvirtúen la negación indefinida hecha bajo </w:t>
      </w:r>
      <w:r w:rsidRPr="00FF0864">
        <w:rPr>
          <w:rFonts w:ascii="Verdana" w:eastAsia="Calibri" w:hAnsi="Verdana" w:cs="Arial"/>
          <w:lang w:val="es-ES_tradnl"/>
        </w:rPr>
        <w:lastRenderedPageBreak/>
        <w:t xml:space="preserve">la gravedad de juramento relativa a no estar incurso en inhabilidades e incompatibilidades.    </w:t>
      </w:r>
    </w:p>
    <w:p w14:paraId="69CD2E18" w14:textId="77777777" w:rsidR="00FF2F27" w:rsidRPr="00FF0864" w:rsidRDefault="00FF2F27" w:rsidP="00FF2F27">
      <w:pPr>
        <w:pStyle w:val="Prrafodelista"/>
        <w:numPr>
          <w:ilvl w:val="0"/>
          <w:numId w:val="32"/>
        </w:numPr>
        <w:spacing w:line="276" w:lineRule="auto"/>
        <w:jc w:val="both"/>
        <w:rPr>
          <w:rFonts w:ascii="Verdana" w:eastAsia="Calibri" w:hAnsi="Verdana" w:cs="Arial"/>
          <w:lang w:val="es-ES_tradnl"/>
        </w:rPr>
      </w:pPr>
      <w:r w:rsidRPr="00FF0864">
        <w:rPr>
          <w:rFonts w:ascii="Verdana" w:eastAsia="Calibri" w:hAnsi="Verdana" w:cs="Arial"/>
          <w:lang w:val="es-ES_tradnl"/>
        </w:rPr>
        <w:t xml:space="preserve">Sin perjuicio de lo anterior, también es posible que la configuración de la inhabilidad se evidencie en un estado más avanzado del proceso de selección, lo cual tampoco obsta para que la entidad estatal ejerza su potestad verificadora y descalifique la oferta del proponente afectado por la inhabilidad. Ello puede suceder si, por ejemplo, en el marco de las observaciones al informe de evaluación algún proponente pone de presente la configuración de la inhabilidad, suministrando información o documentación que así lo indique. En este caso, la entidad también debe </w:t>
      </w:r>
      <w:proofErr w:type="gramStart"/>
      <w:r w:rsidRPr="00FF0864">
        <w:rPr>
          <w:rFonts w:ascii="Verdana" w:eastAsia="Calibri" w:hAnsi="Verdana" w:cs="Arial"/>
          <w:lang w:val="es-ES_tradnl"/>
        </w:rPr>
        <w:t>proceder a verificar</w:t>
      </w:r>
      <w:proofErr w:type="gramEnd"/>
      <w:r w:rsidRPr="00FF0864">
        <w:rPr>
          <w:rFonts w:ascii="Verdana" w:eastAsia="Calibri" w:hAnsi="Verdana" w:cs="Arial"/>
          <w:lang w:val="es-ES_tradnl"/>
        </w:rPr>
        <w:t xml:space="preserve"> la configuración de la inhabilidad, ya que de ser esta real, la propuesta a la que se refiere debe ser descalificada por inhábil. </w:t>
      </w:r>
    </w:p>
    <w:p w14:paraId="0AC1AE60" w14:textId="77777777" w:rsidR="009F5FB8" w:rsidRPr="00FF0864" w:rsidRDefault="009F5FB8" w:rsidP="009F5FB8">
      <w:pPr>
        <w:spacing w:after="0" w:line="276" w:lineRule="auto"/>
        <w:jc w:val="both"/>
        <w:rPr>
          <w:rFonts w:ascii="Verdana" w:eastAsia="Calibri" w:hAnsi="Verdana" w:cs="Arial"/>
        </w:rPr>
      </w:pPr>
    </w:p>
    <w:p w14:paraId="51691684" w14:textId="77777777" w:rsidR="00AB64A5" w:rsidRPr="00FF0864"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F0864">
        <w:rPr>
          <w:rFonts w:ascii="Verdana" w:eastAsia="Century Gothic" w:hAnsi="Verdana" w:cs="Century Gothic"/>
          <w:b/>
          <w:bCs/>
        </w:rPr>
        <w:t>Referencias normativas, jurisprudenciales y otras fuentes:</w:t>
      </w:r>
    </w:p>
    <w:p w14:paraId="4791A111" w14:textId="77777777" w:rsidR="00AB64A5" w:rsidRPr="00FF0864" w:rsidRDefault="00AB64A5" w:rsidP="00AB64A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B64A5" w:rsidRPr="00FF0864" w14:paraId="713E4602" w14:textId="77777777" w:rsidTr="007B0B27">
        <w:trPr>
          <w:trHeight w:val="870"/>
        </w:trPr>
        <w:tc>
          <w:tcPr>
            <w:tcW w:w="8647" w:type="dxa"/>
          </w:tcPr>
          <w:p w14:paraId="15771CC9" w14:textId="77777777" w:rsidR="00FF2F27" w:rsidRPr="00FF0864" w:rsidRDefault="00FF2F27" w:rsidP="00FF2F27">
            <w:pPr>
              <w:widowControl w:val="0"/>
              <w:numPr>
                <w:ilvl w:val="0"/>
                <w:numId w:val="2"/>
              </w:numPr>
              <w:autoSpaceDE w:val="0"/>
              <w:autoSpaceDN w:val="0"/>
              <w:spacing w:line="276" w:lineRule="auto"/>
              <w:contextualSpacing/>
              <w:jc w:val="both"/>
              <w:rPr>
                <w:rFonts w:ascii="Verdana" w:hAnsi="Verdana" w:cs="Arial"/>
                <w:lang w:val="es-ES"/>
              </w:rPr>
            </w:pPr>
            <w:r w:rsidRPr="00FF0864">
              <w:rPr>
                <w:rFonts w:ascii="Verdana" w:hAnsi="Verdana" w:cs="Arial"/>
                <w:lang w:val="es-ES"/>
              </w:rPr>
              <w:t>Constitución Política, artículo 150.</w:t>
            </w:r>
          </w:p>
          <w:p w14:paraId="159813C7" w14:textId="77777777" w:rsidR="00FF2F27" w:rsidRPr="00FF0864" w:rsidRDefault="00FF2F27" w:rsidP="00FF2F27">
            <w:pPr>
              <w:widowControl w:val="0"/>
              <w:numPr>
                <w:ilvl w:val="0"/>
                <w:numId w:val="2"/>
              </w:numPr>
              <w:autoSpaceDE w:val="0"/>
              <w:autoSpaceDN w:val="0"/>
              <w:spacing w:line="276" w:lineRule="auto"/>
              <w:contextualSpacing/>
              <w:jc w:val="both"/>
              <w:rPr>
                <w:rFonts w:ascii="Verdana" w:hAnsi="Verdana" w:cs="Arial"/>
                <w:lang w:val="es-ES"/>
              </w:rPr>
            </w:pPr>
            <w:r w:rsidRPr="00FF0864">
              <w:rPr>
                <w:rFonts w:ascii="Verdana" w:hAnsi="Verdana" w:cs="Arial"/>
                <w:lang w:val="es-ES"/>
              </w:rPr>
              <w:t>Ley 80 de 1993, artículo 8.</w:t>
            </w:r>
          </w:p>
          <w:p w14:paraId="063B7B15" w14:textId="77777777" w:rsidR="00FF2F27" w:rsidRPr="00FF0864" w:rsidRDefault="00FF2F27" w:rsidP="00FF2F27">
            <w:pPr>
              <w:widowControl w:val="0"/>
              <w:numPr>
                <w:ilvl w:val="0"/>
                <w:numId w:val="2"/>
              </w:numPr>
              <w:autoSpaceDE w:val="0"/>
              <w:autoSpaceDN w:val="0"/>
              <w:spacing w:line="276" w:lineRule="auto"/>
              <w:contextualSpacing/>
              <w:jc w:val="both"/>
              <w:rPr>
                <w:rFonts w:ascii="Verdana" w:hAnsi="Verdana" w:cs="Arial"/>
                <w:lang w:val="es-ES"/>
              </w:rPr>
            </w:pPr>
            <w:r w:rsidRPr="00FF0864">
              <w:rPr>
                <w:rFonts w:ascii="Verdana" w:hAnsi="Verdana" w:cs="Arial"/>
                <w:color w:val="000000"/>
                <w:bdr w:val="none" w:sz="0" w:space="0" w:color="auto" w:frame="1"/>
                <w:lang w:val="es-ES"/>
              </w:rPr>
              <w:t>Ley 1952 de 2019, artículo 56.</w:t>
            </w:r>
          </w:p>
          <w:p w14:paraId="32ED9A8A" w14:textId="77777777" w:rsidR="00FF2F27" w:rsidRPr="00FF0864" w:rsidRDefault="00FF2F27" w:rsidP="00FF2F27">
            <w:pPr>
              <w:widowControl w:val="0"/>
              <w:numPr>
                <w:ilvl w:val="0"/>
                <w:numId w:val="2"/>
              </w:numPr>
              <w:tabs>
                <w:tab w:val="left" w:pos="8419"/>
              </w:tabs>
              <w:autoSpaceDE w:val="0"/>
              <w:autoSpaceDN w:val="0"/>
              <w:spacing w:line="276" w:lineRule="auto"/>
              <w:contextualSpacing/>
              <w:jc w:val="both"/>
              <w:rPr>
                <w:rFonts w:ascii="Verdana" w:hAnsi="Verdana" w:cs="Arial"/>
                <w:lang w:val="es-ES"/>
              </w:rPr>
            </w:pPr>
            <w:r w:rsidRPr="00FF0864">
              <w:rPr>
                <w:rFonts w:ascii="Verdana" w:hAnsi="Verdana" w:cs="Arial"/>
                <w:lang w:val="es-ES"/>
              </w:rPr>
              <w:t>Corte Constitucional. Sentencia T-1039 de 2006. Magistrado Ponente: Humberto Sierra Porto.</w:t>
            </w:r>
          </w:p>
          <w:p w14:paraId="604E65AA" w14:textId="77777777" w:rsidR="00FF2F27" w:rsidRPr="00FF0864" w:rsidRDefault="00FF2F27" w:rsidP="00FF2F27">
            <w:pPr>
              <w:widowControl w:val="0"/>
              <w:numPr>
                <w:ilvl w:val="0"/>
                <w:numId w:val="2"/>
              </w:numPr>
              <w:tabs>
                <w:tab w:val="left" w:pos="8419"/>
              </w:tabs>
              <w:autoSpaceDE w:val="0"/>
              <w:autoSpaceDN w:val="0"/>
              <w:spacing w:line="276" w:lineRule="auto"/>
              <w:contextualSpacing/>
              <w:jc w:val="both"/>
              <w:rPr>
                <w:rFonts w:ascii="Verdana" w:hAnsi="Verdana" w:cs="Arial"/>
                <w:lang w:val="es-ES"/>
              </w:rPr>
            </w:pPr>
            <w:r w:rsidRPr="00FF0864">
              <w:rPr>
                <w:rFonts w:ascii="Verdana" w:hAnsi="Verdana" w:cs="Arial"/>
                <w:lang w:val="es-ES"/>
              </w:rPr>
              <w:t xml:space="preserve">Consejo de Estado. Sala de Consulta y Servicio Civil. Concepto del 30 de abril de 2015. Expediente: 2251. Consejero Ponente: Álvaro </w:t>
            </w:r>
            <w:proofErr w:type="spellStart"/>
            <w:r w:rsidRPr="00FF0864">
              <w:rPr>
                <w:rFonts w:ascii="Verdana" w:hAnsi="Verdana" w:cs="Arial"/>
                <w:lang w:val="es-ES"/>
              </w:rPr>
              <w:t>Namén</w:t>
            </w:r>
            <w:proofErr w:type="spellEnd"/>
            <w:r w:rsidRPr="00FF0864">
              <w:rPr>
                <w:rFonts w:ascii="Verdana" w:hAnsi="Verdana" w:cs="Arial"/>
                <w:lang w:val="es-ES"/>
              </w:rPr>
              <w:t xml:space="preserve"> Vargas.</w:t>
            </w:r>
          </w:p>
          <w:p w14:paraId="3A9F1A2D" w14:textId="77777777" w:rsidR="00FF2F27" w:rsidRPr="00FF0864" w:rsidRDefault="00FF2F27" w:rsidP="00FF2F27">
            <w:pPr>
              <w:widowControl w:val="0"/>
              <w:numPr>
                <w:ilvl w:val="0"/>
                <w:numId w:val="2"/>
              </w:numPr>
              <w:tabs>
                <w:tab w:val="left" w:pos="8419"/>
              </w:tabs>
              <w:autoSpaceDE w:val="0"/>
              <w:autoSpaceDN w:val="0"/>
              <w:spacing w:line="276" w:lineRule="auto"/>
              <w:contextualSpacing/>
              <w:jc w:val="both"/>
              <w:rPr>
                <w:rFonts w:ascii="Verdana" w:hAnsi="Verdana" w:cs="Arial"/>
                <w:lang w:val="es-ES"/>
              </w:rPr>
            </w:pPr>
            <w:r w:rsidRPr="00FF0864">
              <w:rPr>
                <w:rFonts w:ascii="Verdana" w:hAnsi="Verdana" w:cs="Arial"/>
                <w:lang w:val="es-ES"/>
              </w:rPr>
              <w:t xml:space="preserve">Consejo de Estado. Sección Tercera. Subsección A. Sentencia del 24 de junio de 2015. </w:t>
            </w:r>
            <w:proofErr w:type="spellStart"/>
            <w:r w:rsidRPr="00FF0864">
              <w:rPr>
                <w:rFonts w:ascii="Verdana" w:hAnsi="Verdana" w:cs="Arial"/>
                <w:lang w:val="es-ES"/>
              </w:rPr>
              <w:t>Exp</w:t>
            </w:r>
            <w:proofErr w:type="spellEnd"/>
            <w:r w:rsidRPr="00FF0864">
              <w:rPr>
                <w:rFonts w:ascii="Verdana" w:hAnsi="Verdana" w:cs="Arial"/>
                <w:lang w:val="es-ES"/>
              </w:rPr>
              <w:t>. 40.635. Consejero Ponente: Hernán Andrade Rincón (E).</w:t>
            </w:r>
          </w:p>
          <w:p w14:paraId="04BC0E03" w14:textId="77777777" w:rsidR="00FF2F27" w:rsidRPr="00FF0864" w:rsidRDefault="00FF2F27" w:rsidP="00FF2F27">
            <w:pPr>
              <w:widowControl w:val="0"/>
              <w:numPr>
                <w:ilvl w:val="0"/>
                <w:numId w:val="2"/>
              </w:numPr>
              <w:tabs>
                <w:tab w:val="left" w:pos="8419"/>
              </w:tabs>
              <w:autoSpaceDE w:val="0"/>
              <w:autoSpaceDN w:val="0"/>
              <w:spacing w:line="276" w:lineRule="auto"/>
              <w:contextualSpacing/>
              <w:jc w:val="both"/>
              <w:rPr>
                <w:rFonts w:ascii="Verdana" w:hAnsi="Verdana" w:cs="Arial"/>
                <w:lang w:val="es-ES"/>
              </w:rPr>
            </w:pPr>
            <w:r w:rsidRPr="00FF0864">
              <w:rPr>
                <w:rFonts w:ascii="Verdana" w:hAnsi="Verdana" w:cs="Arial"/>
                <w:lang w:val="es-ES"/>
              </w:rPr>
              <w:t xml:space="preserve">Consejo de Estado. Sección Tercera. Subsección C. Sentencia del 22 de mayo de 2013. </w:t>
            </w:r>
            <w:proofErr w:type="spellStart"/>
            <w:r w:rsidRPr="00FF0864">
              <w:rPr>
                <w:rFonts w:ascii="Verdana" w:hAnsi="Verdana" w:cs="Arial"/>
                <w:lang w:val="es-ES"/>
              </w:rPr>
              <w:t>Exp</w:t>
            </w:r>
            <w:proofErr w:type="spellEnd"/>
            <w:r w:rsidRPr="00FF0864">
              <w:rPr>
                <w:rFonts w:ascii="Verdana" w:hAnsi="Verdana" w:cs="Arial"/>
                <w:lang w:val="es-ES"/>
              </w:rPr>
              <w:t xml:space="preserve">. 24.057. Consejera Ponente: Olga </w:t>
            </w:r>
            <w:proofErr w:type="spellStart"/>
            <w:r w:rsidRPr="00FF0864">
              <w:rPr>
                <w:rFonts w:ascii="Verdana" w:hAnsi="Verdana" w:cs="Arial"/>
                <w:lang w:val="es-ES"/>
              </w:rPr>
              <w:t>Melida</w:t>
            </w:r>
            <w:proofErr w:type="spellEnd"/>
            <w:r w:rsidRPr="00FF0864">
              <w:rPr>
                <w:rFonts w:ascii="Verdana" w:hAnsi="Verdana" w:cs="Arial"/>
                <w:lang w:val="es-ES"/>
              </w:rPr>
              <w:t xml:space="preserve"> Valle De La Hoz.</w:t>
            </w:r>
          </w:p>
          <w:p w14:paraId="3D723E84" w14:textId="77777777" w:rsidR="00FF2F27" w:rsidRPr="00FF0864" w:rsidRDefault="00FF2F27" w:rsidP="00FF2F27">
            <w:pPr>
              <w:widowControl w:val="0"/>
              <w:numPr>
                <w:ilvl w:val="0"/>
                <w:numId w:val="2"/>
              </w:numPr>
              <w:tabs>
                <w:tab w:val="left" w:pos="8419"/>
              </w:tabs>
              <w:autoSpaceDE w:val="0"/>
              <w:autoSpaceDN w:val="0"/>
              <w:spacing w:line="276" w:lineRule="auto"/>
              <w:contextualSpacing/>
              <w:jc w:val="both"/>
              <w:rPr>
                <w:rFonts w:ascii="Verdana" w:hAnsi="Verdana" w:cs="Arial"/>
                <w:lang w:val="es-ES"/>
              </w:rPr>
            </w:pPr>
            <w:r w:rsidRPr="00FF0864">
              <w:rPr>
                <w:rFonts w:ascii="Verdana" w:hAnsi="Verdana" w:cs="Arial"/>
                <w:lang w:val="es-ES"/>
              </w:rPr>
              <w:t>Corte Constitucional, sentencia C- 373 de 2002, Magistrado ponente Jaime Córdoba Triviño.</w:t>
            </w:r>
          </w:p>
          <w:p w14:paraId="62D514FC" w14:textId="77777777" w:rsidR="00FF2F27" w:rsidRPr="00FF0864" w:rsidRDefault="00FF2F27" w:rsidP="00FF2F27">
            <w:pPr>
              <w:widowControl w:val="0"/>
              <w:numPr>
                <w:ilvl w:val="0"/>
                <w:numId w:val="2"/>
              </w:numPr>
              <w:tabs>
                <w:tab w:val="left" w:pos="8419"/>
              </w:tabs>
              <w:autoSpaceDE w:val="0"/>
              <w:autoSpaceDN w:val="0"/>
              <w:spacing w:line="276" w:lineRule="auto"/>
              <w:contextualSpacing/>
              <w:jc w:val="both"/>
              <w:rPr>
                <w:rFonts w:ascii="Verdana" w:hAnsi="Verdana" w:cs="Arial"/>
                <w:lang w:val="es-ES"/>
              </w:rPr>
            </w:pPr>
            <w:r w:rsidRPr="00FF0864">
              <w:rPr>
                <w:rFonts w:ascii="Verdana" w:hAnsi="Verdana" w:cs="Arial"/>
                <w:lang w:val="es-ES"/>
              </w:rPr>
              <w:t>Corte Constitucional, sentencia C-325 de 2009, Magistrado ponente Gabriel Eduardo Mendoza Martelo.</w:t>
            </w:r>
          </w:p>
          <w:p w14:paraId="0C45EA68" w14:textId="2392E8E1" w:rsidR="00C04209" w:rsidRPr="00FF0864" w:rsidRDefault="00FF2F27" w:rsidP="00FF2F27">
            <w:pPr>
              <w:pStyle w:val="Prrafodelista"/>
              <w:numPr>
                <w:ilvl w:val="0"/>
                <w:numId w:val="2"/>
              </w:numPr>
              <w:spacing w:line="276" w:lineRule="auto"/>
              <w:ind w:right="709"/>
              <w:jc w:val="both"/>
              <w:rPr>
                <w:rFonts w:ascii="Verdana" w:hAnsi="Verdana" w:cs="Arial"/>
              </w:rPr>
            </w:pPr>
            <w:r w:rsidRPr="00FF0864">
              <w:rPr>
                <w:rFonts w:ascii="Verdana" w:hAnsi="Verdana" w:cs="Arial"/>
                <w:lang w:val="es-ES"/>
              </w:rPr>
              <w:lastRenderedPageBreak/>
              <w:t>Consejo de Estado, Sentencia 00111 del 13 de junio de 2019, Sala de lo Contencioso Administrativo, Sección Quinta 00111 del 13 de junio de 2019, consejera ponente Rocío Araújo Oñate.</w:t>
            </w:r>
          </w:p>
        </w:tc>
      </w:tr>
    </w:tbl>
    <w:p w14:paraId="7D10BDB3" w14:textId="77777777" w:rsidR="00AB64A5" w:rsidRPr="00FF0864" w:rsidRDefault="00AB64A5" w:rsidP="00AB64A5">
      <w:pPr>
        <w:widowControl w:val="0"/>
        <w:autoSpaceDE w:val="0"/>
        <w:autoSpaceDN w:val="0"/>
        <w:spacing w:after="0" w:line="276" w:lineRule="auto"/>
        <w:jc w:val="both"/>
        <w:rPr>
          <w:rFonts w:ascii="Verdana" w:hAnsi="Verdana" w:cs="Arial"/>
        </w:rPr>
      </w:pPr>
    </w:p>
    <w:p w14:paraId="064A695A" w14:textId="77777777" w:rsidR="00AB64A5" w:rsidRPr="00FF0864"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F0864">
        <w:rPr>
          <w:rFonts w:ascii="Verdana" w:eastAsia="Century Gothic" w:hAnsi="Verdana" w:cs="Century Gothic"/>
          <w:b/>
          <w:bCs/>
        </w:rPr>
        <w:t>Doctrina de la Agencia Nacional de Contratación Pública:</w:t>
      </w:r>
    </w:p>
    <w:p w14:paraId="6FB855C5" w14:textId="77777777" w:rsidR="00AB64A5" w:rsidRPr="00FF0864" w:rsidRDefault="00AB64A5" w:rsidP="00AB64A5">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24CCAA68" w14:textId="7B259810" w:rsidR="00F67849" w:rsidRPr="00FF0864" w:rsidRDefault="00F67849" w:rsidP="00F67849">
      <w:pPr>
        <w:widowControl w:val="0"/>
        <w:autoSpaceDE w:val="0"/>
        <w:autoSpaceDN w:val="0"/>
        <w:spacing w:after="0" w:line="276" w:lineRule="auto"/>
        <w:jc w:val="both"/>
        <w:rPr>
          <w:rStyle w:val="normaltextrun"/>
          <w:rFonts w:ascii="Verdana" w:hAnsi="Verdana" w:cs="Arial"/>
          <w:color w:val="156082" w:themeColor="accent1"/>
          <w:shd w:val="clear" w:color="auto" w:fill="FFFFFF"/>
          <w:lang w:val="es-ES"/>
        </w:rPr>
      </w:pPr>
      <w:r w:rsidRPr="00FF0864">
        <w:rPr>
          <w:rStyle w:val="normaltextrun"/>
          <w:rFonts w:ascii="Verdana" w:hAnsi="Verdana" w:cs="Arial"/>
          <w:shd w:val="clear" w:color="auto" w:fill="FFFFFF"/>
          <w:lang w:val="es-ES"/>
        </w:rPr>
        <w:t>Sobre las actividades relacionadas con ciencia, tecnología e innovación y los contratos</w:t>
      </w:r>
      <w:r w:rsidR="00FF2F27" w:rsidRPr="00FF0864">
        <w:rPr>
          <w:rStyle w:val="normaltextrun"/>
          <w:rFonts w:ascii="Verdana" w:hAnsi="Verdana" w:cs="Arial"/>
          <w:shd w:val="clear" w:color="auto" w:fill="FFFFFF"/>
          <w:lang w:val="es-ES"/>
        </w:rPr>
        <w:t xml:space="preserve"> </w:t>
      </w:r>
      <w:r w:rsidR="00FF2F27" w:rsidRPr="00FF0864">
        <w:rPr>
          <w:rFonts w:ascii="Verdana" w:eastAsia="Calibri" w:hAnsi="Verdana" w:cs="Arial"/>
        </w:rPr>
        <w:t>con radicados 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entre otros</w:t>
      </w:r>
      <w:r w:rsidRPr="00FF0864">
        <w:rPr>
          <w:rStyle w:val="normaltextrun"/>
          <w:rFonts w:ascii="Verdana" w:hAnsi="Verdana" w:cs="Arial"/>
          <w:shd w:val="clear" w:color="auto" w:fill="FFFFFF"/>
          <w:lang w:val="es-ES"/>
        </w:rPr>
        <w:t>. Es</w:t>
      </w:r>
      <w:r w:rsidRPr="00FF0864">
        <w:rPr>
          <w:rFonts w:ascii="Verdana" w:hAnsi="Verdana"/>
        </w:rPr>
        <w:t>tos y otros conceptos se encuentran disponibles para consulta en el Sistema de relatoría de la Agencia, al cual se puede acceder a través del siguiente enlace:</w:t>
      </w:r>
      <w:r w:rsidRPr="00FF0864">
        <w:rPr>
          <w:rStyle w:val="normaltextrun"/>
          <w:rFonts w:ascii="Verdana" w:hAnsi="Verdana" w:cs="Arial"/>
          <w:shd w:val="clear" w:color="auto" w:fill="FFFFFF"/>
          <w:lang w:val="es-ES"/>
        </w:rPr>
        <w:t xml:space="preserve"> </w:t>
      </w:r>
      <w:hyperlink r:id="rId12" w:history="1">
        <w:r w:rsidRPr="00FF0864">
          <w:rPr>
            <w:rStyle w:val="Hipervnculo"/>
            <w:rFonts w:ascii="Verdana" w:hAnsi="Verdana" w:cs="Arial"/>
            <w:color w:val="156082" w:themeColor="accent1"/>
            <w:shd w:val="clear" w:color="auto" w:fill="FFFFFF"/>
            <w:lang w:val="es-ES"/>
          </w:rPr>
          <w:t>https://relatoria.colombiacompra.gov.co/busqueda/conceptos</w:t>
        </w:r>
      </w:hyperlink>
      <w:r w:rsidRPr="00FF0864">
        <w:rPr>
          <w:rStyle w:val="normaltextrun"/>
          <w:rFonts w:ascii="Verdana" w:hAnsi="Verdana" w:cs="Arial"/>
          <w:color w:val="156082" w:themeColor="accent1"/>
          <w:shd w:val="clear" w:color="auto" w:fill="FFFFFF"/>
          <w:lang w:val="es-ES"/>
        </w:rPr>
        <w:t xml:space="preserve">. </w:t>
      </w:r>
    </w:p>
    <w:p w14:paraId="5F8E3F20" w14:textId="77777777" w:rsidR="0050012F" w:rsidRPr="00FF0864" w:rsidRDefault="0050012F" w:rsidP="00AB64A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FEF4589" w14:textId="77777777" w:rsidR="00F67849" w:rsidRPr="00FF0864" w:rsidRDefault="00F67849" w:rsidP="00F67849">
      <w:pPr>
        <w:widowControl w:val="0"/>
        <w:autoSpaceDE w:val="0"/>
        <w:autoSpaceDN w:val="0"/>
        <w:spacing w:after="0" w:line="276" w:lineRule="auto"/>
        <w:jc w:val="both"/>
        <w:rPr>
          <w:rFonts w:ascii="Verdana" w:eastAsia="Calibri" w:hAnsi="Verdana" w:cs="Arial"/>
          <w:shd w:val="clear" w:color="auto" w:fill="FFFFFF"/>
          <w:lang w:val="es-ES"/>
        </w:rPr>
      </w:pPr>
      <w:r w:rsidRPr="00FF0864">
        <w:rPr>
          <w:rFonts w:ascii="Verdana" w:hAnsi="Verdana" w:cs="Arial"/>
          <w:shd w:val="clear" w:color="auto" w:fill="FFFFFF"/>
        </w:rPr>
        <w:t>También le invitamos a consultar la versión VII  de 2024 , del Boletín de Relatoría de la Subdirección de Gestión Contractual relacionado con las ASOCIACIONES PÚBLICO POPULARES , el cual se puede descargar en la página web de la Agencia: </w:t>
      </w:r>
      <w:hyperlink r:id="rId13" w:tgtFrame="_blank" w:tooltip="Dirección URL original: https://www.colombiacompra.gov.co/sala-de-prensa/boletin-digital. Haga clic o pulse si confía en este vínculo." w:history="1">
        <w:r w:rsidRPr="00FF0864">
          <w:rPr>
            <w:rStyle w:val="Hipervnculo"/>
            <w:rFonts w:ascii="Verdana" w:hAnsi="Verdana" w:cs="Arial"/>
            <w:shd w:val="clear" w:color="auto" w:fill="FFFFFF"/>
          </w:rPr>
          <w:t>https://www.colombiacompra.gov.co/sala-de-prensa/boletin-digital</w:t>
        </w:r>
      </w:hyperlink>
      <w:r w:rsidRPr="00FF0864">
        <w:rPr>
          <w:rFonts w:ascii="Verdana" w:hAnsi="Verdana" w:cs="Arial"/>
          <w:shd w:val="clear" w:color="auto" w:fill="FFFFFF"/>
        </w:rPr>
        <w:t>    </w:t>
      </w:r>
    </w:p>
    <w:p w14:paraId="494B802C" w14:textId="77777777" w:rsidR="00F67849" w:rsidRPr="00FF0864" w:rsidRDefault="00F67849" w:rsidP="00F67849">
      <w:pPr>
        <w:spacing w:after="0" w:line="240" w:lineRule="auto"/>
        <w:jc w:val="both"/>
        <w:rPr>
          <w:rFonts w:ascii="Verdana" w:eastAsia="Calibri" w:hAnsi="Verdana" w:cs="Times New Roman"/>
        </w:rPr>
      </w:pPr>
      <w:r w:rsidRPr="00FF0864">
        <w:rPr>
          <w:rFonts w:ascii="Verdana" w:eastAsia="Calibri" w:hAnsi="Verdana" w:cs="Times New Roman"/>
        </w:rPr>
        <w:t xml:space="preserve">Por último, los invitamos a seguirnos en las redes sociales, en las cuales se difunde información institucional: </w:t>
      </w:r>
    </w:p>
    <w:p w14:paraId="7080E4EF" w14:textId="77777777" w:rsidR="00F67849" w:rsidRPr="00FF0864" w:rsidRDefault="00F67849" w:rsidP="00F67849">
      <w:pPr>
        <w:spacing w:after="0" w:line="240" w:lineRule="auto"/>
        <w:jc w:val="both"/>
        <w:rPr>
          <w:rFonts w:ascii="Verdana" w:eastAsia="Calibri" w:hAnsi="Verdana" w:cs="Times New Roman"/>
        </w:rPr>
      </w:pPr>
    </w:p>
    <w:p w14:paraId="1BDB9392" w14:textId="77777777" w:rsidR="00F67849" w:rsidRPr="00FF0864" w:rsidRDefault="00F67849" w:rsidP="00F67849">
      <w:pPr>
        <w:spacing w:after="0" w:line="240" w:lineRule="auto"/>
        <w:jc w:val="both"/>
        <w:rPr>
          <w:rFonts w:ascii="Verdana" w:eastAsia="Calibri" w:hAnsi="Verdana" w:cs="Times New Roman"/>
        </w:rPr>
      </w:pPr>
      <w:r w:rsidRPr="00FF0864">
        <w:rPr>
          <w:rFonts w:ascii="Verdana" w:eastAsia="Calibri" w:hAnsi="Verdana" w:cs="Times New Roman"/>
        </w:rPr>
        <w:t xml:space="preserve">Twitter: </w:t>
      </w:r>
      <w:r w:rsidRPr="00FF0864">
        <w:rPr>
          <w:rFonts w:ascii="Verdana" w:eastAsia="Calibri" w:hAnsi="Verdana" w:cs="Times New Roman"/>
          <w:u w:val="single"/>
        </w:rPr>
        <w:t>@colombiacompra</w:t>
      </w:r>
      <w:r w:rsidRPr="00FF0864">
        <w:rPr>
          <w:rFonts w:ascii="Verdana" w:eastAsia="Calibri" w:hAnsi="Verdana" w:cs="Times New Roman"/>
        </w:rPr>
        <w:t xml:space="preserve"> </w:t>
      </w:r>
    </w:p>
    <w:p w14:paraId="51B90D7F" w14:textId="77777777" w:rsidR="00F67849" w:rsidRPr="00FF0864" w:rsidRDefault="00F67849" w:rsidP="00F67849">
      <w:pPr>
        <w:spacing w:after="0" w:line="240" w:lineRule="auto"/>
        <w:jc w:val="both"/>
        <w:rPr>
          <w:rFonts w:ascii="Verdana" w:eastAsia="Calibri" w:hAnsi="Verdana" w:cs="Times New Roman"/>
        </w:rPr>
      </w:pPr>
      <w:r w:rsidRPr="00FF0864">
        <w:rPr>
          <w:rFonts w:ascii="Verdana" w:eastAsia="Calibri" w:hAnsi="Verdana" w:cs="Times New Roman"/>
        </w:rPr>
        <w:t xml:space="preserve">Facebook: </w:t>
      </w:r>
      <w:proofErr w:type="spellStart"/>
      <w:r w:rsidRPr="00FF0864">
        <w:rPr>
          <w:rFonts w:ascii="Verdana" w:eastAsia="Calibri" w:hAnsi="Verdana" w:cs="Times New Roman"/>
          <w:u w:val="single"/>
        </w:rPr>
        <w:t>ColombiaCompraEficiente</w:t>
      </w:r>
      <w:proofErr w:type="spellEnd"/>
    </w:p>
    <w:p w14:paraId="4347A996" w14:textId="77777777" w:rsidR="00F67849" w:rsidRPr="00FF0864" w:rsidRDefault="00F67849" w:rsidP="00F67849">
      <w:pPr>
        <w:spacing w:after="0" w:line="240" w:lineRule="auto"/>
        <w:jc w:val="both"/>
        <w:rPr>
          <w:rFonts w:ascii="Verdana" w:eastAsia="Calibri" w:hAnsi="Verdana" w:cs="Times New Roman"/>
        </w:rPr>
      </w:pPr>
      <w:r w:rsidRPr="00FF0864">
        <w:rPr>
          <w:rFonts w:ascii="Verdana" w:eastAsia="Calibri" w:hAnsi="Verdana" w:cs="Times New Roman"/>
        </w:rPr>
        <w:lastRenderedPageBreak/>
        <w:t xml:space="preserve">LinkedIn: </w:t>
      </w:r>
      <w:r w:rsidRPr="00FF0864">
        <w:rPr>
          <w:rFonts w:ascii="Verdana" w:eastAsia="Calibri" w:hAnsi="Verdana" w:cs="Times New Roman"/>
          <w:u w:val="single"/>
        </w:rPr>
        <w:t>Agencia Nacional de Contratación Pública - Colombia Compra Eficiente</w:t>
      </w:r>
      <w:r w:rsidRPr="00FF0864">
        <w:rPr>
          <w:rFonts w:ascii="Verdana" w:eastAsia="Calibri" w:hAnsi="Verdana" w:cs="Times New Roman"/>
        </w:rPr>
        <w:t xml:space="preserve"> Instagram: </w:t>
      </w:r>
      <w:r w:rsidRPr="00FF0864">
        <w:rPr>
          <w:rFonts w:ascii="Verdana" w:eastAsia="Calibri" w:hAnsi="Verdana" w:cs="Times New Roman"/>
          <w:u w:val="single"/>
        </w:rPr>
        <w:t>@colombiacompraeficiente_cce</w:t>
      </w:r>
    </w:p>
    <w:p w14:paraId="2F41C146" w14:textId="77777777" w:rsidR="00F67849" w:rsidRPr="00FF0864" w:rsidRDefault="00F67849" w:rsidP="00F67849">
      <w:pPr>
        <w:widowControl w:val="0"/>
        <w:autoSpaceDE w:val="0"/>
        <w:autoSpaceDN w:val="0"/>
        <w:spacing w:after="0" w:line="276" w:lineRule="auto"/>
        <w:jc w:val="both"/>
        <w:rPr>
          <w:rFonts w:ascii="Verdana" w:eastAsia="Calibri" w:hAnsi="Verdana" w:cs="Arial"/>
        </w:rPr>
      </w:pPr>
    </w:p>
    <w:p w14:paraId="08A075D9" w14:textId="77777777" w:rsidR="00F67849" w:rsidRPr="00FF0864" w:rsidRDefault="00F67849" w:rsidP="00F67849">
      <w:pPr>
        <w:widowControl w:val="0"/>
        <w:autoSpaceDE w:val="0"/>
        <w:autoSpaceDN w:val="0"/>
        <w:spacing w:after="0" w:line="276" w:lineRule="auto"/>
        <w:jc w:val="both"/>
        <w:rPr>
          <w:rFonts w:ascii="Verdana" w:eastAsia="Calibri" w:hAnsi="Verdana" w:cs="Arial"/>
          <w:lang w:val="es-ES_tradnl"/>
        </w:rPr>
      </w:pPr>
      <w:r w:rsidRPr="00FF0864">
        <w:rPr>
          <w:rFonts w:ascii="Verdana" w:eastAsia="Calibri" w:hAnsi="Verdana" w:cs="Arial"/>
        </w:rPr>
        <w:t xml:space="preserve">Este concepto tiene el alcance previsto en el artículo 28 del Código de Procedimiento Administrativo y de lo Contencioso Administrativo </w:t>
      </w:r>
      <w:r w:rsidRPr="00FF0864">
        <w:rPr>
          <w:rFonts w:ascii="Verdana" w:eastAsia="Calibri" w:hAnsi="Verdana" w:cs="Arial"/>
          <w:lang w:val="es-ES_tradnl"/>
        </w:rPr>
        <w:t>y las expresiones aquí utilizadas con mayúscula inicial deben ser entendidas con el significado que les otorga el artículo 2.2.1.1.1.3.1. del Decreto 1082 de 2015.</w:t>
      </w:r>
    </w:p>
    <w:p w14:paraId="20464B9D" w14:textId="77777777" w:rsidR="00AB64A5" w:rsidRPr="00FF0864" w:rsidRDefault="00AB64A5" w:rsidP="00AB64A5">
      <w:pPr>
        <w:widowControl w:val="0"/>
        <w:autoSpaceDE w:val="0"/>
        <w:autoSpaceDN w:val="0"/>
        <w:spacing w:after="0" w:line="276" w:lineRule="auto"/>
        <w:jc w:val="both"/>
        <w:rPr>
          <w:rFonts w:ascii="Verdana" w:hAnsi="Verdana" w:cs="Arial"/>
          <w:lang w:val="es-ES_tradnl"/>
        </w:rPr>
      </w:pPr>
    </w:p>
    <w:p w14:paraId="43CF8739" w14:textId="77777777" w:rsidR="00AB64A5" w:rsidRPr="00FF0864" w:rsidRDefault="00AB64A5" w:rsidP="00AB64A5">
      <w:pPr>
        <w:spacing w:after="0" w:line="240" w:lineRule="auto"/>
        <w:rPr>
          <w:rFonts w:ascii="Verdana" w:hAnsi="Verdana" w:cs="Arial"/>
          <w:lang w:eastAsia="es-CO"/>
        </w:rPr>
      </w:pPr>
      <w:r w:rsidRPr="00FF0864">
        <w:rPr>
          <w:rFonts w:ascii="Verdana" w:eastAsia="Times New Roman" w:hAnsi="Verdana" w:cs="Arial"/>
          <w:lang w:eastAsia="es-CO"/>
        </w:rPr>
        <w:t>Atentamente,</w:t>
      </w:r>
      <w:r w:rsidRPr="00FF0864">
        <w:rPr>
          <w:rFonts w:ascii="Verdana" w:hAnsi="Verdana" w:cs="Arial"/>
          <w:lang w:eastAsia="es-CO"/>
        </w:rPr>
        <w:t xml:space="preserve"> </w:t>
      </w:r>
    </w:p>
    <w:p w14:paraId="0B837099" w14:textId="1FB90E40" w:rsidR="00AB64A5" w:rsidRPr="00FF0864" w:rsidRDefault="005F78DC" w:rsidP="00AB64A5">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19648152" wp14:editId="3FC1F8F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B64A5" w:rsidRPr="00FF0864" w14:paraId="1CCF7B2A" w14:textId="77777777" w:rsidTr="005A5AFA">
        <w:trPr>
          <w:trHeight w:val="315"/>
        </w:trPr>
        <w:tc>
          <w:tcPr>
            <w:tcW w:w="893" w:type="dxa"/>
            <w:vAlign w:val="center"/>
            <w:hideMark/>
          </w:tcPr>
          <w:p w14:paraId="4C835DB8" w14:textId="77777777" w:rsidR="00AB64A5" w:rsidRPr="00FF0864" w:rsidRDefault="00AB64A5" w:rsidP="007B0B27">
            <w:pPr>
              <w:contextualSpacing/>
              <w:rPr>
                <w:rFonts w:ascii="Verdana" w:hAnsi="Verdana" w:cs="Arial"/>
                <w:sz w:val="16"/>
                <w:szCs w:val="16"/>
                <w:lang w:val="es-ES" w:eastAsia="es-ES"/>
              </w:rPr>
            </w:pPr>
            <w:r w:rsidRPr="00FF0864">
              <w:rPr>
                <w:rFonts w:ascii="Verdana" w:hAnsi="Verdana" w:cs="Arial"/>
                <w:sz w:val="16"/>
                <w:szCs w:val="16"/>
                <w:lang w:val="es-ES" w:eastAsia="es-ES"/>
              </w:rPr>
              <w:t>Elaboró:</w:t>
            </w:r>
          </w:p>
        </w:tc>
        <w:tc>
          <w:tcPr>
            <w:tcW w:w="5628" w:type="dxa"/>
            <w:tcBorders>
              <w:top w:val="nil"/>
              <w:left w:val="nil"/>
              <w:right w:val="nil"/>
            </w:tcBorders>
            <w:vAlign w:val="center"/>
            <w:hideMark/>
          </w:tcPr>
          <w:p w14:paraId="66AF4843" w14:textId="0ED7FA68" w:rsidR="00AB64A5" w:rsidRPr="00FF0864" w:rsidRDefault="009F4B33" w:rsidP="007B0B27">
            <w:pPr>
              <w:contextualSpacing/>
              <w:rPr>
                <w:rStyle w:val="normaltextrun"/>
                <w:rFonts w:ascii="Verdana" w:hAnsi="Verdana"/>
                <w:sz w:val="16"/>
                <w:szCs w:val="16"/>
              </w:rPr>
            </w:pPr>
            <w:r>
              <w:rPr>
                <w:rStyle w:val="normaltextrun"/>
                <w:rFonts w:ascii="Verdana" w:hAnsi="Verdana"/>
                <w:sz w:val="16"/>
                <w:szCs w:val="16"/>
              </w:rPr>
              <w:t>D</w:t>
            </w:r>
            <w:r w:rsidRPr="009F4B33">
              <w:rPr>
                <w:rStyle w:val="normaltextrun"/>
                <w:rFonts w:ascii="Verdana" w:hAnsi="Verdana"/>
                <w:sz w:val="16"/>
                <w:szCs w:val="16"/>
              </w:rPr>
              <w:t xml:space="preserve">iana </w:t>
            </w:r>
            <w:r w:rsidR="005A5AFA" w:rsidRPr="00FF0864">
              <w:rPr>
                <w:rStyle w:val="normaltextrun"/>
                <w:rFonts w:ascii="Verdana" w:hAnsi="Verdana"/>
                <w:sz w:val="16"/>
                <w:szCs w:val="16"/>
              </w:rPr>
              <w:t xml:space="preserve">Carolina Blanco Rodriguez </w:t>
            </w:r>
          </w:p>
          <w:p w14:paraId="05D16EFD" w14:textId="77777777" w:rsidR="00AB64A5" w:rsidRPr="00FF0864" w:rsidRDefault="00AB64A5" w:rsidP="007B0B27">
            <w:pPr>
              <w:contextualSpacing/>
              <w:rPr>
                <w:rStyle w:val="normaltextrun"/>
                <w:rFonts w:ascii="Verdana" w:hAnsi="Verdana"/>
                <w:sz w:val="16"/>
                <w:szCs w:val="16"/>
              </w:rPr>
            </w:pPr>
            <w:r w:rsidRPr="00FF0864">
              <w:rPr>
                <w:rStyle w:val="normaltextrun"/>
                <w:rFonts w:ascii="Verdana" w:hAnsi="Verdana"/>
                <w:sz w:val="16"/>
                <w:szCs w:val="16"/>
              </w:rPr>
              <w:t>Contratista de la Subdirección de Gestión Contractual</w:t>
            </w:r>
          </w:p>
          <w:p w14:paraId="6D742C2C" w14:textId="33389542" w:rsidR="009F5FB8" w:rsidRPr="00FF0864" w:rsidRDefault="009F5FB8" w:rsidP="007B0B27">
            <w:pPr>
              <w:contextualSpacing/>
              <w:rPr>
                <w:rStyle w:val="normaltextrun"/>
                <w:rFonts w:ascii="Verdana" w:hAnsi="Verdana"/>
              </w:rPr>
            </w:pPr>
          </w:p>
        </w:tc>
      </w:tr>
      <w:tr w:rsidR="00AB64A5" w:rsidRPr="00FF0864" w14:paraId="25DEECD8" w14:textId="77777777" w:rsidTr="005A5AFA">
        <w:trPr>
          <w:trHeight w:val="330"/>
        </w:trPr>
        <w:tc>
          <w:tcPr>
            <w:tcW w:w="893" w:type="dxa"/>
            <w:vAlign w:val="center"/>
            <w:hideMark/>
          </w:tcPr>
          <w:p w14:paraId="5EB4B261" w14:textId="77777777" w:rsidR="00AB64A5" w:rsidRPr="00FF0864" w:rsidRDefault="00AB64A5" w:rsidP="007B0B27">
            <w:pPr>
              <w:contextualSpacing/>
              <w:rPr>
                <w:rFonts w:ascii="Verdana" w:hAnsi="Verdana" w:cs="Arial"/>
                <w:sz w:val="16"/>
                <w:szCs w:val="16"/>
                <w:lang w:val="es-ES" w:eastAsia="es-ES"/>
              </w:rPr>
            </w:pPr>
            <w:r w:rsidRPr="00FF0864">
              <w:rPr>
                <w:rFonts w:ascii="Verdana" w:hAnsi="Verdana" w:cs="Arial"/>
                <w:sz w:val="16"/>
                <w:szCs w:val="16"/>
                <w:lang w:val="es-ES" w:eastAsia="es-ES"/>
              </w:rPr>
              <w:t>Revisó:</w:t>
            </w:r>
          </w:p>
        </w:tc>
        <w:tc>
          <w:tcPr>
            <w:tcW w:w="5628" w:type="dxa"/>
            <w:vAlign w:val="center"/>
            <w:hideMark/>
          </w:tcPr>
          <w:p w14:paraId="0FDC8FEE" w14:textId="2F7E85C7" w:rsidR="00FF2F27" w:rsidRPr="00FF0864" w:rsidRDefault="00E07453" w:rsidP="00553F39">
            <w:pPr>
              <w:pStyle w:val="paragraph"/>
              <w:spacing w:before="0" w:beforeAutospacing="0" w:after="0" w:afterAutospacing="0"/>
              <w:contextualSpacing/>
              <w:textAlignment w:val="baseline"/>
              <w:rPr>
                <w:rStyle w:val="normaltextrun"/>
                <w:rFonts w:ascii="Verdana" w:eastAsiaTheme="minorHAnsi" w:hAnsi="Verdana" w:cstheme="minorBidi"/>
                <w:sz w:val="16"/>
                <w:szCs w:val="16"/>
                <w:lang w:eastAsia="en-US"/>
              </w:rPr>
            </w:pPr>
            <w:r w:rsidRPr="00FF0864">
              <w:rPr>
                <w:rStyle w:val="normaltextrun"/>
                <w:rFonts w:ascii="Verdana" w:eastAsiaTheme="minorHAnsi" w:hAnsi="Verdana" w:cstheme="minorBidi"/>
                <w:sz w:val="16"/>
                <w:szCs w:val="16"/>
                <w:lang w:eastAsia="en-US"/>
              </w:rPr>
              <w:t>Adriana López</w:t>
            </w:r>
          </w:p>
          <w:p w14:paraId="164666B5" w14:textId="52724979" w:rsidR="00AB64A5" w:rsidRPr="00FF0864" w:rsidRDefault="009F4B33" w:rsidP="009F4B33">
            <w:pPr>
              <w:contextualSpacing/>
              <w:rPr>
                <w:rStyle w:val="normaltextrun"/>
                <w:rFonts w:ascii="Verdana" w:hAnsi="Verdana"/>
                <w:sz w:val="16"/>
                <w:szCs w:val="16"/>
              </w:rPr>
            </w:pPr>
            <w:r w:rsidRPr="00FF0864">
              <w:rPr>
                <w:rStyle w:val="normaltextrun"/>
                <w:rFonts w:ascii="Verdana" w:hAnsi="Verdana"/>
                <w:sz w:val="16"/>
                <w:szCs w:val="16"/>
              </w:rPr>
              <w:t>Contratista de la Subdirección de Gestión Contractual</w:t>
            </w:r>
          </w:p>
        </w:tc>
      </w:tr>
      <w:tr w:rsidR="00AB64A5" w:rsidRPr="00FF0864" w14:paraId="082B5310" w14:textId="77777777" w:rsidTr="005A5A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
        </w:trPr>
        <w:tc>
          <w:tcPr>
            <w:tcW w:w="893" w:type="dxa"/>
            <w:tcBorders>
              <w:top w:val="nil"/>
              <w:left w:val="nil"/>
              <w:bottom w:val="nil"/>
              <w:right w:val="nil"/>
            </w:tcBorders>
            <w:vAlign w:val="center"/>
          </w:tcPr>
          <w:p w14:paraId="7430F20F" w14:textId="77777777" w:rsidR="00AB64A5" w:rsidRPr="00FF0864" w:rsidRDefault="00AB64A5" w:rsidP="007B0B27">
            <w:pPr>
              <w:contextualSpacing/>
              <w:rPr>
                <w:rFonts w:ascii="Verdana" w:hAnsi="Verdana" w:cs="Arial"/>
                <w:sz w:val="16"/>
                <w:szCs w:val="16"/>
                <w:lang w:val="es-ES" w:eastAsia="es-ES"/>
              </w:rPr>
            </w:pPr>
            <w:r w:rsidRPr="00FF0864">
              <w:rPr>
                <w:rFonts w:ascii="Verdana" w:hAnsi="Verdana" w:cs="Arial"/>
                <w:sz w:val="16"/>
                <w:szCs w:val="16"/>
                <w:lang w:val="es-ES" w:eastAsia="es-ES"/>
              </w:rPr>
              <w:t>Aprobó:</w:t>
            </w:r>
          </w:p>
        </w:tc>
        <w:tc>
          <w:tcPr>
            <w:tcW w:w="5628" w:type="dxa"/>
            <w:tcBorders>
              <w:top w:val="nil"/>
              <w:left w:val="nil"/>
              <w:bottom w:val="nil"/>
              <w:right w:val="nil"/>
            </w:tcBorders>
            <w:vAlign w:val="center"/>
          </w:tcPr>
          <w:p w14:paraId="14C31041" w14:textId="77777777" w:rsidR="00AB64A5" w:rsidRPr="00FF0864" w:rsidRDefault="00AB64A5" w:rsidP="007B0B27">
            <w:pPr>
              <w:contextualSpacing/>
              <w:rPr>
                <w:rFonts w:ascii="Verdana" w:eastAsia="Calibri" w:hAnsi="Verdana" w:cs="Arial"/>
                <w:sz w:val="16"/>
                <w:szCs w:val="16"/>
                <w:lang w:val="pt-BR" w:eastAsia="es-ES"/>
              </w:rPr>
            </w:pPr>
            <w:r w:rsidRPr="00FF0864">
              <w:rPr>
                <w:rFonts w:ascii="Verdana" w:eastAsia="Calibri" w:hAnsi="Verdana" w:cs="Arial"/>
                <w:sz w:val="16"/>
                <w:szCs w:val="16"/>
                <w:lang w:val="pt-BR" w:eastAsia="es-ES"/>
              </w:rPr>
              <w:t xml:space="preserve">Carolina Quintero </w:t>
            </w:r>
            <w:proofErr w:type="spellStart"/>
            <w:r w:rsidRPr="00FF0864">
              <w:rPr>
                <w:rFonts w:ascii="Verdana" w:eastAsia="Calibri" w:hAnsi="Verdana" w:cs="Arial"/>
                <w:sz w:val="16"/>
                <w:szCs w:val="16"/>
                <w:lang w:val="pt-BR" w:eastAsia="es-ES"/>
              </w:rPr>
              <w:t>Gacharná</w:t>
            </w:r>
            <w:proofErr w:type="spellEnd"/>
          </w:p>
          <w:p w14:paraId="1A53492F" w14:textId="77777777" w:rsidR="00AB64A5" w:rsidRPr="00FF0864" w:rsidRDefault="00AB64A5" w:rsidP="007B0B27">
            <w:pPr>
              <w:contextualSpacing/>
              <w:rPr>
                <w:rFonts w:ascii="Verdana" w:eastAsia="Calibri" w:hAnsi="Verdana" w:cs="Arial"/>
                <w:sz w:val="16"/>
                <w:szCs w:val="16"/>
                <w:lang w:val="pt-BR" w:eastAsia="es-ES"/>
              </w:rPr>
            </w:pPr>
            <w:r w:rsidRPr="00FF0864">
              <w:rPr>
                <w:rFonts w:ascii="Verdana" w:eastAsia="Calibri" w:hAnsi="Verdana" w:cs="Arial"/>
                <w:sz w:val="16"/>
                <w:szCs w:val="16"/>
                <w:lang w:eastAsia="es-ES"/>
              </w:rPr>
              <w:t>Subdirectora</w:t>
            </w:r>
            <w:r w:rsidRPr="00FF0864">
              <w:rPr>
                <w:rFonts w:ascii="Verdana" w:eastAsia="Calibri" w:hAnsi="Verdana" w:cs="Arial"/>
                <w:sz w:val="16"/>
                <w:szCs w:val="16"/>
                <w:lang w:val="pt-BR" w:eastAsia="es-ES"/>
              </w:rPr>
              <w:t xml:space="preserve"> de Gestión </w:t>
            </w:r>
            <w:proofErr w:type="spellStart"/>
            <w:r w:rsidRPr="00FF0864">
              <w:rPr>
                <w:rFonts w:ascii="Verdana" w:eastAsia="Calibri" w:hAnsi="Verdana" w:cs="Arial"/>
                <w:sz w:val="16"/>
                <w:szCs w:val="16"/>
                <w:lang w:val="pt-BR" w:eastAsia="es-ES"/>
              </w:rPr>
              <w:t>Contractual</w:t>
            </w:r>
            <w:proofErr w:type="spellEnd"/>
            <w:r w:rsidRPr="00FF0864">
              <w:rPr>
                <w:rFonts w:ascii="Verdana" w:eastAsia="Calibri" w:hAnsi="Verdana" w:cs="Arial"/>
                <w:sz w:val="16"/>
                <w:szCs w:val="16"/>
                <w:lang w:val="pt-BR" w:eastAsia="es-ES"/>
              </w:rPr>
              <w:t xml:space="preserve"> ANCP – CCE</w:t>
            </w:r>
          </w:p>
        </w:tc>
      </w:tr>
    </w:tbl>
    <w:p w14:paraId="011E4F21" w14:textId="77777777" w:rsidR="00AB64A5" w:rsidRPr="00FF0864" w:rsidRDefault="00AB64A5" w:rsidP="00AB64A5">
      <w:pPr>
        <w:spacing w:after="0" w:line="240" w:lineRule="auto"/>
        <w:rPr>
          <w:rFonts w:ascii="Verdana" w:eastAsia="Times New Roman" w:hAnsi="Verdana" w:cs="Arial"/>
          <w:lang w:eastAsia="es-ES"/>
        </w:rPr>
      </w:pPr>
    </w:p>
    <w:p w14:paraId="02CE4EF4" w14:textId="77777777" w:rsidR="00AB64A5" w:rsidRPr="00FF0864" w:rsidRDefault="00AB64A5" w:rsidP="00AB64A5">
      <w:pPr>
        <w:rPr>
          <w:rFonts w:ascii="Verdana" w:hAnsi="Verdana"/>
        </w:rPr>
      </w:pPr>
    </w:p>
    <w:p w14:paraId="7644495A" w14:textId="77777777" w:rsidR="00AB64A5" w:rsidRPr="00FF0864" w:rsidRDefault="00AB64A5" w:rsidP="00AB64A5">
      <w:pPr>
        <w:spacing w:after="0"/>
        <w:rPr>
          <w:rFonts w:ascii="Verdana" w:hAnsi="Verdana"/>
        </w:rPr>
      </w:pPr>
      <w:r w:rsidRPr="00FF0864">
        <w:rPr>
          <w:rFonts w:ascii="Verdana" w:hAnsi="Verdana"/>
        </w:rPr>
        <w:tab/>
      </w:r>
    </w:p>
    <w:p w14:paraId="34BF06D8" w14:textId="77777777" w:rsidR="00AB64A5" w:rsidRPr="00FF0864" w:rsidRDefault="00AB64A5" w:rsidP="00AB64A5">
      <w:pPr>
        <w:spacing w:after="0"/>
        <w:rPr>
          <w:rFonts w:ascii="Verdana" w:hAnsi="Verdana"/>
        </w:rPr>
      </w:pPr>
    </w:p>
    <w:p w14:paraId="1F766B8E" w14:textId="77777777" w:rsidR="00AB64A5" w:rsidRPr="00FF0864" w:rsidRDefault="00AB64A5" w:rsidP="00AB64A5">
      <w:pPr>
        <w:spacing w:after="0"/>
        <w:rPr>
          <w:rFonts w:ascii="Verdana" w:hAnsi="Verdana"/>
        </w:rPr>
      </w:pPr>
    </w:p>
    <w:bookmarkEnd w:id="0"/>
    <w:p w14:paraId="1D08ED52" w14:textId="77777777" w:rsidR="00AB64A5" w:rsidRPr="00FF0864" w:rsidRDefault="00AB64A5" w:rsidP="00AB64A5">
      <w:pPr>
        <w:spacing w:after="0"/>
        <w:rPr>
          <w:rFonts w:ascii="Verdana" w:hAnsi="Verdana"/>
        </w:rPr>
      </w:pPr>
    </w:p>
    <w:p w14:paraId="5CDCF197" w14:textId="77777777" w:rsidR="009C4900" w:rsidRPr="00FF0864" w:rsidRDefault="009C4900">
      <w:pPr>
        <w:rPr>
          <w:rFonts w:ascii="Verdana" w:hAnsi="Verdana"/>
        </w:rPr>
      </w:pPr>
    </w:p>
    <w:sectPr w:rsidR="009C4900" w:rsidRPr="00FF0864" w:rsidSect="00AB64A5">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57AD20" w14:textId="77777777" w:rsidR="00D74E93" w:rsidRDefault="00D74E93" w:rsidP="00AB64A5">
      <w:pPr>
        <w:spacing w:after="0" w:line="240" w:lineRule="auto"/>
      </w:pPr>
      <w:r>
        <w:separator/>
      </w:r>
    </w:p>
  </w:endnote>
  <w:endnote w:type="continuationSeparator" w:id="0">
    <w:p w14:paraId="04F47426" w14:textId="77777777" w:rsidR="00D74E93" w:rsidRDefault="00D74E93" w:rsidP="00AB64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44757" w14:textId="77777777" w:rsidR="00900AD7" w:rsidRDefault="00900AD7">
    <w:pPr>
      <w:pStyle w:val="Piedepgina"/>
    </w:pPr>
  </w:p>
  <w:p w14:paraId="36A1BDCE" w14:textId="77777777" w:rsidR="00900AD7" w:rsidRPr="00174B77" w:rsidRDefault="0000000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5FB6292" w14:textId="77777777" w:rsidR="00900AD7" w:rsidRDefault="0000000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80179F8" w14:textId="77777777" w:rsidR="00900AD7" w:rsidRPr="00E41027" w:rsidRDefault="00000000" w:rsidP="00D520D8">
    <w:pPr>
      <w:spacing w:after="0"/>
      <w:jc w:val="both"/>
      <w:rPr>
        <w:rFonts w:ascii="Verdana" w:hAnsi="Verdana"/>
        <w:sz w:val="18"/>
        <w:szCs w:val="18"/>
      </w:rPr>
    </w:pPr>
    <w:r w:rsidRPr="00E41027">
      <w:rPr>
        <w:rFonts w:ascii="Verdana" w:hAnsi="Verdana"/>
        <w:sz w:val="18"/>
        <w:szCs w:val="18"/>
      </w:rPr>
      <w:t>Mesa de servicio: (+57) 601 7456788</w:t>
    </w:r>
  </w:p>
  <w:p w14:paraId="7BB0ED8A" w14:textId="77777777" w:rsidR="00900AD7" w:rsidRDefault="00000000"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p w14:paraId="11336CC5" w14:textId="77777777" w:rsidR="006D24E7" w:rsidRDefault="006D24E7"/>
  <w:p w14:paraId="5A29B81E" w14:textId="77777777" w:rsidR="006D24E7" w:rsidRDefault="006D24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2A585C" w14:textId="77777777" w:rsidR="00D74E93" w:rsidRDefault="00D74E93" w:rsidP="00AB64A5">
      <w:pPr>
        <w:spacing w:after="0" w:line="240" w:lineRule="auto"/>
      </w:pPr>
      <w:r>
        <w:separator/>
      </w:r>
    </w:p>
  </w:footnote>
  <w:footnote w:type="continuationSeparator" w:id="0">
    <w:p w14:paraId="12B4F2FA" w14:textId="77777777" w:rsidR="00D74E93" w:rsidRDefault="00D74E93" w:rsidP="00AB64A5">
      <w:pPr>
        <w:spacing w:after="0" w:line="240" w:lineRule="auto"/>
      </w:pPr>
      <w:r>
        <w:continuationSeparator/>
      </w:r>
    </w:p>
  </w:footnote>
  <w:footnote w:id="1">
    <w:p w14:paraId="57F9E0F0" w14:textId="77777777" w:rsidR="00FF2F27" w:rsidRPr="00CA3725" w:rsidRDefault="00FF2F27" w:rsidP="00FF2F27">
      <w:pPr>
        <w:pStyle w:val="Textonotapie"/>
        <w:ind w:firstLine="708"/>
        <w:jc w:val="both"/>
        <w:rPr>
          <w:rFonts w:ascii="Arial" w:hAnsi="Arial" w:cs="Arial"/>
          <w:sz w:val="19"/>
          <w:szCs w:val="19"/>
        </w:rPr>
      </w:pPr>
      <w:r w:rsidRPr="00CA3725">
        <w:rPr>
          <w:rStyle w:val="Refdenotaalpie"/>
          <w:rFonts w:ascii="Arial" w:hAnsi="Arial" w:cs="Arial"/>
          <w:sz w:val="19"/>
          <w:szCs w:val="19"/>
        </w:rPr>
        <w:footnoteRef/>
      </w:r>
      <w:r w:rsidRPr="00CA3725">
        <w:rPr>
          <w:rFonts w:ascii="Arial" w:hAnsi="Arial" w:cs="Arial"/>
          <w:sz w:val="19"/>
          <w:szCs w:val="19"/>
        </w:rPr>
        <w:t xml:space="preserve"> CONSEJO DE ESTADO. Sección Tercera. Subsección A. Sentencia del 13 de noviembre de 2013. Rad. 25.646. C.P. Mauricio Fajardo Gómez.  </w:t>
      </w:r>
    </w:p>
    <w:p w14:paraId="28374722" w14:textId="77777777" w:rsidR="00FF2F27" w:rsidRPr="00CA3725" w:rsidRDefault="00FF2F27" w:rsidP="00FF2F27">
      <w:pPr>
        <w:pStyle w:val="Textonotapie"/>
        <w:ind w:firstLine="708"/>
        <w:jc w:val="both"/>
        <w:rPr>
          <w:rFonts w:ascii="Arial" w:hAnsi="Arial" w:cs="Arial"/>
          <w:sz w:val="19"/>
          <w:szCs w:val="19"/>
        </w:rPr>
      </w:pPr>
    </w:p>
  </w:footnote>
  <w:footnote w:id="2">
    <w:p w14:paraId="6BB0A510" w14:textId="77777777" w:rsidR="00FF2F27" w:rsidRPr="00CA3725" w:rsidRDefault="00FF2F27" w:rsidP="00FF2F27">
      <w:pPr>
        <w:pStyle w:val="Textonotapie"/>
        <w:ind w:firstLine="708"/>
        <w:jc w:val="both"/>
        <w:rPr>
          <w:rFonts w:ascii="Arial" w:hAnsi="Arial" w:cs="Arial"/>
          <w:sz w:val="19"/>
          <w:szCs w:val="19"/>
        </w:rPr>
      </w:pPr>
      <w:r w:rsidRPr="00CA3725">
        <w:rPr>
          <w:rFonts w:ascii="Arial" w:hAnsi="Arial" w:cs="Arial"/>
          <w:sz w:val="19"/>
          <w:szCs w:val="19"/>
          <w:vertAlign w:val="superscript"/>
        </w:rPr>
        <w:footnoteRef/>
      </w:r>
      <w:r w:rsidRPr="00CA3725">
        <w:rPr>
          <w:rFonts w:ascii="Arial" w:hAnsi="Arial" w:cs="Arial"/>
          <w:sz w:val="19"/>
          <w:szCs w:val="19"/>
        </w:rPr>
        <w:t xml:space="preserve"> CORTE CONSTITUCIONAL. Sentencia C-415 de 1994. M.P. Eduardo Cifuentes Muñoz. </w:t>
      </w:r>
    </w:p>
    <w:p w14:paraId="72B93C1D" w14:textId="77777777" w:rsidR="00FF2F27" w:rsidRPr="00CA3725" w:rsidRDefault="00FF2F27" w:rsidP="00FF2F27">
      <w:pPr>
        <w:pStyle w:val="Textonotapie"/>
        <w:ind w:firstLine="708"/>
        <w:jc w:val="both"/>
        <w:rPr>
          <w:rFonts w:ascii="Arial" w:hAnsi="Arial" w:cs="Arial"/>
          <w:sz w:val="19"/>
          <w:szCs w:val="19"/>
        </w:rPr>
      </w:pPr>
    </w:p>
  </w:footnote>
  <w:footnote w:id="3">
    <w:p w14:paraId="281175C2" w14:textId="77777777" w:rsidR="00FF2F27" w:rsidRPr="00CA3725" w:rsidRDefault="00FF2F27" w:rsidP="00FF2F27">
      <w:pPr>
        <w:pStyle w:val="Textonotapie"/>
        <w:ind w:firstLine="708"/>
        <w:jc w:val="both"/>
        <w:rPr>
          <w:rFonts w:ascii="Arial" w:hAnsi="Arial" w:cs="Arial"/>
          <w:sz w:val="19"/>
          <w:szCs w:val="19"/>
        </w:rPr>
      </w:pPr>
      <w:r w:rsidRPr="00CA3725">
        <w:rPr>
          <w:rStyle w:val="Refdenotaalpie"/>
          <w:rFonts w:ascii="Arial" w:hAnsi="Arial" w:cs="Arial"/>
          <w:sz w:val="19"/>
          <w:szCs w:val="19"/>
        </w:rPr>
        <w:footnoteRef/>
      </w:r>
      <w:r w:rsidRPr="00CA3725">
        <w:rPr>
          <w:rFonts w:ascii="Arial" w:hAnsi="Arial" w:cs="Arial"/>
          <w:sz w:val="19"/>
          <w:szCs w:val="19"/>
        </w:rPr>
        <w:t xml:space="preserve"> CORTE CONSTITUCIONAL. Sentencia C-780 de 2001. M.P. Jaime Córdoba Triviño. </w:t>
      </w:r>
    </w:p>
    <w:p w14:paraId="40DF5963" w14:textId="77777777" w:rsidR="00FF2F27" w:rsidRPr="00CA3725" w:rsidRDefault="00FF2F27" w:rsidP="00FF2F27">
      <w:pPr>
        <w:pStyle w:val="Textonotapie"/>
        <w:ind w:firstLine="708"/>
        <w:jc w:val="both"/>
        <w:rPr>
          <w:rFonts w:ascii="Arial" w:hAnsi="Arial" w:cs="Arial"/>
          <w:sz w:val="19"/>
          <w:szCs w:val="19"/>
        </w:rPr>
      </w:pPr>
    </w:p>
  </w:footnote>
  <w:footnote w:id="4">
    <w:p w14:paraId="33C6711A" w14:textId="061F3687" w:rsidR="00FF2F27" w:rsidRPr="00CA3725" w:rsidRDefault="00FF2F27" w:rsidP="00FF0864">
      <w:pPr>
        <w:pStyle w:val="NormalWeb"/>
        <w:spacing w:before="0" w:beforeAutospacing="0" w:after="0" w:afterAutospacing="0"/>
        <w:ind w:firstLine="708"/>
        <w:jc w:val="both"/>
        <w:rPr>
          <w:rFonts w:ascii="Arial" w:hAnsi="Arial" w:cs="Arial"/>
          <w:sz w:val="19"/>
          <w:szCs w:val="19"/>
        </w:rPr>
      </w:pPr>
      <w:r w:rsidRPr="00CA3725">
        <w:rPr>
          <w:rStyle w:val="Refdenotaalpie"/>
          <w:rFonts w:ascii="Arial" w:hAnsi="Arial" w:cs="Arial"/>
          <w:sz w:val="19"/>
          <w:szCs w:val="19"/>
        </w:rPr>
        <w:footnoteRef/>
      </w:r>
      <w:r w:rsidRPr="00CA3725">
        <w:rPr>
          <w:rFonts w:ascii="Arial" w:hAnsi="Arial" w:cs="Arial"/>
          <w:sz w:val="19"/>
          <w:szCs w:val="19"/>
        </w:rPr>
        <w:t xml:space="preserve"> </w:t>
      </w:r>
      <w:r w:rsidR="00FF0864">
        <w:rPr>
          <w:rFonts w:ascii="Arial" w:hAnsi="Arial" w:cs="Arial"/>
          <w:sz w:val="19"/>
          <w:szCs w:val="19"/>
        </w:rPr>
        <w:t xml:space="preserve">Artículo 8 </w:t>
      </w:r>
      <w:r w:rsidRPr="00CA3725">
        <w:rPr>
          <w:rFonts w:ascii="Arial" w:eastAsiaTheme="minorHAnsi" w:hAnsi="Arial" w:cs="Arial"/>
          <w:sz w:val="19"/>
          <w:szCs w:val="19"/>
          <w:lang w:val="es-ES" w:eastAsia="en-US"/>
        </w:rPr>
        <w:t>Ley 80 de 1993</w:t>
      </w:r>
      <w:r w:rsidR="00FF0864">
        <w:rPr>
          <w:rFonts w:ascii="Arial" w:eastAsiaTheme="minorHAnsi" w:hAnsi="Arial" w:cs="Arial"/>
          <w:sz w:val="19"/>
          <w:szCs w:val="19"/>
          <w:lang w:val="es-ES" w:eastAsia="en-US"/>
        </w:rPr>
        <w:t>.</w:t>
      </w:r>
      <w:r w:rsidRPr="00CA3725">
        <w:rPr>
          <w:rFonts w:ascii="Arial" w:eastAsiaTheme="minorHAnsi" w:hAnsi="Arial" w:cs="Arial"/>
          <w:sz w:val="19"/>
          <w:szCs w:val="19"/>
          <w:lang w:val="es-ES" w:eastAsia="en-US"/>
        </w:rPr>
        <w:t xml:space="preserve"> </w:t>
      </w:r>
      <w:r w:rsidRPr="00CA3725">
        <w:rPr>
          <w:rFonts w:ascii="Arial" w:eastAsiaTheme="minorHAnsi" w:hAnsi="Arial" w:cs="Arial"/>
          <w:sz w:val="19"/>
          <w:szCs w:val="19"/>
          <w:lang w:val="es-ES" w:eastAsia="en-US"/>
        </w:rPr>
        <w:tab/>
        <w:t>  </w:t>
      </w:r>
    </w:p>
  </w:footnote>
  <w:footnote w:id="5">
    <w:p w14:paraId="650A8F72" w14:textId="01B907A0" w:rsidR="00FF2F27" w:rsidRPr="00CA3725" w:rsidRDefault="00FF2F27" w:rsidP="00FF0864">
      <w:pPr>
        <w:pStyle w:val="Textonotapie"/>
        <w:ind w:firstLine="709"/>
        <w:jc w:val="both"/>
        <w:rPr>
          <w:rFonts w:ascii="Arial" w:hAnsi="Arial" w:cs="Arial"/>
          <w:sz w:val="19"/>
          <w:szCs w:val="19"/>
        </w:rPr>
      </w:pPr>
      <w:r w:rsidRPr="00CA3725">
        <w:rPr>
          <w:rStyle w:val="Refdenotaalpie"/>
          <w:rFonts w:ascii="Arial" w:hAnsi="Arial" w:cs="Arial"/>
          <w:sz w:val="19"/>
          <w:szCs w:val="19"/>
        </w:rPr>
        <w:footnoteRef/>
      </w:r>
      <w:r w:rsidRPr="00CA3725">
        <w:rPr>
          <w:rFonts w:ascii="Arial" w:hAnsi="Arial" w:cs="Arial"/>
          <w:sz w:val="19"/>
          <w:szCs w:val="19"/>
        </w:rPr>
        <w:t xml:space="preserve"> </w:t>
      </w:r>
      <w:r w:rsidR="00FF0864">
        <w:rPr>
          <w:rFonts w:ascii="Arial" w:hAnsi="Arial" w:cs="Arial"/>
          <w:sz w:val="19"/>
          <w:szCs w:val="19"/>
        </w:rPr>
        <w:t xml:space="preserve">Artículo 6 de la </w:t>
      </w:r>
      <w:r w:rsidRPr="00CA3725">
        <w:rPr>
          <w:rFonts w:ascii="Arial" w:hAnsi="Arial" w:cs="Arial"/>
          <w:sz w:val="19"/>
          <w:szCs w:val="19"/>
        </w:rPr>
        <w:t>Ley 80 de 1993</w:t>
      </w:r>
      <w:r w:rsidR="00FF0864">
        <w:rPr>
          <w:rFonts w:ascii="Arial" w:hAnsi="Arial" w:cs="Arial"/>
          <w:sz w:val="19"/>
          <w:szCs w:val="19"/>
        </w:rPr>
        <w:t>.</w:t>
      </w:r>
    </w:p>
    <w:p w14:paraId="612DFEB9" w14:textId="77777777" w:rsidR="00FF2F27" w:rsidRPr="00CA3725" w:rsidRDefault="00FF2F27" w:rsidP="00FF2F27">
      <w:pPr>
        <w:pStyle w:val="Textonotapie"/>
        <w:ind w:firstLine="709"/>
        <w:jc w:val="both"/>
        <w:rPr>
          <w:rFonts w:ascii="Arial" w:hAnsi="Arial" w:cs="Arial"/>
          <w:sz w:val="19"/>
          <w:szCs w:val="19"/>
        </w:rPr>
      </w:pPr>
    </w:p>
  </w:footnote>
  <w:footnote w:id="6">
    <w:p w14:paraId="47F777A1" w14:textId="680306C0" w:rsidR="00FF2F27" w:rsidRPr="00CA3725" w:rsidRDefault="00FF2F27" w:rsidP="00FF0864">
      <w:pPr>
        <w:pStyle w:val="Textonotapie"/>
        <w:ind w:firstLine="709"/>
        <w:jc w:val="both"/>
        <w:rPr>
          <w:rFonts w:ascii="Arial" w:hAnsi="Arial" w:cs="Arial"/>
          <w:sz w:val="19"/>
          <w:szCs w:val="19"/>
        </w:rPr>
      </w:pPr>
      <w:r w:rsidRPr="00CA3725">
        <w:rPr>
          <w:rStyle w:val="Refdenotaalpie"/>
          <w:rFonts w:ascii="Arial" w:hAnsi="Arial" w:cs="Arial"/>
          <w:sz w:val="19"/>
          <w:szCs w:val="19"/>
        </w:rPr>
        <w:footnoteRef/>
      </w:r>
      <w:r w:rsidRPr="00CA3725">
        <w:rPr>
          <w:rFonts w:ascii="Arial" w:hAnsi="Arial" w:cs="Arial"/>
          <w:sz w:val="19"/>
          <w:szCs w:val="19"/>
        </w:rPr>
        <w:t xml:space="preserve"> </w:t>
      </w:r>
      <w:r w:rsidR="00FF0864" w:rsidRPr="00CA3725">
        <w:rPr>
          <w:rFonts w:ascii="Arial" w:hAnsi="Arial" w:cs="Arial"/>
          <w:sz w:val="19"/>
          <w:szCs w:val="19"/>
        </w:rPr>
        <w:t>Artículo 1502</w:t>
      </w:r>
      <w:r w:rsidR="00FF0864">
        <w:rPr>
          <w:rFonts w:ascii="Arial" w:hAnsi="Arial" w:cs="Arial"/>
          <w:sz w:val="19"/>
          <w:szCs w:val="19"/>
        </w:rPr>
        <w:t xml:space="preserve"> del </w:t>
      </w:r>
      <w:r w:rsidRPr="00CA3725">
        <w:rPr>
          <w:rFonts w:ascii="Arial" w:hAnsi="Arial" w:cs="Arial"/>
          <w:sz w:val="19"/>
          <w:szCs w:val="19"/>
        </w:rPr>
        <w:t>Código Civil.</w:t>
      </w:r>
    </w:p>
  </w:footnote>
  <w:footnote w:id="7">
    <w:p w14:paraId="7131F943" w14:textId="77777777" w:rsidR="00FF2F27" w:rsidRPr="00CA3725" w:rsidRDefault="00FF2F27" w:rsidP="00FF2F27">
      <w:pPr>
        <w:pStyle w:val="Textonotapie"/>
        <w:ind w:firstLine="709"/>
        <w:jc w:val="both"/>
        <w:rPr>
          <w:rFonts w:ascii="Arial" w:hAnsi="Arial" w:cs="Arial"/>
          <w:sz w:val="19"/>
          <w:szCs w:val="19"/>
        </w:rPr>
      </w:pPr>
    </w:p>
  </w:footnote>
  <w:footnote w:id="8">
    <w:p w14:paraId="253478E0" w14:textId="2F609463" w:rsidR="00FF2F27" w:rsidRPr="00CA3725" w:rsidRDefault="00FF2F27" w:rsidP="00FF2F27">
      <w:pPr>
        <w:pStyle w:val="Textonotapie"/>
        <w:ind w:firstLine="709"/>
        <w:jc w:val="both"/>
        <w:rPr>
          <w:rFonts w:ascii="Arial" w:hAnsi="Arial" w:cs="Arial"/>
          <w:sz w:val="19"/>
          <w:szCs w:val="19"/>
          <w:lang w:val="es-ES"/>
        </w:rPr>
      </w:pPr>
      <w:r w:rsidRPr="00CA3725">
        <w:rPr>
          <w:rStyle w:val="Refdenotaalpie"/>
          <w:rFonts w:ascii="Arial" w:hAnsi="Arial" w:cs="Arial"/>
          <w:sz w:val="19"/>
          <w:szCs w:val="19"/>
        </w:rPr>
        <w:footnoteRef/>
      </w:r>
      <w:r w:rsidRPr="00CA3725">
        <w:rPr>
          <w:rFonts w:ascii="Arial" w:hAnsi="Arial" w:cs="Arial"/>
          <w:sz w:val="19"/>
          <w:szCs w:val="19"/>
        </w:rPr>
        <w:t xml:space="preserve"> </w:t>
      </w:r>
      <w:r w:rsidRPr="00CA3725">
        <w:rPr>
          <w:rFonts w:ascii="Arial" w:hAnsi="Arial" w:cs="Arial"/>
          <w:sz w:val="19"/>
          <w:szCs w:val="19"/>
          <w:lang w:val="es-ES"/>
        </w:rPr>
        <w:t xml:space="preserve">En tal sentido, José Luis Benavides comenta que </w:t>
      </w:r>
      <w:r w:rsidR="00FF0864">
        <w:rPr>
          <w:rFonts w:ascii="Arial" w:hAnsi="Arial" w:cs="Arial"/>
          <w:sz w:val="19"/>
          <w:szCs w:val="19"/>
          <w:lang w:val="es-ES"/>
        </w:rPr>
        <w:t>“</w:t>
      </w:r>
      <w:r w:rsidRPr="00CA3725">
        <w:rPr>
          <w:rFonts w:ascii="Arial" w:hAnsi="Arial" w:cs="Arial"/>
          <w:sz w:val="19"/>
          <w:szCs w:val="19"/>
          <w:lang w:val="es-ES"/>
        </w:rPr>
        <w:t xml:space="preserve">Aunque la mayoría de las reglas limitativas de la responsabilidad contractual se aplican a la administración, existen también algunas restricciones importantes a la capacidad de los contratistas: </w:t>
      </w:r>
      <w:r w:rsidRPr="00CA3725">
        <w:rPr>
          <w:rFonts w:ascii="Arial" w:hAnsi="Arial" w:cs="Arial"/>
          <w:i/>
          <w:iCs/>
          <w:sz w:val="19"/>
          <w:szCs w:val="19"/>
          <w:lang w:val="es-ES"/>
        </w:rPr>
        <w:t>el régimen de inhabilidades e incompatibilidades</w:t>
      </w:r>
      <w:r w:rsidRPr="00CA3725">
        <w:rPr>
          <w:rFonts w:ascii="Arial" w:hAnsi="Arial" w:cs="Arial"/>
          <w:sz w:val="19"/>
          <w:szCs w:val="19"/>
          <w:lang w:val="es-ES"/>
        </w:rPr>
        <w:t xml:space="preserve"> (1) y la obligación de ciertos proponentes de inscribirse en el </w:t>
      </w:r>
      <w:r w:rsidRPr="00CA3725">
        <w:rPr>
          <w:rFonts w:ascii="Arial" w:hAnsi="Arial" w:cs="Arial"/>
          <w:i/>
          <w:iCs/>
          <w:sz w:val="19"/>
          <w:szCs w:val="19"/>
          <w:lang w:val="es-ES"/>
        </w:rPr>
        <w:t>registro único</w:t>
      </w:r>
      <w:r w:rsidRPr="00CA3725">
        <w:rPr>
          <w:rFonts w:ascii="Arial" w:hAnsi="Arial" w:cs="Arial"/>
          <w:sz w:val="19"/>
          <w:szCs w:val="19"/>
          <w:lang w:val="es-ES"/>
        </w:rPr>
        <w:t xml:space="preserve"> (2)</w:t>
      </w:r>
      <w:r w:rsidR="00FF0864">
        <w:rPr>
          <w:rFonts w:ascii="Arial" w:hAnsi="Arial" w:cs="Arial"/>
          <w:sz w:val="19"/>
          <w:szCs w:val="19"/>
          <w:lang w:val="es-ES"/>
        </w:rPr>
        <w:t>”</w:t>
      </w:r>
      <w:r w:rsidRPr="00CA3725">
        <w:rPr>
          <w:rFonts w:ascii="Arial" w:hAnsi="Arial" w:cs="Arial"/>
          <w:sz w:val="19"/>
          <w:szCs w:val="19"/>
          <w:lang w:val="es-ES"/>
        </w:rPr>
        <w:t xml:space="preserve"> (BENAVIDES, José Luis. El contrato estatal. Entre el Derecho público y el Derecho privado. 2ª ed. Bogotá: Universidad Externado de Colombia, 2004. p. 278). </w:t>
      </w:r>
    </w:p>
    <w:p w14:paraId="690DF4D3" w14:textId="77777777" w:rsidR="00FF2F27" w:rsidRPr="00CA3725" w:rsidRDefault="00FF2F27" w:rsidP="00FF2F27">
      <w:pPr>
        <w:pStyle w:val="Textonotapie"/>
        <w:ind w:firstLine="709"/>
        <w:jc w:val="both"/>
        <w:rPr>
          <w:rFonts w:ascii="Arial" w:hAnsi="Arial" w:cs="Arial"/>
          <w:sz w:val="19"/>
          <w:szCs w:val="19"/>
          <w:lang w:val="es-ES"/>
        </w:rPr>
      </w:pPr>
    </w:p>
  </w:footnote>
  <w:footnote w:id="9">
    <w:p w14:paraId="6E6E430C" w14:textId="77777777" w:rsidR="00FF2F27" w:rsidRPr="00CA3725" w:rsidRDefault="00FF2F27" w:rsidP="00FF2F27">
      <w:pPr>
        <w:ind w:firstLine="709"/>
        <w:jc w:val="both"/>
        <w:rPr>
          <w:rFonts w:ascii="Arial" w:hAnsi="Arial" w:cs="Arial"/>
          <w:sz w:val="19"/>
          <w:szCs w:val="19"/>
          <w:lang w:val="es-ES"/>
        </w:rPr>
      </w:pPr>
    </w:p>
  </w:footnote>
  <w:footnote w:id="10">
    <w:p w14:paraId="39CE88C1" w14:textId="77777777" w:rsidR="00FF2F27" w:rsidRPr="00CA3725" w:rsidRDefault="00FF2F27" w:rsidP="00FF2F27">
      <w:pPr>
        <w:pStyle w:val="Textonotapie"/>
        <w:ind w:firstLine="709"/>
        <w:jc w:val="both"/>
        <w:rPr>
          <w:rFonts w:ascii="Arial" w:hAnsi="Arial" w:cs="Arial"/>
          <w:sz w:val="19"/>
          <w:szCs w:val="19"/>
        </w:rPr>
      </w:pPr>
    </w:p>
  </w:footnote>
  <w:footnote w:id="11">
    <w:p w14:paraId="436124E3" w14:textId="4D1930DA" w:rsidR="00FF2F27" w:rsidRPr="00AD1BAE" w:rsidRDefault="00FF2F27" w:rsidP="00FF2F27">
      <w:pPr>
        <w:pStyle w:val="Textonotapie"/>
        <w:ind w:firstLine="709"/>
        <w:jc w:val="both"/>
        <w:rPr>
          <w:rFonts w:ascii="Arial" w:hAnsi="Arial" w:cs="Arial"/>
          <w:sz w:val="19"/>
          <w:szCs w:val="19"/>
          <w:lang w:val="es-ES"/>
        </w:rPr>
      </w:pPr>
      <w:r w:rsidRPr="00CA3725">
        <w:rPr>
          <w:rStyle w:val="Refdenotaalpie"/>
          <w:rFonts w:ascii="Arial" w:hAnsi="Arial" w:cs="Arial"/>
          <w:sz w:val="19"/>
          <w:szCs w:val="19"/>
        </w:rPr>
        <w:footnoteRef/>
      </w:r>
      <w:r w:rsidRPr="00CA3725">
        <w:rPr>
          <w:rFonts w:ascii="Arial" w:hAnsi="Arial" w:cs="Arial"/>
          <w:sz w:val="19"/>
          <w:szCs w:val="19"/>
        </w:rPr>
        <w:t xml:space="preserve"> </w:t>
      </w:r>
      <w:r w:rsidRPr="00CA3725">
        <w:rPr>
          <w:rFonts w:ascii="Arial" w:hAnsi="Arial" w:cs="Arial"/>
          <w:sz w:val="19"/>
          <w:szCs w:val="19"/>
          <w:lang w:val="es-ES"/>
        </w:rPr>
        <w:t xml:space="preserve">Verbigracia, entre otras, las que se indican a continuación: </w:t>
      </w:r>
      <w:r w:rsidR="00FF0864">
        <w:rPr>
          <w:rFonts w:ascii="Arial" w:hAnsi="Arial" w:cs="Arial"/>
          <w:sz w:val="19"/>
          <w:szCs w:val="19"/>
          <w:lang w:val="es-ES"/>
        </w:rPr>
        <w:t>“</w:t>
      </w:r>
      <w:r w:rsidRPr="00CA3725">
        <w:rPr>
          <w:rFonts w:ascii="Arial" w:hAnsi="Arial" w:cs="Arial"/>
          <w:sz w:val="19"/>
          <w:szCs w:val="19"/>
          <w:lang w:val="es-ES"/>
        </w:rPr>
        <w:t>Las personas naturales o jurídicas que hayan financiado campañas políticas a la Presidencia de la República, a las gobernaciones, a las alcaldías o al Congreso de la República, con aportes superiores al dos por ciento (2.0%) de las sumas máximas a invertir</w:t>
      </w:r>
      <w:r w:rsidRPr="00AD1BAE">
        <w:rPr>
          <w:rFonts w:ascii="Arial" w:hAnsi="Arial" w:cs="Arial"/>
          <w:sz w:val="19"/>
          <w:szCs w:val="19"/>
          <w:lang w:val="es-ES"/>
        </w:rPr>
        <w:t xml:space="preserve"> por los candidatos en las campañas electorales en cada circunscripción electoral, quienes no podrán celebrar contratos con las entidades públicas, incluso descentralizadas, del respectivo nivel administrativo para el cual fue elegido el candidato […]</w:t>
      </w:r>
      <w:r w:rsidR="00FF0864">
        <w:rPr>
          <w:rFonts w:ascii="Arial" w:hAnsi="Arial" w:cs="Arial"/>
          <w:sz w:val="19"/>
          <w:szCs w:val="19"/>
          <w:lang w:val="es-ES"/>
        </w:rPr>
        <w:t>”</w:t>
      </w:r>
      <w:r w:rsidRPr="00AD1BAE">
        <w:rPr>
          <w:rFonts w:ascii="Arial" w:hAnsi="Arial" w:cs="Arial"/>
          <w:sz w:val="19"/>
          <w:szCs w:val="19"/>
          <w:lang w:val="es-ES"/>
        </w:rPr>
        <w:t xml:space="preserve"> (art. 8, num. 1º, lit. k), Ley 80/93, modificado por el art. 33, Ley 1778/16); </w:t>
      </w:r>
      <w:r w:rsidR="00FF0864">
        <w:rPr>
          <w:rFonts w:ascii="Arial" w:hAnsi="Arial" w:cs="Arial"/>
          <w:sz w:val="19"/>
          <w:szCs w:val="19"/>
          <w:lang w:val="es-ES"/>
        </w:rPr>
        <w:t>“</w:t>
      </w:r>
      <w:r w:rsidRPr="00AD1BAE">
        <w:rPr>
          <w:rFonts w:ascii="Arial" w:hAnsi="Arial" w:cs="Arial"/>
          <w:sz w:val="19"/>
          <w:szCs w:val="19"/>
          <w:lang w:val="es-ES"/>
        </w:rPr>
        <w:t>Quienes fueron miembros de la junta o consejo directivo o servidores públicos de la entidad contratante</w:t>
      </w:r>
      <w:r w:rsidR="00FF0864">
        <w:rPr>
          <w:rFonts w:ascii="Arial" w:hAnsi="Arial" w:cs="Arial"/>
          <w:sz w:val="19"/>
          <w:szCs w:val="19"/>
          <w:lang w:val="es-ES"/>
        </w:rPr>
        <w:t>”</w:t>
      </w:r>
      <w:r w:rsidRPr="00AD1BAE">
        <w:rPr>
          <w:rFonts w:ascii="Arial" w:hAnsi="Arial" w:cs="Arial"/>
          <w:sz w:val="19"/>
          <w:szCs w:val="19"/>
          <w:lang w:val="es-ES"/>
        </w:rPr>
        <w:t xml:space="preserve"> (art. 8, num. 2º, lit. a), Ley 80/93); </w:t>
      </w:r>
      <w:r w:rsidR="00FF0864">
        <w:rPr>
          <w:rFonts w:ascii="Arial" w:hAnsi="Arial" w:cs="Arial"/>
          <w:sz w:val="19"/>
          <w:szCs w:val="19"/>
          <w:lang w:val="es-ES"/>
        </w:rPr>
        <w:t>“</w:t>
      </w:r>
      <w:r w:rsidRPr="00AD1BAE">
        <w:rPr>
          <w:rFonts w:ascii="Arial" w:hAnsi="Arial" w:cs="Arial"/>
          <w:sz w:val="19"/>
          <w:szCs w:val="19"/>
          <w:lang w:val="es-ES"/>
        </w:rPr>
        <w:t>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w:t>
      </w:r>
      <w:r w:rsidR="00FF0864">
        <w:rPr>
          <w:rFonts w:ascii="Arial" w:hAnsi="Arial" w:cs="Arial"/>
          <w:sz w:val="19"/>
          <w:szCs w:val="19"/>
          <w:lang w:val="es-ES"/>
        </w:rPr>
        <w:t>”</w:t>
      </w:r>
      <w:r w:rsidRPr="00AD1BAE">
        <w:rPr>
          <w:rFonts w:ascii="Arial" w:hAnsi="Arial" w:cs="Arial"/>
          <w:sz w:val="19"/>
          <w:szCs w:val="19"/>
          <w:lang w:val="es-ES"/>
        </w:rPr>
        <w:t xml:space="preserve"> (art. 8, num. 2º, lit. f), Ley 80/93, adicionado por el art. 4º, Ley 1474/2011). </w:t>
      </w:r>
    </w:p>
    <w:p w14:paraId="00D0EAF7" w14:textId="77777777" w:rsidR="00FF2F27" w:rsidRPr="00AD1BAE" w:rsidRDefault="00FF2F27" w:rsidP="00FF2F27">
      <w:pPr>
        <w:pStyle w:val="Textonotapie"/>
        <w:ind w:firstLine="709"/>
        <w:jc w:val="both"/>
        <w:rPr>
          <w:rFonts w:ascii="Arial" w:hAnsi="Arial" w:cs="Arial"/>
          <w:sz w:val="19"/>
          <w:szCs w:val="19"/>
        </w:rPr>
      </w:pPr>
      <w:r w:rsidRPr="00AD1BAE">
        <w:rPr>
          <w:rFonts w:ascii="Arial" w:hAnsi="Arial" w:cs="Arial"/>
          <w:sz w:val="19"/>
          <w:szCs w:val="19"/>
          <w:lang w:val="es-ES"/>
        </w:rPr>
        <w:t xml:space="preserve">  </w:t>
      </w:r>
    </w:p>
  </w:footnote>
  <w:footnote w:id="12">
    <w:p w14:paraId="32A23EB8" w14:textId="00231204" w:rsidR="00FF2F27" w:rsidRPr="00E13471" w:rsidRDefault="00FF2F27" w:rsidP="00FF2F27">
      <w:pPr>
        <w:pStyle w:val="Textonotapie"/>
        <w:ind w:firstLine="708"/>
        <w:jc w:val="both"/>
        <w:rPr>
          <w:rFonts w:ascii="Arial" w:hAnsi="Arial" w:cs="Arial"/>
          <w:sz w:val="19"/>
          <w:szCs w:val="19"/>
        </w:rPr>
      </w:pPr>
      <w:r w:rsidRPr="00E13471">
        <w:rPr>
          <w:rStyle w:val="Refdenotaalpie"/>
          <w:rFonts w:ascii="Arial" w:hAnsi="Arial" w:cs="Arial"/>
          <w:sz w:val="19"/>
          <w:szCs w:val="19"/>
        </w:rPr>
        <w:footnoteRef/>
      </w:r>
      <w:r w:rsidRPr="00E13471">
        <w:rPr>
          <w:rFonts w:ascii="Arial" w:hAnsi="Arial" w:cs="Arial"/>
          <w:sz w:val="19"/>
          <w:szCs w:val="19"/>
        </w:rPr>
        <w:t xml:space="preserve"> En esta línea Dávila Vinueza Expresa: </w:t>
      </w:r>
      <w:r w:rsidR="00FF0864">
        <w:rPr>
          <w:rFonts w:ascii="Arial" w:hAnsi="Arial" w:cs="Arial"/>
          <w:sz w:val="19"/>
          <w:szCs w:val="19"/>
        </w:rPr>
        <w:t>“</w:t>
      </w:r>
      <w:r w:rsidRPr="00E13471">
        <w:rPr>
          <w:rFonts w:ascii="Arial" w:hAnsi="Arial" w:cs="Arial"/>
          <w:sz w:val="19"/>
          <w:szCs w:val="19"/>
        </w:rPr>
        <w:t>El legislador para calificar estas prohibiciones emplea dos vocablos: Inhabilidades o incompatibilidades, los cuales en un examen desprevenido podrían sugerir ideas diferentes 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 serían innecesarias los intentos y las elucubraciones y explicaciones, algunas novedosas que podrían ensayarse.</w:t>
      </w:r>
      <w:r w:rsidRPr="00AD1BAE">
        <w:rPr>
          <w:rFonts w:ascii="Arial" w:hAnsi="Arial" w:cs="Arial"/>
          <w:sz w:val="19"/>
          <w:szCs w:val="19"/>
        </w:rPr>
        <w:t xml:space="preserve"> (DÁVILA VINUEZA, Luis Guillermo. Régimen jurídico de la contratación estatal. 3ª ed. Bogotá: Legis, 2016. p. 148).</w:t>
      </w:r>
    </w:p>
    <w:p w14:paraId="154CDC6F" w14:textId="77777777" w:rsidR="00FF2F27" w:rsidRPr="00E13471" w:rsidRDefault="00FF2F27" w:rsidP="00FF2F27">
      <w:pPr>
        <w:pStyle w:val="Textonotapie"/>
        <w:ind w:firstLine="708"/>
        <w:jc w:val="both"/>
        <w:rPr>
          <w:rFonts w:ascii="Arial" w:hAnsi="Arial" w:cs="Arial"/>
          <w:sz w:val="19"/>
          <w:szCs w:val="19"/>
          <w:lang w:val="es-CO"/>
        </w:rPr>
      </w:pPr>
    </w:p>
  </w:footnote>
  <w:footnote w:id="13">
    <w:p w14:paraId="40B13BA8" w14:textId="77777777" w:rsidR="00FF2F27" w:rsidRPr="00AD1BAE" w:rsidRDefault="00FF2F27" w:rsidP="00FF2F27">
      <w:pPr>
        <w:pStyle w:val="Textonotapie"/>
        <w:ind w:firstLine="709"/>
        <w:jc w:val="both"/>
        <w:rPr>
          <w:rFonts w:ascii="Arial" w:hAnsi="Arial" w:cs="Arial"/>
          <w:sz w:val="19"/>
          <w:szCs w:val="19"/>
          <w:lang w:val="es-ES"/>
        </w:rPr>
      </w:pPr>
      <w:r w:rsidRPr="00AD1BAE">
        <w:rPr>
          <w:rStyle w:val="Refdenotaalpie"/>
          <w:rFonts w:ascii="Arial" w:hAnsi="Arial" w:cs="Arial"/>
          <w:sz w:val="19"/>
          <w:szCs w:val="19"/>
        </w:rPr>
        <w:footnoteRef/>
      </w:r>
      <w:r w:rsidRPr="00AD1BAE">
        <w:rPr>
          <w:rFonts w:ascii="Arial" w:hAnsi="Arial" w:cs="Arial"/>
          <w:sz w:val="19"/>
          <w:szCs w:val="19"/>
        </w:rPr>
        <w:t xml:space="preserve"> </w:t>
      </w:r>
      <w:r w:rsidRPr="00AD1BAE">
        <w:rPr>
          <w:rFonts w:ascii="Arial" w:hAnsi="Arial" w:cs="Arial"/>
          <w:sz w:val="19"/>
          <w:szCs w:val="19"/>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6A4A71BF" w14:textId="77777777" w:rsidR="00FF2F27" w:rsidRPr="00AD1BAE" w:rsidRDefault="00FF2F27" w:rsidP="00FF2F27">
      <w:pPr>
        <w:pStyle w:val="Textonotapie"/>
        <w:ind w:firstLine="709"/>
        <w:jc w:val="both"/>
        <w:rPr>
          <w:rFonts w:ascii="Arial" w:hAnsi="Arial" w:cs="Arial"/>
          <w:sz w:val="19"/>
          <w:szCs w:val="19"/>
          <w:lang w:val="es-ES"/>
        </w:rPr>
      </w:pPr>
    </w:p>
  </w:footnote>
  <w:footnote w:id="14">
    <w:p w14:paraId="44FAA4CC" w14:textId="77777777" w:rsidR="00FF2F27" w:rsidRPr="00AD1BAE" w:rsidRDefault="00FF2F27" w:rsidP="00FF2F27">
      <w:pPr>
        <w:pStyle w:val="Textonotapie"/>
        <w:ind w:firstLine="709"/>
        <w:jc w:val="both"/>
        <w:rPr>
          <w:rFonts w:ascii="Arial" w:hAnsi="Arial" w:cs="Arial"/>
          <w:sz w:val="19"/>
          <w:szCs w:val="19"/>
          <w:lang w:val="es-ES"/>
        </w:rPr>
      </w:pPr>
      <w:r w:rsidRPr="00AD1BAE">
        <w:rPr>
          <w:rStyle w:val="Refdenotaalpie"/>
          <w:rFonts w:ascii="Arial" w:hAnsi="Arial" w:cs="Arial"/>
          <w:sz w:val="19"/>
          <w:szCs w:val="19"/>
        </w:rPr>
        <w:footnoteRef/>
      </w:r>
      <w:r w:rsidRPr="00AD1BAE">
        <w:rPr>
          <w:rFonts w:ascii="Arial" w:hAnsi="Arial" w:cs="Arial"/>
          <w:sz w:val="19"/>
          <w:szCs w:val="19"/>
        </w:rPr>
        <w:t xml:space="preserve"> </w:t>
      </w:r>
      <w:r w:rsidRPr="00AD1BAE">
        <w:rPr>
          <w:rFonts w:ascii="Arial" w:hAnsi="Arial" w:cs="Arial"/>
          <w:sz w:val="19"/>
          <w:szCs w:val="19"/>
          <w:lang w:val="es-ES"/>
        </w:rPr>
        <w:t>Ibídem. p. 69.</w:t>
      </w:r>
    </w:p>
    <w:p w14:paraId="5E90FBFA" w14:textId="77777777" w:rsidR="00FF2F27" w:rsidRPr="00AD1BAE" w:rsidRDefault="00FF2F27" w:rsidP="00FF2F27">
      <w:pPr>
        <w:pStyle w:val="Textonotapie"/>
        <w:ind w:firstLine="709"/>
        <w:jc w:val="both"/>
        <w:rPr>
          <w:rFonts w:ascii="Arial" w:hAnsi="Arial" w:cs="Arial"/>
          <w:sz w:val="19"/>
          <w:szCs w:val="19"/>
          <w:lang w:val="es-ES"/>
        </w:rPr>
      </w:pPr>
    </w:p>
  </w:footnote>
  <w:footnote w:id="15">
    <w:p w14:paraId="17134122" w14:textId="77777777" w:rsidR="00FF2F27" w:rsidRPr="00E13471" w:rsidRDefault="00FF2F27" w:rsidP="00FF2F27">
      <w:pPr>
        <w:pStyle w:val="Textonotapie"/>
        <w:ind w:firstLine="708"/>
        <w:jc w:val="both"/>
        <w:rPr>
          <w:rFonts w:ascii="Arial" w:hAnsi="Arial" w:cs="Arial"/>
          <w:sz w:val="19"/>
          <w:szCs w:val="19"/>
        </w:rPr>
      </w:pPr>
      <w:r w:rsidRPr="00E13471">
        <w:rPr>
          <w:rStyle w:val="Refdenotaalpie"/>
          <w:rFonts w:ascii="Arial" w:hAnsi="Arial" w:cs="Arial"/>
          <w:sz w:val="19"/>
          <w:szCs w:val="19"/>
        </w:rPr>
        <w:footnoteRef/>
      </w:r>
      <w:r w:rsidRPr="00E13471">
        <w:rPr>
          <w:rFonts w:ascii="Arial" w:hAnsi="Arial" w:cs="Arial"/>
          <w:sz w:val="19"/>
          <w:szCs w:val="19"/>
        </w:rPr>
        <w:t xml:space="preserve"> Corte Constitucional. Sentencia C-415 de 1994. M.P. Eduardo Cifuentes Muñoz.</w:t>
      </w:r>
    </w:p>
    <w:p w14:paraId="58B6812E" w14:textId="77777777" w:rsidR="00FF2F27" w:rsidRPr="00E13471" w:rsidRDefault="00FF2F27" w:rsidP="00FF2F27">
      <w:pPr>
        <w:pStyle w:val="Textonotapie"/>
        <w:ind w:firstLine="708"/>
        <w:jc w:val="both"/>
        <w:rPr>
          <w:rFonts w:ascii="Arial" w:hAnsi="Arial" w:cs="Arial"/>
          <w:sz w:val="19"/>
          <w:szCs w:val="19"/>
          <w:lang w:val="es-CO"/>
        </w:rPr>
      </w:pPr>
    </w:p>
  </w:footnote>
  <w:footnote w:id="16">
    <w:p w14:paraId="6C8694A7" w14:textId="5795E952" w:rsidR="00FF2F27" w:rsidRPr="00AD1BAE" w:rsidRDefault="00FF2F27" w:rsidP="00FF2F27">
      <w:pPr>
        <w:pStyle w:val="Textonotapie"/>
        <w:ind w:firstLine="709"/>
        <w:jc w:val="both"/>
        <w:rPr>
          <w:rFonts w:ascii="Arial" w:hAnsi="Arial" w:cs="Arial"/>
          <w:color w:val="000000" w:themeColor="text1"/>
          <w:sz w:val="19"/>
          <w:szCs w:val="19"/>
        </w:rPr>
      </w:pPr>
      <w:r w:rsidRPr="00AD1BAE">
        <w:rPr>
          <w:rStyle w:val="Refdenotaalpie"/>
          <w:rFonts w:ascii="Arial" w:hAnsi="Arial" w:cs="Arial"/>
          <w:color w:val="000000" w:themeColor="text1"/>
          <w:sz w:val="19"/>
          <w:szCs w:val="19"/>
        </w:rPr>
        <w:footnoteRef/>
      </w:r>
      <w:r w:rsidRPr="00AD1BAE">
        <w:rPr>
          <w:rFonts w:ascii="Arial" w:hAnsi="Arial" w:cs="Arial"/>
          <w:color w:val="000000" w:themeColor="text1"/>
          <w:sz w:val="19"/>
          <w:szCs w:val="19"/>
        </w:rPr>
        <w:t xml:space="preserve"> CONSEJO DE ESTADO. Sala de lo contencioso administrativo. Sentencia del 12 de diciembre de 2014. Exp. 26496. C.P. Ramiro Pazos Guerrero. En similar sentido, la doctrina expresa que: </w:t>
      </w:r>
      <w:r w:rsidR="00FF0864">
        <w:rPr>
          <w:rFonts w:ascii="Arial" w:hAnsi="Arial" w:cs="Arial"/>
          <w:color w:val="000000" w:themeColor="text1"/>
          <w:sz w:val="19"/>
          <w:szCs w:val="19"/>
        </w:rPr>
        <w:t>“</w:t>
      </w:r>
      <w:r w:rsidRPr="00AD1BAE">
        <w:rPr>
          <w:rFonts w:ascii="Arial" w:hAnsi="Arial" w:cs="Arial"/>
          <w:color w:val="000000" w:themeColor="text1"/>
          <w:sz w:val="19"/>
          <w:szCs w:val="19"/>
        </w:rPr>
        <w:t>[…] las causales de inhabilidad e incompatibilidad resultan ser las que la ley de manera expresa señala, no siendo factible para las entidades estatales, crearlas en los pliegos de condiciones que elaboran (DAVILA VINUEZA, Luis Guillermo Régimen jurídico de la contratación estatal: aproximación crítica a Ley 80 de 1993. 3ª ed. Bogotá: Legis, 2016. p. 149.</w:t>
      </w:r>
    </w:p>
    <w:p w14:paraId="0201CDCC" w14:textId="77777777" w:rsidR="00FF2F27" w:rsidRPr="00AD1BAE" w:rsidRDefault="00FF2F27" w:rsidP="00FF2F27">
      <w:pPr>
        <w:pStyle w:val="Textonotapie"/>
        <w:ind w:firstLine="709"/>
        <w:jc w:val="both"/>
        <w:rPr>
          <w:rFonts w:ascii="Arial" w:hAnsi="Arial" w:cs="Arial"/>
          <w:color w:val="000000" w:themeColor="text1"/>
          <w:sz w:val="19"/>
          <w:szCs w:val="19"/>
        </w:rPr>
      </w:pPr>
    </w:p>
  </w:footnote>
  <w:footnote w:id="17">
    <w:p w14:paraId="1A40B9CB" w14:textId="77777777" w:rsidR="00FF2F27" w:rsidRDefault="00FF2F27" w:rsidP="00FF2F27">
      <w:pPr>
        <w:ind w:firstLine="709"/>
        <w:jc w:val="both"/>
        <w:rPr>
          <w:rFonts w:ascii="Arial" w:hAnsi="Arial" w:cs="Arial"/>
          <w:color w:val="000000" w:themeColor="text1"/>
          <w:sz w:val="19"/>
          <w:szCs w:val="19"/>
        </w:rPr>
      </w:pPr>
      <w:r w:rsidRPr="00AD1BAE">
        <w:rPr>
          <w:rStyle w:val="Refdenotaalpie"/>
          <w:rFonts w:ascii="Arial" w:hAnsi="Arial" w:cs="Arial"/>
          <w:color w:val="000000" w:themeColor="text1"/>
          <w:sz w:val="19"/>
          <w:szCs w:val="19"/>
        </w:rPr>
        <w:footnoteRef/>
      </w:r>
      <w:r w:rsidRPr="00AD1BAE">
        <w:rPr>
          <w:rFonts w:ascii="Arial" w:hAnsi="Arial" w:cs="Arial"/>
          <w:color w:val="000000" w:themeColor="text1"/>
          <w:sz w:val="19"/>
          <w:szCs w:val="19"/>
        </w:rPr>
        <w:t xml:space="preserve"> CONSEJO DE ESTADO. Sala de Consulta y Servicio Civil. Concepto del 29 de abril de 1998. Rad. 1097. C.P. Augusto Trejos Jaramillo. </w:t>
      </w:r>
    </w:p>
    <w:p w14:paraId="40245A72" w14:textId="77777777" w:rsidR="00FF2F27" w:rsidRPr="00AD1BAE" w:rsidRDefault="00FF2F27" w:rsidP="00FF2F27">
      <w:pPr>
        <w:ind w:firstLine="709"/>
        <w:jc w:val="both"/>
        <w:rPr>
          <w:rFonts w:ascii="Arial" w:hAnsi="Arial" w:cs="Arial"/>
          <w:color w:val="000000" w:themeColor="text1"/>
          <w:sz w:val="19"/>
          <w:szCs w:val="19"/>
        </w:rPr>
      </w:pPr>
    </w:p>
  </w:footnote>
  <w:footnote w:id="18">
    <w:p w14:paraId="4DAE8CA6" w14:textId="3BC01FB4" w:rsidR="00FF2F27" w:rsidRPr="00AD1BAE" w:rsidRDefault="00FF2F27" w:rsidP="00FF2F27">
      <w:pPr>
        <w:pStyle w:val="Textonotapie"/>
        <w:ind w:firstLine="709"/>
        <w:jc w:val="both"/>
        <w:rPr>
          <w:rFonts w:ascii="Arial" w:hAnsi="Arial" w:cs="Arial"/>
          <w:sz w:val="19"/>
          <w:szCs w:val="19"/>
        </w:rPr>
      </w:pPr>
      <w:r w:rsidRPr="00AD1BAE">
        <w:rPr>
          <w:rStyle w:val="Refdenotaalpie"/>
          <w:rFonts w:ascii="Arial" w:hAnsi="Arial" w:cs="Arial"/>
          <w:sz w:val="19"/>
          <w:szCs w:val="19"/>
        </w:rPr>
        <w:footnoteRef/>
      </w:r>
      <w:r w:rsidRPr="00AD1BAE">
        <w:rPr>
          <w:rFonts w:ascii="Arial" w:hAnsi="Arial" w:cs="Arial"/>
          <w:sz w:val="19"/>
          <w:szCs w:val="19"/>
        </w:rPr>
        <w:t xml:space="preserve"> Código Civil: </w:t>
      </w:r>
      <w:r w:rsidR="00FF0864">
        <w:rPr>
          <w:rFonts w:ascii="Arial" w:hAnsi="Arial" w:cs="Arial"/>
          <w:sz w:val="19"/>
          <w:szCs w:val="19"/>
        </w:rPr>
        <w:t>“</w:t>
      </w:r>
      <w:r w:rsidRPr="00AD1BAE">
        <w:rPr>
          <w:rFonts w:ascii="Arial" w:hAnsi="Arial" w:cs="Arial"/>
          <w:sz w:val="19"/>
          <w:szCs w:val="19"/>
        </w:rPr>
        <w:t>Artículo 33. Palabras relacionadas con las personas. La palabra persona en su sentido general se aplica(rá) a la especie humana, sin distinción de sexo</w:t>
      </w:r>
      <w:r w:rsidR="00FF0864">
        <w:rPr>
          <w:rFonts w:ascii="Arial" w:hAnsi="Arial" w:cs="Arial"/>
          <w:sz w:val="19"/>
          <w:szCs w:val="19"/>
        </w:rPr>
        <w:t>”</w:t>
      </w:r>
      <w:r w:rsidRPr="00AD1BAE">
        <w:rPr>
          <w:rFonts w:ascii="Arial" w:hAnsi="Arial" w:cs="Arial"/>
          <w:sz w:val="19"/>
          <w:szCs w:val="19"/>
        </w:rPr>
        <w:t>.</w:t>
      </w:r>
    </w:p>
    <w:p w14:paraId="3C568FDA" w14:textId="77777777" w:rsidR="00FF2F27" w:rsidRPr="00AD1BAE" w:rsidRDefault="00FF2F27" w:rsidP="00FF2F27">
      <w:pPr>
        <w:pStyle w:val="Textonotapie"/>
        <w:ind w:firstLine="709"/>
        <w:jc w:val="both"/>
        <w:rPr>
          <w:rFonts w:ascii="Arial" w:hAnsi="Arial" w:cs="Arial"/>
          <w:sz w:val="19"/>
          <w:szCs w:val="19"/>
          <w:lang w:val="es-CO"/>
        </w:rPr>
      </w:pPr>
    </w:p>
  </w:footnote>
  <w:footnote w:id="19">
    <w:p w14:paraId="5FD965FA" w14:textId="416A2053" w:rsidR="00FF2F27" w:rsidRPr="00AD1BAE" w:rsidRDefault="00FF2F27" w:rsidP="00FF2F27">
      <w:pPr>
        <w:pStyle w:val="Textonotapie"/>
        <w:ind w:firstLine="709"/>
        <w:jc w:val="both"/>
        <w:rPr>
          <w:rFonts w:ascii="Arial" w:hAnsi="Arial" w:cs="Arial"/>
          <w:sz w:val="19"/>
          <w:szCs w:val="19"/>
        </w:rPr>
      </w:pPr>
      <w:r w:rsidRPr="00AD1BAE">
        <w:rPr>
          <w:rStyle w:val="Refdenotaalpie"/>
          <w:rFonts w:ascii="Arial" w:hAnsi="Arial" w:cs="Arial"/>
          <w:sz w:val="19"/>
          <w:szCs w:val="19"/>
        </w:rPr>
        <w:footnoteRef/>
      </w:r>
      <w:r w:rsidRPr="00AD1BAE">
        <w:rPr>
          <w:rFonts w:ascii="Arial" w:hAnsi="Arial" w:cs="Arial"/>
          <w:sz w:val="19"/>
          <w:szCs w:val="19"/>
        </w:rPr>
        <w:t xml:space="preserve">  Constitución Política de Colombia: </w:t>
      </w:r>
      <w:r w:rsidR="00FF0864">
        <w:rPr>
          <w:rFonts w:ascii="Arial" w:hAnsi="Arial" w:cs="Arial"/>
          <w:sz w:val="19"/>
          <w:szCs w:val="19"/>
        </w:rPr>
        <w:t>“</w:t>
      </w:r>
      <w:r w:rsidRPr="00AD1BAE">
        <w:rPr>
          <w:rFonts w:ascii="Arial" w:hAnsi="Arial" w:cs="Arial"/>
          <w:sz w:val="19"/>
          <w:szCs w:val="19"/>
        </w:rPr>
        <w:t>Artículo 42. La familia es el núcleo fundamental de la sociedad. Se constituye por vínculos naturales o jurídicos, por la decisión libre de un hombre y una mujer de contraer matrimonio o por la voluntad responsable de conformarla</w:t>
      </w:r>
      <w:r w:rsidR="00FF0864">
        <w:rPr>
          <w:rFonts w:ascii="Arial" w:hAnsi="Arial" w:cs="Arial"/>
          <w:sz w:val="19"/>
          <w:szCs w:val="19"/>
        </w:rPr>
        <w:t>”</w:t>
      </w:r>
      <w:r w:rsidRPr="00AD1BAE">
        <w:rPr>
          <w:rFonts w:ascii="Arial" w:hAnsi="Arial" w:cs="Arial"/>
          <w:sz w:val="19"/>
          <w:szCs w:val="19"/>
        </w:rPr>
        <w:t>.</w:t>
      </w:r>
    </w:p>
    <w:p w14:paraId="322A021C" w14:textId="77777777" w:rsidR="00FF2F27" w:rsidRPr="00AD1BAE" w:rsidRDefault="00FF2F27" w:rsidP="00FF2F27">
      <w:pPr>
        <w:pStyle w:val="Textonotapie"/>
        <w:ind w:firstLine="709"/>
        <w:jc w:val="both"/>
        <w:rPr>
          <w:rFonts w:ascii="Arial" w:hAnsi="Arial" w:cs="Arial"/>
          <w:sz w:val="19"/>
          <w:szCs w:val="19"/>
          <w:lang w:val="es-CO"/>
        </w:rPr>
      </w:pPr>
    </w:p>
  </w:footnote>
  <w:footnote w:id="20">
    <w:p w14:paraId="06FF331E" w14:textId="3181E6DF" w:rsidR="00FF2F27" w:rsidRDefault="00FF2F27" w:rsidP="00FF2F27">
      <w:pPr>
        <w:pStyle w:val="NormalWeb"/>
        <w:spacing w:before="0" w:beforeAutospacing="0" w:after="0" w:afterAutospacing="0"/>
        <w:ind w:firstLine="708"/>
        <w:jc w:val="both"/>
        <w:rPr>
          <w:rFonts w:ascii="Arial" w:hAnsi="Arial" w:cs="Arial"/>
          <w:color w:val="000000"/>
          <w:sz w:val="19"/>
          <w:szCs w:val="19"/>
        </w:rPr>
      </w:pPr>
      <w:r w:rsidRPr="00AD1BAE">
        <w:rPr>
          <w:rStyle w:val="Refdenotaalpie"/>
          <w:rFonts w:ascii="Arial" w:hAnsi="Arial" w:cs="Arial"/>
          <w:sz w:val="19"/>
          <w:szCs w:val="19"/>
        </w:rPr>
        <w:footnoteRef/>
      </w:r>
      <w:r w:rsidRPr="00AD1BAE">
        <w:rPr>
          <w:rFonts w:ascii="Arial" w:hAnsi="Arial" w:cs="Arial"/>
          <w:sz w:val="19"/>
          <w:szCs w:val="19"/>
        </w:rPr>
        <w:t xml:space="preserve"> En el marco del procedimiento administrativo general, previsto en los artículos 34 y ss. del Código de Procedimiento Administrativo y de lo Contencioso Administrativo, el artículo 40 de dicha norma señala que: </w:t>
      </w:r>
      <w:r w:rsidR="00FF0864">
        <w:rPr>
          <w:rFonts w:ascii="Arial" w:hAnsi="Arial" w:cs="Arial"/>
          <w:sz w:val="19"/>
          <w:szCs w:val="19"/>
        </w:rPr>
        <w:t>“</w:t>
      </w:r>
      <w:r w:rsidRPr="00AD1BAE">
        <w:rPr>
          <w:rFonts w:ascii="Arial" w:hAnsi="Arial" w:cs="Arial"/>
          <w:color w:val="000000"/>
          <w:sz w:val="19"/>
          <w:szCs w:val="19"/>
        </w:rPr>
        <w:t>Serán admisibles todos los medios de prueba señalados en el Código de Procedimiento Civil</w:t>
      </w:r>
      <w:r w:rsidR="00FF0864">
        <w:rPr>
          <w:rFonts w:ascii="Arial" w:hAnsi="Arial" w:cs="Arial"/>
          <w:sz w:val="19"/>
          <w:szCs w:val="19"/>
        </w:rPr>
        <w:t>”</w:t>
      </w:r>
      <w:r w:rsidRPr="00AD1BAE">
        <w:rPr>
          <w:rFonts w:ascii="Arial" w:hAnsi="Arial" w:cs="Arial"/>
          <w:color w:val="000000"/>
          <w:sz w:val="19"/>
          <w:szCs w:val="19"/>
        </w:rPr>
        <w:t xml:space="preserve">. Al respecto, la Ley 1564 de 2012, que subrogó el Código de Procedimiento Civil adoptando el Código General del Proceso, señala en su artículo 165 que: </w:t>
      </w:r>
      <w:r w:rsidR="00FF0864">
        <w:rPr>
          <w:rFonts w:ascii="Arial" w:hAnsi="Arial" w:cs="Arial"/>
          <w:sz w:val="19"/>
          <w:szCs w:val="19"/>
        </w:rPr>
        <w:t>“</w:t>
      </w:r>
      <w:r w:rsidRPr="00AD1BAE">
        <w:rPr>
          <w:rFonts w:ascii="Arial" w:hAnsi="Arial" w:cs="Arial"/>
          <w:color w:val="000000"/>
          <w:sz w:val="19"/>
          <w:szCs w:val="19"/>
        </w:rPr>
        <w:t>Son medios de prueba la declaración de parte, la confesión, el juramento, el testimonio de terceros, el dictamen pericial, la inspección judicial, los documentos, los indicios, los informes y cualesquiera otros medios que sean útiles para la formación del convencimiento del juez. El juez practicará las pruebas no previstas en este código de acuerdo con las disposiciones que regulen medios semejantes o según su prudente juicio, preservando los principios y garantías constitucionales</w:t>
      </w:r>
      <w:r w:rsidR="00FF0864">
        <w:rPr>
          <w:rFonts w:ascii="Arial" w:hAnsi="Arial" w:cs="Arial"/>
          <w:sz w:val="19"/>
          <w:szCs w:val="19"/>
        </w:rPr>
        <w:t>”</w:t>
      </w:r>
      <w:r w:rsidRPr="00AD1BAE">
        <w:rPr>
          <w:rFonts w:ascii="Arial" w:hAnsi="Arial" w:cs="Arial"/>
          <w:color w:val="000000"/>
          <w:sz w:val="19"/>
          <w:szCs w:val="19"/>
        </w:rPr>
        <w:t>.</w:t>
      </w:r>
      <w:r>
        <w:rPr>
          <w:rFonts w:ascii="Arial" w:hAnsi="Arial" w:cs="Arial"/>
          <w:color w:val="000000"/>
          <w:sz w:val="19"/>
          <w:szCs w:val="19"/>
        </w:rPr>
        <w:t xml:space="preserve"> </w:t>
      </w:r>
    </w:p>
    <w:p w14:paraId="0758CD16" w14:textId="36EE7D3E" w:rsidR="00FF2F27" w:rsidRPr="00B27C64" w:rsidRDefault="00FF2F27" w:rsidP="00FF2F27">
      <w:pPr>
        <w:pStyle w:val="NormalWeb"/>
        <w:spacing w:before="0" w:beforeAutospacing="0" w:after="0" w:afterAutospacing="0"/>
        <w:ind w:firstLine="708"/>
        <w:jc w:val="both"/>
        <w:rPr>
          <w:rFonts w:ascii="Arial" w:hAnsi="Arial" w:cs="Arial"/>
          <w:sz w:val="19"/>
          <w:szCs w:val="19"/>
        </w:rPr>
      </w:pPr>
      <w:r w:rsidRPr="00B27C64">
        <w:rPr>
          <w:rFonts w:ascii="Arial" w:hAnsi="Arial" w:cs="Arial"/>
          <w:color w:val="000000"/>
          <w:sz w:val="19"/>
          <w:szCs w:val="19"/>
        </w:rPr>
        <w:t xml:space="preserve">Es posible acudir a las disposiciones anteriores </w:t>
      </w:r>
      <w:r w:rsidRPr="00EF5E01">
        <w:rPr>
          <w:rFonts w:ascii="Arial" w:hAnsi="Arial" w:cs="Arial"/>
          <w:color w:val="000000"/>
          <w:sz w:val="19"/>
          <w:szCs w:val="19"/>
        </w:rPr>
        <w:t xml:space="preserve">en relación con los procedimientos administrativos de selección, en virtud de la remisión que realiza el artículo 77 de la Ley 80 de 1993: </w:t>
      </w:r>
      <w:r w:rsidR="00FF0864">
        <w:rPr>
          <w:rFonts w:ascii="Arial" w:hAnsi="Arial" w:cs="Arial"/>
          <w:color w:val="000000"/>
          <w:sz w:val="19"/>
          <w:szCs w:val="19"/>
        </w:rPr>
        <w:t>“</w:t>
      </w:r>
      <w:r w:rsidRPr="00E13471">
        <w:rPr>
          <w:rStyle w:val="Textoennegrita"/>
          <w:rFonts w:ascii="Arial" w:hAnsi="Arial" w:cs="Arial"/>
          <w:color w:val="000000"/>
          <w:sz w:val="19"/>
          <w:szCs w:val="19"/>
        </w:rPr>
        <w:t>Artículo 77. De la normatividad aplicable en las actuaciones administrativas.</w:t>
      </w:r>
      <w:r w:rsidRPr="00E13471">
        <w:rPr>
          <w:rFonts w:ascii="Arial" w:hAnsi="Arial" w:cs="Arial"/>
          <w:color w:val="000000"/>
          <w:sz w:val="19"/>
          <w:szCs w:val="19"/>
        </w:rPr>
        <w:t>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w:t>
      </w:r>
      <w:r w:rsidR="00FF0864">
        <w:rPr>
          <w:rFonts w:ascii="Arial" w:hAnsi="Arial" w:cs="Arial"/>
          <w:color w:val="000000"/>
          <w:sz w:val="19"/>
          <w:szCs w:val="19"/>
        </w:rPr>
        <w:t>”</w:t>
      </w:r>
      <w:r w:rsidRPr="00E13471">
        <w:rPr>
          <w:rFonts w:ascii="Arial" w:hAnsi="Arial" w:cs="Arial"/>
          <w:color w:val="000000"/>
          <w:sz w:val="19"/>
          <w:szCs w:val="19"/>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7A15B" w14:textId="77777777" w:rsidR="00900AD7" w:rsidRDefault="00000000">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712944D" wp14:editId="6ECFF130">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A64A683" wp14:editId="4254D4F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125E49F" w14:textId="77777777" w:rsidR="00900AD7" w:rsidRDefault="00900AD7">
    <w:pPr>
      <w:pStyle w:val="Encabezado"/>
    </w:pPr>
  </w:p>
  <w:p w14:paraId="75C062F4" w14:textId="77777777" w:rsidR="00900AD7" w:rsidRDefault="00900AD7" w:rsidP="004A305D">
    <w:pPr>
      <w:spacing w:after="0"/>
      <w:rPr>
        <w:rFonts w:ascii="Verdana" w:hAnsi="Verdana"/>
        <w:b/>
        <w:bCs/>
      </w:rPr>
    </w:pPr>
  </w:p>
  <w:p w14:paraId="70A11782" w14:textId="77777777" w:rsidR="00900AD7" w:rsidRPr="004A305D" w:rsidRDefault="00900AD7" w:rsidP="00B01B1A">
    <w:pPr>
      <w:spacing w:after="0" w:line="120" w:lineRule="auto"/>
      <w:rPr>
        <w:rFonts w:ascii="Century Gothic" w:eastAsia="Geo" w:hAnsi="Century Gothic" w:cs="Geo"/>
        <w:sz w:val="16"/>
        <w:szCs w:val="16"/>
        <w:lang w:eastAsia="es-CO"/>
      </w:rPr>
    </w:pPr>
  </w:p>
  <w:p w14:paraId="6F0FD394" w14:textId="77777777" w:rsidR="00900AD7" w:rsidRDefault="00900AD7"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217695E"/>
    <w:multiLevelType w:val="hybridMultilevel"/>
    <w:tmpl w:val="C88A09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2CD015C"/>
    <w:multiLevelType w:val="hybridMultilevel"/>
    <w:tmpl w:val="CA6C120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87E4E75"/>
    <w:multiLevelType w:val="hybridMultilevel"/>
    <w:tmpl w:val="3DF0A11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12C5AB7"/>
    <w:multiLevelType w:val="hybridMultilevel"/>
    <w:tmpl w:val="FA1E00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1CE120B"/>
    <w:multiLevelType w:val="hybridMultilevel"/>
    <w:tmpl w:val="CFF81CA4"/>
    <w:lvl w:ilvl="0" w:tplc="3B7C8F10">
      <w:start w:val="1"/>
      <w:numFmt w:val="upperLetter"/>
      <w:lvlText w:val="%1."/>
      <w:lvlJc w:val="left"/>
      <w:pPr>
        <w:ind w:left="720" w:hanging="360"/>
      </w:pPr>
      <w:rPr>
        <w:color w:val="auto"/>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8" w15:restartNumberingAfterBreak="0">
    <w:nsid w:val="248962D6"/>
    <w:multiLevelType w:val="hybridMultilevel"/>
    <w:tmpl w:val="0E7C03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59D254B"/>
    <w:multiLevelType w:val="hybridMultilevel"/>
    <w:tmpl w:val="BFAA7B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29C4F3E"/>
    <w:multiLevelType w:val="hybridMultilevel"/>
    <w:tmpl w:val="FE00E8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2EC4D2B"/>
    <w:multiLevelType w:val="hybridMultilevel"/>
    <w:tmpl w:val="79E4955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A57582E"/>
    <w:multiLevelType w:val="hybridMultilevel"/>
    <w:tmpl w:val="DFAC8260"/>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15" w15:restartNumberingAfterBreak="0">
    <w:nsid w:val="3D120DD9"/>
    <w:multiLevelType w:val="hybridMultilevel"/>
    <w:tmpl w:val="165AC54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6" w15:restartNumberingAfterBreak="0">
    <w:nsid w:val="4103438C"/>
    <w:multiLevelType w:val="hybridMultilevel"/>
    <w:tmpl w:val="210422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415062BA"/>
    <w:multiLevelType w:val="hybridMultilevel"/>
    <w:tmpl w:val="A85AF8A2"/>
    <w:lvl w:ilvl="0" w:tplc="0096BF10">
      <w:numFmt w:val="bullet"/>
      <w:lvlText w:val=""/>
      <w:lvlJc w:val="left"/>
      <w:pPr>
        <w:ind w:left="817" w:hanging="357"/>
      </w:pPr>
      <w:rPr>
        <w:rFonts w:ascii="Symbol" w:eastAsia="Symbol" w:hAnsi="Symbol" w:cs="Symbol" w:hint="default"/>
        <w:b w:val="0"/>
        <w:bCs w:val="0"/>
        <w:i w:val="0"/>
        <w:iCs w:val="0"/>
        <w:spacing w:val="0"/>
        <w:w w:val="99"/>
        <w:sz w:val="22"/>
        <w:szCs w:val="22"/>
        <w:lang w:val="es-ES" w:eastAsia="en-US" w:bidi="ar-SA"/>
      </w:rPr>
    </w:lvl>
    <w:lvl w:ilvl="1" w:tplc="5534388E">
      <w:numFmt w:val="bullet"/>
      <w:lvlText w:val="•"/>
      <w:lvlJc w:val="left"/>
      <w:pPr>
        <w:ind w:left="1628" w:hanging="357"/>
      </w:pPr>
      <w:rPr>
        <w:rFonts w:hint="default"/>
        <w:lang w:val="es-ES" w:eastAsia="en-US" w:bidi="ar-SA"/>
      </w:rPr>
    </w:lvl>
    <w:lvl w:ilvl="2" w:tplc="0D9422CE">
      <w:numFmt w:val="bullet"/>
      <w:lvlText w:val="•"/>
      <w:lvlJc w:val="left"/>
      <w:pPr>
        <w:ind w:left="2436" w:hanging="357"/>
      </w:pPr>
      <w:rPr>
        <w:rFonts w:hint="default"/>
        <w:lang w:val="es-ES" w:eastAsia="en-US" w:bidi="ar-SA"/>
      </w:rPr>
    </w:lvl>
    <w:lvl w:ilvl="3" w:tplc="C212D4A8">
      <w:numFmt w:val="bullet"/>
      <w:lvlText w:val="•"/>
      <w:lvlJc w:val="left"/>
      <w:pPr>
        <w:ind w:left="3245" w:hanging="357"/>
      </w:pPr>
      <w:rPr>
        <w:rFonts w:hint="default"/>
        <w:lang w:val="es-ES" w:eastAsia="en-US" w:bidi="ar-SA"/>
      </w:rPr>
    </w:lvl>
    <w:lvl w:ilvl="4" w:tplc="A8DC92BE">
      <w:numFmt w:val="bullet"/>
      <w:lvlText w:val="•"/>
      <w:lvlJc w:val="left"/>
      <w:pPr>
        <w:ind w:left="4053" w:hanging="357"/>
      </w:pPr>
      <w:rPr>
        <w:rFonts w:hint="default"/>
        <w:lang w:val="es-ES" w:eastAsia="en-US" w:bidi="ar-SA"/>
      </w:rPr>
    </w:lvl>
    <w:lvl w:ilvl="5" w:tplc="E76A738A">
      <w:numFmt w:val="bullet"/>
      <w:lvlText w:val="•"/>
      <w:lvlJc w:val="left"/>
      <w:pPr>
        <w:ind w:left="4862" w:hanging="357"/>
      </w:pPr>
      <w:rPr>
        <w:rFonts w:hint="default"/>
        <w:lang w:val="es-ES" w:eastAsia="en-US" w:bidi="ar-SA"/>
      </w:rPr>
    </w:lvl>
    <w:lvl w:ilvl="6" w:tplc="071C3D08">
      <w:numFmt w:val="bullet"/>
      <w:lvlText w:val="•"/>
      <w:lvlJc w:val="left"/>
      <w:pPr>
        <w:ind w:left="5670" w:hanging="357"/>
      </w:pPr>
      <w:rPr>
        <w:rFonts w:hint="default"/>
        <w:lang w:val="es-ES" w:eastAsia="en-US" w:bidi="ar-SA"/>
      </w:rPr>
    </w:lvl>
    <w:lvl w:ilvl="7" w:tplc="B8426594">
      <w:numFmt w:val="bullet"/>
      <w:lvlText w:val="•"/>
      <w:lvlJc w:val="left"/>
      <w:pPr>
        <w:ind w:left="6478" w:hanging="357"/>
      </w:pPr>
      <w:rPr>
        <w:rFonts w:hint="default"/>
        <w:lang w:val="es-ES" w:eastAsia="en-US" w:bidi="ar-SA"/>
      </w:rPr>
    </w:lvl>
    <w:lvl w:ilvl="8" w:tplc="3E68AD10">
      <w:numFmt w:val="bullet"/>
      <w:lvlText w:val="•"/>
      <w:lvlJc w:val="left"/>
      <w:pPr>
        <w:ind w:left="7287" w:hanging="357"/>
      </w:pPr>
      <w:rPr>
        <w:rFonts w:hint="default"/>
        <w:lang w:val="es-ES" w:eastAsia="en-US" w:bidi="ar-SA"/>
      </w:rPr>
    </w:lvl>
  </w:abstractNum>
  <w:abstractNum w:abstractNumId="18" w15:restartNumberingAfterBreak="0">
    <w:nsid w:val="416E6210"/>
    <w:multiLevelType w:val="hybridMultilevel"/>
    <w:tmpl w:val="A8A42AFA"/>
    <w:lvl w:ilvl="0" w:tplc="4EB250BC">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433B6DF3"/>
    <w:multiLevelType w:val="hybridMultilevel"/>
    <w:tmpl w:val="9E023FA2"/>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0" w15:restartNumberingAfterBreak="0">
    <w:nsid w:val="436A69A8"/>
    <w:multiLevelType w:val="hybridMultilevel"/>
    <w:tmpl w:val="5FD871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A3F27CD"/>
    <w:multiLevelType w:val="hybridMultilevel"/>
    <w:tmpl w:val="0032FC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A74137A"/>
    <w:multiLevelType w:val="hybridMultilevel"/>
    <w:tmpl w:val="B010EF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C6D0E2E"/>
    <w:multiLevelType w:val="hybridMultilevel"/>
    <w:tmpl w:val="5C242F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9081512"/>
    <w:multiLevelType w:val="hybridMultilevel"/>
    <w:tmpl w:val="BFF23E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F0267CD"/>
    <w:multiLevelType w:val="hybridMultilevel"/>
    <w:tmpl w:val="AB8CC69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707922B4"/>
    <w:multiLevelType w:val="hybridMultilevel"/>
    <w:tmpl w:val="FC8046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70E13D05"/>
    <w:multiLevelType w:val="hybridMultilevel"/>
    <w:tmpl w:val="BE042D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3473322"/>
    <w:multiLevelType w:val="multilevel"/>
    <w:tmpl w:val="7012F0E6"/>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ascii="Arial" w:hAnsi="Arial" w:cs="Arial" w:hint="default"/>
        <w:b/>
        <w:bCs/>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35B30FB"/>
    <w:multiLevelType w:val="hybridMultilevel"/>
    <w:tmpl w:val="8B20B1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97010639">
    <w:abstractNumId w:val="0"/>
  </w:num>
  <w:num w:numId="2" w16cid:durableId="271860312">
    <w:abstractNumId w:val="28"/>
  </w:num>
  <w:num w:numId="3" w16cid:durableId="1595672007">
    <w:abstractNumId w:val="21"/>
  </w:num>
  <w:num w:numId="4" w16cid:durableId="1944533281">
    <w:abstractNumId w:val="11"/>
  </w:num>
  <w:num w:numId="5" w16cid:durableId="2081175712">
    <w:abstractNumId w:val="6"/>
  </w:num>
  <w:num w:numId="6" w16cid:durableId="1584220838">
    <w:abstractNumId w:val="1"/>
  </w:num>
  <w:num w:numId="7" w16cid:durableId="1890258578">
    <w:abstractNumId w:val="18"/>
  </w:num>
  <w:num w:numId="8" w16cid:durableId="1250309436">
    <w:abstractNumId w:val="30"/>
  </w:num>
  <w:num w:numId="9" w16cid:durableId="170149205">
    <w:abstractNumId w:val="4"/>
  </w:num>
  <w:num w:numId="10" w16cid:durableId="121771703">
    <w:abstractNumId w:val="17"/>
  </w:num>
  <w:num w:numId="11" w16cid:durableId="679089576">
    <w:abstractNumId w:val="13"/>
  </w:num>
  <w:num w:numId="12" w16cid:durableId="1597637299">
    <w:abstractNumId w:val="14"/>
  </w:num>
  <w:num w:numId="13" w16cid:durableId="1197356270">
    <w:abstractNumId w:val="19"/>
  </w:num>
  <w:num w:numId="14" w16cid:durableId="1422145251">
    <w:abstractNumId w:val="29"/>
  </w:num>
  <w:num w:numId="15" w16cid:durableId="868641893">
    <w:abstractNumId w:val="25"/>
  </w:num>
  <w:num w:numId="16" w16cid:durableId="20259378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92209491">
    <w:abstractNumId w:val="10"/>
  </w:num>
  <w:num w:numId="18" w16cid:durableId="1933977330">
    <w:abstractNumId w:val="7"/>
  </w:num>
  <w:num w:numId="19" w16cid:durableId="597564065">
    <w:abstractNumId w:val="16"/>
  </w:num>
  <w:num w:numId="20" w16cid:durableId="1058745687">
    <w:abstractNumId w:val="9"/>
  </w:num>
  <w:num w:numId="21" w16cid:durableId="1228223862">
    <w:abstractNumId w:val="8"/>
  </w:num>
  <w:num w:numId="22" w16cid:durableId="606429298">
    <w:abstractNumId w:val="20"/>
  </w:num>
  <w:num w:numId="23" w16cid:durableId="19822139">
    <w:abstractNumId w:val="2"/>
  </w:num>
  <w:num w:numId="24" w16cid:durableId="66534376">
    <w:abstractNumId w:val="27"/>
  </w:num>
  <w:num w:numId="25" w16cid:durableId="1721511704">
    <w:abstractNumId w:val="23"/>
  </w:num>
  <w:num w:numId="26" w16cid:durableId="1912307450">
    <w:abstractNumId w:val="5"/>
  </w:num>
  <w:num w:numId="27" w16cid:durableId="1147167869">
    <w:abstractNumId w:val="24"/>
  </w:num>
  <w:num w:numId="28" w16cid:durableId="295986491">
    <w:abstractNumId w:val="22"/>
  </w:num>
  <w:num w:numId="29" w16cid:durableId="114105932">
    <w:abstractNumId w:val="26"/>
  </w:num>
  <w:num w:numId="30" w16cid:durableId="1953243012">
    <w:abstractNumId w:val="15"/>
  </w:num>
  <w:num w:numId="31" w16cid:durableId="1516311792">
    <w:abstractNumId w:val="3"/>
  </w:num>
  <w:num w:numId="32" w16cid:durableId="29310147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4A5"/>
    <w:rsid w:val="0007723D"/>
    <w:rsid w:val="00092DB6"/>
    <w:rsid w:val="000E0D00"/>
    <w:rsid w:val="000E2148"/>
    <w:rsid w:val="000E561E"/>
    <w:rsid w:val="000E7508"/>
    <w:rsid w:val="00146DA7"/>
    <w:rsid w:val="001965BE"/>
    <w:rsid w:val="001F7599"/>
    <w:rsid w:val="00207A26"/>
    <w:rsid w:val="002A7290"/>
    <w:rsid w:val="002D2553"/>
    <w:rsid w:val="00312E96"/>
    <w:rsid w:val="00470E48"/>
    <w:rsid w:val="0050012F"/>
    <w:rsid w:val="00553F39"/>
    <w:rsid w:val="00555176"/>
    <w:rsid w:val="00573EBC"/>
    <w:rsid w:val="00580642"/>
    <w:rsid w:val="005A5AFA"/>
    <w:rsid w:val="005F6633"/>
    <w:rsid w:val="005F78DC"/>
    <w:rsid w:val="0060538B"/>
    <w:rsid w:val="00620BE1"/>
    <w:rsid w:val="006649D6"/>
    <w:rsid w:val="006D24E7"/>
    <w:rsid w:val="006D51B2"/>
    <w:rsid w:val="006F77A6"/>
    <w:rsid w:val="00763F15"/>
    <w:rsid w:val="00782C22"/>
    <w:rsid w:val="007D5FE7"/>
    <w:rsid w:val="007E0D51"/>
    <w:rsid w:val="00893CDE"/>
    <w:rsid w:val="00900AD7"/>
    <w:rsid w:val="0090156A"/>
    <w:rsid w:val="00921DEC"/>
    <w:rsid w:val="009356F9"/>
    <w:rsid w:val="00942844"/>
    <w:rsid w:val="00995256"/>
    <w:rsid w:val="009A2511"/>
    <w:rsid w:val="009C4900"/>
    <w:rsid w:val="009F4B33"/>
    <w:rsid w:val="009F5FB8"/>
    <w:rsid w:val="00A26C76"/>
    <w:rsid w:val="00A33752"/>
    <w:rsid w:val="00A43BD3"/>
    <w:rsid w:val="00A62278"/>
    <w:rsid w:val="00A96BF0"/>
    <w:rsid w:val="00A97EC1"/>
    <w:rsid w:val="00A97F09"/>
    <w:rsid w:val="00AB4464"/>
    <w:rsid w:val="00AB64A5"/>
    <w:rsid w:val="00AC79D3"/>
    <w:rsid w:val="00AD31C9"/>
    <w:rsid w:val="00BE2B78"/>
    <w:rsid w:val="00C00C41"/>
    <w:rsid w:val="00C01E35"/>
    <w:rsid w:val="00C04209"/>
    <w:rsid w:val="00C15AAE"/>
    <w:rsid w:val="00CC1D5B"/>
    <w:rsid w:val="00CD258B"/>
    <w:rsid w:val="00CF7418"/>
    <w:rsid w:val="00D245EF"/>
    <w:rsid w:val="00D40943"/>
    <w:rsid w:val="00D74E93"/>
    <w:rsid w:val="00E07453"/>
    <w:rsid w:val="00E100F3"/>
    <w:rsid w:val="00E51C9B"/>
    <w:rsid w:val="00E5732A"/>
    <w:rsid w:val="00E61733"/>
    <w:rsid w:val="00EE0CCE"/>
    <w:rsid w:val="00F02EBB"/>
    <w:rsid w:val="00F13E08"/>
    <w:rsid w:val="00F14BCA"/>
    <w:rsid w:val="00F67849"/>
    <w:rsid w:val="00FB6216"/>
    <w:rsid w:val="00FC3EC1"/>
    <w:rsid w:val="00FE6C59"/>
    <w:rsid w:val="00FF0864"/>
    <w:rsid w:val="00FF2F2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55A03"/>
  <w15:chartTrackingRefBased/>
  <w15:docId w15:val="{D42B937D-F978-4636-9336-C4420024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4A5"/>
    <w:rPr>
      <w:kern w:val="0"/>
      <w14:ligatures w14:val="none"/>
    </w:rPr>
  </w:style>
  <w:style w:type="paragraph" w:styleId="Ttulo1">
    <w:name w:val="heading 1"/>
    <w:basedOn w:val="Normal"/>
    <w:next w:val="Normal"/>
    <w:link w:val="Ttulo1Car"/>
    <w:uiPriority w:val="9"/>
    <w:qFormat/>
    <w:rsid w:val="00AB64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B64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B64A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B64A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B64A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B64A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B64A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B64A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B64A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B64A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B64A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B64A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B64A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B64A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B64A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B64A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B64A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B64A5"/>
    <w:rPr>
      <w:rFonts w:eastAsiaTheme="majorEastAsia" w:cstheme="majorBidi"/>
      <w:color w:val="272727" w:themeColor="text1" w:themeTint="D8"/>
    </w:rPr>
  </w:style>
  <w:style w:type="paragraph" w:styleId="Ttulo">
    <w:name w:val="Title"/>
    <w:basedOn w:val="Normal"/>
    <w:next w:val="Normal"/>
    <w:link w:val="TtuloCar"/>
    <w:uiPriority w:val="10"/>
    <w:qFormat/>
    <w:rsid w:val="00AB64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B64A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B64A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B64A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B64A5"/>
    <w:pPr>
      <w:spacing w:before="160"/>
      <w:jc w:val="center"/>
    </w:pPr>
    <w:rPr>
      <w:i/>
      <w:iCs/>
      <w:color w:val="404040" w:themeColor="text1" w:themeTint="BF"/>
    </w:rPr>
  </w:style>
  <w:style w:type="character" w:customStyle="1" w:styleId="CitaCar">
    <w:name w:val="Cita Car"/>
    <w:basedOn w:val="Fuentedeprrafopredeter"/>
    <w:link w:val="Cita"/>
    <w:uiPriority w:val="29"/>
    <w:rsid w:val="00AB64A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AB64A5"/>
    <w:pPr>
      <w:ind w:left="720"/>
      <w:contextualSpacing/>
    </w:pPr>
  </w:style>
  <w:style w:type="character" w:styleId="nfasisintenso">
    <w:name w:val="Intense Emphasis"/>
    <w:basedOn w:val="Fuentedeprrafopredeter"/>
    <w:uiPriority w:val="21"/>
    <w:qFormat/>
    <w:rsid w:val="00AB64A5"/>
    <w:rPr>
      <w:i/>
      <w:iCs/>
      <w:color w:val="0F4761" w:themeColor="accent1" w:themeShade="BF"/>
    </w:rPr>
  </w:style>
  <w:style w:type="paragraph" w:styleId="Citadestacada">
    <w:name w:val="Intense Quote"/>
    <w:basedOn w:val="Normal"/>
    <w:next w:val="Normal"/>
    <w:link w:val="CitadestacadaCar"/>
    <w:uiPriority w:val="30"/>
    <w:qFormat/>
    <w:rsid w:val="00AB64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B64A5"/>
    <w:rPr>
      <w:i/>
      <w:iCs/>
      <w:color w:val="0F4761" w:themeColor="accent1" w:themeShade="BF"/>
    </w:rPr>
  </w:style>
  <w:style w:type="character" w:styleId="Referenciaintensa">
    <w:name w:val="Intense Reference"/>
    <w:basedOn w:val="Fuentedeprrafopredeter"/>
    <w:uiPriority w:val="32"/>
    <w:qFormat/>
    <w:rsid w:val="00AB64A5"/>
    <w:rPr>
      <w:b/>
      <w:bCs/>
      <w:smallCaps/>
      <w:color w:val="0F4761" w:themeColor="accent1" w:themeShade="BF"/>
      <w:spacing w:val="5"/>
    </w:rPr>
  </w:style>
  <w:style w:type="paragraph" w:styleId="Encabezado">
    <w:name w:val="header"/>
    <w:basedOn w:val="Normal"/>
    <w:link w:val="EncabezadoCar"/>
    <w:uiPriority w:val="99"/>
    <w:unhideWhenUsed/>
    <w:rsid w:val="00AB64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64A5"/>
    <w:rPr>
      <w:kern w:val="0"/>
      <w14:ligatures w14:val="none"/>
    </w:rPr>
  </w:style>
  <w:style w:type="paragraph" w:styleId="Piedepgina">
    <w:name w:val="footer"/>
    <w:basedOn w:val="Normal"/>
    <w:link w:val="PiedepginaCar"/>
    <w:uiPriority w:val="99"/>
    <w:unhideWhenUsed/>
    <w:rsid w:val="00AB64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64A5"/>
    <w:rPr>
      <w:kern w:val="0"/>
      <w14:ligatures w14:val="none"/>
    </w:rPr>
  </w:style>
  <w:style w:type="character" w:customStyle="1" w:styleId="normaltextrun">
    <w:name w:val="normaltextrun"/>
    <w:basedOn w:val="Fuentedeprrafopredeter"/>
    <w:rsid w:val="00AB64A5"/>
  </w:style>
  <w:style w:type="table" w:styleId="Tablaconcuadrcula">
    <w:name w:val="Table Grid"/>
    <w:basedOn w:val="Tablanormal"/>
    <w:uiPriority w:val="39"/>
    <w:qFormat/>
    <w:rsid w:val="00AB64A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B64A5"/>
    <w:rPr>
      <w:color w:val="0000FF"/>
      <w:u w:val="single"/>
    </w:rPr>
  </w:style>
  <w:style w:type="paragraph" w:customStyle="1" w:styleId="paragraph">
    <w:name w:val="paragraph"/>
    <w:basedOn w:val="Normal"/>
    <w:rsid w:val="00AB64A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B64A5"/>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0BE1"/>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0BE1"/>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620BE1"/>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0BE1"/>
    <w:rPr>
      <w:vertAlign w:val="superscript"/>
    </w:rPr>
  </w:style>
  <w:style w:type="paragraph" w:customStyle="1" w:styleId="Appelnotedebasde">
    <w:name w:val="Appel note de bas de..."/>
    <w:basedOn w:val="Normal"/>
    <w:link w:val="Refdenotaalpie"/>
    <w:uiPriority w:val="99"/>
    <w:rsid w:val="00620BE1"/>
    <w:pPr>
      <w:spacing w:line="240" w:lineRule="exact"/>
    </w:pPr>
    <w:rPr>
      <w:kern w:val="2"/>
      <w:vertAlign w:val="superscript"/>
      <w14:ligatures w14:val="standardContextual"/>
    </w:rPr>
  </w:style>
  <w:style w:type="paragraph" w:styleId="Textoindependiente">
    <w:name w:val="Body Text"/>
    <w:basedOn w:val="Normal"/>
    <w:link w:val="TextoindependienteCar"/>
    <w:uiPriority w:val="1"/>
    <w:qFormat/>
    <w:rsid w:val="005A5AFA"/>
    <w:pPr>
      <w:widowControl w:val="0"/>
      <w:autoSpaceDE w:val="0"/>
      <w:autoSpaceDN w:val="0"/>
      <w:spacing w:after="0" w:line="240" w:lineRule="auto"/>
      <w:ind w:left="100"/>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5A5AFA"/>
    <w:rPr>
      <w:rFonts w:ascii="Verdana" w:eastAsia="Verdana" w:hAnsi="Verdana" w:cs="Verdana"/>
      <w:kern w:val="0"/>
      <w:lang w:val="es-ES"/>
      <w14:ligatures w14:val="none"/>
    </w:rPr>
  </w:style>
  <w:style w:type="paragraph" w:customStyle="1" w:styleId="InviasNormal">
    <w:name w:val="Invias Normal"/>
    <w:basedOn w:val="Normal"/>
    <w:link w:val="InviasNormalCar"/>
    <w:qFormat/>
    <w:rsid w:val="00763F15"/>
    <w:pPr>
      <w:tabs>
        <w:tab w:val="left" w:pos="-142"/>
      </w:tabs>
      <w:autoSpaceDE w:val="0"/>
      <w:autoSpaceDN w:val="0"/>
      <w:adjustRightInd w:val="0"/>
      <w:spacing w:before="120" w:after="240" w:line="240" w:lineRule="auto"/>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763F15"/>
    <w:rPr>
      <w:rFonts w:ascii="Arial Narrow" w:eastAsia="Times New Roman" w:hAnsi="Arial Narrow" w:cs="Times New Roman"/>
      <w:kern w:val="0"/>
      <w:sz w:val="24"/>
      <w:szCs w:val="24"/>
      <w:lang w:val="x-none" w:eastAsia="es-ES"/>
      <w14:ligatures w14:val="none"/>
    </w:rPr>
  </w:style>
  <w:style w:type="character" w:customStyle="1" w:styleId="Hipervnculo1">
    <w:name w:val="Hipervínculo1"/>
    <w:basedOn w:val="Fuentedeprrafopredeter"/>
    <w:uiPriority w:val="99"/>
    <w:unhideWhenUsed/>
    <w:rsid w:val="000E561E"/>
    <w:rPr>
      <w:color w:val="467886"/>
      <w:u w:val="single"/>
    </w:rPr>
  </w:style>
  <w:style w:type="character" w:styleId="Mencinsinresolver">
    <w:name w:val="Unresolved Mention"/>
    <w:basedOn w:val="Fuentedeprrafopredeter"/>
    <w:uiPriority w:val="99"/>
    <w:semiHidden/>
    <w:unhideWhenUsed/>
    <w:rsid w:val="009F5FB8"/>
    <w:rPr>
      <w:color w:val="605E5C"/>
      <w:shd w:val="clear" w:color="auto" w:fill="E1DFDD"/>
    </w:rPr>
  </w:style>
  <w:style w:type="paragraph" w:styleId="NormalWeb">
    <w:name w:val="Normal (Web)"/>
    <w:basedOn w:val="Normal"/>
    <w:link w:val="NormalWebCar"/>
    <w:uiPriority w:val="99"/>
    <w:unhideWhenUsed/>
    <w:rsid w:val="006649D6"/>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6649D6"/>
    <w:rPr>
      <w:rFonts w:ascii="Times New Roman" w:eastAsia="Times New Roman" w:hAnsi="Times New Roman" w:cs="Times New Roman"/>
      <w:kern w:val="0"/>
      <w:sz w:val="24"/>
      <w:szCs w:val="24"/>
      <w:lang w:eastAsia="es-CO"/>
      <w14:ligatures w14:val="none"/>
    </w:rPr>
  </w:style>
  <w:style w:type="character" w:customStyle="1" w:styleId="eop">
    <w:name w:val="eop"/>
    <w:basedOn w:val="Fuentedeprrafopredeter"/>
    <w:rsid w:val="00C04209"/>
  </w:style>
  <w:style w:type="character" w:styleId="Hipervnculovisitado">
    <w:name w:val="FollowedHyperlink"/>
    <w:basedOn w:val="Fuentedeprrafopredeter"/>
    <w:uiPriority w:val="99"/>
    <w:semiHidden/>
    <w:unhideWhenUsed/>
    <w:rsid w:val="00A97F09"/>
    <w:rPr>
      <w:color w:val="96607D" w:themeColor="followedHyperlink"/>
      <w:u w:val="single"/>
    </w:rPr>
  </w:style>
  <w:style w:type="character" w:styleId="Textoennegrita">
    <w:name w:val="Strong"/>
    <w:basedOn w:val="Fuentedeprrafopredeter"/>
    <w:uiPriority w:val="22"/>
    <w:qFormat/>
    <w:rsid w:val="00580642"/>
    <w:rPr>
      <w:b/>
      <w:bCs/>
    </w:rPr>
  </w:style>
  <w:style w:type="paragraph" w:styleId="Sinespaciado">
    <w:name w:val="No Spacing"/>
    <w:aliases w:val="No Indent"/>
    <w:uiPriority w:val="3"/>
    <w:qFormat/>
    <w:rsid w:val="00FF2F27"/>
    <w:pPr>
      <w:spacing w:after="0" w:line="240" w:lineRule="auto"/>
    </w:pPr>
    <w:rPr>
      <w:kern w:val="0"/>
      <w:sz w:val="24"/>
      <w:lang w:val="es-MX"/>
      <w14:ligatures w14:val="none"/>
    </w:rPr>
  </w:style>
  <w:style w:type="paragraph" w:customStyle="1" w:styleId="margender0punto5">
    <w:name w:val="margen_der_0punto5"/>
    <w:basedOn w:val="Normal"/>
    <w:rsid w:val="00FF2F2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letra14pt">
    <w:name w:val="letra14pt"/>
    <w:basedOn w:val="Fuentedeprrafopredeter"/>
    <w:rsid w:val="00FF2F27"/>
  </w:style>
  <w:style w:type="paragraph" w:customStyle="1" w:styleId="CEDAContenido">
    <w:name w:val="CEDA Contenido"/>
    <w:basedOn w:val="Normal"/>
    <w:link w:val="CEDAContenidoCar"/>
    <w:qFormat/>
    <w:rsid w:val="00FF2F27"/>
    <w:pPr>
      <w:spacing w:before="120" w:after="0" w:line="276" w:lineRule="auto"/>
      <w:jc w:val="both"/>
    </w:pPr>
    <w:rPr>
      <w:rFonts w:ascii="Bookman Old Style" w:eastAsiaTheme="minorEastAsia" w:hAnsi="Bookman Old Style"/>
    </w:rPr>
  </w:style>
  <w:style w:type="character" w:customStyle="1" w:styleId="CEDAContenidoCar">
    <w:name w:val="CEDA Contenido Car"/>
    <w:basedOn w:val="Fuentedeprrafopredeter"/>
    <w:link w:val="CEDAContenido"/>
    <w:rsid w:val="00FF2F27"/>
    <w:rPr>
      <w:rFonts w:ascii="Bookman Old Style" w:eastAsiaTheme="minorEastAsia" w:hAnsi="Bookman Old Style"/>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2225707">
      <w:bodyDiv w:val="1"/>
      <w:marLeft w:val="0"/>
      <w:marRight w:val="0"/>
      <w:marTop w:val="0"/>
      <w:marBottom w:val="0"/>
      <w:divBdr>
        <w:top w:val="none" w:sz="0" w:space="0" w:color="auto"/>
        <w:left w:val="none" w:sz="0" w:space="0" w:color="auto"/>
        <w:bottom w:val="none" w:sz="0" w:space="0" w:color="auto"/>
        <w:right w:val="none" w:sz="0" w:space="0" w:color="auto"/>
      </w:divBdr>
    </w:div>
    <w:div w:id="357775680">
      <w:bodyDiv w:val="1"/>
      <w:marLeft w:val="0"/>
      <w:marRight w:val="0"/>
      <w:marTop w:val="0"/>
      <w:marBottom w:val="0"/>
      <w:divBdr>
        <w:top w:val="none" w:sz="0" w:space="0" w:color="auto"/>
        <w:left w:val="none" w:sz="0" w:space="0" w:color="auto"/>
        <w:bottom w:val="none" w:sz="0" w:space="0" w:color="auto"/>
        <w:right w:val="none" w:sz="0" w:space="0" w:color="auto"/>
      </w:divBdr>
    </w:div>
    <w:div w:id="382797754">
      <w:bodyDiv w:val="1"/>
      <w:marLeft w:val="0"/>
      <w:marRight w:val="0"/>
      <w:marTop w:val="0"/>
      <w:marBottom w:val="0"/>
      <w:divBdr>
        <w:top w:val="none" w:sz="0" w:space="0" w:color="auto"/>
        <w:left w:val="none" w:sz="0" w:space="0" w:color="auto"/>
        <w:bottom w:val="none" w:sz="0" w:space="0" w:color="auto"/>
        <w:right w:val="none" w:sz="0" w:space="0" w:color="auto"/>
      </w:divBdr>
    </w:div>
    <w:div w:id="1379554591">
      <w:bodyDiv w:val="1"/>
      <w:marLeft w:val="0"/>
      <w:marRight w:val="0"/>
      <w:marTop w:val="0"/>
      <w:marBottom w:val="0"/>
      <w:divBdr>
        <w:top w:val="none" w:sz="0" w:space="0" w:color="auto"/>
        <w:left w:val="none" w:sz="0" w:space="0" w:color="auto"/>
        <w:bottom w:val="none" w:sz="0" w:space="0" w:color="auto"/>
        <w:right w:val="none" w:sz="0" w:space="0" w:color="auto"/>
      </w:divBdr>
    </w:div>
    <w:div w:id="152174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sala-de-prensa%2Fboletin-digital&amp;data=05%7C02%7Cmartha.romero%40colombiacompra.gov.co%7C315ed31c447042b59dd908dd07f079f5%7C7b09041e245149d08cb179d5e3d8c1be%7C0%7C0%7C638675451604900896%7CUnknown%7CTWFpbGZsb3d8eyJFbXB0eU1hcGkiOnRydWUsIlYiOiIwLjAuMDAwMCIsIlAiOiJXaW4zMiIsIkFOIjoiTWFpbCIsIldUIjoyfQ%3D%3D%7C0%7C%7C%7C&amp;sdata=4OynsIcDoUi0wn09UzrJ8oeVVfEtQqotlfuOBHDZvw8%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96B3F15-43C4-4604-9965-2F3E4D1CBDC5}">
  <ds:schemaRefs>
    <ds:schemaRef ds:uri="http://schemas.openxmlformats.org/officeDocument/2006/bibliography"/>
  </ds:schemaRefs>
</ds:datastoreItem>
</file>

<file path=customXml/itemProps2.xml><?xml version="1.0" encoding="utf-8"?>
<ds:datastoreItem xmlns:ds="http://schemas.openxmlformats.org/officeDocument/2006/customXml" ds:itemID="{937B97B6-F05F-4912-95AB-99DB6AF67C61}">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4FD39C41-E786-4131-8EC5-30AC65B993F6}">
  <ds:schemaRefs>
    <ds:schemaRef ds:uri="http://schemas.microsoft.com/sharepoint/v3/contenttype/forms"/>
  </ds:schemaRefs>
</ds:datastoreItem>
</file>

<file path=customXml/itemProps4.xml><?xml version="1.0" encoding="utf-8"?>
<ds:datastoreItem xmlns:ds="http://schemas.openxmlformats.org/officeDocument/2006/customXml" ds:itemID="{20832272-81F8-4A4E-82AB-A4B6F502DE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16</Pages>
  <Words>4329</Words>
  <Characters>23811</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Camilo Orjuela Galeano</dc:creator>
  <cp:keywords/>
  <dc:description/>
  <cp:lastModifiedBy>Andreina Cerpa Muñoz</cp:lastModifiedBy>
  <cp:revision>7</cp:revision>
  <dcterms:created xsi:type="dcterms:W3CDTF">2024-12-13T17:00:00Z</dcterms:created>
  <dcterms:modified xsi:type="dcterms:W3CDTF">2025-10-10T20:23:00Z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