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DA67B" w14:textId="77777777" w:rsidR="00FF2F27" w:rsidRPr="00FF0864" w:rsidRDefault="00FF2F27" w:rsidP="00FF2F27">
      <w:pPr>
        <w:pStyle w:val="Sinespaciado"/>
        <w:jc w:val="both"/>
        <w:rPr>
          <w:rFonts w:ascii="Verdana" w:hAnsi="Verdana" w:cs="Arial"/>
          <w:b/>
          <w:bCs/>
          <w:sz w:val="22"/>
        </w:rPr>
      </w:pPr>
      <w:bookmarkStart w:id="0" w:name="_Hlk143780582"/>
      <w:r w:rsidRPr="00FF0864">
        <w:rPr>
          <w:rFonts w:ascii="Verdana" w:hAnsi="Verdana" w:cs="Arial"/>
          <w:b/>
          <w:bCs/>
          <w:sz w:val="22"/>
        </w:rPr>
        <w:t>INHABILIDADES – Definición – Finalidad – Limitación capacidad contractual</w:t>
      </w:r>
    </w:p>
    <w:p w14:paraId="35F8A270" w14:textId="77777777" w:rsidR="00FF2F27" w:rsidRPr="00FF0864" w:rsidRDefault="00FF2F27" w:rsidP="00FF2F27">
      <w:pPr>
        <w:pStyle w:val="Sinespaciado"/>
        <w:jc w:val="both"/>
        <w:rPr>
          <w:rFonts w:ascii="Verdana" w:hAnsi="Verdana" w:cs="Arial"/>
          <w:sz w:val="20"/>
          <w:szCs w:val="20"/>
        </w:rPr>
      </w:pPr>
    </w:p>
    <w:p w14:paraId="1E7C6FCB" w14:textId="77777777" w:rsidR="00FF2F27" w:rsidRPr="00FF0864" w:rsidRDefault="00FF2F27" w:rsidP="00FF2F27">
      <w:pPr>
        <w:pStyle w:val="Sinespaciado"/>
        <w:spacing w:after="120"/>
        <w:jc w:val="both"/>
        <w:rPr>
          <w:rFonts w:ascii="Verdana" w:hAnsi="Verdana" w:cs="Arial"/>
          <w:sz w:val="20"/>
          <w:szCs w:val="20"/>
        </w:rPr>
      </w:pPr>
      <w:r w:rsidRPr="00FF0864">
        <w:rPr>
          <w:rFonts w:ascii="Verdana" w:hAnsi="Verdana" w:cs="Arial"/>
          <w:sz w:val="20"/>
          <w:szCs w:val="20"/>
        </w:rPr>
        <w:t xml:space="preserve">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w:t>
      </w:r>
    </w:p>
    <w:p w14:paraId="26D96EB4" w14:textId="6A287311" w:rsidR="00FF2F27" w:rsidRPr="00FF0864" w:rsidRDefault="00FF2F27" w:rsidP="00FF2F27">
      <w:pPr>
        <w:pStyle w:val="Sinespaciado"/>
        <w:spacing w:before="120"/>
        <w:jc w:val="both"/>
        <w:rPr>
          <w:rFonts w:ascii="Verdana" w:hAnsi="Verdana" w:cs="Arial"/>
          <w:sz w:val="22"/>
        </w:rPr>
      </w:pPr>
      <w:r w:rsidRPr="00FF0864">
        <w:rPr>
          <w:rFonts w:ascii="Verdana" w:hAnsi="Verdana" w:cs="Arial"/>
          <w:sz w:val="20"/>
          <w:szCs w:val="20"/>
        </w:rPr>
        <w:t xml:space="preserve">El régimen de inhabilidades para contratar con el Estado es un conjunto de restricciones establecidas por el constituyente o por el legislador que afectan directamente la capacidad de las personas para establecer unas relaciones contractuales con el Estado, que pueden resultar de condenas, sanciones o situaciones previamente establecidas por el ordenamiento jurídico. En esta medida, la Corte Constitucional explica que </w:t>
      </w:r>
      <w:r w:rsidR="00FF0864" w:rsidRPr="00FF0864">
        <w:rPr>
          <w:rFonts w:ascii="Verdana" w:hAnsi="Verdana" w:cs="Arial"/>
          <w:sz w:val="20"/>
          <w:szCs w:val="20"/>
        </w:rPr>
        <w:t>“</w:t>
      </w:r>
      <w:r w:rsidRPr="00FF0864">
        <w:rPr>
          <w:rFonts w:ascii="Verdana" w:hAnsi="Verdana" w:cs="Arial"/>
          <w:sz w:val="20"/>
          <w:szCs w:val="20"/>
        </w:rPr>
        <w:t>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sidR="00FF0864" w:rsidRPr="00FF0864">
        <w:rPr>
          <w:rFonts w:ascii="Verdana" w:hAnsi="Verdana" w:cs="Arial"/>
          <w:sz w:val="20"/>
          <w:szCs w:val="20"/>
        </w:rPr>
        <w:t>”</w:t>
      </w:r>
      <w:r w:rsidRPr="00FF0864">
        <w:rPr>
          <w:rFonts w:ascii="Verdana" w:hAnsi="Verdana" w:cs="Arial"/>
          <w:sz w:val="20"/>
          <w:szCs w:val="20"/>
        </w:rPr>
        <w:t>.</w:t>
      </w:r>
      <w:r w:rsidRPr="00FF0864">
        <w:rPr>
          <w:rFonts w:ascii="Verdana" w:hAnsi="Verdana" w:cs="Arial"/>
          <w:sz w:val="22"/>
        </w:rPr>
        <w:t xml:space="preserve"> </w:t>
      </w:r>
    </w:p>
    <w:p w14:paraId="7E78AC74" w14:textId="77777777" w:rsidR="00FF2F27" w:rsidRPr="00FF0864" w:rsidRDefault="00FF2F27" w:rsidP="00FF2F27">
      <w:pPr>
        <w:pStyle w:val="Sinespaciado"/>
        <w:jc w:val="both"/>
        <w:rPr>
          <w:rFonts w:ascii="Verdana" w:hAnsi="Verdana" w:cs="Arial"/>
          <w:sz w:val="20"/>
          <w:szCs w:val="20"/>
        </w:rPr>
      </w:pPr>
    </w:p>
    <w:p w14:paraId="767CDFC3" w14:textId="77777777" w:rsidR="00FF2F27" w:rsidRPr="00FF0864" w:rsidRDefault="00FF2F27" w:rsidP="00FF2F27">
      <w:pPr>
        <w:tabs>
          <w:tab w:val="left" w:pos="426"/>
        </w:tabs>
        <w:jc w:val="both"/>
        <w:rPr>
          <w:rFonts w:ascii="Verdana" w:eastAsia="Calibri" w:hAnsi="Verdana" w:cs="Arial"/>
          <w:b/>
          <w:lang w:val="es-ES_tradnl"/>
        </w:rPr>
      </w:pPr>
      <w:r w:rsidRPr="00FF0864">
        <w:rPr>
          <w:rFonts w:ascii="Verdana" w:eastAsia="Calibri" w:hAnsi="Verdana" w:cs="Arial"/>
          <w:b/>
          <w:lang w:val="es-ES_tradnl"/>
        </w:rPr>
        <w:t>CONTRATACIÓN ESTATAL – Capacidad – Validez contratos – Régimen de contratación – Inscripción – Limitación de la capacidad</w:t>
      </w:r>
    </w:p>
    <w:p w14:paraId="2FA14556" w14:textId="77777777" w:rsidR="00FF2F27" w:rsidRPr="00FF0864" w:rsidRDefault="00FF2F27" w:rsidP="00FF2F27">
      <w:pPr>
        <w:jc w:val="both"/>
        <w:rPr>
          <w:rFonts w:ascii="Verdana" w:eastAsia="Calibri" w:hAnsi="Verdana" w:cs="Arial"/>
          <w:sz w:val="20"/>
          <w:szCs w:val="20"/>
          <w:lang w:val="es-ES_tradnl"/>
        </w:rPr>
      </w:pPr>
    </w:p>
    <w:p w14:paraId="58EDB3B5" w14:textId="77777777" w:rsidR="00FF2F27" w:rsidRPr="00FF0864" w:rsidRDefault="00FF2F27" w:rsidP="00FF2F27">
      <w:pPr>
        <w:spacing w:after="120"/>
        <w:jc w:val="both"/>
        <w:rPr>
          <w:rFonts w:ascii="Verdana" w:eastAsia="Calibri" w:hAnsi="Verdana" w:cs="Arial"/>
          <w:sz w:val="20"/>
          <w:szCs w:val="20"/>
          <w:lang w:val="es-ES_tradnl"/>
        </w:rPr>
      </w:pPr>
      <w:r w:rsidRPr="00FF0864">
        <w:rPr>
          <w:rFonts w:ascii="Verdana" w:eastAsia="Calibri" w:hAnsi="Verdana" w:cs="Arial"/>
          <w:sz w:val="20"/>
          <w:szCs w:val="20"/>
          <w:lang w:val="es-ES_tradnl"/>
        </w:rPr>
        <w:t xml:space="preserve">En la contratación estatal, la </w:t>
      </w:r>
      <w:r w:rsidRPr="00FF0864">
        <w:rPr>
          <w:rFonts w:ascii="Verdana" w:eastAsia="Calibri" w:hAnsi="Verdana" w:cs="Arial"/>
          <w:i/>
          <w:iCs/>
          <w:sz w:val="20"/>
          <w:szCs w:val="20"/>
          <w:lang w:val="es-ES_tradnl"/>
        </w:rPr>
        <w:t>capacidad</w:t>
      </w:r>
      <w:r w:rsidRPr="00FF0864">
        <w:rPr>
          <w:rFonts w:ascii="Verdana" w:eastAsia="Calibri" w:hAnsi="Verdana" w:cs="Arial"/>
          <w:sz w:val="20"/>
          <w:szCs w:val="20"/>
          <w:lang w:val="es-ES_tradnl"/>
        </w:rPr>
        <w:t xml:space="preserve"> también es un requisito de validez de los contratos, tanto en el régimen de las entidades sujetas al Estatuto General de Contratación de la Administración Pública como en el de las entidades exceptuadas de aquel. Si bien la regulación de la capacidad se integra por varias disposiciones y exigencias especiales –como el requisito de inscribirse, por regla general, en el Registro Único de Proponentes (RUP), establecido en el artículo 6 de la Ley 1150 de 2007, modificado por el artículo 221 del Decreto 19 de 2012–, se destaca el régimen de inhabilidades e incompatibilidades como un conjunto de normas que imponen restricciones para los sujetos que, eventualmente, pretendan participar en los procedimientos de selección o celebrar contratos con las entidades estatales.</w:t>
      </w:r>
    </w:p>
    <w:p w14:paraId="3213FAD3" w14:textId="77777777" w:rsidR="00FF2F27" w:rsidRPr="00FF0864" w:rsidRDefault="00FF2F27" w:rsidP="00FF2F27">
      <w:pPr>
        <w:spacing w:before="120"/>
        <w:jc w:val="both"/>
        <w:rPr>
          <w:rFonts w:ascii="Verdana" w:eastAsia="Calibri" w:hAnsi="Verdana" w:cs="Arial"/>
          <w:sz w:val="20"/>
          <w:szCs w:val="20"/>
          <w:lang w:val="es-ES_tradnl"/>
        </w:rPr>
      </w:pPr>
      <w:r w:rsidRPr="00FF0864">
        <w:rPr>
          <w:rFonts w:ascii="Verdana" w:eastAsia="Calibri" w:hAnsi="Verdana" w:cs="Arial"/>
          <w:sz w:val="20"/>
          <w:szCs w:val="20"/>
          <w:lang w:val="es-ES_tradnl"/>
        </w:rPr>
        <w:t xml:space="preserve">Las inhabilidades son prohibiciones para concurrir a los procedimientos de selección y para contratar con el Estado, que se derivan: i) de la existencia de comportamientos reprochables o de sanciones anteriormente impuestas, </w:t>
      </w:r>
      <w:proofErr w:type="spellStart"/>
      <w:r w:rsidRPr="00FF0864">
        <w:rPr>
          <w:rFonts w:ascii="Verdana" w:eastAsia="Calibri" w:hAnsi="Verdana" w:cs="Arial"/>
          <w:sz w:val="20"/>
          <w:szCs w:val="20"/>
          <w:lang w:val="es-ES_tradnl"/>
        </w:rPr>
        <w:t>ii</w:t>
      </w:r>
      <w:proofErr w:type="spellEnd"/>
      <w:r w:rsidRPr="00FF0864">
        <w:rPr>
          <w:rFonts w:ascii="Verdana" w:eastAsia="Calibri" w:hAnsi="Verdana" w:cs="Arial"/>
          <w:sz w:val="20"/>
          <w:szCs w:val="20"/>
          <w:lang w:val="es-ES_tradnl"/>
        </w:rPr>
        <w:t xml:space="preserve">) de vínculos personales relativos al parentesco o al estado civil o </w:t>
      </w:r>
      <w:proofErr w:type="spellStart"/>
      <w:r w:rsidRPr="00FF0864">
        <w:rPr>
          <w:rFonts w:ascii="Verdana" w:eastAsia="Calibri" w:hAnsi="Verdana" w:cs="Arial"/>
          <w:sz w:val="20"/>
          <w:szCs w:val="20"/>
          <w:lang w:val="es-ES_tradnl"/>
        </w:rPr>
        <w:t>iii</w:t>
      </w:r>
      <w:proofErr w:type="spellEnd"/>
      <w:r w:rsidRPr="00FF0864">
        <w:rPr>
          <w:rFonts w:ascii="Verdana" w:eastAsia="Calibri" w:hAnsi="Verdana" w:cs="Arial"/>
          <w:sz w:val="20"/>
          <w:szCs w:val="20"/>
          <w:lang w:val="es-ES_tradnl"/>
        </w:rPr>
        <w:t>) de una actividad u oficio que se desempeñó en el pasado. De otro lado, las incompatibilidades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w:t>
      </w:r>
    </w:p>
    <w:p w14:paraId="438A42D9" w14:textId="77777777" w:rsidR="00FF2F27" w:rsidRPr="00FF0864" w:rsidRDefault="00FF2F27" w:rsidP="00FF2F27">
      <w:pPr>
        <w:jc w:val="both"/>
        <w:rPr>
          <w:rFonts w:ascii="Verdana" w:eastAsia="Calibri" w:hAnsi="Verdana" w:cs="Arial"/>
          <w:sz w:val="20"/>
          <w:szCs w:val="20"/>
          <w:lang w:val="es-ES_tradnl"/>
        </w:rPr>
      </w:pPr>
    </w:p>
    <w:p w14:paraId="2A3362A3" w14:textId="77777777" w:rsidR="00FF2F27" w:rsidRPr="00FF0864" w:rsidRDefault="00FF2F27" w:rsidP="00FF2F27">
      <w:pPr>
        <w:jc w:val="both"/>
        <w:rPr>
          <w:rFonts w:ascii="Verdana" w:eastAsia="Calibri" w:hAnsi="Verdana" w:cs="Arial"/>
          <w:b/>
          <w:bCs/>
          <w:lang w:val="es-ES_tradnl"/>
        </w:rPr>
      </w:pPr>
      <w:r w:rsidRPr="00FF0864">
        <w:rPr>
          <w:rFonts w:ascii="Verdana" w:eastAsia="Calibri" w:hAnsi="Verdana" w:cs="Arial"/>
          <w:b/>
          <w:bCs/>
          <w:lang w:val="es-ES_tradnl"/>
        </w:rPr>
        <w:t>INHABILIDADES – Taxatividad – Principio de legalidad – Interpretación restrictiva</w:t>
      </w:r>
    </w:p>
    <w:p w14:paraId="105BDEF6" w14:textId="77777777" w:rsidR="00FF2F27" w:rsidRPr="00FF0864" w:rsidRDefault="00FF2F27" w:rsidP="00FF2F27">
      <w:pPr>
        <w:jc w:val="both"/>
        <w:rPr>
          <w:rFonts w:ascii="Verdana" w:eastAsia="Calibri" w:hAnsi="Verdana" w:cs="Arial"/>
          <w:sz w:val="20"/>
          <w:szCs w:val="20"/>
          <w:lang w:val="es-ES_tradnl"/>
        </w:rPr>
      </w:pPr>
    </w:p>
    <w:p w14:paraId="2F852B61" w14:textId="77777777" w:rsidR="00FF2F27" w:rsidRPr="00FF0864" w:rsidRDefault="00FF2F27" w:rsidP="00FF2F27">
      <w:pPr>
        <w:jc w:val="both"/>
        <w:rPr>
          <w:rFonts w:ascii="Verdana" w:eastAsia="Calibri" w:hAnsi="Verdana" w:cs="Arial"/>
          <w:sz w:val="20"/>
          <w:szCs w:val="20"/>
          <w:lang w:val="es-ES_tradnl"/>
        </w:rPr>
      </w:pPr>
      <w:r w:rsidRPr="00FF0864">
        <w:rPr>
          <w:rFonts w:ascii="Verdana" w:eastAsia="Calibri" w:hAnsi="Verdana" w:cs="Arial"/>
          <w:sz w:val="20"/>
          <w:szCs w:val="20"/>
          <w:lang w:val="es-ES_tradnl"/>
        </w:rPr>
        <w:t xml:space="preserve">Ahora bien, las inhabilidades e incompatibilidades al ser restricciones o límites especiales a la capacidad para presentar ofertas y celebrar contratos estatales, solo pueden tipificarse en la ley –o sea, deben satisfacer el principio de legalidad– y su interpretación debe ser </w:t>
      </w:r>
      <w:r w:rsidRPr="00FF0864">
        <w:rPr>
          <w:rFonts w:ascii="Verdana" w:eastAsia="Calibri" w:hAnsi="Verdana" w:cs="Arial"/>
          <w:i/>
          <w:iCs/>
          <w:sz w:val="20"/>
          <w:szCs w:val="20"/>
          <w:lang w:val="es-ES_tradnl"/>
        </w:rPr>
        <w:t>restrictiva</w:t>
      </w:r>
      <w:r w:rsidRPr="00FF0864">
        <w:rPr>
          <w:rFonts w:ascii="Verdana" w:eastAsia="Calibri" w:hAnsi="Verdana" w:cs="Arial"/>
          <w:sz w:val="20"/>
          <w:szCs w:val="20"/>
          <w:lang w:val="es-ES_tradnl"/>
        </w:rPr>
        <w:t xml:space="preserve">, 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libre concurrencia y el ejercicio de la profesión u oficio. Tal ha sido la postura al interior de la jurisprudencia, tanto de la Corte Constitucional como de la Sección Tercera del Consejo de Estado. </w:t>
      </w:r>
    </w:p>
    <w:p w14:paraId="7D2C3355" w14:textId="67B9A722" w:rsidR="0050012F" w:rsidRPr="00FF0864" w:rsidRDefault="0050012F" w:rsidP="0060538B">
      <w:pPr>
        <w:jc w:val="both"/>
        <w:rPr>
          <w:rFonts w:ascii="Verdana" w:eastAsia="Times New Roman" w:hAnsi="Verdana" w:cs="Arial"/>
          <w:i/>
          <w:iCs/>
          <w:color w:val="333333"/>
          <w:lang w:val="es-MX" w:eastAsia="es-CO"/>
        </w:rPr>
      </w:pPr>
      <w:r w:rsidRPr="00FF0864">
        <w:rPr>
          <w:rFonts w:ascii="Verdana" w:eastAsia="Times New Roman" w:hAnsi="Verdana" w:cs="Arial"/>
          <w:i/>
          <w:iCs/>
          <w:color w:val="333333"/>
          <w:lang w:val="es-MX" w:eastAsia="es-CO"/>
        </w:rPr>
        <w:br w:type="page"/>
      </w:r>
    </w:p>
    <w:p w14:paraId="5D34D269" w14:textId="77777777" w:rsidR="00C04209" w:rsidRPr="00FF0864" w:rsidRDefault="00C04209" w:rsidP="00C04209">
      <w:pPr>
        <w:spacing w:after="0" w:line="240" w:lineRule="auto"/>
        <w:contextualSpacing/>
        <w:jc w:val="both"/>
        <w:rPr>
          <w:rFonts w:ascii="Verdana" w:eastAsia="Times New Roman" w:hAnsi="Verdana" w:cs="Arial"/>
          <w:i/>
          <w:iCs/>
          <w:color w:val="333333"/>
          <w:lang w:val="es-MX" w:eastAsia="es-CO"/>
        </w:rPr>
      </w:pPr>
    </w:p>
    <w:p w14:paraId="131A973B" w14:textId="7BEAC364" w:rsidR="00AB64A5" w:rsidRPr="00FF0864" w:rsidRDefault="00EA6438" w:rsidP="00CD258B">
      <w:pPr>
        <w:rPr>
          <w:rFonts w:ascii="Verdana" w:eastAsia="Calibri" w:hAnsi="Verdana" w:cs="Arial"/>
          <w:bCs/>
          <w:sz w:val="20"/>
          <w:szCs w:val="20"/>
          <w:lang w:val="es-ES_tradnl"/>
        </w:rPr>
      </w:pPr>
      <w:r w:rsidRPr="00782C22">
        <w:rPr>
          <w:rFonts w:ascii="Verdana" w:eastAsia="Calibri" w:hAnsi="Verdana" w:cs="Arial"/>
          <w:b/>
          <w:bCs/>
          <w:noProof/>
          <w:color w:val="000000"/>
          <w:lang w:val="es-ES_tradnl" w:eastAsia="es-ES_tradnl"/>
        </w:rPr>
        <w:drawing>
          <wp:anchor distT="0" distB="0" distL="114300" distR="114300" simplePos="0" relativeHeight="251658240" behindDoc="1" locked="0" layoutInCell="1" allowOverlap="1" wp14:anchorId="794EBA9A" wp14:editId="6426DDE4">
            <wp:simplePos x="0" y="0"/>
            <wp:positionH relativeFrom="column">
              <wp:posOffset>1844040</wp:posOffset>
            </wp:positionH>
            <wp:positionV relativeFrom="paragraph">
              <wp:posOffset>280035</wp:posOffset>
            </wp:positionV>
            <wp:extent cx="3756660" cy="1051560"/>
            <wp:effectExtent l="0" t="0" r="0" b="0"/>
            <wp:wrapTight wrapText="bothSides">
              <wp:wrapPolygon edited="0">
                <wp:start x="0" y="0"/>
                <wp:lineTo x="0" y="21130"/>
                <wp:lineTo x="21469" y="21130"/>
                <wp:lineTo x="21469" y="0"/>
                <wp:lineTo x="0" y="0"/>
              </wp:wrapPolygon>
            </wp:wrapTight>
            <wp:docPr id="12650457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04575"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3756660" cy="1051560"/>
                    </a:xfrm>
                    <a:prstGeom prst="rect">
                      <a:avLst/>
                    </a:prstGeom>
                  </pic:spPr>
                </pic:pic>
              </a:graphicData>
            </a:graphic>
          </wp:anchor>
        </w:drawing>
      </w:r>
      <w:r w:rsidR="00AB64A5" w:rsidRPr="00FF0864">
        <w:rPr>
          <w:rFonts w:ascii="Verdana" w:hAnsi="Verdana"/>
        </w:rPr>
        <w:t>Bogo</w:t>
      </w:r>
      <w:r w:rsidR="00FC3EC1" w:rsidRPr="00FF0864">
        <w:rPr>
          <w:rFonts w:ascii="Verdana" w:hAnsi="Verdana"/>
        </w:rPr>
        <w:t>t</w:t>
      </w:r>
      <w:r w:rsidR="00AB64A5" w:rsidRPr="00FF0864">
        <w:rPr>
          <w:rFonts w:ascii="Verdana" w:hAnsi="Verdana"/>
        </w:rPr>
        <w:t>á D.C., [Día] [</w:t>
      </w:r>
      <w:proofErr w:type="spellStart"/>
      <w:r w:rsidR="00AB64A5" w:rsidRPr="00FF0864">
        <w:rPr>
          <w:rFonts w:ascii="Verdana" w:hAnsi="Verdana"/>
        </w:rPr>
        <w:t>Mes.NombreCapitalizado</w:t>
      </w:r>
      <w:proofErr w:type="spellEnd"/>
      <w:r w:rsidR="00AB64A5" w:rsidRPr="00FF0864">
        <w:rPr>
          <w:rFonts w:ascii="Verdana" w:hAnsi="Verdana"/>
        </w:rPr>
        <w:t>] [Año]</w:t>
      </w:r>
      <w:r w:rsidR="00AB64A5" w:rsidRPr="00FF0864">
        <w:rPr>
          <w:rFonts w:ascii="Verdana" w:hAnsi="Verdana"/>
        </w:rPr>
        <w:tab/>
      </w:r>
    </w:p>
    <w:p w14:paraId="6F8CA54C" w14:textId="028083E0" w:rsidR="00AB64A5" w:rsidRDefault="00AB64A5" w:rsidP="00AB64A5">
      <w:pPr>
        <w:spacing w:after="0"/>
        <w:rPr>
          <w:rFonts w:ascii="Verdana" w:hAnsi="Verdana"/>
        </w:rPr>
      </w:pPr>
    </w:p>
    <w:p w14:paraId="448532F6" w14:textId="45FDADB7" w:rsidR="00EA6438" w:rsidRDefault="00EA6438" w:rsidP="00AB64A5">
      <w:pPr>
        <w:spacing w:after="0"/>
        <w:rPr>
          <w:rFonts w:ascii="Verdana" w:hAnsi="Verdana"/>
        </w:rPr>
      </w:pPr>
    </w:p>
    <w:p w14:paraId="4F1FB0AA" w14:textId="7EF0EE16" w:rsidR="00EA6438" w:rsidRDefault="00EA6438" w:rsidP="00AB64A5">
      <w:pPr>
        <w:spacing w:after="0"/>
        <w:rPr>
          <w:rFonts w:ascii="Verdana" w:hAnsi="Verdana"/>
        </w:rPr>
      </w:pPr>
    </w:p>
    <w:p w14:paraId="7EFF018F" w14:textId="77777777" w:rsidR="00EA6438" w:rsidRDefault="00EA6438" w:rsidP="00AB64A5">
      <w:pPr>
        <w:spacing w:after="0"/>
        <w:rPr>
          <w:rFonts w:ascii="Verdana" w:hAnsi="Verdana"/>
        </w:rPr>
      </w:pPr>
    </w:p>
    <w:p w14:paraId="4AB8361B" w14:textId="77777777" w:rsidR="00EA6438" w:rsidRDefault="00EA6438" w:rsidP="00AB64A5">
      <w:pPr>
        <w:spacing w:after="0"/>
        <w:rPr>
          <w:rFonts w:ascii="Verdana" w:hAnsi="Verdana"/>
        </w:rPr>
      </w:pPr>
    </w:p>
    <w:p w14:paraId="67822091" w14:textId="77777777" w:rsidR="00EA6438" w:rsidRDefault="00EA6438" w:rsidP="00AB64A5">
      <w:pPr>
        <w:spacing w:after="0"/>
        <w:rPr>
          <w:rFonts w:ascii="Verdana" w:hAnsi="Verdana"/>
        </w:rPr>
      </w:pPr>
    </w:p>
    <w:p w14:paraId="553BDB05" w14:textId="77777777" w:rsidR="00EA6438" w:rsidRPr="00FF0864" w:rsidRDefault="00EA6438" w:rsidP="00AB64A5">
      <w:pPr>
        <w:spacing w:after="0"/>
        <w:rPr>
          <w:rFonts w:ascii="Verdana" w:hAnsi="Verdana"/>
        </w:rPr>
      </w:pPr>
    </w:p>
    <w:p w14:paraId="01AE3B0A" w14:textId="257F5842" w:rsidR="00AB64A5" w:rsidRPr="00FF0864" w:rsidRDefault="00AB64A5" w:rsidP="00AB64A5">
      <w:pPr>
        <w:spacing w:after="0" w:line="240" w:lineRule="auto"/>
        <w:jc w:val="both"/>
        <w:rPr>
          <w:rFonts w:ascii="Verdana" w:eastAsia="Calibri" w:hAnsi="Verdana" w:cs="Arial"/>
          <w:lang w:eastAsia="es-ES"/>
        </w:rPr>
      </w:pPr>
      <w:r w:rsidRPr="00FF0864">
        <w:rPr>
          <w:rFonts w:ascii="Verdana" w:eastAsia="Calibri" w:hAnsi="Verdana" w:cs="Arial"/>
          <w:lang w:eastAsia="es-ES"/>
        </w:rPr>
        <w:t>Señor</w:t>
      </w:r>
    </w:p>
    <w:p w14:paraId="407D5F6D" w14:textId="068EA06C" w:rsidR="00FF0864" w:rsidRPr="00FF0864" w:rsidRDefault="00FF0864" w:rsidP="00FF0864">
      <w:pPr>
        <w:tabs>
          <w:tab w:val="left" w:pos="1946"/>
        </w:tabs>
        <w:spacing w:after="0" w:line="240" w:lineRule="auto"/>
        <w:rPr>
          <w:rFonts w:ascii="Verdana" w:hAnsi="Verdana"/>
          <w:b/>
          <w:bCs/>
        </w:rPr>
      </w:pPr>
      <w:r w:rsidRPr="00FF0864">
        <w:rPr>
          <w:rFonts w:ascii="Verdana" w:hAnsi="Verdana"/>
          <w:b/>
          <w:bCs/>
        </w:rPr>
        <w:t>Frank David Zuluaga Agudelo</w:t>
      </w:r>
    </w:p>
    <w:p w14:paraId="6A23B91F" w14:textId="5828A432" w:rsidR="0050012F" w:rsidRPr="00FF0864" w:rsidRDefault="00FF0864" w:rsidP="00FC3EC1">
      <w:pPr>
        <w:spacing w:after="0" w:line="240" w:lineRule="auto"/>
        <w:rPr>
          <w:rFonts w:ascii="Verdana" w:eastAsia="Calibri" w:hAnsi="Verdana" w:cs="Arial"/>
          <w:u w:val="single"/>
          <w:lang w:eastAsia="es-ES"/>
        </w:rPr>
      </w:pPr>
      <w:r w:rsidRPr="00FF0864">
        <w:rPr>
          <w:rFonts w:ascii="Verdana" w:eastAsia="Calibri" w:hAnsi="Verdana" w:cs="Arial"/>
          <w:u w:val="single"/>
          <w:lang w:eastAsia="es-ES"/>
        </w:rPr>
        <w:t>Fzuluaga@unal.edu.co</w:t>
      </w:r>
    </w:p>
    <w:p w14:paraId="38021ECE" w14:textId="22D896F3" w:rsidR="00AB64A5" w:rsidRPr="00FF0864" w:rsidRDefault="00AB64A5" w:rsidP="00FC3EC1">
      <w:pPr>
        <w:spacing w:after="0" w:line="240" w:lineRule="auto"/>
        <w:rPr>
          <w:rFonts w:ascii="Verdana" w:eastAsia="Calibri" w:hAnsi="Verdana" w:cs="Arial"/>
          <w:lang w:eastAsia="es-ES"/>
        </w:rPr>
      </w:pPr>
      <w:r w:rsidRPr="00FF0864">
        <w:rPr>
          <w:rFonts w:ascii="Verdana" w:eastAsia="Calibri" w:hAnsi="Verdana" w:cs="Arial"/>
          <w:lang w:eastAsia="es-ES"/>
        </w:rPr>
        <w:t>Bogotá D.C.</w:t>
      </w:r>
    </w:p>
    <w:p w14:paraId="44649E13" w14:textId="77777777" w:rsidR="00AB64A5" w:rsidRDefault="00AB64A5" w:rsidP="00AB64A5">
      <w:pPr>
        <w:spacing w:after="0" w:line="240" w:lineRule="auto"/>
        <w:rPr>
          <w:rFonts w:ascii="Verdana" w:eastAsia="Calibri" w:hAnsi="Verdana" w:cs="Arial"/>
          <w:b/>
          <w:bCs/>
          <w:color w:val="000000"/>
          <w:lang w:val="es-ES_tradnl" w:eastAsia="es-ES_tradnl"/>
        </w:rPr>
      </w:pPr>
    </w:p>
    <w:p w14:paraId="2DB49E90" w14:textId="4B2A2920" w:rsidR="00782C22" w:rsidRDefault="00782C22" w:rsidP="00782C22">
      <w:pPr>
        <w:spacing w:after="0" w:line="240" w:lineRule="auto"/>
        <w:jc w:val="right"/>
        <w:rPr>
          <w:rFonts w:ascii="Verdana" w:eastAsia="Calibri" w:hAnsi="Verdana" w:cs="Arial"/>
          <w:b/>
          <w:bCs/>
          <w:color w:val="000000"/>
          <w:lang w:val="es-ES_tradnl" w:eastAsia="es-ES_tradnl"/>
        </w:rPr>
      </w:pPr>
    </w:p>
    <w:p w14:paraId="191DFAAD" w14:textId="77777777" w:rsidR="005F78DC" w:rsidRPr="00FF0864" w:rsidRDefault="005F78DC" w:rsidP="00782C22">
      <w:pPr>
        <w:spacing w:after="0" w:line="240" w:lineRule="auto"/>
        <w:jc w:val="right"/>
        <w:rPr>
          <w:rFonts w:ascii="Verdana" w:eastAsia="Calibri" w:hAnsi="Verdana" w:cs="Arial"/>
          <w:b/>
          <w:bCs/>
          <w:color w:val="000000"/>
          <w:lang w:val="es-ES_tradnl" w:eastAsia="es-ES_tradnl"/>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8"/>
        <w:gridCol w:w="6946"/>
      </w:tblGrid>
      <w:tr w:rsidR="00AB64A5" w:rsidRPr="00FF0864" w14:paraId="124FFB5C" w14:textId="77777777" w:rsidTr="007B0B27">
        <w:trPr>
          <w:trHeight w:val="884"/>
        </w:trPr>
        <w:tc>
          <w:tcPr>
            <w:tcW w:w="2268" w:type="dxa"/>
          </w:tcPr>
          <w:p w14:paraId="6311258D" w14:textId="77777777" w:rsidR="00AB64A5" w:rsidRPr="00FF0864" w:rsidRDefault="00AB64A5" w:rsidP="007B0B27">
            <w:pPr>
              <w:jc w:val="both"/>
              <w:rPr>
                <w:rFonts w:ascii="Verdana" w:eastAsia="Calibri" w:hAnsi="Verdana" w:cs="Arial"/>
                <w:b/>
                <w:bCs/>
                <w:color w:val="7030A0"/>
                <w:lang w:val="es-ES_tradnl" w:eastAsia="es-ES_tradnl"/>
              </w:rPr>
            </w:pPr>
          </w:p>
        </w:tc>
        <w:tc>
          <w:tcPr>
            <w:tcW w:w="6946" w:type="dxa"/>
          </w:tcPr>
          <w:p w14:paraId="23DA8C95" w14:textId="390D5024" w:rsidR="00AB64A5" w:rsidRPr="00FF0864" w:rsidRDefault="00AB64A5" w:rsidP="007B0B27">
            <w:pPr>
              <w:jc w:val="both"/>
              <w:rPr>
                <w:rFonts w:ascii="Verdana" w:eastAsia="Calibri" w:hAnsi="Verdana" w:cs="Arial"/>
                <w:b/>
                <w:bCs/>
                <w:color w:val="7030A0"/>
                <w:lang w:val="es-ES" w:eastAsia="es-ES"/>
              </w:rPr>
            </w:pPr>
            <w:r w:rsidRPr="00FF0864">
              <w:rPr>
                <w:rFonts w:ascii="Verdana" w:eastAsia="Calibri" w:hAnsi="Verdana" w:cs="Arial"/>
                <w:b/>
                <w:bCs/>
                <w:lang w:val="es-ES" w:eastAsia="es-ES"/>
              </w:rPr>
              <w:t xml:space="preserve">Concepto C- </w:t>
            </w:r>
            <w:r w:rsidR="00FF0864" w:rsidRPr="00FF0864">
              <w:rPr>
                <w:rFonts w:ascii="Verdana" w:eastAsia="Calibri" w:hAnsi="Verdana" w:cs="Arial"/>
                <w:b/>
                <w:bCs/>
                <w:lang w:val="es-ES" w:eastAsia="es-ES"/>
              </w:rPr>
              <w:t>816</w:t>
            </w:r>
            <w:r w:rsidR="00BE2B78" w:rsidRPr="00FF0864">
              <w:rPr>
                <w:rFonts w:ascii="Verdana" w:eastAsia="Calibri" w:hAnsi="Verdana" w:cs="Arial"/>
                <w:b/>
                <w:bCs/>
                <w:lang w:val="es-ES" w:eastAsia="es-ES"/>
              </w:rPr>
              <w:t xml:space="preserve"> </w:t>
            </w:r>
            <w:r w:rsidRPr="00FF0864">
              <w:rPr>
                <w:rFonts w:ascii="Verdana" w:eastAsia="Calibri" w:hAnsi="Verdana" w:cs="Arial"/>
                <w:b/>
                <w:bCs/>
                <w:lang w:val="es-ES" w:eastAsia="es-ES"/>
              </w:rPr>
              <w:t>de 2024</w:t>
            </w:r>
          </w:p>
        </w:tc>
      </w:tr>
      <w:tr w:rsidR="0050012F" w:rsidRPr="00FF0864" w14:paraId="317258D8" w14:textId="77777777" w:rsidTr="007B0B27">
        <w:trPr>
          <w:trHeight w:val="884"/>
        </w:trPr>
        <w:tc>
          <w:tcPr>
            <w:tcW w:w="2268" w:type="dxa"/>
          </w:tcPr>
          <w:p w14:paraId="216AB9FC" w14:textId="77777777" w:rsidR="0050012F" w:rsidRPr="00FF0864" w:rsidRDefault="0050012F" w:rsidP="0050012F">
            <w:pPr>
              <w:jc w:val="both"/>
              <w:rPr>
                <w:rFonts w:ascii="Verdana" w:eastAsia="Calibri" w:hAnsi="Verdana" w:cs="Arial"/>
                <w:b/>
                <w:bCs/>
                <w:lang w:val="es-ES_tradnl" w:eastAsia="es-ES_tradnl"/>
              </w:rPr>
            </w:pPr>
            <w:r w:rsidRPr="00FF0864">
              <w:rPr>
                <w:rFonts w:ascii="Verdana" w:eastAsia="Calibri" w:hAnsi="Verdana" w:cs="Arial"/>
                <w:b/>
                <w:bCs/>
                <w:lang w:val="es-ES_tradnl" w:eastAsia="es-ES_tradnl"/>
              </w:rPr>
              <w:t xml:space="preserve">Temas:                   </w:t>
            </w:r>
          </w:p>
        </w:tc>
        <w:tc>
          <w:tcPr>
            <w:tcW w:w="6946" w:type="dxa"/>
          </w:tcPr>
          <w:p w14:paraId="7D22D41A" w14:textId="77777777" w:rsidR="00A96BF0" w:rsidRPr="00FF0864" w:rsidRDefault="00A96BF0" w:rsidP="00A96BF0">
            <w:pPr>
              <w:jc w:val="both"/>
              <w:rPr>
                <w:rFonts w:ascii="Verdana" w:eastAsia="Calibri" w:hAnsi="Verdana" w:cs="Arial"/>
                <w:lang w:val="es-ES_tradnl" w:eastAsia="es-ES_tradnl"/>
              </w:rPr>
            </w:pPr>
            <w:r w:rsidRPr="00FF0864">
              <w:rPr>
                <w:rFonts w:ascii="Verdana" w:eastAsia="Calibri" w:hAnsi="Verdana" w:cs="Arial"/>
                <w:lang w:val="es-ES_tradnl" w:eastAsia="es-ES_tradnl"/>
              </w:rPr>
              <w:t>INHABILIDADES – Definición – Finalidad – Limitación capacidad contractual / CONTRATACIÓN ESTATAL – Capacidad – Validez contratos – Régimen de contratación – Inscripción – Limitación de la capacidad / INHABILIDADES – Taxatividad – Principio de legalidad – Interpretación restrictiva</w:t>
            </w:r>
          </w:p>
          <w:p w14:paraId="07A9E108" w14:textId="3C2FF69C" w:rsidR="00A96BF0" w:rsidRPr="00FF0864" w:rsidRDefault="00A96BF0" w:rsidP="00A96BF0">
            <w:pPr>
              <w:tabs>
                <w:tab w:val="left" w:pos="426"/>
              </w:tabs>
              <w:jc w:val="both"/>
              <w:rPr>
                <w:rFonts w:ascii="Verdana" w:eastAsia="Calibri" w:hAnsi="Verdana" w:cs="Arial"/>
                <w:b/>
                <w:lang w:val="es-ES_tradnl"/>
              </w:rPr>
            </w:pPr>
          </w:p>
          <w:p w14:paraId="362B2D37" w14:textId="77777777" w:rsidR="0050012F" w:rsidRPr="00FF0864" w:rsidRDefault="0050012F" w:rsidP="0050012F">
            <w:pPr>
              <w:spacing w:line="276" w:lineRule="auto"/>
              <w:jc w:val="both"/>
              <w:rPr>
                <w:rFonts w:ascii="Verdana" w:eastAsia="Calibri" w:hAnsi="Verdana" w:cs="Arial"/>
                <w:lang w:eastAsia="es-ES_tradnl"/>
              </w:rPr>
            </w:pPr>
          </w:p>
        </w:tc>
      </w:tr>
      <w:tr w:rsidR="0050012F" w:rsidRPr="00FF0864" w14:paraId="6B3F3ED0" w14:textId="77777777" w:rsidTr="007B0B27">
        <w:tc>
          <w:tcPr>
            <w:tcW w:w="2268" w:type="dxa"/>
          </w:tcPr>
          <w:p w14:paraId="0AC72359" w14:textId="77777777" w:rsidR="0050012F" w:rsidRPr="00FF0864" w:rsidRDefault="0050012F" w:rsidP="0050012F">
            <w:pPr>
              <w:jc w:val="both"/>
              <w:rPr>
                <w:rFonts w:ascii="Verdana" w:eastAsia="Calibri" w:hAnsi="Verdana" w:cs="Arial"/>
                <w:b/>
                <w:lang w:val="es-ES_tradnl" w:eastAsia="es-ES_tradnl"/>
              </w:rPr>
            </w:pPr>
            <w:r w:rsidRPr="00FF0864">
              <w:rPr>
                <w:rFonts w:ascii="Verdana" w:eastAsia="Calibri" w:hAnsi="Verdana" w:cs="Arial"/>
                <w:b/>
                <w:lang w:val="es-ES_tradnl" w:eastAsia="es-ES_tradnl"/>
              </w:rPr>
              <w:t>Radicación:</w:t>
            </w:r>
            <w:r w:rsidRPr="00FF0864">
              <w:rPr>
                <w:rFonts w:ascii="Verdana" w:eastAsia="Calibri" w:hAnsi="Verdana" w:cs="Arial"/>
                <w:lang w:val="es-ES_tradnl" w:eastAsia="es-ES_tradnl"/>
              </w:rPr>
              <w:t xml:space="preserve">               </w:t>
            </w:r>
          </w:p>
        </w:tc>
        <w:tc>
          <w:tcPr>
            <w:tcW w:w="6946" w:type="dxa"/>
          </w:tcPr>
          <w:p w14:paraId="3BC81AFB" w14:textId="6AC345F8" w:rsidR="0050012F" w:rsidRPr="00FF0864" w:rsidRDefault="0050012F" w:rsidP="0050012F">
            <w:pPr>
              <w:rPr>
                <w:rFonts w:ascii="Verdana" w:eastAsia="Times New Roman" w:hAnsi="Verdana" w:cs="Calibri"/>
                <w:color w:val="000000"/>
                <w:lang w:val="es-419" w:eastAsia="es-419"/>
              </w:rPr>
            </w:pPr>
            <w:r w:rsidRPr="00FF0864">
              <w:rPr>
                <w:rFonts w:ascii="Verdana" w:eastAsia="Calibri" w:hAnsi="Verdana" w:cs="Arial"/>
                <w:lang w:val="es-ES_tradnl" w:eastAsia="es-ES_tradnl"/>
              </w:rPr>
              <w:t xml:space="preserve">Respuesta a consulta con radicado No. </w:t>
            </w:r>
            <w:r w:rsidR="00FF0864" w:rsidRPr="00FF0864">
              <w:rPr>
                <w:rFonts w:ascii="Verdana" w:eastAsia="Times New Roman" w:hAnsi="Verdana" w:cs="Calibri"/>
                <w:color w:val="000000"/>
                <w:lang w:val="es-419" w:eastAsia="es-419"/>
              </w:rPr>
              <w:t>P20241105011129</w:t>
            </w:r>
          </w:p>
          <w:p w14:paraId="14A3CEBF" w14:textId="06BFF59D" w:rsidR="0050012F" w:rsidRPr="00FF0864" w:rsidRDefault="0050012F" w:rsidP="0050012F">
            <w:pPr>
              <w:jc w:val="both"/>
              <w:rPr>
                <w:rFonts w:ascii="Verdana" w:eastAsia="Calibri" w:hAnsi="Verdana" w:cs="Arial"/>
                <w:lang w:val="es-ES_tradnl" w:eastAsia="es-ES_tradnl"/>
              </w:rPr>
            </w:pPr>
          </w:p>
        </w:tc>
      </w:tr>
    </w:tbl>
    <w:p w14:paraId="7459B210" w14:textId="77777777" w:rsidR="00AB64A5" w:rsidRPr="00FF0864" w:rsidRDefault="00AB64A5" w:rsidP="00AB64A5">
      <w:pPr>
        <w:spacing w:after="0" w:line="240" w:lineRule="auto"/>
        <w:jc w:val="both"/>
        <w:rPr>
          <w:rFonts w:ascii="Verdana" w:eastAsia="Calibri" w:hAnsi="Verdana" w:cs="Arial"/>
          <w:color w:val="000000"/>
          <w:lang w:val="es-ES_tradnl" w:eastAsia="es-ES_tradnl"/>
        </w:rPr>
      </w:pPr>
    </w:p>
    <w:p w14:paraId="3010FD6F" w14:textId="77777777" w:rsidR="00AB64A5" w:rsidRPr="00FF0864" w:rsidRDefault="00AB64A5" w:rsidP="00AB64A5">
      <w:pPr>
        <w:spacing w:after="0" w:line="240" w:lineRule="auto"/>
        <w:jc w:val="both"/>
        <w:rPr>
          <w:rFonts w:ascii="Verdana" w:eastAsia="Calibri" w:hAnsi="Verdana" w:cs="Arial"/>
          <w:color w:val="000000"/>
          <w:lang w:val="es-ES_tradnl" w:eastAsia="es-ES_tradnl"/>
        </w:rPr>
      </w:pPr>
    </w:p>
    <w:p w14:paraId="16D75B47" w14:textId="596984EC" w:rsidR="00AB64A5" w:rsidRPr="00FF0864" w:rsidRDefault="00AB64A5" w:rsidP="00AB64A5">
      <w:pPr>
        <w:spacing w:after="0" w:line="276" w:lineRule="auto"/>
        <w:jc w:val="both"/>
        <w:rPr>
          <w:rFonts w:ascii="Verdana" w:eastAsia="Calibri" w:hAnsi="Verdana" w:cs="Arial"/>
          <w:lang w:val="es-ES" w:eastAsia="es-ES"/>
        </w:rPr>
      </w:pPr>
      <w:r w:rsidRPr="00FF0864">
        <w:rPr>
          <w:rFonts w:ascii="Verdana" w:eastAsia="Calibri" w:hAnsi="Verdana" w:cs="Arial"/>
          <w:lang w:val="es-ES" w:eastAsia="es-ES"/>
        </w:rPr>
        <w:t>Estimad</w:t>
      </w:r>
      <w:r w:rsidR="0050012F" w:rsidRPr="00FF0864">
        <w:rPr>
          <w:rFonts w:ascii="Verdana" w:eastAsia="Calibri" w:hAnsi="Verdana" w:cs="Arial"/>
          <w:lang w:val="es-ES" w:eastAsia="es-ES"/>
        </w:rPr>
        <w:t xml:space="preserve">o señor </w:t>
      </w:r>
      <w:r w:rsidR="00FF0864" w:rsidRPr="00FF0864">
        <w:rPr>
          <w:rFonts w:ascii="Verdana" w:eastAsia="Calibri" w:hAnsi="Verdana" w:cs="Arial"/>
          <w:lang w:val="es-ES" w:eastAsia="es-ES"/>
        </w:rPr>
        <w:t>Zuluaga</w:t>
      </w:r>
      <w:r w:rsidR="00A96BF0" w:rsidRPr="00FF0864">
        <w:rPr>
          <w:rFonts w:ascii="Verdana" w:eastAsia="Calibri" w:hAnsi="Verdana" w:cs="Arial"/>
          <w:lang w:val="es-ES" w:eastAsia="es-ES"/>
        </w:rPr>
        <w:t>:</w:t>
      </w:r>
      <w:r w:rsidRPr="00FF0864">
        <w:rPr>
          <w:rFonts w:ascii="Verdana" w:eastAsia="Calibri" w:hAnsi="Verdana" w:cs="Arial"/>
          <w:lang w:val="es-ES" w:eastAsia="es-ES"/>
        </w:rPr>
        <w:t xml:space="preserve"> </w:t>
      </w:r>
    </w:p>
    <w:p w14:paraId="5ED55F00" w14:textId="77777777" w:rsidR="00AB64A5" w:rsidRPr="00FF0864" w:rsidRDefault="00AB64A5" w:rsidP="00AB64A5">
      <w:pPr>
        <w:tabs>
          <w:tab w:val="left" w:pos="3768"/>
        </w:tabs>
        <w:spacing w:after="0" w:line="276" w:lineRule="auto"/>
        <w:jc w:val="both"/>
        <w:rPr>
          <w:rFonts w:ascii="Verdana" w:eastAsia="Calibri" w:hAnsi="Verdana" w:cs="Arial"/>
          <w:color w:val="000000" w:themeColor="text1"/>
          <w:lang w:val="es-ES" w:eastAsia="es-ES"/>
        </w:rPr>
      </w:pPr>
      <w:r w:rsidRPr="00FF0864">
        <w:rPr>
          <w:rFonts w:ascii="Verdana" w:eastAsia="Calibri" w:hAnsi="Verdana" w:cs="Arial"/>
          <w:color w:val="000000" w:themeColor="text1"/>
          <w:lang w:val="es-ES" w:eastAsia="es-ES"/>
        </w:rPr>
        <w:tab/>
      </w:r>
    </w:p>
    <w:p w14:paraId="3AAA6349" w14:textId="3819DF50" w:rsidR="00AB64A5" w:rsidRPr="00FF0864" w:rsidRDefault="00AB64A5" w:rsidP="00AB64A5">
      <w:pPr>
        <w:spacing w:after="0" w:line="276" w:lineRule="auto"/>
        <w:jc w:val="both"/>
        <w:rPr>
          <w:rFonts w:ascii="Verdana" w:eastAsia="Calibri" w:hAnsi="Verdana" w:cs="Arial"/>
          <w:lang w:val="es-ES" w:eastAsia="es-ES"/>
        </w:rPr>
      </w:pPr>
      <w:r w:rsidRPr="00FF0864">
        <w:rPr>
          <w:rFonts w:ascii="Verdana" w:eastAsia="Calibri" w:hAnsi="Verdana" w:cs="Arial"/>
          <w:lang w:val="es-ES" w:eastAsia="es-ES"/>
        </w:rPr>
        <w:t>En ejercicio de la competencia otorgada por los artículos 3, numeral 5º, y 11, numeral 8º, del Decreto Ley 4170 de 2011,</w:t>
      </w:r>
      <w:r w:rsidRPr="00FF0864">
        <w:rPr>
          <w:rFonts w:ascii="Verdana" w:eastAsia="Arial MT" w:hAnsi="Verdana" w:cs="Arial MT"/>
          <w:lang w:val="es-ES" w:eastAsia="es-ES"/>
        </w:rPr>
        <w:t xml:space="preserve"> </w:t>
      </w:r>
      <w:r w:rsidRPr="00FF0864">
        <w:rPr>
          <w:rFonts w:ascii="Verdana" w:hAnsi="Verdana" w:cs="Arial"/>
        </w:rPr>
        <w:t xml:space="preserve">así como lo establecido en el artículo 4 de la Resolución 1707 de 2018 expedida por esta Entidad, </w:t>
      </w:r>
      <w:r w:rsidRPr="00FF0864">
        <w:rPr>
          <w:rFonts w:ascii="Verdana" w:eastAsia="Calibri" w:hAnsi="Verdana" w:cs="Arial"/>
          <w:lang w:val="es-ES" w:eastAsia="es-ES"/>
        </w:rPr>
        <w:t xml:space="preserve">la Agencia Nacional de Contratación Pública – Colombia Compra Eficiente– responde su solicitud radicada en esta entidad el </w:t>
      </w:r>
      <w:r w:rsidR="005F6633">
        <w:rPr>
          <w:rFonts w:ascii="Verdana" w:eastAsia="Calibri" w:hAnsi="Verdana" w:cs="Arial"/>
          <w:lang w:val="es-ES" w:eastAsia="es-ES"/>
        </w:rPr>
        <w:t>5</w:t>
      </w:r>
      <w:r w:rsidRPr="00FF0864">
        <w:rPr>
          <w:rFonts w:ascii="Verdana" w:eastAsia="Calibri" w:hAnsi="Verdana" w:cs="Arial"/>
          <w:lang w:val="es-ES" w:eastAsia="es-ES"/>
        </w:rPr>
        <w:t xml:space="preserve"> de </w:t>
      </w:r>
      <w:r w:rsidR="009F4B33">
        <w:rPr>
          <w:rFonts w:ascii="Verdana" w:eastAsia="Calibri" w:hAnsi="Verdana" w:cs="Arial"/>
          <w:lang w:val="es-ES" w:eastAsia="es-ES"/>
        </w:rPr>
        <w:t>noviembre</w:t>
      </w:r>
      <w:r w:rsidRPr="00FF0864">
        <w:rPr>
          <w:rFonts w:ascii="Verdana" w:eastAsia="Calibri" w:hAnsi="Verdana" w:cs="Arial"/>
          <w:lang w:val="es-ES" w:eastAsia="es-ES"/>
        </w:rPr>
        <w:t xml:space="preserve"> de 2024, en la cual manifiesta lo siguiente: </w:t>
      </w:r>
    </w:p>
    <w:p w14:paraId="35AFAAA8" w14:textId="77777777" w:rsidR="00AB64A5" w:rsidRPr="00FF0864" w:rsidRDefault="00AB64A5" w:rsidP="00AB64A5">
      <w:pPr>
        <w:spacing w:after="0" w:line="240" w:lineRule="auto"/>
        <w:ind w:left="709" w:right="709"/>
        <w:jc w:val="both"/>
        <w:rPr>
          <w:rFonts w:ascii="Verdana" w:hAnsi="Verdana" w:cs="Arial"/>
          <w:shd w:val="clear" w:color="auto" w:fill="FFFFFF"/>
        </w:rPr>
      </w:pPr>
      <w:bookmarkStart w:id="1" w:name="_Hlk95313578"/>
    </w:p>
    <w:bookmarkEnd w:id="1"/>
    <w:p w14:paraId="4E543B6E" w14:textId="15B0778F" w:rsidR="00AB64A5" w:rsidRPr="00FF0864" w:rsidRDefault="00FC3EC1" w:rsidP="00FF0864">
      <w:pPr>
        <w:spacing w:after="0" w:line="276" w:lineRule="auto"/>
        <w:ind w:left="709" w:right="758"/>
        <w:jc w:val="both"/>
        <w:rPr>
          <w:rFonts w:ascii="Verdana" w:eastAsia="Calibri" w:hAnsi="Verdana" w:cs="Arial"/>
          <w:sz w:val="21"/>
          <w:szCs w:val="21"/>
          <w:lang w:val="es-ES" w:eastAsia="es-ES"/>
        </w:rPr>
      </w:pPr>
      <w:r w:rsidRPr="00FF0864">
        <w:rPr>
          <w:rFonts w:ascii="Verdana" w:eastAsia="Calibri" w:hAnsi="Verdana" w:cs="Arial"/>
          <w:sz w:val="21"/>
          <w:szCs w:val="21"/>
          <w:lang w:val="es-ES" w:eastAsia="es-ES"/>
        </w:rPr>
        <w:t>“</w:t>
      </w:r>
      <w:r w:rsidR="00FF0864" w:rsidRPr="00FF0864">
        <w:rPr>
          <w:rFonts w:ascii="Verdana" w:eastAsia="Calibri" w:hAnsi="Verdana" w:cs="Arial"/>
          <w:sz w:val="21"/>
          <w:szCs w:val="21"/>
          <w:lang w:eastAsia="es-ES"/>
        </w:rPr>
        <w:t>Si soy contratista por prestación de servicios de una Administración Municipal, ¿puedo ser socio de una Entidad Sin Ánimo de Lucro (ESAL)? Si soy socio y miembro de la junta directiva de una ESAL, ¿puede esta entidad contratar con la misma Administración Municipal para la cual trabajo como contratista?</w:t>
      </w:r>
      <w:r w:rsidR="00FF0864" w:rsidRPr="00FF0864">
        <w:rPr>
          <w:rFonts w:ascii="Verdana" w:eastAsia="Calibri" w:hAnsi="Verdana" w:cs="Arial"/>
          <w:sz w:val="21"/>
          <w:szCs w:val="21"/>
          <w:lang w:val="es-ES" w:eastAsia="es-ES"/>
        </w:rPr>
        <w:t xml:space="preserve"> </w:t>
      </w:r>
      <w:r w:rsidRPr="00FF0864">
        <w:rPr>
          <w:rFonts w:ascii="Verdana" w:eastAsia="Calibri" w:hAnsi="Verdana" w:cs="Arial"/>
          <w:sz w:val="21"/>
          <w:szCs w:val="21"/>
          <w:lang w:val="es-ES" w:eastAsia="es-ES"/>
        </w:rPr>
        <w:t>[sic]</w:t>
      </w:r>
      <w:r w:rsidR="00A96BF0" w:rsidRPr="00FF0864">
        <w:rPr>
          <w:rFonts w:ascii="Verdana" w:eastAsia="Calibri" w:hAnsi="Verdana" w:cs="Arial"/>
          <w:sz w:val="21"/>
          <w:szCs w:val="21"/>
          <w:lang w:val="es-ES" w:eastAsia="es-ES"/>
        </w:rPr>
        <w:t>”</w:t>
      </w:r>
    </w:p>
    <w:p w14:paraId="59ACC790" w14:textId="77777777" w:rsidR="00FC3EC1" w:rsidRPr="00FF0864" w:rsidRDefault="00FC3EC1" w:rsidP="00FC3EC1">
      <w:pPr>
        <w:spacing w:after="0" w:line="276" w:lineRule="auto"/>
        <w:ind w:left="709" w:right="758"/>
        <w:jc w:val="both"/>
        <w:rPr>
          <w:rFonts w:ascii="Verdana" w:eastAsia="Century Gothic" w:hAnsi="Verdana" w:cs="Century Gothic"/>
          <w:i/>
          <w:iCs/>
        </w:rPr>
      </w:pPr>
    </w:p>
    <w:p w14:paraId="1078C241" w14:textId="77777777" w:rsidR="00AB64A5" w:rsidRPr="00FF0864" w:rsidRDefault="00AB64A5" w:rsidP="00AB64A5">
      <w:pPr>
        <w:spacing w:after="120" w:line="276" w:lineRule="auto"/>
        <w:ind w:firstLine="709"/>
        <w:jc w:val="both"/>
        <w:rPr>
          <w:rFonts w:ascii="Verdana" w:eastAsia="Calibri" w:hAnsi="Verdana" w:cs="Arial"/>
          <w:color w:val="000000"/>
          <w:lang w:val="es-ES_tradnl" w:eastAsia="es-ES_tradnl"/>
        </w:rPr>
      </w:pPr>
      <w:r w:rsidRPr="00FF0864">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FF0864">
        <w:rPr>
          <w:rFonts w:ascii="Verdana" w:eastAsia="Calibri" w:hAnsi="Verdana" w:cs="Arial"/>
          <w:color w:val="000000"/>
          <w:lang w:val="es-ES_tradnl" w:eastAsia="es-ES_tradnl"/>
        </w:rPr>
        <w:tab/>
      </w:r>
    </w:p>
    <w:p w14:paraId="03C1028C" w14:textId="77777777" w:rsidR="00AB64A5" w:rsidRPr="00FF0864" w:rsidRDefault="00AB64A5" w:rsidP="00AB64A5">
      <w:pPr>
        <w:spacing w:after="0" w:line="276" w:lineRule="auto"/>
        <w:ind w:firstLine="709"/>
        <w:jc w:val="both"/>
        <w:rPr>
          <w:rFonts w:ascii="Verdana" w:eastAsia="Calibri" w:hAnsi="Verdana" w:cs="Arial"/>
          <w:color w:val="000000"/>
          <w:lang w:val="es-ES" w:eastAsia="es-ES"/>
        </w:rPr>
      </w:pPr>
      <w:r w:rsidRPr="00FF0864">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w:t>
      </w:r>
      <w:r w:rsidRPr="00FF0864">
        <w:rPr>
          <w:rFonts w:ascii="Verdana" w:eastAsia="Calibri" w:hAnsi="Verdana" w:cs="Arial"/>
          <w:color w:val="7030A0"/>
          <w:lang w:val="es-ES" w:eastAsia="es-ES"/>
        </w:rPr>
        <w:t xml:space="preserve"> </w:t>
      </w:r>
      <w:r w:rsidRPr="00FF0864">
        <w:rPr>
          <w:rFonts w:ascii="Verdana" w:eastAsia="Calibri" w:hAnsi="Verdana" w:cs="Arial"/>
          <w:color w:val="000000"/>
          <w:lang w:val="es-ES" w:eastAsia="es-ES"/>
        </w:rPr>
        <w:t>jurídico</w:t>
      </w:r>
      <w:r w:rsidRPr="00FF0864">
        <w:rPr>
          <w:rFonts w:ascii="Verdana" w:eastAsia="Calibri" w:hAnsi="Verdana" w:cs="Arial"/>
          <w:color w:val="7030A0"/>
          <w:lang w:val="es-ES" w:eastAsia="es-ES"/>
        </w:rPr>
        <w:t xml:space="preserve"> </w:t>
      </w:r>
      <w:r w:rsidRPr="00FF0864">
        <w:rPr>
          <w:rFonts w:ascii="Verdana" w:eastAsia="Calibri" w:hAnsi="Verdana" w:cs="Arial"/>
          <w:color w:val="000000"/>
          <w:lang w:val="es-ES" w:eastAsia="es-ES"/>
        </w:rPr>
        <w:t xml:space="preserve">de su consulta. </w:t>
      </w:r>
    </w:p>
    <w:p w14:paraId="1E8B5A8D" w14:textId="77777777" w:rsidR="00AB64A5" w:rsidRPr="00FF0864" w:rsidRDefault="00AB64A5" w:rsidP="00AB64A5">
      <w:pPr>
        <w:spacing w:after="0" w:line="276" w:lineRule="auto"/>
        <w:ind w:firstLine="709"/>
        <w:jc w:val="both"/>
        <w:rPr>
          <w:rFonts w:ascii="Verdana" w:eastAsia="Calibri" w:hAnsi="Verdana" w:cs="Arial"/>
          <w:color w:val="000000"/>
          <w:lang w:val="es-ES" w:eastAsia="es-ES"/>
        </w:rPr>
      </w:pPr>
    </w:p>
    <w:p w14:paraId="631D94B5" w14:textId="77777777" w:rsidR="00AB64A5" w:rsidRPr="00FF0864" w:rsidRDefault="00AB64A5" w:rsidP="00AB64A5">
      <w:pPr>
        <w:pStyle w:val="Prrafodelista"/>
        <w:numPr>
          <w:ilvl w:val="0"/>
          <w:numId w:val="1"/>
        </w:numPr>
        <w:tabs>
          <w:tab w:val="left" w:pos="142"/>
          <w:tab w:val="left" w:pos="284"/>
        </w:tabs>
        <w:spacing w:after="0" w:line="276" w:lineRule="auto"/>
        <w:ind w:left="0" w:firstLine="0"/>
        <w:jc w:val="both"/>
        <w:rPr>
          <w:rFonts w:ascii="Verdana" w:eastAsia="Century Gothic" w:hAnsi="Verdana" w:cs="Century Gothic"/>
          <w:b/>
          <w:bCs/>
        </w:rPr>
      </w:pPr>
      <w:r w:rsidRPr="00FF0864">
        <w:rPr>
          <w:rFonts w:ascii="Verdana" w:eastAsia="Century Gothic" w:hAnsi="Verdana" w:cs="Century Gothic"/>
          <w:b/>
          <w:bCs/>
        </w:rPr>
        <w:t>Problema planteado:</w:t>
      </w:r>
    </w:p>
    <w:p w14:paraId="00DEDA85" w14:textId="77777777" w:rsidR="00AB64A5" w:rsidRPr="00FF0864" w:rsidRDefault="00AB64A5" w:rsidP="00AB64A5">
      <w:pPr>
        <w:tabs>
          <w:tab w:val="left" w:pos="426"/>
        </w:tabs>
        <w:spacing w:after="0" w:line="276" w:lineRule="auto"/>
        <w:jc w:val="both"/>
        <w:rPr>
          <w:rFonts w:ascii="Verdana" w:eastAsia="Century Gothic" w:hAnsi="Verdana" w:cs="Century Gothic"/>
          <w:lang w:val="es-ES"/>
        </w:rPr>
      </w:pPr>
    </w:p>
    <w:p w14:paraId="6C677CB7" w14:textId="6D757026" w:rsidR="00FC3EC1" w:rsidRPr="00FF0864" w:rsidRDefault="00AB64A5" w:rsidP="00553F39">
      <w:pPr>
        <w:spacing w:after="0" w:line="276" w:lineRule="auto"/>
        <w:ind w:right="49"/>
        <w:jc w:val="both"/>
        <w:rPr>
          <w:rFonts w:ascii="Verdana" w:eastAsia="Calibri" w:hAnsi="Verdana" w:cs="Arial"/>
          <w:lang w:val="es-ES" w:eastAsia="es-ES"/>
        </w:rPr>
      </w:pPr>
      <w:r w:rsidRPr="00FF0864">
        <w:rPr>
          <w:rFonts w:ascii="Verdana" w:eastAsia="Century Gothic" w:hAnsi="Verdana" w:cs="Century Gothic"/>
        </w:rPr>
        <w:t>De acuerdo con el contenido de su solicitud, esta Agencia resolverá el siguiente problema jurídic</w:t>
      </w:r>
      <w:r w:rsidR="0060538B" w:rsidRPr="00FF0864">
        <w:rPr>
          <w:rFonts w:ascii="Verdana" w:eastAsia="Century Gothic" w:hAnsi="Verdana" w:cs="Century Gothic"/>
        </w:rPr>
        <w:t>o</w:t>
      </w:r>
      <w:r w:rsidR="0060538B" w:rsidRPr="00FF0864">
        <w:rPr>
          <w:rFonts w:ascii="Verdana" w:eastAsia="Calibri" w:hAnsi="Verdana" w:cs="Times New Roman"/>
        </w:rPr>
        <w:t>: ¿</w:t>
      </w:r>
      <w:r w:rsidR="00942844" w:rsidRPr="00FF0864">
        <w:rPr>
          <w:rFonts w:ascii="Verdana" w:eastAsia="Calibri" w:hAnsi="Verdana" w:cs="Times New Roman"/>
        </w:rPr>
        <w:t>Puede una persona con inhabilidades e incompatibilidades suscribir un contrato de prestación de servicios con una entidad estatal</w:t>
      </w:r>
      <w:r w:rsidR="0060538B" w:rsidRPr="00FF0864">
        <w:rPr>
          <w:rFonts w:ascii="Verdana" w:eastAsia="Calibri" w:hAnsi="Verdana" w:cs="Times New Roman"/>
        </w:rPr>
        <w:t>?</w:t>
      </w:r>
    </w:p>
    <w:p w14:paraId="510EDFE3" w14:textId="77777777" w:rsidR="00CD258B" w:rsidRPr="00FF0864" w:rsidRDefault="00CD258B" w:rsidP="00CD258B">
      <w:pPr>
        <w:spacing w:after="0" w:line="276" w:lineRule="auto"/>
        <w:jc w:val="both"/>
        <w:rPr>
          <w:rFonts w:ascii="Verdana" w:eastAsia="Century Gothic" w:hAnsi="Verdana" w:cs="Century Gothic"/>
          <w:lang w:val="es-ES"/>
        </w:rPr>
      </w:pPr>
    </w:p>
    <w:p w14:paraId="7105E377" w14:textId="77777777" w:rsidR="00AB64A5" w:rsidRPr="00FF0864" w:rsidRDefault="00AB64A5" w:rsidP="00AB64A5">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F0864">
        <w:rPr>
          <w:rFonts w:ascii="Verdana" w:eastAsia="Century Gothic" w:hAnsi="Verdana" w:cs="Century Gothic"/>
          <w:b/>
          <w:bCs/>
        </w:rPr>
        <w:t>Respuesta:</w:t>
      </w:r>
    </w:p>
    <w:p w14:paraId="09F450DC" w14:textId="77777777" w:rsidR="00AB64A5" w:rsidRPr="00FF0864" w:rsidRDefault="00AB64A5" w:rsidP="00AB64A5">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AB64A5" w:rsidRPr="00FF0864" w14:paraId="7E3B28CD" w14:textId="77777777" w:rsidTr="007B0B27">
        <w:tc>
          <w:tcPr>
            <w:tcW w:w="8828" w:type="dxa"/>
            <w:shd w:val="clear" w:color="auto" w:fill="auto"/>
          </w:tcPr>
          <w:p w14:paraId="6AE7007E" w14:textId="77777777" w:rsidR="0050012F" w:rsidRPr="00FF0864" w:rsidRDefault="009A2511" w:rsidP="006D51B2">
            <w:pPr>
              <w:widowControl w:val="0"/>
              <w:tabs>
                <w:tab w:val="left" w:pos="2143"/>
              </w:tabs>
              <w:autoSpaceDE w:val="0"/>
              <w:autoSpaceDN w:val="0"/>
              <w:spacing w:after="120" w:line="276" w:lineRule="auto"/>
              <w:jc w:val="both"/>
              <w:rPr>
                <w:rFonts w:ascii="Verdana" w:hAnsi="Verdana" w:cs="Arial"/>
              </w:rPr>
            </w:pPr>
            <w:r w:rsidRPr="00FF0864">
              <w:rPr>
                <w:rFonts w:ascii="Verdana" w:hAnsi="Verdana" w:cs="Arial"/>
              </w:rPr>
              <w:t xml:space="preserve">Conforme a lo expuesto, las disposiciones del régimen de inhabilidades e incompatibilidades afectan la capacidad jurídica, la cual constituye uno de los </w:t>
            </w:r>
            <w:r w:rsidRPr="00FF0864">
              <w:rPr>
                <w:rFonts w:ascii="Verdana" w:hAnsi="Verdana" w:cs="Arial"/>
              </w:rPr>
              <w:lastRenderedPageBreak/>
              <w:t>requisitos habilitantes en los procesos de selección. Esto implica que las entidades estatales, al evaluar los requisitos habilitantes de los oferentes, deben verificar que estos no se encuentren incursos en causales de inhabilidad o incompatibilidad que restrinjan su capacidad para participar en el proceso o celebrar contratos.</w:t>
            </w:r>
          </w:p>
          <w:p w14:paraId="7DB8FA41" w14:textId="4B4E78CE" w:rsidR="00942844" w:rsidRPr="00FF0864" w:rsidRDefault="00942844" w:rsidP="006D51B2">
            <w:pPr>
              <w:widowControl w:val="0"/>
              <w:tabs>
                <w:tab w:val="left" w:pos="2143"/>
              </w:tabs>
              <w:autoSpaceDE w:val="0"/>
              <w:autoSpaceDN w:val="0"/>
              <w:spacing w:after="120" w:line="276" w:lineRule="auto"/>
              <w:jc w:val="both"/>
              <w:rPr>
                <w:rFonts w:ascii="Verdana" w:eastAsia="Calibri" w:hAnsi="Verdana" w:cs="Arial"/>
              </w:rPr>
            </w:pPr>
            <w:r w:rsidRPr="00FF0864">
              <w:rPr>
                <w:rFonts w:ascii="Verdana" w:eastAsia="Calibri" w:hAnsi="Verdana" w:cs="Arial"/>
              </w:rPr>
              <w:t xml:space="preserve">En este sentido, mientras exista una persona que cuente con alguna inhabilidad o incompatibilidad para contratar con el Estado, no será viable suscribir contratos con entidades estatales. Esto se debe a que las restricciones legales impuestas por dichas inhabilidades e incompatibilidades buscan garantizar la transparencia y el cumplimiento de la normativa en los procesos de contratación pública. </w:t>
            </w:r>
          </w:p>
          <w:p w14:paraId="4108809F" w14:textId="2F9EEDC0" w:rsidR="009A2511" w:rsidRPr="00FF0864" w:rsidRDefault="009A2511" w:rsidP="006D51B2">
            <w:pPr>
              <w:widowControl w:val="0"/>
              <w:tabs>
                <w:tab w:val="left" w:pos="2143"/>
              </w:tabs>
              <w:autoSpaceDE w:val="0"/>
              <w:autoSpaceDN w:val="0"/>
              <w:spacing w:after="120" w:line="276" w:lineRule="auto"/>
              <w:jc w:val="both"/>
              <w:rPr>
                <w:rFonts w:ascii="Verdana" w:eastAsia="Calibri" w:hAnsi="Verdana" w:cs="Arial"/>
                <w:u w:val="single"/>
              </w:rPr>
            </w:pPr>
            <w:r w:rsidRPr="00FF0864">
              <w:rPr>
                <w:rFonts w:ascii="Verdana" w:eastAsia="Calibri" w:hAnsi="Verdana" w:cs="Arial"/>
              </w:rPr>
              <w:t>Al respecto no existe norma que regule como debe acreditarse la ausencia de inhabilidades, por lo que existe libertad probatoria respecto de dicha circunstancia. En ese sentido, resulta válido que como anexo de la oferta se exijan declaraciones bajo la gravedad de juramento, en las que los oferentes den fe de no estar incursos en causales de inhabilidad o incompatibilidad. De acuerdo con esto, dicha declaración es un medio de acreditación admisible para que el proponente demuestre no estar incurso en la inhabilidad del literal g) del numeral 1 del artículo 8 de la Ley 80 de 1993.</w:t>
            </w:r>
          </w:p>
        </w:tc>
      </w:tr>
    </w:tbl>
    <w:p w14:paraId="25FD70A0" w14:textId="77777777" w:rsidR="00C04209" w:rsidRPr="00FF0864" w:rsidRDefault="00C04209" w:rsidP="00C04209">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194193F0" w14:textId="1CFCB6CC" w:rsidR="00AB64A5" w:rsidRPr="00FF0864" w:rsidRDefault="00AB64A5" w:rsidP="00AB64A5">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F0864">
        <w:rPr>
          <w:rFonts w:ascii="Verdana" w:eastAsia="Century Gothic" w:hAnsi="Verdana" w:cs="Century Gothic"/>
          <w:b/>
          <w:bCs/>
        </w:rPr>
        <w:t>Razones de la respuesta:</w:t>
      </w:r>
    </w:p>
    <w:p w14:paraId="03D52260" w14:textId="77777777" w:rsidR="00AB64A5" w:rsidRPr="00FF0864" w:rsidRDefault="00AB64A5" w:rsidP="00AB64A5">
      <w:pPr>
        <w:spacing w:after="0" w:line="276" w:lineRule="auto"/>
        <w:jc w:val="both"/>
        <w:rPr>
          <w:rFonts w:ascii="Verdana" w:eastAsia="Calibri" w:hAnsi="Verdana" w:cs="Arial"/>
          <w:color w:val="7030A0"/>
          <w:lang w:val="es-ES"/>
        </w:rPr>
      </w:pPr>
    </w:p>
    <w:p w14:paraId="22947B98" w14:textId="77777777" w:rsidR="00AB64A5" w:rsidRPr="00FF0864" w:rsidRDefault="00AB64A5" w:rsidP="00AB64A5">
      <w:pPr>
        <w:spacing w:after="0" w:line="276" w:lineRule="auto"/>
        <w:jc w:val="both"/>
        <w:rPr>
          <w:rFonts w:ascii="Verdana" w:eastAsia="Calibri" w:hAnsi="Verdana" w:cs="Arial"/>
          <w:lang w:val="es-ES"/>
        </w:rPr>
      </w:pPr>
      <w:r w:rsidRPr="00FF0864">
        <w:rPr>
          <w:rFonts w:ascii="Verdana" w:eastAsia="Calibri" w:hAnsi="Verdana" w:cs="Arial"/>
          <w:lang w:val="es-ES"/>
        </w:rPr>
        <w:t xml:space="preserve">Lo anterior se sustenta en las siguientes consideraciones: </w:t>
      </w:r>
    </w:p>
    <w:p w14:paraId="1B0B6DAD" w14:textId="77777777" w:rsidR="000E2148" w:rsidRPr="00FF0864" w:rsidRDefault="000E2148" w:rsidP="00AB64A5">
      <w:pPr>
        <w:spacing w:after="0" w:line="276" w:lineRule="auto"/>
        <w:jc w:val="both"/>
        <w:rPr>
          <w:rFonts w:ascii="Verdana" w:eastAsia="Calibri" w:hAnsi="Verdana" w:cs="Arial"/>
          <w:lang w:val="es-ES"/>
        </w:rPr>
      </w:pPr>
    </w:p>
    <w:p w14:paraId="78F0B116" w14:textId="2DAB083F" w:rsidR="00FF2F27" w:rsidRPr="00FF0864" w:rsidRDefault="00FF2F27" w:rsidP="00942844">
      <w:pPr>
        <w:pStyle w:val="Sinespaciado"/>
        <w:numPr>
          <w:ilvl w:val="0"/>
          <w:numId w:val="32"/>
        </w:numPr>
        <w:spacing w:after="120" w:line="276" w:lineRule="auto"/>
        <w:jc w:val="both"/>
        <w:rPr>
          <w:rFonts w:ascii="Verdana" w:hAnsi="Verdana" w:cs="Arial"/>
          <w:sz w:val="22"/>
        </w:rPr>
      </w:pPr>
      <w:r w:rsidRPr="00FF0864">
        <w:rPr>
          <w:rFonts w:ascii="Verdana" w:hAnsi="Verdana" w:cs="Arial"/>
          <w:sz w:val="22"/>
        </w:rPr>
        <w:t xml:space="preserve">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w:t>
      </w:r>
    </w:p>
    <w:p w14:paraId="44C6900E" w14:textId="77777777" w:rsidR="00FF2F27" w:rsidRPr="00FF0864" w:rsidRDefault="00FF2F27" w:rsidP="00FF2F27">
      <w:pPr>
        <w:pStyle w:val="Sinespaciado"/>
        <w:numPr>
          <w:ilvl w:val="0"/>
          <w:numId w:val="32"/>
        </w:numPr>
        <w:spacing w:before="120" w:line="276" w:lineRule="auto"/>
        <w:jc w:val="both"/>
        <w:rPr>
          <w:rFonts w:ascii="Verdana" w:hAnsi="Verdana" w:cs="Arial"/>
          <w:sz w:val="22"/>
        </w:rPr>
      </w:pPr>
      <w:r w:rsidRPr="00FF0864">
        <w:rPr>
          <w:rFonts w:ascii="Verdana" w:hAnsi="Verdana" w:cs="Arial"/>
          <w:sz w:val="22"/>
        </w:rPr>
        <w:t xml:space="preserve">La consagración limitaciones que afectan la capacidad jurídica para contratar desarrolla los principios de la función administrativa consagrados en el artículo 209 de la Constitución Política, con especial énfasis el de moralidad. Así lo entiende el Consejo de Estado: </w:t>
      </w:r>
    </w:p>
    <w:p w14:paraId="109134B1" w14:textId="77777777" w:rsidR="00FF2F27" w:rsidRPr="00FF0864" w:rsidRDefault="00FF2F27" w:rsidP="00FF2F27">
      <w:pPr>
        <w:pStyle w:val="Sinespaciado"/>
        <w:spacing w:line="276" w:lineRule="auto"/>
        <w:jc w:val="both"/>
        <w:rPr>
          <w:rFonts w:ascii="Verdana" w:hAnsi="Verdana" w:cs="Arial"/>
          <w:sz w:val="22"/>
        </w:rPr>
      </w:pPr>
    </w:p>
    <w:p w14:paraId="2D9F2858" w14:textId="6AB9C998" w:rsidR="00FF2F27" w:rsidRPr="00FF0864" w:rsidRDefault="00FF2F27" w:rsidP="00FF2F27">
      <w:pPr>
        <w:pStyle w:val="NormalWeb"/>
        <w:shd w:val="clear" w:color="auto" w:fill="FFFFFF"/>
        <w:spacing w:before="0" w:beforeAutospacing="0" w:after="120" w:afterAutospacing="0"/>
        <w:ind w:left="720" w:right="709"/>
        <w:jc w:val="both"/>
        <w:rPr>
          <w:rFonts w:ascii="Verdana" w:eastAsiaTheme="minorHAnsi" w:hAnsi="Verdana" w:cs="Arial"/>
          <w:sz w:val="21"/>
          <w:szCs w:val="21"/>
          <w:lang w:val="es-ES" w:eastAsia="en-US"/>
        </w:rPr>
      </w:pPr>
      <w:r w:rsidRPr="00FF0864">
        <w:rPr>
          <w:rFonts w:ascii="Verdana" w:eastAsiaTheme="minorHAnsi" w:hAnsi="Verdana" w:cs="Arial"/>
          <w:sz w:val="21"/>
          <w:szCs w:val="21"/>
          <w:lang w:val="es-ES" w:eastAsia="en-US"/>
        </w:rPr>
        <w:t>“De manera primordial en esta reflexión debe advertirse que la consagración legal de las incompatibilidades e inhabilidades en materia contractual, no es sino desarrollo del Principio de Moralidad que la Constitución Política consagra como uno de los rectores de la Función Administrativa, instituido en el artículo 209 de la Carta, toda vez que este Principio –en su carácter jurídico, ordenador y orientador del derecho– constituye la Finalidad, el Deber Ser, la Razón de Primer Orden en la cual se inspira, justifica y legitima la existencia de las normas que definen y regulan las inhabilidades e incompatibilidades.</w:t>
      </w:r>
    </w:p>
    <w:p w14:paraId="4DDB7ABB" w14:textId="422EAA85" w:rsidR="00FF2F27" w:rsidRPr="00FF0864" w:rsidRDefault="00FF2F27" w:rsidP="00FF2F27">
      <w:pPr>
        <w:pStyle w:val="NormalWeb"/>
        <w:shd w:val="clear" w:color="auto" w:fill="FFFFFF"/>
        <w:spacing w:before="0" w:beforeAutospacing="0" w:after="0" w:afterAutospacing="0"/>
        <w:ind w:left="720" w:right="709"/>
        <w:jc w:val="both"/>
        <w:rPr>
          <w:rFonts w:ascii="Verdana" w:eastAsiaTheme="minorHAnsi" w:hAnsi="Verdana" w:cs="Arial"/>
          <w:sz w:val="21"/>
          <w:szCs w:val="21"/>
          <w:lang w:val="es-ES" w:eastAsia="en-US"/>
        </w:rPr>
      </w:pPr>
      <w:r w:rsidRPr="00FF0864">
        <w:rPr>
          <w:rFonts w:ascii="Verdana" w:eastAsiaTheme="minorHAnsi" w:hAnsi="Verdana" w:cs="Arial"/>
          <w:sz w:val="21"/>
          <w:szCs w:val="21"/>
          <w:lang w:val="es-ES" w:eastAsia="en-US"/>
        </w:rPr>
        <w:t>Adicionalmente, toda vez que la Jurisprudencia Constitucional se ha referido a la protección del Interés General como causa que legitima la estructuración legal de las incompatibilidades e inhabilidades, se puede precisar que la regulación de sus causales para contratar con el Estado debe orientarse por el Principio de Moralidad que obviamente –como es propio de todos los Principios de la Función Administrativa– se despliega ordenado con base en la protección prevalente del interés general y, por ello, se entiende que la potestad de configuración legislativa en materia de incompatibilidades e inhabilidades para contratar con el Estado puede concretarse a través de una regla de carácter excluyente para determinados potenciales contratistas, la cual se impone entonces por razón de ese fin de interés general como regla legal prevalente, esto es que puede ser impuesta sobre el derecho individual a contratar con el Estado</w:t>
      </w:r>
      <w:r w:rsidRPr="00FF0864">
        <w:rPr>
          <w:rStyle w:val="Refdenotaalpie"/>
          <w:rFonts w:ascii="Verdana" w:eastAsiaTheme="minorHAnsi" w:hAnsi="Verdana" w:cs="Arial"/>
          <w:sz w:val="21"/>
          <w:szCs w:val="21"/>
          <w:lang w:val="es-ES" w:eastAsia="en-US"/>
        </w:rPr>
        <w:footnoteReference w:id="1"/>
      </w:r>
      <w:r w:rsidRPr="00FF0864">
        <w:rPr>
          <w:rFonts w:ascii="Verdana" w:eastAsiaTheme="minorHAnsi" w:hAnsi="Verdana" w:cs="Arial"/>
          <w:sz w:val="21"/>
          <w:szCs w:val="21"/>
          <w:lang w:val="es-ES" w:eastAsia="en-US"/>
        </w:rPr>
        <w:t xml:space="preserve">.” </w:t>
      </w:r>
    </w:p>
    <w:p w14:paraId="78002BB3" w14:textId="77777777" w:rsidR="00FF2F27" w:rsidRPr="00FF0864" w:rsidRDefault="00FF2F27" w:rsidP="00FF2F27">
      <w:pPr>
        <w:pStyle w:val="Sinespaciado"/>
        <w:spacing w:line="276" w:lineRule="auto"/>
        <w:jc w:val="both"/>
        <w:rPr>
          <w:rFonts w:ascii="Verdana" w:hAnsi="Verdana" w:cs="Arial"/>
          <w:sz w:val="22"/>
        </w:rPr>
      </w:pPr>
    </w:p>
    <w:p w14:paraId="39997514" w14:textId="77777777" w:rsidR="00FF2F27" w:rsidRPr="00FF0864" w:rsidRDefault="00FF2F27" w:rsidP="00FF2F27">
      <w:pPr>
        <w:pStyle w:val="Sinespaciado"/>
        <w:numPr>
          <w:ilvl w:val="0"/>
          <w:numId w:val="32"/>
        </w:numPr>
        <w:spacing w:line="276" w:lineRule="auto"/>
        <w:jc w:val="both"/>
        <w:rPr>
          <w:rFonts w:ascii="Verdana" w:hAnsi="Verdana" w:cs="Arial"/>
          <w:sz w:val="22"/>
        </w:rPr>
      </w:pPr>
      <w:r w:rsidRPr="00FF0864">
        <w:rPr>
          <w:rFonts w:ascii="Verdana" w:hAnsi="Verdana" w:cs="Arial"/>
          <w:sz w:val="22"/>
        </w:rPr>
        <w:t xml:space="preserve">Así las cosas, las inhabilidades son medios que garantizan la transparencia y eficiencia en la actividad contractual del Estado, imponiendo restricciones en la personalidad jurídica, la igualdad, la libre empresa y, particularmente, en el derecho a participar en procesos de selección y celebrar contratos con el Estado. La Corte Constitucional ha reconocido que estas limitaciones deben estar justificadas en la salvaguarda del interés general y que su lectura e interpretación es taxativa y restrictiva: </w:t>
      </w:r>
    </w:p>
    <w:p w14:paraId="4F2D4E44" w14:textId="77777777" w:rsidR="00FF2F27" w:rsidRPr="00FF0864" w:rsidRDefault="00FF2F27" w:rsidP="00FF2F27">
      <w:pPr>
        <w:rPr>
          <w:rFonts w:ascii="Verdana" w:eastAsia="Times New Roman" w:hAnsi="Verdana" w:cs="Arial"/>
          <w:shd w:val="clear" w:color="auto" w:fill="FFFFFF"/>
          <w:lang w:eastAsia="es-ES_tradnl"/>
        </w:rPr>
      </w:pPr>
    </w:p>
    <w:p w14:paraId="182063EB" w14:textId="18AFC99D" w:rsidR="00FF2F27" w:rsidRPr="00FF0864" w:rsidRDefault="00FF2F27" w:rsidP="00FF2F27">
      <w:pPr>
        <w:pStyle w:val="Prrafodelista"/>
        <w:spacing w:after="120"/>
        <w:ind w:right="709"/>
        <w:jc w:val="both"/>
        <w:rPr>
          <w:rFonts w:ascii="Verdana" w:hAnsi="Verdana" w:cs="Arial"/>
          <w:sz w:val="21"/>
          <w:szCs w:val="21"/>
        </w:rPr>
      </w:pPr>
      <w:r w:rsidRPr="00FF0864">
        <w:rPr>
          <w:rFonts w:ascii="Verdana" w:hAnsi="Verdana" w:cs="Arial"/>
          <w:sz w:val="21"/>
          <w:szCs w:val="21"/>
        </w:rPr>
        <w:t xml:space="preserve">“Todo régimen de inhabilidades e incompatibilidades de suyo excluye a ciertas categorías de personas del proceso de contratación, </w:t>
      </w:r>
      <w:r w:rsidRPr="00FF0864">
        <w:rPr>
          <w:rFonts w:ascii="Verdana" w:hAnsi="Verdana" w:cs="Arial"/>
          <w:sz w:val="21"/>
          <w:szCs w:val="21"/>
        </w:rPr>
        <w:lastRenderedPageBreak/>
        <w:t xml:space="preserve">generando incapacidades especiales, impedimentos y prohibiciones de variada naturaleza, que en cierta medida afectan el derecho a la personalidad jurídica traducido, a su turno, en el principio general de capacidad legal [CC arts. 1502 y 1503; ley 80 de 1993, art. 6]. De ordinario, como ocurre en la contratación estatal, la inobservancia del régimen de inhabilidades e </w:t>
      </w:r>
      <w:proofErr w:type="gramStart"/>
      <w:r w:rsidRPr="00FF0864">
        <w:rPr>
          <w:rFonts w:ascii="Verdana" w:hAnsi="Verdana" w:cs="Arial"/>
          <w:sz w:val="21"/>
          <w:szCs w:val="21"/>
        </w:rPr>
        <w:t>incompatibilidades,</w:t>
      </w:r>
      <w:proofErr w:type="gramEnd"/>
      <w:r w:rsidRPr="00FF0864">
        <w:rPr>
          <w:rFonts w:ascii="Verdana" w:hAnsi="Verdana" w:cs="Arial"/>
          <w:sz w:val="21"/>
          <w:szCs w:val="21"/>
        </w:rPr>
        <w:t xml:space="preserve"> se erige en causal de nulidad del contrato celebrado en esas condiciones (ley 80 de 1993, art. 44).</w:t>
      </w:r>
    </w:p>
    <w:p w14:paraId="79FE82DC" w14:textId="77777777" w:rsidR="00FF2F27" w:rsidRPr="00FF0864" w:rsidRDefault="00FF2F27" w:rsidP="00FF2F27">
      <w:pPr>
        <w:pStyle w:val="Prrafodelista"/>
        <w:spacing w:after="120"/>
        <w:ind w:right="709"/>
        <w:jc w:val="both"/>
        <w:rPr>
          <w:rFonts w:ascii="Verdana" w:hAnsi="Verdana" w:cs="Arial"/>
          <w:sz w:val="21"/>
          <w:szCs w:val="21"/>
        </w:rPr>
      </w:pPr>
    </w:p>
    <w:p w14:paraId="2DA5E05A" w14:textId="28ECEEDE" w:rsidR="00FF2F27" w:rsidRPr="00FF0864" w:rsidRDefault="00FF2F27" w:rsidP="00FF2F27">
      <w:pPr>
        <w:pStyle w:val="Prrafodelista"/>
        <w:ind w:right="709"/>
        <w:jc w:val="both"/>
        <w:rPr>
          <w:rFonts w:ascii="Verdana" w:hAnsi="Verdana" w:cs="Arial"/>
          <w:sz w:val="21"/>
          <w:szCs w:val="21"/>
        </w:rPr>
      </w:pPr>
      <w:r w:rsidRPr="00FF0864">
        <w:rPr>
          <w:rFonts w:ascii="Verdana" w:hAnsi="Verdana" w:cs="Arial"/>
          <w:sz w:val="21"/>
          <w:szCs w:val="21"/>
        </w:rPr>
        <w:t>El carácter reconocidamente taxativo y restrictivo de este régimen y el de las correlativas nulidades, obedece a la necesidad de salvaguardar el interés general ínsito en la contratación pública de manera que implique el menor sacrificio posible al derecho de igualdad y de reconocimiento de la personalidad jurídica de quienes aspiran a contratar con el Estado. Es evidente que si la restricción legal [incompatibilidad o inhabilidad] no se sustenta en ninguna necesidad de protección del interés general o ésta es irrazonable o desproporcionada, en esa misma medida pierde justificación constitucional como medio legítimo para restringir, en ese caso, el derecho a la igualdad y el reconocimiento de la personalidad jurídica de las personas que resultan rechazadas del ámbito contractual del Estado</w:t>
      </w:r>
      <w:r w:rsidRPr="00FF0864">
        <w:rPr>
          <w:rStyle w:val="Refdenotaalpie"/>
          <w:rFonts w:ascii="Verdana" w:hAnsi="Verdana" w:cs="Arial"/>
          <w:sz w:val="21"/>
          <w:szCs w:val="21"/>
        </w:rPr>
        <w:footnoteReference w:id="2"/>
      </w:r>
      <w:r w:rsidRPr="00FF0864">
        <w:rPr>
          <w:rFonts w:ascii="Verdana" w:hAnsi="Verdana" w:cs="Arial"/>
          <w:sz w:val="21"/>
          <w:szCs w:val="21"/>
        </w:rPr>
        <w:t>.”</w:t>
      </w:r>
    </w:p>
    <w:p w14:paraId="2BF1BCCB" w14:textId="77777777" w:rsidR="00942844" w:rsidRPr="00FF0864" w:rsidRDefault="00942844" w:rsidP="00942844">
      <w:pPr>
        <w:pStyle w:val="Prrafodelista"/>
        <w:spacing w:after="120" w:line="276" w:lineRule="auto"/>
        <w:jc w:val="both"/>
        <w:rPr>
          <w:rFonts w:ascii="Verdana" w:hAnsi="Verdana" w:cs="Arial"/>
        </w:rPr>
      </w:pPr>
    </w:p>
    <w:p w14:paraId="7E1BF1F0" w14:textId="018D7C99" w:rsidR="00FF2F27" w:rsidRPr="00FF0864" w:rsidRDefault="00FF2F27" w:rsidP="00FF2F27">
      <w:pPr>
        <w:pStyle w:val="Prrafodelista"/>
        <w:numPr>
          <w:ilvl w:val="0"/>
          <w:numId w:val="32"/>
        </w:numPr>
        <w:spacing w:after="120" w:line="276" w:lineRule="auto"/>
        <w:jc w:val="both"/>
        <w:rPr>
          <w:rFonts w:ascii="Verdana" w:hAnsi="Verdana" w:cs="Arial"/>
        </w:rPr>
      </w:pPr>
      <w:r w:rsidRPr="00FF0864">
        <w:rPr>
          <w:rFonts w:ascii="Verdana" w:hAnsi="Verdana" w:cs="Arial"/>
        </w:rPr>
        <w:t xml:space="preserve">Conviene también distinguir las fuentes de las inhabilidades, las cuales han sido clasificadas en dos (2) grupos: i) inhabilidades-sanción y </w:t>
      </w:r>
      <w:proofErr w:type="spellStart"/>
      <w:r w:rsidRPr="00FF0864">
        <w:rPr>
          <w:rFonts w:ascii="Verdana" w:hAnsi="Verdana" w:cs="Arial"/>
        </w:rPr>
        <w:t>ii</w:t>
      </w:r>
      <w:proofErr w:type="spellEnd"/>
      <w:r w:rsidRPr="00FF0864">
        <w:rPr>
          <w:rFonts w:ascii="Verdana" w:hAnsi="Verdana" w:cs="Arial"/>
        </w:rPr>
        <w:t>) inhabilidades-requisito. En el primer grupo se encuentran las inhabilidades que surgen como consecuencia de un proceso sancionatorio, en los ámbitos penal, disciplinario, contravencional o de pérdida de investidura. En el segundo grupo están aquellas que no devienen de un proceso sancionatorio, sino de condiciones propias de la persona y garantizan la moralidad, la imparcialidad, la eficacia y la transparencia</w:t>
      </w:r>
      <w:r w:rsidRPr="00FF0864">
        <w:rPr>
          <w:rStyle w:val="Refdenotaalpie"/>
          <w:rFonts w:ascii="Verdana" w:hAnsi="Verdana" w:cs="Arial"/>
        </w:rPr>
        <w:footnoteReference w:id="3"/>
      </w:r>
      <w:r w:rsidRPr="00FF0864">
        <w:rPr>
          <w:rFonts w:ascii="Verdana" w:hAnsi="Verdana" w:cs="Arial"/>
        </w:rPr>
        <w:t xml:space="preserve">. </w:t>
      </w:r>
    </w:p>
    <w:p w14:paraId="111D7A21" w14:textId="77777777" w:rsidR="00FF2F27" w:rsidRPr="00FF0864" w:rsidRDefault="00FF2F27" w:rsidP="00FF2F27">
      <w:pPr>
        <w:pStyle w:val="Prrafodelista"/>
        <w:numPr>
          <w:ilvl w:val="0"/>
          <w:numId w:val="32"/>
        </w:numPr>
        <w:spacing w:before="120" w:after="120" w:line="276" w:lineRule="auto"/>
        <w:jc w:val="both"/>
        <w:rPr>
          <w:rFonts w:ascii="Verdana" w:hAnsi="Verdana" w:cs="Arial"/>
        </w:rPr>
      </w:pPr>
      <w:r w:rsidRPr="00FF0864">
        <w:rPr>
          <w:rFonts w:ascii="Verdana" w:hAnsi="Verdana" w:cs="Arial"/>
        </w:rPr>
        <w:t>A manera de ejemplo, en materia contractual, los literales c), d) y j) del numeral 1 del artículo 8 de la Ley 80 de 1993</w:t>
      </w:r>
      <w:r w:rsidRPr="00FF0864">
        <w:rPr>
          <w:rFonts w:ascii="Verdana" w:hAnsi="Verdana"/>
          <w:vertAlign w:val="superscript"/>
        </w:rPr>
        <w:footnoteReference w:id="4"/>
      </w:r>
      <w:r w:rsidRPr="00FF0864">
        <w:rPr>
          <w:rFonts w:ascii="Verdana" w:hAnsi="Verdana" w:cs="Arial"/>
        </w:rPr>
        <w:t xml:space="preserve"> establecen inhabilidades-</w:t>
      </w:r>
      <w:r w:rsidRPr="00FF0864">
        <w:rPr>
          <w:rFonts w:ascii="Verdana" w:hAnsi="Verdana" w:cs="Arial"/>
        </w:rPr>
        <w:lastRenderedPageBreak/>
        <w:t xml:space="preserve">sanción, porque la prohibición para contratar con el Estado en esos eventos es una consecuencia de una declaratoria de responsabilidad que surge luego de un proceso sancionatorio –administrativo, disciplinario o penal–; mientras que las inhabilidades de los literales f), g) y h) del literal 1 de la norma citada establecen inhabilidades–requisito, pues no se configuran por la comisión previa de una falta o un delito que dio lugar a una declaratoria por parte de la Administración o el juez, sino de aspectos propios de la persona, derivados, por ejemplo, del parentesco o la afinidad o de la condición de servidor público. </w:t>
      </w:r>
    </w:p>
    <w:p w14:paraId="12B6FF32" w14:textId="507F7E37" w:rsidR="00FF2F27" w:rsidRPr="00FF0864" w:rsidRDefault="00FF2F27" w:rsidP="00FF2F27">
      <w:pPr>
        <w:pStyle w:val="Prrafodelista"/>
        <w:numPr>
          <w:ilvl w:val="0"/>
          <w:numId w:val="32"/>
        </w:numPr>
        <w:spacing w:before="120" w:line="276" w:lineRule="auto"/>
        <w:jc w:val="both"/>
        <w:rPr>
          <w:rFonts w:ascii="Verdana" w:hAnsi="Verdana" w:cs="Arial"/>
        </w:rPr>
      </w:pPr>
      <w:bookmarkStart w:id="2" w:name="_Hlk40976328"/>
      <w:r w:rsidRPr="00FF0864">
        <w:rPr>
          <w:rFonts w:ascii="Verdana" w:hAnsi="Verdana" w:cs="Arial"/>
        </w:rPr>
        <w:t xml:space="preserve">En ambos eventos, la inhabilidad tiene como fuente una situación o un hecho propio del proponente –una conducta o una condición– ajena a la oferta. La inhabilidad surge, entre otros, por su grado de parentesco o afinidad, por su condición de servidor público o por una declaratoria de responsabilidad penal, disciplinaria o sancionatoria contractual sobre él. </w:t>
      </w:r>
      <w:bookmarkEnd w:id="2"/>
    </w:p>
    <w:p w14:paraId="1168D624" w14:textId="77777777" w:rsidR="00FF2F27" w:rsidRPr="00FF0864" w:rsidRDefault="00FF2F27" w:rsidP="00FF2F27">
      <w:pPr>
        <w:pStyle w:val="Prrafodelista"/>
        <w:numPr>
          <w:ilvl w:val="0"/>
          <w:numId w:val="32"/>
        </w:numPr>
        <w:spacing w:line="276" w:lineRule="auto"/>
        <w:jc w:val="both"/>
        <w:rPr>
          <w:rFonts w:ascii="Verdana" w:eastAsia="Calibri" w:hAnsi="Verdana" w:cs="Arial"/>
          <w:lang w:val="es-ES_tradnl"/>
        </w:rPr>
      </w:pPr>
      <w:r w:rsidRPr="00FF0864">
        <w:rPr>
          <w:rFonts w:ascii="Verdana" w:eastAsia="Calibri" w:hAnsi="Verdana" w:cs="Arial"/>
          <w:lang w:val="es-ES_tradnl"/>
        </w:rPr>
        <w:t xml:space="preserve">En la contratación estatal, la </w:t>
      </w:r>
      <w:r w:rsidRPr="00FF0864">
        <w:rPr>
          <w:rFonts w:ascii="Verdana" w:eastAsia="Calibri" w:hAnsi="Verdana" w:cs="Arial"/>
          <w:i/>
          <w:iCs/>
          <w:lang w:val="es-ES_tradnl"/>
        </w:rPr>
        <w:t>capacidad</w:t>
      </w:r>
      <w:r w:rsidRPr="00FF0864">
        <w:rPr>
          <w:rFonts w:ascii="Verdana" w:eastAsia="Calibri" w:hAnsi="Verdana" w:cs="Arial"/>
          <w:lang w:val="es-ES_tradnl"/>
        </w:rPr>
        <w:t xml:space="preserve"> también es un requisito de validez de los contratos, tanto en el régimen de las entidades sujetas al Estatuto General de Contratación de la Administración Pública</w:t>
      </w:r>
      <w:r w:rsidRPr="00FF0864">
        <w:rPr>
          <w:rFonts w:ascii="Verdana" w:hAnsi="Verdana"/>
          <w:vertAlign w:val="superscript"/>
          <w:lang w:val="es-ES_tradnl"/>
        </w:rPr>
        <w:footnoteReference w:id="5"/>
      </w:r>
      <w:r w:rsidRPr="00FF0864">
        <w:rPr>
          <w:rFonts w:ascii="Verdana" w:eastAsia="Calibri" w:hAnsi="Verdana" w:cs="Arial"/>
          <w:lang w:val="es-ES_tradnl"/>
        </w:rPr>
        <w:t xml:space="preserve"> como en el de las entidades exceptuadas de aquel</w:t>
      </w:r>
      <w:r w:rsidRPr="00FF0864">
        <w:rPr>
          <w:rFonts w:ascii="Verdana" w:hAnsi="Verdana"/>
          <w:vertAlign w:val="superscript"/>
          <w:lang w:val="es-ES_tradnl"/>
        </w:rPr>
        <w:footnoteReference w:id="6"/>
      </w:r>
      <w:r w:rsidRPr="00FF0864">
        <w:rPr>
          <w:rFonts w:ascii="Verdana" w:eastAsia="Calibri" w:hAnsi="Verdana" w:cs="Arial"/>
          <w:lang w:val="es-ES_tradnl"/>
        </w:rPr>
        <w:t>. Si bien la regulación de la capacidad se integra por varias disposiciones y exigencias especiales –como el requisito de inscribirse, por regla general, en el Registro Único de Proponentes (RUP), establecido en el artículo 6 de la Ley 1150 de 2007, modificado por el artículo 221 del Decreto 19 de 2012</w:t>
      </w:r>
      <w:r w:rsidRPr="00FF0864">
        <w:rPr>
          <w:rFonts w:ascii="Verdana" w:hAnsi="Verdana"/>
          <w:vertAlign w:val="superscript"/>
          <w:lang w:val="es-ES_tradnl"/>
        </w:rPr>
        <w:footnoteReference w:id="7"/>
      </w:r>
      <w:r w:rsidRPr="00FF0864">
        <w:rPr>
          <w:rFonts w:ascii="Verdana" w:eastAsia="Calibri" w:hAnsi="Verdana" w:cs="Arial"/>
          <w:lang w:val="es-ES_tradnl"/>
        </w:rPr>
        <w:t>–, se destaca el régimen de inhabilidades e incompatibilidades como un conjunto de normas que imponen restricciones para los sujetos que, eventualmente, pretendan participar en los procedimientos de selección o celebrar contratos con las entidades estatales</w:t>
      </w:r>
      <w:r w:rsidRPr="00FF0864">
        <w:rPr>
          <w:rFonts w:ascii="Verdana" w:hAnsi="Verdana"/>
          <w:vertAlign w:val="superscript"/>
          <w:lang w:val="es-ES_tradnl"/>
        </w:rPr>
        <w:footnoteReference w:id="8"/>
      </w:r>
      <w:r w:rsidRPr="00FF0864">
        <w:rPr>
          <w:rFonts w:ascii="Verdana" w:eastAsia="Calibri" w:hAnsi="Verdana" w:cs="Arial"/>
          <w:lang w:val="es-ES_tradnl"/>
        </w:rPr>
        <w:t>.</w:t>
      </w:r>
    </w:p>
    <w:p w14:paraId="7DEBE6A9" w14:textId="5726EBEF" w:rsidR="00FF2F27" w:rsidRPr="00FF0864" w:rsidRDefault="00FF2F27" w:rsidP="00FF2F27">
      <w:pPr>
        <w:pStyle w:val="Prrafodelista"/>
        <w:numPr>
          <w:ilvl w:val="0"/>
          <w:numId w:val="32"/>
        </w:numPr>
        <w:spacing w:before="120" w:after="120" w:line="276" w:lineRule="auto"/>
        <w:jc w:val="both"/>
        <w:rPr>
          <w:rFonts w:ascii="Verdana" w:eastAsia="Calibri" w:hAnsi="Verdana" w:cs="Arial"/>
          <w:lang w:val="es-ES_tradnl"/>
        </w:rPr>
      </w:pPr>
      <w:r w:rsidRPr="00FF0864">
        <w:rPr>
          <w:rFonts w:ascii="Verdana" w:eastAsia="Calibri" w:hAnsi="Verdana" w:cs="Arial"/>
          <w:lang w:val="es-ES_tradnl"/>
        </w:rPr>
        <w:lastRenderedPageBreak/>
        <w:t>Las inhabilidades son prohibiciones para concurrir a los procedimientos de selección y para contratar con el Estado, que se derivan: i) de la existencia de comportamientos reprochables o de sanciones anteriormente impuestas</w:t>
      </w:r>
      <w:r w:rsidRPr="00FF0864">
        <w:rPr>
          <w:rFonts w:ascii="Verdana" w:hAnsi="Verdana"/>
          <w:vertAlign w:val="superscript"/>
          <w:lang w:val="es-ES_tradnl"/>
        </w:rPr>
        <w:footnoteReference w:id="9"/>
      </w:r>
      <w:r w:rsidRPr="00FF0864">
        <w:rPr>
          <w:rFonts w:ascii="Verdana" w:eastAsia="Calibri" w:hAnsi="Verdana" w:cs="Arial"/>
          <w:lang w:val="es-ES_tradnl"/>
        </w:rPr>
        <w:t xml:space="preserve">, </w:t>
      </w:r>
      <w:proofErr w:type="spellStart"/>
      <w:r w:rsidRPr="00FF0864">
        <w:rPr>
          <w:rFonts w:ascii="Verdana" w:eastAsia="Calibri" w:hAnsi="Verdana" w:cs="Arial"/>
          <w:lang w:val="es-ES_tradnl"/>
        </w:rPr>
        <w:t>ii</w:t>
      </w:r>
      <w:proofErr w:type="spellEnd"/>
      <w:r w:rsidRPr="00FF0864">
        <w:rPr>
          <w:rFonts w:ascii="Verdana" w:eastAsia="Calibri" w:hAnsi="Verdana" w:cs="Arial"/>
          <w:lang w:val="es-ES_tradnl"/>
        </w:rPr>
        <w:t>) de vínculos personales relativos al parentesco o al estado civil</w:t>
      </w:r>
      <w:r w:rsidRPr="00FF0864">
        <w:rPr>
          <w:rFonts w:ascii="Verdana" w:hAnsi="Verdana"/>
          <w:vertAlign w:val="superscript"/>
          <w:lang w:val="es-ES_tradnl"/>
        </w:rPr>
        <w:footnoteReference w:id="10"/>
      </w:r>
      <w:r w:rsidRPr="00FF0864">
        <w:rPr>
          <w:rFonts w:ascii="Verdana" w:eastAsia="Calibri" w:hAnsi="Verdana" w:cs="Arial"/>
          <w:lang w:val="es-ES_tradnl"/>
        </w:rPr>
        <w:t xml:space="preserve"> o </w:t>
      </w:r>
      <w:proofErr w:type="spellStart"/>
      <w:r w:rsidRPr="00FF0864">
        <w:rPr>
          <w:rFonts w:ascii="Verdana" w:eastAsia="Calibri" w:hAnsi="Verdana" w:cs="Arial"/>
          <w:lang w:val="es-ES_tradnl"/>
        </w:rPr>
        <w:t>iii</w:t>
      </w:r>
      <w:proofErr w:type="spellEnd"/>
      <w:r w:rsidRPr="00FF0864">
        <w:rPr>
          <w:rFonts w:ascii="Verdana" w:eastAsia="Calibri" w:hAnsi="Verdana" w:cs="Arial"/>
          <w:lang w:val="es-ES_tradnl"/>
        </w:rPr>
        <w:t>) de una actividad u oficio que se desempeñó en el pasado</w:t>
      </w:r>
      <w:r w:rsidRPr="00FF0864">
        <w:rPr>
          <w:rFonts w:ascii="Verdana" w:hAnsi="Verdana"/>
          <w:vertAlign w:val="superscript"/>
          <w:lang w:val="es-ES_tradnl"/>
        </w:rPr>
        <w:footnoteReference w:id="11"/>
      </w:r>
      <w:r w:rsidRPr="00FF0864">
        <w:rPr>
          <w:rFonts w:ascii="Verdana" w:eastAsia="Calibri" w:hAnsi="Verdana" w:cs="Arial"/>
          <w:lang w:val="es-ES_tradnl"/>
        </w:rPr>
        <w:t>. De otro lado, las incompatibilidades, según un sector de la doctrina,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 En todo caso, a pesar de la existencia de distintos criterios para diferenciar las inhabilidades de las incompatibilidades, de la presencia de ellas se derivan las mismas consecuencias jurídicas, esto es, la limitación de la capacidad contractual, como se desarrolló en el numeral 2.1. de este concepto. De manera que la presencia de ellas impide que se puedan celebrar contratos con el Estado o participar en procedimientos de selección de las entidades estatales, por lo que de cualquiera de ellas se derivan los mismos efectos jurídicos</w:t>
      </w:r>
      <w:r w:rsidRPr="00FF0864">
        <w:rPr>
          <w:rStyle w:val="Refdenotaalpie"/>
          <w:rFonts w:ascii="Verdana" w:eastAsia="Calibri" w:hAnsi="Verdana" w:cs="Arial"/>
          <w:lang w:val="es-ES_tradnl"/>
        </w:rPr>
        <w:footnoteReference w:id="12"/>
      </w:r>
      <w:r w:rsidRPr="00FF0864">
        <w:rPr>
          <w:rFonts w:ascii="Verdana" w:eastAsia="Calibri" w:hAnsi="Verdana" w:cs="Arial"/>
          <w:lang w:val="es-ES_tradnl"/>
        </w:rPr>
        <w:t>.</w:t>
      </w:r>
    </w:p>
    <w:p w14:paraId="3522F927" w14:textId="77777777" w:rsidR="00FF0864" w:rsidRPr="00FF0864" w:rsidRDefault="00FF0864" w:rsidP="00FF0864">
      <w:pPr>
        <w:pStyle w:val="Prrafodelista"/>
        <w:spacing w:before="120" w:after="120" w:line="276" w:lineRule="auto"/>
        <w:jc w:val="both"/>
        <w:rPr>
          <w:rFonts w:ascii="Verdana" w:eastAsia="Calibri" w:hAnsi="Verdana" w:cs="Arial"/>
          <w:lang w:val="es-ES_tradnl"/>
        </w:rPr>
      </w:pPr>
    </w:p>
    <w:p w14:paraId="5DFCDB74" w14:textId="33046824" w:rsidR="00FF2F27" w:rsidRPr="00FF0864" w:rsidRDefault="00FF2F27" w:rsidP="00FF2F27">
      <w:pPr>
        <w:pStyle w:val="Prrafodelista"/>
        <w:numPr>
          <w:ilvl w:val="0"/>
          <w:numId w:val="32"/>
        </w:numPr>
        <w:spacing w:before="120" w:after="120" w:line="276" w:lineRule="auto"/>
        <w:jc w:val="both"/>
        <w:rPr>
          <w:rFonts w:ascii="Verdana" w:eastAsia="Calibri" w:hAnsi="Verdana" w:cs="Arial"/>
          <w:lang w:val="es-ES_tradnl"/>
        </w:rPr>
      </w:pPr>
      <w:r w:rsidRPr="00FF0864">
        <w:rPr>
          <w:rFonts w:ascii="Verdana" w:eastAsia="Calibri" w:hAnsi="Verdana" w:cs="Arial"/>
          <w:lang w:val="es-ES_tradnl"/>
        </w:rPr>
        <w:t xml:space="preserve">De otro lado, el régimen de inhabilidades e incompatibilidades en la contratación pública responde a la tendencia, vigente desde hace varias décadas en nuestro país, pero que se ha reforzado en los últimos años, de asegurar que la actividad de provisión de los bienes, obras y servicios por parte de las entidades estatales se efectúe cumpliendo con los principios de la función administrativa y de la gestión fiscal, especialmente con probidad y transparencia. Por ello, como destaca la doctrina, las inhabilidades e incompatibilidades son herramientas en la lucha contra la corrupción, adoptando paulatinamente una naturaleza sancionatoria o </w:t>
      </w:r>
      <w:r w:rsidR="00FF0864" w:rsidRPr="00FF0864">
        <w:rPr>
          <w:rFonts w:ascii="Verdana" w:eastAsia="Calibri" w:hAnsi="Verdana" w:cs="Arial"/>
          <w:lang w:val="es-ES_tradnl"/>
        </w:rPr>
        <w:t>“</w:t>
      </w:r>
      <w:proofErr w:type="spellStart"/>
      <w:r w:rsidRPr="00FF0864">
        <w:rPr>
          <w:rFonts w:ascii="Verdana" w:eastAsia="Calibri" w:hAnsi="Verdana" w:cs="Arial"/>
          <w:lang w:val="es-ES_tradnl"/>
        </w:rPr>
        <w:t>neopunitiva</w:t>
      </w:r>
      <w:proofErr w:type="spellEnd"/>
      <w:r w:rsidR="00FF0864" w:rsidRPr="00FF0864">
        <w:rPr>
          <w:rFonts w:ascii="Verdana" w:eastAsia="Calibri" w:hAnsi="Verdana" w:cs="Arial"/>
          <w:lang w:val="es-ES_tradnl"/>
        </w:rPr>
        <w:t>”</w:t>
      </w:r>
      <w:r w:rsidRPr="00FF0864">
        <w:rPr>
          <w:rFonts w:ascii="Verdana" w:hAnsi="Verdana"/>
          <w:vertAlign w:val="superscript"/>
          <w:lang w:val="es-ES_tradnl"/>
        </w:rPr>
        <w:footnoteReference w:id="13"/>
      </w:r>
      <w:r w:rsidRPr="00FF0864">
        <w:rPr>
          <w:rFonts w:ascii="Verdana" w:eastAsia="Calibri" w:hAnsi="Verdana" w:cs="Arial"/>
          <w:lang w:val="es-ES_tradnl"/>
        </w:rPr>
        <w:t>. 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487BC6EF" w14:textId="77777777" w:rsidR="00FF2F27" w:rsidRPr="00FF0864" w:rsidRDefault="00FF2F27" w:rsidP="00FF2F27">
      <w:pPr>
        <w:pStyle w:val="Prrafodelista"/>
        <w:numPr>
          <w:ilvl w:val="0"/>
          <w:numId w:val="32"/>
        </w:numPr>
        <w:spacing w:before="120" w:after="120" w:line="276" w:lineRule="auto"/>
        <w:jc w:val="both"/>
        <w:rPr>
          <w:rFonts w:ascii="Verdana" w:eastAsia="Calibri" w:hAnsi="Verdana" w:cs="Arial"/>
          <w:lang w:val="es-ES_tradnl"/>
        </w:rPr>
      </w:pPr>
      <w:r w:rsidRPr="00FF0864">
        <w:rPr>
          <w:rFonts w:ascii="Verdana" w:eastAsia="Calibri" w:hAnsi="Verdana" w:cs="Arial"/>
          <w:lang w:val="es-ES_tradnl"/>
        </w:rPr>
        <w:t xml:space="preserve">Ahora bien, las inhabilidades e incompatibilidades al ser restricciones o límites especiales a la capacidad para presentar ofertas y celebrar contratos estatales, solo pueden tipificarse en la ley o la Constitución –o sea, deben satisfacer el principio de legalidad– y su interpretación debe ser </w:t>
      </w:r>
      <w:r w:rsidRPr="00FF0864">
        <w:rPr>
          <w:rFonts w:ascii="Verdana" w:eastAsia="Calibri" w:hAnsi="Verdana" w:cs="Arial"/>
          <w:i/>
          <w:iCs/>
          <w:lang w:val="es-ES_tradnl"/>
        </w:rPr>
        <w:t>restrictiva</w:t>
      </w:r>
      <w:r w:rsidRPr="00FF0864">
        <w:rPr>
          <w:rFonts w:ascii="Verdana" w:hAnsi="Verdana"/>
          <w:vertAlign w:val="superscript"/>
          <w:lang w:val="es-ES_tradnl"/>
        </w:rPr>
        <w:footnoteReference w:id="14"/>
      </w:r>
      <w:r w:rsidRPr="00FF0864">
        <w:rPr>
          <w:rFonts w:ascii="Verdana" w:eastAsia="Calibri" w:hAnsi="Verdana" w:cs="Arial"/>
          <w:lang w:val="es-ES_tradnl"/>
        </w:rPr>
        <w:t xml:space="preserve">, 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seguridad jurídica, la libre concurrencia y el ejercicio de la profesión u oficio. Tal ha sido la postura al interior de la </w:t>
      </w:r>
      <w:r w:rsidRPr="00FF0864">
        <w:rPr>
          <w:rFonts w:ascii="Verdana" w:eastAsia="Calibri" w:hAnsi="Verdana" w:cs="Arial"/>
          <w:lang w:val="es-ES_tradnl"/>
        </w:rPr>
        <w:lastRenderedPageBreak/>
        <w:t xml:space="preserve">jurisprudencia, tanto de la Corte Constitucional como de la Sección Tercera del Consejo de Estado. </w:t>
      </w:r>
    </w:p>
    <w:p w14:paraId="66401137" w14:textId="77777777" w:rsidR="00FF2F27" w:rsidRPr="00FF0864" w:rsidRDefault="00FF2F27" w:rsidP="00FF2F27">
      <w:pPr>
        <w:pStyle w:val="Prrafodelista"/>
        <w:spacing w:before="120" w:after="120" w:line="276" w:lineRule="auto"/>
        <w:jc w:val="both"/>
        <w:rPr>
          <w:rFonts w:ascii="Verdana" w:eastAsia="Calibri" w:hAnsi="Verdana" w:cs="Arial"/>
          <w:lang w:val="es-ES_tradnl"/>
        </w:rPr>
      </w:pPr>
    </w:p>
    <w:p w14:paraId="5AC15790" w14:textId="77777777" w:rsidR="00FF2F27" w:rsidRPr="00FF0864" w:rsidRDefault="00FF2F27" w:rsidP="00FF2F27">
      <w:pPr>
        <w:pStyle w:val="Prrafodelista"/>
        <w:numPr>
          <w:ilvl w:val="0"/>
          <w:numId w:val="32"/>
        </w:numPr>
        <w:spacing w:line="276" w:lineRule="auto"/>
        <w:jc w:val="both"/>
        <w:rPr>
          <w:rFonts w:ascii="Verdana" w:eastAsia="Calibri" w:hAnsi="Verdana" w:cs="Arial"/>
          <w:lang w:val="es-ES_tradnl"/>
        </w:rPr>
      </w:pPr>
      <w:r w:rsidRPr="00FF0864">
        <w:rPr>
          <w:rFonts w:ascii="Verdana" w:eastAsia="Arial" w:hAnsi="Verdana" w:cs="Arial"/>
          <w:color w:val="000000"/>
          <w:lang w:val="es-ES_tradnl"/>
        </w:rPr>
        <w:t xml:space="preserve">Como se aprecia, el principio </w:t>
      </w:r>
      <w:r w:rsidRPr="00FF0864">
        <w:rPr>
          <w:rFonts w:ascii="Verdana" w:eastAsia="Arial" w:hAnsi="Verdana" w:cs="Arial"/>
          <w:i/>
          <w:iCs/>
          <w:color w:val="000000"/>
          <w:lang w:val="es-ES_tradnl"/>
        </w:rPr>
        <w:t xml:space="preserve">pro </w:t>
      </w:r>
      <w:proofErr w:type="spellStart"/>
      <w:r w:rsidRPr="00FF0864">
        <w:rPr>
          <w:rFonts w:ascii="Verdana" w:eastAsia="Arial" w:hAnsi="Verdana" w:cs="Arial"/>
          <w:i/>
          <w:iCs/>
          <w:color w:val="000000"/>
          <w:lang w:val="es-ES_tradnl"/>
        </w:rPr>
        <w:t>libertate</w:t>
      </w:r>
      <w:proofErr w:type="spellEnd"/>
      <w:r w:rsidRPr="00FF0864">
        <w:rPr>
          <w:rFonts w:ascii="Verdana" w:eastAsia="Arial" w:hAnsi="Verdana" w:cs="Arial"/>
          <w:color w:val="000000"/>
          <w:lang w:val="es-ES_tradnl"/>
        </w:rPr>
        <w:t xml:space="preserve"> es el que debe dirigir la interpretación de las disposiciones normativas que consagran restricciones de derechos, como sucede con las causales de inhabilidad e incompatibilidad en la contratación estatal. Además, en relación con la determinación de las causales de inhabilidad e incompatibilidad, la</w:t>
      </w:r>
      <w:r w:rsidRPr="00FF0864">
        <w:rPr>
          <w:rFonts w:ascii="Verdana" w:hAnsi="Verdana" w:cs="Arial"/>
          <w:color w:val="000000" w:themeColor="text1"/>
        </w:rPr>
        <w:t xml:space="preserve"> Corte Constitucional ha resaltado que la competencia para determinar qué hechos o situaciones generan inhabilidades o incompatibilidades para contratar con el Estado la tiene el legislador, pues este régimen es un aspecto propio del Estatuto General de la Contratación de la Administración Pública, cuya expedición compete al Congreso de la República, conforme al artículo 150 de la Constitución Política, y que en esta materia rige el principio de legalidad</w:t>
      </w:r>
      <w:r w:rsidRPr="00FF0864">
        <w:rPr>
          <w:rStyle w:val="Refdenotaalpie"/>
          <w:rFonts w:ascii="Verdana" w:hAnsi="Verdana" w:cs="Arial"/>
          <w:color w:val="000000" w:themeColor="text1"/>
        </w:rPr>
        <w:footnoteReference w:id="15"/>
      </w:r>
      <w:r w:rsidRPr="00FF0864">
        <w:rPr>
          <w:rFonts w:ascii="Verdana" w:hAnsi="Verdana" w:cs="Arial"/>
          <w:color w:val="000000" w:themeColor="text1"/>
        </w:rPr>
        <w:t>.</w:t>
      </w:r>
    </w:p>
    <w:p w14:paraId="46490674" w14:textId="30148A73" w:rsidR="00FF2F27" w:rsidRPr="00FF0864" w:rsidRDefault="00FF2F27" w:rsidP="00FF2F27">
      <w:pPr>
        <w:pStyle w:val="CEDAContenido"/>
        <w:numPr>
          <w:ilvl w:val="0"/>
          <w:numId w:val="32"/>
        </w:numPr>
        <w:rPr>
          <w:rFonts w:ascii="Verdana" w:hAnsi="Verdana" w:cs="Arial"/>
          <w:b/>
          <w:bCs/>
        </w:rPr>
      </w:pPr>
      <w:r w:rsidRPr="00FF0864">
        <w:rPr>
          <w:rFonts w:ascii="Verdana" w:hAnsi="Verdana" w:cs="Arial"/>
          <w:shd w:val="clear" w:color="auto" w:fill="FFFFFF"/>
          <w:lang w:val="es-MX"/>
        </w:rPr>
        <w:t xml:space="preserve">En este sentido, retomando una idea esbozada con anterioridad, la doctrina y la jurisprudencia son pacíficas en considerar que la creación de inhabilidades e incompatibilidades es un asunto con reserva de ley, en tanto, </w:t>
      </w:r>
      <w:r w:rsidR="00FF0864" w:rsidRPr="00FF0864">
        <w:rPr>
          <w:rFonts w:ascii="Verdana" w:hAnsi="Verdana" w:cs="Arial"/>
          <w:shd w:val="clear" w:color="auto" w:fill="FFFFFF"/>
          <w:lang w:val="es-MX"/>
        </w:rPr>
        <w:t>“</w:t>
      </w:r>
      <w:r w:rsidRPr="00FF0864">
        <w:rPr>
          <w:rFonts w:ascii="Verdana" w:hAnsi="Verdana" w:cs="Arial"/>
          <w:shd w:val="clear" w:color="auto" w:fill="FFFFFF"/>
        </w:rPr>
        <w:t>[…] su previsión y desarrollo es materia exclusiva del legislador (reserva de ley), quien en virtud del principio democrático debe definir y tipificar expresamente sus causas, vigencia, naturaleza y efectos</w:t>
      </w:r>
      <w:r w:rsidR="00FF0864" w:rsidRPr="00FF0864">
        <w:rPr>
          <w:rFonts w:ascii="Verdana" w:hAnsi="Verdana" w:cs="Arial"/>
          <w:shd w:val="clear" w:color="auto" w:fill="FFFFFF"/>
          <w:lang w:val="es-MX"/>
        </w:rPr>
        <w:t>”</w:t>
      </w:r>
      <w:r w:rsidRPr="00FF0864">
        <w:rPr>
          <w:rStyle w:val="Refdenotaalpie"/>
          <w:rFonts w:ascii="Verdana" w:hAnsi="Verdana" w:cs="Arial"/>
          <w:shd w:val="clear" w:color="auto" w:fill="FFFFFF"/>
          <w:lang w:val="es-MX"/>
        </w:rPr>
        <w:footnoteReference w:id="16"/>
      </w:r>
      <w:r w:rsidRPr="00FF0864">
        <w:rPr>
          <w:rFonts w:ascii="Verdana" w:hAnsi="Verdana" w:cs="Arial"/>
          <w:shd w:val="clear" w:color="auto" w:fill="FFFFFF"/>
          <w:lang w:val="es-MX"/>
        </w:rPr>
        <w:t xml:space="preserve">. En similar sentido, la Sala de Consulta y Servicio Civil del Consejo de Estado expresó </w:t>
      </w:r>
      <w:r w:rsidRPr="00FF0864">
        <w:rPr>
          <w:rFonts w:ascii="Verdana" w:hAnsi="Verdana" w:cs="Arial"/>
          <w:color w:val="000000"/>
          <w:shd w:val="clear" w:color="auto" w:fill="FFFFFF"/>
        </w:rPr>
        <w:t xml:space="preserve">que </w:t>
      </w:r>
      <w:r w:rsidR="00FF0864" w:rsidRPr="00FF0864">
        <w:rPr>
          <w:rFonts w:ascii="Verdana" w:hAnsi="Verdana" w:cs="Arial"/>
          <w:color w:val="000000"/>
          <w:shd w:val="clear" w:color="auto" w:fill="FFFFFF"/>
        </w:rPr>
        <w:t>“</w:t>
      </w:r>
      <w:r w:rsidRPr="00FF0864">
        <w:rPr>
          <w:rFonts w:ascii="Verdana" w:hAnsi="Verdana" w:cs="Arial"/>
          <w:color w:val="000000"/>
          <w:shd w:val="clear" w:color="auto" w:fill="FFFFFF"/>
        </w:rPr>
        <w:t>[…] las causales de inhabilidad e incompatibilidad deben estar expresa y taxativamente establecidas en la Constitución o en la ley y son de aplicación e interpretación restrictivas […]</w:t>
      </w:r>
      <w:r w:rsidR="00FF0864" w:rsidRPr="00FF0864">
        <w:rPr>
          <w:rFonts w:ascii="Verdana" w:hAnsi="Verdana" w:cs="Arial"/>
          <w:color w:val="000000"/>
          <w:shd w:val="clear" w:color="auto" w:fill="FFFFFF"/>
        </w:rPr>
        <w:t>”</w:t>
      </w:r>
      <w:r w:rsidRPr="00FF0864">
        <w:rPr>
          <w:rStyle w:val="Refdenotaalpie"/>
          <w:rFonts w:ascii="Verdana" w:hAnsi="Verdana" w:cs="Arial"/>
          <w:color w:val="000000"/>
          <w:shd w:val="clear" w:color="auto" w:fill="FFFFFF"/>
        </w:rPr>
        <w:footnoteReference w:id="17"/>
      </w:r>
      <w:r w:rsidRPr="00FF0864">
        <w:rPr>
          <w:rFonts w:ascii="Verdana" w:hAnsi="Verdana" w:cs="Arial"/>
          <w:color w:val="000000"/>
          <w:shd w:val="clear" w:color="auto" w:fill="FFFFFF"/>
        </w:rPr>
        <w:t xml:space="preserve">. En este sentido, </w:t>
      </w:r>
      <w:r w:rsidRPr="00FF0864">
        <w:rPr>
          <w:rFonts w:ascii="Verdana" w:hAnsi="Verdana" w:cs="Arial"/>
          <w:color w:val="000000"/>
          <w:shd w:val="clear" w:color="auto" w:fill="FFFFFF"/>
        </w:rPr>
        <w:lastRenderedPageBreak/>
        <w:t>como se observa, existe consenso, incluso como lo ha expresado esta Agencia en ocasiones anteriores, que la creación de inhabilidades o incompatibilidades está reservada al constituyente o al legislador.</w:t>
      </w:r>
    </w:p>
    <w:p w14:paraId="00DE3BCA" w14:textId="4A806D99" w:rsidR="00FF2F27" w:rsidRPr="00FF0864" w:rsidRDefault="00FF2F27" w:rsidP="00FF2F27">
      <w:pPr>
        <w:pStyle w:val="Prrafodelista"/>
        <w:numPr>
          <w:ilvl w:val="0"/>
          <w:numId w:val="32"/>
        </w:numPr>
        <w:spacing w:after="120" w:line="276" w:lineRule="auto"/>
        <w:jc w:val="both"/>
        <w:rPr>
          <w:rFonts w:ascii="Verdana" w:eastAsia="Calibri" w:hAnsi="Verdana" w:cs="Arial"/>
          <w:lang w:val="es-ES_tradnl"/>
        </w:rPr>
      </w:pPr>
      <w:r w:rsidRPr="00FF0864">
        <w:rPr>
          <w:rFonts w:ascii="Verdana" w:eastAsia="Calibri" w:hAnsi="Verdana" w:cs="Arial"/>
          <w:lang w:val="es-ES_tradnl"/>
        </w:rPr>
        <w:t xml:space="preserve">El literal g) del numeral 1 del artículo 8 de la Ley 80 de 1993 determina que son inhábiles para participar en procesos de contratación o suscribir contratos con entidades estatales </w:t>
      </w:r>
      <w:r w:rsidR="00FF0864" w:rsidRPr="00FF0864">
        <w:rPr>
          <w:rFonts w:ascii="Verdana" w:eastAsia="Calibri" w:hAnsi="Verdana" w:cs="Arial"/>
          <w:lang w:val="es-ES_tradnl"/>
        </w:rPr>
        <w:t>“</w:t>
      </w:r>
      <w:r w:rsidRPr="00FF0864">
        <w:rPr>
          <w:rFonts w:ascii="Verdana" w:eastAsia="Calibri" w:hAnsi="Verdana" w:cs="Arial"/>
          <w:lang w:val="es-ES_tradnl"/>
        </w:rPr>
        <w:t>Quienes sean cónyuges o compañeros permanentes y quienes se encuentren dentro del segundo grado de consanguinidad o segundo de afinidad con cualquier otra persona que formalmente haya presentado propuesta para una misma licitación</w:t>
      </w:r>
      <w:r w:rsidR="00FF0864" w:rsidRPr="00FF0864">
        <w:rPr>
          <w:rFonts w:ascii="Verdana" w:eastAsia="Calibri" w:hAnsi="Verdana" w:cs="Arial"/>
          <w:lang w:val="es-ES_tradnl"/>
        </w:rPr>
        <w:t>”</w:t>
      </w:r>
      <w:r w:rsidRPr="00FF0864">
        <w:rPr>
          <w:rFonts w:ascii="Verdana" w:eastAsia="Calibri" w:hAnsi="Verdana" w:cs="Arial"/>
          <w:lang w:val="es-ES_tradnl"/>
        </w:rPr>
        <w:t>.</w:t>
      </w:r>
    </w:p>
    <w:p w14:paraId="7119135E" w14:textId="77777777" w:rsidR="00FF2F27" w:rsidRPr="00FF0864" w:rsidRDefault="00FF2F27" w:rsidP="00FF2F27">
      <w:pPr>
        <w:pStyle w:val="Prrafodelista"/>
        <w:numPr>
          <w:ilvl w:val="0"/>
          <w:numId w:val="32"/>
        </w:numPr>
        <w:spacing w:before="120" w:after="120" w:line="276" w:lineRule="auto"/>
        <w:jc w:val="both"/>
        <w:rPr>
          <w:rFonts w:ascii="Verdana" w:eastAsia="Calibri" w:hAnsi="Verdana" w:cs="Arial"/>
          <w:lang w:val="es-ES_tradnl"/>
        </w:rPr>
      </w:pPr>
      <w:r w:rsidRPr="00FF0864">
        <w:rPr>
          <w:rFonts w:ascii="Verdana" w:eastAsia="Calibri" w:hAnsi="Verdana" w:cs="Arial"/>
          <w:lang w:val="es-ES"/>
        </w:rPr>
        <w:t>La citada inhabilidad tiene fundamento en las relaciones familiares o de parentesco, tales como los cónyuges o compañeros permanentes, así como aquellas personas respecto de las que se predican relaciones de consanguinidad o afinidad hasta el segundo grado. Esa circunstancia implica que esa causal de inhabilidad se instituyó, única y exclusivamente, con el propósito de limitar la capacidad en la participación en procesos de contratación de las denominadas personas naturales</w:t>
      </w:r>
      <w:r w:rsidRPr="00FF0864">
        <w:rPr>
          <w:rStyle w:val="Refdenotaalpie"/>
          <w:rFonts w:ascii="Verdana" w:eastAsia="Calibri" w:hAnsi="Verdana" w:cs="Arial"/>
          <w:lang w:val="es-ES"/>
        </w:rPr>
        <w:footnoteReference w:id="18"/>
      </w:r>
      <w:r w:rsidRPr="00FF0864">
        <w:rPr>
          <w:rFonts w:ascii="Verdana" w:eastAsia="Calibri" w:hAnsi="Verdana" w:cs="Arial"/>
          <w:lang w:val="es-ES"/>
        </w:rPr>
        <w:t>, esto es, sujetos de derechos y obligaciones de la especie humana unidos entre si ya sea por vínculos naturales o jurídicos</w:t>
      </w:r>
      <w:r w:rsidRPr="00FF0864">
        <w:rPr>
          <w:rStyle w:val="Refdenotaalpie"/>
          <w:rFonts w:ascii="Verdana" w:eastAsia="Calibri" w:hAnsi="Verdana" w:cs="Arial"/>
          <w:lang w:val="es-ES"/>
        </w:rPr>
        <w:footnoteReference w:id="19"/>
      </w:r>
      <w:r w:rsidRPr="00FF0864">
        <w:rPr>
          <w:rFonts w:ascii="Verdana" w:eastAsia="Calibri" w:hAnsi="Verdana" w:cs="Arial"/>
          <w:lang w:val="es-ES"/>
        </w:rPr>
        <w:t>.</w:t>
      </w:r>
    </w:p>
    <w:p w14:paraId="187A0B8A" w14:textId="3537C530" w:rsidR="00FF2F27" w:rsidRPr="00FF0864" w:rsidRDefault="00FF2F27" w:rsidP="00FF2F27">
      <w:pPr>
        <w:pStyle w:val="Prrafodelista"/>
        <w:numPr>
          <w:ilvl w:val="0"/>
          <w:numId w:val="32"/>
        </w:numPr>
        <w:spacing w:after="120" w:line="276" w:lineRule="auto"/>
        <w:jc w:val="both"/>
        <w:rPr>
          <w:rFonts w:ascii="Verdana" w:eastAsia="Calibri" w:hAnsi="Verdana" w:cs="Arial"/>
          <w:lang w:val="es-ES_tradnl"/>
        </w:rPr>
      </w:pPr>
      <w:r w:rsidRPr="00FF0864">
        <w:rPr>
          <w:rFonts w:ascii="Verdana" w:eastAsia="Calibri" w:hAnsi="Verdana" w:cs="Arial"/>
          <w:lang w:val="es-ES_tradnl"/>
        </w:rPr>
        <w:t>En ese sentido, para acreditar que los proponentes no se encuentran incursos en inhabilidades, es válido que las entidades estatales estales, al adelantar procesos de selección, exijan a los proponentes, declaraciones en las que, bajo la gravedad de juramento, manifiesten no estar incursos en causales de inhabilidad o incompatibilidad. Ello ciertamente corresponde una forma viable para demostrar el hecho al que se refiere, al ser el juramento un medio de prueba válido a luz de las normas procesales</w:t>
      </w:r>
      <w:r w:rsidRPr="00FF0864">
        <w:rPr>
          <w:rStyle w:val="Refdenotaalpie"/>
          <w:rFonts w:ascii="Verdana" w:eastAsia="Calibri" w:hAnsi="Verdana" w:cs="Arial"/>
          <w:lang w:val="es-ES_tradnl"/>
        </w:rPr>
        <w:footnoteReference w:id="20"/>
      </w:r>
      <w:r w:rsidRPr="00FF0864">
        <w:rPr>
          <w:rFonts w:ascii="Verdana" w:eastAsia="Calibri" w:hAnsi="Verdana" w:cs="Arial"/>
          <w:lang w:val="es-ES_tradnl"/>
        </w:rPr>
        <w:t xml:space="preserve">. La negación en la que consiste tal declaración, siempre que </w:t>
      </w:r>
      <w:r w:rsidRPr="00FF0864">
        <w:rPr>
          <w:rFonts w:ascii="Verdana" w:eastAsia="Calibri" w:hAnsi="Verdana" w:cs="Arial"/>
          <w:lang w:val="es-ES_tradnl"/>
        </w:rPr>
        <w:lastRenderedPageBreak/>
        <w:t xml:space="preserve">sea formulada de forma indefinida o general, respecto del régimen de inhabilidades e incompatibilidades, o aludiendo específicamente al literal g) del numeral 1 del artículo 8 de la Ley 80 de 1993, cobija el supuesto de hecho al que se refiere dicha norma. En ese sentido, el proponente mediante tal declaración acredita no estar incurso en la inhabilidad bajo estudio. </w:t>
      </w:r>
    </w:p>
    <w:p w14:paraId="1D196854" w14:textId="113E44E5" w:rsidR="00FF2F27" w:rsidRPr="00FF0864" w:rsidRDefault="00FF2F27" w:rsidP="00FF2F27">
      <w:pPr>
        <w:pStyle w:val="Prrafodelista"/>
        <w:numPr>
          <w:ilvl w:val="0"/>
          <w:numId w:val="32"/>
        </w:numPr>
        <w:spacing w:after="120" w:line="276" w:lineRule="auto"/>
        <w:jc w:val="both"/>
        <w:rPr>
          <w:rFonts w:ascii="Verdana" w:eastAsia="Calibri" w:hAnsi="Verdana" w:cs="Arial"/>
          <w:lang w:val="es-ES_tradnl"/>
        </w:rPr>
      </w:pPr>
      <w:r w:rsidRPr="00FF0864">
        <w:rPr>
          <w:rFonts w:ascii="Verdana" w:eastAsia="Calibri" w:hAnsi="Verdana" w:cs="Arial"/>
          <w:lang w:val="es-ES_tradnl"/>
        </w:rPr>
        <w:t xml:space="preserve">No obstante, tal declaración no exime a la entidad estatal del deber de ejercer la potestad verificadora que le compete, respecto de la acreditación de la capacidad jurídica, en lo atinente a la inhabilidad del literal g) del numeral 1 del artículo 8 </w:t>
      </w:r>
      <w:r w:rsidRPr="00FF0864">
        <w:rPr>
          <w:rFonts w:ascii="Verdana" w:eastAsia="Calibri" w:hAnsi="Verdana" w:cs="Arial"/>
          <w:i/>
          <w:iCs/>
          <w:lang w:val="es-ES_tradnl"/>
        </w:rPr>
        <w:t xml:space="preserve">Ibídem, </w:t>
      </w:r>
      <w:r w:rsidRPr="00FF0864">
        <w:rPr>
          <w:rFonts w:ascii="Verdana" w:eastAsia="Calibri" w:hAnsi="Verdana" w:cs="Arial"/>
          <w:lang w:val="es-ES_tradnl"/>
        </w:rPr>
        <w:t xml:space="preserve">cuando en el marco de la evaluación de las propuestas, se tienen dudas en relación con la configuración de dicha inhabilidad. En ese sentido, en primer lugar, si en el marco de la evaluación de ofertas, antes de la publicación del respectivo informe, la entidad estatal tiene conocimiento de circunstancias que le indiquen la eventual configuración de la respectiva inhabilidad, tiene la posibilidad de solicitar a los proponentes el esclarecimiento de dicha circunstancia, exigiendo las explicaciones y aclaraciones que sean procedentes. </w:t>
      </w:r>
    </w:p>
    <w:p w14:paraId="72C42505" w14:textId="77777777" w:rsidR="00FF2F27" w:rsidRPr="00FF0864" w:rsidRDefault="00FF2F27" w:rsidP="00FF2F27">
      <w:pPr>
        <w:pStyle w:val="Prrafodelista"/>
        <w:numPr>
          <w:ilvl w:val="0"/>
          <w:numId w:val="32"/>
        </w:numPr>
        <w:spacing w:after="120" w:line="276" w:lineRule="auto"/>
        <w:jc w:val="both"/>
        <w:rPr>
          <w:rFonts w:ascii="Verdana" w:eastAsia="Calibri" w:hAnsi="Verdana" w:cs="Arial"/>
          <w:lang w:val="es-ES_tradnl"/>
        </w:rPr>
      </w:pPr>
      <w:r w:rsidRPr="00FF0864">
        <w:rPr>
          <w:rFonts w:ascii="Verdana" w:eastAsia="Calibri" w:hAnsi="Verdana" w:cs="Arial"/>
          <w:lang w:val="es-ES_tradnl"/>
        </w:rPr>
        <w:t xml:space="preserve">En ese sentido, al ser capacidad jurídica un requisito habilitante, ante la ausencia de claridad en su acreditación, procede la aplicación de la regla de </w:t>
      </w:r>
      <w:proofErr w:type="spellStart"/>
      <w:r w:rsidRPr="00FF0864">
        <w:rPr>
          <w:rFonts w:ascii="Verdana" w:eastAsia="Calibri" w:hAnsi="Verdana" w:cs="Arial"/>
          <w:lang w:val="es-ES_tradnl"/>
        </w:rPr>
        <w:t>subsanabilidad</w:t>
      </w:r>
      <w:proofErr w:type="spellEnd"/>
      <w:r w:rsidRPr="00FF0864">
        <w:rPr>
          <w:rFonts w:ascii="Verdana" w:eastAsia="Calibri" w:hAnsi="Verdana" w:cs="Arial"/>
          <w:lang w:val="es-ES_tradnl"/>
        </w:rPr>
        <w:t xml:space="preserve"> prevista en el parágrafo 1 del artículo 5 de la Ley 1150 de 2007. Conforme a esta, hasta el término de traslado del informe de evaluación, la entidad estatal tiene la posibilidad de solicitar a los proponentes los medios de prueba necesarios para verificar la configuración o no de las circunstancias y condiciones sancionadas con la </w:t>
      </w:r>
      <w:r w:rsidRPr="00FF0864">
        <w:rPr>
          <w:rFonts w:ascii="Verdana" w:eastAsia="Calibri" w:hAnsi="Verdana" w:cs="Arial"/>
          <w:lang w:val="es-ES_tradnl"/>
        </w:rPr>
        <w:lastRenderedPageBreak/>
        <w:t xml:space="preserve">inhabilidad, que confirmen o desvirtúen la negación indefinida hecha bajo la gravedad de juramento relativa a no estar incurso en inhabilidades e incompatibilidades.    </w:t>
      </w:r>
    </w:p>
    <w:p w14:paraId="69CD2E18" w14:textId="77777777" w:rsidR="00FF2F27" w:rsidRPr="00FF0864" w:rsidRDefault="00FF2F27" w:rsidP="00FF2F27">
      <w:pPr>
        <w:pStyle w:val="Prrafodelista"/>
        <w:numPr>
          <w:ilvl w:val="0"/>
          <w:numId w:val="32"/>
        </w:numPr>
        <w:spacing w:line="276" w:lineRule="auto"/>
        <w:jc w:val="both"/>
        <w:rPr>
          <w:rFonts w:ascii="Verdana" w:eastAsia="Calibri" w:hAnsi="Verdana" w:cs="Arial"/>
          <w:lang w:val="es-ES_tradnl"/>
        </w:rPr>
      </w:pPr>
      <w:r w:rsidRPr="00FF0864">
        <w:rPr>
          <w:rFonts w:ascii="Verdana" w:eastAsia="Calibri" w:hAnsi="Verdana" w:cs="Arial"/>
          <w:lang w:val="es-ES_tradnl"/>
        </w:rPr>
        <w:t xml:space="preserve">Sin perjuicio de lo anterior, también es posible que la configuración de la inhabilidad se evidencie en un estado más avanzado del proceso de selección, lo cual tampoco obsta para que la entidad estatal ejerza su potestad verificadora y descalifique la oferta del proponente afectado por la inhabilidad. Ello puede suceder si, por ejemplo, en el marco de las observaciones al informe de evaluación algún proponente pone de presente la configuración de la inhabilidad, suministrando información o documentación que así lo indique. En este caso, la entidad también debe </w:t>
      </w:r>
      <w:proofErr w:type="gramStart"/>
      <w:r w:rsidRPr="00FF0864">
        <w:rPr>
          <w:rFonts w:ascii="Verdana" w:eastAsia="Calibri" w:hAnsi="Verdana" w:cs="Arial"/>
          <w:lang w:val="es-ES_tradnl"/>
        </w:rPr>
        <w:t>proceder a verificar</w:t>
      </w:r>
      <w:proofErr w:type="gramEnd"/>
      <w:r w:rsidRPr="00FF0864">
        <w:rPr>
          <w:rFonts w:ascii="Verdana" w:eastAsia="Calibri" w:hAnsi="Verdana" w:cs="Arial"/>
          <w:lang w:val="es-ES_tradnl"/>
        </w:rPr>
        <w:t xml:space="preserve"> la configuración de la inhabilidad, ya que de ser esta real, la propuesta a la que se refiere debe ser descalificada por inhábil. </w:t>
      </w:r>
    </w:p>
    <w:p w14:paraId="0AC1AE60" w14:textId="77777777" w:rsidR="009F5FB8" w:rsidRPr="00FF0864" w:rsidRDefault="009F5FB8" w:rsidP="009F5FB8">
      <w:pPr>
        <w:spacing w:after="0" w:line="276" w:lineRule="auto"/>
        <w:jc w:val="both"/>
        <w:rPr>
          <w:rFonts w:ascii="Verdana" w:eastAsia="Calibri" w:hAnsi="Verdana" w:cs="Arial"/>
        </w:rPr>
      </w:pPr>
    </w:p>
    <w:p w14:paraId="51691684" w14:textId="77777777" w:rsidR="00AB64A5" w:rsidRPr="00FF0864" w:rsidRDefault="00AB64A5" w:rsidP="00AB64A5">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F0864">
        <w:rPr>
          <w:rFonts w:ascii="Verdana" w:eastAsia="Century Gothic" w:hAnsi="Verdana" w:cs="Century Gothic"/>
          <w:b/>
          <w:bCs/>
        </w:rPr>
        <w:t>Referencias normativas, jurisprudenciales y otras fuentes:</w:t>
      </w:r>
    </w:p>
    <w:p w14:paraId="4791A111" w14:textId="77777777" w:rsidR="00AB64A5" w:rsidRPr="00FF0864" w:rsidRDefault="00AB64A5" w:rsidP="00AB64A5">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AB64A5" w:rsidRPr="00FF0864" w14:paraId="713E4602" w14:textId="77777777" w:rsidTr="007B0B27">
        <w:trPr>
          <w:trHeight w:val="870"/>
        </w:trPr>
        <w:tc>
          <w:tcPr>
            <w:tcW w:w="8647" w:type="dxa"/>
          </w:tcPr>
          <w:p w14:paraId="15771CC9" w14:textId="77777777" w:rsidR="00FF2F27" w:rsidRPr="00FF0864" w:rsidRDefault="00FF2F27" w:rsidP="00FF2F27">
            <w:pPr>
              <w:widowControl w:val="0"/>
              <w:numPr>
                <w:ilvl w:val="0"/>
                <w:numId w:val="2"/>
              </w:numPr>
              <w:autoSpaceDE w:val="0"/>
              <w:autoSpaceDN w:val="0"/>
              <w:spacing w:line="276" w:lineRule="auto"/>
              <w:contextualSpacing/>
              <w:jc w:val="both"/>
              <w:rPr>
                <w:rFonts w:ascii="Verdana" w:hAnsi="Verdana" w:cs="Arial"/>
                <w:lang w:val="es-ES"/>
              </w:rPr>
            </w:pPr>
            <w:r w:rsidRPr="00FF0864">
              <w:rPr>
                <w:rFonts w:ascii="Verdana" w:hAnsi="Verdana" w:cs="Arial"/>
                <w:lang w:val="es-ES"/>
              </w:rPr>
              <w:t>Constitución Política, artículo 150.</w:t>
            </w:r>
          </w:p>
          <w:p w14:paraId="159813C7" w14:textId="77777777" w:rsidR="00FF2F27" w:rsidRPr="00FF0864" w:rsidRDefault="00FF2F27" w:rsidP="00FF2F27">
            <w:pPr>
              <w:widowControl w:val="0"/>
              <w:numPr>
                <w:ilvl w:val="0"/>
                <w:numId w:val="2"/>
              </w:numPr>
              <w:autoSpaceDE w:val="0"/>
              <w:autoSpaceDN w:val="0"/>
              <w:spacing w:line="276" w:lineRule="auto"/>
              <w:contextualSpacing/>
              <w:jc w:val="both"/>
              <w:rPr>
                <w:rFonts w:ascii="Verdana" w:hAnsi="Verdana" w:cs="Arial"/>
                <w:lang w:val="es-ES"/>
              </w:rPr>
            </w:pPr>
            <w:r w:rsidRPr="00FF0864">
              <w:rPr>
                <w:rFonts w:ascii="Verdana" w:hAnsi="Verdana" w:cs="Arial"/>
                <w:lang w:val="es-ES"/>
              </w:rPr>
              <w:t>Ley 80 de 1993, artículo 8.</w:t>
            </w:r>
          </w:p>
          <w:p w14:paraId="063B7B15" w14:textId="77777777" w:rsidR="00FF2F27" w:rsidRPr="00FF0864" w:rsidRDefault="00FF2F27" w:rsidP="00FF2F27">
            <w:pPr>
              <w:widowControl w:val="0"/>
              <w:numPr>
                <w:ilvl w:val="0"/>
                <w:numId w:val="2"/>
              </w:numPr>
              <w:autoSpaceDE w:val="0"/>
              <w:autoSpaceDN w:val="0"/>
              <w:spacing w:line="276" w:lineRule="auto"/>
              <w:contextualSpacing/>
              <w:jc w:val="both"/>
              <w:rPr>
                <w:rFonts w:ascii="Verdana" w:hAnsi="Verdana" w:cs="Arial"/>
                <w:lang w:val="es-ES"/>
              </w:rPr>
            </w:pPr>
            <w:r w:rsidRPr="00FF0864">
              <w:rPr>
                <w:rFonts w:ascii="Verdana" w:hAnsi="Verdana" w:cs="Arial"/>
                <w:color w:val="000000"/>
                <w:bdr w:val="none" w:sz="0" w:space="0" w:color="auto" w:frame="1"/>
                <w:lang w:val="es-ES"/>
              </w:rPr>
              <w:t>Ley 1952 de 2019, artículo 56.</w:t>
            </w:r>
          </w:p>
          <w:p w14:paraId="32ED9A8A" w14:textId="77777777" w:rsidR="00FF2F27" w:rsidRPr="00FF0864" w:rsidRDefault="00FF2F27" w:rsidP="00FF2F27">
            <w:pPr>
              <w:widowControl w:val="0"/>
              <w:numPr>
                <w:ilvl w:val="0"/>
                <w:numId w:val="2"/>
              </w:numPr>
              <w:tabs>
                <w:tab w:val="left" w:pos="8419"/>
              </w:tabs>
              <w:autoSpaceDE w:val="0"/>
              <w:autoSpaceDN w:val="0"/>
              <w:spacing w:line="276" w:lineRule="auto"/>
              <w:contextualSpacing/>
              <w:jc w:val="both"/>
              <w:rPr>
                <w:rFonts w:ascii="Verdana" w:hAnsi="Verdana" w:cs="Arial"/>
                <w:lang w:val="es-ES"/>
              </w:rPr>
            </w:pPr>
            <w:r w:rsidRPr="00FF0864">
              <w:rPr>
                <w:rFonts w:ascii="Verdana" w:hAnsi="Verdana" w:cs="Arial"/>
                <w:lang w:val="es-ES"/>
              </w:rPr>
              <w:t>Corte Constitucional. Sentencia T-1039 de 2006. Magistrado Ponente: Humberto Sierra Porto.</w:t>
            </w:r>
          </w:p>
          <w:p w14:paraId="604E65AA" w14:textId="77777777" w:rsidR="00FF2F27" w:rsidRPr="00FF0864" w:rsidRDefault="00FF2F27" w:rsidP="00FF2F27">
            <w:pPr>
              <w:widowControl w:val="0"/>
              <w:numPr>
                <w:ilvl w:val="0"/>
                <w:numId w:val="2"/>
              </w:numPr>
              <w:tabs>
                <w:tab w:val="left" w:pos="8419"/>
              </w:tabs>
              <w:autoSpaceDE w:val="0"/>
              <w:autoSpaceDN w:val="0"/>
              <w:spacing w:line="276" w:lineRule="auto"/>
              <w:contextualSpacing/>
              <w:jc w:val="both"/>
              <w:rPr>
                <w:rFonts w:ascii="Verdana" w:hAnsi="Verdana" w:cs="Arial"/>
                <w:lang w:val="es-ES"/>
              </w:rPr>
            </w:pPr>
            <w:r w:rsidRPr="00FF0864">
              <w:rPr>
                <w:rFonts w:ascii="Verdana" w:hAnsi="Verdana" w:cs="Arial"/>
                <w:lang w:val="es-ES"/>
              </w:rPr>
              <w:t xml:space="preserve">Consejo de Estado. Sala de Consulta y Servicio Civil. Concepto del 30 de abril de 2015. Expediente: 2251. Consejero Ponente: Álvaro </w:t>
            </w:r>
            <w:proofErr w:type="spellStart"/>
            <w:r w:rsidRPr="00FF0864">
              <w:rPr>
                <w:rFonts w:ascii="Verdana" w:hAnsi="Verdana" w:cs="Arial"/>
                <w:lang w:val="es-ES"/>
              </w:rPr>
              <w:t>Namén</w:t>
            </w:r>
            <w:proofErr w:type="spellEnd"/>
            <w:r w:rsidRPr="00FF0864">
              <w:rPr>
                <w:rFonts w:ascii="Verdana" w:hAnsi="Verdana" w:cs="Arial"/>
                <w:lang w:val="es-ES"/>
              </w:rPr>
              <w:t xml:space="preserve"> Vargas.</w:t>
            </w:r>
          </w:p>
          <w:p w14:paraId="3A9F1A2D" w14:textId="77777777" w:rsidR="00FF2F27" w:rsidRPr="00FF0864" w:rsidRDefault="00FF2F27" w:rsidP="00FF2F27">
            <w:pPr>
              <w:widowControl w:val="0"/>
              <w:numPr>
                <w:ilvl w:val="0"/>
                <w:numId w:val="2"/>
              </w:numPr>
              <w:tabs>
                <w:tab w:val="left" w:pos="8419"/>
              </w:tabs>
              <w:autoSpaceDE w:val="0"/>
              <w:autoSpaceDN w:val="0"/>
              <w:spacing w:line="276" w:lineRule="auto"/>
              <w:contextualSpacing/>
              <w:jc w:val="both"/>
              <w:rPr>
                <w:rFonts w:ascii="Verdana" w:hAnsi="Verdana" w:cs="Arial"/>
                <w:lang w:val="es-ES"/>
              </w:rPr>
            </w:pPr>
            <w:r w:rsidRPr="00FF0864">
              <w:rPr>
                <w:rFonts w:ascii="Verdana" w:hAnsi="Verdana" w:cs="Arial"/>
                <w:lang w:val="es-ES"/>
              </w:rPr>
              <w:t xml:space="preserve">Consejo de Estado. Sección Tercera. Subsección A. Sentencia del 24 de junio de 2015. </w:t>
            </w:r>
            <w:proofErr w:type="spellStart"/>
            <w:r w:rsidRPr="00FF0864">
              <w:rPr>
                <w:rFonts w:ascii="Verdana" w:hAnsi="Verdana" w:cs="Arial"/>
                <w:lang w:val="es-ES"/>
              </w:rPr>
              <w:t>Exp</w:t>
            </w:r>
            <w:proofErr w:type="spellEnd"/>
            <w:r w:rsidRPr="00FF0864">
              <w:rPr>
                <w:rFonts w:ascii="Verdana" w:hAnsi="Verdana" w:cs="Arial"/>
                <w:lang w:val="es-ES"/>
              </w:rPr>
              <w:t>. 40.635. Consejero Ponente: Hernán Andrade Rincón (E).</w:t>
            </w:r>
          </w:p>
          <w:p w14:paraId="04BC0E03" w14:textId="77777777" w:rsidR="00FF2F27" w:rsidRPr="00FF0864" w:rsidRDefault="00FF2F27" w:rsidP="00FF2F27">
            <w:pPr>
              <w:widowControl w:val="0"/>
              <w:numPr>
                <w:ilvl w:val="0"/>
                <w:numId w:val="2"/>
              </w:numPr>
              <w:tabs>
                <w:tab w:val="left" w:pos="8419"/>
              </w:tabs>
              <w:autoSpaceDE w:val="0"/>
              <w:autoSpaceDN w:val="0"/>
              <w:spacing w:line="276" w:lineRule="auto"/>
              <w:contextualSpacing/>
              <w:jc w:val="both"/>
              <w:rPr>
                <w:rFonts w:ascii="Verdana" w:hAnsi="Verdana" w:cs="Arial"/>
                <w:lang w:val="es-ES"/>
              </w:rPr>
            </w:pPr>
            <w:r w:rsidRPr="00FF0864">
              <w:rPr>
                <w:rFonts w:ascii="Verdana" w:hAnsi="Verdana" w:cs="Arial"/>
                <w:lang w:val="es-ES"/>
              </w:rPr>
              <w:t xml:space="preserve">Consejo de Estado. Sección Tercera. Subsección C. Sentencia del 22 de mayo de 2013. </w:t>
            </w:r>
            <w:proofErr w:type="spellStart"/>
            <w:r w:rsidRPr="00FF0864">
              <w:rPr>
                <w:rFonts w:ascii="Verdana" w:hAnsi="Verdana" w:cs="Arial"/>
                <w:lang w:val="es-ES"/>
              </w:rPr>
              <w:t>Exp</w:t>
            </w:r>
            <w:proofErr w:type="spellEnd"/>
            <w:r w:rsidRPr="00FF0864">
              <w:rPr>
                <w:rFonts w:ascii="Verdana" w:hAnsi="Verdana" w:cs="Arial"/>
                <w:lang w:val="es-ES"/>
              </w:rPr>
              <w:t xml:space="preserve">. 24.057. Consejera Ponente: Olga </w:t>
            </w:r>
            <w:proofErr w:type="spellStart"/>
            <w:r w:rsidRPr="00FF0864">
              <w:rPr>
                <w:rFonts w:ascii="Verdana" w:hAnsi="Verdana" w:cs="Arial"/>
                <w:lang w:val="es-ES"/>
              </w:rPr>
              <w:t>Melida</w:t>
            </w:r>
            <w:proofErr w:type="spellEnd"/>
            <w:r w:rsidRPr="00FF0864">
              <w:rPr>
                <w:rFonts w:ascii="Verdana" w:hAnsi="Verdana" w:cs="Arial"/>
                <w:lang w:val="es-ES"/>
              </w:rPr>
              <w:t xml:space="preserve"> Valle De La Hoz.</w:t>
            </w:r>
          </w:p>
          <w:p w14:paraId="3D723E84" w14:textId="77777777" w:rsidR="00FF2F27" w:rsidRPr="00FF0864" w:rsidRDefault="00FF2F27" w:rsidP="00FF2F27">
            <w:pPr>
              <w:widowControl w:val="0"/>
              <w:numPr>
                <w:ilvl w:val="0"/>
                <w:numId w:val="2"/>
              </w:numPr>
              <w:tabs>
                <w:tab w:val="left" w:pos="8419"/>
              </w:tabs>
              <w:autoSpaceDE w:val="0"/>
              <w:autoSpaceDN w:val="0"/>
              <w:spacing w:line="276" w:lineRule="auto"/>
              <w:contextualSpacing/>
              <w:jc w:val="both"/>
              <w:rPr>
                <w:rFonts w:ascii="Verdana" w:hAnsi="Verdana" w:cs="Arial"/>
                <w:lang w:val="es-ES"/>
              </w:rPr>
            </w:pPr>
            <w:r w:rsidRPr="00FF0864">
              <w:rPr>
                <w:rFonts w:ascii="Verdana" w:hAnsi="Verdana" w:cs="Arial"/>
                <w:lang w:val="es-ES"/>
              </w:rPr>
              <w:t>Corte Constitucional, sentencia C- 373 de 2002, Magistrado ponente Jaime Córdoba Triviño.</w:t>
            </w:r>
          </w:p>
          <w:p w14:paraId="62D514FC" w14:textId="77777777" w:rsidR="00FF2F27" w:rsidRPr="00FF0864" w:rsidRDefault="00FF2F27" w:rsidP="00FF2F27">
            <w:pPr>
              <w:widowControl w:val="0"/>
              <w:numPr>
                <w:ilvl w:val="0"/>
                <w:numId w:val="2"/>
              </w:numPr>
              <w:tabs>
                <w:tab w:val="left" w:pos="8419"/>
              </w:tabs>
              <w:autoSpaceDE w:val="0"/>
              <w:autoSpaceDN w:val="0"/>
              <w:spacing w:line="276" w:lineRule="auto"/>
              <w:contextualSpacing/>
              <w:jc w:val="both"/>
              <w:rPr>
                <w:rFonts w:ascii="Verdana" w:hAnsi="Verdana" w:cs="Arial"/>
                <w:lang w:val="es-ES"/>
              </w:rPr>
            </w:pPr>
            <w:r w:rsidRPr="00FF0864">
              <w:rPr>
                <w:rFonts w:ascii="Verdana" w:hAnsi="Verdana" w:cs="Arial"/>
                <w:lang w:val="es-ES"/>
              </w:rPr>
              <w:t>Corte Constitucional, sentencia C-325 de 2009, Magistrado ponente Gabriel Eduardo Mendoza Martelo.</w:t>
            </w:r>
          </w:p>
          <w:p w14:paraId="0C45EA68" w14:textId="2392E8E1" w:rsidR="00C04209" w:rsidRPr="00FF0864" w:rsidRDefault="00FF2F27" w:rsidP="00FF2F27">
            <w:pPr>
              <w:pStyle w:val="Prrafodelista"/>
              <w:numPr>
                <w:ilvl w:val="0"/>
                <w:numId w:val="2"/>
              </w:numPr>
              <w:spacing w:line="276" w:lineRule="auto"/>
              <w:ind w:right="709"/>
              <w:jc w:val="both"/>
              <w:rPr>
                <w:rFonts w:ascii="Verdana" w:hAnsi="Verdana" w:cs="Arial"/>
              </w:rPr>
            </w:pPr>
            <w:r w:rsidRPr="00FF0864">
              <w:rPr>
                <w:rFonts w:ascii="Verdana" w:hAnsi="Verdana" w:cs="Arial"/>
                <w:lang w:val="es-ES"/>
              </w:rPr>
              <w:lastRenderedPageBreak/>
              <w:t>Consejo de Estado, Sentencia 00111 del 13 de junio de 2019, Sala de lo Contencioso Administrativo, Sección Quinta 00111 del 13 de junio de 2019, consejera ponente Rocío Araújo Oñate.</w:t>
            </w:r>
          </w:p>
        </w:tc>
      </w:tr>
    </w:tbl>
    <w:p w14:paraId="7D10BDB3" w14:textId="77777777" w:rsidR="00AB64A5" w:rsidRPr="00FF0864" w:rsidRDefault="00AB64A5" w:rsidP="00AB64A5">
      <w:pPr>
        <w:widowControl w:val="0"/>
        <w:autoSpaceDE w:val="0"/>
        <w:autoSpaceDN w:val="0"/>
        <w:spacing w:after="0" w:line="276" w:lineRule="auto"/>
        <w:jc w:val="both"/>
        <w:rPr>
          <w:rFonts w:ascii="Verdana" w:hAnsi="Verdana" w:cs="Arial"/>
        </w:rPr>
      </w:pPr>
    </w:p>
    <w:p w14:paraId="064A695A" w14:textId="77777777" w:rsidR="00AB64A5" w:rsidRPr="00FF0864" w:rsidRDefault="00AB64A5" w:rsidP="00AB64A5">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F0864">
        <w:rPr>
          <w:rFonts w:ascii="Verdana" w:eastAsia="Century Gothic" w:hAnsi="Verdana" w:cs="Century Gothic"/>
          <w:b/>
          <w:bCs/>
        </w:rPr>
        <w:t>Doctrina de la Agencia Nacional de Contratación Pública:</w:t>
      </w:r>
    </w:p>
    <w:p w14:paraId="6FB855C5" w14:textId="77777777" w:rsidR="00AB64A5" w:rsidRPr="00FF0864" w:rsidRDefault="00AB64A5" w:rsidP="00AB64A5">
      <w:pPr>
        <w:widowControl w:val="0"/>
        <w:autoSpaceDE w:val="0"/>
        <w:autoSpaceDN w:val="0"/>
        <w:spacing w:after="0" w:line="276" w:lineRule="auto"/>
        <w:jc w:val="both"/>
        <w:rPr>
          <w:rStyle w:val="normaltextrun"/>
          <w:rFonts w:ascii="Verdana" w:hAnsi="Verdana" w:cs="Arial"/>
          <w:color w:val="7030A0"/>
          <w:shd w:val="clear" w:color="auto" w:fill="FFFFFF"/>
          <w:lang w:val="es-ES"/>
        </w:rPr>
      </w:pPr>
    </w:p>
    <w:p w14:paraId="24CCAA68" w14:textId="7B259810" w:rsidR="00F67849" w:rsidRPr="00FF0864" w:rsidRDefault="00F67849" w:rsidP="00F67849">
      <w:pPr>
        <w:widowControl w:val="0"/>
        <w:autoSpaceDE w:val="0"/>
        <w:autoSpaceDN w:val="0"/>
        <w:spacing w:after="0" w:line="276" w:lineRule="auto"/>
        <w:jc w:val="both"/>
        <w:rPr>
          <w:rStyle w:val="normaltextrun"/>
          <w:rFonts w:ascii="Verdana" w:hAnsi="Verdana" w:cs="Arial"/>
          <w:color w:val="156082" w:themeColor="accent1"/>
          <w:shd w:val="clear" w:color="auto" w:fill="FFFFFF"/>
          <w:lang w:val="es-ES"/>
        </w:rPr>
      </w:pPr>
      <w:r w:rsidRPr="00FF0864">
        <w:rPr>
          <w:rStyle w:val="normaltextrun"/>
          <w:rFonts w:ascii="Verdana" w:hAnsi="Verdana" w:cs="Arial"/>
          <w:shd w:val="clear" w:color="auto" w:fill="FFFFFF"/>
          <w:lang w:val="es-ES"/>
        </w:rPr>
        <w:t>Sobre las actividades relacionadas con ciencia, tecnología e innovación y los contratos</w:t>
      </w:r>
      <w:r w:rsidR="00FF2F27" w:rsidRPr="00FF0864">
        <w:rPr>
          <w:rStyle w:val="normaltextrun"/>
          <w:rFonts w:ascii="Verdana" w:hAnsi="Verdana" w:cs="Arial"/>
          <w:shd w:val="clear" w:color="auto" w:fill="FFFFFF"/>
          <w:lang w:val="es-ES"/>
        </w:rPr>
        <w:t xml:space="preserve"> </w:t>
      </w:r>
      <w:r w:rsidR="00FF2F27" w:rsidRPr="00FF0864">
        <w:rPr>
          <w:rFonts w:ascii="Verdana" w:eastAsia="Calibri" w:hAnsi="Verdana" w:cs="Arial"/>
        </w:rPr>
        <w:t>con radicados No. 4201912000004765 de 29 de agosto de 2019, 4201913000005694 del 3 de octubre de 2019, 4201912000006288 del 7 de septiembre de 2019, 4201912000006259 del 13 de noviembre de 2019, 4201913000006917 del 21 de noviembre de 2019, 4201912000006978 del 25 de noviembre de 2019, 4201912000007291 del 3 de diciembre de 2019, 4201912000007281 del 5 de diciembre de 2019, 4201912000007060 del 11 de diciembre de 2019, 4201912000007512 del 16  diciembre de 2019, 4201912000008460 del 14 de febrero de 2020, C−032 del 19 de febrero de 2020,  C−402 del 26 de junio de 2020, C−365 del 30 de junio de 2020, C−386 del 24 de julio de 2020, C-585 del 14 de septiembre de 2020, C–592 del 14 de septiembre de 2020, C−551 de 24 de septiembre de 2020, C−709 del 7 de diciembre de 2020, C–721 de 14 de diciembre de 2020, C–004 del 12 de febrero de 2021, C–815 del 18 de febrero de 2021, C–047 del 8 de marzo de 2021, C–113 del 30 de marzo de 2021, C–122 del 30 de marzo de 2021, C–178 del 28 de abril de 2021, entre otros</w:t>
      </w:r>
      <w:r w:rsidRPr="00FF0864">
        <w:rPr>
          <w:rStyle w:val="normaltextrun"/>
          <w:rFonts w:ascii="Verdana" w:hAnsi="Verdana" w:cs="Arial"/>
          <w:shd w:val="clear" w:color="auto" w:fill="FFFFFF"/>
          <w:lang w:val="es-ES"/>
        </w:rPr>
        <w:t>. Es</w:t>
      </w:r>
      <w:r w:rsidRPr="00FF0864">
        <w:rPr>
          <w:rFonts w:ascii="Verdana" w:hAnsi="Verdana"/>
        </w:rPr>
        <w:t>tos y otros conceptos se encuentran disponibles para consulta en el Sistema de relatoría de la Agencia, al cual se puede acceder a través del siguiente enlace:</w:t>
      </w:r>
      <w:r w:rsidRPr="00FF0864">
        <w:rPr>
          <w:rStyle w:val="normaltextrun"/>
          <w:rFonts w:ascii="Verdana" w:hAnsi="Verdana" w:cs="Arial"/>
          <w:shd w:val="clear" w:color="auto" w:fill="FFFFFF"/>
          <w:lang w:val="es-ES"/>
        </w:rPr>
        <w:t xml:space="preserve"> </w:t>
      </w:r>
      <w:hyperlink r:id="rId12" w:history="1">
        <w:r w:rsidRPr="00FF0864">
          <w:rPr>
            <w:rStyle w:val="Hipervnculo"/>
            <w:rFonts w:ascii="Verdana" w:hAnsi="Verdana" w:cs="Arial"/>
            <w:color w:val="156082" w:themeColor="accent1"/>
            <w:shd w:val="clear" w:color="auto" w:fill="FFFFFF"/>
            <w:lang w:val="es-ES"/>
          </w:rPr>
          <w:t>https://relatoria.colombiacompra.gov.co/busqueda/conceptos</w:t>
        </w:r>
      </w:hyperlink>
      <w:r w:rsidRPr="00FF0864">
        <w:rPr>
          <w:rStyle w:val="normaltextrun"/>
          <w:rFonts w:ascii="Verdana" w:hAnsi="Verdana" w:cs="Arial"/>
          <w:color w:val="156082" w:themeColor="accent1"/>
          <w:shd w:val="clear" w:color="auto" w:fill="FFFFFF"/>
          <w:lang w:val="es-ES"/>
        </w:rPr>
        <w:t xml:space="preserve">. </w:t>
      </w:r>
    </w:p>
    <w:p w14:paraId="5F8E3F20" w14:textId="77777777" w:rsidR="0050012F" w:rsidRPr="00FF0864" w:rsidRDefault="0050012F" w:rsidP="00AB64A5">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6FEF4589" w14:textId="77777777" w:rsidR="00F67849" w:rsidRPr="00FF0864" w:rsidRDefault="00F67849" w:rsidP="00F67849">
      <w:pPr>
        <w:widowControl w:val="0"/>
        <w:autoSpaceDE w:val="0"/>
        <w:autoSpaceDN w:val="0"/>
        <w:spacing w:after="0" w:line="276" w:lineRule="auto"/>
        <w:jc w:val="both"/>
        <w:rPr>
          <w:rFonts w:ascii="Verdana" w:eastAsia="Calibri" w:hAnsi="Verdana" w:cs="Arial"/>
          <w:shd w:val="clear" w:color="auto" w:fill="FFFFFF"/>
          <w:lang w:val="es-ES"/>
        </w:rPr>
      </w:pPr>
      <w:r w:rsidRPr="00FF0864">
        <w:rPr>
          <w:rFonts w:ascii="Verdana" w:hAnsi="Verdana" w:cs="Arial"/>
          <w:shd w:val="clear" w:color="auto" w:fill="FFFFFF"/>
        </w:rPr>
        <w:t>También le invitamos a consultar la versión VII  de 2024 , del Boletín de Relatoría de la Subdirección de Gestión Contractual relacionado con las ASOCIACIONES PÚBLICO POPULARES , el cual se puede descargar en la página web de la Agencia: </w:t>
      </w:r>
      <w:hyperlink r:id="rId13" w:tgtFrame="_blank" w:tooltip="Dirección URL original: https://www.colombiacompra.gov.co/sala-de-prensa/boletin-digital. Haga clic o pulse si confía en este vínculo." w:history="1">
        <w:r w:rsidRPr="00FF0864">
          <w:rPr>
            <w:rStyle w:val="Hipervnculo"/>
            <w:rFonts w:ascii="Verdana" w:hAnsi="Verdana" w:cs="Arial"/>
            <w:shd w:val="clear" w:color="auto" w:fill="FFFFFF"/>
          </w:rPr>
          <w:t>https://www.colombiacompra.gov.co/sala-de-prensa/boletin-digital</w:t>
        </w:r>
      </w:hyperlink>
      <w:r w:rsidRPr="00FF0864">
        <w:rPr>
          <w:rFonts w:ascii="Verdana" w:hAnsi="Verdana" w:cs="Arial"/>
          <w:shd w:val="clear" w:color="auto" w:fill="FFFFFF"/>
        </w:rPr>
        <w:t>    </w:t>
      </w:r>
    </w:p>
    <w:p w14:paraId="494B802C" w14:textId="77777777" w:rsidR="00F67849" w:rsidRPr="00FF0864" w:rsidRDefault="00F67849" w:rsidP="00F67849">
      <w:pPr>
        <w:spacing w:after="0" w:line="240" w:lineRule="auto"/>
        <w:jc w:val="both"/>
        <w:rPr>
          <w:rFonts w:ascii="Verdana" w:eastAsia="Calibri" w:hAnsi="Verdana" w:cs="Times New Roman"/>
        </w:rPr>
      </w:pPr>
      <w:r w:rsidRPr="00FF0864">
        <w:rPr>
          <w:rFonts w:ascii="Verdana" w:eastAsia="Calibri" w:hAnsi="Verdana" w:cs="Times New Roman"/>
        </w:rPr>
        <w:t xml:space="preserve">Por último, los invitamos a seguirnos en las redes sociales, en las cuales se difunde información institucional: </w:t>
      </w:r>
    </w:p>
    <w:p w14:paraId="7080E4EF" w14:textId="77777777" w:rsidR="00F67849" w:rsidRPr="00FF0864" w:rsidRDefault="00F67849" w:rsidP="00F67849">
      <w:pPr>
        <w:spacing w:after="0" w:line="240" w:lineRule="auto"/>
        <w:jc w:val="both"/>
        <w:rPr>
          <w:rFonts w:ascii="Verdana" w:eastAsia="Calibri" w:hAnsi="Verdana" w:cs="Times New Roman"/>
        </w:rPr>
      </w:pPr>
    </w:p>
    <w:p w14:paraId="1BDB9392" w14:textId="77777777" w:rsidR="00F67849" w:rsidRPr="00FF0864" w:rsidRDefault="00F67849" w:rsidP="00F67849">
      <w:pPr>
        <w:spacing w:after="0" w:line="240" w:lineRule="auto"/>
        <w:jc w:val="both"/>
        <w:rPr>
          <w:rFonts w:ascii="Verdana" w:eastAsia="Calibri" w:hAnsi="Verdana" w:cs="Times New Roman"/>
        </w:rPr>
      </w:pPr>
      <w:r w:rsidRPr="00FF0864">
        <w:rPr>
          <w:rFonts w:ascii="Verdana" w:eastAsia="Calibri" w:hAnsi="Verdana" w:cs="Times New Roman"/>
        </w:rPr>
        <w:t xml:space="preserve">Twitter: </w:t>
      </w:r>
      <w:r w:rsidRPr="00FF0864">
        <w:rPr>
          <w:rFonts w:ascii="Verdana" w:eastAsia="Calibri" w:hAnsi="Verdana" w:cs="Times New Roman"/>
          <w:u w:val="single"/>
        </w:rPr>
        <w:t>@colombiacompra</w:t>
      </w:r>
      <w:r w:rsidRPr="00FF0864">
        <w:rPr>
          <w:rFonts w:ascii="Verdana" w:eastAsia="Calibri" w:hAnsi="Verdana" w:cs="Times New Roman"/>
        </w:rPr>
        <w:t xml:space="preserve"> </w:t>
      </w:r>
    </w:p>
    <w:p w14:paraId="51B90D7F" w14:textId="77777777" w:rsidR="00F67849" w:rsidRPr="00FF0864" w:rsidRDefault="00F67849" w:rsidP="00F67849">
      <w:pPr>
        <w:spacing w:after="0" w:line="240" w:lineRule="auto"/>
        <w:jc w:val="both"/>
        <w:rPr>
          <w:rFonts w:ascii="Verdana" w:eastAsia="Calibri" w:hAnsi="Verdana" w:cs="Times New Roman"/>
        </w:rPr>
      </w:pPr>
      <w:r w:rsidRPr="00FF0864">
        <w:rPr>
          <w:rFonts w:ascii="Verdana" w:eastAsia="Calibri" w:hAnsi="Verdana" w:cs="Times New Roman"/>
        </w:rPr>
        <w:t xml:space="preserve">Facebook: </w:t>
      </w:r>
      <w:proofErr w:type="spellStart"/>
      <w:r w:rsidRPr="00FF0864">
        <w:rPr>
          <w:rFonts w:ascii="Verdana" w:eastAsia="Calibri" w:hAnsi="Verdana" w:cs="Times New Roman"/>
          <w:u w:val="single"/>
        </w:rPr>
        <w:t>ColombiaCompraEficiente</w:t>
      </w:r>
      <w:proofErr w:type="spellEnd"/>
    </w:p>
    <w:p w14:paraId="4347A996" w14:textId="77777777" w:rsidR="00F67849" w:rsidRPr="00FF0864" w:rsidRDefault="00F67849" w:rsidP="00F67849">
      <w:pPr>
        <w:spacing w:after="0" w:line="240" w:lineRule="auto"/>
        <w:jc w:val="both"/>
        <w:rPr>
          <w:rFonts w:ascii="Verdana" w:eastAsia="Calibri" w:hAnsi="Verdana" w:cs="Times New Roman"/>
        </w:rPr>
      </w:pPr>
      <w:r w:rsidRPr="00FF0864">
        <w:rPr>
          <w:rFonts w:ascii="Verdana" w:eastAsia="Calibri" w:hAnsi="Verdana" w:cs="Times New Roman"/>
        </w:rPr>
        <w:lastRenderedPageBreak/>
        <w:t xml:space="preserve">LinkedIn: </w:t>
      </w:r>
      <w:r w:rsidRPr="00FF0864">
        <w:rPr>
          <w:rFonts w:ascii="Verdana" w:eastAsia="Calibri" w:hAnsi="Verdana" w:cs="Times New Roman"/>
          <w:u w:val="single"/>
        </w:rPr>
        <w:t>Agencia Nacional de Contratación Pública - Colombia Compra Eficiente</w:t>
      </w:r>
      <w:r w:rsidRPr="00FF0864">
        <w:rPr>
          <w:rFonts w:ascii="Verdana" w:eastAsia="Calibri" w:hAnsi="Verdana" w:cs="Times New Roman"/>
        </w:rPr>
        <w:t xml:space="preserve"> Instagram: </w:t>
      </w:r>
      <w:r w:rsidRPr="00FF0864">
        <w:rPr>
          <w:rFonts w:ascii="Verdana" w:eastAsia="Calibri" w:hAnsi="Verdana" w:cs="Times New Roman"/>
          <w:u w:val="single"/>
        </w:rPr>
        <w:t>@colombiacompraeficiente_cce</w:t>
      </w:r>
    </w:p>
    <w:p w14:paraId="2F41C146" w14:textId="77777777" w:rsidR="00F67849" w:rsidRPr="00FF0864" w:rsidRDefault="00F67849" w:rsidP="00F67849">
      <w:pPr>
        <w:widowControl w:val="0"/>
        <w:autoSpaceDE w:val="0"/>
        <w:autoSpaceDN w:val="0"/>
        <w:spacing w:after="0" w:line="276" w:lineRule="auto"/>
        <w:jc w:val="both"/>
        <w:rPr>
          <w:rFonts w:ascii="Verdana" w:eastAsia="Calibri" w:hAnsi="Verdana" w:cs="Arial"/>
        </w:rPr>
      </w:pPr>
    </w:p>
    <w:p w14:paraId="08A075D9" w14:textId="77777777" w:rsidR="00F67849" w:rsidRPr="00FF0864" w:rsidRDefault="00F67849" w:rsidP="00F67849">
      <w:pPr>
        <w:widowControl w:val="0"/>
        <w:autoSpaceDE w:val="0"/>
        <w:autoSpaceDN w:val="0"/>
        <w:spacing w:after="0" w:line="276" w:lineRule="auto"/>
        <w:jc w:val="both"/>
        <w:rPr>
          <w:rFonts w:ascii="Verdana" w:eastAsia="Calibri" w:hAnsi="Verdana" w:cs="Arial"/>
          <w:lang w:val="es-ES_tradnl"/>
        </w:rPr>
      </w:pPr>
      <w:r w:rsidRPr="00FF0864">
        <w:rPr>
          <w:rFonts w:ascii="Verdana" w:eastAsia="Calibri" w:hAnsi="Verdana" w:cs="Arial"/>
        </w:rPr>
        <w:t xml:space="preserve">Este concepto tiene el alcance previsto en el artículo 28 del Código de Procedimiento Administrativo y de lo Contencioso Administrativo </w:t>
      </w:r>
      <w:r w:rsidRPr="00FF0864">
        <w:rPr>
          <w:rFonts w:ascii="Verdana" w:eastAsia="Calibri" w:hAnsi="Verdana" w:cs="Arial"/>
          <w:lang w:val="es-ES_tradnl"/>
        </w:rPr>
        <w:t>y las expresiones aquí utilizadas con mayúscula inicial deben ser entendidas con el significado que les otorga el artículo 2.2.1.1.1.3.1. del Decreto 1082 de 2015.</w:t>
      </w:r>
    </w:p>
    <w:p w14:paraId="20464B9D" w14:textId="77777777" w:rsidR="00AB64A5" w:rsidRPr="00FF0864" w:rsidRDefault="00AB64A5" w:rsidP="00AB64A5">
      <w:pPr>
        <w:widowControl w:val="0"/>
        <w:autoSpaceDE w:val="0"/>
        <w:autoSpaceDN w:val="0"/>
        <w:spacing w:after="0" w:line="276" w:lineRule="auto"/>
        <w:jc w:val="both"/>
        <w:rPr>
          <w:rFonts w:ascii="Verdana" w:hAnsi="Verdana" w:cs="Arial"/>
          <w:lang w:val="es-ES_tradnl"/>
        </w:rPr>
      </w:pPr>
    </w:p>
    <w:p w14:paraId="43CF8739" w14:textId="77777777" w:rsidR="00AB64A5" w:rsidRPr="00FF0864" w:rsidRDefault="00AB64A5" w:rsidP="00AB64A5">
      <w:pPr>
        <w:spacing w:after="0" w:line="240" w:lineRule="auto"/>
        <w:rPr>
          <w:rFonts w:ascii="Verdana" w:hAnsi="Verdana" w:cs="Arial"/>
          <w:lang w:eastAsia="es-CO"/>
        </w:rPr>
      </w:pPr>
      <w:r w:rsidRPr="00FF0864">
        <w:rPr>
          <w:rFonts w:ascii="Verdana" w:eastAsia="Times New Roman" w:hAnsi="Verdana" w:cs="Arial"/>
          <w:lang w:eastAsia="es-CO"/>
        </w:rPr>
        <w:t>Atentamente,</w:t>
      </w:r>
      <w:r w:rsidRPr="00FF0864">
        <w:rPr>
          <w:rFonts w:ascii="Verdana" w:hAnsi="Verdana" w:cs="Arial"/>
          <w:lang w:eastAsia="es-CO"/>
        </w:rPr>
        <w:t xml:space="preserve"> </w:t>
      </w:r>
    </w:p>
    <w:p w14:paraId="0B837099" w14:textId="1FB90E40" w:rsidR="00AB64A5" w:rsidRPr="00FF0864" w:rsidRDefault="005F78DC" w:rsidP="00AB64A5">
      <w:pPr>
        <w:spacing w:line="276" w:lineRule="auto"/>
        <w:jc w:val="center"/>
        <w:rPr>
          <w:rFonts w:ascii="Verdana" w:hAnsi="Verdana" w:cs="Arial"/>
          <w:color w:val="000000"/>
          <w:lang w:val="es-ES_tradnl" w:eastAsia="es-CO"/>
        </w:rPr>
      </w:pPr>
      <w:r w:rsidRPr="002C3AD6">
        <w:rPr>
          <w:rFonts w:ascii="Century Gothic" w:hAnsi="Century Gothic"/>
          <w:noProof/>
        </w:rPr>
        <w:drawing>
          <wp:inline distT="0" distB="0" distL="0" distR="0" wp14:anchorId="19648152" wp14:editId="3FC1F8FC">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4"/>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AB64A5" w:rsidRPr="00FF0864" w14:paraId="1CCF7B2A" w14:textId="77777777" w:rsidTr="005A5AFA">
        <w:trPr>
          <w:trHeight w:val="315"/>
        </w:trPr>
        <w:tc>
          <w:tcPr>
            <w:tcW w:w="893" w:type="dxa"/>
            <w:vAlign w:val="center"/>
            <w:hideMark/>
          </w:tcPr>
          <w:p w14:paraId="4C835DB8" w14:textId="77777777" w:rsidR="00AB64A5" w:rsidRPr="00FF0864" w:rsidRDefault="00AB64A5" w:rsidP="007B0B27">
            <w:pPr>
              <w:contextualSpacing/>
              <w:rPr>
                <w:rFonts w:ascii="Verdana" w:hAnsi="Verdana" w:cs="Arial"/>
                <w:sz w:val="16"/>
                <w:szCs w:val="16"/>
                <w:lang w:val="es-ES" w:eastAsia="es-ES"/>
              </w:rPr>
            </w:pPr>
            <w:r w:rsidRPr="00FF0864">
              <w:rPr>
                <w:rFonts w:ascii="Verdana" w:hAnsi="Verdana" w:cs="Arial"/>
                <w:sz w:val="16"/>
                <w:szCs w:val="16"/>
                <w:lang w:val="es-ES" w:eastAsia="es-ES"/>
              </w:rPr>
              <w:t>Elaboró:</w:t>
            </w:r>
          </w:p>
        </w:tc>
        <w:tc>
          <w:tcPr>
            <w:tcW w:w="5628" w:type="dxa"/>
            <w:tcBorders>
              <w:top w:val="nil"/>
              <w:left w:val="nil"/>
              <w:right w:val="nil"/>
            </w:tcBorders>
            <w:vAlign w:val="center"/>
            <w:hideMark/>
          </w:tcPr>
          <w:p w14:paraId="66AF4843" w14:textId="0ED7FA68" w:rsidR="00AB64A5" w:rsidRPr="00FF0864" w:rsidRDefault="009F4B33" w:rsidP="007B0B27">
            <w:pPr>
              <w:contextualSpacing/>
              <w:rPr>
                <w:rStyle w:val="normaltextrun"/>
                <w:rFonts w:ascii="Verdana" w:hAnsi="Verdana"/>
                <w:sz w:val="16"/>
                <w:szCs w:val="16"/>
              </w:rPr>
            </w:pPr>
            <w:r>
              <w:rPr>
                <w:rStyle w:val="normaltextrun"/>
                <w:rFonts w:ascii="Verdana" w:hAnsi="Verdana"/>
                <w:sz w:val="16"/>
                <w:szCs w:val="16"/>
              </w:rPr>
              <w:t>D</w:t>
            </w:r>
            <w:r w:rsidRPr="009F4B33">
              <w:rPr>
                <w:rStyle w:val="normaltextrun"/>
                <w:rFonts w:ascii="Verdana" w:hAnsi="Verdana"/>
                <w:sz w:val="16"/>
                <w:szCs w:val="16"/>
              </w:rPr>
              <w:t xml:space="preserve">iana </w:t>
            </w:r>
            <w:r w:rsidR="005A5AFA" w:rsidRPr="00FF0864">
              <w:rPr>
                <w:rStyle w:val="normaltextrun"/>
                <w:rFonts w:ascii="Verdana" w:hAnsi="Verdana"/>
                <w:sz w:val="16"/>
                <w:szCs w:val="16"/>
              </w:rPr>
              <w:t xml:space="preserve">Carolina Blanco Rodriguez </w:t>
            </w:r>
          </w:p>
          <w:p w14:paraId="05D16EFD" w14:textId="77777777" w:rsidR="00AB64A5" w:rsidRPr="00FF0864" w:rsidRDefault="00AB64A5" w:rsidP="007B0B27">
            <w:pPr>
              <w:contextualSpacing/>
              <w:rPr>
                <w:rStyle w:val="normaltextrun"/>
                <w:rFonts w:ascii="Verdana" w:hAnsi="Verdana"/>
                <w:sz w:val="16"/>
                <w:szCs w:val="16"/>
              </w:rPr>
            </w:pPr>
            <w:r w:rsidRPr="00FF0864">
              <w:rPr>
                <w:rStyle w:val="normaltextrun"/>
                <w:rFonts w:ascii="Verdana" w:hAnsi="Verdana"/>
                <w:sz w:val="16"/>
                <w:szCs w:val="16"/>
              </w:rPr>
              <w:t>Contratista de la Subdirección de Gestión Contractual</w:t>
            </w:r>
          </w:p>
          <w:p w14:paraId="6D742C2C" w14:textId="33389542" w:rsidR="009F5FB8" w:rsidRPr="00FF0864" w:rsidRDefault="009F5FB8" w:rsidP="007B0B27">
            <w:pPr>
              <w:contextualSpacing/>
              <w:rPr>
                <w:rStyle w:val="normaltextrun"/>
                <w:rFonts w:ascii="Verdana" w:hAnsi="Verdana"/>
              </w:rPr>
            </w:pPr>
          </w:p>
        </w:tc>
      </w:tr>
      <w:tr w:rsidR="00AB64A5" w:rsidRPr="00FF0864" w14:paraId="25DEECD8" w14:textId="77777777" w:rsidTr="005A5AFA">
        <w:trPr>
          <w:trHeight w:val="330"/>
        </w:trPr>
        <w:tc>
          <w:tcPr>
            <w:tcW w:w="893" w:type="dxa"/>
            <w:vAlign w:val="center"/>
            <w:hideMark/>
          </w:tcPr>
          <w:p w14:paraId="5EB4B261" w14:textId="77777777" w:rsidR="00AB64A5" w:rsidRPr="00FF0864" w:rsidRDefault="00AB64A5" w:rsidP="007B0B27">
            <w:pPr>
              <w:contextualSpacing/>
              <w:rPr>
                <w:rFonts w:ascii="Verdana" w:hAnsi="Verdana" w:cs="Arial"/>
                <w:sz w:val="16"/>
                <w:szCs w:val="16"/>
                <w:lang w:val="es-ES" w:eastAsia="es-ES"/>
              </w:rPr>
            </w:pPr>
            <w:r w:rsidRPr="00FF0864">
              <w:rPr>
                <w:rFonts w:ascii="Verdana" w:hAnsi="Verdana" w:cs="Arial"/>
                <w:sz w:val="16"/>
                <w:szCs w:val="16"/>
                <w:lang w:val="es-ES" w:eastAsia="es-ES"/>
              </w:rPr>
              <w:t>Revisó:</w:t>
            </w:r>
          </w:p>
        </w:tc>
        <w:tc>
          <w:tcPr>
            <w:tcW w:w="5628" w:type="dxa"/>
            <w:vAlign w:val="center"/>
            <w:hideMark/>
          </w:tcPr>
          <w:p w14:paraId="0FDC8FEE" w14:textId="2F7E85C7" w:rsidR="00FF2F27" w:rsidRPr="00FF0864" w:rsidRDefault="00E07453" w:rsidP="00553F39">
            <w:pPr>
              <w:pStyle w:val="paragraph"/>
              <w:spacing w:before="0" w:beforeAutospacing="0" w:after="0" w:afterAutospacing="0"/>
              <w:contextualSpacing/>
              <w:textAlignment w:val="baseline"/>
              <w:rPr>
                <w:rStyle w:val="normaltextrun"/>
                <w:rFonts w:ascii="Verdana" w:eastAsiaTheme="minorHAnsi" w:hAnsi="Verdana" w:cstheme="minorBidi"/>
                <w:sz w:val="16"/>
                <w:szCs w:val="16"/>
                <w:lang w:eastAsia="en-US"/>
              </w:rPr>
            </w:pPr>
            <w:r w:rsidRPr="00FF0864">
              <w:rPr>
                <w:rStyle w:val="normaltextrun"/>
                <w:rFonts w:ascii="Verdana" w:eastAsiaTheme="minorHAnsi" w:hAnsi="Verdana" w:cstheme="minorBidi"/>
                <w:sz w:val="16"/>
                <w:szCs w:val="16"/>
                <w:lang w:eastAsia="en-US"/>
              </w:rPr>
              <w:t>Adriana López</w:t>
            </w:r>
          </w:p>
          <w:p w14:paraId="164666B5" w14:textId="52724979" w:rsidR="00AB64A5" w:rsidRPr="00FF0864" w:rsidRDefault="009F4B33" w:rsidP="009F4B33">
            <w:pPr>
              <w:contextualSpacing/>
              <w:rPr>
                <w:rStyle w:val="normaltextrun"/>
                <w:rFonts w:ascii="Verdana" w:hAnsi="Verdana"/>
                <w:sz w:val="16"/>
                <w:szCs w:val="16"/>
              </w:rPr>
            </w:pPr>
            <w:r w:rsidRPr="00FF0864">
              <w:rPr>
                <w:rStyle w:val="normaltextrun"/>
                <w:rFonts w:ascii="Verdana" w:hAnsi="Verdana"/>
                <w:sz w:val="16"/>
                <w:szCs w:val="16"/>
              </w:rPr>
              <w:t>Contratista de la Subdirección de Gestión Contractual</w:t>
            </w:r>
          </w:p>
        </w:tc>
      </w:tr>
      <w:tr w:rsidR="00AB64A5" w:rsidRPr="00FF0864" w14:paraId="082B5310" w14:textId="77777777" w:rsidTr="005A5A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tc>
          <w:tcPr>
            <w:tcW w:w="893" w:type="dxa"/>
            <w:tcBorders>
              <w:top w:val="nil"/>
              <w:left w:val="nil"/>
              <w:bottom w:val="nil"/>
              <w:right w:val="nil"/>
            </w:tcBorders>
            <w:vAlign w:val="center"/>
          </w:tcPr>
          <w:p w14:paraId="7430F20F" w14:textId="77777777" w:rsidR="00AB64A5" w:rsidRPr="00FF0864" w:rsidRDefault="00AB64A5" w:rsidP="007B0B27">
            <w:pPr>
              <w:contextualSpacing/>
              <w:rPr>
                <w:rFonts w:ascii="Verdana" w:hAnsi="Verdana" w:cs="Arial"/>
                <w:sz w:val="16"/>
                <w:szCs w:val="16"/>
                <w:lang w:val="es-ES" w:eastAsia="es-ES"/>
              </w:rPr>
            </w:pPr>
            <w:r w:rsidRPr="00FF0864">
              <w:rPr>
                <w:rFonts w:ascii="Verdana" w:hAnsi="Verdana" w:cs="Arial"/>
                <w:sz w:val="16"/>
                <w:szCs w:val="16"/>
                <w:lang w:val="es-ES" w:eastAsia="es-ES"/>
              </w:rPr>
              <w:t>Aprobó:</w:t>
            </w:r>
          </w:p>
        </w:tc>
        <w:tc>
          <w:tcPr>
            <w:tcW w:w="5628" w:type="dxa"/>
            <w:tcBorders>
              <w:top w:val="nil"/>
              <w:left w:val="nil"/>
              <w:bottom w:val="nil"/>
              <w:right w:val="nil"/>
            </w:tcBorders>
            <w:vAlign w:val="center"/>
          </w:tcPr>
          <w:p w14:paraId="14C31041" w14:textId="77777777" w:rsidR="00AB64A5" w:rsidRPr="00FF0864" w:rsidRDefault="00AB64A5" w:rsidP="007B0B27">
            <w:pPr>
              <w:contextualSpacing/>
              <w:rPr>
                <w:rFonts w:ascii="Verdana" w:eastAsia="Calibri" w:hAnsi="Verdana" w:cs="Arial"/>
                <w:sz w:val="16"/>
                <w:szCs w:val="16"/>
                <w:lang w:val="pt-BR" w:eastAsia="es-ES"/>
              </w:rPr>
            </w:pPr>
            <w:r w:rsidRPr="00FF0864">
              <w:rPr>
                <w:rFonts w:ascii="Verdana" w:eastAsia="Calibri" w:hAnsi="Verdana" w:cs="Arial"/>
                <w:sz w:val="16"/>
                <w:szCs w:val="16"/>
                <w:lang w:val="pt-BR" w:eastAsia="es-ES"/>
              </w:rPr>
              <w:t xml:space="preserve">Carolina Quintero </w:t>
            </w:r>
            <w:proofErr w:type="spellStart"/>
            <w:r w:rsidRPr="00FF0864">
              <w:rPr>
                <w:rFonts w:ascii="Verdana" w:eastAsia="Calibri" w:hAnsi="Verdana" w:cs="Arial"/>
                <w:sz w:val="16"/>
                <w:szCs w:val="16"/>
                <w:lang w:val="pt-BR" w:eastAsia="es-ES"/>
              </w:rPr>
              <w:t>Gacharná</w:t>
            </w:r>
            <w:proofErr w:type="spellEnd"/>
          </w:p>
          <w:p w14:paraId="1A53492F" w14:textId="77777777" w:rsidR="00AB64A5" w:rsidRPr="00FF0864" w:rsidRDefault="00AB64A5" w:rsidP="007B0B27">
            <w:pPr>
              <w:contextualSpacing/>
              <w:rPr>
                <w:rFonts w:ascii="Verdana" w:eastAsia="Calibri" w:hAnsi="Verdana" w:cs="Arial"/>
                <w:sz w:val="16"/>
                <w:szCs w:val="16"/>
                <w:lang w:val="pt-BR" w:eastAsia="es-ES"/>
              </w:rPr>
            </w:pPr>
            <w:r w:rsidRPr="00FF0864">
              <w:rPr>
                <w:rFonts w:ascii="Verdana" w:eastAsia="Calibri" w:hAnsi="Verdana" w:cs="Arial"/>
                <w:sz w:val="16"/>
                <w:szCs w:val="16"/>
                <w:lang w:eastAsia="es-ES"/>
              </w:rPr>
              <w:t>Subdirectora</w:t>
            </w:r>
            <w:r w:rsidRPr="00FF0864">
              <w:rPr>
                <w:rFonts w:ascii="Verdana" w:eastAsia="Calibri" w:hAnsi="Verdana" w:cs="Arial"/>
                <w:sz w:val="16"/>
                <w:szCs w:val="16"/>
                <w:lang w:val="pt-BR" w:eastAsia="es-ES"/>
              </w:rPr>
              <w:t xml:space="preserve"> de Gestión </w:t>
            </w:r>
            <w:proofErr w:type="spellStart"/>
            <w:r w:rsidRPr="00FF0864">
              <w:rPr>
                <w:rFonts w:ascii="Verdana" w:eastAsia="Calibri" w:hAnsi="Verdana" w:cs="Arial"/>
                <w:sz w:val="16"/>
                <w:szCs w:val="16"/>
                <w:lang w:val="pt-BR" w:eastAsia="es-ES"/>
              </w:rPr>
              <w:t>Contractual</w:t>
            </w:r>
            <w:proofErr w:type="spellEnd"/>
            <w:r w:rsidRPr="00FF0864">
              <w:rPr>
                <w:rFonts w:ascii="Verdana" w:eastAsia="Calibri" w:hAnsi="Verdana" w:cs="Arial"/>
                <w:sz w:val="16"/>
                <w:szCs w:val="16"/>
                <w:lang w:val="pt-BR" w:eastAsia="es-ES"/>
              </w:rPr>
              <w:t xml:space="preserve"> ANCP – CCE</w:t>
            </w:r>
          </w:p>
        </w:tc>
      </w:tr>
    </w:tbl>
    <w:p w14:paraId="011E4F21" w14:textId="77777777" w:rsidR="00AB64A5" w:rsidRPr="00FF0864" w:rsidRDefault="00AB64A5" w:rsidP="00AB64A5">
      <w:pPr>
        <w:spacing w:after="0" w:line="240" w:lineRule="auto"/>
        <w:rPr>
          <w:rFonts w:ascii="Verdana" w:eastAsia="Times New Roman" w:hAnsi="Verdana" w:cs="Arial"/>
          <w:lang w:eastAsia="es-ES"/>
        </w:rPr>
      </w:pPr>
    </w:p>
    <w:p w14:paraId="02CE4EF4" w14:textId="77777777" w:rsidR="00AB64A5" w:rsidRPr="00FF0864" w:rsidRDefault="00AB64A5" w:rsidP="00AB64A5">
      <w:pPr>
        <w:rPr>
          <w:rFonts w:ascii="Verdana" w:hAnsi="Verdana"/>
        </w:rPr>
      </w:pPr>
    </w:p>
    <w:p w14:paraId="7644495A" w14:textId="77777777" w:rsidR="00AB64A5" w:rsidRPr="00FF0864" w:rsidRDefault="00AB64A5" w:rsidP="00AB64A5">
      <w:pPr>
        <w:spacing w:after="0"/>
        <w:rPr>
          <w:rFonts w:ascii="Verdana" w:hAnsi="Verdana"/>
        </w:rPr>
      </w:pPr>
      <w:r w:rsidRPr="00FF0864">
        <w:rPr>
          <w:rFonts w:ascii="Verdana" w:hAnsi="Verdana"/>
        </w:rPr>
        <w:tab/>
      </w:r>
    </w:p>
    <w:p w14:paraId="34BF06D8" w14:textId="77777777" w:rsidR="00AB64A5" w:rsidRPr="00FF0864" w:rsidRDefault="00AB64A5" w:rsidP="00AB64A5">
      <w:pPr>
        <w:spacing w:after="0"/>
        <w:rPr>
          <w:rFonts w:ascii="Verdana" w:hAnsi="Verdana"/>
        </w:rPr>
      </w:pPr>
    </w:p>
    <w:p w14:paraId="1F766B8E" w14:textId="77777777" w:rsidR="00AB64A5" w:rsidRPr="00FF0864" w:rsidRDefault="00AB64A5" w:rsidP="00AB64A5">
      <w:pPr>
        <w:spacing w:after="0"/>
        <w:rPr>
          <w:rFonts w:ascii="Verdana" w:hAnsi="Verdana"/>
        </w:rPr>
      </w:pPr>
    </w:p>
    <w:bookmarkEnd w:id="0"/>
    <w:p w14:paraId="1D08ED52" w14:textId="77777777" w:rsidR="00AB64A5" w:rsidRPr="00FF0864" w:rsidRDefault="00AB64A5" w:rsidP="00AB64A5">
      <w:pPr>
        <w:spacing w:after="0"/>
        <w:rPr>
          <w:rFonts w:ascii="Verdana" w:hAnsi="Verdana"/>
        </w:rPr>
      </w:pPr>
    </w:p>
    <w:p w14:paraId="5CDCF197" w14:textId="77777777" w:rsidR="009C4900" w:rsidRPr="00FF0864" w:rsidRDefault="009C4900">
      <w:pPr>
        <w:rPr>
          <w:rFonts w:ascii="Verdana" w:hAnsi="Verdana"/>
        </w:rPr>
      </w:pPr>
    </w:p>
    <w:sectPr w:rsidR="009C4900" w:rsidRPr="00FF0864" w:rsidSect="00AB64A5">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F419F" w14:textId="77777777" w:rsidR="007C0618" w:rsidRDefault="007C0618" w:rsidP="00AB64A5">
      <w:pPr>
        <w:spacing w:after="0" w:line="240" w:lineRule="auto"/>
      </w:pPr>
      <w:r>
        <w:separator/>
      </w:r>
    </w:p>
  </w:endnote>
  <w:endnote w:type="continuationSeparator" w:id="0">
    <w:p w14:paraId="0083505D" w14:textId="77777777" w:rsidR="007C0618" w:rsidRDefault="007C0618" w:rsidP="00AB6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44757" w14:textId="77777777" w:rsidR="00900AD7" w:rsidRDefault="00900AD7">
    <w:pPr>
      <w:pStyle w:val="Piedepgina"/>
    </w:pPr>
  </w:p>
  <w:p w14:paraId="36A1BDCE" w14:textId="77777777" w:rsidR="00900AD7" w:rsidRPr="00174B77" w:rsidRDefault="00000000"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75FB6292" w14:textId="77777777" w:rsidR="00900AD7" w:rsidRDefault="00000000"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480179F8" w14:textId="77777777" w:rsidR="00900AD7" w:rsidRPr="00E41027" w:rsidRDefault="00000000" w:rsidP="00D520D8">
    <w:pPr>
      <w:spacing w:after="0"/>
      <w:jc w:val="both"/>
      <w:rPr>
        <w:rFonts w:ascii="Verdana" w:hAnsi="Verdana"/>
        <w:sz w:val="18"/>
        <w:szCs w:val="18"/>
      </w:rPr>
    </w:pPr>
    <w:r w:rsidRPr="00E41027">
      <w:rPr>
        <w:rFonts w:ascii="Verdana" w:hAnsi="Verdana"/>
        <w:sz w:val="18"/>
        <w:szCs w:val="18"/>
      </w:rPr>
      <w:t>Mesa de servicio: (+57) 601 7456788</w:t>
    </w:r>
  </w:p>
  <w:p w14:paraId="7BB0ED8A" w14:textId="77777777" w:rsidR="00900AD7" w:rsidRDefault="00000000"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p w14:paraId="11336CC5" w14:textId="77777777" w:rsidR="006D24E7" w:rsidRDefault="006D24E7"/>
  <w:p w14:paraId="5A29B81E" w14:textId="77777777" w:rsidR="006D24E7" w:rsidRDefault="006D24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FC13D" w14:textId="77777777" w:rsidR="007C0618" w:rsidRDefault="007C0618" w:rsidP="00AB64A5">
      <w:pPr>
        <w:spacing w:after="0" w:line="240" w:lineRule="auto"/>
      </w:pPr>
      <w:r>
        <w:separator/>
      </w:r>
    </w:p>
  </w:footnote>
  <w:footnote w:type="continuationSeparator" w:id="0">
    <w:p w14:paraId="162ABEDE" w14:textId="77777777" w:rsidR="007C0618" w:rsidRDefault="007C0618" w:rsidP="00AB64A5">
      <w:pPr>
        <w:spacing w:after="0" w:line="240" w:lineRule="auto"/>
      </w:pPr>
      <w:r>
        <w:continuationSeparator/>
      </w:r>
    </w:p>
  </w:footnote>
  <w:footnote w:id="1">
    <w:p w14:paraId="57F9E0F0" w14:textId="77777777" w:rsidR="00FF2F27" w:rsidRPr="00CA3725" w:rsidRDefault="00FF2F27" w:rsidP="00FF2F27">
      <w:pPr>
        <w:pStyle w:val="Textonotapie"/>
        <w:ind w:firstLine="708"/>
        <w:jc w:val="both"/>
        <w:rPr>
          <w:rFonts w:ascii="Arial" w:hAnsi="Arial" w:cs="Arial"/>
          <w:sz w:val="19"/>
          <w:szCs w:val="19"/>
        </w:rPr>
      </w:pPr>
      <w:r w:rsidRPr="00CA3725">
        <w:rPr>
          <w:rStyle w:val="Refdenotaalpie"/>
          <w:rFonts w:ascii="Arial" w:hAnsi="Arial" w:cs="Arial"/>
          <w:sz w:val="19"/>
          <w:szCs w:val="19"/>
        </w:rPr>
        <w:footnoteRef/>
      </w:r>
      <w:r w:rsidRPr="00CA3725">
        <w:rPr>
          <w:rFonts w:ascii="Arial" w:hAnsi="Arial" w:cs="Arial"/>
          <w:sz w:val="19"/>
          <w:szCs w:val="19"/>
        </w:rPr>
        <w:t xml:space="preserve"> CONSEJO DE ESTADO. Sección Tercera. Subsección A. Sentencia del 13 de noviembre de 2013. Rad. 25.646. C.P. Mauricio Fajardo Gómez.  </w:t>
      </w:r>
    </w:p>
    <w:p w14:paraId="28374722" w14:textId="77777777" w:rsidR="00FF2F27" w:rsidRPr="00CA3725" w:rsidRDefault="00FF2F27" w:rsidP="00FF2F27">
      <w:pPr>
        <w:pStyle w:val="Textonotapie"/>
        <w:ind w:firstLine="708"/>
        <w:jc w:val="both"/>
        <w:rPr>
          <w:rFonts w:ascii="Arial" w:hAnsi="Arial" w:cs="Arial"/>
          <w:sz w:val="19"/>
          <w:szCs w:val="19"/>
        </w:rPr>
      </w:pPr>
    </w:p>
  </w:footnote>
  <w:footnote w:id="2">
    <w:p w14:paraId="6BB0A510" w14:textId="77777777" w:rsidR="00FF2F27" w:rsidRPr="00CA3725" w:rsidRDefault="00FF2F27" w:rsidP="00FF2F27">
      <w:pPr>
        <w:pStyle w:val="Textonotapie"/>
        <w:ind w:firstLine="708"/>
        <w:jc w:val="both"/>
        <w:rPr>
          <w:rFonts w:ascii="Arial" w:hAnsi="Arial" w:cs="Arial"/>
          <w:sz w:val="19"/>
          <w:szCs w:val="19"/>
        </w:rPr>
      </w:pPr>
      <w:r w:rsidRPr="00CA3725">
        <w:rPr>
          <w:rFonts w:ascii="Arial" w:hAnsi="Arial" w:cs="Arial"/>
          <w:sz w:val="19"/>
          <w:szCs w:val="19"/>
          <w:vertAlign w:val="superscript"/>
        </w:rPr>
        <w:footnoteRef/>
      </w:r>
      <w:r w:rsidRPr="00CA3725">
        <w:rPr>
          <w:rFonts w:ascii="Arial" w:hAnsi="Arial" w:cs="Arial"/>
          <w:sz w:val="19"/>
          <w:szCs w:val="19"/>
        </w:rPr>
        <w:t xml:space="preserve"> CORTE CONSTITUCIONAL. Sentencia C-415 de 1994. M.P. Eduardo Cifuentes Muñoz. </w:t>
      </w:r>
    </w:p>
    <w:p w14:paraId="72B93C1D" w14:textId="77777777" w:rsidR="00FF2F27" w:rsidRPr="00CA3725" w:rsidRDefault="00FF2F27" w:rsidP="00FF2F27">
      <w:pPr>
        <w:pStyle w:val="Textonotapie"/>
        <w:ind w:firstLine="708"/>
        <w:jc w:val="both"/>
        <w:rPr>
          <w:rFonts w:ascii="Arial" w:hAnsi="Arial" w:cs="Arial"/>
          <w:sz w:val="19"/>
          <w:szCs w:val="19"/>
        </w:rPr>
      </w:pPr>
    </w:p>
  </w:footnote>
  <w:footnote w:id="3">
    <w:p w14:paraId="281175C2" w14:textId="77777777" w:rsidR="00FF2F27" w:rsidRPr="00CA3725" w:rsidRDefault="00FF2F27" w:rsidP="00FF2F27">
      <w:pPr>
        <w:pStyle w:val="Textonotapie"/>
        <w:ind w:firstLine="708"/>
        <w:jc w:val="both"/>
        <w:rPr>
          <w:rFonts w:ascii="Arial" w:hAnsi="Arial" w:cs="Arial"/>
          <w:sz w:val="19"/>
          <w:szCs w:val="19"/>
        </w:rPr>
      </w:pPr>
      <w:r w:rsidRPr="00CA3725">
        <w:rPr>
          <w:rStyle w:val="Refdenotaalpie"/>
          <w:rFonts w:ascii="Arial" w:hAnsi="Arial" w:cs="Arial"/>
          <w:sz w:val="19"/>
          <w:szCs w:val="19"/>
        </w:rPr>
        <w:footnoteRef/>
      </w:r>
      <w:r w:rsidRPr="00CA3725">
        <w:rPr>
          <w:rFonts w:ascii="Arial" w:hAnsi="Arial" w:cs="Arial"/>
          <w:sz w:val="19"/>
          <w:szCs w:val="19"/>
        </w:rPr>
        <w:t xml:space="preserve"> CORTE CONSTITUCIONAL. Sentencia C-780 de 2001. M.P. Jaime Córdoba Triviño. </w:t>
      </w:r>
    </w:p>
    <w:p w14:paraId="40DF5963" w14:textId="77777777" w:rsidR="00FF2F27" w:rsidRPr="00CA3725" w:rsidRDefault="00FF2F27" w:rsidP="00FF2F27">
      <w:pPr>
        <w:pStyle w:val="Textonotapie"/>
        <w:ind w:firstLine="708"/>
        <w:jc w:val="both"/>
        <w:rPr>
          <w:rFonts w:ascii="Arial" w:hAnsi="Arial" w:cs="Arial"/>
          <w:sz w:val="19"/>
          <w:szCs w:val="19"/>
        </w:rPr>
      </w:pPr>
    </w:p>
  </w:footnote>
  <w:footnote w:id="4">
    <w:p w14:paraId="33C6711A" w14:textId="061F3687" w:rsidR="00FF2F27" w:rsidRPr="00CA3725" w:rsidRDefault="00FF2F27" w:rsidP="00FF0864">
      <w:pPr>
        <w:pStyle w:val="NormalWeb"/>
        <w:spacing w:before="0" w:beforeAutospacing="0" w:after="0" w:afterAutospacing="0"/>
        <w:ind w:firstLine="708"/>
        <w:jc w:val="both"/>
        <w:rPr>
          <w:rFonts w:ascii="Arial" w:hAnsi="Arial" w:cs="Arial"/>
          <w:sz w:val="19"/>
          <w:szCs w:val="19"/>
        </w:rPr>
      </w:pPr>
      <w:r w:rsidRPr="00CA3725">
        <w:rPr>
          <w:rStyle w:val="Refdenotaalpie"/>
          <w:rFonts w:ascii="Arial" w:hAnsi="Arial" w:cs="Arial"/>
          <w:sz w:val="19"/>
          <w:szCs w:val="19"/>
        </w:rPr>
        <w:footnoteRef/>
      </w:r>
      <w:r w:rsidRPr="00CA3725">
        <w:rPr>
          <w:rFonts w:ascii="Arial" w:hAnsi="Arial" w:cs="Arial"/>
          <w:sz w:val="19"/>
          <w:szCs w:val="19"/>
        </w:rPr>
        <w:t xml:space="preserve"> </w:t>
      </w:r>
      <w:r w:rsidR="00FF0864">
        <w:rPr>
          <w:rFonts w:ascii="Arial" w:hAnsi="Arial" w:cs="Arial"/>
          <w:sz w:val="19"/>
          <w:szCs w:val="19"/>
        </w:rPr>
        <w:t xml:space="preserve">Artículo 8 </w:t>
      </w:r>
      <w:r w:rsidRPr="00CA3725">
        <w:rPr>
          <w:rFonts w:ascii="Arial" w:eastAsiaTheme="minorHAnsi" w:hAnsi="Arial" w:cs="Arial"/>
          <w:sz w:val="19"/>
          <w:szCs w:val="19"/>
          <w:lang w:val="es-ES" w:eastAsia="en-US"/>
        </w:rPr>
        <w:t>Ley 80 de 1993</w:t>
      </w:r>
      <w:r w:rsidR="00FF0864">
        <w:rPr>
          <w:rFonts w:ascii="Arial" w:eastAsiaTheme="minorHAnsi" w:hAnsi="Arial" w:cs="Arial"/>
          <w:sz w:val="19"/>
          <w:szCs w:val="19"/>
          <w:lang w:val="es-ES" w:eastAsia="en-US"/>
        </w:rPr>
        <w:t>.</w:t>
      </w:r>
      <w:r w:rsidRPr="00CA3725">
        <w:rPr>
          <w:rFonts w:ascii="Arial" w:eastAsiaTheme="minorHAnsi" w:hAnsi="Arial" w:cs="Arial"/>
          <w:sz w:val="19"/>
          <w:szCs w:val="19"/>
          <w:lang w:val="es-ES" w:eastAsia="en-US"/>
        </w:rPr>
        <w:t xml:space="preserve"> </w:t>
      </w:r>
      <w:r w:rsidRPr="00CA3725">
        <w:rPr>
          <w:rFonts w:ascii="Arial" w:eastAsiaTheme="minorHAnsi" w:hAnsi="Arial" w:cs="Arial"/>
          <w:sz w:val="19"/>
          <w:szCs w:val="19"/>
          <w:lang w:val="es-ES" w:eastAsia="en-US"/>
        </w:rPr>
        <w:tab/>
        <w:t>  </w:t>
      </w:r>
    </w:p>
  </w:footnote>
  <w:footnote w:id="5">
    <w:p w14:paraId="650A8F72" w14:textId="01B907A0" w:rsidR="00FF2F27" w:rsidRPr="00CA3725" w:rsidRDefault="00FF2F27" w:rsidP="00FF0864">
      <w:pPr>
        <w:pStyle w:val="Textonotapie"/>
        <w:ind w:firstLine="709"/>
        <w:jc w:val="both"/>
        <w:rPr>
          <w:rFonts w:ascii="Arial" w:hAnsi="Arial" w:cs="Arial"/>
          <w:sz w:val="19"/>
          <w:szCs w:val="19"/>
        </w:rPr>
      </w:pPr>
      <w:r w:rsidRPr="00CA3725">
        <w:rPr>
          <w:rStyle w:val="Refdenotaalpie"/>
          <w:rFonts w:ascii="Arial" w:hAnsi="Arial" w:cs="Arial"/>
          <w:sz w:val="19"/>
          <w:szCs w:val="19"/>
        </w:rPr>
        <w:footnoteRef/>
      </w:r>
      <w:r w:rsidRPr="00CA3725">
        <w:rPr>
          <w:rFonts w:ascii="Arial" w:hAnsi="Arial" w:cs="Arial"/>
          <w:sz w:val="19"/>
          <w:szCs w:val="19"/>
        </w:rPr>
        <w:t xml:space="preserve"> </w:t>
      </w:r>
      <w:r w:rsidR="00FF0864">
        <w:rPr>
          <w:rFonts w:ascii="Arial" w:hAnsi="Arial" w:cs="Arial"/>
          <w:sz w:val="19"/>
          <w:szCs w:val="19"/>
        </w:rPr>
        <w:t xml:space="preserve">Artículo 6 de la </w:t>
      </w:r>
      <w:r w:rsidRPr="00CA3725">
        <w:rPr>
          <w:rFonts w:ascii="Arial" w:hAnsi="Arial" w:cs="Arial"/>
          <w:sz w:val="19"/>
          <w:szCs w:val="19"/>
        </w:rPr>
        <w:t>Ley 80 de 1993</w:t>
      </w:r>
      <w:r w:rsidR="00FF0864">
        <w:rPr>
          <w:rFonts w:ascii="Arial" w:hAnsi="Arial" w:cs="Arial"/>
          <w:sz w:val="19"/>
          <w:szCs w:val="19"/>
        </w:rPr>
        <w:t>.</w:t>
      </w:r>
    </w:p>
    <w:p w14:paraId="612DFEB9" w14:textId="77777777" w:rsidR="00FF2F27" w:rsidRPr="00CA3725" w:rsidRDefault="00FF2F27" w:rsidP="00FF2F27">
      <w:pPr>
        <w:pStyle w:val="Textonotapie"/>
        <w:ind w:firstLine="709"/>
        <w:jc w:val="both"/>
        <w:rPr>
          <w:rFonts w:ascii="Arial" w:hAnsi="Arial" w:cs="Arial"/>
          <w:sz w:val="19"/>
          <w:szCs w:val="19"/>
        </w:rPr>
      </w:pPr>
    </w:p>
  </w:footnote>
  <w:footnote w:id="6">
    <w:p w14:paraId="47F777A1" w14:textId="680306C0" w:rsidR="00FF2F27" w:rsidRPr="00CA3725" w:rsidRDefault="00FF2F27" w:rsidP="00FF0864">
      <w:pPr>
        <w:pStyle w:val="Textonotapie"/>
        <w:ind w:firstLine="709"/>
        <w:jc w:val="both"/>
        <w:rPr>
          <w:rFonts w:ascii="Arial" w:hAnsi="Arial" w:cs="Arial"/>
          <w:sz w:val="19"/>
          <w:szCs w:val="19"/>
        </w:rPr>
      </w:pPr>
      <w:r w:rsidRPr="00CA3725">
        <w:rPr>
          <w:rStyle w:val="Refdenotaalpie"/>
          <w:rFonts w:ascii="Arial" w:hAnsi="Arial" w:cs="Arial"/>
          <w:sz w:val="19"/>
          <w:szCs w:val="19"/>
        </w:rPr>
        <w:footnoteRef/>
      </w:r>
      <w:r w:rsidRPr="00CA3725">
        <w:rPr>
          <w:rFonts w:ascii="Arial" w:hAnsi="Arial" w:cs="Arial"/>
          <w:sz w:val="19"/>
          <w:szCs w:val="19"/>
        </w:rPr>
        <w:t xml:space="preserve"> </w:t>
      </w:r>
      <w:r w:rsidR="00FF0864" w:rsidRPr="00CA3725">
        <w:rPr>
          <w:rFonts w:ascii="Arial" w:hAnsi="Arial" w:cs="Arial"/>
          <w:sz w:val="19"/>
          <w:szCs w:val="19"/>
        </w:rPr>
        <w:t>Artículo 1502</w:t>
      </w:r>
      <w:r w:rsidR="00FF0864">
        <w:rPr>
          <w:rFonts w:ascii="Arial" w:hAnsi="Arial" w:cs="Arial"/>
          <w:sz w:val="19"/>
          <w:szCs w:val="19"/>
        </w:rPr>
        <w:t xml:space="preserve"> del </w:t>
      </w:r>
      <w:r w:rsidRPr="00CA3725">
        <w:rPr>
          <w:rFonts w:ascii="Arial" w:hAnsi="Arial" w:cs="Arial"/>
          <w:sz w:val="19"/>
          <w:szCs w:val="19"/>
        </w:rPr>
        <w:t>Código Civil.</w:t>
      </w:r>
    </w:p>
  </w:footnote>
  <w:footnote w:id="7">
    <w:p w14:paraId="7131F943" w14:textId="77777777" w:rsidR="00FF2F27" w:rsidRPr="00CA3725" w:rsidRDefault="00FF2F27" w:rsidP="00FF2F27">
      <w:pPr>
        <w:pStyle w:val="Textonotapie"/>
        <w:ind w:firstLine="709"/>
        <w:jc w:val="both"/>
        <w:rPr>
          <w:rFonts w:ascii="Arial" w:hAnsi="Arial" w:cs="Arial"/>
          <w:sz w:val="19"/>
          <w:szCs w:val="19"/>
        </w:rPr>
      </w:pPr>
    </w:p>
  </w:footnote>
  <w:footnote w:id="8">
    <w:p w14:paraId="253478E0" w14:textId="2F609463" w:rsidR="00FF2F27" w:rsidRPr="00CA3725" w:rsidRDefault="00FF2F27" w:rsidP="00FF2F27">
      <w:pPr>
        <w:pStyle w:val="Textonotapie"/>
        <w:ind w:firstLine="709"/>
        <w:jc w:val="both"/>
        <w:rPr>
          <w:rFonts w:ascii="Arial" w:hAnsi="Arial" w:cs="Arial"/>
          <w:sz w:val="19"/>
          <w:szCs w:val="19"/>
          <w:lang w:val="es-ES"/>
        </w:rPr>
      </w:pPr>
      <w:r w:rsidRPr="00CA3725">
        <w:rPr>
          <w:rStyle w:val="Refdenotaalpie"/>
          <w:rFonts w:ascii="Arial" w:hAnsi="Arial" w:cs="Arial"/>
          <w:sz w:val="19"/>
          <w:szCs w:val="19"/>
        </w:rPr>
        <w:footnoteRef/>
      </w:r>
      <w:r w:rsidRPr="00CA3725">
        <w:rPr>
          <w:rFonts w:ascii="Arial" w:hAnsi="Arial" w:cs="Arial"/>
          <w:sz w:val="19"/>
          <w:szCs w:val="19"/>
        </w:rPr>
        <w:t xml:space="preserve"> </w:t>
      </w:r>
      <w:r w:rsidRPr="00CA3725">
        <w:rPr>
          <w:rFonts w:ascii="Arial" w:hAnsi="Arial" w:cs="Arial"/>
          <w:sz w:val="19"/>
          <w:szCs w:val="19"/>
          <w:lang w:val="es-ES"/>
        </w:rPr>
        <w:t xml:space="preserve">En tal sentido, José Luis Benavides comenta que </w:t>
      </w:r>
      <w:r w:rsidR="00FF0864">
        <w:rPr>
          <w:rFonts w:ascii="Arial" w:hAnsi="Arial" w:cs="Arial"/>
          <w:sz w:val="19"/>
          <w:szCs w:val="19"/>
          <w:lang w:val="es-ES"/>
        </w:rPr>
        <w:t>“</w:t>
      </w:r>
      <w:r w:rsidRPr="00CA3725">
        <w:rPr>
          <w:rFonts w:ascii="Arial" w:hAnsi="Arial" w:cs="Arial"/>
          <w:sz w:val="19"/>
          <w:szCs w:val="19"/>
          <w:lang w:val="es-ES"/>
        </w:rPr>
        <w:t xml:space="preserve">Aunque la mayoría de las reglas limitativas de la responsabilidad contractual se aplican a la administración, existen también algunas restricciones importantes a la capacidad de los contratistas: </w:t>
      </w:r>
      <w:r w:rsidRPr="00CA3725">
        <w:rPr>
          <w:rFonts w:ascii="Arial" w:hAnsi="Arial" w:cs="Arial"/>
          <w:i/>
          <w:iCs/>
          <w:sz w:val="19"/>
          <w:szCs w:val="19"/>
          <w:lang w:val="es-ES"/>
        </w:rPr>
        <w:t>el régimen de inhabilidades e incompatibilidades</w:t>
      </w:r>
      <w:r w:rsidRPr="00CA3725">
        <w:rPr>
          <w:rFonts w:ascii="Arial" w:hAnsi="Arial" w:cs="Arial"/>
          <w:sz w:val="19"/>
          <w:szCs w:val="19"/>
          <w:lang w:val="es-ES"/>
        </w:rPr>
        <w:t xml:space="preserve"> (1) y la obligación de ciertos proponentes de inscribirse en el </w:t>
      </w:r>
      <w:r w:rsidRPr="00CA3725">
        <w:rPr>
          <w:rFonts w:ascii="Arial" w:hAnsi="Arial" w:cs="Arial"/>
          <w:i/>
          <w:iCs/>
          <w:sz w:val="19"/>
          <w:szCs w:val="19"/>
          <w:lang w:val="es-ES"/>
        </w:rPr>
        <w:t>registro único</w:t>
      </w:r>
      <w:r w:rsidRPr="00CA3725">
        <w:rPr>
          <w:rFonts w:ascii="Arial" w:hAnsi="Arial" w:cs="Arial"/>
          <w:sz w:val="19"/>
          <w:szCs w:val="19"/>
          <w:lang w:val="es-ES"/>
        </w:rPr>
        <w:t xml:space="preserve"> (2)</w:t>
      </w:r>
      <w:r w:rsidR="00FF0864">
        <w:rPr>
          <w:rFonts w:ascii="Arial" w:hAnsi="Arial" w:cs="Arial"/>
          <w:sz w:val="19"/>
          <w:szCs w:val="19"/>
          <w:lang w:val="es-ES"/>
        </w:rPr>
        <w:t>”</w:t>
      </w:r>
      <w:r w:rsidRPr="00CA3725">
        <w:rPr>
          <w:rFonts w:ascii="Arial" w:hAnsi="Arial" w:cs="Arial"/>
          <w:sz w:val="19"/>
          <w:szCs w:val="19"/>
          <w:lang w:val="es-ES"/>
        </w:rPr>
        <w:t xml:space="preserve"> (BENAVIDES, José Luis. El contrato estatal. Entre el Derecho público y el Derecho privado. 2ª ed. Bogotá: Universidad Externado de Colombia, 2004. p. 278). </w:t>
      </w:r>
    </w:p>
    <w:p w14:paraId="690DF4D3" w14:textId="77777777" w:rsidR="00FF2F27" w:rsidRPr="00CA3725" w:rsidRDefault="00FF2F27" w:rsidP="00FF2F27">
      <w:pPr>
        <w:pStyle w:val="Textonotapie"/>
        <w:ind w:firstLine="709"/>
        <w:jc w:val="both"/>
        <w:rPr>
          <w:rFonts w:ascii="Arial" w:hAnsi="Arial" w:cs="Arial"/>
          <w:sz w:val="19"/>
          <w:szCs w:val="19"/>
          <w:lang w:val="es-ES"/>
        </w:rPr>
      </w:pPr>
    </w:p>
  </w:footnote>
  <w:footnote w:id="9">
    <w:p w14:paraId="6E6E430C" w14:textId="77777777" w:rsidR="00FF2F27" w:rsidRPr="00CA3725" w:rsidRDefault="00FF2F27" w:rsidP="00FF2F27">
      <w:pPr>
        <w:ind w:firstLine="709"/>
        <w:jc w:val="both"/>
        <w:rPr>
          <w:rFonts w:ascii="Arial" w:hAnsi="Arial" w:cs="Arial"/>
          <w:sz w:val="19"/>
          <w:szCs w:val="19"/>
          <w:lang w:val="es-ES"/>
        </w:rPr>
      </w:pPr>
    </w:p>
  </w:footnote>
  <w:footnote w:id="10">
    <w:p w14:paraId="39CE88C1" w14:textId="77777777" w:rsidR="00FF2F27" w:rsidRPr="00CA3725" w:rsidRDefault="00FF2F27" w:rsidP="00FF2F27">
      <w:pPr>
        <w:pStyle w:val="Textonotapie"/>
        <w:ind w:firstLine="709"/>
        <w:jc w:val="both"/>
        <w:rPr>
          <w:rFonts w:ascii="Arial" w:hAnsi="Arial" w:cs="Arial"/>
          <w:sz w:val="19"/>
          <w:szCs w:val="19"/>
        </w:rPr>
      </w:pPr>
    </w:p>
  </w:footnote>
  <w:footnote w:id="11">
    <w:p w14:paraId="436124E3" w14:textId="4D1930DA" w:rsidR="00FF2F27" w:rsidRPr="00AD1BAE" w:rsidRDefault="00FF2F27" w:rsidP="00FF2F27">
      <w:pPr>
        <w:pStyle w:val="Textonotapie"/>
        <w:ind w:firstLine="709"/>
        <w:jc w:val="both"/>
        <w:rPr>
          <w:rFonts w:ascii="Arial" w:hAnsi="Arial" w:cs="Arial"/>
          <w:sz w:val="19"/>
          <w:szCs w:val="19"/>
          <w:lang w:val="es-ES"/>
        </w:rPr>
      </w:pPr>
      <w:r w:rsidRPr="00CA3725">
        <w:rPr>
          <w:rStyle w:val="Refdenotaalpie"/>
          <w:rFonts w:ascii="Arial" w:hAnsi="Arial" w:cs="Arial"/>
          <w:sz w:val="19"/>
          <w:szCs w:val="19"/>
        </w:rPr>
        <w:footnoteRef/>
      </w:r>
      <w:r w:rsidRPr="00CA3725">
        <w:rPr>
          <w:rFonts w:ascii="Arial" w:hAnsi="Arial" w:cs="Arial"/>
          <w:sz w:val="19"/>
          <w:szCs w:val="19"/>
        </w:rPr>
        <w:t xml:space="preserve"> </w:t>
      </w:r>
      <w:r w:rsidRPr="00CA3725">
        <w:rPr>
          <w:rFonts w:ascii="Arial" w:hAnsi="Arial" w:cs="Arial"/>
          <w:sz w:val="19"/>
          <w:szCs w:val="19"/>
          <w:lang w:val="es-ES"/>
        </w:rPr>
        <w:t xml:space="preserve">Verbigracia, entre otras, las que se indican a continuación: </w:t>
      </w:r>
      <w:r w:rsidR="00FF0864">
        <w:rPr>
          <w:rFonts w:ascii="Arial" w:hAnsi="Arial" w:cs="Arial"/>
          <w:sz w:val="19"/>
          <w:szCs w:val="19"/>
          <w:lang w:val="es-ES"/>
        </w:rPr>
        <w:t>“</w:t>
      </w:r>
      <w:r w:rsidRPr="00CA3725">
        <w:rPr>
          <w:rFonts w:ascii="Arial" w:hAnsi="Arial" w:cs="Arial"/>
          <w:sz w:val="19"/>
          <w:szCs w:val="19"/>
          <w:lang w:val="es-ES"/>
        </w:rPr>
        <w:t>Las personas naturales o jurídicas que hayan financiado campañas políticas a la Presidencia de la República, a las gobernaciones, a las alcaldías o al Congreso de la República, con aportes superiores al dos por ciento (2.0%) de las sumas máximas a invertir</w:t>
      </w:r>
      <w:r w:rsidRPr="00AD1BAE">
        <w:rPr>
          <w:rFonts w:ascii="Arial" w:hAnsi="Arial" w:cs="Arial"/>
          <w:sz w:val="19"/>
          <w:szCs w:val="19"/>
          <w:lang w:val="es-ES"/>
        </w:rPr>
        <w:t xml:space="preserve"> por los candidatos en las campañas electorales en cada circunscripción electoral, quienes no podrán celebrar contratos con las entidades públicas, incluso descentralizadas, del respectivo nivel administrativo para el cual fue elegido el candidato […]</w:t>
      </w:r>
      <w:r w:rsidR="00FF0864">
        <w:rPr>
          <w:rFonts w:ascii="Arial" w:hAnsi="Arial" w:cs="Arial"/>
          <w:sz w:val="19"/>
          <w:szCs w:val="19"/>
          <w:lang w:val="es-ES"/>
        </w:rPr>
        <w:t>”</w:t>
      </w:r>
      <w:r w:rsidRPr="00AD1BAE">
        <w:rPr>
          <w:rFonts w:ascii="Arial" w:hAnsi="Arial" w:cs="Arial"/>
          <w:sz w:val="19"/>
          <w:szCs w:val="19"/>
          <w:lang w:val="es-ES"/>
        </w:rPr>
        <w:t xml:space="preserve"> (art. 8, num. 1º, lit. k), Ley 80/93, modificado por el art. 33, Ley 1778/16); </w:t>
      </w:r>
      <w:r w:rsidR="00FF0864">
        <w:rPr>
          <w:rFonts w:ascii="Arial" w:hAnsi="Arial" w:cs="Arial"/>
          <w:sz w:val="19"/>
          <w:szCs w:val="19"/>
          <w:lang w:val="es-ES"/>
        </w:rPr>
        <w:t>“</w:t>
      </w:r>
      <w:r w:rsidRPr="00AD1BAE">
        <w:rPr>
          <w:rFonts w:ascii="Arial" w:hAnsi="Arial" w:cs="Arial"/>
          <w:sz w:val="19"/>
          <w:szCs w:val="19"/>
          <w:lang w:val="es-ES"/>
        </w:rPr>
        <w:t>Quienes fueron miembros de la junta o consejo directivo o servidores públicos de la entidad contratante</w:t>
      </w:r>
      <w:r w:rsidR="00FF0864">
        <w:rPr>
          <w:rFonts w:ascii="Arial" w:hAnsi="Arial" w:cs="Arial"/>
          <w:sz w:val="19"/>
          <w:szCs w:val="19"/>
          <w:lang w:val="es-ES"/>
        </w:rPr>
        <w:t>”</w:t>
      </w:r>
      <w:r w:rsidRPr="00AD1BAE">
        <w:rPr>
          <w:rFonts w:ascii="Arial" w:hAnsi="Arial" w:cs="Arial"/>
          <w:sz w:val="19"/>
          <w:szCs w:val="19"/>
          <w:lang w:val="es-ES"/>
        </w:rPr>
        <w:t xml:space="preserve"> (art. 8, num. 2º, lit. a), Ley 80/93); </w:t>
      </w:r>
      <w:r w:rsidR="00FF0864">
        <w:rPr>
          <w:rFonts w:ascii="Arial" w:hAnsi="Arial" w:cs="Arial"/>
          <w:sz w:val="19"/>
          <w:szCs w:val="19"/>
          <w:lang w:val="es-ES"/>
        </w:rPr>
        <w:t>“</w:t>
      </w:r>
      <w:r w:rsidRPr="00AD1BAE">
        <w:rPr>
          <w:rFonts w:ascii="Arial" w:hAnsi="Arial" w:cs="Arial"/>
          <w:sz w:val="19"/>
          <w:szCs w:val="19"/>
          <w:lang w:val="es-ES"/>
        </w:rPr>
        <w:t>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w:t>
      </w:r>
      <w:r w:rsidR="00FF0864">
        <w:rPr>
          <w:rFonts w:ascii="Arial" w:hAnsi="Arial" w:cs="Arial"/>
          <w:sz w:val="19"/>
          <w:szCs w:val="19"/>
          <w:lang w:val="es-ES"/>
        </w:rPr>
        <w:t>”</w:t>
      </w:r>
      <w:r w:rsidRPr="00AD1BAE">
        <w:rPr>
          <w:rFonts w:ascii="Arial" w:hAnsi="Arial" w:cs="Arial"/>
          <w:sz w:val="19"/>
          <w:szCs w:val="19"/>
          <w:lang w:val="es-ES"/>
        </w:rPr>
        <w:t xml:space="preserve"> (art. 8, num. 2º, lit. f), Ley 80/93, adicionado por el art. 4º, Ley 1474/2011). </w:t>
      </w:r>
    </w:p>
    <w:p w14:paraId="00D0EAF7" w14:textId="77777777" w:rsidR="00FF2F27" w:rsidRPr="00AD1BAE" w:rsidRDefault="00FF2F27" w:rsidP="00FF2F27">
      <w:pPr>
        <w:pStyle w:val="Textonotapie"/>
        <w:ind w:firstLine="709"/>
        <w:jc w:val="both"/>
        <w:rPr>
          <w:rFonts w:ascii="Arial" w:hAnsi="Arial" w:cs="Arial"/>
          <w:sz w:val="19"/>
          <w:szCs w:val="19"/>
        </w:rPr>
      </w:pPr>
      <w:r w:rsidRPr="00AD1BAE">
        <w:rPr>
          <w:rFonts w:ascii="Arial" w:hAnsi="Arial" w:cs="Arial"/>
          <w:sz w:val="19"/>
          <w:szCs w:val="19"/>
          <w:lang w:val="es-ES"/>
        </w:rPr>
        <w:t xml:space="preserve">  </w:t>
      </w:r>
    </w:p>
  </w:footnote>
  <w:footnote w:id="12">
    <w:p w14:paraId="32A23EB8" w14:textId="00231204" w:rsidR="00FF2F27" w:rsidRPr="00E13471" w:rsidRDefault="00FF2F27" w:rsidP="00FF2F27">
      <w:pPr>
        <w:pStyle w:val="Textonotapie"/>
        <w:ind w:firstLine="708"/>
        <w:jc w:val="both"/>
        <w:rPr>
          <w:rFonts w:ascii="Arial" w:hAnsi="Arial" w:cs="Arial"/>
          <w:sz w:val="19"/>
          <w:szCs w:val="19"/>
        </w:rPr>
      </w:pPr>
      <w:r w:rsidRPr="00E13471">
        <w:rPr>
          <w:rStyle w:val="Refdenotaalpie"/>
          <w:rFonts w:ascii="Arial" w:hAnsi="Arial" w:cs="Arial"/>
          <w:sz w:val="19"/>
          <w:szCs w:val="19"/>
        </w:rPr>
        <w:footnoteRef/>
      </w:r>
      <w:r w:rsidRPr="00E13471">
        <w:rPr>
          <w:rFonts w:ascii="Arial" w:hAnsi="Arial" w:cs="Arial"/>
          <w:sz w:val="19"/>
          <w:szCs w:val="19"/>
        </w:rPr>
        <w:t xml:space="preserve"> En esta línea Dávila Vinueza Expresa: </w:t>
      </w:r>
      <w:r w:rsidR="00FF0864">
        <w:rPr>
          <w:rFonts w:ascii="Arial" w:hAnsi="Arial" w:cs="Arial"/>
          <w:sz w:val="19"/>
          <w:szCs w:val="19"/>
        </w:rPr>
        <w:t>“</w:t>
      </w:r>
      <w:r w:rsidRPr="00E13471">
        <w:rPr>
          <w:rFonts w:ascii="Arial" w:hAnsi="Arial" w:cs="Arial"/>
          <w:sz w:val="19"/>
          <w:szCs w:val="19"/>
        </w:rPr>
        <w:t>El legislador para calificar estas prohibiciones emplea dos vocablos: Inhabilidades o incompatibilidades, los cuales en un examen desprevenido podrían sugerir ideas diferentes y en consecuencia, efectos también distintos. Sin embargo, se trata de conceptos que no producen distinciones más allá de las puramente semánticas. En nada afecta el calificar una causal con denominación diferente a la empleada en el texto legal, cuando mucho se criticará la falta de precisión. Ello es así por cuanto los efectos jurídicos que se general para una y otra son exactamente los mismos. Incluso se podría afirmar que ante la semejanza de las figuras, conviene emplear un único vocablo, con lo cual serían innecesarias los intentos y las elucubraciones y explicaciones, algunas novedosas que podrían ensayarse.</w:t>
      </w:r>
      <w:r w:rsidRPr="00AD1BAE">
        <w:rPr>
          <w:rFonts w:ascii="Arial" w:hAnsi="Arial" w:cs="Arial"/>
          <w:sz w:val="19"/>
          <w:szCs w:val="19"/>
        </w:rPr>
        <w:t xml:space="preserve"> (DÁVILA VINUEZA, Luis Guillermo. Régimen jurídico de la contratación estatal. 3ª ed. Bogotá: Legis, 2016. p. 148).</w:t>
      </w:r>
    </w:p>
    <w:p w14:paraId="154CDC6F" w14:textId="77777777" w:rsidR="00FF2F27" w:rsidRPr="00E13471" w:rsidRDefault="00FF2F27" w:rsidP="00FF2F27">
      <w:pPr>
        <w:pStyle w:val="Textonotapie"/>
        <w:ind w:firstLine="708"/>
        <w:jc w:val="both"/>
        <w:rPr>
          <w:rFonts w:ascii="Arial" w:hAnsi="Arial" w:cs="Arial"/>
          <w:sz w:val="19"/>
          <w:szCs w:val="19"/>
          <w:lang w:val="es-CO"/>
        </w:rPr>
      </w:pPr>
    </w:p>
  </w:footnote>
  <w:footnote w:id="13">
    <w:p w14:paraId="40B13BA8" w14:textId="77777777" w:rsidR="00FF2F27" w:rsidRPr="00AD1BAE" w:rsidRDefault="00FF2F27" w:rsidP="00FF2F27">
      <w:pPr>
        <w:pStyle w:val="Textonotapie"/>
        <w:ind w:firstLine="709"/>
        <w:jc w:val="both"/>
        <w:rPr>
          <w:rFonts w:ascii="Arial" w:hAnsi="Arial" w:cs="Arial"/>
          <w:sz w:val="19"/>
          <w:szCs w:val="19"/>
          <w:lang w:val="es-ES"/>
        </w:rPr>
      </w:pPr>
      <w:r w:rsidRPr="00AD1BAE">
        <w:rPr>
          <w:rStyle w:val="Refdenotaalpie"/>
          <w:rFonts w:ascii="Arial" w:hAnsi="Arial" w:cs="Arial"/>
          <w:sz w:val="19"/>
          <w:szCs w:val="19"/>
        </w:rPr>
        <w:footnoteRef/>
      </w:r>
      <w:r w:rsidRPr="00AD1BAE">
        <w:rPr>
          <w:rFonts w:ascii="Arial" w:hAnsi="Arial" w:cs="Arial"/>
          <w:sz w:val="19"/>
          <w:szCs w:val="19"/>
        </w:rPr>
        <w:t xml:space="preserve"> </w:t>
      </w:r>
      <w:r w:rsidRPr="00AD1BAE">
        <w:rPr>
          <w:rFonts w:ascii="Arial" w:hAnsi="Arial" w:cs="Arial"/>
          <w:sz w:val="19"/>
          <w:szCs w:val="19"/>
          <w:lang w:val="es-ES"/>
        </w:rPr>
        <w:t>BARRETO ROZO, Antonio Alejandro. Inhabilidades de la contratación estatal, efectos y neopunitivismo en el Estatuto Anticorrupción. En: ALVIAR GARCÍA, Helena (Coordinadora). Nuevas tendencias del Derecho administrativo. Bogotá: Universidad de los Andes; Temis, 2016. pp. 63-99.</w:t>
      </w:r>
    </w:p>
    <w:p w14:paraId="6A4A71BF" w14:textId="77777777" w:rsidR="00FF2F27" w:rsidRPr="00AD1BAE" w:rsidRDefault="00FF2F27" w:rsidP="00FF2F27">
      <w:pPr>
        <w:pStyle w:val="Textonotapie"/>
        <w:ind w:firstLine="709"/>
        <w:jc w:val="both"/>
        <w:rPr>
          <w:rFonts w:ascii="Arial" w:hAnsi="Arial" w:cs="Arial"/>
          <w:sz w:val="19"/>
          <w:szCs w:val="19"/>
          <w:lang w:val="es-ES"/>
        </w:rPr>
      </w:pPr>
    </w:p>
  </w:footnote>
  <w:footnote w:id="14">
    <w:p w14:paraId="44FAA4CC" w14:textId="77777777" w:rsidR="00FF2F27" w:rsidRPr="00AD1BAE" w:rsidRDefault="00FF2F27" w:rsidP="00FF2F27">
      <w:pPr>
        <w:pStyle w:val="Textonotapie"/>
        <w:ind w:firstLine="709"/>
        <w:jc w:val="both"/>
        <w:rPr>
          <w:rFonts w:ascii="Arial" w:hAnsi="Arial" w:cs="Arial"/>
          <w:sz w:val="19"/>
          <w:szCs w:val="19"/>
          <w:lang w:val="es-ES"/>
        </w:rPr>
      </w:pPr>
      <w:r w:rsidRPr="00AD1BAE">
        <w:rPr>
          <w:rStyle w:val="Refdenotaalpie"/>
          <w:rFonts w:ascii="Arial" w:hAnsi="Arial" w:cs="Arial"/>
          <w:sz w:val="19"/>
          <w:szCs w:val="19"/>
        </w:rPr>
        <w:footnoteRef/>
      </w:r>
      <w:r w:rsidRPr="00AD1BAE">
        <w:rPr>
          <w:rFonts w:ascii="Arial" w:hAnsi="Arial" w:cs="Arial"/>
          <w:sz w:val="19"/>
          <w:szCs w:val="19"/>
        </w:rPr>
        <w:t xml:space="preserve"> </w:t>
      </w:r>
      <w:r w:rsidRPr="00AD1BAE">
        <w:rPr>
          <w:rFonts w:ascii="Arial" w:hAnsi="Arial" w:cs="Arial"/>
          <w:sz w:val="19"/>
          <w:szCs w:val="19"/>
          <w:lang w:val="es-ES"/>
        </w:rPr>
        <w:t>Ibídem. p. 69.</w:t>
      </w:r>
    </w:p>
    <w:p w14:paraId="5E90FBFA" w14:textId="77777777" w:rsidR="00FF2F27" w:rsidRPr="00AD1BAE" w:rsidRDefault="00FF2F27" w:rsidP="00FF2F27">
      <w:pPr>
        <w:pStyle w:val="Textonotapie"/>
        <w:ind w:firstLine="709"/>
        <w:jc w:val="both"/>
        <w:rPr>
          <w:rFonts w:ascii="Arial" w:hAnsi="Arial" w:cs="Arial"/>
          <w:sz w:val="19"/>
          <w:szCs w:val="19"/>
          <w:lang w:val="es-ES"/>
        </w:rPr>
      </w:pPr>
    </w:p>
  </w:footnote>
  <w:footnote w:id="15">
    <w:p w14:paraId="17134122" w14:textId="77777777" w:rsidR="00FF2F27" w:rsidRPr="00E13471" w:rsidRDefault="00FF2F27" w:rsidP="00FF2F27">
      <w:pPr>
        <w:pStyle w:val="Textonotapie"/>
        <w:ind w:firstLine="708"/>
        <w:jc w:val="both"/>
        <w:rPr>
          <w:rFonts w:ascii="Arial" w:hAnsi="Arial" w:cs="Arial"/>
          <w:sz w:val="19"/>
          <w:szCs w:val="19"/>
        </w:rPr>
      </w:pPr>
      <w:r w:rsidRPr="00E13471">
        <w:rPr>
          <w:rStyle w:val="Refdenotaalpie"/>
          <w:rFonts w:ascii="Arial" w:hAnsi="Arial" w:cs="Arial"/>
          <w:sz w:val="19"/>
          <w:szCs w:val="19"/>
        </w:rPr>
        <w:footnoteRef/>
      </w:r>
      <w:r w:rsidRPr="00E13471">
        <w:rPr>
          <w:rFonts w:ascii="Arial" w:hAnsi="Arial" w:cs="Arial"/>
          <w:sz w:val="19"/>
          <w:szCs w:val="19"/>
        </w:rPr>
        <w:t xml:space="preserve"> Corte Constitucional. Sentencia C-415 de 1994. M.P. Eduardo Cifuentes Muñoz.</w:t>
      </w:r>
    </w:p>
    <w:p w14:paraId="58B6812E" w14:textId="77777777" w:rsidR="00FF2F27" w:rsidRPr="00E13471" w:rsidRDefault="00FF2F27" w:rsidP="00FF2F27">
      <w:pPr>
        <w:pStyle w:val="Textonotapie"/>
        <w:ind w:firstLine="708"/>
        <w:jc w:val="both"/>
        <w:rPr>
          <w:rFonts w:ascii="Arial" w:hAnsi="Arial" w:cs="Arial"/>
          <w:sz w:val="19"/>
          <w:szCs w:val="19"/>
          <w:lang w:val="es-CO"/>
        </w:rPr>
      </w:pPr>
    </w:p>
  </w:footnote>
  <w:footnote w:id="16">
    <w:p w14:paraId="6C8694A7" w14:textId="5795E952" w:rsidR="00FF2F27" w:rsidRPr="00AD1BAE" w:rsidRDefault="00FF2F27" w:rsidP="00FF2F27">
      <w:pPr>
        <w:pStyle w:val="Textonotapie"/>
        <w:ind w:firstLine="709"/>
        <w:jc w:val="both"/>
        <w:rPr>
          <w:rFonts w:ascii="Arial" w:hAnsi="Arial" w:cs="Arial"/>
          <w:color w:val="000000" w:themeColor="text1"/>
          <w:sz w:val="19"/>
          <w:szCs w:val="19"/>
        </w:rPr>
      </w:pPr>
      <w:r w:rsidRPr="00AD1BAE">
        <w:rPr>
          <w:rStyle w:val="Refdenotaalpie"/>
          <w:rFonts w:ascii="Arial" w:hAnsi="Arial" w:cs="Arial"/>
          <w:color w:val="000000" w:themeColor="text1"/>
          <w:sz w:val="19"/>
          <w:szCs w:val="19"/>
        </w:rPr>
        <w:footnoteRef/>
      </w:r>
      <w:r w:rsidRPr="00AD1BAE">
        <w:rPr>
          <w:rFonts w:ascii="Arial" w:hAnsi="Arial" w:cs="Arial"/>
          <w:color w:val="000000" w:themeColor="text1"/>
          <w:sz w:val="19"/>
          <w:szCs w:val="19"/>
        </w:rPr>
        <w:t xml:space="preserve"> CONSEJO DE ESTADO. Sala de lo contencioso administrativo. Sentencia del 12 de diciembre de 2014. Exp. 26496. C.P. Ramiro Pazos Guerrero. En similar sentido, la doctrina expresa que: </w:t>
      </w:r>
      <w:r w:rsidR="00FF0864">
        <w:rPr>
          <w:rFonts w:ascii="Arial" w:hAnsi="Arial" w:cs="Arial"/>
          <w:color w:val="000000" w:themeColor="text1"/>
          <w:sz w:val="19"/>
          <w:szCs w:val="19"/>
        </w:rPr>
        <w:t>“</w:t>
      </w:r>
      <w:r w:rsidRPr="00AD1BAE">
        <w:rPr>
          <w:rFonts w:ascii="Arial" w:hAnsi="Arial" w:cs="Arial"/>
          <w:color w:val="000000" w:themeColor="text1"/>
          <w:sz w:val="19"/>
          <w:szCs w:val="19"/>
        </w:rPr>
        <w:t>[…] las causales de inhabilidad e incompatibilidad resultan ser las que la ley de manera expresa señala, no siendo factible para las entidades estatales, crearlas en los pliegos de condiciones que elaboran (DAVILA VINUEZA, Luis Guillermo Régimen jurídico de la contratación estatal: aproximación crítica a Ley 80 de 1993. 3ª ed. Bogotá: Legis, 2016. p. 149.</w:t>
      </w:r>
    </w:p>
    <w:p w14:paraId="0201CDCC" w14:textId="77777777" w:rsidR="00FF2F27" w:rsidRPr="00AD1BAE" w:rsidRDefault="00FF2F27" w:rsidP="00FF2F27">
      <w:pPr>
        <w:pStyle w:val="Textonotapie"/>
        <w:ind w:firstLine="709"/>
        <w:jc w:val="both"/>
        <w:rPr>
          <w:rFonts w:ascii="Arial" w:hAnsi="Arial" w:cs="Arial"/>
          <w:color w:val="000000" w:themeColor="text1"/>
          <w:sz w:val="19"/>
          <w:szCs w:val="19"/>
        </w:rPr>
      </w:pPr>
    </w:p>
  </w:footnote>
  <w:footnote w:id="17">
    <w:p w14:paraId="1A40B9CB" w14:textId="77777777" w:rsidR="00FF2F27" w:rsidRDefault="00FF2F27" w:rsidP="00FF2F27">
      <w:pPr>
        <w:ind w:firstLine="709"/>
        <w:jc w:val="both"/>
        <w:rPr>
          <w:rFonts w:ascii="Arial" w:hAnsi="Arial" w:cs="Arial"/>
          <w:color w:val="000000" w:themeColor="text1"/>
          <w:sz w:val="19"/>
          <w:szCs w:val="19"/>
        </w:rPr>
      </w:pPr>
      <w:r w:rsidRPr="00AD1BAE">
        <w:rPr>
          <w:rStyle w:val="Refdenotaalpie"/>
          <w:rFonts w:ascii="Arial" w:hAnsi="Arial" w:cs="Arial"/>
          <w:color w:val="000000" w:themeColor="text1"/>
          <w:sz w:val="19"/>
          <w:szCs w:val="19"/>
        </w:rPr>
        <w:footnoteRef/>
      </w:r>
      <w:r w:rsidRPr="00AD1BAE">
        <w:rPr>
          <w:rFonts w:ascii="Arial" w:hAnsi="Arial" w:cs="Arial"/>
          <w:color w:val="000000" w:themeColor="text1"/>
          <w:sz w:val="19"/>
          <w:szCs w:val="19"/>
        </w:rPr>
        <w:t xml:space="preserve"> CONSEJO DE ESTADO. Sala de Consulta y Servicio Civil. Concepto del 29 de abril de 1998. Rad. 1097. C.P. Augusto Trejos Jaramillo. </w:t>
      </w:r>
    </w:p>
    <w:p w14:paraId="40245A72" w14:textId="77777777" w:rsidR="00FF2F27" w:rsidRPr="00AD1BAE" w:rsidRDefault="00FF2F27" w:rsidP="00FF2F27">
      <w:pPr>
        <w:ind w:firstLine="709"/>
        <w:jc w:val="both"/>
        <w:rPr>
          <w:rFonts w:ascii="Arial" w:hAnsi="Arial" w:cs="Arial"/>
          <w:color w:val="000000" w:themeColor="text1"/>
          <w:sz w:val="19"/>
          <w:szCs w:val="19"/>
        </w:rPr>
      </w:pPr>
    </w:p>
  </w:footnote>
  <w:footnote w:id="18">
    <w:p w14:paraId="4DAE8CA6" w14:textId="3BC01FB4" w:rsidR="00FF2F27" w:rsidRPr="00AD1BAE" w:rsidRDefault="00FF2F27" w:rsidP="00FF2F27">
      <w:pPr>
        <w:pStyle w:val="Textonotapie"/>
        <w:ind w:firstLine="709"/>
        <w:jc w:val="both"/>
        <w:rPr>
          <w:rFonts w:ascii="Arial" w:hAnsi="Arial" w:cs="Arial"/>
          <w:sz w:val="19"/>
          <w:szCs w:val="19"/>
        </w:rPr>
      </w:pPr>
      <w:r w:rsidRPr="00AD1BAE">
        <w:rPr>
          <w:rStyle w:val="Refdenotaalpie"/>
          <w:rFonts w:ascii="Arial" w:hAnsi="Arial" w:cs="Arial"/>
          <w:sz w:val="19"/>
          <w:szCs w:val="19"/>
        </w:rPr>
        <w:footnoteRef/>
      </w:r>
      <w:r w:rsidRPr="00AD1BAE">
        <w:rPr>
          <w:rFonts w:ascii="Arial" w:hAnsi="Arial" w:cs="Arial"/>
          <w:sz w:val="19"/>
          <w:szCs w:val="19"/>
        </w:rPr>
        <w:t xml:space="preserve"> Código Civil: </w:t>
      </w:r>
      <w:r w:rsidR="00FF0864">
        <w:rPr>
          <w:rFonts w:ascii="Arial" w:hAnsi="Arial" w:cs="Arial"/>
          <w:sz w:val="19"/>
          <w:szCs w:val="19"/>
        </w:rPr>
        <w:t>“</w:t>
      </w:r>
      <w:r w:rsidRPr="00AD1BAE">
        <w:rPr>
          <w:rFonts w:ascii="Arial" w:hAnsi="Arial" w:cs="Arial"/>
          <w:sz w:val="19"/>
          <w:szCs w:val="19"/>
        </w:rPr>
        <w:t>Artículo 33. Palabras relacionadas con las personas. La palabra persona en su sentido general se aplica(rá) a la especie humana, sin distinción de sexo</w:t>
      </w:r>
      <w:r w:rsidR="00FF0864">
        <w:rPr>
          <w:rFonts w:ascii="Arial" w:hAnsi="Arial" w:cs="Arial"/>
          <w:sz w:val="19"/>
          <w:szCs w:val="19"/>
        </w:rPr>
        <w:t>”</w:t>
      </w:r>
      <w:r w:rsidRPr="00AD1BAE">
        <w:rPr>
          <w:rFonts w:ascii="Arial" w:hAnsi="Arial" w:cs="Arial"/>
          <w:sz w:val="19"/>
          <w:szCs w:val="19"/>
        </w:rPr>
        <w:t>.</w:t>
      </w:r>
    </w:p>
    <w:p w14:paraId="3C568FDA" w14:textId="77777777" w:rsidR="00FF2F27" w:rsidRPr="00AD1BAE" w:rsidRDefault="00FF2F27" w:rsidP="00FF2F27">
      <w:pPr>
        <w:pStyle w:val="Textonotapie"/>
        <w:ind w:firstLine="709"/>
        <w:jc w:val="both"/>
        <w:rPr>
          <w:rFonts w:ascii="Arial" w:hAnsi="Arial" w:cs="Arial"/>
          <w:sz w:val="19"/>
          <w:szCs w:val="19"/>
          <w:lang w:val="es-CO"/>
        </w:rPr>
      </w:pPr>
    </w:p>
  </w:footnote>
  <w:footnote w:id="19">
    <w:p w14:paraId="5FD965FA" w14:textId="416A2053" w:rsidR="00FF2F27" w:rsidRPr="00AD1BAE" w:rsidRDefault="00FF2F27" w:rsidP="00FF2F27">
      <w:pPr>
        <w:pStyle w:val="Textonotapie"/>
        <w:ind w:firstLine="709"/>
        <w:jc w:val="both"/>
        <w:rPr>
          <w:rFonts w:ascii="Arial" w:hAnsi="Arial" w:cs="Arial"/>
          <w:sz w:val="19"/>
          <w:szCs w:val="19"/>
        </w:rPr>
      </w:pPr>
      <w:r w:rsidRPr="00AD1BAE">
        <w:rPr>
          <w:rStyle w:val="Refdenotaalpie"/>
          <w:rFonts w:ascii="Arial" w:hAnsi="Arial" w:cs="Arial"/>
          <w:sz w:val="19"/>
          <w:szCs w:val="19"/>
        </w:rPr>
        <w:footnoteRef/>
      </w:r>
      <w:r w:rsidRPr="00AD1BAE">
        <w:rPr>
          <w:rFonts w:ascii="Arial" w:hAnsi="Arial" w:cs="Arial"/>
          <w:sz w:val="19"/>
          <w:szCs w:val="19"/>
        </w:rPr>
        <w:t xml:space="preserve">  Constitución Política de Colombia: </w:t>
      </w:r>
      <w:r w:rsidR="00FF0864">
        <w:rPr>
          <w:rFonts w:ascii="Arial" w:hAnsi="Arial" w:cs="Arial"/>
          <w:sz w:val="19"/>
          <w:szCs w:val="19"/>
        </w:rPr>
        <w:t>“</w:t>
      </w:r>
      <w:r w:rsidRPr="00AD1BAE">
        <w:rPr>
          <w:rFonts w:ascii="Arial" w:hAnsi="Arial" w:cs="Arial"/>
          <w:sz w:val="19"/>
          <w:szCs w:val="19"/>
        </w:rPr>
        <w:t>Artículo 42. La familia es el núcleo fundamental de la sociedad. Se constituye por vínculos naturales o jurídicos, por la decisión libre de un hombre y una mujer de contraer matrimonio o por la voluntad responsable de conformarla</w:t>
      </w:r>
      <w:r w:rsidR="00FF0864">
        <w:rPr>
          <w:rFonts w:ascii="Arial" w:hAnsi="Arial" w:cs="Arial"/>
          <w:sz w:val="19"/>
          <w:szCs w:val="19"/>
        </w:rPr>
        <w:t>”</w:t>
      </w:r>
      <w:r w:rsidRPr="00AD1BAE">
        <w:rPr>
          <w:rFonts w:ascii="Arial" w:hAnsi="Arial" w:cs="Arial"/>
          <w:sz w:val="19"/>
          <w:szCs w:val="19"/>
        </w:rPr>
        <w:t>.</w:t>
      </w:r>
    </w:p>
    <w:p w14:paraId="322A021C" w14:textId="77777777" w:rsidR="00FF2F27" w:rsidRPr="00AD1BAE" w:rsidRDefault="00FF2F27" w:rsidP="00FF2F27">
      <w:pPr>
        <w:pStyle w:val="Textonotapie"/>
        <w:ind w:firstLine="709"/>
        <w:jc w:val="both"/>
        <w:rPr>
          <w:rFonts w:ascii="Arial" w:hAnsi="Arial" w:cs="Arial"/>
          <w:sz w:val="19"/>
          <w:szCs w:val="19"/>
          <w:lang w:val="es-CO"/>
        </w:rPr>
      </w:pPr>
    </w:p>
  </w:footnote>
  <w:footnote w:id="20">
    <w:p w14:paraId="06FF331E" w14:textId="3181E6DF" w:rsidR="00FF2F27" w:rsidRDefault="00FF2F27" w:rsidP="00FF2F27">
      <w:pPr>
        <w:pStyle w:val="NormalWeb"/>
        <w:spacing w:before="0" w:beforeAutospacing="0" w:after="0" w:afterAutospacing="0"/>
        <w:ind w:firstLine="708"/>
        <w:jc w:val="both"/>
        <w:rPr>
          <w:rFonts w:ascii="Arial" w:hAnsi="Arial" w:cs="Arial"/>
          <w:color w:val="000000"/>
          <w:sz w:val="19"/>
          <w:szCs w:val="19"/>
        </w:rPr>
      </w:pPr>
      <w:r w:rsidRPr="00AD1BAE">
        <w:rPr>
          <w:rStyle w:val="Refdenotaalpie"/>
          <w:rFonts w:ascii="Arial" w:hAnsi="Arial" w:cs="Arial"/>
          <w:sz w:val="19"/>
          <w:szCs w:val="19"/>
        </w:rPr>
        <w:footnoteRef/>
      </w:r>
      <w:r w:rsidRPr="00AD1BAE">
        <w:rPr>
          <w:rFonts w:ascii="Arial" w:hAnsi="Arial" w:cs="Arial"/>
          <w:sz w:val="19"/>
          <w:szCs w:val="19"/>
        </w:rPr>
        <w:t xml:space="preserve"> En el marco del procedimiento administrativo general, previsto en los artículos 34 y ss. del Código de Procedimiento Administrativo y de lo Contencioso Administrativo, el artículo 40 de dicha norma señala que: </w:t>
      </w:r>
      <w:r w:rsidR="00FF0864">
        <w:rPr>
          <w:rFonts w:ascii="Arial" w:hAnsi="Arial" w:cs="Arial"/>
          <w:sz w:val="19"/>
          <w:szCs w:val="19"/>
        </w:rPr>
        <w:t>“</w:t>
      </w:r>
      <w:r w:rsidRPr="00AD1BAE">
        <w:rPr>
          <w:rFonts w:ascii="Arial" w:hAnsi="Arial" w:cs="Arial"/>
          <w:color w:val="000000"/>
          <w:sz w:val="19"/>
          <w:szCs w:val="19"/>
        </w:rPr>
        <w:t>Serán admisibles todos los medios de prueba señalados en el Código de Procedimiento Civil</w:t>
      </w:r>
      <w:r w:rsidR="00FF0864">
        <w:rPr>
          <w:rFonts w:ascii="Arial" w:hAnsi="Arial" w:cs="Arial"/>
          <w:sz w:val="19"/>
          <w:szCs w:val="19"/>
        </w:rPr>
        <w:t>”</w:t>
      </w:r>
      <w:r w:rsidRPr="00AD1BAE">
        <w:rPr>
          <w:rFonts w:ascii="Arial" w:hAnsi="Arial" w:cs="Arial"/>
          <w:color w:val="000000"/>
          <w:sz w:val="19"/>
          <w:szCs w:val="19"/>
        </w:rPr>
        <w:t xml:space="preserve">. Al respecto, la Ley 1564 de 2012, que subrogó el Código de Procedimiento Civil adoptando el Código General del Proceso, señala en su artículo 165 que: </w:t>
      </w:r>
      <w:r w:rsidR="00FF0864">
        <w:rPr>
          <w:rFonts w:ascii="Arial" w:hAnsi="Arial" w:cs="Arial"/>
          <w:sz w:val="19"/>
          <w:szCs w:val="19"/>
        </w:rPr>
        <w:t>“</w:t>
      </w:r>
      <w:r w:rsidRPr="00AD1BAE">
        <w:rPr>
          <w:rFonts w:ascii="Arial" w:hAnsi="Arial" w:cs="Arial"/>
          <w:color w:val="000000"/>
          <w:sz w:val="19"/>
          <w:szCs w:val="19"/>
        </w:rPr>
        <w:t>Son medios de prueba la declaración de parte, la confesión, el juramento, el testimonio de terceros, el dictamen pericial, la inspección judicial, los documentos, los indicios, los informes y cualesquiera otros medios que sean útiles para la formación del convencimiento del juez. El juez practicará las pruebas no previstas en este código de acuerdo con las disposiciones que regulen medios semejantes o según su prudente juicio, preservando los principios y garantías constitucionales</w:t>
      </w:r>
      <w:r w:rsidR="00FF0864">
        <w:rPr>
          <w:rFonts w:ascii="Arial" w:hAnsi="Arial" w:cs="Arial"/>
          <w:sz w:val="19"/>
          <w:szCs w:val="19"/>
        </w:rPr>
        <w:t>”</w:t>
      </w:r>
      <w:r w:rsidRPr="00AD1BAE">
        <w:rPr>
          <w:rFonts w:ascii="Arial" w:hAnsi="Arial" w:cs="Arial"/>
          <w:color w:val="000000"/>
          <w:sz w:val="19"/>
          <w:szCs w:val="19"/>
        </w:rPr>
        <w:t>.</w:t>
      </w:r>
      <w:r>
        <w:rPr>
          <w:rFonts w:ascii="Arial" w:hAnsi="Arial" w:cs="Arial"/>
          <w:color w:val="000000"/>
          <w:sz w:val="19"/>
          <w:szCs w:val="19"/>
        </w:rPr>
        <w:t xml:space="preserve"> </w:t>
      </w:r>
    </w:p>
    <w:p w14:paraId="0758CD16" w14:textId="36EE7D3E" w:rsidR="00FF2F27" w:rsidRPr="00B27C64" w:rsidRDefault="00FF2F27" w:rsidP="00FF2F27">
      <w:pPr>
        <w:pStyle w:val="NormalWeb"/>
        <w:spacing w:before="0" w:beforeAutospacing="0" w:after="0" w:afterAutospacing="0"/>
        <w:ind w:firstLine="708"/>
        <w:jc w:val="both"/>
        <w:rPr>
          <w:rFonts w:ascii="Arial" w:hAnsi="Arial" w:cs="Arial"/>
          <w:sz w:val="19"/>
          <w:szCs w:val="19"/>
        </w:rPr>
      </w:pPr>
      <w:r w:rsidRPr="00B27C64">
        <w:rPr>
          <w:rFonts w:ascii="Arial" w:hAnsi="Arial" w:cs="Arial"/>
          <w:color w:val="000000"/>
          <w:sz w:val="19"/>
          <w:szCs w:val="19"/>
        </w:rPr>
        <w:t xml:space="preserve">Es posible acudir a las disposiciones anteriores </w:t>
      </w:r>
      <w:r w:rsidRPr="00EF5E01">
        <w:rPr>
          <w:rFonts w:ascii="Arial" w:hAnsi="Arial" w:cs="Arial"/>
          <w:color w:val="000000"/>
          <w:sz w:val="19"/>
          <w:szCs w:val="19"/>
        </w:rPr>
        <w:t xml:space="preserve">en relación con los procedimientos administrativos de selección, en virtud de la remisión que realiza el artículo 77 de la Ley 80 de 1993: </w:t>
      </w:r>
      <w:r w:rsidR="00FF0864">
        <w:rPr>
          <w:rFonts w:ascii="Arial" w:hAnsi="Arial" w:cs="Arial"/>
          <w:color w:val="000000"/>
          <w:sz w:val="19"/>
          <w:szCs w:val="19"/>
        </w:rPr>
        <w:t>“</w:t>
      </w:r>
      <w:r w:rsidRPr="00E13471">
        <w:rPr>
          <w:rStyle w:val="Textoennegrita"/>
          <w:rFonts w:ascii="Arial" w:hAnsi="Arial" w:cs="Arial"/>
          <w:color w:val="000000"/>
          <w:sz w:val="19"/>
          <w:szCs w:val="19"/>
        </w:rPr>
        <w:t>Artículo 77. De la normatividad aplicable en las actuaciones administrativas.</w:t>
      </w:r>
      <w:r w:rsidRPr="00E13471">
        <w:rPr>
          <w:rFonts w:ascii="Arial" w:hAnsi="Arial" w:cs="Arial"/>
          <w:color w:val="000000"/>
          <w:sz w:val="19"/>
          <w:szCs w:val="19"/>
        </w:rPr>
        <w:t> En cuanto sean compatibles con la finalidad y los principios de esta ley, las normas que rigen los procedimientos y actuaciones en la función administrativa, serán aplicables en las actuaciones contractuales. A falta de estas, regirán las disposiciones del Código de Procedimiento Civil</w:t>
      </w:r>
      <w:r w:rsidR="00FF0864">
        <w:rPr>
          <w:rFonts w:ascii="Arial" w:hAnsi="Arial" w:cs="Arial"/>
          <w:color w:val="000000"/>
          <w:sz w:val="19"/>
          <w:szCs w:val="19"/>
        </w:rPr>
        <w:t>”</w:t>
      </w:r>
      <w:r w:rsidRPr="00E13471">
        <w:rPr>
          <w:rFonts w:ascii="Arial" w:hAnsi="Arial" w:cs="Arial"/>
          <w:color w:val="000000"/>
          <w:sz w:val="19"/>
          <w:szCs w:val="19"/>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7A15B" w14:textId="77777777" w:rsidR="00900AD7" w:rsidRDefault="00000000">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0712944D" wp14:editId="6ECFF130">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3A64A683" wp14:editId="4254D4F8">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125E49F" w14:textId="77777777" w:rsidR="00900AD7" w:rsidRDefault="00900AD7">
    <w:pPr>
      <w:pStyle w:val="Encabezado"/>
    </w:pPr>
  </w:p>
  <w:p w14:paraId="75C062F4" w14:textId="77777777" w:rsidR="00900AD7" w:rsidRDefault="00900AD7" w:rsidP="004A305D">
    <w:pPr>
      <w:spacing w:after="0"/>
      <w:rPr>
        <w:rFonts w:ascii="Verdana" w:hAnsi="Verdana"/>
        <w:b/>
        <w:bCs/>
      </w:rPr>
    </w:pPr>
  </w:p>
  <w:p w14:paraId="70A11782" w14:textId="77777777" w:rsidR="00900AD7" w:rsidRPr="004A305D" w:rsidRDefault="00900AD7" w:rsidP="00B01B1A">
    <w:pPr>
      <w:spacing w:after="0" w:line="120" w:lineRule="auto"/>
      <w:rPr>
        <w:rFonts w:ascii="Century Gothic" w:eastAsia="Geo" w:hAnsi="Century Gothic" w:cs="Geo"/>
        <w:sz w:val="16"/>
        <w:szCs w:val="16"/>
        <w:lang w:eastAsia="es-CO"/>
      </w:rPr>
    </w:pPr>
  </w:p>
  <w:p w14:paraId="6F0FD394" w14:textId="77777777" w:rsidR="00900AD7" w:rsidRDefault="00900AD7"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17695E"/>
    <w:multiLevelType w:val="hybridMultilevel"/>
    <w:tmpl w:val="C88A09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17A1800"/>
    <w:multiLevelType w:val="hybridMultilevel"/>
    <w:tmpl w:val="9C3292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2CD015C"/>
    <w:multiLevelType w:val="hybridMultilevel"/>
    <w:tmpl w:val="CA6C12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87E4E75"/>
    <w:multiLevelType w:val="hybridMultilevel"/>
    <w:tmpl w:val="3DF0A1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12C5AB7"/>
    <w:multiLevelType w:val="hybridMultilevel"/>
    <w:tmpl w:val="FA1E00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1CE120B"/>
    <w:multiLevelType w:val="hybridMultilevel"/>
    <w:tmpl w:val="CFF81CA4"/>
    <w:lvl w:ilvl="0" w:tplc="3B7C8F10">
      <w:start w:val="1"/>
      <w:numFmt w:val="upperLetter"/>
      <w:lvlText w:val="%1."/>
      <w:lvlJc w:val="left"/>
      <w:pPr>
        <w:ind w:left="720" w:hanging="360"/>
      </w:pPr>
      <w:rPr>
        <w:color w:val="auto"/>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248962D6"/>
    <w:multiLevelType w:val="hybridMultilevel"/>
    <w:tmpl w:val="0E7C03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9D254B"/>
    <w:multiLevelType w:val="hybridMultilevel"/>
    <w:tmpl w:val="BFAA7B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29C4F3E"/>
    <w:multiLevelType w:val="hybridMultilevel"/>
    <w:tmpl w:val="FE00E8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2EC4D2B"/>
    <w:multiLevelType w:val="hybridMultilevel"/>
    <w:tmpl w:val="79E495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3A57582E"/>
    <w:multiLevelType w:val="hybridMultilevel"/>
    <w:tmpl w:val="DFAC826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5" w15:restartNumberingAfterBreak="0">
    <w:nsid w:val="3D120DD9"/>
    <w:multiLevelType w:val="hybridMultilevel"/>
    <w:tmpl w:val="165AC54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15:restartNumberingAfterBreak="0">
    <w:nsid w:val="4103438C"/>
    <w:multiLevelType w:val="hybridMultilevel"/>
    <w:tmpl w:val="210422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15062BA"/>
    <w:multiLevelType w:val="hybridMultilevel"/>
    <w:tmpl w:val="A85AF8A2"/>
    <w:lvl w:ilvl="0" w:tplc="0096BF10">
      <w:numFmt w:val="bullet"/>
      <w:lvlText w:val=""/>
      <w:lvlJc w:val="left"/>
      <w:pPr>
        <w:ind w:left="817" w:hanging="357"/>
      </w:pPr>
      <w:rPr>
        <w:rFonts w:ascii="Symbol" w:eastAsia="Symbol" w:hAnsi="Symbol" w:cs="Symbol" w:hint="default"/>
        <w:b w:val="0"/>
        <w:bCs w:val="0"/>
        <w:i w:val="0"/>
        <w:iCs w:val="0"/>
        <w:spacing w:val="0"/>
        <w:w w:val="99"/>
        <w:sz w:val="22"/>
        <w:szCs w:val="22"/>
        <w:lang w:val="es-ES" w:eastAsia="en-US" w:bidi="ar-SA"/>
      </w:rPr>
    </w:lvl>
    <w:lvl w:ilvl="1" w:tplc="5534388E">
      <w:numFmt w:val="bullet"/>
      <w:lvlText w:val="•"/>
      <w:lvlJc w:val="left"/>
      <w:pPr>
        <w:ind w:left="1628" w:hanging="357"/>
      </w:pPr>
      <w:rPr>
        <w:rFonts w:hint="default"/>
        <w:lang w:val="es-ES" w:eastAsia="en-US" w:bidi="ar-SA"/>
      </w:rPr>
    </w:lvl>
    <w:lvl w:ilvl="2" w:tplc="0D9422CE">
      <w:numFmt w:val="bullet"/>
      <w:lvlText w:val="•"/>
      <w:lvlJc w:val="left"/>
      <w:pPr>
        <w:ind w:left="2436" w:hanging="357"/>
      </w:pPr>
      <w:rPr>
        <w:rFonts w:hint="default"/>
        <w:lang w:val="es-ES" w:eastAsia="en-US" w:bidi="ar-SA"/>
      </w:rPr>
    </w:lvl>
    <w:lvl w:ilvl="3" w:tplc="C212D4A8">
      <w:numFmt w:val="bullet"/>
      <w:lvlText w:val="•"/>
      <w:lvlJc w:val="left"/>
      <w:pPr>
        <w:ind w:left="3245" w:hanging="357"/>
      </w:pPr>
      <w:rPr>
        <w:rFonts w:hint="default"/>
        <w:lang w:val="es-ES" w:eastAsia="en-US" w:bidi="ar-SA"/>
      </w:rPr>
    </w:lvl>
    <w:lvl w:ilvl="4" w:tplc="A8DC92BE">
      <w:numFmt w:val="bullet"/>
      <w:lvlText w:val="•"/>
      <w:lvlJc w:val="left"/>
      <w:pPr>
        <w:ind w:left="4053" w:hanging="357"/>
      </w:pPr>
      <w:rPr>
        <w:rFonts w:hint="default"/>
        <w:lang w:val="es-ES" w:eastAsia="en-US" w:bidi="ar-SA"/>
      </w:rPr>
    </w:lvl>
    <w:lvl w:ilvl="5" w:tplc="E76A738A">
      <w:numFmt w:val="bullet"/>
      <w:lvlText w:val="•"/>
      <w:lvlJc w:val="left"/>
      <w:pPr>
        <w:ind w:left="4862" w:hanging="357"/>
      </w:pPr>
      <w:rPr>
        <w:rFonts w:hint="default"/>
        <w:lang w:val="es-ES" w:eastAsia="en-US" w:bidi="ar-SA"/>
      </w:rPr>
    </w:lvl>
    <w:lvl w:ilvl="6" w:tplc="071C3D08">
      <w:numFmt w:val="bullet"/>
      <w:lvlText w:val="•"/>
      <w:lvlJc w:val="left"/>
      <w:pPr>
        <w:ind w:left="5670" w:hanging="357"/>
      </w:pPr>
      <w:rPr>
        <w:rFonts w:hint="default"/>
        <w:lang w:val="es-ES" w:eastAsia="en-US" w:bidi="ar-SA"/>
      </w:rPr>
    </w:lvl>
    <w:lvl w:ilvl="7" w:tplc="B8426594">
      <w:numFmt w:val="bullet"/>
      <w:lvlText w:val="•"/>
      <w:lvlJc w:val="left"/>
      <w:pPr>
        <w:ind w:left="6478" w:hanging="357"/>
      </w:pPr>
      <w:rPr>
        <w:rFonts w:hint="default"/>
        <w:lang w:val="es-ES" w:eastAsia="en-US" w:bidi="ar-SA"/>
      </w:rPr>
    </w:lvl>
    <w:lvl w:ilvl="8" w:tplc="3E68AD10">
      <w:numFmt w:val="bullet"/>
      <w:lvlText w:val="•"/>
      <w:lvlJc w:val="left"/>
      <w:pPr>
        <w:ind w:left="7287" w:hanging="357"/>
      </w:pPr>
      <w:rPr>
        <w:rFonts w:hint="default"/>
        <w:lang w:val="es-ES" w:eastAsia="en-US" w:bidi="ar-SA"/>
      </w:rPr>
    </w:lvl>
  </w:abstractNum>
  <w:abstractNum w:abstractNumId="18" w15:restartNumberingAfterBreak="0">
    <w:nsid w:val="416E6210"/>
    <w:multiLevelType w:val="hybridMultilevel"/>
    <w:tmpl w:val="A8A42AFA"/>
    <w:lvl w:ilvl="0" w:tplc="4EB250BC">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433B6DF3"/>
    <w:multiLevelType w:val="hybridMultilevel"/>
    <w:tmpl w:val="9E023FA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0" w15:restartNumberingAfterBreak="0">
    <w:nsid w:val="436A69A8"/>
    <w:multiLevelType w:val="hybridMultilevel"/>
    <w:tmpl w:val="5FD871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A3F27CD"/>
    <w:multiLevelType w:val="hybridMultilevel"/>
    <w:tmpl w:val="0032FC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A74137A"/>
    <w:multiLevelType w:val="hybridMultilevel"/>
    <w:tmpl w:val="B010EF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C6D0E2E"/>
    <w:multiLevelType w:val="hybridMultilevel"/>
    <w:tmpl w:val="5C242F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9081512"/>
    <w:multiLevelType w:val="hybridMultilevel"/>
    <w:tmpl w:val="BFF23E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F0267CD"/>
    <w:multiLevelType w:val="hybridMultilevel"/>
    <w:tmpl w:val="AB8CC69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07922B4"/>
    <w:multiLevelType w:val="hybridMultilevel"/>
    <w:tmpl w:val="FC8046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0E13D05"/>
    <w:multiLevelType w:val="hybridMultilevel"/>
    <w:tmpl w:val="BE042D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1CC6F5F"/>
    <w:multiLevelType w:val="hybridMultilevel"/>
    <w:tmpl w:val="D2B62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3473322"/>
    <w:multiLevelType w:val="multilevel"/>
    <w:tmpl w:val="7012F0E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ascii="Arial" w:hAnsi="Arial" w:cs="Arial" w:hint="default"/>
        <w:b/>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35B30FB"/>
    <w:multiLevelType w:val="hybridMultilevel"/>
    <w:tmpl w:val="8B20B1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97010639">
    <w:abstractNumId w:val="0"/>
  </w:num>
  <w:num w:numId="2" w16cid:durableId="271860312">
    <w:abstractNumId w:val="28"/>
  </w:num>
  <w:num w:numId="3" w16cid:durableId="1595672007">
    <w:abstractNumId w:val="21"/>
  </w:num>
  <w:num w:numId="4" w16cid:durableId="1944533281">
    <w:abstractNumId w:val="11"/>
  </w:num>
  <w:num w:numId="5" w16cid:durableId="2081175712">
    <w:abstractNumId w:val="6"/>
  </w:num>
  <w:num w:numId="6" w16cid:durableId="1584220838">
    <w:abstractNumId w:val="1"/>
  </w:num>
  <w:num w:numId="7" w16cid:durableId="1890258578">
    <w:abstractNumId w:val="18"/>
  </w:num>
  <w:num w:numId="8" w16cid:durableId="1250309436">
    <w:abstractNumId w:val="30"/>
  </w:num>
  <w:num w:numId="9" w16cid:durableId="170149205">
    <w:abstractNumId w:val="4"/>
  </w:num>
  <w:num w:numId="10" w16cid:durableId="121771703">
    <w:abstractNumId w:val="17"/>
  </w:num>
  <w:num w:numId="11" w16cid:durableId="679089576">
    <w:abstractNumId w:val="13"/>
  </w:num>
  <w:num w:numId="12" w16cid:durableId="1597637299">
    <w:abstractNumId w:val="14"/>
  </w:num>
  <w:num w:numId="13" w16cid:durableId="1197356270">
    <w:abstractNumId w:val="19"/>
  </w:num>
  <w:num w:numId="14" w16cid:durableId="1422145251">
    <w:abstractNumId w:val="29"/>
  </w:num>
  <w:num w:numId="15" w16cid:durableId="868641893">
    <w:abstractNumId w:val="25"/>
  </w:num>
  <w:num w:numId="16" w16cid:durableId="2025937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2209491">
    <w:abstractNumId w:val="10"/>
  </w:num>
  <w:num w:numId="18" w16cid:durableId="1933977330">
    <w:abstractNumId w:val="7"/>
  </w:num>
  <w:num w:numId="19" w16cid:durableId="597564065">
    <w:abstractNumId w:val="16"/>
  </w:num>
  <w:num w:numId="20" w16cid:durableId="1058745687">
    <w:abstractNumId w:val="9"/>
  </w:num>
  <w:num w:numId="21" w16cid:durableId="1228223862">
    <w:abstractNumId w:val="8"/>
  </w:num>
  <w:num w:numId="22" w16cid:durableId="606429298">
    <w:abstractNumId w:val="20"/>
  </w:num>
  <w:num w:numId="23" w16cid:durableId="19822139">
    <w:abstractNumId w:val="2"/>
  </w:num>
  <w:num w:numId="24" w16cid:durableId="66534376">
    <w:abstractNumId w:val="27"/>
  </w:num>
  <w:num w:numId="25" w16cid:durableId="1721511704">
    <w:abstractNumId w:val="23"/>
  </w:num>
  <w:num w:numId="26" w16cid:durableId="1912307450">
    <w:abstractNumId w:val="5"/>
  </w:num>
  <w:num w:numId="27" w16cid:durableId="1147167869">
    <w:abstractNumId w:val="24"/>
  </w:num>
  <w:num w:numId="28" w16cid:durableId="295986491">
    <w:abstractNumId w:val="22"/>
  </w:num>
  <w:num w:numId="29" w16cid:durableId="114105932">
    <w:abstractNumId w:val="26"/>
  </w:num>
  <w:num w:numId="30" w16cid:durableId="1953243012">
    <w:abstractNumId w:val="15"/>
  </w:num>
  <w:num w:numId="31" w16cid:durableId="1516311792">
    <w:abstractNumId w:val="3"/>
  </w:num>
  <w:num w:numId="32" w16cid:durableId="2931014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4A5"/>
    <w:rsid w:val="0007723D"/>
    <w:rsid w:val="00092DB6"/>
    <w:rsid w:val="000E0D00"/>
    <w:rsid w:val="000E2148"/>
    <w:rsid w:val="000E561E"/>
    <w:rsid w:val="000E7508"/>
    <w:rsid w:val="001F7599"/>
    <w:rsid w:val="00207A26"/>
    <w:rsid w:val="002A7290"/>
    <w:rsid w:val="002D2553"/>
    <w:rsid w:val="00312E96"/>
    <w:rsid w:val="004C042E"/>
    <w:rsid w:val="0050012F"/>
    <w:rsid w:val="00553F39"/>
    <w:rsid w:val="00555176"/>
    <w:rsid w:val="00573EBC"/>
    <w:rsid w:val="00580642"/>
    <w:rsid w:val="005A5AFA"/>
    <w:rsid w:val="005F6633"/>
    <w:rsid w:val="005F78DC"/>
    <w:rsid w:val="0060538B"/>
    <w:rsid w:val="00620BE1"/>
    <w:rsid w:val="006649D6"/>
    <w:rsid w:val="006D24E7"/>
    <w:rsid w:val="006D51B2"/>
    <w:rsid w:val="006F77A6"/>
    <w:rsid w:val="00763F15"/>
    <w:rsid w:val="00782C22"/>
    <w:rsid w:val="007C0618"/>
    <w:rsid w:val="007D5FE7"/>
    <w:rsid w:val="007E0D51"/>
    <w:rsid w:val="00893CDE"/>
    <w:rsid w:val="00900AD7"/>
    <w:rsid w:val="0090156A"/>
    <w:rsid w:val="00921DEC"/>
    <w:rsid w:val="009356F9"/>
    <w:rsid w:val="00942844"/>
    <w:rsid w:val="00995256"/>
    <w:rsid w:val="009A2511"/>
    <w:rsid w:val="009C4900"/>
    <w:rsid w:val="009F4B33"/>
    <w:rsid w:val="009F5FB8"/>
    <w:rsid w:val="00A26C76"/>
    <w:rsid w:val="00A33752"/>
    <w:rsid w:val="00A43BD3"/>
    <w:rsid w:val="00A62278"/>
    <w:rsid w:val="00A96BF0"/>
    <w:rsid w:val="00A97EC1"/>
    <w:rsid w:val="00A97F09"/>
    <w:rsid w:val="00AB4464"/>
    <w:rsid w:val="00AB64A5"/>
    <w:rsid w:val="00AC79D3"/>
    <w:rsid w:val="00BE2B78"/>
    <w:rsid w:val="00C00C41"/>
    <w:rsid w:val="00C01E35"/>
    <w:rsid w:val="00C04209"/>
    <w:rsid w:val="00C15AAE"/>
    <w:rsid w:val="00CC1D5B"/>
    <w:rsid w:val="00CD258B"/>
    <w:rsid w:val="00CF7418"/>
    <w:rsid w:val="00D245EF"/>
    <w:rsid w:val="00D40943"/>
    <w:rsid w:val="00E07453"/>
    <w:rsid w:val="00E100F3"/>
    <w:rsid w:val="00E51C9B"/>
    <w:rsid w:val="00E5732A"/>
    <w:rsid w:val="00E61733"/>
    <w:rsid w:val="00EA6438"/>
    <w:rsid w:val="00F02EBB"/>
    <w:rsid w:val="00F14BCA"/>
    <w:rsid w:val="00F67849"/>
    <w:rsid w:val="00FB6216"/>
    <w:rsid w:val="00FC3EC1"/>
    <w:rsid w:val="00FE6C59"/>
    <w:rsid w:val="00FF0864"/>
    <w:rsid w:val="00FF2F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55A03"/>
  <w15:chartTrackingRefBased/>
  <w15:docId w15:val="{D42B937D-F978-4636-9336-C4420024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4A5"/>
    <w:rPr>
      <w:kern w:val="0"/>
      <w14:ligatures w14:val="none"/>
    </w:rPr>
  </w:style>
  <w:style w:type="paragraph" w:styleId="Ttulo1">
    <w:name w:val="heading 1"/>
    <w:basedOn w:val="Normal"/>
    <w:next w:val="Normal"/>
    <w:link w:val="Ttulo1Car"/>
    <w:uiPriority w:val="9"/>
    <w:qFormat/>
    <w:rsid w:val="00AB64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B64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B64A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B64A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B64A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B64A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B64A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B64A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B64A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B64A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B64A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B64A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B64A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B64A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B64A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B64A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B64A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B64A5"/>
    <w:rPr>
      <w:rFonts w:eastAsiaTheme="majorEastAsia" w:cstheme="majorBidi"/>
      <w:color w:val="272727" w:themeColor="text1" w:themeTint="D8"/>
    </w:rPr>
  </w:style>
  <w:style w:type="paragraph" w:styleId="Ttulo">
    <w:name w:val="Title"/>
    <w:basedOn w:val="Normal"/>
    <w:next w:val="Normal"/>
    <w:link w:val="TtuloCar"/>
    <w:uiPriority w:val="10"/>
    <w:qFormat/>
    <w:rsid w:val="00AB64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B64A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B64A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B64A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B64A5"/>
    <w:pPr>
      <w:spacing w:before="160"/>
      <w:jc w:val="center"/>
    </w:pPr>
    <w:rPr>
      <w:i/>
      <w:iCs/>
      <w:color w:val="404040" w:themeColor="text1" w:themeTint="BF"/>
    </w:rPr>
  </w:style>
  <w:style w:type="character" w:customStyle="1" w:styleId="CitaCar">
    <w:name w:val="Cita Car"/>
    <w:basedOn w:val="Fuentedeprrafopredeter"/>
    <w:link w:val="Cita"/>
    <w:uiPriority w:val="29"/>
    <w:rsid w:val="00AB64A5"/>
    <w:rPr>
      <w:i/>
      <w:iCs/>
      <w:color w:val="404040" w:themeColor="text1" w:themeTint="BF"/>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AB64A5"/>
    <w:pPr>
      <w:ind w:left="720"/>
      <w:contextualSpacing/>
    </w:pPr>
  </w:style>
  <w:style w:type="character" w:styleId="nfasisintenso">
    <w:name w:val="Intense Emphasis"/>
    <w:basedOn w:val="Fuentedeprrafopredeter"/>
    <w:uiPriority w:val="21"/>
    <w:qFormat/>
    <w:rsid w:val="00AB64A5"/>
    <w:rPr>
      <w:i/>
      <w:iCs/>
      <w:color w:val="0F4761" w:themeColor="accent1" w:themeShade="BF"/>
    </w:rPr>
  </w:style>
  <w:style w:type="paragraph" w:styleId="Citadestacada">
    <w:name w:val="Intense Quote"/>
    <w:basedOn w:val="Normal"/>
    <w:next w:val="Normal"/>
    <w:link w:val="CitadestacadaCar"/>
    <w:uiPriority w:val="30"/>
    <w:qFormat/>
    <w:rsid w:val="00AB64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B64A5"/>
    <w:rPr>
      <w:i/>
      <w:iCs/>
      <w:color w:val="0F4761" w:themeColor="accent1" w:themeShade="BF"/>
    </w:rPr>
  </w:style>
  <w:style w:type="character" w:styleId="Referenciaintensa">
    <w:name w:val="Intense Reference"/>
    <w:basedOn w:val="Fuentedeprrafopredeter"/>
    <w:uiPriority w:val="32"/>
    <w:qFormat/>
    <w:rsid w:val="00AB64A5"/>
    <w:rPr>
      <w:b/>
      <w:bCs/>
      <w:smallCaps/>
      <w:color w:val="0F4761" w:themeColor="accent1" w:themeShade="BF"/>
      <w:spacing w:val="5"/>
    </w:rPr>
  </w:style>
  <w:style w:type="paragraph" w:styleId="Encabezado">
    <w:name w:val="header"/>
    <w:basedOn w:val="Normal"/>
    <w:link w:val="EncabezadoCar"/>
    <w:uiPriority w:val="99"/>
    <w:unhideWhenUsed/>
    <w:rsid w:val="00AB64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64A5"/>
    <w:rPr>
      <w:kern w:val="0"/>
      <w14:ligatures w14:val="none"/>
    </w:rPr>
  </w:style>
  <w:style w:type="paragraph" w:styleId="Piedepgina">
    <w:name w:val="footer"/>
    <w:basedOn w:val="Normal"/>
    <w:link w:val="PiedepginaCar"/>
    <w:uiPriority w:val="99"/>
    <w:unhideWhenUsed/>
    <w:rsid w:val="00AB64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64A5"/>
    <w:rPr>
      <w:kern w:val="0"/>
      <w14:ligatures w14:val="none"/>
    </w:rPr>
  </w:style>
  <w:style w:type="character" w:customStyle="1" w:styleId="normaltextrun">
    <w:name w:val="normaltextrun"/>
    <w:basedOn w:val="Fuentedeprrafopredeter"/>
    <w:rsid w:val="00AB64A5"/>
  </w:style>
  <w:style w:type="table" w:styleId="Tablaconcuadrcula">
    <w:name w:val="Table Grid"/>
    <w:basedOn w:val="Tablanormal"/>
    <w:uiPriority w:val="39"/>
    <w:qFormat/>
    <w:rsid w:val="00AB64A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B64A5"/>
    <w:rPr>
      <w:color w:val="0000FF"/>
      <w:u w:val="single"/>
    </w:rPr>
  </w:style>
  <w:style w:type="paragraph" w:customStyle="1" w:styleId="paragraph">
    <w:name w:val="paragraph"/>
    <w:basedOn w:val="Normal"/>
    <w:rsid w:val="00AB64A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B64A5"/>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0BE1"/>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0BE1"/>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620BE1"/>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0BE1"/>
    <w:rPr>
      <w:vertAlign w:val="superscript"/>
    </w:rPr>
  </w:style>
  <w:style w:type="paragraph" w:customStyle="1" w:styleId="Appelnotedebasde">
    <w:name w:val="Appel note de bas de..."/>
    <w:basedOn w:val="Normal"/>
    <w:link w:val="Refdenotaalpie"/>
    <w:uiPriority w:val="99"/>
    <w:rsid w:val="00620BE1"/>
    <w:pPr>
      <w:spacing w:line="240" w:lineRule="exact"/>
    </w:pPr>
    <w:rPr>
      <w:kern w:val="2"/>
      <w:vertAlign w:val="superscript"/>
      <w14:ligatures w14:val="standardContextual"/>
    </w:rPr>
  </w:style>
  <w:style w:type="paragraph" w:styleId="Textoindependiente">
    <w:name w:val="Body Text"/>
    <w:basedOn w:val="Normal"/>
    <w:link w:val="TextoindependienteCar"/>
    <w:uiPriority w:val="1"/>
    <w:qFormat/>
    <w:rsid w:val="005A5AFA"/>
    <w:pPr>
      <w:widowControl w:val="0"/>
      <w:autoSpaceDE w:val="0"/>
      <w:autoSpaceDN w:val="0"/>
      <w:spacing w:after="0" w:line="240" w:lineRule="auto"/>
      <w:ind w:left="100"/>
    </w:pPr>
    <w:rPr>
      <w:rFonts w:ascii="Verdana" w:eastAsia="Verdana" w:hAnsi="Verdana" w:cs="Verdana"/>
      <w:lang w:val="es-ES"/>
    </w:rPr>
  </w:style>
  <w:style w:type="character" w:customStyle="1" w:styleId="TextoindependienteCar">
    <w:name w:val="Texto independiente Car"/>
    <w:basedOn w:val="Fuentedeprrafopredeter"/>
    <w:link w:val="Textoindependiente"/>
    <w:uiPriority w:val="1"/>
    <w:rsid w:val="005A5AFA"/>
    <w:rPr>
      <w:rFonts w:ascii="Verdana" w:eastAsia="Verdana" w:hAnsi="Verdana" w:cs="Verdana"/>
      <w:kern w:val="0"/>
      <w:lang w:val="es-ES"/>
      <w14:ligatures w14:val="none"/>
    </w:rPr>
  </w:style>
  <w:style w:type="paragraph" w:customStyle="1" w:styleId="InviasNormal">
    <w:name w:val="Invias Normal"/>
    <w:basedOn w:val="Normal"/>
    <w:link w:val="InviasNormalCar"/>
    <w:qFormat/>
    <w:rsid w:val="00763F15"/>
    <w:pPr>
      <w:tabs>
        <w:tab w:val="left" w:pos="-142"/>
      </w:tabs>
      <w:autoSpaceDE w:val="0"/>
      <w:autoSpaceDN w:val="0"/>
      <w:adjustRightInd w:val="0"/>
      <w:spacing w:before="120" w:after="240" w:line="240" w:lineRule="auto"/>
    </w:pPr>
    <w:rPr>
      <w:rFonts w:ascii="Arial Narrow" w:eastAsia="Times New Roman" w:hAnsi="Arial Narrow" w:cs="Times New Roman"/>
      <w:sz w:val="24"/>
      <w:szCs w:val="24"/>
      <w:lang w:val="x-none" w:eastAsia="es-ES"/>
    </w:rPr>
  </w:style>
  <w:style w:type="character" w:customStyle="1" w:styleId="InviasNormalCar">
    <w:name w:val="Invias Normal Car"/>
    <w:link w:val="InviasNormal"/>
    <w:locked/>
    <w:rsid w:val="00763F15"/>
    <w:rPr>
      <w:rFonts w:ascii="Arial Narrow" w:eastAsia="Times New Roman" w:hAnsi="Arial Narrow" w:cs="Times New Roman"/>
      <w:kern w:val="0"/>
      <w:sz w:val="24"/>
      <w:szCs w:val="24"/>
      <w:lang w:val="x-none" w:eastAsia="es-ES"/>
      <w14:ligatures w14:val="none"/>
    </w:rPr>
  </w:style>
  <w:style w:type="character" w:customStyle="1" w:styleId="Hipervnculo1">
    <w:name w:val="Hipervínculo1"/>
    <w:basedOn w:val="Fuentedeprrafopredeter"/>
    <w:uiPriority w:val="99"/>
    <w:unhideWhenUsed/>
    <w:rsid w:val="000E561E"/>
    <w:rPr>
      <w:color w:val="467886"/>
      <w:u w:val="single"/>
    </w:rPr>
  </w:style>
  <w:style w:type="character" w:styleId="Mencinsinresolver">
    <w:name w:val="Unresolved Mention"/>
    <w:basedOn w:val="Fuentedeprrafopredeter"/>
    <w:uiPriority w:val="99"/>
    <w:semiHidden/>
    <w:unhideWhenUsed/>
    <w:rsid w:val="009F5FB8"/>
    <w:rPr>
      <w:color w:val="605E5C"/>
      <w:shd w:val="clear" w:color="auto" w:fill="E1DFDD"/>
    </w:rPr>
  </w:style>
  <w:style w:type="paragraph" w:styleId="NormalWeb">
    <w:name w:val="Normal (Web)"/>
    <w:basedOn w:val="Normal"/>
    <w:link w:val="NormalWebCar"/>
    <w:uiPriority w:val="99"/>
    <w:unhideWhenUsed/>
    <w:rsid w:val="006649D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locked/>
    <w:rsid w:val="006649D6"/>
    <w:rPr>
      <w:rFonts w:ascii="Times New Roman" w:eastAsia="Times New Roman" w:hAnsi="Times New Roman" w:cs="Times New Roman"/>
      <w:kern w:val="0"/>
      <w:sz w:val="24"/>
      <w:szCs w:val="24"/>
      <w:lang w:eastAsia="es-CO"/>
      <w14:ligatures w14:val="none"/>
    </w:rPr>
  </w:style>
  <w:style w:type="character" w:customStyle="1" w:styleId="eop">
    <w:name w:val="eop"/>
    <w:basedOn w:val="Fuentedeprrafopredeter"/>
    <w:rsid w:val="00C04209"/>
  </w:style>
  <w:style w:type="character" w:styleId="Hipervnculovisitado">
    <w:name w:val="FollowedHyperlink"/>
    <w:basedOn w:val="Fuentedeprrafopredeter"/>
    <w:uiPriority w:val="99"/>
    <w:semiHidden/>
    <w:unhideWhenUsed/>
    <w:rsid w:val="00A97F09"/>
    <w:rPr>
      <w:color w:val="96607D" w:themeColor="followedHyperlink"/>
      <w:u w:val="single"/>
    </w:rPr>
  </w:style>
  <w:style w:type="character" w:styleId="Textoennegrita">
    <w:name w:val="Strong"/>
    <w:basedOn w:val="Fuentedeprrafopredeter"/>
    <w:uiPriority w:val="22"/>
    <w:qFormat/>
    <w:rsid w:val="00580642"/>
    <w:rPr>
      <w:b/>
      <w:bCs/>
    </w:rPr>
  </w:style>
  <w:style w:type="paragraph" w:styleId="Sinespaciado">
    <w:name w:val="No Spacing"/>
    <w:aliases w:val="No Indent"/>
    <w:uiPriority w:val="3"/>
    <w:qFormat/>
    <w:rsid w:val="00FF2F27"/>
    <w:pPr>
      <w:spacing w:after="0" w:line="240" w:lineRule="auto"/>
    </w:pPr>
    <w:rPr>
      <w:kern w:val="0"/>
      <w:sz w:val="24"/>
      <w:lang w:val="es-MX"/>
      <w14:ligatures w14:val="none"/>
    </w:rPr>
  </w:style>
  <w:style w:type="paragraph" w:customStyle="1" w:styleId="margender0punto5">
    <w:name w:val="margen_der_0punto5"/>
    <w:basedOn w:val="Normal"/>
    <w:rsid w:val="00FF2F2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letra14pt">
    <w:name w:val="letra14pt"/>
    <w:basedOn w:val="Fuentedeprrafopredeter"/>
    <w:rsid w:val="00FF2F27"/>
  </w:style>
  <w:style w:type="paragraph" w:customStyle="1" w:styleId="CEDAContenido">
    <w:name w:val="CEDA Contenido"/>
    <w:basedOn w:val="Normal"/>
    <w:link w:val="CEDAContenidoCar"/>
    <w:qFormat/>
    <w:rsid w:val="00FF2F27"/>
    <w:pPr>
      <w:spacing w:before="120" w:after="0" w:line="276" w:lineRule="auto"/>
      <w:jc w:val="both"/>
    </w:pPr>
    <w:rPr>
      <w:rFonts w:ascii="Bookman Old Style" w:eastAsiaTheme="minorEastAsia" w:hAnsi="Bookman Old Style"/>
    </w:rPr>
  </w:style>
  <w:style w:type="character" w:customStyle="1" w:styleId="CEDAContenidoCar">
    <w:name w:val="CEDA Contenido Car"/>
    <w:basedOn w:val="Fuentedeprrafopredeter"/>
    <w:link w:val="CEDAContenido"/>
    <w:rsid w:val="00FF2F27"/>
    <w:rPr>
      <w:rFonts w:ascii="Bookman Old Style" w:eastAsiaTheme="minorEastAsia" w:hAnsi="Bookman Old Style"/>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225707">
      <w:bodyDiv w:val="1"/>
      <w:marLeft w:val="0"/>
      <w:marRight w:val="0"/>
      <w:marTop w:val="0"/>
      <w:marBottom w:val="0"/>
      <w:divBdr>
        <w:top w:val="none" w:sz="0" w:space="0" w:color="auto"/>
        <w:left w:val="none" w:sz="0" w:space="0" w:color="auto"/>
        <w:bottom w:val="none" w:sz="0" w:space="0" w:color="auto"/>
        <w:right w:val="none" w:sz="0" w:space="0" w:color="auto"/>
      </w:divBdr>
    </w:div>
    <w:div w:id="357775680">
      <w:bodyDiv w:val="1"/>
      <w:marLeft w:val="0"/>
      <w:marRight w:val="0"/>
      <w:marTop w:val="0"/>
      <w:marBottom w:val="0"/>
      <w:divBdr>
        <w:top w:val="none" w:sz="0" w:space="0" w:color="auto"/>
        <w:left w:val="none" w:sz="0" w:space="0" w:color="auto"/>
        <w:bottom w:val="none" w:sz="0" w:space="0" w:color="auto"/>
        <w:right w:val="none" w:sz="0" w:space="0" w:color="auto"/>
      </w:divBdr>
    </w:div>
    <w:div w:id="382797754">
      <w:bodyDiv w:val="1"/>
      <w:marLeft w:val="0"/>
      <w:marRight w:val="0"/>
      <w:marTop w:val="0"/>
      <w:marBottom w:val="0"/>
      <w:divBdr>
        <w:top w:val="none" w:sz="0" w:space="0" w:color="auto"/>
        <w:left w:val="none" w:sz="0" w:space="0" w:color="auto"/>
        <w:bottom w:val="none" w:sz="0" w:space="0" w:color="auto"/>
        <w:right w:val="none" w:sz="0" w:space="0" w:color="auto"/>
      </w:divBdr>
    </w:div>
    <w:div w:id="1379554591">
      <w:bodyDiv w:val="1"/>
      <w:marLeft w:val="0"/>
      <w:marRight w:val="0"/>
      <w:marTop w:val="0"/>
      <w:marBottom w:val="0"/>
      <w:divBdr>
        <w:top w:val="none" w:sz="0" w:space="0" w:color="auto"/>
        <w:left w:val="none" w:sz="0" w:space="0" w:color="auto"/>
        <w:bottom w:val="none" w:sz="0" w:space="0" w:color="auto"/>
        <w:right w:val="none" w:sz="0" w:space="0" w:color="auto"/>
      </w:divBdr>
    </w:div>
    <w:div w:id="152174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2.safelinks.protection.outlook.com/?url=https%3A%2F%2Fwww.colombiacompra.gov.co%2Fsala-de-prensa%2Fboletin-digital&amp;data=05%7C02%7Cmartha.romero%40colombiacompra.gov.co%7C315ed31c447042b59dd908dd07f079f5%7C7b09041e245149d08cb179d5e3d8c1be%7C0%7C0%7C638675451604900896%7CUnknown%7CTWFpbGZsb3d8eyJFbXB0eU1hcGkiOnRydWUsIlYiOiIwLjAuMDAwMCIsIlAiOiJXaW4zMiIsIkFOIjoiTWFpbCIsIldUIjoyfQ%3D%3D%7C0%7C%7C%7C&amp;sdata=4OynsIcDoUi0wn09UzrJ8oeVVfEtQqotlfuOBHDZvw8%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latoria.colombiacompra.gov.co/busqueda/concepto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F6085B-3765-42C9-853B-9F732B794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6B3F15-43C4-4604-9965-2F3E4D1CBDC5}">
  <ds:schemaRefs>
    <ds:schemaRef ds:uri="http://schemas.openxmlformats.org/officeDocument/2006/bibliography"/>
  </ds:schemaRefs>
</ds:datastoreItem>
</file>

<file path=customXml/itemProps3.xml><?xml version="1.0" encoding="utf-8"?>
<ds:datastoreItem xmlns:ds="http://schemas.openxmlformats.org/officeDocument/2006/customXml" ds:itemID="{071A6D99-8522-4949-B7E0-22039F2048AD}">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B881A793-F528-496A-A3D7-9DF6F94619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4330</Words>
  <Characters>23817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Camilo Orjuela Galeano</dc:creator>
  <cp:keywords/>
  <dc:description/>
  <cp:lastModifiedBy>Andreina Cerpa Muñoz</cp:lastModifiedBy>
  <cp:revision>5</cp:revision>
  <dcterms:created xsi:type="dcterms:W3CDTF">2024-12-13T17:00:00Z</dcterms:created>
  <dcterms:modified xsi:type="dcterms:W3CDTF">2024-12-23T18:06:00Z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