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30849B" w14:textId="77777777" w:rsidR="00AA6221" w:rsidRPr="00612CEE" w:rsidRDefault="00AA6221" w:rsidP="00AA6221">
      <w:pPr>
        <w:spacing w:after="0" w:line="240" w:lineRule="auto"/>
        <w:jc w:val="both"/>
        <w:rPr>
          <w:rFonts w:ascii="Verdana" w:eastAsia="Calibri" w:hAnsi="Verdana" w:cs="Arial"/>
          <w:b/>
          <w:bCs/>
          <w:color w:val="000000" w:themeColor="text1"/>
        </w:rPr>
      </w:pPr>
      <w:bookmarkStart w:id="0" w:name="_Hlk143780582"/>
      <w:r w:rsidRPr="00612CEE">
        <w:rPr>
          <w:rFonts w:ascii="Verdana" w:eastAsia="Calibri" w:hAnsi="Verdana" w:cs="Arial"/>
          <w:b/>
          <w:bCs/>
          <w:color w:val="000000" w:themeColor="text1"/>
          <w:lang w:val="es-ES"/>
        </w:rPr>
        <w:t xml:space="preserve">LEY 2097 DE 2021 </w:t>
      </w:r>
      <w:r w:rsidRPr="00612CEE">
        <w:rPr>
          <w:rFonts w:ascii="Verdana" w:eastAsia="Calibri" w:hAnsi="Verdana" w:cs="Arial"/>
          <w:b/>
          <w:bCs/>
          <w:color w:val="000000" w:themeColor="text1"/>
        </w:rPr>
        <w:t>– REDAM</w:t>
      </w:r>
      <w:r w:rsidRPr="00612CEE">
        <w:rPr>
          <w:rFonts w:ascii="Verdana" w:eastAsia="Calibri" w:hAnsi="Verdana" w:cs="Arial"/>
          <w:b/>
          <w:bCs/>
          <w:color w:val="000000" w:themeColor="text1"/>
          <w:lang w:val="es-ES"/>
        </w:rPr>
        <w:t xml:space="preserve"> </w:t>
      </w:r>
      <w:r w:rsidRPr="00612CEE">
        <w:rPr>
          <w:rFonts w:ascii="Verdana" w:eastAsia="Calibri" w:hAnsi="Verdana" w:cs="Arial"/>
          <w:b/>
          <w:bCs/>
          <w:color w:val="000000" w:themeColor="text1"/>
        </w:rPr>
        <w:t xml:space="preserve">– Objeto </w:t>
      </w:r>
    </w:p>
    <w:p w14:paraId="6E5C1987" w14:textId="77777777" w:rsidR="00AA6221" w:rsidRPr="00612CEE" w:rsidRDefault="00AA6221" w:rsidP="00AA6221">
      <w:pPr>
        <w:spacing w:after="0" w:line="240" w:lineRule="auto"/>
        <w:jc w:val="both"/>
        <w:rPr>
          <w:rFonts w:ascii="Verdana" w:eastAsia="Calibri" w:hAnsi="Verdana" w:cs="Arial"/>
          <w:b/>
          <w:bCs/>
          <w:color w:val="000000" w:themeColor="text1"/>
          <w:sz w:val="20"/>
          <w:szCs w:val="20"/>
        </w:rPr>
      </w:pPr>
    </w:p>
    <w:p w14:paraId="5E4C4D79" w14:textId="77777777" w:rsidR="00AA6221" w:rsidRPr="00612CEE" w:rsidRDefault="00AA6221" w:rsidP="00AA6221">
      <w:pPr>
        <w:spacing w:after="0" w:line="240" w:lineRule="auto"/>
        <w:jc w:val="both"/>
        <w:rPr>
          <w:rFonts w:ascii="Verdana" w:eastAsia="Calibri" w:hAnsi="Verdana" w:cs="Arial"/>
          <w:bCs/>
          <w:color w:val="000000" w:themeColor="text1"/>
          <w:sz w:val="20"/>
          <w:szCs w:val="20"/>
        </w:rPr>
      </w:pPr>
      <w:r w:rsidRPr="00612CEE">
        <w:rPr>
          <w:rFonts w:ascii="Verdana" w:eastAsia="Calibri" w:hAnsi="Verdana" w:cs="Arial"/>
          <w:bCs/>
          <w:color w:val="000000" w:themeColor="text1"/>
          <w:sz w:val="20"/>
          <w:szCs w:val="20"/>
        </w:rPr>
        <w:t>El 2 de julio de 2021, el gobierno nacional sancionó la Ley Estatutaria 2097 de 2021, cuyo objeto –de acuerdo con el artículo 1– consiste en “[…] establecer medidas para garantizar el cumplimiento de las obligaciones alimentarias y crear el Registro de Deudores Alimentarios Morosos (</w:t>
      </w:r>
      <w:proofErr w:type="spellStart"/>
      <w:r w:rsidRPr="00612CEE">
        <w:rPr>
          <w:rFonts w:ascii="Verdana" w:eastAsia="Calibri" w:hAnsi="Verdana" w:cs="Arial"/>
          <w:bCs/>
          <w:color w:val="000000" w:themeColor="text1"/>
          <w:sz w:val="20"/>
          <w:szCs w:val="20"/>
        </w:rPr>
        <w:t>Redam</w:t>
      </w:r>
      <w:proofErr w:type="spellEnd"/>
      <w:r w:rsidRPr="00612CEE">
        <w:rPr>
          <w:rFonts w:ascii="Verdana" w:eastAsia="Calibri" w:hAnsi="Verdana" w:cs="Arial"/>
          <w:bCs/>
          <w:color w:val="000000" w:themeColor="text1"/>
          <w:sz w:val="20"/>
          <w:szCs w:val="20"/>
        </w:rPr>
        <w:t>), como mecanismo de control al incumplimiento de las obligaciones alimentarias”. Conforme a la exposición de motivos del proyecto ley, existe una vulneración de derechos al interior de la institución familiar, cuyo despliegue en materia de política pública ha sido limitado y resulta insuficiente para atender la problemática asociada al incumplimiento de la obligación legal prevista en el Título XXI del Libro Primero del Código Civil, especialmente, en el caso de los menores de edad, con las repercusiones que esta tiene tanto para ellos como para quien tiene la responsabilidad del cuidado y manutención. Por ello, tomado como referencia legislaciones foráneas como Estados Unidos, Perú, Uruguay, así como normatividades análogas en provincias y estados como Buenos Aires y Córdoba, en la Argentina, y la Ciudad de México, en México, los ponentes de la iniciativa concluyeron que “Estas experiencias de implementación del Registro de Deudores Alimentarios Morosos se pueden considerar el punto de partida para obtener una herramienta importante en la lucha contra el incumplimiento del pago de alimentos. Así, la finalidad que se persigue con este tipo de normas sancionatorias es que ante el incumplimiento alimentario se coaccione a los deudores para que cumplan con su obligación”.</w:t>
      </w:r>
    </w:p>
    <w:p w14:paraId="00EFA969" w14:textId="77777777" w:rsidR="00AA6221" w:rsidRPr="00612CEE" w:rsidRDefault="00AA6221" w:rsidP="00AA6221">
      <w:pPr>
        <w:spacing w:after="0" w:line="240" w:lineRule="auto"/>
        <w:jc w:val="both"/>
        <w:rPr>
          <w:rFonts w:ascii="Verdana" w:hAnsi="Verdana"/>
        </w:rPr>
      </w:pPr>
    </w:p>
    <w:p w14:paraId="030EB197" w14:textId="77777777" w:rsidR="00AA6221" w:rsidRPr="00612CEE" w:rsidRDefault="00AA6221" w:rsidP="00AA6221">
      <w:pPr>
        <w:spacing w:after="0" w:line="240" w:lineRule="auto"/>
        <w:jc w:val="both"/>
        <w:rPr>
          <w:rFonts w:ascii="Verdana" w:eastAsia="Calibri" w:hAnsi="Verdana" w:cs="Arial"/>
          <w:b/>
          <w:bCs/>
          <w:color w:val="000000" w:themeColor="text1"/>
        </w:rPr>
      </w:pPr>
      <w:r w:rsidRPr="00612CEE">
        <w:rPr>
          <w:rFonts w:ascii="Verdana" w:eastAsia="Calibri" w:hAnsi="Verdana" w:cs="Arial"/>
          <w:b/>
          <w:bCs/>
          <w:color w:val="000000" w:themeColor="text1"/>
          <w:lang w:val="es-ES"/>
        </w:rPr>
        <w:t xml:space="preserve">INHABILIDAD </w:t>
      </w:r>
      <w:r w:rsidRPr="00612CEE">
        <w:rPr>
          <w:rFonts w:ascii="Verdana" w:eastAsia="Calibri" w:hAnsi="Verdana" w:cs="Arial"/>
          <w:b/>
          <w:bCs/>
          <w:color w:val="000000" w:themeColor="text1"/>
        </w:rPr>
        <w:t xml:space="preserve">– REDAM – Ámbito de aplicación – Constitucionalidad </w:t>
      </w:r>
    </w:p>
    <w:p w14:paraId="65BF9B8F" w14:textId="77777777" w:rsidR="00AA6221" w:rsidRPr="00612CEE" w:rsidRDefault="00AA6221" w:rsidP="00AA6221">
      <w:pPr>
        <w:spacing w:after="0" w:line="240" w:lineRule="auto"/>
        <w:jc w:val="both"/>
        <w:rPr>
          <w:rFonts w:ascii="Verdana" w:eastAsia="Calibri" w:hAnsi="Verdana" w:cs="Arial"/>
          <w:bCs/>
          <w:color w:val="000000" w:themeColor="text1"/>
          <w:sz w:val="20"/>
          <w:szCs w:val="20"/>
          <w:lang w:val="es-ES"/>
        </w:rPr>
      </w:pPr>
    </w:p>
    <w:p w14:paraId="02BFB584" w14:textId="77777777" w:rsidR="00AA6221" w:rsidRPr="00612CEE" w:rsidRDefault="00AA6221" w:rsidP="00AA6221">
      <w:pPr>
        <w:spacing w:after="0" w:line="240" w:lineRule="auto"/>
        <w:jc w:val="both"/>
        <w:rPr>
          <w:rFonts w:ascii="Verdana" w:eastAsia="Calibri" w:hAnsi="Verdana" w:cs="Arial"/>
          <w:bCs/>
          <w:color w:val="000000" w:themeColor="text1"/>
          <w:sz w:val="20"/>
          <w:szCs w:val="20"/>
        </w:rPr>
      </w:pPr>
      <w:r w:rsidRPr="00612CEE">
        <w:rPr>
          <w:rFonts w:ascii="Verdana" w:eastAsia="Calibri" w:hAnsi="Verdana" w:cs="Arial"/>
          <w:bCs/>
          <w:color w:val="000000" w:themeColor="text1"/>
          <w:sz w:val="20"/>
          <w:szCs w:val="20"/>
        </w:rPr>
        <w:t xml:space="preserve">[…] una de las consecuencias más importantes de la inclusión en el REDAM es la aparición de una inhabilidad para celebrar contratos con el Estado. Al respecto, conforme al artículo 6.1 </w:t>
      </w:r>
      <w:r w:rsidRPr="00612CEE">
        <w:rPr>
          <w:rFonts w:ascii="Verdana" w:eastAsia="Calibri" w:hAnsi="Verdana" w:cs="Arial"/>
          <w:bCs/>
          <w:i/>
          <w:iCs/>
          <w:color w:val="000000" w:themeColor="text1"/>
          <w:sz w:val="20"/>
          <w:szCs w:val="20"/>
        </w:rPr>
        <w:t>ibidem</w:t>
      </w:r>
      <w:r w:rsidRPr="00612CEE">
        <w:rPr>
          <w:rFonts w:ascii="Verdana" w:eastAsia="Calibri" w:hAnsi="Verdana" w:cs="Arial"/>
          <w:bCs/>
          <w:color w:val="000000" w:themeColor="text1"/>
          <w:sz w:val="20"/>
          <w:szCs w:val="20"/>
        </w:rPr>
        <w:t xml:space="preserve">, “El deudor alimentario moroso solo podrá contratar con el Estado una vez se ponga a paz y salvo con sus obligaciones alimentarias. Esta inhabilidad también se predica del deudor alimentario moroso que actúe como representante legal de la persona jurídica que aspira a contratar con el Estado”. Dicha restricción se suma al catálogo del artículo 8 y siguientes de la Ley 80 de 1993, especialmente, cuando –conforme al literal a) del numeral 1– “Son inhábiles para participar en licitaciones y para celebrar contratos con las entidades estatales […] Las personas que se hallen inhabilitadas para contratar por la Constitución y las leyes”, el cual se extiende también a las entidades de régimen exceptuado en virtud del inciso primero del artículo 13 de la Ley 1150 de 2007 y al régimen de las ESAL de acuerdo al artículo 6 del Decreto 092 de 2017. </w:t>
      </w:r>
    </w:p>
    <w:p w14:paraId="0FA3370A" w14:textId="77777777" w:rsidR="00AA6221" w:rsidRPr="00612CEE" w:rsidRDefault="00AA6221" w:rsidP="00AA6221">
      <w:pPr>
        <w:spacing w:after="0" w:line="240" w:lineRule="auto"/>
        <w:jc w:val="both"/>
        <w:rPr>
          <w:rFonts w:ascii="Verdana" w:eastAsia="Calibri" w:hAnsi="Verdana" w:cs="Arial"/>
          <w:bCs/>
          <w:color w:val="000000" w:themeColor="text1"/>
          <w:sz w:val="20"/>
          <w:szCs w:val="20"/>
        </w:rPr>
      </w:pPr>
    </w:p>
    <w:p w14:paraId="038322F3" w14:textId="77777777" w:rsidR="00AA6221" w:rsidRPr="00612CEE" w:rsidRDefault="00AA6221" w:rsidP="00AA6221">
      <w:pPr>
        <w:spacing w:after="0" w:line="240" w:lineRule="auto"/>
        <w:jc w:val="both"/>
        <w:rPr>
          <w:rFonts w:ascii="Verdana" w:eastAsia="Calibri" w:hAnsi="Verdana" w:cs="Arial"/>
          <w:bCs/>
          <w:color w:val="000000" w:themeColor="text1"/>
          <w:sz w:val="20"/>
          <w:szCs w:val="20"/>
        </w:rPr>
      </w:pPr>
      <w:r w:rsidRPr="00612CEE">
        <w:rPr>
          <w:rFonts w:ascii="Verdana" w:eastAsia="Calibri" w:hAnsi="Verdana" w:cs="Arial"/>
          <w:bCs/>
          <w:color w:val="000000" w:themeColor="text1"/>
          <w:sz w:val="20"/>
          <w:szCs w:val="20"/>
        </w:rPr>
        <w:t xml:space="preserve">De acuerdo con el análisis de la Sentencia C-032 de 2021, para la Corte Constitucional dicha norma es exequible, pues “[…] si se reconoce la validez constitucional de medidas altamente invasivas de la autonomía individual, como son las que se derivan del uso de la tipificación penal, resultaría un contrasentido cuestionar instrumentos de menor intensidad, como es la imposición de este requisito para […] contratar con el Estado. Adicionalmente, no puede perderse de vista el hecho de que uno de los motivos que fundamentan la imposición de inhabilidades es la conservación de la transparencia y la moralidad administrativa. El incumplimiento de las obligaciones alimentaria afecta valores constitucionales esenciales y, en modo alguno puede desconocerse a la hora de analizar las calidades de los futuros […] contratistas del Estado”. Lo anterior, agregando </w:t>
      </w:r>
      <w:r w:rsidRPr="00612CEE">
        <w:rPr>
          <w:rFonts w:ascii="Verdana" w:eastAsia="Calibri" w:hAnsi="Verdana" w:cs="Arial"/>
          <w:bCs/>
          <w:color w:val="000000" w:themeColor="text1"/>
          <w:sz w:val="20"/>
          <w:szCs w:val="20"/>
        </w:rPr>
        <w:lastRenderedPageBreak/>
        <w:t xml:space="preserve">la medida cumple con una finalidad importante e imperiosa, la cual consistente en proteger los derechos fundamentales de personas que se ven afectados en su mínimo vital por el hecho del incumplimiento de las obligaciones alimentarias, quienes usualmente son sujetos de especial protección constitucional. La Corte Constitucional considera que la medida es necesaria, porque opera un incentivo para el pago cumplido de esas obligaciones, supeditando la suscripción del contrato respectivo al pago de esa obligación. </w:t>
      </w:r>
    </w:p>
    <w:p w14:paraId="58E0841D" w14:textId="77777777" w:rsidR="00AA6221" w:rsidRPr="00612CEE" w:rsidRDefault="00AA6221" w:rsidP="00AA6221">
      <w:pPr>
        <w:spacing w:after="0" w:line="240" w:lineRule="auto"/>
        <w:jc w:val="both"/>
        <w:rPr>
          <w:rFonts w:ascii="Verdana" w:eastAsia="Calibri" w:hAnsi="Verdana" w:cs="Arial"/>
          <w:bCs/>
          <w:color w:val="000000" w:themeColor="text1"/>
          <w:sz w:val="20"/>
          <w:szCs w:val="20"/>
        </w:rPr>
      </w:pPr>
    </w:p>
    <w:p w14:paraId="38394372" w14:textId="77777777" w:rsidR="00AA6221" w:rsidRPr="00612CEE" w:rsidRDefault="00AA6221" w:rsidP="00AA6221">
      <w:pPr>
        <w:spacing w:after="0" w:line="240" w:lineRule="auto"/>
        <w:jc w:val="both"/>
        <w:rPr>
          <w:rFonts w:ascii="Verdana" w:eastAsia="Calibri" w:hAnsi="Verdana" w:cs="Arial"/>
          <w:bCs/>
          <w:color w:val="000000" w:themeColor="text1"/>
          <w:sz w:val="20"/>
          <w:szCs w:val="20"/>
        </w:rPr>
      </w:pPr>
      <w:r w:rsidRPr="00612CEE">
        <w:rPr>
          <w:rFonts w:ascii="Verdana" w:eastAsia="Calibri" w:hAnsi="Verdana" w:cs="Arial"/>
          <w:bCs/>
          <w:color w:val="000000" w:themeColor="text1"/>
          <w:sz w:val="20"/>
          <w:szCs w:val="20"/>
        </w:rPr>
        <w:t xml:space="preserve">Adicionalmente, la Corte Constitucional también estima que ante la contingencia de que el representante sea registrado en el REDAM la persona jurídica puede proceder con su pronta remoción –y con ello permitir el normal desarrollo del objeto social frente a los contratos con el Estado– o exigir a aquel que se ponga de inmediato al día en el pago de sus obligaciones, a fin de que sea excluido de dicho registro. Por ello, agrega que “[…] esta extensión también implica la obligación del juez y/o funcionario que ordena la inscripción que comunique de esta, en los términos del inciso primero del artículo 3º del PLE, no únicamente a la persona natural sino también a la persona jurídica cuando aquella es su representante legal. Esto con el fin de que puedan ejercer las posibilidades de remoción o de exigencia del pago de la obligación, anteriormente mencionadas. De esta manera, en caso de que no ejerza esas opciones, la persona jurídica terminará siendo cobijada por los efectos del reporte, no por el simple hecho de un tercero sino ante su propia inacción y negligencia en acudir a los remedios legales para evitar tales consecuencias jurídicas”. </w:t>
      </w:r>
    </w:p>
    <w:p w14:paraId="07DD505F" w14:textId="77777777" w:rsidR="00AA6221" w:rsidRPr="00612CEE" w:rsidRDefault="00AA6221" w:rsidP="00AA6221">
      <w:pPr>
        <w:tabs>
          <w:tab w:val="left" w:pos="0"/>
        </w:tabs>
        <w:spacing w:after="120" w:line="240" w:lineRule="auto"/>
        <w:jc w:val="both"/>
        <w:rPr>
          <w:rFonts w:ascii="Verdana" w:eastAsia="Calibri" w:hAnsi="Verdana" w:cs="Arial"/>
          <w:bCs/>
          <w:color w:val="000000" w:themeColor="text1"/>
          <w:sz w:val="20"/>
          <w:szCs w:val="20"/>
        </w:rPr>
      </w:pPr>
    </w:p>
    <w:p w14:paraId="07D199B3" w14:textId="77777777" w:rsidR="00AA6221" w:rsidRPr="00612CEE" w:rsidRDefault="00AA6221" w:rsidP="00AA6221">
      <w:pPr>
        <w:spacing w:line="240" w:lineRule="auto"/>
        <w:jc w:val="both"/>
        <w:rPr>
          <w:rFonts w:ascii="Verdana" w:hAnsi="Verdana" w:cs="Arial"/>
          <w:b/>
          <w:sz w:val="20"/>
          <w:szCs w:val="20"/>
          <w:lang w:val="es-MX"/>
        </w:rPr>
      </w:pPr>
      <w:r w:rsidRPr="00612CEE">
        <w:rPr>
          <w:rFonts w:ascii="Verdana" w:hAnsi="Verdana" w:cs="Arial"/>
          <w:b/>
          <w:sz w:val="20"/>
          <w:szCs w:val="20"/>
          <w:lang w:val="es-MX"/>
        </w:rPr>
        <w:t xml:space="preserve">DEFINICIÓN DE LA SITUACIÓN MILITAR – Verificación </w:t>
      </w:r>
    </w:p>
    <w:p w14:paraId="0F021BCE" w14:textId="77777777" w:rsidR="00AA6221" w:rsidRPr="00612CEE" w:rsidRDefault="00AA6221" w:rsidP="00AA6221">
      <w:pPr>
        <w:spacing w:line="240" w:lineRule="auto"/>
        <w:jc w:val="both"/>
        <w:rPr>
          <w:rFonts w:ascii="Verdana" w:hAnsi="Verdana" w:cs="Arial"/>
          <w:bCs/>
          <w:sz w:val="20"/>
          <w:szCs w:val="20"/>
          <w:lang w:val="es-MX"/>
        </w:rPr>
      </w:pPr>
      <w:r w:rsidRPr="00612CEE">
        <w:rPr>
          <w:rFonts w:ascii="Verdana" w:hAnsi="Verdana" w:cs="Arial"/>
          <w:bCs/>
          <w:sz w:val="20"/>
          <w:szCs w:val="20"/>
          <w:lang w:val="es-MX"/>
        </w:rPr>
        <w:t>[…] se entiende que la situación militar se acredita resuelta o definida cuando el ciudadano posee tarjeta de reservista militar (primera o segunda clase), el certificado digital o cédula militar de que de que tratan los artículos 35, 40 y 41 de la Ley 1861 de 2017.</w:t>
      </w:r>
    </w:p>
    <w:p w14:paraId="5EF17504" w14:textId="77777777" w:rsidR="00AA6221" w:rsidRPr="00612CEE" w:rsidRDefault="00AA6221" w:rsidP="00AA6221">
      <w:pPr>
        <w:spacing w:line="240" w:lineRule="auto"/>
        <w:jc w:val="both"/>
        <w:rPr>
          <w:rFonts w:ascii="Verdana" w:hAnsi="Verdana" w:cs="Arial"/>
          <w:bCs/>
          <w:sz w:val="20"/>
          <w:szCs w:val="20"/>
          <w:lang w:val="es-MX"/>
        </w:rPr>
      </w:pPr>
      <w:r w:rsidRPr="00612CEE">
        <w:rPr>
          <w:rFonts w:ascii="Verdana" w:hAnsi="Verdana" w:cs="Arial"/>
          <w:bCs/>
          <w:sz w:val="20"/>
          <w:szCs w:val="20"/>
          <w:lang w:val="es-MX"/>
        </w:rPr>
        <w:t>[…]</w:t>
      </w:r>
    </w:p>
    <w:p w14:paraId="702309B8" w14:textId="77777777" w:rsidR="00AA6221" w:rsidRPr="00612CEE" w:rsidRDefault="00AA6221" w:rsidP="00AA6221">
      <w:pPr>
        <w:spacing w:line="240" w:lineRule="auto"/>
        <w:jc w:val="both"/>
        <w:rPr>
          <w:rFonts w:ascii="Verdana" w:hAnsi="Verdana" w:cs="Arial"/>
          <w:bCs/>
          <w:sz w:val="20"/>
          <w:szCs w:val="20"/>
          <w:lang w:val="es-ES_tradnl"/>
        </w:rPr>
      </w:pPr>
      <w:r w:rsidRPr="00612CEE">
        <w:rPr>
          <w:rFonts w:ascii="Verdana" w:hAnsi="Verdana" w:cs="Arial"/>
          <w:bCs/>
          <w:sz w:val="20"/>
          <w:szCs w:val="20"/>
          <w:lang w:val="es-ES_tradnl"/>
        </w:rPr>
        <w:t xml:space="preserve">Los ciudadanos que pretendan suscribir un contrato de prestación de servicios con una Entidad Estatal podrán acreditar su situación militar de la siguiente manera: i) copia de la libreta militar; o </w:t>
      </w:r>
      <w:proofErr w:type="spellStart"/>
      <w:r w:rsidRPr="00612CEE">
        <w:rPr>
          <w:rFonts w:ascii="Verdana" w:hAnsi="Verdana" w:cs="Arial"/>
          <w:bCs/>
          <w:sz w:val="20"/>
          <w:szCs w:val="20"/>
          <w:lang w:val="es-ES_tradnl"/>
        </w:rPr>
        <w:t>ii</w:t>
      </w:r>
      <w:proofErr w:type="spellEnd"/>
      <w:r w:rsidRPr="00612CEE">
        <w:rPr>
          <w:rFonts w:ascii="Verdana" w:hAnsi="Verdana" w:cs="Arial"/>
          <w:bCs/>
          <w:sz w:val="20"/>
          <w:szCs w:val="20"/>
          <w:lang w:val="es-ES_tradnl"/>
        </w:rPr>
        <w:t xml:space="preserve">) certificación provisional en línea la cual acreditará que su situación militar se encuentra en trámite;  o </w:t>
      </w:r>
      <w:proofErr w:type="spellStart"/>
      <w:r w:rsidRPr="00612CEE">
        <w:rPr>
          <w:rFonts w:ascii="Verdana" w:hAnsi="Verdana" w:cs="Arial"/>
          <w:bCs/>
          <w:sz w:val="20"/>
          <w:szCs w:val="20"/>
          <w:lang w:val="es-ES_tradnl"/>
        </w:rPr>
        <w:t>iii</w:t>
      </w:r>
      <w:proofErr w:type="spellEnd"/>
      <w:r w:rsidRPr="00612CEE">
        <w:rPr>
          <w:rFonts w:ascii="Verdana" w:hAnsi="Verdana" w:cs="Arial"/>
          <w:bCs/>
          <w:sz w:val="20"/>
          <w:szCs w:val="20"/>
          <w:lang w:val="es-ES_tradnl"/>
        </w:rPr>
        <w:t xml:space="preserve">) declaración juramentada, en la que el ciudadano manifiesta que ha realizado  las actuaciones tendientes a definir su situación militar –esta puede materializarse en virtud del principio constitucional de buena fe a través de cualquier documento que allegue el ciudadano con la respectiva declaración o, incluso a través de formatos estandarizados por la Entidad Estatal para dicho fin–; o </w:t>
      </w:r>
      <w:proofErr w:type="spellStart"/>
      <w:r w:rsidRPr="00612CEE">
        <w:rPr>
          <w:rFonts w:ascii="Verdana" w:hAnsi="Verdana" w:cs="Arial"/>
          <w:bCs/>
          <w:sz w:val="20"/>
          <w:szCs w:val="20"/>
          <w:lang w:val="es-ES_tradnl"/>
        </w:rPr>
        <w:t>iv</w:t>
      </w:r>
      <w:proofErr w:type="spellEnd"/>
      <w:r w:rsidRPr="00612CEE">
        <w:rPr>
          <w:rFonts w:ascii="Verdana" w:hAnsi="Verdana" w:cs="Arial"/>
          <w:bCs/>
          <w:sz w:val="20"/>
          <w:szCs w:val="20"/>
          <w:lang w:val="es-ES_tradnl"/>
        </w:rPr>
        <w:t xml:space="preserve">) cualquier otro medio de prueba que resulte conducente para demostrar que la persona con la que se va a suscribir el contrato es beneficiario de la prerrogativa establecida en el artículo 42 de la Ley 1861 de 2017 y ha adelantado actuaciones tendientes a definir su situación militar. La Entidad Estatal contratante deberá estudiar los medios de prueba presentados por el ciudadano, analizando si este cumple o no con los presupuestos indicados en el segundo inciso del artículo 42 de la Ley 1861 de 2017. </w:t>
      </w:r>
      <w:r w:rsidRPr="00612CEE">
        <w:rPr>
          <w:rFonts w:ascii="Verdana" w:hAnsi="Verdana" w:cs="Arial"/>
          <w:bCs/>
          <w:sz w:val="20"/>
          <w:szCs w:val="20"/>
          <w:lang w:val="es-MX"/>
        </w:rPr>
        <w:t>[…]</w:t>
      </w:r>
    </w:p>
    <w:p w14:paraId="66EE3EB8" w14:textId="77777777" w:rsidR="00AA6221" w:rsidRDefault="00AA6221" w:rsidP="00E529C8">
      <w:pPr>
        <w:spacing w:after="0" w:line="240" w:lineRule="auto"/>
        <w:jc w:val="both"/>
        <w:rPr>
          <w:rFonts w:ascii="Verdana" w:hAnsi="Verdana"/>
        </w:rPr>
      </w:pPr>
    </w:p>
    <w:p w14:paraId="5B2A9EE8" w14:textId="77777777" w:rsidR="00AA6221" w:rsidRDefault="00AA6221" w:rsidP="00E529C8">
      <w:pPr>
        <w:spacing w:after="0" w:line="240" w:lineRule="auto"/>
        <w:jc w:val="both"/>
        <w:rPr>
          <w:rFonts w:ascii="Verdana" w:hAnsi="Verdana"/>
        </w:rPr>
      </w:pPr>
    </w:p>
    <w:p w14:paraId="7E0CDB78" w14:textId="34EF25E8" w:rsidR="00AA6221" w:rsidRDefault="007E394C" w:rsidP="00E529C8">
      <w:pPr>
        <w:spacing w:after="0" w:line="240" w:lineRule="auto"/>
        <w:jc w:val="both"/>
        <w:rPr>
          <w:rFonts w:ascii="Verdana" w:hAnsi="Verdana"/>
        </w:rPr>
      </w:pPr>
      <w:r w:rsidRPr="000A59EF">
        <w:rPr>
          <w:rFonts w:ascii="Verdana" w:eastAsia="Calibri" w:hAnsi="Verdana" w:cs="Arial"/>
          <w:noProof/>
          <w:lang w:val="es-ES" w:eastAsia="es-ES"/>
        </w:rPr>
        <w:lastRenderedPageBreak/>
        <w:drawing>
          <wp:anchor distT="0" distB="0" distL="114300" distR="114300" simplePos="0" relativeHeight="251658240" behindDoc="0" locked="0" layoutInCell="1" allowOverlap="1" wp14:anchorId="19B6197B" wp14:editId="47578C7A">
            <wp:simplePos x="0" y="0"/>
            <wp:positionH relativeFrom="column">
              <wp:posOffset>2767937</wp:posOffset>
            </wp:positionH>
            <wp:positionV relativeFrom="paragraph">
              <wp:posOffset>78629</wp:posOffset>
            </wp:positionV>
            <wp:extent cx="3667637" cy="1095528"/>
            <wp:effectExtent l="0" t="0" r="9525" b="9525"/>
            <wp:wrapNone/>
            <wp:docPr id="14423303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330374" name=""/>
                    <pic:cNvPicPr/>
                  </pic:nvPicPr>
                  <pic:blipFill>
                    <a:blip r:embed="rId11">
                      <a:extLst>
                        <a:ext uri="{28A0092B-C50C-407E-A947-70E740481C1C}">
                          <a14:useLocalDpi xmlns:a14="http://schemas.microsoft.com/office/drawing/2010/main" val="0"/>
                        </a:ext>
                      </a:extLst>
                    </a:blip>
                    <a:stretch>
                      <a:fillRect/>
                    </a:stretch>
                  </pic:blipFill>
                  <pic:spPr>
                    <a:xfrm>
                      <a:off x="0" y="0"/>
                      <a:ext cx="3667637" cy="1095528"/>
                    </a:xfrm>
                    <a:prstGeom prst="rect">
                      <a:avLst/>
                    </a:prstGeom>
                  </pic:spPr>
                </pic:pic>
              </a:graphicData>
            </a:graphic>
            <wp14:sizeRelH relativeFrom="page">
              <wp14:pctWidth>0</wp14:pctWidth>
            </wp14:sizeRelH>
            <wp14:sizeRelV relativeFrom="page">
              <wp14:pctHeight>0</wp14:pctHeight>
            </wp14:sizeRelV>
          </wp:anchor>
        </w:drawing>
      </w:r>
    </w:p>
    <w:p w14:paraId="061AA9D1" w14:textId="6712A347" w:rsidR="00E529C8" w:rsidRPr="00E529C8" w:rsidRDefault="00E529C8" w:rsidP="00E529C8">
      <w:pPr>
        <w:spacing w:after="0" w:line="240" w:lineRule="auto"/>
        <w:jc w:val="both"/>
        <w:rPr>
          <w:rFonts w:ascii="Verdana" w:eastAsia="Calibri" w:hAnsi="Verdana" w:cs="Arial"/>
          <w:lang w:val="es-ES"/>
        </w:rPr>
      </w:pPr>
      <w:r w:rsidRPr="0044528D">
        <w:rPr>
          <w:rFonts w:ascii="Verdana" w:hAnsi="Verdana"/>
        </w:rPr>
        <w:t xml:space="preserve">Bogotá D.C., </w:t>
      </w:r>
      <w:r w:rsidR="007E394C">
        <w:rPr>
          <w:rFonts w:ascii="Verdana" w:hAnsi="Verdana"/>
        </w:rPr>
        <w:t xml:space="preserve">10 </w:t>
      </w:r>
      <w:proofErr w:type="gramStart"/>
      <w:r w:rsidR="007E394C">
        <w:rPr>
          <w:rFonts w:ascii="Verdana" w:hAnsi="Verdana"/>
        </w:rPr>
        <w:t>Diciembre</w:t>
      </w:r>
      <w:proofErr w:type="gramEnd"/>
      <w:r w:rsidR="007E394C">
        <w:rPr>
          <w:rFonts w:ascii="Verdana" w:hAnsi="Verdana"/>
        </w:rPr>
        <w:t xml:space="preserve"> 2024</w:t>
      </w:r>
    </w:p>
    <w:p w14:paraId="47F1689A" w14:textId="7B4A2ED6" w:rsidR="00E529C8" w:rsidRDefault="00E529C8" w:rsidP="00E529C8">
      <w:pPr>
        <w:spacing w:after="0" w:line="240" w:lineRule="auto"/>
        <w:jc w:val="both"/>
        <w:rPr>
          <w:rFonts w:ascii="Verdana" w:eastAsia="Calibri" w:hAnsi="Verdana" w:cs="Arial"/>
          <w:lang w:val="es-ES"/>
        </w:rPr>
      </w:pPr>
    </w:p>
    <w:p w14:paraId="1F2E704E" w14:textId="2EE8D2E3" w:rsidR="000A59EF" w:rsidRDefault="000A59EF" w:rsidP="000A59EF">
      <w:pPr>
        <w:spacing w:after="0" w:line="240" w:lineRule="auto"/>
        <w:ind w:left="4956"/>
        <w:jc w:val="both"/>
        <w:rPr>
          <w:rFonts w:ascii="Verdana" w:eastAsia="Calibri" w:hAnsi="Verdana" w:cs="Arial"/>
          <w:lang w:val="es-ES" w:eastAsia="es-ES"/>
        </w:rPr>
      </w:pPr>
    </w:p>
    <w:p w14:paraId="1346C632" w14:textId="0348E965" w:rsidR="00E529C8" w:rsidRPr="00E529C8" w:rsidRDefault="00E529C8" w:rsidP="00E529C8">
      <w:pPr>
        <w:spacing w:after="0" w:line="240" w:lineRule="auto"/>
        <w:jc w:val="both"/>
        <w:rPr>
          <w:rFonts w:ascii="Verdana" w:eastAsia="Calibri" w:hAnsi="Verdana" w:cs="Arial"/>
          <w:lang w:val="es-ES" w:eastAsia="es-ES"/>
        </w:rPr>
      </w:pPr>
      <w:r w:rsidRPr="00E529C8">
        <w:rPr>
          <w:rFonts w:ascii="Verdana" w:eastAsia="Calibri" w:hAnsi="Verdana" w:cs="Arial"/>
          <w:lang w:val="es-ES" w:eastAsia="es-ES"/>
        </w:rPr>
        <w:t>Señora</w:t>
      </w:r>
    </w:p>
    <w:p w14:paraId="1D2E355F" w14:textId="481DECC6" w:rsidR="00E529C8" w:rsidRDefault="009C4650" w:rsidP="00E529C8">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DIANA MILENA SALAS LEAL</w:t>
      </w:r>
    </w:p>
    <w:p w14:paraId="24EB972C" w14:textId="363A8707" w:rsidR="00490CAB" w:rsidRPr="009C4650" w:rsidRDefault="00E95E08" w:rsidP="00E529C8">
      <w:pPr>
        <w:spacing w:after="0" w:line="240" w:lineRule="auto"/>
        <w:rPr>
          <w:rFonts w:ascii="Verdana" w:eastAsia="Calibri" w:hAnsi="Verdana" w:cs="Arial"/>
          <w:bCs/>
          <w:lang w:val="es-ES_tradnl" w:eastAsia="es-ES_tradnl"/>
        </w:rPr>
      </w:pPr>
      <w:hyperlink r:id="rId12" w:history="1">
        <w:r w:rsidR="009C4650" w:rsidRPr="007D0F19">
          <w:rPr>
            <w:rStyle w:val="Hipervnculo"/>
            <w:rFonts w:ascii="Verdana" w:eastAsia="Calibri" w:hAnsi="Verdana" w:cs="Arial"/>
            <w:bCs/>
            <w:lang w:val="es-ES_tradnl" w:eastAsia="es-ES_tradnl"/>
          </w:rPr>
          <w:t>juridica@unillanos.edu.co</w:t>
        </w:r>
      </w:hyperlink>
      <w:r w:rsidR="009C4650">
        <w:rPr>
          <w:rFonts w:ascii="Verdana" w:eastAsia="Calibri" w:hAnsi="Verdana" w:cs="Arial"/>
          <w:bCs/>
          <w:lang w:val="es-ES_tradnl" w:eastAsia="es-ES_tradnl"/>
        </w:rPr>
        <w:t xml:space="preserve">; </w:t>
      </w:r>
    </w:p>
    <w:p w14:paraId="29C1E9D5" w14:textId="52232F1E" w:rsidR="00490CAB" w:rsidRPr="00490CAB" w:rsidRDefault="009C4650" w:rsidP="00E529C8">
      <w:pPr>
        <w:spacing w:after="0" w:line="240" w:lineRule="auto"/>
        <w:rPr>
          <w:rFonts w:ascii="Verdana" w:eastAsia="Calibri" w:hAnsi="Verdana" w:cs="Arial"/>
          <w:bCs/>
          <w:lang w:val="es-ES_tradnl" w:eastAsia="es-ES_tradnl"/>
        </w:rPr>
      </w:pPr>
      <w:r>
        <w:rPr>
          <w:rFonts w:ascii="Verdana" w:eastAsia="Calibri" w:hAnsi="Verdana" w:cs="Arial"/>
          <w:bCs/>
          <w:lang w:eastAsia="es-ES_tradnl"/>
        </w:rPr>
        <w:t>Ciudad</w:t>
      </w:r>
    </w:p>
    <w:p w14:paraId="699B7AC6" w14:textId="77777777" w:rsidR="00E529C8" w:rsidRPr="00E529C8" w:rsidRDefault="00E529C8" w:rsidP="00E529C8">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529C8" w:rsidRPr="00E529C8" w14:paraId="2B4BAC24" w14:textId="77777777" w:rsidTr="00C2477C">
        <w:trPr>
          <w:trHeight w:val="884"/>
        </w:trPr>
        <w:tc>
          <w:tcPr>
            <w:tcW w:w="2689" w:type="dxa"/>
          </w:tcPr>
          <w:p w14:paraId="0CC1EBEE" w14:textId="77777777" w:rsidR="00E529C8" w:rsidRPr="00E529C8" w:rsidRDefault="00E529C8" w:rsidP="00E529C8">
            <w:pPr>
              <w:jc w:val="both"/>
              <w:rPr>
                <w:rFonts w:ascii="Verdana" w:eastAsia="Calibri" w:hAnsi="Verdana" w:cs="Arial"/>
                <w:b/>
                <w:bCs/>
                <w:lang w:val="es-ES_tradnl" w:eastAsia="es-ES_tradnl"/>
              </w:rPr>
            </w:pPr>
          </w:p>
        </w:tc>
        <w:tc>
          <w:tcPr>
            <w:tcW w:w="6100" w:type="dxa"/>
          </w:tcPr>
          <w:p w14:paraId="0684AF74" w14:textId="7A6338D4" w:rsidR="00E529C8" w:rsidRPr="00E529C8" w:rsidRDefault="00E529C8" w:rsidP="00E529C8">
            <w:pPr>
              <w:jc w:val="both"/>
              <w:rPr>
                <w:rFonts w:ascii="Verdana" w:eastAsia="Calibri" w:hAnsi="Verdana" w:cs="Arial"/>
                <w:b/>
                <w:bCs/>
                <w:lang w:val="es-ES" w:eastAsia="es-ES"/>
              </w:rPr>
            </w:pPr>
            <w:r w:rsidRPr="00E529C8">
              <w:rPr>
                <w:rFonts w:ascii="Verdana" w:eastAsia="Calibri" w:hAnsi="Verdana" w:cs="Arial"/>
                <w:b/>
                <w:bCs/>
                <w:lang w:val="es-ES" w:eastAsia="es-ES"/>
              </w:rPr>
              <w:t xml:space="preserve">Concepto C – </w:t>
            </w:r>
            <w:r w:rsidR="009C4650">
              <w:rPr>
                <w:rFonts w:ascii="Verdana" w:eastAsia="Calibri" w:hAnsi="Verdana" w:cs="Arial"/>
                <w:b/>
                <w:bCs/>
                <w:lang w:val="es-ES" w:eastAsia="es-ES"/>
              </w:rPr>
              <w:t>819</w:t>
            </w:r>
            <w:r w:rsidR="0031184B">
              <w:rPr>
                <w:rFonts w:ascii="Verdana" w:eastAsia="Calibri" w:hAnsi="Verdana" w:cs="Arial"/>
                <w:b/>
                <w:bCs/>
                <w:lang w:val="es-ES" w:eastAsia="es-ES"/>
              </w:rPr>
              <w:t xml:space="preserve"> </w:t>
            </w:r>
            <w:r w:rsidRPr="00E529C8">
              <w:rPr>
                <w:rFonts w:ascii="Verdana" w:eastAsia="Calibri" w:hAnsi="Verdana" w:cs="Arial"/>
                <w:b/>
                <w:bCs/>
                <w:lang w:val="es-ES" w:eastAsia="es-ES"/>
              </w:rPr>
              <w:t>de 2024</w:t>
            </w:r>
          </w:p>
        </w:tc>
      </w:tr>
      <w:tr w:rsidR="00E529C8" w:rsidRPr="00E529C8" w14:paraId="54381408" w14:textId="77777777" w:rsidTr="00C2477C">
        <w:trPr>
          <w:trHeight w:val="884"/>
        </w:trPr>
        <w:tc>
          <w:tcPr>
            <w:tcW w:w="2689" w:type="dxa"/>
          </w:tcPr>
          <w:p w14:paraId="1117A0FF" w14:textId="77777777" w:rsidR="00E529C8" w:rsidRPr="00E529C8" w:rsidRDefault="00E529C8" w:rsidP="00E529C8">
            <w:pPr>
              <w:jc w:val="both"/>
              <w:rPr>
                <w:rFonts w:ascii="Verdana" w:eastAsia="Calibri" w:hAnsi="Verdana" w:cs="Arial"/>
                <w:lang w:val="es-ES_tradnl" w:eastAsia="es-ES_tradnl"/>
              </w:rPr>
            </w:pPr>
            <w:r w:rsidRPr="00E529C8">
              <w:rPr>
                <w:rFonts w:ascii="Verdana" w:eastAsia="Calibri" w:hAnsi="Verdana" w:cs="Arial"/>
                <w:b/>
                <w:lang w:val="es-ES_tradnl" w:eastAsia="es-ES_tradnl"/>
              </w:rPr>
              <w:t>Temas:</w:t>
            </w:r>
            <w:r w:rsidRPr="00E529C8">
              <w:rPr>
                <w:rFonts w:ascii="Verdana" w:eastAsia="Calibri" w:hAnsi="Verdana" w:cs="Arial"/>
                <w:lang w:val="es-ES_tradnl" w:eastAsia="es-ES_tradnl"/>
              </w:rPr>
              <w:t xml:space="preserve">                   </w:t>
            </w:r>
          </w:p>
        </w:tc>
        <w:tc>
          <w:tcPr>
            <w:tcW w:w="6100" w:type="dxa"/>
          </w:tcPr>
          <w:p w14:paraId="3B08FB58" w14:textId="5B5F3B54" w:rsidR="00140A1B" w:rsidRDefault="009C4650" w:rsidP="00E529C8">
            <w:pPr>
              <w:spacing w:line="276" w:lineRule="auto"/>
              <w:jc w:val="both"/>
              <w:rPr>
                <w:rFonts w:ascii="Verdana" w:eastAsia="Calibri" w:hAnsi="Verdana" w:cs="Arial"/>
                <w:bCs/>
                <w:color w:val="000000" w:themeColor="text1"/>
                <w:lang w:val="es-MX" w:eastAsia="es-ES"/>
              </w:rPr>
            </w:pPr>
            <w:r w:rsidRPr="00D872FB">
              <w:rPr>
                <w:rFonts w:ascii="Verdana" w:eastAsia="Calibri" w:hAnsi="Verdana" w:cs="Arial"/>
                <w:bCs/>
                <w:lang w:val="es-MX" w:eastAsia="es-ES_tradnl"/>
              </w:rPr>
              <w:t>LEY 2097 DE 2021 – REDAM – Objeto / OBLIGACIÓN ALIMENTARIA – Definición / INHABILIDAD – REDAM – Ámbito de aplicación – Constitucionalidad / REDAM – Personas obligadas</w:t>
            </w:r>
            <w:r w:rsidRPr="00E529C8">
              <w:rPr>
                <w:rFonts w:ascii="Verdana" w:eastAsia="Calibri" w:hAnsi="Verdana" w:cs="Arial"/>
                <w:lang w:val="es-ES" w:eastAsia="es-ES"/>
              </w:rPr>
              <w:t xml:space="preserve"> </w:t>
            </w:r>
            <w:r>
              <w:rPr>
                <w:rFonts w:ascii="Verdana" w:eastAsia="Calibri" w:hAnsi="Verdana" w:cs="Arial"/>
                <w:lang w:val="es-ES" w:eastAsia="es-ES"/>
              </w:rPr>
              <w:t xml:space="preserve">/ </w:t>
            </w:r>
            <w:r w:rsidRPr="00882E72">
              <w:rPr>
                <w:rFonts w:ascii="Verdana" w:eastAsia="Calibri" w:hAnsi="Verdana" w:cs="Arial"/>
                <w:bCs/>
                <w:color w:val="000000" w:themeColor="text1"/>
                <w:lang w:val="es-MX" w:eastAsia="es-ES"/>
              </w:rPr>
              <w:t>DEFINICIÓN DE LA SITUACIÓN MILITAR – Verificación / ACREDITACIÓN DE LA SITUACIÓN MILITAR – Exigibilidad – Personas naturales</w:t>
            </w:r>
            <w:r>
              <w:rPr>
                <w:rFonts w:ascii="Verdana" w:eastAsia="Calibri" w:hAnsi="Verdana" w:cs="Arial"/>
                <w:bCs/>
                <w:color w:val="000000" w:themeColor="text1"/>
                <w:lang w:val="es-MX" w:eastAsia="es-ES"/>
              </w:rPr>
              <w:t xml:space="preserve">. </w:t>
            </w:r>
          </w:p>
          <w:p w14:paraId="479FB037" w14:textId="435D5EAF" w:rsidR="009C4650" w:rsidRPr="00E529C8" w:rsidRDefault="009C4650" w:rsidP="00E529C8">
            <w:pPr>
              <w:spacing w:line="276" w:lineRule="auto"/>
              <w:jc w:val="both"/>
              <w:rPr>
                <w:rFonts w:ascii="Verdana" w:eastAsia="Calibri" w:hAnsi="Verdana" w:cs="Arial"/>
                <w:lang w:val="es-ES" w:eastAsia="es-ES"/>
              </w:rPr>
            </w:pPr>
          </w:p>
        </w:tc>
      </w:tr>
      <w:tr w:rsidR="00E529C8" w:rsidRPr="00E529C8" w14:paraId="250E83C1" w14:textId="77777777" w:rsidTr="0031184B">
        <w:trPr>
          <w:trHeight w:val="344"/>
        </w:trPr>
        <w:tc>
          <w:tcPr>
            <w:tcW w:w="2689" w:type="dxa"/>
            <w:shd w:val="clear" w:color="auto" w:fill="FFFFFF" w:themeFill="background1"/>
          </w:tcPr>
          <w:p w14:paraId="06655FE2" w14:textId="77777777" w:rsidR="00E529C8" w:rsidRPr="0031184B" w:rsidRDefault="00E529C8" w:rsidP="00E529C8">
            <w:pPr>
              <w:jc w:val="both"/>
              <w:rPr>
                <w:rFonts w:ascii="Verdana" w:eastAsia="Calibri" w:hAnsi="Verdana" w:cs="Arial"/>
                <w:b/>
                <w:lang w:val="es-ES_tradnl" w:eastAsia="es-ES_tradnl"/>
              </w:rPr>
            </w:pPr>
            <w:r w:rsidRPr="0031184B">
              <w:rPr>
                <w:rFonts w:ascii="Verdana" w:eastAsia="Calibri" w:hAnsi="Verdana" w:cs="Arial"/>
                <w:b/>
                <w:lang w:val="es-ES_tradnl" w:eastAsia="es-ES_tradnl"/>
              </w:rPr>
              <w:t>Radicación:</w:t>
            </w:r>
            <w:r w:rsidRPr="0031184B">
              <w:rPr>
                <w:rFonts w:ascii="Verdana" w:eastAsia="Calibri" w:hAnsi="Verdana" w:cs="Arial"/>
                <w:lang w:val="es-ES_tradnl" w:eastAsia="es-ES_tradnl"/>
              </w:rPr>
              <w:t xml:space="preserve">               </w:t>
            </w:r>
          </w:p>
        </w:tc>
        <w:tc>
          <w:tcPr>
            <w:tcW w:w="6100" w:type="dxa"/>
            <w:shd w:val="clear" w:color="auto" w:fill="FFFFFF" w:themeFill="background1"/>
          </w:tcPr>
          <w:p w14:paraId="7A1C26EE" w14:textId="7C3B7139" w:rsidR="00E529C8" w:rsidRPr="0031184B" w:rsidRDefault="00E529C8" w:rsidP="00E529C8">
            <w:pPr>
              <w:jc w:val="both"/>
              <w:rPr>
                <w:rFonts w:ascii="Verdana" w:eastAsia="Calibri" w:hAnsi="Verdana" w:cs="Arial"/>
                <w:lang w:val="es-ES_tradnl" w:eastAsia="es-ES_tradnl"/>
              </w:rPr>
            </w:pPr>
            <w:r w:rsidRPr="0031184B">
              <w:rPr>
                <w:rFonts w:ascii="Verdana" w:eastAsia="Calibri" w:hAnsi="Verdana" w:cs="Arial"/>
                <w:lang w:val="es-ES_tradnl" w:eastAsia="es-ES_tradnl"/>
              </w:rPr>
              <w:t xml:space="preserve">Respuesta a consulta con radicado No. </w:t>
            </w:r>
            <w:r w:rsidR="009C4650" w:rsidRPr="009C4650">
              <w:rPr>
                <w:rFonts w:ascii="Verdana" w:eastAsia="Calibri" w:hAnsi="Verdana" w:cs="Arial"/>
                <w:b/>
                <w:bCs/>
                <w:lang w:val="es-ES_tradnl" w:eastAsia="es-ES_tradnl"/>
              </w:rPr>
              <w:t>P20241105011140</w:t>
            </w:r>
          </w:p>
        </w:tc>
      </w:tr>
    </w:tbl>
    <w:p w14:paraId="38E1505D" w14:textId="77777777" w:rsidR="00E529C8" w:rsidRPr="00E529C8" w:rsidRDefault="00E529C8" w:rsidP="00E529C8">
      <w:pPr>
        <w:spacing w:after="0" w:line="240" w:lineRule="auto"/>
        <w:jc w:val="both"/>
        <w:rPr>
          <w:rFonts w:ascii="Verdana" w:eastAsia="Calibri" w:hAnsi="Verdana" w:cs="Arial"/>
          <w:lang w:val="es-ES_tradnl" w:eastAsia="es-ES_tradnl"/>
        </w:rPr>
      </w:pPr>
    </w:p>
    <w:p w14:paraId="36D4E40A" w14:textId="77777777" w:rsidR="00E529C8" w:rsidRPr="00E529C8" w:rsidRDefault="00E529C8" w:rsidP="00E529C8">
      <w:pPr>
        <w:spacing w:after="0" w:line="240" w:lineRule="auto"/>
        <w:jc w:val="both"/>
        <w:rPr>
          <w:rFonts w:ascii="Verdana" w:eastAsia="Calibri" w:hAnsi="Verdana" w:cs="Arial"/>
          <w:lang w:val="es-ES_tradnl" w:eastAsia="es-ES_tradnl"/>
        </w:rPr>
      </w:pPr>
    </w:p>
    <w:p w14:paraId="203D2ED3" w14:textId="3A6088C3" w:rsidR="00E529C8" w:rsidRPr="00E529C8" w:rsidRDefault="00E529C8" w:rsidP="00E529C8">
      <w:pPr>
        <w:spacing w:after="0" w:line="276" w:lineRule="auto"/>
        <w:jc w:val="both"/>
        <w:rPr>
          <w:rFonts w:ascii="Verdana" w:eastAsia="Calibri" w:hAnsi="Verdana" w:cs="Arial"/>
          <w:lang w:val="es-ES" w:eastAsia="es-ES"/>
        </w:rPr>
      </w:pPr>
      <w:r w:rsidRPr="00E529C8">
        <w:rPr>
          <w:rFonts w:ascii="Verdana" w:eastAsia="Calibri" w:hAnsi="Verdana" w:cs="Arial"/>
          <w:lang w:val="es-ES" w:eastAsia="es-ES"/>
        </w:rPr>
        <w:t>Estimad</w:t>
      </w:r>
      <w:r w:rsidR="00140A1B">
        <w:rPr>
          <w:rFonts w:ascii="Verdana" w:eastAsia="Calibri" w:hAnsi="Verdana" w:cs="Arial"/>
          <w:lang w:val="es-ES" w:eastAsia="es-ES"/>
        </w:rPr>
        <w:t>a</w:t>
      </w:r>
      <w:r w:rsidR="007076F5">
        <w:rPr>
          <w:rFonts w:ascii="Verdana" w:eastAsia="Calibri" w:hAnsi="Verdana" w:cs="Arial"/>
          <w:lang w:val="es-ES" w:eastAsia="es-ES"/>
        </w:rPr>
        <w:t xml:space="preserve"> </w:t>
      </w:r>
      <w:r w:rsidRPr="00E529C8">
        <w:rPr>
          <w:rFonts w:ascii="Verdana" w:eastAsia="Calibri" w:hAnsi="Verdana" w:cs="Arial"/>
          <w:lang w:val="es-ES" w:eastAsia="es-ES"/>
        </w:rPr>
        <w:t>señor</w:t>
      </w:r>
      <w:r w:rsidR="00140A1B">
        <w:rPr>
          <w:rFonts w:ascii="Verdana" w:eastAsia="Calibri" w:hAnsi="Verdana" w:cs="Arial"/>
          <w:lang w:val="es-ES" w:eastAsia="es-ES"/>
        </w:rPr>
        <w:t>a</w:t>
      </w:r>
      <w:r w:rsidRPr="00E529C8">
        <w:rPr>
          <w:rFonts w:ascii="Verdana" w:eastAsia="Calibri" w:hAnsi="Verdana" w:cs="Arial"/>
          <w:lang w:val="es-ES" w:eastAsia="es-ES"/>
        </w:rPr>
        <w:t xml:space="preserve"> </w:t>
      </w:r>
      <w:r w:rsidR="009C4650">
        <w:rPr>
          <w:rFonts w:ascii="Verdana" w:eastAsia="Calibri" w:hAnsi="Verdana" w:cs="Arial"/>
          <w:lang w:val="es-ES" w:eastAsia="es-ES"/>
        </w:rPr>
        <w:t>Salas</w:t>
      </w:r>
      <w:r w:rsidRPr="00E529C8">
        <w:rPr>
          <w:rFonts w:ascii="Verdana" w:eastAsia="Calibri" w:hAnsi="Verdana" w:cs="Arial"/>
          <w:lang w:val="es-ES" w:eastAsia="es-ES"/>
        </w:rPr>
        <w:t xml:space="preserve">: </w:t>
      </w:r>
    </w:p>
    <w:p w14:paraId="663A0A4D" w14:textId="77777777" w:rsidR="00E529C8" w:rsidRPr="00E529C8" w:rsidRDefault="00E529C8" w:rsidP="00E529C8">
      <w:pPr>
        <w:tabs>
          <w:tab w:val="left" w:pos="3768"/>
        </w:tabs>
        <w:spacing w:after="0" w:line="276" w:lineRule="auto"/>
        <w:jc w:val="both"/>
        <w:rPr>
          <w:rFonts w:ascii="Verdana" w:eastAsia="Calibri" w:hAnsi="Verdana" w:cs="Arial"/>
          <w:lang w:val="es-ES" w:eastAsia="es-ES"/>
        </w:rPr>
      </w:pPr>
      <w:r w:rsidRPr="00E529C8">
        <w:rPr>
          <w:rFonts w:ascii="Verdana" w:eastAsia="Calibri" w:hAnsi="Verdana" w:cs="Arial"/>
          <w:lang w:val="es-ES" w:eastAsia="es-ES"/>
        </w:rPr>
        <w:tab/>
      </w:r>
    </w:p>
    <w:p w14:paraId="24FE4A9D" w14:textId="1EB2F65E" w:rsidR="00E529C8" w:rsidRDefault="00E529C8" w:rsidP="00C37936">
      <w:pPr>
        <w:spacing w:after="0" w:line="276" w:lineRule="auto"/>
        <w:jc w:val="both"/>
        <w:rPr>
          <w:rFonts w:ascii="Verdana" w:eastAsia="Calibri" w:hAnsi="Verdana" w:cs="Arial"/>
          <w:lang w:val="es-ES" w:eastAsia="es-ES"/>
        </w:rPr>
      </w:pPr>
      <w:r w:rsidRPr="00E529C8">
        <w:rPr>
          <w:rFonts w:ascii="Verdana" w:eastAsia="Calibri" w:hAnsi="Verdana" w:cs="Arial"/>
          <w:lang w:val="es-ES" w:eastAsia="es-ES"/>
        </w:rPr>
        <w:t>En ejercicio de la competencia otorgada por los artículos 3, numeral 5º, y 11, numeral 8º, del Decreto Ley 4170 de 2011,</w:t>
      </w:r>
      <w:r w:rsidRPr="00E529C8">
        <w:rPr>
          <w:rFonts w:ascii="Verdana" w:eastAsia="Arial MT" w:hAnsi="Verdana" w:cs="Arial MT"/>
          <w:lang w:val="es-ES" w:eastAsia="es-ES"/>
        </w:rPr>
        <w:t xml:space="preserve"> </w:t>
      </w:r>
      <w:r w:rsidRPr="00E529C8">
        <w:rPr>
          <w:rFonts w:ascii="Verdana" w:eastAsia="Calibri" w:hAnsi="Verdana" w:cs="Arial"/>
        </w:rPr>
        <w:t xml:space="preserve">así como lo establecido en el artículo 4 de la Resolución 1707 de 2018 expedida por esta Entidad, </w:t>
      </w:r>
      <w:r w:rsidRPr="00E529C8">
        <w:rPr>
          <w:rFonts w:ascii="Verdana" w:eastAsia="Calibri" w:hAnsi="Verdana" w:cs="Arial"/>
          <w:lang w:val="es-ES" w:eastAsia="es-ES"/>
        </w:rPr>
        <w:t xml:space="preserve">la Agencia Nacional de Contratación Pública – Colombia Compra Eficiente– responde su solicitud de consulta de fecha </w:t>
      </w:r>
      <w:r w:rsidR="009C4650">
        <w:rPr>
          <w:rFonts w:ascii="Verdana" w:eastAsia="Calibri" w:hAnsi="Verdana" w:cs="Arial"/>
          <w:lang w:val="es-ES" w:eastAsia="es-ES"/>
        </w:rPr>
        <w:t>05</w:t>
      </w:r>
      <w:r w:rsidRPr="00E529C8">
        <w:rPr>
          <w:rFonts w:ascii="Verdana" w:eastAsia="Calibri" w:hAnsi="Verdana" w:cs="Arial"/>
          <w:lang w:val="es-ES" w:eastAsia="es-ES"/>
        </w:rPr>
        <w:t xml:space="preserve"> de </w:t>
      </w:r>
      <w:r w:rsidR="009C4650">
        <w:rPr>
          <w:rFonts w:ascii="Verdana" w:eastAsia="Calibri" w:hAnsi="Verdana" w:cs="Arial"/>
          <w:lang w:val="es-ES" w:eastAsia="es-ES"/>
        </w:rPr>
        <w:t>noviembre</w:t>
      </w:r>
      <w:r w:rsidRPr="00E529C8">
        <w:rPr>
          <w:rFonts w:ascii="Verdana" w:eastAsia="Calibri" w:hAnsi="Verdana" w:cs="Arial"/>
          <w:lang w:val="es-ES" w:eastAsia="es-ES"/>
        </w:rPr>
        <w:t xml:space="preserve"> de 2024.</w:t>
      </w:r>
      <w:r w:rsidR="00C37936">
        <w:rPr>
          <w:rFonts w:ascii="Verdana" w:eastAsia="Calibri" w:hAnsi="Verdana" w:cs="Arial"/>
          <w:lang w:val="es-ES" w:eastAsia="es-ES"/>
        </w:rPr>
        <w:t xml:space="preserve"> En relación donde</w:t>
      </w:r>
      <w:r w:rsidRPr="00E529C8">
        <w:rPr>
          <w:rFonts w:ascii="Verdana" w:eastAsia="Calibri" w:hAnsi="Verdana" w:cs="Arial"/>
          <w:lang w:val="es-ES" w:eastAsia="es-ES"/>
        </w:rPr>
        <w:t xml:space="preserve"> usted manifiesta lo siguiente:</w:t>
      </w:r>
    </w:p>
    <w:p w14:paraId="3F2CE59F" w14:textId="77777777" w:rsidR="00C37936" w:rsidRPr="00B576D7" w:rsidRDefault="00C37936" w:rsidP="00C37936">
      <w:pPr>
        <w:spacing w:after="0" w:line="276" w:lineRule="auto"/>
        <w:jc w:val="both"/>
        <w:rPr>
          <w:rFonts w:ascii="Verdana" w:eastAsia="Calibri" w:hAnsi="Verdana" w:cs="Arial"/>
          <w:sz w:val="20"/>
          <w:szCs w:val="20"/>
          <w:lang w:val="es-ES" w:eastAsia="es-ES"/>
        </w:rPr>
      </w:pPr>
    </w:p>
    <w:p w14:paraId="67690489" w14:textId="48DA0FAA" w:rsidR="009C4650" w:rsidRPr="009C4650" w:rsidRDefault="00E529C8" w:rsidP="009C4650">
      <w:pPr>
        <w:pStyle w:val="Prrafodelista"/>
        <w:ind w:left="709" w:right="709"/>
        <w:jc w:val="both"/>
        <w:rPr>
          <w:rFonts w:ascii="Verdana" w:hAnsi="Verdana" w:cs="Arial"/>
          <w:sz w:val="20"/>
          <w:szCs w:val="20"/>
          <w:lang w:val="es-CO"/>
        </w:rPr>
      </w:pPr>
      <w:r w:rsidRPr="00B576D7">
        <w:rPr>
          <w:rFonts w:ascii="Verdana" w:eastAsia="Century Gothic" w:hAnsi="Verdana" w:cs="Century Gothic"/>
          <w:sz w:val="20"/>
          <w:szCs w:val="20"/>
        </w:rPr>
        <w:t>“[…]</w:t>
      </w:r>
      <w:r w:rsidR="007076F5" w:rsidRPr="00B576D7">
        <w:rPr>
          <w:rFonts w:ascii="Verdana" w:eastAsia="Century Gothic" w:hAnsi="Verdana" w:cs="Century Gothic"/>
          <w:sz w:val="20"/>
          <w:szCs w:val="20"/>
        </w:rPr>
        <w:t xml:space="preserve"> </w:t>
      </w:r>
      <w:r w:rsidR="009C4650" w:rsidRPr="009C4650">
        <w:rPr>
          <w:rFonts w:ascii="Verdana" w:hAnsi="Verdana" w:cs="Arial"/>
          <w:sz w:val="20"/>
          <w:szCs w:val="20"/>
          <w:lang w:val="es-CO"/>
        </w:rPr>
        <w:t>¿Una entidad pública puede contratar bajo las modalidades de prestación de servicios, docente hora cátedra o vincular como servidor público, a una persona que cuente con inscripción en el Registro de Deudores Alimentarios Morosos – REDAM?</w:t>
      </w:r>
    </w:p>
    <w:p w14:paraId="5BD29E57" w14:textId="6A9AB6D8" w:rsidR="00E529C8" w:rsidRPr="009C4650" w:rsidRDefault="009C4650" w:rsidP="009C4650">
      <w:pPr>
        <w:pStyle w:val="Prrafodelista"/>
        <w:ind w:left="709" w:right="709"/>
        <w:jc w:val="both"/>
        <w:rPr>
          <w:rFonts w:ascii="Verdana" w:hAnsi="Verdana" w:cs="Arial"/>
          <w:sz w:val="20"/>
          <w:szCs w:val="20"/>
          <w:lang w:val="es-CO"/>
        </w:rPr>
      </w:pPr>
      <w:r w:rsidRPr="009C4650">
        <w:rPr>
          <w:rFonts w:ascii="Verdana" w:hAnsi="Verdana" w:cs="Arial"/>
          <w:sz w:val="20"/>
          <w:szCs w:val="20"/>
          <w:lang w:val="es-CO"/>
        </w:rPr>
        <w:t>¿La libreta militar de reservista o el certificado digital que acredita la situación militar se pueden entender como certificados válidos, si en dichos documentos se encuentra registrado un documento de</w:t>
      </w:r>
      <w:r>
        <w:rPr>
          <w:rFonts w:ascii="Verdana" w:hAnsi="Verdana" w:cs="Arial"/>
          <w:sz w:val="20"/>
          <w:szCs w:val="20"/>
          <w:lang w:val="es-CO"/>
        </w:rPr>
        <w:t xml:space="preserve"> </w:t>
      </w:r>
      <w:r w:rsidRPr="009C4650">
        <w:rPr>
          <w:rFonts w:ascii="Verdana" w:hAnsi="Verdana" w:cs="Arial"/>
          <w:sz w:val="20"/>
          <w:szCs w:val="20"/>
          <w:lang w:val="es-CO"/>
        </w:rPr>
        <w:t xml:space="preserve">identificación que no es el vigente a la fecha de la celebración del contrato </w:t>
      </w:r>
      <w:r w:rsidRPr="009C4650">
        <w:rPr>
          <w:rFonts w:ascii="Verdana" w:hAnsi="Verdana" w:cs="Arial"/>
          <w:sz w:val="20"/>
          <w:szCs w:val="20"/>
          <w:lang w:val="es-CO"/>
        </w:rPr>
        <w:lastRenderedPageBreak/>
        <w:t>(Tarjeta de identidad) y no se registra el número de la cédula de ciudadanía? ¿Se debe realizar la actualización de la información del documento de identidad para tenerlo como válido y poder contratar con el estado? ¿Quién debe realizar esta solicitud de actualización? y ¿Cuál es el procedimiento para realizar la actualización del documento de identidad en el documento que acredite la definición de la situación militar?</w:t>
      </w:r>
      <w:r w:rsidR="00C37936" w:rsidRPr="009C4650">
        <w:rPr>
          <w:rFonts w:ascii="Verdana" w:hAnsi="Verdana" w:cs="Arial"/>
          <w:sz w:val="20"/>
          <w:szCs w:val="20"/>
        </w:rPr>
        <w:t xml:space="preserve"> </w:t>
      </w:r>
      <w:r w:rsidR="007076F5" w:rsidRPr="009C4650">
        <w:rPr>
          <w:rFonts w:ascii="Verdana" w:eastAsia="Calibri" w:hAnsi="Verdana" w:cs="Arial"/>
          <w:sz w:val="20"/>
          <w:szCs w:val="20"/>
          <w:shd w:val="clear" w:color="auto" w:fill="FFFFFF"/>
        </w:rPr>
        <w:t>[…]</w:t>
      </w:r>
      <w:r w:rsidR="00E529C8" w:rsidRPr="009C4650">
        <w:rPr>
          <w:rFonts w:ascii="Verdana" w:eastAsia="Calibri" w:hAnsi="Verdana" w:cs="Arial"/>
          <w:sz w:val="20"/>
          <w:szCs w:val="20"/>
          <w:shd w:val="clear" w:color="auto" w:fill="FFFFFF"/>
        </w:rPr>
        <w:t>”</w:t>
      </w:r>
    </w:p>
    <w:p w14:paraId="3A114BD8" w14:textId="77777777" w:rsidR="00E529C8" w:rsidRPr="00E529C8" w:rsidRDefault="00E529C8" w:rsidP="00C37936">
      <w:pPr>
        <w:tabs>
          <w:tab w:val="left" w:pos="142"/>
          <w:tab w:val="left" w:pos="284"/>
        </w:tabs>
        <w:spacing w:line="240" w:lineRule="auto"/>
        <w:contextualSpacing/>
        <w:jc w:val="both"/>
        <w:rPr>
          <w:rFonts w:ascii="Verdana" w:eastAsia="Century Gothic" w:hAnsi="Verdana" w:cs="Century Gothic"/>
          <w:b/>
          <w:bCs/>
          <w:lang w:val="es-ES"/>
        </w:rPr>
      </w:pPr>
    </w:p>
    <w:p w14:paraId="449767F3" w14:textId="77777777" w:rsidR="00E529C8" w:rsidRPr="00E529C8" w:rsidRDefault="00E529C8" w:rsidP="00E529C8">
      <w:pPr>
        <w:spacing w:after="120" w:line="276" w:lineRule="auto"/>
        <w:ind w:firstLine="709"/>
        <w:jc w:val="both"/>
        <w:rPr>
          <w:rFonts w:ascii="Verdana" w:eastAsia="Calibri" w:hAnsi="Verdana" w:cs="Arial"/>
          <w:szCs w:val="24"/>
          <w:lang w:val="es-ES_tradnl" w:eastAsia="es-ES_tradnl"/>
        </w:rPr>
      </w:pPr>
      <w:r w:rsidRPr="00E529C8">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529C8">
        <w:rPr>
          <w:rFonts w:ascii="Verdana" w:eastAsia="Calibri" w:hAnsi="Verdana" w:cs="Arial"/>
          <w:szCs w:val="24"/>
          <w:lang w:val="es-ES_tradnl" w:eastAsia="es-ES_tradnl"/>
        </w:rPr>
        <w:tab/>
      </w:r>
    </w:p>
    <w:p w14:paraId="7F7B9DE1" w14:textId="77777777" w:rsidR="00E529C8" w:rsidRPr="00E529C8" w:rsidRDefault="00E529C8" w:rsidP="00E529C8">
      <w:pPr>
        <w:spacing w:after="0" w:line="276" w:lineRule="auto"/>
        <w:ind w:firstLine="709"/>
        <w:jc w:val="both"/>
        <w:rPr>
          <w:rFonts w:ascii="Verdana" w:eastAsia="Calibri" w:hAnsi="Verdana" w:cs="Arial"/>
          <w:lang w:val="es-ES" w:eastAsia="es-ES"/>
        </w:rPr>
      </w:pPr>
      <w:r w:rsidRPr="00E529C8">
        <w:rPr>
          <w:rFonts w:ascii="Verdana" w:eastAsia="Calibri" w:hAnsi="Verdana" w:cs="Arial"/>
          <w:lang w:val="es-ES"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8590E93" w14:textId="77777777" w:rsidR="00E529C8" w:rsidRPr="00E529C8" w:rsidRDefault="00E529C8" w:rsidP="00E529C8">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rPr>
      </w:pPr>
      <w:r w:rsidRPr="00E529C8">
        <w:rPr>
          <w:rFonts w:ascii="Verdana" w:eastAsia="Century Gothic" w:hAnsi="Verdana" w:cs="Century Gothic"/>
          <w:b/>
          <w:bCs/>
          <w:lang w:val="es-ES"/>
        </w:rPr>
        <w:t>Problema planteado:</w:t>
      </w:r>
    </w:p>
    <w:p w14:paraId="3B91088D" w14:textId="77777777" w:rsidR="00E529C8" w:rsidRPr="00E529C8" w:rsidRDefault="00E529C8" w:rsidP="00E529C8">
      <w:pPr>
        <w:tabs>
          <w:tab w:val="left" w:pos="426"/>
        </w:tabs>
        <w:spacing w:after="0" w:line="276" w:lineRule="auto"/>
        <w:jc w:val="both"/>
        <w:rPr>
          <w:rFonts w:ascii="Verdana" w:eastAsia="Century Gothic" w:hAnsi="Verdana" w:cs="Century Gothic"/>
          <w:lang w:val="es-ES"/>
        </w:rPr>
      </w:pPr>
    </w:p>
    <w:p w14:paraId="244F13CD" w14:textId="4C657747" w:rsidR="00C37936" w:rsidRDefault="00E529C8" w:rsidP="00C37936">
      <w:pPr>
        <w:spacing w:after="0" w:line="276" w:lineRule="auto"/>
        <w:jc w:val="both"/>
        <w:rPr>
          <w:rFonts w:ascii="Verdana" w:hAnsi="Verdana" w:cs="Arial"/>
        </w:rPr>
      </w:pPr>
      <w:r w:rsidRPr="00C37936">
        <w:rPr>
          <w:rFonts w:ascii="Verdana" w:eastAsia="Century Gothic" w:hAnsi="Verdana" w:cs="Century Gothic"/>
        </w:rPr>
        <w:t xml:space="preserve">De acuerdo con el contenido de su solicitud, esta Agencia resolverá el siguiente problema jurídico: </w:t>
      </w:r>
    </w:p>
    <w:p w14:paraId="1B14A3CC" w14:textId="77777777" w:rsidR="009C4650" w:rsidRDefault="009C4650" w:rsidP="00C37936">
      <w:pPr>
        <w:spacing w:after="0" w:line="276" w:lineRule="auto"/>
        <w:jc w:val="both"/>
        <w:rPr>
          <w:rFonts w:ascii="Verdana" w:hAnsi="Verdana" w:cs="Arial"/>
        </w:rPr>
      </w:pPr>
    </w:p>
    <w:p w14:paraId="5E8CAA78" w14:textId="1784F85F" w:rsidR="009C4650" w:rsidRPr="009C4650" w:rsidRDefault="009C4650" w:rsidP="009C4650">
      <w:pPr>
        <w:pStyle w:val="Prrafodelista"/>
        <w:numPr>
          <w:ilvl w:val="0"/>
          <w:numId w:val="23"/>
        </w:numPr>
        <w:spacing w:after="0" w:line="276" w:lineRule="auto"/>
        <w:jc w:val="both"/>
        <w:rPr>
          <w:rFonts w:ascii="Verdana" w:hAnsi="Verdana" w:cs="Arial"/>
          <w:b/>
          <w:bCs/>
        </w:rPr>
      </w:pPr>
      <w:r w:rsidRPr="009C4650">
        <w:rPr>
          <w:rFonts w:ascii="Verdana" w:hAnsi="Verdana" w:cs="Arial"/>
        </w:rPr>
        <w:t>¿Se puede celebrar un contrato de prestación de servicios o vincular como servidor público a una persona que cuente con inscripción en el Registro de Deudores Alimentarios Morosos – REDAM?</w:t>
      </w:r>
    </w:p>
    <w:p w14:paraId="5574B94D" w14:textId="77777777" w:rsidR="009C4650" w:rsidRPr="00D872FB" w:rsidRDefault="009C4650" w:rsidP="009C4650">
      <w:pPr>
        <w:pStyle w:val="Prrafodelista"/>
        <w:spacing w:line="276" w:lineRule="auto"/>
        <w:ind w:left="1080"/>
        <w:jc w:val="both"/>
        <w:rPr>
          <w:rFonts w:ascii="Verdana" w:hAnsi="Verdana" w:cs="Arial"/>
        </w:rPr>
      </w:pPr>
    </w:p>
    <w:p w14:paraId="79F5948A" w14:textId="28473824" w:rsidR="009C4650" w:rsidRPr="009C4650" w:rsidRDefault="009C4650" w:rsidP="009C4650">
      <w:pPr>
        <w:pStyle w:val="Prrafodelista"/>
        <w:numPr>
          <w:ilvl w:val="0"/>
          <w:numId w:val="23"/>
        </w:numPr>
        <w:spacing w:after="0" w:line="276" w:lineRule="auto"/>
        <w:jc w:val="both"/>
        <w:rPr>
          <w:rFonts w:ascii="Verdana" w:hAnsi="Verdana" w:cs="Arial"/>
          <w:b/>
          <w:bCs/>
        </w:rPr>
      </w:pPr>
      <w:r w:rsidRPr="009C4650">
        <w:rPr>
          <w:rFonts w:ascii="Verdana" w:hAnsi="Verdana" w:cs="Arial"/>
        </w:rPr>
        <w:t xml:space="preserve">¿Cómo se debe acreditar la situación militar para contratar con el Estado? </w:t>
      </w:r>
    </w:p>
    <w:p w14:paraId="029E986D" w14:textId="77777777" w:rsidR="009C4650" w:rsidRPr="009C4650" w:rsidRDefault="009C4650" w:rsidP="00C37936">
      <w:pPr>
        <w:spacing w:after="0" w:line="276" w:lineRule="auto"/>
        <w:jc w:val="both"/>
        <w:rPr>
          <w:rFonts w:ascii="Verdana" w:hAnsi="Verdana" w:cs="Arial"/>
          <w:lang w:val="es-ES"/>
        </w:rPr>
      </w:pPr>
    </w:p>
    <w:p w14:paraId="08B75B58" w14:textId="77777777" w:rsidR="00C37936" w:rsidRPr="00CF564F" w:rsidRDefault="00C37936" w:rsidP="00C37936">
      <w:pPr>
        <w:spacing w:after="0" w:line="276" w:lineRule="auto"/>
        <w:ind w:right="709"/>
        <w:contextualSpacing/>
        <w:jc w:val="both"/>
        <w:rPr>
          <w:rFonts w:ascii="Verdana" w:hAnsi="Verdana" w:cs="Arial"/>
        </w:rPr>
      </w:pPr>
    </w:p>
    <w:p w14:paraId="6B20DEA6" w14:textId="5BCC6840" w:rsidR="00E529C8" w:rsidRPr="00E529C8" w:rsidRDefault="00E529C8" w:rsidP="007076F5">
      <w:pPr>
        <w:snapToGrid w:val="0"/>
        <w:spacing w:after="0" w:line="276" w:lineRule="auto"/>
        <w:jc w:val="both"/>
        <w:rPr>
          <w:rFonts w:ascii="Verdana" w:eastAsia="Century Gothic" w:hAnsi="Verdana" w:cs="Century Gothic"/>
          <w:b/>
          <w:bCs/>
          <w:lang w:val="es-ES"/>
        </w:rPr>
      </w:pPr>
      <w:r w:rsidRPr="00E529C8">
        <w:rPr>
          <w:rFonts w:ascii="Verdana" w:eastAsia="Century Gothic" w:hAnsi="Verdana" w:cs="Century Gothic"/>
          <w:b/>
          <w:bCs/>
          <w:lang w:val="es-ES"/>
        </w:rPr>
        <w:t>Respuesta:</w:t>
      </w:r>
    </w:p>
    <w:p w14:paraId="670A708D" w14:textId="77777777" w:rsidR="00E529C8" w:rsidRPr="00E529C8" w:rsidRDefault="00E529C8" w:rsidP="00E529C8">
      <w:pPr>
        <w:tabs>
          <w:tab w:val="left" w:pos="142"/>
          <w:tab w:val="left" w:pos="284"/>
        </w:tabs>
        <w:snapToGrid w:val="0"/>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529C8" w:rsidRPr="00E529C8" w14:paraId="2DCC8E1F" w14:textId="77777777" w:rsidTr="00C2477C">
        <w:tc>
          <w:tcPr>
            <w:tcW w:w="8828" w:type="dxa"/>
            <w:shd w:val="clear" w:color="auto" w:fill="auto"/>
          </w:tcPr>
          <w:p w14:paraId="176C67C1" w14:textId="3F0BA206" w:rsidR="009C4650" w:rsidRPr="009C4650" w:rsidRDefault="009C4650" w:rsidP="009C4650">
            <w:pPr>
              <w:spacing w:line="276" w:lineRule="auto"/>
              <w:jc w:val="both"/>
              <w:rPr>
                <w:rFonts w:ascii="Verdana" w:eastAsia="Calibri" w:hAnsi="Verdana" w:cs="Arial"/>
                <w:bCs/>
                <w:color w:val="000000" w:themeColor="text1"/>
              </w:rPr>
            </w:pPr>
            <w:r>
              <w:rPr>
                <w:rFonts w:ascii="Verdana" w:eastAsia="Century Gothic" w:hAnsi="Verdana" w:cs="Century Gothic"/>
              </w:rPr>
              <w:lastRenderedPageBreak/>
              <w:t>1.</w:t>
            </w:r>
            <w:r w:rsidRPr="009C4650">
              <w:rPr>
                <w:rFonts w:ascii="Verdana" w:eastAsia="Century Gothic" w:hAnsi="Verdana" w:cs="Century Gothic"/>
              </w:rPr>
              <w:t xml:space="preserve">Frente al primer interrogante planteado, </w:t>
            </w:r>
            <w:r w:rsidRPr="009C4650">
              <w:rPr>
                <w:rFonts w:ascii="Verdana" w:eastAsia="Calibri" w:hAnsi="Verdana" w:cs="Arial"/>
                <w:bCs/>
                <w:color w:val="000000" w:themeColor="text1"/>
              </w:rPr>
              <w:t xml:space="preserve">una de las consecuencias más importantes de la inclusión en el REDAM a través de la </w:t>
            </w:r>
            <w:bookmarkStart w:id="1" w:name="_Hlk183701605"/>
            <w:r w:rsidRPr="009C4650">
              <w:rPr>
                <w:rFonts w:ascii="Verdana" w:eastAsia="Calibri" w:hAnsi="Verdana" w:cs="Arial"/>
                <w:bCs/>
                <w:color w:val="000000" w:themeColor="text1"/>
              </w:rPr>
              <w:t xml:space="preserve">Ley 2097 de 2021 </w:t>
            </w:r>
            <w:bookmarkEnd w:id="1"/>
            <w:r w:rsidRPr="009C4650">
              <w:rPr>
                <w:rFonts w:ascii="Verdana" w:eastAsia="Calibri" w:hAnsi="Verdana" w:cs="Arial"/>
                <w:bCs/>
                <w:color w:val="000000" w:themeColor="text1"/>
              </w:rPr>
              <w:t xml:space="preserve">es la aparición de una inhabilidad para celebrar contratos con el Estado como además de ser nombrado y/o tomar posesión en cargos públicos y de elección popular. Al respecto, conforme al artículo 6.1 y 6.2 </w:t>
            </w:r>
            <w:r w:rsidRPr="009C4650">
              <w:rPr>
                <w:rFonts w:ascii="Verdana" w:eastAsia="Calibri" w:hAnsi="Verdana" w:cs="Arial"/>
                <w:bCs/>
                <w:i/>
                <w:iCs/>
                <w:color w:val="000000" w:themeColor="text1"/>
              </w:rPr>
              <w:t>ibidem</w:t>
            </w:r>
            <w:r w:rsidRPr="009C4650">
              <w:rPr>
                <w:rFonts w:ascii="Verdana" w:eastAsia="Calibri" w:hAnsi="Verdana" w:cs="Arial"/>
                <w:bCs/>
                <w:color w:val="000000" w:themeColor="text1"/>
              </w:rPr>
              <w:t>, indican que “El deudor alimentario moroso solo podrá contratar con el Estado una vez se ponga a paz y salvo con sus obligaciones alimentarias” y “No se podrá nombrar ni posesionar en cargos públicos ni de elección popular a las personas reportadas en el Registro de Deudores Alimentarios Morosos, hasta tanto no se pongan a paz y salvo con las obligaciones alimentarias”</w:t>
            </w:r>
          </w:p>
          <w:p w14:paraId="34D51A66" w14:textId="77777777" w:rsidR="009C4650" w:rsidRPr="00D872FB" w:rsidRDefault="009C4650" w:rsidP="009C4650">
            <w:pPr>
              <w:pStyle w:val="Prrafodelista"/>
              <w:spacing w:line="276" w:lineRule="auto"/>
              <w:jc w:val="both"/>
              <w:rPr>
                <w:rFonts w:ascii="Verdana" w:eastAsia="Calibri" w:hAnsi="Verdana" w:cs="Arial"/>
                <w:bCs/>
                <w:color w:val="000000" w:themeColor="text1"/>
              </w:rPr>
            </w:pPr>
          </w:p>
          <w:p w14:paraId="6E62993D" w14:textId="77777777" w:rsidR="009C4650" w:rsidRPr="009C4650" w:rsidRDefault="009C4650" w:rsidP="009C4650">
            <w:pPr>
              <w:spacing w:line="276" w:lineRule="auto"/>
              <w:jc w:val="both"/>
              <w:rPr>
                <w:rFonts w:ascii="Verdana" w:eastAsia="Calibri" w:hAnsi="Verdana" w:cs="Arial"/>
                <w:bCs/>
                <w:color w:val="000000" w:themeColor="text1"/>
              </w:rPr>
            </w:pPr>
            <w:r w:rsidRPr="009C4650">
              <w:rPr>
                <w:rFonts w:ascii="Verdana" w:eastAsia="Calibri" w:hAnsi="Verdana" w:cs="Arial"/>
                <w:bCs/>
                <w:color w:val="000000" w:themeColor="text1"/>
              </w:rPr>
              <w:t xml:space="preserve">Vale Mencionar, que en un examen de constitucionalidad  según la Sentencia expedida por la corte constitucional </w:t>
            </w:r>
            <w:bookmarkStart w:id="2" w:name="_Hlk183701628"/>
            <w:r w:rsidRPr="009C4650">
              <w:rPr>
                <w:rFonts w:ascii="Verdana" w:eastAsia="Calibri" w:hAnsi="Verdana" w:cs="Arial"/>
                <w:bCs/>
                <w:color w:val="000000" w:themeColor="text1"/>
              </w:rPr>
              <w:t>C-032 de 2021</w:t>
            </w:r>
            <w:bookmarkEnd w:id="2"/>
            <w:r w:rsidRPr="009C4650">
              <w:rPr>
                <w:rFonts w:ascii="Verdana" w:eastAsia="Calibri" w:hAnsi="Verdana" w:cs="Arial"/>
                <w:bCs/>
                <w:color w:val="000000" w:themeColor="text1"/>
              </w:rPr>
              <w:t xml:space="preserve">, el alto tribunal constitucional declaró  la inhabilidad mencionada como exequible indicando, entre otras “[…] si se reconoce la validez constitucional de medidas altamente invasivas de la autonomía individual, como son las que se derivan del uso de la tipificación penal, resultaría un contrasentido cuestionar instrumentos de menor intensidad, como es la imposición de este requisito para contratar con el estado[…]”, queriendo decir, que el no cumplimiento de las obligaciones alimentarias impacta principios fundamentales de la Constitución y, en ningún caso, puede ser ignorado al evaluar las características de los futuros contratistas del Estado. </w:t>
            </w:r>
          </w:p>
          <w:p w14:paraId="39CF1E7E" w14:textId="3F2FD788" w:rsidR="00E529C8" w:rsidRDefault="009C4650" w:rsidP="009C4650">
            <w:pPr>
              <w:spacing w:before="12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De igual forma, esta Agencia quiere recalcar que, conforme a las facultades otorgadas por el numeral 5 del artículo 3 y el numeral 8 del artículo 11 del </w:t>
            </w:r>
            <w:bookmarkStart w:id="3" w:name="_Hlk183701659"/>
            <w:r>
              <w:rPr>
                <w:rFonts w:ascii="Verdana" w:eastAsia="Calibri" w:hAnsi="Verdana" w:cs="Arial"/>
                <w:bCs/>
                <w:color w:val="000000" w:themeColor="text1"/>
              </w:rPr>
              <w:t>Decreto 4170 de 2011</w:t>
            </w:r>
            <w:bookmarkEnd w:id="3"/>
            <w:r>
              <w:rPr>
                <w:rFonts w:ascii="Verdana" w:eastAsia="Calibri" w:hAnsi="Verdana" w:cs="Arial"/>
                <w:bCs/>
                <w:color w:val="000000" w:themeColor="text1"/>
              </w:rPr>
              <w:t>, esta Agencia no tiene competencia y no puede pronunciarse sobre casos particulares o preguntas que no contengan dudas sobre la aplicación de una norma general en materia de contratación estatal; y teniendo en cuenta que usted radicó esta consulta ante el Departamento Administrativo de la Función Pública, no daremos traslado de su petición</w:t>
            </w:r>
            <w:r w:rsidR="007E394C">
              <w:rPr>
                <w:rFonts w:ascii="Verdana" w:eastAsia="Calibri" w:hAnsi="Verdana" w:cs="Arial"/>
                <w:bCs/>
                <w:color w:val="000000" w:themeColor="text1"/>
              </w:rPr>
              <w:t xml:space="preserve"> </w:t>
            </w:r>
            <w:r w:rsidR="007E394C" w:rsidRPr="007E394C">
              <w:rPr>
                <w:rFonts w:ascii="Verdana" w:eastAsia="Calibri" w:hAnsi="Verdana" w:cs="Arial"/>
                <w:bCs/>
                <w:color w:val="000000" w:themeColor="text1"/>
              </w:rPr>
              <w:t>respecto de la vinculación de servidores públicos.</w:t>
            </w:r>
          </w:p>
          <w:p w14:paraId="1E470AB7" w14:textId="77777777" w:rsidR="009C4650" w:rsidRDefault="009C4650" w:rsidP="009C4650">
            <w:pPr>
              <w:spacing w:before="120" w:line="276" w:lineRule="auto"/>
              <w:jc w:val="both"/>
              <w:rPr>
                <w:rFonts w:ascii="Verdana" w:eastAsia="Calibri" w:hAnsi="Verdana" w:cs="Arial"/>
                <w:bCs/>
                <w:color w:val="000000" w:themeColor="text1"/>
              </w:rPr>
            </w:pPr>
          </w:p>
          <w:p w14:paraId="525CA4BF" w14:textId="67215B0C" w:rsidR="009C4650" w:rsidRPr="009C4650" w:rsidRDefault="009C4650" w:rsidP="009C4650">
            <w:pPr>
              <w:spacing w:line="276" w:lineRule="auto"/>
              <w:jc w:val="both"/>
              <w:rPr>
                <w:rFonts w:ascii="Verdana" w:eastAsia="Calibri" w:hAnsi="Verdana" w:cs="Arial"/>
                <w:b/>
                <w:lang w:val="es-ES_tradnl"/>
              </w:rPr>
            </w:pPr>
            <w:r>
              <w:rPr>
                <w:rFonts w:ascii="Verdana" w:eastAsia="Calibri" w:hAnsi="Verdana" w:cs="Arial"/>
                <w:bCs/>
                <w:color w:val="000000" w:themeColor="text1"/>
              </w:rPr>
              <w:t>2.</w:t>
            </w:r>
            <w:r w:rsidRPr="009C4650">
              <w:rPr>
                <w:rFonts w:ascii="Verdana" w:eastAsia="Calibri" w:hAnsi="Verdana" w:cs="Arial"/>
                <w:bCs/>
                <w:color w:val="000000" w:themeColor="text1"/>
              </w:rPr>
              <w:t xml:space="preserve">Respecto al segundo interrogante, </w:t>
            </w:r>
            <w:r w:rsidRPr="009C4650">
              <w:rPr>
                <w:rFonts w:ascii="Verdana" w:eastAsia="Calibri" w:hAnsi="Verdana" w:cs="Arial"/>
                <w:color w:val="000000" w:themeColor="text1"/>
              </w:rPr>
              <w:t xml:space="preserve">para celebrar un contrato de prestación de servicios con una entidad estatal en Colombia, es obligatorio que los varones ciudadanos acrediten su situación militar, conforme al artículo 42 de la </w:t>
            </w:r>
            <w:bookmarkStart w:id="4" w:name="_Hlk183701679"/>
            <w:r w:rsidRPr="009C4650">
              <w:rPr>
                <w:rFonts w:ascii="Verdana" w:eastAsia="Calibri" w:hAnsi="Verdana" w:cs="Arial"/>
                <w:color w:val="000000" w:themeColor="text1"/>
              </w:rPr>
              <w:t>Ley 1861 de 2017</w:t>
            </w:r>
            <w:bookmarkEnd w:id="4"/>
            <w:r w:rsidRPr="009C4650">
              <w:rPr>
                <w:rFonts w:ascii="Verdana" w:eastAsia="Calibri" w:hAnsi="Verdana" w:cs="Arial"/>
                <w:color w:val="000000" w:themeColor="text1"/>
              </w:rPr>
              <w:t xml:space="preserve">. No obstante, quienes sean clasificados como no aptos, exentos, hayan superado la edad máxima de incorporación, o estén </w:t>
            </w:r>
            <w:r w:rsidRPr="009C4650">
              <w:rPr>
                <w:rFonts w:ascii="Verdana" w:eastAsia="Calibri" w:hAnsi="Verdana" w:cs="Arial"/>
                <w:color w:val="000000" w:themeColor="text1"/>
              </w:rPr>
              <w:lastRenderedPageBreak/>
              <w:t>exonerados del pago de la cuota de compensación militar pueden celebrar contratos sin la libreta militar, teniendo 18 meses para definir su situación.</w:t>
            </w:r>
          </w:p>
          <w:p w14:paraId="3CA2BBA5" w14:textId="77777777" w:rsidR="007E394C" w:rsidRDefault="007E394C" w:rsidP="009C4650">
            <w:pPr>
              <w:spacing w:line="276" w:lineRule="auto"/>
              <w:jc w:val="both"/>
              <w:rPr>
                <w:rFonts w:ascii="Verdana" w:eastAsia="Calibri" w:hAnsi="Verdana" w:cs="Arial"/>
                <w:color w:val="000000" w:themeColor="text1"/>
              </w:rPr>
            </w:pPr>
          </w:p>
          <w:p w14:paraId="1DD27483" w14:textId="296C5918" w:rsidR="009C4650" w:rsidRPr="009C4650" w:rsidRDefault="009C4650" w:rsidP="009C4650">
            <w:pPr>
              <w:spacing w:line="276" w:lineRule="auto"/>
              <w:jc w:val="both"/>
              <w:rPr>
                <w:rFonts w:ascii="Verdana" w:eastAsia="Calibri" w:hAnsi="Verdana" w:cs="Arial"/>
                <w:color w:val="000000" w:themeColor="text1"/>
              </w:rPr>
            </w:pPr>
            <w:r w:rsidRPr="009C4650">
              <w:rPr>
                <w:rFonts w:ascii="Verdana" w:eastAsia="Calibri" w:hAnsi="Verdana" w:cs="Arial"/>
                <w:color w:val="000000" w:themeColor="text1"/>
              </w:rPr>
              <w:t xml:space="preserve">En lo respectivo a los procedimientos acordes a la actualización, la Agencia responde que le compete al Ministerio de Defensa Nacional dar los lineamientos acordes para indicar cuál es el mecanismo con su respectivo paso a paso para que el documento sea expedido acorde a los requerimientos de ley. </w:t>
            </w:r>
          </w:p>
        </w:tc>
      </w:tr>
    </w:tbl>
    <w:p w14:paraId="1B750E82" w14:textId="77777777" w:rsidR="00E529C8" w:rsidRPr="00E529C8" w:rsidRDefault="00E529C8" w:rsidP="00E529C8">
      <w:pPr>
        <w:tabs>
          <w:tab w:val="left" w:pos="142"/>
          <w:tab w:val="left" w:pos="284"/>
        </w:tabs>
        <w:snapToGrid w:val="0"/>
        <w:spacing w:after="0" w:line="276" w:lineRule="auto"/>
        <w:jc w:val="both"/>
        <w:rPr>
          <w:rFonts w:ascii="Verdana" w:eastAsia="Century Gothic" w:hAnsi="Verdana" w:cs="Century Gothic"/>
          <w:b/>
          <w:bCs/>
          <w:lang w:val="es-ES"/>
        </w:rPr>
      </w:pPr>
    </w:p>
    <w:p w14:paraId="3D74E42B" w14:textId="77777777" w:rsidR="009C4650" w:rsidRDefault="00E529C8" w:rsidP="009C4650">
      <w:pPr>
        <w:numPr>
          <w:ilvl w:val="0"/>
          <w:numId w:val="25"/>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E529C8">
        <w:rPr>
          <w:rFonts w:ascii="Verdana" w:eastAsia="Century Gothic" w:hAnsi="Verdana" w:cs="Century Gothic"/>
          <w:b/>
          <w:bCs/>
          <w:lang w:val="es-ES"/>
        </w:rPr>
        <w:t>Razones de la respuesta:</w:t>
      </w:r>
    </w:p>
    <w:p w14:paraId="76E22919" w14:textId="77777777" w:rsidR="009C4650" w:rsidRDefault="009C4650" w:rsidP="009C4650">
      <w:pPr>
        <w:tabs>
          <w:tab w:val="left" w:pos="142"/>
          <w:tab w:val="left" w:pos="284"/>
        </w:tabs>
        <w:snapToGrid w:val="0"/>
        <w:spacing w:after="0" w:line="276" w:lineRule="auto"/>
        <w:ind w:left="357"/>
        <w:jc w:val="both"/>
        <w:rPr>
          <w:rFonts w:ascii="Verdana" w:eastAsia="Century Gothic" w:hAnsi="Verdana" w:cs="Century Gothic"/>
          <w:b/>
          <w:bCs/>
          <w:lang w:val="es-ES"/>
        </w:rPr>
      </w:pPr>
    </w:p>
    <w:p w14:paraId="5D4F9539" w14:textId="77777777" w:rsidR="009C4650" w:rsidRDefault="009C4650" w:rsidP="009C4650">
      <w:pPr>
        <w:pStyle w:val="Prrafodelista"/>
        <w:rPr>
          <w:rFonts w:ascii="Verdana" w:eastAsia="Calibri" w:hAnsi="Verdana" w:cs="Arial"/>
          <w:bCs/>
          <w:color w:val="000000" w:themeColor="text1"/>
        </w:rPr>
      </w:pPr>
    </w:p>
    <w:p w14:paraId="394C61E8" w14:textId="48621C3D" w:rsidR="009C4650" w:rsidRPr="007E394C" w:rsidRDefault="009C4650" w:rsidP="009C4650">
      <w:pPr>
        <w:pStyle w:val="Prrafodelista"/>
        <w:numPr>
          <w:ilvl w:val="0"/>
          <w:numId w:val="29"/>
        </w:numPr>
        <w:tabs>
          <w:tab w:val="left" w:pos="142"/>
          <w:tab w:val="left" w:pos="284"/>
        </w:tabs>
        <w:snapToGrid w:val="0"/>
        <w:spacing w:after="0" w:line="276" w:lineRule="auto"/>
        <w:jc w:val="both"/>
        <w:rPr>
          <w:rFonts w:ascii="Verdana" w:eastAsia="Century Gothic" w:hAnsi="Verdana" w:cs="Century Gothic"/>
          <w:b/>
          <w:bCs/>
        </w:rPr>
      </w:pPr>
      <w:r w:rsidRPr="009C4650">
        <w:rPr>
          <w:rFonts w:ascii="Verdana" w:eastAsia="Calibri" w:hAnsi="Verdana" w:cs="Arial"/>
          <w:bCs/>
          <w:color w:val="000000" w:themeColor="text1"/>
        </w:rPr>
        <w:t>Frente al primer interrogante, Las inhabilidades son prohibiciones para concurrir a los procedimientos de selección y para contratar con el Estado, que se derivan: i) de la existencia de comportamientos reprochables o de sanciones anteriormente impuestas</w:t>
      </w:r>
      <w:r w:rsidRPr="007E394C">
        <w:rPr>
          <w:rFonts w:ascii="Times New Roman" w:hAnsi="Times New Roman" w:cs="Times New Roman"/>
          <w:sz w:val="24"/>
          <w:szCs w:val="24"/>
        </w:rPr>
        <w:footnoteReference w:id="2"/>
      </w:r>
      <w:r w:rsidRPr="007E394C">
        <w:rPr>
          <w:rFonts w:ascii="Verdana" w:eastAsia="Calibri" w:hAnsi="Verdana" w:cs="Arial"/>
          <w:bCs/>
          <w:color w:val="000000" w:themeColor="text1"/>
        </w:rPr>
        <w:t xml:space="preserve">, </w:t>
      </w:r>
      <w:proofErr w:type="spellStart"/>
      <w:r w:rsidRPr="007E394C">
        <w:rPr>
          <w:rFonts w:ascii="Verdana" w:eastAsia="Calibri" w:hAnsi="Verdana" w:cs="Arial"/>
          <w:bCs/>
          <w:color w:val="000000" w:themeColor="text1"/>
        </w:rPr>
        <w:t>ii</w:t>
      </w:r>
      <w:proofErr w:type="spellEnd"/>
      <w:r w:rsidRPr="007E394C">
        <w:rPr>
          <w:rFonts w:ascii="Verdana" w:eastAsia="Calibri" w:hAnsi="Verdana" w:cs="Arial"/>
          <w:bCs/>
          <w:color w:val="000000" w:themeColor="text1"/>
        </w:rPr>
        <w:t xml:space="preserve">) de vínculos personales relativos </w:t>
      </w:r>
      <w:r w:rsidRPr="008F59B0">
        <w:rPr>
          <w:rFonts w:ascii="Verdana" w:eastAsia="Calibri" w:hAnsi="Verdana" w:cs="Arial"/>
          <w:lang w:val="es-ES_tradnl"/>
        </w:rPr>
        <w:t>al parentesco o al estado civil</w:t>
      </w:r>
      <w:r w:rsidRPr="008F59B0">
        <w:rPr>
          <w:rStyle w:val="Refdenotaalpie"/>
          <w:rFonts w:ascii="Verdana" w:eastAsia="Calibri" w:hAnsi="Verdana" w:cs="Arial"/>
          <w:lang w:val="es-ES_tradnl"/>
        </w:rPr>
        <w:footnoteReference w:id="3"/>
      </w:r>
      <w:r w:rsidRPr="008F59B0">
        <w:rPr>
          <w:rFonts w:ascii="Verdana" w:eastAsia="Calibri" w:hAnsi="Verdana" w:cs="Arial"/>
          <w:lang w:val="es-ES_tradnl"/>
        </w:rPr>
        <w:t xml:space="preserve"> o </w:t>
      </w:r>
      <w:proofErr w:type="spellStart"/>
      <w:r w:rsidRPr="008F59B0">
        <w:rPr>
          <w:rFonts w:ascii="Verdana" w:eastAsia="Calibri" w:hAnsi="Verdana" w:cs="Arial"/>
          <w:lang w:val="es-ES_tradnl"/>
        </w:rPr>
        <w:t>iii</w:t>
      </w:r>
      <w:proofErr w:type="spellEnd"/>
      <w:r w:rsidRPr="008F59B0">
        <w:rPr>
          <w:rFonts w:ascii="Verdana" w:eastAsia="Calibri" w:hAnsi="Verdana" w:cs="Arial"/>
          <w:lang w:val="es-ES_tradnl"/>
        </w:rPr>
        <w:t xml:space="preserve">) de una actividad u oficio que se </w:t>
      </w:r>
      <w:r w:rsidRPr="007E394C">
        <w:rPr>
          <w:rFonts w:ascii="Verdana" w:eastAsia="Calibri" w:hAnsi="Verdana" w:cs="Arial"/>
          <w:bCs/>
          <w:color w:val="000000" w:themeColor="text1"/>
        </w:rPr>
        <w:t>desempeñó en el pasado</w:t>
      </w:r>
      <w:r w:rsidRPr="007E394C">
        <w:rPr>
          <w:rFonts w:ascii="Times New Roman" w:hAnsi="Times New Roman" w:cs="Times New Roman"/>
          <w:sz w:val="24"/>
          <w:szCs w:val="24"/>
        </w:rPr>
        <w:footnoteReference w:id="4"/>
      </w:r>
      <w:r w:rsidRPr="008F59B0">
        <w:rPr>
          <w:rFonts w:ascii="Verdana" w:eastAsia="Calibri" w:hAnsi="Verdana" w:cs="Arial"/>
          <w:lang w:val="es-ES_tradnl"/>
        </w:rPr>
        <w:t xml:space="preserve">. De otro lado, las incompatibilidades, según un sector de la doctrina, son prohibiciones para participar en los procedimientos de selección y para celebrar contratos estatales, fundadas </w:t>
      </w:r>
      <w:r w:rsidRPr="008F59B0">
        <w:rPr>
          <w:rFonts w:ascii="Verdana" w:eastAsia="Calibri" w:hAnsi="Verdana" w:cs="Arial"/>
          <w:lang w:val="es-ES_tradnl"/>
        </w:rPr>
        <w:lastRenderedPageBreak/>
        <w:t>en la presencia de una calidad que ostenta el sujeto interesado en realizar alguna de dichas actividades, que no puede coexistir con su calidad de proponente o contratista del Estado</w:t>
      </w:r>
      <w:r w:rsidRPr="007E394C">
        <w:rPr>
          <w:rFonts w:ascii="Times New Roman" w:hAnsi="Times New Roman" w:cs="Times New Roman"/>
          <w:sz w:val="24"/>
          <w:szCs w:val="24"/>
        </w:rPr>
        <w:footnoteReference w:id="5"/>
      </w:r>
      <w:r w:rsidRPr="007E394C">
        <w:rPr>
          <w:rFonts w:ascii="Verdana" w:eastAsia="Calibri" w:hAnsi="Verdana" w:cs="Arial"/>
          <w:bCs/>
          <w:color w:val="000000" w:themeColor="text1"/>
        </w:rPr>
        <w:t>. En todo caso, a pesar de la existencia de distintos criterios para diferenciar las inhabilidades de las incompatibilidades, de la presencia de ellas se derivan las mismas consecuencias jurídicas, esto es, la limitación de la capacidad contractual, como se desarrolló en el numeral 2.1. de este concepto. De manera que la presencia de ellas impide que se puedan celebrar contratos con el Estado o participar en procedimientos de selección de las entidades estatales, por lo que de cualquiera de ellas se derivan los mismos efectos jurídicos</w:t>
      </w:r>
      <w:r w:rsidRPr="007E394C">
        <w:rPr>
          <w:rFonts w:ascii="Times New Roman" w:hAnsi="Times New Roman" w:cs="Times New Roman"/>
          <w:sz w:val="24"/>
          <w:szCs w:val="24"/>
        </w:rPr>
        <w:footnoteReference w:id="6"/>
      </w:r>
      <w:r w:rsidRPr="007E394C">
        <w:rPr>
          <w:rFonts w:ascii="Verdana" w:eastAsia="Calibri" w:hAnsi="Verdana" w:cs="Arial"/>
          <w:bCs/>
          <w:color w:val="000000" w:themeColor="text1"/>
        </w:rPr>
        <w:t>.</w:t>
      </w:r>
    </w:p>
    <w:p w14:paraId="4254C9D0" w14:textId="77777777" w:rsidR="009C4650" w:rsidRPr="00D872FB" w:rsidRDefault="009C4650" w:rsidP="009C4650">
      <w:pPr>
        <w:pStyle w:val="Prrafodelista"/>
        <w:tabs>
          <w:tab w:val="left" w:pos="0"/>
        </w:tabs>
        <w:spacing w:after="120" w:line="276" w:lineRule="auto"/>
        <w:jc w:val="both"/>
        <w:rPr>
          <w:rFonts w:ascii="Verdana" w:eastAsia="Calibri" w:hAnsi="Verdana" w:cs="Arial"/>
          <w:bCs/>
          <w:color w:val="000000" w:themeColor="text1"/>
        </w:rPr>
      </w:pPr>
    </w:p>
    <w:p w14:paraId="49CF03CF" w14:textId="77777777" w:rsidR="009C4650" w:rsidRPr="00D872FB" w:rsidRDefault="009C4650" w:rsidP="009C4650">
      <w:pPr>
        <w:pStyle w:val="Prrafodelista"/>
        <w:numPr>
          <w:ilvl w:val="0"/>
          <w:numId w:val="27"/>
        </w:numPr>
        <w:tabs>
          <w:tab w:val="left" w:pos="0"/>
        </w:tabs>
        <w:spacing w:after="120" w:line="276" w:lineRule="auto"/>
        <w:jc w:val="both"/>
        <w:rPr>
          <w:rFonts w:ascii="Verdana" w:eastAsia="Calibri" w:hAnsi="Verdana" w:cs="Arial"/>
          <w:bCs/>
          <w:color w:val="000000" w:themeColor="text1"/>
        </w:rPr>
      </w:pPr>
      <w:r w:rsidRPr="00D872FB">
        <w:rPr>
          <w:rFonts w:ascii="Verdana" w:eastAsia="Calibri" w:hAnsi="Verdana" w:cs="Arial"/>
          <w:bCs/>
          <w:color w:val="000000" w:themeColor="text1"/>
        </w:rPr>
        <w:t xml:space="preserve">El 2 de julio de 2021, el Gobierno Nacional sancionó la </w:t>
      </w:r>
      <w:bookmarkStart w:id="5" w:name="_Hlk183701706"/>
      <w:r w:rsidRPr="00D872FB">
        <w:rPr>
          <w:rFonts w:ascii="Verdana" w:eastAsia="Calibri" w:hAnsi="Verdana" w:cs="Arial"/>
          <w:bCs/>
          <w:color w:val="000000" w:themeColor="text1"/>
        </w:rPr>
        <w:t>Ley Estatutaria 2097 de 2021</w:t>
      </w:r>
      <w:bookmarkEnd w:id="5"/>
      <w:r w:rsidRPr="00D872FB">
        <w:rPr>
          <w:rFonts w:ascii="Verdana" w:eastAsia="Calibri" w:hAnsi="Verdana" w:cs="Arial"/>
          <w:bCs/>
          <w:color w:val="000000" w:themeColor="text1"/>
        </w:rPr>
        <w:t>, cuyo objeto –de acuerdo con el artículo 1– consiste en “[…] establecer medidas para garantizar el cumplimiento de las obligaciones alimentarias y crear el Registro de Deudores Alimentarios Morosos (</w:t>
      </w:r>
      <w:proofErr w:type="spellStart"/>
      <w:r w:rsidRPr="00D872FB">
        <w:rPr>
          <w:rFonts w:ascii="Verdana" w:eastAsia="Calibri" w:hAnsi="Verdana" w:cs="Arial"/>
          <w:bCs/>
          <w:color w:val="000000" w:themeColor="text1"/>
        </w:rPr>
        <w:t>Redam</w:t>
      </w:r>
      <w:proofErr w:type="spellEnd"/>
      <w:r w:rsidRPr="00D872FB">
        <w:rPr>
          <w:rFonts w:ascii="Verdana" w:eastAsia="Calibri" w:hAnsi="Verdana" w:cs="Arial"/>
          <w:bCs/>
          <w:color w:val="000000" w:themeColor="text1"/>
        </w:rPr>
        <w:t xml:space="preserve">), como mecanismo de control al incumplimiento de las obligaciones alimentarias”. Conforme a la exposición de motivos del proyecto ley, existe una vulneración de derechos al interior de la institución familiar, cuyo despliegue en materia de política pública ha sido limitado y resulta insuficiente para atender la problemática asociada al incumplimiento de la obligación legal prevista en el Título XXI del Libro Primero del Código Civil, especialmente, en el caso de los menores de edad, con las repercusiones que esta tiene tanto para ellos como para quien tiene la responsabilidad del cuidado y manutención. Por ello, tomado como referencia legislaciones foráneas como Estados Unidos, Perú, Uruguay, así como normatividades análogas en provincias y estados como Buenos Aires y Córdoba, en la Argentina, y la Ciudad de México, en México, los ponentes de la iniciativa concluyeron que “Estas experiencias de implementación del Registro de Deudores Alimentarios Morosos se pueden considerar el punto de partida para obtener una herramienta importante en la lucha contra el incumplimiento del pago de alimentos. </w:t>
      </w:r>
      <w:r w:rsidRPr="00D872FB">
        <w:rPr>
          <w:rFonts w:ascii="Verdana" w:eastAsia="Calibri" w:hAnsi="Verdana" w:cs="Arial"/>
          <w:bCs/>
          <w:color w:val="000000" w:themeColor="text1"/>
        </w:rPr>
        <w:lastRenderedPageBreak/>
        <w:t>Así, la finalidad que se persigue con este tipo de normas sancionatorias es que ante el incumplimiento alimentario se coaccione a los deudores para que cumplan con su obligación”</w:t>
      </w:r>
      <w:r w:rsidRPr="00D872FB">
        <w:rPr>
          <w:rStyle w:val="Refdenotaalpie"/>
          <w:rFonts w:ascii="Verdana" w:eastAsia="Calibri" w:hAnsi="Verdana" w:cs="Arial"/>
          <w:bCs/>
          <w:color w:val="000000" w:themeColor="text1"/>
        </w:rPr>
        <w:footnoteReference w:id="7"/>
      </w:r>
      <w:r w:rsidRPr="00D872FB">
        <w:rPr>
          <w:rFonts w:ascii="Verdana" w:eastAsia="Calibri" w:hAnsi="Verdana" w:cs="Arial"/>
          <w:bCs/>
          <w:color w:val="000000" w:themeColor="text1"/>
        </w:rPr>
        <w:t>.</w:t>
      </w:r>
    </w:p>
    <w:p w14:paraId="25D1EE79" w14:textId="77777777" w:rsidR="009C4650" w:rsidRPr="00D872FB" w:rsidRDefault="009C4650" w:rsidP="009C4650">
      <w:pPr>
        <w:pStyle w:val="Prrafodelista"/>
        <w:tabs>
          <w:tab w:val="left" w:pos="0"/>
        </w:tabs>
        <w:spacing w:after="120" w:line="276" w:lineRule="auto"/>
        <w:jc w:val="both"/>
        <w:rPr>
          <w:rFonts w:ascii="Verdana" w:eastAsia="Calibri" w:hAnsi="Verdana" w:cs="Arial"/>
          <w:bCs/>
          <w:color w:val="000000" w:themeColor="text1"/>
        </w:rPr>
      </w:pPr>
    </w:p>
    <w:p w14:paraId="01B65C5F" w14:textId="77777777" w:rsidR="009C4650" w:rsidRPr="00D872FB" w:rsidRDefault="009C4650" w:rsidP="009C4650">
      <w:pPr>
        <w:pStyle w:val="Prrafodelista"/>
        <w:numPr>
          <w:ilvl w:val="0"/>
          <w:numId w:val="27"/>
        </w:numPr>
        <w:tabs>
          <w:tab w:val="left" w:pos="0"/>
        </w:tabs>
        <w:spacing w:after="0" w:line="276" w:lineRule="auto"/>
        <w:jc w:val="both"/>
        <w:rPr>
          <w:rFonts w:ascii="Verdana" w:eastAsia="Calibri" w:hAnsi="Verdana" w:cs="Arial"/>
          <w:bCs/>
          <w:color w:val="000000" w:themeColor="text1"/>
        </w:rPr>
      </w:pPr>
      <w:r w:rsidRPr="00D872FB">
        <w:rPr>
          <w:rFonts w:ascii="Verdana" w:eastAsia="Calibri" w:hAnsi="Verdana" w:cs="Arial"/>
          <w:bCs/>
          <w:color w:val="000000" w:themeColor="text1"/>
        </w:rPr>
        <w:t>En esta perspectiva, el artículo 2 de la Ley 2097 de 2021 dispone que –sin importar que se trate de alimentos congruos o necesarios, definitivos o provisionales– las medidas previstas rigen para “[…] todas las personas que se encuentren en mora a partir de tres (3) cuotas alimentarias, sucesivas o no, establecidas en sentencias ejecutoriadas, acuerdos de conciliación, o cualquier título ejecutivo que contenga obligaciones de carácter alimentario”. Adicionalmente, agrega que “Esta norma aplica para los deudores alimentarios morosos de las personas titulares de derechos de alimentos estipulados en el artículo 411 del Código Civil colombiano, que incurran en las condiciones consagradas en el presente artículo”. Asimismo, el artículo 3 regula el procedimiento de inscripción en los siguientes términos:</w:t>
      </w:r>
    </w:p>
    <w:p w14:paraId="4C0255C5" w14:textId="77777777" w:rsidR="009C4650" w:rsidRPr="00D872FB" w:rsidRDefault="009C4650" w:rsidP="009C4650">
      <w:pPr>
        <w:tabs>
          <w:tab w:val="left" w:pos="0"/>
        </w:tabs>
        <w:spacing w:after="0" w:line="276" w:lineRule="auto"/>
        <w:jc w:val="both"/>
        <w:rPr>
          <w:rFonts w:ascii="Verdana" w:eastAsia="Calibri" w:hAnsi="Verdana" w:cs="Arial"/>
          <w:bCs/>
          <w:color w:val="000000" w:themeColor="text1"/>
        </w:rPr>
      </w:pPr>
    </w:p>
    <w:p w14:paraId="10A13552" w14:textId="77777777" w:rsidR="009C4650" w:rsidRPr="00D872FB" w:rsidRDefault="009C4650" w:rsidP="009C4650">
      <w:pPr>
        <w:tabs>
          <w:tab w:val="left" w:pos="993"/>
        </w:tabs>
        <w:spacing w:after="120" w:line="240" w:lineRule="auto"/>
        <w:ind w:left="709" w:right="709"/>
        <w:jc w:val="both"/>
        <w:rPr>
          <w:rFonts w:ascii="Verdana" w:eastAsia="Calibri" w:hAnsi="Verdana" w:cs="Arial"/>
          <w:bCs/>
          <w:color w:val="000000" w:themeColor="text1"/>
        </w:rPr>
      </w:pPr>
      <w:r w:rsidRPr="00D872FB">
        <w:rPr>
          <w:rFonts w:ascii="Verdana" w:eastAsia="Calibri" w:hAnsi="Verdana" w:cs="Arial"/>
          <w:bCs/>
          <w:color w:val="000000" w:themeColor="text1"/>
        </w:rPr>
        <w:t>El acreedor de alimentos deberá solicitar el registro ante el juez y/o funcionario que conoce o conoció del proceso y/o de alimentos quien, previo a ordenar la inscripción en el Registro de Deudores Alimentarios Morosos, deberá correr traslado de la solicitud al deudor alimentario que se reputa en mora por cinco (5) días hábiles, al término de los cuales resolverá sobre la procedencia o no de la misma, con fundamento en la existencia o no de una justa causa. La decisión del juez y/o funcionario podrá ser objeto del recurso de reposición quien dispondrá de cinco (5) días hábiles para resolverlo.</w:t>
      </w:r>
    </w:p>
    <w:p w14:paraId="13875199" w14:textId="77777777" w:rsidR="009C4650" w:rsidRPr="00D872FB" w:rsidRDefault="009C4650" w:rsidP="009C4650">
      <w:pPr>
        <w:tabs>
          <w:tab w:val="left" w:pos="993"/>
        </w:tabs>
        <w:spacing w:after="120" w:line="240" w:lineRule="auto"/>
        <w:ind w:left="709" w:right="709"/>
        <w:jc w:val="both"/>
        <w:rPr>
          <w:rFonts w:ascii="Verdana" w:eastAsia="Calibri" w:hAnsi="Verdana" w:cs="Arial"/>
          <w:bCs/>
          <w:color w:val="000000" w:themeColor="text1"/>
        </w:rPr>
      </w:pPr>
      <w:r w:rsidRPr="00D872FB">
        <w:rPr>
          <w:rFonts w:ascii="Verdana" w:eastAsia="Calibri" w:hAnsi="Verdana" w:cs="Arial"/>
          <w:bCs/>
          <w:color w:val="000000" w:themeColor="text1"/>
        </w:rPr>
        <w:t>Parágrafo 1º. Una vez en firme la decisión que ordena la inscripción en el Registro de Deudores Alimentarios Morosos, el juez o la autoridad oficiará en un plazo no mayor a cinco (5) días hábiles a la entidad encargada de su operación con el propósito de hacer efectiva la misma.</w:t>
      </w:r>
    </w:p>
    <w:p w14:paraId="49522702" w14:textId="77777777" w:rsidR="009C4650" w:rsidRPr="00D872FB" w:rsidRDefault="009C4650" w:rsidP="009C4650">
      <w:pPr>
        <w:tabs>
          <w:tab w:val="left" w:pos="993"/>
        </w:tabs>
        <w:spacing w:after="120" w:line="240" w:lineRule="auto"/>
        <w:ind w:left="709" w:right="709"/>
        <w:jc w:val="both"/>
        <w:rPr>
          <w:rFonts w:ascii="Verdana" w:eastAsia="Calibri" w:hAnsi="Verdana" w:cs="Arial"/>
          <w:bCs/>
          <w:color w:val="000000" w:themeColor="text1"/>
        </w:rPr>
      </w:pPr>
      <w:r w:rsidRPr="00D872FB">
        <w:rPr>
          <w:rFonts w:ascii="Verdana" w:eastAsia="Calibri" w:hAnsi="Verdana" w:cs="Arial"/>
          <w:bCs/>
          <w:color w:val="000000" w:themeColor="text1"/>
        </w:rPr>
        <w:t xml:space="preserve">Parágrafo 2º. Solo podrá proponerse como excepción a la solicitud de registro en el Registro de Deudores Alimentarios Morosos el pago de las obligaciones alimentarias que se encuentran en mora, siempre y cuando sea la primera inscripción, en el evento de recurrencia en el incumplimiento de las cuotas alimentarias y el pago de las mismas antes del registro, este se llevará a cabo por </w:t>
      </w:r>
      <w:r w:rsidRPr="00D872FB">
        <w:rPr>
          <w:rFonts w:ascii="Verdana" w:eastAsia="Calibri" w:hAnsi="Verdana" w:cs="Arial"/>
          <w:bCs/>
          <w:color w:val="000000" w:themeColor="text1"/>
        </w:rPr>
        <w:lastRenderedPageBreak/>
        <w:t xml:space="preserve">tres meses en la segunda oportunidad y por 6 meses en las ocasiones siguientes. </w:t>
      </w:r>
    </w:p>
    <w:p w14:paraId="6FAF5C0E" w14:textId="77777777" w:rsidR="009C4650" w:rsidRPr="00D872FB" w:rsidRDefault="009C4650" w:rsidP="009C4650">
      <w:pPr>
        <w:tabs>
          <w:tab w:val="left" w:pos="993"/>
        </w:tabs>
        <w:spacing w:after="120" w:line="240" w:lineRule="auto"/>
        <w:ind w:left="709" w:right="709"/>
        <w:jc w:val="both"/>
        <w:rPr>
          <w:rFonts w:ascii="Verdana" w:eastAsia="Calibri" w:hAnsi="Verdana" w:cs="Arial"/>
          <w:bCs/>
          <w:color w:val="000000" w:themeColor="text1"/>
        </w:rPr>
      </w:pPr>
      <w:r w:rsidRPr="00D872FB">
        <w:rPr>
          <w:rFonts w:ascii="Verdana" w:eastAsia="Calibri" w:hAnsi="Verdana" w:cs="Arial"/>
          <w:bCs/>
          <w:color w:val="000000" w:themeColor="text1"/>
        </w:rPr>
        <w:t>Parágrafo 3º. Cuando se acredite la cancelación total de las cuotas alimentarias en mora, el juez oficiará en un plazo no mayor a cinco (5) días hábiles a la entidad encargada de su operación con el propósito de cancelar la inscripción en el Registro de Deudores Alimentarios Morosos. En el mismo oficio el juez ordenará el retiro inmediato de la información negativa del deudor de alimentos del Registro.</w:t>
      </w:r>
    </w:p>
    <w:p w14:paraId="356B673E" w14:textId="77777777" w:rsidR="009C4650" w:rsidRPr="00D872FB" w:rsidRDefault="009C4650" w:rsidP="009C4650">
      <w:pPr>
        <w:tabs>
          <w:tab w:val="left" w:pos="993"/>
        </w:tabs>
        <w:spacing w:after="0" w:line="240" w:lineRule="auto"/>
        <w:ind w:left="709" w:right="709"/>
        <w:jc w:val="both"/>
        <w:rPr>
          <w:rFonts w:ascii="Verdana" w:eastAsia="Calibri" w:hAnsi="Verdana" w:cs="Arial"/>
          <w:bCs/>
          <w:color w:val="000000" w:themeColor="text1"/>
        </w:rPr>
      </w:pPr>
      <w:r w:rsidRPr="00D872FB">
        <w:rPr>
          <w:rFonts w:ascii="Verdana" w:eastAsia="Calibri" w:hAnsi="Verdana" w:cs="Arial"/>
          <w:bCs/>
          <w:color w:val="000000" w:themeColor="text1"/>
        </w:rPr>
        <w:t>Parágrafo 4º. Cuando la obligación alimentaria conste en título ejecutivo diferente a sentencia judicial, el acreedor alimentario podrá acudir, a prevención, a una Comisaría de Familia o al Instituto Colombiano de Bienestar Familiar para poner en conocimiento el incumplimiento en las obligaciones alimentarias que dan lugar a la inscripción en el Registro de Deudores Alimentarios Morosos. La Comisaría de Familia o el Instituto Colombiano de Bienestar Familiar, estará obligada a dar inicio al trámite contemplado en el presente artículo, garantizando en todo caso, el derecho de contradicción y de defensa del presunto deudor alimentario moroso.</w:t>
      </w:r>
    </w:p>
    <w:p w14:paraId="74648D90" w14:textId="77777777" w:rsidR="009C4650" w:rsidRPr="00D872FB" w:rsidRDefault="009C4650" w:rsidP="009C4650">
      <w:pPr>
        <w:tabs>
          <w:tab w:val="left" w:pos="993"/>
        </w:tabs>
        <w:spacing w:after="0" w:line="240" w:lineRule="auto"/>
        <w:ind w:left="709" w:right="709"/>
        <w:jc w:val="both"/>
        <w:rPr>
          <w:rFonts w:ascii="Arial" w:eastAsia="Calibri" w:hAnsi="Arial" w:cs="Arial"/>
          <w:bCs/>
          <w:color w:val="000000" w:themeColor="text1"/>
        </w:rPr>
      </w:pPr>
    </w:p>
    <w:p w14:paraId="5097B78F" w14:textId="77777777" w:rsidR="009C4650" w:rsidRPr="00D872FB" w:rsidRDefault="009C4650" w:rsidP="009C4650">
      <w:pPr>
        <w:pStyle w:val="Prrafodelista"/>
        <w:numPr>
          <w:ilvl w:val="0"/>
          <w:numId w:val="28"/>
        </w:numPr>
        <w:tabs>
          <w:tab w:val="left" w:pos="0"/>
        </w:tabs>
        <w:spacing w:before="120" w:after="0" w:line="276" w:lineRule="auto"/>
        <w:jc w:val="both"/>
        <w:rPr>
          <w:rFonts w:ascii="Verdana" w:eastAsia="Calibri" w:hAnsi="Verdana" w:cs="Arial"/>
        </w:rPr>
      </w:pPr>
      <w:r w:rsidRPr="00D872FB">
        <w:rPr>
          <w:rFonts w:ascii="Verdana" w:eastAsia="Calibri" w:hAnsi="Verdana" w:cs="Arial"/>
        </w:rPr>
        <w:t>Como conclusión, respecto al primer interrogante, una de las consecuencias más significativas de la inclusión en el REDAM es la imposición de una inhabilidad para celebrar contratos con el Estado. De acuerdo con lo dispuesto en el artículo 6.1 del mismo cuerpo normativo, 'El deudor alimentario moroso solo podrá contratar con el Estado una vez que se ponga al día con sus obligaciones alimentarias.</w:t>
      </w:r>
    </w:p>
    <w:p w14:paraId="6769D8AA" w14:textId="77777777" w:rsidR="009C4650" w:rsidRPr="00D872FB" w:rsidRDefault="009C4650" w:rsidP="009C4650">
      <w:pPr>
        <w:pStyle w:val="Prrafodelista"/>
        <w:tabs>
          <w:tab w:val="left" w:pos="0"/>
        </w:tabs>
        <w:spacing w:before="120" w:line="276" w:lineRule="auto"/>
        <w:jc w:val="both"/>
        <w:rPr>
          <w:rFonts w:ascii="Verdana" w:eastAsia="Calibri" w:hAnsi="Verdana" w:cs="Arial"/>
        </w:rPr>
      </w:pPr>
    </w:p>
    <w:p w14:paraId="62A9EB4A" w14:textId="77777777" w:rsidR="009C4650" w:rsidRPr="00D872FB" w:rsidRDefault="009C4650" w:rsidP="009C4650">
      <w:pPr>
        <w:pStyle w:val="Prrafodelista"/>
        <w:numPr>
          <w:ilvl w:val="0"/>
          <w:numId w:val="28"/>
        </w:numPr>
        <w:spacing w:after="120" w:line="276" w:lineRule="auto"/>
        <w:jc w:val="both"/>
        <w:rPr>
          <w:rFonts w:ascii="Verdana" w:hAnsi="Verdana" w:cs="Century Gothic"/>
        </w:rPr>
      </w:pPr>
      <w:r w:rsidRPr="00D872FB">
        <w:rPr>
          <w:rFonts w:ascii="Verdana" w:hAnsi="Verdana" w:cs="Century Gothic"/>
        </w:rPr>
        <w:t>Respecto al segundo interrogante, se indica que en la actualidad, la Ley 1861 de 2017 estipula, entre otras cosas, los beneficios y exclusiones de la prestación del servicio militar obligatorio, indicando en su artículo 4 que dicha obligación nace al momento en el que los colombianos cumplen su mayoría edad, con el fin de contribuir y alcanzar los fines del Estado encomendados a la Fuerza Pública.</w:t>
      </w:r>
    </w:p>
    <w:p w14:paraId="2BB4678D" w14:textId="77777777" w:rsidR="009C4650" w:rsidRPr="00D872FB" w:rsidRDefault="009C4650" w:rsidP="009C4650">
      <w:pPr>
        <w:spacing w:after="120" w:line="276" w:lineRule="auto"/>
        <w:jc w:val="both"/>
        <w:rPr>
          <w:rFonts w:ascii="Verdana" w:hAnsi="Verdana" w:cs="Century Gothic"/>
          <w:lang w:val="es-ES"/>
        </w:rPr>
      </w:pPr>
    </w:p>
    <w:p w14:paraId="42F554C1" w14:textId="77777777" w:rsidR="009C4650" w:rsidRPr="00D872FB" w:rsidRDefault="009C4650" w:rsidP="009C4650">
      <w:pPr>
        <w:pStyle w:val="Prrafodelista"/>
        <w:numPr>
          <w:ilvl w:val="0"/>
          <w:numId w:val="28"/>
        </w:numPr>
        <w:spacing w:after="120" w:line="276" w:lineRule="auto"/>
        <w:jc w:val="both"/>
        <w:rPr>
          <w:rFonts w:ascii="Verdana" w:hAnsi="Verdana" w:cs="Century Gothic"/>
        </w:rPr>
      </w:pPr>
      <w:r w:rsidRPr="00D872FB">
        <w:rPr>
          <w:rFonts w:ascii="Verdana" w:hAnsi="Verdana" w:cs="Century Gothic"/>
        </w:rPr>
        <w:t xml:space="preserve">No todo colombiano se encuentra obligado a cumplir con esta obligación constitucional, sino tan sólo aquellos que sean declarados aptos de conformidad con los requisitos establecidos en la Ley 1861 de 2017 y que hayan sido seleccionados a través de un sorteo, siempre y cuando este </w:t>
      </w:r>
      <w:r w:rsidRPr="00D872FB">
        <w:rPr>
          <w:rFonts w:ascii="Verdana" w:hAnsi="Verdana" w:cs="Century Gothic"/>
        </w:rPr>
        <w:lastRenderedPageBreak/>
        <w:t xml:space="preserve">sea procedente, a partir de la mayoría de edad hasta faltando un día para cumplir los veinticuatro (24) años. </w:t>
      </w:r>
      <w:bookmarkStart w:id="6" w:name="_Hlk143791252"/>
    </w:p>
    <w:p w14:paraId="0941F2B2" w14:textId="77777777" w:rsidR="009C4650" w:rsidRPr="00D872FB" w:rsidRDefault="009C4650" w:rsidP="009C4650">
      <w:pPr>
        <w:spacing w:after="120" w:line="276" w:lineRule="auto"/>
        <w:jc w:val="both"/>
        <w:rPr>
          <w:rFonts w:ascii="Verdana" w:hAnsi="Verdana" w:cs="Century Gothic"/>
          <w:lang w:val="es-ES"/>
        </w:rPr>
      </w:pPr>
    </w:p>
    <w:p w14:paraId="42085B13" w14:textId="77777777" w:rsidR="009C4650" w:rsidRDefault="009C4650" w:rsidP="009C4650">
      <w:pPr>
        <w:pStyle w:val="Prrafodelista"/>
        <w:numPr>
          <w:ilvl w:val="0"/>
          <w:numId w:val="28"/>
        </w:numPr>
        <w:spacing w:after="120" w:line="276" w:lineRule="auto"/>
        <w:jc w:val="both"/>
        <w:rPr>
          <w:rFonts w:ascii="Verdana" w:hAnsi="Verdana" w:cs="Century Gothic"/>
        </w:rPr>
      </w:pPr>
      <w:r w:rsidRPr="00D872FB">
        <w:rPr>
          <w:rFonts w:ascii="Verdana" w:hAnsi="Verdana" w:cs="Century Gothic"/>
        </w:rPr>
        <w:t xml:space="preserve">De igual forma, </w:t>
      </w:r>
      <w:bookmarkStart w:id="7" w:name="_Hlk143964974"/>
      <w:r w:rsidRPr="00D872FB">
        <w:rPr>
          <w:rFonts w:ascii="Verdana" w:hAnsi="Verdana" w:cs="Century Gothic"/>
        </w:rPr>
        <w:t xml:space="preserve">el artículo 12 de la Ley 1861 de 2017 contempló dieciséis (16) causales de exoneración para prestar el servicio militar obligatorio. Ahora bien, pese a que eventualmente existiera una causal de exoneración, de conformidad con el artículo 11 ibidem, todo “varón colombiano” deberá definir su situación militar, a partir de la fecha que cumpla su mayoría de edad y hasta el día en que cumpla 50 años. </w:t>
      </w:r>
      <w:bookmarkEnd w:id="6"/>
      <w:bookmarkEnd w:id="7"/>
    </w:p>
    <w:p w14:paraId="559ABB85" w14:textId="77777777" w:rsidR="009C4650" w:rsidRPr="00D872FB" w:rsidRDefault="009C4650" w:rsidP="009C4650">
      <w:pPr>
        <w:pStyle w:val="Prrafodelista"/>
        <w:spacing w:after="120" w:line="276" w:lineRule="auto"/>
        <w:jc w:val="both"/>
        <w:rPr>
          <w:rFonts w:ascii="Verdana" w:hAnsi="Verdana" w:cs="Century Gothic"/>
        </w:rPr>
      </w:pPr>
    </w:p>
    <w:p w14:paraId="2C18D26E" w14:textId="77777777" w:rsidR="009C4650" w:rsidRDefault="009C4650" w:rsidP="009C4650">
      <w:pPr>
        <w:pStyle w:val="Prrafodelista"/>
        <w:numPr>
          <w:ilvl w:val="0"/>
          <w:numId w:val="28"/>
        </w:numPr>
        <w:spacing w:after="120" w:line="276" w:lineRule="auto"/>
        <w:jc w:val="both"/>
        <w:rPr>
          <w:rFonts w:ascii="Verdana" w:hAnsi="Verdana" w:cs="Century Gothic"/>
        </w:rPr>
      </w:pPr>
      <w:r w:rsidRPr="00D872FB">
        <w:rPr>
          <w:rFonts w:ascii="Verdana" w:hAnsi="Verdana" w:cs="Century Gothic"/>
        </w:rPr>
        <w:t>El trámite para la definición de la situación militar inicia con la inscripción que realiza la Organización de Reclutamiento y Movilización</w:t>
      </w:r>
      <w:r w:rsidRPr="00D872FB">
        <w:footnoteReference w:id="8"/>
      </w:r>
      <w:r w:rsidRPr="00D872FB">
        <w:rPr>
          <w:rFonts w:ascii="Verdana" w:hAnsi="Verdana" w:cs="Century Gothic"/>
        </w:rPr>
        <w:t xml:space="preserve"> y culmina con el pago de la cuota de compensación militar, cuando no se está exonerado de esta</w:t>
      </w:r>
      <w:r w:rsidRPr="00D872FB">
        <w:footnoteReference w:id="9"/>
      </w:r>
      <w:r w:rsidRPr="00D872FB">
        <w:rPr>
          <w:rFonts w:ascii="Verdana" w:hAnsi="Verdana" w:cs="Century Gothic"/>
        </w:rPr>
        <w:t xml:space="preserve">. Al respecto, el artículo 2.3.1.4.3.1. del Decreto 1070 de 2015, modificado por el </w:t>
      </w:r>
      <w:bookmarkStart w:id="8" w:name="_Hlk183702595"/>
      <w:r w:rsidRPr="00D872FB">
        <w:rPr>
          <w:rFonts w:ascii="Verdana" w:hAnsi="Verdana" w:cs="Century Gothic"/>
        </w:rPr>
        <w:t>Decreto 977 de 2018</w:t>
      </w:r>
      <w:bookmarkEnd w:id="8"/>
      <w:r w:rsidRPr="00D872FB">
        <w:rPr>
          <w:rFonts w:ascii="Verdana" w:hAnsi="Verdana" w:cs="Century Gothic"/>
        </w:rPr>
        <w:t xml:space="preserve">, que reglamentó el servicio de reclutamiento, control de reservas y movilizaciones, indica que es la Organización de Reclutamiento y Movilización la responsable de inscribir anualmente a los colombianos que en dicho periodo estén llamados a definir su situación militar, una vez hayan cumplido la mayoría de edad, conforme a lo dispuesto por el parágrafo 2° del artículo 17 de la Ley 1861 de 2017.  </w:t>
      </w:r>
    </w:p>
    <w:p w14:paraId="4F4D9C21" w14:textId="77777777" w:rsidR="009C4650" w:rsidRPr="00D872FB" w:rsidRDefault="009C4650" w:rsidP="009C4650">
      <w:pPr>
        <w:pStyle w:val="Prrafodelista"/>
        <w:rPr>
          <w:rFonts w:ascii="Verdana" w:hAnsi="Verdana" w:cs="Century Gothic"/>
        </w:rPr>
      </w:pPr>
    </w:p>
    <w:p w14:paraId="6F6B737B" w14:textId="77777777" w:rsidR="009C4650" w:rsidRPr="00D872FB" w:rsidRDefault="009C4650" w:rsidP="009C4650">
      <w:pPr>
        <w:pStyle w:val="Prrafodelista"/>
        <w:spacing w:after="120" w:line="276" w:lineRule="auto"/>
        <w:jc w:val="both"/>
        <w:rPr>
          <w:rFonts w:ascii="Verdana" w:hAnsi="Verdana" w:cs="Century Gothic"/>
        </w:rPr>
      </w:pPr>
    </w:p>
    <w:p w14:paraId="083A1931" w14:textId="77777777" w:rsidR="009C4650" w:rsidRDefault="009C4650" w:rsidP="009C4650">
      <w:pPr>
        <w:pStyle w:val="Prrafodelista"/>
        <w:numPr>
          <w:ilvl w:val="0"/>
          <w:numId w:val="28"/>
        </w:numPr>
        <w:spacing w:after="120" w:line="276" w:lineRule="auto"/>
        <w:jc w:val="both"/>
        <w:rPr>
          <w:rFonts w:ascii="Verdana" w:hAnsi="Verdana" w:cs="Century Gothic"/>
        </w:rPr>
      </w:pPr>
      <w:r w:rsidRPr="00D872FB">
        <w:rPr>
          <w:rFonts w:ascii="Verdana" w:hAnsi="Verdana" w:cs="Century Gothic"/>
        </w:rPr>
        <w:t xml:space="preserve">Posteriormente, dicho registro es complementado por el ciudadano al momento en el que éste inicie la inscripción para definir su situación militar en el portal web dispuesto para tal fin, creando un correo electrónico y adjuntando a la plataforma informática sus datos personales y los soportes documentales que acrediten las causales de exoneración y/o aplazamiento, en el cual el ciudadano podrá obtener un certificado en línea que acredite el inicio del proceso. Nótese que el artículo 2.3.1.4.3.1. del Decreto 1070 de 2015, modificado por el Decreto 977 de 2018, dispone que el ciudadano, al momento de la inscripción para definir su situación militar, debe allegar como mínimo, entre otros documentos descritos en el citado artículo, los soportes documentales que acrediten </w:t>
      </w:r>
      <w:r w:rsidRPr="00D872FB">
        <w:rPr>
          <w:rFonts w:ascii="Verdana" w:hAnsi="Verdana" w:cs="Century Gothic"/>
        </w:rPr>
        <w:lastRenderedPageBreak/>
        <w:t xml:space="preserve">que se está incurso en alguna de las causales de exoneración, de lo cual se concluye que aun cuando se configure alguna de las circunstancias señaladas en el artículo 12 de la Ley 1861 de 2017 es obligatorio definir la situación militar. </w:t>
      </w:r>
    </w:p>
    <w:p w14:paraId="37E528AB" w14:textId="77777777" w:rsidR="009C4650" w:rsidRPr="00D872FB" w:rsidRDefault="009C4650" w:rsidP="009C4650">
      <w:pPr>
        <w:pStyle w:val="Prrafodelista"/>
        <w:spacing w:after="120" w:line="276" w:lineRule="auto"/>
        <w:jc w:val="both"/>
        <w:rPr>
          <w:rFonts w:ascii="Verdana" w:hAnsi="Verdana" w:cs="Century Gothic"/>
        </w:rPr>
      </w:pPr>
    </w:p>
    <w:p w14:paraId="6D5606FA" w14:textId="77777777" w:rsidR="009C4650" w:rsidRDefault="009C4650" w:rsidP="009C4650">
      <w:pPr>
        <w:pStyle w:val="Prrafodelista"/>
        <w:numPr>
          <w:ilvl w:val="0"/>
          <w:numId w:val="28"/>
        </w:numPr>
        <w:spacing w:after="120" w:line="276" w:lineRule="auto"/>
        <w:jc w:val="both"/>
        <w:rPr>
          <w:rFonts w:ascii="Verdana" w:hAnsi="Verdana" w:cs="Century Gothic"/>
        </w:rPr>
      </w:pPr>
      <w:bookmarkStart w:id="9" w:name="_Hlk143965046"/>
      <w:r w:rsidRPr="00D872FB">
        <w:rPr>
          <w:rFonts w:ascii="Verdana" w:hAnsi="Verdana" w:cs="Century Gothic"/>
        </w:rPr>
        <w:t xml:space="preserve">Por otra parte, el artículo 42 de la Ley 1861 de 2017 dispone en su primer inciso que la situación militar se deberá acreditar en tres eventos: i) para ejercer cargos públicos, </w:t>
      </w:r>
      <w:proofErr w:type="spellStart"/>
      <w:r w:rsidRPr="00D872FB">
        <w:rPr>
          <w:rFonts w:ascii="Verdana" w:hAnsi="Verdana" w:cs="Century Gothic"/>
        </w:rPr>
        <w:t>ii</w:t>
      </w:r>
      <w:proofErr w:type="spellEnd"/>
      <w:r w:rsidRPr="00D872FB">
        <w:rPr>
          <w:rFonts w:ascii="Verdana" w:hAnsi="Verdana" w:cs="Century Gothic"/>
        </w:rPr>
        <w:t xml:space="preserve">) trabajar en el sector privado y </w:t>
      </w:r>
      <w:proofErr w:type="spellStart"/>
      <w:r w:rsidRPr="00D872FB">
        <w:rPr>
          <w:rFonts w:ascii="Verdana" w:hAnsi="Verdana" w:cs="Century Gothic"/>
        </w:rPr>
        <w:t>iii</w:t>
      </w:r>
      <w:proofErr w:type="spellEnd"/>
      <w:r w:rsidRPr="00D872FB">
        <w:rPr>
          <w:rFonts w:ascii="Verdana" w:hAnsi="Verdana" w:cs="Century Gothic"/>
        </w:rPr>
        <w:t>) celebrar contratos de prestación de servicios como persona natural con cualquier entidad de derecho público. De esta manera, se concluye prima facie que, para la celebración de contratos de prestación de servicios con personas naturales, resulta obligatorio que se acredite definida la situación militar mediante los documentos señalados.</w:t>
      </w:r>
      <w:bookmarkEnd w:id="9"/>
    </w:p>
    <w:p w14:paraId="1856A360" w14:textId="77777777" w:rsidR="009C4650" w:rsidRPr="00D872FB" w:rsidRDefault="009C4650" w:rsidP="009C4650">
      <w:pPr>
        <w:spacing w:after="120" w:line="276" w:lineRule="auto"/>
        <w:jc w:val="both"/>
        <w:rPr>
          <w:rFonts w:ascii="Verdana" w:hAnsi="Verdana" w:cs="Century Gothic"/>
          <w:lang w:val="es-ES"/>
        </w:rPr>
      </w:pPr>
    </w:p>
    <w:p w14:paraId="4EC66BC5" w14:textId="77777777" w:rsidR="009C4650" w:rsidRPr="00F371A2" w:rsidRDefault="009C4650" w:rsidP="009C4650">
      <w:pPr>
        <w:pStyle w:val="Prrafodelista"/>
        <w:numPr>
          <w:ilvl w:val="0"/>
          <w:numId w:val="28"/>
        </w:numPr>
        <w:spacing w:after="120" w:line="276" w:lineRule="auto"/>
        <w:jc w:val="both"/>
        <w:rPr>
          <w:rFonts w:ascii="Verdana" w:hAnsi="Verdana" w:cs="Century Gothic"/>
        </w:rPr>
      </w:pPr>
      <w:r w:rsidRPr="00F371A2">
        <w:rPr>
          <w:rFonts w:ascii="Verdana" w:hAnsi="Verdana" w:cs="Century Gothic"/>
        </w:rPr>
        <w:t>En relación con este punto, la Circular Externa Única expedida por la Agencia Nacional de Contratación Pública – Colombia Compra Eficiente señaló que es deber de las Entidades Públicas verificar que la situación militar del futuro contratista se encuentre definida para efectos de la celebración del contrato de prestación de servicios</w:t>
      </w:r>
      <w:r w:rsidRPr="00F371A2">
        <w:rPr>
          <w:vertAlign w:val="superscript"/>
        </w:rPr>
        <w:footnoteReference w:id="10"/>
      </w:r>
      <w:r w:rsidRPr="00F371A2">
        <w:rPr>
          <w:rFonts w:ascii="Verdana" w:hAnsi="Verdana" w:cs="Century Gothic"/>
        </w:rPr>
        <w:t>.</w:t>
      </w:r>
    </w:p>
    <w:p w14:paraId="2D2152DD" w14:textId="77777777" w:rsidR="009C4650" w:rsidRPr="00F371A2" w:rsidRDefault="009C4650" w:rsidP="009C4650">
      <w:pPr>
        <w:spacing w:after="120" w:line="276" w:lineRule="auto"/>
        <w:ind w:left="851"/>
        <w:jc w:val="both"/>
        <w:rPr>
          <w:rFonts w:ascii="Verdana" w:hAnsi="Verdana" w:cs="Century Gothic"/>
          <w:lang w:val="es-ES"/>
        </w:rPr>
      </w:pPr>
      <w:r w:rsidRPr="00F371A2">
        <w:rPr>
          <w:rFonts w:ascii="Verdana" w:hAnsi="Verdana" w:cs="Century Gothic"/>
          <w:lang w:val="es-ES"/>
        </w:rPr>
        <w:t xml:space="preserve">Sin embargo, </w:t>
      </w:r>
      <w:bookmarkStart w:id="10" w:name="_Hlk143965057"/>
      <w:r w:rsidRPr="00F371A2">
        <w:rPr>
          <w:rFonts w:ascii="Verdana" w:hAnsi="Verdana" w:cs="Century Gothic"/>
          <w:lang w:val="es-ES"/>
        </w:rPr>
        <w:t>el inciso segundo del artículo 42 de la Ley 1861 de 2017 permitió el acceso temporal al trabajo a quienes no hayan definido su situación militar, cuando se encuentren clasificadas como no aptas, exentas o hayan superado la edad máxima de incorporación a filas. Adicionalmente, dicho beneficio se extendió a las personas aptas pero exoneradas de pagar la cuota de compensación militar, en virtud de lo resuelto en la sentencia de la Corte Constitucional C- 277 de 2019</w:t>
      </w:r>
      <w:bookmarkEnd w:id="10"/>
      <w:r w:rsidRPr="00F371A2">
        <w:rPr>
          <w:rFonts w:ascii="Verdana" w:hAnsi="Verdana" w:cs="Century Gothic"/>
          <w:lang w:val="es-ES"/>
        </w:rPr>
        <w:footnoteReference w:id="11"/>
      </w:r>
      <w:r w:rsidRPr="00F371A2">
        <w:rPr>
          <w:rFonts w:ascii="Verdana" w:hAnsi="Verdana" w:cs="Century Gothic"/>
          <w:lang w:val="es-ES"/>
        </w:rPr>
        <w:t>.</w:t>
      </w:r>
    </w:p>
    <w:p w14:paraId="7274AA25" w14:textId="77777777" w:rsidR="009C4650" w:rsidRPr="00D872FB" w:rsidRDefault="009C4650" w:rsidP="009C4650">
      <w:pPr>
        <w:spacing w:after="120" w:line="276" w:lineRule="auto"/>
        <w:ind w:left="851"/>
        <w:contextualSpacing/>
        <w:jc w:val="both"/>
        <w:rPr>
          <w:rFonts w:ascii="Verdana" w:eastAsia="Times New Roman" w:hAnsi="Verdana" w:cs="Century Gothic"/>
          <w:lang w:val="es-ES"/>
        </w:rPr>
      </w:pPr>
      <w:r w:rsidRPr="00D872FB">
        <w:rPr>
          <w:rFonts w:ascii="Verdana" w:eastAsia="Times New Roman" w:hAnsi="Verdana" w:cs="Century Gothic"/>
          <w:lang w:val="es-ES"/>
        </w:rPr>
        <w:t xml:space="preserve">El inciso primero del artículo 2.3.1.4.9.2 del Decreto 1070 de 2015, modificado por el Decreto 977 de 2018, dispuso que el anterior beneficio se obtendría automáticamente cuando el ciudadano se vincule laboral o </w:t>
      </w:r>
      <w:r w:rsidRPr="00D872FB">
        <w:rPr>
          <w:rFonts w:ascii="Verdana" w:eastAsia="Times New Roman" w:hAnsi="Verdana" w:cs="Century Gothic"/>
          <w:lang w:val="es-ES"/>
        </w:rPr>
        <w:lastRenderedPageBreak/>
        <w:t>contractualmente a una empresa nacional o extranjera, oficial o particular, y se encuentre clasificado en los términos de la Ley 1861 de 2017 como no apto, exento o si ha superado la edad máxima de incorporación, incluyendo el nuevo grupo poblacional beneficiario en virtud de lo resuelto en la sentencia anteriormente citada. Para tal efecto, el inciso segundo otorgó un plazo máximo de dieciocho (18) meses para definir su situación militar. En lo pertinente, la disposición citada establece:</w:t>
      </w:r>
    </w:p>
    <w:p w14:paraId="00B040AF" w14:textId="77777777" w:rsidR="009C4650" w:rsidRPr="00D872FB" w:rsidRDefault="009C4650" w:rsidP="009C4650">
      <w:pPr>
        <w:spacing w:after="120" w:line="276" w:lineRule="auto"/>
        <w:ind w:left="723"/>
        <w:contextualSpacing/>
        <w:jc w:val="both"/>
        <w:rPr>
          <w:rFonts w:ascii="Verdana" w:eastAsia="Times New Roman" w:hAnsi="Verdana" w:cs="Century Gothic"/>
          <w:lang w:val="es-ES"/>
        </w:rPr>
      </w:pPr>
    </w:p>
    <w:p w14:paraId="04AE3B24" w14:textId="77777777" w:rsidR="009C4650" w:rsidRPr="00D872FB" w:rsidRDefault="009C4650" w:rsidP="009C4650">
      <w:pPr>
        <w:spacing w:after="120" w:line="240" w:lineRule="auto"/>
        <w:ind w:left="709" w:right="709"/>
        <w:contextualSpacing/>
        <w:jc w:val="both"/>
        <w:rPr>
          <w:rFonts w:ascii="Verdana" w:eastAsia="Times New Roman" w:hAnsi="Verdana" w:cs="Century Gothic"/>
          <w:lang w:val="es-ES"/>
        </w:rPr>
      </w:pPr>
      <w:r w:rsidRPr="00D872FB">
        <w:rPr>
          <w:rFonts w:ascii="Verdana" w:eastAsia="Times New Roman" w:hAnsi="Verdana" w:cs="Century Gothic"/>
          <w:lang w:val="es-ES"/>
        </w:rPr>
        <w:t>“[…] Sin perjuicio de la obligación anterior, las entidades públicas o privadas no podrán exigir al ciudadano la presentación de la tarjeta militar para ingresar a un empleo. Las personas declaradas no aptas, exentas o que hayan superado la edad máxima de incorporación a filas podrán acceder a un empleo sin haber definido su situación militar. Sin embargo, a partir de la fecha de su vinculación laboral estas personas tendrán un lapso de dieciocho (18) meses para definir su situación militar. En todo caso, no se podrán contabilizar dentro de los dieciocho (18) meses, las demoras que no le sean imputables al trabajador. […]”. [Énfasis fuera de texto]</w:t>
      </w:r>
    </w:p>
    <w:p w14:paraId="2B1F8516" w14:textId="77777777" w:rsidR="009C4650" w:rsidRPr="00D872FB" w:rsidRDefault="009C4650" w:rsidP="009C4650">
      <w:pPr>
        <w:spacing w:after="120" w:line="240" w:lineRule="auto"/>
        <w:ind w:right="709"/>
        <w:contextualSpacing/>
        <w:jc w:val="both"/>
        <w:rPr>
          <w:rFonts w:ascii="Verdana" w:eastAsia="Times New Roman" w:hAnsi="Verdana" w:cs="Century Gothic"/>
          <w:lang w:val="es-ES"/>
        </w:rPr>
      </w:pPr>
      <w:r w:rsidRPr="00D872FB">
        <w:rPr>
          <w:rFonts w:ascii="Verdana" w:eastAsia="Times New Roman" w:hAnsi="Verdana" w:cs="Arial"/>
          <w:lang w:val="es-ES"/>
        </w:rPr>
        <w:tab/>
      </w:r>
    </w:p>
    <w:p w14:paraId="73415405" w14:textId="77777777" w:rsidR="009C4650" w:rsidRPr="00D872FB" w:rsidRDefault="009C4650" w:rsidP="009C4650">
      <w:pPr>
        <w:spacing w:after="120" w:line="276" w:lineRule="auto"/>
        <w:ind w:firstLine="709"/>
        <w:jc w:val="both"/>
        <w:rPr>
          <w:rFonts w:ascii="Verdana" w:eastAsia="Calibri" w:hAnsi="Verdana" w:cs="Arial"/>
          <w:bCs/>
          <w:lang w:val="es-ES_tradnl"/>
        </w:rPr>
      </w:pPr>
      <w:r w:rsidRPr="00D872FB">
        <w:rPr>
          <w:rFonts w:ascii="Verdana" w:eastAsia="Calibri" w:hAnsi="Verdana" w:cs="Arial"/>
          <w:bCs/>
        </w:rPr>
        <w:t>Quienes accedan a este beneficio deben gestionar un certificado provisional en línea ante las autoridades de reclutamiento, que acredite el inicio del trámite de definición de su situación militar. Este certificado será válido por dieciocho (18) meses. El objetivo es permitir temporalmente el acceso al trabajo a este grupo de personas, siempre y cuando inicien el proceso para definir su situación militar dentro del plazo establecido por la ley.</w:t>
      </w:r>
    </w:p>
    <w:p w14:paraId="2D87E9E9" w14:textId="77777777" w:rsidR="00E529C8" w:rsidRPr="008F59B0" w:rsidRDefault="00E529C8" w:rsidP="009C4650">
      <w:pPr>
        <w:tabs>
          <w:tab w:val="left" w:pos="142"/>
          <w:tab w:val="left" w:pos="284"/>
        </w:tabs>
        <w:snapToGrid w:val="0"/>
        <w:spacing w:after="0" w:line="276" w:lineRule="auto"/>
        <w:jc w:val="both"/>
        <w:rPr>
          <w:rFonts w:ascii="Verdana" w:eastAsia="Century Gothic" w:hAnsi="Verdana" w:cs="Century Gothic"/>
          <w:lang w:val="es-ES"/>
        </w:rPr>
      </w:pPr>
    </w:p>
    <w:p w14:paraId="09195F84" w14:textId="77777777" w:rsidR="00E529C8" w:rsidRPr="00E529C8" w:rsidRDefault="00E529C8" w:rsidP="009C4650">
      <w:pPr>
        <w:numPr>
          <w:ilvl w:val="0"/>
          <w:numId w:val="25"/>
        </w:numPr>
        <w:tabs>
          <w:tab w:val="left" w:pos="142"/>
          <w:tab w:val="left" w:pos="284"/>
        </w:tabs>
        <w:spacing w:after="0" w:line="276" w:lineRule="auto"/>
        <w:ind w:left="357" w:hanging="357"/>
        <w:jc w:val="both"/>
        <w:rPr>
          <w:rFonts w:ascii="Verdana" w:eastAsia="Century Gothic" w:hAnsi="Verdana" w:cs="Century Gothic"/>
          <w:b/>
          <w:bCs/>
          <w:lang w:val="es-ES"/>
        </w:rPr>
      </w:pPr>
      <w:r w:rsidRPr="00E529C8">
        <w:rPr>
          <w:rFonts w:ascii="Verdana" w:eastAsia="Century Gothic" w:hAnsi="Verdana" w:cs="Century Gothic"/>
          <w:b/>
          <w:bCs/>
          <w:lang w:val="es-ES"/>
        </w:rPr>
        <w:t>Referencias normativas, jurisprudenciales y otras fuentes:</w:t>
      </w:r>
    </w:p>
    <w:p w14:paraId="2D7204CD" w14:textId="77777777" w:rsidR="00E529C8" w:rsidRPr="00E529C8" w:rsidRDefault="00E529C8" w:rsidP="00E529C8">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E529C8" w:rsidRPr="00E529C8" w14:paraId="030268E6" w14:textId="77777777" w:rsidTr="00C2477C">
        <w:trPr>
          <w:trHeight w:val="870"/>
        </w:trPr>
        <w:tc>
          <w:tcPr>
            <w:tcW w:w="8647" w:type="dxa"/>
          </w:tcPr>
          <w:p w14:paraId="5912EEAF" w14:textId="77777777" w:rsidR="00895447" w:rsidRPr="00AA7043" w:rsidRDefault="00895447" w:rsidP="00895447">
            <w:pPr>
              <w:pStyle w:val="Prrafodelista"/>
              <w:numPr>
                <w:ilvl w:val="0"/>
                <w:numId w:val="17"/>
              </w:numPr>
              <w:spacing w:line="278" w:lineRule="auto"/>
              <w:rPr>
                <w:rFonts w:asciiTheme="minorHAnsi" w:hAnsiTheme="minorHAnsi"/>
              </w:rPr>
            </w:pPr>
            <w:r w:rsidRPr="009E49F5">
              <w:rPr>
                <w:rFonts w:ascii="Verdana" w:eastAsia="Calibri" w:hAnsi="Verdana" w:cs="Arial"/>
                <w:bCs/>
                <w:color w:val="000000" w:themeColor="text1"/>
              </w:rPr>
              <w:t>Ley 2097 de 2021</w:t>
            </w:r>
          </w:p>
          <w:p w14:paraId="465BA01E" w14:textId="77777777" w:rsidR="00895447" w:rsidRPr="00AA7043" w:rsidRDefault="00895447" w:rsidP="00895447">
            <w:pPr>
              <w:pStyle w:val="Prrafodelista"/>
              <w:numPr>
                <w:ilvl w:val="0"/>
                <w:numId w:val="17"/>
              </w:numPr>
              <w:spacing w:line="278" w:lineRule="auto"/>
            </w:pPr>
            <w:r w:rsidRPr="009E49F5">
              <w:rPr>
                <w:rFonts w:ascii="Verdana" w:eastAsia="Calibri" w:hAnsi="Verdana" w:cs="Arial"/>
                <w:color w:val="000000" w:themeColor="text1"/>
              </w:rPr>
              <w:t>Ley 1861 de 2017</w:t>
            </w:r>
          </w:p>
          <w:p w14:paraId="441A71FE" w14:textId="77777777" w:rsidR="00895447" w:rsidRPr="009E49F5" w:rsidRDefault="00895447" w:rsidP="00895447">
            <w:pPr>
              <w:pStyle w:val="Prrafodelista"/>
              <w:numPr>
                <w:ilvl w:val="0"/>
                <w:numId w:val="17"/>
              </w:numPr>
              <w:spacing w:line="278" w:lineRule="auto"/>
              <w:rPr>
                <w:rFonts w:asciiTheme="minorHAnsi" w:hAnsiTheme="minorHAnsi"/>
              </w:rPr>
            </w:pPr>
            <w:r w:rsidRPr="009E49F5">
              <w:rPr>
                <w:rFonts w:ascii="Verdana" w:eastAsia="Calibri" w:hAnsi="Verdana" w:cs="Arial"/>
                <w:bCs/>
                <w:color w:val="000000" w:themeColor="text1"/>
              </w:rPr>
              <w:t>Decreto 4170 de 2011</w:t>
            </w:r>
          </w:p>
          <w:p w14:paraId="459407F9" w14:textId="77777777" w:rsidR="00895447" w:rsidRPr="00AA7043" w:rsidRDefault="00895447" w:rsidP="00895447">
            <w:pPr>
              <w:pStyle w:val="Prrafodelista"/>
              <w:numPr>
                <w:ilvl w:val="0"/>
                <w:numId w:val="17"/>
              </w:numPr>
              <w:spacing w:line="278" w:lineRule="auto"/>
              <w:rPr>
                <w:rFonts w:asciiTheme="minorHAnsi" w:hAnsiTheme="minorHAnsi"/>
                <w:lang w:val="es-CO"/>
              </w:rPr>
            </w:pPr>
            <w:r w:rsidRPr="00D872FB">
              <w:rPr>
                <w:rFonts w:ascii="Verdana" w:hAnsi="Verdana" w:cs="Century Gothic"/>
              </w:rPr>
              <w:t>Decreto 977 de 2018</w:t>
            </w:r>
          </w:p>
          <w:p w14:paraId="6FB80E1D" w14:textId="216C3683" w:rsidR="00E529C8" w:rsidRPr="00895447" w:rsidRDefault="00895447" w:rsidP="00895447">
            <w:pPr>
              <w:pStyle w:val="Prrafodelista"/>
              <w:numPr>
                <w:ilvl w:val="0"/>
                <w:numId w:val="17"/>
              </w:numPr>
              <w:spacing w:line="278" w:lineRule="auto"/>
            </w:pPr>
            <w:r w:rsidRPr="009E49F5">
              <w:rPr>
                <w:rFonts w:ascii="Verdana" w:eastAsia="Calibri" w:hAnsi="Verdana" w:cs="Arial"/>
                <w:bCs/>
                <w:color w:val="000000" w:themeColor="text1"/>
              </w:rPr>
              <w:t>Sentencia C-032 de 2021</w:t>
            </w:r>
          </w:p>
        </w:tc>
      </w:tr>
    </w:tbl>
    <w:p w14:paraId="0E7EE47F" w14:textId="77777777" w:rsidR="00E529C8" w:rsidRPr="00E529C8" w:rsidRDefault="00E529C8" w:rsidP="00E529C8">
      <w:pPr>
        <w:widowControl w:val="0"/>
        <w:autoSpaceDE w:val="0"/>
        <w:autoSpaceDN w:val="0"/>
        <w:spacing w:after="0" w:line="276" w:lineRule="auto"/>
        <w:jc w:val="both"/>
        <w:rPr>
          <w:rFonts w:ascii="Verdana" w:eastAsia="Calibri" w:hAnsi="Verdana" w:cs="Arial"/>
        </w:rPr>
      </w:pPr>
    </w:p>
    <w:p w14:paraId="3510A4AC" w14:textId="77777777" w:rsidR="00E529C8" w:rsidRPr="00E529C8" w:rsidRDefault="00E529C8" w:rsidP="009C4650">
      <w:pPr>
        <w:numPr>
          <w:ilvl w:val="0"/>
          <w:numId w:val="25"/>
        </w:numPr>
        <w:tabs>
          <w:tab w:val="left" w:pos="142"/>
          <w:tab w:val="left" w:pos="284"/>
        </w:tabs>
        <w:spacing w:after="0" w:line="276" w:lineRule="auto"/>
        <w:ind w:left="357" w:hanging="357"/>
        <w:jc w:val="both"/>
        <w:rPr>
          <w:rFonts w:ascii="Verdana" w:eastAsia="Century Gothic" w:hAnsi="Verdana" w:cs="Century Gothic"/>
          <w:b/>
          <w:bCs/>
          <w:lang w:val="es-ES"/>
        </w:rPr>
      </w:pPr>
      <w:r w:rsidRPr="00E529C8">
        <w:rPr>
          <w:rFonts w:ascii="Verdana" w:eastAsia="Century Gothic" w:hAnsi="Verdana" w:cs="Century Gothic"/>
          <w:b/>
          <w:bCs/>
          <w:lang w:val="es-ES"/>
        </w:rPr>
        <w:t>Doctrina de la Agencia Nacional de Contratación Pública:</w:t>
      </w:r>
    </w:p>
    <w:p w14:paraId="5A8A1E5E" w14:textId="77777777" w:rsidR="00E529C8" w:rsidRPr="00E529C8" w:rsidRDefault="00E529C8" w:rsidP="00E529C8">
      <w:pPr>
        <w:widowControl w:val="0"/>
        <w:autoSpaceDE w:val="0"/>
        <w:autoSpaceDN w:val="0"/>
        <w:spacing w:after="0" w:line="276" w:lineRule="auto"/>
        <w:jc w:val="both"/>
        <w:rPr>
          <w:rFonts w:ascii="Verdana" w:eastAsia="Calibri" w:hAnsi="Verdana" w:cs="Arial"/>
        </w:rPr>
      </w:pPr>
    </w:p>
    <w:p w14:paraId="0BA32EAF" w14:textId="492102CD" w:rsidR="00895447" w:rsidRPr="00E44418" w:rsidRDefault="00275680" w:rsidP="00895447">
      <w:pPr>
        <w:widowControl w:val="0"/>
        <w:autoSpaceDE w:val="0"/>
        <w:autoSpaceDN w:val="0"/>
        <w:spacing w:after="0" w:line="276" w:lineRule="auto"/>
        <w:jc w:val="both"/>
        <w:rPr>
          <w:rFonts w:ascii="Verdana" w:hAnsi="Verdana" w:cs="Arial"/>
          <w:color w:val="000000" w:themeColor="text1"/>
          <w:shd w:val="clear" w:color="auto" w:fill="FFFFFF"/>
          <w:lang w:val="es-ES"/>
        </w:rPr>
      </w:pPr>
      <w:r w:rsidRPr="00895447">
        <w:rPr>
          <w:rFonts w:ascii="Verdana" w:eastAsia="Calibri" w:hAnsi="Verdana" w:cs="Arial"/>
          <w:bCs/>
        </w:rPr>
        <w:t xml:space="preserve">La Agencia Nacional de Contratación Pública – Colombia Compra Eficiente </w:t>
      </w:r>
      <w:r w:rsidR="00895447" w:rsidRPr="00895447">
        <w:rPr>
          <w:rFonts w:ascii="Verdana" w:eastAsia="Calibri" w:hAnsi="Verdana" w:cs="Arial"/>
          <w:color w:val="000000" w:themeColor="text1"/>
          <w:lang w:val="es-ES"/>
        </w:rPr>
        <w:t xml:space="preserve">en </w:t>
      </w:r>
      <w:r w:rsidR="00895447" w:rsidRPr="00895447">
        <w:rPr>
          <w:rFonts w:ascii="Verdana" w:eastAsia="Calibri" w:hAnsi="Verdana" w:cs="Arial"/>
          <w:color w:val="000000" w:themeColor="text1"/>
          <w:lang w:val="es-ES"/>
        </w:rPr>
        <w:lastRenderedPageBreak/>
        <w:t>concepto C-126 de 24 de abril de 2023 se pronunció sobre el alcance del numeral 6.1</w:t>
      </w:r>
      <w:r w:rsidR="00895447">
        <w:rPr>
          <w:rFonts w:ascii="Verdana" w:eastAsia="Calibri" w:hAnsi="Verdana" w:cs="Arial"/>
          <w:color w:val="000000" w:themeColor="text1"/>
          <w:lang w:val="es-ES"/>
        </w:rPr>
        <w:t xml:space="preserve"> y 6.2</w:t>
      </w:r>
      <w:r w:rsidR="00895447" w:rsidRPr="00895447">
        <w:rPr>
          <w:rFonts w:ascii="Verdana" w:eastAsia="Calibri" w:hAnsi="Verdana" w:cs="Arial"/>
          <w:color w:val="000000" w:themeColor="text1"/>
          <w:lang w:val="es-ES"/>
        </w:rPr>
        <w:t xml:space="preserve"> de la ley 2097 de 2021</w:t>
      </w:r>
      <w:r w:rsidR="00895447">
        <w:rPr>
          <w:rFonts w:ascii="Verdana" w:eastAsia="Calibri" w:hAnsi="Verdana" w:cs="Arial"/>
          <w:color w:val="000000" w:themeColor="text1"/>
          <w:lang w:val="es-ES"/>
        </w:rPr>
        <w:t xml:space="preserve"> y </w:t>
      </w:r>
      <w:r w:rsidR="00895447">
        <w:rPr>
          <w:rFonts w:ascii="Verdana" w:hAnsi="Verdana" w:cs="Arial"/>
          <w:color w:val="000000" w:themeColor="text1"/>
          <w:shd w:val="clear" w:color="auto" w:fill="FFFFFF"/>
          <w:lang w:val="es-ES"/>
        </w:rPr>
        <w:t>s</w:t>
      </w:r>
      <w:r w:rsidR="00895447" w:rsidRPr="00E44418">
        <w:rPr>
          <w:rFonts w:ascii="Verdana" w:hAnsi="Verdana" w:cs="Arial"/>
          <w:color w:val="000000" w:themeColor="text1"/>
          <w:shd w:val="clear" w:color="auto" w:fill="FFFFFF"/>
          <w:lang w:val="es-ES"/>
        </w:rPr>
        <w:t xml:space="preserve">obre el contenido del artículo 42 de la Ley 1861 de 2017, esta Subdirección, se ha pronunciado en los conceptos Nro. </w:t>
      </w:r>
      <w:r w:rsidR="00895447" w:rsidRPr="00E44418">
        <w:rPr>
          <w:rFonts w:ascii="Verdana" w:hAnsi="Verdana" w:cs="Arial"/>
          <w:color w:val="000000" w:themeColor="text1"/>
          <w:shd w:val="clear" w:color="auto" w:fill="FFFFFF"/>
        </w:rPr>
        <w:t>C-628 de 29 de septiembre de 2022, C-653 del 11 de octubre de 2022, C-944 del 19 de enero del 2023, C-328 del 25 de agosto de 2023, C-376 del 20 de septiembre del 2023</w:t>
      </w:r>
      <w:r w:rsidR="00895447">
        <w:rPr>
          <w:rFonts w:ascii="Verdana" w:hAnsi="Verdana" w:cs="Arial"/>
          <w:color w:val="000000" w:themeColor="text1"/>
          <w:shd w:val="clear" w:color="auto" w:fill="FFFFFF"/>
        </w:rPr>
        <w:t xml:space="preserve">, </w:t>
      </w:r>
      <w:r w:rsidR="00895447" w:rsidRPr="00E44418">
        <w:rPr>
          <w:rFonts w:ascii="Verdana" w:hAnsi="Verdana" w:cs="Arial"/>
          <w:color w:val="000000" w:themeColor="text1"/>
          <w:shd w:val="clear" w:color="auto" w:fill="FFFFFF"/>
        </w:rPr>
        <w:t>C-417 del 27 de septiembre del 2023</w:t>
      </w:r>
      <w:r w:rsidR="00895447">
        <w:rPr>
          <w:rFonts w:ascii="Verdana" w:hAnsi="Verdana" w:cs="Arial"/>
          <w:color w:val="000000" w:themeColor="text1"/>
          <w:shd w:val="clear" w:color="auto" w:fill="FFFFFF"/>
        </w:rPr>
        <w:t xml:space="preserve"> y C-190 de 30 de julio del 2024</w:t>
      </w:r>
      <w:r w:rsidR="00895447" w:rsidRPr="00E44418">
        <w:rPr>
          <w:rFonts w:ascii="Verdana" w:hAnsi="Verdana" w:cs="Arial"/>
          <w:color w:val="000000" w:themeColor="text1"/>
          <w:shd w:val="clear" w:color="auto" w:fill="FFFFFF"/>
          <w:lang w:val="es-ES"/>
        </w:rPr>
        <w:t>. Es</w:t>
      </w:r>
      <w:r w:rsidR="00895447" w:rsidRPr="00E44418">
        <w:rPr>
          <w:rFonts w:ascii="Verdana" w:hAnsi="Verdana" w:cs="Arial"/>
          <w:color w:val="000000" w:themeColor="text1"/>
          <w:shd w:val="clear" w:color="auto" w:fill="FFFFFF"/>
        </w:rPr>
        <w:t>tos y otros conceptos se encuentran disponibles para consulta en el Sistema de relatoría de la Agencia, al cual se puede acceder a través del siguiente enlace:</w:t>
      </w:r>
      <w:r w:rsidR="00895447" w:rsidRPr="00E44418">
        <w:rPr>
          <w:rFonts w:ascii="Verdana" w:hAnsi="Verdana" w:cs="Arial"/>
          <w:color w:val="000000" w:themeColor="text1"/>
          <w:shd w:val="clear" w:color="auto" w:fill="FFFFFF"/>
          <w:lang w:val="es-ES"/>
        </w:rPr>
        <w:t xml:space="preserve"> </w:t>
      </w:r>
      <w:hyperlink r:id="rId13" w:history="1">
        <w:r w:rsidR="00895447" w:rsidRPr="00E44418">
          <w:rPr>
            <w:rStyle w:val="Hipervnculo"/>
            <w:rFonts w:ascii="Verdana" w:hAnsi="Verdana" w:cs="Arial"/>
            <w:shd w:val="clear" w:color="auto" w:fill="FFFFFF"/>
            <w:lang w:val="es-ES"/>
          </w:rPr>
          <w:t>https://relatoria.colombiacompra.gov.co/busqueda/conceptos</w:t>
        </w:r>
      </w:hyperlink>
      <w:r w:rsidR="00895447" w:rsidRPr="00E44418">
        <w:rPr>
          <w:rFonts w:ascii="Verdana" w:hAnsi="Verdana" w:cs="Arial"/>
          <w:color w:val="000000" w:themeColor="text1"/>
          <w:shd w:val="clear" w:color="auto" w:fill="FFFFFF"/>
          <w:lang w:val="es-ES"/>
        </w:rPr>
        <w:t xml:space="preserve">. </w:t>
      </w:r>
    </w:p>
    <w:p w14:paraId="7FBBEBB7" w14:textId="0E42AF44" w:rsidR="00E529C8" w:rsidRPr="00275680" w:rsidRDefault="00E529C8" w:rsidP="00275680">
      <w:pPr>
        <w:spacing w:after="120" w:line="276" w:lineRule="auto"/>
        <w:ind w:firstLine="709"/>
        <w:jc w:val="both"/>
        <w:rPr>
          <w:rFonts w:ascii="Verdana" w:eastAsia="Calibri" w:hAnsi="Verdana" w:cs="Arial"/>
          <w:bCs/>
        </w:rPr>
      </w:pPr>
    </w:p>
    <w:p w14:paraId="148C6D4E" w14:textId="024C66E5" w:rsidR="00895447" w:rsidRPr="00895447" w:rsidRDefault="00895447" w:rsidP="00895447">
      <w:pPr>
        <w:widowControl w:val="0"/>
        <w:autoSpaceDE w:val="0"/>
        <w:autoSpaceDN w:val="0"/>
        <w:spacing w:after="0" w:line="276" w:lineRule="auto"/>
        <w:ind w:right="-234"/>
        <w:jc w:val="both"/>
        <w:rPr>
          <w:rFonts w:ascii="Verdana" w:eastAsia="Aptos" w:hAnsi="Verdana" w:cs="Times New Roman"/>
          <w:kern w:val="2"/>
          <w:shd w:val="clear" w:color="auto" w:fill="FFFFFF"/>
          <w14:ligatures w14:val="standardContextual"/>
        </w:rPr>
      </w:pPr>
      <w:r w:rsidRPr="00895447">
        <w:rPr>
          <w:rFonts w:ascii="Verdana" w:eastAsia="Aptos" w:hAnsi="Verdana" w:cs="Times New Roman"/>
          <w:kern w:val="2"/>
          <w:shd w:val="clear" w:color="auto" w:fill="FFFFFF"/>
          <w14:ligatures w14:val="standardContextual"/>
        </w:rPr>
        <w:t>Le informamos que ya se encuentra disponible la actualización del Manual de Acuerdos Comerciales en Procesos de Contratación. Esta herramienta ofrece una orientación valiosa para que las entidades públicas determinen los acuerdos comerciales que deben incluir en sus procesos contractuales. Puede consultar la versión actualizada en el siguiente enlace: </w:t>
      </w:r>
      <w:hyperlink r:id="rId14" w:tgtFrame="_blank" w:tooltip="Dirección URL original: https://www.colombiacompra.gov.co/sites/cce_public/files/cce_documents/manual_para_el_manejo_de_acuerdos_comerciales_vf.pdf. Haga clic o pulse si confía en este vínculo." w:history="1">
        <w:r w:rsidRPr="00895447">
          <w:rPr>
            <w:rStyle w:val="Hipervnculo"/>
            <w:rFonts w:ascii="Verdana" w:eastAsia="Aptos" w:hAnsi="Verdana" w:cs="Times New Roman"/>
            <w:kern w:val="2"/>
            <w:shd w:val="clear" w:color="auto" w:fill="FFFFFF"/>
            <w14:ligatures w14:val="standardContextual"/>
          </w:rPr>
          <w:t>manual_para_el_manejo_de_acuerdos_comerciales_vf.pdf</w:t>
        </w:r>
      </w:hyperlink>
    </w:p>
    <w:p w14:paraId="6A4A0C3F" w14:textId="77777777" w:rsidR="00895447" w:rsidRDefault="00895447" w:rsidP="00895447">
      <w:pPr>
        <w:widowControl w:val="0"/>
        <w:autoSpaceDE w:val="0"/>
        <w:autoSpaceDN w:val="0"/>
        <w:spacing w:after="0" w:line="276" w:lineRule="auto"/>
        <w:ind w:right="-234"/>
        <w:jc w:val="both"/>
        <w:rPr>
          <w:rFonts w:ascii="Verdana" w:eastAsia="Aptos" w:hAnsi="Verdana" w:cs="Times New Roman"/>
          <w:kern w:val="2"/>
          <w:shd w:val="clear" w:color="auto" w:fill="FFFFFF"/>
          <w14:ligatures w14:val="standardContextual"/>
        </w:rPr>
      </w:pPr>
      <w:r w:rsidRPr="00895447">
        <w:rPr>
          <w:rFonts w:ascii="Verdana" w:eastAsia="Aptos" w:hAnsi="Verdana" w:cs="Times New Roman"/>
          <w:kern w:val="2"/>
          <w:shd w:val="clear" w:color="auto" w:fill="FFFFFF"/>
          <w14:ligatures w14:val="standardContextual"/>
        </w:rPr>
        <w:t>De otra parte, te contamos que ya publicamos el borrador de la nueva Guía para Incentivar la Participación de Mujeres en el Sistema de Compras y Contratación Pública. Conoce el documento y realiza tus comentarios hasta el 2 de diciembre de 2024</w:t>
      </w:r>
      <w:r w:rsidRPr="00895447">
        <w:rPr>
          <w:rFonts w:ascii="Verdana" w:eastAsia="Aptos" w:hAnsi="Verdana" w:cs="Times New Roman"/>
          <w:b/>
          <w:bCs/>
          <w:kern w:val="2"/>
          <w:shd w:val="clear" w:color="auto" w:fill="FFFFFF"/>
          <w14:ligatures w14:val="standardContextual"/>
        </w:rPr>
        <w:t> </w:t>
      </w:r>
      <w:r w:rsidRPr="00895447">
        <w:rPr>
          <w:rFonts w:ascii="Verdana" w:eastAsia="Aptos" w:hAnsi="Verdana" w:cs="Times New Roman"/>
          <w:kern w:val="2"/>
          <w:shd w:val="clear" w:color="auto" w:fill="FFFFFF"/>
          <w14:ligatures w14:val="standardContextual"/>
        </w:rPr>
        <w:t>a través de estos enlaces:</w:t>
      </w:r>
    </w:p>
    <w:p w14:paraId="44B57CDC" w14:textId="77777777" w:rsidR="00895447" w:rsidRPr="00895447" w:rsidRDefault="00895447" w:rsidP="00895447">
      <w:pPr>
        <w:widowControl w:val="0"/>
        <w:autoSpaceDE w:val="0"/>
        <w:autoSpaceDN w:val="0"/>
        <w:spacing w:after="0" w:line="276" w:lineRule="auto"/>
        <w:ind w:right="-234"/>
        <w:jc w:val="both"/>
        <w:rPr>
          <w:rFonts w:ascii="Verdana" w:eastAsia="Aptos" w:hAnsi="Verdana" w:cs="Times New Roman"/>
          <w:kern w:val="2"/>
          <w:shd w:val="clear" w:color="auto" w:fill="FFFFFF"/>
          <w14:ligatures w14:val="standardContextual"/>
        </w:rPr>
      </w:pPr>
    </w:p>
    <w:p w14:paraId="35C4AE98" w14:textId="77777777" w:rsidR="00895447" w:rsidRPr="00895447" w:rsidRDefault="00895447" w:rsidP="00895447">
      <w:pPr>
        <w:widowControl w:val="0"/>
        <w:numPr>
          <w:ilvl w:val="0"/>
          <w:numId w:val="31"/>
        </w:numPr>
        <w:autoSpaceDE w:val="0"/>
        <w:autoSpaceDN w:val="0"/>
        <w:spacing w:after="0" w:line="276" w:lineRule="auto"/>
        <w:ind w:right="-234"/>
        <w:jc w:val="both"/>
        <w:rPr>
          <w:rFonts w:ascii="Verdana" w:eastAsia="Aptos" w:hAnsi="Verdana" w:cs="Times New Roman"/>
          <w:kern w:val="2"/>
          <w:shd w:val="clear" w:color="auto" w:fill="FFFFFF"/>
          <w14:ligatures w14:val="standardContextual"/>
        </w:rPr>
      </w:pPr>
      <w:r w:rsidRPr="00895447">
        <w:rPr>
          <w:rFonts w:ascii="Verdana" w:eastAsia="Aptos" w:hAnsi="Verdana" w:cs="Times New Roman"/>
          <w:kern w:val="2"/>
          <w:shd w:val="clear" w:color="auto" w:fill="FFFFFF"/>
          <w14:ligatures w14:val="standardContextual"/>
        </w:rPr>
        <w:t>Enlace página ANCP-CCE: </w:t>
      </w:r>
      <w:hyperlink r:id="rId15" w:tgtFrame="_blank" w:tooltip="Dirección URL original: https://www.colombiacompra.gov.co/content/convocatorias. Haga clic o pulse si confía en este vínculo." w:history="1">
        <w:r w:rsidRPr="00895447">
          <w:rPr>
            <w:rStyle w:val="Hipervnculo"/>
            <w:rFonts w:ascii="Verdana" w:eastAsia="Aptos" w:hAnsi="Verdana" w:cs="Times New Roman"/>
            <w:kern w:val="2"/>
            <w:shd w:val="clear" w:color="auto" w:fill="FFFFFF"/>
            <w14:ligatures w14:val="standardContextual"/>
          </w:rPr>
          <w:t>https://www.colombiacompra.gov.co/content/convocatorias</w:t>
        </w:r>
      </w:hyperlink>
    </w:p>
    <w:p w14:paraId="556AD1A9" w14:textId="77777777" w:rsidR="00895447" w:rsidRPr="00895447" w:rsidRDefault="00895447" w:rsidP="00895447">
      <w:pPr>
        <w:widowControl w:val="0"/>
        <w:numPr>
          <w:ilvl w:val="0"/>
          <w:numId w:val="31"/>
        </w:numPr>
        <w:autoSpaceDE w:val="0"/>
        <w:autoSpaceDN w:val="0"/>
        <w:spacing w:after="0" w:line="276" w:lineRule="auto"/>
        <w:ind w:right="-234"/>
        <w:jc w:val="both"/>
        <w:rPr>
          <w:rFonts w:ascii="Verdana" w:eastAsia="Aptos" w:hAnsi="Verdana" w:cs="Times New Roman"/>
          <w:kern w:val="2"/>
          <w:shd w:val="clear" w:color="auto" w:fill="FFFFFF"/>
          <w:lang w:val="en-US"/>
          <w14:ligatures w14:val="standardContextual"/>
        </w:rPr>
      </w:pPr>
      <w:r w:rsidRPr="00895447">
        <w:rPr>
          <w:rFonts w:ascii="Verdana" w:eastAsia="Aptos" w:hAnsi="Verdana" w:cs="Times New Roman"/>
          <w:kern w:val="2"/>
          <w:shd w:val="clear" w:color="auto" w:fill="FFFFFF"/>
          <w:lang w:val="en-US"/>
          <w14:ligatures w14:val="standardContextual"/>
        </w:rPr>
        <w:t>Enlace SUCOP:  </w:t>
      </w:r>
      <w:hyperlink r:id="rId16" w:tgtFrame="_blank" w:tooltip="Dirección URL original: https://www.sucop.gov.co/entidades/colombiacompra/Normativa?IDNorma=19201. Haga clic o pulse si confía en este vínculo." w:history="1">
        <w:r w:rsidRPr="00895447">
          <w:rPr>
            <w:rStyle w:val="Hipervnculo"/>
            <w:rFonts w:ascii="Verdana" w:eastAsia="Aptos" w:hAnsi="Verdana" w:cs="Times New Roman"/>
            <w:kern w:val="2"/>
            <w:shd w:val="clear" w:color="auto" w:fill="FFFFFF"/>
            <w:lang w:val="en-US"/>
            <w14:ligatures w14:val="standardContextual"/>
          </w:rPr>
          <w:t>https://www.sucop.gov.co/entidades/colombiacompra/Normativa?IDNorma=19201</w:t>
        </w:r>
      </w:hyperlink>
    </w:p>
    <w:p w14:paraId="7DFA356E" w14:textId="77777777" w:rsidR="00895447" w:rsidRPr="00895447" w:rsidRDefault="00895447" w:rsidP="00895447">
      <w:pPr>
        <w:widowControl w:val="0"/>
        <w:autoSpaceDE w:val="0"/>
        <w:autoSpaceDN w:val="0"/>
        <w:spacing w:after="0" w:line="276" w:lineRule="auto"/>
        <w:ind w:right="-234"/>
        <w:jc w:val="both"/>
        <w:rPr>
          <w:rFonts w:ascii="Verdana" w:eastAsia="Aptos" w:hAnsi="Verdana" w:cs="Times New Roman"/>
          <w:kern w:val="2"/>
          <w:shd w:val="clear" w:color="auto" w:fill="FFFFFF"/>
          <w:lang w:val="en-US"/>
          <w14:ligatures w14:val="standardContextual"/>
        </w:rPr>
      </w:pPr>
      <w:r w:rsidRPr="00895447">
        <w:rPr>
          <w:rFonts w:ascii="Verdana" w:eastAsia="Aptos" w:hAnsi="Verdana" w:cs="Times New Roman"/>
          <w:kern w:val="2"/>
          <w:shd w:val="clear" w:color="auto" w:fill="FFFFFF"/>
          <w:lang w:val="en-US"/>
          <w14:ligatures w14:val="standardContextual"/>
        </w:rPr>
        <w:t> </w:t>
      </w:r>
    </w:p>
    <w:p w14:paraId="02E0B287" w14:textId="77777777" w:rsidR="00895447" w:rsidRPr="00895447" w:rsidRDefault="00895447" w:rsidP="00895447">
      <w:pPr>
        <w:widowControl w:val="0"/>
        <w:autoSpaceDE w:val="0"/>
        <w:autoSpaceDN w:val="0"/>
        <w:spacing w:after="0" w:line="276" w:lineRule="auto"/>
        <w:ind w:right="-234"/>
        <w:jc w:val="both"/>
        <w:rPr>
          <w:rFonts w:ascii="Verdana" w:eastAsia="Aptos" w:hAnsi="Verdana" w:cs="Times New Roman"/>
          <w:kern w:val="2"/>
          <w:shd w:val="clear" w:color="auto" w:fill="FFFFFF"/>
          <w14:ligatures w14:val="standardContextual"/>
        </w:rPr>
      </w:pPr>
      <w:r w:rsidRPr="00895447">
        <w:rPr>
          <w:rFonts w:ascii="Verdana" w:eastAsia="Aptos" w:hAnsi="Verdana" w:cs="Times New Roman"/>
          <w:kern w:val="2"/>
          <w:shd w:val="clear" w:color="auto" w:fill="FFFFFF"/>
          <w14:ligatures w14:val="standardContextual"/>
        </w:rPr>
        <w:t>También le invitamos a consultar la versión VII  de 2024 , del Boletín de Relatoría de la Subdirección de Gestión Contractual relacionado con las ASOCIACIONES PÚBLICO POPULARES , el cual se puede descargar en la página web de la Agencia: </w:t>
      </w:r>
      <w:hyperlink r:id="rId17" w:tgtFrame="_blank" w:tooltip="Dirección URL original: https://www.colombiacompra.gov.co/sala-de-prensa/boletin-digital. Haga clic o pulse si confía en este vínculo." w:history="1">
        <w:r w:rsidRPr="00895447">
          <w:rPr>
            <w:rStyle w:val="Hipervnculo"/>
            <w:rFonts w:ascii="Verdana" w:eastAsia="Aptos" w:hAnsi="Verdana" w:cs="Times New Roman"/>
            <w:kern w:val="2"/>
            <w:shd w:val="clear" w:color="auto" w:fill="FFFFFF"/>
            <w14:ligatures w14:val="standardContextual"/>
          </w:rPr>
          <w:t>https://www.colombiacompra.gov.co/sala-de-prensa/boletin-digital</w:t>
        </w:r>
      </w:hyperlink>
      <w:r w:rsidRPr="00895447">
        <w:rPr>
          <w:rFonts w:ascii="Verdana" w:eastAsia="Aptos" w:hAnsi="Verdana" w:cs="Times New Roman"/>
          <w:kern w:val="2"/>
          <w:shd w:val="clear" w:color="auto" w:fill="FFFFFF"/>
          <w14:ligatures w14:val="standardContextual"/>
        </w:rPr>
        <w:t> ".</w:t>
      </w:r>
    </w:p>
    <w:p w14:paraId="36266C7A" w14:textId="012D985F" w:rsidR="00490CAB" w:rsidRPr="00490CAB" w:rsidRDefault="00490CAB" w:rsidP="00895447">
      <w:pPr>
        <w:widowControl w:val="0"/>
        <w:autoSpaceDE w:val="0"/>
        <w:autoSpaceDN w:val="0"/>
        <w:spacing w:after="0" w:line="276" w:lineRule="auto"/>
        <w:ind w:right="-234"/>
        <w:jc w:val="both"/>
        <w:rPr>
          <w:rFonts w:ascii="Verdana" w:eastAsia="Aptos" w:hAnsi="Verdana" w:cs="Times New Roman"/>
          <w:kern w:val="2"/>
          <w:shd w:val="clear" w:color="auto" w:fill="FFFFFF"/>
          <w14:ligatures w14:val="standardContextual"/>
        </w:rPr>
      </w:pPr>
    </w:p>
    <w:p w14:paraId="4234A718" w14:textId="77777777" w:rsidR="00E529C8" w:rsidRPr="00E529C8" w:rsidRDefault="00E529C8" w:rsidP="00E529C8">
      <w:pPr>
        <w:spacing w:after="0" w:line="240" w:lineRule="auto"/>
        <w:jc w:val="both"/>
        <w:rPr>
          <w:rFonts w:ascii="Verdana" w:eastAsia="Calibri" w:hAnsi="Verdana" w:cs="Times New Roman"/>
        </w:rPr>
      </w:pPr>
      <w:r w:rsidRPr="00E529C8">
        <w:rPr>
          <w:rFonts w:ascii="Verdana" w:eastAsia="Calibri" w:hAnsi="Verdana" w:cs="Times New Roman"/>
        </w:rPr>
        <w:t xml:space="preserve">Por último, los invitamos a seguirnos en las redes sociales, en las cuales se difunde información institucional: </w:t>
      </w:r>
    </w:p>
    <w:p w14:paraId="78FB2ABE" w14:textId="77777777" w:rsidR="00E529C8" w:rsidRPr="00E529C8" w:rsidRDefault="00E529C8" w:rsidP="00E529C8">
      <w:pPr>
        <w:spacing w:after="0" w:line="240" w:lineRule="auto"/>
        <w:jc w:val="both"/>
        <w:rPr>
          <w:rFonts w:ascii="Verdana" w:eastAsia="Calibri" w:hAnsi="Verdana" w:cs="Times New Roman"/>
        </w:rPr>
      </w:pPr>
    </w:p>
    <w:p w14:paraId="56A3B1DC" w14:textId="77777777" w:rsidR="00E529C8" w:rsidRPr="00E529C8" w:rsidRDefault="00E529C8" w:rsidP="00E529C8">
      <w:pPr>
        <w:spacing w:after="0" w:line="240" w:lineRule="auto"/>
        <w:jc w:val="both"/>
        <w:rPr>
          <w:rFonts w:ascii="Verdana" w:eastAsia="Calibri" w:hAnsi="Verdana" w:cs="Times New Roman"/>
        </w:rPr>
      </w:pPr>
      <w:r w:rsidRPr="00E529C8">
        <w:rPr>
          <w:rFonts w:ascii="Verdana" w:eastAsia="Calibri" w:hAnsi="Verdana" w:cs="Times New Roman"/>
        </w:rPr>
        <w:t xml:space="preserve">Twitter: </w:t>
      </w:r>
      <w:r w:rsidRPr="00E529C8">
        <w:rPr>
          <w:rFonts w:ascii="Verdana" w:eastAsia="Calibri" w:hAnsi="Verdana" w:cs="Times New Roman"/>
          <w:u w:val="single"/>
        </w:rPr>
        <w:t>@colombiacompra</w:t>
      </w:r>
      <w:r w:rsidRPr="00E529C8">
        <w:rPr>
          <w:rFonts w:ascii="Verdana" w:eastAsia="Calibri" w:hAnsi="Verdana" w:cs="Times New Roman"/>
        </w:rPr>
        <w:t xml:space="preserve"> </w:t>
      </w:r>
    </w:p>
    <w:p w14:paraId="60EB220E" w14:textId="77777777" w:rsidR="00E529C8" w:rsidRPr="00E529C8" w:rsidRDefault="00E529C8" w:rsidP="00E529C8">
      <w:pPr>
        <w:spacing w:after="0" w:line="240" w:lineRule="auto"/>
        <w:jc w:val="both"/>
        <w:rPr>
          <w:rFonts w:ascii="Verdana" w:eastAsia="Calibri" w:hAnsi="Verdana" w:cs="Times New Roman"/>
        </w:rPr>
      </w:pPr>
      <w:r w:rsidRPr="00E529C8">
        <w:rPr>
          <w:rFonts w:ascii="Verdana" w:eastAsia="Calibri" w:hAnsi="Verdana" w:cs="Times New Roman"/>
        </w:rPr>
        <w:t xml:space="preserve">Facebook: </w:t>
      </w:r>
      <w:proofErr w:type="spellStart"/>
      <w:r w:rsidRPr="00E529C8">
        <w:rPr>
          <w:rFonts w:ascii="Verdana" w:eastAsia="Calibri" w:hAnsi="Verdana" w:cs="Times New Roman"/>
          <w:u w:val="single"/>
        </w:rPr>
        <w:t>ColombiaCompraEficiente</w:t>
      </w:r>
      <w:proofErr w:type="spellEnd"/>
    </w:p>
    <w:p w14:paraId="37866AD2" w14:textId="77777777" w:rsidR="00E529C8" w:rsidRPr="00E529C8" w:rsidRDefault="00E529C8" w:rsidP="00E529C8">
      <w:pPr>
        <w:spacing w:after="0" w:line="240" w:lineRule="auto"/>
        <w:jc w:val="both"/>
        <w:rPr>
          <w:rFonts w:ascii="Verdana" w:eastAsia="Calibri" w:hAnsi="Verdana" w:cs="Times New Roman"/>
        </w:rPr>
      </w:pPr>
      <w:r w:rsidRPr="00E529C8">
        <w:rPr>
          <w:rFonts w:ascii="Verdana" w:eastAsia="Calibri" w:hAnsi="Verdana" w:cs="Times New Roman"/>
        </w:rPr>
        <w:lastRenderedPageBreak/>
        <w:t xml:space="preserve">LinkedIn: </w:t>
      </w:r>
      <w:r w:rsidRPr="00E529C8">
        <w:rPr>
          <w:rFonts w:ascii="Verdana" w:eastAsia="Calibri" w:hAnsi="Verdana" w:cs="Times New Roman"/>
          <w:u w:val="single"/>
        </w:rPr>
        <w:t>Agencia Nacional de Contratación Pública - Colombia Compra Eficiente</w:t>
      </w:r>
      <w:r w:rsidRPr="00E529C8">
        <w:rPr>
          <w:rFonts w:ascii="Verdana" w:eastAsia="Calibri" w:hAnsi="Verdana" w:cs="Times New Roman"/>
        </w:rPr>
        <w:t xml:space="preserve"> Instagram: </w:t>
      </w:r>
      <w:r w:rsidRPr="00E529C8">
        <w:rPr>
          <w:rFonts w:ascii="Verdana" w:eastAsia="Calibri" w:hAnsi="Verdana" w:cs="Times New Roman"/>
          <w:u w:val="single"/>
        </w:rPr>
        <w:t>@colombiacompraeficiente_cce</w:t>
      </w:r>
    </w:p>
    <w:p w14:paraId="3ABCDE2B" w14:textId="77777777" w:rsidR="00E529C8" w:rsidRPr="00E529C8" w:rsidRDefault="00E529C8" w:rsidP="00E529C8">
      <w:pPr>
        <w:widowControl w:val="0"/>
        <w:autoSpaceDE w:val="0"/>
        <w:autoSpaceDN w:val="0"/>
        <w:spacing w:after="0" w:line="276" w:lineRule="auto"/>
        <w:jc w:val="both"/>
        <w:rPr>
          <w:rFonts w:ascii="Verdana" w:eastAsia="Calibri" w:hAnsi="Verdana" w:cs="Arial"/>
        </w:rPr>
      </w:pPr>
    </w:p>
    <w:p w14:paraId="7AA3F654" w14:textId="77777777" w:rsidR="00E529C8" w:rsidRPr="00E529C8" w:rsidRDefault="00E529C8" w:rsidP="00E529C8">
      <w:pPr>
        <w:widowControl w:val="0"/>
        <w:autoSpaceDE w:val="0"/>
        <w:autoSpaceDN w:val="0"/>
        <w:spacing w:after="0" w:line="276" w:lineRule="auto"/>
        <w:jc w:val="both"/>
        <w:rPr>
          <w:rFonts w:ascii="Verdana" w:eastAsia="Calibri" w:hAnsi="Verdana" w:cs="Arial"/>
          <w:lang w:val="es-ES_tradnl"/>
        </w:rPr>
      </w:pPr>
      <w:r w:rsidRPr="00E529C8">
        <w:rPr>
          <w:rFonts w:ascii="Verdana" w:eastAsia="Calibri" w:hAnsi="Verdana" w:cs="Arial"/>
        </w:rPr>
        <w:t xml:space="preserve">Este concepto tiene el alcance previsto en el artículo 28 del Código de Procedimiento Administrativo y de lo Contencioso Administrativo </w:t>
      </w:r>
      <w:r w:rsidRPr="00E529C8">
        <w:rPr>
          <w:rFonts w:ascii="Verdana" w:eastAsia="Calibri" w:hAnsi="Verdana" w:cs="Arial"/>
          <w:lang w:val="es-ES_tradnl"/>
        </w:rPr>
        <w:t>y las expresiones aquí utilizadas con mayúscula inicial deben ser entendidas con el significado que les otorga el artículo 2.2.1.1.1.3.1. del Decreto 1082 de 2015.</w:t>
      </w:r>
    </w:p>
    <w:p w14:paraId="7F2DE521" w14:textId="77777777" w:rsidR="00E529C8" w:rsidRPr="00E529C8" w:rsidRDefault="00E529C8" w:rsidP="00E529C8">
      <w:pPr>
        <w:widowControl w:val="0"/>
        <w:autoSpaceDE w:val="0"/>
        <w:autoSpaceDN w:val="0"/>
        <w:spacing w:after="0" w:line="276" w:lineRule="auto"/>
        <w:jc w:val="both"/>
        <w:rPr>
          <w:rFonts w:ascii="Verdana" w:eastAsia="Calibri" w:hAnsi="Verdana" w:cs="Arial"/>
        </w:rPr>
      </w:pPr>
    </w:p>
    <w:p w14:paraId="1EBC237E" w14:textId="77777777" w:rsidR="00E529C8" w:rsidRPr="00E529C8" w:rsidRDefault="00E529C8" w:rsidP="00E529C8">
      <w:pPr>
        <w:spacing w:after="0" w:line="240" w:lineRule="auto"/>
        <w:rPr>
          <w:rFonts w:ascii="Verdana" w:eastAsia="Calibri" w:hAnsi="Verdana" w:cs="Arial"/>
          <w:lang w:eastAsia="es-CO"/>
        </w:rPr>
      </w:pPr>
      <w:r w:rsidRPr="00E529C8">
        <w:rPr>
          <w:rFonts w:ascii="Verdana" w:eastAsia="Times New Roman" w:hAnsi="Verdana" w:cs="Arial"/>
          <w:lang w:eastAsia="es-CO"/>
        </w:rPr>
        <w:t>Atentamente,</w:t>
      </w:r>
      <w:r w:rsidRPr="00E529C8">
        <w:rPr>
          <w:rFonts w:ascii="Verdana" w:eastAsia="Calibri" w:hAnsi="Verdana" w:cs="Arial"/>
          <w:lang w:eastAsia="es-CO"/>
        </w:rPr>
        <w:t xml:space="preserve"> </w:t>
      </w:r>
    </w:p>
    <w:p w14:paraId="32AA6008" w14:textId="51FA16E0" w:rsidR="00E529C8" w:rsidRPr="00E529C8" w:rsidRDefault="000A59EF" w:rsidP="00E529C8">
      <w:pPr>
        <w:spacing w:line="276" w:lineRule="auto"/>
        <w:jc w:val="center"/>
        <w:rPr>
          <w:rFonts w:ascii="Verdana" w:eastAsia="Calibri" w:hAnsi="Verdana" w:cs="Arial"/>
          <w:lang w:val="es-ES_tradnl" w:eastAsia="es-CO"/>
        </w:rPr>
      </w:pPr>
      <w:r w:rsidRPr="002C3AD6">
        <w:rPr>
          <w:rFonts w:ascii="Century Gothic" w:hAnsi="Century Gothic"/>
          <w:noProof/>
        </w:rPr>
        <w:drawing>
          <wp:inline distT="0" distB="0" distL="0" distR="0" wp14:anchorId="26FB626F" wp14:editId="14FC0D1A">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75680" w:rsidRPr="004B2B8D" w14:paraId="11E5F87A" w14:textId="77777777" w:rsidTr="0014589E">
        <w:trPr>
          <w:trHeight w:val="315"/>
        </w:trPr>
        <w:tc>
          <w:tcPr>
            <w:tcW w:w="893" w:type="dxa"/>
            <w:vAlign w:val="center"/>
            <w:hideMark/>
          </w:tcPr>
          <w:bookmarkEnd w:id="0"/>
          <w:p w14:paraId="0047D6A3" w14:textId="77777777" w:rsidR="00275680" w:rsidRPr="004B2B8D" w:rsidRDefault="00275680" w:rsidP="0014589E">
            <w:pPr>
              <w:contextualSpacing/>
              <w:rPr>
                <w:rFonts w:ascii="Verdana" w:hAnsi="Verdana" w:cs="Arial"/>
                <w:sz w:val="16"/>
                <w:szCs w:val="16"/>
                <w:lang w:val="es-ES" w:eastAsia="es-ES"/>
              </w:rPr>
            </w:pPr>
            <w:r w:rsidRPr="004B2B8D">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F01E8CE" w14:textId="77777777" w:rsidR="00275680" w:rsidRPr="004B2B8D" w:rsidRDefault="00275680" w:rsidP="0014589E">
            <w:pPr>
              <w:contextualSpacing/>
              <w:rPr>
                <w:rFonts w:ascii="Verdana" w:eastAsia="Arial" w:hAnsi="Verdana" w:cs="Arial"/>
                <w:sz w:val="16"/>
                <w:szCs w:val="16"/>
              </w:rPr>
            </w:pPr>
            <w:r w:rsidRPr="004B2B8D">
              <w:rPr>
                <w:rFonts w:ascii="Verdana" w:eastAsia="Arial" w:hAnsi="Verdana" w:cs="Arial"/>
                <w:sz w:val="16"/>
                <w:szCs w:val="16"/>
              </w:rPr>
              <w:t>Richard Andrés Montenegro Siefken</w:t>
            </w:r>
          </w:p>
          <w:p w14:paraId="674D0C83" w14:textId="77777777" w:rsidR="00275680" w:rsidRPr="004B2B8D" w:rsidRDefault="00275680" w:rsidP="0014589E">
            <w:pPr>
              <w:contextualSpacing/>
              <w:rPr>
                <w:rFonts w:ascii="Verdana" w:eastAsia="Arial" w:hAnsi="Verdana" w:cs="Arial"/>
                <w:sz w:val="16"/>
                <w:szCs w:val="16"/>
              </w:rPr>
            </w:pPr>
            <w:r w:rsidRPr="004B2B8D">
              <w:rPr>
                <w:rStyle w:val="normaltextrun"/>
                <w:rFonts w:ascii="Verdana" w:eastAsia="Arial" w:hAnsi="Verdana" w:cs="Arial"/>
                <w:sz w:val="16"/>
                <w:szCs w:val="16"/>
              </w:rPr>
              <w:t>Contratista de la Subdirección de Gestión Contractual</w:t>
            </w:r>
          </w:p>
        </w:tc>
      </w:tr>
      <w:tr w:rsidR="00275680" w:rsidRPr="004B2B8D" w14:paraId="1679734F" w14:textId="77777777" w:rsidTr="0014589E">
        <w:trPr>
          <w:trHeight w:val="330"/>
        </w:trPr>
        <w:tc>
          <w:tcPr>
            <w:tcW w:w="893" w:type="dxa"/>
            <w:vAlign w:val="center"/>
            <w:hideMark/>
          </w:tcPr>
          <w:p w14:paraId="3E7A0F9A" w14:textId="77777777" w:rsidR="00275680" w:rsidRPr="004B2B8D" w:rsidRDefault="00275680" w:rsidP="0014589E">
            <w:pPr>
              <w:contextualSpacing/>
              <w:rPr>
                <w:rFonts w:ascii="Verdana" w:hAnsi="Verdana" w:cs="Arial"/>
                <w:sz w:val="16"/>
                <w:szCs w:val="16"/>
                <w:lang w:val="es-ES" w:eastAsia="es-ES"/>
              </w:rPr>
            </w:pPr>
            <w:r w:rsidRPr="004B2B8D">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BB55205" w14:textId="77777777" w:rsidR="00275680" w:rsidRPr="009731F5" w:rsidRDefault="00275680" w:rsidP="0014589E">
            <w:pPr>
              <w:jc w:val="both"/>
              <w:rPr>
                <w:rFonts w:ascii="Verdana" w:hAnsi="Verdana" w:cs="Arial"/>
                <w:sz w:val="16"/>
                <w:szCs w:val="16"/>
              </w:rPr>
            </w:pPr>
            <w:r w:rsidRPr="009731F5">
              <w:rPr>
                <w:rFonts w:ascii="Verdana" w:hAnsi="Verdana" w:cs="Arial"/>
                <w:sz w:val="16"/>
                <w:szCs w:val="16"/>
              </w:rPr>
              <w:t>Ximena Ríos López</w:t>
            </w:r>
          </w:p>
          <w:p w14:paraId="26188A2C" w14:textId="77777777" w:rsidR="00275680" w:rsidRPr="004B2B8D" w:rsidRDefault="00275680" w:rsidP="0014589E">
            <w:pPr>
              <w:pStyle w:val="paragraph"/>
              <w:spacing w:before="0" w:beforeAutospacing="0" w:after="0" w:afterAutospacing="0"/>
              <w:contextualSpacing/>
              <w:textAlignment w:val="baseline"/>
              <w:rPr>
                <w:rFonts w:ascii="Verdana" w:hAnsi="Verdana" w:cs="Segoe UI"/>
                <w:sz w:val="16"/>
                <w:szCs w:val="16"/>
              </w:rPr>
            </w:pPr>
            <w:r w:rsidRPr="009731F5">
              <w:rPr>
                <w:rFonts w:ascii="Verdana" w:hAnsi="Verdana" w:cs="Arial"/>
                <w:sz w:val="16"/>
                <w:szCs w:val="16"/>
                <w:lang w:val="es-ES" w:eastAsia="es-ES"/>
              </w:rPr>
              <w:t>Gestor T1 -11 de la Subdirección de Gestión Contractual</w:t>
            </w:r>
          </w:p>
        </w:tc>
      </w:tr>
      <w:tr w:rsidR="00275680" w:rsidRPr="004B2B8D" w14:paraId="5342C4D1" w14:textId="77777777" w:rsidTr="0014589E">
        <w:trPr>
          <w:trHeight w:val="300"/>
        </w:trPr>
        <w:tc>
          <w:tcPr>
            <w:tcW w:w="893" w:type="dxa"/>
            <w:vAlign w:val="center"/>
          </w:tcPr>
          <w:p w14:paraId="4C494F74" w14:textId="77777777" w:rsidR="00275680" w:rsidRPr="004B2B8D" w:rsidRDefault="00275680" w:rsidP="0014589E">
            <w:pPr>
              <w:contextualSpacing/>
              <w:rPr>
                <w:rFonts w:ascii="Verdana" w:hAnsi="Verdana" w:cs="Arial"/>
                <w:sz w:val="16"/>
                <w:szCs w:val="16"/>
                <w:lang w:val="es-ES" w:eastAsia="es-ES"/>
              </w:rPr>
            </w:pPr>
            <w:r w:rsidRPr="004B2B8D">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379DFFF" w14:textId="77777777" w:rsidR="00275680" w:rsidRPr="004B2B8D" w:rsidRDefault="00275680" w:rsidP="0014589E">
            <w:pPr>
              <w:contextualSpacing/>
              <w:rPr>
                <w:rFonts w:ascii="Verdana" w:eastAsia="Calibri" w:hAnsi="Verdana" w:cs="Arial"/>
                <w:sz w:val="16"/>
                <w:szCs w:val="16"/>
                <w:lang w:val="pt-BR" w:eastAsia="es-ES"/>
              </w:rPr>
            </w:pPr>
            <w:r w:rsidRPr="004B2B8D">
              <w:rPr>
                <w:rFonts w:ascii="Verdana" w:eastAsia="Calibri" w:hAnsi="Verdana" w:cs="Arial"/>
                <w:sz w:val="16"/>
                <w:szCs w:val="16"/>
                <w:lang w:val="pt-BR" w:eastAsia="es-ES"/>
              </w:rPr>
              <w:t xml:space="preserve">Carolina Quintero </w:t>
            </w:r>
            <w:proofErr w:type="spellStart"/>
            <w:r w:rsidRPr="004B2B8D">
              <w:rPr>
                <w:rFonts w:ascii="Verdana" w:eastAsia="Calibri" w:hAnsi="Verdana" w:cs="Arial"/>
                <w:sz w:val="16"/>
                <w:szCs w:val="16"/>
                <w:lang w:val="pt-BR" w:eastAsia="es-ES"/>
              </w:rPr>
              <w:t>Gacharná</w:t>
            </w:r>
            <w:proofErr w:type="spellEnd"/>
          </w:p>
          <w:p w14:paraId="6592FEB8" w14:textId="77777777" w:rsidR="00275680" w:rsidRPr="004B2B8D" w:rsidRDefault="00275680" w:rsidP="0014589E">
            <w:pPr>
              <w:contextualSpacing/>
              <w:rPr>
                <w:rFonts w:ascii="Verdana" w:eastAsia="Calibri" w:hAnsi="Verdana" w:cs="Arial"/>
                <w:sz w:val="16"/>
                <w:szCs w:val="16"/>
                <w:lang w:val="pt-BR" w:eastAsia="es-ES"/>
              </w:rPr>
            </w:pPr>
            <w:r w:rsidRPr="004B2B8D">
              <w:rPr>
                <w:rFonts w:ascii="Verdana" w:eastAsia="Calibri" w:hAnsi="Verdana" w:cs="Arial"/>
                <w:sz w:val="16"/>
                <w:szCs w:val="16"/>
                <w:lang w:eastAsia="es-ES"/>
              </w:rPr>
              <w:t>Subdirectora</w:t>
            </w:r>
            <w:r w:rsidRPr="004B2B8D">
              <w:rPr>
                <w:rFonts w:ascii="Verdana" w:eastAsia="Calibri" w:hAnsi="Verdana" w:cs="Arial"/>
                <w:sz w:val="16"/>
                <w:szCs w:val="16"/>
                <w:lang w:val="pt-BR" w:eastAsia="es-ES"/>
              </w:rPr>
              <w:t xml:space="preserve"> de Gestión Contratual ANCP – CCE</w:t>
            </w:r>
          </w:p>
        </w:tc>
      </w:tr>
    </w:tbl>
    <w:p w14:paraId="438555F3" w14:textId="77777777" w:rsidR="00275680" w:rsidRPr="00593A5F" w:rsidRDefault="00275680" w:rsidP="00275680">
      <w:pPr>
        <w:spacing w:after="0" w:line="240" w:lineRule="auto"/>
        <w:rPr>
          <w:rFonts w:ascii="Verdana" w:eastAsia="Times New Roman" w:hAnsi="Verdana" w:cs="Arial"/>
          <w:sz w:val="24"/>
          <w:szCs w:val="24"/>
          <w:lang w:eastAsia="es-ES"/>
        </w:rPr>
      </w:pPr>
    </w:p>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1B5D47" w14:textId="77777777" w:rsidR="00E95E08" w:rsidRDefault="00E95E08" w:rsidP="004A1847">
      <w:pPr>
        <w:spacing w:after="0" w:line="240" w:lineRule="auto"/>
      </w:pPr>
      <w:r>
        <w:separator/>
      </w:r>
    </w:p>
  </w:endnote>
  <w:endnote w:type="continuationSeparator" w:id="0">
    <w:p w14:paraId="0FF888A7" w14:textId="77777777" w:rsidR="00E95E08" w:rsidRDefault="00E95E08" w:rsidP="004A1847">
      <w:pPr>
        <w:spacing w:after="0" w:line="240" w:lineRule="auto"/>
      </w:pPr>
      <w:r>
        <w:continuationSeparator/>
      </w:r>
    </w:p>
  </w:endnote>
  <w:endnote w:type="continuationNotice" w:id="1">
    <w:p w14:paraId="10ED8B9B" w14:textId="77777777" w:rsidR="00E95E08" w:rsidRDefault="00E95E0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EFA0CC" w14:textId="77777777" w:rsidR="00E95E08" w:rsidRDefault="00E95E08" w:rsidP="004A1847">
      <w:pPr>
        <w:spacing w:after="0" w:line="240" w:lineRule="auto"/>
      </w:pPr>
      <w:r>
        <w:separator/>
      </w:r>
    </w:p>
  </w:footnote>
  <w:footnote w:type="continuationSeparator" w:id="0">
    <w:p w14:paraId="0CF3A1F4" w14:textId="77777777" w:rsidR="00E95E08" w:rsidRDefault="00E95E08" w:rsidP="004A1847">
      <w:pPr>
        <w:spacing w:after="0" w:line="240" w:lineRule="auto"/>
      </w:pPr>
      <w:r>
        <w:continuationSeparator/>
      </w:r>
    </w:p>
  </w:footnote>
  <w:footnote w:type="continuationNotice" w:id="1">
    <w:p w14:paraId="73FED006" w14:textId="77777777" w:rsidR="00E95E08" w:rsidRDefault="00E95E08">
      <w:pPr>
        <w:spacing w:after="0" w:line="240" w:lineRule="auto"/>
      </w:pPr>
    </w:p>
  </w:footnote>
  <w:footnote w:id="2">
    <w:p w14:paraId="2C41391E" w14:textId="77777777" w:rsidR="009C4650" w:rsidRPr="00985409" w:rsidRDefault="009C4650" w:rsidP="009C4650">
      <w:pPr>
        <w:spacing w:after="0" w:line="240" w:lineRule="auto"/>
        <w:ind w:firstLine="709"/>
        <w:jc w:val="both"/>
        <w:rPr>
          <w:rFonts w:ascii="Arial" w:hAnsi="Arial" w:cs="Arial"/>
          <w:sz w:val="12"/>
          <w:szCs w:val="12"/>
          <w:lang w:val="es-ES"/>
        </w:rPr>
      </w:pPr>
      <w:r w:rsidRPr="00985409">
        <w:rPr>
          <w:rStyle w:val="Refdenotaalpie"/>
          <w:rFonts w:ascii="Arial" w:hAnsi="Arial" w:cs="Arial"/>
          <w:sz w:val="19"/>
          <w:szCs w:val="19"/>
        </w:rPr>
        <w:footnoteRef/>
      </w:r>
      <w:r w:rsidRPr="00985409">
        <w:rPr>
          <w:rFonts w:ascii="Arial" w:hAnsi="Arial" w:cs="Arial"/>
          <w:sz w:val="19"/>
          <w:szCs w:val="19"/>
        </w:rPr>
        <w:t xml:space="preserve"> </w:t>
      </w:r>
      <w:r w:rsidRPr="00985409">
        <w:rPr>
          <w:rFonts w:ascii="Arial" w:hAnsi="Arial" w:cs="Arial"/>
          <w:sz w:val="12"/>
          <w:szCs w:val="12"/>
          <w:lang w:val="es-ES"/>
        </w:rPr>
        <w:t xml:space="preserve">Son inhabilidades que responden a esta circunstancia, entre otras, las siguientes: “Quienes participaron en las licitaciones o celebraron los contratos de que trata el literal anterior estando inhabilitados” (art. 8, </w:t>
      </w:r>
      <w:proofErr w:type="spellStart"/>
      <w:r w:rsidRPr="00985409">
        <w:rPr>
          <w:rFonts w:ascii="Arial" w:hAnsi="Arial" w:cs="Arial"/>
          <w:sz w:val="12"/>
          <w:szCs w:val="12"/>
          <w:lang w:val="es-ES"/>
        </w:rPr>
        <w:t>num</w:t>
      </w:r>
      <w:proofErr w:type="spellEnd"/>
      <w:r w:rsidRPr="00985409">
        <w:rPr>
          <w:rFonts w:ascii="Arial" w:hAnsi="Arial" w:cs="Arial"/>
          <w:sz w:val="12"/>
          <w:szCs w:val="12"/>
          <w:lang w:val="es-ES"/>
        </w:rPr>
        <w:t xml:space="preserve">. 1º, </w:t>
      </w:r>
      <w:proofErr w:type="spellStart"/>
      <w:r w:rsidRPr="00985409">
        <w:rPr>
          <w:rFonts w:ascii="Arial" w:hAnsi="Arial" w:cs="Arial"/>
          <w:sz w:val="12"/>
          <w:szCs w:val="12"/>
          <w:lang w:val="es-ES"/>
        </w:rPr>
        <w:t>lit.</w:t>
      </w:r>
      <w:proofErr w:type="spellEnd"/>
      <w:r w:rsidRPr="00985409">
        <w:rPr>
          <w:rFonts w:ascii="Arial" w:hAnsi="Arial" w:cs="Arial"/>
          <w:sz w:val="12"/>
          <w:szCs w:val="12"/>
          <w:lang w:val="es-ES"/>
        </w:rPr>
        <w:t xml:space="preserve"> b, Ley 80/93); “Quienes dieron lugar a la declaratoria de caducidad” (art. 8, </w:t>
      </w:r>
      <w:proofErr w:type="spellStart"/>
      <w:r w:rsidRPr="00985409">
        <w:rPr>
          <w:rFonts w:ascii="Arial" w:hAnsi="Arial" w:cs="Arial"/>
          <w:sz w:val="12"/>
          <w:szCs w:val="12"/>
          <w:lang w:val="es-ES"/>
        </w:rPr>
        <w:t>num</w:t>
      </w:r>
      <w:proofErr w:type="spellEnd"/>
      <w:r w:rsidRPr="00985409">
        <w:rPr>
          <w:rFonts w:ascii="Arial" w:hAnsi="Arial" w:cs="Arial"/>
          <w:sz w:val="12"/>
          <w:szCs w:val="12"/>
          <w:lang w:val="es-ES"/>
        </w:rPr>
        <w:t xml:space="preserve">. 1º, </w:t>
      </w:r>
      <w:proofErr w:type="spellStart"/>
      <w:r w:rsidRPr="00985409">
        <w:rPr>
          <w:rFonts w:ascii="Arial" w:hAnsi="Arial" w:cs="Arial"/>
          <w:sz w:val="12"/>
          <w:szCs w:val="12"/>
          <w:lang w:val="es-ES"/>
        </w:rPr>
        <w:t>lit.</w:t>
      </w:r>
      <w:proofErr w:type="spellEnd"/>
      <w:r w:rsidRPr="00985409">
        <w:rPr>
          <w:rFonts w:ascii="Arial" w:hAnsi="Arial" w:cs="Arial"/>
          <w:sz w:val="12"/>
          <w:szCs w:val="12"/>
          <w:lang w:val="es-ES"/>
        </w:rPr>
        <w:t xml:space="preserve"> c), Ley 80/93); “Quienes en sentencia judicial hayan sido condenados a la pena accesoria de interdicción de derechos y funciones públicas y quienes hayan sido sancionados disciplinariamente con destitución” (art. 8, </w:t>
      </w:r>
      <w:proofErr w:type="spellStart"/>
      <w:r w:rsidRPr="00985409">
        <w:rPr>
          <w:rFonts w:ascii="Arial" w:hAnsi="Arial" w:cs="Arial"/>
          <w:sz w:val="12"/>
          <w:szCs w:val="12"/>
          <w:lang w:val="es-ES"/>
        </w:rPr>
        <w:t>num</w:t>
      </w:r>
      <w:proofErr w:type="spellEnd"/>
      <w:r w:rsidRPr="00985409">
        <w:rPr>
          <w:rFonts w:ascii="Arial" w:hAnsi="Arial" w:cs="Arial"/>
          <w:sz w:val="12"/>
          <w:szCs w:val="12"/>
          <w:lang w:val="es-ES"/>
        </w:rPr>
        <w:t xml:space="preserve">. 1º, </w:t>
      </w:r>
      <w:proofErr w:type="spellStart"/>
      <w:r w:rsidRPr="00985409">
        <w:rPr>
          <w:rFonts w:ascii="Arial" w:hAnsi="Arial" w:cs="Arial"/>
          <w:sz w:val="12"/>
          <w:szCs w:val="12"/>
          <w:lang w:val="es-ES"/>
        </w:rPr>
        <w:t>lit.</w:t>
      </w:r>
      <w:proofErr w:type="spellEnd"/>
      <w:r w:rsidRPr="00985409">
        <w:rPr>
          <w:rFonts w:ascii="Arial" w:hAnsi="Arial" w:cs="Arial"/>
          <w:sz w:val="12"/>
          <w:szCs w:val="12"/>
          <w:lang w:val="es-ES"/>
        </w:rPr>
        <w:t xml:space="preserve"> d), Ley 80/93); “Quienes sin justa causa se abstengan de suscribir el contrato estatal adjudicado” (art. 8, </w:t>
      </w:r>
      <w:proofErr w:type="spellStart"/>
      <w:r w:rsidRPr="00985409">
        <w:rPr>
          <w:rFonts w:ascii="Arial" w:hAnsi="Arial" w:cs="Arial"/>
          <w:sz w:val="12"/>
          <w:szCs w:val="12"/>
          <w:lang w:val="es-ES"/>
        </w:rPr>
        <w:t>num</w:t>
      </w:r>
      <w:proofErr w:type="spellEnd"/>
      <w:r w:rsidRPr="00985409">
        <w:rPr>
          <w:rFonts w:ascii="Arial" w:hAnsi="Arial" w:cs="Arial"/>
          <w:sz w:val="12"/>
          <w:szCs w:val="12"/>
          <w:lang w:val="es-ES"/>
        </w:rPr>
        <w:t xml:space="preserve">. 1º, </w:t>
      </w:r>
      <w:proofErr w:type="spellStart"/>
      <w:r w:rsidRPr="00985409">
        <w:rPr>
          <w:rFonts w:ascii="Arial" w:hAnsi="Arial" w:cs="Arial"/>
          <w:sz w:val="12"/>
          <w:szCs w:val="12"/>
          <w:lang w:val="es-ES"/>
        </w:rPr>
        <w:t>lit.</w:t>
      </w:r>
      <w:proofErr w:type="spellEnd"/>
      <w:r w:rsidRPr="00985409">
        <w:rPr>
          <w:rFonts w:ascii="Arial" w:hAnsi="Arial" w:cs="Arial"/>
          <w:sz w:val="12"/>
          <w:szCs w:val="12"/>
          <w:lang w:val="es-ES"/>
        </w:rPr>
        <w:t xml:space="preserve"> e), Ley 80/93); “i) Los socios de sociedades de personas a las cuales se haya declarado la caducidad, así como las sociedades de personas de las que aquellos formen parte con posterioridad a dicha declaratoria” (art. 8, </w:t>
      </w:r>
      <w:proofErr w:type="spellStart"/>
      <w:r w:rsidRPr="00985409">
        <w:rPr>
          <w:rFonts w:ascii="Arial" w:hAnsi="Arial" w:cs="Arial"/>
          <w:sz w:val="12"/>
          <w:szCs w:val="12"/>
          <w:lang w:val="es-ES"/>
        </w:rPr>
        <w:t>num</w:t>
      </w:r>
      <w:proofErr w:type="spellEnd"/>
      <w:r w:rsidRPr="00985409">
        <w:rPr>
          <w:rFonts w:ascii="Arial" w:hAnsi="Arial" w:cs="Arial"/>
          <w:sz w:val="12"/>
          <w:szCs w:val="12"/>
          <w:lang w:val="es-ES"/>
        </w:rPr>
        <w:t xml:space="preserve">. 1º, </w:t>
      </w:r>
      <w:proofErr w:type="spellStart"/>
      <w:r w:rsidRPr="00985409">
        <w:rPr>
          <w:rFonts w:ascii="Arial" w:hAnsi="Arial" w:cs="Arial"/>
          <w:sz w:val="12"/>
          <w:szCs w:val="12"/>
          <w:lang w:val="es-ES"/>
        </w:rPr>
        <w:t>lit.</w:t>
      </w:r>
      <w:proofErr w:type="spellEnd"/>
      <w:r w:rsidRPr="00985409">
        <w:rPr>
          <w:rFonts w:ascii="Arial" w:hAnsi="Arial" w:cs="Arial"/>
          <w:sz w:val="12"/>
          <w:szCs w:val="12"/>
          <w:lang w:val="es-ES"/>
        </w:rPr>
        <w:t xml:space="preserve">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w:t>
      </w:r>
      <w:proofErr w:type="spellStart"/>
      <w:r w:rsidRPr="00985409">
        <w:rPr>
          <w:rFonts w:ascii="Arial" w:hAnsi="Arial" w:cs="Arial"/>
          <w:sz w:val="12"/>
          <w:szCs w:val="12"/>
          <w:lang w:val="es-ES"/>
        </w:rPr>
        <w:t>num</w:t>
      </w:r>
      <w:proofErr w:type="spellEnd"/>
      <w:r w:rsidRPr="00985409">
        <w:rPr>
          <w:rFonts w:ascii="Arial" w:hAnsi="Arial" w:cs="Arial"/>
          <w:sz w:val="12"/>
          <w:szCs w:val="12"/>
          <w:lang w:val="es-ES"/>
        </w:rPr>
        <w:t xml:space="preserve">. 1º, </w:t>
      </w:r>
      <w:proofErr w:type="spellStart"/>
      <w:r w:rsidRPr="00985409">
        <w:rPr>
          <w:rFonts w:ascii="Arial" w:hAnsi="Arial" w:cs="Arial"/>
          <w:sz w:val="12"/>
          <w:szCs w:val="12"/>
          <w:lang w:val="es-ES"/>
        </w:rPr>
        <w:t>lit.</w:t>
      </w:r>
      <w:proofErr w:type="spellEnd"/>
      <w:r w:rsidRPr="00985409">
        <w:rPr>
          <w:rFonts w:ascii="Arial" w:hAnsi="Arial" w:cs="Arial"/>
          <w:sz w:val="12"/>
          <w:szCs w:val="12"/>
          <w:lang w:val="es-ES"/>
        </w:rPr>
        <w:t xml:space="preserve">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w:t>
      </w:r>
      <w:proofErr w:type="spellStart"/>
      <w:r w:rsidRPr="00985409">
        <w:rPr>
          <w:rFonts w:ascii="Arial" w:hAnsi="Arial" w:cs="Arial"/>
          <w:sz w:val="12"/>
          <w:szCs w:val="12"/>
          <w:lang w:val="es-ES"/>
        </w:rPr>
        <w:t>num</w:t>
      </w:r>
      <w:proofErr w:type="spellEnd"/>
      <w:r w:rsidRPr="00985409">
        <w:rPr>
          <w:rFonts w:ascii="Arial" w:hAnsi="Arial" w:cs="Arial"/>
          <w:sz w:val="12"/>
          <w:szCs w:val="12"/>
          <w:lang w:val="es-ES"/>
        </w:rPr>
        <w:t xml:space="preserve">. 1º, </w:t>
      </w:r>
      <w:proofErr w:type="spellStart"/>
      <w:r w:rsidRPr="00985409">
        <w:rPr>
          <w:rFonts w:ascii="Arial" w:hAnsi="Arial" w:cs="Arial"/>
          <w:sz w:val="12"/>
          <w:szCs w:val="12"/>
          <w:lang w:val="es-ES"/>
        </w:rPr>
        <w:t>lit.</w:t>
      </w:r>
      <w:proofErr w:type="spellEnd"/>
      <w:r w:rsidRPr="00985409">
        <w:rPr>
          <w:rFonts w:ascii="Arial" w:hAnsi="Arial" w:cs="Arial"/>
          <w:sz w:val="12"/>
          <w:szCs w:val="12"/>
          <w:lang w:val="es-ES"/>
        </w:rPr>
        <w:t xml:space="preserve">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w:t>
      </w:r>
      <w:proofErr w:type="spellStart"/>
      <w:r w:rsidRPr="00985409">
        <w:rPr>
          <w:rFonts w:ascii="Arial" w:hAnsi="Arial" w:cs="Arial"/>
          <w:sz w:val="12"/>
          <w:szCs w:val="12"/>
          <w:lang w:val="es-ES"/>
        </w:rPr>
        <w:t>lit.</w:t>
      </w:r>
      <w:proofErr w:type="spellEnd"/>
      <w:r w:rsidRPr="00985409">
        <w:rPr>
          <w:rFonts w:ascii="Arial" w:hAnsi="Arial" w:cs="Arial"/>
          <w:sz w:val="12"/>
          <w:szCs w:val="12"/>
          <w:lang w:val="es-ES"/>
        </w:rPr>
        <w:t xml:space="preserve"> a), b) y c), Ley 1474/11, modificado por el art. 43, Ley 1955/19.</w:t>
      </w:r>
    </w:p>
  </w:footnote>
  <w:footnote w:id="3">
    <w:p w14:paraId="5D390857" w14:textId="77777777" w:rsidR="009C4650" w:rsidRPr="00985409" w:rsidRDefault="009C4650" w:rsidP="009C4650">
      <w:pPr>
        <w:pStyle w:val="Textonotapie"/>
        <w:ind w:firstLine="709"/>
        <w:jc w:val="both"/>
        <w:rPr>
          <w:rFonts w:ascii="Arial" w:hAnsi="Arial" w:cs="Arial"/>
          <w:sz w:val="12"/>
          <w:szCs w:val="12"/>
          <w:lang w:val="es-ES"/>
        </w:rPr>
      </w:pPr>
      <w:r w:rsidRPr="00985409">
        <w:rPr>
          <w:rStyle w:val="Refdenotaalpie"/>
          <w:rFonts w:ascii="Arial" w:hAnsi="Arial" w:cs="Arial"/>
          <w:sz w:val="19"/>
          <w:szCs w:val="19"/>
        </w:rPr>
        <w:footnoteRef/>
      </w:r>
      <w:r w:rsidRPr="00985409">
        <w:rPr>
          <w:rFonts w:ascii="Arial" w:hAnsi="Arial" w:cs="Arial"/>
          <w:sz w:val="19"/>
          <w:szCs w:val="19"/>
        </w:rPr>
        <w:t xml:space="preserve"> </w:t>
      </w:r>
      <w:r w:rsidRPr="00985409">
        <w:rPr>
          <w:rFonts w:ascii="Arial" w:hAnsi="Arial" w:cs="Arial"/>
          <w:sz w:val="12"/>
          <w:szCs w:val="12"/>
          <w:lang w:val="es-ES"/>
        </w:rPr>
        <w:t xml:space="preserve">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w:t>
      </w:r>
      <w:proofErr w:type="spellStart"/>
      <w:r w:rsidRPr="00985409">
        <w:rPr>
          <w:rFonts w:ascii="Arial" w:hAnsi="Arial" w:cs="Arial"/>
          <w:sz w:val="12"/>
          <w:szCs w:val="12"/>
          <w:lang w:val="es-ES"/>
        </w:rPr>
        <w:t>num</w:t>
      </w:r>
      <w:proofErr w:type="spellEnd"/>
      <w:r w:rsidRPr="00985409">
        <w:rPr>
          <w:rFonts w:ascii="Arial" w:hAnsi="Arial" w:cs="Arial"/>
          <w:sz w:val="12"/>
          <w:szCs w:val="12"/>
          <w:lang w:val="es-ES"/>
        </w:rPr>
        <w:t xml:space="preserve">. 1º, </w:t>
      </w:r>
      <w:proofErr w:type="spellStart"/>
      <w:r w:rsidRPr="00985409">
        <w:rPr>
          <w:rFonts w:ascii="Arial" w:hAnsi="Arial" w:cs="Arial"/>
          <w:sz w:val="12"/>
          <w:szCs w:val="12"/>
          <w:lang w:val="es-ES"/>
        </w:rPr>
        <w:t>lit.</w:t>
      </w:r>
      <w:proofErr w:type="spellEnd"/>
      <w:r w:rsidRPr="00985409">
        <w:rPr>
          <w:rFonts w:ascii="Arial" w:hAnsi="Arial" w:cs="Arial"/>
          <w:sz w:val="12"/>
          <w:szCs w:val="12"/>
          <w:lang w:val="es-ES"/>
        </w:rPr>
        <w:t xml:space="preserve">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w:t>
      </w:r>
      <w:proofErr w:type="spellStart"/>
      <w:r w:rsidRPr="00985409">
        <w:rPr>
          <w:rFonts w:ascii="Arial" w:hAnsi="Arial" w:cs="Arial"/>
          <w:sz w:val="12"/>
          <w:szCs w:val="12"/>
          <w:lang w:val="es-ES"/>
        </w:rPr>
        <w:t>num</w:t>
      </w:r>
      <w:proofErr w:type="spellEnd"/>
      <w:r w:rsidRPr="00985409">
        <w:rPr>
          <w:rFonts w:ascii="Arial" w:hAnsi="Arial" w:cs="Arial"/>
          <w:sz w:val="12"/>
          <w:szCs w:val="12"/>
          <w:lang w:val="es-ES"/>
        </w:rPr>
        <w:t xml:space="preserve">. 1º, </w:t>
      </w:r>
      <w:proofErr w:type="spellStart"/>
      <w:r w:rsidRPr="00985409">
        <w:rPr>
          <w:rFonts w:ascii="Arial" w:hAnsi="Arial" w:cs="Arial"/>
          <w:sz w:val="12"/>
          <w:szCs w:val="12"/>
          <w:lang w:val="es-ES"/>
        </w:rPr>
        <w:t>lit.</w:t>
      </w:r>
      <w:proofErr w:type="spellEnd"/>
      <w:r w:rsidRPr="00985409">
        <w:rPr>
          <w:rFonts w:ascii="Arial" w:hAnsi="Arial" w:cs="Arial"/>
          <w:sz w:val="12"/>
          <w:szCs w:val="12"/>
          <w:lang w:val="es-ES"/>
        </w:rPr>
        <w:t xml:space="preserve">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w:t>
      </w:r>
      <w:proofErr w:type="spellStart"/>
      <w:r w:rsidRPr="00985409">
        <w:rPr>
          <w:rFonts w:ascii="Arial" w:hAnsi="Arial" w:cs="Arial"/>
          <w:sz w:val="12"/>
          <w:szCs w:val="12"/>
          <w:lang w:val="es-ES"/>
        </w:rPr>
        <w:t>num</w:t>
      </w:r>
      <w:proofErr w:type="spellEnd"/>
      <w:r w:rsidRPr="00985409">
        <w:rPr>
          <w:rFonts w:ascii="Arial" w:hAnsi="Arial" w:cs="Arial"/>
          <w:sz w:val="12"/>
          <w:szCs w:val="12"/>
          <w:lang w:val="es-ES"/>
        </w:rPr>
        <w:t xml:space="preserve">. 2º, </w:t>
      </w:r>
      <w:proofErr w:type="spellStart"/>
      <w:r w:rsidRPr="00985409">
        <w:rPr>
          <w:rFonts w:ascii="Arial" w:hAnsi="Arial" w:cs="Arial"/>
          <w:sz w:val="12"/>
          <w:szCs w:val="12"/>
          <w:lang w:val="es-ES"/>
        </w:rPr>
        <w:t>lit.</w:t>
      </w:r>
      <w:proofErr w:type="spellEnd"/>
      <w:r w:rsidRPr="00985409">
        <w:rPr>
          <w:rFonts w:ascii="Arial" w:hAnsi="Arial" w:cs="Arial"/>
          <w:sz w:val="12"/>
          <w:szCs w:val="12"/>
          <w:lang w:val="es-ES"/>
        </w:rPr>
        <w:t xml:space="preserve"> b), Ley 80/93); “El cónyuge, compañero o compañera permanente del servidor público en los niveles directivo, asesor, ejecutivo, o de un miembro de la junta o consejo directivo, o de quien ejerza funciones de control interno o de control fiscal” (art. 8, </w:t>
      </w:r>
      <w:proofErr w:type="spellStart"/>
      <w:r w:rsidRPr="00985409">
        <w:rPr>
          <w:rFonts w:ascii="Arial" w:hAnsi="Arial" w:cs="Arial"/>
          <w:sz w:val="12"/>
          <w:szCs w:val="12"/>
          <w:lang w:val="es-ES"/>
        </w:rPr>
        <w:t>num</w:t>
      </w:r>
      <w:proofErr w:type="spellEnd"/>
      <w:r w:rsidRPr="00985409">
        <w:rPr>
          <w:rFonts w:ascii="Arial" w:hAnsi="Arial" w:cs="Arial"/>
          <w:sz w:val="12"/>
          <w:szCs w:val="12"/>
          <w:lang w:val="es-ES"/>
        </w:rPr>
        <w:t xml:space="preserve">. 2º, </w:t>
      </w:r>
      <w:proofErr w:type="spellStart"/>
      <w:r w:rsidRPr="00985409">
        <w:rPr>
          <w:rFonts w:ascii="Arial" w:hAnsi="Arial" w:cs="Arial"/>
          <w:sz w:val="12"/>
          <w:szCs w:val="12"/>
          <w:lang w:val="es-ES"/>
        </w:rPr>
        <w:t>lit.</w:t>
      </w:r>
      <w:proofErr w:type="spellEnd"/>
      <w:r w:rsidRPr="00985409">
        <w:rPr>
          <w:rFonts w:ascii="Arial" w:hAnsi="Arial" w:cs="Arial"/>
          <w:sz w:val="12"/>
          <w:szCs w:val="12"/>
          <w:lang w:val="es-ES"/>
        </w:rPr>
        <w:t xml:space="preserve"> c), Ley 80/93); “Las corporaciones, asociaciones, fundaciones y las sociedades anónimas que no tengan el</w:t>
      </w:r>
      <w:r w:rsidRPr="00985409">
        <w:rPr>
          <w:rFonts w:ascii="Arial" w:hAnsi="Arial" w:cs="Arial"/>
          <w:sz w:val="19"/>
          <w:szCs w:val="19"/>
          <w:lang w:val="es-ES"/>
        </w:rPr>
        <w:t xml:space="preserve"> </w:t>
      </w:r>
      <w:r w:rsidRPr="00985409">
        <w:rPr>
          <w:rFonts w:ascii="Arial" w:hAnsi="Arial" w:cs="Arial"/>
          <w:sz w:val="12"/>
          <w:szCs w:val="12"/>
          <w:lang w:val="es-ES"/>
        </w:rPr>
        <w:t xml:space="preserve">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w:t>
      </w:r>
      <w:proofErr w:type="spellStart"/>
      <w:r w:rsidRPr="00985409">
        <w:rPr>
          <w:rFonts w:ascii="Arial" w:hAnsi="Arial" w:cs="Arial"/>
          <w:sz w:val="12"/>
          <w:szCs w:val="12"/>
          <w:lang w:val="es-ES"/>
        </w:rPr>
        <w:t>num</w:t>
      </w:r>
      <w:proofErr w:type="spellEnd"/>
      <w:r w:rsidRPr="00985409">
        <w:rPr>
          <w:rFonts w:ascii="Arial" w:hAnsi="Arial" w:cs="Arial"/>
          <w:sz w:val="12"/>
          <w:szCs w:val="12"/>
          <w:lang w:val="es-ES"/>
        </w:rPr>
        <w:t xml:space="preserve">. 2º, </w:t>
      </w:r>
      <w:proofErr w:type="spellStart"/>
      <w:r w:rsidRPr="00985409">
        <w:rPr>
          <w:rFonts w:ascii="Arial" w:hAnsi="Arial" w:cs="Arial"/>
          <w:sz w:val="12"/>
          <w:szCs w:val="12"/>
          <w:lang w:val="es-ES"/>
        </w:rPr>
        <w:t>lit.</w:t>
      </w:r>
      <w:proofErr w:type="spellEnd"/>
      <w:r w:rsidRPr="00985409">
        <w:rPr>
          <w:rFonts w:ascii="Arial" w:hAnsi="Arial" w:cs="Arial"/>
          <w:sz w:val="12"/>
          <w:szCs w:val="12"/>
          <w:lang w:val="es-ES"/>
        </w:rPr>
        <w:t xml:space="preserve"> d), Ley 80/93).</w:t>
      </w:r>
    </w:p>
  </w:footnote>
  <w:footnote w:id="4">
    <w:p w14:paraId="7001E6A4" w14:textId="77777777" w:rsidR="009C4650" w:rsidRPr="00985409" w:rsidRDefault="009C4650" w:rsidP="009C4650">
      <w:pPr>
        <w:pStyle w:val="Textonotapie"/>
        <w:ind w:firstLine="709"/>
        <w:jc w:val="both"/>
        <w:rPr>
          <w:rFonts w:ascii="Arial" w:hAnsi="Arial" w:cs="Arial"/>
          <w:sz w:val="12"/>
          <w:szCs w:val="12"/>
          <w:lang w:val="es-ES"/>
        </w:rPr>
      </w:pPr>
      <w:r w:rsidRPr="00985409">
        <w:rPr>
          <w:rStyle w:val="Refdenotaalpie"/>
          <w:rFonts w:ascii="Arial" w:hAnsi="Arial" w:cs="Arial"/>
          <w:sz w:val="19"/>
          <w:szCs w:val="19"/>
        </w:rPr>
        <w:footnoteRef/>
      </w:r>
      <w:r w:rsidRPr="00985409">
        <w:rPr>
          <w:rFonts w:ascii="Arial" w:hAnsi="Arial" w:cs="Arial"/>
          <w:sz w:val="19"/>
          <w:szCs w:val="19"/>
        </w:rPr>
        <w:t xml:space="preserve"> </w:t>
      </w:r>
      <w:r w:rsidRPr="00985409">
        <w:rPr>
          <w:rFonts w:ascii="Arial" w:hAnsi="Arial" w:cs="Arial"/>
          <w:sz w:val="12"/>
          <w:szCs w:val="12"/>
          <w:lang w:val="es-ES"/>
        </w:rPr>
        <w:t>Verbigracia, entre otras, las que se indican a continuación: “Las personas naturales o jurídicas que hayan financiado campañas políticas a la Presidencia de la República, a las gobernaciones, a las alcaldías o al Congreso de la República, con aportes superiores al dos por ciento (2.0%) de las sumas máximas a invertir por los candidatos en las campañas electorales en cada circunscripción electoral,</w:t>
      </w:r>
      <w:r w:rsidRPr="00985409">
        <w:rPr>
          <w:rFonts w:ascii="Arial" w:hAnsi="Arial" w:cs="Arial"/>
          <w:sz w:val="19"/>
          <w:szCs w:val="19"/>
          <w:lang w:val="es-ES"/>
        </w:rPr>
        <w:t xml:space="preserve"> </w:t>
      </w:r>
      <w:r w:rsidRPr="00985409">
        <w:rPr>
          <w:rFonts w:ascii="Arial" w:hAnsi="Arial" w:cs="Arial"/>
          <w:sz w:val="12"/>
          <w:szCs w:val="12"/>
          <w:lang w:val="es-ES"/>
        </w:rPr>
        <w:t xml:space="preserve">quienes no podrán celebrar contratos con las entidades públicas, incluso descentralizadas, del respectivo nivel administrativo para el cual fue elegido el candidato […]” (art. 8, </w:t>
      </w:r>
      <w:proofErr w:type="spellStart"/>
      <w:r w:rsidRPr="00985409">
        <w:rPr>
          <w:rFonts w:ascii="Arial" w:hAnsi="Arial" w:cs="Arial"/>
          <w:sz w:val="12"/>
          <w:szCs w:val="12"/>
          <w:lang w:val="es-ES"/>
        </w:rPr>
        <w:t>num</w:t>
      </w:r>
      <w:proofErr w:type="spellEnd"/>
      <w:r w:rsidRPr="00985409">
        <w:rPr>
          <w:rFonts w:ascii="Arial" w:hAnsi="Arial" w:cs="Arial"/>
          <w:sz w:val="12"/>
          <w:szCs w:val="12"/>
          <w:lang w:val="es-ES"/>
        </w:rPr>
        <w:t xml:space="preserve">. 1º, </w:t>
      </w:r>
      <w:proofErr w:type="spellStart"/>
      <w:r w:rsidRPr="00985409">
        <w:rPr>
          <w:rFonts w:ascii="Arial" w:hAnsi="Arial" w:cs="Arial"/>
          <w:sz w:val="12"/>
          <w:szCs w:val="12"/>
          <w:lang w:val="es-ES"/>
        </w:rPr>
        <w:t>lit.</w:t>
      </w:r>
      <w:proofErr w:type="spellEnd"/>
      <w:r w:rsidRPr="00985409">
        <w:rPr>
          <w:rFonts w:ascii="Arial" w:hAnsi="Arial" w:cs="Arial"/>
          <w:sz w:val="12"/>
          <w:szCs w:val="12"/>
          <w:lang w:val="es-ES"/>
        </w:rPr>
        <w:t xml:space="preserve"> k), Ley 80/93, modificado por el art. 33, Ley 1778/16); “Quienes fueron</w:t>
      </w:r>
      <w:r w:rsidRPr="00985409">
        <w:rPr>
          <w:rFonts w:ascii="Arial" w:hAnsi="Arial" w:cs="Arial"/>
          <w:sz w:val="19"/>
          <w:szCs w:val="19"/>
          <w:lang w:val="es-ES"/>
        </w:rPr>
        <w:t xml:space="preserve"> </w:t>
      </w:r>
      <w:r w:rsidRPr="00985409">
        <w:rPr>
          <w:rFonts w:ascii="Arial" w:hAnsi="Arial" w:cs="Arial"/>
          <w:sz w:val="12"/>
          <w:szCs w:val="12"/>
          <w:lang w:val="es-ES"/>
        </w:rPr>
        <w:t xml:space="preserve">miembros de la junta o consejo directivo o servidores públicos de la entidad contratante” (art. 8, </w:t>
      </w:r>
      <w:proofErr w:type="spellStart"/>
      <w:r w:rsidRPr="00985409">
        <w:rPr>
          <w:rFonts w:ascii="Arial" w:hAnsi="Arial" w:cs="Arial"/>
          <w:sz w:val="12"/>
          <w:szCs w:val="12"/>
          <w:lang w:val="es-ES"/>
        </w:rPr>
        <w:t>num</w:t>
      </w:r>
      <w:proofErr w:type="spellEnd"/>
      <w:r w:rsidRPr="00985409">
        <w:rPr>
          <w:rFonts w:ascii="Arial" w:hAnsi="Arial" w:cs="Arial"/>
          <w:sz w:val="12"/>
          <w:szCs w:val="12"/>
          <w:lang w:val="es-ES"/>
        </w:rPr>
        <w:t xml:space="preserve">. 2º, </w:t>
      </w:r>
      <w:proofErr w:type="spellStart"/>
      <w:r w:rsidRPr="00985409">
        <w:rPr>
          <w:rFonts w:ascii="Arial" w:hAnsi="Arial" w:cs="Arial"/>
          <w:sz w:val="12"/>
          <w:szCs w:val="12"/>
          <w:lang w:val="es-ES"/>
        </w:rPr>
        <w:t>lit.</w:t>
      </w:r>
      <w:proofErr w:type="spellEnd"/>
      <w:r w:rsidRPr="00985409">
        <w:rPr>
          <w:rFonts w:ascii="Arial" w:hAnsi="Arial" w:cs="Arial"/>
          <w:sz w:val="12"/>
          <w:szCs w:val="12"/>
          <w:lang w:val="es-ES"/>
        </w:rPr>
        <w:t xml:space="preserve"> a), Ley 80/93); “Directa o indirectamente las personas que hayan ejercido cargos en el nivel</w:t>
      </w:r>
      <w:r w:rsidRPr="00985409">
        <w:rPr>
          <w:rFonts w:ascii="Arial" w:hAnsi="Arial" w:cs="Arial"/>
          <w:sz w:val="19"/>
          <w:szCs w:val="19"/>
          <w:lang w:val="es-ES"/>
        </w:rPr>
        <w:t xml:space="preserve"> </w:t>
      </w:r>
      <w:r w:rsidRPr="00985409">
        <w:rPr>
          <w:rFonts w:ascii="Arial" w:hAnsi="Arial" w:cs="Arial"/>
          <w:sz w:val="12"/>
          <w:szCs w:val="12"/>
          <w:lang w:val="es-ES"/>
        </w:rPr>
        <w:t>directivo en entidades del Estado y las sociedades en las cuales estos</w:t>
      </w:r>
      <w:r w:rsidRPr="00985409">
        <w:rPr>
          <w:rFonts w:ascii="Arial" w:hAnsi="Arial" w:cs="Arial"/>
          <w:sz w:val="19"/>
          <w:szCs w:val="19"/>
          <w:lang w:val="es-ES"/>
        </w:rPr>
        <w:t xml:space="preserve"> </w:t>
      </w:r>
      <w:r w:rsidRPr="00985409">
        <w:rPr>
          <w:rFonts w:ascii="Arial" w:hAnsi="Arial" w:cs="Arial"/>
          <w:sz w:val="12"/>
          <w:szCs w:val="12"/>
          <w:lang w:val="es-ES"/>
        </w:rPr>
        <w:t>hagan parte o estén</w:t>
      </w:r>
      <w:r w:rsidRPr="00985409">
        <w:rPr>
          <w:rFonts w:ascii="Arial" w:hAnsi="Arial" w:cs="Arial"/>
          <w:sz w:val="19"/>
          <w:szCs w:val="19"/>
          <w:lang w:val="es-ES"/>
        </w:rPr>
        <w:t xml:space="preserve"> vinculados a </w:t>
      </w:r>
      <w:r w:rsidRPr="00985409">
        <w:rPr>
          <w:rFonts w:ascii="Arial" w:hAnsi="Arial" w:cs="Arial"/>
          <w:sz w:val="12"/>
          <w:szCs w:val="12"/>
          <w:lang w:val="es-ES"/>
        </w:rPr>
        <w:t xml:space="preserve">cualquier título, durante los dos (2) años siguientes al retiro del ejercicio del cargo público, cuando el objeto que desarrollen tenga relación con el sector al cual prestaron sus servicios” (art. 8, </w:t>
      </w:r>
      <w:proofErr w:type="spellStart"/>
      <w:r w:rsidRPr="00985409">
        <w:rPr>
          <w:rFonts w:ascii="Arial" w:hAnsi="Arial" w:cs="Arial"/>
          <w:sz w:val="12"/>
          <w:szCs w:val="12"/>
          <w:lang w:val="es-ES"/>
        </w:rPr>
        <w:t>num</w:t>
      </w:r>
      <w:proofErr w:type="spellEnd"/>
      <w:r w:rsidRPr="00985409">
        <w:rPr>
          <w:rFonts w:ascii="Arial" w:hAnsi="Arial" w:cs="Arial"/>
          <w:sz w:val="12"/>
          <w:szCs w:val="12"/>
          <w:lang w:val="es-ES"/>
        </w:rPr>
        <w:t xml:space="preserve">. 2º, </w:t>
      </w:r>
      <w:proofErr w:type="spellStart"/>
      <w:r w:rsidRPr="00985409">
        <w:rPr>
          <w:rFonts w:ascii="Arial" w:hAnsi="Arial" w:cs="Arial"/>
          <w:sz w:val="12"/>
          <w:szCs w:val="12"/>
          <w:lang w:val="es-ES"/>
        </w:rPr>
        <w:t>lit.</w:t>
      </w:r>
      <w:proofErr w:type="spellEnd"/>
      <w:r w:rsidRPr="00985409">
        <w:rPr>
          <w:rFonts w:ascii="Arial" w:hAnsi="Arial" w:cs="Arial"/>
          <w:sz w:val="12"/>
          <w:szCs w:val="12"/>
          <w:lang w:val="es-ES"/>
        </w:rPr>
        <w:t xml:space="preserve"> f), Ley 80/93, adicionado por el art. 4º, Ley 1474/2011).</w:t>
      </w:r>
    </w:p>
  </w:footnote>
  <w:footnote w:id="5">
    <w:p w14:paraId="13FA1725" w14:textId="77777777" w:rsidR="009C4650" w:rsidRPr="0087359B" w:rsidRDefault="009C4650" w:rsidP="009C4650">
      <w:pPr>
        <w:spacing w:after="0" w:line="240" w:lineRule="auto"/>
        <w:ind w:firstLine="709"/>
        <w:jc w:val="both"/>
        <w:rPr>
          <w:rFonts w:ascii="Arial" w:hAnsi="Arial" w:cs="Arial"/>
          <w:sz w:val="10"/>
          <w:szCs w:val="10"/>
          <w:lang w:val="es-ES"/>
        </w:rPr>
      </w:pPr>
      <w:r w:rsidRPr="0087359B">
        <w:rPr>
          <w:rStyle w:val="Refdenotaalpie"/>
          <w:rFonts w:ascii="Arial" w:hAnsi="Arial" w:cs="Arial"/>
          <w:sz w:val="10"/>
          <w:szCs w:val="10"/>
        </w:rPr>
        <w:footnoteRef/>
      </w:r>
      <w:r w:rsidRPr="0087359B">
        <w:rPr>
          <w:rFonts w:ascii="Arial" w:hAnsi="Arial" w:cs="Arial"/>
          <w:sz w:val="10"/>
          <w:szCs w:val="10"/>
        </w:rPr>
        <w:t xml:space="preserve"> </w:t>
      </w:r>
      <w:r w:rsidRPr="0087359B">
        <w:rPr>
          <w:rFonts w:ascii="Arial" w:hAnsi="Arial" w:cs="Arial"/>
          <w:sz w:val="10"/>
          <w:szCs w:val="10"/>
          <w:lang w:val="es-ES"/>
        </w:rPr>
        <w:t xml:space="preserve">Como las señaladas a continuación: “Los servidores públicos” (art. 8, </w:t>
      </w:r>
      <w:proofErr w:type="spellStart"/>
      <w:r w:rsidRPr="0087359B">
        <w:rPr>
          <w:rFonts w:ascii="Arial" w:hAnsi="Arial" w:cs="Arial"/>
          <w:sz w:val="10"/>
          <w:szCs w:val="10"/>
          <w:lang w:val="es-ES"/>
        </w:rPr>
        <w:t>num</w:t>
      </w:r>
      <w:proofErr w:type="spellEnd"/>
      <w:r w:rsidRPr="0087359B">
        <w:rPr>
          <w:rFonts w:ascii="Arial" w:hAnsi="Arial" w:cs="Arial"/>
          <w:sz w:val="10"/>
          <w:szCs w:val="10"/>
          <w:lang w:val="es-ES"/>
        </w:rPr>
        <w:t xml:space="preserve">. 1º, </w:t>
      </w:r>
      <w:proofErr w:type="spellStart"/>
      <w:r w:rsidRPr="0087359B">
        <w:rPr>
          <w:rFonts w:ascii="Arial" w:hAnsi="Arial" w:cs="Arial"/>
          <w:sz w:val="10"/>
          <w:szCs w:val="10"/>
          <w:lang w:val="es-ES"/>
        </w:rPr>
        <w:t>lit.</w:t>
      </w:r>
      <w:proofErr w:type="spellEnd"/>
      <w:r w:rsidRPr="0087359B">
        <w:rPr>
          <w:rFonts w:ascii="Arial" w:hAnsi="Arial" w:cs="Arial"/>
          <w:sz w:val="10"/>
          <w:szCs w:val="10"/>
          <w:lang w:val="es-ES"/>
        </w:rPr>
        <w:t xml:space="preserve">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w:t>
      </w:r>
      <w:proofErr w:type="spellStart"/>
      <w:r w:rsidRPr="0087359B">
        <w:rPr>
          <w:rFonts w:ascii="Arial" w:hAnsi="Arial" w:cs="Arial"/>
          <w:sz w:val="10"/>
          <w:szCs w:val="10"/>
          <w:lang w:val="es-ES"/>
        </w:rPr>
        <w:t>num</w:t>
      </w:r>
      <w:proofErr w:type="spellEnd"/>
      <w:r w:rsidRPr="0087359B">
        <w:rPr>
          <w:rFonts w:ascii="Arial" w:hAnsi="Arial" w:cs="Arial"/>
          <w:sz w:val="10"/>
          <w:szCs w:val="10"/>
          <w:lang w:val="es-ES"/>
        </w:rPr>
        <w:t xml:space="preserve">. 2º, </w:t>
      </w:r>
      <w:proofErr w:type="spellStart"/>
      <w:r w:rsidRPr="0087359B">
        <w:rPr>
          <w:rFonts w:ascii="Arial" w:hAnsi="Arial" w:cs="Arial"/>
          <w:sz w:val="10"/>
          <w:szCs w:val="10"/>
          <w:lang w:val="es-ES"/>
        </w:rPr>
        <w:t>lit.</w:t>
      </w:r>
      <w:proofErr w:type="spellEnd"/>
      <w:r w:rsidRPr="0087359B">
        <w:rPr>
          <w:rFonts w:ascii="Arial" w:hAnsi="Arial" w:cs="Arial"/>
          <w:sz w:val="10"/>
          <w:szCs w:val="10"/>
          <w:lang w:val="es-ES"/>
        </w:rPr>
        <w:t xml:space="preserve"> d), Ley 80/93); “Los miembros de las juntas o consejos directivos. Esta incompatibilidad sólo se predica respecto de la entidad a la cual prestan sus servicios y de las del sector administrativo al que la misma esté adscrita o vinculada” (art. 8, </w:t>
      </w:r>
      <w:proofErr w:type="spellStart"/>
      <w:r w:rsidRPr="0087359B">
        <w:rPr>
          <w:rFonts w:ascii="Arial" w:hAnsi="Arial" w:cs="Arial"/>
          <w:sz w:val="10"/>
          <w:szCs w:val="10"/>
          <w:lang w:val="es-ES"/>
        </w:rPr>
        <w:t>num</w:t>
      </w:r>
      <w:proofErr w:type="spellEnd"/>
      <w:r w:rsidRPr="0087359B">
        <w:rPr>
          <w:rFonts w:ascii="Arial" w:hAnsi="Arial" w:cs="Arial"/>
          <w:sz w:val="10"/>
          <w:szCs w:val="10"/>
          <w:lang w:val="es-ES"/>
        </w:rPr>
        <w:t xml:space="preserve">. 2º, </w:t>
      </w:r>
      <w:proofErr w:type="spellStart"/>
      <w:r w:rsidRPr="0087359B">
        <w:rPr>
          <w:rFonts w:ascii="Arial" w:hAnsi="Arial" w:cs="Arial"/>
          <w:sz w:val="10"/>
          <w:szCs w:val="10"/>
          <w:lang w:val="es-ES"/>
        </w:rPr>
        <w:t>lit.</w:t>
      </w:r>
      <w:proofErr w:type="spellEnd"/>
      <w:r w:rsidRPr="0087359B">
        <w:rPr>
          <w:rFonts w:ascii="Arial" w:hAnsi="Arial" w:cs="Arial"/>
          <w:sz w:val="10"/>
          <w:szCs w:val="10"/>
          <w:lang w:val="es-ES"/>
        </w:rPr>
        <w:t xml:space="preserve"> e), Ley 80/93); “Quien haya celebrado un contrato estatal de obra pública, de concesión, suministro de medicamentos y de alimentos o su cónyuge, compañero o compañera permanente, pariente hasta el segundo grado de </w:t>
      </w:r>
      <w:proofErr w:type="spellStart"/>
      <w:r w:rsidRPr="0087359B">
        <w:rPr>
          <w:rFonts w:ascii="Arial" w:hAnsi="Arial" w:cs="Arial"/>
          <w:sz w:val="10"/>
          <w:szCs w:val="10"/>
          <w:lang w:val="es-ES"/>
        </w:rPr>
        <w:t>consaguinidad</w:t>
      </w:r>
      <w:proofErr w:type="spellEnd"/>
      <w:r w:rsidRPr="0087359B">
        <w:rPr>
          <w:rFonts w:ascii="Arial" w:hAnsi="Arial" w:cs="Arial"/>
          <w:sz w:val="10"/>
          <w:szCs w:val="10"/>
          <w:lang w:val="es-ES"/>
        </w:rPr>
        <w:t xml:space="preserve">,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footnote>
  <w:footnote w:id="6">
    <w:p w14:paraId="7C5699C4" w14:textId="77777777" w:rsidR="009C4650" w:rsidRPr="0087359B" w:rsidRDefault="009C4650" w:rsidP="009C4650">
      <w:pPr>
        <w:pStyle w:val="Textonotapie"/>
        <w:ind w:firstLine="709"/>
        <w:jc w:val="both"/>
        <w:rPr>
          <w:rFonts w:ascii="Arial" w:hAnsi="Arial" w:cs="Arial"/>
          <w:sz w:val="10"/>
          <w:szCs w:val="10"/>
        </w:rPr>
      </w:pPr>
      <w:r w:rsidRPr="0087359B">
        <w:rPr>
          <w:rStyle w:val="Refdenotaalpie"/>
          <w:rFonts w:ascii="Arial" w:hAnsi="Arial" w:cs="Arial"/>
          <w:sz w:val="10"/>
          <w:szCs w:val="10"/>
        </w:rPr>
        <w:footnoteRef/>
      </w:r>
      <w:r w:rsidRPr="0087359B">
        <w:rPr>
          <w:rFonts w:ascii="Arial" w:hAnsi="Arial" w:cs="Arial"/>
          <w:sz w:val="10"/>
          <w:szCs w:val="10"/>
        </w:rPr>
        <w:t xml:space="preserve"> En esta línea Dávila Vinueza Expresa: “El legislador para calificar estas prohibiciones emplea dos vocablos: Inhabilidades o incompatibilidades, los cuales en un examen desprevenido podrían sugerir ideas diferentes y en consecuencia, efectos también distintos. Sin embargo, se trata de conceptos que no producen distinciones más allá de las puramente semánticas. En nada afecta el calificar una causal con denominación diferente a la empleada en el texto legal, cuando mucho se criticará la falta de precisión. Ello es así por cuanto los efectos jurídicos que se general para una y otra son exactamente los mismos. Incluso se podría afirmar que ante la semejanza de las figuras, conviene emplear un único vocablo, con lo cual serían innecesarias los intentos y las elucubraciones y explicaciones, algunas novedosas que podrían ensayarse”. (DÁVILA VINUEZA, Luis Guillermo. Régimen jurídico de la contratación estatal. 3ª ed. Bogotá: Legis, 2016. p. 148).</w:t>
      </w:r>
    </w:p>
  </w:footnote>
  <w:footnote w:id="7">
    <w:p w14:paraId="2155DE4E" w14:textId="77777777" w:rsidR="009C4650" w:rsidRPr="0087359B" w:rsidRDefault="009C4650" w:rsidP="009C4650">
      <w:pPr>
        <w:pStyle w:val="Textonotapie"/>
        <w:ind w:firstLine="708"/>
        <w:jc w:val="both"/>
        <w:rPr>
          <w:rFonts w:ascii="Arial" w:hAnsi="Arial" w:cs="Arial"/>
          <w:sz w:val="10"/>
          <w:szCs w:val="10"/>
        </w:rPr>
      </w:pPr>
      <w:r w:rsidRPr="0087359B">
        <w:rPr>
          <w:rStyle w:val="Refdenotaalpie"/>
          <w:rFonts w:ascii="Arial" w:hAnsi="Arial" w:cs="Arial"/>
          <w:sz w:val="10"/>
          <w:szCs w:val="10"/>
        </w:rPr>
        <w:footnoteRef/>
      </w:r>
      <w:r w:rsidRPr="0087359B">
        <w:rPr>
          <w:rFonts w:ascii="Arial" w:hAnsi="Arial" w:cs="Arial"/>
          <w:sz w:val="10"/>
          <w:szCs w:val="10"/>
        </w:rPr>
        <w:t xml:space="preserve"> CONGRESO DE LA REPÚBLICA. Gaceta XXVII, No. 672, del 13 de septiembre de 2018. pp. 9-10.</w:t>
      </w:r>
    </w:p>
  </w:footnote>
  <w:footnote w:id="8">
    <w:p w14:paraId="763E119A" w14:textId="77777777" w:rsidR="009C4650" w:rsidRPr="00816DD5" w:rsidRDefault="009C4650" w:rsidP="009C4650">
      <w:pPr>
        <w:pStyle w:val="Textonotapie"/>
        <w:ind w:firstLine="708"/>
        <w:contextualSpacing/>
        <w:jc w:val="both"/>
        <w:rPr>
          <w:rFonts w:ascii="Verdana" w:hAnsi="Verdana" w:cs="Arial"/>
          <w:color w:val="000000"/>
          <w:sz w:val="16"/>
          <w:szCs w:val="16"/>
        </w:rPr>
      </w:pPr>
      <w:r w:rsidRPr="007D4110">
        <w:rPr>
          <w:rFonts w:ascii="Verdana" w:hAnsi="Verdana"/>
          <w:sz w:val="16"/>
          <w:szCs w:val="16"/>
          <w:vertAlign w:val="superscript"/>
        </w:rPr>
        <w:footnoteRef/>
      </w:r>
      <w:r w:rsidRPr="00816DD5">
        <w:rPr>
          <w:rFonts w:ascii="Verdana" w:hAnsi="Verdana" w:cs="Arial"/>
          <w:color w:val="000000"/>
          <w:sz w:val="16"/>
          <w:szCs w:val="16"/>
        </w:rPr>
        <w:t>Artículo 17 de la Ley 1861 de 2017.</w:t>
      </w:r>
    </w:p>
    <w:p w14:paraId="463634C9" w14:textId="77777777" w:rsidR="009C4650" w:rsidRDefault="009C4650" w:rsidP="009C4650">
      <w:pPr>
        <w:pStyle w:val="Textonotapie"/>
        <w:contextualSpacing/>
        <w:jc w:val="both"/>
      </w:pPr>
    </w:p>
  </w:footnote>
  <w:footnote w:id="9">
    <w:p w14:paraId="2893D5F8" w14:textId="77777777" w:rsidR="009C4650" w:rsidRDefault="009C4650" w:rsidP="009C4650">
      <w:pPr>
        <w:pStyle w:val="Textonotapie"/>
        <w:ind w:firstLine="708"/>
        <w:jc w:val="both"/>
      </w:pPr>
      <w:r w:rsidRPr="007D4110">
        <w:rPr>
          <w:rFonts w:ascii="Verdana" w:hAnsi="Verdana"/>
          <w:sz w:val="16"/>
          <w:szCs w:val="16"/>
          <w:vertAlign w:val="superscript"/>
        </w:rPr>
        <w:footnoteRef/>
      </w:r>
      <w:r w:rsidRPr="007D4110">
        <w:rPr>
          <w:rFonts w:ascii="Verdana" w:hAnsi="Verdana"/>
          <w:sz w:val="16"/>
          <w:szCs w:val="16"/>
        </w:rPr>
        <w:t xml:space="preserve"> Artículos 26 a 28, </w:t>
      </w:r>
      <w:proofErr w:type="spellStart"/>
      <w:r w:rsidRPr="007D4110">
        <w:rPr>
          <w:rFonts w:ascii="Verdana" w:hAnsi="Verdana"/>
          <w:sz w:val="16"/>
          <w:szCs w:val="16"/>
        </w:rPr>
        <w:t>Ibídem</w:t>
      </w:r>
      <w:proofErr w:type="spellEnd"/>
      <w:r w:rsidRPr="007D4110">
        <w:rPr>
          <w:rFonts w:ascii="Verdana" w:hAnsi="Verdana"/>
          <w:sz w:val="16"/>
          <w:szCs w:val="16"/>
        </w:rPr>
        <w:t>.</w:t>
      </w:r>
    </w:p>
  </w:footnote>
  <w:footnote w:id="10">
    <w:p w14:paraId="4A84417E" w14:textId="77777777" w:rsidR="009C4650" w:rsidRPr="007D4110" w:rsidRDefault="009C4650" w:rsidP="009C4650">
      <w:pPr>
        <w:ind w:firstLine="709"/>
        <w:contextualSpacing/>
        <w:jc w:val="both"/>
        <w:rPr>
          <w:rFonts w:ascii="Verdana" w:hAnsi="Verdana" w:cs="Arial"/>
          <w:color w:val="000000"/>
          <w:sz w:val="16"/>
          <w:szCs w:val="16"/>
          <w:lang w:val="es-ES"/>
        </w:rPr>
      </w:pPr>
      <w:r w:rsidRPr="007D4110">
        <w:rPr>
          <w:rFonts w:ascii="Verdana" w:hAnsi="Verdana" w:cs="Arial"/>
          <w:sz w:val="16"/>
          <w:szCs w:val="16"/>
          <w:vertAlign w:val="superscript"/>
        </w:rPr>
        <w:footnoteRef/>
      </w:r>
      <w:r w:rsidRPr="007D4110">
        <w:rPr>
          <w:rFonts w:ascii="Verdana" w:hAnsi="Verdana" w:cs="Arial"/>
          <w:sz w:val="16"/>
          <w:szCs w:val="16"/>
        </w:rPr>
        <w:t xml:space="preserve"> </w:t>
      </w:r>
      <w:r w:rsidRPr="007D4110">
        <w:rPr>
          <w:rFonts w:ascii="Verdana" w:hAnsi="Verdana" w:cs="Arial"/>
          <w:color w:val="000000"/>
          <w:sz w:val="16"/>
          <w:szCs w:val="16"/>
          <w:lang w:val="es-ES"/>
        </w:rPr>
        <w:t xml:space="preserve">Las Entidades Estatales, al momento de celebrar un contrato de prestación de servicios con una persona natural, deben verificar que la situación militar del futuro contratista se encuentra definida, a través de la tarjeta de reservista o el certificado digital del que habla el artículo 40 de la Ley 1861 de 2017. Ver Circular Externa Única. Agencia Nacional de Contratación Pública Colombia Compra Eficiente. 2022. Disponible en: </w:t>
      </w:r>
      <w:hyperlink r:id="rId1" w:history="1">
        <w:r w:rsidRPr="00816DD5">
          <w:rPr>
            <w:rStyle w:val="Hipervnculo"/>
            <w:rFonts w:ascii="Verdana" w:hAnsi="Verdana" w:cs="Arial"/>
            <w:color w:val="4472C4"/>
            <w:sz w:val="16"/>
            <w:szCs w:val="16"/>
          </w:rPr>
          <w:t>https://www.colombiacompra.gov.co/sites/cce_public/files/cce_circulares/cce-eicp-ma-06_circular_externa_con_comentarios_de_ciudadanos-_v2f_002.pdf</w:t>
        </w:r>
      </w:hyperlink>
      <w:r w:rsidRPr="00816DD5">
        <w:rPr>
          <w:rFonts w:ascii="Verdana" w:hAnsi="Verdana" w:cs="Arial"/>
          <w:color w:val="4472C4"/>
          <w:sz w:val="16"/>
          <w:szCs w:val="16"/>
          <w:lang w:val="es-ES"/>
        </w:rPr>
        <w:t xml:space="preserve"> </w:t>
      </w:r>
    </w:p>
    <w:p w14:paraId="4ED153AB" w14:textId="77777777" w:rsidR="009C4650" w:rsidRDefault="009C4650" w:rsidP="009C4650">
      <w:pPr>
        <w:ind w:firstLine="709"/>
        <w:contextualSpacing/>
        <w:jc w:val="both"/>
      </w:pPr>
    </w:p>
  </w:footnote>
  <w:footnote w:id="11">
    <w:p w14:paraId="4F83993E" w14:textId="77777777" w:rsidR="009C4650" w:rsidRPr="007D4110" w:rsidRDefault="009C4650" w:rsidP="009C4650">
      <w:pPr>
        <w:pStyle w:val="Textonotapie"/>
        <w:ind w:firstLine="708"/>
        <w:contextualSpacing/>
        <w:jc w:val="both"/>
        <w:rPr>
          <w:rFonts w:ascii="Verdana" w:hAnsi="Verdana" w:cs="Arial"/>
          <w:sz w:val="16"/>
          <w:szCs w:val="16"/>
        </w:rPr>
      </w:pPr>
      <w:r w:rsidRPr="007D4110">
        <w:rPr>
          <w:rFonts w:ascii="Verdana" w:hAnsi="Verdana" w:cs="Arial"/>
          <w:sz w:val="16"/>
          <w:szCs w:val="16"/>
          <w:vertAlign w:val="superscript"/>
        </w:rPr>
        <w:footnoteRef/>
      </w:r>
      <w:r w:rsidRPr="007D4110">
        <w:rPr>
          <w:rFonts w:ascii="Verdana" w:hAnsi="Verdana" w:cs="Arial"/>
          <w:sz w:val="16"/>
          <w:szCs w:val="16"/>
        </w:rPr>
        <w:t xml:space="preserve"> Corte Constitucional. Sentencia C-277 del 19 de junio de 2019. M.P. Carlos Bernal Pulido.</w:t>
      </w:r>
    </w:p>
    <w:p w14:paraId="069ABC5D" w14:textId="77777777" w:rsidR="009C4650" w:rsidRDefault="009C4650" w:rsidP="009C4650">
      <w:pPr>
        <w:pStyle w:val="Textonotapie"/>
        <w:ind w:firstLine="708"/>
        <w:contextualSpacing/>
        <w:jc w:val="both"/>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751B7B"/>
    <w:multiLevelType w:val="hybridMultilevel"/>
    <w:tmpl w:val="874A9AE8"/>
    <w:lvl w:ilvl="0" w:tplc="82CE8722">
      <w:start w:val="1"/>
      <w:numFmt w:val="decimal"/>
      <w:lvlText w:val="%1-"/>
      <w:lvlJc w:val="left"/>
      <w:pPr>
        <w:ind w:left="1080" w:hanging="360"/>
      </w:pPr>
      <w:rPr>
        <w:rFonts w:hint="default"/>
        <w:sz w:val="22"/>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79C71CD"/>
    <w:multiLevelType w:val="hybridMultilevel"/>
    <w:tmpl w:val="24F415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01036DF"/>
    <w:multiLevelType w:val="hybridMultilevel"/>
    <w:tmpl w:val="DD02368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4346E3C"/>
    <w:multiLevelType w:val="multilevel"/>
    <w:tmpl w:val="94980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44397233"/>
    <w:multiLevelType w:val="hybridMultilevel"/>
    <w:tmpl w:val="DA4C40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493360B3"/>
    <w:multiLevelType w:val="hybridMultilevel"/>
    <w:tmpl w:val="2E66470A"/>
    <w:lvl w:ilvl="0" w:tplc="6642867E">
      <w:start w:val="1"/>
      <w:numFmt w:val="decimal"/>
      <w:lvlText w:val="%1."/>
      <w:lvlJc w:val="left"/>
      <w:pPr>
        <w:ind w:left="720" w:hanging="360"/>
      </w:pPr>
      <w:rPr>
        <w:rFonts w:ascii="Verdana" w:eastAsia="Century Gothic" w:hAnsi="Verdana" w:cs="Century Gothic"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4A74137A"/>
    <w:multiLevelType w:val="hybridMultilevel"/>
    <w:tmpl w:val="B010EF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EFE2E39"/>
    <w:multiLevelType w:val="hybridMultilevel"/>
    <w:tmpl w:val="27401246"/>
    <w:lvl w:ilvl="0" w:tplc="D3F6409C">
      <w:start w:val="1"/>
      <w:numFmt w:val="decimal"/>
      <w:lvlText w:val="%1."/>
      <w:lvlJc w:val="left"/>
      <w:pPr>
        <w:ind w:left="720" w:hanging="360"/>
      </w:pPr>
      <w:rPr>
        <w:rFonts w:eastAsia="Century Gothic" w:cs="Century Gothic"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51E463C4"/>
    <w:multiLevelType w:val="hybridMultilevel"/>
    <w:tmpl w:val="2F4A9D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85C0376"/>
    <w:multiLevelType w:val="hybridMultilevel"/>
    <w:tmpl w:val="B9E8785C"/>
    <w:lvl w:ilvl="0" w:tplc="82DE18DA">
      <w:start w:val="1"/>
      <w:numFmt w:val="decimal"/>
      <w:lvlText w:val="%1."/>
      <w:lvlJc w:val="left"/>
      <w:pPr>
        <w:ind w:left="720" w:hanging="360"/>
      </w:pPr>
      <w:rPr>
        <w:rFonts w:hint="default"/>
        <w:b w:val="0"/>
        <w:color w:val="000000" w:themeColor="text1"/>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5DE43B5D"/>
    <w:multiLevelType w:val="multilevel"/>
    <w:tmpl w:val="E26A9892"/>
    <w:lvl w:ilvl="0">
      <w:start w:val="1"/>
      <w:numFmt w:val="decimal"/>
      <w:lvlText w:val="%1."/>
      <w:lvlJc w:val="left"/>
      <w:pPr>
        <w:ind w:left="360" w:hanging="360"/>
      </w:pPr>
      <w:rPr>
        <w:rFonts w:hint="default"/>
        <w:b/>
        <w:bCs/>
      </w:rPr>
    </w:lvl>
    <w:lvl w:ilvl="1">
      <w:start w:val="15"/>
      <w:numFmt w:val="decimal"/>
      <w:isLgl/>
      <w:lvlText w:val="%1.%2"/>
      <w:lvlJc w:val="left"/>
      <w:pPr>
        <w:ind w:left="495" w:hanging="49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2" w15:restartNumberingAfterBreak="0">
    <w:nsid w:val="66CB4756"/>
    <w:multiLevelType w:val="hybridMultilevel"/>
    <w:tmpl w:val="F2B83E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8DC5122"/>
    <w:multiLevelType w:val="hybridMultilevel"/>
    <w:tmpl w:val="B00097F4"/>
    <w:lvl w:ilvl="0" w:tplc="240A000F">
      <w:start w:val="1"/>
      <w:numFmt w:val="decimal"/>
      <w:lvlText w:val="%1."/>
      <w:lvlJc w:val="left"/>
      <w:pPr>
        <w:ind w:left="720" w:hanging="360"/>
      </w:pPr>
      <w:rPr>
        <w:rFonts w:hint="default"/>
        <w:b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7A05713F"/>
    <w:multiLevelType w:val="hybridMultilevel"/>
    <w:tmpl w:val="DF38E6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7"/>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25"/>
  </w:num>
  <w:num w:numId="7">
    <w:abstractNumId w:val="8"/>
  </w:num>
  <w:num w:numId="8">
    <w:abstractNumId w:val="24"/>
  </w:num>
  <w:num w:numId="9">
    <w:abstractNumId w:val="11"/>
  </w:num>
  <w:num w:numId="10">
    <w:abstractNumId w:val="23"/>
  </w:num>
  <w:num w:numId="11">
    <w:abstractNumId w:val="12"/>
  </w:num>
  <w:num w:numId="12">
    <w:abstractNumId w:val="1"/>
  </w:num>
  <w:num w:numId="13">
    <w:abstractNumId w:val="6"/>
  </w:num>
  <w:num w:numId="14">
    <w:abstractNumId w:val="26"/>
  </w:num>
  <w:num w:numId="15">
    <w:abstractNumId w:val="21"/>
  </w:num>
  <w:num w:numId="16">
    <w:abstractNumId w:val="0"/>
  </w:num>
  <w:num w:numId="17">
    <w:abstractNumId w:val="13"/>
  </w:num>
  <w:num w:numId="18">
    <w:abstractNumId w:val="16"/>
  </w:num>
  <w:num w:numId="19">
    <w:abstractNumId w:val="18"/>
  </w:num>
  <w:num w:numId="20">
    <w:abstractNumId w:val="4"/>
  </w:num>
  <w:num w:numId="21">
    <w:abstractNumId w:val="20"/>
  </w:num>
  <w:num w:numId="22">
    <w:abstractNumId w:val="2"/>
  </w:num>
  <w:num w:numId="23">
    <w:abstractNumId w:val="27"/>
  </w:num>
  <w:num w:numId="24">
    <w:abstractNumId w:val="15"/>
  </w:num>
  <w:num w:numId="25">
    <w:abstractNumId w:val="17"/>
  </w:num>
  <w:num w:numId="26">
    <w:abstractNumId w:val="19"/>
  </w:num>
  <w:num w:numId="27">
    <w:abstractNumId w:val="5"/>
  </w:num>
  <w:num w:numId="28">
    <w:abstractNumId w:val="28"/>
  </w:num>
  <w:num w:numId="29">
    <w:abstractNumId w:val="14"/>
  </w:num>
  <w:num w:numId="30">
    <w:abstractNumId w:val="22"/>
  </w:num>
  <w:num w:numId="3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7336"/>
    <w:rsid w:val="00020BB4"/>
    <w:rsid w:val="0003033E"/>
    <w:rsid w:val="00061B2A"/>
    <w:rsid w:val="00082362"/>
    <w:rsid w:val="000A59EF"/>
    <w:rsid w:val="000A683E"/>
    <w:rsid w:val="000B19B9"/>
    <w:rsid w:val="000D0334"/>
    <w:rsid w:val="000E0263"/>
    <w:rsid w:val="000F6486"/>
    <w:rsid w:val="001000A6"/>
    <w:rsid w:val="00125105"/>
    <w:rsid w:val="00127233"/>
    <w:rsid w:val="00140A1B"/>
    <w:rsid w:val="001A17AA"/>
    <w:rsid w:val="001E4177"/>
    <w:rsid w:val="001F7DC6"/>
    <w:rsid w:val="00206529"/>
    <w:rsid w:val="002421BB"/>
    <w:rsid w:val="0025796E"/>
    <w:rsid w:val="002707A2"/>
    <w:rsid w:val="00275680"/>
    <w:rsid w:val="00294384"/>
    <w:rsid w:val="002951A0"/>
    <w:rsid w:val="002962BC"/>
    <w:rsid w:val="002A093D"/>
    <w:rsid w:val="002A0DD0"/>
    <w:rsid w:val="002A49AC"/>
    <w:rsid w:val="002A64FD"/>
    <w:rsid w:val="002B1346"/>
    <w:rsid w:val="002C2D62"/>
    <w:rsid w:val="002C7A84"/>
    <w:rsid w:val="002E3CE3"/>
    <w:rsid w:val="002E4FD9"/>
    <w:rsid w:val="0031184B"/>
    <w:rsid w:val="00322A85"/>
    <w:rsid w:val="00324168"/>
    <w:rsid w:val="00335F45"/>
    <w:rsid w:val="003448F4"/>
    <w:rsid w:val="00350EEE"/>
    <w:rsid w:val="003524D4"/>
    <w:rsid w:val="00374F5E"/>
    <w:rsid w:val="00377E3E"/>
    <w:rsid w:val="003A26D1"/>
    <w:rsid w:val="003A779E"/>
    <w:rsid w:val="003D0F4D"/>
    <w:rsid w:val="003D5B0D"/>
    <w:rsid w:val="003E0499"/>
    <w:rsid w:val="003F3941"/>
    <w:rsid w:val="003F6DF0"/>
    <w:rsid w:val="00406575"/>
    <w:rsid w:val="0042722E"/>
    <w:rsid w:val="00430D1A"/>
    <w:rsid w:val="0044528D"/>
    <w:rsid w:val="00446465"/>
    <w:rsid w:val="00490ABF"/>
    <w:rsid w:val="00490CAB"/>
    <w:rsid w:val="004A1847"/>
    <w:rsid w:val="004A305D"/>
    <w:rsid w:val="004D2D86"/>
    <w:rsid w:val="004F0A45"/>
    <w:rsid w:val="004F21C4"/>
    <w:rsid w:val="004F685F"/>
    <w:rsid w:val="00530D68"/>
    <w:rsid w:val="005566E8"/>
    <w:rsid w:val="00574867"/>
    <w:rsid w:val="00575BEC"/>
    <w:rsid w:val="00591460"/>
    <w:rsid w:val="00592628"/>
    <w:rsid w:val="005948AF"/>
    <w:rsid w:val="005B732B"/>
    <w:rsid w:val="005C3777"/>
    <w:rsid w:val="005C5CDC"/>
    <w:rsid w:val="005D476C"/>
    <w:rsid w:val="005E6441"/>
    <w:rsid w:val="00601BC7"/>
    <w:rsid w:val="0060369A"/>
    <w:rsid w:val="00610812"/>
    <w:rsid w:val="00612CEE"/>
    <w:rsid w:val="006219F8"/>
    <w:rsid w:val="00650FF7"/>
    <w:rsid w:val="00651810"/>
    <w:rsid w:val="00665D70"/>
    <w:rsid w:val="00671DAC"/>
    <w:rsid w:val="00680BB3"/>
    <w:rsid w:val="006900D9"/>
    <w:rsid w:val="006A69E1"/>
    <w:rsid w:val="006D12F8"/>
    <w:rsid w:val="00706C16"/>
    <w:rsid w:val="007076F5"/>
    <w:rsid w:val="007362ED"/>
    <w:rsid w:val="00756841"/>
    <w:rsid w:val="007649AB"/>
    <w:rsid w:val="00771D0C"/>
    <w:rsid w:val="007833AC"/>
    <w:rsid w:val="007B268C"/>
    <w:rsid w:val="007B7171"/>
    <w:rsid w:val="007C0C0F"/>
    <w:rsid w:val="007C3DC2"/>
    <w:rsid w:val="007E2CA5"/>
    <w:rsid w:val="007E394C"/>
    <w:rsid w:val="007E5497"/>
    <w:rsid w:val="00805A49"/>
    <w:rsid w:val="00806F5F"/>
    <w:rsid w:val="008126F7"/>
    <w:rsid w:val="00820278"/>
    <w:rsid w:val="00823F66"/>
    <w:rsid w:val="00824BA2"/>
    <w:rsid w:val="008843B6"/>
    <w:rsid w:val="00891928"/>
    <w:rsid w:val="00895447"/>
    <w:rsid w:val="008A446D"/>
    <w:rsid w:val="008D180B"/>
    <w:rsid w:val="008F0EA7"/>
    <w:rsid w:val="008F59B0"/>
    <w:rsid w:val="009040A1"/>
    <w:rsid w:val="00923EEF"/>
    <w:rsid w:val="009419F9"/>
    <w:rsid w:val="0095685E"/>
    <w:rsid w:val="00961B09"/>
    <w:rsid w:val="00965334"/>
    <w:rsid w:val="0097093E"/>
    <w:rsid w:val="009A0DFA"/>
    <w:rsid w:val="009A440B"/>
    <w:rsid w:val="009B2D26"/>
    <w:rsid w:val="009C4650"/>
    <w:rsid w:val="009C71FA"/>
    <w:rsid w:val="009C72E7"/>
    <w:rsid w:val="009D3058"/>
    <w:rsid w:val="009F3A13"/>
    <w:rsid w:val="00A122D3"/>
    <w:rsid w:val="00A17F13"/>
    <w:rsid w:val="00A20739"/>
    <w:rsid w:val="00A30077"/>
    <w:rsid w:val="00A33C78"/>
    <w:rsid w:val="00A36718"/>
    <w:rsid w:val="00AA6221"/>
    <w:rsid w:val="00AB0ADB"/>
    <w:rsid w:val="00AF6D6A"/>
    <w:rsid w:val="00B01B1A"/>
    <w:rsid w:val="00B5674B"/>
    <w:rsid w:val="00B576D7"/>
    <w:rsid w:val="00B72CD3"/>
    <w:rsid w:val="00B72FFF"/>
    <w:rsid w:val="00B91B95"/>
    <w:rsid w:val="00BC3D36"/>
    <w:rsid w:val="00BD7F72"/>
    <w:rsid w:val="00C02E28"/>
    <w:rsid w:val="00C04FB3"/>
    <w:rsid w:val="00C25459"/>
    <w:rsid w:val="00C330EB"/>
    <w:rsid w:val="00C33520"/>
    <w:rsid w:val="00C37936"/>
    <w:rsid w:val="00C648BE"/>
    <w:rsid w:val="00C754BE"/>
    <w:rsid w:val="00C76B1C"/>
    <w:rsid w:val="00CB6357"/>
    <w:rsid w:val="00CC1B26"/>
    <w:rsid w:val="00CC4776"/>
    <w:rsid w:val="00D423A2"/>
    <w:rsid w:val="00D520D8"/>
    <w:rsid w:val="00D60992"/>
    <w:rsid w:val="00D63AC2"/>
    <w:rsid w:val="00D72E51"/>
    <w:rsid w:val="00D7383B"/>
    <w:rsid w:val="00DA231B"/>
    <w:rsid w:val="00DA23A0"/>
    <w:rsid w:val="00DC39FC"/>
    <w:rsid w:val="00DF111B"/>
    <w:rsid w:val="00DF5254"/>
    <w:rsid w:val="00E009CA"/>
    <w:rsid w:val="00E144D8"/>
    <w:rsid w:val="00E16408"/>
    <w:rsid w:val="00E20894"/>
    <w:rsid w:val="00E245AB"/>
    <w:rsid w:val="00E2764C"/>
    <w:rsid w:val="00E27F2E"/>
    <w:rsid w:val="00E3575A"/>
    <w:rsid w:val="00E413EA"/>
    <w:rsid w:val="00E50AFE"/>
    <w:rsid w:val="00E529C8"/>
    <w:rsid w:val="00E75C92"/>
    <w:rsid w:val="00E771DC"/>
    <w:rsid w:val="00E8772A"/>
    <w:rsid w:val="00E90F6B"/>
    <w:rsid w:val="00E92C27"/>
    <w:rsid w:val="00E95E08"/>
    <w:rsid w:val="00EA0E3D"/>
    <w:rsid w:val="00EB4BCE"/>
    <w:rsid w:val="00EB7747"/>
    <w:rsid w:val="00EC1F93"/>
    <w:rsid w:val="00EC38A7"/>
    <w:rsid w:val="00ED3E34"/>
    <w:rsid w:val="00EE1AA8"/>
    <w:rsid w:val="00EE7BBD"/>
    <w:rsid w:val="00F31EDC"/>
    <w:rsid w:val="00F462B3"/>
    <w:rsid w:val="00F5664F"/>
    <w:rsid w:val="00F666C4"/>
    <w:rsid w:val="00F76AFC"/>
    <w:rsid w:val="00F86DEA"/>
    <w:rsid w:val="00FA47C0"/>
    <w:rsid w:val="00FB27F4"/>
    <w:rsid w:val="00FB5DD1"/>
    <w:rsid w:val="00FC2B5D"/>
    <w:rsid w:val="00FF1449"/>
    <w:rsid w:val="0D23A4D3"/>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529C8"/>
    <w:pPr>
      <w:spacing w:line="240" w:lineRule="exact"/>
    </w:pPr>
    <w:rPr>
      <w:vertAlign w:val="superscript"/>
    </w:rPr>
  </w:style>
  <w:style w:type="character" w:styleId="Textoennegrita">
    <w:name w:val="Strong"/>
    <w:basedOn w:val="Fuentedeprrafopredeter"/>
    <w:uiPriority w:val="22"/>
    <w:qFormat/>
    <w:rsid w:val="00E529C8"/>
    <w:rPr>
      <w:b/>
      <w:bC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37936"/>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889951">
      <w:bodyDiv w:val="1"/>
      <w:marLeft w:val="0"/>
      <w:marRight w:val="0"/>
      <w:marTop w:val="0"/>
      <w:marBottom w:val="0"/>
      <w:divBdr>
        <w:top w:val="none" w:sz="0" w:space="0" w:color="auto"/>
        <w:left w:val="none" w:sz="0" w:space="0" w:color="auto"/>
        <w:bottom w:val="none" w:sz="0" w:space="0" w:color="auto"/>
        <w:right w:val="none" w:sz="0" w:space="0" w:color="auto"/>
      </w:divBdr>
      <w:divsChild>
        <w:div w:id="700471091">
          <w:marLeft w:val="0"/>
          <w:marRight w:val="0"/>
          <w:marTop w:val="0"/>
          <w:marBottom w:val="160"/>
          <w:divBdr>
            <w:top w:val="none" w:sz="0" w:space="0" w:color="auto"/>
            <w:left w:val="none" w:sz="0" w:space="0" w:color="auto"/>
            <w:bottom w:val="none" w:sz="0" w:space="0" w:color="auto"/>
            <w:right w:val="none" w:sz="0" w:space="0" w:color="auto"/>
          </w:divBdr>
        </w:div>
        <w:div w:id="1476408681">
          <w:marLeft w:val="0"/>
          <w:marRight w:val="0"/>
          <w:marTop w:val="0"/>
          <w:marBottom w:val="160"/>
          <w:divBdr>
            <w:top w:val="none" w:sz="0" w:space="0" w:color="auto"/>
            <w:left w:val="none" w:sz="0" w:space="0" w:color="auto"/>
            <w:bottom w:val="none" w:sz="0" w:space="0" w:color="auto"/>
            <w:right w:val="none" w:sz="0" w:space="0" w:color="auto"/>
          </w:divBdr>
        </w:div>
        <w:div w:id="147795124">
          <w:marLeft w:val="0"/>
          <w:marRight w:val="0"/>
          <w:marTop w:val="0"/>
          <w:marBottom w:val="160"/>
          <w:divBdr>
            <w:top w:val="none" w:sz="0" w:space="0" w:color="auto"/>
            <w:left w:val="none" w:sz="0" w:space="0" w:color="auto"/>
            <w:bottom w:val="none" w:sz="0" w:space="0" w:color="auto"/>
            <w:right w:val="none" w:sz="0" w:space="0" w:color="auto"/>
          </w:divBdr>
        </w:div>
      </w:divsChild>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542446834">
      <w:bodyDiv w:val="1"/>
      <w:marLeft w:val="0"/>
      <w:marRight w:val="0"/>
      <w:marTop w:val="0"/>
      <w:marBottom w:val="0"/>
      <w:divBdr>
        <w:top w:val="none" w:sz="0" w:space="0" w:color="auto"/>
        <w:left w:val="none" w:sz="0" w:space="0" w:color="auto"/>
        <w:bottom w:val="none" w:sz="0" w:space="0" w:color="auto"/>
        <w:right w:val="none" w:sz="0" w:space="0" w:color="auto"/>
      </w:divBdr>
      <w:divsChild>
        <w:div w:id="63994700">
          <w:marLeft w:val="0"/>
          <w:marRight w:val="0"/>
          <w:marTop w:val="240"/>
          <w:marBottom w:val="240"/>
          <w:divBdr>
            <w:top w:val="none" w:sz="0" w:space="0" w:color="auto"/>
            <w:left w:val="none" w:sz="0" w:space="0" w:color="auto"/>
            <w:bottom w:val="none" w:sz="0" w:space="0" w:color="auto"/>
            <w:right w:val="none" w:sz="0" w:space="0" w:color="auto"/>
          </w:divBdr>
        </w:div>
        <w:div w:id="1242718052">
          <w:marLeft w:val="0"/>
          <w:marRight w:val="0"/>
          <w:marTop w:val="240"/>
          <w:marBottom w:val="240"/>
          <w:divBdr>
            <w:top w:val="none" w:sz="0" w:space="0" w:color="auto"/>
            <w:left w:val="none" w:sz="0" w:space="0" w:color="auto"/>
            <w:bottom w:val="none" w:sz="0" w:space="0" w:color="auto"/>
            <w:right w:val="none" w:sz="0" w:space="0" w:color="auto"/>
          </w:divBdr>
        </w:div>
        <w:div w:id="478227365">
          <w:marLeft w:val="0"/>
          <w:marRight w:val="0"/>
          <w:marTop w:val="240"/>
          <w:marBottom w:val="240"/>
          <w:divBdr>
            <w:top w:val="none" w:sz="0" w:space="0" w:color="auto"/>
            <w:left w:val="none" w:sz="0" w:space="0" w:color="auto"/>
            <w:bottom w:val="none" w:sz="0" w:space="0" w:color="auto"/>
            <w:right w:val="none" w:sz="0" w:space="0" w:color="auto"/>
          </w:divBdr>
        </w:div>
        <w:div w:id="1594244284">
          <w:marLeft w:val="0"/>
          <w:marRight w:val="0"/>
          <w:marTop w:val="240"/>
          <w:marBottom w:val="24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546798211">
      <w:bodyDiv w:val="1"/>
      <w:marLeft w:val="0"/>
      <w:marRight w:val="0"/>
      <w:marTop w:val="0"/>
      <w:marBottom w:val="0"/>
      <w:divBdr>
        <w:top w:val="none" w:sz="0" w:space="0" w:color="auto"/>
        <w:left w:val="none" w:sz="0" w:space="0" w:color="auto"/>
        <w:bottom w:val="none" w:sz="0" w:space="0" w:color="auto"/>
        <w:right w:val="none" w:sz="0" w:space="0" w:color="auto"/>
      </w:divBdr>
      <w:divsChild>
        <w:div w:id="984552380">
          <w:marLeft w:val="0"/>
          <w:marRight w:val="0"/>
          <w:marTop w:val="240"/>
          <w:marBottom w:val="240"/>
          <w:divBdr>
            <w:top w:val="none" w:sz="0" w:space="0" w:color="auto"/>
            <w:left w:val="none" w:sz="0" w:space="0" w:color="auto"/>
            <w:bottom w:val="none" w:sz="0" w:space="0" w:color="auto"/>
            <w:right w:val="none" w:sz="0" w:space="0" w:color="auto"/>
          </w:divBdr>
        </w:div>
        <w:div w:id="636833635">
          <w:marLeft w:val="0"/>
          <w:marRight w:val="0"/>
          <w:marTop w:val="240"/>
          <w:marBottom w:val="240"/>
          <w:divBdr>
            <w:top w:val="none" w:sz="0" w:space="0" w:color="auto"/>
            <w:left w:val="none" w:sz="0" w:space="0" w:color="auto"/>
            <w:bottom w:val="none" w:sz="0" w:space="0" w:color="auto"/>
            <w:right w:val="none" w:sz="0" w:space="0" w:color="auto"/>
          </w:divBdr>
        </w:div>
        <w:div w:id="145122990">
          <w:marLeft w:val="0"/>
          <w:marRight w:val="0"/>
          <w:marTop w:val="240"/>
          <w:marBottom w:val="240"/>
          <w:divBdr>
            <w:top w:val="none" w:sz="0" w:space="0" w:color="auto"/>
            <w:left w:val="none" w:sz="0" w:space="0" w:color="auto"/>
            <w:bottom w:val="none" w:sz="0" w:space="0" w:color="auto"/>
            <w:right w:val="none" w:sz="0" w:space="0" w:color="auto"/>
          </w:divBdr>
        </w:div>
        <w:div w:id="1305962732">
          <w:marLeft w:val="0"/>
          <w:marRight w:val="0"/>
          <w:marTop w:val="240"/>
          <w:marBottom w:val="240"/>
          <w:divBdr>
            <w:top w:val="none" w:sz="0" w:space="0" w:color="auto"/>
            <w:left w:val="none" w:sz="0" w:space="0" w:color="auto"/>
            <w:bottom w:val="none" w:sz="0" w:space="0" w:color="auto"/>
            <w:right w:val="none" w:sz="0" w:space="0" w:color="auto"/>
          </w:divBdr>
        </w:div>
      </w:divsChild>
    </w:div>
    <w:div w:id="1819230084">
      <w:bodyDiv w:val="1"/>
      <w:marLeft w:val="0"/>
      <w:marRight w:val="0"/>
      <w:marTop w:val="0"/>
      <w:marBottom w:val="0"/>
      <w:divBdr>
        <w:top w:val="none" w:sz="0" w:space="0" w:color="auto"/>
        <w:left w:val="none" w:sz="0" w:space="0" w:color="auto"/>
        <w:bottom w:val="none" w:sz="0" w:space="0" w:color="auto"/>
        <w:right w:val="none" w:sz="0" w:space="0" w:color="auto"/>
      </w:divBdr>
      <w:divsChild>
        <w:div w:id="1199657588">
          <w:marLeft w:val="0"/>
          <w:marRight w:val="0"/>
          <w:marTop w:val="0"/>
          <w:marBottom w:val="160"/>
          <w:divBdr>
            <w:top w:val="none" w:sz="0" w:space="0" w:color="auto"/>
            <w:left w:val="none" w:sz="0" w:space="0" w:color="auto"/>
            <w:bottom w:val="none" w:sz="0" w:space="0" w:color="auto"/>
            <w:right w:val="none" w:sz="0" w:space="0" w:color="auto"/>
          </w:divBdr>
        </w:div>
        <w:div w:id="1261793307">
          <w:marLeft w:val="0"/>
          <w:marRight w:val="0"/>
          <w:marTop w:val="0"/>
          <w:marBottom w:val="160"/>
          <w:divBdr>
            <w:top w:val="none" w:sz="0" w:space="0" w:color="auto"/>
            <w:left w:val="none" w:sz="0" w:space="0" w:color="auto"/>
            <w:bottom w:val="none" w:sz="0" w:space="0" w:color="auto"/>
            <w:right w:val="none" w:sz="0" w:space="0" w:color="auto"/>
          </w:divBdr>
        </w:div>
        <w:div w:id="1543439206">
          <w:marLeft w:val="0"/>
          <w:marRight w:val="0"/>
          <w:marTop w:val="0"/>
          <w:marBottom w:val="160"/>
          <w:divBdr>
            <w:top w:val="none" w:sz="0" w:space="0" w:color="auto"/>
            <w:left w:val="none" w:sz="0" w:space="0" w:color="auto"/>
            <w:bottom w:val="none" w:sz="0" w:space="0" w:color="auto"/>
            <w:right w:val="none" w:sz="0" w:space="0" w:color="auto"/>
          </w:divBdr>
        </w:div>
      </w:divsChild>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juridica@unillanos.edu.co" TargetMode="External"/><Relationship Id="rId17" Type="http://schemas.openxmlformats.org/officeDocument/2006/relationships/hyperlink" Target="https://nam02.safelinks.protection.outlook.com/?url=https%3A%2F%2Fwww.colombiacompra.gov.co%2Fsala-de-prensa%2Fboletin-digital&amp;data=05%7C02%7Crichard.montenegro%40colombiacompra.gov.co%7C6192b0470d324981a09708dd0a6c28db%7C7b09041e245149d08cb179d5e3d8c1be%7C0%7C0%7C638678181870956554%7CUnknown%7CTWFpbGZsb3d8eyJFbXB0eU1hcGkiOnRydWUsIlYiOiIwLjAuMDAwMCIsIlAiOiJXaW4zMiIsIkFOIjoiTWFpbCIsIldUIjoyfQ%3D%3D%7C0%7C%7C%7C&amp;sdata=8lTLEULy0UvHb76H5sAIfCCgSBS%2FCvPh%2FSoM5lewfus%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sucop.gov.co%2Fentidades%2Fcolombiacompra%2FNormativa%3FIDNorma%3D19201&amp;data=05%7C02%7Crichard.montenegro%40colombiacompra.gov.co%7C6192b0470d324981a09708dd0a6c28db%7C7b09041e245149d08cb179d5e3d8c1be%7C0%7C0%7C638678181870936968%7CUnknown%7CTWFpbGZsb3d8eyJFbXB0eU1hcGkiOnRydWUsIlYiOiIwLjAuMDAwMCIsIlAiOiJXaW4zMiIsIkFOIjoiTWFpbCIsIldUIjoyfQ%3D%3D%7C0%7C%7C%7C&amp;sdata=V9sRJi0UW9maSpOwhkvFLw3wJZV5KL8NnvS%2BN7z9QAI%3D&amp;reserved=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content%2Fconvocatorias&amp;data=05%7C02%7Crichard.montenegro%40colombiacompra.gov.co%7C6192b0470d324981a09708dd0a6c28db%7C7b09041e245149d08cb179d5e3d8c1be%7C0%7C0%7C638678181870912520%7CUnknown%7CTWFpbGZsb3d8eyJFbXB0eU1hcGkiOnRydWUsIlYiOiIwLjAuMDAwMCIsIlAiOiJXaW4zMiIsIkFOIjoiTWFpbCIsIldUIjoyfQ%3D%3D%7C0%7C%7C%7C&amp;sdata=vw0%2FvOrVO7B2r2KGXBXK8YtTq7NKoR%2BvcRRXqToAv3Q%3D&amp;reserved=0"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sites%2Fcce_public%2Ffiles%2Fcce_documents%2Fmanual_para_el_manejo_de_acuerdos_comerciales_vf.pdf&amp;data=05%7C02%7Crichard.montenegro%40colombiacompra.gov.co%7C6192b0470d324981a09708dd0a6c28db%7C7b09041e245149d08cb179d5e3d8c1be%7C0%7C0%7C638678181870888306%7CUnknown%7CTWFpbGZsb3d8eyJFbXB0eU1hcGkiOnRydWUsIlYiOiIwLjAuMDAwMCIsIlAiOiJXaW4zMiIsIkFOIjoiTWFpbCIsIldUIjoyfQ%3D%3D%7C0%7C%7C%7C&amp;sdata=vFqsb63C8BLfx2dCgTygwronTaiHDzRWatf70Osgem8%3D&amp;reserved=0"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circulares/cce-eicp-ma-06_circular_externa_con_comentarios_de_ciudadanos-_v2f_00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UserInfo>
        <DisplayName>Kevin Arlid Herrera Santa</DisplayName>
        <AccountId>221</AccountId>
        <AccountType/>
      </UserInfo>
      <UserInfo>
        <DisplayName>Martha Alicia Romero Vargas</DisplayName>
        <AccountId>215</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7DFFF470-E7BE-41EB-88F3-AC570C88C5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131B75-6415-4AC6-B75B-09E2429DAB58}">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14</Pages>
  <Words>4910</Words>
  <Characters>27007</Characters>
  <Application>Microsoft Office Word</Application>
  <DocSecurity>0</DocSecurity>
  <Lines>225</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3</cp:revision>
  <cp:lastPrinted>2023-01-10T21:18:00Z</cp:lastPrinted>
  <dcterms:created xsi:type="dcterms:W3CDTF">2024-12-19T19:54:00Z</dcterms:created>
  <dcterms:modified xsi:type="dcterms:W3CDTF">2025-10-09T01:48:00Z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