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0C9A0" w14:textId="77777777" w:rsidR="00463ECA" w:rsidRPr="00AF1555" w:rsidRDefault="00463ECA" w:rsidP="00463ECA">
      <w:pPr>
        <w:tabs>
          <w:tab w:val="left" w:pos="709"/>
        </w:tabs>
        <w:spacing w:after="0" w:line="240" w:lineRule="auto"/>
        <w:jc w:val="both"/>
        <w:rPr>
          <w:rFonts w:ascii="Verdana" w:eastAsia="Calibri" w:hAnsi="Verdana" w:cs="Arial"/>
          <w:bCs/>
          <w:sz w:val="20"/>
          <w:szCs w:val="20"/>
          <w:lang w:val="es-ES_tradnl" w:eastAsia="es-ES_tradnl"/>
        </w:rPr>
      </w:pPr>
    </w:p>
    <w:p w14:paraId="3E13D07F" w14:textId="77777777" w:rsidR="00463ECA" w:rsidRPr="00AF1555" w:rsidRDefault="00463ECA" w:rsidP="00463ECA">
      <w:pPr>
        <w:spacing w:after="0" w:line="240" w:lineRule="auto"/>
        <w:jc w:val="both"/>
        <w:rPr>
          <w:rFonts w:ascii="Verdana" w:eastAsia="Calibri" w:hAnsi="Verdana" w:cs="Arial"/>
          <w:b/>
          <w:color w:val="000000" w:themeColor="text1"/>
          <w:lang w:val="es-ES"/>
        </w:rPr>
      </w:pPr>
      <w:r w:rsidRPr="00817818">
        <w:rPr>
          <w:rFonts w:ascii="Verdana" w:eastAsia="Calibri" w:hAnsi="Verdana" w:cs="Arial"/>
          <w:b/>
          <w:color w:val="000000" w:themeColor="text1"/>
          <w:lang w:val="es-ES"/>
        </w:rPr>
        <w:t>SISTEMA GENERAL DE REGALÍAS – Fundamento normativo – Acto Legislativo 01 de 2019</w:t>
      </w:r>
      <w:r w:rsidRPr="00AF1555">
        <w:rPr>
          <w:rFonts w:ascii="Verdana" w:eastAsia="Calibri" w:hAnsi="Verdana" w:cs="Arial"/>
          <w:b/>
          <w:color w:val="000000" w:themeColor="text1"/>
          <w:lang w:val="es-ES"/>
        </w:rPr>
        <w:t xml:space="preserve"> </w:t>
      </w:r>
    </w:p>
    <w:p w14:paraId="19327C05" w14:textId="77777777" w:rsidR="00463ECA" w:rsidRPr="00AF1555" w:rsidRDefault="00463ECA" w:rsidP="00463ECA">
      <w:pPr>
        <w:spacing w:after="0" w:line="240" w:lineRule="auto"/>
        <w:jc w:val="both"/>
        <w:rPr>
          <w:rFonts w:ascii="Verdana" w:eastAsia="Calibri" w:hAnsi="Verdana" w:cs="Arial"/>
          <w:bCs/>
          <w:color w:val="000000" w:themeColor="text1"/>
          <w:sz w:val="20"/>
          <w:szCs w:val="20"/>
          <w:lang w:val="es-ES"/>
        </w:rPr>
      </w:pPr>
    </w:p>
    <w:p w14:paraId="40CC842A" w14:textId="77777777" w:rsidR="00463ECA" w:rsidRPr="00AF1555" w:rsidRDefault="00463ECA" w:rsidP="00463ECA">
      <w:pPr>
        <w:spacing w:after="0" w:line="240" w:lineRule="auto"/>
        <w:jc w:val="both"/>
        <w:rPr>
          <w:rFonts w:ascii="Verdana" w:eastAsia="Calibri" w:hAnsi="Verdana" w:cs="Arial"/>
          <w:color w:val="000000" w:themeColor="text1"/>
          <w:sz w:val="20"/>
          <w:szCs w:val="20"/>
          <w:lang w:val="es-ES_tradnl"/>
        </w:rPr>
      </w:pPr>
      <w:r w:rsidRPr="00817818">
        <w:rPr>
          <w:rFonts w:ascii="Verdana" w:eastAsia="Calibri" w:hAnsi="Verdana" w:cs="Arial"/>
          <w:color w:val="000000" w:themeColor="text1"/>
          <w:sz w:val="20"/>
          <w:szCs w:val="20"/>
          <w:lang w:val="es-ES_tradnl" w:eastAsia="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 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p>
    <w:p w14:paraId="00F70984" w14:textId="77777777" w:rsidR="00463ECA" w:rsidRPr="00AF1555" w:rsidRDefault="00463ECA" w:rsidP="00463ECA">
      <w:pPr>
        <w:spacing w:after="0" w:line="240" w:lineRule="auto"/>
        <w:rPr>
          <w:rFonts w:ascii="Verdana" w:eastAsia="Geomanist Light" w:hAnsi="Verdana" w:cs="Arial"/>
          <w:color w:val="000000" w:themeColor="text1"/>
          <w:sz w:val="20"/>
          <w:szCs w:val="20"/>
          <w:lang w:val="es-ES_tradnl"/>
        </w:rPr>
      </w:pPr>
    </w:p>
    <w:p w14:paraId="2034C0A8" w14:textId="77777777" w:rsidR="00463ECA" w:rsidRPr="00AF1555" w:rsidRDefault="00463ECA" w:rsidP="00463ECA">
      <w:pPr>
        <w:spacing w:after="0" w:line="240" w:lineRule="auto"/>
        <w:jc w:val="both"/>
        <w:rPr>
          <w:rFonts w:ascii="Verdana" w:eastAsia="Calibri" w:hAnsi="Verdana" w:cs="Arial"/>
          <w:b/>
          <w:sz w:val="20"/>
          <w:szCs w:val="20"/>
          <w:lang w:val="es-ES"/>
        </w:rPr>
      </w:pPr>
      <w:r w:rsidRPr="00817818">
        <w:rPr>
          <w:rFonts w:ascii="Verdana" w:eastAsia="Calibri" w:hAnsi="Verdana" w:cs="Arial"/>
          <w:b/>
          <w:lang w:val="es-ES"/>
        </w:rPr>
        <w:t>SISTEMA GENERAL DE REGALÍAS – Ley 2056 de 2020 – Finalidad – Objeto</w:t>
      </w:r>
    </w:p>
    <w:p w14:paraId="22CFAD40" w14:textId="77777777" w:rsidR="00463ECA" w:rsidRDefault="00463ECA" w:rsidP="00463ECA">
      <w:pPr>
        <w:spacing w:after="0" w:line="240" w:lineRule="auto"/>
        <w:jc w:val="both"/>
        <w:rPr>
          <w:rFonts w:ascii="Verdana" w:eastAsia="Calibri" w:hAnsi="Verdana" w:cs="Arial"/>
          <w:bCs/>
          <w:sz w:val="20"/>
          <w:szCs w:val="20"/>
          <w:lang w:val="es-ES"/>
        </w:rPr>
      </w:pPr>
    </w:p>
    <w:p w14:paraId="1436226B" w14:textId="77777777" w:rsidR="00463ECA" w:rsidRDefault="00463ECA" w:rsidP="00463ECA">
      <w:pPr>
        <w:spacing w:after="0" w:line="240" w:lineRule="auto"/>
        <w:jc w:val="both"/>
        <w:rPr>
          <w:rFonts w:ascii="Verdana" w:eastAsia="Calibri" w:hAnsi="Verdana" w:cs="Arial"/>
          <w:color w:val="000000"/>
          <w:sz w:val="20"/>
          <w:szCs w:val="20"/>
          <w:lang w:val="es-ES_tradnl"/>
        </w:rPr>
      </w:pPr>
      <w:r w:rsidRPr="00817818">
        <w:rPr>
          <w:rFonts w:ascii="Verdana" w:eastAsia="Calibri" w:hAnsi="Verdana" w:cs="Arial"/>
          <w:bCs/>
          <w:sz w:val="20"/>
          <w:szCs w:val="20"/>
          <w:lang w:val="es-ES"/>
        </w:rPr>
        <w:t xml:space="preserve">Con fundamento en los artículos 360 y 361 de la Constitución Política, se expidió la Ley 2056 de 2020, por medio de la cual se deroga, entre otras, la Ley 1530 de 2012, y «Por la cual se regula la organización y el funcionamiento del Sistema General de Regalías». En este sentido, la exposición de motivos de esta Ley expresó que: 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 Incentivar en el territorio nacional el desarrollo de actividades de exploración y explotación de recursos naturales no renovables, en el marco de la normativa vigente. -Fomentar la estructuración y aprobación de proyectos de inversión que permitan la implementación del Acuerdo Final para la Terminación del Conflicto y la Construcción de una Paz Estable y Duradera, en los términos establecidos en las normas vigentes. 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w:t>
      </w:r>
      <w:proofErr w:type="gramStart"/>
      <w:r w:rsidRPr="00817818">
        <w:rPr>
          <w:rFonts w:ascii="Verdana" w:eastAsia="Calibri" w:hAnsi="Verdana" w:cs="Arial"/>
          <w:bCs/>
          <w:sz w:val="20"/>
          <w:szCs w:val="20"/>
          <w:lang w:val="es-ES"/>
        </w:rPr>
        <w:t>los mismos</w:t>
      </w:r>
      <w:proofErr w:type="gramEnd"/>
      <w:r w:rsidRPr="00AF1555">
        <w:rPr>
          <w:rFonts w:ascii="Verdana" w:eastAsia="Calibri" w:hAnsi="Verdana" w:cs="Arial"/>
          <w:color w:val="000000"/>
          <w:sz w:val="20"/>
          <w:szCs w:val="20"/>
          <w:lang w:val="es-ES_tradnl"/>
        </w:rPr>
        <w:t>.</w:t>
      </w:r>
    </w:p>
    <w:p w14:paraId="7BD31A81" w14:textId="77777777" w:rsidR="00463ECA" w:rsidRPr="00AF1555" w:rsidRDefault="00463ECA" w:rsidP="00463ECA">
      <w:pPr>
        <w:spacing w:after="0" w:line="240" w:lineRule="auto"/>
        <w:rPr>
          <w:rFonts w:ascii="Verdana" w:eastAsia="Geomanist Light" w:hAnsi="Verdana" w:cs="Arial"/>
          <w:color w:val="000000" w:themeColor="text1"/>
          <w:sz w:val="20"/>
          <w:szCs w:val="20"/>
          <w:lang w:val="es-ES_tradnl"/>
        </w:rPr>
      </w:pPr>
    </w:p>
    <w:p w14:paraId="6CACAED3" w14:textId="77777777" w:rsidR="00463ECA" w:rsidRPr="00AF1555" w:rsidRDefault="00463ECA" w:rsidP="00463ECA">
      <w:pPr>
        <w:spacing w:after="0" w:line="240" w:lineRule="auto"/>
        <w:jc w:val="both"/>
        <w:rPr>
          <w:rFonts w:ascii="Verdana" w:eastAsia="Calibri" w:hAnsi="Verdana" w:cs="Arial"/>
          <w:b/>
          <w:sz w:val="20"/>
          <w:szCs w:val="20"/>
          <w:lang w:val="es-ES"/>
        </w:rPr>
      </w:pPr>
      <w:r>
        <w:rPr>
          <w:rFonts w:ascii="Verdana" w:eastAsia="Calibri" w:hAnsi="Verdana" w:cs="Arial"/>
          <w:b/>
          <w:lang w:val="es-ES"/>
        </w:rPr>
        <w:t>ENTIDADES EJECUTORAS</w:t>
      </w:r>
      <w:r w:rsidRPr="00817818">
        <w:rPr>
          <w:rFonts w:ascii="Verdana" w:eastAsia="Calibri" w:hAnsi="Verdana" w:cs="Arial"/>
          <w:b/>
          <w:lang w:val="es-ES"/>
        </w:rPr>
        <w:t xml:space="preserve"> – </w:t>
      </w:r>
      <w:r>
        <w:rPr>
          <w:rFonts w:ascii="Verdana" w:eastAsia="Calibri" w:hAnsi="Verdana" w:cs="Arial"/>
          <w:b/>
          <w:lang w:val="es-ES"/>
        </w:rPr>
        <w:t>Designación</w:t>
      </w:r>
      <w:r w:rsidRPr="00817818">
        <w:rPr>
          <w:rFonts w:ascii="Verdana" w:eastAsia="Calibri" w:hAnsi="Verdana" w:cs="Arial"/>
          <w:b/>
          <w:lang w:val="es-ES"/>
        </w:rPr>
        <w:t xml:space="preserve"> – </w:t>
      </w:r>
      <w:r>
        <w:rPr>
          <w:rFonts w:ascii="Verdana" w:eastAsia="Calibri" w:hAnsi="Verdana" w:cs="Arial"/>
          <w:b/>
          <w:lang w:val="es-ES"/>
        </w:rPr>
        <w:t>Acto administrativo</w:t>
      </w:r>
    </w:p>
    <w:p w14:paraId="37BBC2B9" w14:textId="77777777" w:rsidR="00463ECA" w:rsidRDefault="00463ECA" w:rsidP="00463ECA">
      <w:pPr>
        <w:spacing w:after="0" w:line="240" w:lineRule="auto"/>
        <w:jc w:val="both"/>
        <w:rPr>
          <w:rFonts w:ascii="Verdana" w:eastAsia="Calibri" w:hAnsi="Verdana" w:cs="Arial"/>
          <w:bCs/>
          <w:sz w:val="20"/>
          <w:szCs w:val="20"/>
          <w:lang w:val="es-ES"/>
        </w:rPr>
      </w:pPr>
    </w:p>
    <w:p w14:paraId="392A069A" w14:textId="77777777" w:rsidR="00463ECA" w:rsidRDefault="00463ECA" w:rsidP="00463ECA">
      <w:pPr>
        <w:spacing w:after="0" w:line="240" w:lineRule="auto"/>
        <w:jc w:val="both"/>
        <w:rPr>
          <w:rFonts w:ascii="Verdana" w:eastAsia="Calibri" w:hAnsi="Verdana" w:cs="Arial"/>
          <w:bCs/>
          <w:sz w:val="20"/>
          <w:szCs w:val="20"/>
          <w:lang w:val="es-ES"/>
        </w:rPr>
      </w:pPr>
      <w:r w:rsidRPr="00817818">
        <w:rPr>
          <w:rFonts w:ascii="Verdana" w:eastAsia="Calibri" w:hAnsi="Verdana" w:cs="Arial"/>
          <w:bCs/>
          <w:sz w:val="20"/>
          <w:szCs w:val="20"/>
          <w:lang w:val="es-ES"/>
        </w:rPr>
        <w:t>La designación de la entidad ejecutora en los proyectos adelantados con cargo al Sistema General de Regalías corresponde a un acto administrativo, pues se trata de una declaración unilateral de voluntad de un órgano del Estado que ejerce función administrativa y que produce efectos jurídicos. Una vez concurren sus elementos de existencia, la validez depende de la competencia de funcionario, la ausencia de desviación de poder, la licitud del objeto, entre otras. Al ser un acto administrativo, la designación no corresponde a un contrato estatal, de forma que ni siquiera tiene la naturaleza de un convenio interadministrativo. En consecuencia, la designación no requiere aceptación de la entidad ejecutora ni ésta se considera contratista de los órganos de que tratan los artículos 35 y 36 de la Ley 2056 de 2020.</w:t>
      </w:r>
    </w:p>
    <w:p w14:paraId="1C4C2228" w14:textId="77777777" w:rsidR="00463ECA" w:rsidRPr="00AF1555" w:rsidRDefault="00463ECA" w:rsidP="00463ECA">
      <w:pPr>
        <w:spacing w:after="0" w:line="240" w:lineRule="auto"/>
        <w:rPr>
          <w:rFonts w:ascii="Verdana" w:eastAsia="Geomanist Light" w:hAnsi="Verdana" w:cs="Arial"/>
          <w:color w:val="000000" w:themeColor="text1"/>
          <w:sz w:val="20"/>
          <w:szCs w:val="20"/>
          <w:lang w:val="es-ES_tradnl"/>
        </w:rPr>
      </w:pPr>
    </w:p>
    <w:p w14:paraId="2FC714B3" w14:textId="77777777" w:rsidR="00463ECA" w:rsidRPr="00AF1555" w:rsidRDefault="00463ECA" w:rsidP="00463ECA">
      <w:pPr>
        <w:tabs>
          <w:tab w:val="left" w:pos="426"/>
        </w:tabs>
        <w:spacing w:after="0" w:line="240" w:lineRule="auto"/>
        <w:jc w:val="both"/>
        <w:rPr>
          <w:rFonts w:ascii="Verdana" w:hAnsi="Verdana" w:cs="Arial"/>
          <w:b/>
          <w:lang w:eastAsia="es-CO"/>
        </w:rPr>
      </w:pPr>
      <w:r w:rsidRPr="00817818">
        <w:rPr>
          <w:rFonts w:ascii="Verdana" w:hAnsi="Verdana" w:cs="Arial"/>
          <w:b/>
          <w:lang w:val="es-ES_tradnl" w:eastAsia="es-CO"/>
        </w:rPr>
        <w:t xml:space="preserve">RÉGIMEN CONTRACTUAL – Entidades ejecutoras – Aplicación del Estatuto General de Contratación de la Administración Pública </w:t>
      </w:r>
      <w:r>
        <w:rPr>
          <w:rFonts w:ascii="Verdana" w:hAnsi="Verdana" w:cs="Arial"/>
          <w:b/>
          <w:lang w:eastAsia="es-CO"/>
        </w:rPr>
        <w:t xml:space="preserve"> </w:t>
      </w:r>
    </w:p>
    <w:p w14:paraId="0371EB67" w14:textId="77777777" w:rsidR="00463ECA" w:rsidRPr="00817818" w:rsidRDefault="00463ECA" w:rsidP="00463ECA">
      <w:pPr>
        <w:tabs>
          <w:tab w:val="left" w:pos="426"/>
        </w:tabs>
        <w:spacing w:after="0" w:line="240" w:lineRule="auto"/>
        <w:jc w:val="both"/>
        <w:rPr>
          <w:rFonts w:ascii="Verdana" w:hAnsi="Verdana" w:cs="Arial"/>
          <w:b/>
          <w:sz w:val="20"/>
          <w:szCs w:val="20"/>
          <w:lang w:eastAsia="es-CO"/>
        </w:rPr>
      </w:pPr>
    </w:p>
    <w:p w14:paraId="44606FC3" w14:textId="77777777" w:rsidR="00463ECA" w:rsidRPr="00817818" w:rsidRDefault="00463ECA" w:rsidP="00463ECA">
      <w:pPr>
        <w:spacing w:after="0" w:line="240" w:lineRule="auto"/>
        <w:jc w:val="both"/>
        <w:rPr>
          <w:rFonts w:ascii="Verdana" w:eastAsia="Geomanist Light" w:hAnsi="Verdana" w:cs="Arial"/>
          <w:color w:val="000000" w:themeColor="text1"/>
          <w:sz w:val="20"/>
          <w:szCs w:val="20"/>
        </w:rPr>
      </w:pPr>
      <w:r w:rsidRPr="00817818">
        <w:rPr>
          <w:rFonts w:ascii="Verdana" w:hAnsi="Verdana" w:cs="Arial"/>
          <w:bCs/>
          <w:sz w:val="20"/>
          <w:szCs w:val="20"/>
          <w:lang w:eastAsia="es-CO"/>
        </w:rPr>
        <w:t xml:space="preserve">El artículo 37 de la Ley 2056 de 2020 dispone que los proyectos de inversión que se financien con cargo al Sistema General de Regalías serán ejecutados por quien designe las entidades u órganos de que tratan los artículos 35 y 36 ibidem.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En esta línea, el parágrafo primero del artículo 37 dispone: </w:t>
      </w:r>
      <w:r>
        <w:rPr>
          <w:rFonts w:ascii="Verdana" w:hAnsi="Verdana" w:cs="Arial"/>
          <w:bCs/>
          <w:sz w:val="18"/>
          <w:szCs w:val="18"/>
          <w:lang w:eastAsia="es-CO"/>
        </w:rPr>
        <w:t>“</w:t>
      </w:r>
      <w:r w:rsidRPr="00817818">
        <w:rPr>
          <w:rFonts w:ascii="Verdana" w:hAnsi="Verdana" w:cs="Arial"/>
          <w:bCs/>
          <w:sz w:val="20"/>
          <w:szCs w:val="20"/>
          <w:lang w:eastAsia="es-CO"/>
        </w:rPr>
        <w:t xml:space="preserve">La ejecución de proyectos de </w:t>
      </w:r>
      <w:proofErr w:type="spellStart"/>
      <w:r w:rsidRPr="00817818">
        <w:rPr>
          <w:rFonts w:ascii="Verdana" w:hAnsi="Verdana" w:cs="Arial"/>
          <w:bCs/>
          <w:sz w:val="20"/>
          <w:szCs w:val="20"/>
          <w:lang w:eastAsia="es-CO"/>
        </w:rPr>
        <w:t>que</w:t>
      </w:r>
      <w:proofErr w:type="spellEnd"/>
      <w:r w:rsidRPr="00817818">
        <w:rPr>
          <w:rFonts w:ascii="Verdana" w:hAnsi="Verdana" w:cs="Arial"/>
          <w:bCs/>
          <w:sz w:val="20"/>
          <w:szCs w:val="20"/>
          <w:lang w:eastAsia="es-CO"/>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Pr>
          <w:rFonts w:ascii="Verdana" w:hAnsi="Verdana" w:cs="Arial"/>
          <w:bCs/>
          <w:sz w:val="20"/>
          <w:szCs w:val="20"/>
          <w:lang w:eastAsia="es-CO"/>
        </w:rPr>
        <w:t>”</w:t>
      </w:r>
      <w:r w:rsidRPr="00817818">
        <w:rPr>
          <w:rFonts w:ascii="Verdana" w:hAnsi="Verdana" w:cs="Arial"/>
          <w:bCs/>
          <w:sz w:val="20"/>
          <w:szCs w:val="20"/>
          <w:lang w:eastAsia="es-CO"/>
        </w:rPr>
        <w:t>. A partir de esta norma, el ejecutor de los proyectos de inversión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w:t>
      </w:r>
    </w:p>
    <w:p w14:paraId="2AB18FFB" w14:textId="77777777" w:rsidR="00463ECA" w:rsidRPr="00463ECA" w:rsidRDefault="00463ECA" w:rsidP="00A0731F">
      <w:pPr>
        <w:spacing w:after="0" w:line="240" w:lineRule="auto"/>
        <w:rPr>
          <w:rFonts w:ascii="Verdana" w:eastAsia="Geomanist Light" w:hAnsi="Verdana" w:cs="Arial"/>
          <w:color w:val="000000" w:themeColor="text1"/>
        </w:rPr>
      </w:pPr>
    </w:p>
    <w:p w14:paraId="424390D1" w14:textId="77777777" w:rsidR="00463ECA" w:rsidRDefault="00463ECA" w:rsidP="00A0731F">
      <w:pPr>
        <w:spacing w:after="0" w:line="240" w:lineRule="auto"/>
        <w:rPr>
          <w:rFonts w:ascii="Verdana" w:eastAsia="Geomanist Light" w:hAnsi="Verdana" w:cs="Arial"/>
          <w:color w:val="000000" w:themeColor="text1"/>
          <w:lang w:val="es-MX"/>
        </w:rPr>
      </w:pPr>
    </w:p>
    <w:p w14:paraId="5EE8B769" w14:textId="77777777" w:rsidR="00463ECA" w:rsidRDefault="00463ECA" w:rsidP="00A0731F">
      <w:pPr>
        <w:spacing w:after="0" w:line="240" w:lineRule="auto"/>
        <w:rPr>
          <w:rFonts w:ascii="Verdana" w:eastAsia="Geomanist Light" w:hAnsi="Verdana" w:cs="Arial"/>
          <w:color w:val="000000" w:themeColor="text1"/>
          <w:lang w:val="es-MX"/>
        </w:rPr>
      </w:pPr>
    </w:p>
    <w:p w14:paraId="129EC187" w14:textId="77777777" w:rsidR="00463ECA" w:rsidRDefault="00463ECA" w:rsidP="00A0731F">
      <w:pPr>
        <w:spacing w:after="0" w:line="240" w:lineRule="auto"/>
        <w:rPr>
          <w:rFonts w:ascii="Verdana" w:eastAsia="Geomanist Light" w:hAnsi="Verdana" w:cs="Arial"/>
          <w:color w:val="000000" w:themeColor="text1"/>
          <w:lang w:val="es-MX"/>
        </w:rPr>
      </w:pPr>
    </w:p>
    <w:p w14:paraId="4EF98BC1" w14:textId="77777777" w:rsidR="00463ECA" w:rsidRDefault="00463ECA" w:rsidP="00A0731F">
      <w:pPr>
        <w:spacing w:after="0" w:line="240" w:lineRule="auto"/>
        <w:rPr>
          <w:rFonts w:ascii="Verdana" w:eastAsia="Geomanist Light" w:hAnsi="Verdana" w:cs="Arial"/>
          <w:color w:val="000000" w:themeColor="text1"/>
          <w:lang w:val="es-MX"/>
        </w:rPr>
      </w:pPr>
    </w:p>
    <w:p w14:paraId="1E3D60EB" w14:textId="77777777" w:rsidR="00463ECA" w:rsidRDefault="00463ECA" w:rsidP="00A0731F">
      <w:pPr>
        <w:spacing w:after="0" w:line="240" w:lineRule="auto"/>
        <w:rPr>
          <w:rFonts w:ascii="Verdana" w:eastAsia="Geomanist Light" w:hAnsi="Verdana" w:cs="Arial"/>
          <w:color w:val="000000" w:themeColor="text1"/>
          <w:lang w:val="es-MX"/>
        </w:rPr>
      </w:pPr>
    </w:p>
    <w:p w14:paraId="4AF683BD" w14:textId="77777777" w:rsidR="00463ECA" w:rsidRDefault="00463ECA" w:rsidP="00A0731F">
      <w:pPr>
        <w:spacing w:after="0" w:line="240" w:lineRule="auto"/>
        <w:rPr>
          <w:rFonts w:ascii="Verdana" w:eastAsia="Geomanist Light" w:hAnsi="Verdana" w:cs="Arial"/>
          <w:color w:val="000000" w:themeColor="text1"/>
          <w:lang w:val="es-MX"/>
        </w:rPr>
      </w:pPr>
    </w:p>
    <w:p w14:paraId="2DCC8C92" w14:textId="77777777" w:rsidR="00463ECA" w:rsidRDefault="00463ECA" w:rsidP="00A0731F">
      <w:pPr>
        <w:spacing w:after="0" w:line="240" w:lineRule="auto"/>
        <w:rPr>
          <w:rFonts w:ascii="Verdana" w:eastAsia="Geomanist Light" w:hAnsi="Verdana" w:cs="Arial"/>
          <w:color w:val="000000" w:themeColor="text1"/>
          <w:lang w:val="es-MX"/>
        </w:rPr>
      </w:pPr>
    </w:p>
    <w:p w14:paraId="06A6BDBB" w14:textId="77777777" w:rsidR="00463ECA" w:rsidRDefault="00463ECA" w:rsidP="00A0731F">
      <w:pPr>
        <w:spacing w:after="0" w:line="240" w:lineRule="auto"/>
        <w:rPr>
          <w:rFonts w:ascii="Verdana" w:eastAsia="Geomanist Light" w:hAnsi="Verdana" w:cs="Arial"/>
          <w:color w:val="000000" w:themeColor="text1"/>
          <w:lang w:val="es-MX"/>
        </w:rPr>
      </w:pPr>
    </w:p>
    <w:p w14:paraId="3E5C8341" w14:textId="20D125AA" w:rsidR="00A0731F" w:rsidRPr="00593A5F" w:rsidRDefault="00A0731F" w:rsidP="00A0731F">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EA425B" w:rsidRPr="00EA425B">
        <w:rPr>
          <w:rFonts w:ascii="Verdana" w:eastAsia="Geomanist Light" w:hAnsi="Verdana" w:cs="Arial"/>
          <w:color w:val="000000" w:themeColor="text1"/>
          <w:lang w:val="es-MX"/>
        </w:rPr>
        <w:t>21 de Noviembre de 2024</w:t>
      </w:r>
    </w:p>
    <w:p w14:paraId="7E242263" w14:textId="77777777" w:rsidR="00A0731F" w:rsidRDefault="00A0731F" w:rsidP="00A0731F">
      <w:pPr>
        <w:spacing w:after="0" w:line="240" w:lineRule="auto"/>
        <w:jc w:val="both"/>
        <w:rPr>
          <w:rFonts w:ascii="Verdana" w:eastAsia="Calibri" w:hAnsi="Verdana" w:cs="Arial"/>
          <w:color w:val="000000"/>
          <w:lang w:val="es-ES"/>
        </w:rPr>
      </w:pPr>
    </w:p>
    <w:p w14:paraId="61FCA138" w14:textId="1159A625" w:rsidR="00A076F5" w:rsidRDefault="00A076F5" w:rsidP="00A076F5">
      <w:pPr>
        <w:spacing w:after="0" w:line="240" w:lineRule="auto"/>
        <w:jc w:val="right"/>
        <w:rPr>
          <w:rFonts w:ascii="Verdana" w:eastAsia="Calibri" w:hAnsi="Verdana" w:cs="Arial"/>
          <w:color w:val="000000"/>
          <w:lang w:val="es-ES"/>
        </w:rPr>
      </w:pPr>
      <w:r w:rsidRPr="00A076F5">
        <w:rPr>
          <w:rFonts w:ascii="Verdana" w:eastAsia="Calibri" w:hAnsi="Verdana" w:cs="Arial"/>
          <w:color w:val="000000"/>
          <w:lang w:val="es-ES"/>
        </w:rPr>
        <w:drawing>
          <wp:inline distT="0" distB="0" distL="0" distR="0" wp14:anchorId="37478E31" wp14:editId="4F26C2D8">
            <wp:extent cx="3238500" cy="901700"/>
            <wp:effectExtent l="0" t="0" r="0" b="0"/>
            <wp:docPr id="630433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33689" name=""/>
                    <pic:cNvPicPr/>
                  </pic:nvPicPr>
                  <pic:blipFill>
                    <a:blip r:embed="rId10"/>
                    <a:stretch>
                      <a:fillRect/>
                    </a:stretch>
                  </pic:blipFill>
                  <pic:spPr>
                    <a:xfrm>
                      <a:off x="0" y="0"/>
                      <a:ext cx="3238500" cy="901700"/>
                    </a:xfrm>
                    <a:prstGeom prst="rect">
                      <a:avLst/>
                    </a:prstGeom>
                  </pic:spPr>
                </pic:pic>
              </a:graphicData>
            </a:graphic>
          </wp:inline>
        </w:drawing>
      </w:r>
    </w:p>
    <w:p w14:paraId="4B481EA2" w14:textId="77777777" w:rsidR="00A0731F" w:rsidRPr="00593A5F" w:rsidRDefault="00A0731F" w:rsidP="00A0731F">
      <w:pPr>
        <w:spacing w:after="0" w:line="240" w:lineRule="auto"/>
        <w:jc w:val="both"/>
        <w:rPr>
          <w:rFonts w:ascii="Verdana" w:eastAsia="Calibri" w:hAnsi="Verdana" w:cs="Arial"/>
          <w:color w:val="000000"/>
          <w:lang w:val="es-ES"/>
        </w:rPr>
      </w:pPr>
    </w:p>
    <w:p w14:paraId="28CC11A2" w14:textId="77777777" w:rsidR="00A0731F" w:rsidRPr="00B96799" w:rsidRDefault="00A0731F" w:rsidP="00A0731F">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37CD3318" w14:textId="77777777" w:rsidR="00A0731F" w:rsidRPr="005B5BEB" w:rsidRDefault="00A0731F" w:rsidP="00A0731F">
      <w:pPr>
        <w:spacing w:after="0" w:line="240" w:lineRule="auto"/>
        <w:rPr>
          <w:rFonts w:ascii="Verdana" w:eastAsia="Calibri" w:hAnsi="Verdana" w:cs="Arial"/>
          <w:b/>
          <w:lang w:val="es-ES_tradnl" w:eastAsia="es-ES_tradnl"/>
        </w:rPr>
      </w:pPr>
      <w:r w:rsidRPr="005B5BEB">
        <w:rPr>
          <w:rFonts w:ascii="Verdana" w:eastAsia="Calibri" w:hAnsi="Verdana" w:cs="Arial"/>
          <w:b/>
          <w:lang w:val="es-ES_tradnl" w:eastAsia="es-ES_tradnl"/>
        </w:rPr>
        <w:t>Alexis Ferley Bohórquez</w:t>
      </w:r>
      <w:r w:rsidRPr="001B55F4">
        <w:rPr>
          <w:rFonts w:ascii="Verdana" w:eastAsia="Calibri" w:hAnsi="Verdana" w:cs="Arial"/>
          <w:b/>
          <w:lang w:val="es-ES_tradnl" w:eastAsia="es-ES_tradnl"/>
        </w:rPr>
        <w:t xml:space="preserve"> </w:t>
      </w:r>
    </w:p>
    <w:p w14:paraId="562DDEE2" w14:textId="77777777" w:rsidR="00A0731F" w:rsidRPr="005B5BEB" w:rsidRDefault="00A0731F" w:rsidP="00A0731F">
      <w:pPr>
        <w:spacing w:after="0" w:line="240" w:lineRule="auto"/>
        <w:rPr>
          <w:rFonts w:ascii="Verdana" w:hAnsi="Verdana"/>
        </w:rPr>
      </w:pPr>
      <w:hyperlink r:id="rId11" w:history="1">
        <w:r w:rsidRPr="00A02C6C">
          <w:rPr>
            <w:rStyle w:val="Hipervnculo"/>
            <w:rFonts w:ascii="Verdana" w:hAnsi="Verdana"/>
          </w:rPr>
          <w:t>vur@unitropico.edu.co</w:t>
        </w:r>
      </w:hyperlink>
      <w:r>
        <w:rPr>
          <w:rFonts w:ascii="Verdana" w:hAnsi="Verdana"/>
        </w:rPr>
        <w:t xml:space="preserve"> </w:t>
      </w:r>
    </w:p>
    <w:p w14:paraId="38CC62A9" w14:textId="77777777" w:rsidR="00A0731F" w:rsidRDefault="00A0731F" w:rsidP="00A0731F">
      <w:pPr>
        <w:spacing w:after="0" w:line="240" w:lineRule="auto"/>
        <w:rPr>
          <w:rFonts w:ascii="Verdana" w:eastAsia="Calibri" w:hAnsi="Verdana" w:cs="Arial"/>
          <w:lang w:val="es-ES" w:eastAsia="es-ES"/>
        </w:rPr>
      </w:pPr>
      <w:r>
        <w:rPr>
          <w:rFonts w:ascii="Verdana" w:eastAsia="Calibri" w:hAnsi="Verdana" w:cs="Arial"/>
          <w:lang w:val="es-ES" w:eastAsia="es-ES"/>
        </w:rPr>
        <w:t xml:space="preserve">Yopal, Casanare </w:t>
      </w:r>
    </w:p>
    <w:p w14:paraId="3EC84B35" w14:textId="77777777" w:rsidR="00A0731F" w:rsidRPr="00593A5F" w:rsidRDefault="00A0731F" w:rsidP="00A0731F">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0731F" w:rsidRPr="00593A5F" w14:paraId="63846039" w14:textId="77777777" w:rsidTr="00AE719F">
        <w:trPr>
          <w:trHeight w:val="497"/>
        </w:trPr>
        <w:tc>
          <w:tcPr>
            <w:tcW w:w="2689" w:type="dxa"/>
          </w:tcPr>
          <w:p w14:paraId="24FA1615" w14:textId="77777777" w:rsidR="00A0731F" w:rsidRPr="00C00976" w:rsidRDefault="00A0731F" w:rsidP="00462217">
            <w:pPr>
              <w:jc w:val="both"/>
              <w:rPr>
                <w:rFonts w:ascii="Verdana" w:eastAsia="Calibri" w:hAnsi="Verdana" w:cs="Arial"/>
                <w:b/>
                <w:bCs/>
                <w:color w:val="7030A0"/>
                <w:lang w:val="es-ES_tradnl" w:eastAsia="es-ES_tradnl"/>
              </w:rPr>
            </w:pPr>
          </w:p>
        </w:tc>
        <w:tc>
          <w:tcPr>
            <w:tcW w:w="6100" w:type="dxa"/>
          </w:tcPr>
          <w:p w14:paraId="292DF7B3" w14:textId="77777777" w:rsidR="00A0731F" w:rsidRPr="00C00976" w:rsidRDefault="00A0731F" w:rsidP="00462217">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823</w:t>
            </w:r>
            <w:r w:rsidRPr="008E6AD9">
              <w:rPr>
                <w:rFonts w:ascii="Verdana" w:eastAsia="Calibri" w:hAnsi="Verdana" w:cs="Arial"/>
                <w:b/>
                <w:bCs/>
                <w:lang w:val="es-ES" w:eastAsia="es-ES"/>
              </w:rPr>
              <w:t xml:space="preserve"> de 2024</w:t>
            </w:r>
          </w:p>
        </w:tc>
      </w:tr>
      <w:tr w:rsidR="00A0731F" w:rsidRPr="00593A5F" w14:paraId="3BE19D4E" w14:textId="77777777" w:rsidTr="00462217">
        <w:trPr>
          <w:trHeight w:val="884"/>
        </w:trPr>
        <w:tc>
          <w:tcPr>
            <w:tcW w:w="2689" w:type="dxa"/>
          </w:tcPr>
          <w:p w14:paraId="686C4E82" w14:textId="77777777" w:rsidR="00A0731F" w:rsidRPr="00593A5F" w:rsidRDefault="00A0731F" w:rsidP="0046221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Pr>
                <w:rFonts w:ascii="Verdana" w:eastAsia="Calibri" w:hAnsi="Verdana" w:cs="Arial"/>
                <w:color w:val="000000"/>
                <w:lang w:val="es-ES_tradnl" w:eastAsia="es-ES_tradnl"/>
              </w:rPr>
              <w:t xml:space="preserve">         </w:t>
            </w:r>
            <w:r w:rsidRPr="00593A5F">
              <w:rPr>
                <w:rFonts w:ascii="Verdana" w:eastAsia="Calibri" w:hAnsi="Verdana" w:cs="Arial"/>
                <w:color w:val="000000"/>
                <w:lang w:val="es-ES_tradnl" w:eastAsia="es-ES_tradnl"/>
              </w:rPr>
              <w:t xml:space="preserve"> </w:t>
            </w:r>
          </w:p>
        </w:tc>
        <w:tc>
          <w:tcPr>
            <w:tcW w:w="6100" w:type="dxa"/>
          </w:tcPr>
          <w:p w14:paraId="1E0CCF55" w14:textId="77777777" w:rsidR="00A0731F" w:rsidRPr="00A11406" w:rsidRDefault="00A0731F" w:rsidP="00462217">
            <w:pPr>
              <w:spacing w:line="276" w:lineRule="auto"/>
              <w:jc w:val="both"/>
              <w:rPr>
                <w:rFonts w:ascii="Verdana" w:eastAsia="Calibri" w:hAnsi="Verdana" w:cs="Arial"/>
                <w:lang w:val="es-ES" w:eastAsia="es-ES"/>
              </w:rPr>
            </w:pPr>
            <w:r w:rsidRPr="00817818">
              <w:rPr>
                <w:rFonts w:ascii="Verdana" w:eastAsia="Calibri" w:hAnsi="Verdana" w:cs="Arial"/>
                <w:lang w:val="es-ES" w:eastAsia="es-ES"/>
              </w:rPr>
              <w:t>SISTEMA GENERAL DE REGALÍAS – Fundamento normativo – Acto Legislativo 01 de 2019</w:t>
            </w:r>
            <w:r>
              <w:rPr>
                <w:rFonts w:ascii="Verdana" w:eastAsia="Calibri" w:hAnsi="Verdana" w:cs="Arial"/>
                <w:lang w:val="es-ES" w:eastAsia="es-ES"/>
              </w:rPr>
              <w:t xml:space="preserve"> / </w:t>
            </w:r>
            <w:r w:rsidRPr="00817818">
              <w:rPr>
                <w:rFonts w:ascii="Verdana" w:eastAsia="Calibri" w:hAnsi="Verdana" w:cs="Arial"/>
                <w:lang w:val="es-ES" w:eastAsia="es-ES"/>
              </w:rPr>
              <w:t>SISTEMA GENERAL DE REGALÍAS – Ley 2056 de 2020 – Finalidad – Objeto</w:t>
            </w:r>
            <w:r>
              <w:rPr>
                <w:rFonts w:ascii="Verdana" w:eastAsia="Calibri" w:hAnsi="Verdana" w:cs="Arial"/>
                <w:lang w:val="es-ES" w:eastAsia="es-ES"/>
              </w:rPr>
              <w:t xml:space="preserve"> / </w:t>
            </w:r>
            <w:r w:rsidRPr="00817818">
              <w:rPr>
                <w:rFonts w:ascii="Verdana" w:eastAsia="Calibri" w:hAnsi="Verdana" w:cs="Arial"/>
                <w:lang w:val="es-ES" w:eastAsia="es-ES"/>
              </w:rPr>
              <w:t>ENTIDADES EJECUTORAS – Designación – Acto administrativo</w:t>
            </w:r>
            <w:r>
              <w:rPr>
                <w:rFonts w:ascii="Verdana" w:eastAsia="Calibri" w:hAnsi="Verdana" w:cs="Arial"/>
                <w:lang w:val="es-ES" w:eastAsia="es-ES"/>
              </w:rPr>
              <w:t xml:space="preserve"> / </w:t>
            </w:r>
            <w:r w:rsidRPr="00817818">
              <w:rPr>
                <w:rFonts w:ascii="Verdana" w:eastAsia="Calibri" w:hAnsi="Verdana" w:cs="Arial"/>
                <w:lang w:val="es-ES" w:eastAsia="es-ES"/>
              </w:rPr>
              <w:t xml:space="preserve">RÉGIMEN CONTRACTUAL – Entidades ejecutoras – Aplicación del Estatuto General de Contratación de la Administración Pública  </w:t>
            </w:r>
            <w:r>
              <w:rPr>
                <w:rFonts w:ascii="Verdana" w:eastAsia="Calibri" w:hAnsi="Verdana" w:cs="Arial"/>
                <w:lang w:val="es-ES" w:eastAsia="es-ES"/>
              </w:rPr>
              <w:t xml:space="preserve">  </w:t>
            </w:r>
            <w:r w:rsidRPr="00B6323A">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6C7ABE40" w14:textId="77777777" w:rsidR="00A0731F" w:rsidRPr="00593A5F" w:rsidRDefault="00A0731F" w:rsidP="00462217">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A0731F" w:rsidRPr="008E6AD9" w14:paraId="62E1B859" w14:textId="77777777" w:rsidTr="00462217">
        <w:tc>
          <w:tcPr>
            <w:tcW w:w="2689" w:type="dxa"/>
          </w:tcPr>
          <w:p w14:paraId="595C7D25" w14:textId="77777777" w:rsidR="00A0731F" w:rsidRPr="008E6AD9" w:rsidRDefault="00A0731F" w:rsidP="00462217">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4C39DD0A" w14:textId="77777777" w:rsidR="00A0731F" w:rsidRPr="008E6AD9" w:rsidRDefault="00A0731F" w:rsidP="00462217">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B13B62">
              <w:rPr>
                <w:rFonts w:ascii="Verdana" w:eastAsia="Calibri" w:hAnsi="Verdana" w:cs="Arial"/>
                <w:lang w:val="es-ES_tradnl" w:eastAsia="es-ES_tradnl"/>
              </w:rPr>
              <w:t>P20241106011172</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086A27DF" w14:textId="77777777" w:rsidR="00A0731F" w:rsidRPr="00593A5F" w:rsidRDefault="00A0731F" w:rsidP="00A0731F">
      <w:pPr>
        <w:spacing w:after="0" w:line="240" w:lineRule="auto"/>
        <w:jc w:val="both"/>
        <w:rPr>
          <w:rFonts w:ascii="Verdana" w:eastAsia="Calibri" w:hAnsi="Verdana" w:cs="Arial"/>
          <w:color w:val="000000"/>
          <w:lang w:val="es-ES_tradnl" w:eastAsia="es-ES_tradnl"/>
        </w:rPr>
      </w:pPr>
    </w:p>
    <w:p w14:paraId="6B883AF3" w14:textId="77777777" w:rsidR="00A0731F" w:rsidRPr="00593A5F" w:rsidRDefault="00A0731F" w:rsidP="00A0731F">
      <w:pPr>
        <w:spacing w:after="0" w:line="240" w:lineRule="auto"/>
        <w:jc w:val="both"/>
        <w:rPr>
          <w:rFonts w:ascii="Verdana" w:eastAsia="Calibri" w:hAnsi="Verdana" w:cs="Arial"/>
          <w:color w:val="000000"/>
          <w:lang w:val="es-ES_tradnl" w:eastAsia="es-ES_tradnl"/>
        </w:rPr>
      </w:pPr>
    </w:p>
    <w:p w14:paraId="644A6B2B" w14:textId="77777777" w:rsidR="00A0731F" w:rsidRPr="008E6AD9" w:rsidRDefault="00A0731F" w:rsidP="00A0731F">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5B5BEB">
        <w:rPr>
          <w:rFonts w:ascii="Verdana" w:eastAsia="Calibri" w:hAnsi="Verdana" w:cs="Arial"/>
          <w:lang w:val="es-ES" w:eastAsia="es-ES"/>
        </w:rPr>
        <w:t>Bohórquez</w:t>
      </w:r>
      <w:r w:rsidRPr="008E6AD9">
        <w:rPr>
          <w:rFonts w:ascii="Verdana" w:eastAsia="Calibri" w:hAnsi="Verdana" w:cs="Arial"/>
          <w:lang w:val="es-ES" w:eastAsia="es-ES"/>
        </w:rPr>
        <w:t xml:space="preserve">: </w:t>
      </w:r>
    </w:p>
    <w:p w14:paraId="15FE4A3C" w14:textId="77777777" w:rsidR="00A0731F" w:rsidRDefault="00A0731F" w:rsidP="00A0731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7728BB4" w14:textId="77777777" w:rsidR="00A0731F" w:rsidRPr="00593A5F" w:rsidRDefault="00A0731F" w:rsidP="00A0731F">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6 de noviembre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60666329" w14:textId="77777777" w:rsidR="00A0731F" w:rsidRPr="00272A7B" w:rsidRDefault="00A0731F" w:rsidP="008F1BB6">
      <w:pPr>
        <w:pStyle w:val="Prrafodelista"/>
        <w:tabs>
          <w:tab w:val="left" w:pos="142"/>
          <w:tab w:val="left" w:pos="284"/>
        </w:tabs>
        <w:spacing w:after="0" w:line="276" w:lineRule="auto"/>
        <w:ind w:left="0"/>
        <w:jc w:val="both"/>
        <w:rPr>
          <w:rFonts w:ascii="Verdana" w:eastAsia="Century Gothic" w:hAnsi="Verdana" w:cs="Century Gothic"/>
          <w:b/>
          <w:bCs/>
        </w:rPr>
      </w:pPr>
    </w:p>
    <w:p w14:paraId="52F715E1" w14:textId="77777777" w:rsidR="00A0731F" w:rsidRPr="005B5BEB" w:rsidRDefault="00A0731F" w:rsidP="00A0731F">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5B5BEB">
        <w:rPr>
          <w:rFonts w:ascii="Verdana" w:eastAsia="Century Gothic" w:hAnsi="Verdana" w:cs="Century Gothic"/>
          <w:sz w:val="21"/>
          <w:szCs w:val="21"/>
          <w:lang w:val="es-ES"/>
        </w:rPr>
        <w:t>1.</w:t>
      </w:r>
      <w:r>
        <w:rPr>
          <w:rFonts w:ascii="Verdana" w:eastAsia="Century Gothic" w:hAnsi="Verdana" w:cs="Century Gothic"/>
          <w:sz w:val="21"/>
          <w:szCs w:val="21"/>
          <w:lang w:val="es-ES"/>
        </w:rPr>
        <w:t xml:space="preserve"> […] </w:t>
      </w:r>
      <w:r w:rsidRPr="005B5BEB">
        <w:rPr>
          <w:rFonts w:ascii="Verdana" w:eastAsia="Century Gothic" w:hAnsi="Verdana" w:cs="Century Gothic"/>
          <w:sz w:val="21"/>
          <w:szCs w:val="21"/>
          <w:lang w:val="es-ES"/>
        </w:rPr>
        <w:t>¿El acto administrativo que designa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una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entidad</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pública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como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ejecutora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proyectos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financiados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recursos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del</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Sistema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General 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Regalías,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ya sea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mediante decreto o resolución,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es equivalente 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un contrato,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convenio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interadministrativo,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contrato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interadministrativo,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qué</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tipo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contrato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estatal</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correspondería?</w:t>
      </w:r>
    </w:p>
    <w:p w14:paraId="6C0F277C" w14:textId="77777777" w:rsidR="00A0731F" w:rsidRPr="005B5BEB" w:rsidRDefault="00A0731F" w:rsidP="00A0731F">
      <w:pPr>
        <w:spacing w:after="120" w:line="240" w:lineRule="auto"/>
        <w:ind w:left="709" w:right="709"/>
        <w:jc w:val="both"/>
        <w:rPr>
          <w:rFonts w:ascii="Verdana" w:eastAsia="Century Gothic" w:hAnsi="Verdana" w:cs="Century Gothic"/>
          <w:sz w:val="21"/>
          <w:szCs w:val="21"/>
          <w:lang w:val="es-ES"/>
        </w:rPr>
      </w:pPr>
      <w:r w:rsidRPr="005B5BEB">
        <w:rPr>
          <w:rFonts w:ascii="Verdana" w:eastAsia="Century Gothic" w:hAnsi="Verdana" w:cs="Century Gothic"/>
          <w:sz w:val="21"/>
          <w:szCs w:val="21"/>
          <w:lang w:val="es-ES"/>
        </w:rPr>
        <w:lastRenderedPageBreak/>
        <w:t xml:space="preserve">2. </w:t>
      </w:r>
      <w:r>
        <w:rPr>
          <w:rFonts w:ascii="Verdana" w:eastAsia="Century Gothic" w:hAnsi="Verdana" w:cs="Century Gothic"/>
          <w:sz w:val="21"/>
          <w:szCs w:val="21"/>
          <w:lang w:val="es-ES"/>
        </w:rPr>
        <w:t>[…]</w:t>
      </w:r>
      <w:r w:rsidRPr="005B5BEB">
        <w:rPr>
          <w:rFonts w:ascii="Verdana" w:eastAsia="Century Gothic" w:hAnsi="Verdana" w:cs="Century Gothic"/>
          <w:sz w:val="21"/>
          <w:szCs w:val="21"/>
          <w:lang w:val="es-ES"/>
        </w:rPr>
        <w:t xml:space="preserve"> ¿La aceptación por par</w:t>
      </w:r>
      <w:r>
        <w:rPr>
          <w:rFonts w:ascii="Verdana" w:eastAsia="Century Gothic" w:hAnsi="Verdana" w:cs="Century Gothic"/>
          <w:sz w:val="21"/>
          <w:szCs w:val="21"/>
          <w:lang w:val="es-ES"/>
        </w:rPr>
        <w:t>t</w:t>
      </w:r>
      <w:r w:rsidRPr="005B5BEB">
        <w:rPr>
          <w:rFonts w:ascii="Verdana" w:eastAsia="Century Gothic" w:hAnsi="Verdana" w:cs="Century Gothic"/>
          <w:sz w:val="21"/>
          <w:szCs w:val="21"/>
          <w:lang w:val="es-ES"/>
        </w:rPr>
        <w:t>e de una entidad</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pública de ejecutar un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proyecto financiado con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recursos del</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Sistema General de Regalías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 una entidad territorial es equivalente a un contrato, convenio interadministrativo, contrato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interadministrativo, o a qué tipo de contrato estatal correspondería?</w:t>
      </w:r>
    </w:p>
    <w:p w14:paraId="1C6ABC95" w14:textId="77777777" w:rsidR="00A0731F" w:rsidRPr="005B5BEB" w:rsidRDefault="00A0731F" w:rsidP="00A0731F">
      <w:pPr>
        <w:spacing w:after="120" w:line="240" w:lineRule="auto"/>
        <w:ind w:left="709" w:right="709"/>
        <w:jc w:val="both"/>
        <w:rPr>
          <w:rFonts w:ascii="Verdana" w:eastAsia="Century Gothic" w:hAnsi="Verdana" w:cs="Century Gothic"/>
          <w:sz w:val="21"/>
          <w:szCs w:val="21"/>
          <w:lang w:val="es-ES"/>
        </w:rPr>
      </w:pPr>
      <w:r w:rsidRPr="005B5BEB">
        <w:rPr>
          <w:rFonts w:ascii="Verdana" w:eastAsia="Century Gothic" w:hAnsi="Verdana" w:cs="Century Gothic"/>
          <w:sz w:val="21"/>
          <w:szCs w:val="21"/>
          <w:lang w:val="es-ES"/>
        </w:rPr>
        <w:t xml:space="preserve">3. </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¿Las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entidades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públicas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que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son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designadas ejecutoras de recursos del Sistema General de Regalías en virtud de la Ley 2056</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2020,</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son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se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consideran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contratistas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la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entidad</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territorial</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que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lo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designo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como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ejecutor?</w:t>
      </w:r>
    </w:p>
    <w:p w14:paraId="45D14F42" w14:textId="77777777" w:rsidR="00A0731F" w:rsidRPr="005B5BEB" w:rsidRDefault="00A0731F" w:rsidP="00A0731F">
      <w:pPr>
        <w:spacing w:after="120" w:line="240" w:lineRule="auto"/>
        <w:ind w:left="709" w:right="709"/>
        <w:jc w:val="both"/>
        <w:rPr>
          <w:rFonts w:ascii="Verdana" w:eastAsia="Century Gothic" w:hAnsi="Verdana" w:cs="Century Gothic"/>
          <w:sz w:val="21"/>
          <w:szCs w:val="21"/>
          <w:lang w:val="es-ES"/>
        </w:rPr>
      </w:pPr>
      <w:r w:rsidRPr="005B5BEB">
        <w:rPr>
          <w:rFonts w:ascii="Verdana" w:eastAsia="Century Gothic" w:hAnsi="Verdana" w:cs="Century Gothic"/>
          <w:sz w:val="21"/>
          <w:szCs w:val="21"/>
          <w:lang w:val="es-ES"/>
        </w:rPr>
        <w:t>4. ¿De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acuerdo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el</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marco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legal</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vigente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y</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la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Ley</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2056</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2020,</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una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universidad</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pública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puede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ser</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ejecutora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proyectos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infraestructura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que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impliquen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construcción,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mantenimiento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y/o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mejoramiento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estructuras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físicas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(tales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como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acueductos,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alcantarillados, edificaciones, vías etc.) financiados con recursos del Sistema General 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Regalías?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En</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caso</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de que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la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respuesta a esta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consulta sea afirmativa,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agradecemos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nos</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indiquen el marco normativo que permita dicha ejecución.</w:t>
      </w:r>
    </w:p>
    <w:p w14:paraId="09DA7A7C" w14:textId="77777777" w:rsidR="00A0731F" w:rsidRDefault="00A0731F" w:rsidP="00A0731F">
      <w:pPr>
        <w:spacing w:after="0" w:line="240" w:lineRule="auto"/>
        <w:ind w:left="709" w:right="709"/>
        <w:jc w:val="both"/>
        <w:rPr>
          <w:rFonts w:ascii="Verdana" w:eastAsia="Century Gothic" w:hAnsi="Verdana" w:cs="Century Gothic"/>
          <w:sz w:val="21"/>
          <w:szCs w:val="21"/>
          <w:lang w:val="es-ES"/>
        </w:rPr>
      </w:pPr>
      <w:r w:rsidRPr="005B5BEB">
        <w:rPr>
          <w:rFonts w:ascii="Verdana" w:eastAsia="Century Gothic" w:hAnsi="Verdana" w:cs="Century Gothic"/>
          <w:sz w:val="21"/>
          <w:szCs w:val="21"/>
          <w:lang w:val="es-ES"/>
        </w:rPr>
        <w:t>5. En caso de que la respuesta a la pregunta anterior</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sea negativa, ¿cuál es el marco normativo que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impide 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una</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universidad</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pública actuar como ejecutora de este tipo 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proyectos de</w:t>
      </w:r>
      <w:r>
        <w:rPr>
          <w:rFonts w:ascii="Verdana" w:eastAsia="Century Gothic" w:hAnsi="Verdana" w:cs="Century Gothic"/>
          <w:sz w:val="21"/>
          <w:szCs w:val="21"/>
          <w:lang w:val="es-ES"/>
        </w:rPr>
        <w:t xml:space="preserve"> </w:t>
      </w:r>
      <w:r w:rsidRPr="005B5BEB">
        <w:rPr>
          <w:rFonts w:ascii="Verdana" w:eastAsia="Century Gothic" w:hAnsi="Verdana" w:cs="Century Gothic"/>
          <w:sz w:val="21"/>
          <w:szCs w:val="21"/>
          <w:lang w:val="es-ES"/>
        </w:rPr>
        <w:t>infraestructura?</w:t>
      </w:r>
      <w:r>
        <w:rPr>
          <w:rFonts w:ascii="Verdana" w:eastAsia="Century Gothic" w:hAnsi="Verdana" w:cs="Century Gothic"/>
          <w:sz w:val="21"/>
          <w:szCs w:val="21"/>
          <w:lang w:val="es-ES"/>
        </w:rPr>
        <w:t>”</w:t>
      </w:r>
      <w:r w:rsidRPr="0090408E">
        <w:rPr>
          <w:rFonts w:ascii="Verdana" w:eastAsia="Century Gothic" w:hAnsi="Verdana" w:cs="Century Gothic"/>
          <w:sz w:val="21"/>
          <w:szCs w:val="21"/>
          <w:lang w:val="es-ES"/>
        </w:rPr>
        <w:t>.</w:t>
      </w:r>
    </w:p>
    <w:p w14:paraId="1D99A2EB" w14:textId="77777777" w:rsidR="00A0731F" w:rsidRPr="00990C98" w:rsidRDefault="00A0731F" w:rsidP="00A0731F">
      <w:pPr>
        <w:spacing w:after="0" w:line="276" w:lineRule="auto"/>
        <w:ind w:left="709" w:right="709"/>
        <w:jc w:val="both"/>
        <w:rPr>
          <w:rFonts w:ascii="Verdana" w:eastAsia="Century Gothic" w:hAnsi="Verdana" w:cs="Century Gothic"/>
          <w:lang w:val="es-ES"/>
        </w:rPr>
      </w:pPr>
    </w:p>
    <w:p w14:paraId="2A0BC9DE" w14:textId="77777777" w:rsidR="00A0731F" w:rsidRPr="00A652FF" w:rsidRDefault="00A0731F" w:rsidP="00A0731F">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214C21D7" w14:textId="77777777" w:rsidR="00A0731F" w:rsidRDefault="00A0731F" w:rsidP="00A0731F">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0BB06EE" w14:textId="77777777" w:rsidR="00A0731F" w:rsidRPr="00593A5F" w:rsidRDefault="00A0731F" w:rsidP="00A0731F">
      <w:pPr>
        <w:spacing w:after="0" w:line="276" w:lineRule="auto"/>
        <w:ind w:firstLine="709"/>
        <w:jc w:val="both"/>
        <w:rPr>
          <w:rFonts w:ascii="Verdana" w:eastAsia="Calibri" w:hAnsi="Verdana" w:cs="Arial"/>
          <w:color w:val="000000"/>
          <w:lang w:val="es-ES" w:eastAsia="es-ES"/>
        </w:rPr>
      </w:pPr>
    </w:p>
    <w:p w14:paraId="2205996D" w14:textId="77777777" w:rsidR="00A0731F" w:rsidRPr="00593A5F" w:rsidRDefault="00A0731F" w:rsidP="00A0731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BDBB095" w14:textId="77777777" w:rsidR="00A0731F" w:rsidRPr="00593A5F" w:rsidRDefault="00A0731F" w:rsidP="00A0731F">
      <w:pPr>
        <w:tabs>
          <w:tab w:val="left" w:pos="426"/>
        </w:tabs>
        <w:spacing w:after="0" w:line="276" w:lineRule="auto"/>
        <w:jc w:val="both"/>
        <w:rPr>
          <w:rFonts w:ascii="Verdana" w:eastAsia="Century Gothic" w:hAnsi="Verdana" w:cs="Century Gothic"/>
          <w:lang w:val="es-ES"/>
        </w:rPr>
      </w:pPr>
    </w:p>
    <w:p w14:paraId="46121C22" w14:textId="6C990E27" w:rsidR="00A0731F" w:rsidRPr="00593A5F" w:rsidRDefault="00A0731F" w:rsidP="00A0731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¿cuál es la naturaleza jurídica del acto mediante el cual se designa a la entidad ejecutora en los proyectos adelantados con cargo al Sistema General de Regalías y qué autoridades pueden tener esta calidad?</w:t>
      </w:r>
    </w:p>
    <w:p w14:paraId="3FCE17F9" w14:textId="77777777" w:rsidR="00A0731F" w:rsidRPr="004B140F" w:rsidRDefault="00A0731F" w:rsidP="00A0731F">
      <w:pPr>
        <w:spacing w:after="0" w:line="276" w:lineRule="auto"/>
        <w:jc w:val="both"/>
        <w:rPr>
          <w:rFonts w:ascii="Verdana" w:eastAsia="Calibri" w:hAnsi="Verdana" w:cs="Arial"/>
          <w:color w:val="7030A0"/>
        </w:rPr>
      </w:pPr>
    </w:p>
    <w:p w14:paraId="607A7A34" w14:textId="77777777" w:rsidR="00A0731F" w:rsidRPr="00593A5F" w:rsidRDefault="00A0731F" w:rsidP="00A0731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5AF196C" w14:textId="77777777" w:rsidR="00A0731F" w:rsidRPr="00593A5F" w:rsidRDefault="00A0731F" w:rsidP="00A0731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0731F" w:rsidRPr="00593A5F" w14:paraId="33367E49" w14:textId="77777777" w:rsidTr="00462217">
        <w:trPr>
          <w:jc w:val="center"/>
        </w:trPr>
        <w:tc>
          <w:tcPr>
            <w:tcW w:w="8828" w:type="dxa"/>
            <w:shd w:val="clear" w:color="auto" w:fill="auto"/>
          </w:tcPr>
          <w:p w14:paraId="798197D4" w14:textId="77777777" w:rsidR="008F1BB6" w:rsidRDefault="008F1BB6" w:rsidP="008F1BB6">
            <w:pPr>
              <w:spacing w:line="276" w:lineRule="auto"/>
              <w:jc w:val="both"/>
              <w:rPr>
                <w:rFonts w:ascii="Verdana" w:hAnsi="Verdana"/>
              </w:rPr>
            </w:pPr>
            <w:bookmarkStart w:id="1" w:name="_Hlk171694685"/>
          </w:p>
          <w:p w14:paraId="396F19BA" w14:textId="4A675701" w:rsidR="00A0731F" w:rsidRPr="007A47F9" w:rsidRDefault="00A0731F" w:rsidP="00462217">
            <w:pPr>
              <w:spacing w:after="120" w:line="276" w:lineRule="auto"/>
              <w:jc w:val="both"/>
              <w:rPr>
                <w:rFonts w:ascii="Verdana" w:hAnsi="Verdana"/>
              </w:rPr>
            </w:pPr>
            <w:r>
              <w:rPr>
                <w:rFonts w:ascii="Verdana" w:hAnsi="Verdana"/>
              </w:rPr>
              <w:t>L</w:t>
            </w:r>
            <w:r w:rsidRPr="007A47F9">
              <w:rPr>
                <w:rFonts w:ascii="Verdana" w:hAnsi="Verdana"/>
              </w:rPr>
              <w:t>a designación de la entidad ejecutora en los proyectos adelantados con cargo al Sistema General de Regalías corresponde a un acto administrativo</w:t>
            </w:r>
            <w:r>
              <w:rPr>
                <w:rFonts w:ascii="Verdana" w:hAnsi="Verdana"/>
              </w:rPr>
              <w:t xml:space="preserve">, pues se trata de </w:t>
            </w:r>
            <w:r w:rsidRPr="00AC291C">
              <w:rPr>
                <w:rFonts w:ascii="Verdana" w:eastAsia="Calibri" w:hAnsi="Verdana" w:cs="Arial"/>
              </w:rPr>
              <w:t>una declaración unilateral de voluntad de un órgano del Estado que ejerce función administrativa y que produce efectos jurídicos</w:t>
            </w:r>
            <w:r w:rsidRPr="007A47F9">
              <w:rPr>
                <w:rFonts w:ascii="Verdana" w:hAnsi="Verdana"/>
              </w:rPr>
              <w:t>. Una vez concurren sus elementos de existencia, la validez depende de la competencia de funcionario, la ausencia de desviación de poder, la licitud del objeto, entre otras. Al ser un acto administrativo, la designación no corresponde a un contrato estatal, de forma que ni siquiera tiene la naturaleza de un convenio interadministrativo. En consecuencia, la designación no requiere aceptación de la entidad ejecutora ni ésta se considera contratista de los órganos de que tratan los artículos 35 y 36 de la Ley 2056 de 2020.</w:t>
            </w:r>
          </w:p>
          <w:p w14:paraId="763AD812" w14:textId="0005E9AA" w:rsidR="00A0731F" w:rsidRDefault="00A0731F" w:rsidP="00462217">
            <w:pPr>
              <w:spacing w:after="120" w:line="276" w:lineRule="auto"/>
              <w:ind w:firstLine="595"/>
              <w:jc w:val="both"/>
              <w:rPr>
                <w:rFonts w:ascii="Verdana" w:hAnsi="Verdana"/>
              </w:rPr>
            </w:pPr>
            <w:r w:rsidRPr="007A47F9">
              <w:rPr>
                <w:rFonts w:ascii="Verdana" w:hAnsi="Verdana"/>
              </w:rPr>
              <w:t xml:space="preserve">Conforme al numeral 2 del artículo 1.2.10.1.2 del Decreto 1821 de 2020, las entidades ejecutoras son “[…] aquellas entidades de naturaleza pública, esquemas asociativos territoriales, las señaladas en el parágrafo primero del artículo 84 y el parágrafo primero del artículo 98 de la Ley 2056 de 2020 designadas para la ejecución de proyectos de inversión financiados con recursos del SGR por las instancias competentes para su aprobación, así como los ejecutores de que trata el artículo 54 de la Ley 2056 de 2020”. Estos órganos podrán recibir la designación de que trata el inciso primero del artículo 37 de la Ley 2056 de 2020, por lo que adquieren las </w:t>
            </w:r>
            <w:r w:rsidR="001A20DF" w:rsidRPr="007A47F9">
              <w:rPr>
                <w:rFonts w:ascii="Verdana" w:hAnsi="Verdana"/>
              </w:rPr>
              <w:t>responsabilidades</w:t>
            </w:r>
            <w:r w:rsidRPr="007A47F9">
              <w:rPr>
                <w:rFonts w:ascii="Verdana" w:hAnsi="Verdana"/>
              </w:rPr>
              <w:t xml:space="preserve"> previstas en la norma especial y su reglamento correspondiente.</w:t>
            </w:r>
          </w:p>
          <w:p w14:paraId="1575EB69" w14:textId="77777777" w:rsidR="00A0731F" w:rsidRDefault="00A0731F">
            <w:pPr>
              <w:spacing w:line="276" w:lineRule="auto"/>
              <w:ind w:firstLine="595"/>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designación de los ejecutores </w:t>
            </w:r>
            <w:r>
              <w:rPr>
                <w:rFonts w:ascii="Verdana" w:eastAsia="Calibri" w:hAnsi="Verdana" w:cs="Arial"/>
                <w:bCs/>
                <w:color w:val="000000" w:themeColor="text1"/>
              </w:rPr>
              <w:t>en los proyectos adelantados con cargo al Sistema General de Regalías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Por ello, </w:t>
            </w:r>
            <w:r w:rsidRPr="00301910">
              <w:rPr>
                <w:rFonts w:ascii="Verdana" w:hAnsi="Verdana" w:cs="Arial"/>
                <w:lang w:eastAsia="es-ES"/>
              </w:rPr>
              <w:t xml:space="preserve">cada entidad definirá la forma de adelantar </w:t>
            </w:r>
            <w:r>
              <w:rPr>
                <w:rFonts w:ascii="Verdana" w:hAnsi="Verdana" w:cs="Arial"/>
                <w:lang w:eastAsia="es-ES"/>
              </w:rPr>
              <w:t>la designación de los ejecutores</w:t>
            </w:r>
            <w:r w:rsidRPr="00301910">
              <w:rPr>
                <w:rFonts w:ascii="Verdana" w:hAnsi="Verdana" w:cs="Arial"/>
                <w:lang w:eastAsia="es-ES"/>
              </w:rPr>
              <w:t xml:space="preserve">, </w:t>
            </w:r>
            <w:r>
              <w:rPr>
                <w:rFonts w:ascii="Verdana" w:hAnsi="Verdana" w:cs="Arial"/>
                <w:lang w:eastAsia="es-ES"/>
              </w:rPr>
              <w:t xml:space="preserve">por lo que </w:t>
            </w:r>
            <w:r>
              <w:rPr>
                <w:rFonts w:ascii="Verdana" w:hAnsi="Verdana" w:cs="Arial"/>
                <w:lang w:eastAsia="es-ES"/>
              </w:rPr>
              <w:lastRenderedPageBreak/>
              <w:t>cualquier inquietud adicional que exceda la esfera de lo contractual debe ser consultada con el DNP.</w:t>
            </w:r>
          </w:p>
          <w:p w14:paraId="4A803322" w14:textId="77777777" w:rsidR="00A0731F" w:rsidRPr="004474BA" w:rsidRDefault="00A0731F" w:rsidP="00462217">
            <w:pPr>
              <w:spacing w:line="276" w:lineRule="auto"/>
              <w:ind w:firstLine="595"/>
              <w:jc w:val="both"/>
              <w:rPr>
                <w:rFonts w:ascii="Verdana" w:eastAsia="Times New Roman" w:hAnsi="Verdana" w:cs="Arial"/>
                <w:color w:val="000000"/>
                <w:bdr w:val="none" w:sz="0" w:space="0" w:color="auto" w:frame="1"/>
                <w:shd w:val="clear" w:color="auto" w:fill="FFFFFF"/>
                <w:lang w:eastAsia="es-ES_tradnl"/>
              </w:rPr>
            </w:pPr>
          </w:p>
        </w:tc>
      </w:tr>
    </w:tbl>
    <w:p w14:paraId="4C9795AE" w14:textId="77777777" w:rsidR="00A0731F" w:rsidRPr="00593A5F" w:rsidRDefault="00A0731F" w:rsidP="00A0731F">
      <w:pPr>
        <w:tabs>
          <w:tab w:val="left" w:pos="142"/>
          <w:tab w:val="left" w:pos="284"/>
        </w:tabs>
        <w:spacing w:after="0" w:line="276" w:lineRule="auto"/>
        <w:jc w:val="both"/>
        <w:rPr>
          <w:rFonts w:ascii="Verdana" w:eastAsia="Century Gothic" w:hAnsi="Verdana" w:cs="Century Gothic"/>
          <w:b/>
          <w:bCs/>
          <w:lang w:val="es-ES"/>
        </w:rPr>
      </w:pPr>
    </w:p>
    <w:bookmarkEnd w:id="1"/>
    <w:p w14:paraId="6E5601E9" w14:textId="77777777" w:rsidR="00A0731F" w:rsidRPr="00593A5F" w:rsidRDefault="00A0731F" w:rsidP="00A0731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4942F58" w14:textId="77777777" w:rsidR="00A0731F" w:rsidRPr="00593A5F" w:rsidRDefault="00A0731F" w:rsidP="00A0731F">
      <w:pPr>
        <w:spacing w:after="0" w:line="276" w:lineRule="auto"/>
        <w:jc w:val="both"/>
        <w:rPr>
          <w:rFonts w:ascii="Verdana" w:eastAsia="Calibri" w:hAnsi="Verdana" w:cs="Arial"/>
          <w:color w:val="7030A0"/>
          <w:lang w:val="es-ES"/>
        </w:rPr>
      </w:pPr>
    </w:p>
    <w:p w14:paraId="73E92BCA" w14:textId="77777777" w:rsidR="00A0731F" w:rsidRDefault="00A0731F" w:rsidP="00A0731F">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5341E914" w14:textId="77777777" w:rsidR="00A0731F" w:rsidRDefault="00A0731F" w:rsidP="00A0731F">
      <w:pPr>
        <w:spacing w:after="0" w:line="276" w:lineRule="auto"/>
        <w:jc w:val="both"/>
        <w:rPr>
          <w:rFonts w:ascii="Verdana" w:eastAsia="Calibri" w:hAnsi="Verdana" w:cs="Arial"/>
          <w:lang w:val="es-ES"/>
        </w:rPr>
      </w:pPr>
    </w:p>
    <w:p w14:paraId="2297987B" w14:textId="77777777" w:rsidR="00A0731F" w:rsidRPr="0055620C" w:rsidRDefault="00A0731F" w:rsidP="00A0731F">
      <w:pPr>
        <w:tabs>
          <w:tab w:val="left" w:pos="426"/>
        </w:tabs>
        <w:spacing w:after="0" w:line="276" w:lineRule="auto"/>
        <w:jc w:val="both"/>
        <w:rPr>
          <w:rFonts w:ascii="Verdana" w:eastAsia="Calibri" w:hAnsi="Verdana" w:cs="Arial"/>
          <w:lang w:val="es-ES_tradnl"/>
        </w:rPr>
      </w:pPr>
      <w:r>
        <w:rPr>
          <w:rFonts w:ascii="Verdana" w:eastAsia="Calibri" w:hAnsi="Verdana" w:cs="Arial"/>
          <w:lang w:val="es-ES_tradnl"/>
        </w:rPr>
        <w:t xml:space="preserve">i. </w:t>
      </w:r>
      <w:r w:rsidRPr="0055620C">
        <w:rPr>
          <w:rFonts w:ascii="Verdana" w:eastAsia="Calibri" w:hAnsi="Verdana" w:cs="Arial"/>
          <w:lang w:val="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w:t>
      </w:r>
      <w:r>
        <w:rPr>
          <w:rFonts w:ascii="Verdana" w:eastAsia="Calibri" w:hAnsi="Verdana" w:cs="Arial"/>
          <w:lang w:val="es-ES_tradnl"/>
        </w:rPr>
        <w:t xml:space="preserve"> lo siguiente</w:t>
      </w:r>
      <w:r w:rsidRPr="0055620C">
        <w:rPr>
          <w:rFonts w:ascii="Verdana" w:eastAsia="Calibri" w:hAnsi="Verdana" w:cs="Arial"/>
          <w:lang w:val="es-ES_tradnl"/>
        </w:rPr>
        <w:t>:</w:t>
      </w:r>
    </w:p>
    <w:p w14:paraId="2CC175F6" w14:textId="77777777" w:rsidR="00A0731F" w:rsidRPr="0055620C" w:rsidRDefault="00A0731F" w:rsidP="00A0731F">
      <w:pPr>
        <w:tabs>
          <w:tab w:val="left" w:pos="426"/>
        </w:tabs>
        <w:spacing w:after="0"/>
        <w:jc w:val="both"/>
        <w:rPr>
          <w:rFonts w:ascii="Verdana" w:eastAsia="Calibri" w:hAnsi="Verdana" w:cs="Arial"/>
          <w:lang w:val="es-ES_tradnl"/>
        </w:rPr>
      </w:pPr>
    </w:p>
    <w:p w14:paraId="14D71897" w14:textId="77777777" w:rsidR="00A0731F" w:rsidRPr="0055620C" w:rsidRDefault="00A0731F" w:rsidP="00A0731F">
      <w:pPr>
        <w:spacing w:after="120" w:line="240" w:lineRule="auto"/>
        <w:ind w:left="709" w:right="709"/>
        <w:jc w:val="both"/>
        <w:rPr>
          <w:rFonts w:ascii="Verdana" w:eastAsia="Calibri" w:hAnsi="Verdana" w:cs="Arial"/>
          <w:sz w:val="21"/>
          <w:szCs w:val="21"/>
          <w:lang w:val="es-ES_tradnl"/>
        </w:rPr>
      </w:pPr>
      <w:r>
        <w:rPr>
          <w:rFonts w:ascii="Verdana" w:eastAsia="Calibri" w:hAnsi="Verdana" w:cs="Arial"/>
          <w:sz w:val="21"/>
          <w:szCs w:val="21"/>
          <w:lang w:val="es-ES_tradnl"/>
        </w:rPr>
        <w:t>“</w:t>
      </w:r>
      <w:r w:rsidRPr="0055620C">
        <w:rPr>
          <w:rFonts w:ascii="Verdana" w:eastAsia="Calibri" w:hAnsi="Verdana" w:cs="Arial"/>
          <w:sz w:val="21"/>
          <w:szCs w:val="21"/>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1AD71181" w14:textId="77777777" w:rsidR="00A0731F" w:rsidRPr="0055620C" w:rsidRDefault="00A0731F" w:rsidP="00A0731F">
      <w:pPr>
        <w:spacing w:after="0" w:line="240" w:lineRule="auto"/>
        <w:ind w:left="709" w:right="709"/>
        <w:jc w:val="both"/>
        <w:rPr>
          <w:rFonts w:ascii="Verdana" w:eastAsia="Calibri" w:hAnsi="Verdana" w:cs="Arial"/>
          <w:sz w:val="21"/>
          <w:szCs w:val="21"/>
          <w:lang w:val="es-ES_tradnl"/>
        </w:rPr>
      </w:pPr>
      <w:r w:rsidRPr="0055620C">
        <w:rPr>
          <w:rFonts w:ascii="Verdana" w:eastAsia="Calibri" w:hAnsi="Verdana" w:cs="Arial"/>
          <w:sz w:val="21"/>
          <w:szCs w:val="21"/>
          <w:lang w:val="es-ES_tradnl"/>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Pr>
          <w:rFonts w:ascii="Verdana" w:eastAsia="Calibri" w:hAnsi="Verdana" w:cs="Arial"/>
          <w:sz w:val="21"/>
          <w:szCs w:val="21"/>
          <w:lang w:val="es-ES_tradnl"/>
        </w:rPr>
        <w:t>”</w:t>
      </w:r>
      <w:r w:rsidRPr="0055620C">
        <w:rPr>
          <w:rFonts w:ascii="Verdana" w:eastAsia="Calibri" w:hAnsi="Verdana" w:cs="Arial"/>
          <w:sz w:val="21"/>
          <w:szCs w:val="21"/>
          <w:lang w:val="es-ES_tradnl"/>
        </w:rPr>
        <w:t>.</w:t>
      </w:r>
    </w:p>
    <w:p w14:paraId="47C741A1" w14:textId="77777777" w:rsidR="00A0731F" w:rsidRPr="0055620C" w:rsidRDefault="00A0731F" w:rsidP="00A0731F">
      <w:pPr>
        <w:spacing w:after="0" w:line="276" w:lineRule="auto"/>
        <w:ind w:left="709" w:right="709"/>
        <w:jc w:val="both"/>
        <w:rPr>
          <w:rFonts w:ascii="Verdana" w:eastAsia="Calibri" w:hAnsi="Verdana" w:cs="Arial"/>
          <w:lang w:val="es-ES_tradnl"/>
        </w:rPr>
      </w:pPr>
    </w:p>
    <w:p w14:paraId="422D8711" w14:textId="77777777" w:rsidR="00A0731F" w:rsidRPr="0055620C" w:rsidRDefault="00A0731F" w:rsidP="00A0731F">
      <w:pPr>
        <w:spacing w:after="120" w:line="276" w:lineRule="auto"/>
        <w:ind w:firstLine="709"/>
        <w:jc w:val="both"/>
        <w:rPr>
          <w:rFonts w:ascii="Verdana" w:hAnsi="Verdana" w:cs="Arial"/>
          <w:noProof/>
          <w:lang w:val="es-ES_tradnl"/>
        </w:rPr>
      </w:pPr>
      <w:r w:rsidRPr="0055620C">
        <w:rPr>
          <w:rFonts w:ascii="Verdana" w:hAnsi="Verdana" w:cs="Arial"/>
          <w:noProof/>
          <w:lang w:val="es-ES_tradnl"/>
        </w:rPr>
        <w:t xml:space="preserve">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w:t>
      </w:r>
      <w:r w:rsidRPr="0055620C">
        <w:rPr>
          <w:rFonts w:ascii="Verdana" w:hAnsi="Verdana" w:cs="Arial"/>
          <w:noProof/>
          <w:lang w:val="es-ES_tradnl"/>
        </w:rPr>
        <w:lastRenderedPageBreak/>
        <w:t>ingresos nacionales como los impuestos, dado que estas carecen del carácter impositivo de los tributos</w:t>
      </w:r>
      <w:r w:rsidRPr="0055620C">
        <w:rPr>
          <w:rFonts w:ascii="Verdana" w:hAnsi="Verdana" w:cs="Arial"/>
          <w:noProof/>
          <w:vertAlign w:val="superscript"/>
          <w:lang w:val="es-ES_tradnl"/>
        </w:rPr>
        <w:footnoteReference w:id="2"/>
      </w:r>
      <w:r w:rsidRPr="0055620C">
        <w:rPr>
          <w:rFonts w:ascii="Verdana" w:hAnsi="Verdana" w:cs="Arial"/>
          <w:noProof/>
          <w:lang w:val="es-ES_tradnl"/>
        </w:rPr>
        <w:t xml:space="preserve">. </w:t>
      </w:r>
    </w:p>
    <w:p w14:paraId="67A37F40" w14:textId="77777777" w:rsidR="00A0731F" w:rsidRPr="0055620C" w:rsidRDefault="00A0731F" w:rsidP="00A0731F">
      <w:pPr>
        <w:spacing w:after="120" w:line="276" w:lineRule="auto"/>
        <w:ind w:firstLine="709"/>
        <w:jc w:val="both"/>
        <w:rPr>
          <w:rFonts w:ascii="Verdana" w:hAnsi="Verdana" w:cs="Arial"/>
          <w:noProof/>
          <w:lang w:val="es-ES_tradnl"/>
        </w:rPr>
      </w:pPr>
      <w:r w:rsidRPr="0055620C">
        <w:rPr>
          <w:rFonts w:ascii="Verdana" w:hAnsi="Verdana" w:cs="Arial"/>
          <w:noProof/>
          <w:lang w:val="es-ES_tradnl"/>
        </w:rPr>
        <w:t xml:space="preserve">El artículo 1 del Acto Legislativo 05 de 2019 modificó el artículo 361 de la Constitución, disponiendo que </w:t>
      </w:r>
      <w:r>
        <w:rPr>
          <w:rFonts w:ascii="Verdana" w:hAnsi="Verdana" w:cs="Arial"/>
          <w:noProof/>
          <w:lang w:val="es-ES_tradnl"/>
        </w:rPr>
        <w:t>“</w:t>
      </w:r>
      <w:r w:rsidRPr="0055620C">
        <w:rPr>
          <w:rFonts w:ascii="Verdana" w:hAnsi="Verdana" w:cs="Arial"/>
          <w:noProof/>
          <w:lang w:val="es-ES_tradnl"/>
        </w:rPr>
        <w:t>los ingresos corrientes del Sistema General de Regalías se destinarán a la financiación de proyectos de inversión que contribuyan al desarrollo social, económico y ambiental de las entidades territoriales</w:t>
      </w:r>
      <w:r>
        <w:rPr>
          <w:rFonts w:ascii="Verdana" w:hAnsi="Verdana" w:cs="Arial"/>
          <w:noProof/>
          <w:lang w:val="es-ES_tradnl"/>
        </w:rPr>
        <w:t>”</w:t>
      </w:r>
      <w:r w:rsidRPr="0055620C">
        <w:rPr>
          <w:rFonts w:ascii="Verdana" w:hAnsi="Verdana" w:cs="Arial"/>
          <w:noProof/>
          <w:lang w:val="es-ES_tradnl"/>
        </w:rPr>
        <w:t xml:space="preserve">. </w:t>
      </w:r>
    </w:p>
    <w:p w14:paraId="06559F8F" w14:textId="77777777" w:rsidR="00A0731F" w:rsidRPr="0055620C" w:rsidRDefault="00A0731F" w:rsidP="00A0731F">
      <w:pPr>
        <w:spacing w:after="0" w:line="276" w:lineRule="auto"/>
        <w:ind w:firstLine="709"/>
        <w:jc w:val="both"/>
        <w:rPr>
          <w:rFonts w:ascii="Verdana" w:hAnsi="Verdana" w:cs="Arial"/>
        </w:rPr>
      </w:pPr>
      <w:r w:rsidRPr="0055620C">
        <w:rPr>
          <w:rFonts w:ascii="Verdana" w:hAnsi="Verdana" w:cs="Arial"/>
          <w:noProof/>
          <w:lang w:val="es-ES_tradnl"/>
        </w:rPr>
        <w:t xml:space="preserve">Con fundamento en los artículos 360 y 361 de la Constitución Política, se expidió la Ley 2056 de 2020, por medio de la cual se deroga, entre otras, la Ley 1530 de 2012, y </w:t>
      </w:r>
      <w:r>
        <w:rPr>
          <w:rFonts w:ascii="Verdana" w:hAnsi="Verdana" w:cs="Arial"/>
          <w:lang w:val="es-ES_tradnl"/>
        </w:rPr>
        <w:t>“</w:t>
      </w:r>
      <w:r w:rsidRPr="0055620C">
        <w:rPr>
          <w:rFonts w:ascii="Verdana" w:hAnsi="Verdana" w:cs="Arial"/>
        </w:rPr>
        <w:t>Por la cual se regula la organización y el funcionamiento del Sistema General de Regalías</w:t>
      </w:r>
      <w:r>
        <w:rPr>
          <w:rFonts w:ascii="Verdana" w:hAnsi="Verdana" w:cs="Arial"/>
          <w:noProof/>
          <w:lang w:val="es-ES_tradnl"/>
        </w:rPr>
        <w:t>”</w:t>
      </w:r>
      <w:r w:rsidRPr="0055620C">
        <w:rPr>
          <w:rFonts w:ascii="Verdana" w:hAnsi="Verdana" w:cs="Arial"/>
        </w:rPr>
        <w:t xml:space="preserve">. En este sentido, la exposición de motivos de esta Ley expresó que: </w:t>
      </w:r>
    </w:p>
    <w:p w14:paraId="1DD6D43E" w14:textId="77777777" w:rsidR="00A0731F" w:rsidRPr="0055620C" w:rsidRDefault="00A0731F" w:rsidP="00A0731F">
      <w:pPr>
        <w:spacing w:after="0" w:line="276" w:lineRule="auto"/>
        <w:jc w:val="both"/>
        <w:rPr>
          <w:rFonts w:ascii="Verdana" w:hAnsi="Verdana" w:cs="Arial"/>
        </w:rPr>
      </w:pPr>
    </w:p>
    <w:p w14:paraId="55991734" w14:textId="77777777" w:rsidR="00A0731F" w:rsidRPr="0055620C" w:rsidRDefault="00A0731F" w:rsidP="00A0731F">
      <w:pPr>
        <w:spacing w:after="120" w:line="240" w:lineRule="auto"/>
        <w:ind w:left="709" w:right="709"/>
        <w:jc w:val="both"/>
        <w:rPr>
          <w:rFonts w:ascii="Verdana" w:hAnsi="Verdana" w:cs="Arial"/>
          <w:sz w:val="21"/>
          <w:szCs w:val="21"/>
        </w:rPr>
      </w:pPr>
      <w:r>
        <w:rPr>
          <w:rFonts w:ascii="Verdana" w:hAnsi="Verdana" w:cs="Arial"/>
          <w:sz w:val="21"/>
          <w:szCs w:val="21"/>
        </w:rPr>
        <w:t>“</w:t>
      </w:r>
      <w:r w:rsidRPr="0055620C">
        <w:rPr>
          <w:rFonts w:ascii="Verdana" w:hAnsi="Verdana" w:cs="Arial"/>
          <w:sz w:val="21"/>
          <w:szCs w:val="21"/>
        </w:rPr>
        <w:t xml:space="preserve">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w:t>
      </w:r>
    </w:p>
    <w:p w14:paraId="6D1C0712" w14:textId="77777777" w:rsidR="00A0731F" w:rsidRDefault="00A0731F" w:rsidP="00A0731F">
      <w:pPr>
        <w:pStyle w:val="Prrafodelista"/>
        <w:numPr>
          <w:ilvl w:val="0"/>
          <w:numId w:val="18"/>
        </w:numPr>
        <w:spacing w:after="120" w:line="240" w:lineRule="auto"/>
        <w:ind w:left="709" w:right="709" w:firstLine="0"/>
        <w:jc w:val="both"/>
        <w:rPr>
          <w:rFonts w:ascii="Verdana" w:hAnsi="Verdana" w:cs="Arial"/>
          <w:sz w:val="21"/>
          <w:szCs w:val="21"/>
        </w:rPr>
      </w:pPr>
      <w:r w:rsidRPr="0055620C">
        <w:rPr>
          <w:rFonts w:ascii="Verdana" w:hAnsi="Verdana" w:cs="Arial"/>
          <w:sz w:val="21"/>
          <w:szCs w:val="21"/>
        </w:rPr>
        <w:t xml:space="preserve">Incentivar en el territorio nacional el desarrollo de actividades de exploración y explotación de recursos naturales no renovables, en el marco de la normativa vigente. </w:t>
      </w:r>
    </w:p>
    <w:p w14:paraId="67482DEE" w14:textId="77777777" w:rsidR="00A0731F" w:rsidRPr="0015567A" w:rsidRDefault="00A0731F" w:rsidP="00A0731F">
      <w:pPr>
        <w:pStyle w:val="Prrafodelista"/>
        <w:spacing w:after="120" w:line="240" w:lineRule="auto"/>
        <w:ind w:left="709" w:right="709"/>
        <w:jc w:val="both"/>
        <w:rPr>
          <w:rFonts w:ascii="Verdana" w:hAnsi="Verdana" w:cs="Arial"/>
          <w:sz w:val="12"/>
          <w:szCs w:val="12"/>
        </w:rPr>
      </w:pPr>
    </w:p>
    <w:p w14:paraId="5716EEFB" w14:textId="77777777" w:rsidR="00A0731F" w:rsidRPr="0015567A" w:rsidRDefault="00A0731F" w:rsidP="00A0731F">
      <w:pPr>
        <w:pStyle w:val="Prrafodelista"/>
        <w:numPr>
          <w:ilvl w:val="0"/>
          <w:numId w:val="18"/>
        </w:numPr>
        <w:spacing w:after="0" w:line="240" w:lineRule="auto"/>
        <w:ind w:left="709" w:right="709" w:firstLine="0"/>
        <w:jc w:val="both"/>
        <w:rPr>
          <w:rFonts w:ascii="Verdana" w:hAnsi="Verdana" w:cs="Arial"/>
          <w:sz w:val="21"/>
          <w:szCs w:val="21"/>
        </w:rPr>
      </w:pPr>
      <w:r w:rsidRPr="0015567A">
        <w:rPr>
          <w:rFonts w:ascii="Verdana" w:hAnsi="Verdana" w:cs="Arial"/>
          <w:sz w:val="21"/>
          <w:szCs w:val="21"/>
        </w:rPr>
        <w:t xml:space="preserve">Fomentar la estructuración y aprobación de proyectos de inversión que permitan la implementación del Acuerdo Final para la </w:t>
      </w:r>
      <w:r w:rsidRPr="0015567A">
        <w:rPr>
          <w:rFonts w:ascii="Verdana" w:hAnsi="Verdana" w:cs="Arial"/>
          <w:sz w:val="21"/>
          <w:szCs w:val="21"/>
        </w:rPr>
        <w:lastRenderedPageBreak/>
        <w:t>Terminación del Conflicto y la Construcción de una Paz Estable y Duradera, en los términos establecidos en las normas vigentes”</w:t>
      </w:r>
      <w:r w:rsidRPr="0055620C">
        <w:rPr>
          <w:rStyle w:val="Refdenotaalpie"/>
          <w:rFonts w:ascii="Verdana" w:hAnsi="Verdana" w:cs="Arial"/>
          <w:sz w:val="21"/>
          <w:szCs w:val="21"/>
        </w:rPr>
        <w:footnoteReference w:id="3"/>
      </w:r>
      <w:r w:rsidRPr="0015567A">
        <w:rPr>
          <w:rFonts w:ascii="Verdana" w:hAnsi="Verdana" w:cs="Arial"/>
          <w:sz w:val="21"/>
          <w:szCs w:val="21"/>
        </w:rPr>
        <w:t xml:space="preserve">. </w:t>
      </w:r>
    </w:p>
    <w:p w14:paraId="25DB0620" w14:textId="77777777" w:rsidR="00A0731F" w:rsidRPr="0055620C" w:rsidRDefault="00A0731F" w:rsidP="00A0731F">
      <w:pPr>
        <w:pStyle w:val="Prrafodelista"/>
        <w:spacing w:before="120" w:line="276" w:lineRule="auto"/>
        <w:ind w:left="709" w:right="709"/>
        <w:jc w:val="both"/>
        <w:rPr>
          <w:rFonts w:ascii="Verdana" w:hAnsi="Verdana" w:cs="Arial"/>
        </w:rPr>
      </w:pPr>
    </w:p>
    <w:p w14:paraId="5E86C587" w14:textId="77777777" w:rsidR="00A0731F" w:rsidRDefault="00A0731F" w:rsidP="00A0731F">
      <w:pPr>
        <w:spacing w:after="0" w:line="276" w:lineRule="auto"/>
        <w:ind w:firstLine="709"/>
        <w:jc w:val="both"/>
        <w:rPr>
          <w:rFonts w:ascii="Verdana" w:hAnsi="Verdana" w:cs="Arial"/>
          <w:noProof/>
          <w:lang w:val="es-ES_tradnl"/>
        </w:rPr>
      </w:pPr>
      <w:r w:rsidRPr="0055620C">
        <w:rPr>
          <w:rFonts w:ascii="Verdana" w:hAnsi="Verdana" w:cs="Arial"/>
          <w:noProof/>
          <w:lang w:val="es-ES_tradnl"/>
        </w:rPr>
        <w:t>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Pr="0055620C">
        <w:rPr>
          <w:rFonts w:ascii="Verdana" w:hAnsi="Verdana" w:cs="Arial"/>
          <w:noProof/>
          <w:vertAlign w:val="superscript"/>
          <w:lang w:val="es-ES_tradnl"/>
        </w:rPr>
        <w:footnoteReference w:id="4"/>
      </w:r>
      <w:r w:rsidRPr="0055620C">
        <w:rPr>
          <w:rFonts w:ascii="Verdana" w:hAnsi="Verdana" w:cs="Arial"/>
          <w:noProof/>
          <w:lang w:val="es-ES_tradnl"/>
        </w:rPr>
        <w:t xml:space="preserve">. El artículo 3 establece los organos del Estado que hacen parte del SGR, como son </w:t>
      </w:r>
      <w:r w:rsidRPr="0055620C">
        <w:rPr>
          <w:rFonts w:ascii="Verdana" w:hAnsi="Verdana" w:cs="Arial"/>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55620C">
        <w:rPr>
          <w:rFonts w:ascii="Verdana" w:hAnsi="Verdana" w:cs="Arial"/>
          <w:noProof/>
          <w:lang w:val="es-ES_tradnl"/>
        </w:rPr>
        <w:t xml:space="preserve"> incluyendo dentro de los mismos al Ministerio de Ciencia, Tenoclogía e Innovación</w:t>
      </w:r>
      <w:r w:rsidRPr="0055620C">
        <w:rPr>
          <w:rFonts w:ascii="Verdana" w:hAnsi="Verdana" w:cs="Arial"/>
          <w:noProof/>
          <w:vertAlign w:val="superscript"/>
          <w:lang w:val="es-ES_tradnl"/>
        </w:rPr>
        <w:footnoteReference w:id="5"/>
      </w:r>
      <w:r w:rsidRPr="0055620C">
        <w:rPr>
          <w:rFonts w:ascii="Verdana" w:hAnsi="Verdana" w:cs="Arial"/>
          <w:noProof/>
          <w:lang w:val="es-ES_tradnl"/>
        </w:rPr>
        <w:t>. Estas entidades deben ejercer sus competencias, de acuerdo a lo prescrito en dicha ley y los lineamientos que expida la Comisión Rectora.</w:t>
      </w:r>
      <w:r>
        <w:rPr>
          <w:rFonts w:ascii="Verdana" w:hAnsi="Verdana" w:cs="Arial"/>
          <w:noProof/>
          <w:lang w:val="es-ES_tradnl"/>
        </w:rPr>
        <w:t xml:space="preserve"> </w:t>
      </w:r>
      <w:r w:rsidRPr="0055620C">
        <w:rPr>
          <w:rFonts w:ascii="Verdana" w:hAnsi="Verdana" w:cs="Arial"/>
          <w:noProof/>
        </w:rPr>
        <w:t>E</w:t>
      </w:r>
      <w:r w:rsidRPr="0055620C">
        <w:rPr>
          <w:rFonts w:ascii="Verdana" w:hAnsi="Verdana" w:cs="Arial"/>
          <w:noProof/>
          <w:lang w:val="es-ES_tradnl"/>
        </w:rPr>
        <w:t xml:space="preserve">n el marco de la Ley 2056 de 2020, tambien se expidió el Decreto 1821 de 2020, </w:t>
      </w:r>
      <w:r>
        <w:rPr>
          <w:rFonts w:ascii="Verdana" w:hAnsi="Verdana" w:cs="Arial"/>
          <w:noProof/>
          <w:lang w:val="es-ES_tradnl"/>
        </w:rPr>
        <w:t>“</w:t>
      </w:r>
      <w:r w:rsidRPr="0055620C">
        <w:rPr>
          <w:rStyle w:val="Textoennegrita"/>
          <w:rFonts w:ascii="Verdana" w:hAnsi="Verdana" w:cs="Arial"/>
          <w:b w:val="0"/>
          <w:bCs w:val="0"/>
          <w:shd w:val="clear" w:color="auto" w:fill="FFFFFF"/>
        </w:rPr>
        <w:t>Por el cual se expide el Decreto Único Reglamentario del Sistema General de Regalías</w:t>
      </w:r>
      <w:r>
        <w:rPr>
          <w:rFonts w:ascii="Verdana" w:hAnsi="Verdana" w:cs="Arial"/>
          <w:noProof/>
          <w:lang w:val="es-ES_tradnl"/>
        </w:rPr>
        <w:t>”</w:t>
      </w:r>
      <w:r w:rsidRPr="0055620C">
        <w:rPr>
          <w:rFonts w:ascii="Verdana" w:hAnsi="Verdana" w:cs="Arial"/>
          <w:noProof/>
          <w:lang w:val="es-ES_tradnl"/>
        </w:rPr>
        <w:t xml:space="preserve">, reglamento que regula la ejecución de los proyectos. </w:t>
      </w:r>
    </w:p>
    <w:p w14:paraId="7354A5F4" w14:textId="77777777" w:rsidR="00A0731F" w:rsidRDefault="00A0731F" w:rsidP="00A0731F">
      <w:pPr>
        <w:spacing w:after="0" w:line="276" w:lineRule="auto"/>
        <w:ind w:firstLine="709"/>
        <w:jc w:val="both"/>
        <w:rPr>
          <w:rFonts w:ascii="Verdana" w:hAnsi="Verdana" w:cs="Arial"/>
          <w:noProof/>
          <w:lang w:val="es-ES_tradnl"/>
        </w:rPr>
      </w:pPr>
    </w:p>
    <w:p w14:paraId="116F80A6" w14:textId="77777777" w:rsidR="00A0731F" w:rsidRPr="0015567A" w:rsidRDefault="00A0731F" w:rsidP="00A0731F">
      <w:pPr>
        <w:spacing w:after="120" w:line="276" w:lineRule="auto"/>
        <w:jc w:val="both"/>
        <w:rPr>
          <w:rFonts w:ascii="Verdana" w:hAnsi="Verdana" w:cs="Arial"/>
          <w:noProof/>
        </w:rPr>
      </w:pPr>
      <w:r>
        <w:rPr>
          <w:rFonts w:ascii="Verdana" w:hAnsi="Verdana" w:cs="Arial"/>
          <w:noProof/>
          <w:lang w:val="es-ES_tradnl"/>
        </w:rPr>
        <w:t xml:space="preserve">ii. </w:t>
      </w:r>
      <w:r w:rsidRPr="0015567A">
        <w:rPr>
          <w:rFonts w:ascii="Verdana" w:hAnsi="Verdana" w:cs="Arial"/>
          <w:noProof/>
          <w:lang w:val="es-ES_tradnl"/>
        </w:rPr>
        <w:t xml:space="preserve">En </w:t>
      </w:r>
      <w:r w:rsidRPr="0015567A">
        <w:rPr>
          <w:rFonts w:ascii="Verdana" w:hAnsi="Verdana" w:cs="Arial"/>
          <w:noProof/>
        </w:rPr>
        <w:t xml:space="preserve">el Título IV, Capítulo I, la Ley 2056 de 2020 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w:t>
      </w:r>
      <w:r w:rsidRPr="0015567A">
        <w:rPr>
          <w:rFonts w:ascii="Verdana" w:hAnsi="Verdana" w:cs="Arial"/>
          <w:noProof/>
        </w:rPr>
        <w:lastRenderedPageBreak/>
        <w:t xml:space="preserve">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7DA70F48" w14:textId="77777777" w:rsidR="00A0731F" w:rsidRPr="0015567A" w:rsidRDefault="00A0731F" w:rsidP="00A0731F">
      <w:pPr>
        <w:spacing w:after="120" w:line="276" w:lineRule="auto"/>
        <w:ind w:firstLine="708"/>
        <w:jc w:val="both"/>
        <w:rPr>
          <w:rFonts w:ascii="Verdana" w:hAnsi="Verdana" w:cs="Arial"/>
          <w:noProof/>
        </w:rPr>
      </w:pPr>
      <w:r w:rsidRPr="0015567A">
        <w:rPr>
          <w:rFonts w:ascii="Verdana" w:hAnsi="Verdana" w:cs="Arial"/>
          <w:noProof/>
        </w:rPr>
        <w:t>E</w:t>
      </w:r>
      <w:r w:rsidRPr="0015567A">
        <w:rPr>
          <w:rFonts w:ascii="Verdana" w:hAnsi="Verdana" w:cs="Arial"/>
          <w:noProof/>
          <w:lang w:val="es-ES_tradnl"/>
        </w:rPr>
        <w:t>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r w:rsidRPr="0015567A">
        <w:rPr>
          <w:rStyle w:val="Refdenotaalpie"/>
          <w:rFonts w:ascii="Verdana" w:hAnsi="Verdana" w:cs="Arial"/>
          <w:noProof/>
          <w:lang w:val="es-ES_tradnl"/>
        </w:rPr>
        <w:footnoteReference w:id="6"/>
      </w:r>
      <w:r w:rsidRPr="0015567A">
        <w:rPr>
          <w:rFonts w:ascii="Verdana" w:hAnsi="Verdana" w:cs="Arial"/>
          <w:noProof/>
          <w:lang w:val="es-ES_tradnl"/>
        </w:rPr>
        <w:t>.</w:t>
      </w:r>
      <w:r w:rsidRPr="0015567A">
        <w:rPr>
          <w:rFonts w:ascii="Verdana" w:hAnsi="Verdana" w:cs="Arial"/>
          <w:noProof/>
        </w:rPr>
        <w:t xml:space="preserve"> </w:t>
      </w:r>
    </w:p>
    <w:p w14:paraId="0D023917" w14:textId="77777777" w:rsidR="00A0731F" w:rsidRPr="0015567A" w:rsidRDefault="00A0731F" w:rsidP="00A0731F">
      <w:pPr>
        <w:spacing w:after="120" w:line="276" w:lineRule="auto"/>
        <w:ind w:firstLine="709"/>
        <w:jc w:val="both"/>
        <w:rPr>
          <w:rFonts w:ascii="Verdana" w:hAnsi="Verdana" w:cs="Arial"/>
          <w:noProof/>
        </w:rPr>
      </w:pPr>
      <w:r w:rsidRPr="0015567A">
        <w:rPr>
          <w:rFonts w:ascii="Verdana" w:hAnsi="Verdana" w:cs="Arial"/>
          <w:noProof/>
        </w:rPr>
        <w:t>El artículo 35, parágrafo 2, dispone que los Departamentos y Órganos Colegiados de Administración y Decisión Regionales que trata el artículo citado, en el marco de sus competencia, deben designar una</w:t>
      </w:r>
      <w:r w:rsidRPr="0015567A" w:rsidDel="003822CF">
        <w:rPr>
          <w:rFonts w:ascii="Verdana" w:hAnsi="Verdana" w:cs="Arial"/>
          <w:noProof/>
        </w:rPr>
        <w:t xml:space="preserve"> </w:t>
      </w:r>
      <w:r w:rsidRPr="0015567A">
        <w:rPr>
          <w:rFonts w:ascii="Verdana" w:hAnsi="Verdana" w:cs="Arial"/>
          <w:noProof/>
        </w:rPr>
        <w:t>entidad ejecutora de naturaleza pública, que además debe estar a cargo de la contratación de la interventoría, de acuerdo a lo regulado en dicha ley</w:t>
      </w:r>
      <w:r w:rsidRPr="0015567A">
        <w:rPr>
          <w:rStyle w:val="Refdenotaalpie"/>
          <w:rFonts w:ascii="Verdana" w:hAnsi="Verdana" w:cs="Arial"/>
          <w:noProof/>
        </w:rPr>
        <w:footnoteReference w:id="7"/>
      </w:r>
      <w:r w:rsidRPr="0015567A">
        <w:rPr>
          <w:rFonts w:ascii="Verdana" w:hAnsi="Verdana" w:cs="Arial"/>
          <w:noProof/>
        </w:rPr>
        <w:t xml:space="preserve">. El paragrafo 3 del artículo </w:t>
      </w:r>
      <w:r w:rsidRPr="0015567A">
        <w:rPr>
          <w:rFonts w:ascii="Verdana" w:hAnsi="Verdana" w:cs="Arial"/>
          <w:noProof/>
        </w:rPr>
        <w:lastRenderedPageBreak/>
        <w:t xml:space="preserve">6 establece lo siguiente: </w:t>
      </w:r>
      <w:r>
        <w:rPr>
          <w:rFonts w:ascii="Verdana" w:hAnsi="Verdana" w:cs="Arial"/>
          <w:noProof/>
        </w:rPr>
        <w:t>“</w:t>
      </w:r>
      <w:r w:rsidRPr="0015567A">
        <w:rPr>
          <w:rFonts w:ascii="Verdana" w:hAnsi="Verdana" w:cs="Arial"/>
          <w:noProof/>
        </w:rPr>
        <w:t>Para la designación del ejecutor, el Órgano Colegiado de Administración y Decisión tendrá en cuenta: i) Las capacidades ad¬ministrativas y financieras de la entidad propuesta y ii) los resultados del desempeño de la ejecución de los recursos definidos por el Sistema de Seguimiento, Evaluación y Control del Sistema General de Regalías, cuando a esto haya lugar, conforme los lineamientos del Departamento Nacional de Planeación</w:t>
      </w:r>
      <w:r>
        <w:rPr>
          <w:rFonts w:ascii="Verdana" w:hAnsi="Verdana" w:cs="Arial"/>
          <w:noProof/>
        </w:rPr>
        <w:t>”</w:t>
      </w:r>
      <w:r w:rsidRPr="0015567A">
        <w:rPr>
          <w:rFonts w:ascii="Verdana" w:hAnsi="Verdana" w:cs="Arial"/>
          <w:noProof/>
        </w:rPr>
        <w:t>. A su vez la norma indica que,  el ejecutor deberá ser de naturaleza pública y tendrá a su cargo la contratación de la interventoría.</w:t>
      </w:r>
    </w:p>
    <w:p w14:paraId="2954EB78" w14:textId="77777777" w:rsidR="00A0731F" w:rsidRPr="0015567A" w:rsidRDefault="00A0731F" w:rsidP="00A0731F">
      <w:pPr>
        <w:spacing w:after="120" w:line="276" w:lineRule="auto"/>
        <w:ind w:firstLine="709"/>
        <w:jc w:val="both"/>
        <w:rPr>
          <w:rFonts w:ascii="Verdana" w:hAnsi="Verdana" w:cs="Arial"/>
        </w:rPr>
      </w:pPr>
      <w:r w:rsidRPr="0015567A">
        <w:rPr>
          <w:rFonts w:ascii="Verdana" w:hAnsi="Verdana" w:cs="Arial"/>
          <w:noProof/>
        </w:rPr>
        <w:t xml:space="preserve">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15567A">
        <w:rPr>
          <w:rFonts w:ascii="Verdana" w:hAnsi="Verdana" w:cs="Arial"/>
        </w:rPr>
        <w:t>así como de verificar su disponibilidad, conforme con la metodología del Departamento Nacional de Planeación</w:t>
      </w:r>
      <w:r w:rsidRPr="0015567A">
        <w:rPr>
          <w:rStyle w:val="Refdenotaalpie"/>
          <w:rFonts w:ascii="Verdana" w:hAnsi="Verdana" w:cs="Arial"/>
        </w:rPr>
        <w:footnoteReference w:id="8"/>
      </w:r>
      <w:r w:rsidRPr="0015567A">
        <w:rPr>
          <w:rFonts w:ascii="Verdana" w:hAnsi="Verdana" w:cs="Arial"/>
        </w:rPr>
        <w:t>.</w:t>
      </w:r>
    </w:p>
    <w:p w14:paraId="39DA1257" w14:textId="77777777" w:rsidR="00A0731F" w:rsidRDefault="00A0731F" w:rsidP="00A0731F">
      <w:pPr>
        <w:spacing w:after="0" w:line="276" w:lineRule="auto"/>
        <w:ind w:firstLine="709"/>
        <w:jc w:val="both"/>
        <w:rPr>
          <w:rFonts w:ascii="Verdana" w:hAnsi="Verdana" w:cs="Arial"/>
        </w:rPr>
      </w:pPr>
      <w:r w:rsidRPr="0015567A">
        <w:rPr>
          <w:rFonts w:ascii="Verdana" w:hAnsi="Verdana" w:cs="Arial"/>
        </w:rPr>
        <w:t xml:space="preserve">El artículo 37 de la Ley 2056 de 2020 dispone que los proyectos de inversión que se financien con cargo al Sistema General de Regalías serán </w:t>
      </w:r>
      <w:r w:rsidRPr="0015567A">
        <w:rPr>
          <w:rFonts w:ascii="Verdana" w:hAnsi="Verdana" w:cs="Arial"/>
        </w:rPr>
        <w:lastRenderedPageBreak/>
        <w:t xml:space="preserve">ejecutados por quien designe las entidades u órganos de que tratan los artículos 35 y 36 </w:t>
      </w:r>
      <w:r w:rsidRPr="0015567A">
        <w:rPr>
          <w:rFonts w:ascii="Verdana" w:hAnsi="Verdana" w:cs="Arial"/>
          <w:i/>
          <w:iCs/>
        </w:rPr>
        <w:t>ibidem</w:t>
      </w:r>
      <w:r w:rsidRPr="0015567A">
        <w:rPr>
          <w:rFonts w:ascii="Verdana" w:hAnsi="Verdana" w:cs="Ari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7DFE72D6" w14:textId="77777777" w:rsidR="00A0731F" w:rsidRDefault="00A0731F" w:rsidP="00A0731F">
      <w:pPr>
        <w:spacing w:after="0" w:line="276" w:lineRule="auto"/>
        <w:ind w:firstLine="709"/>
        <w:jc w:val="both"/>
        <w:rPr>
          <w:rFonts w:ascii="Verdana" w:hAnsi="Verdana" w:cs="Arial"/>
        </w:rPr>
      </w:pPr>
    </w:p>
    <w:p w14:paraId="258876C7" w14:textId="77777777" w:rsidR="00A0731F" w:rsidRDefault="00A0731F" w:rsidP="00A0731F">
      <w:pPr>
        <w:spacing w:after="120" w:line="276" w:lineRule="auto"/>
        <w:jc w:val="both"/>
        <w:rPr>
          <w:rFonts w:ascii="Verdana" w:eastAsia="Calibri" w:hAnsi="Verdana" w:cs="Arial"/>
          <w:bCs/>
          <w:color w:val="000000" w:themeColor="text1"/>
        </w:rPr>
      </w:pPr>
      <w:proofErr w:type="spellStart"/>
      <w:r>
        <w:rPr>
          <w:rFonts w:ascii="Verdana" w:hAnsi="Verdana" w:cs="Arial"/>
        </w:rPr>
        <w:t>iii</w:t>
      </w:r>
      <w:proofErr w:type="spellEnd"/>
      <w:r>
        <w:rPr>
          <w:rFonts w:ascii="Verdana" w:hAnsi="Verdana" w:cs="Arial"/>
        </w:rPr>
        <w:t xml:space="preserve">. La norma precitada no señala el alcance del verbo “designar”, por lo </w:t>
      </w:r>
      <w:r>
        <w:rPr>
          <w:rFonts w:ascii="Verdana" w:eastAsia="Calibri" w:hAnsi="Verdana" w:cs="Arial"/>
          <w:bCs/>
          <w:color w:val="000000" w:themeColor="text1"/>
        </w:rPr>
        <w:t xml:space="preserve">es necesario aplicar las reglas generales sobre el alcance de los términos consagrados en el ordenamiento jurídico. </w:t>
      </w:r>
      <w:r w:rsidRPr="00B620EA">
        <w:rPr>
          <w:rFonts w:ascii="Verdana" w:eastAsia="Calibri" w:hAnsi="Verdana" w:cs="Arial"/>
          <w:bCs/>
          <w:color w:val="000000" w:themeColor="text1"/>
        </w:rPr>
        <w:t>Al respecto,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w:t>
      </w:r>
      <w:r>
        <w:rPr>
          <w:rFonts w:ascii="Verdana" w:eastAsia="Calibri" w:hAnsi="Verdana" w:cs="Arial"/>
          <w:bCs/>
          <w:color w:val="000000" w:themeColor="text1"/>
        </w:rPr>
        <w:t>; i</w:t>
      </w:r>
      <w:r w:rsidRPr="00B620EA">
        <w:rPr>
          <w:rFonts w:ascii="Verdana" w:eastAsia="Calibri" w:hAnsi="Verdana" w:cs="Arial"/>
          <w:bCs/>
          <w:color w:val="000000" w:themeColor="text1"/>
        </w:rPr>
        <w:t xml:space="preserve">gualmente, el artículo 29 </w:t>
      </w:r>
      <w:r w:rsidRPr="00240A54">
        <w:rPr>
          <w:rFonts w:ascii="Verdana" w:eastAsia="Calibri" w:hAnsi="Verdana" w:cs="Arial"/>
          <w:bCs/>
          <w:i/>
          <w:iCs/>
          <w:color w:val="000000" w:themeColor="text1"/>
        </w:rPr>
        <w:t>ibidem</w:t>
      </w:r>
      <w:r w:rsidRPr="00B620EA">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Pr>
          <w:rStyle w:val="Refdenotaalpie"/>
          <w:rFonts w:ascii="Verdana" w:eastAsia="Calibri" w:hAnsi="Verdana" w:cs="Arial"/>
          <w:bCs/>
          <w:color w:val="000000" w:themeColor="text1"/>
        </w:rPr>
        <w:footnoteReference w:id="9"/>
      </w:r>
      <w:r>
        <w:rPr>
          <w:rFonts w:ascii="Verdana" w:eastAsia="Calibri" w:hAnsi="Verdana" w:cs="Arial"/>
          <w:bCs/>
          <w:color w:val="000000" w:themeColor="text1"/>
        </w:rPr>
        <w:t>.</w:t>
      </w:r>
    </w:p>
    <w:p w14:paraId="7F416D81" w14:textId="77777777" w:rsidR="00A0731F" w:rsidRDefault="00A0731F" w:rsidP="00A0731F">
      <w:pPr>
        <w:spacing w:after="0" w:line="276" w:lineRule="auto"/>
        <w:ind w:firstLine="709"/>
        <w:jc w:val="both"/>
        <w:rPr>
          <w:rFonts w:ascii="Verdana" w:eastAsia="Calibri" w:hAnsi="Verdana" w:cs="Arial"/>
          <w:bCs/>
          <w:color w:val="000000" w:themeColor="text1"/>
        </w:rPr>
      </w:pPr>
      <w:r>
        <w:rPr>
          <w:rFonts w:ascii="Verdana" w:eastAsia="Calibri" w:hAnsi="Verdana" w:cs="Arial"/>
          <w:bCs/>
          <w:color w:val="000000" w:themeColor="text1"/>
        </w:rPr>
        <w:t xml:space="preserve">Conforme al diccionario de la RAE, </w:t>
      </w:r>
      <w:r>
        <w:rPr>
          <w:rFonts w:ascii="Verdana" w:hAnsi="Verdana" w:cs="Arial"/>
        </w:rPr>
        <w:t>“designar” corresponde a “</w:t>
      </w:r>
      <w:r w:rsidRPr="00594523">
        <w:rPr>
          <w:rFonts w:ascii="Verdana" w:eastAsia="Calibri" w:hAnsi="Verdana" w:cs="Arial"/>
          <w:bCs/>
          <w:color w:val="000000" w:themeColor="text1"/>
        </w:rPr>
        <w:t>Señalar o destinar a alguien o algo para determinado fin</w:t>
      </w:r>
      <w:r>
        <w:rPr>
          <w:rFonts w:ascii="Verdana" w:eastAsia="Calibri" w:hAnsi="Verdana" w:cs="Arial"/>
          <w:bCs/>
          <w:color w:val="000000" w:themeColor="text1"/>
        </w:rPr>
        <w:t>”</w:t>
      </w:r>
      <w:r w:rsidRPr="00594523">
        <w:rPr>
          <w:rFonts w:ascii="Verdana" w:eastAsia="Calibri" w:hAnsi="Verdana" w:cs="Arial"/>
          <w:bCs/>
          <w:color w:val="000000" w:themeColor="text1"/>
        </w:rPr>
        <w:t>.</w:t>
      </w:r>
      <w:r>
        <w:rPr>
          <w:rFonts w:ascii="Verdana" w:eastAsia="Calibri" w:hAnsi="Verdana" w:cs="Arial"/>
          <w:bCs/>
          <w:color w:val="000000" w:themeColor="text1"/>
        </w:rPr>
        <w:t xml:space="preserve"> El significado de esta palabra indica la naturaleza jurídica del acto que designa a la entidad ejecutora de los proyectos adelantados con cargo al Sistema General de Regalías, pues se trata de una actuación unilateral que no requiere aceptación o consentimiento por parte del destinatario. Ello hace que, conforme a la doctrina sentada por la ANCP – CCE en el Concepto C-489 del 1˚ de agosto de 2022, la designación del ejecutor tenga la naturaleza de un acto administrativo, no de un contrato estatal. </w:t>
      </w:r>
      <w:r>
        <w:rPr>
          <w:rFonts w:ascii="Verdana" w:eastAsia="Calibri" w:hAnsi="Verdana" w:cs="Arial"/>
          <w:bCs/>
          <w:color w:val="000000" w:themeColor="text1"/>
        </w:rPr>
        <w:lastRenderedPageBreak/>
        <w:t>En torno a estas dos manifestaciones de la actuación administrativa, la doctrina sostiene que:</w:t>
      </w:r>
    </w:p>
    <w:p w14:paraId="0C12FD6E" w14:textId="77777777" w:rsidR="00A0731F" w:rsidRDefault="00A0731F" w:rsidP="00A0731F">
      <w:pPr>
        <w:spacing w:after="0" w:line="276" w:lineRule="auto"/>
        <w:ind w:firstLine="709"/>
        <w:jc w:val="both"/>
        <w:rPr>
          <w:rFonts w:ascii="Verdana" w:eastAsia="Calibri" w:hAnsi="Verdana" w:cs="Arial"/>
          <w:bCs/>
          <w:color w:val="000000" w:themeColor="text1"/>
        </w:rPr>
      </w:pPr>
    </w:p>
    <w:p w14:paraId="4F911956" w14:textId="77777777" w:rsidR="00A0731F" w:rsidRPr="007E4770" w:rsidRDefault="00A0731F" w:rsidP="00A0731F">
      <w:pPr>
        <w:spacing w:after="0" w:line="240" w:lineRule="auto"/>
        <w:ind w:left="709" w:right="709"/>
        <w:jc w:val="both"/>
        <w:rPr>
          <w:rFonts w:ascii="Verdana" w:eastAsia="Calibri" w:hAnsi="Verdana" w:cs="Arial"/>
          <w:bCs/>
          <w:color w:val="000000" w:themeColor="text1"/>
          <w:sz w:val="21"/>
          <w:szCs w:val="21"/>
        </w:rPr>
      </w:pPr>
      <w:r w:rsidRPr="007E4770">
        <w:rPr>
          <w:rFonts w:ascii="Verdana" w:eastAsia="Calibri" w:hAnsi="Verdana" w:cs="Arial"/>
          <w:bCs/>
          <w:color w:val="000000" w:themeColor="text1"/>
          <w:sz w:val="21"/>
          <w:szCs w:val="21"/>
        </w:rPr>
        <w:t>“Las diferencias entre el contrato (acto bilateral) y el acto administrativo (acto unilateral) son mayores que las similitudes y marcan dos instituciones bien diversas del derecho administrativo. Cualquier libro de la materia con uno o más acápites especiales sobre los contratos administrativos, muestra de hecho cómo no es posible analizar conjuntamente los contratos y los actos unilaterales de la administración. De allí se sigue, para nosotros, que tampoco conviene conceptuarlos conjuntamente”</w:t>
      </w:r>
      <w:r>
        <w:rPr>
          <w:rStyle w:val="Refdenotaalpie"/>
          <w:rFonts w:ascii="Verdana" w:eastAsia="Calibri" w:hAnsi="Verdana" w:cs="Arial"/>
          <w:bCs/>
          <w:color w:val="000000" w:themeColor="text1"/>
          <w:sz w:val="21"/>
          <w:szCs w:val="21"/>
        </w:rPr>
        <w:footnoteReference w:id="10"/>
      </w:r>
      <w:r w:rsidRPr="007E4770">
        <w:rPr>
          <w:rFonts w:ascii="Verdana" w:eastAsia="Calibri" w:hAnsi="Verdana" w:cs="Arial"/>
          <w:bCs/>
          <w:color w:val="000000" w:themeColor="text1"/>
          <w:sz w:val="21"/>
          <w:szCs w:val="21"/>
        </w:rPr>
        <w:t>.</w:t>
      </w:r>
    </w:p>
    <w:p w14:paraId="0C85D0D0" w14:textId="77777777" w:rsidR="00A0731F" w:rsidRDefault="00A0731F" w:rsidP="00A0731F">
      <w:pPr>
        <w:spacing w:after="0" w:line="276" w:lineRule="auto"/>
        <w:jc w:val="both"/>
        <w:rPr>
          <w:rFonts w:ascii="Verdana" w:eastAsia="Calibri" w:hAnsi="Verdana" w:cs="Arial"/>
          <w:bCs/>
          <w:color w:val="000000" w:themeColor="text1"/>
        </w:rPr>
      </w:pPr>
    </w:p>
    <w:p w14:paraId="04A86381" w14:textId="77777777" w:rsidR="00A0731F" w:rsidRDefault="00A0731F" w:rsidP="00A0731F">
      <w:pPr>
        <w:spacing w:after="120" w:line="276" w:lineRule="auto"/>
        <w:ind w:firstLine="709"/>
        <w:jc w:val="both"/>
        <w:rPr>
          <w:rFonts w:ascii="Verdana" w:eastAsia="Calibri" w:hAnsi="Verdana" w:cs="Arial"/>
          <w:bCs/>
          <w:color w:val="000000" w:themeColor="text1"/>
        </w:rPr>
      </w:pPr>
      <w:r>
        <w:rPr>
          <w:rFonts w:ascii="Verdana" w:eastAsia="Calibri" w:hAnsi="Verdana" w:cs="Arial"/>
          <w:bCs/>
          <w:color w:val="000000" w:themeColor="text1"/>
        </w:rPr>
        <w:t xml:space="preserve">En efecto, </w:t>
      </w:r>
      <w:r w:rsidRPr="0053322E">
        <w:rPr>
          <w:rFonts w:ascii="Verdana" w:eastAsia="Calibri" w:hAnsi="Verdana" w:cs="Arial"/>
          <w:bCs/>
          <w:color w:val="000000" w:themeColor="text1"/>
        </w:rPr>
        <w:t xml:space="preserve">el </w:t>
      </w:r>
      <w:r w:rsidRPr="0053322E">
        <w:rPr>
          <w:rFonts w:ascii="Verdana" w:eastAsia="Calibri" w:hAnsi="Verdana" w:cs="Arial"/>
          <w:bCs/>
          <w:i/>
          <w:iCs/>
          <w:color w:val="000000" w:themeColor="text1"/>
        </w:rPr>
        <w:t>contrato</w:t>
      </w:r>
      <w:r w:rsidRPr="0053322E">
        <w:rPr>
          <w:rFonts w:ascii="Verdana" w:eastAsia="Calibri" w:hAnsi="Verdana" w:cs="Arial"/>
          <w:bCs/>
          <w:color w:val="000000" w:themeColor="text1"/>
        </w:rPr>
        <w:t xml:space="preserve"> es un acuerdo de voluntades para producir obligaciones. Como dispone el artículo 1495 del Código Civil, </w:t>
      </w:r>
      <w:r>
        <w:rPr>
          <w:rFonts w:ascii="Verdana" w:eastAsia="Calibri" w:hAnsi="Verdana" w:cs="Arial"/>
          <w:bCs/>
          <w:color w:val="000000" w:themeColor="text1"/>
          <w:sz w:val="20"/>
          <w:szCs w:val="20"/>
        </w:rPr>
        <w:t>“</w:t>
      </w:r>
      <w:r w:rsidRPr="0053322E">
        <w:rPr>
          <w:rFonts w:ascii="Verdana" w:eastAsia="Calibri" w:hAnsi="Verdana" w:cs="Arial"/>
          <w:bCs/>
          <w:color w:val="000000" w:themeColor="text1"/>
        </w:rPr>
        <w:t>[…] es un acto por el cual una parte se obliga para con otra a dar, hacer o no hacer alguna cosa […]</w:t>
      </w:r>
      <w:r>
        <w:rPr>
          <w:rFonts w:ascii="Verdana" w:eastAsia="Calibri" w:hAnsi="Verdana" w:cs="Arial"/>
          <w:bCs/>
          <w:color w:val="000000" w:themeColor="text1"/>
        </w:rPr>
        <w:t>”</w:t>
      </w:r>
      <w:r w:rsidRPr="0053322E">
        <w:rPr>
          <w:rFonts w:ascii="Verdana" w:eastAsia="Calibri" w:hAnsi="Verdana" w:cs="Arial"/>
          <w:bCs/>
          <w:color w:val="000000" w:themeColor="text1"/>
        </w:rPr>
        <w:t xml:space="preserve">. Si bien es una manifestación de voluntad, el surgimiento del contrato estatal requiere el concurso de por lo menos dos (2) personas, uno de las cuales será necesariamente un sujeto de derecho público. De esta definición no se desprende que </w:t>
      </w:r>
      <w:r>
        <w:rPr>
          <w:rFonts w:ascii="Verdana" w:eastAsia="Calibri" w:hAnsi="Verdana" w:cs="Arial"/>
          <w:bCs/>
          <w:color w:val="000000" w:themeColor="text1"/>
        </w:rPr>
        <w:t>el acto que designa a la entidad ejecutora de los proyectos adelantados con cargo al Sistema General de Regalías</w:t>
      </w:r>
      <w:r w:rsidRPr="0053322E">
        <w:rPr>
          <w:rFonts w:ascii="Verdana" w:eastAsia="Calibri" w:hAnsi="Verdana" w:cs="Arial"/>
          <w:bCs/>
          <w:color w:val="000000" w:themeColor="text1"/>
        </w:rPr>
        <w:t xml:space="preserve"> responda a esta idea, máxime cuando basta la manifestación unilateral para su expedición. </w:t>
      </w:r>
    </w:p>
    <w:p w14:paraId="4AFDF838" w14:textId="77777777" w:rsidR="00A0731F" w:rsidRPr="00AC291C" w:rsidRDefault="00A0731F" w:rsidP="00A0731F">
      <w:pPr>
        <w:spacing w:after="0" w:line="276" w:lineRule="auto"/>
        <w:ind w:firstLine="708"/>
        <w:jc w:val="both"/>
        <w:rPr>
          <w:rFonts w:ascii="Verdana" w:eastAsia="Calibri" w:hAnsi="Verdana" w:cs="Arial"/>
        </w:rPr>
      </w:pPr>
      <w:bookmarkStart w:id="4" w:name="_Hlk37098745"/>
      <w:r>
        <w:rPr>
          <w:rFonts w:ascii="Verdana" w:eastAsia="Calibri" w:hAnsi="Verdana" w:cs="Arial"/>
        </w:rPr>
        <w:t>Por ello, la Agencia estima que la designación del ejecutor</w:t>
      </w:r>
      <w:r w:rsidRPr="00AC291C">
        <w:rPr>
          <w:rFonts w:ascii="Verdana" w:eastAsia="Calibri" w:hAnsi="Verdana" w:cs="Arial"/>
        </w:rPr>
        <w:t xml:space="preserve"> es un </w:t>
      </w:r>
      <w:r w:rsidRPr="00AC291C">
        <w:rPr>
          <w:rFonts w:ascii="Verdana" w:eastAsia="Calibri" w:hAnsi="Verdana" w:cs="Arial"/>
          <w:i/>
          <w:iCs/>
        </w:rPr>
        <w:t>acto administrativo</w:t>
      </w:r>
      <w:r w:rsidRPr="00AC291C">
        <w:rPr>
          <w:rFonts w:ascii="Verdana" w:eastAsia="Calibri" w:hAnsi="Verdana" w:cs="Arial"/>
        </w:rPr>
        <w:t xml:space="preserve">, esto es, </w:t>
      </w:r>
      <w:bookmarkStart w:id="5" w:name="_Hlk37098142"/>
      <w:r w:rsidRPr="00AC291C">
        <w:rPr>
          <w:rFonts w:ascii="Verdana" w:eastAsia="Calibri" w:hAnsi="Verdana" w:cs="Arial"/>
        </w:rPr>
        <w:t>una declaración unilateral de voluntad de un órgano del Estado que ejerce función administrativa y que produce efectos jurídicos</w:t>
      </w:r>
      <w:bookmarkEnd w:id="5"/>
      <w:r w:rsidRPr="00AC291C">
        <w:rPr>
          <w:rFonts w:ascii="Verdana" w:eastAsia="Calibri" w:hAnsi="Verdana" w:cs="Arial"/>
        </w:rPr>
        <w:t>. En efecto, que sea una declaración de voluntad supone que este documento no es una operación, un hecho o una omisión, pues mientras la primera implica la realización de actividades materiales para el cumplimiento de una decisión previa, las restantes se relacionan con circunstancias ajenas al querer de las entidades públicas, las cuales tienen origen en determinados sucesos físicos –como la ruina de un edificio– o en la abstenciones de la Administración –como la accidentalidad vial derivada de la ausencia en el mantenimiento de las carreteras–. Además, que sea una declaración unilateral explica por</w:t>
      </w:r>
      <w:r>
        <w:rPr>
          <w:rFonts w:ascii="Verdana" w:eastAsia="Calibri" w:hAnsi="Verdana" w:cs="Arial"/>
        </w:rPr>
        <w:t xml:space="preserve"> </w:t>
      </w:r>
      <w:r w:rsidRPr="00AC291C">
        <w:rPr>
          <w:rFonts w:ascii="Verdana" w:eastAsia="Calibri" w:hAnsi="Verdana" w:cs="Arial"/>
        </w:rPr>
        <w:t>qué los actos administrativos se diferencian de los contratos, pues aquellos excluyen el concurso de voluntades entre dos (2) o más personas; motivo por el cual, no es necesario el consentimiento para su expedición</w:t>
      </w:r>
      <w:bookmarkEnd w:id="4"/>
      <w:r w:rsidRPr="00AC291C">
        <w:rPr>
          <w:rFonts w:ascii="Verdana" w:eastAsia="Calibri" w:hAnsi="Verdana" w:cs="Arial"/>
        </w:rPr>
        <w:t xml:space="preserve">. No en vano, la jurisprudencia explica </w:t>
      </w:r>
      <w:r>
        <w:rPr>
          <w:rFonts w:ascii="Verdana" w:eastAsia="Calibri" w:hAnsi="Verdana" w:cs="Arial"/>
        </w:rPr>
        <w:t>lo siguiente</w:t>
      </w:r>
      <w:r w:rsidRPr="00AC291C">
        <w:rPr>
          <w:rFonts w:ascii="Verdana" w:eastAsia="Calibri" w:hAnsi="Verdana" w:cs="Arial"/>
        </w:rPr>
        <w:t xml:space="preserve">:  </w:t>
      </w:r>
    </w:p>
    <w:p w14:paraId="0C286A91" w14:textId="77777777" w:rsidR="00A0731F" w:rsidRPr="00AC291C" w:rsidRDefault="00A0731F" w:rsidP="00A0731F">
      <w:pPr>
        <w:spacing w:after="0" w:line="276" w:lineRule="auto"/>
        <w:jc w:val="both"/>
        <w:rPr>
          <w:rFonts w:ascii="Verdana" w:eastAsia="Calibri" w:hAnsi="Verdana" w:cs="Arial"/>
        </w:rPr>
      </w:pPr>
    </w:p>
    <w:p w14:paraId="058CF793" w14:textId="77777777" w:rsidR="00A0731F" w:rsidRPr="00AC291C" w:rsidRDefault="00A0731F" w:rsidP="00A0731F">
      <w:pPr>
        <w:spacing w:after="120" w:line="240" w:lineRule="auto"/>
        <w:ind w:left="709" w:right="709"/>
        <w:jc w:val="both"/>
        <w:rPr>
          <w:rFonts w:ascii="Verdana" w:eastAsia="Calibri" w:hAnsi="Verdana" w:cs="Arial"/>
          <w:sz w:val="21"/>
          <w:szCs w:val="21"/>
        </w:rPr>
      </w:pPr>
      <w:r>
        <w:rPr>
          <w:rFonts w:ascii="Verdana" w:eastAsia="Calibri" w:hAnsi="Verdana" w:cs="Arial"/>
          <w:sz w:val="21"/>
          <w:szCs w:val="21"/>
        </w:rPr>
        <w:lastRenderedPageBreak/>
        <w:t>“</w:t>
      </w:r>
      <w:r w:rsidRPr="00AC291C">
        <w:rPr>
          <w:rFonts w:ascii="Verdana" w:eastAsia="Calibri" w:hAnsi="Verdana" w:cs="Arial"/>
          <w:sz w:val="21"/>
          <w:szCs w:val="21"/>
        </w:rPr>
        <w:t>Por acto administrativo […] se entiende toda manifestación unilateral, por regla general de voluntad, de quienes ejercen funciones administrativas, tendiente a la producción de efectos jurídicos.</w:t>
      </w:r>
    </w:p>
    <w:p w14:paraId="0C026D0A" w14:textId="77777777" w:rsidR="00A0731F" w:rsidRPr="00AC291C" w:rsidRDefault="00A0731F" w:rsidP="00A0731F">
      <w:pPr>
        <w:spacing w:after="0" w:line="240" w:lineRule="auto"/>
        <w:ind w:left="709" w:right="709"/>
        <w:jc w:val="both"/>
        <w:rPr>
          <w:rFonts w:ascii="Verdana" w:eastAsia="Calibri" w:hAnsi="Verdana" w:cs="Arial"/>
          <w:sz w:val="21"/>
          <w:szCs w:val="21"/>
        </w:rPr>
      </w:pPr>
      <w:r w:rsidRPr="00AC291C">
        <w:rPr>
          <w:rFonts w:ascii="Verdana" w:eastAsia="Calibri" w:hAnsi="Verdana" w:cs="Arial"/>
          <w:sz w:val="21"/>
          <w:szCs w:val="21"/>
        </w:rPr>
        <w:t>De esta manera se dice que son 5 los elementos claves para llegar a la conclusión de que existe un acto administrativo: (i) la expresión o manifestación concreta de la administración; (</w:t>
      </w:r>
      <w:proofErr w:type="spellStart"/>
      <w:r w:rsidRPr="00AC291C">
        <w:rPr>
          <w:rFonts w:ascii="Verdana" w:eastAsia="Calibri" w:hAnsi="Verdana" w:cs="Arial"/>
          <w:sz w:val="21"/>
          <w:szCs w:val="21"/>
        </w:rPr>
        <w:t>ii</w:t>
      </w:r>
      <w:proofErr w:type="spellEnd"/>
      <w:r w:rsidRPr="00AC291C">
        <w:rPr>
          <w:rFonts w:ascii="Verdana" w:eastAsia="Calibri" w:hAnsi="Verdana" w:cs="Arial"/>
          <w:sz w:val="21"/>
          <w:szCs w:val="21"/>
        </w:rPr>
        <w:t>) la expresión unilateral del querer de la administración; (</w:t>
      </w:r>
      <w:proofErr w:type="spellStart"/>
      <w:r w:rsidRPr="00AC291C">
        <w:rPr>
          <w:rFonts w:ascii="Verdana" w:eastAsia="Calibri" w:hAnsi="Verdana" w:cs="Arial"/>
          <w:sz w:val="21"/>
          <w:szCs w:val="21"/>
        </w:rPr>
        <w:t>iii</w:t>
      </w:r>
      <w:proofErr w:type="spellEnd"/>
      <w:r w:rsidRPr="00AC291C">
        <w:rPr>
          <w:rFonts w:ascii="Verdana" w:eastAsia="Calibri" w:hAnsi="Verdana" w:cs="Arial"/>
          <w:sz w:val="21"/>
          <w:szCs w:val="21"/>
        </w:rPr>
        <w:t>) el ejercicio de la función administrativa mediante la declaración de la voluntad de la administración; (</w:t>
      </w:r>
      <w:proofErr w:type="spellStart"/>
      <w:r w:rsidRPr="00AC291C">
        <w:rPr>
          <w:rFonts w:ascii="Verdana" w:eastAsia="Calibri" w:hAnsi="Verdana" w:cs="Arial"/>
          <w:sz w:val="21"/>
          <w:szCs w:val="21"/>
        </w:rPr>
        <w:t>iv</w:t>
      </w:r>
      <w:proofErr w:type="spellEnd"/>
      <w:r w:rsidRPr="00AC291C">
        <w:rPr>
          <w:rFonts w:ascii="Verdana" w:eastAsia="Calibri" w:hAnsi="Verdana" w:cs="Arial"/>
          <w:sz w:val="21"/>
          <w:szCs w:val="21"/>
        </w:rPr>
        <w:t>) que su contenido material equivalga al ejercicio de una función administrativa así provenga de cualquiera de los órganos del poder público o de particulares; (v) que posea la fuerza suficiente para decidir y crear situaciones jurídicas a partir de su contenido, de manera que esta se configura como la característica reveladora o de mayor importancia</w:t>
      </w:r>
      <w:r>
        <w:rPr>
          <w:rFonts w:ascii="Verdana" w:eastAsia="Calibri" w:hAnsi="Verdana" w:cs="Arial"/>
          <w:sz w:val="21"/>
          <w:szCs w:val="21"/>
        </w:rPr>
        <w:t>”</w:t>
      </w:r>
      <w:r w:rsidRPr="00AC291C">
        <w:rPr>
          <w:rStyle w:val="Refdenotaalpie"/>
          <w:rFonts w:ascii="Verdana" w:eastAsia="Calibri" w:hAnsi="Verdana" w:cs="Arial"/>
          <w:sz w:val="21"/>
          <w:szCs w:val="21"/>
        </w:rPr>
        <w:footnoteReference w:id="11"/>
      </w:r>
      <w:r w:rsidRPr="00AC291C">
        <w:rPr>
          <w:rFonts w:ascii="Verdana" w:eastAsia="Calibri" w:hAnsi="Verdana" w:cs="Arial"/>
          <w:sz w:val="21"/>
          <w:szCs w:val="21"/>
        </w:rPr>
        <w:t>.</w:t>
      </w:r>
    </w:p>
    <w:p w14:paraId="541DD9AB" w14:textId="77777777" w:rsidR="00A0731F" w:rsidRPr="00AC291C" w:rsidRDefault="00A0731F" w:rsidP="00A0731F">
      <w:pPr>
        <w:spacing w:after="0" w:line="276" w:lineRule="auto"/>
        <w:jc w:val="both"/>
        <w:rPr>
          <w:rFonts w:ascii="Verdana" w:eastAsia="Calibri" w:hAnsi="Verdana" w:cs="Arial"/>
        </w:rPr>
      </w:pPr>
    </w:p>
    <w:p w14:paraId="18346870" w14:textId="77777777" w:rsidR="00A0731F" w:rsidRPr="00AC291C" w:rsidRDefault="00A0731F" w:rsidP="00A0731F">
      <w:pPr>
        <w:spacing w:after="120" w:line="276" w:lineRule="auto"/>
        <w:ind w:firstLine="708"/>
        <w:jc w:val="both"/>
        <w:rPr>
          <w:rFonts w:ascii="Verdana" w:eastAsia="Calibri" w:hAnsi="Verdana" w:cs="Arial"/>
        </w:rPr>
      </w:pPr>
      <w:r w:rsidRPr="00AC291C">
        <w:rPr>
          <w:rFonts w:ascii="Verdana" w:eastAsia="Calibri" w:hAnsi="Verdana" w:cs="Arial"/>
        </w:rPr>
        <w:t xml:space="preserve">Aunque el criterio de exclusión es útil para identificar la naturaleza jurídica de determinadas actuaciones públicas en casos dudosos, </w:t>
      </w:r>
      <w:r>
        <w:rPr>
          <w:rFonts w:ascii="Verdana" w:eastAsia="Calibri" w:hAnsi="Verdana" w:cs="Arial"/>
          <w:bCs/>
          <w:color w:val="000000" w:themeColor="text1"/>
        </w:rPr>
        <w:t>la designación de la entidad ejecutora de los proyectos adelantados con cargo al Sistema General de Regalía</w:t>
      </w:r>
      <w:r w:rsidRPr="00AC291C">
        <w:rPr>
          <w:rFonts w:ascii="Verdana" w:eastAsia="Calibri" w:hAnsi="Verdana" w:cs="Arial"/>
        </w:rPr>
        <w:t xml:space="preserve"> cumple con todos los elementos que caracterizan los actos administrativos. Por un lado, se trata de una </w:t>
      </w:r>
      <w:r w:rsidRPr="00AC291C">
        <w:rPr>
          <w:rFonts w:ascii="Verdana" w:eastAsia="Calibri" w:hAnsi="Verdana" w:cs="Arial"/>
          <w:i/>
          <w:iCs/>
        </w:rPr>
        <w:t>manifestación de voluntad</w:t>
      </w:r>
      <w:r w:rsidRPr="00AC291C">
        <w:rPr>
          <w:rFonts w:ascii="Verdana" w:eastAsia="Calibri" w:hAnsi="Verdana" w:cs="Arial"/>
        </w:rPr>
        <w:t xml:space="preserve">, es decir, mediante dicho documento se toma una decisión que no se confunde con un acto de conocimiento o de deseo. En efecto, a diferencia de los conceptos o los exhortos, a través </w:t>
      </w:r>
      <w:r>
        <w:rPr>
          <w:rFonts w:ascii="Verdana" w:eastAsia="Calibri" w:hAnsi="Verdana" w:cs="Arial"/>
        </w:rPr>
        <w:t>de la designación</w:t>
      </w:r>
      <w:r w:rsidRPr="00AC291C">
        <w:rPr>
          <w:rFonts w:ascii="Verdana" w:eastAsia="Calibri" w:hAnsi="Verdana" w:cs="Arial"/>
        </w:rPr>
        <w:t xml:space="preserve"> l</w:t>
      </w:r>
      <w:r>
        <w:rPr>
          <w:rFonts w:ascii="Verdana" w:eastAsia="Calibri" w:hAnsi="Verdana" w:cs="Arial"/>
        </w:rPr>
        <w:t>os órganos competentes</w:t>
      </w:r>
      <w:r w:rsidRPr="00AC291C">
        <w:rPr>
          <w:rFonts w:ascii="Verdana" w:eastAsia="Calibri" w:hAnsi="Verdana" w:cs="Arial"/>
        </w:rPr>
        <w:t xml:space="preserve"> define</w:t>
      </w:r>
      <w:r>
        <w:rPr>
          <w:rFonts w:ascii="Verdana" w:eastAsia="Calibri" w:hAnsi="Verdana" w:cs="Arial"/>
        </w:rPr>
        <w:t>n</w:t>
      </w:r>
      <w:r w:rsidRPr="00AC291C">
        <w:rPr>
          <w:rFonts w:ascii="Verdana" w:eastAsia="Calibri" w:hAnsi="Verdana" w:cs="Arial"/>
        </w:rPr>
        <w:t xml:space="preserve"> </w:t>
      </w:r>
      <w:r>
        <w:rPr>
          <w:rFonts w:ascii="Verdana" w:eastAsia="Calibri" w:hAnsi="Verdana" w:cs="Arial"/>
        </w:rPr>
        <w:t>al ejecutor del respectivo proyecto</w:t>
      </w:r>
      <w:r w:rsidRPr="00AC291C">
        <w:rPr>
          <w:rFonts w:ascii="Verdana" w:eastAsia="Calibri" w:hAnsi="Verdana" w:cs="Arial"/>
        </w:rPr>
        <w:t>, es decir, no se expresa alguna opinión sobre un punto de derecho ni se formulan solitudes a otros sujetos. Al respecto, si bien la diferencia entre declaraciones de voluntad, conocimiento y deseo es borrosa en casos como las certificaciones y las circulares de servicio, se considera que lo determinante no es esta clasificación sino la existencia de una declaración que decida algo y que provenga de quien tiene</w:t>
      </w:r>
      <w:r>
        <w:rPr>
          <w:rFonts w:ascii="Verdana" w:eastAsia="Calibri" w:hAnsi="Verdana" w:cs="Arial"/>
        </w:rPr>
        <w:t xml:space="preserve"> la facultad</w:t>
      </w:r>
      <w:r w:rsidRPr="00AC291C">
        <w:rPr>
          <w:rFonts w:ascii="Verdana" w:eastAsia="Calibri" w:hAnsi="Verdana" w:cs="Arial"/>
        </w:rPr>
        <w:t xml:space="preserve"> para hacerlo</w:t>
      </w:r>
      <w:r w:rsidRPr="00AC291C">
        <w:rPr>
          <w:rStyle w:val="Refdenotaalpie"/>
          <w:rFonts w:ascii="Verdana" w:eastAsia="Calibri" w:hAnsi="Verdana" w:cs="Arial"/>
        </w:rPr>
        <w:footnoteReference w:id="12"/>
      </w:r>
      <w:r w:rsidRPr="00AC291C">
        <w:rPr>
          <w:rFonts w:ascii="Verdana" w:eastAsia="Calibri" w:hAnsi="Verdana" w:cs="Arial"/>
        </w:rPr>
        <w:t>.</w:t>
      </w:r>
    </w:p>
    <w:p w14:paraId="2D975912" w14:textId="77777777" w:rsidR="00A0731F" w:rsidRPr="00AC291C" w:rsidRDefault="00A0731F" w:rsidP="00A0731F">
      <w:pPr>
        <w:spacing w:after="120" w:line="276" w:lineRule="auto"/>
        <w:jc w:val="both"/>
        <w:rPr>
          <w:rFonts w:ascii="Verdana" w:eastAsia="Calibri" w:hAnsi="Verdana" w:cs="Arial"/>
        </w:rPr>
      </w:pPr>
      <w:r w:rsidRPr="00AC291C">
        <w:rPr>
          <w:rFonts w:ascii="Verdana" w:eastAsia="Calibri" w:hAnsi="Verdana" w:cs="Arial"/>
        </w:rPr>
        <w:tab/>
        <w:t xml:space="preserve">Igualmente, </w:t>
      </w:r>
      <w:r>
        <w:rPr>
          <w:rFonts w:ascii="Verdana" w:eastAsia="Calibri" w:hAnsi="Verdana" w:cs="Arial"/>
        </w:rPr>
        <w:t>la designación del ejecutor</w:t>
      </w:r>
      <w:r w:rsidRPr="00AC291C">
        <w:rPr>
          <w:rFonts w:ascii="Verdana" w:eastAsia="Calibri" w:hAnsi="Verdana" w:cs="Arial"/>
        </w:rPr>
        <w:t xml:space="preserve"> es una </w:t>
      </w:r>
      <w:r w:rsidRPr="00AC291C">
        <w:rPr>
          <w:rFonts w:ascii="Verdana" w:eastAsia="Calibri" w:hAnsi="Verdana" w:cs="Arial"/>
          <w:i/>
          <w:iCs/>
        </w:rPr>
        <w:t>expresión unilateral de la voluntad</w:t>
      </w:r>
      <w:r w:rsidRPr="00AC291C">
        <w:rPr>
          <w:rFonts w:ascii="Verdana" w:eastAsia="Calibri" w:hAnsi="Verdana" w:cs="Arial"/>
        </w:rPr>
        <w:t xml:space="preserve">. Esta forma de actuación representa la esencia del derecho administrativo, pues en el derecho privado –salvo excepciones– los actos jurídicos son resultado del concurso de voluntades. Aunque es razonable que las personas se rijan por el principio de coordinación en el ámbito civil y comercial, las relaciones en el ámbito de lo público se rigen por el principio de </w:t>
      </w:r>
      <w:r w:rsidRPr="00AC291C">
        <w:rPr>
          <w:rFonts w:ascii="Verdana" w:eastAsia="Calibri" w:hAnsi="Verdana" w:cs="Arial"/>
        </w:rPr>
        <w:lastRenderedPageBreak/>
        <w:t>subordinación</w:t>
      </w:r>
      <w:r w:rsidRPr="00AC291C">
        <w:rPr>
          <w:rStyle w:val="Refdenotaalpie"/>
          <w:rFonts w:ascii="Verdana" w:eastAsia="Calibri" w:hAnsi="Verdana" w:cs="Arial"/>
        </w:rPr>
        <w:footnoteReference w:id="13"/>
      </w:r>
      <w:r w:rsidRPr="00AC291C">
        <w:rPr>
          <w:rFonts w:ascii="Verdana" w:eastAsia="Calibri" w:hAnsi="Verdana" w:cs="Arial"/>
        </w:rPr>
        <w:t xml:space="preserve">. En consecuencia, a diferencia de los contratos estatales, la entidad no requiere del consentimiento previo </w:t>
      </w:r>
      <w:r>
        <w:rPr>
          <w:rFonts w:ascii="Verdana" w:eastAsia="Calibri" w:hAnsi="Verdana" w:cs="Arial"/>
        </w:rPr>
        <w:t>de la entidad designada</w:t>
      </w:r>
      <w:r w:rsidRPr="00AC291C">
        <w:rPr>
          <w:rFonts w:ascii="Verdana" w:eastAsia="Calibri" w:hAnsi="Verdana" w:cs="Arial"/>
        </w:rPr>
        <w:t>, idea que fundamenta el cumplimiento de elemento característico de la definición de acto administrativo</w:t>
      </w:r>
      <w:r>
        <w:rPr>
          <w:rStyle w:val="Refdenotaalpie"/>
          <w:rFonts w:ascii="Verdana" w:eastAsia="Calibri" w:hAnsi="Verdana" w:cs="Arial"/>
        </w:rPr>
        <w:footnoteReference w:id="14"/>
      </w:r>
      <w:r w:rsidRPr="00AC291C">
        <w:rPr>
          <w:rFonts w:ascii="Verdana" w:eastAsia="Calibri" w:hAnsi="Verdana" w:cs="Arial"/>
        </w:rPr>
        <w:t xml:space="preserve">. </w:t>
      </w:r>
    </w:p>
    <w:p w14:paraId="2240CCDA" w14:textId="77777777" w:rsidR="00A0731F" w:rsidRPr="00AC291C" w:rsidRDefault="00A0731F" w:rsidP="00A0731F">
      <w:pPr>
        <w:spacing w:after="120" w:line="276" w:lineRule="auto"/>
        <w:jc w:val="both"/>
        <w:rPr>
          <w:rFonts w:ascii="Verdana" w:eastAsia="Calibri" w:hAnsi="Verdana" w:cs="Arial"/>
        </w:rPr>
      </w:pPr>
      <w:r w:rsidRPr="00AC291C">
        <w:rPr>
          <w:rFonts w:ascii="Verdana" w:eastAsia="Calibri" w:hAnsi="Verdana" w:cs="Arial"/>
        </w:rPr>
        <w:tab/>
        <w:t xml:space="preserve">Además, esta decisión unilateral depende de un </w:t>
      </w:r>
      <w:r w:rsidRPr="00AC291C">
        <w:rPr>
          <w:rFonts w:ascii="Verdana" w:eastAsia="Calibri" w:hAnsi="Verdana" w:cs="Arial"/>
          <w:i/>
          <w:iCs/>
        </w:rPr>
        <w:t>órgano estatal en cumplimiento de la función administrativa</w:t>
      </w:r>
      <w:r>
        <w:rPr>
          <w:rFonts w:ascii="Verdana" w:eastAsia="Calibri" w:hAnsi="Verdana" w:cs="Arial"/>
        </w:rPr>
        <w:t>, la cual se define tanto</w:t>
      </w:r>
      <w:r w:rsidRPr="00B33A59">
        <w:rPr>
          <w:rFonts w:ascii="Verdana" w:eastAsia="Calibri" w:hAnsi="Verdana" w:cs="Arial"/>
          <w:color w:val="000000" w:themeColor="text1"/>
          <w:lang w:val="es-ES_tradnl"/>
        </w:rPr>
        <w:t xml:space="preserve"> desde un punto de vista negativo</w:t>
      </w:r>
      <w:r>
        <w:rPr>
          <w:rFonts w:ascii="Verdana" w:eastAsia="Calibri" w:hAnsi="Verdana" w:cs="Arial"/>
          <w:color w:val="000000" w:themeColor="text1"/>
          <w:lang w:val="es-ES_tradnl"/>
        </w:rPr>
        <w:t xml:space="preserve"> como</w:t>
      </w:r>
      <w:r w:rsidRPr="00B33A59">
        <w:rPr>
          <w:rFonts w:ascii="Verdana" w:eastAsia="Calibri" w:hAnsi="Verdana" w:cs="Arial"/>
          <w:color w:val="000000" w:themeColor="text1"/>
          <w:lang w:val="es-ES_tradnl"/>
        </w:rPr>
        <w:t xml:space="preserve"> positivo. En la primera perspectiva, tiene carácter residual y, por tanto, corresponde a las potestades que </w:t>
      </w:r>
      <w:proofErr w:type="gramStart"/>
      <w:r w:rsidRPr="00B33A59">
        <w:rPr>
          <w:rFonts w:ascii="Verdana" w:eastAsia="Calibri" w:hAnsi="Verdana" w:cs="Arial"/>
          <w:color w:val="000000" w:themeColor="text1"/>
          <w:lang w:val="es-ES_tradnl"/>
        </w:rPr>
        <w:t>le</w:t>
      </w:r>
      <w:proofErr w:type="gramEnd"/>
      <w:r w:rsidRPr="00B33A59">
        <w:rPr>
          <w:rFonts w:ascii="Verdana" w:eastAsia="Calibri" w:hAnsi="Verdana" w:cs="Arial"/>
          <w:color w:val="000000" w:themeColor="text1"/>
          <w:lang w:val="es-ES_tradnl"/>
        </w:rPr>
        <w:t xml:space="preserve"> quedan a las entidades </w:t>
      </w:r>
      <w:r>
        <w:rPr>
          <w:rFonts w:ascii="Verdana" w:eastAsia="Calibri" w:hAnsi="Verdana" w:cs="Arial"/>
          <w:color w:val="000000" w:themeColor="text1"/>
          <w:lang w:val="es-ES_tradnl"/>
        </w:rPr>
        <w:t>del Estado</w:t>
      </w:r>
      <w:r w:rsidRPr="00B33A59">
        <w:rPr>
          <w:rFonts w:ascii="Verdana" w:eastAsia="Calibri" w:hAnsi="Verdana" w:cs="Arial"/>
          <w:color w:val="000000" w:themeColor="text1"/>
          <w:lang w:val="es-ES_tradnl"/>
        </w:rPr>
        <w:t xml:space="preserve"> después de restar aquellas que impliquen la facultad de dictar normas generales obligatorias para los ciudadanos, resolver controversias con efectos de cosa juzgada o ejercer atribuciones en el ámbito fiscal, disciplinario o electoral</w:t>
      </w:r>
      <w:r w:rsidRPr="00B33A59">
        <w:rPr>
          <w:rStyle w:val="Refdenotaalpie"/>
          <w:rFonts w:ascii="Verdana" w:eastAsia="Calibri" w:hAnsi="Verdana" w:cs="Arial"/>
          <w:color w:val="000000" w:themeColor="text1"/>
          <w:lang w:val="es-ES_tradnl"/>
        </w:rPr>
        <w:footnoteReference w:id="15"/>
      </w:r>
      <w:r w:rsidRPr="00B33A59">
        <w:rPr>
          <w:rFonts w:ascii="Verdana" w:eastAsia="Calibri" w:hAnsi="Verdana" w:cs="Arial"/>
          <w:color w:val="000000" w:themeColor="text1"/>
          <w:lang w:val="es-ES_tradnl"/>
        </w:rPr>
        <w:t>. Por otra parte, también puede definirse como toda actividad concreta dirigida a la realización de los fines del Estado, así como a la integración de la actividad individual en vista del interés general</w:t>
      </w:r>
      <w:r w:rsidRPr="00B33A59">
        <w:rPr>
          <w:rStyle w:val="Refdenotaalpie"/>
          <w:rFonts w:ascii="Verdana" w:eastAsia="Calibri" w:hAnsi="Verdana" w:cs="Arial"/>
          <w:color w:val="000000" w:themeColor="text1"/>
          <w:lang w:val="es-ES_tradnl"/>
        </w:rPr>
        <w:footnoteReference w:id="16"/>
      </w:r>
      <w:r w:rsidRPr="00B33A59">
        <w:rPr>
          <w:rFonts w:ascii="Verdana" w:eastAsia="Calibri" w:hAnsi="Verdana" w:cs="Arial"/>
          <w:color w:val="000000" w:themeColor="text1"/>
          <w:lang w:val="es-ES_tradnl"/>
        </w:rPr>
        <w:t>.</w:t>
      </w:r>
      <w:r>
        <w:rPr>
          <w:rFonts w:ascii="Verdana" w:eastAsia="Calibri" w:hAnsi="Verdana" w:cs="Arial"/>
          <w:color w:val="000000" w:themeColor="text1"/>
          <w:lang w:val="es-ES_tradnl"/>
        </w:rPr>
        <w:t xml:space="preserve"> Así, la designación del ejecutor en los proyectos de inversión del </w:t>
      </w:r>
      <w:r>
        <w:rPr>
          <w:rFonts w:ascii="Verdana" w:eastAsia="Calibri" w:hAnsi="Verdana" w:cs="Arial"/>
          <w:bCs/>
          <w:color w:val="000000" w:themeColor="text1"/>
        </w:rPr>
        <w:t xml:space="preserve">Sistema General de Regalías no corresponde al ejercicio de otras funciones del Estado –legislativa, judicial, de control o electoral–, además de que busca la satisfacción del bien común. </w:t>
      </w:r>
    </w:p>
    <w:p w14:paraId="2AFF7B59" w14:textId="77777777" w:rsidR="00A0731F" w:rsidRPr="00AC291C" w:rsidRDefault="00A0731F" w:rsidP="00A0731F">
      <w:pPr>
        <w:spacing w:after="120" w:line="276" w:lineRule="auto"/>
        <w:jc w:val="both"/>
        <w:rPr>
          <w:rFonts w:ascii="Verdana" w:eastAsia="Calibri" w:hAnsi="Verdana" w:cs="Arial"/>
        </w:rPr>
      </w:pPr>
      <w:r>
        <w:rPr>
          <w:rFonts w:ascii="Arial" w:eastAsia="Calibri" w:hAnsi="Arial" w:cs="Arial"/>
        </w:rPr>
        <w:tab/>
      </w:r>
      <w:r w:rsidRPr="00AC291C">
        <w:rPr>
          <w:rFonts w:ascii="Verdana" w:eastAsia="Calibri" w:hAnsi="Verdana" w:cs="Arial"/>
        </w:rPr>
        <w:t xml:space="preserve">Por último, </w:t>
      </w:r>
      <w:r>
        <w:rPr>
          <w:rFonts w:ascii="Verdana" w:eastAsia="Calibri" w:hAnsi="Verdana" w:cs="Arial"/>
        </w:rPr>
        <w:t>la designación del ejecutor</w:t>
      </w:r>
      <w:r w:rsidRPr="00AC291C">
        <w:rPr>
          <w:rFonts w:ascii="Verdana" w:eastAsia="Calibri" w:hAnsi="Verdana" w:cs="Arial"/>
        </w:rPr>
        <w:t xml:space="preserve"> implica una </w:t>
      </w:r>
      <w:r w:rsidRPr="00AC291C">
        <w:rPr>
          <w:rFonts w:ascii="Verdana" w:eastAsia="Calibri" w:hAnsi="Verdana" w:cs="Arial"/>
          <w:i/>
          <w:iCs/>
        </w:rPr>
        <w:t>decisión que produce efectos jurídicos</w:t>
      </w:r>
      <w:r w:rsidRPr="00AC291C">
        <w:rPr>
          <w:rFonts w:ascii="Verdana" w:eastAsia="Calibri" w:hAnsi="Verdana" w:cs="Arial"/>
        </w:rPr>
        <w:t>, creando, modificando o extinguiendo situaciones jurídicas</w:t>
      </w:r>
      <w:r w:rsidRPr="00AC291C">
        <w:rPr>
          <w:rStyle w:val="Refdenotaalpie"/>
          <w:rFonts w:ascii="Verdana" w:eastAsia="Calibri" w:hAnsi="Verdana" w:cs="Arial"/>
        </w:rPr>
        <w:footnoteReference w:id="17"/>
      </w:r>
      <w:r w:rsidRPr="00AC291C">
        <w:rPr>
          <w:rFonts w:ascii="Verdana" w:eastAsia="Calibri" w:hAnsi="Verdana" w:cs="Arial"/>
        </w:rPr>
        <w:t>. Su expedición no sólo implica el cumplimiento de un debe</w:t>
      </w:r>
      <w:r>
        <w:rPr>
          <w:rFonts w:ascii="Verdana" w:eastAsia="Calibri" w:hAnsi="Verdana" w:cs="Arial"/>
        </w:rPr>
        <w:t>r</w:t>
      </w:r>
      <w:r w:rsidRPr="00AC291C">
        <w:rPr>
          <w:rFonts w:ascii="Verdana" w:eastAsia="Calibri" w:hAnsi="Verdana" w:cs="Arial"/>
        </w:rPr>
        <w:t xml:space="preserve"> legal, sino que también </w:t>
      </w:r>
      <w:r>
        <w:rPr>
          <w:rFonts w:ascii="Verdana" w:eastAsia="Calibri" w:hAnsi="Verdana" w:cs="Arial"/>
        </w:rPr>
        <w:t xml:space="preserve">obliga al destinatario a hacer uso eficaz y eficiente de los recursos </w:t>
      </w:r>
      <w:r>
        <w:rPr>
          <w:rFonts w:ascii="Verdana" w:eastAsia="Calibri" w:hAnsi="Verdana" w:cs="Arial"/>
        </w:rPr>
        <w:lastRenderedPageBreak/>
        <w:t>asignados para la ejecución del proyecto</w:t>
      </w:r>
      <w:r w:rsidRPr="00AC291C">
        <w:rPr>
          <w:rFonts w:ascii="Verdana" w:eastAsia="Calibri" w:hAnsi="Verdana" w:cs="Arial"/>
        </w:rPr>
        <w:t xml:space="preserve">. </w:t>
      </w:r>
      <w:r>
        <w:rPr>
          <w:rFonts w:ascii="Verdana" w:eastAsia="Calibri" w:hAnsi="Verdana" w:cs="Arial"/>
        </w:rPr>
        <w:t>De esta manera la entidad ejecutora tiene el deber de velar por el cumplimiento oportuno de las metas propuestas y rendir cuentas las gestiones realizadas.</w:t>
      </w:r>
    </w:p>
    <w:p w14:paraId="262BC8FF" w14:textId="77777777" w:rsidR="00A0731F" w:rsidRDefault="00A0731F" w:rsidP="00A0731F">
      <w:pPr>
        <w:spacing w:after="120" w:line="276" w:lineRule="auto"/>
        <w:ind w:firstLine="709"/>
        <w:jc w:val="both"/>
        <w:rPr>
          <w:rFonts w:ascii="Verdana" w:hAnsi="Verdana" w:cs="Arial"/>
        </w:rPr>
      </w:pPr>
      <w:bookmarkStart w:id="7" w:name="_Hlk37098845"/>
      <w:r w:rsidRPr="00AC291C">
        <w:rPr>
          <w:rFonts w:ascii="Verdana" w:eastAsia="Calibri" w:hAnsi="Verdana" w:cs="Arial"/>
        </w:rPr>
        <w:t xml:space="preserve">Analizados estos elementos, </w:t>
      </w:r>
      <w:r>
        <w:rPr>
          <w:rFonts w:ascii="Verdana" w:eastAsia="Calibri" w:hAnsi="Verdana" w:cs="Arial"/>
        </w:rPr>
        <w:t>la Agencia</w:t>
      </w:r>
      <w:r w:rsidRPr="00AC291C">
        <w:rPr>
          <w:rFonts w:ascii="Verdana" w:eastAsia="Calibri" w:hAnsi="Verdana" w:cs="Arial"/>
        </w:rPr>
        <w:t xml:space="preserve"> concluye que </w:t>
      </w:r>
      <w:r>
        <w:rPr>
          <w:rFonts w:ascii="Verdana" w:eastAsia="Calibri" w:hAnsi="Verdana" w:cs="Arial"/>
        </w:rPr>
        <w:t xml:space="preserve">la </w:t>
      </w:r>
      <w:r>
        <w:rPr>
          <w:rFonts w:ascii="Verdana" w:eastAsia="Calibri" w:hAnsi="Verdana" w:cs="Arial"/>
          <w:bCs/>
          <w:color w:val="000000" w:themeColor="text1"/>
        </w:rPr>
        <w:t>designación de la entidad ejecutora en los proyectos adelantados con cargo al Sistema General de Regalías</w:t>
      </w:r>
      <w:r w:rsidRPr="00AC291C">
        <w:rPr>
          <w:rFonts w:ascii="Verdana" w:eastAsia="Calibri" w:hAnsi="Verdana" w:cs="Arial"/>
        </w:rPr>
        <w:t xml:space="preserve"> </w:t>
      </w:r>
      <w:r>
        <w:rPr>
          <w:rFonts w:ascii="Verdana" w:eastAsia="Calibri" w:hAnsi="Verdana" w:cs="Arial"/>
        </w:rPr>
        <w:t>corresponde a</w:t>
      </w:r>
      <w:r w:rsidRPr="00AC291C">
        <w:rPr>
          <w:rFonts w:ascii="Verdana" w:eastAsia="Calibri" w:hAnsi="Verdana" w:cs="Arial"/>
        </w:rPr>
        <w:t xml:space="preserve"> un acto administrativo con independencia de que adopte el nombre de decreto, resolución, acuerdo, etc., pues lo determinante es el cumplimiento los requisitos que determinan su naturaleza</w:t>
      </w:r>
      <w:r>
        <w:rPr>
          <w:rFonts w:ascii="Verdana" w:eastAsia="Calibri" w:hAnsi="Verdana" w:cs="Arial"/>
        </w:rPr>
        <w:t>. U</w:t>
      </w:r>
      <w:r w:rsidRPr="00AC291C">
        <w:rPr>
          <w:rFonts w:ascii="Verdana" w:eastAsia="Calibri" w:hAnsi="Verdana" w:cs="Arial"/>
        </w:rPr>
        <w:t>na vez concurren sus elementos de existencia, la validez depende de la competencia de funcionario, la ausencia de desviación de poder, la licitud del objeto, entre otras</w:t>
      </w:r>
      <w:bookmarkEnd w:id="7"/>
      <w:r w:rsidRPr="00AC291C">
        <w:rPr>
          <w:rFonts w:ascii="Verdana" w:eastAsia="Calibri" w:hAnsi="Verdana" w:cs="Arial"/>
        </w:rPr>
        <w:t>.</w:t>
      </w:r>
      <w:r>
        <w:rPr>
          <w:rFonts w:ascii="Verdana" w:eastAsia="Calibri" w:hAnsi="Verdana" w:cs="Arial"/>
        </w:rPr>
        <w:t xml:space="preserve"> Al ser un acto administrativo, la designación no corresponde a un contrato estatal, de forma que ni siquiera tiene la naturaleza de un convenio interadministrativo</w:t>
      </w:r>
      <w:r>
        <w:rPr>
          <w:rStyle w:val="Refdenotaalpie"/>
          <w:rFonts w:ascii="Verdana" w:eastAsia="Calibri" w:hAnsi="Verdana" w:cs="Arial"/>
        </w:rPr>
        <w:footnoteReference w:id="18"/>
      </w:r>
      <w:r>
        <w:rPr>
          <w:rFonts w:ascii="Verdana" w:eastAsia="Calibri" w:hAnsi="Verdana" w:cs="Arial"/>
        </w:rPr>
        <w:t xml:space="preserve">. En consecuencia, la designación no requiere aceptación de la entidad ejecutora ni ésta se considera contratista </w:t>
      </w:r>
      <w:r>
        <w:rPr>
          <w:rFonts w:ascii="Verdana" w:hAnsi="Verdana" w:cs="Arial"/>
        </w:rPr>
        <w:t>de los</w:t>
      </w:r>
      <w:r w:rsidRPr="0015567A">
        <w:rPr>
          <w:rFonts w:ascii="Verdana" w:hAnsi="Verdana" w:cs="Arial"/>
        </w:rPr>
        <w:t xml:space="preserve"> órganos de que tratan los artículos 35 y 36</w:t>
      </w:r>
      <w:r>
        <w:rPr>
          <w:rFonts w:ascii="Verdana" w:hAnsi="Verdana" w:cs="Arial"/>
        </w:rPr>
        <w:t xml:space="preserve"> de la </w:t>
      </w:r>
      <w:r w:rsidRPr="00BD247A">
        <w:rPr>
          <w:rFonts w:ascii="Verdana" w:hAnsi="Verdana" w:cs="Arial"/>
        </w:rPr>
        <w:t>Ley 2056 de 2020</w:t>
      </w:r>
      <w:r>
        <w:rPr>
          <w:rFonts w:ascii="Verdana" w:hAnsi="Verdana" w:cs="Arial"/>
        </w:rPr>
        <w:t>.</w:t>
      </w:r>
    </w:p>
    <w:p w14:paraId="78CA92EF" w14:textId="77777777" w:rsidR="00A0731F" w:rsidRDefault="00A0731F" w:rsidP="00A0731F">
      <w:pPr>
        <w:spacing w:after="0" w:line="276" w:lineRule="auto"/>
        <w:ind w:firstLine="709"/>
        <w:jc w:val="both"/>
        <w:rPr>
          <w:rFonts w:ascii="Verdana" w:hAnsi="Verdana" w:cs="Arial"/>
        </w:rPr>
      </w:pPr>
      <w:r>
        <w:rPr>
          <w:rFonts w:ascii="Verdana" w:hAnsi="Verdana" w:cs="Arial"/>
        </w:rPr>
        <w:t xml:space="preserve">Conforme al numeral 2 del artículo </w:t>
      </w:r>
      <w:r w:rsidRPr="00ED2311">
        <w:rPr>
          <w:rFonts w:ascii="Verdana" w:hAnsi="Verdana" w:cs="Arial"/>
        </w:rPr>
        <w:t>1.2.10.1.2</w:t>
      </w:r>
      <w:r>
        <w:rPr>
          <w:rFonts w:ascii="Verdana" w:hAnsi="Verdana" w:cs="Arial"/>
        </w:rPr>
        <w:t xml:space="preserve"> del Decreto 1821 de 2020, las entidades ejecutoras son “[…]</w:t>
      </w:r>
      <w:r w:rsidRPr="00ED2311">
        <w:rPr>
          <w:rFonts w:ascii="Verdana" w:hAnsi="Verdana" w:cs="Arial"/>
        </w:rPr>
        <w:t xml:space="preserve"> aquellas entidades de naturaleza pública, esquemas asociativos territoriales, las señaladas en el parágrafo primero del artículo 84 y el parágrafo primero del artículo 98 de la Ley 2056 de 2020 designadas para la ejecución de proyectos de inversión financiados con recursos del SGR por las instancias competentes para su aprobación, así como los ejecutores de que trata el artículo 54 de la Ley 2056 de 2020</w:t>
      </w:r>
      <w:r>
        <w:rPr>
          <w:rFonts w:ascii="Verdana" w:hAnsi="Verdana" w:cs="Arial"/>
        </w:rPr>
        <w:t xml:space="preserve">”. Estos órganos podrán recibir la designación de que trata el inciso primero del </w:t>
      </w:r>
      <w:r w:rsidRPr="0015567A">
        <w:rPr>
          <w:rFonts w:ascii="Verdana" w:hAnsi="Verdana" w:cs="Arial"/>
        </w:rPr>
        <w:t>artículo 37 de la Ley 2056 de 2020</w:t>
      </w:r>
      <w:r>
        <w:rPr>
          <w:rFonts w:ascii="Verdana" w:hAnsi="Verdana" w:cs="Arial"/>
        </w:rPr>
        <w:t>, por lo que adquieren las responsabilidad previstas en la norma especial y su reglamento correspondiente.</w:t>
      </w:r>
    </w:p>
    <w:p w14:paraId="0E73D2CA" w14:textId="77777777" w:rsidR="00A0731F" w:rsidRDefault="00A0731F" w:rsidP="00A0731F">
      <w:pPr>
        <w:spacing w:after="0" w:line="276" w:lineRule="auto"/>
        <w:ind w:firstLine="709"/>
        <w:jc w:val="both"/>
        <w:rPr>
          <w:rFonts w:ascii="Verdana" w:hAnsi="Verdana" w:cs="Arial"/>
        </w:rPr>
      </w:pPr>
    </w:p>
    <w:p w14:paraId="0C6A3B85" w14:textId="77777777" w:rsidR="00A0731F" w:rsidRPr="00F473B6" w:rsidRDefault="00A0731F" w:rsidP="00A0731F">
      <w:pPr>
        <w:spacing w:line="276" w:lineRule="auto"/>
        <w:jc w:val="both"/>
        <w:rPr>
          <w:rFonts w:ascii="Verdana" w:hAnsi="Verdana" w:cs="Arial"/>
          <w:noProof/>
        </w:rPr>
      </w:pPr>
      <w:proofErr w:type="spellStart"/>
      <w:r w:rsidRPr="00F473B6">
        <w:rPr>
          <w:rFonts w:ascii="Verdana" w:hAnsi="Verdana" w:cs="Arial"/>
        </w:rPr>
        <w:t>iv</w:t>
      </w:r>
      <w:proofErr w:type="spellEnd"/>
      <w:r w:rsidRPr="00F473B6">
        <w:rPr>
          <w:rFonts w:ascii="Verdana" w:hAnsi="Verdana" w:cs="Arial"/>
        </w:rPr>
        <w:t xml:space="preserve">. En todo caso, el parágrafo primero del artículo 37 </w:t>
      </w:r>
      <w:r w:rsidRPr="00F473B6">
        <w:rPr>
          <w:rFonts w:ascii="Verdana" w:hAnsi="Verdana" w:cs="Arial"/>
          <w:i/>
          <w:iCs/>
        </w:rPr>
        <w:t>ibidem</w:t>
      </w:r>
      <w:r w:rsidRPr="00F473B6">
        <w:rPr>
          <w:rFonts w:ascii="Verdana" w:hAnsi="Verdana" w:cs="Arial"/>
        </w:rPr>
        <w:t xml:space="preserve"> dispone</w:t>
      </w:r>
      <w:r>
        <w:rPr>
          <w:rFonts w:ascii="Verdana" w:hAnsi="Verdana" w:cs="Arial"/>
        </w:rPr>
        <w:t xml:space="preserve"> lo siguiente</w:t>
      </w:r>
      <w:r w:rsidRPr="00F473B6">
        <w:rPr>
          <w:rFonts w:ascii="Verdana" w:hAnsi="Verdana" w:cs="Arial"/>
        </w:rPr>
        <w:t xml:space="preserve">: </w:t>
      </w:r>
      <w:r>
        <w:rPr>
          <w:rFonts w:ascii="Verdana" w:hAnsi="Verdana" w:cs="Arial"/>
        </w:rPr>
        <w:t>“</w:t>
      </w:r>
      <w:r w:rsidRPr="00F473B6">
        <w:rPr>
          <w:rFonts w:ascii="Verdana" w:hAnsi="Verdana" w:cs="Arial"/>
        </w:rPr>
        <w:t xml:space="preserve">La ejecución de proyectos de </w:t>
      </w:r>
      <w:proofErr w:type="spellStart"/>
      <w:r w:rsidRPr="00F473B6">
        <w:rPr>
          <w:rFonts w:ascii="Verdana" w:hAnsi="Verdana" w:cs="Arial"/>
        </w:rPr>
        <w:t>que</w:t>
      </w:r>
      <w:proofErr w:type="spellEnd"/>
      <w:r w:rsidRPr="00F473B6">
        <w:rPr>
          <w:rFonts w:ascii="Verdana" w:hAnsi="Verdana" w:cs="Arial"/>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w:t>
      </w:r>
      <w:r w:rsidRPr="00F473B6">
        <w:rPr>
          <w:rFonts w:ascii="Verdana" w:hAnsi="Verdana" w:cs="Arial"/>
        </w:rPr>
        <w:lastRenderedPageBreak/>
        <w:t>evaluación y control</w:t>
      </w:r>
      <w:r>
        <w:rPr>
          <w:rFonts w:ascii="Verdana" w:hAnsi="Verdana" w:cs="Arial"/>
        </w:rPr>
        <w:t>”</w:t>
      </w:r>
      <w:r w:rsidRPr="00F473B6">
        <w:rPr>
          <w:rStyle w:val="Refdenotaalpie"/>
          <w:rFonts w:ascii="Verdana" w:hAnsi="Verdana" w:cs="Arial"/>
        </w:rPr>
        <w:footnoteReference w:id="19"/>
      </w:r>
      <w:r w:rsidRPr="00F473B6">
        <w:rPr>
          <w:rFonts w:ascii="Verdana" w:hAnsi="Verdana" w:cs="Arial"/>
        </w:rPr>
        <w:t>.</w:t>
      </w:r>
      <w:r w:rsidRPr="00F473B6">
        <w:rPr>
          <w:rFonts w:ascii="Verdana" w:hAnsi="Verdana" w:cs="Arial"/>
          <w:noProof/>
        </w:rPr>
        <w:t xml:space="preserve"> A partir de esta norma, el ejercutor de los proyectos de inversion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14:paraId="627A1044" w14:textId="77777777" w:rsidR="00A0731F" w:rsidRPr="00F473B6" w:rsidRDefault="00A0731F" w:rsidP="00A0731F">
      <w:pPr>
        <w:spacing w:before="120" w:line="276" w:lineRule="auto"/>
        <w:ind w:firstLine="709"/>
        <w:jc w:val="both"/>
        <w:rPr>
          <w:rFonts w:ascii="Verdana" w:hAnsi="Verdana" w:cs="Arial"/>
        </w:rPr>
      </w:pPr>
      <w:r w:rsidRPr="00F473B6">
        <w:rPr>
          <w:rFonts w:ascii="Verdana" w:eastAsia="Calibri" w:hAnsi="Verdana" w:cs="Arial"/>
          <w:lang w:val="es-ES_tradnl"/>
        </w:rPr>
        <w:t xml:space="preserve">Igualmente, es importante referenciar lo prescrito en los artículos 85, 99 y 109 de la Ley 2056 de 2020 sobre los recursos del Sistema General de Regalías. </w:t>
      </w:r>
      <w:bookmarkStart w:id="9" w:name="_Hlk66438231"/>
      <w:r w:rsidRPr="00F473B6">
        <w:rPr>
          <w:rFonts w:ascii="Verdana" w:eastAsia="Calibri" w:hAnsi="Verdana" w:cs="Arial"/>
          <w:lang w:val="es-ES_tradnl"/>
        </w:rPr>
        <w:t xml:space="preserve">En efecto, </w:t>
      </w:r>
      <w:r w:rsidRPr="00F473B6">
        <w:rPr>
          <w:rFonts w:ascii="Verdana" w:hAnsi="Verdana" w:cs="Arial"/>
        </w:rPr>
        <w:t xml:space="preserve">conforme a los preceptos citados, </w:t>
      </w:r>
      <w:bookmarkStart w:id="10" w:name="_Hlk71740241"/>
      <w:r w:rsidRPr="00F473B6">
        <w:rPr>
          <w:rFonts w:ascii="Verdana" w:hAnsi="Verdana" w:cs="Arial"/>
        </w:rPr>
        <w:t xml:space="preserve">cuando dichos recursos sean para proyectos de inversión en i) pueblos y </w:t>
      </w:r>
      <w:bookmarkStart w:id="11" w:name="_Hlk66435016"/>
      <w:r w:rsidRPr="00F473B6">
        <w:rPr>
          <w:rFonts w:ascii="Verdana" w:hAnsi="Verdana" w:cs="Arial"/>
        </w:rPr>
        <w:t>comunidades indígenas</w:t>
      </w:r>
      <w:bookmarkEnd w:id="11"/>
      <w:r w:rsidRPr="00F473B6">
        <w:rPr>
          <w:rFonts w:ascii="Verdana" w:hAnsi="Verdana" w:cs="Arial"/>
        </w:rPr>
        <w:t xml:space="preserve">, </w:t>
      </w:r>
      <w:proofErr w:type="spellStart"/>
      <w:r w:rsidRPr="00F473B6">
        <w:rPr>
          <w:rFonts w:ascii="Verdana" w:hAnsi="Verdana" w:cs="Arial"/>
        </w:rPr>
        <w:t>ii</w:t>
      </w:r>
      <w:proofErr w:type="spellEnd"/>
      <w:r w:rsidRPr="00F473B6">
        <w:rPr>
          <w:rFonts w:ascii="Verdana" w:hAnsi="Verdana" w:cs="Arial"/>
        </w:rPr>
        <w:t xml:space="preserve">) comunidades negras, afrocolombiana, raizales y palenqueras y </w:t>
      </w:r>
      <w:proofErr w:type="spellStart"/>
      <w:r w:rsidRPr="00F473B6">
        <w:rPr>
          <w:rFonts w:ascii="Verdana" w:hAnsi="Verdana" w:cs="Arial"/>
        </w:rPr>
        <w:t>iii</w:t>
      </w:r>
      <w:proofErr w:type="spellEnd"/>
      <w:r w:rsidRPr="00F473B6">
        <w:rPr>
          <w:rFonts w:ascii="Verdana" w:hAnsi="Verdana" w:cs="Arial"/>
        </w:rPr>
        <w:t xml:space="preserve">) el pueblo </w:t>
      </w:r>
      <w:proofErr w:type="spellStart"/>
      <w:r w:rsidRPr="00F473B6">
        <w:rPr>
          <w:rFonts w:ascii="Verdana" w:hAnsi="Verdana" w:cs="Arial"/>
        </w:rPr>
        <w:t>Rrom</w:t>
      </w:r>
      <w:proofErr w:type="spellEnd"/>
      <w:r w:rsidRPr="00F473B6">
        <w:rPr>
          <w:rFonts w:ascii="Verdana" w:hAnsi="Verdana" w:cs="Arial"/>
        </w:rPr>
        <w:t xml:space="preserve"> o gitano, </w:t>
      </w:r>
      <w:r>
        <w:rPr>
          <w:rFonts w:ascii="Verdana" w:hAnsi="Verdana" w:cs="Arial"/>
          <w:sz w:val="20"/>
          <w:szCs w:val="20"/>
        </w:rPr>
        <w:t>“</w:t>
      </w:r>
      <w:r w:rsidRPr="00F473B6">
        <w:rPr>
          <w:rFonts w:ascii="Verdana" w:hAnsi="Verdana" w:cs="Arial"/>
        </w:rPr>
        <w:t>los actos o contratos que expidan o celebren los ejecutores se regirán por las normas presupuestales contenidas en la presente ley, el Estatuto de Contratación Estatal, las normas contables que para este efecto defina la Contaduría General de la Nación y las demás disposiciones complementarias</w:t>
      </w:r>
      <w:r>
        <w:rPr>
          <w:rFonts w:ascii="Verdana" w:hAnsi="Verdana" w:cs="Arial"/>
        </w:rPr>
        <w:t>”</w:t>
      </w:r>
      <w:r w:rsidRPr="00F473B6">
        <w:rPr>
          <w:rFonts w:ascii="Verdana" w:hAnsi="Verdana" w:cs="Arial"/>
        </w:rPr>
        <w:t>.</w:t>
      </w:r>
      <w:bookmarkEnd w:id="9"/>
      <w:r w:rsidRPr="00F473B6">
        <w:rPr>
          <w:rFonts w:ascii="Verdana" w:hAnsi="Verdana" w:cs="Arial"/>
        </w:rPr>
        <w:t xml:space="preserve"> </w:t>
      </w:r>
      <w:bookmarkEnd w:id="10"/>
      <w:r w:rsidRPr="00F473B6">
        <w:rPr>
          <w:rFonts w:ascii="Verdana" w:hAnsi="Verdana" w:cs="Arial"/>
        </w:rPr>
        <w:t xml:space="preserve">Por su parte, los artículos 83, 98 y 108 de la Ley 2056 de 2020 determinan que </w:t>
      </w:r>
      <w:r w:rsidRPr="00F473B6">
        <w:rPr>
          <w:rFonts w:ascii="Verdana" w:hAnsi="Verdana" w:cs="Arial"/>
        </w:rPr>
        <w:lastRenderedPageBreak/>
        <w:t xml:space="preserve">la designación del ejecutor de los recursos corresponde tanto a las instancias de decisión de las comunidades indígenas, negras, afrocolombiana, raizales y palenqueras como la Comisión Nacional de Diálogo del Pueblo </w:t>
      </w:r>
      <w:proofErr w:type="spellStart"/>
      <w:r w:rsidRPr="00F473B6">
        <w:rPr>
          <w:rFonts w:ascii="Verdana" w:hAnsi="Verdana" w:cs="Arial"/>
        </w:rPr>
        <w:t>Rrom</w:t>
      </w:r>
      <w:proofErr w:type="spellEnd"/>
      <w:r w:rsidRPr="00F473B6">
        <w:rPr>
          <w:rFonts w:ascii="Verdana" w:hAnsi="Verdana" w:cs="Arial"/>
        </w:rPr>
        <w:t xml:space="preserve"> o Gitano. </w:t>
      </w:r>
      <w:r w:rsidRPr="00F473B6">
        <w:rPr>
          <w:rFonts w:ascii="Verdana" w:eastAsia="Calibri" w:hAnsi="Verdana" w:cs="Arial"/>
        </w:rPr>
        <w:t xml:space="preserve">Esto, sin </w:t>
      </w:r>
      <w:r w:rsidRPr="00F473B6">
        <w:rPr>
          <w:rFonts w:ascii="Verdana" w:hAnsi="Verdana" w:cs="Arial"/>
        </w:rPr>
        <w:t xml:space="preserve">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7FCEEE52" w14:textId="77777777" w:rsidR="00A0731F" w:rsidRDefault="00A0731F" w:rsidP="00A0731F">
      <w:pPr>
        <w:spacing w:after="0" w:line="276" w:lineRule="auto"/>
        <w:ind w:firstLine="709"/>
        <w:jc w:val="both"/>
        <w:rPr>
          <w:rFonts w:ascii="Verdana" w:hAnsi="Verdana" w:cs="Arial"/>
          <w:bdr w:val="none" w:sz="0" w:space="0" w:color="auto" w:frame="1"/>
        </w:rPr>
      </w:pPr>
      <w:r w:rsidRPr="00F473B6">
        <w:rPr>
          <w:rFonts w:ascii="Verdana" w:hAnsi="Verdana" w:cs="Arial"/>
        </w:rPr>
        <w:t xml:space="preserve">Por tanto, en caso de que se realicen proyectos de inversión en el marco del Sistema General de Garantías, como también aquellos proyectos especiales referenciados </w:t>
      </w:r>
      <w:r w:rsidRPr="00F473B6">
        <w:rPr>
          <w:rFonts w:ascii="Verdana" w:hAnsi="Verdana" w:cs="Arial"/>
          <w:i/>
          <w:iCs/>
        </w:rPr>
        <w:t>ut supra</w:t>
      </w:r>
      <w:r w:rsidRPr="00F473B6">
        <w:rPr>
          <w:rFonts w:ascii="Verdana" w:hAnsi="Verdana" w:cs="Arial"/>
        </w:rPr>
        <w:t>, los ejecutores designados para desarrollarlos deben sujetarse al Estatuto General de Contratación de la Administración Pública</w:t>
      </w:r>
      <w:r w:rsidRPr="00F473B6">
        <w:rPr>
          <w:rFonts w:ascii="Verdana" w:eastAsia="Calibri" w:hAnsi="Verdana" w:cs="Arial"/>
        </w:rPr>
        <w:t>.</w:t>
      </w:r>
      <w:r w:rsidRPr="00F473B6">
        <w:rPr>
          <w:rFonts w:ascii="Verdana" w:hAnsi="Verdana" w:cs="Arial"/>
        </w:rPr>
        <w:t xml:space="preserve"> </w:t>
      </w:r>
      <w:r w:rsidRPr="00F473B6">
        <w:rPr>
          <w:rFonts w:ascii="Verdana" w:hAnsi="Verdana" w:cs="Arial"/>
          <w:bdr w:val="none" w:sz="0" w:space="0" w:color="auto" w:frame="1"/>
        </w:rPr>
        <w:t xml:space="preserve">En el evento en que determinados asuntos estén sometidos por norma especial al Estatuto General de Contratación Pública, la ejecución de los contratos deberá realizarse conforme a este régimen. </w:t>
      </w:r>
    </w:p>
    <w:p w14:paraId="4099B607" w14:textId="77777777" w:rsidR="00A0731F" w:rsidRDefault="00A0731F" w:rsidP="00A0731F">
      <w:pPr>
        <w:spacing w:after="0" w:line="276" w:lineRule="auto"/>
        <w:ind w:firstLine="709"/>
        <w:jc w:val="both"/>
        <w:rPr>
          <w:rFonts w:ascii="Verdana" w:hAnsi="Verdana" w:cs="Arial"/>
          <w:bdr w:val="none" w:sz="0" w:space="0" w:color="auto" w:frame="1"/>
        </w:rPr>
      </w:pPr>
    </w:p>
    <w:p w14:paraId="63E8F625" w14:textId="77777777" w:rsidR="00A0731F" w:rsidRPr="007A47F9" w:rsidRDefault="00A0731F" w:rsidP="00A0731F">
      <w:pPr>
        <w:widowControl w:val="0"/>
        <w:autoSpaceDE w:val="0"/>
        <w:autoSpaceDN w:val="0"/>
        <w:spacing w:after="0" w:line="276" w:lineRule="auto"/>
        <w:jc w:val="both"/>
        <w:rPr>
          <w:rFonts w:ascii="Verdana" w:hAnsi="Verdana" w:cs="Arial"/>
          <w:lang w:eastAsia="es-ES"/>
        </w:rPr>
      </w:pPr>
      <w:r>
        <w:rPr>
          <w:rFonts w:ascii="Verdana" w:hAnsi="Verdana" w:cs="Arial"/>
          <w:bdr w:val="none" w:sz="0" w:space="0" w:color="auto" w:frame="1"/>
        </w:rPr>
        <w:t xml:space="preserve">v.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designación de los ejecutores </w:t>
      </w:r>
      <w:r>
        <w:rPr>
          <w:rFonts w:ascii="Verdana" w:eastAsia="Calibri" w:hAnsi="Verdana" w:cs="Arial"/>
          <w:bCs/>
          <w:color w:val="000000" w:themeColor="text1"/>
        </w:rPr>
        <w:t>en los proyectos adelantados con cargo al Sistema General de Regalías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7B37CDD8" w14:textId="77777777" w:rsidR="00A0731F" w:rsidRPr="00301910" w:rsidRDefault="00A0731F" w:rsidP="00A0731F">
      <w:pPr>
        <w:spacing w:before="120" w:after="0" w:line="276" w:lineRule="auto"/>
        <w:ind w:firstLine="709"/>
        <w:jc w:val="both"/>
        <w:rPr>
          <w:rFonts w:ascii="Verdana" w:hAnsi="Verdana" w:cs="Arial"/>
          <w:lang w:eastAsia="es-ES"/>
        </w:rPr>
      </w:pPr>
      <w:r w:rsidRPr="00301910">
        <w:rPr>
          <w:rFonts w:ascii="Verdana" w:hAnsi="Verdana" w:cs="Arial"/>
          <w:lang w:eastAsia="es-ES"/>
        </w:rPr>
        <w:t xml:space="preserve">Dentro de este marco, la entidad </w:t>
      </w:r>
      <w:r>
        <w:rPr>
          <w:rFonts w:ascii="Verdana" w:hAnsi="Verdana" w:cs="Arial"/>
          <w:lang w:eastAsia="es-ES"/>
        </w:rPr>
        <w:t>facultada para ello</w:t>
      </w:r>
      <w:r w:rsidRPr="00301910">
        <w:rPr>
          <w:rFonts w:ascii="Verdana" w:hAnsi="Verdana" w:cs="Arial"/>
          <w:lang w:eastAsia="es-ES"/>
        </w:rPr>
        <w:t xml:space="preserve"> definirá en cada caso concreto lo</w:t>
      </w:r>
      <w:r>
        <w:rPr>
          <w:rFonts w:ascii="Verdana" w:hAnsi="Verdana" w:cs="Arial"/>
          <w:lang w:eastAsia="es-ES"/>
        </w:rPr>
        <w:t xml:space="preserve"> </w:t>
      </w:r>
      <w:r w:rsidRPr="00301910">
        <w:rPr>
          <w:rFonts w:ascii="Verdana" w:hAnsi="Verdana" w:cs="Arial"/>
          <w:lang w:eastAsia="es-ES"/>
        </w:rPr>
        <w:t xml:space="preserve">relacionado con </w:t>
      </w:r>
      <w:r>
        <w:rPr>
          <w:rFonts w:ascii="Verdana" w:hAnsi="Verdana" w:cs="Arial"/>
          <w:lang w:eastAsia="es-ES"/>
        </w:rPr>
        <w:t>la posibilidad de las universidades públicas puedan designarse como ejecutoras</w:t>
      </w:r>
      <w:r w:rsidRPr="00301910">
        <w:rPr>
          <w:rFonts w:ascii="Verdana" w:hAnsi="Verdana" w:cs="Arial"/>
          <w:lang w:eastAsia="es-ES"/>
        </w:rPr>
        <w:t xml:space="preserve">. </w:t>
      </w:r>
      <w:r>
        <w:rPr>
          <w:rFonts w:ascii="Verdana" w:hAnsi="Verdana" w:cs="Arial"/>
          <w:lang w:eastAsia="es-ES"/>
        </w:rPr>
        <w:t xml:space="preserve">Como el Departamento Nacional de Planeación es el órgano rector del </w:t>
      </w:r>
      <w:r>
        <w:rPr>
          <w:rFonts w:ascii="Verdana" w:eastAsia="Calibri" w:hAnsi="Verdana" w:cs="Arial"/>
          <w:bCs/>
          <w:color w:val="000000" w:themeColor="text1"/>
        </w:rPr>
        <w:t>Sistema General de Regalías</w:t>
      </w:r>
      <w:r w:rsidRPr="00301910">
        <w:rPr>
          <w:rFonts w:ascii="Verdana" w:hAnsi="Verdana" w:cs="Arial"/>
          <w:lang w:eastAsia="es-ES"/>
        </w:rPr>
        <w:t xml:space="preserve">,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xml:space="preserve">, cada entidad definirá la forma de adelantar </w:t>
      </w:r>
      <w:r>
        <w:rPr>
          <w:rFonts w:ascii="Verdana" w:hAnsi="Verdana" w:cs="Arial"/>
          <w:lang w:eastAsia="es-ES"/>
        </w:rPr>
        <w:t>la designación de los ejecutores</w:t>
      </w:r>
      <w:r w:rsidRPr="00301910">
        <w:rPr>
          <w:rFonts w:ascii="Verdana" w:hAnsi="Verdana" w:cs="Arial"/>
          <w:lang w:eastAsia="es-ES"/>
        </w:rPr>
        <w:t xml:space="preserve">, </w:t>
      </w:r>
      <w:r>
        <w:rPr>
          <w:rFonts w:ascii="Verdana" w:hAnsi="Verdana" w:cs="Arial"/>
          <w:lang w:eastAsia="es-ES"/>
        </w:rPr>
        <w:t>por lo que cualquier inquietud adicional que exceda la esfera de lo contractual debe ser consultada con el DNP</w:t>
      </w:r>
      <w:r w:rsidRPr="00301910">
        <w:rPr>
          <w:rFonts w:ascii="Verdana" w:hAnsi="Verdana" w:cs="Arial"/>
          <w:lang w:eastAsia="es-ES"/>
        </w:rPr>
        <w:t>.</w:t>
      </w:r>
    </w:p>
    <w:p w14:paraId="26E0C098" w14:textId="77777777" w:rsidR="00A0731F" w:rsidRPr="007A47F9" w:rsidRDefault="00A0731F" w:rsidP="00A0731F">
      <w:pPr>
        <w:spacing w:after="0" w:line="276" w:lineRule="auto"/>
        <w:jc w:val="both"/>
        <w:rPr>
          <w:rFonts w:ascii="Verdana" w:hAnsi="Verdana" w:cs="Arial"/>
          <w:bdr w:val="none" w:sz="0" w:space="0" w:color="auto" w:frame="1"/>
        </w:rPr>
      </w:pPr>
      <w:r>
        <w:rPr>
          <w:rFonts w:ascii="Verdana" w:hAnsi="Verdana" w:cs="Arial"/>
          <w:bdr w:val="none" w:sz="0" w:space="0" w:color="auto" w:frame="1"/>
        </w:rPr>
        <w:t xml:space="preserve"> </w:t>
      </w:r>
    </w:p>
    <w:p w14:paraId="17495B11" w14:textId="77777777" w:rsidR="00A0731F" w:rsidRPr="00593A5F" w:rsidRDefault="00A0731F" w:rsidP="00A0731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lastRenderedPageBreak/>
        <w:t>Referencias normativas:</w:t>
      </w:r>
    </w:p>
    <w:p w14:paraId="74375877" w14:textId="77777777" w:rsidR="00A0731F" w:rsidRPr="00593A5F" w:rsidRDefault="00A0731F" w:rsidP="00A0731F">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0731F" w:rsidRPr="002407CE" w14:paraId="32E05AFE" w14:textId="77777777" w:rsidTr="00462217">
        <w:trPr>
          <w:trHeight w:val="870"/>
          <w:jc w:val="center"/>
        </w:trPr>
        <w:tc>
          <w:tcPr>
            <w:tcW w:w="8647" w:type="dxa"/>
          </w:tcPr>
          <w:p w14:paraId="0A49BD67" w14:textId="77777777" w:rsidR="00A0731F" w:rsidRDefault="00A0731F" w:rsidP="00A0731F">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 xml:space="preserve">Constitución Política de 1991, artículos 360 y 361. </w:t>
            </w:r>
          </w:p>
          <w:p w14:paraId="49F3C8BF" w14:textId="77777777" w:rsidR="00A0731F" w:rsidRPr="00B478FA" w:rsidRDefault="00A0731F" w:rsidP="00462217">
            <w:pPr>
              <w:pStyle w:val="Prrafodelista"/>
              <w:widowControl w:val="0"/>
              <w:autoSpaceDE w:val="0"/>
              <w:autoSpaceDN w:val="0"/>
              <w:spacing w:line="276" w:lineRule="auto"/>
              <w:jc w:val="both"/>
              <w:rPr>
                <w:rFonts w:ascii="Verdana" w:hAnsi="Verdana" w:cs="Arial"/>
                <w:sz w:val="12"/>
                <w:szCs w:val="12"/>
              </w:rPr>
            </w:pPr>
          </w:p>
          <w:p w14:paraId="2869274C" w14:textId="77777777" w:rsidR="00A0731F" w:rsidRDefault="00A0731F" w:rsidP="00A0731F">
            <w:pPr>
              <w:pStyle w:val="Prrafodelista"/>
              <w:widowControl w:val="0"/>
              <w:numPr>
                <w:ilvl w:val="0"/>
                <w:numId w:val="17"/>
              </w:numPr>
              <w:autoSpaceDE w:val="0"/>
              <w:autoSpaceDN w:val="0"/>
              <w:spacing w:line="276" w:lineRule="auto"/>
              <w:jc w:val="both"/>
              <w:rPr>
                <w:rFonts w:ascii="Verdana" w:hAnsi="Verdana" w:cs="Arial"/>
              </w:rPr>
            </w:pPr>
            <w:r w:rsidRPr="00EA612E">
              <w:rPr>
                <w:rFonts w:ascii="Verdana" w:hAnsi="Verdana" w:cs="Arial"/>
              </w:rPr>
              <w:t xml:space="preserve">Ley </w:t>
            </w:r>
            <w:r>
              <w:rPr>
                <w:rFonts w:ascii="Verdana" w:hAnsi="Verdana" w:cs="Arial"/>
              </w:rPr>
              <w:t>2056 de 2020</w:t>
            </w:r>
            <w:r w:rsidRPr="00EA612E">
              <w:rPr>
                <w:rFonts w:ascii="Verdana" w:hAnsi="Verdana" w:cs="Arial"/>
              </w:rPr>
              <w:t>, artículo</w:t>
            </w:r>
            <w:r>
              <w:rPr>
                <w:rFonts w:ascii="Verdana" w:hAnsi="Verdana" w:cs="Arial"/>
              </w:rPr>
              <w:t>s 28 a 37, 83, 87, 98, 99, 101, 108 y 109</w:t>
            </w:r>
            <w:r w:rsidRPr="00EA612E">
              <w:rPr>
                <w:rFonts w:ascii="Verdana" w:hAnsi="Verdana" w:cs="Arial"/>
              </w:rPr>
              <w:t xml:space="preserve">. </w:t>
            </w:r>
          </w:p>
          <w:p w14:paraId="65155544" w14:textId="77777777" w:rsidR="00A0731F" w:rsidRPr="00775AF4" w:rsidRDefault="00A0731F" w:rsidP="00462217">
            <w:pPr>
              <w:pStyle w:val="Prrafodelista"/>
              <w:rPr>
                <w:rFonts w:ascii="Verdana" w:hAnsi="Verdana" w:cs="Arial"/>
                <w:sz w:val="12"/>
                <w:szCs w:val="12"/>
              </w:rPr>
            </w:pPr>
          </w:p>
          <w:p w14:paraId="7E74F68E" w14:textId="77777777" w:rsidR="00A0731F" w:rsidRDefault="00A0731F" w:rsidP="00A0731F">
            <w:pPr>
              <w:pStyle w:val="Prrafodelista"/>
              <w:widowControl w:val="0"/>
              <w:numPr>
                <w:ilvl w:val="0"/>
                <w:numId w:val="17"/>
              </w:numPr>
              <w:autoSpaceDE w:val="0"/>
              <w:autoSpaceDN w:val="0"/>
              <w:spacing w:line="276" w:lineRule="auto"/>
              <w:jc w:val="both"/>
              <w:rPr>
                <w:rFonts w:ascii="Verdana" w:hAnsi="Verdana" w:cs="Arial"/>
              </w:rPr>
            </w:pPr>
            <w:r w:rsidRPr="00775AF4">
              <w:rPr>
                <w:rFonts w:ascii="Verdana" w:hAnsi="Verdana" w:cs="Arial"/>
              </w:rPr>
              <w:t>Decreto 1821 de 2020</w:t>
            </w:r>
            <w:r>
              <w:rPr>
                <w:rFonts w:ascii="Verdana" w:hAnsi="Verdana" w:cs="Arial"/>
              </w:rPr>
              <w:t xml:space="preserve">, artículo </w:t>
            </w:r>
            <w:r w:rsidRPr="00775AF4">
              <w:rPr>
                <w:rFonts w:ascii="Verdana" w:hAnsi="Verdana" w:cs="Arial"/>
              </w:rPr>
              <w:t>1.2.10.1.2</w:t>
            </w:r>
            <w:r>
              <w:rPr>
                <w:rFonts w:ascii="Verdana" w:hAnsi="Verdana" w:cs="Arial"/>
              </w:rPr>
              <w:t xml:space="preserve">. </w:t>
            </w:r>
          </w:p>
          <w:p w14:paraId="68239228" w14:textId="77777777" w:rsidR="00A0731F" w:rsidRPr="00B478FA" w:rsidRDefault="00A0731F" w:rsidP="00462217">
            <w:pPr>
              <w:widowControl w:val="0"/>
              <w:autoSpaceDE w:val="0"/>
              <w:autoSpaceDN w:val="0"/>
              <w:spacing w:line="276" w:lineRule="auto"/>
              <w:jc w:val="both"/>
              <w:rPr>
                <w:rFonts w:ascii="Verdana" w:hAnsi="Verdana" w:cs="Arial"/>
                <w:sz w:val="12"/>
                <w:szCs w:val="12"/>
              </w:rPr>
            </w:pPr>
          </w:p>
          <w:p w14:paraId="37AAEA04" w14:textId="77777777" w:rsidR="00A0731F" w:rsidRPr="001C6C6F" w:rsidRDefault="00A0731F" w:rsidP="00A0731F">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Código Civil</w:t>
            </w:r>
            <w:r w:rsidRPr="00EA612E">
              <w:rPr>
                <w:rFonts w:ascii="Verdana" w:hAnsi="Verdana" w:cs="Arial"/>
              </w:rPr>
              <w:t xml:space="preserve">, artículos </w:t>
            </w:r>
            <w:r>
              <w:rPr>
                <w:rFonts w:ascii="Verdana" w:hAnsi="Verdana" w:cs="Arial"/>
              </w:rPr>
              <w:t>28, 29 y 1495</w:t>
            </w:r>
            <w:r w:rsidRPr="00EA612E">
              <w:rPr>
                <w:rFonts w:ascii="Verdana" w:hAnsi="Verdana" w:cs="Arial"/>
              </w:rPr>
              <w:t>.</w:t>
            </w:r>
          </w:p>
        </w:tc>
      </w:tr>
    </w:tbl>
    <w:p w14:paraId="640F9D4F" w14:textId="77777777" w:rsidR="00A0731F" w:rsidRPr="002407CE" w:rsidRDefault="00A0731F" w:rsidP="00A0731F">
      <w:pPr>
        <w:widowControl w:val="0"/>
        <w:autoSpaceDE w:val="0"/>
        <w:autoSpaceDN w:val="0"/>
        <w:spacing w:after="0" w:line="276" w:lineRule="auto"/>
        <w:jc w:val="both"/>
        <w:rPr>
          <w:rFonts w:ascii="Verdana" w:hAnsi="Verdana" w:cs="Arial"/>
        </w:rPr>
      </w:pPr>
    </w:p>
    <w:p w14:paraId="4612D423" w14:textId="77777777" w:rsidR="00A0731F" w:rsidRPr="00593A5F" w:rsidRDefault="00A0731F" w:rsidP="00A0731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B6126E5" w14:textId="77777777" w:rsidR="00A0731F" w:rsidRPr="00593A5F" w:rsidRDefault="00A0731F" w:rsidP="00A0731F">
      <w:pPr>
        <w:widowControl w:val="0"/>
        <w:autoSpaceDE w:val="0"/>
        <w:autoSpaceDN w:val="0"/>
        <w:spacing w:after="0" w:line="276" w:lineRule="auto"/>
        <w:jc w:val="both"/>
        <w:rPr>
          <w:rFonts w:ascii="Verdana" w:hAnsi="Verdana" w:cs="Arial"/>
        </w:rPr>
      </w:pPr>
    </w:p>
    <w:p w14:paraId="391DF369" w14:textId="77777777" w:rsidR="00A0731F" w:rsidRDefault="00A0731F" w:rsidP="00A0731F">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5344DB">
        <w:rPr>
          <w:rStyle w:val="normaltextrun"/>
          <w:rFonts w:ascii="Verdana" w:hAnsi="Verdana" w:cs="Arial"/>
          <w:shd w:val="clear" w:color="auto" w:fill="FFFFFF"/>
        </w:rPr>
        <w:t xml:space="preserve">Esta Subdirección se ha pronunciado sobre </w:t>
      </w:r>
      <w:r>
        <w:rPr>
          <w:rStyle w:val="normaltextrun"/>
          <w:rFonts w:ascii="Verdana" w:hAnsi="Verdana" w:cs="Arial"/>
          <w:shd w:val="clear" w:color="auto" w:fill="FFFFFF"/>
        </w:rPr>
        <w:t xml:space="preserve">las particularidades del Sistema General de Regalías en los Conceptos </w:t>
      </w:r>
      <w:r w:rsidRPr="006F5818">
        <w:rPr>
          <w:rStyle w:val="normaltextrun"/>
          <w:rFonts w:ascii="Verdana" w:hAnsi="Verdana" w:cs="Arial"/>
          <w:shd w:val="clear" w:color="auto" w:fill="FFFFFF"/>
        </w:rPr>
        <w:t>C-604 del 09 de septiembre de 2020,</w:t>
      </w:r>
      <w:r>
        <w:rPr>
          <w:rStyle w:val="normaltextrun"/>
          <w:rFonts w:ascii="Verdana" w:hAnsi="Verdana" w:cs="Arial"/>
          <w:shd w:val="clear" w:color="auto" w:fill="FFFFFF"/>
        </w:rPr>
        <w:t xml:space="preserve"> </w:t>
      </w:r>
      <w:r w:rsidRPr="006F5818">
        <w:rPr>
          <w:rStyle w:val="normaltextrun"/>
          <w:rFonts w:ascii="Verdana" w:hAnsi="Verdana" w:cs="Arial"/>
          <w:shd w:val="clear" w:color="auto" w:fill="FFFFFF"/>
        </w:rPr>
        <w:t>C-370 del 28 de julio de 2021, C-095 del 22 de marzo de 2022, C-353 del 2 de junio de 2022</w:t>
      </w:r>
      <w:r>
        <w:rPr>
          <w:rStyle w:val="normaltextrun"/>
          <w:rFonts w:ascii="Verdana" w:hAnsi="Verdana" w:cs="Arial"/>
          <w:shd w:val="clear" w:color="auto" w:fill="FFFFFF"/>
        </w:rPr>
        <w:t xml:space="preserve"> y </w:t>
      </w:r>
      <w:r w:rsidRPr="00102CE7">
        <w:rPr>
          <w:rStyle w:val="normaltextrun"/>
          <w:rFonts w:ascii="Verdana" w:hAnsi="Verdana" w:cs="Arial"/>
          <w:shd w:val="clear" w:color="auto" w:fill="FFFFFF"/>
        </w:rPr>
        <w:t>Concepto C-489 del 1˚ de agosto de 2022</w:t>
      </w:r>
      <w:r w:rsidRPr="008D0AB0">
        <w:rPr>
          <w:rStyle w:val="normaltextrun"/>
          <w:rFonts w:ascii="Verdana" w:hAnsi="Verdana" w:cs="Arial"/>
          <w:shd w:val="clear" w:color="auto" w:fill="FFFFFF"/>
        </w:rPr>
        <w:t xml:space="preserve">. Estos y otros 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 xml:space="preserve">. </w:t>
      </w:r>
    </w:p>
    <w:p w14:paraId="4D0FE347" w14:textId="77777777" w:rsidR="00A0731F" w:rsidRDefault="00A0731F" w:rsidP="00A0731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58EF65A" w14:textId="77777777" w:rsidR="00A0731F" w:rsidRPr="00A1554D" w:rsidRDefault="00A0731F" w:rsidP="00A0731F">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Pr>
          <w:rFonts w:ascii="Verdana" w:hAnsi="Verdana" w:cs="Arial"/>
          <w:color w:val="000000" w:themeColor="text1"/>
          <w:shd w:val="clear" w:color="auto" w:fill="FFFFFF"/>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088DD98D" w14:textId="77777777" w:rsidR="00A0731F" w:rsidRPr="00E648DC" w:rsidRDefault="00A0731F" w:rsidP="00455658">
      <w:pPr>
        <w:widowControl w:val="0"/>
        <w:autoSpaceDE w:val="0"/>
        <w:autoSpaceDN w:val="0"/>
        <w:spacing w:after="120" w:line="276" w:lineRule="auto"/>
        <w:jc w:val="both"/>
        <w:rPr>
          <w:rFonts w:ascii="Verdana" w:hAnsi="Verdana" w:cs="Arial"/>
          <w:lang w:val="es-MX"/>
        </w:rPr>
      </w:pPr>
    </w:p>
    <w:p w14:paraId="44DFBDA1" w14:textId="77777777" w:rsidR="00A0731F" w:rsidRPr="00593A5F" w:rsidRDefault="00A0731F" w:rsidP="00A0731F">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567AA74C" w14:textId="77777777" w:rsidR="00A0731F" w:rsidRPr="00593A5F" w:rsidRDefault="00A0731F" w:rsidP="00A0731F">
      <w:pPr>
        <w:widowControl w:val="0"/>
        <w:autoSpaceDE w:val="0"/>
        <w:autoSpaceDN w:val="0"/>
        <w:spacing w:after="0" w:line="276" w:lineRule="auto"/>
        <w:jc w:val="both"/>
        <w:rPr>
          <w:rFonts w:ascii="Verdana" w:hAnsi="Verdana" w:cs="Arial"/>
        </w:rPr>
      </w:pPr>
    </w:p>
    <w:p w14:paraId="3A70F855" w14:textId="77777777" w:rsidR="00A0731F" w:rsidRPr="00593A5F" w:rsidRDefault="00A0731F" w:rsidP="00A0731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AF3BA09" w14:textId="3991D98D" w:rsidR="00A0731F" w:rsidRPr="00593A5F" w:rsidRDefault="00063016" w:rsidP="00A0731F">
      <w:pPr>
        <w:spacing w:line="276" w:lineRule="auto"/>
        <w:jc w:val="center"/>
        <w:rPr>
          <w:rFonts w:ascii="Verdana" w:hAnsi="Verdana" w:cs="Arial"/>
          <w:color w:val="000000"/>
          <w:lang w:val="es-ES_tradnl" w:eastAsia="es-CO"/>
        </w:rPr>
      </w:pPr>
      <w:r>
        <w:rPr>
          <w:noProof/>
        </w:rPr>
        <w:drawing>
          <wp:inline distT="0" distB="0" distL="0" distR="0" wp14:anchorId="2B53CE0A" wp14:editId="49142AFA">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0731F" w:rsidRPr="00593A5F" w14:paraId="087103A3" w14:textId="77777777" w:rsidTr="00462217">
        <w:trPr>
          <w:trHeight w:val="315"/>
        </w:trPr>
        <w:tc>
          <w:tcPr>
            <w:tcW w:w="893" w:type="dxa"/>
            <w:vAlign w:val="center"/>
            <w:hideMark/>
          </w:tcPr>
          <w:p w14:paraId="1334A6FE" w14:textId="77777777" w:rsidR="00A0731F" w:rsidRPr="003751C7" w:rsidRDefault="00A0731F" w:rsidP="00462217">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65F708D5" w14:textId="77777777" w:rsidR="00A0731F" w:rsidRPr="00254A7A" w:rsidRDefault="00A0731F" w:rsidP="00462217">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511AB3D0" w14:textId="77777777" w:rsidR="00A0731F" w:rsidRPr="00254A7A" w:rsidRDefault="00A0731F" w:rsidP="00462217">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A0731F" w:rsidRPr="00593A5F" w14:paraId="617A719D" w14:textId="77777777" w:rsidTr="00462217">
        <w:trPr>
          <w:trHeight w:val="330"/>
        </w:trPr>
        <w:tc>
          <w:tcPr>
            <w:tcW w:w="893" w:type="dxa"/>
            <w:vAlign w:val="center"/>
            <w:hideMark/>
          </w:tcPr>
          <w:p w14:paraId="72A54C38" w14:textId="77777777" w:rsidR="00A0731F" w:rsidRPr="003751C7" w:rsidRDefault="00A0731F" w:rsidP="0046221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A69EF89" w14:textId="77777777" w:rsidR="00A0731F" w:rsidRPr="00254A7A" w:rsidRDefault="00A0731F" w:rsidP="00462217">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5D1749E3" w14:textId="77777777" w:rsidR="00A0731F" w:rsidRPr="00254A7A" w:rsidRDefault="00A0731F" w:rsidP="00462217">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A0731F" w:rsidRPr="00593A5F" w14:paraId="45F472DB" w14:textId="77777777" w:rsidTr="00462217">
        <w:trPr>
          <w:trHeight w:val="300"/>
        </w:trPr>
        <w:tc>
          <w:tcPr>
            <w:tcW w:w="893" w:type="dxa"/>
            <w:vAlign w:val="center"/>
          </w:tcPr>
          <w:p w14:paraId="3165804F" w14:textId="77777777" w:rsidR="00A0731F" w:rsidRPr="003751C7" w:rsidRDefault="00A0731F" w:rsidP="0046221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DF81C3C" w14:textId="77777777" w:rsidR="00A0731F" w:rsidRPr="003751C7" w:rsidRDefault="00A0731F" w:rsidP="00462217">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525FF2DA" w14:textId="77777777" w:rsidR="00A0731F" w:rsidRPr="003751C7" w:rsidRDefault="00A0731F" w:rsidP="00462217">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0F293BF4" w14:textId="7BBFAB11" w:rsidR="00127233" w:rsidRPr="00107983" w:rsidRDefault="00127233" w:rsidP="00AE719F">
      <w:pPr>
        <w:spacing w:after="0" w:line="240" w:lineRule="auto"/>
      </w:pPr>
    </w:p>
    <w:sectPr w:rsidR="00127233" w:rsidRPr="00107983"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2A61" w14:textId="77777777" w:rsidR="00574DE9" w:rsidRDefault="00574DE9" w:rsidP="004A1847">
      <w:pPr>
        <w:spacing w:after="0" w:line="240" w:lineRule="auto"/>
      </w:pPr>
      <w:r>
        <w:separator/>
      </w:r>
    </w:p>
  </w:endnote>
  <w:endnote w:type="continuationSeparator" w:id="0">
    <w:p w14:paraId="29CE0F97" w14:textId="77777777" w:rsidR="00574DE9" w:rsidRDefault="00574DE9" w:rsidP="004A1847">
      <w:pPr>
        <w:spacing w:after="0" w:line="240" w:lineRule="auto"/>
      </w:pPr>
      <w:r>
        <w:continuationSeparator/>
      </w:r>
    </w:p>
  </w:endnote>
  <w:endnote w:type="continuationNotice" w:id="1">
    <w:p w14:paraId="5F7F5D49" w14:textId="77777777" w:rsidR="00574DE9" w:rsidRDefault="00574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FAE3F" w14:textId="77777777" w:rsidR="00574DE9" w:rsidRDefault="00574DE9" w:rsidP="004A1847">
      <w:pPr>
        <w:spacing w:after="0" w:line="240" w:lineRule="auto"/>
      </w:pPr>
      <w:r>
        <w:separator/>
      </w:r>
    </w:p>
  </w:footnote>
  <w:footnote w:type="continuationSeparator" w:id="0">
    <w:p w14:paraId="2A1103AA" w14:textId="77777777" w:rsidR="00574DE9" w:rsidRDefault="00574DE9" w:rsidP="004A1847">
      <w:pPr>
        <w:spacing w:after="0" w:line="240" w:lineRule="auto"/>
      </w:pPr>
      <w:r>
        <w:continuationSeparator/>
      </w:r>
    </w:p>
  </w:footnote>
  <w:footnote w:type="continuationNotice" w:id="1">
    <w:p w14:paraId="7A47F485" w14:textId="77777777" w:rsidR="00574DE9" w:rsidRDefault="00574DE9">
      <w:pPr>
        <w:spacing w:after="0" w:line="240" w:lineRule="auto"/>
      </w:pPr>
    </w:p>
  </w:footnote>
  <w:footnote w:id="2">
    <w:p w14:paraId="253A7BDE" w14:textId="77777777" w:rsidR="00A0731F" w:rsidRPr="00F473B6" w:rsidRDefault="00A0731F" w:rsidP="00A0731F">
      <w:pPr>
        <w:pStyle w:val="Textonotapie"/>
        <w:ind w:firstLine="708"/>
        <w:jc w:val="both"/>
        <w:rPr>
          <w:rFonts w:ascii="Verdana" w:hAnsi="Verdana" w:cs="Arial"/>
          <w:sz w:val="16"/>
          <w:szCs w:val="16"/>
          <w:shd w:val="clear" w:color="auto" w:fill="FFFFFF"/>
        </w:rPr>
      </w:pPr>
      <w:r w:rsidRPr="00F473B6">
        <w:rPr>
          <w:rStyle w:val="Refdenotaalpie"/>
          <w:rFonts w:ascii="Verdana" w:hAnsi="Verdana" w:cs="Arial"/>
          <w:sz w:val="16"/>
          <w:szCs w:val="16"/>
        </w:rPr>
        <w:footnoteRef/>
      </w:r>
      <w:r w:rsidRPr="00F473B6">
        <w:rPr>
          <w:rFonts w:ascii="Verdana" w:hAnsi="Verdana" w:cs="Arial"/>
          <w:sz w:val="16"/>
          <w:szCs w:val="16"/>
        </w:rPr>
        <w:t xml:space="preserve"> Al respecto, la Corte indicó: “</w:t>
      </w:r>
      <w:r w:rsidRPr="00F473B6">
        <w:rPr>
          <w:rFonts w:ascii="Verdana" w:hAnsi="Verdana" w:cs="Arial"/>
          <w:sz w:val="16"/>
          <w:szCs w:val="16"/>
          <w:shd w:val="clear" w:color="auto" w:fill="FFFFFF"/>
        </w:rPr>
        <w:t>Las regalías son comprendidas por el derecho constitucional como una </w:t>
      </w:r>
      <w:r w:rsidRPr="00F473B6">
        <w:rPr>
          <w:rFonts w:ascii="Verdana" w:hAnsi="Verdana" w:cs="Arial"/>
          <w:i/>
          <w:iCs/>
          <w:sz w:val="16"/>
          <w:szCs w:val="16"/>
          <w:shd w:val="clear" w:color="auto" w:fill="FFFFFF"/>
        </w:rPr>
        <w:t>contraprestación económica </w:t>
      </w:r>
      <w:r w:rsidRPr="00F473B6">
        <w:rPr>
          <w:rFonts w:ascii="Verdana" w:hAnsi="Verdana" w:cs="Arial"/>
          <w:sz w:val="16"/>
          <w:szCs w:val="16"/>
          <w:shd w:val="clear" w:color="auto" w:fill="FFFFFF"/>
        </w:rPr>
        <w:t>que recibe el Estado, en razón de la extracción de recursos naturales no renovables existentes en el subsuelo.  Como lo ha explicado la jurisprudencia reiterada, este concepto refiere a la </w:t>
      </w:r>
      <w:r w:rsidRPr="00F473B6">
        <w:rPr>
          <w:rFonts w:ascii="Verdana" w:hAnsi="Verdana" w:cs="Arial"/>
          <w:i/>
          <w:iCs/>
          <w:sz w:val="16"/>
          <w:szCs w:val="16"/>
          <w:shd w:val="clear" w:color="auto" w:fill="FFFFFF"/>
        </w:rPr>
        <w:t>“c</w:t>
      </w:r>
      <w:r w:rsidRPr="00F473B6">
        <w:rPr>
          <w:rFonts w:ascii="Verdana" w:hAnsi="Verdana" w:cs="Arial"/>
          <w:i/>
          <w:iCs/>
          <w:spacing w:val="-3"/>
          <w:sz w:val="16"/>
          <w:szCs w:val="16"/>
          <w:shd w:val="clear" w:color="auto" w:fill="FFFFFF"/>
        </w:rPr>
        <w:t>ontraprestación económica que percibe el Estado de las personas a quienes se les concede el derecho a explotar los recursos naturales no renovables en determinado porcentaje sobre el producto bruto explotado.</w:t>
      </w:r>
      <w:r w:rsidRPr="00F473B6">
        <w:rPr>
          <w:rFonts w:ascii="Verdana" w:hAnsi="Verdana" w:cs="Arial"/>
          <w:spacing w:val="-3"/>
          <w:sz w:val="16"/>
          <w:szCs w:val="16"/>
          <w:shd w:val="clear" w:color="auto" w:fill="FFFFFF"/>
        </w:rPr>
        <w:t xml:space="preserve"> A su vez, de acuerdo con el mismo precedente, en lo que respecta al derecho a las compensaciones, este </w:t>
      </w:r>
      <w:r w:rsidRPr="00F473B6">
        <w:rPr>
          <w:rFonts w:ascii="Verdana" w:hAnsi="Verdana" w:cs="Arial"/>
          <w:sz w:val="16"/>
          <w:szCs w:val="16"/>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4FAEB091" w14:textId="77777777" w:rsidR="00A0731F" w:rsidRPr="00F473B6" w:rsidRDefault="00A0731F" w:rsidP="00A0731F">
      <w:pPr>
        <w:pStyle w:val="Textonotapie"/>
        <w:ind w:firstLine="708"/>
        <w:jc w:val="both"/>
        <w:rPr>
          <w:rFonts w:ascii="Verdana" w:hAnsi="Verdana" w:cs="Arial"/>
          <w:sz w:val="16"/>
          <w:szCs w:val="16"/>
          <w:shd w:val="clear" w:color="auto" w:fill="FFFFFF"/>
        </w:rPr>
      </w:pPr>
      <w:r w:rsidRPr="00F473B6">
        <w:rPr>
          <w:rFonts w:ascii="Verdana" w:hAnsi="Verdana" w:cs="Arial"/>
          <w:sz w:val="16"/>
          <w:szCs w:val="16"/>
          <w:shd w:val="clear" w:color="auto" w:fill="FFFFFF"/>
        </w:rPr>
        <w:t>Así lo ha explicado la Corte al prever que las regalías carecen de naturaleza tributaria, ya que </w:t>
      </w:r>
      <w:r w:rsidRPr="00F473B6">
        <w:rPr>
          <w:rFonts w:ascii="Verdana" w:hAnsi="Verdana" w:cs="Arial"/>
          <w:i/>
          <w:iCs/>
          <w:sz w:val="16"/>
          <w:szCs w:val="16"/>
          <w:shd w:val="clear" w:color="auto" w:fill="FFFFFF"/>
        </w:rPr>
        <w:t>“</w:t>
      </w:r>
      <w:r w:rsidRPr="00F473B6">
        <w:rPr>
          <w:rFonts w:ascii="Verdana" w:hAnsi="Verdana" w:cs="Arial"/>
          <w:sz w:val="16"/>
          <w:szCs w:val="16"/>
          <w:shd w:val="clear" w:color="auto" w:fill="FFFFFF"/>
        </w:rPr>
        <w:t>[a]</w:t>
      </w:r>
      <w:r w:rsidRPr="00F473B6">
        <w:rPr>
          <w:rFonts w:ascii="Verdana" w:hAnsi="Verdana" w:cs="Arial"/>
          <w:i/>
          <w:iCs/>
          <w:sz w:val="16"/>
          <w:szCs w:val="16"/>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F473B6">
        <w:rPr>
          <w:rFonts w:ascii="Verdana" w:hAnsi="Verdana" w:cs="Arial"/>
          <w:sz w:val="16"/>
          <w:szCs w:val="16"/>
          <w:lang w:val="es-CO"/>
        </w:rPr>
        <w:t>Corte Constitucional. Sentencias C-748 de 2012 y C-010 de 2013. M.P. Luis Ernesto Vargas Silva</w:t>
      </w:r>
    </w:p>
  </w:footnote>
  <w:footnote w:id="3">
    <w:p w14:paraId="7BB87800" w14:textId="77777777" w:rsidR="00A0731F" w:rsidRPr="00F473B6" w:rsidRDefault="00A0731F" w:rsidP="00A0731F">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CÁMARA DE REPRESENTANTES. Exposición de motivos del Proyecto de Ley No 311 de 2020. Gaceta No 638 de 2020. </w:t>
      </w:r>
    </w:p>
  </w:footnote>
  <w:footnote w:id="4">
    <w:p w14:paraId="6EE08338" w14:textId="77777777" w:rsidR="00A0731F" w:rsidRPr="00F473B6" w:rsidRDefault="00A0731F" w:rsidP="00A0731F">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footnote>
  <w:footnote w:id="5">
    <w:p w14:paraId="3616F8D9" w14:textId="77777777" w:rsidR="00A0731F" w:rsidRPr="00F473B6" w:rsidRDefault="00A0731F" w:rsidP="00A0731F">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 </w:t>
      </w:r>
    </w:p>
  </w:footnote>
  <w:footnote w:id="6">
    <w:p w14:paraId="2A558043" w14:textId="77777777" w:rsidR="00A0731F" w:rsidRPr="00F473B6" w:rsidRDefault="00A0731F" w:rsidP="00A0731F">
      <w:pPr>
        <w:pStyle w:val="NormalWeb"/>
        <w:spacing w:beforeAutospacing="0" w:after="0" w:afterAutospacing="0"/>
        <w:ind w:firstLine="708"/>
        <w:jc w:val="both"/>
        <w:rPr>
          <w:rFonts w:ascii="Verdana" w:hAnsi="Verdana" w:cs="Arial"/>
          <w:sz w:val="16"/>
          <w:szCs w:val="16"/>
          <w:lang w:eastAsia="en-US"/>
        </w:rPr>
      </w:pPr>
      <w:r w:rsidRPr="00F473B6">
        <w:rPr>
          <w:rStyle w:val="Refdenotaalpie"/>
          <w:rFonts w:ascii="Verdana" w:hAnsi="Verdana" w:cs="Arial"/>
          <w:sz w:val="16"/>
          <w:szCs w:val="16"/>
        </w:rPr>
        <w:footnoteRef/>
      </w:r>
      <w:r w:rsidRPr="00F473B6">
        <w:rPr>
          <w:rFonts w:ascii="Verdana" w:hAnsi="Verdana" w:cs="Arial"/>
          <w:sz w:val="16"/>
          <w:szCs w:val="16"/>
        </w:rPr>
        <w:t xml:space="preserve"> </w:t>
      </w:r>
      <w:r w:rsidRPr="00F473B6">
        <w:rPr>
          <w:rFonts w:ascii="Verdana" w:hAnsi="Verdana" w:cs="Arial"/>
          <w:color w:val="000000" w:themeColor="text1"/>
          <w:sz w:val="16"/>
          <w:szCs w:val="16"/>
          <w:lang w:val="es-ES_tradnl"/>
        </w:rPr>
        <w:t>“</w:t>
      </w:r>
      <w:r w:rsidRPr="00F473B6">
        <w:rPr>
          <w:rFonts w:ascii="Verdana" w:hAnsi="Verdana" w:cs="Arial"/>
          <w:bCs/>
          <w:sz w:val="16"/>
          <w:szCs w:val="16"/>
        </w:rPr>
        <w:t>Artículo 28. Destinación.</w:t>
      </w:r>
      <w:r w:rsidRPr="00F473B6">
        <w:rPr>
          <w:rFonts w:ascii="Verdana" w:hAnsi="Verdana" w:cs="Arial"/>
          <w:sz w:val="16"/>
          <w:szCs w:val="16"/>
        </w:rPr>
        <w:t xml:space="preserve"> Con los recursos del Sistema General de Regalías se financiarán proyectos de inversión en sus diferentes etapas, siempre y cuando esté definido en los mismos el horizonte de realización.</w:t>
      </w:r>
    </w:p>
    <w:p w14:paraId="2D26659B"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Fonts w:ascii="Verdana" w:hAnsi="Verdana" w:cs="Arial"/>
          <w:sz w:val="16"/>
          <w:szCs w:val="16"/>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3514A7ED"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Fonts w:ascii="Verdana" w:hAnsi="Verdana" w:cs="Arial"/>
          <w:sz w:val="16"/>
          <w:szCs w:val="16"/>
        </w:rPr>
        <w:t>Lo anterior de conformidad con la metodología para la formulación de los proyectos de inversión establecida por el Departamento Nacional de Planeación.</w:t>
      </w:r>
    </w:p>
    <w:p w14:paraId="747B06E9"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Fonts w:ascii="Verdana" w:hAnsi="Verdana" w:cs="Arial"/>
          <w:sz w:val="16"/>
          <w:szCs w:val="16"/>
        </w:rPr>
        <w:t>En todo caso, no podrán financiarse gastos permanentes y, una vez terminada la etapa de inversión, la prestación del servicio debe ser sostenible y financiada por recursos diferentes al Sistema General de Regalías.</w:t>
      </w:r>
    </w:p>
    <w:p w14:paraId="2EC5145A"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w:t>
      </w:r>
      <w:r w:rsidRPr="00F473B6">
        <w:rPr>
          <w:rFonts w:ascii="Verdana" w:hAnsi="Verdana" w:cs="Arial"/>
          <w:sz w:val="16"/>
          <w:szCs w:val="16"/>
        </w:rPr>
        <w:t> Los recursos de que trata este artículo podrán ser usados para financiar parte del Programa de Alimentación Escolar (PAE) y del programa de transporte escolar</w:t>
      </w:r>
      <w:r w:rsidRPr="00F473B6">
        <w:rPr>
          <w:rFonts w:ascii="Verdana" w:hAnsi="Verdana" w:cs="Arial"/>
          <w:color w:val="000000" w:themeColor="text1"/>
          <w:sz w:val="16"/>
          <w:szCs w:val="16"/>
          <w:lang w:val="es-ES_tradnl"/>
        </w:rPr>
        <w:t>”</w:t>
      </w:r>
      <w:r w:rsidRPr="00F473B6">
        <w:rPr>
          <w:rFonts w:ascii="Verdana" w:hAnsi="Verdana" w:cs="Arial"/>
          <w:sz w:val="16"/>
          <w:szCs w:val="16"/>
        </w:rPr>
        <w:t>.</w:t>
      </w:r>
    </w:p>
  </w:footnote>
  <w:footnote w:id="7">
    <w:p w14:paraId="59AA9656" w14:textId="77777777" w:rsidR="00A0731F" w:rsidRPr="00F473B6" w:rsidRDefault="00A0731F" w:rsidP="00A0731F">
      <w:pPr>
        <w:pStyle w:val="NormalWeb"/>
        <w:spacing w:beforeAutospacing="0" w:after="0" w:afterAutospacing="0"/>
        <w:ind w:firstLine="708"/>
        <w:jc w:val="both"/>
        <w:rPr>
          <w:rFonts w:ascii="Verdana" w:hAnsi="Verdana" w:cs="Arial"/>
          <w:sz w:val="16"/>
          <w:szCs w:val="16"/>
          <w:lang w:eastAsia="en-US"/>
        </w:rPr>
      </w:pPr>
      <w:r w:rsidRPr="00F473B6">
        <w:rPr>
          <w:rStyle w:val="Refdenotaalpie"/>
          <w:rFonts w:ascii="Verdana" w:hAnsi="Verdana" w:cs="Arial"/>
          <w:sz w:val="16"/>
          <w:szCs w:val="16"/>
        </w:rPr>
        <w:footnoteRef/>
      </w:r>
      <w:r w:rsidRPr="00F473B6">
        <w:rPr>
          <w:rFonts w:ascii="Verdana" w:hAnsi="Verdana" w:cs="Arial"/>
          <w:sz w:val="16"/>
          <w:szCs w:val="16"/>
        </w:rPr>
        <w:t xml:space="preserve"> </w:t>
      </w:r>
      <w:bookmarkStart w:id="2" w:name="35"/>
      <w:r w:rsidRPr="00F473B6">
        <w:rPr>
          <w:rFonts w:ascii="Verdana" w:hAnsi="Verdana" w:cs="Arial"/>
          <w:sz w:val="16"/>
          <w:szCs w:val="16"/>
        </w:rPr>
        <w:t>“</w:t>
      </w:r>
      <w:r w:rsidRPr="00F473B6">
        <w:rPr>
          <w:rFonts w:ascii="Verdana" w:hAnsi="Verdana" w:cs="Arial"/>
          <w:bCs/>
          <w:sz w:val="16"/>
          <w:szCs w:val="16"/>
        </w:rPr>
        <w:t>Artículo 35. Priorización y aprobación de los proyectos de inversión de la asignación para la inversión regional.</w:t>
      </w:r>
      <w:bookmarkEnd w:id="2"/>
      <w:r w:rsidRPr="00F473B6">
        <w:rPr>
          <w:rFonts w:ascii="Verdana" w:hAnsi="Verdana" w:cs="Arial"/>
          <w:sz w:val="16"/>
          <w:szCs w:val="16"/>
        </w:rPr>
        <w:t> La priorización y aprobación de los proyectos de inversión de la Asignación para la Inversión Regional en cabeza de los departamentos estará a cargo de los respectivos departamentos.</w:t>
      </w:r>
    </w:p>
    <w:p w14:paraId="005652B0"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Fonts w:ascii="Verdana" w:hAnsi="Verdana" w:cs="Arial"/>
          <w:sz w:val="16"/>
          <w:szCs w:val="16"/>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0AAEDD91"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Fonts w:ascii="Verdana" w:hAnsi="Verdana" w:cs="Arial"/>
          <w:sz w:val="16"/>
          <w:szCs w:val="16"/>
        </w:rPr>
        <w:t>[…]</w:t>
      </w:r>
    </w:p>
    <w:p w14:paraId="7176BCEB"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 1o.</w:t>
      </w:r>
      <w:r w:rsidRPr="00F473B6">
        <w:rPr>
          <w:rFonts w:ascii="Verdana" w:hAnsi="Verdana" w:cs="Arial"/>
          <w:sz w:val="16"/>
          <w:szCs w:val="16"/>
        </w:rPr>
        <w:t> En las zonas no interconectadas del país, tendrán especial consideración los proyectos de energización, conectividad e infraestructura vial.</w:t>
      </w:r>
    </w:p>
    <w:p w14:paraId="733A8941" w14:textId="77777777" w:rsidR="00A0731F" w:rsidRPr="00F473B6" w:rsidRDefault="00A0731F" w:rsidP="00A0731F">
      <w:pPr>
        <w:pStyle w:val="NormalWeb"/>
        <w:spacing w:after="0"/>
        <w:ind w:firstLine="708"/>
        <w:jc w:val="both"/>
        <w:rPr>
          <w:rFonts w:ascii="Verdana" w:hAnsi="Verdana" w:cs="Arial"/>
          <w:sz w:val="16"/>
          <w:szCs w:val="16"/>
        </w:rPr>
      </w:pPr>
      <w:r w:rsidRPr="00F473B6">
        <w:rPr>
          <w:rStyle w:val="baj"/>
          <w:rFonts w:ascii="Verdana" w:hAnsi="Verdana" w:cs="Arial"/>
          <w:bCs/>
          <w:sz w:val="16"/>
          <w:szCs w:val="16"/>
        </w:rPr>
        <w:t>Parágrafo 2o.</w:t>
      </w:r>
      <w:r w:rsidRPr="00F473B6">
        <w:rPr>
          <w:rFonts w:ascii="Verdana" w:hAnsi="Verdana" w:cs="Arial"/>
          <w:sz w:val="16"/>
          <w:szCs w:val="16"/>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F473B6">
        <w:rPr>
          <w:rFonts w:ascii="Verdana" w:hAnsi="Verdana" w:cs="Arial"/>
          <w:sz w:val="16"/>
          <w:szCs w:val="16"/>
          <w:lang w:val="es-ES"/>
        </w:rPr>
        <w:t>”</w:t>
      </w:r>
      <w:r w:rsidRPr="00F473B6">
        <w:rPr>
          <w:rFonts w:ascii="Verdana" w:hAnsi="Verdana" w:cs="Arial"/>
          <w:sz w:val="16"/>
          <w:szCs w:val="16"/>
        </w:rPr>
        <w:t>.</w:t>
      </w:r>
    </w:p>
  </w:footnote>
  <w:footnote w:id="8">
    <w:p w14:paraId="27B08A4F" w14:textId="77777777" w:rsidR="00A0731F" w:rsidRPr="00F473B6" w:rsidRDefault="00A0731F" w:rsidP="00A0731F">
      <w:pPr>
        <w:pStyle w:val="NormalWeb"/>
        <w:spacing w:beforeAutospacing="0" w:after="0" w:afterAutospacing="0"/>
        <w:ind w:firstLine="708"/>
        <w:jc w:val="both"/>
        <w:rPr>
          <w:rFonts w:ascii="Verdana" w:hAnsi="Verdana" w:cs="Arial"/>
          <w:sz w:val="16"/>
          <w:szCs w:val="16"/>
          <w:lang w:eastAsia="en-US"/>
        </w:rPr>
      </w:pPr>
      <w:r w:rsidRPr="00F473B6">
        <w:rPr>
          <w:rStyle w:val="Refdenotaalpie"/>
          <w:rFonts w:ascii="Verdana" w:hAnsi="Verdana" w:cs="Arial"/>
          <w:sz w:val="16"/>
          <w:szCs w:val="16"/>
        </w:rPr>
        <w:footnoteRef/>
      </w:r>
      <w:r w:rsidRPr="00F473B6">
        <w:rPr>
          <w:rFonts w:ascii="Verdana" w:hAnsi="Verdana" w:cs="Arial"/>
          <w:sz w:val="16"/>
          <w:szCs w:val="16"/>
        </w:rPr>
        <w:t xml:space="preserve"> “</w:t>
      </w:r>
      <w:bookmarkStart w:id="3" w:name="36"/>
      <w:r w:rsidRPr="00F473B6">
        <w:rPr>
          <w:rFonts w:ascii="Verdana" w:hAnsi="Verdana" w:cs="Arial"/>
          <w:sz w:val="16"/>
          <w:szCs w:val="16"/>
        </w:rPr>
        <w:t xml:space="preserve">Artículo 36. </w:t>
      </w:r>
      <w:r w:rsidRPr="00F473B6">
        <w:rPr>
          <w:rFonts w:ascii="Verdana" w:hAnsi="Verdana" w:cs="Arial"/>
          <w:bCs/>
          <w:sz w:val="16"/>
          <w:szCs w:val="16"/>
        </w:rPr>
        <w:t>Priorización y aprobación de proyectos de inversión para las asignaciones directas y asignación para la inversión local.</w:t>
      </w:r>
      <w:bookmarkEnd w:id="3"/>
      <w:r w:rsidRPr="00F473B6">
        <w:rPr>
          <w:rFonts w:ascii="Verdana" w:hAnsi="Verdana" w:cs="Arial"/>
          <w:sz w:val="16"/>
          <w:szCs w:val="16"/>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3AB6D0BE"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w:t>
      </w:r>
      <w:r w:rsidRPr="00F473B6">
        <w:rPr>
          <w:rFonts w:ascii="Verdana" w:hAnsi="Verdana" w:cs="Arial"/>
          <w:sz w:val="16"/>
          <w:szCs w:val="16"/>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1272CCE9"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Fonts w:ascii="Verdana" w:hAnsi="Verdana" w:cs="Arial"/>
          <w:sz w:val="16"/>
          <w:szCs w:val="16"/>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592BCFD9" w14:textId="77777777" w:rsidR="00A0731F" w:rsidRPr="00F473B6" w:rsidRDefault="00A0731F" w:rsidP="00A0731F">
      <w:pPr>
        <w:pStyle w:val="NormalWeb"/>
        <w:spacing w:beforeAutospacing="0" w:after="0" w:afterAutospacing="0"/>
        <w:ind w:firstLine="708"/>
        <w:jc w:val="both"/>
        <w:rPr>
          <w:rFonts w:ascii="Verdana" w:hAnsi="Verdana" w:cs="Arial"/>
          <w:sz w:val="16"/>
          <w:szCs w:val="16"/>
        </w:rPr>
      </w:pPr>
      <w:r w:rsidRPr="00F473B6">
        <w:rPr>
          <w:rFonts w:ascii="Verdana" w:hAnsi="Verdana" w:cs="Arial"/>
          <w:sz w:val="16"/>
          <w:szCs w:val="16"/>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00D1A36F" w14:textId="77777777" w:rsidR="00A0731F" w:rsidRPr="00F473B6" w:rsidRDefault="00A0731F" w:rsidP="00A0731F">
      <w:pPr>
        <w:pStyle w:val="Textonotapie"/>
        <w:ind w:firstLine="708"/>
        <w:jc w:val="both"/>
        <w:rPr>
          <w:rFonts w:ascii="Verdana" w:hAnsi="Verdana"/>
          <w:sz w:val="16"/>
          <w:szCs w:val="16"/>
          <w:lang w:val="es-CO"/>
        </w:rPr>
      </w:pPr>
      <w:r w:rsidRPr="00F473B6">
        <w:rPr>
          <w:rStyle w:val="baj"/>
          <w:rFonts w:ascii="Verdana" w:hAnsi="Verdana" w:cs="Arial"/>
          <w:bCs/>
          <w:sz w:val="16"/>
          <w:szCs w:val="16"/>
        </w:rPr>
        <w:t>Parágrafo transitorio.</w:t>
      </w:r>
      <w:r w:rsidRPr="00F473B6">
        <w:rPr>
          <w:rFonts w:ascii="Verdana" w:hAnsi="Verdana" w:cs="Arial"/>
          <w:sz w:val="16"/>
          <w:szCs w:val="16"/>
        </w:rPr>
        <w:t> Para el año 2021 no aplicará la metodología de cierre de brechas de que trata el parágrafo anterior dirigida a las entidades territoriales receptoras de la Asignación para la Inversión Local</w:t>
      </w:r>
      <w:r w:rsidRPr="00F473B6">
        <w:rPr>
          <w:rFonts w:ascii="Verdana" w:hAnsi="Verdana" w:cs="Arial"/>
          <w:sz w:val="16"/>
          <w:szCs w:val="16"/>
          <w:lang w:val="es-ES"/>
        </w:rPr>
        <w:t>”</w:t>
      </w:r>
      <w:r w:rsidRPr="00F473B6">
        <w:rPr>
          <w:rFonts w:ascii="Verdana" w:hAnsi="Verdana" w:cs="Arial"/>
          <w:sz w:val="16"/>
          <w:szCs w:val="16"/>
        </w:rPr>
        <w:t>.</w:t>
      </w:r>
    </w:p>
  </w:footnote>
  <w:footnote w:id="9">
    <w:p w14:paraId="05778683" w14:textId="77777777" w:rsidR="00A0731F" w:rsidRPr="00F473B6" w:rsidRDefault="00A0731F" w:rsidP="00A0731F">
      <w:pPr>
        <w:pStyle w:val="Textonotapie"/>
        <w:ind w:firstLine="708"/>
        <w:jc w:val="both"/>
        <w:rPr>
          <w:rFonts w:ascii="Verdana" w:hAnsi="Verdana"/>
          <w:sz w:val="16"/>
          <w:szCs w:val="16"/>
          <w:lang w:val="es-CO"/>
        </w:rPr>
      </w:pPr>
      <w:r w:rsidRPr="00F473B6">
        <w:rPr>
          <w:rStyle w:val="Refdenotaalpie"/>
          <w:rFonts w:ascii="Verdana" w:hAnsi="Verdana"/>
          <w:sz w:val="16"/>
          <w:szCs w:val="16"/>
        </w:rPr>
        <w:footnoteRef/>
      </w:r>
      <w:r w:rsidRPr="00F473B6">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F473B6">
        <w:rPr>
          <w:rFonts w:ascii="Verdana" w:hAnsi="Verdana"/>
          <w:i/>
          <w:iCs/>
          <w:sz w:val="16"/>
          <w:szCs w:val="16"/>
        </w:rPr>
        <w:t>las palabras de la ley se entenderán en su sentido natural y obvio, según el uso general de las mismas palabras</w:t>
      </w:r>
      <w:r w:rsidRPr="00F473B6">
        <w:rPr>
          <w:rFonts w:ascii="Verdana" w:hAnsi="Verdana"/>
          <w:sz w:val="16"/>
          <w:szCs w:val="16"/>
        </w:rPr>
        <w:t>’, es decir, el uso de la gente educada. El Diccionario de la Lengua publicado por la Real Academia Española goza a este respecto de gran autoridad. ‘</w:t>
      </w:r>
      <w:r w:rsidRPr="00F473B6">
        <w:rPr>
          <w:rFonts w:ascii="Verdana" w:hAnsi="Verdana"/>
          <w:i/>
          <w:iCs/>
          <w:sz w:val="16"/>
          <w:szCs w:val="16"/>
        </w:rPr>
        <w:t>Pero cuando el legislador</w:t>
      </w:r>
      <w:r w:rsidRPr="00F473B6">
        <w:rPr>
          <w:rFonts w:ascii="Verdana" w:hAnsi="Verdana"/>
          <w:sz w:val="16"/>
          <w:szCs w:val="16"/>
        </w:rPr>
        <w:t xml:space="preserve">, agrega el artículo 20, </w:t>
      </w:r>
      <w:r w:rsidRPr="00F473B6">
        <w:rPr>
          <w:rFonts w:ascii="Verdana" w:hAnsi="Verdana"/>
          <w:i/>
          <w:iCs/>
          <w:sz w:val="16"/>
          <w:szCs w:val="16"/>
        </w:rPr>
        <w:t>las haya definido expresamente para ciertas materias se les dará en éstas su significado legal</w:t>
      </w:r>
      <w:r w:rsidRPr="00F473B6">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footnote>
  <w:footnote w:id="10">
    <w:p w14:paraId="556FF102" w14:textId="77777777" w:rsidR="00A0731F" w:rsidRPr="001B4DB7" w:rsidRDefault="00A0731F" w:rsidP="00A0731F">
      <w:pPr>
        <w:pStyle w:val="Textonotapie"/>
        <w:ind w:firstLine="708"/>
        <w:jc w:val="both"/>
        <w:rPr>
          <w:rFonts w:ascii="Verdana" w:hAnsi="Verdana"/>
          <w:sz w:val="16"/>
          <w:szCs w:val="16"/>
        </w:rPr>
      </w:pPr>
      <w:r w:rsidRPr="007E4770">
        <w:rPr>
          <w:rStyle w:val="Refdenotaalpie"/>
          <w:rFonts w:ascii="Verdana" w:hAnsi="Verdana"/>
          <w:sz w:val="16"/>
          <w:szCs w:val="16"/>
        </w:rPr>
        <w:footnoteRef/>
      </w:r>
      <w:r w:rsidRPr="007E4770">
        <w:rPr>
          <w:rFonts w:ascii="Verdana" w:hAnsi="Verdana"/>
          <w:sz w:val="16"/>
          <w:szCs w:val="16"/>
        </w:rPr>
        <w:t xml:space="preserve"> </w:t>
      </w:r>
      <w:r>
        <w:rPr>
          <w:rFonts w:ascii="Verdana" w:hAnsi="Verdana"/>
          <w:sz w:val="16"/>
          <w:szCs w:val="16"/>
        </w:rPr>
        <w:t xml:space="preserve">GORDILLO, Agustin. </w:t>
      </w:r>
      <w:r w:rsidRPr="001B4DB7">
        <w:rPr>
          <w:rFonts w:ascii="Verdana" w:hAnsi="Verdana"/>
          <w:sz w:val="16"/>
          <w:szCs w:val="16"/>
        </w:rPr>
        <w:t>Actos administrativos, reglamentos y contratos</w:t>
      </w:r>
      <w:r>
        <w:rPr>
          <w:rFonts w:ascii="Verdana" w:hAnsi="Verdana"/>
          <w:sz w:val="16"/>
          <w:szCs w:val="16"/>
        </w:rPr>
        <w:t xml:space="preserve"> </w:t>
      </w:r>
      <w:r w:rsidRPr="001B4DB7">
        <w:rPr>
          <w:rFonts w:ascii="Verdana" w:hAnsi="Verdana"/>
          <w:sz w:val="16"/>
          <w:szCs w:val="16"/>
        </w:rPr>
        <w:t>administrativos</w:t>
      </w:r>
      <w:r>
        <w:rPr>
          <w:rFonts w:ascii="Verdana" w:hAnsi="Verdana"/>
          <w:sz w:val="16"/>
          <w:szCs w:val="16"/>
        </w:rPr>
        <w:t xml:space="preserve">. Consultado el 14 de noviembre de 2024 en la página </w:t>
      </w:r>
      <w:r>
        <w:rPr>
          <w:rFonts w:ascii="Verdana" w:hAnsi="Verdana"/>
          <w:sz w:val="16"/>
          <w:szCs w:val="16"/>
        </w:rPr>
        <w:t xml:space="preserve">web </w:t>
      </w:r>
      <w:r>
        <w:fldChar w:fldCharType="begin"/>
      </w:r>
      <w:r>
        <w:instrText>HYPERLINK "https://www.gordillo.com/pdf_tomo3/capitulo4.pdf"</w:instrText>
      </w:r>
      <w:r>
        <w:fldChar w:fldCharType="separate"/>
      </w:r>
      <w:r w:rsidRPr="00A02C6C">
        <w:rPr>
          <w:rStyle w:val="Hipervnculo"/>
          <w:rFonts w:ascii="Verdana" w:hAnsi="Verdana"/>
          <w:sz w:val="16"/>
          <w:szCs w:val="16"/>
        </w:rPr>
        <w:t>https://www.gordillo.com/pdf_tomo3/capitulo4.pdf</w:t>
      </w:r>
      <w:r>
        <w:rPr>
          <w:rStyle w:val="Hipervnculo"/>
          <w:rFonts w:ascii="Verdana" w:hAnsi="Verdana"/>
          <w:sz w:val="16"/>
          <w:szCs w:val="16"/>
        </w:rPr>
        <w:fldChar w:fldCharType="end"/>
      </w:r>
      <w:r>
        <w:rPr>
          <w:rFonts w:ascii="Verdana" w:hAnsi="Verdana"/>
          <w:sz w:val="16"/>
          <w:szCs w:val="16"/>
        </w:rPr>
        <w:t xml:space="preserve">. </w:t>
      </w:r>
    </w:p>
  </w:footnote>
  <w:footnote w:id="11">
    <w:p w14:paraId="427DBF84" w14:textId="77777777" w:rsidR="00A0731F" w:rsidRPr="00F473B6" w:rsidRDefault="00A0731F" w:rsidP="00A0731F">
      <w:pPr>
        <w:pStyle w:val="Textonotapie"/>
        <w:ind w:firstLine="708"/>
        <w:jc w:val="both"/>
        <w:rPr>
          <w:rFonts w:ascii="Verdana" w:hAnsi="Verdana" w:cs="Arial"/>
          <w:sz w:val="16"/>
          <w:szCs w:val="16"/>
          <w:lang w:val="es-CO"/>
        </w:rPr>
      </w:pPr>
      <w:r w:rsidRPr="00F473B6">
        <w:rPr>
          <w:rStyle w:val="Refdenotaalpie"/>
          <w:rFonts w:ascii="Verdana" w:hAnsi="Verdana"/>
          <w:sz w:val="16"/>
          <w:szCs w:val="16"/>
        </w:rPr>
        <w:footnoteRef/>
      </w:r>
      <w:r w:rsidRPr="00F473B6">
        <w:rPr>
          <w:rFonts w:ascii="Verdana" w:hAnsi="Verdana"/>
          <w:sz w:val="16"/>
          <w:szCs w:val="16"/>
        </w:rPr>
        <w:t xml:space="preserve"> </w:t>
      </w:r>
      <w:r w:rsidRPr="00F473B6">
        <w:rPr>
          <w:rFonts w:ascii="Verdana" w:hAnsi="Verdana" w:cs="Arial"/>
          <w:sz w:val="16"/>
          <w:szCs w:val="16"/>
          <w:lang w:val="es-CO"/>
        </w:rPr>
        <w:t>CONSEJO DE ESTADO. Sección Tercera. Subsección C. Sentencia del 23 de octubre de 2017. Rad. 53.206. C.P. Jaime Orlando Santofimio Gamboa.</w:t>
      </w:r>
    </w:p>
  </w:footnote>
  <w:footnote w:id="12">
    <w:p w14:paraId="6D290EC1" w14:textId="77777777" w:rsidR="00A0731F" w:rsidRPr="00F473B6" w:rsidRDefault="00A0731F" w:rsidP="00A0731F">
      <w:pPr>
        <w:pStyle w:val="Textonotapie"/>
        <w:ind w:firstLine="708"/>
        <w:jc w:val="both"/>
        <w:rPr>
          <w:rFonts w:ascii="Verdana" w:hAnsi="Verdana" w:cs="Arial"/>
          <w:sz w:val="16"/>
          <w:szCs w:val="16"/>
          <w:lang w:val="es-CO"/>
        </w:rPr>
      </w:pPr>
      <w:r w:rsidRPr="00F473B6">
        <w:rPr>
          <w:rStyle w:val="Refdenotaalpie"/>
          <w:rFonts w:ascii="Verdana" w:hAnsi="Verdana"/>
          <w:sz w:val="16"/>
          <w:szCs w:val="16"/>
        </w:rPr>
        <w:footnoteRef/>
      </w:r>
      <w:r w:rsidRPr="00F473B6">
        <w:rPr>
          <w:rFonts w:ascii="Verdana" w:hAnsi="Verdana"/>
          <w:sz w:val="16"/>
          <w:szCs w:val="16"/>
        </w:rPr>
        <w:t xml:space="preserve"> </w:t>
      </w:r>
      <w:bookmarkStart w:id="6" w:name="_Hlk37089949"/>
      <w:r w:rsidRPr="00F473B6">
        <w:rPr>
          <w:rFonts w:ascii="Verdana" w:hAnsi="Verdana" w:cs="Arial"/>
          <w:sz w:val="16"/>
          <w:szCs w:val="16"/>
          <w:lang w:val="es-CO"/>
        </w:rPr>
        <w:t xml:space="preserve">MARÍN CORTÉS, Fabián Gonzalo. El concepto de acto administrativo. Texto inédito. p. 13.  </w:t>
      </w:r>
      <w:bookmarkEnd w:id="6"/>
    </w:p>
  </w:footnote>
  <w:footnote w:id="13">
    <w:p w14:paraId="5B280037" w14:textId="77777777" w:rsidR="00A0731F" w:rsidRPr="00F473B6" w:rsidRDefault="00A0731F" w:rsidP="00A0731F">
      <w:pPr>
        <w:pStyle w:val="Textonotapie"/>
        <w:ind w:firstLine="708"/>
        <w:jc w:val="both"/>
        <w:rPr>
          <w:rFonts w:ascii="Verdana" w:hAnsi="Verdana" w:cs="Arial"/>
          <w:sz w:val="16"/>
          <w:szCs w:val="16"/>
          <w:lang w:val="es-CO"/>
        </w:rPr>
      </w:pPr>
      <w:r w:rsidRPr="00F473B6">
        <w:rPr>
          <w:rStyle w:val="Refdenotaalpie"/>
          <w:rFonts w:ascii="Verdana" w:hAnsi="Verdana"/>
          <w:sz w:val="16"/>
          <w:szCs w:val="16"/>
        </w:rPr>
        <w:footnoteRef/>
      </w:r>
      <w:r w:rsidRPr="00F473B6">
        <w:rPr>
          <w:rFonts w:ascii="Verdana" w:hAnsi="Verdana"/>
          <w:sz w:val="16"/>
          <w:szCs w:val="16"/>
        </w:rPr>
        <w:t xml:space="preserve"> </w:t>
      </w:r>
      <w:r w:rsidRPr="00F473B6">
        <w:rPr>
          <w:rFonts w:ascii="Verdana" w:hAnsi="Verdana" w:cs="Arial"/>
          <w:sz w:val="16"/>
          <w:szCs w:val="16"/>
          <w:lang w:val="es-CO"/>
        </w:rPr>
        <w:t xml:space="preserve">No en vano, se explica que “[…] la administración puede modificar las situaciones jurídicas por su sola voluntad, sin el consentimiento de los interesados. Es esta una prerrogativa característica de la potestad pública. La decisión ejecutoria es el acto por el cual la administración pone en marcha este poder de modificación unilateral de las situaciones jurídicas. Es el procedimiento tipo de la acción administrativa, el más utilizado en la práctica y el más característico desde el punto de vista doctrinal” (RIVERO, Jean. Derecho administrativo. Novena Edición. Caracas: Universidad Central de Venezuela, 1984. p. 100). </w:t>
      </w:r>
    </w:p>
  </w:footnote>
  <w:footnote w:id="14">
    <w:p w14:paraId="289D32CC" w14:textId="77777777" w:rsidR="00A0731F" w:rsidRPr="00954863" w:rsidRDefault="00A0731F" w:rsidP="00A0731F">
      <w:pPr>
        <w:pStyle w:val="Textonotapie"/>
        <w:ind w:firstLine="708"/>
        <w:jc w:val="both"/>
        <w:rPr>
          <w:rFonts w:ascii="Verdana" w:hAnsi="Verdana"/>
          <w:sz w:val="16"/>
          <w:szCs w:val="16"/>
          <w:lang w:val="es-CO"/>
        </w:rPr>
      </w:pPr>
      <w:r w:rsidRPr="00954863">
        <w:rPr>
          <w:rStyle w:val="Refdenotaalpie"/>
          <w:rFonts w:ascii="Verdana" w:hAnsi="Verdana"/>
          <w:sz w:val="16"/>
          <w:szCs w:val="16"/>
        </w:rPr>
        <w:footnoteRef/>
      </w:r>
      <w:r w:rsidRPr="00954863">
        <w:rPr>
          <w:rFonts w:ascii="Verdana" w:hAnsi="Verdana"/>
          <w:sz w:val="16"/>
          <w:szCs w:val="16"/>
        </w:rPr>
        <w:t xml:space="preserve"> </w:t>
      </w:r>
      <w:r>
        <w:rPr>
          <w:rFonts w:ascii="Verdana" w:hAnsi="Verdana"/>
          <w:sz w:val="16"/>
          <w:szCs w:val="16"/>
        </w:rPr>
        <w:t>Como explica la doctrina, “</w:t>
      </w:r>
      <w:r w:rsidRPr="00954863">
        <w:rPr>
          <w:rFonts w:ascii="Verdana" w:hAnsi="Verdana"/>
          <w:sz w:val="16"/>
          <w:szCs w:val="16"/>
        </w:rPr>
        <w:t>La unilateralidad en el Derecho administrativo hay que encontrarla en el origen de la relación jurídica y de aquí la irrelevancia de la voluntad del administrado que, aunque ponga en marcha un procedimiento y el acto que se dicte al final sea a su petición, no tiene fuerza suficiente para generar un contrato. De mantener una tesis contractualista habría que llegar a consecuencias aberrantes porque serían contratos, es decir, actos bilaterales por su origen, los convenios expropiatorios, la imposición de multas con aceptación, el servicio militar como voluntario, los recursos administrativos estimados y, en fin, todo acto jurídico procedente de la Administración a instancia de parte se transformaría en un contrato</w:t>
      </w:r>
      <w:r>
        <w:rPr>
          <w:rFonts w:ascii="Verdana" w:hAnsi="Verdana"/>
          <w:sz w:val="16"/>
          <w:szCs w:val="16"/>
        </w:rPr>
        <w:t xml:space="preserve">” (Cfr. </w:t>
      </w:r>
      <w:r w:rsidRPr="00954863">
        <w:rPr>
          <w:rFonts w:ascii="Verdana" w:hAnsi="Verdana"/>
          <w:sz w:val="16"/>
          <w:szCs w:val="16"/>
        </w:rPr>
        <w:t>GARCÍA-TREVIJANO FOS, José Antonio. Los actos administrativos. Madrid: Civitas, 1986. pp. 95-97</w:t>
      </w:r>
      <w:r>
        <w:rPr>
          <w:rFonts w:ascii="Verdana" w:hAnsi="Verdana"/>
          <w:sz w:val="16"/>
          <w:szCs w:val="16"/>
        </w:rPr>
        <w:t>)</w:t>
      </w:r>
      <w:r w:rsidRPr="00954863">
        <w:rPr>
          <w:rFonts w:ascii="Verdana" w:hAnsi="Verdana"/>
          <w:sz w:val="16"/>
          <w:szCs w:val="16"/>
        </w:rPr>
        <w:t>.</w:t>
      </w:r>
    </w:p>
  </w:footnote>
  <w:footnote w:id="15">
    <w:p w14:paraId="31B27668" w14:textId="77777777" w:rsidR="00A0731F" w:rsidRPr="00F473B6" w:rsidRDefault="00A0731F" w:rsidP="00A0731F">
      <w:pPr>
        <w:pStyle w:val="Textonotapie"/>
        <w:ind w:firstLine="708"/>
        <w:jc w:val="both"/>
        <w:rPr>
          <w:rFonts w:ascii="Verdana" w:hAnsi="Verdana"/>
          <w:sz w:val="16"/>
          <w:szCs w:val="16"/>
        </w:rPr>
      </w:pPr>
      <w:r w:rsidRPr="00F473B6">
        <w:rPr>
          <w:rStyle w:val="Refdenotaalpie"/>
          <w:rFonts w:ascii="Verdana" w:hAnsi="Verdana"/>
          <w:sz w:val="16"/>
          <w:szCs w:val="16"/>
        </w:rPr>
        <w:footnoteRef/>
      </w:r>
      <w:r w:rsidRPr="00F473B6">
        <w:rPr>
          <w:rFonts w:ascii="Verdana" w:hAnsi="Verdana"/>
          <w:sz w:val="16"/>
          <w:szCs w:val="16"/>
        </w:rPr>
        <w:t xml:space="preserve"> Para la doctrina, “Todas las variantes en la determinación del concepto de administración coinciden […] en que la presentan como aquel residuo que una vez eliminada resulta al desglosar del complejo de la total actividad del Estado, la legislativa y la judicial. Todas las nuevas concepciones viables de la administración tienen además de común que la determinan, expresamente, de una manera mediata y negativa; el concepto de administración es el resultado de una </w:t>
      </w:r>
      <w:r w:rsidRPr="00F473B6">
        <w:rPr>
          <w:rFonts w:ascii="Verdana" w:hAnsi="Verdana"/>
          <w:i/>
          <w:iCs/>
          <w:sz w:val="16"/>
          <w:szCs w:val="16"/>
        </w:rPr>
        <w:t>sustracción, en el que el minuendo lo constituyen la suma de las actividades del Estado y el sustraendo la suma de legislación y justicia</w:t>
      </w:r>
      <w:r w:rsidRPr="00F473B6">
        <w:rPr>
          <w:rFonts w:ascii="Verdana" w:hAnsi="Verdana"/>
          <w:sz w:val="16"/>
          <w:szCs w:val="16"/>
        </w:rPr>
        <w:t xml:space="preserve">” (MERKL, Adolf. Teoría general de derecho administrativo. Santiago: Editorial Olejnik, 2018. pp. 21-22. Énfasis dentro del texto). </w:t>
      </w:r>
    </w:p>
  </w:footnote>
  <w:footnote w:id="16">
    <w:p w14:paraId="26753366" w14:textId="77777777" w:rsidR="00A0731F" w:rsidRPr="00F473B6" w:rsidRDefault="00A0731F" w:rsidP="00A0731F">
      <w:pPr>
        <w:pStyle w:val="Textonotapie"/>
        <w:ind w:firstLine="708"/>
        <w:jc w:val="both"/>
        <w:rPr>
          <w:rFonts w:ascii="Verdana" w:hAnsi="Verdana"/>
          <w:sz w:val="16"/>
          <w:szCs w:val="16"/>
        </w:rPr>
      </w:pPr>
      <w:r w:rsidRPr="00F473B6">
        <w:rPr>
          <w:rStyle w:val="Refdenotaalpie"/>
          <w:rFonts w:ascii="Verdana" w:hAnsi="Verdana"/>
          <w:sz w:val="16"/>
          <w:szCs w:val="16"/>
        </w:rPr>
        <w:footnoteRef/>
      </w:r>
      <w:r w:rsidRPr="00214330">
        <w:rPr>
          <w:rFonts w:ascii="Verdana" w:hAnsi="Verdana"/>
          <w:sz w:val="16"/>
          <w:szCs w:val="16"/>
          <w:lang w:val="pt-BR"/>
        </w:rPr>
        <w:t xml:space="preserve"> Cfr. DROMI, José Roberto. Manual de derecho administrativo. </w:t>
      </w:r>
      <w:r w:rsidRPr="00F473B6">
        <w:rPr>
          <w:rFonts w:ascii="Verdana" w:hAnsi="Verdana"/>
          <w:sz w:val="16"/>
          <w:szCs w:val="16"/>
        </w:rPr>
        <w:t>Tomo I. Buenos Aires: Astrea, 1987. p. 47.</w:t>
      </w:r>
    </w:p>
  </w:footnote>
  <w:footnote w:id="17">
    <w:p w14:paraId="79418BB2" w14:textId="77777777" w:rsidR="00A0731F" w:rsidRPr="00F473B6" w:rsidRDefault="00A0731F" w:rsidP="00A0731F">
      <w:pPr>
        <w:pStyle w:val="Textonotapie"/>
        <w:ind w:firstLine="708"/>
        <w:rPr>
          <w:rFonts w:ascii="Verdana" w:hAnsi="Verdana"/>
          <w:sz w:val="16"/>
          <w:szCs w:val="16"/>
          <w:lang w:val="es-ES"/>
        </w:rPr>
      </w:pPr>
      <w:r w:rsidRPr="00F473B6">
        <w:rPr>
          <w:rStyle w:val="Refdenotaalpie"/>
          <w:rFonts w:ascii="Verdana" w:hAnsi="Verdana"/>
          <w:sz w:val="16"/>
          <w:szCs w:val="16"/>
        </w:rPr>
        <w:footnoteRef/>
      </w:r>
      <w:r w:rsidRPr="00F473B6">
        <w:rPr>
          <w:rFonts w:ascii="Verdana" w:hAnsi="Verdana"/>
          <w:sz w:val="16"/>
          <w:szCs w:val="16"/>
        </w:rPr>
        <w:t xml:space="preserve"> </w:t>
      </w:r>
      <w:r w:rsidRPr="00F473B6">
        <w:rPr>
          <w:rFonts w:ascii="Verdana" w:hAnsi="Verdana" w:cs="Arial"/>
          <w:sz w:val="16"/>
          <w:szCs w:val="16"/>
          <w:lang w:val="es-CO"/>
        </w:rPr>
        <w:t xml:space="preserve">MARÍN CORTÉS, Fabián Gonzalo. El concepto de acto administrativo. Texto inédito. pp. 53-54.  </w:t>
      </w:r>
    </w:p>
  </w:footnote>
  <w:footnote w:id="18">
    <w:p w14:paraId="62991BFB" w14:textId="77777777" w:rsidR="00A0731F" w:rsidRPr="00575605" w:rsidRDefault="00A0731F" w:rsidP="00A0731F">
      <w:pPr>
        <w:pStyle w:val="Textonotapie"/>
        <w:ind w:firstLine="708"/>
        <w:jc w:val="both"/>
        <w:rPr>
          <w:rFonts w:ascii="Verdana" w:hAnsi="Verdana"/>
          <w:sz w:val="16"/>
          <w:szCs w:val="16"/>
        </w:rPr>
      </w:pPr>
      <w:r w:rsidRPr="00575605">
        <w:rPr>
          <w:rStyle w:val="Refdenotaalpie"/>
          <w:rFonts w:ascii="Verdana" w:hAnsi="Verdana"/>
          <w:sz w:val="16"/>
          <w:szCs w:val="16"/>
        </w:rPr>
        <w:footnoteRef/>
      </w:r>
      <w:r w:rsidRPr="00575605">
        <w:rPr>
          <w:rFonts w:ascii="Verdana" w:hAnsi="Verdana"/>
          <w:sz w:val="16"/>
          <w:szCs w:val="16"/>
        </w:rPr>
        <w:t xml:space="preserve"> </w:t>
      </w:r>
      <w:r>
        <w:rPr>
          <w:rFonts w:ascii="Verdana" w:hAnsi="Verdana"/>
          <w:sz w:val="16"/>
          <w:szCs w:val="16"/>
        </w:rPr>
        <w:t xml:space="preserve">Como explicó la Agencia en el </w:t>
      </w:r>
      <w:r w:rsidRPr="000163E3">
        <w:rPr>
          <w:rFonts w:ascii="Verdana" w:hAnsi="Verdana"/>
          <w:sz w:val="16"/>
          <w:szCs w:val="16"/>
        </w:rPr>
        <w:t>Concepto C-489 del 1˚ de agosto de 2022</w:t>
      </w:r>
      <w:r>
        <w:rPr>
          <w:rFonts w:ascii="Verdana" w:hAnsi="Verdana"/>
          <w:sz w:val="16"/>
          <w:szCs w:val="16"/>
        </w:rPr>
        <w:t xml:space="preserve">: “[…] </w:t>
      </w:r>
      <w:r w:rsidRPr="000163E3">
        <w:rPr>
          <w:rFonts w:ascii="Verdana" w:hAnsi="Verdana"/>
          <w:sz w:val="16"/>
          <w:szCs w:val="16"/>
        </w:rPr>
        <w:t xml:space="preserve">la decisión de designar como ejecutora a determinada entidad de recursos del SGR, corresponde a una decisión unilateral materializada mediante un acto administrativo, de lo que se colige que no corresponden a </w:t>
      </w:r>
      <w:r>
        <w:rPr>
          <w:rFonts w:ascii="Verdana" w:hAnsi="Verdana"/>
          <w:sz w:val="16"/>
          <w:szCs w:val="16"/>
        </w:rPr>
        <w:t>‘</w:t>
      </w:r>
      <w:r w:rsidRPr="000163E3">
        <w:rPr>
          <w:rFonts w:ascii="Verdana" w:hAnsi="Verdana"/>
          <w:sz w:val="16"/>
          <w:szCs w:val="16"/>
        </w:rPr>
        <w:t>contratos o convenios interadministrativos o de cualquier otra índole</w:t>
      </w:r>
      <w:r>
        <w:rPr>
          <w:rFonts w:ascii="Verdana" w:hAnsi="Verdana"/>
          <w:sz w:val="16"/>
          <w:szCs w:val="16"/>
        </w:rPr>
        <w:t xml:space="preserve">‘“. </w:t>
      </w:r>
    </w:p>
  </w:footnote>
  <w:footnote w:id="19">
    <w:p w14:paraId="26D350D0" w14:textId="77777777" w:rsidR="00A0731F" w:rsidRPr="00F473B6" w:rsidRDefault="00A0731F" w:rsidP="00A0731F">
      <w:pPr>
        <w:spacing w:after="0"/>
        <w:ind w:firstLine="708"/>
        <w:jc w:val="both"/>
        <w:rPr>
          <w:rFonts w:ascii="Verdana" w:hAnsi="Verdana" w:cs="Arial"/>
          <w:sz w:val="16"/>
          <w:szCs w:val="16"/>
        </w:rPr>
      </w:pPr>
      <w:r w:rsidRPr="00F473B6">
        <w:rPr>
          <w:rStyle w:val="Refdenotaalpie"/>
          <w:rFonts w:ascii="Verdana" w:hAnsi="Verdana" w:cs="Arial"/>
          <w:sz w:val="16"/>
          <w:szCs w:val="16"/>
        </w:rPr>
        <w:footnoteRef/>
      </w:r>
      <w:r>
        <w:rPr>
          <w:rFonts w:ascii="Verdana" w:hAnsi="Verdana" w:cs="Arial"/>
          <w:sz w:val="16"/>
          <w:szCs w:val="16"/>
        </w:rPr>
        <w:t xml:space="preserve"> </w:t>
      </w:r>
      <w:bookmarkStart w:id="8" w:name="37"/>
      <w:r>
        <w:rPr>
          <w:rFonts w:ascii="Verdana" w:hAnsi="Verdana" w:cs="Arial"/>
          <w:sz w:val="16"/>
          <w:szCs w:val="16"/>
        </w:rPr>
        <w:t>“</w:t>
      </w:r>
      <w:r w:rsidRPr="00F473B6">
        <w:rPr>
          <w:rFonts w:ascii="Verdana" w:hAnsi="Verdana" w:cs="Arial"/>
          <w:bCs/>
          <w:sz w:val="16"/>
          <w:szCs w:val="16"/>
        </w:rPr>
        <w:t>Artículo 37. ejecución de proyectos de inversión.</w:t>
      </w:r>
      <w:bookmarkEnd w:id="8"/>
      <w:r w:rsidRPr="00F473B6">
        <w:rPr>
          <w:rFonts w:ascii="Verdana" w:hAnsi="Verdana" w:cs="Arial"/>
          <w:sz w:val="16"/>
          <w:szCs w:val="16"/>
        </w:rPr>
        <w:t> los proyectos de inversión que se financien con cargo al sistema general de regalías serán ejecutados por quien designe las entidades u órganos de que tratan los artículos </w:t>
      </w:r>
      <w:hyperlink r:id="rId1" w:anchor="35" w:history="1">
        <w:r w:rsidRPr="00F473B6">
          <w:rPr>
            <w:rFonts w:ascii="Verdana" w:hAnsi="Verdana" w:cs="Arial"/>
            <w:sz w:val="16"/>
            <w:szCs w:val="16"/>
          </w:rPr>
          <w:t>35</w:t>
        </w:r>
      </w:hyperlink>
      <w:r w:rsidRPr="00F473B6">
        <w:rPr>
          <w:rFonts w:ascii="Verdana" w:hAnsi="Verdana" w:cs="Arial"/>
          <w:sz w:val="16"/>
          <w:szCs w:val="16"/>
        </w:rPr>
        <w:t> y </w:t>
      </w:r>
      <w:hyperlink r:id="rId2" w:anchor="36" w:history="1">
        <w:r w:rsidRPr="00F473B6">
          <w:rPr>
            <w:rFonts w:ascii="Verdana" w:hAnsi="Verdana" w:cs="Arial"/>
            <w:sz w:val="16"/>
            <w:szCs w:val="16"/>
          </w:rPr>
          <w:t>36</w:t>
        </w:r>
      </w:hyperlink>
      <w:r w:rsidRPr="00F473B6">
        <w:rPr>
          <w:rFonts w:ascii="Verdana" w:hAnsi="Verdana" w:cs="Arial"/>
          <w:sz w:val="16"/>
          <w:szCs w:val="16"/>
        </w:rPr>
        <w:t> de la presente ley. así mismo, la entidad ejecutora estará a cargo de la contratación de la interventoría, de conformidad con lo previsto en la presente ley.</w:t>
      </w:r>
    </w:p>
    <w:p w14:paraId="13D0133B" w14:textId="77777777" w:rsidR="00A0731F" w:rsidRPr="00F473B6" w:rsidRDefault="00A0731F" w:rsidP="00A0731F">
      <w:pPr>
        <w:spacing w:after="0"/>
        <w:ind w:firstLine="708"/>
        <w:jc w:val="both"/>
        <w:rPr>
          <w:rFonts w:ascii="Verdana" w:hAnsi="Verdana" w:cs="Arial"/>
          <w:sz w:val="16"/>
          <w:szCs w:val="16"/>
        </w:rPr>
      </w:pPr>
      <w:r w:rsidRPr="00F473B6">
        <w:rPr>
          <w:rFonts w:ascii="Verdana" w:hAnsi="Verdana" w:cs="Arial"/>
          <w:sz w:val="16"/>
          <w:szCs w:val="16"/>
        </w:rPr>
        <w:t>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los mismos, sin perjuicio de las acciones de control a las que haya lugar.</w:t>
      </w:r>
    </w:p>
    <w:p w14:paraId="307E85D7" w14:textId="77777777" w:rsidR="00A0731F" w:rsidRPr="00F473B6" w:rsidRDefault="00A0731F" w:rsidP="00A0731F">
      <w:pPr>
        <w:spacing w:after="0"/>
        <w:ind w:firstLine="708"/>
        <w:jc w:val="both"/>
        <w:rPr>
          <w:rFonts w:ascii="Verdana" w:hAnsi="Verdana" w:cs="Arial"/>
          <w:sz w:val="16"/>
          <w:szCs w:val="16"/>
        </w:rPr>
      </w:pPr>
      <w:r w:rsidRPr="00F473B6">
        <w:rPr>
          <w:rFonts w:ascii="Verdana" w:hAnsi="Verdana" w:cs="Arial"/>
          <w:bCs/>
          <w:sz w:val="16"/>
          <w:szCs w:val="16"/>
        </w:rPr>
        <w:t>Parágrafo 1o.</w:t>
      </w:r>
      <w:r w:rsidRPr="00F473B6">
        <w:rPr>
          <w:rFonts w:ascii="Verdana" w:hAnsi="Verdana" w:cs="Arial"/>
          <w:sz w:val="16"/>
          <w:szCs w:val="16"/>
        </w:rPr>
        <w:t xml:space="preserve"> La ejecución de proyectos de </w:t>
      </w:r>
      <w:proofErr w:type="spellStart"/>
      <w:r w:rsidRPr="00F473B6">
        <w:rPr>
          <w:rFonts w:ascii="Verdana" w:hAnsi="Verdana" w:cs="Arial"/>
          <w:sz w:val="16"/>
          <w:szCs w:val="16"/>
        </w:rPr>
        <w:t>que</w:t>
      </w:r>
      <w:proofErr w:type="spellEnd"/>
      <w:r w:rsidRPr="00F473B6">
        <w:rPr>
          <w:rFonts w:ascii="Verdana" w:hAnsi="Verdana" w:cs="Arial"/>
          <w:sz w:val="16"/>
          <w:szCs w:val="16"/>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00E166EB" w14:textId="77777777" w:rsidR="00A0731F" w:rsidRPr="00F473B6" w:rsidRDefault="00A0731F" w:rsidP="00A0731F">
      <w:pPr>
        <w:spacing w:after="0"/>
        <w:ind w:firstLine="708"/>
        <w:jc w:val="both"/>
        <w:rPr>
          <w:rFonts w:ascii="Verdana" w:hAnsi="Verdana" w:cs="Arial"/>
          <w:sz w:val="16"/>
          <w:szCs w:val="16"/>
        </w:rPr>
      </w:pPr>
      <w:r w:rsidRPr="00F473B6">
        <w:rPr>
          <w:rFonts w:ascii="Verdana" w:hAnsi="Verdana" w:cs="Arial"/>
          <w:bCs/>
          <w:sz w:val="16"/>
          <w:szCs w:val="16"/>
        </w:rPr>
        <w:t>Parágrafo 2o.</w:t>
      </w:r>
      <w:r w:rsidRPr="00F473B6">
        <w:rPr>
          <w:rFonts w:ascii="Verdana" w:hAnsi="Verdana" w:cs="Arial"/>
          <w:sz w:val="16"/>
          <w:szCs w:val="16"/>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623608BB" w14:textId="77777777" w:rsidR="00A0731F" w:rsidRPr="00F473B6" w:rsidRDefault="00A0731F" w:rsidP="00A0731F">
      <w:pPr>
        <w:spacing w:after="0"/>
        <w:ind w:firstLine="708"/>
        <w:jc w:val="both"/>
        <w:rPr>
          <w:rFonts w:ascii="Verdana" w:hAnsi="Verdana" w:cs="Arial"/>
          <w:sz w:val="16"/>
          <w:szCs w:val="16"/>
        </w:rPr>
      </w:pPr>
      <w:r w:rsidRPr="00F473B6">
        <w:rPr>
          <w:rFonts w:ascii="Verdana" w:hAnsi="Verdana" w:cs="Arial"/>
          <w:bCs/>
          <w:sz w:val="16"/>
          <w:szCs w:val="16"/>
        </w:rPr>
        <w:t>Parágrafo 3o.</w:t>
      </w:r>
      <w:r w:rsidRPr="00F473B6">
        <w:rPr>
          <w:rFonts w:ascii="Verdana" w:hAnsi="Verdana" w:cs="Arial"/>
          <w:sz w:val="16"/>
          <w:szCs w:val="16"/>
        </w:rPr>
        <w:t xml:space="preserve"> La entidad designada ejecutora por las entidades u órganos de que tratan los artículos </w:t>
      </w:r>
      <w:hyperlink r:id="rId3" w:anchor="35" w:history="1">
        <w:r w:rsidRPr="00F473B6">
          <w:rPr>
            <w:rFonts w:ascii="Verdana" w:hAnsi="Verdana" w:cs="Arial"/>
            <w:sz w:val="16"/>
            <w:szCs w:val="16"/>
          </w:rPr>
          <w:t>35</w:t>
        </w:r>
      </w:hyperlink>
      <w:r w:rsidRPr="00F473B6">
        <w:rPr>
          <w:rFonts w:ascii="Verdana" w:hAnsi="Verdana" w:cs="Arial"/>
          <w:sz w:val="16"/>
          <w:szCs w:val="16"/>
        </w:rPr>
        <w:t xml:space="preserve"> y </w:t>
      </w:r>
      <w:hyperlink r:id="rId4" w:anchor="36" w:history="1">
        <w:r w:rsidRPr="00F473B6">
          <w:rPr>
            <w:rFonts w:ascii="Verdana" w:hAnsi="Verdana" w:cs="Arial"/>
            <w:sz w:val="16"/>
            <w:szCs w:val="16"/>
          </w:rPr>
          <w:t>36</w:t>
        </w:r>
      </w:hyperlink>
      <w:r w:rsidRPr="00F473B6">
        <w:rPr>
          <w:rFonts w:ascii="Verdana" w:hAnsi="Verdana" w:cs="Arial"/>
          <w:sz w:val="16"/>
          <w:szCs w:val="16"/>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4DF9D316" w14:textId="77777777" w:rsidR="00A0731F" w:rsidRPr="00F473B6" w:rsidRDefault="00A0731F" w:rsidP="00A0731F">
      <w:pPr>
        <w:spacing w:after="0"/>
        <w:ind w:firstLine="708"/>
        <w:jc w:val="both"/>
        <w:rPr>
          <w:rFonts w:ascii="Verdana" w:hAnsi="Verdana" w:cs="Arial"/>
          <w:sz w:val="16"/>
          <w:szCs w:val="16"/>
        </w:rPr>
      </w:pPr>
      <w:r w:rsidRPr="00F473B6">
        <w:rPr>
          <w:rFonts w:ascii="Verdana" w:hAnsi="Verdana" w:cs="Arial"/>
          <w:sz w:val="16"/>
          <w:szCs w:val="16"/>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0423E08B" w14:textId="77777777" w:rsidR="00A0731F" w:rsidRPr="00F473B6" w:rsidRDefault="00A0731F" w:rsidP="00A0731F">
      <w:pPr>
        <w:spacing w:after="0"/>
        <w:ind w:firstLine="708"/>
        <w:jc w:val="both"/>
        <w:rPr>
          <w:rFonts w:ascii="Verdana" w:hAnsi="Verdana"/>
          <w:sz w:val="16"/>
          <w:szCs w:val="16"/>
        </w:rPr>
      </w:pPr>
      <w:r w:rsidRPr="00F473B6">
        <w:rPr>
          <w:rFonts w:ascii="Verdana" w:hAnsi="Verdana" w:cs="Arial"/>
          <w:sz w:val="16"/>
          <w:szCs w:val="16"/>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Pr>
          <w:rFonts w:ascii="Verdana" w:hAnsi="Verdana" w:cs="Arial"/>
          <w:sz w:val="16"/>
          <w:szCs w:val="16"/>
          <w:lang w:val="es-ES"/>
        </w:rPr>
        <w:t>”</w:t>
      </w:r>
      <w:r w:rsidRPr="00F473B6">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01457A"/>
    <w:multiLevelType w:val="hybridMultilevel"/>
    <w:tmpl w:val="38A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679089576">
    <w:abstractNumId w:val="10"/>
  </w:num>
  <w:num w:numId="18" w16cid:durableId="191065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54C0"/>
    <w:rsid w:val="00061B2A"/>
    <w:rsid w:val="00063016"/>
    <w:rsid w:val="00082362"/>
    <w:rsid w:val="000A683E"/>
    <w:rsid w:val="000B19B9"/>
    <w:rsid w:val="000D0334"/>
    <w:rsid w:val="000F6486"/>
    <w:rsid w:val="00107983"/>
    <w:rsid w:val="001104C4"/>
    <w:rsid w:val="00125105"/>
    <w:rsid w:val="00127233"/>
    <w:rsid w:val="001A20DF"/>
    <w:rsid w:val="001E4177"/>
    <w:rsid w:val="001F7DC6"/>
    <w:rsid w:val="00214330"/>
    <w:rsid w:val="002326C7"/>
    <w:rsid w:val="00240C95"/>
    <w:rsid w:val="002421BB"/>
    <w:rsid w:val="0025796E"/>
    <w:rsid w:val="002707A2"/>
    <w:rsid w:val="00271D7F"/>
    <w:rsid w:val="002951A0"/>
    <w:rsid w:val="002962BC"/>
    <w:rsid w:val="002A093D"/>
    <w:rsid w:val="002A0DD0"/>
    <w:rsid w:val="002A49AC"/>
    <w:rsid w:val="002A64FD"/>
    <w:rsid w:val="002C7A84"/>
    <w:rsid w:val="002E05D1"/>
    <w:rsid w:val="002E4FD9"/>
    <w:rsid w:val="00313FBD"/>
    <w:rsid w:val="00322A85"/>
    <w:rsid w:val="00324168"/>
    <w:rsid w:val="003448F4"/>
    <w:rsid w:val="00374F5E"/>
    <w:rsid w:val="00377E3E"/>
    <w:rsid w:val="003A26D1"/>
    <w:rsid w:val="003A779E"/>
    <w:rsid w:val="003D0F4D"/>
    <w:rsid w:val="003D5B0D"/>
    <w:rsid w:val="003E0499"/>
    <w:rsid w:val="003F3941"/>
    <w:rsid w:val="00406575"/>
    <w:rsid w:val="0041068F"/>
    <w:rsid w:val="0042722E"/>
    <w:rsid w:val="0044528D"/>
    <w:rsid w:val="00455658"/>
    <w:rsid w:val="00463ECA"/>
    <w:rsid w:val="004A1847"/>
    <w:rsid w:val="004A305D"/>
    <w:rsid w:val="004B52C8"/>
    <w:rsid w:val="004F21C4"/>
    <w:rsid w:val="004F685F"/>
    <w:rsid w:val="005566E8"/>
    <w:rsid w:val="00574867"/>
    <w:rsid w:val="00574DE9"/>
    <w:rsid w:val="00591460"/>
    <w:rsid w:val="00592628"/>
    <w:rsid w:val="005B2F34"/>
    <w:rsid w:val="005C3777"/>
    <w:rsid w:val="005C5CDC"/>
    <w:rsid w:val="005D476C"/>
    <w:rsid w:val="005F081E"/>
    <w:rsid w:val="00610812"/>
    <w:rsid w:val="00613DA8"/>
    <w:rsid w:val="006219F8"/>
    <w:rsid w:val="00650FF7"/>
    <w:rsid w:val="00665D70"/>
    <w:rsid w:val="00671DAC"/>
    <w:rsid w:val="006900D9"/>
    <w:rsid w:val="006D12F8"/>
    <w:rsid w:val="00706C16"/>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80B"/>
    <w:rsid w:val="008F0EA7"/>
    <w:rsid w:val="008F1BB6"/>
    <w:rsid w:val="00923EEF"/>
    <w:rsid w:val="009419F9"/>
    <w:rsid w:val="0095685E"/>
    <w:rsid w:val="00961B09"/>
    <w:rsid w:val="00965334"/>
    <w:rsid w:val="0097093E"/>
    <w:rsid w:val="009A0DFA"/>
    <w:rsid w:val="009B2D26"/>
    <w:rsid w:val="009C71FA"/>
    <w:rsid w:val="009C72E7"/>
    <w:rsid w:val="009D3058"/>
    <w:rsid w:val="009F3A13"/>
    <w:rsid w:val="00A0731F"/>
    <w:rsid w:val="00A076F5"/>
    <w:rsid w:val="00A122D3"/>
    <w:rsid w:val="00A17F13"/>
    <w:rsid w:val="00A20739"/>
    <w:rsid w:val="00A33C78"/>
    <w:rsid w:val="00A54D8C"/>
    <w:rsid w:val="00A724DB"/>
    <w:rsid w:val="00AB0ADB"/>
    <w:rsid w:val="00AE719F"/>
    <w:rsid w:val="00B01B1A"/>
    <w:rsid w:val="00B06802"/>
    <w:rsid w:val="00B72CD3"/>
    <w:rsid w:val="00B72FFF"/>
    <w:rsid w:val="00B8155E"/>
    <w:rsid w:val="00BC3D36"/>
    <w:rsid w:val="00BD7F72"/>
    <w:rsid w:val="00BE720D"/>
    <w:rsid w:val="00C04FB3"/>
    <w:rsid w:val="00C330EB"/>
    <w:rsid w:val="00C754BE"/>
    <w:rsid w:val="00C76B1C"/>
    <w:rsid w:val="00CB6357"/>
    <w:rsid w:val="00CC1B26"/>
    <w:rsid w:val="00D21620"/>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95C10"/>
    <w:rsid w:val="00EA0E3D"/>
    <w:rsid w:val="00EA425B"/>
    <w:rsid w:val="00EC38A7"/>
    <w:rsid w:val="00EE1AA8"/>
    <w:rsid w:val="00F31EDC"/>
    <w:rsid w:val="00F462B3"/>
    <w:rsid w:val="00F5664F"/>
    <w:rsid w:val="00F666C4"/>
    <w:rsid w:val="00F76AFC"/>
    <w:rsid w:val="00F86C3A"/>
    <w:rsid w:val="00FA47C0"/>
    <w:rsid w:val="00FB5DD1"/>
    <w:rsid w:val="00FC0AC4"/>
    <w:rsid w:val="00FC2B5D"/>
    <w:rsid w:val="00FF1449"/>
    <w:rsid w:val="00FF1C7F"/>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0731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0731F"/>
    <w:rPr>
      <w:rFonts w:ascii="Geomanist Light" w:hAnsi="Geomanist Light"/>
      <w:lang w:val="es-ES"/>
    </w:rPr>
  </w:style>
  <w:style w:type="character" w:styleId="Textoennegrita">
    <w:name w:val="Strong"/>
    <w:basedOn w:val="Fuentedeprrafopredeter"/>
    <w:uiPriority w:val="22"/>
    <w:qFormat/>
    <w:rsid w:val="00A0731F"/>
    <w:rPr>
      <w:b/>
      <w:bCs/>
    </w:rPr>
  </w:style>
  <w:style w:type="character" w:customStyle="1" w:styleId="NormalWebCar">
    <w:name w:val="Normal (Web) Car"/>
    <w:link w:val="NormalWeb"/>
    <w:uiPriority w:val="99"/>
    <w:rsid w:val="00A0731F"/>
    <w:rPr>
      <w:rFonts w:ascii="Times New Roman" w:eastAsia="Times New Roman" w:hAnsi="Times New Roman" w:cs="Times New Roman"/>
      <w:sz w:val="24"/>
      <w:szCs w:val="24"/>
      <w:lang w:eastAsia="es-CO"/>
    </w:rPr>
  </w:style>
  <w:style w:type="character" w:customStyle="1" w:styleId="baj">
    <w:name w:val="b_aj"/>
    <w:basedOn w:val="Fuentedeprrafopredeter"/>
    <w:rsid w:val="00A0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ur@unitropico.edu.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2D629-FA6E-457B-A0E7-B2DCBA4AA11A}"/>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5766</Words>
  <Characters>31716</Characters>
  <Application>Microsoft Office Word</Application>
  <DocSecurity>0</DocSecurity>
  <Lines>264</Lines>
  <Paragraphs>74</Paragraphs>
  <ScaleCrop>false</ScaleCrop>
  <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6</cp:revision>
  <cp:lastPrinted>2023-01-10T21:18:00Z</cp:lastPrinted>
  <dcterms:created xsi:type="dcterms:W3CDTF">2024-11-21T02:37:00Z</dcterms:created>
  <dcterms:modified xsi:type="dcterms:W3CDTF">2024-11-27T20:16:00Z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