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D05987E" w14:textId="77777777" w:rsidR="000D6CD6" w:rsidRPr="0067001B" w:rsidRDefault="000D6CD6" w:rsidP="00CB3758">
      <w:pPr>
        <w:spacing w:after="0" w:line="276" w:lineRule="auto"/>
        <w:rPr>
          <w:rFonts w:ascii="Verdana" w:eastAsia="Times New Roman" w:hAnsi="Verdana" w:cs="Arial"/>
          <w:b/>
          <w:bCs/>
          <w:color w:val="000000"/>
          <w:lang w:val="es-ES" w:eastAsia="es-ES"/>
        </w:rPr>
      </w:pPr>
      <w:r w:rsidRPr="0067001B">
        <w:rPr>
          <w:rFonts w:ascii="Verdana" w:eastAsia="Times New Roman" w:hAnsi="Verdana" w:cs="Arial"/>
          <w:b/>
          <w:bCs/>
          <w:color w:val="000000"/>
          <w:lang w:val="es-ES" w:eastAsia="es-ES"/>
        </w:rPr>
        <w:t>DOCUMENTOS TIPO – Fundamento Normativo –Ley 2022 de 2020</w:t>
      </w:r>
    </w:p>
    <w:p w14:paraId="4AB7E753" w14:textId="77777777" w:rsidR="000D6CD6" w:rsidRPr="0067001B" w:rsidRDefault="000D6CD6" w:rsidP="00CB3758">
      <w:pPr>
        <w:spacing w:after="0" w:line="276" w:lineRule="auto"/>
        <w:rPr>
          <w:rFonts w:ascii="Verdana" w:eastAsia="Times New Roman" w:hAnsi="Verdana" w:cs="Arial"/>
          <w:b/>
          <w:bCs/>
          <w:color w:val="000000"/>
          <w:lang w:val="es-ES" w:eastAsia="es-ES"/>
        </w:rPr>
      </w:pPr>
    </w:p>
    <w:p w14:paraId="0C3234EC" w14:textId="77777777" w:rsidR="000D6CD6" w:rsidRDefault="000D6CD6" w:rsidP="00CB3758">
      <w:pPr>
        <w:spacing w:after="0" w:line="276" w:lineRule="auto"/>
        <w:jc w:val="both"/>
        <w:rPr>
          <w:rFonts w:ascii="Verdana" w:eastAsia="Times New Roman" w:hAnsi="Verdana" w:cs="Arial"/>
          <w:color w:val="000000"/>
          <w:sz w:val="20"/>
          <w:szCs w:val="20"/>
          <w:lang w:val="es-ES"/>
        </w:rPr>
      </w:pPr>
      <w:r w:rsidRPr="0067001B">
        <w:rPr>
          <w:rFonts w:ascii="Verdana" w:eastAsia="Times New Roman" w:hAnsi="Verdana" w:cs="Arial"/>
          <w:color w:val="000000"/>
          <w:sz w:val="20"/>
          <w:szCs w:val="20"/>
          <w:lang w:val="es-ES"/>
        </w:rPr>
        <w:t>Los Documentos Tipo expedidos por esta Agencia en ejercicio de la potestad otorgada por la Ley 2022 de 2020 son de obligatoria observancia para las Entidades Estatales sometidas al Estatuto General de Contratación de la Administración Pública. Debido a esto tales entidades deben aplicar de manera forzosa los Documentos Tipo para desarrollar los Procesos de Contratación en los objetos y modalidades cobijadas por los Documentos Tipo. Para establecer si determinado objeto contractual se encuentra cobijado o no por los Documentos Tipo es necesario establecer si el mismo se enmarca en los tipos de infraestructura, modalidades de selección y tipos de obra estandarizadas en las respectivas matrices de experiencia. De esta manera solo resulta obligatoria la aplicación de un documento tipo en particular cuando se ha establecido que en el objeto contractual y la modalidad en la que debe contratarse están dentro del ámbito de aplicación de alguna de las resoluciones expedidas para la adopción de los Documentos Tipo vigentes.</w:t>
      </w:r>
    </w:p>
    <w:p w14:paraId="7D24E612" w14:textId="77777777" w:rsidR="000D6CD6" w:rsidRPr="00EC389D" w:rsidRDefault="000D6CD6" w:rsidP="00CB3758">
      <w:pPr>
        <w:spacing w:after="0" w:line="276" w:lineRule="auto"/>
        <w:jc w:val="both"/>
        <w:rPr>
          <w:rFonts w:ascii="Verdana" w:eastAsia="Times New Roman" w:hAnsi="Verdana" w:cs="Arial"/>
          <w:color w:val="000000"/>
          <w:sz w:val="20"/>
          <w:szCs w:val="20"/>
          <w:lang w:val="es-ES"/>
        </w:rPr>
      </w:pPr>
    </w:p>
    <w:p w14:paraId="0B9B446B" w14:textId="77777777" w:rsidR="000D6CD6" w:rsidRPr="009C5A97" w:rsidRDefault="000D6CD6" w:rsidP="00CB3758">
      <w:pPr>
        <w:shd w:val="clear" w:color="auto" w:fill="FFFFFF" w:themeFill="background1"/>
        <w:spacing w:after="340" w:line="276" w:lineRule="auto"/>
        <w:jc w:val="both"/>
        <w:rPr>
          <w:rFonts w:ascii="Verdana" w:eastAsia="Calibri" w:hAnsi="Verdana" w:cs="Arial"/>
          <w:b/>
          <w:bCs/>
          <w:sz w:val="20"/>
          <w:szCs w:val="20"/>
          <w:lang w:val="es-ES" w:eastAsia="es-ES"/>
        </w:rPr>
      </w:pPr>
      <w:r w:rsidRPr="009C5A97">
        <w:rPr>
          <w:rFonts w:ascii="Verdana" w:eastAsia="Calibri" w:hAnsi="Verdana" w:cs="Arial"/>
          <w:b/>
          <w:bCs/>
          <w:sz w:val="20"/>
          <w:szCs w:val="20"/>
          <w:lang w:val="es-ES" w:eastAsia="es-ES"/>
        </w:rPr>
        <w:t>DOCUMENTOS TIPO – Inalterabilidad – Configuración – Pliego de condiciones – Alcance</w:t>
      </w:r>
    </w:p>
    <w:p w14:paraId="5E9C645B" w14:textId="77777777" w:rsidR="000D6CD6" w:rsidRPr="009C5A97" w:rsidRDefault="000D6CD6" w:rsidP="00CB3758">
      <w:pPr>
        <w:shd w:val="clear" w:color="auto" w:fill="FFFFFF" w:themeFill="background1"/>
        <w:spacing w:after="340" w:line="276" w:lineRule="auto"/>
        <w:jc w:val="both"/>
        <w:rPr>
          <w:rFonts w:ascii="Verdana" w:eastAsia="Calibri" w:hAnsi="Verdana" w:cs="Arial"/>
          <w:sz w:val="20"/>
          <w:szCs w:val="20"/>
          <w:lang w:val="es-ES" w:eastAsia="es-ES"/>
        </w:rPr>
      </w:pPr>
      <w:r w:rsidRPr="009C5A97">
        <w:rPr>
          <w:rFonts w:ascii="Verdana" w:eastAsia="Calibri" w:hAnsi="Verdana" w:cs="Arial"/>
          <w:sz w:val="20"/>
          <w:szCs w:val="20"/>
          <w:lang w:val="es-ES" w:eastAsia="es-ES"/>
        </w:rPr>
        <w:t>Los artículos 2.2.1.2.6.1.4 , 2.2.1.2.6.2.3  y 2.2.1.2.6.3.4  del Decreto 1082 de 2015 establecen la inalterabilidad de los documentos tipo para las modalidades de licitación pública, selección abreviada de menor cuantía y mínima cuantía, que consiste en que las entidades estatales no pueden incluir o modificar en los documentos del proceso las condiciones habilitantes, los factores técnicos y económicos de escogencia y los sistemas de ponderación distintos a los señalados en los documentos tipo. En consecuencia, las condiciones que sean establecidas en los documentos que adopte el Gobierno Nacional, en ejercicio del mandato establecido en el artículo 4 de la Ley 1882 de 2018, modificado por la Ley 2022 de 2020, son de obligatorio cumplimiento e inalterables para las entidades sometidas al EGCAP que adelanten procesos que deban regirse por su contenido. Por tanto, no pueden variar los requisitos que en ellos sean fijados, ni establecer reglas o requisitos adicionales a los establecidos en los Documentos Tipo para la presentación de las ofertas y la acreditación de los requisitos habilitantes.</w:t>
      </w:r>
    </w:p>
    <w:p w14:paraId="30C2ECB2" w14:textId="77777777" w:rsidR="000D6CD6" w:rsidRPr="009C5A97" w:rsidRDefault="000D6CD6" w:rsidP="00CB3758">
      <w:pPr>
        <w:spacing w:after="0" w:line="276" w:lineRule="auto"/>
        <w:jc w:val="both"/>
        <w:rPr>
          <w:rFonts w:ascii="Verdana" w:eastAsia="Calibri" w:hAnsi="Verdana" w:cs="Arial"/>
          <w:b/>
          <w:bCs/>
          <w:sz w:val="20"/>
          <w:szCs w:val="20"/>
          <w:lang w:val="es-ES" w:eastAsia="es-ES"/>
        </w:rPr>
      </w:pPr>
      <w:r w:rsidRPr="009C5A97">
        <w:rPr>
          <w:rFonts w:ascii="Verdana" w:eastAsia="Calibri" w:hAnsi="Verdana" w:cs="Arial"/>
          <w:b/>
          <w:bCs/>
          <w:sz w:val="20"/>
          <w:szCs w:val="20"/>
          <w:lang w:val="es-ES" w:eastAsia="es-ES"/>
        </w:rPr>
        <w:t>INALTERABILIDAD – Documentos Tipo – Alcance</w:t>
      </w:r>
    </w:p>
    <w:p w14:paraId="40FF493F" w14:textId="77777777" w:rsidR="000D6CD6" w:rsidRPr="009C5A97" w:rsidRDefault="000D6CD6" w:rsidP="00CB3758">
      <w:pPr>
        <w:spacing w:after="0" w:line="276" w:lineRule="auto"/>
        <w:ind w:left="708"/>
        <w:jc w:val="both"/>
        <w:rPr>
          <w:rFonts w:ascii="Verdana" w:eastAsia="Calibri" w:hAnsi="Verdana" w:cs="Arial"/>
          <w:b/>
          <w:bCs/>
          <w:sz w:val="20"/>
          <w:szCs w:val="20"/>
          <w:lang w:val="es-ES" w:eastAsia="es-ES"/>
        </w:rPr>
      </w:pPr>
      <w:r w:rsidRPr="009C5A97">
        <w:rPr>
          <w:rFonts w:ascii="Verdana" w:eastAsia="Calibri" w:hAnsi="Verdana" w:cs="Arial"/>
          <w:b/>
          <w:bCs/>
          <w:sz w:val="20"/>
          <w:szCs w:val="20"/>
          <w:lang w:val="es-ES" w:eastAsia="es-ES"/>
        </w:rPr>
        <w:t xml:space="preserve"> </w:t>
      </w:r>
    </w:p>
    <w:p w14:paraId="1CA9D4E6" w14:textId="77777777" w:rsidR="000D6CD6" w:rsidRPr="009C5A97" w:rsidRDefault="000D6CD6" w:rsidP="00CB3758">
      <w:pPr>
        <w:spacing w:after="0" w:line="276" w:lineRule="auto"/>
        <w:jc w:val="both"/>
        <w:rPr>
          <w:rFonts w:ascii="Verdana" w:eastAsia="Calibri" w:hAnsi="Verdana" w:cs="Arial"/>
          <w:sz w:val="20"/>
          <w:szCs w:val="20"/>
          <w:lang w:val="es-ES" w:eastAsia="es-ES"/>
        </w:rPr>
      </w:pPr>
      <w:r w:rsidRPr="009C5A97">
        <w:rPr>
          <w:rFonts w:ascii="Verdana" w:eastAsia="Calibri" w:hAnsi="Verdana" w:cs="Arial"/>
          <w:sz w:val="20"/>
          <w:szCs w:val="20"/>
          <w:lang w:val="es-ES" w:eastAsia="es-ES"/>
        </w:rPr>
        <w:t xml:space="preserve">Todas las resoluciones expedidas por la Agencia Nacional de Contratación Pública – Colombia Compra Eficiente, mediante las cuales se han adoptado los documentos tipo, consagran la regla de la inalterabilidad. Esta prohibición consiste en que las entidades estatales no pueden incluir o modificar en los Documentos del Proceso condiciones habilitantes, factores técnicos y económicos de escogencia y sistemas de ponderación distintos a los señalados en los Documentos Tipo. En consecuencia, las condiciones establecidas en dichos documentos son de obligatorio cumplimiento para las entidades </w:t>
      </w:r>
      <w:r w:rsidRPr="009C5A97">
        <w:rPr>
          <w:rFonts w:ascii="Verdana" w:eastAsia="Calibri" w:hAnsi="Verdana" w:cs="Arial"/>
          <w:sz w:val="20"/>
          <w:szCs w:val="20"/>
          <w:lang w:val="es-ES" w:eastAsia="es-ES"/>
        </w:rPr>
        <w:lastRenderedPageBreak/>
        <w:t>sometidas al Estatuto General de Contratación de la Administración Pública que adelanten procesos que deban regirse por su contenido, y no pueden variarse los requisitos fijados en ellos. Por lo tanto, las entidades estatales, al realizar sus procedimientos de selección, solo podrán modificarlos en los aspectos en que los Documentos Tipo lo permitan.</w:t>
      </w:r>
    </w:p>
    <w:p w14:paraId="3A593B52" w14:textId="77777777" w:rsidR="000D6CD6" w:rsidRDefault="000D6CD6" w:rsidP="00CB3758">
      <w:pPr>
        <w:spacing w:after="0" w:line="276" w:lineRule="auto"/>
        <w:jc w:val="both"/>
        <w:rPr>
          <w:rFonts w:ascii="Verdana" w:eastAsia="Calibri" w:hAnsi="Verdana" w:cs="Arial"/>
          <w:sz w:val="20"/>
          <w:szCs w:val="20"/>
          <w:lang w:val="es-ES" w:eastAsia="es-ES"/>
        </w:rPr>
      </w:pPr>
    </w:p>
    <w:p w14:paraId="0C45825F" w14:textId="77777777" w:rsidR="000D6CD6" w:rsidRPr="00A75D14" w:rsidRDefault="000D6CD6" w:rsidP="00CB3758">
      <w:pPr>
        <w:spacing w:after="0" w:line="276" w:lineRule="auto"/>
        <w:jc w:val="both"/>
        <w:rPr>
          <w:rFonts w:ascii="Verdana" w:hAnsi="Verdana"/>
        </w:rPr>
      </w:pPr>
      <w:r w:rsidRPr="00A75D14">
        <w:rPr>
          <w:rFonts w:ascii="Verdana" w:eastAsia="Calibri" w:hAnsi="Verdana" w:cs="Arial"/>
          <w:b/>
          <w:kern w:val="2"/>
          <w:lang w:val="es-ES_tradnl" w:eastAsia="es-ES_tradnl"/>
          <w14:ligatures w14:val="standardContextual"/>
        </w:rPr>
        <w:t>LEY 2195 DE 2022 – Artículo 56 – Alcance – Excepción</w:t>
      </w:r>
    </w:p>
    <w:p w14:paraId="61A73839" w14:textId="77777777" w:rsidR="000D6CD6" w:rsidRPr="00A75D14" w:rsidRDefault="000D6CD6" w:rsidP="00CB3758">
      <w:pPr>
        <w:tabs>
          <w:tab w:val="left" w:pos="0"/>
        </w:tabs>
        <w:spacing w:after="0" w:line="276" w:lineRule="auto"/>
        <w:jc w:val="both"/>
        <w:rPr>
          <w:rFonts w:ascii="Verdana" w:eastAsia="Calibri" w:hAnsi="Verdana" w:cs="Arial"/>
          <w:b/>
          <w:kern w:val="2"/>
          <w:lang w:val="es-ES_tradnl" w:eastAsia="es-ES_tradnl"/>
          <w14:ligatures w14:val="standardContextual"/>
        </w:rPr>
      </w:pPr>
    </w:p>
    <w:p w14:paraId="6724C802" w14:textId="77777777" w:rsidR="000D6CD6" w:rsidRPr="00A22D0B" w:rsidRDefault="000D6CD6" w:rsidP="00CB3758">
      <w:pPr>
        <w:snapToGrid w:val="0"/>
        <w:spacing w:after="0" w:line="276" w:lineRule="auto"/>
        <w:jc w:val="both"/>
        <w:rPr>
          <w:rFonts w:ascii="Verdana" w:eastAsia="Calibri" w:hAnsi="Verdana" w:cs="Arial"/>
          <w:kern w:val="2"/>
          <w:sz w:val="20"/>
          <w:szCs w:val="20"/>
          <w:lang w:val="es-ES" w:eastAsia="es-ES"/>
          <w14:ligatures w14:val="standardContextual"/>
        </w:rPr>
      </w:pPr>
      <w:r w:rsidRPr="00A22D0B">
        <w:rPr>
          <w:rFonts w:ascii="Verdana" w:eastAsia="Calibri" w:hAnsi="Verdana" w:cs="Arial"/>
          <w:kern w:val="2"/>
          <w:sz w:val="20"/>
          <w:szCs w:val="20"/>
          <w:lang w:val="es-ES" w:eastAsia="es-ES"/>
          <w14:ligatures w14:val="standardContextual"/>
        </w:rPr>
        <w:t xml:space="preserve">Es necesario precisar el alcance de lo dispuesto en los dos primeros incisos del artículo 56, de acuerdo con lo establecido en su parágrafo, el cual excluye de la aplicación de los primeros incisos del artículo 56, a cierto tipo de entidades, en lo relacionado con la contratación de su </w:t>
      </w:r>
      <w:r w:rsidRPr="00A22D0B">
        <w:rPr>
          <w:rFonts w:ascii="Verdana" w:eastAsia="Calibri" w:hAnsi="Verdana" w:cs="Arial"/>
          <w:i/>
          <w:kern w:val="2"/>
          <w:sz w:val="20"/>
          <w:szCs w:val="20"/>
          <w:lang w:val="es-ES" w:eastAsia="es-ES"/>
          <w14:ligatures w14:val="standardContextual"/>
        </w:rPr>
        <w:t>giro ordinario</w:t>
      </w:r>
      <w:r w:rsidRPr="00A22D0B">
        <w:rPr>
          <w:rFonts w:ascii="Verdana" w:eastAsia="Calibri" w:hAnsi="Verdana" w:cs="Arial"/>
          <w:kern w:val="2"/>
          <w:sz w:val="20"/>
          <w:szCs w:val="20"/>
          <w:lang w:val="es-ES" w:eastAsia="es-ES"/>
          <w14:ligatures w14:val="standardContextual"/>
        </w:rPr>
        <w:t xml:space="preserve">. Conforme se desprende del texto del referido parágrafo, se exceptúa de lo señalado en los dos primeros incisos a: i) las instituciones de educación superior públicas, ii) las empresas sociales del Estado, iii) las sociedades de economía mixta y iv) las empresas industriales y comerciales del Estado, únicamente, en la contratación relacionada con el </w:t>
      </w:r>
      <w:r w:rsidRPr="00A22D0B">
        <w:rPr>
          <w:rFonts w:ascii="Verdana" w:eastAsia="Calibri" w:hAnsi="Verdana" w:cs="Arial"/>
          <w:i/>
          <w:kern w:val="2"/>
          <w:sz w:val="20"/>
          <w:szCs w:val="20"/>
          <w:lang w:val="es-ES" w:eastAsia="es-ES"/>
          <w14:ligatures w14:val="standardContextual"/>
        </w:rPr>
        <w:t>giro ordinario.</w:t>
      </w:r>
      <w:r w:rsidRPr="00A22D0B">
        <w:rPr>
          <w:rFonts w:ascii="Verdana" w:eastAsia="Calibri" w:hAnsi="Verdana" w:cs="Arial"/>
          <w:kern w:val="2"/>
          <w:sz w:val="20"/>
          <w:szCs w:val="20"/>
          <w:lang w:val="es-ES" w:eastAsia="es-ES"/>
          <w14:ligatures w14:val="standardContextual"/>
        </w:rPr>
        <w:t xml:space="preserve"> Esto significa que, en la contratación asociada a su </w:t>
      </w:r>
      <w:r w:rsidRPr="00A22D0B">
        <w:rPr>
          <w:rFonts w:ascii="Verdana" w:eastAsia="Calibri" w:hAnsi="Verdana" w:cs="Arial"/>
          <w:i/>
          <w:kern w:val="2"/>
          <w:sz w:val="20"/>
          <w:szCs w:val="20"/>
          <w:lang w:val="es-ES" w:eastAsia="es-ES"/>
          <w14:ligatures w14:val="standardContextual"/>
        </w:rPr>
        <w:t xml:space="preserve">giro ordinario, </w:t>
      </w:r>
      <w:r w:rsidRPr="00A22D0B">
        <w:rPr>
          <w:rFonts w:ascii="Verdana" w:eastAsia="Calibri" w:hAnsi="Verdana" w:cs="Arial"/>
          <w:kern w:val="2"/>
          <w:sz w:val="20"/>
          <w:szCs w:val="20"/>
          <w:lang w:val="es-ES" w:eastAsia="es-ES"/>
          <w14:ligatures w14:val="standardContextual"/>
        </w:rPr>
        <w:t xml:space="preserve">estos tipos de entidades no tendrían que aplicar, de manera obligatoria, los documentos tipo, ni tampoco el EGCAP. En este caso la norma se limita a fomentar la implementación de documentos tipo a modo de buena práctica contractual, en los casos en los que se estime conveniente. </w:t>
      </w:r>
    </w:p>
    <w:p w14:paraId="0919E4BF" w14:textId="77777777" w:rsidR="000D6CD6" w:rsidRPr="00A75D14" w:rsidRDefault="000D6CD6" w:rsidP="00CB3758">
      <w:pPr>
        <w:tabs>
          <w:tab w:val="left" w:pos="0"/>
        </w:tabs>
        <w:spacing w:after="0" w:line="276" w:lineRule="auto"/>
        <w:jc w:val="both"/>
        <w:rPr>
          <w:rFonts w:ascii="Verdana" w:eastAsia="Calibri" w:hAnsi="Verdana" w:cs="Arial"/>
          <w:b/>
          <w:kern w:val="2"/>
          <w:sz w:val="21"/>
          <w:szCs w:val="21"/>
          <w:lang w:val="es-ES_tradnl"/>
          <w14:ligatures w14:val="standardContextual"/>
        </w:rPr>
      </w:pPr>
    </w:p>
    <w:p w14:paraId="41693C11" w14:textId="77777777" w:rsidR="000D6CD6" w:rsidRPr="00A75D14" w:rsidRDefault="000D6CD6" w:rsidP="00CB3758">
      <w:pPr>
        <w:tabs>
          <w:tab w:val="left" w:pos="0"/>
        </w:tabs>
        <w:spacing w:after="0" w:line="276" w:lineRule="auto"/>
        <w:jc w:val="both"/>
        <w:rPr>
          <w:rFonts w:ascii="Verdana" w:eastAsia="Calibri" w:hAnsi="Verdana" w:cs="Arial"/>
          <w:b/>
          <w:kern w:val="2"/>
          <w:lang w:val="es-ES_tradnl"/>
          <w14:ligatures w14:val="standardContextual"/>
        </w:rPr>
      </w:pPr>
      <w:r w:rsidRPr="00A75D14">
        <w:rPr>
          <w:rFonts w:ascii="Verdana" w:eastAsia="Calibri" w:hAnsi="Verdana" w:cs="Arial"/>
          <w:b/>
          <w:kern w:val="2"/>
          <w:lang w:val="es-ES_tradnl"/>
          <w14:ligatures w14:val="standardContextual"/>
        </w:rPr>
        <w:t>LEY 2195 DE 2022 – Artículo 56 – Parágrafo – Excepciones – Giro ordinario – Interpretación</w:t>
      </w:r>
    </w:p>
    <w:p w14:paraId="7D32395B" w14:textId="77777777" w:rsidR="000D6CD6" w:rsidRPr="00A75D14" w:rsidRDefault="000D6CD6" w:rsidP="00CB3758">
      <w:pPr>
        <w:tabs>
          <w:tab w:val="left" w:pos="0"/>
        </w:tabs>
        <w:spacing w:after="0" w:line="276" w:lineRule="auto"/>
        <w:jc w:val="both"/>
        <w:rPr>
          <w:rFonts w:ascii="Verdana" w:eastAsia="Calibri" w:hAnsi="Verdana" w:cs="Arial"/>
          <w:bCs/>
          <w:kern w:val="2"/>
          <w:lang w:val="es-ES_tradnl"/>
          <w14:ligatures w14:val="standardContextual"/>
        </w:rPr>
      </w:pPr>
    </w:p>
    <w:p w14:paraId="0ACF4874" w14:textId="77777777" w:rsidR="000D6CD6" w:rsidRPr="00A22D0B" w:rsidRDefault="000D6CD6" w:rsidP="00CB3758">
      <w:pPr>
        <w:snapToGrid w:val="0"/>
        <w:spacing w:after="0" w:line="276" w:lineRule="auto"/>
        <w:jc w:val="both"/>
        <w:rPr>
          <w:rFonts w:ascii="Verdana" w:eastAsia="Calibri" w:hAnsi="Verdana" w:cs="Arial"/>
          <w:kern w:val="2"/>
          <w:sz w:val="20"/>
          <w:szCs w:val="20"/>
          <w:lang w:val="es-ES" w:eastAsia="es-ES"/>
          <w14:ligatures w14:val="standardContextual"/>
        </w:rPr>
      </w:pPr>
      <w:r w:rsidRPr="00A22D0B">
        <w:rPr>
          <w:rFonts w:ascii="Verdana" w:eastAsia="Calibri" w:hAnsi="Verdana" w:cs="Arial"/>
          <w:kern w:val="2"/>
          <w:sz w:val="20"/>
          <w:szCs w:val="20"/>
          <w:lang w:val="es-ES" w:eastAsia="es-ES"/>
          <w14:ligatures w14:val="standardContextual"/>
        </w:rPr>
        <w:t xml:space="preserve">Es necesario precisar el alcance de lo dispuesto en los dos primeros incisos del artículo 56, de acuerdo con lo establecido en su parágrafo, el cual excluye de la aplicación de los primeros incisos del artículo 56, a cierto tipo de entidades, en lo relacionado con la contratación de su </w:t>
      </w:r>
      <w:r w:rsidRPr="00A22D0B">
        <w:rPr>
          <w:rFonts w:ascii="Verdana" w:eastAsia="Calibri" w:hAnsi="Verdana" w:cs="Arial"/>
          <w:i/>
          <w:kern w:val="2"/>
          <w:sz w:val="20"/>
          <w:szCs w:val="20"/>
          <w:lang w:val="es-ES" w:eastAsia="es-ES"/>
          <w14:ligatures w14:val="standardContextual"/>
        </w:rPr>
        <w:t>giro ordinario</w:t>
      </w:r>
      <w:r w:rsidRPr="00A22D0B">
        <w:rPr>
          <w:rFonts w:ascii="Verdana" w:eastAsia="Calibri" w:hAnsi="Verdana" w:cs="Arial"/>
          <w:kern w:val="2"/>
          <w:sz w:val="20"/>
          <w:szCs w:val="20"/>
          <w:lang w:val="es-ES" w:eastAsia="es-ES"/>
          <w14:ligatures w14:val="standardContextual"/>
        </w:rPr>
        <w:t xml:space="preserve">. Conforme se desprende del texto del referido parágrafo, se exceptúa de lo señalado en los dos primeros incisos a: i) las instituciones de educación superior públicas, ii) las empresas sociales del Estado, iii) las sociedades de economía mixta y iv) las empresas industriales y comerciales del Estado, únicamente, en la contratación relacionada con el </w:t>
      </w:r>
      <w:r w:rsidRPr="00A22D0B">
        <w:rPr>
          <w:rFonts w:ascii="Verdana" w:eastAsia="Calibri" w:hAnsi="Verdana" w:cs="Arial"/>
          <w:i/>
          <w:kern w:val="2"/>
          <w:sz w:val="20"/>
          <w:szCs w:val="20"/>
          <w:lang w:val="es-ES" w:eastAsia="es-ES"/>
          <w14:ligatures w14:val="standardContextual"/>
        </w:rPr>
        <w:t>giro ordinario.</w:t>
      </w:r>
      <w:r w:rsidRPr="00A22D0B">
        <w:rPr>
          <w:rFonts w:ascii="Verdana" w:eastAsia="Calibri" w:hAnsi="Verdana" w:cs="Arial"/>
          <w:kern w:val="2"/>
          <w:sz w:val="20"/>
          <w:szCs w:val="20"/>
          <w:lang w:val="es-ES" w:eastAsia="es-ES"/>
          <w14:ligatures w14:val="standardContextual"/>
        </w:rPr>
        <w:t xml:space="preserve"> Esto significa que, en la contratación asociada a su </w:t>
      </w:r>
      <w:r w:rsidRPr="00A22D0B">
        <w:rPr>
          <w:rFonts w:ascii="Verdana" w:eastAsia="Calibri" w:hAnsi="Verdana" w:cs="Arial"/>
          <w:i/>
          <w:kern w:val="2"/>
          <w:sz w:val="20"/>
          <w:szCs w:val="20"/>
          <w:lang w:val="es-ES" w:eastAsia="es-ES"/>
          <w14:ligatures w14:val="standardContextual"/>
        </w:rPr>
        <w:t xml:space="preserve">giro ordinario, </w:t>
      </w:r>
      <w:r w:rsidRPr="00A22D0B">
        <w:rPr>
          <w:rFonts w:ascii="Verdana" w:eastAsia="Calibri" w:hAnsi="Verdana" w:cs="Arial"/>
          <w:kern w:val="2"/>
          <w:sz w:val="20"/>
          <w:szCs w:val="20"/>
          <w:lang w:val="es-ES" w:eastAsia="es-ES"/>
          <w14:ligatures w14:val="standardContextual"/>
        </w:rPr>
        <w:t xml:space="preserve">estos tipos de entidades no tendrían que aplicar, de manera obligatoria, los documentos tipo, ni tampoco el EGCAP. En este caso la norma se limita a fomentar la implementación de documentos tipo a modo de buena práctica contractual, en los casos en los que se estime conveniente. </w:t>
      </w:r>
    </w:p>
    <w:p w14:paraId="4D1B4F4D" w14:textId="77777777" w:rsidR="000D6CD6" w:rsidRPr="00A22D0B" w:rsidRDefault="000D6CD6" w:rsidP="00CB3758">
      <w:pPr>
        <w:snapToGrid w:val="0"/>
        <w:spacing w:after="0" w:line="276" w:lineRule="auto"/>
        <w:ind w:left="720"/>
        <w:jc w:val="both"/>
        <w:rPr>
          <w:rFonts w:ascii="Verdana" w:eastAsia="Calibri" w:hAnsi="Verdana" w:cs="Arial"/>
          <w:kern w:val="2"/>
          <w:sz w:val="20"/>
          <w:szCs w:val="20"/>
          <w:lang w:val="es-ES" w:eastAsia="es-ES"/>
          <w14:ligatures w14:val="standardContextual"/>
        </w:rPr>
      </w:pPr>
    </w:p>
    <w:p w14:paraId="2BBE098D" w14:textId="77777777" w:rsidR="000D6CD6" w:rsidRDefault="000D6CD6" w:rsidP="00CB3758">
      <w:pPr>
        <w:tabs>
          <w:tab w:val="left" w:pos="0"/>
        </w:tabs>
        <w:snapToGrid w:val="0"/>
        <w:spacing w:after="0" w:line="276" w:lineRule="auto"/>
        <w:jc w:val="both"/>
        <w:rPr>
          <w:rFonts w:ascii="Verdana" w:eastAsia="Arial" w:hAnsi="Verdana" w:cs="Arial"/>
          <w:kern w:val="2"/>
          <w:sz w:val="20"/>
          <w:szCs w:val="20"/>
          <w:lang w:val="es-ES_tradnl" w:eastAsia="es-ES_tradnl"/>
          <w14:ligatures w14:val="standardContextual"/>
        </w:rPr>
      </w:pPr>
      <w:r w:rsidRPr="00A22D0B">
        <w:rPr>
          <w:rFonts w:ascii="Verdana" w:eastAsia="Calibri" w:hAnsi="Verdana" w:cs="Arial"/>
          <w:bCs/>
          <w:kern w:val="2"/>
          <w:sz w:val="20"/>
          <w:szCs w:val="20"/>
          <w:lang w:val="es-ES_tradnl" w:eastAsia="es-ES_tradnl"/>
          <w14:ligatures w14:val="standardContextual"/>
        </w:rPr>
        <w:t xml:space="preserve">Ahora, es importante tener en cuenta que cuando la norma se refiere a la contratación del </w:t>
      </w:r>
      <w:r w:rsidRPr="00A22D0B">
        <w:rPr>
          <w:rFonts w:ascii="Verdana" w:eastAsia="Calibri" w:hAnsi="Verdana" w:cs="Arial"/>
          <w:bCs/>
          <w:i/>
          <w:iCs/>
          <w:kern w:val="2"/>
          <w:sz w:val="20"/>
          <w:szCs w:val="20"/>
          <w:lang w:val="es-ES_tradnl" w:eastAsia="es-ES_tradnl"/>
          <w14:ligatures w14:val="standardContextual"/>
        </w:rPr>
        <w:t>giro ordinario</w:t>
      </w:r>
      <w:r w:rsidRPr="00A22D0B">
        <w:rPr>
          <w:rFonts w:ascii="Verdana" w:eastAsia="Calibri" w:hAnsi="Verdana" w:cs="Arial"/>
          <w:bCs/>
          <w:kern w:val="2"/>
          <w:sz w:val="20"/>
          <w:szCs w:val="20"/>
          <w:lang w:val="es-ES_tradnl" w:eastAsia="es-ES_tradnl"/>
          <w14:ligatures w14:val="standardContextual"/>
        </w:rPr>
        <w:t xml:space="preserve">, emplea un concepto jurídico indeterminado. </w:t>
      </w:r>
      <w:r w:rsidRPr="00A22D0B">
        <w:rPr>
          <w:rFonts w:ascii="Verdana" w:eastAsia="Arial" w:hAnsi="Verdana" w:cs="Arial"/>
          <w:kern w:val="2"/>
          <w:sz w:val="20"/>
          <w:szCs w:val="20"/>
          <w:lang w:val="es-ES_tradnl" w:eastAsia="es-ES_tradnl"/>
          <w14:ligatures w14:val="standardContextual"/>
        </w:rPr>
        <w:t xml:space="preserve">Un concepto adquiere esta denominación en el Derecho cuando se trata de un enunciado que goza de vaguedad y que debe materializarse en cada caso, atendiendo a las técnicas de la interpretación jurídica. De igual forma, se trata de un concepto para cuya concreción las entidades </w:t>
      </w:r>
      <w:r w:rsidRPr="00A22D0B">
        <w:rPr>
          <w:rFonts w:ascii="Verdana" w:eastAsia="Arial" w:hAnsi="Verdana" w:cs="Arial"/>
          <w:kern w:val="2"/>
          <w:sz w:val="20"/>
          <w:szCs w:val="20"/>
          <w:lang w:val="es-ES_tradnl" w:eastAsia="es-ES_tradnl"/>
          <w14:ligatures w14:val="standardContextual"/>
        </w:rPr>
        <w:lastRenderedPageBreak/>
        <w:t xml:space="preserve">estatales gozan de cierto margen de apreciación en su aplicación, pero deben respetar los límites previstos en las normas de orden público. Por ejemplo, no podrán considerar que cualquier contrato que celebren hace parte del giro ordinario de sus negocios. </w:t>
      </w:r>
    </w:p>
    <w:p w14:paraId="34813220" w14:textId="77777777" w:rsidR="000D6CD6" w:rsidRDefault="000D6CD6" w:rsidP="00CB3758">
      <w:pPr>
        <w:tabs>
          <w:tab w:val="left" w:pos="0"/>
        </w:tabs>
        <w:snapToGrid w:val="0"/>
        <w:spacing w:after="0" w:line="276" w:lineRule="auto"/>
        <w:jc w:val="both"/>
        <w:rPr>
          <w:rFonts w:ascii="Verdana" w:eastAsia="Arial" w:hAnsi="Verdana" w:cs="Arial"/>
          <w:kern w:val="2"/>
          <w:sz w:val="20"/>
          <w:szCs w:val="20"/>
          <w:lang w:val="es-ES_tradnl" w:eastAsia="es-ES_tradnl"/>
          <w14:ligatures w14:val="standardContextual"/>
        </w:rPr>
      </w:pPr>
    </w:p>
    <w:p w14:paraId="5B6CCF8A" w14:textId="77777777" w:rsidR="000D6CD6" w:rsidRPr="00213A2C" w:rsidRDefault="000D6CD6" w:rsidP="00CB3758">
      <w:pPr>
        <w:spacing w:after="0" w:line="276" w:lineRule="auto"/>
        <w:jc w:val="both"/>
        <w:rPr>
          <w:rFonts w:ascii="Verdana" w:eastAsia="Times New Roman" w:hAnsi="Verdana" w:cs="Arial"/>
          <w:b/>
          <w:bCs/>
          <w:sz w:val="20"/>
          <w:szCs w:val="20"/>
          <w:lang w:val="es-ES" w:eastAsia="es-ES"/>
        </w:rPr>
      </w:pPr>
      <w:r w:rsidRPr="00213A2C">
        <w:rPr>
          <w:rFonts w:ascii="Verdana" w:eastAsia="Times New Roman" w:hAnsi="Verdana" w:cs="Arial"/>
          <w:b/>
          <w:bCs/>
          <w:sz w:val="20"/>
          <w:szCs w:val="20"/>
          <w:lang w:val="es-ES" w:eastAsia="es-ES"/>
        </w:rPr>
        <w:t>ENTIDADES CON RÉGIMEN ESPECIAL DE CONTRATACIÓN – Publicación en SECOP – Actividad contractual – Término para publicar – Circular Externa No. 002 de 2024</w:t>
      </w:r>
    </w:p>
    <w:p w14:paraId="7862B9C5" w14:textId="77777777" w:rsidR="000D6CD6" w:rsidRPr="00213A2C" w:rsidRDefault="000D6CD6" w:rsidP="00CB3758">
      <w:pPr>
        <w:spacing w:after="0" w:line="276" w:lineRule="auto"/>
        <w:jc w:val="both"/>
        <w:rPr>
          <w:rFonts w:ascii="Verdana" w:eastAsia="Times New Roman" w:hAnsi="Verdana" w:cs="Arial"/>
          <w:b/>
          <w:bCs/>
          <w:sz w:val="20"/>
          <w:szCs w:val="20"/>
          <w:highlight w:val="yellow"/>
          <w:lang w:val="es-ES_tradnl" w:eastAsia="es-ES_tradnl"/>
        </w:rPr>
      </w:pPr>
    </w:p>
    <w:p w14:paraId="7E7DB632" w14:textId="77777777" w:rsidR="000D6CD6" w:rsidRPr="00213A2C" w:rsidRDefault="000D6CD6" w:rsidP="00CB3758">
      <w:pPr>
        <w:spacing w:after="0" w:line="276" w:lineRule="auto"/>
        <w:jc w:val="both"/>
        <w:rPr>
          <w:rFonts w:ascii="Verdana" w:eastAsia="Times New Roman" w:hAnsi="Verdana" w:cs="Times New Roman"/>
          <w:sz w:val="20"/>
          <w:szCs w:val="20"/>
        </w:rPr>
      </w:pPr>
      <w:r w:rsidRPr="00213A2C">
        <w:rPr>
          <w:rFonts w:ascii="Verdana" w:eastAsia="Times New Roman" w:hAnsi="Verdana" w:cs="Times New Roman"/>
          <w:sz w:val="20"/>
          <w:szCs w:val="20"/>
        </w:rPr>
        <w:t>[…] el artículo 53 de la Ley 2195 de 2022 establece el deber de publicar toda aquella información relacionada con el respectivo contrato, sin incluir ninguna excepción relacionada con la naturaleza u objeto contractual. Por lo tanto, para que las entidades exceptuadas cumplan con el deber de publicidad consagrado en el artículo 53 de la Ley 2195 de 2022, se requiere que publiquen en el SECOP II todo documento expedido durante las diferentes etapas del proceso contractual, abarcando desde la fase previa a su celebración, pasando por la ejecución y hasta la fase posterior a su ejecución. Adicionalmente se aclara, que el cumplimiento del deber de publicación de la documentación contractual debe armonizarse con las normas aplicables al tipo de información que estas contienen. Lo anterior significa que, respecto de datos sensibles, información sometida a reserva o de la cual proceda un tratamiento especial que impida su publicidad, las entidades deberán proceder de conformidad con el tratamiento que impongan tales normas.</w:t>
      </w:r>
    </w:p>
    <w:p w14:paraId="37C39147" w14:textId="77777777" w:rsidR="000D6CD6" w:rsidRPr="00213A2C" w:rsidRDefault="000D6CD6" w:rsidP="00CB3758">
      <w:pPr>
        <w:spacing w:after="0" w:line="276" w:lineRule="auto"/>
        <w:rPr>
          <w:rFonts w:ascii="Verdana" w:eastAsia="Times New Roman" w:hAnsi="Verdana" w:cs="Times New Roman"/>
          <w:sz w:val="20"/>
          <w:szCs w:val="20"/>
        </w:rPr>
      </w:pPr>
      <w:r w:rsidRPr="00213A2C">
        <w:rPr>
          <w:rFonts w:ascii="Verdana" w:eastAsia="Times New Roman" w:hAnsi="Verdana" w:cs="Times New Roman"/>
          <w:sz w:val="20"/>
          <w:szCs w:val="20"/>
        </w:rPr>
        <w:t>[…]</w:t>
      </w:r>
    </w:p>
    <w:p w14:paraId="64A92709" w14:textId="77777777" w:rsidR="000D6CD6" w:rsidRPr="00213A2C" w:rsidRDefault="000D6CD6" w:rsidP="00CB3758">
      <w:pPr>
        <w:spacing w:after="0" w:line="276" w:lineRule="auto"/>
        <w:jc w:val="both"/>
        <w:rPr>
          <w:rFonts w:ascii="Verdana" w:eastAsia="Times New Roman" w:hAnsi="Verdana" w:cs="Times New Roman"/>
          <w:sz w:val="20"/>
          <w:szCs w:val="20"/>
        </w:rPr>
      </w:pPr>
      <w:r w:rsidRPr="00213A2C">
        <w:rPr>
          <w:rFonts w:ascii="Verdana" w:eastAsia="Times New Roman" w:hAnsi="Verdana" w:cs="Times New Roman"/>
          <w:sz w:val="20"/>
          <w:szCs w:val="20"/>
        </w:rPr>
        <w:t>[…] resulta importante aclarar que en la Circular Externa No. 002 del 23 de agosto de 2024, esta Agencia señala que “[…] el término que tienen las Entidades Estatales que por disposición legal cuenten con un régimen contractual excepcional al del Estatuto General de Contratación de la Administración Pública para publicar en el SECOP II es de tres (3) días posterior a su expedición”. Es decir que, a tales entidades, les es aplicable la regla de publicación de los tres (3) días siguientes a la expedición de acto administrativo o Documento del Proceso, dispuesta en el artículo 2.2.1.1.1.7.1 del Decreto 1082 de 2015 por remisión expresa del artículo 2.1.1.2.1.7 del Decreto 1081 de 2015.</w:t>
      </w:r>
    </w:p>
    <w:p w14:paraId="484B60BB" w14:textId="77777777" w:rsidR="000D6CD6" w:rsidRPr="00213A2C" w:rsidRDefault="000D6CD6" w:rsidP="00CB3758">
      <w:pPr>
        <w:spacing w:after="0" w:line="276" w:lineRule="auto"/>
        <w:rPr>
          <w:rFonts w:ascii="Verdana" w:eastAsia="Times New Roman" w:hAnsi="Verdana" w:cs="Times New Roman"/>
          <w:sz w:val="20"/>
          <w:szCs w:val="20"/>
        </w:rPr>
      </w:pPr>
    </w:p>
    <w:p w14:paraId="0ECAC552" w14:textId="77777777" w:rsidR="000D6CD6" w:rsidRPr="00213A2C" w:rsidRDefault="000D6CD6" w:rsidP="00CB3758">
      <w:pPr>
        <w:tabs>
          <w:tab w:val="left" w:pos="0"/>
        </w:tabs>
        <w:snapToGrid w:val="0"/>
        <w:spacing w:after="0" w:line="276" w:lineRule="auto"/>
        <w:jc w:val="both"/>
        <w:rPr>
          <w:rFonts w:ascii="Verdana" w:eastAsia="Arial" w:hAnsi="Verdana" w:cs="Arial"/>
          <w:kern w:val="2"/>
          <w:sz w:val="20"/>
          <w:szCs w:val="20"/>
          <w:lang w:eastAsia="es-ES_tradnl"/>
          <w14:ligatures w14:val="standardContextual"/>
        </w:rPr>
      </w:pPr>
    </w:p>
    <w:p w14:paraId="14009709" w14:textId="77777777" w:rsidR="000D6CD6" w:rsidRPr="00805CF9" w:rsidRDefault="000D6CD6" w:rsidP="00CB3758">
      <w:pPr>
        <w:spacing w:after="0" w:line="276" w:lineRule="auto"/>
        <w:jc w:val="both"/>
        <w:rPr>
          <w:rFonts w:ascii="Verdana" w:eastAsia="Calibri" w:hAnsi="Verdana" w:cs="Arial"/>
          <w:sz w:val="20"/>
          <w:szCs w:val="20"/>
          <w:lang w:val="es-ES_tradnl" w:eastAsia="es-ES"/>
        </w:rPr>
      </w:pPr>
    </w:p>
    <w:p w14:paraId="75AEE93E" w14:textId="77777777" w:rsidR="000D6CD6" w:rsidRDefault="000D6CD6" w:rsidP="00CB3758">
      <w:pPr>
        <w:spacing w:after="0" w:line="276" w:lineRule="auto"/>
        <w:jc w:val="both"/>
        <w:rPr>
          <w:rFonts w:ascii="Verdana" w:eastAsia="Calibri" w:hAnsi="Verdana" w:cs="Arial"/>
          <w:sz w:val="20"/>
          <w:szCs w:val="20"/>
          <w:lang w:val="es-ES" w:eastAsia="es-ES"/>
        </w:rPr>
      </w:pPr>
    </w:p>
    <w:p w14:paraId="5236D979" w14:textId="77777777" w:rsidR="000D6CD6" w:rsidRPr="009C5A97" w:rsidRDefault="000D6CD6" w:rsidP="00CB3758">
      <w:pPr>
        <w:spacing w:after="0" w:line="276" w:lineRule="auto"/>
        <w:jc w:val="both"/>
        <w:rPr>
          <w:rFonts w:ascii="Verdana" w:eastAsia="Calibri" w:hAnsi="Verdana" w:cs="Arial"/>
          <w:sz w:val="20"/>
          <w:szCs w:val="20"/>
          <w:lang w:val="es-ES" w:eastAsia="es-ES"/>
        </w:rPr>
      </w:pPr>
    </w:p>
    <w:p w14:paraId="1D41CACE" w14:textId="77777777" w:rsidR="000D6CD6" w:rsidRDefault="000D6CD6" w:rsidP="00CB3758">
      <w:pPr>
        <w:spacing w:after="0" w:line="276" w:lineRule="auto"/>
        <w:jc w:val="both"/>
        <w:rPr>
          <w:rFonts w:ascii="Verdana" w:eastAsia="Calibri" w:hAnsi="Verdana" w:cs="Arial"/>
          <w:sz w:val="20"/>
          <w:szCs w:val="20"/>
          <w:lang w:val="es-ES" w:eastAsia="es-ES"/>
        </w:rPr>
      </w:pPr>
    </w:p>
    <w:p w14:paraId="000DFE22" w14:textId="77777777" w:rsidR="000D6CD6" w:rsidRDefault="000D6CD6" w:rsidP="00CB3758">
      <w:pPr>
        <w:spacing w:after="0" w:line="276" w:lineRule="auto"/>
        <w:jc w:val="both"/>
        <w:rPr>
          <w:rFonts w:ascii="Verdana" w:eastAsia="Calibri" w:hAnsi="Verdana" w:cs="Arial"/>
          <w:sz w:val="20"/>
          <w:szCs w:val="20"/>
          <w:lang w:val="es-ES" w:eastAsia="es-ES"/>
        </w:rPr>
      </w:pPr>
    </w:p>
    <w:p w14:paraId="33DB01CB" w14:textId="77777777" w:rsidR="000D6CD6" w:rsidRDefault="000D6CD6" w:rsidP="00CB3758">
      <w:pPr>
        <w:spacing w:after="0" w:line="276" w:lineRule="auto"/>
        <w:jc w:val="both"/>
        <w:rPr>
          <w:rFonts w:ascii="Verdana" w:eastAsia="Calibri" w:hAnsi="Verdana" w:cs="Arial"/>
          <w:sz w:val="20"/>
          <w:szCs w:val="20"/>
          <w:lang w:val="es-ES" w:eastAsia="es-ES"/>
        </w:rPr>
      </w:pPr>
    </w:p>
    <w:p w14:paraId="73E09F5D" w14:textId="77777777" w:rsidR="000D6CD6" w:rsidRDefault="000D6CD6" w:rsidP="00CB3758">
      <w:pPr>
        <w:spacing w:after="0" w:line="276" w:lineRule="auto"/>
        <w:jc w:val="both"/>
        <w:rPr>
          <w:rFonts w:ascii="Verdana" w:eastAsia="Calibri" w:hAnsi="Verdana" w:cs="Arial"/>
          <w:sz w:val="20"/>
          <w:szCs w:val="20"/>
          <w:lang w:val="es-ES" w:eastAsia="es-ES"/>
        </w:rPr>
      </w:pPr>
    </w:p>
    <w:p w14:paraId="0B4E995E" w14:textId="77777777" w:rsidR="000D6CD6" w:rsidRDefault="000D6CD6" w:rsidP="00CB3758">
      <w:pPr>
        <w:spacing w:after="0" w:line="276" w:lineRule="auto"/>
        <w:jc w:val="both"/>
        <w:rPr>
          <w:rFonts w:ascii="Verdana" w:eastAsia="Calibri" w:hAnsi="Verdana" w:cs="Arial"/>
          <w:sz w:val="20"/>
          <w:szCs w:val="20"/>
          <w:lang w:val="es-ES" w:eastAsia="es-ES"/>
        </w:rPr>
      </w:pPr>
    </w:p>
    <w:p w14:paraId="615E51E2" w14:textId="77777777" w:rsidR="000D6CD6" w:rsidRDefault="000D6CD6" w:rsidP="00CB3758">
      <w:pPr>
        <w:spacing w:after="0" w:line="276" w:lineRule="auto"/>
        <w:jc w:val="both"/>
        <w:rPr>
          <w:rFonts w:ascii="Verdana" w:eastAsia="Calibri" w:hAnsi="Verdana" w:cs="Arial"/>
          <w:sz w:val="20"/>
          <w:szCs w:val="20"/>
          <w:lang w:val="es-ES" w:eastAsia="es-ES"/>
        </w:rPr>
      </w:pPr>
    </w:p>
    <w:p w14:paraId="526A177F" w14:textId="77777777" w:rsidR="00006705" w:rsidRDefault="00006705" w:rsidP="00CB3758">
      <w:pPr>
        <w:spacing w:after="0" w:line="276" w:lineRule="auto"/>
        <w:rPr>
          <w:rFonts w:ascii="Verdana" w:eastAsia="Calibri" w:hAnsi="Verdana" w:cs="Arial"/>
          <w:sz w:val="20"/>
          <w:szCs w:val="20"/>
          <w:lang w:val="es-ES" w:eastAsia="es-ES"/>
        </w:rPr>
      </w:pPr>
    </w:p>
    <w:p w14:paraId="5DC6C30A" w14:textId="25A552E6" w:rsidR="000D6CD6" w:rsidRPr="00E63C0B" w:rsidRDefault="000D6CD6" w:rsidP="00CB3758">
      <w:pPr>
        <w:spacing w:after="0" w:line="276" w:lineRule="auto"/>
        <w:rPr>
          <w:rFonts w:ascii="Verdana" w:eastAsia="Geomanist Light" w:hAnsi="Verdana" w:cs="Arial"/>
          <w:color w:val="201F1E"/>
          <w:lang w:val="es-MX"/>
        </w:rPr>
      </w:pPr>
      <w:r w:rsidRPr="00E63C0B">
        <w:rPr>
          <w:rFonts w:ascii="Verdana" w:eastAsia="Geomanist Light" w:hAnsi="Verdana" w:cs="Arial"/>
          <w:color w:val="000000" w:themeColor="text1"/>
          <w:lang w:val="es-MX"/>
        </w:rPr>
        <w:lastRenderedPageBreak/>
        <w:t>Bogotá D.C., </w:t>
      </w:r>
      <w:r w:rsidR="009674BD">
        <w:rPr>
          <w:rFonts w:ascii="Verdana" w:eastAsia="Geomanist Light" w:hAnsi="Verdana" w:cs="Arial"/>
          <w:color w:val="201F1E"/>
          <w:lang w:val="es-MX"/>
        </w:rPr>
        <w:t>16 de Diciembre 2024</w:t>
      </w:r>
    </w:p>
    <w:p w14:paraId="2D354C7F" w14:textId="6A658B32" w:rsidR="000D6CD6" w:rsidRPr="00E63C0B" w:rsidRDefault="00006705" w:rsidP="00CB3758">
      <w:pPr>
        <w:spacing w:after="0" w:line="276" w:lineRule="auto"/>
        <w:jc w:val="both"/>
        <w:rPr>
          <w:rFonts w:ascii="Verdana" w:eastAsia="Calibri" w:hAnsi="Verdana" w:cs="Arial"/>
          <w:color w:val="000000"/>
          <w:lang w:val="es-ES"/>
        </w:rPr>
      </w:pPr>
      <w:r w:rsidRPr="003670C9">
        <w:rPr>
          <w:rFonts w:ascii="Verdana" w:eastAsia="Calibri" w:hAnsi="Verdana" w:cs="Arial"/>
          <w:b/>
          <w:noProof/>
          <w:color w:val="000000"/>
          <w:lang w:val="es-ES_tradnl" w:eastAsia="es-ES_tradnl"/>
        </w:rPr>
        <w:drawing>
          <wp:anchor distT="0" distB="0" distL="114300" distR="114300" simplePos="0" relativeHeight="251658240" behindDoc="1" locked="0" layoutInCell="1" allowOverlap="1" wp14:anchorId="3BEFD58E" wp14:editId="5BF37390">
            <wp:simplePos x="0" y="0"/>
            <wp:positionH relativeFrom="column">
              <wp:posOffset>2901315</wp:posOffset>
            </wp:positionH>
            <wp:positionV relativeFrom="paragraph">
              <wp:posOffset>88265</wp:posOffset>
            </wp:positionV>
            <wp:extent cx="3305175" cy="809625"/>
            <wp:effectExtent l="0" t="0" r="9525" b="9525"/>
            <wp:wrapTight wrapText="bothSides">
              <wp:wrapPolygon edited="0">
                <wp:start x="0" y="0"/>
                <wp:lineTo x="0" y="21346"/>
                <wp:lineTo x="21538" y="21346"/>
                <wp:lineTo x="21538" y="0"/>
                <wp:lineTo x="0" y="0"/>
              </wp:wrapPolygon>
            </wp:wrapTight>
            <wp:docPr id="2060658650" name="Imagen 1" descr="Interfaz de usuario gráfica, 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0658650" name="Imagen 1" descr="Interfaz de usuario gráfica, Texto&#10;&#10;El contenido generado por IA puede ser incorrecto."/>
                    <pic:cNvPicPr/>
                  </pic:nvPicPr>
                  <pic:blipFill>
                    <a:blip r:embed="rId10">
                      <a:extLst>
                        <a:ext uri="{28A0092B-C50C-407E-A947-70E740481C1C}">
                          <a14:useLocalDpi xmlns:a14="http://schemas.microsoft.com/office/drawing/2010/main" val="0"/>
                        </a:ext>
                      </a:extLst>
                    </a:blip>
                    <a:stretch>
                      <a:fillRect/>
                    </a:stretch>
                  </pic:blipFill>
                  <pic:spPr>
                    <a:xfrm>
                      <a:off x="0" y="0"/>
                      <a:ext cx="3305175" cy="809625"/>
                    </a:xfrm>
                    <a:prstGeom prst="rect">
                      <a:avLst/>
                    </a:prstGeom>
                  </pic:spPr>
                </pic:pic>
              </a:graphicData>
            </a:graphic>
            <wp14:sizeRelH relativeFrom="margin">
              <wp14:pctWidth>0</wp14:pctWidth>
            </wp14:sizeRelH>
            <wp14:sizeRelV relativeFrom="margin">
              <wp14:pctHeight>0</wp14:pctHeight>
            </wp14:sizeRelV>
          </wp:anchor>
        </w:drawing>
      </w:r>
    </w:p>
    <w:p w14:paraId="70C47342" w14:textId="5F05C8E3" w:rsidR="000D6CD6" w:rsidRDefault="000D6CD6" w:rsidP="00CB3758">
      <w:pPr>
        <w:spacing w:after="0" w:line="276" w:lineRule="auto"/>
        <w:textAlignment w:val="baseline"/>
        <w:rPr>
          <w:rFonts w:ascii="Verdana" w:eastAsia="Calibri" w:hAnsi="Verdana" w:cs="Arial"/>
        </w:rPr>
      </w:pPr>
      <w:r w:rsidRPr="009C5A97">
        <w:rPr>
          <w:rFonts w:ascii="Verdana" w:eastAsia="Calibri" w:hAnsi="Verdana" w:cs="Arial"/>
        </w:rPr>
        <w:t>Señor</w:t>
      </w:r>
    </w:p>
    <w:p w14:paraId="107CC8BC" w14:textId="47C3306B" w:rsidR="008A17A5" w:rsidRPr="00F25647" w:rsidRDefault="008A17A5" w:rsidP="00CB3758">
      <w:pPr>
        <w:spacing w:after="0" w:line="276" w:lineRule="auto"/>
        <w:textAlignment w:val="baseline"/>
        <w:rPr>
          <w:rFonts w:ascii="Verdana" w:eastAsia="Calibri" w:hAnsi="Verdana" w:cs="Arial"/>
          <w:b/>
          <w:bCs/>
        </w:rPr>
      </w:pPr>
      <w:r w:rsidRPr="00F25647">
        <w:rPr>
          <w:rFonts w:ascii="Verdana" w:eastAsia="Calibri" w:hAnsi="Verdana" w:cs="Arial"/>
          <w:b/>
          <w:bCs/>
        </w:rPr>
        <w:t xml:space="preserve">Hover Adriana Prado Otela </w:t>
      </w:r>
    </w:p>
    <w:p w14:paraId="280CCCA6" w14:textId="58E965C5" w:rsidR="00F25647" w:rsidRPr="00F25647" w:rsidRDefault="00F25647" w:rsidP="00CB3758">
      <w:pPr>
        <w:spacing w:after="0" w:line="276" w:lineRule="auto"/>
        <w:rPr>
          <w:rFonts w:ascii="Verdana" w:hAnsi="Verdana"/>
        </w:rPr>
      </w:pPr>
      <w:hyperlink r:id="rId11" w:history="1">
        <w:r w:rsidRPr="00F25647">
          <w:rPr>
            <w:rStyle w:val="Hipervnculo"/>
            <w:rFonts w:ascii="Verdana" w:hAnsi="Verdana"/>
          </w:rPr>
          <w:t>controlinterno@emcorintoesp.com.co</w:t>
        </w:r>
      </w:hyperlink>
    </w:p>
    <w:p w14:paraId="539614AB" w14:textId="7CBC5C61" w:rsidR="008A17A5" w:rsidRPr="00F25647" w:rsidRDefault="008A17A5" w:rsidP="00CB3758">
      <w:pPr>
        <w:spacing w:after="0" w:line="276" w:lineRule="auto"/>
        <w:rPr>
          <w:rFonts w:ascii="Verdana" w:eastAsia="Calibri" w:hAnsi="Verdana" w:cs="Arial"/>
          <w:b/>
          <w:color w:val="000000"/>
          <w:lang w:eastAsia="es-ES_tradnl"/>
        </w:rPr>
      </w:pPr>
      <w:r w:rsidRPr="00F25647">
        <w:rPr>
          <w:rFonts w:ascii="Verdana" w:eastAsia="Calibri" w:hAnsi="Verdana" w:cs="Arial"/>
        </w:rPr>
        <w:t xml:space="preserve">Corinto, Cauca. </w:t>
      </w:r>
    </w:p>
    <w:p w14:paraId="1E9353D2" w14:textId="5A4A2B22" w:rsidR="000D6CD6" w:rsidRDefault="000D6CD6" w:rsidP="00CB3758">
      <w:pPr>
        <w:spacing w:after="0" w:line="276" w:lineRule="auto"/>
        <w:rPr>
          <w:rFonts w:ascii="Verdana" w:eastAsia="Calibri" w:hAnsi="Verdana" w:cs="Arial"/>
          <w:b/>
          <w:color w:val="000000"/>
          <w:lang w:val="es-ES_tradnl" w:eastAsia="es-ES_tradnl"/>
        </w:rPr>
      </w:pPr>
    </w:p>
    <w:p w14:paraId="5769D193" w14:textId="052B1138" w:rsidR="003670C9" w:rsidRPr="00E63C0B" w:rsidRDefault="003670C9" w:rsidP="003670C9">
      <w:pPr>
        <w:spacing w:after="0" w:line="276" w:lineRule="auto"/>
        <w:jc w:val="right"/>
        <w:rPr>
          <w:rFonts w:ascii="Verdana" w:eastAsia="Calibri" w:hAnsi="Verdana" w:cs="Arial"/>
          <w:b/>
          <w:color w:val="000000"/>
          <w:lang w:val="es-ES_tradnl" w:eastAsia="es-ES_tradnl"/>
        </w:rPr>
      </w:pPr>
    </w:p>
    <w:tbl>
      <w:tblPr>
        <w:tblStyle w:val="Tablaconcuadrcula"/>
        <w:tblW w:w="893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410"/>
        <w:gridCol w:w="6521"/>
      </w:tblGrid>
      <w:tr w:rsidR="000D6CD6" w:rsidRPr="009C5A97" w14:paraId="55ED724B" w14:textId="77777777" w:rsidTr="00ED4CCE">
        <w:trPr>
          <w:trHeight w:val="884"/>
        </w:trPr>
        <w:tc>
          <w:tcPr>
            <w:tcW w:w="2410" w:type="dxa"/>
          </w:tcPr>
          <w:p w14:paraId="150351B8" w14:textId="77777777" w:rsidR="000D6CD6" w:rsidRPr="00E63C0B" w:rsidRDefault="000D6CD6" w:rsidP="00CB3758">
            <w:pPr>
              <w:spacing w:line="276" w:lineRule="auto"/>
              <w:jc w:val="both"/>
              <w:rPr>
                <w:rFonts w:ascii="Verdana" w:eastAsia="Calibri" w:hAnsi="Verdana" w:cs="Arial"/>
                <w:b/>
                <w:color w:val="7030A0"/>
                <w:lang w:val="es-ES_tradnl" w:eastAsia="es-ES_tradnl"/>
              </w:rPr>
            </w:pPr>
          </w:p>
        </w:tc>
        <w:tc>
          <w:tcPr>
            <w:tcW w:w="6521" w:type="dxa"/>
          </w:tcPr>
          <w:p w14:paraId="3B62BCB0" w14:textId="5F3A1FE8" w:rsidR="000D6CD6" w:rsidRPr="00C56A6D" w:rsidRDefault="000D6CD6" w:rsidP="00CB3758">
            <w:pPr>
              <w:spacing w:line="276" w:lineRule="auto"/>
              <w:jc w:val="both"/>
              <w:rPr>
                <w:rFonts w:ascii="Verdana" w:eastAsia="Calibri" w:hAnsi="Verdana" w:cs="Arial"/>
                <w:b/>
                <w:lang w:val="es-MX" w:eastAsia="es-ES_tradnl"/>
              </w:rPr>
            </w:pPr>
            <w:r w:rsidRPr="00C56A6D">
              <w:rPr>
                <w:rFonts w:ascii="Verdana" w:eastAsia="Calibri" w:hAnsi="Verdana" w:cs="Arial"/>
                <w:b/>
                <w:lang w:val="es-MX" w:eastAsia="es-ES_tradnl"/>
              </w:rPr>
              <w:t>Concepto C-</w:t>
            </w:r>
            <w:r>
              <w:rPr>
                <w:rFonts w:ascii="Verdana" w:eastAsia="Calibri" w:hAnsi="Verdana" w:cs="Arial"/>
                <w:b/>
                <w:lang w:val="es-MX" w:eastAsia="es-ES_tradnl"/>
              </w:rPr>
              <w:t xml:space="preserve"> </w:t>
            </w:r>
            <w:r w:rsidR="008A17A5">
              <w:rPr>
                <w:rFonts w:ascii="Verdana" w:eastAsia="Calibri" w:hAnsi="Verdana" w:cs="Arial"/>
                <w:b/>
                <w:lang w:val="es-MX" w:eastAsia="es-ES_tradnl"/>
              </w:rPr>
              <w:t>824</w:t>
            </w:r>
            <w:r w:rsidRPr="00C56A6D">
              <w:rPr>
                <w:rFonts w:ascii="Verdana" w:eastAsia="Calibri" w:hAnsi="Verdana" w:cs="Arial"/>
                <w:b/>
                <w:lang w:val="es-MX" w:eastAsia="es-ES_tradnl"/>
              </w:rPr>
              <w:t xml:space="preserve"> de 2024</w:t>
            </w:r>
          </w:p>
        </w:tc>
      </w:tr>
      <w:tr w:rsidR="000D6CD6" w:rsidRPr="009C5A97" w14:paraId="44E4FE8F" w14:textId="77777777" w:rsidTr="00ED4CCE">
        <w:trPr>
          <w:trHeight w:val="884"/>
        </w:trPr>
        <w:tc>
          <w:tcPr>
            <w:tcW w:w="2410" w:type="dxa"/>
          </w:tcPr>
          <w:p w14:paraId="11469698" w14:textId="77777777" w:rsidR="000D6CD6" w:rsidRPr="005A64DD" w:rsidRDefault="000D6CD6" w:rsidP="00CB3758">
            <w:pPr>
              <w:spacing w:line="276" w:lineRule="auto"/>
              <w:jc w:val="both"/>
              <w:rPr>
                <w:rFonts w:ascii="Verdana" w:eastAsia="Calibri" w:hAnsi="Verdana" w:cs="Arial"/>
                <w:b/>
                <w:lang w:val="es-MX" w:eastAsia="es-ES_tradnl"/>
              </w:rPr>
            </w:pPr>
            <w:r w:rsidRPr="005A64DD">
              <w:rPr>
                <w:rFonts w:ascii="Verdana" w:eastAsia="Calibri" w:hAnsi="Verdana" w:cs="Arial"/>
                <w:b/>
                <w:lang w:val="es-MX" w:eastAsia="es-ES_tradnl"/>
              </w:rPr>
              <w:t xml:space="preserve">Temas:                   </w:t>
            </w:r>
          </w:p>
        </w:tc>
        <w:tc>
          <w:tcPr>
            <w:tcW w:w="6521" w:type="dxa"/>
          </w:tcPr>
          <w:p w14:paraId="5C0BF58C" w14:textId="1B62F40B" w:rsidR="000D6CD6" w:rsidRPr="00573AD3" w:rsidRDefault="000D6CD6" w:rsidP="00CB3758">
            <w:pPr>
              <w:spacing w:line="276" w:lineRule="auto"/>
              <w:jc w:val="both"/>
              <w:rPr>
                <w:rFonts w:ascii="Verdana" w:eastAsia="Times New Roman" w:hAnsi="Verdana" w:cs="Arial"/>
                <w:lang w:val="es-ES" w:eastAsia="es-ES"/>
              </w:rPr>
            </w:pPr>
            <w:r>
              <w:rPr>
                <w:rFonts w:ascii="Verdana" w:hAnsi="Verdana" w:cs="Arial"/>
                <w:bCs/>
                <w:lang w:eastAsia="es-ES"/>
              </w:rPr>
              <w:t xml:space="preserve">DOCUMENTOS TIPO – Fundamento normativo -Obligatoriedad – Ámbito de aplicación – Entidades sometidas / LEY 2195 DE 2022 – Articulo 56 – Ámbito de aplicación / LEY 2195 DE 2022 – Articulo 56 – Finalidad / LEY 2195 DE 2022 -Aplicación del Estatuto General de Contratación de la Administración Pública / LEY 2195 DE 2022 – Articulo 56 Parágrafo – Excepciones - Giro ordinario- LEY 2195 DE 2022 – </w:t>
            </w:r>
          </w:p>
          <w:p w14:paraId="51D7DBC4" w14:textId="77777777" w:rsidR="000D6CD6" w:rsidRPr="00573AD3" w:rsidRDefault="000D6CD6" w:rsidP="00CB3758">
            <w:pPr>
              <w:spacing w:line="276" w:lineRule="auto"/>
              <w:jc w:val="both"/>
              <w:rPr>
                <w:rFonts w:ascii="Verdana" w:hAnsi="Verdana" w:cs="Arial"/>
                <w:bCs/>
                <w:lang w:val="es-ES" w:eastAsia="es-ES"/>
              </w:rPr>
            </w:pPr>
          </w:p>
          <w:p w14:paraId="6116DB39" w14:textId="77777777" w:rsidR="000D6CD6" w:rsidRPr="009C5A97" w:rsidRDefault="000D6CD6" w:rsidP="00CB3758">
            <w:pPr>
              <w:spacing w:line="276" w:lineRule="auto"/>
              <w:jc w:val="both"/>
              <w:rPr>
                <w:rFonts w:ascii="Verdana" w:eastAsia="Calibri" w:hAnsi="Verdana" w:cs="Arial"/>
                <w:bCs/>
                <w:lang w:val="es-MX" w:eastAsia="es-ES_tradnl"/>
              </w:rPr>
            </w:pPr>
          </w:p>
        </w:tc>
      </w:tr>
      <w:tr w:rsidR="000D6CD6" w:rsidRPr="009C5A97" w14:paraId="3E216B24" w14:textId="77777777" w:rsidTr="00ED4CCE">
        <w:tc>
          <w:tcPr>
            <w:tcW w:w="2410" w:type="dxa"/>
          </w:tcPr>
          <w:p w14:paraId="2006A086" w14:textId="77777777" w:rsidR="000D6CD6" w:rsidRPr="00E63C0B" w:rsidRDefault="000D6CD6" w:rsidP="00CB3758">
            <w:pPr>
              <w:spacing w:line="276" w:lineRule="auto"/>
              <w:jc w:val="both"/>
              <w:rPr>
                <w:rFonts w:ascii="Verdana" w:eastAsia="Calibri" w:hAnsi="Verdana" w:cs="Arial"/>
                <w:b/>
                <w:lang w:val="es-MX" w:eastAsia="es-ES_tradnl"/>
              </w:rPr>
            </w:pPr>
            <w:r w:rsidRPr="00E63C0B">
              <w:rPr>
                <w:rFonts w:ascii="Verdana" w:eastAsia="Calibri" w:hAnsi="Verdana" w:cs="Arial"/>
                <w:b/>
                <w:lang w:val="es-MX" w:eastAsia="es-ES_tradnl"/>
              </w:rPr>
              <w:t>Radicación:</w:t>
            </w:r>
          </w:p>
        </w:tc>
        <w:tc>
          <w:tcPr>
            <w:tcW w:w="6521" w:type="dxa"/>
          </w:tcPr>
          <w:p w14:paraId="3948EFB9" w14:textId="47C583D1" w:rsidR="000D6CD6" w:rsidRPr="009C5A97" w:rsidRDefault="000D6CD6" w:rsidP="00CB3758">
            <w:pPr>
              <w:spacing w:line="276" w:lineRule="auto"/>
              <w:jc w:val="both"/>
              <w:rPr>
                <w:rFonts w:ascii="Verdana" w:eastAsia="Calibri" w:hAnsi="Verdana" w:cs="Arial"/>
                <w:bCs/>
                <w:lang w:val="es-MX" w:eastAsia="es-ES_tradnl"/>
              </w:rPr>
            </w:pPr>
            <w:r w:rsidRPr="009C5A97">
              <w:rPr>
                <w:rFonts w:ascii="Verdana" w:eastAsia="Calibri" w:hAnsi="Verdana" w:cs="Arial"/>
                <w:bCs/>
                <w:lang w:val="es-MX" w:eastAsia="es-ES_tradnl"/>
              </w:rPr>
              <w:t xml:space="preserve">Respuesta a consulta con radicado No. </w:t>
            </w:r>
            <w:r w:rsidR="00781CA2" w:rsidRPr="00781CA2">
              <w:rPr>
                <w:rFonts w:ascii="Verdana" w:eastAsia="Calibri" w:hAnsi="Verdana" w:cs="Arial"/>
                <w:bCs/>
                <w:lang w:eastAsia="es-ES_tradnl"/>
              </w:rPr>
              <w:t>P20241106011177</w:t>
            </w:r>
          </w:p>
        </w:tc>
      </w:tr>
    </w:tbl>
    <w:p w14:paraId="2318233D" w14:textId="77777777" w:rsidR="000D6CD6" w:rsidRPr="00E63C0B" w:rsidRDefault="000D6CD6" w:rsidP="00CB3758">
      <w:pPr>
        <w:spacing w:after="0" w:line="276" w:lineRule="auto"/>
        <w:jc w:val="both"/>
        <w:rPr>
          <w:rFonts w:ascii="Verdana" w:eastAsia="Calibri" w:hAnsi="Verdana" w:cs="Arial"/>
          <w:color w:val="000000"/>
          <w:lang w:val="es-ES_tradnl" w:eastAsia="es-ES_tradnl"/>
        </w:rPr>
      </w:pPr>
    </w:p>
    <w:p w14:paraId="700CA8DC" w14:textId="77777777" w:rsidR="000D6CD6" w:rsidRPr="00E63C0B" w:rsidRDefault="000D6CD6" w:rsidP="00CB3758">
      <w:pPr>
        <w:spacing w:after="0" w:line="276" w:lineRule="auto"/>
        <w:jc w:val="both"/>
        <w:rPr>
          <w:rFonts w:ascii="Verdana" w:eastAsia="Calibri" w:hAnsi="Verdana" w:cs="Arial"/>
          <w:color w:val="000000"/>
          <w:lang w:val="es-ES_tradnl" w:eastAsia="es-ES_tradnl"/>
        </w:rPr>
      </w:pPr>
    </w:p>
    <w:p w14:paraId="30B6E7A0" w14:textId="10CC777E" w:rsidR="000D6CD6" w:rsidRDefault="000D6CD6" w:rsidP="00CB3758">
      <w:pPr>
        <w:spacing w:after="0" w:line="276" w:lineRule="auto"/>
        <w:jc w:val="both"/>
        <w:textAlignment w:val="baseline"/>
        <w:rPr>
          <w:rFonts w:ascii="Verdana" w:eastAsia="Calibri" w:hAnsi="Verdana" w:cs="Arial"/>
        </w:rPr>
      </w:pPr>
      <w:r w:rsidRPr="009C5A97">
        <w:rPr>
          <w:rFonts w:ascii="Verdana" w:eastAsia="Calibri" w:hAnsi="Verdana" w:cs="Arial"/>
        </w:rPr>
        <w:t>Estimad</w:t>
      </w:r>
      <w:r>
        <w:rPr>
          <w:rFonts w:ascii="Verdana" w:eastAsia="Calibri" w:hAnsi="Verdana" w:cs="Arial"/>
        </w:rPr>
        <w:t xml:space="preserve">o señor </w:t>
      </w:r>
      <w:r w:rsidR="008A17A5">
        <w:rPr>
          <w:rFonts w:ascii="Verdana" w:eastAsia="Calibri" w:hAnsi="Verdana" w:cs="Arial"/>
        </w:rPr>
        <w:t>Prado</w:t>
      </w:r>
      <w:r>
        <w:rPr>
          <w:rFonts w:ascii="Verdana" w:eastAsia="Calibri" w:hAnsi="Verdana" w:cs="Arial"/>
        </w:rPr>
        <w:t>:</w:t>
      </w:r>
    </w:p>
    <w:p w14:paraId="73E0A795" w14:textId="77777777" w:rsidR="000D6CD6" w:rsidRPr="00E63C0B" w:rsidRDefault="000D6CD6" w:rsidP="00CB3758">
      <w:pPr>
        <w:spacing w:after="0" w:line="276" w:lineRule="auto"/>
        <w:jc w:val="both"/>
        <w:textAlignment w:val="baseline"/>
        <w:rPr>
          <w:rFonts w:ascii="Verdana" w:eastAsia="Calibri" w:hAnsi="Verdana" w:cs="Arial"/>
          <w:color w:val="000000" w:themeColor="text1"/>
          <w:lang w:val="es-ES" w:eastAsia="es-ES"/>
        </w:rPr>
      </w:pPr>
    </w:p>
    <w:p w14:paraId="190C61E4" w14:textId="644B68DC" w:rsidR="008A17A5" w:rsidRDefault="000D6CD6" w:rsidP="00CB3758">
      <w:pPr>
        <w:spacing w:after="0" w:line="276" w:lineRule="auto"/>
        <w:jc w:val="both"/>
        <w:rPr>
          <w:rFonts w:ascii="Verdana" w:eastAsia="Calibri" w:hAnsi="Verdana" w:cs="Arial"/>
          <w:lang w:val="es-ES" w:eastAsia="es-ES"/>
        </w:rPr>
      </w:pPr>
      <w:r w:rsidRPr="009C5A97">
        <w:rPr>
          <w:rFonts w:ascii="Verdana" w:eastAsia="Calibri" w:hAnsi="Verdana" w:cs="Arial"/>
          <w:color w:val="000000" w:themeColor="text1"/>
          <w:lang w:val="es-ES" w:eastAsia="es-ES"/>
        </w:rPr>
        <w:t>En ejercicio de la competencia otorgada por los artículos 3, numeral 5º, y 11, numeral 8º, del Decreto Ley 4170 de 2011,</w:t>
      </w:r>
      <w:r w:rsidRPr="009C5A97">
        <w:rPr>
          <w:rFonts w:ascii="Verdana" w:eastAsia="Arial MT" w:hAnsi="Verdana" w:cs="Arial MT"/>
          <w:lang w:val="es-ES" w:eastAsia="es-ES"/>
        </w:rPr>
        <w:t xml:space="preserve"> </w:t>
      </w:r>
      <w:r w:rsidRPr="009C5A97">
        <w:rPr>
          <w:rFonts w:ascii="Verdana" w:hAnsi="Verdana" w:cs="Arial"/>
        </w:rPr>
        <w:t xml:space="preserve">así como lo establecido en el artículo 4 de la Resolución 1707 de 2018 expedida por esta Entidad, </w:t>
      </w:r>
      <w:r w:rsidRPr="009C5A97">
        <w:rPr>
          <w:rFonts w:ascii="Verdana" w:eastAsia="Calibri" w:hAnsi="Verdana" w:cs="Arial"/>
          <w:lang w:val="es-ES" w:eastAsia="es-ES"/>
        </w:rPr>
        <w:t xml:space="preserve">la Agencia Nacional de Contratación Pública – Colombia Compra Eficiente– responde su solicitud de consulta de fecha </w:t>
      </w:r>
      <w:r w:rsidR="00F6134B">
        <w:rPr>
          <w:rFonts w:ascii="Verdana" w:eastAsia="Calibri" w:hAnsi="Verdana" w:cs="Arial"/>
          <w:lang w:val="es-ES" w:eastAsia="es-ES"/>
        </w:rPr>
        <w:t>6</w:t>
      </w:r>
      <w:r w:rsidR="008A17A5">
        <w:rPr>
          <w:rFonts w:ascii="Verdana" w:eastAsia="Calibri" w:hAnsi="Verdana" w:cs="Arial"/>
          <w:lang w:val="es-ES" w:eastAsia="es-ES"/>
        </w:rPr>
        <w:t xml:space="preserve"> de noviembre </w:t>
      </w:r>
      <w:r w:rsidRPr="009C5A97">
        <w:rPr>
          <w:rFonts w:ascii="Verdana" w:eastAsia="Calibri" w:hAnsi="Verdana" w:cs="Arial"/>
          <w:lang w:val="es-ES" w:eastAsia="es-ES"/>
        </w:rPr>
        <w:t>2024, en la cual manifiesta lo siguiente</w:t>
      </w:r>
      <w:r w:rsidRPr="00C56A6D">
        <w:rPr>
          <w:rFonts w:ascii="Verdana" w:eastAsia="Calibri" w:hAnsi="Verdana" w:cs="Arial"/>
          <w:lang w:val="es-ES" w:eastAsia="es-ES"/>
        </w:rPr>
        <w:t>:</w:t>
      </w:r>
    </w:p>
    <w:p w14:paraId="1D1AB481" w14:textId="77777777" w:rsidR="008A17A5" w:rsidRDefault="008A17A5" w:rsidP="00CB3758">
      <w:pPr>
        <w:spacing w:after="0" w:line="276" w:lineRule="auto"/>
        <w:ind w:right="993"/>
        <w:jc w:val="both"/>
        <w:rPr>
          <w:rFonts w:ascii="Verdana" w:eastAsia="Calibri" w:hAnsi="Verdana" w:cs="Arial"/>
          <w:lang w:val="es-ES" w:eastAsia="es-ES"/>
        </w:rPr>
      </w:pPr>
    </w:p>
    <w:p w14:paraId="0C8A03C1" w14:textId="0310EDD3" w:rsidR="000D6CD6" w:rsidRPr="008A17A5" w:rsidRDefault="008A17A5" w:rsidP="00CB3758">
      <w:pPr>
        <w:tabs>
          <w:tab w:val="left" w:pos="8080"/>
          <w:tab w:val="left" w:pos="8364"/>
        </w:tabs>
        <w:spacing w:after="0" w:line="276" w:lineRule="auto"/>
        <w:ind w:left="851" w:right="993"/>
        <w:jc w:val="both"/>
        <w:rPr>
          <w:rFonts w:ascii="Verdana" w:eastAsia="Calibri" w:hAnsi="Verdana" w:cs="Arial"/>
          <w:sz w:val="20"/>
          <w:szCs w:val="20"/>
          <w:lang w:val="es-ES" w:eastAsia="es-ES"/>
        </w:rPr>
      </w:pPr>
      <w:r w:rsidRPr="008A17A5">
        <w:rPr>
          <w:rFonts w:ascii="Verdana" w:eastAsia="Calibri" w:hAnsi="Verdana" w:cs="Arial"/>
          <w:sz w:val="20"/>
          <w:szCs w:val="20"/>
          <w:lang w:val="es-ES" w:eastAsia="es-ES"/>
        </w:rPr>
        <w:t>“Las Empresas de Servicios Pdblicos que se transformaron en Empresas</w:t>
      </w:r>
      <w:r>
        <w:rPr>
          <w:rFonts w:ascii="Verdana" w:eastAsia="Calibri" w:hAnsi="Verdana" w:cs="Arial"/>
          <w:sz w:val="20"/>
          <w:szCs w:val="20"/>
          <w:lang w:val="es-ES" w:eastAsia="es-ES"/>
        </w:rPr>
        <w:t xml:space="preserve"> </w:t>
      </w:r>
      <w:r w:rsidRPr="008A17A5">
        <w:rPr>
          <w:rFonts w:ascii="Verdana" w:eastAsia="Calibri" w:hAnsi="Verdana" w:cs="Arial"/>
          <w:sz w:val="20"/>
          <w:szCs w:val="20"/>
          <w:lang w:val="es-ES" w:eastAsia="es-ES"/>
        </w:rPr>
        <w:t>lndustriales y Comerciales del Estado de conformidad con lo establecido en los</w:t>
      </w:r>
      <w:r>
        <w:rPr>
          <w:rFonts w:ascii="Verdana" w:eastAsia="Calibri" w:hAnsi="Verdana" w:cs="Arial"/>
          <w:sz w:val="20"/>
          <w:szCs w:val="20"/>
          <w:lang w:val="es-ES" w:eastAsia="es-ES"/>
        </w:rPr>
        <w:t xml:space="preserve"> </w:t>
      </w:r>
      <w:r w:rsidRPr="008A17A5">
        <w:rPr>
          <w:rFonts w:ascii="Verdana" w:eastAsia="Calibri" w:hAnsi="Verdana" w:cs="Arial"/>
          <w:sz w:val="20"/>
          <w:szCs w:val="20"/>
          <w:lang w:val="es-ES" w:eastAsia="es-ES"/>
        </w:rPr>
        <w:t>Articulos 17 y 180 de la Ley 142 de 1994, estan obligadas a aplicar los Documentos Tipo de que trata el Articulo 56° de la Ley 2195 de 2022, teniendo en cuenta que el páragrafo único de dicho artículo exceptua a las Empresas Industriales y Comerciales del Estado?</w:t>
      </w:r>
      <w:r>
        <w:rPr>
          <w:rFonts w:ascii="Verdana" w:eastAsia="Calibri" w:hAnsi="Verdana" w:cs="Arial"/>
          <w:sz w:val="20"/>
          <w:szCs w:val="20"/>
          <w:lang w:val="es-ES" w:eastAsia="es-ES"/>
        </w:rPr>
        <w:t>” [sic]</w:t>
      </w:r>
    </w:p>
    <w:p w14:paraId="567FD68C" w14:textId="77777777" w:rsidR="000D6CD6" w:rsidRPr="00E63C0B" w:rsidRDefault="000D6CD6" w:rsidP="00CB3758">
      <w:pPr>
        <w:spacing w:after="120" w:line="276" w:lineRule="auto"/>
        <w:ind w:firstLine="709"/>
        <w:jc w:val="both"/>
        <w:rPr>
          <w:rFonts w:ascii="Verdana" w:eastAsia="Calibri" w:hAnsi="Verdana" w:cs="Arial"/>
          <w:color w:val="000000"/>
          <w:lang w:val="es-ES" w:eastAsia="es-ES"/>
        </w:rPr>
      </w:pPr>
    </w:p>
    <w:p w14:paraId="01569506" w14:textId="77777777" w:rsidR="000D6CD6" w:rsidRPr="009C5A97" w:rsidRDefault="000D6CD6" w:rsidP="00CB3758">
      <w:pPr>
        <w:spacing w:after="120" w:line="276" w:lineRule="auto"/>
        <w:ind w:firstLine="709"/>
        <w:jc w:val="both"/>
        <w:rPr>
          <w:rFonts w:ascii="Verdana" w:eastAsia="Calibri" w:hAnsi="Verdana" w:cs="Arial"/>
          <w:color w:val="000000"/>
          <w:lang w:val="es-ES_tradnl" w:eastAsia="es-ES_tradnl"/>
        </w:rPr>
      </w:pPr>
      <w:r w:rsidRPr="009C5A97">
        <w:rPr>
          <w:rFonts w:ascii="Verdana" w:eastAsia="Calibri" w:hAnsi="Verdana" w:cs="Arial"/>
          <w:color w:val="000000"/>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9C5A97">
        <w:rPr>
          <w:rFonts w:ascii="Verdana" w:eastAsia="Calibri" w:hAnsi="Verdana" w:cs="Arial"/>
          <w:color w:val="000000"/>
          <w:lang w:val="es-ES_tradnl" w:eastAsia="es-ES_tradnl"/>
        </w:rPr>
        <w:tab/>
      </w:r>
    </w:p>
    <w:p w14:paraId="719FCAB0" w14:textId="77777777" w:rsidR="000D6CD6" w:rsidRPr="009C5A97" w:rsidRDefault="000D6CD6" w:rsidP="00CB3758">
      <w:pPr>
        <w:spacing w:after="0" w:line="276" w:lineRule="auto"/>
        <w:ind w:firstLine="709"/>
        <w:jc w:val="both"/>
        <w:rPr>
          <w:rFonts w:ascii="Verdana" w:eastAsia="Calibri" w:hAnsi="Verdana" w:cs="Arial"/>
          <w:color w:val="000000"/>
          <w:lang w:val="es-ES" w:eastAsia="es-ES"/>
        </w:rPr>
      </w:pPr>
      <w:r w:rsidRPr="009C5A97">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w:t>
      </w:r>
      <w:r w:rsidRPr="009C5A97">
        <w:rPr>
          <w:rFonts w:ascii="Verdana" w:eastAsia="Calibri" w:hAnsi="Verdana" w:cs="Arial"/>
          <w:color w:val="7030A0"/>
          <w:lang w:val="es-ES" w:eastAsia="es-ES"/>
        </w:rPr>
        <w:t xml:space="preserve"> </w:t>
      </w:r>
      <w:r w:rsidRPr="009C5A97">
        <w:rPr>
          <w:rFonts w:ascii="Verdana" w:eastAsia="Calibri" w:hAnsi="Verdana" w:cs="Arial"/>
          <w:color w:val="000000"/>
          <w:lang w:val="es-ES" w:eastAsia="es-ES"/>
        </w:rPr>
        <w:t>problema</w:t>
      </w:r>
      <w:r w:rsidRPr="009C5A97">
        <w:rPr>
          <w:rFonts w:ascii="Verdana" w:eastAsia="Calibri" w:hAnsi="Verdana" w:cs="Arial"/>
          <w:color w:val="7030A0"/>
          <w:lang w:val="es-ES" w:eastAsia="es-ES"/>
        </w:rPr>
        <w:t xml:space="preserve"> </w:t>
      </w:r>
      <w:r w:rsidRPr="009C5A97">
        <w:rPr>
          <w:rFonts w:ascii="Verdana" w:eastAsia="Calibri" w:hAnsi="Verdana" w:cs="Arial"/>
          <w:color w:val="000000"/>
          <w:lang w:val="es-ES" w:eastAsia="es-ES"/>
        </w:rPr>
        <w:t>jurídico</w:t>
      </w:r>
      <w:r w:rsidRPr="009C5A97">
        <w:rPr>
          <w:rFonts w:ascii="Verdana" w:eastAsia="Calibri" w:hAnsi="Verdana" w:cs="Arial"/>
          <w:color w:val="7030A0"/>
          <w:lang w:val="es-ES" w:eastAsia="es-ES"/>
        </w:rPr>
        <w:t xml:space="preserve"> </w:t>
      </w:r>
      <w:r w:rsidRPr="009C5A97">
        <w:rPr>
          <w:rFonts w:ascii="Verdana" w:eastAsia="Calibri" w:hAnsi="Verdana" w:cs="Arial"/>
          <w:color w:val="000000"/>
          <w:lang w:val="es-ES" w:eastAsia="es-ES"/>
        </w:rPr>
        <w:t xml:space="preserve">de su consulta. </w:t>
      </w:r>
    </w:p>
    <w:p w14:paraId="1A2FB508" w14:textId="77777777" w:rsidR="000D6CD6" w:rsidRPr="009C5A97" w:rsidRDefault="000D6CD6" w:rsidP="00CB3758">
      <w:pPr>
        <w:spacing w:after="0" w:line="276" w:lineRule="auto"/>
        <w:ind w:firstLine="709"/>
        <w:jc w:val="both"/>
        <w:rPr>
          <w:rFonts w:ascii="Verdana" w:eastAsia="Calibri" w:hAnsi="Verdana" w:cs="Arial"/>
          <w:color w:val="000000"/>
          <w:lang w:val="es-ES" w:eastAsia="es-ES"/>
        </w:rPr>
      </w:pPr>
    </w:p>
    <w:p w14:paraId="3340B2EC" w14:textId="77777777" w:rsidR="000D6CD6" w:rsidRPr="00C56A6D" w:rsidRDefault="000D6CD6" w:rsidP="00CB3758">
      <w:pPr>
        <w:numPr>
          <w:ilvl w:val="0"/>
          <w:numId w:val="16"/>
        </w:numPr>
        <w:tabs>
          <w:tab w:val="left" w:pos="142"/>
          <w:tab w:val="left" w:pos="284"/>
        </w:tabs>
        <w:spacing w:after="0" w:line="276" w:lineRule="auto"/>
        <w:ind w:left="0" w:firstLine="0"/>
        <w:contextualSpacing/>
        <w:jc w:val="both"/>
        <w:rPr>
          <w:rFonts w:ascii="Verdana" w:eastAsia="Century Gothic" w:hAnsi="Verdana" w:cs="Century Gothic"/>
          <w:b/>
          <w:lang w:val="es-ES"/>
        </w:rPr>
      </w:pPr>
      <w:r w:rsidRPr="009C5A97">
        <w:rPr>
          <w:rFonts w:ascii="Verdana" w:eastAsia="Century Gothic" w:hAnsi="Verdana" w:cs="Century Gothic"/>
          <w:b/>
          <w:bCs/>
          <w:lang w:val="es-ES"/>
        </w:rPr>
        <w:t>Problema planteado</w:t>
      </w:r>
      <w:r w:rsidRPr="00C56A6D">
        <w:rPr>
          <w:rFonts w:ascii="Verdana" w:eastAsia="Century Gothic" w:hAnsi="Verdana" w:cs="Century Gothic"/>
          <w:b/>
          <w:lang w:val="es-ES"/>
        </w:rPr>
        <w:t>:</w:t>
      </w:r>
    </w:p>
    <w:p w14:paraId="541CD85B" w14:textId="77777777" w:rsidR="000D6CD6" w:rsidRPr="00E63C0B" w:rsidRDefault="000D6CD6" w:rsidP="00CB3758">
      <w:pPr>
        <w:tabs>
          <w:tab w:val="left" w:pos="426"/>
        </w:tabs>
        <w:spacing w:after="0" w:line="276" w:lineRule="auto"/>
        <w:jc w:val="both"/>
        <w:rPr>
          <w:rFonts w:ascii="Verdana" w:eastAsia="Century Gothic" w:hAnsi="Verdana" w:cs="Century Gothic"/>
          <w:lang w:val="es-ES"/>
        </w:rPr>
      </w:pPr>
    </w:p>
    <w:p w14:paraId="62E34FBD" w14:textId="3B7C267F" w:rsidR="000D6CD6" w:rsidRPr="00E63C0B" w:rsidRDefault="007A0F14" w:rsidP="00CB3758">
      <w:pPr>
        <w:spacing w:before="1" w:after="120" w:line="276" w:lineRule="auto"/>
        <w:ind w:right="306"/>
        <w:jc w:val="both"/>
        <w:rPr>
          <w:rFonts w:ascii="Verdana" w:eastAsia="Century Gothic" w:hAnsi="Verdana" w:cs="Century Gothic"/>
        </w:rPr>
      </w:pPr>
      <w:r w:rsidRPr="007A0F14">
        <w:rPr>
          <w:rFonts w:ascii="Verdana" w:eastAsia="Century Gothic" w:hAnsi="Verdana" w:cs="Century Gothic"/>
        </w:rPr>
        <w:t>De acuerdo con el contenido de su solicitud, esta Agencia resolverá los siguientes problemas jurídicos: ¿Las empresas Sociales del Estado están obligadas a utilizar los documentos tipo expedidos por la Agencia Nacional de Contratación Pública – Colombia Compra Eficiente?</w:t>
      </w:r>
    </w:p>
    <w:p w14:paraId="4576F2AE" w14:textId="77777777" w:rsidR="000D6CD6" w:rsidRPr="009C5A97" w:rsidRDefault="000D6CD6" w:rsidP="00CB3758">
      <w:pPr>
        <w:numPr>
          <w:ilvl w:val="0"/>
          <w:numId w:val="16"/>
        </w:numPr>
        <w:tabs>
          <w:tab w:val="left" w:pos="142"/>
          <w:tab w:val="left" w:pos="284"/>
        </w:tabs>
        <w:spacing w:after="0" w:line="276" w:lineRule="auto"/>
        <w:ind w:left="0" w:firstLine="0"/>
        <w:jc w:val="both"/>
        <w:rPr>
          <w:rFonts w:ascii="Verdana" w:eastAsia="Century Gothic" w:hAnsi="Verdana" w:cs="Century Gothic"/>
          <w:b/>
          <w:bCs/>
          <w:lang w:val="es-ES"/>
        </w:rPr>
      </w:pPr>
      <w:r w:rsidRPr="009C5A97">
        <w:rPr>
          <w:rFonts w:ascii="Verdana" w:eastAsia="Century Gothic" w:hAnsi="Verdana" w:cs="Century Gothic"/>
          <w:b/>
          <w:bCs/>
          <w:lang w:val="es-ES"/>
        </w:rPr>
        <w:t>Respuesta:</w:t>
      </w:r>
    </w:p>
    <w:p w14:paraId="7F48E210" w14:textId="77777777" w:rsidR="000D6CD6" w:rsidRPr="00E63C0B" w:rsidRDefault="000D6CD6" w:rsidP="00CB3758">
      <w:pPr>
        <w:tabs>
          <w:tab w:val="left" w:pos="142"/>
          <w:tab w:val="left" w:pos="284"/>
        </w:tabs>
        <w:spacing w:after="0" w:line="276" w:lineRule="auto"/>
        <w:jc w:val="both"/>
        <w:rPr>
          <w:rFonts w:ascii="Verdana" w:eastAsia="Century Gothic" w:hAnsi="Verdana" w:cs="Century Gothic"/>
          <w:b/>
          <w:lang w:val="es-ES"/>
        </w:rPr>
      </w:pPr>
    </w:p>
    <w:p w14:paraId="2A156C63" w14:textId="77777777" w:rsidR="000D6CD6" w:rsidRPr="00E63C0B" w:rsidRDefault="000D6CD6" w:rsidP="00CB3758">
      <w:pPr>
        <w:tabs>
          <w:tab w:val="left" w:pos="142"/>
          <w:tab w:val="left" w:pos="284"/>
        </w:tabs>
        <w:spacing w:after="0" w:line="276" w:lineRule="auto"/>
        <w:jc w:val="both"/>
        <w:rPr>
          <w:rFonts w:ascii="Verdana" w:eastAsia="Century Gothic" w:hAnsi="Verdana" w:cs="Century Gothic"/>
          <w:b/>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0D6CD6" w:rsidRPr="009C5A97" w14:paraId="428B003D" w14:textId="77777777" w:rsidTr="00ED4CCE">
        <w:tc>
          <w:tcPr>
            <w:tcW w:w="8828" w:type="dxa"/>
          </w:tcPr>
          <w:p w14:paraId="12EBCD16" w14:textId="77777777" w:rsidR="000D6CD6" w:rsidRPr="00A75D14" w:rsidRDefault="000D6CD6" w:rsidP="00CB3758">
            <w:pPr>
              <w:snapToGrid w:val="0"/>
              <w:spacing w:line="276" w:lineRule="auto"/>
              <w:jc w:val="both"/>
              <w:rPr>
                <w:rFonts w:ascii="Verdana" w:eastAsia="Calibri" w:hAnsi="Verdana" w:cs="Arial"/>
                <w:lang w:val="es-ES" w:eastAsia="es-ES"/>
              </w:rPr>
            </w:pPr>
            <w:r w:rsidRPr="00A75D14">
              <w:rPr>
                <w:rFonts w:ascii="Verdana" w:eastAsia="Calibri" w:hAnsi="Verdana" w:cs="Arial"/>
                <w:lang w:val="es-ES" w:eastAsia="es-ES"/>
              </w:rPr>
              <w:t xml:space="preserve">Lo dispuesto en el parágrafo del artículo 56 de la Ley 2195 de 2022 implica que las instituciones de educación superior públicas, las empresas sociales del Estado, las sociedades de economía mixta y las empresas industriales y comerciales del Estado, no tendrán que implementar los documentos tipo únicamente para la contratación relacionada con el </w:t>
            </w:r>
            <w:r w:rsidRPr="00A75D14">
              <w:rPr>
                <w:rFonts w:ascii="Verdana" w:eastAsia="Calibri" w:hAnsi="Verdana" w:cs="Arial"/>
                <w:i/>
                <w:lang w:val="es-ES" w:eastAsia="es-ES"/>
              </w:rPr>
              <w:t xml:space="preserve">giro ordinario </w:t>
            </w:r>
            <w:r w:rsidRPr="00A75D14">
              <w:rPr>
                <w:rFonts w:ascii="Verdana" w:eastAsia="Calibri" w:hAnsi="Verdana" w:cs="Arial"/>
                <w:lang w:val="es-ES" w:eastAsia="es-ES"/>
              </w:rPr>
              <w:t xml:space="preserve">de sus asuntos, salvo que los manuales internos de contratación de estas entidades dispongan la obligación de tener en cuenta los documentos tipo como una buena práctica contractual. En otras palabras, ninguna entidad cuya naturaleza jurídica coincida con las mencionadas en el parágrafo del artículo </w:t>
            </w:r>
            <w:r w:rsidRPr="00A75D14">
              <w:rPr>
                <w:rFonts w:ascii="Verdana" w:eastAsia="Calibri" w:hAnsi="Verdana" w:cs="Arial"/>
                <w:lang w:val="es-ES" w:eastAsia="es-ES"/>
              </w:rPr>
              <w:lastRenderedPageBreak/>
              <w:t>56, tendrá que someterse de manera obligatoria a los documentos tipo o el E</w:t>
            </w:r>
            <w:r>
              <w:rPr>
                <w:rFonts w:ascii="Verdana" w:eastAsia="Calibri" w:hAnsi="Verdana" w:cs="Arial"/>
                <w:lang w:val="es-ES" w:eastAsia="es-ES"/>
              </w:rPr>
              <w:t xml:space="preserve">statuto </w:t>
            </w:r>
            <w:r w:rsidRPr="00A75D14">
              <w:rPr>
                <w:rFonts w:ascii="Verdana" w:eastAsia="Calibri" w:hAnsi="Verdana" w:cs="Arial"/>
                <w:lang w:val="es-ES" w:eastAsia="es-ES"/>
              </w:rPr>
              <w:t>G</w:t>
            </w:r>
            <w:r>
              <w:rPr>
                <w:rFonts w:ascii="Verdana" w:eastAsia="Calibri" w:hAnsi="Verdana" w:cs="Arial"/>
                <w:lang w:val="es-ES" w:eastAsia="es-ES"/>
              </w:rPr>
              <w:t xml:space="preserve">eneral de </w:t>
            </w:r>
            <w:r w:rsidRPr="00A75D14">
              <w:rPr>
                <w:rFonts w:ascii="Verdana" w:eastAsia="Calibri" w:hAnsi="Verdana" w:cs="Arial"/>
                <w:lang w:val="es-ES" w:eastAsia="es-ES"/>
              </w:rPr>
              <w:t>C</w:t>
            </w:r>
            <w:r>
              <w:rPr>
                <w:rFonts w:ascii="Verdana" w:eastAsia="Calibri" w:hAnsi="Verdana" w:cs="Arial"/>
                <w:lang w:val="es-ES" w:eastAsia="es-ES"/>
              </w:rPr>
              <w:t xml:space="preserve">ontratación de la Administración </w:t>
            </w:r>
            <w:r w:rsidRPr="00A75D14">
              <w:rPr>
                <w:rFonts w:ascii="Verdana" w:eastAsia="Calibri" w:hAnsi="Verdana" w:cs="Arial"/>
                <w:lang w:val="es-ES" w:eastAsia="es-ES"/>
              </w:rPr>
              <w:t>P</w:t>
            </w:r>
            <w:r>
              <w:rPr>
                <w:rFonts w:ascii="Verdana" w:eastAsia="Calibri" w:hAnsi="Verdana" w:cs="Arial"/>
                <w:lang w:val="es-ES" w:eastAsia="es-ES"/>
              </w:rPr>
              <w:t>ública</w:t>
            </w:r>
            <w:r w:rsidRPr="00A75D14">
              <w:rPr>
                <w:rFonts w:ascii="Verdana" w:eastAsia="Calibri" w:hAnsi="Verdana" w:cs="Arial"/>
                <w:lang w:val="es-ES" w:eastAsia="es-ES"/>
              </w:rPr>
              <w:t xml:space="preserve"> para la contratación de obras o servicios asociadas a su </w:t>
            </w:r>
            <w:r w:rsidRPr="00A75D14">
              <w:rPr>
                <w:rFonts w:ascii="Verdana" w:eastAsia="Calibri" w:hAnsi="Verdana" w:cs="Arial"/>
                <w:i/>
                <w:lang w:val="es-ES" w:eastAsia="es-ES"/>
              </w:rPr>
              <w:t>giro ordinario</w:t>
            </w:r>
            <w:r w:rsidRPr="00A75D14">
              <w:rPr>
                <w:rFonts w:ascii="Verdana" w:eastAsia="Calibri" w:hAnsi="Verdana" w:cs="Arial"/>
                <w:lang w:val="es-ES" w:eastAsia="es-ES"/>
              </w:rPr>
              <w:t xml:space="preserve">, a menos que su manual de contratación establezca lo contrario. </w:t>
            </w:r>
          </w:p>
          <w:p w14:paraId="0A23A24A" w14:textId="77777777" w:rsidR="000D6CD6" w:rsidRDefault="000D6CD6" w:rsidP="00CB3758">
            <w:pPr>
              <w:autoSpaceDE w:val="0"/>
              <w:autoSpaceDN w:val="0"/>
              <w:adjustRightInd w:val="0"/>
              <w:spacing w:line="276" w:lineRule="auto"/>
              <w:contextualSpacing/>
              <w:jc w:val="both"/>
              <w:rPr>
                <w:rFonts w:ascii="Verdana" w:eastAsia="Calibri" w:hAnsi="Verdana" w:cs="Arial"/>
                <w:lang w:val="es-ES" w:eastAsia="es-MX"/>
              </w:rPr>
            </w:pPr>
          </w:p>
          <w:p w14:paraId="0D32191D" w14:textId="2B757B57" w:rsidR="007A0F14" w:rsidRDefault="007A0F14" w:rsidP="00CB3758">
            <w:pPr>
              <w:autoSpaceDE w:val="0"/>
              <w:autoSpaceDN w:val="0"/>
              <w:adjustRightInd w:val="0"/>
              <w:spacing w:line="276" w:lineRule="auto"/>
              <w:contextualSpacing/>
              <w:jc w:val="both"/>
              <w:rPr>
                <w:rFonts w:ascii="Verdana" w:eastAsia="Calibri" w:hAnsi="Verdana" w:cs="Arial"/>
                <w:lang w:eastAsia="es-MX"/>
              </w:rPr>
            </w:pPr>
            <w:r w:rsidRPr="007A0F14">
              <w:rPr>
                <w:rFonts w:ascii="Verdana" w:eastAsia="Calibri" w:hAnsi="Verdana" w:cs="Arial"/>
                <w:lang w:eastAsia="es-MX"/>
              </w:rPr>
              <w:t>Por otra parte, es importante señalar que la excepción del parágrafo en comento es de interpretación restrictiva y es clara en establecer cuáles son las entidades exceptuadas de la aplicación del artículo 56 de la Ley 2195 de 2022.</w:t>
            </w:r>
          </w:p>
          <w:p w14:paraId="222C6109" w14:textId="77777777" w:rsidR="00CB3758" w:rsidRDefault="00CB3758" w:rsidP="00CB3758">
            <w:pPr>
              <w:autoSpaceDE w:val="0"/>
              <w:autoSpaceDN w:val="0"/>
              <w:adjustRightInd w:val="0"/>
              <w:spacing w:line="276" w:lineRule="auto"/>
              <w:contextualSpacing/>
              <w:jc w:val="both"/>
              <w:rPr>
                <w:rFonts w:ascii="Verdana" w:eastAsia="Calibri" w:hAnsi="Verdana" w:cs="Arial"/>
                <w:lang w:val="es-ES" w:eastAsia="es-MX"/>
              </w:rPr>
            </w:pPr>
          </w:p>
          <w:p w14:paraId="3173CCF7" w14:textId="7B0F7FDB" w:rsidR="00CB3758" w:rsidRPr="00ED415F" w:rsidRDefault="00CB3758" w:rsidP="00CB3758">
            <w:pPr>
              <w:autoSpaceDE w:val="0"/>
              <w:autoSpaceDN w:val="0"/>
              <w:adjustRightInd w:val="0"/>
              <w:spacing w:line="276" w:lineRule="auto"/>
              <w:contextualSpacing/>
              <w:jc w:val="both"/>
              <w:rPr>
                <w:rFonts w:ascii="Verdana" w:eastAsia="Calibri" w:hAnsi="Verdana" w:cs="Arial"/>
                <w:lang w:val="es-ES" w:eastAsia="es-MX"/>
              </w:rPr>
            </w:pPr>
            <w:r w:rsidRPr="00CB3758">
              <w:rPr>
                <w:rFonts w:ascii="Verdana" w:eastAsia="Calibri" w:hAnsi="Verdana" w:cs="Arial"/>
                <w:b/>
                <w:bCs/>
                <w:lang w:eastAsia="es-MX"/>
              </w:rPr>
              <w:t>La Agencia Nacional de Contratación Pública - Colombia Compra Eficiente</w:t>
            </w:r>
            <w:r w:rsidRPr="00CB3758">
              <w:rPr>
                <w:rFonts w:ascii="Verdana" w:eastAsia="Calibri" w:hAnsi="Verdana" w:cs="Arial"/>
                <w:lang w:eastAsia="es-MX"/>
              </w:rPr>
              <w:t xml:space="preserve"> recomienda a todas las entidades públicas, independientemente de su naturaleza, que gestionan recursos públicos, la aplicación de los </w:t>
            </w:r>
            <w:r w:rsidRPr="00CB3758">
              <w:rPr>
                <w:rFonts w:ascii="Verdana" w:eastAsia="Calibri" w:hAnsi="Verdana" w:cs="Arial"/>
                <w:b/>
                <w:bCs/>
                <w:lang w:eastAsia="es-MX"/>
              </w:rPr>
              <w:t>Documentos Tipo</w:t>
            </w:r>
            <w:r w:rsidRPr="00CB3758">
              <w:rPr>
                <w:rFonts w:ascii="Verdana" w:eastAsia="Calibri" w:hAnsi="Verdana" w:cs="Arial"/>
                <w:lang w:eastAsia="es-MX"/>
              </w:rPr>
              <w:t xml:space="preserve">. Esta recomendación es válida tanto para su uso obligatorio, cuando así lo establezca la normatividad vigente, como para su implementación como una buena práctica. El objetivo es garantizar la </w:t>
            </w:r>
            <w:r w:rsidRPr="00CB3758">
              <w:rPr>
                <w:rFonts w:ascii="Verdana" w:eastAsia="Calibri" w:hAnsi="Verdana" w:cs="Arial"/>
                <w:b/>
                <w:bCs/>
                <w:lang w:eastAsia="es-MX"/>
              </w:rPr>
              <w:t>transparencia</w:t>
            </w:r>
            <w:r w:rsidRPr="00CB3758">
              <w:rPr>
                <w:rFonts w:ascii="Verdana" w:eastAsia="Calibri" w:hAnsi="Verdana" w:cs="Arial"/>
                <w:lang w:eastAsia="es-MX"/>
              </w:rPr>
              <w:t xml:space="preserve"> y promover un proceso de </w:t>
            </w:r>
            <w:r w:rsidRPr="00CB3758">
              <w:rPr>
                <w:rFonts w:ascii="Verdana" w:eastAsia="Calibri" w:hAnsi="Verdana" w:cs="Arial"/>
                <w:b/>
                <w:bCs/>
                <w:lang w:eastAsia="es-MX"/>
              </w:rPr>
              <w:t>selección objetiva</w:t>
            </w:r>
            <w:r w:rsidRPr="00CB3758">
              <w:rPr>
                <w:rFonts w:ascii="Verdana" w:eastAsia="Calibri" w:hAnsi="Verdana" w:cs="Arial"/>
                <w:lang w:eastAsia="es-MX"/>
              </w:rPr>
              <w:t xml:space="preserve"> en la contratación pública, contribuyendo así a mejorar la eficiencia, la competencia y la confianza en el manejo de los recursos del Estado.</w:t>
            </w:r>
          </w:p>
        </w:tc>
      </w:tr>
    </w:tbl>
    <w:p w14:paraId="6994FC33" w14:textId="77777777" w:rsidR="000D6CD6" w:rsidRPr="00E63C0B" w:rsidRDefault="000D6CD6" w:rsidP="00CB3758">
      <w:pPr>
        <w:tabs>
          <w:tab w:val="left" w:pos="142"/>
          <w:tab w:val="left" w:pos="284"/>
        </w:tabs>
        <w:spacing w:after="0" w:line="276" w:lineRule="auto"/>
        <w:jc w:val="both"/>
        <w:rPr>
          <w:rFonts w:ascii="Verdana" w:eastAsia="Century Gothic" w:hAnsi="Verdana" w:cs="Century Gothic"/>
          <w:b/>
          <w:lang w:val="es-ES"/>
        </w:rPr>
      </w:pPr>
    </w:p>
    <w:p w14:paraId="139C1AC7" w14:textId="77777777" w:rsidR="000D6CD6" w:rsidRPr="00C56A6D" w:rsidRDefault="000D6CD6" w:rsidP="00CB3758">
      <w:pPr>
        <w:numPr>
          <w:ilvl w:val="0"/>
          <w:numId w:val="16"/>
        </w:numPr>
        <w:tabs>
          <w:tab w:val="left" w:pos="142"/>
          <w:tab w:val="left" w:pos="284"/>
        </w:tabs>
        <w:spacing w:after="0" w:line="276" w:lineRule="auto"/>
        <w:ind w:left="0" w:firstLine="0"/>
        <w:jc w:val="both"/>
        <w:rPr>
          <w:rFonts w:ascii="Verdana" w:eastAsia="Century Gothic" w:hAnsi="Verdana" w:cs="Century Gothic"/>
          <w:b/>
          <w:lang w:val="es-ES"/>
        </w:rPr>
      </w:pPr>
      <w:r w:rsidRPr="00C56A6D">
        <w:rPr>
          <w:rFonts w:ascii="Verdana" w:eastAsia="Century Gothic" w:hAnsi="Verdana" w:cs="Century Gothic"/>
          <w:b/>
          <w:lang w:val="es-ES"/>
        </w:rPr>
        <w:t>Razones de la respuesta:</w:t>
      </w:r>
    </w:p>
    <w:p w14:paraId="66BC0D7F" w14:textId="77777777" w:rsidR="000D6CD6" w:rsidRPr="00C56A6D" w:rsidRDefault="000D6CD6" w:rsidP="00CB3758">
      <w:pPr>
        <w:spacing w:after="0" w:line="276" w:lineRule="auto"/>
        <w:jc w:val="both"/>
        <w:rPr>
          <w:rFonts w:ascii="Verdana" w:eastAsia="Calibri" w:hAnsi="Verdana" w:cs="Arial"/>
          <w:color w:val="7030A0"/>
          <w:lang w:val="es-ES"/>
        </w:rPr>
      </w:pPr>
    </w:p>
    <w:p w14:paraId="575EACBC" w14:textId="77777777" w:rsidR="000D6CD6" w:rsidRDefault="000D6CD6" w:rsidP="00CB3758">
      <w:pPr>
        <w:spacing w:after="0" w:line="276" w:lineRule="auto"/>
        <w:jc w:val="both"/>
        <w:rPr>
          <w:rFonts w:ascii="Verdana" w:eastAsia="Calibri" w:hAnsi="Verdana" w:cs="Arial"/>
          <w:lang w:val="es-ES"/>
        </w:rPr>
      </w:pPr>
      <w:r w:rsidRPr="009C5A97">
        <w:rPr>
          <w:rFonts w:ascii="Verdana" w:eastAsia="Calibri" w:hAnsi="Verdana" w:cs="Arial"/>
          <w:lang w:val="es-ES"/>
        </w:rPr>
        <w:t xml:space="preserve">Lo anterior se sustenta en las siguientes consideraciones: </w:t>
      </w:r>
    </w:p>
    <w:p w14:paraId="65FBCFC5" w14:textId="77777777" w:rsidR="00881D83" w:rsidRDefault="00881D83" w:rsidP="00CB3758">
      <w:pPr>
        <w:spacing w:after="0" w:line="276" w:lineRule="auto"/>
        <w:jc w:val="both"/>
        <w:rPr>
          <w:rFonts w:ascii="Verdana" w:eastAsia="Calibri" w:hAnsi="Verdana" w:cs="Arial"/>
          <w:lang w:val="es-ES"/>
        </w:rPr>
      </w:pPr>
    </w:p>
    <w:p w14:paraId="4AC4749D" w14:textId="77777777" w:rsidR="00881D83" w:rsidRDefault="00881D83" w:rsidP="00881D83">
      <w:pPr>
        <w:pStyle w:val="Prrafodelista"/>
        <w:numPr>
          <w:ilvl w:val="0"/>
          <w:numId w:val="19"/>
        </w:numPr>
        <w:spacing w:after="0" w:line="276" w:lineRule="auto"/>
        <w:jc w:val="both"/>
        <w:rPr>
          <w:rFonts w:ascii="Verdana" w:eastAsia="Calibri" w:hAnsi="Verdana" w:cs="Arial"/>
        </w:rPr>
      </w:pPr>
      <w:r w:rsidRPr="00881D83">
        <w:rPr>
          <w:rFonts w:ascii="Verdana" w:eastAsia="Calibri" w:hAnsi="Verdana" w:cs="Arial"/>
        </w:rPr>
        <w:t>El texto del artículo 56 de la Ley 2195 de 2022 aprobado por el Congreso de la República en ambas cámaras</w:t>
      </w:r>
      <w:r>
        <w:rPr>
          <w:rStyle w:val="Refdenotaalpie"/>
          <w:rFonts w:ascii="Verdana" w:eastAsia="Times New Roman" w:hAnsi="Verdana" w:cs="Arial"/>
          <w:color w:val="000000"/>
        </w:rPr>
        <w:footnoteReference w:id="2"/>
      </w:r>
      <w:r w:rsidRPr="00881D83">
        <w:rPr>
          <w:rFonts w:ascii="Verdana" w:eastAsia="Calibri" w:hAnsi="Verdana" w:cs="Arial"/>
        </w:rPr>
        <w:t xml:space="preserve">, prescribe una redacción en los siguientes términos: </w:t>
      </w:r>
    </w:p>
    <w:p w14:paraId="3707B374" w14:textId="77777777" w:rsidR="00881D83" w:rsidRDefault="00881D83" w:rsidP="00881D83">
      <w:pPr>
        <w:pStyle w:val="Prrafodelista"/>
        <w:spacing w:after="0" w:line="276" w:lineRule="auto"/>
        <w:jc w:val="both"/>
        <w:rPr>
          <w:rFonts w:ascii="Verdana" w:eastAsia="Calibri" w:hAnsi="Verdana" w:cs="Arial"/>
        </w:rPr>
      </w:pPr>
    </w:p>
    <w:p w14:paraId="39FD412A" w14:textId="77777777" w:rsidR="00881D83" w:rsidRDefault="00881D83" w:rsidP="00881D83">
      <w:pPr>
        <w:pStyle w:val="Prrafodelista"/>
        <w:spacing w:after="0" w:line="276" w:lineRule="auto"/>
        <w:jc w:val="both"/>
        <w:rPr>
          <w:rFonts w:ascii="Verdana" w:eastAsia="Calibri" w:hAnsi="Verdana" w:cs="Arial"/>
          <w:sz w:val="20"/>
          <w:szCs w:val="20"/>
          <w:lang w:val="es-CO"/>
        </w:rPr>
      </w:pPr>
      <w:r w:rsidRPr="00881D83">
        <w:rPr>
          <w:rFonts w:ascii="Verdana" w:eastAsia="Calibri" w:hAnsi="Verdana" w:cs="Arial"/>
          <w:sz w:val="20"/>
          <w:szCs w:val="20"/>
        </w:rPr>
        <w:t>“Artículo 56. Aplicación de los documentos tipo a entidades de régimen especial. Para la adquisición de bienes, obras o servicios, las entidades estatales sometidas al Estatuto General de Contratación de la Administración Pública que celebren contratos o convenios interadministrativos o de cualquier otra índole, con otra Entidad Estatal</w:t>
      </w:r>
      <w:r>
        <w:rPr>
          <w:rFonts w:ascii="Verdana" w:eastAsia="Calibri" w:hAnsi="Verdana" w:cs="Arial"/>
          <w:sz w:val="20"/>
          <w:szCs w:val="20"/>
        </w:rPr>
        <w:t xml:space="preserve"> </w:t>
      </w:r>
      <w:r w:rsidRPr="00881D83">
        <w:rPr>
          <w:rFonts w:ascii="Verdana" w:eastAsia="Calibri" w:hAnsi="Verdana" w:cs="Arial"/>
          <w:sz w:val="20"/>
          <w:szCs w:val="20"/>
          <w:lang w:val="es-CO"/>
        </w:rPr>
        <w:t xml:space="preserve">o con patrimonios autónomos o con personas naturales o jurídicas de derecho privado, cuyo régimen de contratación sea especial o de derecho privado, deberán aplicar los documentos tipo adoptados por la Agencia Nacional de Contratación Pública - Colombia Compra Eficiente o quien haga sus veces, </w:t>
      </w:r>
      <w:r w:rsidRPr="00881D83">
        <w:rPr>
          <w:rFonts w:ascii="Verdana" w:eastAsia="Calibri" w:hAnsi="Verdana" w:cs="Arial"/>
          <w:sz w:val="20"/>
          <w:szCs w:val="20"/>
          <w:lang w:val="es-CO"/>
        </w:rPr>
        <w:lastRenderedPageBreak/>
        <w:t xml:space="preserve">conforme al parágrafo 7 del artículo 2 de la Ley 1150 de 2007 o las normas que lo modifiquen o sustituyan. </w:t>
      </w:r>
    </w:p>
    <w:p w14:paraId="4843EBA9" w14:textId="77777777" w:rsidR="00881D83" w:rsidRDefault="00881D83" w:rsidP="00881D83">
      <w:pPr>
        <w:pStyle w:val="Prrafodelista"/>
        <w:spacing w:after="0" w:line="276" w:lineRule="auto"/>
        <w:jc w:val="both"/>
        <w:rPr>
          <w:rFonts w:ascii="Verdana" w:eastAsia="Calibri" w:hAnsi="Verdana" w:cs="Arial"/>
          <w:sz w:val="20"/>
          <w:szCs w:val="20"/>
          <w:lang w:val="es-CO"/>
        </w:rPr>
      </w:pPr>
    </w:p>
    <w:p w14:paraId="57F65CAB" w14:textId="77777777" w:rsidR="00881D83" w:rsidRDefault="00881D83" w:rsidP="00881D83">
      <w:pPr>
        <w:pStyle w:val="Prrafodelista"/>
        <w:spacing w:after="0" w:line="276" w:lineRule="auto"/>
        <w:jc w:val="both"/>
        <w:rPr>
          <w:rFonts w:ascii="Verdana" w:eastAsia="Calibri" w:hAnsi="Verdana" w:cs="Arial"/>
          <w:sz w:val="20"/>
          <w:szCs w:val="20"/>
          <w:lang w:val="es-CO"/>
        </w:rPr>
      </w:pPr>
      <w:r w:rsidRPr="00881D83">
        <w:rPr>
          <w:rFonts w:ascii="Verdana" w:eastAsia="Calibri" w:hAnsi="Verdana" w:cs="Arial"/>
          <w:sz w:val="20"/>
          <w:szCs w:val="20"/>
          <w:lang w:val="es-CO"/>
        </w:rPr>
        <w:t xml:space="preserve">Los procedimientos de selección y los contratos que realicen en desarrollo de los anteriores negocios jurídicos, donde apliquen los documentos tipo se regirán por el Estatuto General de Contratación de la Administración Pública. </w:t>
      </w:r>
    </w:p>
    <w:p w14:paraId="46140DAD" w14:textId="77777777" w:rsidR="00881D83" w:rsidRDefault="00881D83" w:rsidP="00881D83">
      <w:pPr>
        <w:pStyle w:val="Prrafodelista"/>
        <w:spacing w:after="0" w:line="276" w:lineRule="auto"/>
        <w:jc w:val="both"/>
        <w:rPr>
          <w:rFonts w:ascii="Verdana" w:eastAsia="Calibri" w:hAnsi="Verdana" w:cs="Arial"/>
          <w:sz w:val="20"/>
          <w:szCs w:val="20"/>
          <w:lang w:val="es-CO"/>
        </w:rPr>
      </w:pPr>
    </w:p>
    <w:p w14:paraId="55DCC019" w14:textId="214DF09A" w:rsidR="00881D83" w:rsidRPr="00881D83" w:rsidRDefault="00881D83" w:rsidP="00881D83">
      <w:pPr>
        <w:pStyle w:val="Prrafodelista"/>
        <w:spacing w:after="0" w:line="276" w:lineRule="auto"/>
        <w:jc w:val="both"/>
        <w:rPr>
          <w:rFonts w:ascii="Verdana" w:eastAsia="Calibri" w:hAnsi="Verdana" w:cs="Arial"/>
          <w:sz w:val="20"/>
          <w:szCs w:val="20"/>
        </w:rPr>
      </w:pPr>
      <w:r w:rsidRPr="00881D83">
        <w:rPr>
          <w:rFonts w:ascii="Verdana" w:eastAsia="Calibri" w:hAnsi="Verdana" w:cs="Arial"/>
          <w:sz w:val="20"/>
          <w:szCs w:val="20"/>
          <w:lang w:val="es-CO"/>
        </w:rPr>
        <w:t>Parágrafo. Se exceptúan del presente artículo las Instituciones de Educación Superior públicas, las empresas sociales del Estado, las sociedades de economía mixta y las empresas industriales y comerciales del Estado, únicamente en cuanto a la contratación de su giro ordinario. En estos casos, en los manuales de contratación de estas entidades, se fomentará como buena práctica la aplicación de los pliegos tipo”.</w:t>
      </w:r>
    </w:p>
    <w:p w14:paraId="66157BD7" w14:textId="77777777" w:rsidR="000D6CD6" w:rsidRPr="009C5A97" w:rsidRDefault="000D6CD6" w:rsidP="00CB3758">
      <w:pPr>
        <w:spacing w:after="0" w:line="276" w:lineRule="auto"/>
        <w:jc w:val="both"/>
        <w:rPr>
          <w:rFonts w:ascii="Verdana" w:eastAsia="Calibri" w:hAnsi="Verdana" w:cs="Arial"/>
          <w:lang w:val="es-ES"/>
        </w:rPr>
      </w:pPr>
    </w:p>
    <w:p w14:paraId="555D49FA" w14:textId="3AE0B323" w:rsidR="00881D83" w:rsidRPr="00881D83" w:rsidRDefault="00881D83" w:rsidP="00CB3758">
      <w:pPr>
        <w:pStyle w:val="Prrafodelista"/>
        <w:numPr>
          <w:ilvl w:val="0"/>
          <w:numId w:val="19"/>
        </w:numPr>
        <w:spacing w:after="0" w:line="276" w:lineRule="auto"/>
        <w:jc w:val="both"/>
        <w:rPr>
          <w:rFonts w:ascii="Verdana" w:eastAsia="Times New Roman" w:hAnsi="Verdana" w:cs="Arial"/>
          <w:color w:val="000000"/>
        </w:rPr>
      </w:pPr>
      <w:r w:rsidRPr="00881D83">
        <w:rPr>
          <w:rFonts w:ascii="Verdana" w:eastAsia="Times New Roman" w:hAnsi="Verdana" w:cs="Arial"/>
          <w:color w:val="000000"/>
          <w:lang w:val="es-CO"/>
        </w:rPr>
        <w:t>Es necesario precisar el alcance de lo dispuesto en los dos primeros incisos del artículo 56, de acuerdo con lo establecido en su parágrafo, el cual excluye de la aplicación de los primeros incisos del artículo 56, a cierto tipo de entidades, en lo relacionado con la contratación de su giro ordinario. Conforme se desprende del texto del referido parágrafo, se exceptúa de lo señalado en los dos primeros incisos a: i) las instituciones de educación superior públicas, ii) las empresas sociales del Estado, iii) las sociedades de economía mixta y iv) las empresas industriales y comerciales del Estado, únicamente, en la contratación relacionada con el giro ordinario. Esto significa que, en la contratación asociada a su giro ordinario, estos tipos de entidades no tendrían que aplicar, de manera obligatoria, los documentos tipo, ni tampoco el EGCAP. En este caso la norma se limita a fomentar la implementación de documentos tipo a modo de buena práctica contractual, en los casos en los que se estime conveniente.</w:t>
      </w:r>
    </w:p>
    <w:p w14:paraId="7357DA93" w14:textId="77777777" w:rsidR="000D6CD6" w:rsidRDefault="000D6CD6" w:rsidP="00CB3758">
      <w:pPr>
        <w:snapToGrid w:val="0"/>
        <w:spacing w:after="0" w:line="276" w:lineRule="auto"/>
        <w:jc w:val="both"/>
        <w:rPr>
          <w:rFonts w:ascii="Verdana" w:eastAsia="Calibri" w:hAnsi="Verdana" w:cs="Arial"/>
          <w:kern w:val="2"/>
          <w:lang w:val="es-ES" w:eastAsia="es-ES"/>
          <w14:ligatures w14:val="standardContextual"/>
        </w:rPr>
      </w:pPr>
    </w:p>
    <w:p w14:paraId="0C692A06" w14:textId="77777777" w:rsidR="000D6CD6" w:rsidRPr="00CB3758" w:rsidRDefault="000D6CD6" w:rsidP="00CB3758">
      <w:pPr>
        <w:pStyle w:val="Prrafodelista"/>
        <w:numPr>
          <w:ilvl w:val="0"/>
          <w:numId w:val="19"/>
        </w:numPr>
        <w:snapToGrid w:val="0"/>
        <w:spacing w:after="0" w:line="276" w:lineRule="auto"/>
        <w:jc w:val="both"/>
        <w:rPr>
          <w:rFonts w:ascii="Verdana" w:eastAsia="Arial" w:hAnsi="Verdana" w:cs="Arial"/>
          <w:kern w:val="2"/>
          <w:lang w:val="es-ES_tradnl" w:eastAsia="es-ES_tradnl"/>
          <w14:ligatures w14:val="standardContextual"/>
        </w:rPr>
      </w:pPr>
      <w:r w:rsidRPr="00CB3758">
        <w:rPr>
          <w:rFonts w:ascii="Verdana" w:eastAsia="Calibri" w:hAnsi="Verdana" w:cs="Arial"/>
          <w:bCs/>
          <w:kern w:val="2"/>
          <w:lang w:val="es-ES_tradnl" w:eastAsia="es-ES_tradnl"/>
          <w14:ligatures w14:val="standardContextual"/>
        </w:rPr>
        <w:t xml:space="preserve">Ahora, es importante tener en cuenta que cuando la norma se refiere a la contratación del </w:t>
      </w:r>
      <w:r w:rsidRPr="00CB3758">
        <w:rPr>
          <w:rFonts w:ascii="Verdana" w:eastAsia="Calibri" w:hAnsi="Verdana" w:cs="Arial"/>
          <w:bCs/>
          <w:i/>
          <w:iCs/>
          <w:kern w:val="2"/>
          <w:lang w:val="es-ES_tradnl" w:eastAsia="es-ES_tradnl"/>
          <w14:ligatures w14:val="standardContextual"/>
        </w:rPr>
        <w:t>giro ordinario</w:t>
      </w:r>
      <w:r w:rsidRPr="00CB3758">
        <w:rPr>
          <w:rFonts w:ascii="Verdana" w:eastAsia="Calibri" w:hAnsi="Verdana" w:cs="Arial"/>
          <w:bCs/>
          <w:kern w:val="2"/>
          <w:lang w:val="es-ES_tradnl" w:eastAsia="es-ES_tradnl"/>
          <w14:ligatures w14:val="standardContextual"/>
        </w:rPr>
        <w:t>, emplea un concepto jurídico indeterminado</w:t>
      </w:r>
      <w:r>
        <w:rPr>
          <w:rStyle w:val="Refdenotaalpie"/>
          <w:rFonts w:ascii="Verdana" w:eastAsia="Calibri" w:hAnsi="Verdana" w:cs="Arial"/>
          <w:bCs/>
          <w:kern w:val="2"/>
          <w:lang w:val="es-ES_tradnl" w:eastAsia="es-ES_tradnl"/>
          <w14:ligatures w14:val="standardContextual"/>
        </w:rPr>
        <w:footnoteReference w:id="3"/>
      </w:r>
      <w:r w:rsidRPr="00CB3758">
        <w:rPr>
          <w:rFonts w:ascii="Verdana" w:eastAsia="Calibri" w:hAnsi="Verdana" w:cs="Arial"/>
          <w:bCs/>
          <w:kern w:val="2"/>
          <w:lang w:val="es-ES_tradnl" w:eastAsia="es-ES_tradnl"/>
          <w14:ligatures w14:val="standardContextual"/>
        </w:rPr>
        <w:t>.</w:t>
      </w:r>
      <w:r w:rsidRPr="00CB3758">
        <w:rPr>
          <w:rFonts w:ascii="Verdana" w:eastAsia="Arial" w:hAnsi="Verdana" w:cs="Arial"/>
          <w:kern w:val="2"/>
          <w:lang w:val="es-ES_tradnl" w:eastAsia="es-ES_tradnl"/>
          <w14:ligatures w14:val="standardContextual"/>
        </w:rPr>
        <w:t xml:space="preserve"> Un concepto adquiere esta denominación en el Derecho cuando se trata de un enunciado que goza de vaguedad y que debe materializarse en cada caso, atendiendo a las técnicas de la interpretación jurídica. De igual forma, se trata de un concepto para cuya concreción las </w:t>
      </w:r>
      <w:r w:rsidRPr="00CB3758">
        <w:rPr>
          <w:rFonts w:ascii="Verdana" w:eastAsia="Arial" w:hAnsi="Verdana" w:cs="Arial"/>
          <w:kern w:val="2"/>
          <w:lang w:val="es-ES_tradnl" w:eastAsia="es-ES_tradnl"/>
          <w14:ligatures w14:val="standardContextual"/>
        </w:rPr>
        <w:lastRenderedPageBreak/>
        <w:t>entidades estatales gozan de cierto margen de apreciación en su aplicación, pero deben respetar los límites previstos en las normas de orden público. Por ejemplo, no podrán considerar que cualquier contrato que celebren hace parte del giro ordinario de sus negocios.</w:t>
      </w:r>
    </w:p>
    <w:p w14:paraId="397DDBF5" w14:textId="77777777" w:rsidR="000D6CD6" w:rsidRDefault="000D6CD6" w:rsidP="00CB3758">
      <w:pPr>
        <w:snapToGrid w:val="0"/>
        <w:spacing w:after="0" w:line="276" w:lineRule="auto"/>
        <w:jc w:val="both"/>
        <w:rPr>
          <w:rFonts w:ascii="Verdana" w:eastAsia="Arial" w:hAnsi="Verdana" w:cs="Arial"/>
          <w:kern w:val="2"/>
          <w:lang w:val="es-ES_tradnl" w:eastAsia="es-ES_tradnl"/>
          <w14:ligatures w14:val="standardContextual"/>
        </w:rPr>
      </w:pPr>
    </w:p>
    <w:p w14:paraId="2C6C0D30" w14:textId="77777777" w:rsidR="000D6CD6" w:rsidRPr="00CB3758" w:rsidRDefault="000D6CD6" w:rsidP="00CB3758">
      <w:pPr>
        <w:pStyle w:val="Prrafodelista"/>
        <w:numPr>
          <w:ilvl w:val="0"/>
          <w:numId w:val="19"/>
        </w:numPr>
        <w:snapToGrid w:val="0"/>
        <w:spacing w:after="0" w:line="276" w:lineRule="auto"/>
        <w:jc w:val="both"/>
        <w:rPr>
          <w:rFonts w:ascii="Verdana" w:eastAsia="Calibri" w:hAnsi="Verdana" w:cs="Arial"/>
          <w:kern w:val="2"/>
          <w:lang w:eastAsia="es-ES"/>
          <w14:ligatures w14:val="standardContextual"/>
        </w:rPr>
      </w:pPr>
      <w:r w:rsidRPr="00CB3758">
        <w:rPr>
          <w:rFonts w:ascii="Verdana" w:eastAsia="Calibri" w:hAnsi="Verdana" w:cs="Arial"/>
          <w:bCs/>
          <w:kern w:val="2"/>
          <w:lang w:val="es-ES_tradnl" w:eastAsia="es-ES_tradnl"/>
          <w14:ligatures w14:val="standardContextual"/>
        </w:rPr>
        <w:t xml:space="preserve">Aunque, como se indicó, la expresión giro ordinario de los negocios es un concepto jurídico indeterminado, el Consejo de Estado ha tenido la oportunidad de pronunciarse en distintas ocasiones sobre su alcance, estableciendo algunos criterios de interpretación. En su momento, en relación con el alcance de la expresión </w:t>
      </w:r>
      <w:r w:rsidRPr="00CB3758">
        <w:rPr>
          <w:rFonts w:ascii="Verdana" w:eastAsia="Calibri" w:hAnsi="Verdana" w:cs="Arial"/>
          <w:bCs/>
          <w:i/>
          <w:iCs/>
          <w:kern w:val="2"/>
          <w:lang w:val="es-ES_tradnl" w:eastAsia="es-ES_tradnl"/>
          <w14:ligatures w14:val="standardContextual"/>
        </w:rPr>
        <w:t xml:space="preserve">giro ordinario </w:t>
      </w:r>
      <w:r w:rsidRPr="00CB3758">
        <w:rPr>
          <w:rFonts w:ascii="Verdana" w:eastAsia="Calibri" w:hAnsi="Verdana" w:cs="Arial"/>
          <w:bCs/>
          <w:kern w:val="2"/>
          <w:lang w:val="es-ES_tradnl" w:eastAsia="es-ES_tradnl"/>
          <w14:ligatures w14:val="standardContextual"/>
        </w:rPr>
        <w:t>incluida en la redacción original del parágrafo 1 del artículo 32 de la Ley 80 de 1993</w:t>
      </w:r>
      <w:r>
        <w:rPr>
          <w:rStyle w:val="Refdenotaalpie"/>
          <w:rFonts w:ascii="Verdana" w:eastAsia="Calibri" w:hAnsi="Verdana" w:cs="Arial"/>
          <w:bCs/>
          <w:kern w:val="2"/>
          <w:lang w:val="es-ES_tradnl" w:eastAsia="es-ES_tradnl"/>
          <w14:ligatures w14:val="standardContextual"/>
        </w:rPr>
        <w:footnoteReference w:id="4"/>
      </w:r>
      <w:r w:rsidRPr="00CB3758">
        <w:rPr>
          <w:rFonts w:ascii="Verdana" w:eastAsia="Calibri" w:hAnsi="Verdana" w:cs="Arial"/>
          <w:bCs/>
          <w:kern w:val="2"/>
          <w:lang w:val="es-ES_tradnl" w:eastAsia="es-ES_tradnl"/>
          <w14:ligatures w14:val="standardContextual"/>
        </w:rPr>
        <w:t>, la Sección Tercera manifestó lo siguiente:</w:t>
      </w:r>
    </w:p>
    <w:p w14:paraId="4842B358" w14:textId="77777777" w:rsidR="000D6CD6" w:rsidRPr="00D41F66" w:rsidRDefault="000D6CD6" w:rsidP="00CB3758">
      <w:pPr>
        <w:spacing w:line="276" w:lineRule="auto"/>
        <w:ind w:right="709"/>
        <w:jc w:val="both"/>
        <w:rPr>
          <w:rFonts w:ascii="Verdana" w:hAnsi="Verdana"/>
          <w:lang w:val="es-ES"/>
        </w:rPr>
      </w:pPr>
    </w:p>
    <w:p w14:paraId="41E706B1" w14:textId="77777777" w:rsidR="000D6CD6" w:rsidRPr="00CB3758" w:rsidRDefault="000D6CD6" w:rsidP="00CB3758">
      <w:pPr>
        <w:pStyle w:val="Prrafodelista"/>
        <w:spacing w:line="276" w:lineRule="auto"/>
        <w:ind w:right="709"/>
        <w:jc w:val="both"/>
        <w:rPr>
          <w:rFonts w:ascii="Verdana" w:hAnsi="Verdana"/>
          <w:sz w:val="20"/>
          <w:szCs w:val="20"/>
        </w:rPr>
      </w:pPr>
      <w:r w:rsidRPr="00CB3758">
        <w:rPr>
          <w:rFonts w:ascii="Verdana" w:eastAsia="Times New Roman" w:hAnsi="Verdana" w:cs="Arial"/>
          <w:kern w:val="2"/>
          <w:sz w:val="21"/>
          <w:szCs w:val="21"/>
          <w:lang w:eastAsia="es-ES"/>
          <w14:ligatures w14:val="standardContextual"/>
        </w:rPr>
        <w:t>“[E]l giro ordinario de las actividades de una sociedad comercial no sólo comprende aquello que define en forma concreta su objeto social, sino todos los actos directamente relacionados con el mismo, lo que denota que entre éstos y aquéllas debe existir una relación de necesidad que los hace parte en el objeto de la sociedad. Siendo así las cosas, resulta que el concepto “giro ordinario de las actividades” […], hace relación tanto a las actividades o negocios realizados en cumplimiento del objeto social o de las funciones principales, expresamente definidas por la Ley, como también a todo aquello que es conexo con ellas y que se realiza para desarrollar la función principal, estableciéndose entre estos una relación de medio a fin, estrecha y complementaria”</w:t>
      </w:r>
      <w:r>
        <w:rPr>
          <w:rStyle w:val="Refdenotaalpie"/>
          <w:rFonts w:ascii="Verdana" w:eastAsia="Times New Roman" w:hAnsi="Verdana" w:cs="Arial"/>
          <w:kern w:val="2"/>
          <w:sz w:val="21"/>
          <w:szCs w:val="21"/>
          <w:lang w:eastAsia="es-ES"/>
          <w14:ligatures w14:val="standardContextual"/>
        </w:rPr>
        <w:footnoteReference w:id="5"/>
      </w:r>
    </w:p>
    <w:p w14:paraId="56F89854" w14:textId="77777777" w:rsidR="000D6CD6" w:rsidRDefault="000D6CD6" w:rsidP="00CB3758">
      <w:pPr>
        <w:spacing w:line="276" w:lineRule="auto"/>
        <w:ind w:left="709" w:right="709"/>
        <w:jc w:val="both"/>
        <w:rPr>
          <w:rFonts w:ascii="Verdana" w:hAnsi="Verdana"/>
          <w:sz w:val="20"/>
          <w:szCs w:val="20"/>
        </w:rPr>
      </w:pPr>
    </w:p>
    <w:p w14:paraId="19F8BB2A" w14:textId="77777777" w:rsidR="000D6CD6" w:rsidRPr="00CB3758" w:rsidRDefault="000D6CD6" w:rsidP="00CB3758">
      <w:pPr>
        <w:pStyle w:val="Prrafodelista"/>
        <w:numPr>
          <w:ilvl w:val="0"/>
          <w:numId w:val="19"/>
        </w:numPr>
        <w:tabs>
          <w:tab w:val="left" w:pos="0"/>
        </w:tabs>
        <w:snapToGrid w:val="0"/>
        <w:spacing w:after="0" w:line="276" w:lineRule="auto"/>
        <w:jc w:val="both"/>
        <w:rPr>
          <w:rFonts w:ascii="Verdana" w:eastAsia="Calibri" w:hAnsi="Verdana" w:cs="Arial"/>
          <w:bCs/>
          <w:kern w:val="2"/>
          <w:lang w:val="es-ES_tradnl" w:eastAsia="es-ES_tradnl"/>
          <w14:ligatures w14:val="standardContextual"/>
        </w:rPr>
      </w:pPr>
      <w:r w:rsidRPr="00CB3758">
        <w:rPr>
          <w:rFonts w:ascii="Verdana" w:eastAsia="Calibri" w:hAnsi="Verdana" w:cs="Arial"/>
          <w:bCs/>
          <w:kern w:val="2"/>
          <w:lang w:val="es-ES_tradnl" w:eastAsia="es-ES_tradnl"/>
          <w14:ligatures w14:val="standardContextual"/>
        </w:rPr>
        <w:t xml:space="preserve">En el mismo sentido se pronunció el Alto Tribunal de lo Contencioso Administrativo, reiterando las anteriores consideraciones, al expresar que: </w:t>
      </w:r>
    </w:p>
    <w:p w14:paraId="7630FC44" w14:textId="77777777" w:rsidR="000D6CD6" w:rsidRPr="00A75D14" w:rsidRDefault="000D6CD6" w:rsidP="00CB3758">
      <w:pPr>
        <w:tabs>
          <w:tab w:val="left" w:pos="0"/>
        </w:tabs>
        <w:snapToGrid w:val="0"/>
        <w:spacing w:after="0" w:line="276" w:lineRule="auto"/>
        <w:ind w:left="720" w:right="709"/>
        <w:jc w:val="both"/>
        <w:rPr>
          <w:rFonts w:ascii="Verdana" w:eastAsia="Calibri" w:hAnsi="Verdana" w:cs="Arial"/>
          <w:bCs/>
          <w:kern w:val="2"/>
          <w:lang w:val="es-ES_tradnl" w:eastAsia="es-ES_tradnl"/>
          <w14:ligatures w14:val="standardContextual"/>
        </w:rPr>
      </w:pPr>
    </w:p>
    <w:p w14:paraId="504ABDE1" w14:textId="77777777" w:rsidR="000D6CD6" w:rsidRPr="00CB3758" w:rsidRDefault="000D6CD6" w:rsidP="00CB3758">
      <w:pPr>
        <w:pStyle w:val="Prrafodelista"/>
        <w:snapToGrid w:val="0"/>
        <w:spacing w:after="0" w:line="276" w:lineRule="auto"/>
        <w:ind w:left="1440" w:right="709"/>
        <w:jc w:val="both"/>
        <w:rPr>
          <w:rFonts w:ascii="Verdana" w:eastAsia="Calibri" w:hAnsi="Verdana" w:cs="Arial"/>
          <w:kern w:val="2"/>
          <w:sz w:val="21"/>
          <w:szCs w:val="21"/>
          <w:lang w:eastAsia="es-ES"/>
          <w14:ligatures w14:val="standardContextual"/>
        </w:rPr>
      </w:pPr>
      <w:r w:rsidRPr="00CB3758">
        <w:rPr>
          <w:rFonts w:ascii="Verdana" w:eastAsia="Calibri" w:hAnsi="Verdana" w:cs="Arial"/>
          <w:kern w:val="2"/>
          <w:sz w:val="21"/>
          <w:szCs w:val="21"/>
          <w:lang w:eastAsia="es-ES"/>
          <w14:ligatures w14:val="standardContextual"/>
        </w:rPr>
        <w:lastRenderedPageBreak/>
        <w:t>“[E]l elemento central para la determinación de este concepto jurídico, remite al objeto social –cuando se trata de empresas públicas o privadas constituidas bajo alguno de los tipos societarios definidos en la ley– pero también se refiere, mutatis mutandis, al objeto y funciones expresamente definidas en los actos de creación de entidades públicas que, por su naturaleza, se orientan al desarrollo de actividades industriales y comerciales. De forma que, el giro ordinario de los negocios se explica a partir del objeto social o, también, de las funciones expresamente fijadas por ley, según se trate de una persona jurídica pública o privada, pues ambas categorías, para estos efectos, resultan equivalentes.</w:t>
      </w:r>
    </w:p>
    <w:p w14:paraId="5E634045" w14:textId="77777777" w:rsidR="000D6CD6" w:rsidRPr="00A75D14" w:rsidRDefault="000D6CD6" w:rsidP="00CB3758">
      <w:pPr>
        <w:tabs>
          <w:tab w:val="left" w:pos="0"/>
        </w:tabs>
        <w:snapToGrid w:val="0"/>
        <w:spacing w:after="0" w:line="276" w:lineRule="auto"/>
        <w:ind w:left="720" w:right="709"/>
        <w:jc w:val="both"/>
        <w:rPr>
          <w:rFonts w:ascii="Verdana" w:eastAsia="Calibri" w:hAnsi="Verdana" w:cs="Arial"/>
          <w:bCs/>
          <w:kern w:val="2"/>
          <w:sz w:val="21"/>
          <w:szCs w:val="21"/>
          <w:lang w:val="es-ES_tradnl" w:eastAsia="es-ES_tradnl"/>
          <w14:ligatures w14:val="standardContextual"/>
        </w:rPr>
      </w:pPr>
    </w:p>
    <w:p w14:paraId="20A5879C" w14:textId="77777777" w:rsidR="000D6CD6" w:rsidRPr="00CB3758" w:rsidRDefault="000D6CD6" w:rsidP="00CB3758">
      <w:pPr>
        <w:pStyle w:val="Prrafodelista"/>
        <w:snapToGrid w:val="0"/>
        <w:spacing w:after="0" w:line="276" w:lineRule="auto"/>
        <w:ind w:left="1440" w:right="709"/>
        <w:jc w:val="both"/>
        <w:rPr>
          <w:rFonts w:ascii="Verdana" w:eastAsia="Calibri" w:hAnsi="Verdana" w:cs="Arial"/>
          <w:kern w:val="2"/>
          <w:sz w:val="21"/>
          <w:szCs w:val="21"/>
          <w:lang w:eastAsia="es-ES"/>
          <w14:ligatures w14:val="standardContextual"/>
        </w:rPr>
      </w:pPr>
      <w:r w:rsidRPr="00CB3758">
        <w:rPr>
          <w:rFonts w:ascii="Verdana" w:eastAsia="Calibri" w:hAnsi="Verdana" w:cs="Arial"/>
          <w:kern w:val="2"/>
          <w:sz w:val="21"/>
          <w:szCs w:val="21"/>
          <w:lang w:eastAsia="es-ES"/>
          <w14:ligatures w14:val="standardContextual"/>
        </w:rPr>
        <w:t xml:space="preserve">Así las cosas, es razonable que el concepto de “giro ordinario de los negocios” sea compatible, de cara al sub lite, con el objeto y funciones de las empresas industriales y comerciales del estado –EICE– de carácter financiero, como lo es Fonade, dado que para el desarrollo de su ejercicio comercial ha sido autorizada para actuar en términos equivalentes a los particulares, de manera que al incursionar en el mercado como un partícipe más, el desarrollo de su gestión está atada al giro ordinario de tales negocios, en los mismos términos en los que se desarrolla el objeto social de las empresas privadas.   </w:t>
      </w:r>
    </w:p>
    <w:p w14:paraId="09503EC5" w14:textId="77777777" w:rsidR="000D6CD6" w:rsidRPr="00A75D14" w:rsidRDefault="000D6CD6" w:rsidP="00CB3758">
      <w:pPr>
        <w:tabs>
          <w:tab w:val="left" w:pos="0"/>
        </w:tabs>
        <w:snapToGrid w:val="0"/>
        <w:spacing w:after="0" w:line="276" w:lineRule="auto"/>
        <w:ind w:left="720" w:right="709"/>
        <w:jc w:val="both"/>
        <w:rPr>
          <w:rFonts w:ascii="Verdana" w:eastAsia="Calibri" w:hAnsi="Verdana" w:cs="Arial"/>
          <w:bCs/>
          <w:kern w:val="2"/>
          <w:sz w:val="21"/>
          <w:szCs w:val="21"/>
          <w:lang w:val="es-ES_tradnl" w:eastAsia="es-ES_tradnl"/>
          <w14:ligatures w14:val="standardContextual"/>
        </w:rPr>
      </w:pPr>
    </w:p>
    <w:p w14:paraId="6684CFE6" w14:textId="77777777" w:rsidR="000D6CD6" w:rsidRPr="00CB3758" w:rsidRDefault="000D6CD6" w:rsidP="00CB3758">
      <w:pPr>
        <w:pStyle w:val="Prrafodelista"/>
        <w:spacing w:line="276" w:lineRule="auto"/>
        <w:ind w:left="1418" w:right="709"/>
        <w:jc w:val="both"/>
        <w:rPr>
          <w:rFonts w:ascii="Verdana" w:eastAsia="Calibri" w:hAnsi="Verdana" w:cs="Arial"/>
          <w:bCs/>
          <w:kern w:val="2"/>
          <w:sz w:val="21"/>
          <w:szCs w:val="21"/>
          <w:lang w:val="es-ES_tradnl" w:eastAsia="es-ES_tradnl"/>
          <w14:ligatures w14:val="standardContextual"/>
        </w:rPr>
      </w:pPr>
      <w:r w:rsidRPr="00CB3758">
        <w:rPr>
          <w:rFonts w:ascii="Verdana" w:eastAsia="Calibri" w:hAnsi="Verdana" w:cs="Arial"/>
          <w:bCs/>
          <w:kern w:val="2"/>
          <w:sz w:val="21"/>
          <w:szCs w:val="21"/>
          <w:lang w:val="es-ES_tradnl" w:eastAsia="es-ES_tradnl"/>
          <w14:ligatures w14:val="standardContextual"/>
        </w:rPr>
        <w:t xml:space="preserve">7.8. De otra parte, y frente a las actividades conexas o complementarias al objeto social, existe plena compatibilidad respecto de los actos y contratos que puede desarrollar una EICE bajo el giro ordinario de sus negocios pues, al tenor de lo normado en el artículo 86 de la Ley 489 de 1998, dispuso el legislador que además de las actividades y funciones previstas en la ley, en las normas de creación y en sus estatutos internos, la empresas industriales y comerciales del estado están facultadas para “desarrollar y ejecutar todos aquellos que sean necesarios para el cumplimiento del objeto asignado”, previsión que ratifica la aplicación equivalente del giro ordinario de los </w:t>
      </w:r>
      <w:r w:rsidRPr="00CB3758">
        <w:rPr>
          <w:rFonts w:ascii="Verdana" w:eastAsia="Calibri" w:hAnsi="Verdana" w:cs="Arial"/>
          <w:bCs/>
          <w:kern w:val="2"/>
          <w:sz w:val="21"/>
          <w:szCs w:val="21"/>
          <w:lang w:val="es-ES_tradnl" w:eastAsia="es-ES_tradnl"/>
          <w14:ligatures w14:val="standardContextual"/>
        </w:rPr>
        <w:lastRenderedPageBreak/>
        <w:t>negocios a las EICE, en sus dos categorías de actuación –objeto principal y actividades conexas”</w:t>
      </w:r>
      <w:r>
        <w:rPr>
          <w:rStyle w:val="Refdenotaalpie"/>
          <w:rFonts w:ascii="Verdana" w:eastAsia="Calibri" w:hAnsi="Verdana" w:cs="Arial"/>
          <w:bCs/>
          <w:kern w:val="2"/>
          <w:sz w:val="21"/>
          <w:szCs w:val="21"/>
          <w:lang w:val="es-ES_tradnl" w:eastAsia="es-ES_tradnl"/>
          <w14:ligatures w14:val="standardContextual"/>
        </w:rPr>
        <w:footnoteReference w:id="6"/>
      </w:r>
      <w:r w:rsidRPr="00CB3758">
        <w:rPr>
          <w:rFonts w:ascii="Verdana" w:eastAsia="Calibri" w:hAnsi="Verdana" w:cs="Arial"/>
          <w:bCs/>
          <w:kern w:val="2"/>
          <w:sz w:val="21"/>
          <w:szCs w:val="21"/>
          <w:lang w:val="es-ES_tradnl" w:eastAsia="es-ES_tradnl"/>
          <w14:ligatures w14:val="standardContextual"/>
        </w:rPr>
        <w:t>.</w:t>
      </w:r>
    </w:p>
    <w:p w14:paraId="10289D93" w14:textId="77777777" w:rsidR="000D6CD6" w:rsidRDefault="000D6CD6" w:rsidP="00CB3758">
      <w:pPr>
        <w:spacing w:line="276" w:lineRule="auto"/>
        <w:ind w:left="709" w:right="709"/>
        <w:jc w:val="both"/>
        <w:rPr>
          <w:rFonts w:ascii="Verdana" w:eastAsia="Calibri" w:hAnsi="Verdana" w:cs="Arial"/>
          <w:bCs/>
          <w:kern w:val="2"/>
          <w:sz w:val="21"/>
          <w:szCs w:val="21"/>
          <w:lang w:val="es-ES_tradnl" w:eastAsia="es-ES_tradnl"/>
          <w14:ligatures w14:val="standardContextual"/>
        </w:rPr>
      </w:pPr>
    </w:p>
    <w:p w14:paraId="0131BCEA" w14:textId="77777777" w:rsidR="000D6CD6" w:rsidRDefault="000D6CD6" w:rsidP="00CB3758">
      <w:pPr>
        <w:pStyle w:val="Prrafodelista"/>
        <w:numPr>
          <w:ilvl w:val="0"/>
          <w:numId w:val="19"/>
        </w:numPr>
        <w:spacing w:line="276" w:lineRule="auto"/>
        <w:ind w:right="709"/>
        <w:jc w:val="both"/>
        <w:rPr>
          <w:rFonts w:ascii="Verdana" w:eastAsia="Calibri" w:hAnsi="Verdana" w:cs="Arial"/>
          <w:kern w:val="2"/>
          <w:lang w:eastAsia="es-ES"/>
          <w14:ligatures w14:val="standardContextual"/>
        </w:rPr>
      </w:pPr>
      <w:r w:rsidRPr="00CB3758">
        <w:rPr>
          <w:rFonts w:ascii="Verdana" w:eastAsia="Calibri" w:hAnsi="Verdana" w:cs="Arial"/>
          <w:kern w:val="2"/>
          <w:lang w:eastAsia="es-ES"/>
          <w14:ligatures w14:val="standardContextual"/>
        </w:rPr>
        <w:t xml:space="preserve">Conforme con lo expresado en estas providencias, el </w:t>
      </w:r>
      <w:r w:rsidRPr="00CB3758">
        <w:rPr>
          <w:rFonts w:ascii="Verdana" w:eastAsia="Calibri" w:hAnsi="Verdana" w:cs="Arial"/>
          <w:i/>
          <w:iCs/>
          <w:kern w:val="2"/>
          <w:lang w:eastAsia="es-ES"/>
          <w14:ligatures w14:val="standardContextual"/>
        </w:rPr>
        <w:t xml:space="preserve">giro ordinario </w:t>
      </w:r>
      <w:r w:rsidRPr="00CB3758">
        <w:rPr>
          <w:rFonts w:ascii="Verdana" w:eastAsia="Calibri" w:hAnsi="Verdana" w:cs="Arial"/>
          <w:kern w:val="2"/>
          <w:lang w:eastAsia="es-ES"/>
          <w14:ligatures w14:val="standardContextual"/>
        </w:rPr>
        <w:t>involucra los asuntos que integran el desarrollo del objeto social de una sociedad comercial, una empresa o entidad pública, lo cual comprende tanto unas actividades directamente relacionadas con dicho objeto social, así como otros actos conexos al mismo. Esta interpretación, en principio, es coherente con la regulación de la capacidad de las sociedades comerciales establecida en el Código de Comercio, cuyo artículo 99 dispone que “[</w:t>
      </w:r>
      <w:r w:rsidRPr="00CB3758">
        <w:rPr>
          <w:rFonts w:ascii="Verdana" w:eastAsia="Times New Roman" w:hAnsi="Verdana" w:cs="Arial"/>
          <w:kern w:val="2"/>
          <w:lang w:eastAsia="es-ES"/>
          <w14:ligatures w14:val="standardContextual"/>
        </w:rPr>
        <w:t>s]e</w:t>
      </w:r>
      <w:r w:rsidRPr="00CB3758">
        <w:rPr>
          <w:rFonts w:ascii="Verdana" w:eastAsia="Calibri" w:hAnsi="Verdana" w:cs="Arial"/>
          <w:kern w:val="2"/>
          <w:lang w:eastAsia="es-ES"/>
          <w14:ligatures w14:val="standardContextual"/>
        </w:rPr>
        <w:t xml:space="preserve"> entenderán incluidos en el objeto social los actos directamente relacionados con el mismo y los que tengan como finalidad ejercer los derechos o cumplir las obligaciones, legal o convencionalmente derivados de la existencia y actividad de la sociedad”</w:t>
      </w:r>
      <w:r>
        <w:rPr>
          <w:rStyle w:val="Refdenotaalpie"/>
          <w:rFonts w:ascii="Verdana" w:eastAsia="Calibri" w:hAnsi="Verdana" w:cs="Arial"/>
          <w:kern w:val="2"/>
          <w:lang w:eastAsia="es-ES"/>
          <w14:ligatures w14:val="standardContextual"/>
        </w:rPr>
        <w:footnoteReference w:id="7"/>
      </w:r>
      <w:r w:rsidRPr="00CB3758">
        <w:rPr>
          <w:rFonts w:ascii="Verdana" w:eastAsia="Calibri" w:hAnsi="Verdana" w:cs="Arial"/>
          <w:kern w:val="2"/>
          <w:lang w:eastAsia="es-ES"/>
          <w14:ligatures w14:val="standardContextual"/>
        </w:rPr>
        <w:t>.</w:t>
      </w:r>
    </w:p>
    <w:p w14:paraId="456009F5" w14:textId="77777777" w:rsidR="00CB3758" w:rsidRPr="00CB3758" w:rsidRDefault="00CB3758" w:rsidP="00CB3758">
      <w:pPr>
        <w:pStyle w:val="Prrafodelista"/>
        <w:rPr>
          <w:rFonts w:ascii="Verdana" w:eastAsia="Calibri" w:hAnsi="Verdana" w:cs="Arial"/>
          <w:kern w:val="2"/>
          <w:lang w:eastAsia="es-ES"/>
          <w14:ligatures w14:val="standardContextual"/>
        </w:rPr>
      </w:pPr>
    </w:p>
    <w:p w14:paraId="19C56929" w14:textId="77777777" w:rsidR="00CB3758" w:rsidRPr="00CB3758" w:rsidRDefault="00CB3758" w:rsidP="00CB3758">
      <w:pPr>
        <w:pStyle w:val="Prrafodelista"/>
        <w:spacing w:line="276" w:lineRule="auto"/>
        <w:ind w:right="709"/>
        <w:jc w:val="both"/>
        <w:rPr>
          <w:rFonts w:ascii="Verdana" w:eastAsia="Calibri" w:hAnsi="Verdana" w:cs="Arial"/>
          <w:kern w:val="2"/>
          <w:lang w:eastAsia="es-ES"/>
          <w14:ligatures w14:val="standardContextual"/>
        </w:rPr>
      </w:pPr>
    </w:p>
    <w:p w14:paraId="6C290C6F" w14:textId="77777777" w:rsidR="000D6CD6" w:rsidRPr="00CB3758" w:rsidRDefault="000D6CD6" w:rsidP="00CB3758">
      <w:pPr>
        <w:pStyle w:val="Prrafodelista"/>
        <w:numPr>
          <w:ilvl w:val="0"/>
          <w:numId w:val="19"/>
        </w:numPr>
        <w:tabs>
          <w:tab w:val="left" w:pos="0"/>
        </w:tabs>
        <w:snapToGrid w:val="0"/>
        <w:spacing w:after="0" w:line="276" w:lineRule="auto"/>
        <w:jc w:val="both"/>
        <w:rPr>
          <w:rFonts w:ascii="Verdana" w:eastAsia="Calibri" w:hAnsi="Verdana" w:cs="Arial"/>
          <w:bCs/>
          <w:kern w:val="2"/>
          <w:lang w:val="es-ES_tradnl" w:eastAsia="es-ES_tradnl"/>
          <w14:ligatures w14:val="standardContextual"/>
        </w:rPr>
      </w:pPr>
      <w:r w:rsidRPr="00CB3758">
        <w:rPr>
          <w:rFonts w:ascii="Verdana" w:eastAsia="Calibri" w:hAnsi="Verdana" w:cs="Arial"/>
          <w:bCs/>
          <w:kern w:val="2"/>
          <w:lang w:val="es-ES_tradnl" w:eastAsia="es-ES_tradnl"/>
          <w14:ligatures w14:val="standardContextual"/>
        </w:rPr>
        <w:t xml:space="preserve">De otra parte, la doctrina societaria también se ha encargado de definir el </w:t>
      </w:r>
      <w:r w:rsidRPr="00CB3758">
        <w:rPr>
          <w:rFonts w:ascii="Verdana" w:eastAsia="Calibri" w:hAnsi="Verdana" w:cs="Arial"/>
          <w:bCs/>
          <w:i/>
          <w:iCs/>
          <w:kern w:val="2"/>
          <w:lang w:val="es-ES_tradnl" w:eastAsia="es-ES_tradnl"/>
          <w14:ligatures w14:val="standardContextual"/>
        </w:rPr>
        <w:t>objeto social</w:t>
      </w:r>
      <w:r w:rsidRPr="00CB3758">
        <w:rPr>
          <w:rFonts w:ascii="Verdana" w:eastAsia="Calibri" w:hAnsi="Verdana" w:cs="Arial"/>
          <w:bCs/>
          <w:kern w:val="2"/>
          <w:lang w:val="es-ES_tradnl" w:eastAsia="es-ES_tradnl"/>
          <w14:ligatures w14:val="standardContextual"/>
        </w:rPr>
        <w:t xml:space="preserve">, así como su relación con el concepto de </w:t>
      </w:r>
      <w:r w:rsidRPr="00CB3758">
        <w:rPr>
          <w:rFonts w:ascii="Verdana" w:eastAsia="Calibri" w:hAnsi="Verdana" w:cs="Arial"/>
          <w:bCs/>
          <w:i/>
          <w:iCs/>
          <w:kern w:val="2"/>
          <w:lang w:val="es-ES_tradnl" w:eastAsia="es-ES_tradnl"/>
          <w14:ligatures w14:val="standardContextual"/>
        </w:rPr>
        <w:t>giro ordinario</w:t>
      </w:r>
      <w:r w:rsidRPr="00CB3758">
        <w:rPr>
          <w:rFonts w:ascii="Verdana" w:eastAsia="Calibri" w:hAnsi="Verdana" w:cs="Arial"/>
          <w:bCs/>
          <w:kern w:val="2"/>
          <w:lang w:val="es-ES_tradnl" w:eastAsia="es-ES_tradnl"/>
          <w14:ligatures w14:val="standardContextual"/>
        </w:rPr>
        <w:t>. Al respecto, la Superintendencia de Sociedades, citando doctrina autorizada en la materia, ha señalado:</w:t>
      </w:r>
    </w:p>
    <w:p w14:paraId="7DCEFDB3" w14:textId="77777777" w:rsidR="000D6CD6" w:rsidRDefault="000D6CD6" w:rsidP="00CB3758">
      <w:pPr>
        <w:tabs>
          <w:tab w:val="left" w:pos="0"/>
        </w:tabs>
        <w:snapToGrid w:val="0"/>
        <w:spacing w:after="0" w:line="276" w:lineRule="auto"/>
        <w:jc w:val="both"/>
        <w:rPr>
          <w:rFonts w:ascii="Verdana" w:eastAsia="Calibri" w:hAnsi="Verdana" w:cs="Arial"/>
          <w:bCs/>
          <w:kern w:val="2"/>
          <w:lang w:val="es-ES_tradnl" w:eastAsia="es-ES_tradnl"/>
          <w14:ligatures w14:val="standardContextual"/>
        </w:rPr>
      </w:pPr>
    </w:p>
    <w:p w14:paraId="08E7BFAE" w14:textId="77777777" w:rsidR="000D6CD6" w:rsidRDefault="000D6CD6" w:rsidP="00CB3758">
      <w:pPr>
        <w:tabs>
          <w:tab w:val="left" w:pos="0"/>
        </w:tabs>
        <w:snapToGrid w:val="0"/>
        <w:spacing w:after="0" w:line="276" w:lineRule="auto"/>
        <w:jc w:val="both"/>
        <w:rPr>
          <w:rFonts w:ascii="Verdana" w:eastAsia="Calibri" w:hAnsi="Verdana" w:cs="Arial"/>
          <w:bCs/>
          <w:kern w:val="2"/>
          <w:lang w:val="es-ES_tradnl" w:eastAsia="es-ES_tradnl"/>
          <w14:ligatures w14:val="standardContextual"/>
        </w:rPr>
      </w:pPr>
    </w:p>
    <w:p w14:paraId="543643D0" w14:textId="77777777" w:rsidR="00A16F5D" w:rsidRDefault="000D6CD6" w:rsidP="00A16F5D">
      <w:pPr>
        <w:pStyle w:val="Prrafodelista"/>
        <w:snapToGrid w:val="0"/>
        <w:spacing w:after="0" w:line="276" w:lineRule="auto"/>
        <w:ind w:left="1440" w:right="709"/>
        <w:jc w:val="both"/>
        <w:rPr>
          <w:rFonts w:ascii="Verdana" w:eastAsia="Times New Roman" w:hAnsi="Verdana" w:cs="Arial"/>
          <w:kern w:val="2"/>
          <w:sz w:val="21"/>
          <w:szCs w:val="21"/>
          <w:lang w:eastAsia="es-ES"/>
          <w14:ligatures w14:val="standardContextual"/>
        </w:rPr>
      </w:pPr>
      <w:r w:rsidRPr="00CB3758">
        <w:rPr>
          <w:rFonts w:ascii="Verdana" w:eastAsia="Times New Roman" w:hAnsi="Verdana" w:cs="Arial"/>
          <w:kern w:val="2"/>
          <w:sz w:val="21"/>
          <w:szCs w:val="21"/>
          <w:lang w:eastAsia="es-ES"/>
          <w14:ligatures w14:val="standardContextual"/>
        </w:rPr>
        <w:t xml:space="preserve">“Si bien el llamado giro ordinario de los negocios se encuentra determinado por las actividades que constituyen el objeto social, resultan oportunas algunas precisiones conceptuales en torno al empleo constante en la práctica mercantil de la referida expresión "giro ordinario de los negocios". Partiendo de las </w:t>
      </w:r>
      <w:r w:rsidRPr="00CB3758">
        <w:rPr>
          <w:rFonts w:ascii="Verdana" w:eastAsia="Times New Roman" w:hAnsi="Verdana" w:cs="Arial"/>
          <w:kern w:val="2"/>
          <w:sz w:val="21"/>
          <w:szCs w:val="21"/>
          <w:lang w:eastAsia="es-ES"/>
          <w14:ligatures w14:val="standardContextual"/>
        </w:rPr>
        <w:lastRenderedPageBreak/>
        <w:t>anteriores consideraciones en cuanto al tema del objeto social, se concluye que éste alude a las actividades que desarrolla o se propone realizar el ente social, al paso que solamente quedan cobijadas por "giro ordinario" aquellas actividades que en forma habitual u ordinaria, ejecuta la sociedad.</w:t>
      </w:r>
    </w:p>
    <w:p w14:paraId="4EF362E9" w14:textId="155AAA30" w:rsidR="00A16F5D" w:rsidRPr="00A16F5D" w:rsidRDefault="00A16F5D" w:rsidP="00A16F5D">
      <w:pPr>
        <w:pStyle w:val="Prrafodelista"/>
        <w:snapToGrid w:val="0"/>
        <w:spacing w:after="0" w:line="276" w:lineRule="auto"/>
        <w:ind w:left="1440" w:right="709"/>
        <w:jc w:val="both"/>
        <w:rPr>
          <w:rFonts w:ascii="Verdana" w:eastAsia="Times New Roman" w:hAnsi="Verdana" w:cs="Arial"/>
          <w:kern w:val="2"/>
          <w:sz w:val="21"/>
          <w:szCs w:val="21"/>
          <w:lang w:eastAsia="es-ES"/>
          <w14:ligatures w14:val="standardContextual"/>
        </w:rPr>
      </w:pPr>
      <w:r w:rsidRPr="00A16F5D">
        <w:rPr>
          <w:rFonts w:ascii="Verdana" w:eastAsia="Times New Roman" w:hAnsi="Verdana" w:cs="Arial"/>
          <w:kern w:val="2"/>
          <w:sz w:val="21"/>
          <w:szCs w:val="21"/>
          <w:lang w:val="es-CO" w:eastAsia="es-ES"/>
          <w14:ligatures w14:val="standardContextual"/>
        </w:rPr>
        <w:t xml:space="preserve">Advierte el profesor GAVIRIA GUTIÉRREZ (Lecciones de Derecho Comercial, Biblioteca Jurídica DIKE, Medellín, 1987, Pág. 251) que "el objeto social tiene un significado de mayor amplitud que el giro ordinario, pues aquel comprende cuanto acto sea necesario o conveniente para realizar el fin social propuesto, ya sea de simple gestión ordinaria, como la compra de materias primas y la venta de productos elaborados, ya de gestión extraordinaria, como un traslado de las instalaciones industriales, un despido masivo, un cambio de marcas y demás signos distintivos", de lo cual puede deducirse una relación de género a especie entre ambos conceptos, siendo el giro ordinario una especie que se enmarca al interior del genérico objeto social” </w:t>
      </w:r>
      <w:r>
        <w:rPr>
          <w:rStyle w:val="Refdenotaalpie"/>
          <w:rFonts w:ascii="Verdana" w:eastAsia="Calibri" w:hAnsi="Verdana" w:cs="Arial"/>
          <w:kern w:val="2"/>
          <w:lang w:eastAsia="es-ES"/>
          <w14:ligatures w14:val="standardContextual"/>
        </w:rPr>
        <w:footnoteReference w:id="8"/>
      </w:r>
    </w:p>
    <w:p w14:paraId="516DCD0A" w14:textId="77777777" w:rsidR="000D6CD6" w:rsidRPr="00A75D14" w:rsidRDefault="000D6CD6" w:rsidP="00CB3758">
      <w:pPr>
        <w:snapToGrid w:val="0"/>
        <w:spacing w:after="0" w:line="276" w:lineRule="auto"/>
        <w:ind w:left="720" w:right="709"/>
        <w:jc w:val="both"/>
        <w:rPr>
          <w:rFonts w:ascii="Verdana" w:eastAsia="Times New Roman" w:hAnsi="Verdana" w:cs="Arial"/>
          <w:kern w:val="2"/>
          <w:sz w:val="21"/>
          <w:szCs w:val="21"/>
          <w:lang w:val="es-ES" w:eastAsia="es-ES"/>
          <w14:ligatures w14:val="standardContextual"/>
        </w:rPr>
      </w:pPr>
    </w:p>
    <w:p w14:paraId="0353BB0C" w14:textId="77777777" w:rsidR="000D6CD6" w:rsidRPr="00CB3758" w:rsidRDefault="000D6CD6" w:rsidP="00CB3758">
      <w:pPr>
        <w:pStyle w:val="Prrafodelista"/>
        <w:numPr>
          <w:ilvl w:val="0"/>
          <w:numId w:val="19"/>
        </w:numPr>
        <w:snapToGrid w:val="0"/>
        <w:spacing w:after="0" w:line="276" w:lineRule="auto"/>
        <w:jc w:val="both"/>
        <w:rPr>
          <w:rFonts w:ascii="Verdana" w:eastAsia="Calibri" w:hAnsi="Verdana" w:cs="Arial"/>
          <w:kern w:val="2"/>
          <w:lang w:eastAsia="es-ES"/>
          <w14:ligatures w14:val="standardContextual"/>
        </w:rPr>
      </w:pPr>
      <w:r w:rsidRPr="00CB3758">
        <w:rPr>
          <w:rFonts w:ascii="Verdana" w:eastAsia="Calibri" w:hAnsi="Verdana" w:cs="Arial"/>
          <w:kern w:val="2"/>
          <w:lang w:eastAsia="es-ES"/>
          <w14:ligatures w14:val="standardContextual"/>
        </w:rPr>
        <w:t xml:space="preserve">De acuerdo con estas consideraciones, no hay una plena equivalencia entre las actividades que hacen parte del desarrollo del </w:t>
      </w:r>
      <w:r w:rsidRPr="00CB3758">
        <w:rPr>
          <w:rFonts w:ascii="Verdana" w:eastAsia="Calibri" w:hAnsi="Verdana" w:cs="Arial"/>
          <w:i/>
          <w:kern w:val="2"/>
          <w:lang w:eastAsia="es-ES"/>
          <w14:ligatures w14:val="standardContextual"/>
        </w:rPr>
        <w:t>objeto social</w:t>
      </w:r>
      <w:r w:rsidRPr="00CB3758">
        <w:rPr>
          <w:rFonts w:ascii="Verdana" w:eastAsia="Calibri" w:hAnsi="Verdana" w:cs="Arial"/>
          <w:kern w:val="2"/>
          <w:lang w:eastAsia="es-ES"/>
          <w14:ligatures w14:val="standardContextual"/>
        </w:rPr>
        <w:t xml:space="preserve"> y las que comprende el </w:t>
      </w:r>
      <w:r w:rsidRPr="00CB3758">
        <w:rPr>
          <w:rFonts w:ascii="Verdana" w:eastAsia="Calibri" w:hAnsi="Verdana" w:cs="Arial"/>
          <w:i/>
          <w:kern w:val="2"/>
          <w:lang w:eastAsia="es-ES"/>
          <w14:ligatures w14:val="standardContextual"/>
        </w:rPr>
        <w:t>giro ordinario</w:t>
      </w:r>
      <w:r w:rsidRPr="00CB3758">
        <w:rPr>
          <w:rFonts w:ascii="Verdana" w:eastAsia="Calibri" w:hAnsi="Verdana" w:cs="Arial"/>
          <w:kern w:val="2"/>
          <w:lang w:eastAsia="es-ES"/>
          <w14:ligatures w14:val="standardContextual"/>
        </w:rPr>
        <w:t xml:space="preserve">, pues, como precisa la Superintendencia de Sociedades, entre lo que designan estas categorías existe una relación de género a especie. </w:t>
      </w:r>
    </w:p>
    <w:p w14:paraId="3E3B68D7" w14:textId="77777777" w:rsidR="000D6CD6" w:rsidRPr="007D52F6" w:rsidRDefault="000D6CD6" w:rsidP="00CB3758">
      <w:pPr>
        <w:tabs>
          <w:tab w:val="left" w:pos="0"/>
        </w:tabs>
        <w:snapToGrid w:val="0"/>
        <w:spacing w:after="0" w:line="276" w:lineRule="auto"/>
        <w:jc w:val="both"/>
        <w:rPr>
          <w:rFonts w:ascii="Verdana" w:eastAsia="Calibri" w:hAnsi="Verdana" w:cs="Arial"/>
          <w:bCs/>
          <w:kern w:val="2"/>
          <w:lang w:val="es-ES" w:eastAsia="es-ES_tradnl"/>
          <w14:ligatures w14:val="standardContextual"/>
        </w:rPr>
      </w:pPr>
    </w:p>
    <w:p w14:paraId="733CC593" w14:textId="77777777" w:rsidR="00E36A6C" w:rsidRDefault="000D6CD6" w:rsidP="00CB3758">
      <w:pPr>
        <w:pStyle w:val="Prrafodelista"/>
        <w:numPr>
          <w:ilvl w:val="0"/>
          <w:numId w:val="19"/>
        </w:numPr>
        <w:snapToGrid w:val="0"/>
        <w:spacing w:after="0" w:line="276" w:lineRule="auto"/>
        <w:jc w:val="both"/>
        <w:rPr>
          <w:rFonts w:ascii="Verdana" w:eastAsia="Calibri" w:hAnsi="Verdana" w:cs="Arial"/>
          <w:kern w:val="2"/>
          <w:lang w:eastAsia="es-ES"/>
          <w14:ligatures w14:val="standardContextual"/>
        </w:rPr>
      </w:pPr>
      <w:r w:rsidRPr="00CB3758">
        <w:rPr>
          <w:rFonts w:ascii="Verdana" w:eastAsia="Calibri" w:hAnsi="Verdana" w:cs="Arial"/>
          <w:kern w:val="2"/>
          <w:lang w:eastAsia="es-ES"/>
          <w14:ligatures w14:val="standardContextual"/>
        </w:rPr>
        <w:t xml:space="preserve">En relación con la aplicación de lo dispuesto en el parágrafo del artículo 56 de la Ley 2195 de 2022, conviene aclarar que, a juicio de esta Agencia, la expresión </w:t>
      </w:r>
      <w:r w:rsidRPr="00CB3758">
        <w:rPr>
          <w:rFonts w:ascii="Verdana" w:eastAsia="Calibri" w:hAnsi="Verdana" w:cs="Arial"/>
          <w:i/>
          <w:kern w:val="2"/>
          <w:lang w:eastAsia="es-ES"/>
          <w14:ligatures w14:val="standardContextual"/>
        </w:rPr>
        <w:t xml:space="preserve">giro ordinario </w:t>
      </w:r>
      <w:r w:rsidRPr="00CB3758">
        <w:rPr>
          <w:rFonts w:ascii="Verdana" w:eastAsia="Calibri" w:hAnsi="Verdana" w:cs="Arial"/>
          <w:kern w:val="2"/>
          <w:lang w:eastAsia="es-ES"/>
          <w14:ligatures w14:val="standardContextual"/>
        </w:rPr>
        <w:t xml:space="preserve">en dicha norma se usa para designar a la contratación relacionada con los asuntos de la gestión habitual u ordinaria de los tipos de entidades mencionadas en el parágrafo. No obstante, la determinación de las actividades que comprenden el </w:t>
      </w:r>
      <w:r w:rsidRPr="00CB3758">
        <w:rPr>
          <w:rFonts w:ascii="Verdana" w:eastAsia="Calibri" w:hAnsi="Verdana" w:cs="Arial"/>
          <w:i/>
          <w:kern w:val="2"/>
          <w:lang w:eastAsia="es-ES"/>
          <w14:ligatures w14:val="standardContextual"/>
        </w:rPr>
        <w:t>giro ordinario</w:t>
      </w:r>
      <w:r w:rsidRPr="00CB3758">
        <w:rPr>
          <w:rFonts w:ascii="Verdana" w:eastAsia="Calibri" w:hAnsi="Verdana" w:cs="Arial"/>
          <w:kern w:val="2"/>
          <w:lang w:eastAsia="es-ES"/>
          <w14:ligatures w14:val="standardContextual"/>
        </w:rPr>
        <w:t xml:space="preserve"> es un asunto que se debe definir en cada caso concreto por parte de las entidades estatales –analizando lo establecido en sus actos de creación y verificando los negocios habituales u ordinarios que desarrollan–, pues el parágrafo </w:t>
      </w:r>
      <w:r w:rsidRPr="00CB3758">
        <w:rPr>
          <w:rFonts w:ascii="Verdana" w:eastAsia="Calibri" w:hAnsi="Verdana" w:cs="Arial"/>
          <w:kern w:val="2"/>
          <w:lang w:eastAsia="es-ES"/>
          <w14:ligatures w14:val="standardContextual"/>
        </w:rPr>
        <w:lastRenderedPageBreak/>
        <w:t xml:space="preserve">del artículo 56 </w:t>
      </w:r>
      <w:r w:rsidRPr="00CB3758">
        <w:rPr>
          <w:rFonts w:ascii="Verdana" w:eastAsia="Calibri" w:hAnsi="Verdana" w:cs="Arial"/>
          <w:i/>
          <w:kern w:val="2"/>
          <w:lang w:eastAsia="es-ES"/>
          <w14:ligatures w14:val="standardContextual"/>
        </w:rPr>
        <w:t>ejusdem</w:t>
      </w:r>
      <w:r w:rsidRPr="00CB3758">
        <w:rPr>
          <w:rFonts w:ascii="Verdana" w:eastAsia="Calibri" w:hAnsi="Verdana" w:cs="Arial"/>
          <w:kern w:val="2"/>
          <w:lang w:eastAsia="es-ES"/>
          <w14:ligatures w14:val="standardContextual"/>
        </w:rPr>
        <w:t xml:space="preserve"> se limita a enunciar algunos tipos de entidades estatales, las cuales no solo difieren en su naturaleza jurídica, sino también en las actividades que realizan.</w:t>
      </w:r>
    </w:p>
    <w:p w14:paraId="7D747F6D" w14:textId="77777777" w:rsidR="00E36A6C" w:rsidRPr="00E36A6C" w:rsidRDefault="00E36A6C" w:rsidP="00E36A6C">
      <w:pPr>
        <w:pStyle w:val="Prrafodelista"/>
        <w:rPr>
          <w:rFonts w:ascii="Verdana" w:eastAsia="Calibri" w:hAnsi="Verdana" w:cs="Arial"/>
          <w:kern w:val="2"/>
          <w:lang w:eastAsia="es-ES"/>
          <w14:ligatures w14:val="standardContextual"/>
        </w:rPr>
      </w:pPr>
    </w:p>
    <w:p w14:paraId="0831E3C4" w14:textId="0E4B20FA" w:rsidR="000D6CD6" w:rsidRPr="00CB3758" w:rsidRDefault="000D6CD6" w:rsidP="00E36A6C">
      <w:pPr>
        <w:pStyle w:val="Prrafodelista"/>
        <w:snapToGrid w:val="0"/>
        <w:spacing w:after="0" w:line="276" w:lineRule="auto"/>
        <w:jc w:val="both"/>
        <w:rPr>
          <w:rFonts w:ascii="Verdana" w:eastAsia="Calibri" w:hAnsi="Verdana" w:cs="Arial"/>
          <w:kern w:val="2"/>
          <w:lang w:eastAsia="es-ES"/>
          <w14:ligatures w14:val="standardContextual"/>
        </w:rPr>
      </w:pPr>
      <w:r w:rsidRPr="00CB3758">
        <w:rPr>
          <w:rFonts w:ascii="Verdana" w:eastAsia="Calibri" w:hAnsi="Verdana" w:cs="Arial"/>
          <w:kern w:val="2"/>
          <w:lang w:eastAsia="es-ES"/>
          <w14:ligatures w14:val="standardContextual"/>
        </w:rPr>
        <w:t xml:space="preserve"> </w:t>
      </w:r>
    </w:p>
    <w:p w14:paraId="7CFB90A5" w14:textId="77777777" w:rsidR="000D6CD6" w:rsidRPr="00CB3758" w:rsidRDefault="000D6CD6" w:rsidP="00CB3758">
      <w:pPr>
        <w:pStyle w:val="Prrafodelista"/>
        <w:numPr>
          <w:ilvl w:val="0"/>
          <w:numId w:val="19"/>
        </w:numPr>
        <w:snapToGrid w:val="0"/>
        <w:spacing w:after="0" w:line="276" w:lineRule="auto"/>
        <w:jc w:val="both"/>
        <w:rPr>
          <w:rFonts w:ascii="Verdana" w:eastAsia="Calibri" w:hAnsi="Verdana" w:cs="Arial"/>
          <w:kern w:val="2"/>
          <w:lang w:eastAsia="es-ES"/>
          <w14:ligatures w14:val="standardContextual"/>
        </w:rPr>
      </w:pPr>
      <w:r w:rsidRPr="00CB3758">
        <w:rPr>
          <w:rFonts w:ascii="Verdana" w:eastAsia="Calibri" w:hAnsi="Verdana" w:cs="Arial"/>
          <w:kern w:val="2"/>
          <w:lang w:eastAsia="es-ES"/>
          <w14:ligatures w14:val="standardContextual"/>
        </w:rPr>
        <w:t xml:space="preserve">Por otra parte, es importante señalar que la excepción del parágrafo en comento es clara en establecer cuáles son las entidades exceptuadas de la aplicación del artículo 56 de la Ley 2195 de 2022. En ese sentido, la Agencia Nacional de Contratación Pública – Colombia Compra Eficiente, en sede consultiva, no puede establecer si otras entidades como los fondos mixtos se enmarcan en la aludida excepción, toda vez que este es un análisis que deberá realizarse en cada caso concreto, con el fin de i) determinar si la entidad puede catalogarse como una de aquellas definidas en el parágrafo y ii) si el objeto a contratar se enmarca en el concepto de </w:t>
      </w:r>
      <w:r w:rsidRPr="00CB3758">
        <w:rPr>
          <w:rFonts w:ascii="Verdana" w:eastAsia="Calibri" w:hAnsi="Verdana" w:cs="Arial"/>
          <w:i/>
          <w:iCs/>
          <w:kern w:val="2"/>
          <w:lang w:eastAsia="es-ES"/>
          <w14:ligatures w14:val="standardContextual"/>
        </w:rPr>
        <w:t>giro ordinario.</w:t>
      </w:r>
      <w:r w:rsidRPr="00CB3758">
        <w:rPr>
          <w:rFonts w:ascii="Verdana" w:eastAsia="Calibri" w:hAnsi="Verdana" w:cs="Arial"/>
          <w:kern w:val="2"/>
          <w:lang w:eastAsia="es-ES"/>
          <w14:ligatures w14:val="standardContextual"/>
        </w:rPr>
        <w:t xml:space="preserve"> </w:t>
      </w:r>
    </w:p>
    <w:p w14:paraId="59E8FDDB" w14:textId="77777777" w:rsidR="000D6CD6" w:rsidRDefault="000D6CD6" w:rsidP="00CB3758">
      <w:pPr>
        <w:snapToGrid w:val="0"/>
        <w:spacing w:after="0" w:line="276" w:lineRule="auto"/>
        <w:jc w:val="both"/>
        <w:rPr>
          <w:rFonts w:ascii="Verdana" w:eastAsia="Calibri" w:hAnsi="Verdana" w:cs="Arial"/>
          <w:kern w:val="2"/>
          <w:lang w:val="es-ES" w:eastAsia="es-ES"/>
          <w14:ligatures w14:val="standardContextual"/>
        </w:rPr>
      </w:pPr>
    </w:p>
    <w:p w14:paraId="5A5F9465" w14:textId="77777777" w:rsidR="000D6CD6" w:rsidRDefault="000D6CD6" w:rsidP="00CB3758">
      <w:pPr>
        <w:pStyle w:val="Prrafodelista"/>
        <w:numPr>
          <w:ilvl w:val="0"/>
          <w:numId w:val="19"/>
        </w:numPr>
        <w:snapToGrid w:val="0"/>
        <w:spacing w:after="0" w:line="276" w:lineRule="auto"/>
        <w:jc w:val="both"/>
        <w:rPr>
          <w:rFonts w:ascii="Verdana" w:eastAsia="Calibri" w:hAnsi="Verdana" w:cs="Arial"/>
          <w:kern w:val="2"/>
          <w:lang w:eastAsia="es-ES"/>
          <w14:ligatures w14:val="standardContextual"/>
        </w:rPr>
      </w:pPr>
      <w:r w:rsidRPr="00CB3758">
        <w:rPr>
          <w:rFonts w:ascii="Verdana" w:eastAsia="Calibri" w:hAnsi="Verdana" w:cs="Arial"/>
          <w:kern w:val="2"/>
          <w:lang w:eastAsia="es-ES"/>
          <w14:ligatures w14:val="standardContextual"/>
        </w:rPr>
        <w:t xml:space="preserve">En tales términos, lo dispuesto en el parágrafo del artículo 56 implica que las instituciones de educación superior públicas, las empresas sociales del Estado, las sociedades de economía mixta y las empresas industriales y comerciales del Estado, no tendrán que implementar los documentos tipo únicamente para la contratación relacionada con el </w:t>
      </w:r>
      <w:r w:rsidRPr="00CB3758">
        <w:rPr>
          <w:rFonts w:ascii="Verdana" w:eastAsia="Calibri" w:hAnsi="Verdana" w:cs="Arial"/>
          <w:i/>
          <w:kern w:val="2"/>
          <w:lang w:eastAsia="es-ES"/>
          <w14:ligatures w14:val="standardContextual"/>
        </w:rPr>
        <w:t xml:space="preserve">giro ordinario </w:t>
      </w:r>
      <w:r w:rsidRPr="00CB3758">
        <w:rPr>
          <w:rFonts w:ascii="Verdana" w:eastAsia="Calibri" w:hAnsi="Verdana" w:cs="Arial"/>
          <w:kern w:val="2"/>
          <w:lang w:eastAsia="es-ES"/>
          <w14:ligatures w14:val="standardContextual"/>
        </w:rPr>
        <w:t xml:space="preserve">de sus asuntos, salvo que los manuales internos de contratación de estas entidades dispongan la obligación de tener en cuenta los documentos tipo como una buena práctica contractual. De acuerdo con este entendimiento, estas entidades, quedan, en principio, exceptuadas de los documentos tipo, incluso para la contratación de obras o servicios cubiertos por documentos tipo, en el marco del cumplimiento de contratos o convenios con entidades sometidas al EGCAP y de los negocios jurídicos que se deriven de ellos, exclusivamente en lo que se refiere a </w:t>
      </w:r>
      <w:r w:rsidRPr="00CB3758">
        <w:rPr>
          <w:rFonts w:ascii="Verdana" w:eastAsia="Calibri" w:hAnsi="Verdana" w:cs="Arial"/>
          <w:i/>
          <w:kern w:val="2"/>
          <w:lang w:eastAsia="es-ES"/>
          <w14:ligatures w14:val="standardContextual"/>
        </w:rPr>
        <w:t>su giro ordinario</w:t>
      </w:r>
      <w:r w:rsidRPr="00CB3758">
        <w:rPr>
          <w:rFonts w:ascii="Verdana" w:eastAsia="Calibri" w:hAnsi="Verdana" w:cs="Arial"/>
          <w:kern w:val="2"/>
          <w:lang w:eastAsia="es-ES"/>
          <w14:ligatures w14:val="standardContextual"/>
        </w:rPr>
        <w:t xml:space="preserve">, entendido este conforme a los criterios jurisprudenciales y doctrinarios explicados. En otras palabras, ninguna entidad cuya naturaleza jurídica coincida con las mencionadas en el parágrafo del artículo 56, tendrá que someterse de manera obligatoria a los documentos tipo o el EGCAP para la contratación de obras o servicios asociadas a su </w:t>
      </w:r>
      <w:r w:rsidRPr="00CB3758">
        <w:rPr>
          <w:rFonts w:ascii="Verdana" w:eastAsia="Calibri" w:hAnsi="Verdana" w:cs="Arial"/>
          <w:i/>
          <w:kern w:val="2"/>
          <w:lang w:eastAsia="es-ES"/>
          <w14:ligatures w14:val="standardContextual"/>
        </w:rPr>
        <w:t>giro ordinario</w:t>
      </w:r>
      <w:r w:rsidRPr="00CB3758">
        <w:rPr>
          <w:rFonts w:ascii="Verdana" w:eastAsia="Calibri" w:hAnsi="Verdana" w:cs="Arial"/>
          <w:kern w:val="2"/>
          <w:lang w:eastAsia="es-ES"/>
          <w14:ligatures w14:val="standardContextual"/>
        </w:rPr>
        <w:t xml:space="preserve">, a menos que su manual de contratación establezca lo contrario. </w:t>
      </w:r>
    </w:p>
    <w:p w14:paraId="7CB43C77" w14:textId="77777777" w:rsidR="00A87684" w:rsidRDefault="00A87684" w:rsidP="00A87684">
      <w:pPr>
        <w:pStyle w:val="Prrafodelista"/>
        <w:snapToGrid w:val="0"/>
        <w:spacing w:after="0" w:line="276" w:lineRule="auto"/>
        <w:jc w:val="both"/>
        <w:rPr>
          <w:rFonts w:ascii="Verdana" w:eastAsia="Calibri" w:hAnsi="Verdana" w:cs="Arial"/>
          <w:kern w:val="2"/>
          <w:lang w:eastAsia="es-ES"/>
          <w14:ligatures w14:val="standardContextual"/>
        </w:rPr>
      </w:pPr>
    </w:p>
    <w:p w14:paraId="6116D03E" w14:textId="5B473546" w:rsidR="00A87684" w:rsidRPr="00CB3758" w:rsidRDefault="00A87684" w:rsidP="00CB3758">
      <w:pPr>
        <w:pStyle w:val="Prrafodelista"/>
        <w:numPr>
          <w:ilvl w:val="0"/>
          <w:numId w:val="19"/>
        </w:numPr>
        <w:snapToGrid w:val="0"/>
        <w:spacing w:after="0" w:line="276" w:lineRule="auto"/>
        <w:jc w:val="both"/>
        <w:rPr>
          <w:rFonts w:ascii="Verdana" w:eastAsia="Calibri" w:hAnsi="Verdana" w:cs="Arial"/>
          <w:kern w:val="2"/>
          <w:lang w:eastAsia="es-ES"/>
          <w14:ligatures w14:val="standardContextual"/>
        </w:rPr>
      </w:pPr>
      <w:r w:rsidRPr="00A87684">
        <w:rPr>
          <w:rFonts w:ascii="Verdana" w:eastAsia="Calibri" w:hAnsi="Verdana" w:cs="Arial"/>
          <w:kern w:val="2"/>
          <w:lang w:val="es-CO" w:eastAsia="es-ES"/>
          <w14:ligatures w14:val="standardContextual"/>
        </w:rPr>
        <w:t>Esta interpretación, a juicio de la Agencia, no solo se desprende de la</w:t>
      </w:r>
      <w:r>
        <w:rPr>
          <w:rFonts w:ascii="Verdana" w:eastAsia="Calibri" w:hAnsi="Verdana" w:cs="Arial"/>
          <w:kern w:val="2"/>
          <w:lang w:val="es-CO" w:eastAsia="es-ES"/>
          <w14:ligatures w14:val="standardContextual"/>
        </w:rPr>
        <w:t xml:space="preserve"> </w:t>
      </w:r>
      <w:r w:rsidRPr="00A87684">
        <w:rPr>
          <w:rFonts w:ascii="Verdana" w:eastAsia="Calibri" w:hAnsi="Verdana" w:cs="Arial"/>
          <w:kern w:val="2"/>
          <w:lang w:val="es-CO" w:eastAsia="es-ES"/>
          <w14:ligatures w14:val="standardContextual"/>
        </w:rPr>
        <w:t xml:space="preserve">literalidad del texto de la norma en comento, sino que además está en </w:t>
      </w:r>
      <w:r w:rsidRPr="00A87684">
        <w:rPr>
          <w:rFonts w:ascii="Verdana" w:eastAsia="Calibri" w:hAnsi="Verdana" w:cs="Arial"/>
          <w:kern w:val="2"/>
          <w:lang w:val="es-CO" w:eastAsia="es-ES"/>
          <w14:ligatures w14:val="standardContextual"/>
        </w:rPr>
        <w:lastRenderedPageBreak/>
        <w:t>armonía con la voluntad del órgano legislativo. Al respecto se estima que, el Legislador, en materia de contratación estatal, goza de un amplio margen de configuración normativa, de conformidad con lo dispuesto en el inciso final del artículo 150 de la Constitución Política</w:t>
      </w:r>
      <w:r>
        <w:rPr>
          <w:rStyle w:val="Refdenotaalpie"/>
          <w:rFonts w:ascii="Verdana" w:eastAsia="Calibri" w:hAnsi="Verdana" w:cs="Arial"/>
          <w:kern w:val="2"/>
          <w:lang w:eastAsia="es-ES"/>
          <w14:ligatures w14:val="standardContextual"/>
        </w:rPr>
        <w:footnoteReference w:id="9"/>
      </w:r>
      <w:r w:rsidRPr="00A87684">
        <w:rPr>
          <w:rFonts w:ascii="Verdana" w:eastAsia="Calibri" w:hAnsi="Verdana" w:cs="Arial"/>
          <w:kern w:val="2"/>
          <w:lang w:val="es-CO" w:eastAsia="es-ES"/>
          <w14:ligatures w14:val="standardContextual"/>
        </w:rPr>
        <w:t>. En ese sentido, en virtud de esta potestad de configuración normativa, resulta perfectamente válido que se establezca una regla general y unas excepciones, como se hace, por ejemplo, en el artículo 56 de la Ley 2195 de 2022, en el que se consagra un mandato general en los primeros dos incisos, y una excepción en el parágrafo, para lo que enuncian unos tipos de entidades que se excluyen de la regla general, únicamente respecto de la contratación de su giro ordinario. A esto se suma el hecho de que el parágrafo bajo estudio es una norma restrictiva, por lo que, en virtud de dicho carácter, amerita una interpretación apegada a lo que literalmente se desprende del texto. Como lo ha establecido el Consejo de Estado, “[…] de conformidad con la jurisprudencia uniforme y reiterada de esta Corporación, la aplicación de las normas que contemplan […] prohibiciones o limitaciones, deben responder a una interpretación</w:t>
      </w:r>
      <w:r>
        <w:rPr>
          <w:rFonts w:ascii="Verdana" w:eastAsia="Calibri" w:hAnsi="Verdana" w:cs="Arial"/>
          <w:kern w:val="2"/>
          <w:lang w:val="es-CO" w:eastAsia="es-ES"/>
          <w14:ligatures w14:val="standardContextual"/>
        </w:rPr>
        <w:t xml:space="preserve"> </w:t>
      </w:r>
      <w:r w:rsidRPr="00A87684">
        <w:rPr>
          <w:rFonts w:ascii="Verdana" w:eastAsia="Calibri" w:hAnsi="Verdana" w:cs="Arial"/>
          <w:kern w:val="2"/>
          <w:lang w:val="es-CO" w:eastAsia="es-ES"/>
          <w14:ligatures w14:val="standardContextual"/>
        </w:rPr>
        <w:t>restrictiva que no permite su extensión, por vía de la figura de la analogía, a supuestos no contemplados por el ordenamiento”</w:t>
      </w:r>
      <w:r w:rsidRPr="00A87684">
        <w:rPr>
          <w:rStyle w:val="Refdenotaalpie"/>
          <w:rFonts w:ascii="Verdana" w:eastAsia="Calibri" w:hAnsi="Verdana" w:cs="Arial"/>
          <w:kern w:val="2"/>
          <w:lang w:eastAsia="es-ES"/>
          <w14:ligatures w14:val="standardContextual"/>
        </w:rPr>
        <w:t xml:space="preserve"> </w:t>
      </w:r>
      <w:r>
        <w:rPr>
          <w:rStyle w:val="Refdenotaalpie"/>
          <w:rFonts w:ascii="Verdana" w:eastAsia="Calibri" w:hAnsi="Verdana" w:cs="Arial"/>
          <w:kern w:val="2"/>
          <w:lang w:eastAsia="es-ES"/>
          <w14:ligatures w14:val="standardContextual"/>
        </w:rPr>
        <w:footnoteReference w:id="10"/>
      </w:r>
      <w:r w:rsidRPr="00A87684">
        <w:rPr>
          <w:rFonts w:ascii="Verdana" w:eastAsia="Calibri" w:hAnsi="Verdana" w:cs="Arial"/>
          <w:kern w:val="2"/>
          <w:lang w:val="es-CO" w:eastAsia="es-ES"/>
          <w14:ligatures w14:val="standardContextual"/>
        </w:rPr>
        <w:t xml:space="preserve"> .</w:t>
      </w:r>
    </w:p>
    <w:p w14:paraId="1F5930C8" w14:textId="77777777" w:rsidR="000D6CD6" w:rsidRDefault="000D6CD6" w:rsidP="00CB3758">
      <w:pPr>
        <w:widowControl w:val="0"/>
        <w:tabs>
          <w:tab w:val="left" w:pos="993"/>
        </w:tabs>
        <w:autoSpaceDE w:val="0"/>
        <w:autoSpaceDN w:val="0"/>
        <w:spacing w:after="0" w:line="276" w:lineRule="auto"/>
        <w:ind w:right="51"/>
        <w:jc w:val="both"/>
        <w:rPr>
          <w:rFonts w:ascii="Verdana" w:hAnsi="Verdana"/>
          <w:sz w:val="20"/>
          <w:szCs w:val="20"/>
          <w:lang w:val="es-ES"/>
        </w:rPr>
      </w:pPr>
    </w:p>
    <w:p w14:paraId="3BB11BC2" w14:textId="77777777" w:rsidR="000D6CD6" w:rsidRPr="0056666D" w:rsidRDefault="000D6CD6" w:rsidP="00CB3758">
      <w:pPr>
        <w:widowControl w:val="0"/>
        <w:tabs>
          <w:tab w:val="left" w:pos="993"/>
        </w:tabs>
        <w:autoSpaceDE w:val="0"/>
        <w:autoSpaceDN w:val="0"/>
        <w:spacing w:after="0" w:line="276" w:lineRule="auto"/>
        <w:ind w:right="51"/>
        <w:jc w:val="both"/>
        <w:rPr>
          <w:rFonts w:ascii="Verdana" w:eastAsia="Arial" w:hAnsi="Verdana" w:cs="Arial"/>
          <w:lang w:eastAsia="es-ES" w:bidi="es-ES"/>
        </w:rPr>
      </w:pPr>
    </w:p>
    <w:p w14:paraId="1482B6AC" w14:textId="77777777" w:rsidR="000D6CD6" w:rsidRPr="00C56A6D" w:rsidRDefault="000D6CD6" w:rsidP="00CB3758">
      <w:pPr>
        <w:tabs>
          <w:tab w:val="left" w:pos="142"/>
          <w:tab w:val="left" w:pos="284"/>
        </w:tabs>
        <w:spacing w:after="0" w:line="276" w:lineRule="auto"/>
        <w:jc w:val="both"/>
        <w:rPr>
          <w:rFonts w:ascii="Verdana" w:eastAsia="Century Gothic" w:hAnsi="Verdana" w:cs="Century Gothic"/>
          <w:b/>
          <w:lang w:val="es-ES"/>
        </w:rPr>
      </w:pPr>
      <w:r w:rsidRPr="00E63C0B">
        <w:rPr>
          <w:rFonts w:ascii="Verdana" w:eastAsia="Century Gothic" w:hAnsi="Verdana" w:cs="Century Gothic"/>
          <w:b/>
          <w:lang w:val="es-ES"/>
        </w:rPr>
        <w:t xml:space="preserve">4. </w:t>
      </w:r>
      <w:r w:rsidRPr="00C56A6D">
        <w:rPr>
          <w:rFonts w:ascii="Verdana" w:eastAsia="Century Gothic" w:hAnsi="Verdana" w:cs="Century Gothic"/>
          <w:b/>
          <w:lang w:val="es-ES"/>
        </w:rPr>
        <w:t>Referencias normativas, jurisprudenciales y otras fuentes:</w:t>
      </w:r>
    </w:p>
    <w:p w14:paraId="75A6AC1D" w14:textId="77777777" w:rsidR="000D6CD6" w:rsidRPr="00C56A6D" w:rsidRDefault="000D6CD6" w:rsidP="00CB3758">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0D6CD6" w:rsidRPr="009C5A97" w14:paraId="0842D8E1" w14:textId="77777777" w:rsidTr="00ED4CCE">
        <w:trPr>
          <w:trHeight w:val="870"/>
        </w:trPr>
        <w:tc>
          <w:tcPr>
            <w:tcW w:w="8647" w:type="dxa"/>
          </w:tcPr>
          <w:p w14:paraId="1625C741" w14:textId="77777777" w:rsidR="000D6CD6" w:rsidRPr="00A75D14" w:rsidRDefault="000D6CD6" w:rsidP="00CB3758">
            <w:pPr>
              <w:widowControl w:val="0"/>
              <w:numPr>
                <w:ilvl w:val="0"/>
                <w:numId w:val="17"/>
              </w:numPr>
              <w:autoSpaceDE w:val="0"/>
              <w:autoSpaceDN w:val="0"/>
              <w:spacing w:after="120" w:line="276" w:lineRule="auto"/>
              <w:jc w:val="both"/>
              <w:rPr>
                <w:rFonts w:ascii="Verdana" w:eastAsia="Calibri" w:hAnsi="Verdana" w:cs="Arial"/>
              </w:rPr>
            </w:pPr>
            <w:r w:rsidRPr="00A75D14">
              <w:rPr>
                <w:rFonts w:ascii="Verdana" w:eastAsia="Calibri" w:hAnsi="Verdana" w:cs="Arial"/>
              </w:rPr>
              <w:lastRenderedPageBreak/>
              <w:t>Ley 2195 de 2022, artículo 56.</w:t>
            </w:r>
          </w:p>
          <w:p w14:paraId="4259BFB0" w14:textId="77777777" w:rsidR="000D6CD6" w:rsidRPr="005B50C8" w:rsidRDefault="000D6CD6" w:rsidP="00CB3758">
            <w:pPr>
              <w:widowControl w:val="0"/>
              <w:numPr>
                <w:ilvl w:val="0"/>
                <w:numId w:val="17"/>
              </w:numPr>
              <w:autoSpaceDE w:val="0"/>
              <w:autoSpaceDN w:val="0"/>
              <w:spacing w:after="120" w:line="276" w:lineRule="auto"/>
              <w:jc w:val="both"/>
              <w:rPr>
                <w:rFonts w:ascii="Verdana" w:eastAsia="Calibri" w:hAnsi="Verdana" w:cs="Arial"/>
              </w:rPr>
            </w:pPr>
            <w:r w:rsidRPr="00A75D14">
              <w:rPr>
                <w:rFonts w:ascii="Verdana" w:eastAsia="Calibri" w:hAnsi="Verdana" w:cs="Arial"/>
              </w:rPr>
              <w:t>Consejo de Estado. Sección Tercera. Subsección B. Sentencia del 12 de octubre de 2011. Exp. No. 20070. C.P. Danilo Rojas Betancourt.</w:t>
            </w:r>
          </w:p>
          <w:p w14:paraId="081B89D3" w14:textId="77777777" w:rsidR="000D6CD6" w:rsidRPr="00AD5123" w:rsidRDefault="000D6CD6" w:rsidP="00CB3758">
            <w:pPr>
              <w:widowControl w:val="0"/>
              <w:numPr>
                <w:ilvl w:val="0"/>
                <w:numId w:val="17"/>
              </w:numPr>
              <w:autoSpaceDE w:val="0"/>
              <w:autoSpaceDN w:val="0"/>
              <w:spacing w:after="120" w:line="276" w:lineRule="auto"/>
              <w:contextualSpacing/>
              <w:jc w:val="both"/>
              <w:rPr>
                <w:rFonts w:ascii="Verdana" w:eastAsia="Times New Roman" w:hAnsi="Verdana" w:cs="Arial"/>
                <w:lang w:val="es-ES"/>
              </w:rPr>
            </w:pPr>
            <w:r w:rsidRPr="00AD5123">
              <w:rPr>
                <w:rFonts w:ascii="Verdana" w:eastAsia="Times New Roman" w:hAnsi="Verdana" w:cs="Arial"/>
                <w:lang w:val="es-ES"/>
              </w:rPr>
              <w:t>Ley 1150 de 2007. Literal c), artículo 3</w:t>
            </w:r>
          </w:p>
          <w:p w14:paraId="238310B0" w14:textId="77777777" w:rsidR="000D6CD6" w:rsidRPr="00AD5123" w:rsidRDefault="000D6CD6" w:rsidP="00CB3758">
            <w:pPr>
              <w:widowControl w:val="0"/>
              <w:numPr>
                <w:ilvl w:val="0"/>
                <w:numId w:val="17"/>
              </w:numPr>
              <w:autoSpaceDE w:val="0"/>
              <w:autoSpaceDN w:val="0"/>
              <w:spacing w:after="120" w:line="276" w:lineRule="auto"/>
              <w:contextualSpacing/>
              <w:jc w:val="both"/>
              <w:rPr>
                <w:rFonts w:ascii="Verdana" w:eastAsia="Times New Roman" w:hAnsi="Verdana" w:cs="Arial"/>
                <w:lang w:val="es-ES"/>
              </w:rPr>
            </w:pPr>
            <w:r w:rsidRPr="00AD5123">
              <w:rPr>
                <w:rFonts w:ascii="Verdana" w:eastAsia="Times New Roman" w:hAnsi="Verdana" w:cs="Arial"/>
                <w:lang w:val="es-ES"/>
              </w:rPr>
              <w:t>Ley 1712 de 2014. Literal e), artículo 9</w:t>
            </w:r>
          </w:p>
          <w:p w14:paraId="7623E9C7" w14:textId="77777777" w:rsidR="000D6CD6" w:rsidRPr="00AD5123" w:rsidRDefault="000D6CD6" w:rsidP="00CB3758">
            <w:pPr>
              <w:widowControl w:val="0"/>
              <w:numPr>
                <w:ilvl w:val="0"/>
                <w:numId w:val="17"/>
              </w:numPr>
              <w:autoSpaceDE w:val="0"/>
              <w:autoSpaceDN w:val="0"/>
              <w:spacing w:after="120" w:line="276" w:lineRule="auto"/>
              <w:contextualSpacing/>
              <w:jc w:val="both"/>
              <w:rPr>
                <w:rFonts w:ascii="Verdana" w:eastAsia="Times New Roman" w:hAnsi="Verdana" w:cs="Arial"/>
                <w:lang w:val="es-ES"/>
              </w:rPr>
            </w:pPr>
            <w:r w:rsidRPr="00AD5123">
              <w:rPr>
                <w:rFonts w:ascii="Verdana" w:eastAsia="Times New Roman" w:hAnsi="Verdana" w:cs="Arial"/>
                <w:lang w:val="es-ES"/>
              </w:rPr>
              <w:t>Ley 1712 de 2014. Artículo 5</w:t>
            </w:r>
          </w:p>
          <w:p w14:paraId="5ACC8030" w14:textId="77777777" w:rsidR="000D6CD6" w:rsidRPr="00AD5123" w:rsidRDefault="000D6CD6" w:rsidP="00CB3758">
            <w:pPr>
              <w:widowControl w:val="0"/>
              <w:numPr>
                <w:ilvl w:val="0"/>
                <w:numId w:val="17"/>
              </w:numPr>
              <w:autoSpaceDE w:val="0"/>
              <w:autoSpaceDN w:val="0"/>
              <w:spacing w:after="120" w:line="276" w:lineRule="auto"/>
              <w:contextualSpacing/>
              <w:jc w:val="both"/>
              <w:rPr>
                <w:rFonts w:ascii="Verdana" w:eastAsia="Times New Roman" w:hAnsi="Verdana" w:cs="Arial"/>
                <w:lang w:val="es-ES"/>
              </w:rPr>
            </w:pPr>
            <w:r w:rsidRPr="00AD5123">
              <w:rPr>
                <w:rFonts w:ascii="Verdana" w:eastAsia="Times New Roman" w:hAnsi="Verdana" w:cs="Arial"/>
                <w:lang w:val="es-ES"/>
              </w:rPr>
              <w:t>Ley 1712 de 2014. Literal g), artículo 11</w:t>
            </w:r>
          </w:p>
          <w:p w14:paraId="725E85E1" w14:textId="77777777" w:rsidR="000D6CD6" w:rsidRPr="00AD5123" w:rsidRDefault="000D6CD6" w:rsidP="00CB3758">
            <w:pPr>
              <w:widowControl w:val="0"/>
              <w:numPr>
                <w:ilvl w:val="0"/>
                <w:numId w:val="17"/>
              </w:numPr>
              <w:autoSpaceDE w:val="0"/>
              <w:autoSpaceDN w:val="0"/>
              <w:spacing w:after="120" w:line="276" w:lineRule="auto"/>
              <w:contextualSpacing/>
              <w:jc w:val="both"/>
              <w:rPr>
                <w:rFonts w:ascii="Verdana" w:eastAsia="Times New Roman" w:hAnsi="Verdana" w:cs="Arial"/>
                <w:lang w:val="es-ES"/>
              </w:rPr>
            </w:pPr>
            <w:r w:rsidRPr="00AD5123">
              <w:rPr>
                <w:rFonts w:ascii="Verdana" w:eastAsia="Times New Roman" w:hAnsi="Verdana" w:cs="Arial"/>
                <w:lang w:val="es-ES"/>
              </w:rPr>
              <w:t>Ley 2195 de 2022. Artículo 53</w:t>
            </w:r>
          </w:p>
          <w:p w14:paraId="2F42FDC7" w14:textId="77777777" w:rsidR="000D6CD6" w:rsidRPr="00AD5123" w:rsidRDefault="000D6CD6" w:rsidP="00CB3758">
            <w:pPr>
              <w:widowControl w:val="0"/>
              <w:numPr>
                <w:ilvl w:val="0"/>
                <w:numId w:val="17"/>
              </w:numPr>
              <w:autoSpaceDE w:val="0"/>
              <w:autoSpaceDN w:val="0"/>
              <w:spacing w:after="120" w:line="276" w:lineRule="auto"/>
              <w:contextualSpacing/>
              <w:jc w:val="both"/>
              <w:rPr>
                <w:rFonts w:ascii="Verdana" w:eastAsia="Times New Roman" w:hAnsi="Verdana" w:cs="Arial"/>
                <w:lang w:val="es-ES"/>
              </w:rPr>
            </w:pPr>
            <w:r w:rsidRPr="00AD5123">
              <w:rPr>
                <w:rFonts w:ascii="Verdana" w:eastAsia="Times New Roman" w:hAnsi="Verdana" w:cs="Arial"/>
                <w:lang w:val="es-ES"/>
              </w:rPr>
              <w:t xml:space="preserve">Decreto 1081 de 2015. Artículo </w:t>
            </w:r>
            <w:r w:rsidRPr="00AD5123">
              <w:rPr>
                <w:rFonts w:ascii="Verdana" w:eastAsia="Times New Roman" w:hAnsi="Verdana" w:cs="Arial"/>
                <w:color w:val="000000"/>
                <w:shd w:val="clear" w:color="auto" w:fill="FFFFFF"/>
              </w:rPr>
              <w:t>2.1.1.2.1.7</w:t>
            </w:r>
          </w:p>
          <w:p w14:paraId="380E8AA5" w14:textId="77777777" w:rsidR="000D6CD6" w:rsidRPr="00CB5B56" w:rsidRDefault="000D6CD6" w:rsidP="00CB3758">
            <w:pPr>
              <w:widowControl w:val="0"/>
              <w:numPr>
                <w:ilvl w:val="0"/>
                <w:numId w:val="17"/>
              </w:numPr>
              <w:autoSpaceDE w:val="0"/>
              <w:autoSpaceDN w:val="0"/>
              <w:spacing w:after="120" w:line="276" w:lineRule="auto"/>
              <w:contextualSpacing/>
              <w:jc w:val="both"/>
              <w:rPr>
                <w:rFonts w:ascii="Verdana" w:eastAsia="Times New Roman" w:hAnsi="Verdana" w:cs="Arial"/>
                <w:lang w:val="es-ES"/>
              </w:rPr>
            </w:pPr>
            <w:r w:rsidRPr="00AD5123">
              <w:rPr>
                <w:rFonts w:ascii="Verdana" w:eastAsia="Times New Roman" w:hAnsi="Verdana" w:cs="Arial"/>
                <w:lang w:val="es-ES"/>
              </w:rPr>
              <w:t xml:space="preserve">Decreto 1082 de 2015. Artículo </w:t>
            </w:r>
            <w:r w:rsidRPr="00AD5123">
              <w:rPr>
                <w:rFonts w:ascii="Verdana" w:eastAsia="Times New Roman" w:hAnsi="Verdana" w:cs="Arial"/>
                <w:color w:val="000000"/>
                <w:shd w:val="clear" w:color="auto" w:fill="FFFFFF"/>
              </w:rPr>
              <w:t>2.2.1.1.1.7.1</w:t>
            </w:r>
          </w:p>
          <w:p w14:paraId="20E99D22" w14:textId="77777777" w:rsidR="000D6CD6" w:rsidRPr="00AD5123" w:rsidRDefault="000D6CD6" w:rsidP="00CB3758">
            <w:pPr>
              <w:widowControl w:val="0"/>
              <w:numPr>
                <w:ilvl w:val="0"/>
                <w:numId w:val="17"/>
              </w:numPr>
              <w:autoSpaceDE w:val="0"/>
              <w:autoSpaceDN w:val="0"/>
              <w:spacing w:after="120" w:line="276" w:lineRule="auto"/>
              <w:contextualSpacing/>
              <w:jc w:val="both"/>
              <w:rPr>
                <w:rFonts w:ascii="Verdana" w:eastAsia="Times New Roman" w:hAnsi="Verdana" w:cs="Arial"/>
                <w:lang w:val="es-ES"/>
              </w:rPr>
            </w:pPr>
            <w:r w:rsidRPr="00CB5B56">
              <w:rPr>
                <w:rFonts w:ascii="Verdana" w:eastAsia="Times New Roman" w:hAnsi="Verdana" w:cs="Arial"/>
              </w:rPr>
              <w:t>Circular Externa No. 002 del 23 de agosto de 2024</w:t>
            </w:r>
            <w:r>
              <w:rPr>
                <w:rFonts w:ascii="Verdana" w:eastAsia="Times New Roman" w:hAnsi="Verdana" w:cs="Arial"/>
              </w:rPr>
              <w:t xml:space="preserve">: </w:t>
            </w:r>
            <w:hyperlink r:id="rId12" w:history="1">
              <w:r w:rsidRPr="00112BF8">
                <w:rPr>
                  <w:rStyle w:val="Hipervnculo"/>
                  <w:rFonts w:ascii="Verdana" w:eastAsia="Times New Roman" w:hAnsi="Verdana" w:cs="Arial"/>
                </w:rPr>
                <w:t>doc-20240823-wa0021.pdf (colombiacompra.gov.co)</w:t>
              </w:r>
            </w:hyperlink>
          </w:p>
          <w:p w14:paraId="3D3DD5E0" w14:textId="77777777" w:rsidR="000D6CD6" w:rsidRPr="00C56A6D" w:rsidRDefault="000D6CD6" w:rsidP="00CB3758">
            <w:pPr>
              <w:pStyle w:val="Prrafodelista"/>
              <w:widowControl w:val="0"/>
              <w:autoSpaceDE w:val="0"/>
              <w:autoSpaceDN w:val="0"/>
              <w:spacing w:after="120" w:line="276" w:lineRule="auto"/>
              <w:jc w:val="both"/>
              <w:rPr>
                <w:rFonts w:ascii="Verdana" w:hAnsi="Verdana" w:cs="Arial"/>
              </w:rPr>
            </w:pPr>
          </w:p>
        </w:tc>
      </w:tr>
    </w:tbl>
    <w:p w14:paraId="0786F5CD" w14:textId="77777777" w:rsidR="000D6CD6" w:rsidRPr="00C56A6D" w:rsidRDefault="000D6CD6" w:rsidP="00CB3758">
      <w:pPr>
        <w:tabs>
          <w:tab w:val="left" w:pos="142"/>
          <w:tab w:val="left" w:pos="284"/>
        </w:tabs>
        <w:spacing w:after="0" w:line="276" w:lineRule="auto"/>
        <w:jc w:val="both"/>
        <w:rPr>
          <w:rFonts w:ascii="Verdana" w:eastAsia="Century Gothic" w:hAnsi="Verdana" w:cs="Century Gothic"/>
          <w:b/>
          <w:lang w:val="es-ES"/>
        </w:rPr>
      </w:pPr>
      <w:r w:rsidRPr="00E63C0B">
        <w:rPr>
          <w:rFonts w:ascii="Verdana" w:eastAsia="Century Gothic" w:hAnsi="Verdana" w:cs="Century Gothic"/>
          <w:b/>
          <w:lang w:val="es-ES"/>
        </w:rPr>
        <w:t xml:space="preserve">5. </w:t>
      </w:r>
      <w:r w:rsidRPr="00C56A6D">
        <w:rPr>
          <w:rFonts w:ascii="Verdana" w:eastAsia="Century Gothic" w:hAnsi="Verdana" w:cs="Century Gothic"/>
          <w:b/>
          <w:lang w:val="es-ES"/>
        </w:rPr>
        <w:t>Doctrina de la Agencia Nacional de Contratación Pública:</w:t>
      </w:r>
    </w:p>
    <w:p w14:paraId="5F906694" w14:textId="77777777" w:rsidR="000D6CD6" w:rsidRPr="00C56A6D" w:rsidRDefault="000D6CD6" w:rsidP="00CB3758">
      <w:pPr>
        <w:widowControl w:val="0"/>
        <w:autoSpaceDE w:val="0"/>
        <w:autoSpaceDN w:val="0"/>
        <w:spacing w:after="0" w:line="276" w:lineRule="auto"/>
        <w:jc w:val="both"/>
        <w:rPr>
          <w:rFonts w:ascii="Verdana" w:hAnsi="Verdana" w:cs="Arial"/>
        </w:rPr>
      </w:pPr>
    </w:p>
    <w:p w14:paraId="41BC22F1" w14:textId="77777777" w:rsidR="000D6CD6" w:rsidRDefault="000D6CD6" w:rsidP="00CB3758">
      <w:pPr>
        <w:widowControl w:val="0"/>
        <w:autoSpaceDE w:val="0"/>
        <w:autoSpaceDN w:val="0"/>
        <w:spacing w:after="0" w:line="276" w:lineRule="auto"/>
        <w:jc w:val="both"/>
        <w:rPr>
          <w:rFonts w:ascii="Verdana" w:hAnsi="Verdana" w:cs="Arial"/>
          <w:color w:val="FF0000"/>
          <w:shd w:val="clear" w:color="auto" w:fill="FFFFFF"/>
          <w:lang w:val="es-ES"/>
        </w:rPr>
      </w:pPr>
      <w:r w:rsidRPr="00A75D14">
        <w:rPr>
          <w:rFonts w:ascii="Verdana" w:eastAsia="Calibri" w:hAnsi="Verdana" w:cs="Arial"/>
          <w:shd w:val="clear" w:color="auto" w:fill="FFFFFF"/>
          <w:lang w:val="es-ES"/>
        </w:rPr>
        <w:t>La Agencia Nacional de Contratación Pública – Colombia Compra Eficiente se ha pronunciado sobre</w:t>
      </w:r>
      <w:r>
        <w:rPr>
          <w:rFonts w:ascii="Verdana" w:eastAsia="Calibri" w:hAnsi="Verdana" w:cs="Arial"/>
          <w:shd w:val="clear" w:color="auto" w:fill="FFFFFF"/>
          <w:lang w:val="es-ES"/>
        </w:rPr>
        <w:t xml:space="preserve"> la implementación de los Documentos tipo  en los conceptos </w:t>
      </w:r>
      <w:r w:rsidRPr="00A75D14">
        <w:rPr>
          <w:rFonts w:ascii="Verdana" w:eastAsia="Calibri" w:hAnsi="Verdana" w:cs="Arial"/>
          <w:shd w:val="clear" w:color="auto" w:fill="FFFFFF"/>
          <w:lang w:val="es-ES"/>
        </w:rPr>
        <w:t>C-066 del 28 de enero de 2022, cuya tesis se desarrolló y complementó en varios conceptos, como el C-320 del 20 de mayo de 2022, C-333 del 24 de mayo de 2022, C-404 del 26 de mayo de 2023, C-341 del 27 de mayo de 2022, C-382 del 27 de mayo de 2022, C-388 del 15 de junio de 2022, C-423 del 5 de julio de 2022, C-435 del 6 de julio de 2023, C-453 del 15 de julio de 2022, C-449 del 25 de julio de 2022, C-494 del 26 de julio de 2022, C-488 del 29 de julio de 2022, C-483 del 5 de agosto de 2022, C-496 del 3 de agosto de 2022, C-501 del 29 de julio de 2022, C-556 del 3 de agosto de 2022 y C-532 del 22 de agosto de 2022, entre otros. El mismo tema ha sido estudiado por esta Subdirección en los conceptos C-486 del 2 de septiembre de 2022, C-671 del 19 de octubre de 2022, C-576 del 25 de octubre de 2022, C-042 del 29 de marzo de 2023, C-299 del 24 de julio de 2023, C-399 del 29 de septiembre de 2023, C-055 del 9 de mayo de 2024 y C-079 del 5 de junio de 2024.</w:t>
      </w:r>
      <w:r w:rsidRPr="00C56A6D">
        <w:rPr>
          <w:rFonts w:ascii="Verdana" w:eastAsia="Calibri" w:hAnsi="Verdana" w:cs="Arial"/>
          <w:color w:val="000000"/>
          <w:lang w:val="es-ES"/>
        </w:rPr>
        <w:t xml:space="preserve"> Estos </w:t>
      </w:r>
      <w:r w:rsidRPr="00C56A6D">
        <w:rPr>
          <w:rFonts w:ascii="Verdana" w:hAnsi="Verdana"/>
        </w:rPr>
        <w:t>y otros conceptos se encuentran disponibles para consulta en el Sistema de relatoría de la Agencia, al cual se puede acceder a través del siguiente enlace:</w:t>
      </w:r>
      <w:r w:rsidRPr="00C56A6D">
        <w:rPr>
          <w:rFonts w:ascii="Verdana" w:hAnsi="Verdana" w:cs="Arial"/>
          <w:shd w:val="clear" w:color="auto" w:fill="FFFFFF"/>
          <w:lang w:val="es-ES"/>
        </w:rPr>
        <w:t xml:space="preserve"> </w:t>
      </w:r>
      <w:hyperlink r:id="rId13" w:history="1">
        <w:r w:rsidRPr="00C56A6D">
          <w:rPr>
            <w:rFonts w:ascii="Verdana" w:hAnsi="Verdana" w:cs="Arial"/>
            <w:color w:val="0563C1" w:themeColor="hyperlink"/>
            <w:u w:val="single"/>
            <w:shd w:val="clear" w:color="auto" w:fill="FFFFFF"/>
            <w:lang w:val="es-ES"/>
          </w:rPr>
          <w:t>https://relatoria.colombiacompra.gov.co/busqueda/conceptos</w:t>
        </w:r>
      </w:hyperlink>
      <w:r w:rsidRPr="00C56A6D">
        <w:rPr>
          <w:rFonts w:ascii="Verdana" w:hAnsi="Verdana" w:cs="Arial"/>
          <w:color w:val="FF0000"/>
          <w:shd w:val="clear" w:color="auto" w:fill="FFFFFF"/>
          <w:lang w:val="es-ES"/>
        </w:rPr>
        <w:t>.</w:t>
      </w:r>
    </w:p>
    <w:p w14:paraId="699555F5" w14:textId="77777777" w:rsidR="000D6CD6" w:rsidRPr="00244892" w:rsidRDefault="000D6CD6" w:rsidP="00CB3758">
      <w:pPr>
        <w:widowControl w:val="0"/>
        <w:autoSpaceDE w:val="0"/>
        <w:autoSpaceDN w:val="0"/>
        <w:spacing w:after="0" w:line="276" w:lineRule="auto"/>
        <w:jc w:val="both"/>
        <w:rPr>
          <w:rFonts w:ascii="Verdana" w:hAnsi="Verdana" w:cs="Arial"/>
          <w:color w:val="7030A0"/>
          <w:shd w:val="clear" w:color="auto" w:fill="FFFFFF"/>
          <w:lang w:val="es-ES"/>
        </w:rPr>
      </w:pPr>
    </w:p>
    <w:p w14:paraId="53248AAD" w14:textId="77777777" w:rsidR="00924410" w:rsidRPr="00CE448E" w:rsidRDefault="00924410" w:rsidP="00CB3758">
      <w:pPr>
        <w:spacing w:after="0" w:line="276" w:lineRule="auto"/>
        <w:jc w:val="both"/>
        <w:rPr>
          <w:rFonts w:ascii="Verdana" w:hAnsi="Verdana"/>
        </w:rPr>
      </w:pPr>
    </w:p>
    <w:p w14:paraId="00130932" w14:textId="77777777" w:rsidR="00E36A6C" w:rsidRPr="00942844" w:rsidRDefault="00E36A6C" w:rsidP="00E36A6C">
      <w:pPr>
        <w:widowControl w:val="0"/>
        <w:autoSpaceDE w:val="0"/>
        <w:autoSpaceDN w:val="0"/>
        <w:spacing w:after="0" w:line="276" w:lineRule="auto"/>
        <w:jc w:val="both"/>
        <w:rPr>
          <w:rFonts w:ascii="Verdana" w:eastAsia="Calibri" w:hAnsi="Verdana" w:cs="Arial"/>
          <w:shd w:val="clear" w:color="auto" w:fill="FFFFFF"/>
          <w:lang w:val="es-ES"/>
        </w:rPr>
      </w:pPr>
      <w:r w:rsidRPr="00942844">
        <w:rPr>
          <w:rFonts w:ascii="Verdana" w:hAnsi="Verdana" w:cs="Arial"/>
          <w:shd w:val="clear" w:color="auto" w:fill="FFFFFF"/>
        </w:rPr>
        <w:t xml:space="preserve">También le invitamos a consultar la versión VII  de 2024 , del Boletín de Relatoría </w:t>
      </w:r>
      <w:r w:rsidRPr="00942844">
        <w:rPr>
          <w:rFonts w:ascii="Verdana" w:hAnsi="Verdana" w:cs="Arial"/>
          <w:shd w:val="clear" w:color="auto" w:fill="FFFFFF"/>
        </w:rPr>
        <w:lastRenderedPageBreak/>
        <w:t>de la Subdirección de Gestión Contractual relacionado con las ASOCIACIONES PÚBLICO POPULARES , el cual se puede descargar en la página web de la Agencia: </w:t>
      </w:r>
      <w:hyperlink r:id="rId14" w:tgtFrame="_blank" w:tooltip="Dirección URL original: https://www.colombiacompra.gov.co/sala-de-prensa/boletin-digital. Haga clic o pulse si confía en este vínculo." w:history="1">
        <w:r w:rsidRPr="00942844">
          <w:rPr>
            <w:rStyle w:val="Hipervnculo"/>
            <w:rFonts w:ascii="Verdana" w:hAnsi="Verdana" w:cs="Arial"/>
            <w:shd w:val="clear" w:color="auto" w:fill="FFFFFF"/>
          </w:rPr>
          <w:t>https://www.colombiacompra.gov.co/sala-de-prensa/boletin-digital</w:t>
        </w:r>
      </w:hyperlink>
      <w:r w:rsidRPr="00942844">
        <w:rPr>
          <w:rFonts w:ascii="Verdana" w:hAnsi="Verdana" w:cs="Arial"/>
          <w:shd w:val="clear" w:color="auto" w:fill="FFFFFF"/>
        </w:rPr>
        <w:t>    </w:t>
      </w:r>
    </w:p>
    <w:p w14:paraId="755473A4" w14:textId="77777777" w:rsidR="00E36A6C" w:rsidRPr="00942844" w:rsidRDefault="00E36A6C" w:rsidP="00E36A6C">
      <w:pPr>
        <w:spacing w:after="0" w:line="240" w:lineRule="auto"/>
        <w:jc w:val="both"/>
        <w:rPr>
          <w:rFonts w:ascii="Verdana" w:eastAsia="Calibri" w:hAnsi="Verdana" w:cs="Times New Roman"/>
        </w:rPr>
      </w:pPr>
      <w:r w:rsidRPr="00942844">
        <w:rPr>
          <w:rFonts w:ascii="Verdana" w:eastAsia="Calibri" w:hAnsi="Verdana" w:cs="Times New Roman"/>
        </w:rPr>
        <w:t xml:space="preserve">Por último, los invitamos a seguirnos en las redes sociales, en las cuales se difunde información institucional: </w:t>
      </w:r>
    </w:p>
    <w:p w14:paraId="43E5486D" w14:textId="77777777" w:rsidR="00E36A6C" w:rsidRPr="00942844" w:rsidRDefault="00E36A6C" w:rsidP="00E36A6C">
      <w:pPr>
        <w:spacing w:after="0" w:line="240" w:lineRule="auto"/>
        <w:jc w:val="both"/>
        <w:rPr>
          <w:rFonts w:ascii="Verdana" w:eastAsia="Calibri" w:hAnsi="Verdana" w:cs="Times New Roman"/>
        </w:rPr>
      </w:pPr>
    </w:p>
    <w:p w14:paraId="4E1849CD" w14:textId="77777777" w:rsidR="00E36A6C" w:rsidRPr="00942844" w:rsidRDefault="00E36A6C" w:rsidP="00E36A6C">
      <w:pPr>
        <w:spacing w:after="0" w:line="240" w:lineRule="auto"/>
        <w:jc w:val="both"/>
        <w:rPr>
          <w:rFonts w:ascii="Verdana" w:eastAsia="Calibri" w:hAnsi="Verdana" w:cs="Times New Roman"/>
        </w:rPr>
      </w:pPr>
      <w:r w:rsidRPr="00942844">
        <w:rPr>
          <w:rFonts w:ascii="Verdana" w:eastAsia="Calibri" w:hAnsi="Verdana" w:cs="Times New Roman"/>
        </w:rPr>
        <w:t xml:space="preserve">Twitter: </w:t>
      </w:r>
      <w:r w:rsidRPr="00942844">
        <w:rPr>
          <w:rFonts w:ascii="Verdana" w:eastAsia="Calibri" w:hAnsi="Verdana" w:cs="Times New Roman"/>
          <w:u w:val="single"/>
        </w:rPr>
        <w:t>@colombiacompra</w:t>
      </w:r>
      <w:r w:rsidRPr="00942844">
        <w:rPr>
          <w:rFonts w:ascii="Verdana" w:eastAsia="Calibri" w:hAnsi="Verdana" w:cs="Times New Roman"/>
        </w:rPr>
        <w:t xml:space="preserve"> </w:t>
      </w:r>
    </w:p>
    <w:p w14:paraId="14D40CE6" w14:textId="77777777" w:rsidR="00E36A6C" w:rsidRPr="00942844" w:rsidRDefault="00E36A6C" w:rsidP="00E36A6C">
      <w:pPr>
        <w:spacing w:after="0" w:line="240" w:lineRule="auto"/>
        <w:jc w:val="both"/>
        <w:rPr>
          <w:rFonts w:ascii="Verdana" w:eastAsia="Calibri" w:hAnsi="Verdana" w:cs="Times New Roman"/>
        </w:rPr>
      </w:pPr>
      <w:r w:rsidRPr="00942844">
        <w:rPr>
          <w:rFonts w:ascii="Verdana" w:eastAsia="Calibri" w:hAnsi="Verdana" w:cs="Times New Roman"/>
        </w:rPr>
        <w:t xml:space="preserve">Facebook: </w:t>
      </w:r>
      <w:r w:rsidRPr="00942844">
        <w:rPr>
          <w:rFonts w:ascii="Verdana" w:eastAsia="Calibri" w:hAnsi="Verdana" w:cs="Times New Roman"/>
          <w:u w:val="single"/>
        </w:rPr>
        <w:t>ColombiaCompraEficiente</w:t>
      </w:r>
    </w:p>
    <w:p w14:paraId="25FF9BB6" w14:textId="77777777" w:rsidR="00E36A6C" w:rsidRPr="00942844" w:rsidRDefault="00E36A6C" w:rsidP="00E36A6C">
      <w:pPr>
        <w:spacing w:after="0" w:line="240" w:lineRule="auto"/>
        <w:jc w:val="both"/>
        <w:rPr>
          <w:rFonts w:ascii="Verdana" w:eastAsia="Calibri" w:hAnsi="Verdana" w:cs="Times New Roman"/>
        </w:rPr>
      </w:pPr>
      <w:r w:rsidRPr="00942844">
        <w:rPr>
          <w:rFonts w:ascii="Verdana" w:eastAsia="Calibri" w:hAnsi="Verdana" w:cs="Times New Roman"/>
        </w:rPr>
        <w:t xml:space="preserve">LinkedIn: </w:t>
      </w:r>
      <w:r w:rsidRPr="00942844">
        <w:rPr>
          <w:rFonts w:ascii="Verdana" w:eastAsia="Calibri" w:hAnsi="Verdana" w:cs="Times New Roman"/>
          <w:u w:val="single"/>
        </w:rPr>
        <w:t>Agencia Nacional de Contratación Pública - Colombia Compra Eficiente</w:t>
      </w:r>
      <w:r w:rsidRPr="00942844">
        <w:rPr>
          <w:rFonts w:ascii="Verdana" w:eastAsia="Calibri" w:hAnsi="Verdana" w:cs="Times New Roman"/>
        </w:rPr>
        <w:t xml:space="preserve"> Instagram: </w:t>
      </w:r>
      <w:r w:rsidRPr="00942844">
        <w:rPr>
          <w:rFonts w:ascii="Verdana" w:eastAsia="Calibri" w:hAnsi="Verdana" w:cs="Times New Roman"/>
          <w:u w:val="single"/>
        </w:rPr>
        <w:t>@colombiacompraeficiente_cce</w:t>
      </w:r>
    </w:p>
    <w:p w14:paraId="5A056BE2" w14:textId="77777777" w:rsidR="00E36A6C" w:rsidRPr="00942844" w:rsidRDefault="00E36A6C" w:rsidP="00E36A6C">
      <w:pPr>
        <w:widowControl w:val="0"/>
        <w:autoSpaceDE w:val="0"/>
        <w:autoSpaceDN w:val="0"/>
        <w:spacing w:after="0" w:line="276" w:lineRule="auto"/>
        <w:jc w:val="both"/>
        <w:rPr>
          <w:rFonts w:ascii="Verdana" w:eastAsia="Calibri" w:hAnsi="Verdana" w:cs="Arial"/>
        </w:rPr>
      </w:pPr>
    </w:p>
    <w:p w14:paraId="1D08A3FB" w14:textId="77777777" w:rsidR="00E36A6C" w:rsidRPr="00942844" w:rsidRDefault="00E36A6C" w:rsidP="00E36A6C">
      <w:pPr>
        <w:widowControl w:val="0"/>
        <w:autoSpaceDE w:val="0"/>
        <w:autoSpaceDN w:val="0"/>
        <w:spacing w:after="0" w:line="276" w:lineRule="auto"/>
        <w:jc w:val="both"/>
        <w:rPr>
          <w:rFonts w:ascii="Verdana" w:eastAsia="Calibri" w:hAnsi="Verdana" w:cs="Arial"/>
          <w:lang w:val="es-ES_tradnl"/>
        </w:rPr>
      </w:pPr>
      <w:r w:rsidRPr="00942844">
        <w:rPr>
          <w:rFonts w:ascii="Verdana" w:eastAsia="Calibri" w:hAnsi="Verdana" w:cs="Arial"/>
        </w:rPr>
        <w:t xml:space="preserve">Este concepto tiene el alcance previsto en el artículo 28 del Código de Procedimiento Administrativo y de lo Contencioso Administrativo </w:t>
      </w:r>
      <w:r w:rsidRPr="00942844">
        <w:rPr>
          <w:rFonts w:ascii="Verdana" w:eastAsia="Calibri" w:hAnsi="Verdana" w:cs="Arial"/>
          <w:lang w:val="es-ES_tradnl"/>
        </w:rPr>
        <w:t>y las expresiones aquí utilizadas con mayúscula inicial deben ser entendidas con el significado que les otorga el artículo 2.2.1.1.1.3.1. del Decreto 1082 de 2015.</w:t>
      </w:r>
    </w:p>
    <w:p w14:paraId="08D48E63" w14:textId="77777777" w:rsidR="000D6CD6" w:rsidRPr="00E36A6C" w:rsidRDefault="000D6CD6" w:rsidP="00CB3758">
      <w:pPr>
        <w:widowControl w:val="0"/>
        <w:autoSpaceDE w:val="0"/>
        <w:autoSpaceDN w:val="0"/>
        <w:spacing w:after="0" w:line="276" w:lineRule="auto"/>
        <w:jc w:val="both"/>
        <w:rPr>
          <w:rFonts w:ascii="Verdana" w:hAnsi="Verdana" w:cs="Arial"/>
          <w:lang w:val="es-ES_tradnl"/>
        </w:rPr>
      </w:pPr>
    </w:p>
    <w:p w14:paraId="5D671014" w14:textId="77777777" w:rsidR="000D6CD6" w:rsidRPr="00C56A6D" w:rsidRDefault="000D6CD6" w:rsidP="00CB3758">
      <w:pPr>
        <w:widowControl w:val="0"/>
        <w:autoSpaceDE w:val="0"/>
        <w:autoSpaceDN w:val="0"/>
        <w:spacing w:after="0" w:line="276" w:lineRule="auto"/>
        <w:jc w:val="both"/>
        <w:rPr>
          <w:rFonts w:ascii="Verdana" w:hAnsi="Verdana" w:cs="Arial"/>
        </w:rPr>
      </w:pPr>
    </w:p>
    <w:p w14:paraId="55E0BE3C" w14:textId="77777777" w:rsidR="000D6CD6" w:rsidRPr="00C56A6D" w:rsidRDefault="000D6CD6" w:rsidP="00CB3758">
      <w:pPr>
        <w:spacing w:after="0" w:line="276" w:lineRule="auto"/>
        <w:rPr>
          <w:rFonts w:ascii="Verdana" w:hAnsi="Verdana" w:cs="Arial"/>
          <w:lang w:eastAsia="es-CO"/>
        </w:rPr>
      </w:pPr>
      <w:r w:rsidRPr="00C56A6D">
        <w:rPr>
          <w:rFonts w:ascii="Verdana" w:eastAsia="Times New Roman" w:hAnsi="Verdana" w:cs="Arial"/>
          <w:lang w:eastAsia="es-CO"/>
        </w:rPr>
        <w:t>Atentamente,</w:t>
      </w:r>
      <w:r w:rsidRPr="00C56A6D">
        <w:rPr>
          <w:rFonts w:ascii="Verdana" w:hAnsi="Verdana" w:cs="Arial"/>
          <w:lang w:eastAsia="es-CO"/>
        </w:rPr>
        <w:t xml:space="preserve"> </w:t>
      </w:r>
    </w:p>
    <w:p w14:paraId="29EEDE03" w14:textId="451B832E" w:rsidR="000D6CD6" w:rsidRPr="00C56A6D" w:rsidRDefault="00E72EC1" w:rsidP="00CB3758">
      <w:pPr>
        <w:spacing w:line="276" w:lineRule="auto"/>
        <w:jc w:val="center"/>
        <w:rPr>
          <w:rFonts w:ascii="Verdana" w:hAnsi="Verdana"/>
        </w:rPr>
      </w:pPr>
      <w:r w:rsidRPr="002C3AD6">
        <w:rPr>
          <w:rFonts w:ascii="Century Gothic" w:hAnsi="Century Gothic"/>
          <w:noProof/>
        </w:rPr>
        <w:drawing>
          <wp:inline distT="0" distB="0" distL="0" distR="0" wp14:anchorId="4B845447" wp14:editId="2EA1F618">
            <wp:extent cx="3772426" cy="1400370"/>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5"/>
                    <a:stretch>
                      <a:fillRect/>
                    </a:stretch>
                  </pic:blipFill>
                  <pic:spPr>
                    <a:xfrm>
                      <a:off x="0" y="0"/>
                      <a:ext cx="3772426" cy="1400370"/>
                    </a:xfrm>
                    <a:prstGeom prst="rect">
                      <a:avLst/>
                    </a:prstGeom>
                  </pic:spPr>
                </pic:pic>
              </a:graphicData>
            </a:graphic>
          </wp:inline>
        </w:drawing>
      </w:r>
    </w:p>
    <w:p w14:paraId="4BC7E73D" w14:textId="5BE82826" w:rsidR="000D6CD6" w:rsidRPr="00E63C0B" w:rsidRDefault="000D6CD6" w:rsidP="00CB3758">
      <w:pPr>
        <w:spacing w:line="276" w:lineRule="auto"/>
        <w:jc w:val="center"/>
        <w:rPr>
          <w:rFonts w:ascii="Verdana" w:hAnsi="Verdana"/>
          <w:color w:val="000000"/>
          <w:lang w:val="es-ES_tradnl" w:eastAsia="es-CO"/>
        </w:rPr>
      </w:pPr>
    </w:p>
    <w:p w14:paraId="4EFEFA4F" w14:textId="77777777" w:rsidR="000D6CD6" w:rsidRPr="009C5A97" w:rsidRDefault="000D6CD6" w:rsidP="00CB3758">
      <w:pPr>
        <w:spacing w:line="276" w:lineRule="auto"/>
        <w:jc w:val="center"/>
        <w:rPr>
          <w:rFonts w:ascii="Verdana" w:hAnsi="Verdana" w:cs="Arial"/>
          <w:color w:val="000000"/>
          <w:lang w:val="es-ES_tradnl" w:eastAsia="es-CO"/>
        </w:rPr>
      </w:pPr>
    </w:p>
    <w:tbl>
      <w:tblPr>
        <w:tblW w:w="5688"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82"/>
        <w:gridCol w:w="4806"/>
      </w:tblGrid>
      <w:tr w:rsidR="000D6CD6" w:rsidRPr="009C5A97" w14:paraId="4951DDF0" w14:textId="77777777" w:rsidTr="00ED4CCE">
        <w:trPr>
          <w:trHeight w:val="319"/>
        </w:trPr>
        <w:tc>
          <w:tcPr>
            <w:tcW w:w="882" w:type="dxa"/>
            <w:tcBorders>
              <w:top w:val="nil"/>
              <w:left w:val="nil"/>
              <w:bottom w:val="nil"/>
              <w:right w:val="nil"/>
            </w:tcBorders>
            <w:vAlign w:val="center"/>
            <w:hideMark/>
          </w:tcPr>
          <w:p w14:paraId="26D578CD" w14:textId="77777777" w:rsidR="000D6CD6" w:rsidRPr="009C5A97" w:rsidRDefault="000D6CD6" w:rsidP="00CB3758">
            <w:pPr>
              <w:spacing w:after="0" w:line="276" w:lineRule="auto"/>
              <w:jc w:val="both"/>
              <w:textAlignment w:val="baseline"/>
              <w:rPr>
                <w:rFonts w:ascii="Verdana" w:eastAsia="Times New Roman" w:hAnsi="Verdana" w:cs="Segoe UI"/>
                <w:sz w:val="18"/>
                <w:szCs w:val="18"/>
                <w:lang w:eastAsia="es-CO"/>
              </w:rPr>
            </w:pPr>
            <w:r w:rsidRPr="009C5A97">
              <w:rPr>
                <w:rFonts w:ascii="Verdana" w:eastAsia="Times New Roman" w:hAnsi="Verdana" w:cs="Arial"/>
                <w:sz w:val="16"/>
                <w:szCs w:val="16"/>
                <w:lang w:eastAsia="es-CO"/>
              </w:rPr>
              <w:t>Elaboró: </w:t>
            </w:r>
            <w:r w:rsidRPr="009C5A97">
              <w:rPr>
                <w:rFonts w:ascii="Verdana" w:eastAsia="Times New Roman" w:hAnsi="Verdana" w:cs="Century Gothic"/>
                <w:sz w:val="16"/>
                <w:szCs w:val="16"/>
                <w:lang w:eastAsia="es-CO"/>
              </w:rPr>
              <w:t> </w:t>
            </w:r>
          </w:p>
        </w:tc>
        <w:tc>
          <w:tcPr>
            <w:tcW w:w="4806" w:type="dxa"/>
            <w:tcBorders>
              <w:top w:val="nil"/>
              <w:left w:val="nil"/>
              <w:bottom w:val="dotted" w:sz="6" w:space="0" w:color="7F7F7F" w:themeColor="text1" w:themeTint="80"/>
              <w:right w:val="nil"/>
            </w:tcBorders>
            <w:vAlign w:val="center"/>
            <w:hideMark/>
          </w:tcPr>
          <w:p w14:paraId="66880A9D" w14:textId="36CFF5EF" w:rsidR="000D6CD6" w:rsidRPr="009C5A97" w:rsidRDefault="00F6134B" w:rsidP="00CB3758">
            <w:pPr>
              <w:spacing w:after="0" w:line="276" w:lineRule="auto"/>
              <w:jc w:val="both"/>
              <w:rPr>
                <w:rFonts w:ascii="Verdana" w:eastAsia="Calibri" w:hAnsi="Verdana" w:cs="Arial"/>
                <w:sz w:val="16"/>
                <w:szCs w:val="16"/>
              </w:rPr>
            </w:pPr>
            <w:r>
              <w:rPr>
                <w:rFonts w:ascii="Verdana" w:eastAsia="Calibri" w:hAnsi="Verdana" w:cs="Arial"/>
                <w:sz w:val="16"/>
                <w:szCs w:val="16"/>
              </w:rPr>
              <w:t xml:space="preserve">Diana </w:t>
            </w:r>
            <w:r w:rsidR="00E36A6C">
              <w:rPr>
                <w:rFonts w:ascii="Verdana" w:eastAsia="Calibri" w:hAnsi="Verdana" w:cs="Arial"/>
                <w:sz w:val="16"/>
                <w:szCs w:val="16"/>
              </w:rPr>
              <w:t xml:space="preserve">Carolina Blanco Rodriguez </w:t>
            </w:r>
          </w:p>
          <w:p w14:paraId="0C0C2771" w14:textId="6AD17447" w:rsidR="000D6CD6" w:rsidRPr="009C5A97" w:rsidRDefault="00E36A6C" w:rsidP="00CB3758">
            <w:pPr>
              <w:spacing w:after="0" w:line="276" w:lineRule="auto"/>
              <w:jc w:val="both"/>
              <w:rPr>
                <w:rFonts w:ascii="Verdana" w:eastAsia="Calibri" w:hAnsi="Verdana" w:cs="Arial"/>
                <w:sz w:val="16"/>
                <w:szCs w:val="16"/>
              </w:rPr>
            </w:pPr>
            <w:r>
              <w:rPr>
                <w:rFonts w:ascii="Verdana" w:eastAsia="Calibri" w:hAnsi="Verdana" w:cs="Arial"/>
                <w:sz w:val="16"/>
                <w:szCs w:val="16"/>
              </w:rPr>
              <w:t>Contratista</w:t>
            </w:r>
            <w:r w:rsidR="000D6CD6" w:rsidRPr="009C5A97">
              <w:rPr>
                <w:rFonts w:ascii="Verdana" w:eastAsia="Calibri" w:hAnsi="Verdana" w:cs="Arial"/>
                <w:sz w:val="16"/>
                <w:szCs w:val="16"/>
              </w:rPr>
              <w:t xml:space="preserve"> de la Subdirección de Gestión Contractual</w:t>
            </w:r>
          </w:p>
        </w:tc>
      </w:tr>
      <w:tr w:rsidR="000D6CD6" w:rsidRPr="009C5A97" w14:paraId="2DC6A8B9" w14:textId="77777777" w:rsidTr="00ED4CCE">
        <w:trPr>
          <w:trHeight w:val="319"/>
        </w:trPr>
        <w:tc>
          <w:tcPr>
            <w:tcW w:w="882" w:type="dxa"/>
            <w:tcBorders>
              <w:top w:val="nil"/>
              <w:left w:val="nil"/>
              <w:bottom w:val="nil"/>
              <w:right w:val="nil"/>
            </w:tcBorders>
            <w:vAlign w:val="center"/>
            <w:hideMark/>
          </w:tcPr>
          <w:p w14:paraId="64BC0964" w14:textId="77777777" w:rsidR="000D6CD6" w:rsidRPr="009C5A97" w:rsidRDefault="000D6CD6" w:rsidP="00CB3758">
            <w:pPr>
              <w:spacing w:after="0" w:line="276" w:lineRule="auto"/>
              <w:jc w:val="both"/>
              <w:textAlignment w:val="baseline"/>
              <w:rPr>
                <w:rFonts w:ascii="Verdana" w:eastAsia="Times New Roman" w:hAnsi="Verdana" w:cs="Segoe UI"/>
                <w:sz w:val="18"/>
                <w:szCs w:val="18"/>
                <w:lang w:eastAsia="es-CO"/>
              </w:rPr>
            </w:pPr>
            <w:r w:rsidRPr="009C5A97">
              <w:rPr>
                <w:rFonts w:ascii="Verdana" w:eastAsia="Times New Roman" w:hAnsi="Verdana" w:cs="Arial"/>
                <w:sz w:val="16"/>
                <w:szCs w:val="16"/>
                <w:lang w:eastAsia="es-CO"/>
              </w:rPr>
              <w:t>Revisó: </w:t>
            </w:r>
            <w:r w:rsidRPr="009C5A97">
              <w:rPr>
                <w:rFonts w:ascii="Verdana" w:eastAsia="Times New Roman" w:hAnsi="Verdana" w:cs="Century Gothic"/>
                <w:sz w:val="16"/>
                <w:szCs w:val="16"/>
                <w:lang w:eastAsia="es-CO"/>
              </w:rPr>
              <w:t> </w:t>
            </w:r>
          </w:p>
        </w:tc>
        <w:tc>
          <w:tcPr>
            <w:tcW w:w="4806" w:type="dxa"/>
            <w:tcBorders>
              <w:top w:val="dotted" w:sz="6" w:space="0" w:color="7F7F7F" w:themeColor="text1" w:themeTint="80"/>
              <w:left w:val="nil"/>
              <w:bottom w:val="dotted" w:sz="6" w:space="0" w:color="7F7F7F" w:themeColor="text1" w:themeTint="80"/>
              <w:right w:val="nil"/>
            </w:tcBorders>
            <w:vAlign w:val="center"/>
            <w:hideMark/>
          </w:tcPr>
          <w:p w14:paraId="1CC12CED" w14:textId="24383556" w:rsidR="000D6CD6" w:rsidRPr="009C5A97" w:rsidRDefault="00E36A6C" w:rsidP="00CB3758">
            <w:pPr>
              <w:spacing w:after="0" w:line="276" w:lineRule="auto"/>
              <w:jc w:val="both"/>
              <w:rPr>
                <w:rFonts w:ascii="Verdana" w:eastAsia="Calibri" w:hAnsi="Verdana" w:cs="Arial"/>
                <w:sz w:val="16"/>
                <w:szCs w:val="16"/>
              </w:rPr>
            </w:pPr>
            <w:r>
              <w:rPr>
                <w:rFonts w:ascii="Verdana" w:eastAsia="Calibri" w:hAnsi="Verdana" w:cs="Arial"/>
                <w:sz w:val="16"/>
                <w:szCs w:val="16"/>
              </w:rPr>
              <w:t xml:space="preserve">Adriana López </w:t>
            </w:r>
          </w:p>
          <w:p w14:paraId="39E553A5" w14:textId="77777777" w:rsidR="000D6CD6" w:rsidRPr="009C5A97" w:rsidRDefault="000D6CD6" w:rsidP="00CB3758">
            <w:pPr>
              <w:spacing w:after="0" w:line="276" w:lineRule="auto"/>
              <w:jc w:val="both"/>
              <w:rPr>
                <w:rFonts w:ascii="Verdana" w:eastAsia="Calibri" w:hAnsi="Verdana" w:cs="Arial"/>
                <w:sz w:val="16"/>
                <w:szCs w:val="16"/>
              </w:rPr>
            </w:pPr>
            <w:r>
              <w:rPr>
                <w:rFonts w:ascii="Verdana" w:eastAsia="Calibri" w:hAnsi="Verdana" w:cs="Arial"/>
                <w:sz w:val="16"/>
                <w:szCs w:val="16"/>
              </w:rPr>
              <w:t>Contratista</w:t>
            </w:r>
            <w:r w:rsidRPr="009C5A97">
              <w:rPr>
                <w:rFonts w:ascii="Verdana" w:eastAsia="Calibri" w:hAnsi="Verdana" w:cs="Arial"/>
                <w:sz w:val="16"/>
                <w:szCs w:val="16"/>
              </w:rPr>
              <w:t xml:space="preserve"> de la Subdirección de Gestión Contractual</w:t>
            </w:r>
          </w:p>
        </w:tc>
      </w:tr>
      <w:tr w:rsidR="000D6CD6" w:rsidRPr="009C5A97" w14:paraId="344E8421" w14:textId="77777777" w:rsidTr="00ED4CCE">
        <w:trPr>
          <w:trHeight w:val="304"/>
        </w:trPr>
        <w:tc>
          <w:tcPr>
            <w:tcW w:w="882" w:type="dxa"/>
            <w:tcBorders>
              <w:top w:val="nil"/>
              <w:left w:val="nil"/>
              <w:bottom w:val="nil"/>
              <w:right w:val="nil"/>
            </w:tcBorders>
            <w:vAlign w:val="center"/>
            <w:hideMark/>
          </w:tcPr>
          <w:p w14:paraId="39439B7F" w14:textId="77777777" w:rsidR="000D6CD6" w:rsidRPr="009C5A97" w:rsidRDefault="000D6CD6" w:rsidP="00CB3758">
            <w:pPr>
              <w:spacing w:after="0" w:line="276" w:lineRule="auto"/>
              <w:jc w:val="both"/>
              <w:textAlignment w:val="baseline"/>
              <w:rPr>
                <w:rFonts w:ascii="Verdana" w:eastAsia="Times New Roman" w:hAnsi="Verdana" w:cs="Segoe UI"/>
                <w:sz w:val="18"/>
                <w:szCs w:val="18"/>
                <w:lang w:eastAsia="es-CO"/>
              </w:rPr>
            </w:pPr>
            <w:r w:rsidRPr="009C5A97">
              <w:rPr>
                <w:rFonts w:ascii="Verdana" w:eastAsia="Times New Roman" w:hAnsi="Verdana" w:cs="Arial"/>
                <w:sz w:val="16"/>
                <w:szCs w:val="16"/>
                <w:lang w:eastAsia="es-CO"/>
              </w:rPr>
              <w:t>Aprobó: </w:t>
            </w:r>
            <w:r w:rsidRPr="009C5A97">
              <w:rPr>
                <w:rFonts w:ascii="Verdana" w:eastAsia="Times New Roman" w:hAnsi="Verdana" w:cs="Century Gothic"/>
                <w:sz w:val="16"/>
                <w:szCs w:val="16"/>
                <w:lang w:eastAsia="es-CO"/>
              </w:rPr>
              <w:t> </w:t>
            </w:r>
          </w:p>
        </w:tc>
        <w:tc>
          <w:tcPr>
            <w:tcW w:w="4806" w:type="dxa"/>
            <w:tcBorders>
              <w:top w:val="dotted" w:sz="6" w:space="0" w:color="7F7F7F" w:themeColor="text1" w:themeTint="80"/>
              <w:left w:val="nil"/>
              <w:bottom w:val="dotted" w:sz="6" w:space="0" w:color="7F7F7F" w:themeColor="text1" w:themeTint="80"/>
              <w:right w:val="nil"/>
            </w:tcBorders>
            <w:vAlign w:val="center"/>
            <w:hideMark/>
          </w:tcPr>
          <w:p w14:paraId="71B12C41" w14:textId="77777777" w:rsidR="000D6CD6" w:rsidRPr="009C5A97" w:rsidRDefault="000D6CD6" w:rsidP="00CB3758">
            <w:pPr>
              <w:spacing w:after="0" w:line="276" w:lineRule="auto"/>
              <w:jc w:val="both"/>
              <w:textAlignment w:val="baseline"/>
              <w:rPr>
                <w:rFonts w:ascii="Verdana" w:eastAsia="Calibri" w:hAnsi="Verdana" w:cs="Arial"/>
                <w:sz w:val="16"/>
                <w:szCs w:val="16"/>
              </w:rPr>
            </w:pPr>
            <w:r w:rsidRPr="009C5A97">
              <w:rPr>
                <w:rFonts w:ascii="Verdana" w:eastAsia="Calibri" w:hAnsi="Verdana" w:cs="Arial"/>
                <w:sz w:val="16"/>
                <w:szCs w:val="16"/>
              </w:rPr>
              <w:t>Carolina Quintero Gacharná</w:t>
            </w:r>
          </w:p>
          <w:p w14:paraId="34FBA0A4" w14:textId="77777777" w:rsidR="000D6CD6" w:rsidRPr="009C5A97" w:rsidRDefault="000D6CD6" w:rsidP="00CB3758">
            <w:pPr>
              <w:spacing w:after="0" w:line="276" w:lineRule="auto"/>
              <w:jc w:val="both"/>
              <w:textAlignment w:val="baseline"/>
              <w:rPr>
                <w:rFonts w:ascii="Verdana" w:eastAsia="Calibri" w:hAnsi="Verdana" w:cs="Arial"/>
                <w:sz w:val="16"/>
                <w:szCs w:val="16"/>
              </w:rPr>
            </w:pPr>
            <w:r w:rsidRPr="009C5A97">
              <w:rPr>
                <w:rFonts w:ascii="Verdana" w:eastAsia="Calibri" w:hAnsi="Verdana" w:cs="Arial"/>
                <w:sz w:val="16"/>
                <w:szCs w:val="16"/>
              </w:rPr>
              <w:t>Subdirectora de Gestión Contractual ANCP-CCE </w:t>
            </w:r>
          </w:p>
        </w:tc>
      </w:tr>
    </w:tbl>
    <w:p w14:paraId="432FA394" w14:textId="77777777" w:rsidR="000D6CD6" w:rsidRPr="009C5A97" w:rsidRDefault="000D6CD6" w:rsidP="00CB3758">
      <w:pPr>
        <w:spacing w:after="0" w:line="276" w:lineRule="auto"/>
        <w:rPr>
          <w:rFonts w:ascii="Verdana" w:eastAsia="Times New Roman" w:hAnsi="Verdana" w:cs="Arial"/>
          <w:sz w:val="24"/>
          <w:szCs w:val="24"/>
          <w:lang w:eastAsia="es-ES"/>
        </w:rPr>
      </w:pPr>
    </w:p>
    <w:p w14:paraId="15A34A72" w14:textId="77777777" w:rsidR="000D6CD6" w:rsidRPr="00E63C0B" w:rsidRDefault="000D6CD6" w:rsidP="00CB3758">
      <w:pPr>
        <w:spacing w:line="276" w:lineRule="auto"/>
        <w:rPr>
          <w:rFonts w:ascii="Verdana" w:hAnsi="Verdana"/>
        </w:rPr>
      </w:pPr>
    </w:p>
    <w:p w14:paraId="346BBD8C" w14:textId="77777777" w:rsidR="000D6CD6" w:rsidRPr="0044528D" w:rsidRDefault="000D6CD6" w:rsidP="00CB3758">
      <w:pPr>
        <w:spacing w:after="0" w:line="276" w:lineRule="auto"/>
        <w:rPr>
          <w:rFonts w:ascii="Verdana" w:hAnsi="Verdana"/>
        </w:rPr>
      </w:pPr>
    </w:p>
    <w:p w14:paraId="24537E4D" w14:textId="77777777" w:rsidR="000D6CD6" w:rsidRPr="0044528D" w:rsidRDefault="000D6CD6" w:rsidP="00CB3758">
      <w:pPr>
        <w:spacing w:after="0" w:line="276" w:lineRule="auto"/>
        <w:rPr>
          <w:rFonts w:ascii="Verdana" w:hAnsi="Verdana"/>
        </w:rPr>
      </w:pPr>
    </w:p>
    <w:p w14:paraId="0F293BF4" w14:textId="7BBFAB11" w:rsidR="00127233" w:rsidRPr="00E63C0B" w:rsidRDefault="00127233" w:rsidP="00CB3758">
      <w:pPr>
        <w:spacing w:line="276" w:lineRule="auto"/>
        <w:rPr>
          <w:rFonts w:ascii="Verdana" w:hAnsi="Verdana"/>
        </w:rPr>
      </w:pPr>
    </w:p>
    <w:sectPr w:rsidR="00127233" w:rsidRPr="00E63C0B" w:rsidSect="008A17A5">
      <w:headerReference w:type="default" r:id="rId16"/>
      <w:footerReference w:type="default" r:id="rId17"/>
      <w:pgSz w:w="12240" w:h="15840" w:code="1"/>
      <w:pgMar w:top="1417" w:right="1608"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BA123CA" w14:textId="77777777" w:rsidR="00DB6237" w:rsidRDefault="00DB6237" w:rsidP="004A1847">
      <w:pPr>
        <w:spacing w:after="0" w:line="240" w:lineRule="auto"/>
      </w:pPr>
      <w:r>
        <w:separator/>
      </w:r>
    </w:p>
  </w:endnote>
  <w:endnote w:type="continuationSeparator" w:id="0">
    <w:p w14:paraId="09866E7D" w14:textId="77777777" w:rsidR="00DB6237" w:rsidRDefault="00DB6237" w:rsidP="004A1847">
      <w:pPr>
        <w:spacing w:after="0" w:line="240" w:lineRule="auto"/>
      </w:pPr>
      <w:r>
        <w:continuationSeparator/>
      </w:r>
    </w:p>
  </w:endnote>
  <w:endnote w:type="continuationNotice" w:id="1">
    <w:p w14:paraId="69AAC16A" w14:textId="77777777" w:rsidR="00DB6237" w:rsidRDefault="00DB623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default"/>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231A3C6" w14:textId="77777777" w:rsidR="00DB6237" w:rsidRDefault="00DB6237" w:rsidP="004A1847">
      <w:pPr>
        <w:spacing w:after="0" w:line="240" w:lineRule="auto"/>
      </w:pPr>
      <w:r>
        <w:separator/>
      </w:r>
    </w:p>
  </w:footnote>
  <w:footnote w:type="continuationSeparator" w:id="0">
    <w:p w14:paraId="62EFF727" w14:textId="77777777" w:rsidR="00DB6237" w:rsidRDefault="00DB6237" w:rsidP="004A1847">
      <w:pPr>
        <w:spacing w:after="0" w:line="240" w:lineRule="auto"/>
      </w:pPr>
      <w:r>
        <w:continuationSeparator/>
      </w:r>
    </w:p>
  </w:footnote>
  <w:footnote w:type="continuationNotice" w:id="1">
    <w:p w14:paraId="5B159438" w14:textId="77777777" w:rsidR="00DB6237" w:rsidRDefault="00DB6237">
      <w:pPr>
        <w:spacing w:after="0" w:line="240" w:lineRule="auto"/>
      </w:pPr>
    </w:p>
  </w:footnote>
  <w:footnote w:id="2">
    <w:p w14:paraId="185B5958" w14:textId="4FAEF729" w:rsidR="00881D83" w:rsidRPr="005966AF" w:rsidRDefault="00881D83" w:rsidP="00881D83">
      <w:pPr>
        <w:pStyle w:val="Textonotapie"/>
        <w:jc w:val="both"/>
        <w:rPr>
          <w:rFonts w:ascii="Verdana" w:hAnsi="Verdana" w:cs="Arial"/>
          <w:sz w:val="14"/>
          <w:szCs w:val="14"/>
        </w:rPr>
      </w:pPr>
      <w:r>
        <w:rPr>
          <w:rStyle w:val="Refdenotaalpie"/>
        </w:rPr>
        <w:footnoteRef/>
      </w:r>
      <w:r>
        <w:t xml:space="preserve"> </w:t>
      </w:r>
      <w:r w:rsidRPr="00881D83">
        <w:rPr>
          <w:rFonts w:ascii="Verdana" w:hAnsi="Verdana" w:cs="Arial"/>
          <w:sz w:val="14"/>
          <w:szCs w:val="14"/>
          <w:lang w:val="es-CO"/>
        </w:rPr>
        <w:t>CONGRESO DE LA REPÚBLICA. Gacetas legislativas No. 1860 y 1861 de 2021, de Cámara de Representantes y Senado, respectivamente</w:t>
      </w:r>
    </w:p>
    <w:p w14:paraId="037F342D" w14:textId="77777777" w:rsidR="00881D83" w:rsidRPr="00FA05C3" w:rsidRDefault="00881D83" w:rsidP="00881D83">
      <w:pPr>
        <w:pStyle w:val="Textonotapie"/>
      </w:pPr>
    </w:p>
  </w:footnote>
  <w:footnote w:id="3">
    <w:p w14:paraId="7596E14A" w14:textId="77777777" w:rsidR="000D6CD6" w:rsidRPr="00983A2D" w:rsidRDefault="000D6CD6" w:rsidP="000D6CD6">
      <w:pPr>
        <w:pStyle w:val="Textonotapie"/>
        <w:rPr>
          <w:sz w:val="14"/>
          <w:szCs w:val="14"/>
          <w:lang w:val="es-CO"/>
        </w:rPr>
      </w:pPr>
      <w:r>
        <w:rPr>
          <w:rStyle w:val="Refdenotaalpie"/>
        </w:rPr>
        <w:footnoteRef/>
      </w:r>
      <w:r>
        <w:t xml:space="preserve"> </w:t>
      </w:r>
      <w:r w:rsidRPr="00983A2D">
        <w:rPr>
          <w:rFonts w:ascii="Verdana" w:hAnsi="Verdana" w:cs="Arial"/>
          <w:color w:val="000000"/>
          <w:sz w:val="14"/>
          <w:szCs w:val="14"/>
          <w:lang w:val="es-ES"/>
        </w:rPr>
        <w:t>Según García de Enterría, “Estos concepto jurídicos indeterminados, o que se contienen en lo que también se llaman las normas flexibles, son consustanciales a toda la técnica jurídica y no</w:t>
      </w:r>
      <w:r w:rsidRPr="00743AC5">
        <w:rPr>
          <w:rFonts w:ascii="Verdana" w:hAnsi="Verdana" w:cs="Arial"/>
          <w:color w:val="000000"/>
          <w:sz w:val="18"/>
          <w:szCs w:val="18"/>
          <w:lang w:val="es-ES"/>
        </w:rPr>
        <w:t xml:space="preserve"> </w:t>
      </w:r>
      <w:r w:rsidRPr="00983A2D">
        <w:rPr>
          <w:rFonts w:ascii="Verdana" w:hAnsi="Verdana" w:cs="Arial"/>
          <w:color w:val="000000"/>
          <w:sz w:val="14"/>
          <w:szCs w:val="14"/>
          <w:lang w:val="es-ES"/>
        </w:rPr>
        <w:t>constituyen una particularidad del Derecho público […], son conceptos jurídicos indeterminados, en el sentido de que la medida concreta para la aplicación de los mismos en un caso particular no nos la resuelve o determina con exactitud la propia Ley que los ha creado y de cuya aplicación se trata” (GARCÍA DE ENTERRÍA, Eduardo. La lucha contra las inmunidades del poder en el derecho administrativo. 3ª ed. Madrid: Civitas, 1983. pp. 33-34).</w:t>
      </w:r>
    </w:p>
  </w:footnote>
  <w:footnote w:id="4">
    <w:p w14:paraId="384DBC09" w14:textId="77777777" w:rsidR="000D6CD6" w:rsidRPr="00983A2D" w:rsidRDefault="000D6CD6" w:rsidP="000D6CD6">
      <w:pPr>
        <w:pStyle w:val="Textonotapie"/>
        <w:ind w:firstLine="709"/>
        <w:jc w:val="both"/>
        <w:rPr>
          <w:rFonts w:ascii="Verdana" w:hAnsi="Verdana" w:cs="Arial"/>
          <w:color w:val="000000"/>
          <w:sz w:val="14"/>
          <w:szCs w:val="14"/>
        </w:rPr>
      </w:pPr>
      <w:r>
        <w:rPr>
          <w:rStyle w:val="Refdenotaalpie"/>
        </w:rPr>
        <w:footnoteRef/>
      </w:r>
      <w:r>
        <w:t xml:space="preserve"> </w:t>
      </w:r>
      <w:r w:rsidRPr="00983A2D">
        <w:rPr>
          <w:rFonts w:ascii="Verdana" w:hAnsi="Verdana" w:cs="Arial"/>
          <w:color w:val="000000"/>
          <w:sz w:val="14"/>
          <w:szCs w:val="14"/>
        </w:rPr>
        <w:t xml:space="preserve">La redacción original del parágrafo primero del artículo 32 de la Ley 80 de 1993, incluía la expresión </w:t>
      </w:r>
      <w:r w:rsidRPr="00983A2D">
        <w:rPr>
          <w:rFonts w:ascii="Verdana" w:hAnsi="Verdana" w:cs="Arial"/>
          <w:i/>
          <w:iCs/>
          <w:color w:val="000000"/>
          <w:sz w:val="14"/>
          <w:szCs w:val="14"/>
        </w:rPr>
        <w:t>giro ordinario</w:t>
      </w:r>
      <w:r w:rsidRPr="00983A2D">
        <w:rPr>
          <w:rFonts w:ascii="Verdana" w:hAnsi="Verdana" w:cs="Arial"/>
          <w:color w:val="000000"/>
          <w:sz w:val="14"/>
          <w:szCs w:val="14"/>
        </w:rPr>
        <w:t xml:space="preserve">, la cual servía de elemento calificante para la determinación del régimen aplicable a los contratos de los establecimientos de crédito público, las compañías de seguros y las demás entidades financieras públicas. Dicho parágrafo establecía “Sin perjuicio de lo dispuesto en esta ley sobre fiducia y encargo fiduciario, los contratos que celebren los establecimientos de crédito, las compañías de seguros y las demás entidades financieras de carácter estatal, que correspondan </w:t>
      </w:r>
      <w:r w:rsidRPr="00983A2D">
        <w:rPr>
          <w:rFonts w:ascii="Verdana" w:hAnsi="Verdana" w:cs="Arial"/>
          <w:i/>
          <w:iCs/>
          <w:color w:val="000000"/>
          <w:sz w:val="14"/>
          <w:szCs w:val="14"/>
        </w:rPr>
        <w:t>al giro ordinario de las actividades propias de su objeto social,</w:t>
      </w:r>
      <w:r w:rsidRPr="00983A2D">
        <w:rPr>
          <w:rFonts w:ascii="Verdana" w:hAnsi="Verdana" w:cs="Arial"/>
          <w:color w:val="000000"/>
          <w:sz w:val="14"/>
          <w:szCs w:val="14"/>
        </w:rPr>
        <w:t xml:space="preserve"> no estarán sujetos a las disposiciones del presente estatuto y se regirán por las disposiciones legales y reglamentarias aplicables a dichas actividades” [Énfasis fuera de texto].</w:t>
      </w:r>
    </w:p>
    <w:p w14:paraId="19336B55" w14:textId="77777777" w:rsidR="000D6CD6" w:rsidRPr="00B36949" w:rsidRDefault="000D6CD6" w:rsidP="000D6CD6">
      <w:pPr>
        <w:pStyle w:val="Textonotapie"/>
      </w:pPr>
    </w:p>
  </w:footnote>
  <w:footnote w:id="5">
    <w:p w14:paraId="64A948FC" w14:textId="77777777" w:rsidR="000D6CD6" w:rsidRPr="00E63C0B" w:rsidRDefault="000D6CD6" w:rsidP="000D6CD6">
      <w:pPr>
        <w:pStyle w:val="Textonotapie"/>
        <w:ind w:firstLine="709"/>
        <w:jc w:val="both"/>
        <w:rPr>
          <w:rFonts w:ascii="Verdana" w:hAnsi="Verdana" w:cs="Arial"/>
          <w:color w:val="000000"/>
          <w:sz w:val="14"/>
          <w:szCs w:val="14"/>
          <w:lang w:val="pt-PT"/>
        </w:rPr>
      </w:pPr>
      <w:r>
        <w:rPr>
          <w:rStyle w:val="Refdenotaalpie"/>
        </w:rPr>
        <w:footnoteRef/>
      </w:r>
      <w:r>
        <w:t xml:space="preserve"> </w:t>
      </w:r>
      <w:r w:rsidRPr="00983A2D">
        <w:rPr>
          <w:rFonts w:ascii="Verdana" w:hAnsi="Verdana" w:cs="Arial"/>
          <w:color w:val="000000"/>
          <w:sz w:val="14"/>
          <w:szCs w:val="14"/>
        </w:rPr>
        <w:t xml:space="preserve">Consejo de Estado. Sección Tercera. Subsección B. Sentencia del 12 de octubre de 2011. </w:t>
      </w:r>
      <w:r w:rsidRPr="00E63C0B">
        <w:rPr>
          <w:rFonts w:ascii="Verdana" w:hAnsi="Verdana" w:cs="Arial"/>
          <w:color w:val="000000"/>
          <w:sz w:val="14"/>
          <w:szCs w:val="14"/>
          <w:lang w:val="pt-PT"/>
        </w:rPr>
        <w:t>Exp. No. 20070. C.P. Danilo Rojas Betancourt.</w:t>
      </w:r>
    </w:p>
    <w:p w14:paraId="4D61D2B9" w14:textId="77777777" w:rsidR="000D6CD6" w:rsidRPr="00E63C0B" w:rsidRDefault="000D6CD6" w:rsidP="000D6CD6">
      <w:pPr>
        <w:pStyle w:val="Textonotapie"/>
        <w:rPr>
          <w:lang w:val="pt-PT"/>
        </w:rPr>
      </w:pPr>
    </w:p>
  </w:footnote>
  <w:footnote w:id="6">
    <w:p w14:paraId="3CDDE19E" w14:textId="77777777" w:rsidR="000D6CD6" w:rsidRPr="00983A2D" w:rsidRDefault="000D6CD6" w:rsidP="000D6CD6">
      <w:pPr>
        <w:spacing w:line="240" w:lineRule="auto"/>
        <w:ind w:firstLine="709"/>
        <w:jc w:val="both"/>
        <w:rPr>
          <w:rFonts w:ascii="Verdana" w:hAnsi="Verdana" w:cs="Arial"/>
          <w:color w:val="000000"/>
          <w:sz w:val="14"/>
          <w:szCs w:val="14"/>
        </w:rPr>
      </w:pPr>
      <w:r>
        <w:rPr>
          <w:rStyle w:val="Refdenotaalpie"/>
        </w:rPr>
        <w:footnoteRef/>
      </w:r>
      <w:r w:rsidRPr="00E63C0B">
        <w:rPr>
          <w:lang w:val="pt-PT"/>
        </w:rPr>
        <w:t xml:space="preserve"> </w:t>
      </w:r>
      <w:r w:rsidRPr="00E63C0B">
        <w:rPr>
          <w:rFonts w:ascii="Verdana" w:hAnsi="Verdana" w:cs="Arial"/>
          <w:color w:val="000000"/>
          <w:sz w:val="14"/>
          <w:szCs w:val="14"/>
          <w:lang w:val="pt-PT"/>
        </w:rPr>
        <w:t xml:space="preserve">Consejo de Estado. </w:t>
      </w:r>
      <w:r w:rsidRPr="00983A2D">
        <w:rPr>
          <w:rFonts w:ascii="Verdana" w:hAnsi="Verdana" w:cs="Arial"/>
          <w:color w:val="000000"/>
          <w:sz w:val="14"/>
          <w:szCs w:val="14"/>
        </w:rPr>
        <w:t>Sección Tercera. Subsección A. Sentencia del 3 de marzo de 2021. Exp. No. 51373. C.P. José Roberto Sáchica Méndez.</w:t>
      </w:r>
    </w:p>
    <w:p w14:paraId="27253F25" w14:textId="77777777" w:rsidR="000D6CD6" w:rsidRPr="000942EA" w:rsidRDefault="000D6CD6" w:rsidP="000D6CD6">
      <w:pPr>
        <w:pStyle w:val="Textonotapie"/>
        <w:rPr>
          <w:lang w:val="es-CO"/>
        </w:rPr>
      </w:pPr>
    </w:p>
  </w:footnote>
  <w:footnote w:id="7">
    <w:p w14:paraId="5AF432A0" w14:textId="77777777" w:rsidR="000D6CD6" w:rsidRPr="007B7F0B" w:rsidRDefault="000D6CD6" w:rsidP="000D6CD6">
      <w:pPr>
        <w:pStyle w:val="Textonotapie"/>
        <w:ind w:firstLine="709"/>
        <w:jc w:val="both"/>
        <w:rPr>
          <w:rFonts w:ascii="Verdana" w:hAnsi="Verdana" w:cs="Arial"/>
          <w:color w:val="000000"/>
          <w:sz w:val="14"/>
          <w:szCs w:val="14"/>
        </w:rPr>
      </w:pPr>
      <w:r>
        <w:rPr>
          <w:rStyle w:val="Refdenotaalpie"/>
        </w:rPr>
        <w:footnoteRef/>
      </w:r>
      <w:r>
        <w:t xml:space="preserve"> </w:t>
      </w:r>
      <w:r w:rsidRPr="007B7F0B">
        <w:rPr>
          <w:rFonts w:ascii="Verdana" w:hAnsi="Verdana" w:cs="Arial"/>
          <w:color w:val="000000"/>
          <w:sz w:val="14"/>
          <w:szCs w:val="14"/>
        </w:rPr>
        <w:t>El Consejo de Estado ha precisado que: “Según esta norma, el giro ordinario de las actividades de una sociedad comercial no sólo comprende aquello que define en forma concreta su objeto social, sino todos los actos directamente relacionados con el mismo, lo que denota que entre éstos y aquéllas debe existir una relación de necesidad que los hace parte del objeto de la sociedad. Tal es el caso de la contratación de la publicidad para promocionar la empresa o sus productos, o la contratación de profesionales para que realicen una consultoría o asesoría relacionada con las actividades de la empresa, etc.</w:t>
      </w:r>
    </w:p>
    <w:p w14:paraId="65470934" w14:textId="77777777" w:rsidR="000D6CD6" w:rsidRPr="007B7F0B" w:rsidRDefault="000D6CD6" w:rsidP="000D6CD6">
      <w:pPr>
        <w:pStyle w:val="Textonotapie"/>
        <w:ind w:firstLine="709"/>
        <w:jc w:val="both"/>
        <w:rPr>
          <w:rFonts w:ascii="Verdana" w:hAnsi="Verdana" w:cs="Arial"/>
          <w:color w:val="000000"/>
          <w:sz w:val="14"/>
          <w:szCs w:val="14"/>
        </w:rPr>
      </w:pPr>
      <w:r w:rsidRPr="007B7F0B">
        <w:rPr>
          <w:rFonts w:ascii="Verdana" w:hAnsi="Verdana" w:cs="Arial"/>
          <w:color w:val="000000"/>
          <w:sz w:val="14"/>
          <w:szCs w:val="14"/>
        </w:rPr>
        <w:t>En estos casos, mal podría decirse que la sociedad no puede realizar este tipo de actos necesarios para el buen desempeño de sus actividades comerciales. Lo propio cabe decir de las entidades financieras. De manera que la norma comercial citada es perfectamente trasladable al campo financiero”.  Consejo de Estado. Sección Tercera. Sentencia del 6 de julio de 2005. Exp. No. 11575. C.P. Alier E. Hernández Enríquez.</w:t>
      </w:r>
    </w:p>
    <w:p w14:paraId="7138EB00" w14:textId="77777777" w:rsidR="000D6CD6" w:rsidRPr="003B5BA9" w:rsidRDefault="000D6CD6" w:rsidP="000D6CD6">
      <w:pPr>
        <w:pStyle w:val="Textonotapie"/>
        <w:rPr>
          <w:lang w:val="es-CO"/>
        </w:rPr>
      </w:pPr>
    </w:p>
  </w:footnote>
  <w:footnote w:id="8">
    <w:p w14:paraId="4399D56D" w14:textId="77777777" w:rsidR="00A16F5D" w:rsidRPr="00A87684" w:rsidRDefault="00A16F5D" w:rsidP="00A16F5D">
      <w:pPr>
        <w:pStyle w:val="Textonotapie"/>
        <w:ind w:firstLine="709"/>
        <w:jc w:val="both"/>
        <w:rPr>
          <w:color w:val="4472C4" w:themeColor="accent1"/>
          <w:lang w:val="es-CO"/>
        </w:rPr>
      </w:pPr>
      <w:r w:rsidRPr="00A87684">
        <w:rPr>
          <w:rFonts w:ascii="Verdana" w:hAnsi="Verdana" w:cs="Arial"/>
          <w:color w:val="000000"/>
          <w:sz w:val="14"/>
          <w:szCs w:val="14"/>
        </w:rPr>
        <w:footnoteRef/>
      </w:r>
      <w:r w:rsidRPr="00A87684">
        <w:rPr>
          <w:rFonts w:ascii="Verdana" w:hAnsi="Verdana" w:cs="Arial"/>
          <w:color w:val="000000"/>
          <w:sz w:val="14"/>
          <w:szCs w:val="14"/>
        </w:rPr>
        <w:t xml:space="preserve"> Superintendencia de Sociedades. Oficio 220-014111 del 18 de febrero de 2015. Consultado el 4 de junio de 2024 en: </w:t>
      </w:r>
      <w:r w:rsidRPr="00A87684">
        <w:rPr>
          <w:rFonts w:ascii="Verdana" w:hAnsi="Verdana" w:cs="Arial"/>
          <w:color w:val="4472C4" w:themeColor="accent1"/>
          <w:sz w:val="14"/>
          <w:szCs w:val="14"/>
        </w:rPr>
        <w:t>https://www.google.com/url?sa=t&amp;source=web&amp;rct=j&amp;opi=89978449&amp;url=https://www.superso ciedades.gov.co/documents/107391/159040/OFICIO%2B220- 014111%2BDE%2B2015.pdf/eb5e710f-d8b7-df76-125b960ff46a9304%3Ft%3D1670899573061%26download%3Dtrue&amp;ved=2ahUKEwj9kJParMKGAxXu TTABHaENC7wQFnoECBIQAQ&amp;usg=AOvVaw3ndDRzYhuwXRRSLBYPpr25</w:t>
      </w:r>
      <w:r w:rsidRPr="00A87684">
        <w:rPr>
          <w:color w:val="4472C4" w:themeColor="accent1"/>
          <w:lang w:val="es-CO"/>
        </w:rPr>
        <w:t xml:space="preserve"> </w:t>
      </w:r>
    </w:p>
    <w:p w14:paraId="523FB8D2" w14:textId="7F9D8EA3" w:rsidR="00A16F5D" w:rsidRPr="007B7F0B" w:rsidRDefault="00A16F5D" w:rsidP="00A16F5D">
      <w:pPr>
        <w:pStyle w:val="Textonotapie"/>
        <w:ind w:firstLine="709"/>
        <w:jc w:val="both"/>
        <w:rPr>
          <w:rFonts w:ascii="Verdana" w:hAnsi="Verdana" w:cs="Arial"/>
          <w:color w:val="000000"/>
          <w:sz w:val="14"/>
          <w:szCs w:val="14"/>
        </w:rPr>
      </w:pPr>
    </w:p>
    <w:p w14:paraId="71A231C5" w14:textId="77777777" w:rsidR="00A16F5D" w:rsidRPr="003B5BA9" w:rsidRDefault="00A16F5D" w:rsidP="00A16F5D">
      <w:pPr>
        <w:pStyle w:val="Textonotapie"/>
        <w:rPr>
          <w:lang w:val="es-CO"/>
        </w:rPr>
      </w:pPr>
    </w:p>
  </w:footnote>
  <w:footnote w:id="9">
    <w:p w14:paraId="6A46C8A9" w14:textId="77777777" w:rsidR="00A16F5D" w:rsidRPr="007B7F0B" w:rsidRDefault="00A87684" w:rsidP="00A16F5D">
      <w:pPr>
        <w:pStyle w:val="Textonotapie"/>
        <w:ind w:firstLine="709"/>
        <w:jc w:val="both"/>
        <w:rPr>
          <w:rFonts w:ascii="Verdana" w:hAnsi="Verdana" w:cs="Arial"/>
          <w:color w:val="000000"/>
          <w:sz w:val="14"/>
          <w:szCs w:val="14"/>
        </w:rPr>
      </w:pPr>
      <w:r>
        <w:rPr>
          <w:rStyle w:val="Refdenotaalpie"/>
        </w:rPr>
        <w:footnoteRef/>
      </w:r>
      <w:r>
        <w:t xml:space="preserve"> </w:t>
      </w:r>
      <w:r w:rsidR="00A16F5D" w:rsidRPr="00A87684">
        <w:rPr>
          <w:rFonts w:ascii="Verdana" w:hAnsi="Verdana" w:cs="Arial"/>
          <w:color w:val="000000"/>
          <w:sz w:val="14"/>
          <w:szCs w:val="14"/>
        </w:rPr>
        <w:t>Al respecto ha señalado la Corte Constitucional: “En relación con el ámbito de configuración del legislador en materia contractual la jurisprudencia constitucional ha señalado los siguientes criterios: (i) De la Constitución no es posible inferir la obligación para el legislador de incorporar en un solo cuerpo normativo toda la legislación existente en materia contractual, pues si ésta hubiera sido la voluntad del constituyente, en el artículo 150 Fundamental se habría autorizado al Congreso de la República para expedir un estatuto único de contratación para el Estado y no un estatuto general como prevé la disposición constitucional. (ii) El mandato otorgado al Congreso de la República, en el artículo 150 de la Carta, para que dicte un estatuto general de contratación de la administración pública y en especial de la administración nacional, implica el reconocimiento de una amplia libertad de configuración del legislador para diseñar un régimen legal cuya finalidad sea la de propender por el logro de los objetivos constitucionales del Estado Social de Derecho, toda vez que el cumplimiento de estas metas requiere del aprovisionamiento de bienes y servicios por parte de los órganos públicos mediante la contratación. En este orden de ideas, es innegable el carácter instrumental que ostenta el contrato estatal, puesto que no es un fin en sí mismo sino un medio para la consecución de los altos objetivos del Estado. (iii) En virtud de la potestad de configuración que se comenta el Congreso tiene libertad para regular los aspectos más significativos de la contratación pública como son los referentes a las cláusulas excepcionales, la clasificación de los contratos estatales, los deberes y derechos de las partes contratantes, la competencia y capacidad para contratar, principios fundamentales, nulidades, control de la gestión contractual, responsabilidad contractual, liquidación de los</w:t>
      </w:r>
      <w:r w:rsidR="00A16F5D">
        <w:rPr>
          <w:rFonts w:ascii="Verdana" w:hAnsi="Verdana" w:cs="Arial"/>
          <w:color w:val="000000"/>
          <w:sz w:val="14"/>
          <w:szCs w:val="14"/>
        </w:rPr>
        <w:t xml:space="preserve"> </w:t>
      </w:r>
      <w:r w:rsidR="00A16F5D" w:rsidRPr="0031412D">
        <w:rPr>
          <w:rFonts w:ascii="Verdana" w:hAnsi="Verdana" w:cs="Arial"/>
          <w:color w:val="000000"/>
          <w:sz w:val="14"/>
          <w:szCs w:val="14"/>
          <w:lang w:val="es-CO"/>
        </w:rPr>
        <w:t>contratos y solución de las controversias contractuales, entre otros, todo dentro de los límites de razonabilidad y proporcionalidad y con arreglo a los parámetros constitucionales”. Sentencia C713 del 7 de octubre de 2009. M.P. María Victoria Calle Correa.</w:t>
      </w:r>
    </w:p>
    <w:p w14:paraId="2B660D2B" w14:textId="388CED36" w:rsidR="00A87684" w:rsidRPr="003B5BA9" w:rsidRDefault="00A87684" w:rsidP="00A16F5D">
      <w:pPr>
        <w:pStyle w:val="Textonotapie"/>
        <w:ind w:firstLine="709"/>
        <w:jc w:val="both"/>
        <w:rPr>
          <w:lang w:val="es-CO"/>
        </w:rPr>
      </w:pPr>
    </w:p>
  </w:footnote>
  <w:footnote w:id="10">
    <w:p w14:paraId="14BD5358" w14:textId="6B9D7770" w:rsidR="00A87684" w:rsidRPr="007B7F0B" w:rsidRDefault="00A87684" w:rsidP="00A87684">
      <w:pPr>
        <w:pStyle w:val="Textonotapie"/>
        <w:ind w:firstLine="709"/>
        <w:jc w:val="both"/>
        <w:rPr>
          <w:rFonts w:ascii="Verdana" w:hAnsi="Verdana" w:cs="Arial"/>
          <w:color w:val="000000"/>
          <w:sz w:val="14"/>
          <w:szCs w:val="14"/>
        </w:rPr>
      </w:pPr>
      <w:r w:rsidRPr="00A87684">
        <w:rPr>
          <w:rFonts w:ascii="Verdana" w:hAnsi="Verdana" w:cs="Arial"/>
          <w:color w:val="000000"/>
          <w:sz w:val="14"/>
          <w:szCs w:val="14"/>
        </w:rPr>
        <w:footnoteRef/>
      </w:r>
      <w:r w:rsidR="00A16F5D">
        <w:rPr>
          <w:rFonts w:ascii="Verdana" w:hAnsi="Verdana" w:cs="Arial"/>
          <w:color w:val="000000"/>
          <w:sz w:val="14"/>
          <w:szCs w:val="14"/>
        </w:rPr>
        <w:t xml:space="preserve"> </w:t>
      </w:r>
      <w:r w:rsidR="00A16F5D" w:rsidRPr="00A16F5D">
        <w:rPr>
          <w:rFonts w:ascii="Verdana" w:hAnsi="Verdana" w:cs="Arial"/>
          <w:color w:val="000000"/>
          <w:sz w:val="14"/>
          <w:szCs w:val="14"/>
          <w:lang w:val="es-CO"/>
        </w:rPr>
        <w:t>Consejo de Estado. Sección Tercera. Subsección A. Sentencia del 24 de junio de 2015. Exp. 40.635. Consejero Ponente: Hernán Andrade Rincón (E).</w:t>
      </w:r>
    </w:p>
    <w:p w14:paraId="3E3316BC" w14:textId="77777777" w:rsidR="00A87684" w:rsidRPr="003B5BA9" w:rsidRDefault="00A87684" w:rsidP="00A87684">
      <w:pPr>
        <w:pStyle w:val="Textonotapie"/>
        <w:rPr>
          <w:lang w:val="es-CO"/>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93899573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98518109" name="Imagen 998518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8" type="#_x0000_t75" style="width:11.25pt;height:11.25pt" o:bullet="t">
        <v:imagedata r:id="rId1" o:title="mso1B13"/>
      </v:shape>
    </w:pict>
  </w:numPicBullet>
  <w:abstractNum w:abstractNumId="0" w15:restartNumberingAfterBreak="0">
    <w:nsid w:val="01485A45"/>
    <w:multiLevelType w:val="multilevel"/>
    <w:tmpl w:val="94BC895E"/>
    <w:lvl w:ilvl="0">
      <w:start w:val="1"/>
      <w:numFmt w:val="decimal"/>
      <w:lvlText w:val="%1."/>
      <w:lvlJc w:val="left"/>
      <w:pPr>
        <w:ind w:left="1070" w:hanging="360"/>
      </w:pPr>
      <w:rPr>
        <w:rFonts w:hint="default"/>
      </w:rPr>
    </w:lvl>
    <w:lvl w:ilvl="1">
      <w:start w:val="1"/>
      <w:numFmt w:val="decimal"/>
      <w:isLgl/>
      <w:lvlText w:val="%1.%2"/>
      <w:lvlJc w:val="left"/>
      <w:pPr>
        <w:ind w:left="1790" w:hanging="720"/>
      </w:pPr>
      <w:rPr>
        <w:rFonts w:hint="default"/>
      </w:rPr>
    </w:lvl>
    <w:lvl w:ilvl="2">
      <w:start w:val="1"/>
      <w:numFmt w:val="decimal"/>
      <w:isLgl/>
      <w:lvlText w:val="%1.%2.%3"/>
      <w:lvlJc w:val="left"/>
      <w:pPr>
        <w:ind w:left="2150" w:hanging="720"/>
      </w:pPr>
      <w:rPr>
        <w:rFonts w:hint="default"/>
      </w:rPr>
    </w:lvl>
    <w:lvl w:ilvl="3">
      <w:start w:val="1"/>
      <w:numFmt w:val="decimal"/>
      <w:isLgl/>
      <w:lvlText w:val="%1.%2.%3.%4"/>
      <w:lvlJc w:val="left"/>
      <w:pPr>
        <w:ind w:left="2870" w:hanging="1080"/>
      </w:pPr>
      <w:rPr>
        <w:rFonts w:hint="default"/>
      </w:rPr>
    </w:lvl>
    <w:lvl w:ilvl="4">
      <w:start w:val="1"/>
      <w:numFmt w:val="decimal"/>
      <w:isLgl/>
      <w:lvlText w:val="%1.%2.%3.%4.%5"/>
      <w:lvlJc w:val="left"/>
      <w:pPr>
        <w:ind w:left="3590" w:hanging="1440"/>
      </w:pPr>
      <w:rPr>
        <w:rFonts w:hint="default"/>
      </w:rPr>
    </w:lvl>
    <w:lvl w:ilvl="5">
      <w:start w:val="1"/>
      <w:numFmt w:val="decimal"/>
      <w:isLgl/>
      <w:lvlText w:val="%1.%2.%3.%4.%5.%6"/>
      <w:lvlJc w:val="left"/>
      <w:pPr>
        <w:ind w:left="3950" w:hanging="1440"/>
      </w:pPr>
      <w:rPr>
        <w:rFonts w:hint="default"/>
      </w:rPr>
    </w:lvl>
    <w:lvl w:ilvl="6">
      <w:start w:val="1"/>
      <w:numFmt w:val="decimal"/>
      <w:isLgl/>
      <w:lvlText w:val="%1.%2.%3.%4.%5.%6.%7"/>
      <w:lvlJc w:val="left"/>
      <w:pPr>
        <w:ind w:left="4670" w:hanging="1800"/>
      </w:pPr>
      <w:rPr>
        <w:rFonts w:hint="default"/>
      </w:rPr>
    </w:lvl>
    <w:lvl w:ilvl="7">
      <w:start w:val="1"/>
      <w:numFmt w:val="decimal"/>
      <w:isLgl/>
      <w:lvlText w:val="%1.%2.%3.%4.%5.%6.%7.%8"/>
      <w:lvlJc w:val="left"/>
      <w:pPr>
        <w:ind w:left="5390" w:hanging="2160"/>
      </w:pPr>
      <w:rPr>
        <w:rFonts w:hint="default"/>
      </w:rPr>
    </w:lvl>
    <w:lvl w:ilvl="8">
      <w:start w:val="1"/>
      <w:numFmt w:val="decimal"/>
      <w:isLgl/>
      <w:lvlText w:val="%1.%2.%3.%4.%5.%6.%7.%8.%9"/>
      <w:lvlJc w:val="left"/>
      <w:pPr>
        <w:ind w:left="5750" w:hanging="2160"/>
      </w:pPr>
      <w:rPr>
        <w:rFonts w:hint="default"/>
      </w:rPr>
    </w:lvl>
  </w:abstractNum>
  <w:abstractNum w:abstractNumId="1"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2"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1" w15:restartNumberingAfterBreak="0">
    <w:nsid w:val="57DB2567"/>
    <w:multiLevelType w:val="hybridMultilevel"/>
    <w:tmpl w:val="424AA6FC"/>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2"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3"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7"/>
  </w:num>
  <w:num w:numId="2" w16cid:durableId="19822139">
    <w:abstractNumId w:val="3"/>
  </w:num>
  <w:num w:numId="3" w16cid:durableId="876742304">
    <w:abstractNumId w:val="5"/>
  </w:num>
  <w:num w:numId="4" w16cid:durableId="24518640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3"/>
  </w:num>
  <w:num w:numId="6" w16cid:durableId="316692925">
    <w:abstractNumId w:val="15"/>
  </w:num>
  <w:num w:numId="7" w16cid:durableId="1946422806">
    <w:abstractNumId w:val="6"/>
  </w:num>
  <w:num w:numId="8" w16cid:durableId="152644682">
    <w:abstractNumId w:val="14"/>
  </w:num>
  <w:num w:numId="9" w16cid:durableId="1317221377">
    <w:abstractNumId w:val="8"/>
  </w:num>
  <w:num w:numId="10" w16cid:durableId="1471245386">
    <w:abstractNumId w:val="13"/>
  </w:num>
  <w:num w:numId="11" w16cid:durableId="289172385">
    <w:abstractNumId w:val="9"/>
  </w:num>
  <w:num w:numId="12" w16cid:durableId="1470781324">
    <w:abstractNumId w:val="2"/>
  </w:num>
  <w:num w:numId="13" w16cid:durableId="1512908409">
    <w:abstractNumId w:val="4"/>
  </w:num>
  <w:num w:numId="14" w16cid:durableId="895897244">
    <w:abstractNumId w:val="16"/>
  </w:num>
  <w:num w:numId="15" w16cid:durableId="390349800">
    <w:abstractNumId w:val="12"/>
  </w:num>
  <w:num w:numId="16" w16cid:durableId="341274352">
    <w:abstractNumId w:val="1"/>
  </w:num>
  <w:num w:numId="17" w16cid:durableId="679089576">
    <w:abstractNumId w:val="10"/>
  </w:num>
  <w:num w:numId="18" w16cid:durableId="631398977">
    <w:abstractNumId w:val="0"/>
  </w:num>
  <w:num w:numId="19" w16cid:durableId="266427560">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6705"/>
    <w:rsid w:val="000264C6"/>
    <w:rsid w:val="00061B2A"/>
    <w:rsid w:val="000672DB"/>
    <w:rsid w:val="00082362"/>
    <w:rsid w:val="000A683E"/>
    <w:rsid w:val="000B19B9"/>
    <w:rsid w:val="000D0334"/>
    <w:rsid w:val="000D6CD6"/>
    <w:rsid w:val="000F6486"/>
    <w:rsid w:val="00125105"/>
    <w:rsid w:val="00127233"/>
    <w:rsid w:val="001E4177"/>
    <w:rsid w:val="001F7DC6"/>
    <w:rsid w:val="002421BB"/>
    <w:rsid w:val="00255BCC"/>
    <w:rsid w:val="0025796E"/>
    <w:rsid w:val="002707A2"/>
    <w:rsid w:val="002951A0"/>
    <w:rsid w:val="002962BC"/>
    <w:rsid w:val="002A093D"/>
    <w:rsid w:val="002A0DD0"/>
    <w:rsid w:val="002A49AC"/>
    <w:rsid w:val="002A64FD"/>
    <w:rsid w:val="002C7A84"/>
    <w:rsid w:val="002E4FD9"/>
    <w:rsid w:val="0031412D"/>
    <w:rsid w:val="00322A85"/>
    <w:rsid w:val="00324168"/>
    <w:rsid w:val="003448F4"/>
    <w:rsid w:val="003670C9"/>
    <w:rsid w:val="00374F5E"/>
    <w:rsid w:val="00377E3E"/>
    <w:rsid w:val="00383451"/>
    <w:rsid w:val="003A26D1"/>
    <w:rsid w:val="003A779E"/>
    <w:rsid w:val="003D0F4D"/>
    <w:rsid w:val="003D5B0D"/>
    <w:rsid w:val="003E0499"/>
    <w:rsid w:val="003F3941"/>
    <w:rsid w:val="00406575"/>
    <w:rsid w:val="0042722E"/>
    <w:rsid w:val="0044528D"/>
    <w:rsid w:val="004611CA"/>
    <w:rsid w:val="00470E48"/>
    <w:rsid w:val="004A1847"/>
    <w:rsid w:val="004A305D"/>
    <w:rsid w:val="004B5789"/>
    <w:rsid w:val="004D03C7"/>
    <w:rsid w:val="004F21C4"/>
    <w:rsid w:val="004F685F"/>
    <w:rsid w:val="005029E1"/>
    <w:rsid w:val="005566E8"/>
    <w:rsid w:val="00574867"/>
    <w:rsid w:val="00591460"/>
    <w:rsid w:val="00592628"/>
    <w:rsid w:val="00595B75"/>
    <w:rsid w:val="005C3777"/>
    <w:rsid w:val="005C4F05"/>
    <w:rsid w:val="005C5CDC"/>
    <w:rsid w:val="005D476C"/>
    <w:rsid w:val="00610812"/>
    <w:rsid w:val="006219F8"/>
    <w:rsid w:val="00634D66"/>
    <w:rsid w:val="00650FF7"/>
    <w:rsid w:val="00665D70"/>
    <w:rsid w:val="00671DAC"/>
    <w:rsid w:val="006827D6"/>
    <w:rsid w:val="006900D9"/>
    <w:rsid w:val="006D12F8"/>
    <w:rsid w:val="006F03CE"/>
    <w:rsid w:val="00706C16"/>
    <w:rsid w:val="00756841"/>
    <w:rsid w:val="00760FA9"/>
    <w:rsid w:val="007649AB"/>
    <w:rsid w:val="00766271"/>
    <w:rsid w:val="00771D0C"/>
    <w:rsid w:val="00781CA2"/>
    <w:rsid w:val="007833AC"/>
    <w:rsid w:val="007A0F14"/>
    <w:rsid w:val="007B268C"/>
    <w:rsid w:val="007B7171"/>
    <w:rsid w:val="007C0C0F"/>
    <w:rsid w:val="007C3DC2"/>
    <w:rsid w:val="007E5497"/>
    <w:rsid w:val="007F5CA5"/>
    <w:rsid w:val="00806F5F"/>
    <w:rsid w:val="00820278"/>
    <w:rsid w:val="0082157E"/>
    <w:rsid w:val="00825584"/>
    <w:rsid w:val="00845F99"/>
    <w:rsid w:val="00873E5D"/>
    <w:rsid w:val="00881D83"/>
    <w:rsid w:val="008843B6"/>
    <w:rsid w:val="00891928"/>
    <w:rsid w:val="008A17A5"/>
    <w:rsid w:val="008A3F52"/>
    <w:rsid w:val="008A446D"/>
    <w:rsid w:val="008D180B"/>
    <w:rsid w:val="008E423C"/>
    <w:rsid w:val="008F0EA7"/>
    <w:rsid w:val="00923EEF"/>
    <w:rsid w:val="00924410"/>
    <w:rsid w:val="009356F9"/>
    <w:rsid w:val="009419F9"/>
    <w:rsid w:val="0095685E"/>
    <w:rsid w:val="00961B09"/>
    <w:rsid w:val="00965334"/>
    <w:rsid w:val="009674BD"/>
    <w:rsid w:val="0097093E"/>
    <w:rsid w:val="009934F4"/>
    <w:rsid w:val="009A0DFA"/>
    <w:rsid w:val="009B2D26"/>
    <w:rsid w:val="009C71FA"/>
    <w:rsid w:val="009C72E7"/>
    <w:rsid w:val="009D2583"/>
    <w:rsid w:val="009D3058"/>
    <w:rsid w:val="009F3A13"/>
    <w:rsid w:val="00A061C9"/>
    <w:rsid w:val="00A122D3"/>
    <w:rsid w:val="00A16F5D"/>
    <w:rsid w:val="00A17F13"/>
    <w:rsid w:val="00A20739"/>
    <w:rsid w:val="00A33C78"/>
    <w:rsid w:val="00A87684"/>
    <w:rsid w:val="00AA0E3E"/>
    <w:rsid w:val="00AB0ADB"/>
    <w:rsid w:val="00B01B1A"/>
    <w:rsid w:val="00B2555E"/>
    <w:rsid w:val="00B72CD3"/>
    <w:rsid w:val="00B72FFF"/>
    <w:rsid w:val="00BC3D36"/>
    <w:rsid w:val="00BD7F72"/>
    <w:rsid w:val="00C04FB3"/>
    <w:rsid w:val="00C330EB"/>
    <w:rsid w:val="00C754BE"/>
    <w:rsid w:val="00C76B1C"/>
    <w:rsid w:val="00C82635"/>
    <w:rsid w:val="00CB3758"/>
    <w:rsid w:val="00CB6357"/>
    <w:rsid w:val="00CC1B26"/>
    <w:rsid w:val="00D00257"/>
    <w:rsid w:val="00D423A2"/>
    <w:rsid w:val="00D520D8"/>
    <w:rsid w:val="00D63AC2"/>
    <w:rsid w:val="00D7383B"/>
    <w:rsid w:val="00D74BAA"/>
    <w:rsid w:val="00D91220"/>
    <w:rsid w:val="00DA231B"/>
    <w:rsid w:val="00DA23A0"/>
    <w:rsid w:val="00DB6237"/>
    <w:rsid w:val="00DC39FC"/>
    <w:rsid w:val="00DE21BA"/>
    <w:rsid w:val="00DF5254"/>
    <w:rsid w:val="00E16408"/>
    <w:rsid w:val="00E20894"/>
    <w:rsid w:val="00E245AB"/>
    <w:rsid w:val="00E2764C"/>
    <w:rsid w:val="00E27F2E"/>
    <w:rsid w:val="00E36A6C"/>
    <w:rsid w:val="00E413EA"/>
    <w:rsid w:val="00E50AFE"/>
    <w:rsid w:val="00E63C0B"/>
    <w:rsid w:val="00E72EC1"/>
    <w:rsid w:val="00E75C92"/>
    <w:rsid w:val="00E771DC"/>
    <w:rsid w:val="00E843A2"/>
    <w:rsid w:val="00E8772A"/>
    <w:rsid w:val="00E90F6B"/>
    <w:rsid w:val="00E92C27"/>
    <w:rsid w:val="00EA0E3D"/>
    <w:rsid w:val="00EC38A7"/>
    <w:rsid w:val="00EE1AA8"/>
    <w:rsid w:val="00F25647"/>
    <w:rsid w:val="00F31EDC"/>
    <w:rsid w:val="00F462B3"/>
    <w:rsid w:val="00F5664F"/>
    <w:rsid w:val="00F6134B"/>
    <w:rsid w:val="00F666C4"/>
    <w:rsid w:val="00F76AFC"/>
    <w:rsid w:val="00FA47C0"/>
    <w:rsid w:val="00FB5DD1"/>
    <w:rsid w:val="00FC2B5D"/>
    <w:rsid w:val="00FF1449"/>
    <w:rsid w:val="5CEADB7B"/>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Lista vistosa - Énfasis 11"/>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0D6CD6"/>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0D6CD6"/>
    <w:rPr>
      <w:rFonts w:ascii="Geomanist Light" w:hAnsi="Geomanist Light"/>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3835437">
      <w:bodyDiv w:val="1"/>
      <w:marLeft w:val="0"/>
      <w:marRight w:val="0"/>
      <w:marTop w:val="0"/>
      <w:marBottom w:val="0"/>
      <w:divBdr>
        <w:top w:val="none" w:sz="0" w:space="0" w:color="auto"/>
        <w:left w:val="none" w:sz="0" w:space="0" w:color="auto"/>
        <w:bottom w:val="none" w:sz="0" w:space="0" w:color="auto"/>
        <w:right w:val="none" w:sz="0" w:space="0" w:color="auto"/>
      </w:divBdr>
    </w:div>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82824882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1343514720">
      <w:bodyDiv w:val="1"/>
      <w:marLeft w:val="0"/>
      <w:marRight w:val="0"/>
      <w:marTop w:val="0"/>
      <w:marBottom w:val="0"/>
      <w:divBdr>
        <w:top w:val="none" w:sz="0" w:space="0" w:color="auto"/>
        <w:left w:val="none" w:sz="0" w:space="0" w:color="auto"/>
        <w:bottom w:val="none" w:sz="0" w:space="0" w:color="auto"/>
        <w:right w:val="none" w:sz="0" w:space="0" w:color="auto"/>
      </w:divBdr>
    </w:div>
    <w:div w:id="2003848616">
      <w:bodyDiv w:val="1"/>
      <w:marLeft w:val="0"/>
      <w:marRight w:val="0"/>
      <w:marTop w:val="0"/>
      <w:marBottom w:val="0"/>
      <w:divBdr>
        <w:top w:val="none" w:sz="0" w:space="0" w:color="auto"/>
        <w:left w:val="none" w:sz="0" w:space="0" w:color="auto"/>
        <w:bottom w:val="none" w:sz="0" w:space="0" w:color="auto"/>
        <w:right w:val="none" w:sz="0" w:space="0" w:color="auto"/>
      </w:divBdr>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relatoria.colombiacompra.gov.co/busqueda/conceptos"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www.colombiacompra.gov.co/sites/cce_public/files/cce_circulares/doc-20240823-wa0021.pdf"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controlinterno@emcorintoesp.com.co" TargetMode="External"/><Relationship Id="rId5" Type="http://schemas.openxmlformats.org/officeDocument/2006/relationships/styles" Target="styles.xml"/><Relationship Id="rId15" Type="http://schemas.openxmlformats.org/officeDocument/2006/relationships/image" Target="media/image3.png"/><Relationship Id="rId10" Type="http://schemas.openxmlformats.org/officeDocument/2006/relationships/image" Target="media/image2.png"/><Relationship Id="rId19"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nam02.safelinks.protection.outlook.com/?url=https%3A%2F%2Fwww.colombiacompra.gov.co%2Fsala-de-prensa%2Fboletin-digital&amp;data=05%7C02%7Cmartha.romero%40colombiacompra.gov.co%7C315ed31c447042b59dd908dd07f079f5%7C7b09041e245149d08cb179d5e3d8c1be%7C0%7C0%7C638675451604900896%7CUnknown%7CTWFpbGZsb3d8eyJFbXB0eU1hcGkiOnRydWUsIlYiOiIwLjAuMDAwMCIsIlAiOiJXaW4zMiIsIkFOIjoiTWFpbCIsIldUIjoyfQ%3D%3D%7C0%7C%7C%7C&amp;sdata=4OynsIcDoUi0wn09UzrJ8oeVVfEtQqotlfuOBHDZvw8%3D&amp;reserved=0"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SharedWithUsers xmlns="a6cb9e4b-f1d1-4245-83ec-6cad768d538a">
      <UserInfo>
        <DisplayName>Poxta IOIP</DisplayName>
        <AccountId>719</AccountId>
        <AccountType/>
      </UserInfo>
    </SharedWithUsers>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EA15B601-BF44-4CDF-B0C8-761975D1355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a6cb9e4b-f1d1-4245-83ec-6cad768d538a"/>
    <ds:schemaRef ds:uri="9d85dbaf-23eb-4e57-a637-93dcacc8b1a1"/>
  </ds:schemaRefs>
</ds:datastoreItem>
</file>

<file path=docProps/app.xml><?xml version="1.0" encoding="utf-8"?>
<Properties xmlns="http://schemas.openxmlformats.org/officeDocument/2006/extended-properties" xmlns:vt="http://schemas.openxmlformats.org/officeDocument/2006/docPropsVTypes">
  <Template>Normal</Template>
  <TotalTime>51</TotalTime>
  <Pages>15</Pages>
  <Words>4747</Words>
  <Characters>26114</Characters>
  <Application>Microsoft Office Word</Application>
  <DocSecurity>0</DocSecurity>
  <Lines>217</Lines>
  <Paragraphs>61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30800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Andreina Cerpa Muñoz</cp:lastModifiedBy>
  <cp:revision>11</cp:revision>
  <cp:lastPrinted>2023-01-10T21:18:00Z</cp:lastPrinted>
  <dcterms:created xsi:type="dcterms:W3CDTF">2024-12-04T03:33:00Z</dcterms:created>
  <dcterms:modified xsi:type="dcterms:W3CDTF">2025-10-10T20:27:00Z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