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5987E" w14:textId="77777777" w:rsidR="000D6CD6" w:rsidRPr="0067001B" w:rsidRDefault="000D6CD6" w:rsidP="00CB3758">
      <w:pPr>
        <w:spacing w:after="0" w:line="276" w:lineRule="auto"/>
        <w:rPr>
          <w:rFonts w:ascii="Verdana" w:eastAsia="Times New Roman" w:hAnsi="Verdana" w:cs="Arial"/>
          <w:b/>
          <w:bCs/>
          <w:color w:val="000000"/>
          <w:lang w:val="es-ES" w:eastAsia="es-ES"/>
        </w:rPr>
      </w:pPr>
      <w:r w:rsidRPr="0067001B">
        <w:rPr>
          <w:rFonts w:ascii="Verdana" w:eastAsia="Times New Roman" w:hAnsi="Verdana" w:cs="Arial"/>
          <w:b/>
          <w:bCs/>
          <w:color w:val="000000"/>
          <w:lang w:val="es-ES" w:eastAsia="es-ES"/>
        </w:rPr>
        <w:t>DOCUMENTOS TIPO – Fundamento Normativo –Ley 2022 de 2020</w:t>
      </w:r>
    </w:p>
    <w:p w14:paraId="4AB7E753" w14:textId="77777777" w:rsidR="000D6CD6" w:rsidRPr="0067001B" w:rsidRDefault="000D6CD6" w:rsidP="00CB3758">
      <w:pPr>
        <w:spacing w:after="0" w:line="276" w:lineRule="auto"/>
        <w:rPr>
          <w:rFonts w:ascii="Verdana" w:eastAsia="Times New Roman" w:hAnsi="Verdana" w:cs="Arial"/>
          <w:b/>
          <w:bCs/>
          <w:color w:val="000000"/>
          <w:lang w:val="es-ES" w:eastAsia="es-ES"/>
        </w:rPr>
      </w:pPr>
    </w:p>
    <w:p w14:paraId="0C3234EC" w14:textId="77777777" w:rsidR="000D6CD6" w:rsidRDefault="000D6CD6" w:rsidP="00CB3758">
      <w:pPr>
        <w:spacing w:after="0" w:line="276" w:lineRule="auto"/>
        <w:jc w:val="both"/>
        <w:rPr>
          <w:rFonts w:ascii="Verdana" w:eastAsia="Times New Roman" w:hAnsi="Verdana" w:cs="Arial"/>
          <w:color w:val="000000"/>
          <w:sz w:val="20"/>
          <w:szCs w:val="20"/>
          <w:lang w:val="es-ES"/>
        </w:rPr>
      </w:pPr>
      <w:r w:rsidRPr="0067001B">
        <w:rPr>
          <w:rFonts w:ascii="Verdana" w:eastAsia="Times New Roman" w:hAnsi="Verdana" w:cs="Arial"/>
          <w:color w:val="000000"/>
          <w:sz w:val="20"/>
          <w:szCs w:val="20"/>
          <w:lang w:val="es-ES"/>
        </w:rPr>
        <w:t>Los Documentos Tipo expedidos por esta Agencia en ejercicio de la potestad otorgada por la Ley 2022 de 2020 son de obligatoria observancia para las Entidades Estatales sometidas al Estatuto General de Contratación de la Administración Pública. Debido a esto tales entidades deben aplicar de manera forzosa los Documentos Tipo para desarrollar los Procesos de Contratación en los objetos y modalidades cobijadas por los Documentos Tipo. Para establecer si determinado objeto contractual se encuentra cobijado o no por los Documentos Tipo es necesario establecer si el mismo se enmarca en los tipos de infraestructura, modalidades de selección y tipos de obra estandarizadas en las respectivas matrices de experiencia. De esta manera solo resulta obligatoria la aplicación de un documento tipo en particular cuando se ha establecido que en el objeto contractual y la modalidad en la que debe contratarse están dentro del ámbito de aplicación de alguna de las resoluciones expedidas para la adopción de los Documentos Tipo vigentes.</w:t>
      </w:r>
    </w:p>
    <w:p w14:paraId="7D24E612" w14:textId="77777777" w:rsidR="000D6CD6" w:rsidRPr="00EC389D" w:rsidRDefault="000D6CD6" w:rsidP="00CB3758">
      <w:pPr>
        <w:spacing w:after="0" w:line="276" w:lineRule="auto"/>
        <w:jc w:val="both"/>
        <w:rPr>
          <w:rFonts w:ascii="Verdana" w:eastAsia="Times New Roman" w:hAnsi="Verdana" w:cs="Arial"/>
          <w:color w:val="000000"/>
          <w:sz w:val="20"/>
          <w:szCs w:val="20"/>
          <w:lang w:val="es-ES"/>
        </w:rPr>
      </w:pPr>
    </w:p>
    <w:p w14:paraId="0B9B446B" w14:textId="77777777" w:rsidR="000D6CD6" w:rsidRPr="009C5A97" w:rsidRDefault="000D6CD6" w:rsidP="00CB3758">
      <w:pPr>
        <w:shd w:val="clear" w:color="auto" w:fill="FFFFFF" w:themeFill="background1"/>
        <w:spacing w:after="340" w:line="276" w:lineRule="auto"/>
        <w:jc w:val="both"/>
        <w:rPr>
          <w:rFonts w:ascii="Verdana" w:eastAsia="Calibri" w:hAnsi="Verdana" w:cs="Arial"/>
          <w:b/>
          <w:bCs/>
          <w:sz w:val="20"/>
          <w:szCs w:val="20"/>
          <w:lang w:val="es-ES" w:eastAsia="es-ES"/>
        </w:rPr>
      </w:pPr>
      <w:r w:rsidRPr="009C5A97">
        <w:rPr>
          <w:rFonts w:ascii="Verdana" w:eastAsia="Calibri" w:hAnsi="Verdana" w:cs="Arial"/>
          <w:b/>
          <w:bCs/>
          <w:sz w:val="20"/>
          <w:szCs w:val="20"/>
          <w:lang w:val="es-ES" w:eastAsia="es-ES"/>
        </w:rPr>
        <w:t>DOCUMENTOS TIPO – Inalterabilidad – Configuración – Pliego de condiciones – Alcance</w:t>
      </w:r>
    </w:p>
    <w:p w14:paraId="5E9C645B" w14:textId="77777777" w:rsidR="000D6CD6" w:rsidRPr="009C5A97" w:rsidRDefault="000D6CD6" w:rsidP="00CB3758">
      <w:pPr>
        <w:shd w:val="clear" w:color="auto" w:fill="FFFFFF" w:themeFill="background1"/>
        <w:spacing w:after="340" w:line="276" w:lineRule="auto"/>
        <w:jc w:val="both"/>
        <w:rPr>
          <w:rFonts w:ascii="Verdana" w:eastAsia="Calibri" w:hAnsi="Verdana" w:cs="Arial"/>
          <w:sz w:val="20"/>
          <w:szCs w:val="20"/>
          <w:lang w:val="es-ES" w:eastAsia="es-ES"/>
        </w:rPr>
      </w:pPr>
      <w:r w:rsidRPr="009C5A97">
        <w:rPr>
          <w:rFonts w:ascii="Verdana" w:eastAsia="Calibri" w:hAnsi="Verdana" w:cs="Arial"/>
          <w:sz w:val="20"/>
          <w:szCs w:val="20"/>
          <w:lang w:val="es-ES" w:eastAsia="es-ES"/>
        </w:rPr>
        <w:t>Los artículos 2.2.1.2.6.1.4 , 2.2.1.2.6.2.3  y 2.2.1.2.6.3.4  del Decreto 1082 de 2015 establecen la inalterabilidad de los documentos tipo para las modalidades de licitación pública, selección abreviada de menor cuantía y mínima cuantía,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 en ejercicio del mandato establecido en el artículo 4 de la Ley 1882 de 2018, modificado por la Ley 2022 de 2020, son de obligatorio cumplimiento e inalterables para las entidades sometidas al EGCAP que adelanten procesos que deban regirse por su contenido. Por tanto, no pueden variar los requisitos que en ellos sean fijados, ni establecer reglas o requisitos adicionales a los establecidos en los Documentos Tipo para la presentación de las ofertas y la acreditación de los requisitos habilitantes.</w:t>
      </w:r>
    </w:p>
    <w:p w14:paraId="30C2ECB2" w14:textId="77777777" w:rsidR="000D6CD6" w:rsidRPr="009C5A97" w:rsidRDefault="000D6CD6" w:rsidP="00CB3758">
      <w:pPr>
        <w:spacing w:after="0" w:line="276" w:lineRule="auto"/>
        <w:jc w:val="both"/>
        <w:rPr>
          <w:rFonts w:ascii="Verdana" w:eastAsia="Calibri" w:hAnsi="Verdana" w:cs="Arial"/>
          <w:b/>
          <w:bCs/>
          <w:sz w:val="20"/>
          <w:szCs w:val="20"/>
          <w:lang w:val="es-ES" w:eastAsia="es-ES"/>
        </w:rPr>
      </w:pPr>
      <w:r w:rsidRPr="009C5A97">
        <w:rPr>
          <w:rFonts w:ascii="Verdana" w:eastAsia="Calibri" w:hAnsi="Verdana" w:cs="Arial"/>
          <w:b/>
          <w:bCs/>
          <w:sz w:val="20"/>
          <w:szCs w:val="20"/>
          <w:lang w:val="es-ES" w:eastAsia="es-ES"/>
        </w:rPr>
        <w:t>INALTERABILIDAD – Documentos Tipo – Alcance</w:t>
      </w:r>
    </w:p>
    <w:p w14:paraId="40FF493F" w14:textId="77777777" w:rsidR="000D6CD6" w:rsidRPr="009C5A97" w:rsidRDefault="000D6CD6" w:rsidP="00CB3758">
      <w:pPr>
        <w:spacing w:after="0" w:line="276" w:lineRule="auto"/>
        <w:ind w:left="708"/>
        <w:jc w:val="both"/>
        <w:rPr>
          <w:rFonts w:ascii="Verdana" w:eastAsia="Calibri" w:hAnsi="Verdana" w:cs="Arial"/>
          <w:b/>
          <w:bCs/>
          <w:sz w:val="20"/>
          <w:szCs w:val="20"/>
          <w:lang w:val="es-ES" w:eastAsia="es-ES"/>
        </w:rPr>
      </w:pPr>
      <w:r w:rsidRPr="009C5A97">
        <w:rPr>
          <w:rFonts w:ascii="Verdana" w:eastAsia="Calibri" w:hAnsi="Verdana" w:cs="Arial"/>
          <w:b/>
          <w:bCs/>
          <w:sz w:val="20"/>
          <w:szCs w:val="20"/>
          <w:lang w:val="es-ES" w:eastAsia="es-ES"/>
        </w:rPr>
        <w:t xml:space="preserve"> </w:t>
      </w:r>
    </w:p>
    <w:p w14:paraId="1CA9D4E6" w14:textId="77777777" w:rsidR="000D6CD6" w:rsidRPr="009C5A97" w:rsidRDefault="000D6CD6" w:rsidP="00CB3758">
      <w:pPr>
        <w:spacing w:after="0" w:line="276" w:lineRule="auto"/>
        <w:jc w:val="both"/>
        <w:rPr>
          <w:rFonts w:ascii="Verdana" w:eastAsia="Calibri" w:hAnsi="Verdana" w:cs="Arial"/>
          <w:sz w:val="20"/>
          <w:szCs w:val="20"/>
          <w:lang w:val="es-ES" w:eastAsia="es-ES"/>
        </w:rPr>
      </w:pPr>
      <w:r w:rsidRPr="009C5A97">
        <w:rPr>
          <w:rFonts w:ascii="Verdana" w:eastAsia="Calibri" w:hAnsi="Verdana" w:cs="Arial"/>
          <w:sz w:val="20"/>
          <w:szCs w:val="20"/>
          <w:lang w:val="es-ES" w:eastAsia="es-ES"/>
        </w:rPr>
        <w:t xml:space="preserve">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Documentos del Proceso condiciones habilitantes, factores técnicos y económicos de escogencia y sistemas de ponderación distintos a los señalados en los Documentos Tipo. En consecuencia, las condiciones establecidas en dichos documentos son de obligatorio cumplimiento para las entidades </w:t>
      </w:r>
      <w:r w:rsidRPr="009C5A97">
        <w:rPr>
          <w:rFonts w:ascii="Verdana" w:eastAsia="Calibri" w:hAnsi="Verdana" w:cs="Arial"/>
          <w:sz w:val="20"/>
          <w:szCs w:val="20"/>
          <w:lang w:val="es-ES" w:eastAsia="es-ES"/>
        </w:rPr>
        <w:lastRenderedPageBreak/>
        <w:t>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3A593B52" w14:textId="77777777" w:rsidR="000D6CD6" w:rsidRDefault="000D6CD6" w:rsidP="00CB3758">
      <w:pPr>
        <w:spacing w:after="0" w:line="276" w:lineRule="auto"/>
        <w:jc w:val="both"/>
        <w:rPr>
          <w:rFonts w:ascii="Verdana" w:eastAsia="Calibri" w:hAnsi="Verdana" w:cs="Arial"/>
          <w:sz w:val="20"/>
          <w:szCs w:val="20"/>
          <w:lang w:val="es-ES" w:eastAsia="es-ES"/>
        </w:rPr>
      </w:pPr>
    </w:p>
    <w:p w14:paraId="0C45825F" w14:textId="77777777" w:rsidR="000D6CD6" w:rsidRPr="00A75D14" w:rsidRDefault="000D6CD6" w:rsidP="00CB3758">
      <w:pPr>
        <w:spacing w:after="0" w:line="276" w:lineRule="auto"/>
        <w:jc w:val="both"/>
        <w:rPr>
          <w:rFonts w:ascii="Verdana" w:hAnsi="Verdana"/>
        </w:rPr>
      </w:pPr>
      <w:r w:rsidRPr="00A75D14">
        <w:rPr>
          <w:rFonts w:ascii="Verdana" w:eastAsia="Calibri" w:hAnsi="Verdana" w:cs="Arial"/>
          <w:b/>
          <w:kern w:val="2"/>
          <w:lang w:val="es-ES_tradnl" w:eastAsia="es-ES_tradnl"/>
          <w14:ligatures w14:val="standardContextual"/>
        </w:rPr>
        <w:t>LEY 2195 DE 2022 – Artículo 56 – Alcance – Excepción</w:t>
      </w:r>
    </w:p>
    <w:p w14:paraId="61A73839" w14:textId="77777777" w:rsidR="000D6CD6" w:rsidRPr="00A75D14" w:rsidRDefault="000D6CD6" w:rsidP="00CB3758">
      <w:pPr>
        <w:tabs>
          <w:tab w:val="left" w:pos="0"/>
        </w:tabs>
        <w:spacing w:after="0" w:line="276" w:lineRule="auto"/>
        <w:jc w:val="both"/>
        <w:rPr>
          <w:rFonts w:ascii="Verdana" w:eastAsia="Calibri" w:hAnsi="Verdana" w:cs="Arial"/>
          <w:b/>
          <w:kern w:val="2"/>
          <w:lang w:val="es-ES_tradnl" w:eastAsia="es-ES_tradnl"/>
          <w14:ligatures w14:val="standardContextual"/>
        </w:rPr>
      </w:pPr>
    </w:p>
    <w:p w14:paraId="6724C802" w14:textId="77777777" w:rsidR="000D6CD6" w:rsidRPr="00A22D0B" w:rsidRDefault="000D6CD6" w:rsidP="00CB3758">
      <w:pPr>
        <w:snapToGrid w:val="0"/>
        <w:spacing w:after="0" w:line="276" w:lineRule="auto"/>
        <w:jc w:val="both"/>
        <w:rPr>
          <w:rFonts w:ascii="Verdana" w:eastAsia="Calibri" w:hAnsi="Verdana" w:cs="Arial"/>
          <w:kern w:val="2"/>
          <w:sz w:val="20"/>
          <w:szCs w:val="20"/>
          <w:lang w:val="es-ES" w:eastAsia="es-ES"/>
          <w14:ligatures w14:val="standardContextual"/>
        </w:rPr>
      </w:pPr>
      <w:r w:rsidRPr="00A22D0B">
        <w:rPr>
          <w:rFonts w:ascii="Verdana" w:eastAsia="Calibri" w:hAnsi="Verdana" w:cs="Arial"/>
          <w:kern w:val="2"/>
          <w:sz w:val="20"/>
          <w:szCs w:val="20"/>
          <w:lang w:val="es-ES" w:eastAsia="es-ES"/>
          <w14:ligatures w14:val="standardContextual"/>
        </w:rPr>
        <w:t xml:space="preserve">Es necesario precisar el alcance de lo dispuesto en los dos primeros incisos del artículo 56, de acuerdo con lo establecido en su parágrafo, el cual excluye de la aplicación de los primeros incisos del artículo 56, a cierto tipo de entidades, en lo relacionado con la contratación de su </w:t>
      </w:r>
      <w:r w:rsidRPr="00A22D0B">
        <w:rPr>
          <w:rFonts w:ascii="Verdana" w:eastAsia="Calibri" w:hAnsi="Verdana" w:cs="Arial"/>
          <w:i/>
          <w:kern w:val="2"/>
          <w:sz w:val="20"/>
          <w:szCs w:val="20"/>
          <w:lang w:val="es-ES" w:eastAsia="es-ES"/>
          <w14:ligatures w14:val="standardContextual"/>
        </w:rPr>
        <w:t>giro ordinario</w:t>
      </w:r>
      <w:r w:rsidRPr="00A22D0B">
        <w:rPr>
          <w:rFonts w:ascii="Verdana" w:eastAsia="Calibri" w:hAnsi="Verdana" w:cs="Arial"/>
          <w:kern w:val="2"/>
          <w:sz w:val="20"/>
          <w:szCs w:val="20"/>
          <w:lang w:val="es-ES" w:eastAsia="es-ES"/>
          <w14:ligatures w14:val="standardContextual"/>
        </w:rPr>
        <w:t xml:space="preserve">. Conforme se desprende del texto del referido parágrafo, se exceptúa de lo señalado en los dos primeros incisos a: i) las instituciones de educación superior públicas, ii) las empresas sociales del Estado, iii) las sociedades de economía mixta y iv) las empresas industriales y comerciales del Estado, únicamente, en la contratación relacionada con el </w:t>
      </w:r>
      <w:r w:rsidRPr="00A22D0B">
        <w:rPr>
          <w:rFonts w:ascii="Verdana" w:eastAsia="Calibri" w:hAnsi="Verdana" w:cs="Arial"/>
          <w:i/>
          <w:kern w:val="2"/>
          <w:sz w:val="20"/>
          <w:szCs w:val="20"/>
          <w:lang w:val="es-ES" w:eastAsia="es-ES"/>
          <w14:ligatures w14:val="standardContextual"/>
        </w:rPr>
        <w:t>giro ordinario.</w:t>
      </w:r>
      <w:r w:rsidRPr="00A22D0B">
        <w:rPr>
          <w:rFonts w:ascii="Verdana" w:eastAsia="Calibri" w:hAnsi="Verdana" w:cs="Arial"/>
          <w:kern w:val="2"/>
          <w:sz w:val="20"/>
          <w:szCs w:val="20"/>
          <w:lang w:val="es-ES" w:eastAsia="es-ES"/>
          <w14:ligatures w14:val="standardContextual"/>
        </w:rPr>
        <w:t xml:space="preserve"> Esto significa que, en la contratación asociada a su </w:t>
      </w:r>
      <w:r w:rsidRPr="00A22D0B">
        <w:rPr>
          <w:rFonts w:ascii="Verdana" w:eastAsia="Calibri" w:hAnsi="Verdana" w:cs="Arial"/>
          <w:i/>
          <w:kern w:val="2"/>
          <w:sz w:val="20"/>
          <w:szCs w:val="20"/>
          <w:lang w:val="es-ES" w:eastAsia="es-ES"/>
          <w14:ligatures w14:val="standardContextual"/>
        </w:rPr>
        <w:t xml:space="preserve">giro ordinario, </w:t>
      </w:r>
      <w:r w:rsidRPr="00A22D0B">
        <w:rPr>
          <w:rFonts w:ascii="Verdana" w:eastAsia="Calibri" w:hAnsi="Verdana" w:cs="Arial"/>
          <w:kern w:val="2"/>
          <w:sz w:val="20"/>
          <w:szCs w:val="20"/>
          <w:lang w:val="es-ES" w:eastAsia="es-ES"/>
          <w14:ligatures w14:val="standardContextua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0919E4BF" w14:textId="77777777" w:rsidR="000D6CD6" w:rsidRPr="00A75D14" w:rsidRDefault="000D6CD6" w:rsidP="00CB3758">
      <w:pPr>
        <w:tabs>
          <w:tab w:val="left" w:pos="0"/>
        </w:tabs>
        <w:spacing w:after="0" w:line="276" w:lineRule="auto"/>
        <w:jc w:val="both"/>
        <w:rPr>
          <w:rFonts w:ascii="Verdana" w:eastAsia="Calibri" w:hAnsi="Verdana" w:cs="Arial"/>
          <w:b/>
          <w:kern w:val="2"/>
          <w:sz w:val="21"/>
          <w:szCs w:val="21"/>
          <w:lang w:val="es-ES_tradnl"/>
          <w14:ligatures w14:val="standardContextual"/>
        </w:rPr>
      </w:pPr>
    </w:p>
    <w:p w14:paraId="41693C11" w14:textId="77777777" w:rsidR="000D6CD6" w:rsidRPr="00A75D14" w:rsidRDefault="000D6CD6" w:rsidP="00CB3758">
      <w:pPr>
        <w:tabs>
          <w:tab w:val="left" w:pos="0"/>
        </w:tabs>
        <w:spacing w:after="0" w:line="276" w:lineRule="auto"/>
        <w:jc w:val="both"/>
        <w:rPr>
          <w:rFonts w:ascii="Verdana" w:eastAsia="Calibri" w:hAnsi="Verdana" w:cs="Arial"/>
          <w:b/>
          <w:kern w:val="2"/>
          <w:lang w:val="es-ES_tradnl"/>
          <w14:ligatures w14:val="standardContextual"/>
        </w:rPr>
      </w:pPr>
      <w:r w:rsidRPr="00A75D14">
        <w:rPr>
          <w:rFonts w:ascii="Verdana" w:eastAsia="Calibri" w:hAnsi="Verdana" w:cs="Arial"/>
          <w:b/>
          <w:kern w:val="2"/>
          <w:lang w:val="es-ES_tradnl"/>
          <w14:ligatures w14:val="standardContextual"/>
        </w:rPr>
        <w:t>LEY 2195 DE 2022 – Artículo 56 – Parágrafo – Excepciones – Giro ordinario – Interpretación</w:t>
      </w:r>
    </w:p>
    <w:p w14:paraId="7D32395B" w14:textId="77777777" w:rsidR="000D6CD6" w:rsidRPr="00A75D14" w:rsidRDefault="000D6CD6" w:rsidP="00CB3758">
      <w:pPr>
        <w:tabs>
          <w:tab w:val="left" w:pos="0"/>
        </w:tabs>
        <w:spacing w:after="0" w:line="276" w:lineRule="auto"/>
        <w:jc w:val="both"/>
        <w:rPr>
          <w:rFonts w:ascii="Verdana" w:eastAsia="Calibri" w:hAnsi="Verdana" w:cs="Arial"/>
          <w:bCs/>
          <w:kern w:val="2"/>
          <w:lang w:val="es-ES_tradnl"/>
          <w14:ligatures w14:val="standardContextual"/>
        </w:rPr>
      </w:pPr>
    </w:p>
    <w:p w14:paraId="0ACF4874" w14:textId="77777777" w:rsidR="000D6CD6" w:rsidRPr="00A22D0B" w:rsidRDefault="000D6CD6" w:rsidP="00CB3758">
      <w:pPr>
        <w:snapToGrid w:val="0"/>
        <w:spacing w:after="0" w:line="276" w:lineRule="auto"/>
        <w:jc w:val="both"/>
        <w:rPr>
          <w:rFonts w:ascii="Verdana" w:eastAsia="Calibri" w:hAnsi="Verdana" w:cs="Arial"/>
          <w:kern w:val="2"/>
          <w:sz w:val="20"/>
          <w:szCs w:val="20"/>
          <w:lang w:val="es-ES" w:eastAsia="es-ES"/>
          <w14:ligatures w14:val="standardContextual"/>
        </w:rPr>
      </w:pPr>
      <w:r w:rsidRPr="00A22D0B">
        <w:rPr>
          <w:rFonts w:ascii="Verdana" w:eastAsia="Calibri" w:hAnsi="Verdana" w:cs="Arial"/>
          <w:kern w:val="2"/>
          <w:sz w:val="20"/>
          <w:szCs w:val="20"/>
          <w:lang w:val="es-ES" w:eastAsia="es-ES"/>
          <w14:ligatures w14:val="standardContextual"/>
        </w:rPr>
        <w:t xml:space="preserve">Es necesario precisar el alcance de lo dispuesto en los dos primeros incisos del artículo 56, de acuerdo con lo establecido en su parágrafo, el cual excluye de la aplicación de los primeros incisos del artículo 56, a cierto tipo de entidades, en lo relacionado con la contratación de su </w:t>
      </w:r>
      <w:r w:rsidRPr="00A22D0B">
        <w:rPr>
          <w:rFonts w:ascii="Verdana" w:eastAsia="Calibri" w:hAnsi="Verdana" w:cs="Arial"/>
          <w:i/>
          <w:kern w:val="2"/>
          <w:sz w:val="20"/>
          <w:szCs w:val="20"/>
          <w:lang w:val="es-ES" w:eastAsia="es-ES"/>
          <w14:ligatures w14:val="standardContextual"/>
        </w:rPr>
        <w:t>giro ordinario</w:t>
      </w:r>
      <w:r w:rsidRPr="00A22D0B">
        <w:rPr>
          <w:rFonts w:ascii="Verdana" w:eastAsia="Calibri" w:hAnsi="Verdana" w:cs="Arial"/>
          <w:kern w:val="2"/>
          <w:sz w:val="20"/>
          <w:szCs w:val="20"/>
          <w:lang w:val="es-ES" w:eastAsia="es-ES"/>
          <w14:ligatures w14:val="standardContextual"/>
        </w:rPr>
        <w:t xml:space="preserve">. Conforme se desprende del texto del referido parágrafo, se exceptúa de lo señalado en los dos primeros incisos a: i) las instituciones de educación superior públicas, ii) las empresas sociales del Estado, iii) las sociedades de economía mixta y iv) las empresas industriales y comerciales del Estado, únicamente, en la contratación relacionada con el </w:t>
      </w:r>
      <w:r w:rsidRPr="00A22D0B">
        <w:rPr>
          <w:rFonts w:ascii="Verdana" w:eastAsia="Calibri" w:hAnsi="Verdana" w:cs="Arial"/>
          <w:i/>
          <w:kern w:val="2"/>
          <w:sz w:val="20"/>
          <w:szCs w:val="20"/>
          <w:lang w:val="es-ES" w:eastAsia="es-ES"/>
          <w14:ligatures w14:val="standardContextual"/>
        </w:rPr>
        <w:t>giro ordinario.</w:t>
      </w:r>
      <w:r w:rsidRPr="00A22D0B">
        <w:rPr>
          <w:rFonts w:ascii="Verdana" w:eastAsia="Calibri" w:hAnsi="Verdana" w:cs="Arial"/>
          <w:kern w:val="2"/>
          <w:sz w:val="20"/>
          <w:szCs w:val="20"/>
          <w:lang w:val="es-ES" w:eastAsia="es-ES"/>
          <w14:ligatures w14:val="standardContextual"/>
        </w:rPr>
        <w:t xml:space="preserve"> Esto significa que, en la contratación asociada a su </w:t>
      </w:r>
      <w:r w:rsidRPr="00A22D0B">
        <w:rPr>
          <w:rFonts w:ascii="Verdana" w:eastAsia="Calibri" w:hAnsi="Verdana" w:cs="Arial"/>
          <w:i/>
          <w:kern w:val="2"/>
          <w:sz w:val="20"/>
          <w:szCs w:val="20"/>
          <w:lang w:val="es-ES" w:eastAsia="es-ES"/>
          <w14:ligatures w14:val="standardContextual"/>
        </w:rPr>
        <w:t xml:space="preserve">giro ordinario, </w:t>
      </w:r>
      <w:r w:rsidRPr="00A22D0B">
        <w:rPr>
          <w:rFonts w:ascii="Verdana" w:eastAsia="Calibri" w:hAnsi="Verdana" w:cs="Arial"/>
          <w:kern w:val="2"/>
          <w:sz w:val="20"/>
          <w:szCs w:val="20"/>
          <w:lang w:val="es-ES" w:eastAsia="es-ES"/>
          <w14:ligatures w14:val="standardContextua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4D1B4F4D" w14:textId="77777777" w:rsidR="000D6CD6" w:rsidRPr="00A22D0B" w:rsidRDefault="000D6CD6" w:rsidP="00CB3758">
      <w:pPr>
        <w:snapToGrid w:val="0"/>
        <w:spacing w:after="0" w:line="276" w:lineRule="auto"/>
        <w:ind w:left="720"/>
        <w:jc w:val="both"/>
        <w:rPr>
          <w:rFonts w:ascii="Verdana" w:eastAsia="Calibri" w:hAnsi="Verdana" w:cs="Arial"/>
          <w:kern w:val="2"/>
          <w:sz w:val="20"/>
          <w:szCs w:val="20"/>
          <w:lang w:val="es-ES" w:eastAsia="es-ES"/>
          <w14:ligatures w14:val="standardContextual"/>
        </w:rPr>
      </w:pPr>
    </w:p>
    <w:p w14:paraId="2BBE098D" w14:textId="77777777" w:rsidR="000D6CD6" w:rsidRDefault="000D6CD6" w:rsidP="00CB3758">
      <w:pPr>
        <w:tabs>
          <w:tab w:val="left" w:pos="0"/>
        </w:tabs>
        <w:snapToGrid w:val="0"/>
        <w:spacing w:after="0" w:line="276" w:lineRule="auto"/>
        <w:jc w:val="both"/>
        <w:rPr>
          <w:rFonts w:ascii="Verdana" w:eastAsia="Arial" w:hAnsi="Verdana" w:cs="Arial"/>
          <w:kern w:val="2"/>
          <w:sz w:val="20"/>
          <w:szCs w:val="20"/>
          <w:lang w:val="es-ES_tradnl" w:eastAsia="es-ES_tradnl"/>
          <w14:ligatures w14:val="standardContextual"/>
        </w:rPr>
      </w:pPr>
      <w:r w:rsidRPr="00A22D0B">
        <w:rPr>
          <w:rFonts w:ascii="Verdana" w:eastAsia="Calibri" w:hAnsi="Verdana" w:cs="Arial"/>
          <w:bCs/>
          <w:kern w:val="2"/>
          <w:sz w:val="20"/>
          <w:szCs w:val="20"/>
          <w:lang w:val="es-ES_tradnl" w:eastAsia="es-ES_tradnl"/>
          <w14:ligatures w14:val="standardContextual"/>
        </w:rPr>
        <w:t xml:space="preserve">Ahora, es importante tener en cuenta que cuando la norma se refiere a la contratación del </w:t>
      </w:r>
      <w:r w:rsidRPr="00A22D0B">
        <w:rPr>
          <w:rFonts w:ascii="Verdana" w:eastAsia="Calibri" w:hAnsi="Verdana" w:cs="Arial"/>
          <w:bCs/>
          <w:i/>
          <w:iCs/>
          <w:kern w:val="2"/>
          <w:sz w:val="20"/>
          <w:szCs w:val="20"/>
          <w:lang w:val="es-ES_tradnl" w:eastAsia="es-ES_tradnl"/>
          <w14:ligatures w14:val="standardContextual"/>
        </w:rPr>
        <w:t>giro ordinario</w:t>
      </w:r>
      <w:r w:rsidRPr="00A22D0B">
        <w:rPr>
          <w:rFonts w:ascii="Verdana" w:eastAsia="Calibri" w:hAnsi="Verdana" w:cs="Arial"/>
          <w:bCs/>
          <w:kern w:val="2"/>
          <w:sz w:val="20"/>
          <w:szCs w:val="20"/>
          <w:lang w:val="es-ES_tradnl" w:eastAsia="es-ES_tradnl"/>
          <w14:ligatures w14:val="standardContextual"/>
        </w:rPr>
        <w:t xml:space="preserve">, emplea un concepto jurídico indeterminado. </w:t>
      </w:r>
      <w:r w:rsidRPr="00A22D0B">
        <w:rPr>
          <w:rFonts w:ascii="Verdana" w:eastAsia="Arial" w:hAnsi="Verdana" w:cs="Arial"/>
          <w:kern w:val="2"/>
          <w:sz w:val="20"/>
          <w:szCs w:val="20"/>
          <w:lang w:val="es-ES_tradnl" w:eastAsia="es-ES_tradnl"/>
          <w14:ligatures w14:val="standardContextua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w:t>
      </w:r>
      <w:r w:rsidRPr="00A22D0B">
        <w:rPr>
          <w:rFonts w:ascii="Verdana" w:eastAsia="Arial" w:hAnsi="Verdana" w:cs="Arial"/>
          <w:kern w:val="2"/>
          <w:sz w:val="20"/>
          <w:szCs w:val="20"/>
          <w:lang w:val="es-ES_tradnl" w:eastAsia="es-ES_tradnl"/>
          <w14:ligatures w14:val="standardContextual"/>
        </w:rPr>
        <w:lastRenderedPageBreak/>
        <w:t xml:space="preserve">estatales gozan de cierto margen de apreciación en su aplicación, pero deben respetar los límites previstos en las normas de orden público. Por ejemplo, no podrán considerar que cualquier contrato que celebren hace parte del giro ordinario de sus negocios. </w:t>
      </w:r>
    </w:p>
    <w:p w14:paraId="34813220" w14:textId="77777777" w:rsidR="000D6CD6" w:rsidRDefault="000D6CD6" w:rsidP="00CB3758">
      <w:pPr>
        <w:tabs>
          <w:tab w:val="left" w:pos="0"/>
        </w:tabs>
        <w:snapToGrid w:val="0"/>
        <w:spacing w:after="0" w:line="276" w:lineRule="auto"/>
        <w:jc w:val="both"/>
        <w:rPr>
          <w:rFonts w:ascii="Verdana" w:eastAsia="Arial" w:hAnsi="Verdana" w:cs="Arial"/>
          <w:kern w:val="2"/>
          <w:sz w:val="20"/>
          <w:szCs w:val="20"/>
          <w:lang w:val="es-ES_tradnl" w:eastAsia="es-ES_tradnl"/>
          <w14:ligatures w14:val="standardContextual"/>
        </w:rPr>
      </w:pPr>
    </w:p>
    <w:p w14:paraId="5B6CCF8A" w14:textId="77777777" w:rsidR="000D6CD6" w:rsidRPr="00213A2C" w:rsidRDefault="000D6CD6" w:rsidP="00CB3758">
      <w:pPr>
        <w:spacing w:after="0" w:line="276" w:lineRule="auto"/>
        <w:jc w:val="both"/>
        <w:rPr>
          <w:rFonts w:ascii="Verdana" w:eastAsia="Times New Roman" w:hAnsi="Verdana" w:cs="Arial"/>
          <w:b/>
          <w:bCs/>
          <w:sz w:val="20"/>
          <w:szCs w:val="20"/>
          <w:lang w:val="es-ES" w:eastAsia="es-ES"/>
        </w:rPr>
      </w:pPr>
      <w:r w:rsidRPr="00213A2C">
        <w:rPr>
          <w:rFonts w:ascii="Verdana" w:eastAsia="Times New Roman" w:hAnsi="Verdana" w:cs="Arial"/>
          <w:b/>
          <w:bCs/>
          <w:sz w:val="20"/>
          <w:szCs w:val="20"/>
          <w:lang w:val="es-ES" w:eastAsia="es-ES"/>
        </w:rPr>
        <w:t>ENTIDADES CON RÉGIMEN ESPECIAL DE CONTRATACIÓN – Publicación en SECOP – Actividad contractual – Término para publicar – Circular Externa No. 002 de 2024</w:t>
      </w:r>
    </w:p>
    <w:p w14:paraId="7862B9C5" w14:textId="77777777" w:rsidR="000D6CD6" w:rsidRPr="00213A2C" w:rsidRDefault="000D6CD6" w:rsidP="00CB3758">
      <w:pPr>
        <w:spacing w:after="0" w:line="276" w:lineRule="auto"/>
        <w:jc w:val="both"/>
        <w:rPr>
          <w:rFonts w:ascii="Verdana" w:eastAsia="Times New Roman" w:hAnsi="Verdana" w:cs="Arial"/>
          <w:b/>
          <w:bCs/>
          <w:sz w:val="20"/>
          <w:szCs w:val="20"/>
          <w:highlight w:val="yellow"/>
          <w:lang w:val="es-ES_tradnl" w:eastAsia="es-ES_tradnl"/>
        </w:rPr>
      </w:pPr>
    </w:p>
    <w:p w14:paraId="7E7DB632" w14:textId="77777777" w:rsidR="000D6CD6" w:rsidRPr="00213A2C" w:rsidRDefault="000D6CD6" w:rsidP="00CB3758">
      <w:pPr>
        <w:spacing w:after="0" w:line="276" w:lineRule="auto"/>
        <w:jc w:val="both"/>
        <w:rPr>
          <w:rFonts w:ascii="Verdana" w:eastAsia="Times New Roman" w:hAnsi="Verdana" w:cs="Times New Roman"/>
          <w:sz w:val="20"/>
          <w:szCs w:val="20"/>
        </w:rPr>
      </w:pPr>
      <w:r w:rsidRPr="00213A2C">
        <w:rPr>
          <w:rFonts w:ascii="Verdana" w:eastAsia="Times New Roman" w:hAnsi="Verdana" w:cs="Times New Roman"/>
          <w:sz w:val="20"/>
          <w:szCs w:val="20"/>
        </w:rPr>
        <w:t>[…] el artículo 53 de la Ley 2195 de 2022 establece el deber de publicar toda aquella información relacionada con el respectivo contrato, sin incluir ninguna excepción relacionada con la naturaleza u objeto contractual. 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Adicionalmente se aclara, que el cumplimiento del deber de publicación de la documentación contractual debe armonizarse con las normas aplicables al tipo de información que estas contienen. Lo anterior significa que, respecto de datos sensibles, información sometida a reserva o de la cual proceda un tratamiento especial que impida su publicidad, las entidades deberán proceder de conformidad con el tratamiento que impongan tales normas.</w:t>
      </w:r>
    </w:p>
    <w:p w14:paraId="37C39147" w14:textId="77777777" w:rsidR="000D6CD6" w:rsidRPr="00213A2C" w:rsidRDefault="000D6CD6" w:rsidP="00CB3758">
      <w:pPr>
        <w:spacing w:after="0" w:line="276" w:lineRule="auto"/>
        <w:rPr>
          <w:rFonts w:ascii="Verdana" w:eastAsia="Times New Roman" w:hAnsi="Verdana" w:cs="Times New Roman"/>
          <w:sz w:val="20"/>
          <w:szCs w:val="20"/>
        </w:rPr>
      </w:pPr>
      <w:r w:rsidRPr="00213A2C">
        <w:rPr>
          <w:rFonts w:ascii="Verdana" w:eastAsia="Times New Roman" w:hAnsi="Verdana" w:cs="Times New Roman"/>
          <w:sz w:val="20"/>
          <w:szCs w:val="20"/>
        </w:rPr>
        <w:t>[…]</w:t>
      </w:r>
    </w:p>
    <w:p w14:paraId="64A92709" w14:textId="77777777" w:rsidR="000D6CD6" w:rsidRPr="00213A2C" w:rsidRDefault="000D6CD6" w:rsidP="00CB3758">
      <w:pPr>
        <w:spacing w:after="0" w:line="276" w:lineRule="auto"/>
        <w:jc w:val="both"/>
        <w:rPr>
          <w:rFonts w:ascii="Verdana" w:eastAsia="Times New Roman" w:hAnsi="Verdana" w:cs="Times New Roman"/>
          <w:sz w:val="20"/>
          <w:szCs w:val="20"/>
        </w:rPr>
      </w:pPr>
      <w:r w:rsidRPr="00213A2C">
        <w:rPr>
          <w:rFonts w:ascii="Verdana" w:eastAsia="Times New Roman" w:hAnsi="Verdana" w:cs="Times New Roman"/>
          <w:sz w:val="20"/>
          <w:szCs w:val="20"/>
        </w:rPr>
        <w:t>[…] resulta importante aclarar que en la Circular Externa No. 002 del 23 de agosto de 2024, esta Agencia señala que “[…] el término que tienen las Entidades Estatales que por disposición legal cuenten con un régimen contractual excepcional al del Estatuto General de Contratación de la Administración Pública para publicar en el SECOP II es de tres (3) días posterior a su expedición”. Es decir que, a tales entidades, les es aplicable la regla de publicación de los tres (3) días siguientes a la expedición de acto administrativo o Documento del Proceso, dispuesta en el artículo 2.2.1.1.1.7.1 del Decreto 1082 de 2015 por remisión expresa del artículo 2.1.1.2.1.7 del Decreto 1081 de 2015.</w:t>
      </w:r>
    </w:p>
    <w:p w14:paraId="484B60BB" w14:textId="77777777" w:rsidR="000D6CD6" w:rsidRPr="00213A2C" w:rsidRDefault="000D6CD6" w:rsidP="00CB3758">
      <w:pPr>
        <w:spacing w:after="0" w:line="276" w:lineRule="auto"/>
        <w:rPr>
          <w:rFonts w:ascii="Verdana" w:eastAsia="Times New Roman" w:hAnsi="Verdana" w:cs="Times New Roman"/>
          <w:sz w:val="20"/>
          <w:szCs w:val="20"/>
        </w:rPr>
      </w:pPr>
    </w:p>
    <w:p w14:paraId="0ECAC552" w14:textId="77777777" w:rsidR="000D6CD6" w:rsidRPr="00213A2C" w:rsidRDefault="000D6CD6" w:rsidP="00CB3758">
      <w:pPr>
        <w:tabs>
          <w:tab w:val="left" w:pos="0"/>
        </w:tabs>
        <w:snapToGrid w:val="0"/>
        <w:spacing w:after="0" w:line="276" w:lineRule="auto"/>
        <w:jc w:val="both"/>
        <w:rPr>
          <w:rFonts w:ascii="Verdana" w:eastAsia="Arial" w:hAnsi="Verdana" w:cs="Arial"/>
          <w:kern w:val="2"/>
          <w:sz w:val="20"/>
          <w:szCs w:val="20"/>
          <w:lang w:eastAsia="es-ES_tradnl"/>
          <w14:ligatures w14:val="standardContextual"/>
        </w:rPr>
      </w:pPr>
    </w:p>
    <w:p w14:paraId="14009709" w14:textId="77777777" w:rsidR="000D6CD6" w:rsidRPr="00805CF9" w:rsidRDefault="000D6CD6" w:rsidP="00CB3758">
      <w:pPr>
        <w:spacing w:after="0" w:line="276" w:lineRule="auto"/>
        <w:jc w:val="both"/>
        <w:rPr>
          <w:rFonts w:ascii="Verdana" w:eastAsia="Calibri" w:hAnsi="Verdana" w:cs="Arial"/>
          <w:sz w:val="20"/>
          <w:szCs w:val="20"/>
          <w:lang w:val="es-ES_tradnl" w:eastAsia="es-ES"/>
        </w:rPr>
      </w:pPr>
    </w:p>
    <w:p w14:paraId="75AEE93E" w14:textId="77777777" w:rsidR="000D6CD6" w:rsidRDefault="000D6CD6" w:rsidP="00CB3758">
      <w:pPr>
        <w:spacing w:after="0" w:line="276" w:lineRule="auto"/>
        <w:jc w:val="both"/>
        <w:rPr>
          <w:rFonts w:ascii="Verdana" w:eastAsia="Calibri" w:hAnsi="Verdana" w:cs="Arial"/>
          <w:sz w:val="20"/>
          <w:szCs w:val="20"/>
          <w:lang w:val="es-ES" w:eastAsia="es-ES"/>
        </w:rPr>
      </w:pPr>
    </w:p>
    <w:p w14:paraId="5236D979" w14:textId="77777777" w:rsidR="000D6CD6" w:rsidRPr="009C5A97" w:rsidRDefault="000D6CD6" w:rsidP="00CB3758">
      <w:pPr>
        <w:spacing w:after="0" w:line="276" w:lineRule="auto"/>
        <w:jc w:val="both"/>
        <w:rPr>
          <w:rFonts w:ascii="Verdana" w:eastAsia="Calibri" w:hAnsi="Verdana" w:cs="Arial"/>
          <w:sz w:val="20"/>
          <w:szCs w:val="20"/>
          <w:lang w:val="es-ES" w:eastAsia="es-ES"/>
        </w:rPr>
      </w:pPr>
    </w:p>
    <w:p w14:paraId="1D41CACE" w14:textId="77777777" w:rsidR="000D6CD6" w:rsidRDefault="000D6CD6" w:rsidP="00CB3758">
      <w:pPr>
        <w:spacing w:after="0" w:line="276" w:lineRule="auto"/>
        <w:jc w:val="both"/>
        <w:rPr>
          <w:rFonts w:ascii="Verdana" w:eastAsia="Calibri" w:hAnsi="Verdana" w:cs="Arial"/>
          <w:sz w:val="20"/>
          <w:szCs w:val="20"/>
          <w:lang w:val="es-ES" w:eastAsia="es-ES"/>
        </w:rPr>
      </w:pPr>
    </w:p>
    <w:p w14:paraId="000DFE22" w14:textId="77777777" w:rsidR="000D6CD6" w:rsidRDefault="000D6CD6" w:rsidP="00CB3758">
      <w:pPr>
        <w:spacing w:after="0" w:line="276" w:lineRule="auto"/>
        <w:jc w:val="both"/>
        <w:rPr>
          <w:rFonts w:ascii="Verdana" w:eastAsia="Calibri" w:hAnsi="Verdana" w:cs="Arial"/>
          <w:sz w:val="20"/>
          <w:szCs w:val="20"/>
          <w:lang w:val="es-ES" w:eastAsia="es-ES"/>
        </w:rPr>
      </w:pPr>
    </w:p>
    <w:p w14:paraId="33DB01CB" w14:textId="77777777" w:rsidR="000D6CD6" w:rsidRDefault="000D6CD6" w:rsidP="00CB3758">
      <w:pPr>
        <w:spacing w:after="0" w:line="276" w:lineRule="auto"/>
        <w:jc w:val="both"/>
        <w:rPr>
          <w:rFonts w:ascii="Verdana" w:eastAsia="Calibri" w:hAnsi="Verdana" w:cs="Arial"/>
          <w:sz w:val="20"/>
          <w:szCs w:val="20"/>
          <w:lang w:val="es-ES" w:eastAsia="es-ES"/>
        </w:rPr>
      </w:pPr>
    </w:p>
    <w:p w14:paraId="73E09F5D" w14:textId="77777777" w:rsidR="000D6CD6" w:rsidRDefault="000D6CD6" w:rsidP="00CB3758">
      <w:pPr>
        <w:spacing w:after="0" w:line="276" w:lineRule="auto"/>
        <w:jc w:val="both"/>
        <w:rPr>
          <w:rFonts w:ascii="Verdana" w:eastAsia="Calibri" w:hAnsi="Verdana" w:cs="Arial"/>
          <w:sz w:val="20"/>
          <w:szCs w:val="20"/>
          <w:lang w:val="es-ES" w:eastAsia="es-ES"/>
        </w:rPr>
      </w:pPr>
    </w:p>
    <w:p w14:paraId="0B4E995E" w14:textId="77777777" w:rsidR="000D6CD6" w:rsidRDefault="000D6CD6" w:rsidP="00CB3758">
      <w:pPr>
        <w:spacing w:after="0" w:line="276" w:lineRule="auto"/>
        <w:jc w:val="both"/>
        <w:rPr>
          <w:rFonts w:ascii="Verdana" w:eastAsia="Calibri" w:hAnsi="Verdana" w:cs="Arial"/>
          <w:sz w:val="20"/>
          <w:szCs w:val="20"/>
          <w:lang w:val="es-ES" w:eastAsia="es-ES"/>
        </w:rPr>
      </w:pPr>
    </w:p>
    <w:p w14:paraId="615E51E2" w14:textId="77777777" w:rsidR="000D6CD6" w:rsidRDefault="000D6CD6" w:rsidP="00CB3758">
      <w:pPr>
        <w:spacing w:after="0" w:line="276" w:lineRule="auto"/>
        <w:jc w:val="both"/>
        <w:rPr>
          <w:rFonts w:ascii="Verdana" w:eastAsia="Calibri" w:hAnsi="Verdana" w:cs="Arial"/>
          <w:sz w:val="20"/>
          <w:szCs w:val="20"/>
          <w:lang w:val="es-ES" w:eastAsia="es-ES"/>
        </w:rPr>
      </w:pPr>
    </w:p>
    <w:p w14:paraId="7A7847C7" w14:textId="77777777" w:rsidR="000D6CD6" w:rsidRDefault="000D6CD6" w:rsidP="00CB3758">
      <w:pPr>
        <w:spacing w:after="0" w:line="276" w:lineRule="auto"/>
        <w:jc w:val="both"/>
        <w:rPr>
          <w:rFonts w:ascii="Verdana" w:eastAsia="Calibri" w:hAnsi="Verdana" w:cs="Arial"/>
          <w:sz w:val="20"/>
          <w:szCs w:val="20"/>
          <w:lang w:val="es-ES" w:eastAsia="es-ES"/>
        </w:rPr>
      </w:pPr>
    </w:p>
    <w:p w14:paraId="7366A715" w14:textId="77777777" w:rsidR="000D6CD6" w:rsidRDefault="000D6CD6" w:rsidP="00CB3758">
      <w:pPr>
        <w:spacing w:after="0" w:line="276" w:lineRule="auto"/>
        <w:jc w:val="both"/>
        <w:rPr>
          <w:rFonts w:ascii="Verdana" w:eastAsia="Calibri" w:hAnsi="Verdana" w:cs="Arial"/>
          <w:sz w:val="20"/>
          <w:szCs w:val="20"/>
          <w:lang w:val="es-ES" w:eastAsia="es-ES"/>
        </w:rPr>
      </w:pPr>
    </w:p>
    <w:p w14:paraId="4424D254" w14:textId="77777777" w:rsidR="000D6CD6" w:rsidRDefault="000D6CD6" w:rsidP="00CB3758">
      <w:pPr>
        <w:spacing w:after="0" w:line="276" w:lineRule="auto"/>
        <w:jc w:val="both"/>
        <w:rPr>
          <w:rFonts w:ascii="Verdana" w:eastAsia="Calibri" w:hAnsi="Verdana" w:cs="Arial"/>
          <w:sz w:val="20"/>
          <w:szCs w:val="20"/>
          <w:lang w:val="es-ES" w:eastAsia="es-ES"/>
        </w:rPr>
      </w:pPr>
    </w:p>
    <w:p w14:paraId="53A5CA8A" w14:textId="77777777" w:rsidR="000D6CD6" w:rsidRDefault="000D6CD6" w:rsidP="00CB3758">
      <w:pPr>
        <w:spacing w:after="0" w:line="276" w:lineRule="auto"/>
        <w:jc w:val="both"/>
        <w:rPr>
          <w:rFonts w:ascii="Verdana" w:eastAsia="Calibri" w:hAnsi="Verdana" w:cs="Arial"/>
          <w:sz w:val="20"/>
          <w:szCs w:val="20"/>
          <w:lang w:val="es-ES" w:eastAsia="es-ES"/>
        </w:rPr>
      </w:pPr>
    </w:p>
    <w:p w14:paraId="1A57EACC" w14:textId="77777777" w:rsidR="000D6CD6" w:rsidRDefault="000D6CD6" w:rsidP="00CB3758">
      <w:pPr>
        <w:spacing w:after="0" w:line="276" w:lineRule="auto"/>
        <w:jc w:val="both"/>
        <w:rPr>
          <w:rFonts w:ascii="Verdana" w:eastAsia="Calibri" w:hAnsi="Verdana" w:cs="Arial"/>
          <w:sz w:val="20"/>
          <w:szCs w:val="20"/>
          <w:lang w:val="es-ES" w:eastAsia="es-ES"/>
        </w:rPr>
      </w:pPr>
    </w:p>
    <w:p w14:paraId="39D765B5" w14:textId="77777777" w:rsidR="000D6CD6" w:rsidRDefault="000D6CD6" w:rsidP="00CB3758">
      <w:pPr>
        <w:spacing w:after="0" w:line="276" w:lineRule="auto"/>
        <w:jc w:val="both"/>
        <w:rPr>
          <w:rFonts w:ascii="Verdana" w:eastAsia="Calibri" w:hAnsi="Verdana" w:cs="Arial"/>
          <w:sz w:val="20"/>
          <w:szCs w:val="20"/>
          <w:lang w:val="es-ES" w:eastAsia="es-ES"/>
        </w:rPr>
      </w:pPr>
    </w:p>
    <w:p w14:paraId="1765A32E" w14:textId="77777777" w:rsidR="000D6CD6" w:rsidRPr="009C5A97" w:rsidRDefault="000D6CD6" w:rsidP="00CB3758">
      <w:pPr>
        <w:spacing w:after="0" w:line="276" w:lineRule="auto"/>
        <w:jc w:val="both"/>
        <w:rPr>
          <w:rFonts w:ascii="Verdana" w:eastAsia="Calibri" w:hAnsi="Verdana" w:cs="Arial"/>
          <w:sz w:val="20"/>
          <w:szCs w:val="20"/>
          <w:lang w:val="es-ES" w:eastAsia="es-ES"/>
        </w:rPr>
      </w:pPr>
    </w:p>
    <w:p w14:paraId="3131C7B2" w14:textId="77777777" w:rsidR="000D6CD6" w:rsidRPr="009C5A97" w:rsidRDefault="000D6CD6" w:rsidP="00CB3758">
      <w:pPr>
        <w:spacing w:after="0" w:line="276" w:lineRule="auto"/>
        <w:jc w:val="both"/>
        <w:rPr>
          <w:rFonts w:ascii="Verdana" w:eastAsia="Calibri" w:hAnsi="Verdana" w:cs="Arial"/>
          <w:sz w:val="20"/>
          <w:szCs w:val="20"/>
          <w:lang w:val="es-ES" w:eastAsia="es-ES"/>
        </w:rPr>
      </w:pPr>
    </w:p>
    <w:p w14:paraId="5DC6C30A" w14:textId="77777777" w:rsidR="000D6CD6" w:rsidRPr="00E63C0B" w:rsidRDefault="000D6CD6" w:rsidP="00CB3758">
      <w:pPr>
        <w:spacing w:after="0" w:line="276" w:lineRule="auto"/>
        <w:rPr>
          <w:rFonts w:ascii="Verdana" w:eastAsia="Geomanist Light" w:hAnsi="Verdana" w:cs="Arial"/>
          <w:color w:val="201F1E"/>
          <w:lang w:val="es-MX"/>
        </w:rPr>
      </w:pPr>
      <w:r w:rsidRPr="00E63C0B">
        <w:rPr>
          <w:rFonts w:ascii="Verdana" w:eastAsia="Geomanist Light" w:hAnsi="Verdana" w:cs="Arial"/>
          <w:color w:val="000000" w:themeColor="text1"/>
          <w:lang w:val="es-MX"/>
        </w:rPr>
        <w:t>Bogotá D.C., </w:t>
      </w:r>
      <w:r w:rsidRPr="00E63C0B">
        <w:rPr>
          <w:rFonts w:ascii="Verdana" w:eastAsia="Geomanist Light" w:hAnsi="Verdana" w:cs="Arial"/>
          <w:color w:val="201F1E"/>
          <w:lang w:val="es-MX"/>
        </w:rPr>
        <w:t>[Día] de [Mes.NombreCapitalizado] de [Año]</w:t>
      </w:r>
    </w:p>
    <w:p w14:paraId="2D354C7F" w14:textId="77777777" w:rsidR="000D6CD6" w:rsidRPr="00E63C0B" w:rsidRDefault="000D6CD6" w:rsidP="00CB3758">
      <w:pPr>
        <w:spacing w:after="0" w:line="276" w:lineRule="auto"/>
        <w:jc w:val="both"/>
        <w:rPr>
          <w:rFonts w:ascii="Verdana" w:eastAsia="Calibri" w:hAnsi="Verdana" w:cs="Arial"/>
          <w:color w:val="000000"/>
          <w:lang w:val="es-ES"/>
        </w:rPr>
      </w:pPr>
    </w:p>
    <w:p w14:paraId="70C47342" w14:textId="77777777" w:rsidR="000D6CD6" w:rsidRDefault="000D6CD6" w:rsidP="00CB3758">
      <w:pPr>
        <w:spacing w:after="0" w:line="276" w:lineRule="auto"/>
        <w:textAlignment w:val="baseline"/>
        <w:rPr>
          <w:rFonts w:ascii="Verdana" w:eastAsia="Calibri" w:hAnsi="Verdana" w:cs="Arial"/>
        </w:rPr>
      </w:pPr>
      <w:r w:rsidRPr="009C5A97">
        <w:rPr>
          <w:rFonts w:ascii="Verdana" w:eastAsia="Calibri" w:hAnsi="Verdana" w:cs="Arial"/>
        </w:rPr>
        <w:t>Señor</w:t>
      </w:r>
    </w:p>
    <w:p w14:paraId="107CC8BC" w14:textId="77777777" w:rsidR="008A17A5" w:rsidRPr="00F25647" w:rsidRDefault="008A17A5" w:rsidP="00CB3758">
      <w:pPr>
        <w:spacing w:after="0" w:line="276" w:lineRule="auto"/>
        <w:textAlignment w:val="baseline"/>
        <w:rPr>
          <w:rFonts w:ascii="Verdana" w:eastAsia="Calibri" w:hAnsi="Verdana" w:cs="Arial"/>
          <w:b/>
          <w:bCs/>
        </w:rPr>
      </w:pPr>
      <w:r w:rsidRPr="00F25647">
        <w:rPr>
          <w:rFonts w:ascii="Verdana" w:eastAsia="Calibri" w:hAnsi="Verdana" w:cs="Arial"/>
          <w:b/>
          <w:bCs/>
        </w:rPr>
        <w:t xml:space="preserve">Hover Adriana Prado Otela </w:t>
      </w:r>
    </w:p>
    <w:p w14:paraId="280CCCA6" w14:textId="4CA74951" w:rsidR="00F25647" w:rsidRPr="00F25647" w:rsidRDefault="00F25647" w:rsidP="00CB3758">
      <w:pPr>
        <w:spacing w:after="0" w:line="276" w:lineRule="auto"/>
        <w:rPr>
          <w:rFonts w:ascii="Verdana" w:hAnsi="Verdana"/>
        </w:rPr>
      </w:pPr>
      <w:hyperlink r:id="rId10" w:history="1">
        <w:r w:rsidRPr="00F25647">
          <w:rPr>
            <w:rStyle w:val="Hipervnculo"/>
            <w:rFonts w:ascii="Verdana" w:hAnsi="Verdana"/>
          </w:rPr>
          <w:t>controlinterno@emcorintoesp.com.co</w:t>
        </w:r>
      </w:hyperlink>
    </w:p>
    <w:p w14:paraId="539614AB" w14:textId="7A22E735" w:rsidR="008A17A5" w:rsidRPr="00F25647" w:rsidRDefault="008A17A5" w:rsidP="00CB3758">
      <w:pPr>
        <w:spacing w:after="0" w:line="276" w:lineRule="auto"/>
        <w:rPr>
          <w:rFonts w:ascii="Verdana" w:eastAsia="Calibri" w:hAnsi="Verdana" w:cs="Arial"/>
          <w:b/>
          <w:color w:val="000000"/>
          <w:lang w:eastAsia="es-ES_tradnl"/>
        </w:rPr>
      </w:pPr>
      <w:r w:rsidRPr="00F25647">
        <w:rPr>
          <w:rFonts w:ascii="Verdana" w:eastAsia="Calibri" w:hAnsi="Verdana" w:cs="Arial"/>
        </w:rPr>
        <w:t xml:space="preserve">Corinto, Cauca. </w:t>
      </w:r>
    </w:p>
    <w:p w14:paraId="1E9353D2" w14:textId="77777777" w:rsidR="000D6CD6" w:rsidRDefault="000D6CD6" w:rsidP="00CB3758">
      <w:pPr>
        <w:spacing w:after="0" w:line="276" w:lineRule="auto"/>
        <w:rPr>
          <w:rFonts w:ascii="Verdana" w:eastAsia="Calibri" w:hAnsi="Verdana" w:cs="Arial"/>
          <w:b/>
          <w:color w:val="000000"/>
          <w:lang w:val="es-ES_tradnl" w:eastAsia="es-ES_tradnl"/>
        </w:rPr>
      </w:pPr>
    </w:p>
    <w:p w14:paraId="5769D193" w14:textId="2F75AE48" w:rsidR="003670C9" w:rsidRPr="00E63C0B" w:rsidRDefault="003670C9" w:rsidP="003670C9">
      <w:pPr>
        <w:spacing w:after="0" w:line="276" w:lineRule="auto"/>
        <w:jc w:val="right"/>
        <w:rPr>
          <w:rFonts w:ascii="Verdana" w:eastAsia="Calibri" w:hAnsi="Verdana" w:cs="Arial"/>
          <w:b/>
          <w:color w:val="000000"/>
          <w:lang w:val="es-ES_tradnl" w:eastAsia="es-ES_tradnl"/>
        </w:rPr>
      </w:pPr>
      <w:r w:rsidRPr="003670C9">
        <w:rPr>
          <w:rFonts w:ascii="Verdana" w:eastAsia="Calibri" w:hAnsi="Verdana" w:cs="Arial"/>
          <w:b/>
          <w:color w:val="000000"/>
          <w:lang w:val="es-ES_tradnl" w:eastAsia="es-ES_tradnl"/>
        </w:rPr>
        <w:drawing>
          <wp:inline distT="0" distB="0" distL="0" distR="0" wp14:anchorId="50ABD593" wp14:editId="6B2D44F0">
            <wp:extent cx="3795089" cy="1082134"/>
            <wp:effectExtent l="0" t="0" r="0" b="3810"/>
            <wp:docPr id="20606586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58650" name=""/>
                    <pic:cNvPicPr/>
                  </pic:nvPicPr>
                  <pic:blipFill>
                    <a:blip r:embed="rId11"/>
                    <a:stretch>
                      <a:fillRect/>
                    </a:stretch>
                  </pic:blipFill>
                  <pic:spPr>
                    <a:xfrm>
                      <a:off x="0" y="0"/>
                      <a:ext cx="3795089" cy="1082134"/>
                    </a:xfrm>
                    <a:prstGeom prst="rect">
                      <a:avLst/>
                    </a:prstGeom>
                  </pic:spPr>
                </pic:pic>
              </a:graphicData>
            </a:graphic>
          </wp:inline>
        </w:drawing>
      </w: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21"/>
      </w:tblGrid>
      <w:tr w:rsidR="000D6CD6" w:rsidRPr="009C5A97" w14:paraId="55ED724B" w14:textId="77777777" w:rsidTr="00ED4CCE">
        <w:trPr>
          <w:trHeight w:val="884"/>
        </w:trPr>
        <w:tc>
          <w:tcPr>
            <w:tcW w:w="2410" w:type="dxa"/>
          </w:tcPr>
          <w:p w14:paraId="150351B8" w14:textId="77777777" w:rsidR="000D6CD6" w:rsidRPr="00E63C0B" w:rsidRDefault="000D6CD6" w:rsidP="00CB3758">
            <w:pPr>
              <w:spacing w:line="276" w:lineRule="auto"/>
              <w:jc w:val="both"/>
              <w:rPr>
                <w:rFonts w:ascii="Verdana" w:eastAsia="Calibri" w:hAnsi="Verdana" w:cs="Arial"/>
                <w:b/>
                <w:color w:val="7030A0"/>
                <w:lang w:val="es-ES_tradnl" w:eastAsia="es-ES_tradnl"/>
              </w:rPr>
            </w:pPr>
          </w:p>
        </w:tc>
        <w:tc>
          <w:tcPr>
            <w:tcW w:w="6521" w:type="dxa"/>
          </w:tcPr>
          <w:p w14:paraId="3B62BCB0" w14:textId="5F3A1FE8" w:rsidR="000D6CD6" w:rsidRPr="00C56A6D" w:rsidRDefault="000D6CD6" w:rsidP="00CB3758">
            <w:pPr>
              <w:spacing w:line="276" w:lineRule="auto"/>
              <w:jc w:val="both"/>
              <w:rPr>
                <w:rFonts w:ascii="Verdana" w:eastAsia="Calibri" w:hAnsi="Verdana" w:cs="Arial"/>
                <w:b/>
                <w:lang w:val="es-MX" w:eastAsia="es-ES_tradnl"/>
              </w:rPr>
            </w:pPr>
            <w:r w:rsidRPr="00C56A6D">
              <w:rPr>
                <w:rFonts w:ascii="Verdana" w:eastAsia="Calibri" w:hAnsi="Verdana" w:cs="Arial"/>
                <w:b/>
                <w:lang w:val="es-MX" w:eastAsia="es-ES_tradnl"/>
              </w:rPr>
              <w:t>Concepto C-</w:t>
            </w:r>
            <w:r>
              <w:rPr>
                <w:rFonts w:ascii="Verdana" w:eastAsia="Calibri" w:hAnsi="Verdana" w:cs="Arial"/>
                <w:b/>
                <w:lang w:val="es-MX" w:eastAsia="es-ES_tradnl"/>
              </w:rPr>
              <w:t xml:space="preserve"> </w:t>
            </w:r>
            <w:r w:rsidR="008A17A5">
              <w:rPr>
                <w:rFonts w:ascii="Verdana" w:eastAsia="Calibri" w:hAnsi="Verdana" w:cs="Arial"/>
                <w:b/>
                <w:lang w:val="es-MX" w:eastAsia="es-ES_tradnl"/>
              </w:rPr>
              <w:t>824</w:t>
            </w:r>
            <w:r w:rsidRPr="00C56A6D">
              <w:rPr>
                <w:rFonts w:ascii="Verdana" w:eastAsia="Calibri" w:hAnsi="Verdana" w:cs="Arial"/>
                <w:b/>
                <w:lang w:val="es-MX" w:eastAsia="es-ES_tradnl"/>
              </w:rPr>
              <w:t xml:space="preserve"> de 2024</w:t>
            </w:r>
          </w:p>
        </w:tc>
      </w:tr>
      <w:tr w:rsidR="000D6CD6" w:rsidRPr="009C5A97" w14:paraId="44E4FE8F" w14:textId="77777777" w:rsidTr="00ED4CCE">
        <w:trPr>
          <w:trHeight w:val="884"/>
        </w:trPr>
        <w:tc>
          <w:tcPr>
            <w:tcW w:w="2410" w:type="dxa"/>
          </w:tcPr>
          <w:p w14:paraId="11469698" w14:textId="77777777" w:rsidR="000D6CD6" w:rsidRPr="005A64DD" w:rsidRDefault="000D6CD6" w:rsidP="00CB3758">
            <w:pPr>
              <w:spacing w:line="276" w:lineRule="auto"/>
              <w:jc w:val="both"/>
              <w:rPr>
                <w:rFonts w:ascii="Verdana" w:eastAsia="Calibri" w:hAnsi="Verdana" w:cs="Arial"/>
                <w:b/>
                <w:lang w:val="es-MX" w:eastAsia="es-ES_tradnl"/>
              </w:rPr>
            </w:pPr>
            <w:r w:rsidRPr="005A64DD">
              <w:rPr>
                <w:rFonts w:ascii="Verdana" w:eastAsia="Calibri" w:hAnsi="Verdana" w:cs="Arial"/>
                <w:b/>
                <w:lang w:val="es-MX" w:eastAsia="es-ES_tradnl"/>
              </w:rPr>
              <w:t xml:space="preserve">Temas:                   </w:t>
            </w:r>
          </w:p>
        </w:tc>
        <w:tc>
          <w:tcPr>
            <w:tcW w:w="6521" w:type="dxa"/>
          </w:tcPr>
          <w:p w14:paraId="5C0BF58C" w14:textId="1B62F40B" w:rsidR="000D6CD6" w:rsidRPr="00573AD3" w:rsidRDefault="000D6CD6" w:rsidP="00CB3758">
            <w:pPr>
              <w:spacing w:line="276" w:lineRule="auto"/>
              <w:jc w:val="both"/>
              <w:rPr>
                <w:rFonts w:ascii="Verdana" w:eastAsia="Times New Roman" w:hAnsi="Verdana" w:cs="Arial"/>
                <w:lang w:val="es-ES" w:eastAsia="es-ES"/>
              </w:rPr>
            </w:pPr>
            <w:r>
              <w:rPr>
                <w:rFonts w:ascii="Verdana" w:hAnsi="Verdana" w:cs="Arial"/>
                <w:bCs/>
                <w:lang w:eastAsia="es-ES"/>
              </w:rPr>
              <w:t xml:space="preserve">DOCUMENTOS TIPO – Fundamento normativo -Obligatoriedad – Ámbito de aplicación – Entidades sometidas / LEY 2195 DE 2022 – Articulo 56 – Ámbito de aplicación / LEY 2195 DE 2022 – Articulo 56 – Finalidad / LEY 2195 DE 2022 -Aplicación del Estatuto General de Contratación de la Administración Pública / LEY 2195 DE 2022 – Articulo 56 Parágrafo – Excepciones - Giro ordinario- LEY 2195 DE 2022 – </w:t>
            </w:r>
          </w:p>
          <w:p w14:paraId="51D7DBC4" w14:textId="77777777" w:rsidR="000D6CD6" w:rsidRPr="00573AD3" w:rsidRDefault="000D6CD6" w:rsidP="00CB3758">
            <w:pPr>
              <w:spacing w:line="276" w:lineRule="auto"/>
              <w:jc w:val="both"/>
              <w:rPr>
                <w:rFonts w:ascii="Verdana" w:hAnsi="Verdana" w:cs="Arial"/>
                <w:bCs/>
                <w:lang w:val="es-ES" w:eastAsia="es-ES"/>
              </w:rPr>
            </w:pPr>
          </w:p>
          <w:p w14:paraId="6116DB39" w14:textId="77777777" w:rsidR="000D6CD6" w:rsidRPr="009C5A97" w:rsidRDefault="000D6CD6" w:rsidP="00CB3758">
            <w:pPr>
              <w:spacing w:line="276" w:lineRule="auto"/>
              <w:jc w:val="both"/>
              <w:rPr>
                <w:rFonts w:ascii="Verdana" w:eastAsia="Calibri" w:hAnsi="Verdana" w:cs="Arial"/>
                <w:bCs/>
                <w:lang w:val="es-MX" w:eastAsia="es-ES_tradnl"/>
              </w:rPr>
            </w:pPr>
          </w:p>
        </w:tc>
      </w:tr>
      <w:tr w:rsidR="000D6CD6" w:rsidRPr="009C5A97" w14:paraId="3E216B24" w14:textId="77777777" w:rsidTr="00ED4CCE">
        <w:tc>
          <w:tcPr>
            <w:tcW w:w="2410" w:type="dxa"/>
          </w:tcPr>
          <w:p w14:paraId="2006A086" w14:textId="77777777" w:rsidR="000D6CD6" w:rsidRPr="00E63C0B" w:rsidRDefault="000D6CD6" w:rsidP="00CB3758">
            <w:pPr>
              <w:spacing w:line="276" w:lineRule="auto"/>
              <w:jc w:val="both"/>
              <w:rPr>
                <w:rFonts w:ascii="Verdana" w:eastAsia="Calibri" w:hAnsi="Verdana" w:cs="Arial"/>
                <w:b/>
                <w:lang w:val="es-MX" w:eastAsia="es-ES_tradnl"/>
              </w:rPr>
            </w:pPr>
            <w:r w:rsidRPr="00E63C0B">
              <w:rPr>
                <w:rFonts w:ascii="Verdana" w:eastAsia="Calibri" w:hAnsi="Verdana" w:cs="Arial"/>
                <w:b/>
                <w:lang w:val="es-MX" w:eastAsia="es-ES_tradnl"/>
              </w:rPr>
              <w:t>Radicación:</w:t>
            </w:r>
          </w:p>
        </w:tc>
        <w:tc>
          <w:tcPr>
            <w:tcW w:w="6521" w:type="dxa"/>
          </w:tcPr>
          <w:p w14:paraId="3948EFB9" w14:textId="47C583D1" w:rsidR="000D6CD6" w:rsidRPr="009C5A97" w:rsidRDefault="000D6CD6" w:rsidP="00CB3758">
            <w:pPr>
              <w:spacing w:line="276" w:lineRule="auto"/>
              <w:jc w:val="both"/>
              <w:rPr>
                <w:rFonts w:ascii="Verdana" w:eastAsia="Calibri" w:hAnsi="Verdana" w:cs="Arial"/>
                <w:bCs/>
                <w:lang w:val="es-MX" w:eastAsia="es-ES_tradnl"/>
              </w:rPr>
            </w:pPr>
            <w:r w:rsidRPr="009C5A97">
              <w:rPr>
                <w:rFonts w:ascii="Verdana" w:eastAsia="Calibri" w:hAnsi="Verdana" w:cs="Arial"/>
                <w:bCs/>
                <w:lang w:val="es-MX" w:eastAsia="es-ES_tradnl"/>
              </w:rPr>
              <w:t xml:space="preserve">Respuesta a consulta con radicado No. </w:t>
            </w:r>
            <w:r w:rsidR="00781CA2" w:rsidRPr="00781CA2">
              <w:rPr>
                <w:rFonts w:ascii="Verdana" w:eastAsia="Calibri" w:hAnsi="Verdana" w:cs="Arial"/>
                <w:bCs/>
                <w:lang w:eastAsia="es-ES_tradnl"/>
              </w:rPr>
              <w:t>P20241106011177</w:t>
            </w:r>
          </w:p>
        </w:tc>
      </w:tr>
    </w:tbl>
    <w:p w14:paraId="2318233D" w14:textId="77777777" w:rsidR="000D6CD6" w:rsidRPr="00E63C0B" w:rsidRDefault="000D6CD6" w:rsidP="00CB3758">
      <w:pPr>
        <w:spacing w:after="0" w:line="276" w:lineRule="auto"/>
        <w:jc w:val="both"/>
        <w:rPr>
          <w:rFonts w:ascii="Verdana" w:eastAsia="Calibri" w:hAnsi="Verdana" w:cs="Arial"/>
          <w:color w:val="000000"/>
          <w:lang w:val="es-ES_tradnl" w:eastAsia="es-ES_tradnl"/>
        </w:rPr>
      </w:pPr>
    </w:p>
    <w:p w14:paraId="700CA8DC" w14:textId="77777777" w:rsidR="000D6CD6" w:rsidRPr="00E63C0B" w:rsidRDefault="000D6CD6" w:rsidP="00CB3758">
      <w:pPr>
        <w:spacing w:after="0" w:line="276" w:lineRule="auto"/>
        <w:jc w:val="both"/>
        <w:rPr>
          <w:rFonts w:ascii="Verdana" w:eastAsia="Calibri" w:hAnsi="Verdana" w:cs="Arial"/>
          <w:color w:val="000000"/>
          <w:lang w:val="es-ES_tradnl" w:eastAsia="es-ES_tradnl"/>
        </w:rPr>
      </w:pPr>
    </w:p>
    <w:p w14:paraId="30B6E7A0" w14:textId="10CC777E" w:rsidR="000D6CD6" w:rsidRDefault="000D6CD6" w:rsidP="00CB3758">
      <w:pPr>
        <w:spacing w:after="0" w:line="276" w:lineRule="auto"/>
        <w:jc w:val="both"/>
        <w:textAlignment w:val="baseline"/>
        <w:rPr>
          <w:rFonts w:ascii="Verdana" w:eastAsia="Calibri" w:hAnsi="Verdana" w:cs="Arial"/>
        </w:rPr>
      </w:pPr>
      <w:r w:rsidRPr="009C5A97">
        <w:rPr>
          <w:rFonts w:ascii="Verdana" w:eastAsia="Calibri" w:hAnsi="Verdana" w:cs="Arial"/>
        </w:rPr>
        <w:t>Estimad</w:t>
      </w:r>
      <w:r>
        <w:rPr>
          <w:rFonts w:ascii="Verdana" w:eastAsia="Calibri" w:hAnsi="Verdana" w:cs="Arial"/>
        </w:rPr>
        <w:t xml:space="preserve">o señor </w:t>
      </w:r>
      <w:r w:rsidR="008A17A5">
        <w:rPr>
          <w:rFonts w:ascii="Verdana" w:eastAsia="Calibri" w:hAnsi="Verdana" w:cs="Arial"/>
        </w:rPr>
        <w:t>Prado</w:t>
      </w:r>
      <w:r>
        <w:rPr>
          <w:rFonts w:ascii="Verdana" w:eastAsia="Calibri" w:hAnsi="Verdana" w:cs="Arial"/>
        </w:rPr>
        <w:t>:</w:t>
      </w:r>
    </w:p>
    <w:p w14:paraId="73E0A795" w14:textId="77777777" w:rsidR="000D6CD6" w:rsidRPr="00E63C0B" w:rsidRDefault="000D6CD6" w:rsidP="00CB3758">
      <w:pPr>
        <w:spacing w:after="0" w:line="276" w:lineRule="auto"/>
        <w:jc w:val="both"/>
        <w:textAlignment w:val="baseline"/>
        <w:rPr>
          <w:rFonts w:ascii="Verdana" w:eastAsia="Calibri" w:hAnsi="Verdana" w:cs="Arial"/>
          <w:color w:val="000000" w:themeColor="text1"/>
          <w:lang w:val="es-ES" w:eastAsia="es-ES"/>
        </w:rPr>
      </w:pPr>
    </w:p>
    <w:p w14:paraId="190C61E4" w14:textId="644B68DC" w:rsidR="008A17A5" w:rsidRDefault="000D6CD6" w:rsidP="00CB3758">
      <w:pPr>
        <w:spacing w:after="0" w:line="276" w:lineRule="auto"/>
        <w:jc w:val="both"/>
        <w:rPr>
          <w:rFonts w:ascii="Verdana" w:eastAsia="Calibri" w:hAnsi="Verdana" w:cs="Arial"/>
          <w:lang w:val="es-ES" w:eastAsia="es-ES"/>
        </w:rPr>
      </w:pPr>
      <w:r w:rsidRPr="009C5A97">
        <w:rPr>
          <w:rFonts w:ascii="Verdana" w:eastAsia="Calibri" w:hAnsi="Verdana" w:cs="Arial"/>
          <w:color w:val="000000" w:themeColor="text1"/>
          <w:lang w:val="es-ES" w:eastAsia="es-ES"/>
        </w:rPr>
        <w:lastRenderedPageBreak/>
        <w:t>En ejercicio de la competencia otorgada por los artículos 3, numeral 5º, y 11, numeral 8º, del Decreto Ley 4170 de 2011,</w:t>
      </w:r>
      <w:r w:rsidRPr="009C5A97">
        <w:rPr>
          <w:rFonts w:ascii="Verdana" w:eastAsia="Arial MT" w:hAnsi="Verdana" w:cs="Arial MT"/>
          <w:lang w:val="es-ES" w:eastAsia="es-ES"/>
        </w:rPr>
        <w:t xml:space="preserve"> </w:t>
      </w:r>
      <w:r w:rsidRPr="009C5A97">
        <w:rPr>
          <w:rFonts w:ascii="Verdana" w:hAnsi="Verdana" w:cs="Arial"/>
        </w:rPr>
        <w:t xml:space="preserve">así como lo establecido en el artículo 4 de la Resolución 1707 de 2018 expedida por esta Entidad, </w:t>
      </w:r>
      <w:r w:rsidRPr="009C5A97">
        <w:rPr>
          <w:rFonts w:ascii="Verdana" w:eastAsia="Calibri" w:hAnsi="Verdana" w:cs="Arial"/>
          <w:lang w:val="es-ES" w:eastAsia="es-ES"/>
        </w:rPr>
        <w:t xml:space="preserve">la Agencia Nacional de Contratación Pública – Colombia Compra Eficiente– responde su solicitud de consulta de fecha </w:t>
      </w:r>
      <w:r w:rsidR="00F6134B">
        <w:rPr>
          <w:rFonts w:ascii="Verdana" w:eastAsia="Calibri" w:hAnsi="Verdana" w:cs="Arial"/>
          <w:lang w:val="es-ES" w:eastAsia="es-ES"/>
        </w:rPr>
        <w:t>6</w:t>
      </w:r>
      <w:r w:rsidR="008A17A5">
        <w:rPr>
          <w:rFonts w:ascii="Verdana" w:eastAsia="Calibri" w:hAnsi="Verdana" w:cs="Arial"/>
          <w:lang w:val="es-ES" w:eastAsia="es-ES"/>
        </w:rPr>
        <w:t xml:space="preserve"> de noviembre </w:t>
      </w:r>
      <w:r w:rsidRPr="009C5A97">
        <w:rPr>
          <w:rFonts w:ascii="Verdana" w:eastAsia="Calibri" w:hAnsi="Verdana" w:cs="Arial"/>
          <w:lang w:val="es-ES" w:eastAsia="es-ES"/>
        </w:rPr>
        <w:t>2024, en la cual manifiesta lo siguiente</w:t>
      </w:r>
      <w:r w:rsidRPr="00C56A6D">
        <w:rPr>
          <w:rFonts w:ascii="Verdana" w:eastAsia="Calibri" w:hAnsi="Verdana" w:cs="Arial"/>
          <w:lang w:val="es-ES" w:eastAsia="es-ES"/>
        </w:rPr>
        <w:t>:</w:t>
      </w:r>
    </w:p>
    <w:p w14:paraId="1D1AB481" w14:textId="77777777" w:rsidR="008A17A5" w:rsidRDefault="008A17A5" w:rsidP="00CB3758">
      <w:pPr>
        <w:spacing w:after="0" w:line="276" w:lineRule="auto"/>
        <w:ind w:right="993"/>
        <w:jc w:val="both"/>
        <w:rPr>
          <w:rFonts w:ascii="Verdana" w:eastAsia="Calibri" w:hAnsi="Verdana" w:cs="Arial"/>
          <w:lang w:val="es-ES" w:eastAsia="es-ES"/>
        </w:rPr>
      </w:pPr>
    </w:p>
    <w:p w14:paraId="0C8A03C1" w14:textId="0310EDD3" w:rsidR="000D6CD6" w:rsidRPr="008A17A5" w:rsidRDefault="008A17A5" w:rsidP="00CB3758">
      <w:pPr>
        <w:tabs>
          <w:tab w:val="left" w:pos="8080"/>
          <w:tab w:val="left" w:pos="8364"/>
        </w:tabs>
        <w:spacing w:after="0" w:line="276" w:lineRule="auto"/>
        <w:ind w:left="851" w:right="993"/>
        <w:jc w:val="both"/>
        <w:rPr>
          <w:rFonts w:ascii="Verdana" w:eastAsia="Calibri" w:hAnsi="Verdana" w:cs="Arial"/>
          <w:sz w:val="20"/>
          <w:szCs w:val="20"/>
          <w:lang w:val="es-ES" w:eastAsia="es-ES"/>
        </w:rPr>
      </w:pPr>
      <w:r w:rsidRPr="008A17A5">
        <w:rPr>
          <w:rFonts w:ascii="Verdana" w:eastAsia="Calibri" w:hAnsi="Verdana" w:cs="Arial"/>
          <w:sz w:val="20"/>
          <w:szCs w:val="20"/>
          <w:lang w:val="es-ES" w:eastAsia="es-ES"/>
        </w:rPr>
        <w:t>“Las Empresas de Servicios Pdblicos que se transformaron en Empresas</w:t>
      </w:r>
      <w:r>
        <w:rPr>
          <w:rFonts w:ascii="Verdana" w:eastAsia="Calibri" w:hAnsi="Verdana" w:cs="Arial"/>
          <w:sz w:val="20"/>
          <w:szCs w:val="20"/>
          <w:lang w:val="es-ES" w:eastAsia="es-ES"/>
        </w:rPr>
        <w:t xml:space="preserve"> </w:t>
      </w:r>
      <w:r w:rsidRPr="008A17A5">
        <w:rPr>
          <w:rFonts w:ascii="Verdana" w:eastAsia="Calibri" w:hAnsi="Verdana" w:cs="Arial"/>
          <w:sz w:val="20"/>
          <w:szCs w:val="20"/>
          <w:lang w:val="es-ES" w:eastAsia="es-ES"/>
        </w:rPr>
        <w:t>lndustriales y Comerciales del Estado de conformidad con lo establecido en los</w:t>
      </w:r>
      <w:r>
        <w:rPr>
          <w:rFonts w:ascii="Verdana" w:eastAsia="Calibri" w:hAnsi="Verdana" w:cs="Arial"/>
          <w:sz w:val="20"/>
          <w:szCs w:val="20"/>
          <w:lang w:val="es-ES" w:eastAsia="es-ES"/>
        </w:rPr>
        <w:t xml:space="preserve"> </w:t>
      </w:r>
      <w:r w:rsidRPr="008A17A5">
        <w:rPr>
          <w:rFonts w:ascii="Verdana" w:eastAsia="Calibri" w:hAnsi="Verdana" w:cs="Arial"/>
          <w:sz w:val="20"/>
          <w:szCs w:val="20"/>
          <w:lang w:val="es-ES" w:eastAsia="es-ES"/>
        </w:rPr>
        <w:t>Articulos 17 y 180 de la Ley 142 de 1994, estan obligadas a aplicar los Documentos Tipo de que trata el Articulo 56° de la Ley 2195 de 2022, teniendo en cuenta que el páragrafo único de dicho artículo exceptua a las Empresas Industriales y Comerciales del Estado?</w:t>
      </w:r>
      <w:r>
        <w:rPr>
          <w:rFonts w:ascii="Verdana" w:eastAsia="Calibri" w:hAnsi="Verdana" w:cs="Arial"/>
          <w:sz w:val="20"/>
          <w:szCs w:val="20"/>
          <w:lang w:val="es-ES" w:eastAsia="es-ES"/>
        </w:rPr>
        <w:t>” [sic]</w:t>
      </w:r>
    </w:p>
    <w:p w14:paraId="567FD68C" w14:textId="77777777" w:rsidR="000D6CD6" w:rsidRPr="00E63C0B" w:rsidRDefault="000D6CD6" w:rsidP="00CB3758">
      <w:pPr>
        <w:spacing w:after="120" w:line="276" w:lineRule="auto"/>
        <w:ind w:firstLine="709"/>
        <w:jc w:val="both"/>
        <w:rPr>
          <w:rFonts w:ascii="Verdana" w:eastAsia="Calibri" w:hAnsi="Verdana" w:cs="Arial"/>
          <w:color w:val="000000"/>
          <w:lang w:val="es-ES" w:eastAsia="es-ES"/>
        </w:rPr>
      </w:pPr>
    </w:p>
    <w:p w14:paraId="01569506" w14:textId="77777777" w:rsidR="000D6CD6" w:rsidRPr="009C5A97" w:rsidRDefault="000D6CD6" w:rsidP="00CB3758">
      <w:pPr>
        <w:spacing w:after="120" w:line="276" w:lineRule="auto"/>
        <w:ind w:firstLine="709"/>
        <w:jc w:val="both"/>
        <w:rPr>
          <w:rFonts w:ascii="Verdana" w:eastAsia="Calibri" w:hAnsi="Verdana" w:cs="Arial"/>
          <w:color w:val="000000"/>
          <w:lang w:val="es-ES_tradnl" w:eastAsia="es-ES_tradnl"/>
        </w:rPr>
      </w:pPr>
      <w:r w:rsidRPr="009C5A97">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C5A97">
        <w:rPr>
          <w:rFonts w:ascii="Verdana" w:eastAsia="Calibri" w:hAnsi="Verdana" w:cs="Arial"/>
          <w:color w:val="000000"/>
          <w:lang w:val="es-ES_tradnl" w:eastAsia="es-ES_tradnl"/>
        </w:rPr>
        <w:tab/>
      </w:r>
    </w:p>
    <w:p w14:paraId="719FCAB0" w14:textId="77777777" w:rsidR="000D6CD6" w:rsidRPr="009C5A97" w:rsidRDefault="000D6CD6" w:rsidP="00CB3758">
      <w:pPr>
        <w:spacing w:after="0" w:line="276" w:lineRule="auto"/>
        <w:ind w:firstLine="709"/>
        <w:jc w:val="both"/>
        <w:rPr>
          <w:rFonts w:ascii="Verdana" w:eastAsia="Calibri" w:hAnsi="Verdana" w:cs="Arial"/>
          <w:color w:val="000000"/>
          <w:lang w:val="es-ES" w:eastAsia="es-ES"/>
        </w:rPr>
      </w:pPr>
      <w:r w:rsidRPr="009C5A97">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w:t>
      </w:r>
      <w:r w:rsidRPr="009C5A97">
        <w:rPr>
          <w:rFonts w:ascii="Verdana" w:eastAsia="Calibri" w:hAnsi="Verdana" w:cs="Arial"/>
          <w:color w:val="7030A0"/>
          <w:lang w:val="es-ES" w:eastAsia="es-ES"/>
        </w:rPr>
        <w:t xml:space="preserve"> </w:t>
      </w:r>
      <w:r w:rsidRPr="009C5A97">
        <w:rPr>
          <w:rFonts w:ascii="Verdana" w:eastAsia="Calibri" w:hAnsi="Verdana" w:cs="Arial"/>
          <w:color w:val="000000"/>
          <w:lang w:val="es-ES" w:eastAsia="es-ES"/>
        </w:rPr>
        <w:t>problema</w:t>
      </w:r>
      <w:r w:rsidRPr="009C5A97">
        <w:rPr>
          <w:rFonts w:ascii="Verdana" w:eastAsia="Calibri" w:hAnsi="Verdana" w:cs="Arial"/>
          <w:color w:val="7030A0"/>
          <w:lang w:val="es-ES" w:eastAsia="es-ES"/>
        </w:rPr>
        <w:t xml:space="preserve"> </w:t>
      </w:r>
      <w:r w:rsidRPr="009C5A97">
        <w:rPr>
          <w:rFonts w:ascii="Verdana" w:eastAsia="Calibri" w:hAnsi="Verdana" w:cs="Arial"/>
          <w:color w:val="000000"/>
          <w:lang w:val="es-ES" w:eastAsia="es-ES"/>
        </w:rPr>
        <w:t>jurídico</w:t>
      </w:r>
      <w:r w:rsidRPr="009C5A97">
        <w:rPr>
          <w:rFonts w:ascii="Verdana" w:eastAsia="Calibri" w:hAnsi="Verdana" w:cs="Arial"/>
          <w:color w:val="7030A0"/>
          <w:lang w:val="es-ES" w:eastAsia="es-ES"/>
        </w:rPr>
        <w:t xml:space="preserve"> </w:t>
      </w:r>
      <w:r w:rsidRPr="009C5A97">
        <w:rPr>
          <w:rFonts w:ascii="Verdana" w:eastAsia="Calibri" w:hAnsi="Verdana" w:cs="Arial"/>
          <w:color w:val="000000"/>
          <w:lang w:val="es-ES" w:eastAsia="es-ES"/>
        </w:rPr>
        <w:t xml:space="preserve">de su consulta. </w:t>
      </w:r>
    </w:p>
    <w:p w14:paraId="1A2FB508" w14:textId="77777777" w:rsidR="000D6CD6" w:rsidRPr="009C5A97" w:rsidRDefault="000D6CD6" w:rsidP="00CB3758">
      <w:pPr>
        <w:spacing w:after="0" w:line="276" w:lineRule="auto"/>
        <w:ind w:firstLine="709"/>
        <w:jc w:val="both"/>
        <w:rPr>
          <w:rFonts w:ascii="Verdana" w:eastAsia="Calibri" w:hAnsi="Verdana" w:cs="Arial"/>
          <w:color w:val="000000"/>
          <w:lang w:val="es-ES" w:eastAsia="es-ES"/>
        </w:rPr>
      </w:pPr>
    </w:p>
    <w:p w14:paraId="3340B2EC" w14:textId="77777777" w:rsidR="000D6CD6" w:rsidRPr="00C56A6D" w:rsidRDefault="000D6CD6" w:rsidP="00CB3758">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lang w:val="es-ES"/>
        </w:rPr>
      </w:pPr>
      <w:r w:rsidRPr="009C5A97">
        <w:rPr>
          <w:rFonts w:ascii="Verdana" w:eastAsia="Century Gothic" w:hAnsi="Verdana" w:cs="Century Gothic"/>
          <w:b/>
          <w:bCs/>
          <w:lang w:val="es-ES"/>
        </w:rPr>
        <w:t>Problema planteado</w:t>
      </w:r>
      <w:r w:rsidRPr="00C56A6D">
        <w:rPr>
          <w:rFonts w:ascii="Verdana" w:eastAsia="Century Gothic" w:hAnsi="Verdana" w:cs="Century Gothic"/>
          <w:b/>
          <w:lang w:val="es-ES"/>
        </w:rPr>
        <w:t>:</w:t>
      </w:r>
    </w:p>
    <w:p w14:paraId="541CD85B" w14:textId="77777777" w:rsidR="000D6CD6" w:rsidRPr="00E63C0B" w:rsidRDefault="000D6CD6" w:rsidP="00CB3758">
      <w:pPr>
        <w:tabs>
          <w:tab w:val="left" w:pos="426"/>
        </w:tabs>
        <w:spacing w:after="0" w:line="276" w:lineRule="auto"/>
        <w:jc w:val="both"/>
        <w:rPr>
          <w:rFonts w:ascii="Verdana" w:eastAsia="Century Gothic" w:hAnsi="Verdana" w:cs="Century Gothic"/>
          <w:lang w:val="es-ES"/>
        </w:rPr>
      </w:pPr>
    </w:p>
    <w:p w14:paraId="71A505FB" w14:textId="7A0FDF38" w:rsidR="000D6CD6" w:rsidRDefault="000D6CD6" w:rsidP="00CB3758">
      <w:pPr>
        <w:spacing w:before="1" w:after="120" w:line="276" w:lineRule="auto"/>
        <w:ind w:right="306"/>
        <w:jc w:val="both"/>
        <w:rPr>
          <w:rFonts w:ascii="Verdana" w:eastAsia="Calibri" w:hAnsi="Verdana" w:cs="Arial"/>
          <w:color w:val="000000" w:themeColor="text1"/>
        </w:rPr>
      </w:pPr>
      <w:r w:rsidRPr="009C5A97">
        <w:rPr>
          <w:rFonts w:ascii="Verdana" w:eastAsia="Century Gothic" w:hAnsi="Verdana" w:cs="Century Gothic"/>
        </w:rPr>
        <w:t xml:space="preserve">De acuerdo con el contenido de su solicitud, esta Agencia resolverá </w:t>
      </w:r>
      <w:r>
        <w:rPr>
          <w:rFonts w:ascii="Verdana" w:eastAsia="Century Gothic" w:hAnsi="Verdana" w:cs="Century Gothic"/>
        </w:rPr>
        <w:t xml:space="preserve">los </w:t>
      </w:r>
      <w:r w:rsidRPr="009C5A97">
        <w:rPr>
          <w:rFonts w:ascii="Verdana" w:eastAsia="Century Gothic" w:hAnsi="Verdana" w:cs="Century Gothic"/>
        </w:rPr>
        <w:t>siguientes problema</w:t>
      </w:r>
      <w:r>
        <w:rPr>
          <w:rFonts w:ascii="Verdana" w:eastAsia="Century Gothic" w:hAnsi="Verdana" w:cs="Century Gothic"/>
        </w:rPr>
        <w:t>s</w:t>
      </w:r>
      <w:r w:rsidRPr="009C5A97">
        <w:rPr>
          <w:rFonts w:ascii="Verdana" w:eastAsia="Century Gothic" w:hAnsi="Verdana" w:cs="Century Gothic"/>
        </w:rPr>
        <w:t xml:space="preserve"> </w:t>
      </w:r>
      <w:r w:rsidRPr="00E660DE">
        <w:rPr>
          <w:rFonts w:ascii="Verdana" w:eastAsia="Century Gothic" w:hAnsi="Verdana" w:cs="Century Gothic"/>
        </w:rPr>
        <w:t>jurídico</w:t>
      </w:r>
      <w:r>
        <w:rPr>
          <w:rFonts w:ascii="Verdana" w:eastAsia="Century Gothic" w:hAnsi="Verdana" w:cs="Century Gothic"/>
        </w:rPr>
        <w:t>s</w:t>
      </w:r>
      <w:r w:rsidRPr="00E660DE">
        <w:rPr>
          <w:rFonts w:ascii="Verdana" w:eastAsia="Century Gothic" w:hAnsi="Verdana" w:cs="Century Gothic"/>
        </w:rPr>
        <w:t>: ¿</w:t>
      </w:r>
      <w:r>
        <w:rPr>
          <w:rFonts w:ascii="Verdana" w:eastAsia="Calibri" w:hAnsi="Verdana" w:cs="Arial"/>
          <w:color w:val="000000" w:themeColor="text1"/>
        </w:rPr>
        <w:t xml:space="preserve">Las empresas Sociales del Estado están obligadas a utilizar los documentos tipo expedidos por la Agencia Nacional de Contratación Pública – Colombia Compra Eficiente? </w:t>
      </w:r>
    </w:p>
    <w:p w14:paraId="62E34FBD" w14:textId="77777777" w:rsidR="000D6CD6" w:rsidRPr="00E63C0B" w:rsidRDefault="000D6CD6" w:rsidP="00CB3758">
      <w:pPr>
        <w:spacing w:before="1" w:after="120" w:line="276" w:lineRule="auto"/>
        <w:ind w:right="306"/>
        <w:jc w:val="both"/>
        <w:rPr>
          <w:rFonts w:ascii="Verdana" w:eastAsia="Century Gothic" w:hAnsi="Verdana" w:cs="Century Gothic"/>
        </w:rPr>
      </w:pPr>
    </w:p>
    <w:p w14:paraId="4576F2AE" w14:textId="77777777" w:rsidR="000D6CD6" w:rsidRPr="009C5A97" w:rsidRDefault="000D6CD6" w:rsidP="00CB3758">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9C5A97">
        <w:rPr>
          <w:rFonts w:ascii="Verdana" w:eastAsia="Century Gothic" w:hAnsi="Verdana" w:cs="Century Gothic"/>
          <w:b/>
          <w:bCs/>
          <w:lang w:val="es-ES"/>
        </w:rPr>
        <w:t>Respuesta:</w:t>
      </w:r>
    </w:p>
    <w:p w14:paraId="7F48E210" w14:textId="77777777" w:rsidR="000D6CD6" w:rsidRPr="00E63C0B" w:rsidRDefault="000D6CD6" w:rsidP="00CB3758">
      <w:pPr>
        <w:tabs>
          <w:tab w:val="left" w:pos="142"/>
          <w:tab w:val="left" w:pos="284"/>
        </w:tabs>
        <w:spacing w:after="0" w:line="276" w:lineRule="auto"/>
        <w:jc w:val="both"/>
        <w:rPr>
          <w:rFonts w:ascii="Verdana" w:eastAsia="Century Gothic" w:hAnsi="Verdana" w:cs="Century Gothic"/>
          <w:b/>
          <w:lang w:val="es-ES"/>
        </w:rPr>
      </w:pPr>
    </w:p>
    <w:p w14:paraId="2A156C63" w14:textId="77777777" w:rsidR="000D6CD6" w:rsidRPr="00E63C0B" w:rsidRDefault="000D6CD6" w:rsidP="00CB3758">
      <w:pPr>
        <w:tabs>
          <w:tab w:val="left" w:pos="142"/>
          <w:tab w:val="left" w:pos="284"/>
        </w:tabs>
        <w:spacing w:after="0" w:line="276" w:lineRule="auto"/>
        <w:jc w:val="both"/>
        <w:rPr>
          <w:rFonts w:ascii="Verdana" w:eastAsia="Century Gothic" w:hAnsi="Verdana" w:cs="Century Gothic"/>
          <w:b/>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D6CD6" w:rsidRPr="009C5A97" w14:paraId="428B003D" w14:textId="77777777" w:rsidTr="00ED4CCE">
        <w:tc>
          <w:tcPr>
            <w:tcW w:w="8828" w:type="dxa"/>
            <w:shd w:val="clear" w:color="auto" w:fill="auto"/>
          </w:tcPr>
          <w:p w14:paraId="12EBCD16" w14:textId="77777777" w:rsidR="000D6CD6" w:rsidRPr="00A75D14" w:rsidRDefault="000D6CD6" w:rsidP="00CB3758">
            <w:pPr>
              <w:snapToGrid w:val="0"/>
              <w:spacing w:line="276" w:lineRule="auto"/>
              <w:jc w:val="both"/>
              <w:rPr>
                <w:rFonts w:ascii="Verdana" w:eastAsia="Calibri" w:hAnsi="Verdana" w:cs="Arial"/>
                <w:lang w:val="es-ES" w:eastAsia="es-ES"/>
              </w:rPr>
            </w:pPr>
            <w:r w:rsidRPr="00A75D14">
              <w:rPr>
                <w:rFonts w:ascii="Verdana" w:eastAsia="Calibri" w:hAnsi="Verdana" w:cs="Arial"/>
                <w:lang w:val="es-ES" w:eastAsia="es-ES"/>
              </w:rPr>
              <w:t xml:space="preserve">Lo dispuesto en el parágrafo del artículo 56 de la Ley 2195 de 2022 implica que las instituciones de educación superior públicas, las empresas sociales del Estado, las sociedades de economía mixta y las empresas industriales y comerciales del Estado, no tendrán que implementar los documentos tipo únicamente para la contratación relacionada con el </w:t>
            </w:r>
            <w:r w:rsidRPr="00A75D14">
              <w:rPr>
                <w:rFonts w:ascii="Verdana" w:eastAsia="Calibri" w:hAnsi="Verdana" w:cs="Arial"/>
                <w:i/>
                <w:lang w:val="es-ES" w:eastAsia="es-ES"/>
              </w:rPr>
              <w:t xml:space="preserve">giro ordinario </w:t>
            </w:r>
            <w:r w:rsidRPr="00A75D14">
              <w:rPr>
                <w:rFonts w:ascii="Verdana" w:eastAsia="Calibri" w:hAnsi="Verdana" w:cs="Arial"/>
                <w:lang w:val="es-ES" w:eastAsia="es-ES"/>
              </w:rPr>
              <w:t>de sus asuntos, salvo que los manuales internos de contratación de estas entidades dispongan la obligación de tener en cuenta los documentos tipo como una buena práctica contractual. En otras palabras, ninguna entidad cuya naturaleza jurídica coincida con las mencionadas en el parágrafo del artículo 56, tendrá que someterse de manera obligatoria a los documentos tipo o el E</w:t>
            </w:r>
            <w:r>
              <w:rPr>
                <w:rFonts w:ascii="Verdana" w:eastAsia="Calibri" w:hAnsi="Verdana" w:cs="Arial"/>
                <w:lang w:val="es-ES" w:eastAsia="es-ES"/>
              </w:rPr>
              <w:t xml:space="preserve">statuto </w:t>
            </w:r>
            <w:r w:rsidRPr="00A75D14">
              <w:rPr>
                <w:rFonts w:ascii="Verdana" w:eastAsia="Calibri" w:hAnsi="Verdana" w:cs="Arial"/>
                <w:lang w:val="es-ES" w:eastAsia="es-ES"/>
              </w:rPr>
              <w:t>G</w:t>
            </w:r>
            <w:r>
              <w:rPr>
                <w:rFonts w:ascii="Verdana" w:eastAsia="Calibri" w:hAnsi="Verdana" w:cs="Arial"/>
                <w:lang w:val="es-ES" w:eastAsia="es-ES"/>
              </w:rPr>
              <w:t xml:space="preserve">eneral de </w:t>
            </w:r>
            <w:r w:rsidRPr="00A75D14">
              <w:rPr>
                <w:rFonts w:ascii="Verdana" w:eastAsia="Calibri" w:hAnsi="Verdana" w:cs="Arial"/>
                <w:lang w:val="es-ES" w:eastAsia="es-ES"/>
              </w:rPr>
              <w:t>C</w:t>
            </w:r>
            <w:r>
              <w:rPr>
                <w:rFonts w:ascii="Verdana" w:eastAsia="Calibri" w:hAnsi="Verdana" w:cs="Arial"/>
                <w:lang w:val="es-ES" w:eastAsia="es-ES"/>
              </w:rPr>
              <w:t xml:space="preserve">ontratación de la Administración </w:t>
            </w:r>
            <w:r w:rsidRPr="00A75D14">
              <w:rPr>
                <w:rFonts w:ascii="Verdana" w:eastAsia="Calibri" w:hAnsi="Verdana" w:cs="Arial"/>
                <w:lang w:val="es-ES" w:eastAsia="es-ES"/>
              </w:rPr>
              <w:t>P</w:t>
            </w:r>
            <w:r>
              <w:rPr>
                <w:rFonts w:ascii="Verdana" w:eastAsia="Calibri" w:hAnsi="Verdana" w:cs="Arial"/>
                <w:lang w:val="es-ES" w:eastAsia="es-ES"/>
              </w:rPr>
              <w:t>ública</w:t>
            </w:r>
            <w:r w:rsidRPr="00A75D14">
              <w:rPr>
                <w:rFonts w:ascii="Verdana" w:eastAsia="Calibri" w:hAnsi="Verdana" w:cs="Arial"/>
                <w:lang w:val="es-ES" w:eastAsia="es-ES"/>
              </w:rPr>
              <w:t xml:space="preserve"> para la contratación de obras o servicios asociadas a su </w:t>
            </w:r>
            <w:r w:rsidRPr="00A75D14">
              <w:rPr>
                <w:rFonts w:ascii="Verdana" w:eastAsia="Calibri" w:hAnsi="Verdana" w:cs="Arial"/>
                <w:i/>
                <w:lang w:val="es-ES" w:eastAsia="es-ES"/>
              </w:rPr>
              <w:t>giro ordinario</w:t>
            </w:r>
            <w:r w:rsidRPr="00A75D14">
              <w:rPr>
                <w:rFonts w:ascii="Verdana" w:eastAsia="Calibri" w:hAnsi="Verdana" w:cs="Arial"/>
                <w:lang w:val="es-ES" w:eastAsia="es-ES"/>
              </w:rPr>
              <w:t xml:space="preserve">, a menos que su manual de contratación establezca lo contrario. </w:t>
            </w:r>
          </w:p>
          <w:p w14:paraId="0A23A24A" w14:textId="77777777" w:rsidR="000D6CD6" w:rsidRDefault="000D6CD6" w:rsidP="00CB3758">
            <w:pPr>
              <w:autoSpaceDE w:val="0"/>
              <w:autoSpaceDN w:val="0"/>
              <w:adjustRightInd w:val="0"/>
              <w:spacing w:line="276" w:lineRule="auto"/>
              <w:contextualSpacing/>
              <w:jc w:val="both"/>
              <w:rPr>
                <w:rFonts w:ascii="Verdana" w:eastAsia="Calibri" w:hAnsi="Verdana" w:cs="Arial"/>
                <w:lang w:val="es-ES" w:eastAsia="es-MX"/>
              </w:rPr>
            </w:pPr>
          </w:p>
          <w:p w14:paraId="0F96AD71" w14:textId="77777777" w:rsidR="008A17A5" w:rsidRDefault="008A17A5" w:rsidP="00CB3758">
            <w:pPr>
              <w:autoSpaceDE w:val="0"/>
              <w:autoSpaceDN w:val="0"/>
              <w:adjustRightInd w:val="0"/>
              <w:spacing w:line="276" w:lineRule="auto"/>
              <w:contextualSpacing/>
              <w:jc w:val="both"/>
              <w:rPr>
                <w:rFonts w:ascii="Verdana" w:eastAsia="Calibri" w:hAnsi="Verdana" w:cs="Arial"/>
                <w:lang w:eastAsia="es-MX"/>
              </w:rPr>
            </w:pPr>
            <w:r>
              <w:rPr>
                <w:rFonts w:ascii="Verdana" w:eastAsia="Calibri" w:hAnsi="Verdana" w:cs="Arial"/>
                <w:lang w:eastAsia="es-MX"/>
              </w:rPr>
              <w:t xml:space="preserve">En este sentido, </w:t>
            </w:r>
            <w:r w:rsidRPr="00A75D14">
              <w:rPr>
                <w:rFonts w:ascii="Verdana" w:eastAsia="Calibri" w:hAnsi="Verdana" w:cs="Arial"/>
                <w:lang w:val="es-ES" w:eastAsia="es-ES"/>
              </w:rPr>
              <w:t>las empresas industriales y comerciales del Estado</w:t>
            </w:r>
            <w:r>
              <w:rPr>
                <w:rFonts w:ascii="Verdana" w:eastAsia="Calibri" w:hAnsi="Verdana" w:cs="Arial"/>
                <w:lang w:eastAsia="es-MX"/>
              </w:rPr>
              <w:t xml:space="preserve"> están obligadas a aplicar </w:t>
            </w:r>
            <w:r w:rsidRPr="008A17A5">
              <w:rPr>
                <w:rFonts w:ascii="Verdana" w:eastAsia="Calibri" w:hAnsi="Verdana" w:cs="Arial"/>
                <w:lang w:eastAsia="es-MX"/>
              </w:rPr>
              <w:t xml:space="preserve">Documentos </w:t>
            </w:r>
            <w:r>
              <w:rPr>
                <w:rFonts w:ascii="Verdana" w:eastAsia="Calibri" w:hAnsi="Verdana" w:cs="Arial"/>
                <w:lang w:eastAsia="es-MX"/>
              </w:rPr>
              <w:t xml:space="preserve">tipo, y a aplicar el principio de inalterabilidad de los documentos. </w:t>
            </w:r>
          </w:p>
          <w:p w14:paraId="6745AF3E" w14:textId="77777777" w:rsidR="00CB3758" w:rsidRDefault="00CB3758" w:rsidP="00CB3758">
            <w:pPr>
              <w:autoSpaceDE w:val="0"/>
              <w:autoSpaceDN w:val="0"/>
              <w:adjustRightInd w:val="0"/>
              <w:spacing w:line="276" w:lineRule="auto"/>
              <w:contextualSpacing/>
              <w:jc w:val="both"/>
              <w:rPr>
                <w:rFonts w:ascii="Verdana" w:eastAsia="Calibri" w:hAnsi="Verdana" w:cs="Arial"/>
                <w:lang w:val="es-ES" w:eastAsia="es-MX"/>
              </w:rPr>
            </w:pPr>
          </w:p>
          <w:p w14:paraId="713676CF" w14:textId="77777777" w:rsidR="00CB3758" w:rsidRDefault="00CB3758" w:rsidP="00CB3758">
            <w:pPr>
              <w:autoSpaceDE w:val="0"/>
              <w:autoSpaceDN w:val="0"/>
              <w:adjustRightInd w:val="0"/>
              <w:spacing w:line="276" w:lineRule="auto"/>
              <w:contextualSpacing/>
              <w:jc w:val="both"/>
              <w:rPr>
                <w:rFonts w:ascii="Verdana" w:eastAsia="Calibri" w:hAnsi="Verdana" w:cs="Arial"/>
                <w:lang w:eastAsia="es-MX"/>
              </w:rPr>
            </w:pPr>
            <w:r w:rsidRPr="00CB3758">
              <w:rPr>
                <w:rFonts w:ascii="Verdana" w:eastAsia="Calibri" w:hAnsi="Verdana" w:cs="Arial"/>
                <w:lang w:eastAsia="es-MX"/>
              </w:rPr>
              <w:t xml:space="preserve">En este sentido, las empresas industriales y comerciales del Estado tienen la obligación de utilizar los 'Documentos Tipo' establecidos por la normativa vigente, los cuales sirven como referencia estándar en los procesos de contratación y gestión administrativa. Además, deben cumplir con el principio de inalterabilidad de los documentos, lo que implica que </w:t>
            </w:r>
            <w:r>
              <w:rPr>
                <w:rFonts w:ascii="Verdana" w:eastAsia="Calibri" w:hAnsi="Verdana" w:cs="Arial"/>
                <w:lang w:eastAsia="es-MX"/>
              </w:rPr>
              <w:t>l</w:t>
            </w:r>
            <w:r w:rsidRPr="00CB3758">
              <w:rPr>
                <w:rFonts w:ascii="Verdana" w:eastAsia="Calibri" w:hAnsi="Verdana" w:cs="Arial"/>
                <w:lang w:eastAsia="es-MX"/>
              </w:rPr>
              <w:t>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222C6109" w14:textId="77777777" w:rsidR="00CB3758" w:rsidRDefault="00CB3758" w:rsidP="00CB3758">
            <w:pPr>
              <w:autoSpaceDE w:val="0"/>
              <w:autoSpaceDN w:val="0"/>
              <w:adjustRightInd w:val="0"/>
              <w:spacing w:line="276" w:lineRule="auto"/>
              <w:contextualSpacing/>
              <w:jc w:val="both"/>
              <w:rPr>
                <w:rFonts w:ascii="Verdana" w:eastAsia="Calibri" w:hAnsi="Verdana" w:cs="Arial"/>
                <w:lang w:val="es-ES" w:eastAsia="es-MX"/>
              </w:rPr>
            </w:pPr>
          </w:p>
          <w:p w14:paraId="3173CCF7" w14:textId="7B0F7FDB" w:rsidR="00CB3758" w:rsidRPr="00ED415F" w:rsidRDefault="00CB3758" w:rsidP="00CB3758">
            <w:pPr>
              <w:autoSpaceDE w:val="0"/>
              <w:autoSpaceDN w:val="0"/>
              <w:adjustRightInd w:val="0"/>
              <w:spacing w:line="276" w:lineRule="auto"/>
              <w:contextualSpacing/>
              <w:jc w:val="both"/>
              <w:rPr>
                <w:rFonts w:ascii="Verdana" w:eastAsia="Calibri" w:hAnsi="Verdana" w:cs="Arial"/>
                <w:lang w:val="es-ES" w:eastAsia="es-MX"/>
              </w:rPr>
            </w:pPr>
            <w:r w:rsidRPr="00CB3758">
              <w:rPr>
                <w:rFonts w:ascii="Verdana" w:eastAsia="Calibri" w:hAnsi="Verdana" w:cs="Arial"/>
                <w:b/>
                <w:bCs/>
                <w:lang w:eastAsia="es-MX"/>
              </w:rPr>
              <w:t>La Agencia Nacional de Contratación Pública - Colombia Compra Eficiente</w:t>
            </w:r>
            <w:r w:rsidRPr="00CB3758">
              <w:rPr>
                <w:rFonts w:ascii="Verdana" w:eastAsia="Calibri" w:hAnsi="Verdana" w:cs="Arial"/>
                <w:lang w:eastAsia="es-MX"/>
              </w:rPr>
              <w:t xml:space="preserve"> recomienda a todas las entidades públicas, independientemente de su naturaleza, que gestionan recursos públicos, la aplicación de los </w:t>
            </w:r>
            <w:r w:rsidRPr="00CB3758">
              <w:rPr>
                <w:rFonts w:ascii="Verdana" w:eastAsia="Calibri" w:hAnsi="Verdana" w:cs="Arial"/>
                <w:b/>
                <w:bCs/>
                <w:lang w:eastAsia="es-MX"/>
              </w:rPr>
              <w:t>Documentos Tipo</w:t>
            </w:r>
            <w:r w:rsidRPr="00CB3758">
              <w:rPr>
                <w:rFonts w:ascii="Verdana" w:eastAsia="Calibri" w:hAnsi="Verdana" w:cs="Arial"/>
                <w:lang w:eastAsia="es-MX"/>
              </w:rPr>
              <w:t xml:space="preserve">. Esta recomendación es válida tanto para su uso obligatorio, cuando así lo establezca la normatividad vigente, como para su implementación como una buena práctica. El objetivo es garantizar la </w:t>
            </w:r>
            <w:r w:rsidRPr="00CB3758">
              <w:rPr>
                <w:rFonts w:ascii="Verdana" w:eastAsia="Calibri" w:hAnsi="Verdana" w:cs="Arial"/>
                <w:b/>
                <w:bCs/>
                <w:lang w:eastAsia="es-MX"/>
              </w:rPr>
              <w:lastRenderedPageBreak/>
              <w:t>transparencia</w:t>
            </w:r>
            <w:r w:rsidRPr="00CB3758">
              <w:rPr>
                <w:rFonts w:ascii="Verdana" w:eastAsia="Calibri" w:hAnsi="Verdana" w:cs="Arial"/>
                <w:lang w:eastAsia="es-MX"/>
              </w:rPr>
              <w:t xml:space="preserve"> y promover un proceso de </w:t>
            </w:r>
            <w:r w:rsidRPr="00CB3758">
              <w:rPr>
                <w:rFonts w:ascii="Verdana" w:eastAsia="Calibri" w:hAnsi="Verdana" w:cs="Arial"/>
                <w:b/>
                <w:bCs/>
                <w:lang w:eastAsia="es-MX"/>
              </w:rPr>
              <w:t>selección objetiva</w:t>
            </w:r>
            <w:r w:rsidRPr="00CB3758">
              <w:rPr>
                <w:rFonts w:ascii="Verdana" w:eastAsia="Calibri" w:hAnsi="Verdana" w:cs="Arial"/>
                <w:lang w:eastAsia="es-MX"/>
              </w:rPr>
              <w:t xml:space="preserve"> en la contratación pública, contribuyendo así a mejorar la eficiencia, la competencia y la confianza en el manejo de los recursos del Estado.</w:t>
            </w:r>
          </w:p>
        </w:tc>
      </w:tr>
    </w:tbl>
    <w:p w14:paraId="6994FC33" w14:textId="77777777" w:rsidR="000D6CD6" w:rsidRPr="00E63C0B" w:rsidRDefault="000D6CD6" w:rsidP="00CB3758">
      <w:pPr>
        <w:tabs>
          <w:tab w:val="left" w:pos="142"/>
          <w:tab w:val="left" w:pos="284"/>
        </w:tabs>
        <w:spacing w:after="0" w:line="276" w:lineRule="auto"/>
        <w:jc w:val="both"/>
        <w:rPr>
          <w:rFonts w:ascii="Verdana" w:eastAsia="Century Gothic" w:hAnsi="Verdana" w:cs="Century Gothic"/>
          <w:b/>
          <w:lang w:val="es-ES"/>
        </w:rPr>
      </w:pPr>
    </w:p>
    <w:p w14:paraId="139C1AC7" w14:textId="77777777" w:rsidR="000D6CD6" w:rsidRPr="00C56A6D" w:rsidRDefault="000D6CD6" w:rsidP="00CB3758">
      <w:pPr>
        <w:numPr>
          <w:ilvl w:val="0"/>
          <w:numId w:val="16"/>
        </w:numPr>
        <w:tabs>
          <w:tab w:val="left" w:pos="142"/>
          <w:tab w:val="left" w:pos="284"/>
        </w:tabs>
        <w:spacing w:after="0" w:line="276" w:lineRule="auto"/>
        <w:ind w:left="0" w:firstLine="0"/>
        <w:jc w:val="both"/>
        <w:rPr>
          <w:rFonts w:ascii="Verdana" w:eastAsia="Century Gothic" w:hAnsi="Verdana" w:cs="Century Gothic"/>
          <w:b/>
          <w:lang w:val="es-ES"/>
        </w:rPr>
      </w:pPr>
      <w:r w:rsidRPr="00C56A6D">
        <w:rPr>
          <w:rFonts w:ascii="Verdana" w:eastAsia="Century Gothic" w:hAnsi="Verdana" w:cs="Century Gothic"/>
          <w:b/>
          <w:lang w:val="es-ES"/>
        </w:rPr>
        <w:t>Razones de la respuesta:</w:t>
      </w:r>
    </w:p>
    <w:p w14:paraId="66BC0D7F" w14:textId="77777777" w:rsidR="000D6CD6" w:rsidRPr="00C56A6D" w:rsidRDefault="000D6CD6" w:rsidP="00CB3758">
      <w:pPr>
        <w:spacing w:after="0" w:line="276" w:lineRule="auto"/>
        <w:jc w:val="both"/>
        <w:rPr>
          <w:rFonts w:ascii="Verdana" w:eastAsia="Calibri" w:hAnsi="Verdana" w:cs="Arial"/>
          <w:color w:val="7030A0"/>
          <w:lang w:val="es-ES"/>
        </w:rPr>
      </w:pPr>
    </w:p>
    <w:p w14:paraId="575EACBC" w14:textId="77777777" w:rsidR="000D6CD6" w:rsidRPr="009C5A97" w:rsidRDefault="000D6CD6" w:rsidP="00CB3758">
      <w:pPr>
        <w:spacing w:after="0" w:line="276" w:lineRule="auto"/>
        <w:jc w:val="both"/>
        <w:rPr>
          <w:rFonts w:ascii="Verdana" w:eastAsia="Calibri" w:hAnsi="Verdana" w:cs="Arial"/>
          <w:lang w:val="es-ES"/>
        </w:rPr>
      </w:pPr>
      <w:r w:rsidRPr="009C5A97">
        <w:rPr>
          <w:rFonts w:ascii="Verdana" w:eastAsia="Calibri" w:hAnsi="Verdana" w:cs="Arial"/>
          <w:lang w:val="es-ES"/>
        </w:rPr>
        <w:t xml:space="preserve">Lo anterior se sustenta en las siguientes consideraciones: </w:t>
      </w:r>
    </w:p>
    <w:p w14:paraId="66157BD7" w14:textId="77777777" w:rsidR="000D6CD6" w:rsidRPr="009C5A97" w:rsidRDefault="000D6CD6" w:rsidP="00CB3758">
      <w:pPr>
        <w:spacing w:after="0" w:line="276" w:lineRule="auto"/>
        <w:jc w:val="both"/>
        <w:rPr>
          <w:rFonts w:ascii="Verdana" w:eastAsia="Calibri" w:hAnsi="Verdana" w:cs="Arial"/>
          <w:lang w:val="es-ES"/>
        </w:rPr>
      </w:pPr>
    </w:p>
    <w:p w14:paraId="613CD540" w14:textId="77777777" w:rsidR="000D6CD6" w:rsidRPr="00CB3758" w:rsidRDefault="000D6CD6" w:rsidP="00CB3758">
      <w:pPr>
        <w:pStyle w:val="Prrafodelista"/>
        <w:numPr>
          <w:ilvl w:val="0"/>
          <w:numId w:val="19"/>
        </w:numPr>
        <w:spacing w:after="0" w:line="276" w:lineRule="auto"/>
        <w:jc w:val="both"/>
        <w:rPr>
          <w:rFonts w:ascii="Verdana" w:eastAsia="Times New Roman" w:hAnsi="Verdana" w:cs="Arial"/>
          <w:color w:val="000000"/>
        </w:rPr>
      </w:pPr>
      <w:r w:rsidRPr="00CB3758">
        <w:rPr>
          <w:rFonts w:ascii="Verdana" w:eastAsia="Times New Roman" w:hAnsi="Verdana" w:cs="Arial"/>
          <w:color w:val="000000"/>
        </w:rPr>
        <w:t>El artículo 4 de la Ley 1882 de 2018 estableció que al Gobierno Nacional le correspondía adoptar los “documentos tipo para los pliegos de condiciones de los procesos de selección de obras públicas” y que estos “deberán ser utilizados por todas las entidades sometidas al Estatuto General de la Contratación de la Administración Pública en los procesos de selección que adelanten”. Adicionalmente señala, frente a su contenido, que “[d]entro de los documentos tipo el Gobierno adoptará de manera general y con alcance obligatorio para todas las entidades sometidas al Estatuto General de Contratación de la Administración Pública –en adelante EGCAP– las condiciones habilitantes, así como los factores técnicos y económicos de escogencia […] teniendo en cuenta la naturaleza y la cuantía de los contratos”.</w:t>
      </w:r>
    </w:p>
    <w:p w14:paraId="75CDD289" w14:textId="77777777" w:rsidR="000D6CD6" w:rsidRDefault="000D6CD6" w:rsidP="00CB3758">
      <w:pPr>
        <w:snapToGrid w:val="0"/>
        <w:spacing w:after="0" w:line="276" w:lineRule="auto"/>
        <w:jc w:val="both"/>
        <w:rPr>
          <w:rFonts w:ascii="Verdana" w:eastAsia="Calibri" w:hAnsi="Verdana" w:cs="Arial"/>
          <w:kern w:val="2"/>
          <w:lang w:val="es-ES"/>
          <w14:ligatures w14:val="standardContextual"/>
        </w:rPr>
      </w:pPr>
    </w:p>
    <w:p w14:paraId="7412CD40" w14:textId="77777777" w:rsidR="000D6CD6" w:rsidRPr="00CB3758" w:rsidRDefault="000D6CD6" w:rsidP="00CB3758">
      <w:pPr>
        <w:pStyle w:val="Prrafodelista"/>
        <w:numPr>
          <w:ilvl w:val="0"/>
          <w:numId w:val="19"/>
        </w:numPr>
        <w:snapToGrid w:val="0"/>
        <w:spacing w:after="0" w:line="276" w:lineRule="auto"/>
        <w:jc w:val="both"/>
        <w:rPr>
          <w:rFonts w:ascii="Verdana" w:eastAsia="Calibri" w:hAnsi="Verdana" w:cs="Arial"/>
          <w:kern w:val="2"/>
          <w14:ligatures w14:val="standardContextual"/>
        </w:rPr>
      </w:pPr>
      <w:r w:rsidRPr="00CB3758">
        <w:rPr>
          <w:rFonts w:ascii="Verdana" w:eastAsia="Calibri" w:hAnsi="Verdana" w:cs="Arial"/>
          <w:kern w:val="2"/>
          <w14:ligatures w14:val="standardContextua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1058F748" w14:textId="77777777" w:rsidR="000D6CD6" w:rsidRPr="009C5A97" w:rsidRDefault="000D6CD6" w:rsidP="00CB3758">
      <w:pPr>
        <w:snapToGrid w:val="0"/>
        <w:spacing w:after="0" w:line="276" w:lineRule="auto"/>
        <w:jc w:val="both"/>
        <w:rPr>
          <w:rFonts w:ascii="Verdana" w:eastAsia="Calibri" w:hAnsi="Verdana" w:cs="Arial"/>
          <w:kern w:val="2"/>
          <w:lang w:val="es-ES"/>
          <w14:ligatures w14:val="standardContextual"/>
        </w:rPr>
      </w:pPr>
    </w:p>
    <w:p w14:paraId="40132F57" w14:textId="77777777" w:rsidR="000D6CD6" w:rsidRPr="00CB3758" w:rsidRDefault="000D6CD6" w:rsidP="00CB3758">
      <w:pPr>
        <w:pStyle w:val="Prrafodelista"/>
        <w:numPr>
          <w:ilvl w:val="0"/>
          <w:numId w:val="19"/>
        </w:numPr>
        <w:spacing w:after="0" w:line="276" w:lineRule="auto"/>
        <w:jc w:val="both"/>
        <w:rPr>
          <w:rFonts w:ascii="Verdana" w:eastAsia="Times New Roman" w:hAnsi="Verdana" w:cs="Arial"/>
          <w:color w:val="000000"/>
        </w:rPr>
      </w:pPr>
      <w:r w:rsidRPr="00CB3758">
        <w:rPr>
          <w:rFonts w:ascii="Verdana" w:eastAsia="Times New Roman" w:hAnsi="Verdana" w:cs="Arial"/>
          <w:color w:val="000000"/>
        </w:rPr>
        <w:t>Los artículos 2.2.1.2.6.1.4</w:t>
      </w:r>
      <w:r>
        <w:rPr>
          <w:rStyle w:val="Refdenotaalpie"/>
          <w:rFonts w:ascii="Verdana" w:eastAsia="Times New Roman" w:hAnsi="Verdana" w:cs="Arial"/>
          <w:color w:val="000000"/>
        </w:rPr>
        <w:footnoteReference w:id="2"/>
      </w:r>
      <w:r w:rsidRPr="00CB3758">
        <w:rPr>
          <w:rFonts w:ascii="Verdana" w:eastAsia="Times New Roman" w:hAnsi="Verdana" w:cs="Arial"/>
          <w:color w:val="000000"/>
        </w:rPr>
        <w:t>, 2.2.1.2.6.2.3</w:t>
      </w:r>
      <w:r>
        <w:rPr>
          <w:rStyle w:val="Refdenotaalpie"/>
          <w:rFonts w:ascii="Verdana" w:eastAsia="Times New Roman" w:hAnsi="Verdana" w:cs="Arial"/>
          <w:color w:val="000000"/>
        </w:rPr>
        <w:footnoteReference w:id="3"/>
      </w:r>
      <w:r w:rsidRPr="00CB3758">
        <w:rPr>
          <w:rFonts w:ascii="Verdana" w:eastAsia="Times New Roman" w:hAnsi="Verdana" w:cs="Arial"/>
          <w:color w:val="000000"/>
        </w:rPr>
        <w:t>, y 2.2.1.2.6.3.4</w:t>
      </w:r>
      <w:r>
        <w:rPr>
          <w:rStyle w:val="Refdenotaalpie"/>
          <w:rFonts w:ascii="Verdana" w:eastAsia="Times New Roman" w:hAnsi="Verdana" w:cs="Arial"/>
          <w:color w:val="000000"/>
        </w:rPr>
        <w:footnoteReference w:id="4"/>
      </w:r>
      <w:r w:rsidRPr="00CB3758">
        <w:rPr>
          <w:rFonts w:ascii="Verdana" w:eastAsia="Times New Roman" w:hAnsi="Verdana" w:cs="Arial"/>
          <w:color w:val="000000"/>
        </w:rPr>
        <w:t xml:space="preserve"> del Decreto 1082 de 2015 establecen la inalterabilidad de los documentos tipo para las </w:t>
      </w:r>
      <w:r w:rsidRPr="00CB3758">
        <w:rPr>
          <w:rFonts w:ascii="Verdana" w:eastAsia="Times New Roman" w:hAnsi="Verdana" w:cs="Arial"/>
          <w:color w:val="000000"/>
        </w:rPr>
        <w:lastRenderedPageBreak/>
        <w:t>modalidades de licitación pública, selección abreviada de menor cuantía y mínima cuantía,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 en ejercicio del mandato establecido en el artículo 4 de la Ley 1882 de 2018, modificado por la Ley 2022 de 2020, son de obligatorio cumplimiento e inalterables para las entidades sometidas al EGCAP que adelanten procesos que deban regirse por su contenido. Por tanto, no pueden variar los requisitos que en ellos sean fijados, ni establecer reglas o requisitos adicionales a los establecidos en los Documentos Tipo para la presentación de las ofertas y la acreditación de los requisitos habilitantes.</w:t>
      </w:r>
    </w:p>
    <w:p w14:paraId="3B0C008F" w14:textId="77777777" w:rsidR="000D6CD6" w:rsidRDefault="000D6CD6" w:rsidP="00CB3758">
      <w:pPr>
        <w:widowControl w:val="0"/>
        <w:tabs>
          <w:tab w:val="left" w:pos="993"/>
        </w:tabs>
        <w:autoSpaceDE w:val="0"/>
        <w:autoSpaceDN w:val="0"/>
        <w:spacing w:after="0" w:line="276" w:lineRule="auto"/>
        <w:ind w:right="51"/>
        <w:jc w:val="both"/>
        <w:rPr>
          <w:rFonts w:ascii="Verdana" w:eastAsia="Arial" w:hAnsi="Verdana" w:cs="Arial"/>
          <w:lang w:eastAsia="es-ES" w:bidi="es-ES"/>
        </w:rPr>
      </w:pPr>
    </w:p>
    <w:p w14:paraId="567E53A0" w14:textId="77777777" w:rsidR="000D6CD6" w:rsidRPr="00CB3758" w:rsidRDefault="000D6CD6" w:rsidP="00CB3758">
      <w:pPr>
        <w:pStyle w:val="Prrafodelista"/>
        <w:numPr>
          <w:ilvl w:val="0"/>
          <w:numId w:val="19"/>
        </w:numPr>
        <w:spacing w:after="0" w:line="276" w:lineRule="auto"/>
        <w:jc w:val="both"/>
        <w:rPr>
          <w:rFonts w:ascii="Verdana" w:eastAsia="Times New Roman" w:hAnsi="Verdana" w:cs="Arial"/>
          <w:color w:val="000000"/>
        </w:rPr>
      </w:pPr>
      <w:r w:rsidRPr="00CB3758">
        <w:rPr>
          <w:rFonts w:ascii="Verdana" w:eastAsia="Times New Roman" w:hAnsi="Verdana" w:cs="Arial"/>
          <w:color w:val="000000"/>
        </w:rPr>
        <w:t>En armonía con lo anterior, en la parte introductoria de los documentos tipo se señala que los aspectos incluidos en corchetes y resaltado gris deben ser diligenciados por la entidad. Excepcionalmente le corresponde al proponente consignar la información incluida en corchetes y resaltada en gris. De todos modos, en cada apartado que esté resaltado en gris la entidad tendrá la libertad de determinar la información que diligenciará, de acuerdo con su necesidad y las instrucciones que establezca el Documento Tipo.</w:t>
      </w:r>
    </w:p>
    <w:p w14:paraId="475B0D9F" w14:textId="77777777" w:rsidR="000D6CD6" w:rsidRPr="005B51D3" w:rsidRDefault="000D6CD6" w:rsidP="00CB3758">
      <w:pPr>
        <w:spacing w:line="276" w:lineRule="auto"/>
        <w:rPr>
          <w:rFonts w:ascii="Verdana" w:eastAsia="Calibri" w:hAnsi="Verdana" w:cs="Arial"/>
        </w:rPr>
      </w:pPr>
    </w:p>
    <w:p w14:paraId="0B266734" w14:textId="77777777" w:rsidR="000D6CD6" w:rsidRPr="00CB3758" w:rsidRDefault="000D6CD6" w:rsidP="00CB3758">
      <w:pPr>
        <w:pStyle w:val="Prrafodelista"/>
        <w:numPr>
          <w:ilvl w:val="0"/>
          <w:numId w:val="19"/>
        </w:numPr>
        <w:spacing w:line="276" w:lineRule="auto"/>
        <w:jc w:val="both"/>
        <w:rPr>
          <w:rFonts w:ascii="Verdana" w:eastAsia="Calibri" w:hAnsi="Verdana" w:cs="Arial"/>
        </w:rPr>
      </w:pPr>
      <w:r w:rsidRPr="00CB3758">
        <w:rPr>
          <w:rFonts w:ascii="Verdana" w:eastAsia="Calibri" w:hAnsi="Verdana" w:cs="Arial"/>
        </w:rPr>
        <w:t xml:space="preserve">No obstante a lo anterior, resulta imperioso resaltar que aquellas entidades exceptuadas o que por imperio de la Ley tengan régimen especial de contratación deben observar principios generales establecidos en la Ley 1150 de 2007, articulo 13, a saber: </w:t>
      </w:r>
    </w:p>
    <w:p w14:paraId="5B51F295" w14:textId="77777777" w:rsidR="000D6CD6" w:rsidRPr="00CB3758" w:rsidRDefault="000D6CD6" w:rsidP="00CB3758">
      <w:pPr>
        <w:pStyle w:val="Prrafodelista"/>
        <w:numPr>
          <w:ilvl w:val="0"/>
          <w:numId w:val="19"/>
        </w:numPr>
        <w:spacing w:line="276" w:lineRule="auto"/>
        <w:ind w:right="709"/>
        <w:jc w:val="both"/>
        <w:rPr>
          <w:rFonts w:ascii="Verdana" w:hAnsi="Verdana"/>
          <w:sz w:val="20"/>
          <w:szCs w:val="20"/>
        </w:rPr>
      </w:pPr>
      <w:r w:rsidRPr="00CB3758">
        <w:rPr>
          <w:rFonts w:ascii="Verdana" w:hAnsi="Verdana"/>
          <w:sz w:val="20"/>
          <w:szCs w:val="20"/>
        </w:rPr>
        <w:t>ARTÍCULO 13. 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71D41CE9" w14:textId="77777777" w:rsidR="000D6CD6" w:rsidRDefault="000D6CD6" w:rsidP="00CB3758">
      <w:pPr>
        <w:spacing w:line="276" w:lineRule="auto"/>
        <w:ind w:left="709" w:right="709"/>
        <w:jc w:val="both"/>
        <w:rPr>
          <w:rFonts w:ascii="Verdana" w:hAnsi="Verdana"/>
          <w:sz w:val="20"/>
          <w:szCs w:val="20"/>
        </w:rPr>
      </w:pPr>
    </w:p>
    <w:p w14:paraId="71660E3A" w14:textId="70F2ED48" w:rsidR="000D6CD6" w:rsidRDefault="000D6CD6" w:rsidP="00CB3758">
      <w:pPr>
        <w:pStyle w:val="Prrafodelista"/>
        <w:numPr>
          <w:ilvl w:val="0"/>
          <w:numId w:val="19"/>
        </w:numPr>
        <w:spacing w:line="276" w:lineRule="auto"/>
        <w:ind w:right="709"/>
        <w:jc w:val="both"/>
        <w:rPr>
          <w:rFonts w:ascii="Verdana" w:hAnsi="Verdana"/>
        </w:rPr>
      </w:pPr>
      <w:r w:rsidRPr="00CB3758">
        <w:rPr>
          <w:rFonts w:ascii="Verdana" w:hAnsi="Verdana"/>
        </w:rPr>
        <w:t xml:space="preserve">En principio, todas las Entidades Estatales están obligadas aplicar los documentos tipos expedidos por la Agencia Nacional de Contratación Pública – Colombia Compra Eficiente, pero, el ordenamiento jurídico prevé una excepción y es la establecida en el </w:t>
      </w:r>
      <w:r w:rsidR="00634D66" w:rsidRPr="00CB3758">
        <w:rPr>
          <w:rFonts w:ascii="Verdana" w:hAnsi="Verdana"/>
        </w:rPr>
        <w:t>artículo</w:t>
      </w:r>
      <w:r w:rsidRPr="00CB3758">
        <w:rPr>
          <w:rFonts w:ascii="Verdana" w:hAnsi="Verdana"/>
        </w:rPr>
        <w:t xml:space="preserve"> 56 de la Ley 2195 de 2022, este prescribe lo siguiente: </w:t>
      </w:r>
    </w:p>
    <w:p w14:paraId="329953CF" w14:textId="77777777" w:rsidR="00CB3758" w:rsidRPr="00CB3758" w:rsidRDefault="00CB3758" w:rsidP="00CB3758">
      <w:pPr>
        <w:pStyle w:val="Prrafodelista"/>
        <w:rPr>
          <w:rFonts w:ascii="Verdana" w:hAnsi="Verdana"/>
        </w:rPr>
      </w:pPr>
    </w:p>
    <w:p w14:paraId="55D04950" w14:textId="77777777" w:rsidR="00CB3758" w:rsidRPr="00CB3758" w:rsidRDefault="00CB3758" w:rsidP="00CB3758">
      <w:pPr>
        <w:pStyle w:val="Prrafodelista"/>
        <w:spacing w:line="276" w:lineRule="auto"/>
        <w:ind w:right="709"/>
        <w:jc w:val="both"/>
        <w:rPr>
          <w:rFonts w:ascii="Verdana" w:hAnsi="Verdana"/>
        </w:rPr>
      </w:pPr>
    </w:p>
    <w:p w14:paraId="733CC360" w14:textId="77777777" w:rsidR="000D6CD6" w:rsidRPr="00CB3758" w:rsidRDefault="000D6CD6" w:rsidP="00CB3758">
      <w:pPr>
        <w:pStyle w:val="Prrafodelista"/>
        <w:tabs>
          <w:tab w:val="left" w:pos="0"/>
        </w:tabs>
        <w:snapToGrid w:val="0"/>
        <w:spacing w:after="0" w:line="276" w:lineRule="auto"/>
        <w:ind w:right="709"/>
        <w:jc w:val="both"/>
        <w:rPr>
          <w:rFonts w:ascii="Verdana" w:eastAsia="Times New Roman" w:hAnsi="Verdana" w:cs="Arial"/>
          <w:kern w:val="2"/>
          <w:sz w:val="21"/>
          <w:szCs w:val="21"/>
          <w:lang w:val="es-ES_tradnl" w:eastAsia="es-ES_tradnl"/>
          <w14:ligatures w14:val="standardContextual"/>
        </w:rPr>
      </w:pPr>
      <w:r w:rsidRPr="00CB3758">
        <w:rPr>
          <w:rFonts w:ascii="Verdana" w:eastAsia="Times New Roman" w:hAnsi="Verdana" w:cs="Arial"/>
          <w:kern w:val="2"/>
          <w:sz w:val="21"/>
          <w:szCs w:val="21"/>
          <w:lang w:val="es-ES_tradnl" w:eastAsia="es-ES_tradnl"/>
          <w14:ligatures w14:val="standardContextua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7D2020E6" w14:textId="77777777" w:rsidR="000D6CD6" w:rsidRPr="00A75D14" w:rsidRDefault="000D6CD6" w:rsidP="00CB3758">
      <w:pPr>
        <w:tabs>
          <w:tab w:val="left" w:pos="0"/>
        </w:tabs>
        <w:snapToGrid w:val="0"/>
        <w:spacing w:after="0" w:line="276" w:lineRule="auto"/>
        <w:ind w:left="709" w:right="709"/>
        <w:jc w:val="both"/>
        <w:rPr>
          <w:rFonts w:ascii="Verdana" w:eastAsia="Times New Roman" w:hAnsi="Verdana" w:cs="Arial"/>
          <w:kern w:val="2"/>
          <w:sz w:val="21"/>
          <w:szCs w:val="21"/>
          <w:lang w:val="es-ES_tradnl" w:eastAsia="es-ES_tradnl"/>
          <w14:ligatures w14:val="standardContextual"/>
        </w:rPr>
      </w:pPr>
    </w:p>
    <w:p w14:paraId="549B0E77" w14:textId="77777777" w:rsidR="000D6CD6" w:rsidRPr="00CB3758" w:rsidRDefault="000D6CD6" w:rsidP="00CB3758">
      <w:pPr>
        <w:pStyle w:val="Prrafodelista"/>
        <w:tabs>
          <w:tab w:val="left" w:pos="0"/>
        </w:tabs>
        <w:snapToGrid w:val="0"/>
        <w:spacing w:after="0" w:line="276" w:lineRule="auto"/>
        <w:ind w:right="709"/>
        <w:jc w:val="both"/>
        <w:rPr>
          <w:rFonts w:ascii="Verdana" w:eastAsia="Times New Roman" w:hAnsi="Verdana" w:cs="Arial"/>
          <w:kern w:val="2"/>
          <w:sz w:val="21"/>
          <w:szCs w:val="21"/>
          <w:lang w:val="es-ES_tradnl" w:eastAsia="es-ES_tradnl"/>
          <w14:ligatures w14:val="standardContextual"/>
        </w:rPr>
      </w:pPr>
      <w:r w:rsidRPr="00CB3758">
        <w:rPr>
          <w:rFonts w:ascii="Verdana" w:eastAsia="Times New Roman" w:hAnsi="Verdana" w:cs="Arial"/>
          <w:kern w:val="2"/>
          <w:sz w:val="21"/>
          <w:szCs w:val="21"/>
          <w:lang w:val="es-ES_tradnl" w:eastAsia="es-ES_tradnl"/>
          <w14:ligatures w14:val="standardContextua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5B86CF42" w14:textId="77777777" w:rsidR="000D6CD6" w:rsidRPr="00A75D14" w:rsidRDefault="000D6CD6" w:rsidP="00CB3758">
      <w:pPr>
        <w:tabs>
          <w:tab w:val="left" w:pos="0"/>
        </w:tabs>
        <w:snapToGrid w:val="0"/>
        <w:spacing w:after="0" w:line="276" w:lineRule="auto"/>
        <w:ind w:left="709" w:right="709"/>
        <w:jc w:val="both"/>
        <w:rPr>
          <w:rFonts w:ascii="Verdana" w:eastAsia="Times New Roman" w:hAnsi="Verdana" w:cs="Arial"/>
          <w:kern w:val="2"/>
          <w:sz w:val="21"/>
          <w:szCs w:val="21"/>
          <w:lang w:val="es-ES_tradnl" w:eastAsia="es-ES_tradnl"/>
          <w14:ligatures w14:val="standardContextual"/>
        </w:rPr>
      </w:pPr>
    </w:p>
    <w:p w14:paraId="5DCA039F" w14:textId="77777777" w:rsidR="000D6CD6" w:rsidRPr="00CB3758" w:rsidRDefault="000D6CD6" w:rsidP="00CB3758">
      <w:pPr>
        <w:pStyle w:val="Prrafodelista"/>
        <w:snapToGrid w:val="0"/>
        <w:spacing w:after="0" w:line="276" w:lineRule="auto"/>
        <w:ind w:right="709"/>
        <w:jc w:val="both"/>
        <w:rPr>
          <w:rFonts w:ascii="Verdana" w:eastAsia="Times New Roman" w:hAnsi="Verdana" w:cs="Arial"/>
          <w:kern w:val="2"/>
          <w:sz w:val="21"/>
          <w:szCs w:val="21"/>
          <w:lang w:eastAsia="es-ES"/>
          <w14:ligatures w14:val="standardContextual"/>
        </w:rPr>
      </w:pPr>
      <w:r w:rsidRPr="00CB3758">
        <w:rPr>
          <w:rFonts w:ascii="Verdana" w:eastAsia="Times New Roman" w:hAnsi="Verdana" w:cs="Arial"/>
          <w:kern w:val="2"/>
          <w:sz w:val="21"/>
          <w:szCs w:val="21"/>
          <w:lang w:eastAsia="es-ES"/>
          <w14:ligatures w14:val="standardContextual"/>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p>
    <w:p w14:paraId="29F9D323" w14:textId="77777777" w:rsidR="000D6CD6" w:rsidRPr="00A75D14" w:rsidRDefault="000D6CD6" w:rsidP="00CB3758">
      <w:pPr>
        <w:snapToGrid w:val="0"/>
        <w:spacing w:after="0" w:line="276" w:lineRule="auto"/>
        <w:ind w:left="709" w:right="709"/>
        <w:jc w:val="both"/>
        <w:rPr>
          <w:rFonts w:ascii="Verdana" w:eastAsia="Calibri" w:hAnsi="Verdana" w:cs="Arial"/>
          <w:kern w:val="2"/>
          <w:lang w:val="es-ES" w:eastAsia="es-ES"/>
          <w14:ligatures w14:val="standardContextual"/>
        </w:rPr>
      </w:pPr>
    </w:p>
    <w:p w14:paraId="7025C086" w14:textId="77777777" w:rsidR="000D6CD6" w:rsidRPr="00CB3758" w:rsidRDefault="000D6CD6" w:rsidP="00CB3758">
      <w:pPr>
        <w:pStyle w:val="Prrafodelista"/>
        <w:numPr>
          <w:ilvl w:val="0"/>
          <w:numId w:val="19"/>
        </w:numPr>
        <w:snapToGrid w:val="0"/>
        <w:spacing w:after="0" w:line="276" w:lineRule="auto"/>
        <w:jc w:val="both"/>
        <w:rPr>
          <w:rFonts w:ascii="Verdana" w:eastAsia="Calibri" w:hAnsi="Verdana" w:cs="Arial"/>
          <w:kern w:val="2"/>
          <w:lang w:eastAsia="es-ES"/>
          <w14:ligatures w14:val="standardContextual"/>
        </w:rPr>
      </w:pPr>
      <w:r w:rsidRPr="00CB3758">
        <w:rPr>
          <w:rFonts w:ascii="Verdana" w:eastAsia="Calibri" w:hAnsi="Verdana" w:cs="Arial"/>
          <w:kern w:val="2"/>
          <w:lang w:eastAsia="es-ES"/>
          <w14:ligatures w14:val="standardContextual"/>
        </w:rPr>
        <w:t xml:space="preserve">Es necesario precisar el alcance de lo dispuesto en los dos primeros incisos del artículo 56, de acuerdo con lo establecido en su parágrafo, el cual excluye de la aplicación de los primeros incisos del artículo 56, a cierto tipo de entidades, en lo relacionado con la contratación de su </w:t>
      </w:r>
      <w:r w:rsidRPr="00CB3758">
        <w:rPr>
          <w:rFonts w:ascii="Verdana" w:eastAsia="Calibri" w:hAnsi="Verdana" w:cs="Arial"/>
          <w:i/>
          <w:kern w:val="2"/>
          <w:lang w:eastAsia="es-ES"/>
          <w14:ligatures w14:val="standardContextual"/>
        </w:rPr>
        <w:t>giro ordinario</w:t>
      </w:r>
      <w:r w:rsidRPr="00CB3758">
        <w:rPr>
          <w:rFonts w:ascii="Verdana" w:eastAsia="Calibri" w:hAnsi="Verdana" w:cs="Arial"/>
          <w:kern w:val="2"/>
          <w:lang w:eastAsia="es-ES"/>
          <w14:ligatures w14:val="standardContextual"/>
        </w:rPr>
        <w:t xml:space="preserve">. Conforme se desprende del texto del referido parágrafo, se exceptúa de lo señalado en los dos primeros incisos a: i) las instituciones de educación </w:t>
      </w:r>
      <w:r w:rsidRPr="00CB3758">
        <w:rPr>
          <w:rFonts w:ascii="Verdana" w:eastAsia="Calibri" w:hAnsi="Verdana" w:cs="Arial"/>
          <w:kern w:val="2"/>
          <w:lang w:eastAsia="es-ES"/>
          <w14:ligatures w14:val="standardContextual"/>
        </w:rPr>
        <w:lastRenderedPageBreak/>
        <w:t xml:space="preserve">superior públicas, ii) las empresas sociales del Estado, iii) las sociedades de economía mixta y iv) las empresas industriales y comerciales del Estado, únicamente, en la contratación relacionada con el </w:t>
      </w:r>
      <w:r w:rsidRPr="00CB3758">
        <w:rPr>
          <w:rFonts w:ascii="Verdana" w:eastAsia="Calibri" w:hAnsi="Verdana" w:cs="Arial"/>
          <w:i/>
          <w:kern w:val="2"/>
          <w:lang w:eastAsia="es-ES"/>
          <w14:ligatures w14:val="standardContextual"/>
        </w:rPr>
        <w:t>giro ordinario.</w:t>
      </w:r>
      <w:r w:rsidRPr="00CB3758">
        <w:rPr>
          <w:rFonts w:ascii="Verdana" w:eastAsia="Calibri" w:hAnsi="Verdana" w:cs="Arial"/>
          <w:kern w:val="2"/>
          <w:lang w:eastAsia="es-ES"/>
          <w14:ligatures w14:val="standardContextual"/>
        </w:rPr>
        <w:t xml:space="preserve"> Esto significa que, en la contratación asociada a su </w:t>
      </w:r>
      <w:r w:rsidRPr="00CB3758">
        <w:rPr>
          <w:rFonts w:ascii="Verdana" w:eastAsia="Calibri" w:hAnsi="Verdana" w:cs="Arial"/>
          <w:i/>
          <w:kern w:val="2"/>
          <w:lang w:eastAsia="es-ES"/>
          <w14:ligatures w14:val="standardContextual"/>
        </w:rPr>
        <w:t xml:space="preserve">giro ordinario, </w:t>
      </w:r>
      <w:r w:rsidRPr="00CB3758">
        <w:rPr>
          <w:rFonts w:ascii="Verdana" w:eastAsia="Calibri" w:hAnsi="Verdana" w:cs="Arial"/>
          <w:kern w:val="2"/>
          <w:lang w:eastAsia="es-ES"/>
          <w14:ligatures w14:val="standardContextua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7357DA93" w14:textId="77777777" w:rsidR="000D6CD6" w:rsidRDefault="000D6CD6" w:rsidP="00CB3758">
      <w:pPr>
        <w:snapToGrid w:val="0"/>
        <w:spacing w:after="0" w:line="276" w:lineRule="auto"/>
        <w:jc w:val="both"/>
        <w:rPr>
          <w:rFonts w:ascii="Verdana" w:eastAsia="Calibri" w:hAnsi="Verdana" w:cs="Arial"/>
          <w:kern w:val="2"/>
          <w:lang w:val="es-ES" w:eastAsia="es-ES"/>
          <w14:ligatures w14:val="standardContextual"/>
        </w:rPr>
      </w:pPr>
    </w:p>
    <w:p w14:paraId="0C692A06" w14:textId="77777777" w:rsidR="000D6CD6" w:rsidRPr="00CB3758" w:rsidRDefault="000D6CD6" w:rsidP="00CB3758">
      <w:pPr>
        <w:pStyle w:val="Prrafodelista"/>
        <w:numPr>
          <w:ilvl w:val="0"/>
          <w:numId w:val="19"/>
        </w:numPr>
        <w:snapToGrid w:val="0"/>
        <w:spacing w:after="0" w:line="276" w:lineRule="auto"/>
        <w:jc w:val="both"/>
        <w:rPr>
          <w:rFonts w:ascii="Verdana" w:eastAsia="Arial" w:hAnsi="Verdana" w:cs="Arial"/>
          <w:kern w:val="2"/>
          <w:lang w:val="es-ES_tradnl" w:eastAsia="es-ES_tradnl"/>
          <w14:ligatures w14:val="standardContextual"/>
        </w:rPr>
      </w:pPr>
      <w:r w:rsidRPr="00CB3758">
        <w:rPr>
          <w:rFonts w:ascii="Verdana" w:eastAsia="Calibri" w:hAnsi="Verdana" w:cs="Arial"/>
          <w:bCs/>
          <w:kern w:val="2"/>
          <w:lang w:val="es-ES_tradnl" w:eastAsia="es-ES_tradnl"/>
          <w14:ligatures w14:val="standardContextual"/>
        </w:rPr>
        <w:t xml:space="preserve">Ahora, es importante tener en cuenta que cuando la norma se refiere a la contratación del </w:t>
      </w:r>
      <w:r w:rsidRPr="00CB3758">
        <w:rPr>
          <w:rFonts w:ascii="Verdana" w:eastAsia="Calibri" w:hAnsi="Verdana" w:cs="Arial"/>
          <w:bCs/>
          <w:i/>
          <w:iCs/>
          <w:kern w:val="2"/>
          <w:lang w:val="es-ES_tradnl" w:eastAsia="es-ES_tradnl"/>
          <w14:ligatures w14:val="standardContextual"/>
        </w:rPr>
        <w:t>giro ordinario</w:t>
      </w:r>
      <w:r w:rsidRPr="00CB3758">
        <w:rPr>
          <w:rFonts w:ascii="Verdana" w:eastAsia="Calibri" w:hAnsi="Verdana" w:cs="Arial"/>
          <w:bCs/>
          <w:kern w:val="2"/>
          <w:lang w:val="es-ES_tradnl" w:eastAsia="es-ES_tradnl"/>
          <w14:ligatures w14:val="standardContextual"/>
        </w:rPr>
        <w:t>, emplea un concepto jurídico indeterminado</w:t>
      </w:r>
      <w:r>
        <w:rPr>
          <w:rStyle w:val="Refdenotaalpie"/>
          <w:rFonts w:ascii="Verdana" w:eastAsia="Calibri" w:hAnsi="Verdana" w:cs="Arial"/>
          <w:bCs/>
          <w:kern w:val="2"/>
          <w:lang w:val="es-ES_tradnl" w:eastAsia="es-ES_tradnl"/>
          <w14:ligatures w14:val="standardContextual"/>
        </w:rPr>
        <w:footnoteReference w:id="5"/>
      </w:r>
      <w:r w:rsidRPr="00CB3758">
        <w:rPr>
          <w:rFonts w:ascii="Verdana" w:eastAsia="Calibri" w:hAnsi="Verdana" w:cs="Arial"/>
          <w:bCs/>
          <w:kern w:val="2"/>
          <w:lang w:val="es-ES_tradnl" w:eastAsia="es-ES_tradnl"/>
          <w14:ligatures w14:val="standardContextual"/>
        </w:rPr>
        <w:t>.</w:t>
      </w:r>
      <w:r w:rsidRPr="00CB3758">
        <w:rPr>
          <w:rFonts w:ascii="Verdana" w:eastAsia="Arial" w:hAnsi="Verdana" w:cs="Arial"/>
          <w:kern w:val="2"/>
          <w:lang w:val="es-ES_tradnl" w:eastAsia="es-ES_tradnl"/>
          <w14:ligatures w14:val="standardContextual"/>
        </w:rPr>
        <w:t xml:space="preserve"> 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margen de apreciación en su aplicación, pero deben respetar los límites previstos en las normas de orden público. Por ejemplo, no podrán considerar que cualquier contrato que celebren hace parte del giro ordinario de sus negocios.</w:t>
      </w:r>
    </w:p>
    <w:p w14:paraId="397DDBF5" w14:textId="77777777" w:rsidR="000D6CD6" w:rsidRDefault="000D6CD6" w:rsidP="00CB3758">
      <w:pPr>
        <w:snapToGrid w:val="0"/>
        <w:spacing w:after="0" w:line="276" w:lineRule="auto"/>
        <w:jc w:val="both"/>
        <w:rPr>
          <w:rFonts w:ascii="Verdana" w:eastAsia="Arial" w:hAnsi="Verdana" w:cs="Arial"/>
          <w:kern w:val="2"/>
          <w:lang w:val="es-ES_tradnl" w:eastAsia="es-ES_tradnl"/>
          <w14:ligatures w14:val="standardContextual"/>
        </w:rPr>
      </w:pPr>
    </w:p>
    <w:p w14:paraId="2C6C0D30" w14:textId="77777777" w:rsidR="000D6CD6" w:rsidRPr="00CB3758" w:rsidRDefault="000D6CD6" w:rsidP="00CB3758">
      <w:pPr>
        <w:pStyle w:val="Prrafodelista"/>
        <w:numPr>
          <w:ilvl w:val="0"/>
          <w:numId w:val="19"/>
        </w:numPr>
        <w:snapToGrid w:val="0"/>
        <w:spacing w:after="0" w:line="276" w:lineRule="auto"/>
        <w:jc w:val="both"/>
        <w:rPr>
          <w:rFonts w:ascii="Verdana" w:eastAsia="Calibri" w:hAnsi="Verdana" w:cs="Arial"/>
          <w:kern w:val="2"/>
          <w:lang w:eastAsia="es-ES"/>
          <w14:ligatures w14:val="standardContextual"/>
        </w:rPr>
      </w:pPr>
      <w:r w:rsidRPr="00CB3758">
        <w:rPr>
          <w:rFonts w:ascii="Verdana" w:eastAsia="Calibri" w:hAnsi="Verdana" w:cs="Arial"/>
          <w:bCs/>
          <w:kern w:val="2"/>
          <w:lang w:val="es-ES_tradnl" w:eastAsia="es-ES_tradnl"/>
          <w14:ligatures w14:val="standardContextua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CB3758">
        <w:rPr>
          <w:rFonts w:ascii="Verdana" w:eastAsia="Calibri" w:hAnsi="Verdana" w:cs="Arial"/>
          <w:bCs/>
          <w:i/>
          <w:iCs/>
          <w:kern w:val="2"/>
          <w:lang w:val="es-ES_tradnl" w:eastAsia="es-ES_tradnl"/>
          <w14:ligatures w14:val="standardContextual"/>
        </w:rPr>
        <w:t xml:space="preserve">giro ordinario </w:t>
      </w:r>
      <w:r w:rsidRPr="00CB3758">
        <w:rPr>
          <w:rFonts w:ascii="Verdana" w:eastAsia="Calibri" w:hAnsi="Verdana" w:cs="Arial"/>
          <w:bCs/>
          <w:kern w:val="2"/>
          <w:lang w:val="es-ES_tradnl" w:eastAsia="es-ES_tradnl"/>
          <w14:ligatures w14:val="standardContextual"/>
        </w:rPr>
        <w:t>incluida en la redacción original del parágrafo 1 del artículo 32 de la Ley 80 de 1993</w:t>
      </w:r>
      <w:r>
        <w:rPr>
          <w:rStyle w:val="Refdenotaalpie"/>
          <w:rFonts w:ascii="Verdana" w:eastAsia="Calibri" w:hAnsi="Verdana" w:cs="Arial"/>
          <w:bCs/>
          <w:kern w:val="2"/>
          <w:lang w:val="es-ES_tradnl" w:eastAsia="es-ES_tradnl"/>
          <w14:ligatures w14:val="standardContextual"/>
        </w:rPr>
        <w:footnoteReference w:id="6"/>
      </w:r>
      <w:r w:rsidRPr="00CB3758">
        <w:rPr>
          <w:rFonts w:ascii="Verdana" w:eastAsia="Calibri" w:hAnsi="Verdana" w:cs="Arial"/>
          <w:bCs/>
          <w:kern w:val="2"/>
          <w:lang w:val="es-ES_tradnl" w:eastAsia="es-ES_tradnl"/>
          <w14:ligatures w14:val="standardContextual"/>
        </w:rPr>
        <w:t>, la Sección Tercera manifestó lo siguiente:</w:t>
      </w:r>
    </w:p>
    <w:p w14:paraId="4842B358" w14:textId="77777777" w:rsidR="000D6CD6" w:rsidRPr="00D41F66" w:rsidRDefault="000D6CD6" w:rsidP="00CB3758">
      <w:pPr>
        <w:spacing w:line="276" w:lineRule="auto"/>
        <w:ind w:right="709"/>
        <w:jc w:val="both"/>
        <w:rPr>
          <w:rFonts w:ascii="Verdana" w:hAnsi="Verdana"/>
          <w:lang w:val="es-ES"/>
        </w:rPr>
      </w:pPr>
    </w:p>
    <w:p w14:paraId="41E706B1" w14:textId="77777777" w:rsidR="000D6CD6" w:rsidRPr="00CB3758" w:rsidRDefault="000D6CD6" w:rsidP="00CB3758">
      <w:pPr>
        <w:pStyle w:val="Prrafodelista"/>
        <w:spacing w:line="276" w:lineRule="auto"/>
        <w:ind w:right="709"/>
        <w:jc w:val="both"/>
        <w:rPr>
          <w:rFonts w:ascii="Verdana" w:hAnsi="Verdana"/>
          <w:sz w:val="20"/>
          <w:szCs w:val="20"/>
        </w:rPr>
      </w:pPr>
      <w:r w:rsidRPr="00CB3758">
        <w:rPr>
          <w:rFonts w:ascii="Verdana" w:eastAsia="Times New Roman" w:hAnsi="Verdana" w:cs="Arial"/>
          <w:kern w:val="2"/>
          <w:sz w:val="21"/>
          <w:szCs w:val="21"/>
          <w:lang w:eastAsia="es-ES"/>
          <w14:ligatures w14:val="standardContextual"/>
        </w:rPr>
        <w:lastRenderedPageBreak/>
        <w:t>“[E]l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Siendo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Pr>
          <w:rStyle w:val="Refdenotaalpie"/>
          <w:rFonts w:ascii="Verdana" w:eastAsia="Times New Roman" w:hAnsi="Verdana" w:cs="Arial"/>
          <w:kern w:val="2"/>
          <w:sz w:val="21"/>
          <w:szCs w:val="21"/>
          <w:lang w:eastAsia="es-ES"/>
          <w14:ligatures w14:val="standardContextual"/>
        </w:rPr>
        <w:footnoteReference w:id="7"/>
      </w:r>
    </w:p>
    <w:p w14:paraId="56F89854" w14:textId="77777777" w:rsidR="000D6CD6" w:rsidRDefault="000D6CD6" w:rsidP="00CB3758">
      <w:pPr>
        <w:spacing w:line="276" w:lineRule="auto"/>
        <w:ind w:left="709" w:right="709"/>
        <w:jc w:val="both"/>
        <w:rPr>
          <w:rFonts w:ascii="Verdana" w:hAnsi="Verdana"/>
          <w:sz w:val="20"/>
          <w:szCs w:val="20"/>
        </w:rPr>
      </w:pPr>
    </w:p>
    <w:p w14:paraId="19F8BB2A" w14:textId="77777777" w:rsidR="000D6CD6" w:rsidRPr="00CB3758" w:rsidRDefault="000D6CD6" w:rsidP="00CB3758">
      <w:pPr>
        <w:pStyle w:val="Prrafodelista"/>
        <w:numPr>
          <w:ilvl w:val="0"/>
          <w:numId w:val="19"/>
        </w:numPr>
        <w:tabs>
          <w:tab w:val="left" w:pos="0"/>
        </w:tabs>
        <w:snapToGrid w:val="0"/>
        <w:spacing w:after="0" w:line="276" w:lineRule="auto"/>
        <w:jc w:val="both"/>
        <w:rPr>
          <w:rFonts w:ascii="Verdana" w:eastAsia="Calibri" w:hAnsi="Verdana" w:cs="Arial"/>
          <w:bCs/>
          <w:kern w:val="2"/>
          <w:lang w:val="es-ES_tradnl" w:eastAsia="es-ES_tradnl"/>
          <w14:ligatures w14:val="standardContextual"/>
        </w:rPr>
      </w:pPr>
      <w:r w:rsidRPr="00CB3758">
        <w:rPr>
          <w:rFonts w:ascii="Verdana" w:eastAsia="Calibri" w:hAnsi="Verdana" w:cs="Arial"/>
          <w:bCs/>
          <w:kern w:val="2"/>
          <w:lang w:val="es-ES_tradnl" w:eastAsia="es-ES_tradnl"/>
          <w14:ligatures w14:val="standardContextual"/>
        </w:rPr>
        <w:t xml:space="preserve">En el mismo sentido se pronunció el Alto Tribunal de lo Contencioso Administrativo, reiterando las anteriores consideraciones, al expresar que: </w:t>
      </w:r>
    </w:p>
    <w:p w14:paraId="7630FC44" w14:textId="77777777" w:rsidR="000D6CD6" w:rsidRPr="00A75D14" w:rsidRDefault="000D6CD6" w:rsidP="00CB3758">
      <w:pPr>
        <w:tabs>
          <w:tab w:val="left" w:pos="0"/>
        </w:tabs>
        <w:snapToGrid w:val="0"/>
        <w:spacing w:after="0" w:line="276" w:lineRule="auto"/>
        <w:ind w:left="720" w:right="709"/>
        <w:jc w:val="both"/>
        <w:rPr>
          <w:rFonts w:ascii="Verdana" w:eastAsia="Calibri" w:hAnsi="Verdana" w:cs="Arial"/>
          <w:bCs/>
          <w:kern w:val="2"/>
          <w:lang w:val="es-ES_tradnl" w:eastAsia="es-ES_tradnl"/>
          <w14:ligatures w14:val="standardContextual"/>
        </w:rPr>
      </w:pPr>
    </w:p>
    <w:p w14:paraId="504ABDE1" w14:textId="77777777" w:rsidR="000D6CD6" w:rsidRPr="00CB3758" w:rsidRDefault="000D6CD6" w:rsidP="00CB3758">
      <w:pPr>
        <w:pStyle w:val="Prrafodelista"/>
        <w:snapToGrid w:val="0"/>
        <w:spacing w:after="0" w:line="276" w:lineRule="auto"/>
        <w:ind w:left="1440" w:right="709"/>
        <w:jc w:val="both"/>
        <w:rPr>
          <w:rFonts w:ascii="Verdana" w:eastAsia="Calibri" w:hAnsi="Verdana" w:cs="Arial"/>
          <w:kern w:val="2"/>
          <w:sz w:val="21"/>
          <w:szCs w:val="21"/>
          <w:lang w:eastAsia="es-ES"/>
          <w14:ligatures w14:val="standardContextual"/>
        </w:rPr>
      </w:pPr>
      <w:r w:rsidRPr="00CB3758">
        <w:rPr>
          <w:rFonts w:ascii="Verdana" w:eastAsia="Calibri" w:hAnsi="Verdana" w:cs="Arial"/>
          <w:kern w:val="2"/>
          <w:sz w:val="21"/>
          <w:szCs w:val="21"/>
          <w:lang w:eastAsia="es-ES"/>
          <w14:ligatures w14:val="standardContextual"/>
        </w:rPr>
        <w:t>“[E]l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5E634045" w14:textId="77777777" w:rsidR="000D6CD6" w:rsidRPr="00A75D14" w:rsidRDefault="000D6CD6" w:rsidP="00CB3758">
      <w:pPr>
        <w:tabs>
          <w:tab w:val="left" w:pos="0"/>
        </w:tabs>
        <w:snapToGrid w:val="0"/>
        <w:spacing w:after="0" w:line="276" w:lineRule="auto"/>
        <w:ind w:left="720" w:right="709"/>
        <w:jc w:val="both"/>
        <w:rPr>
          <w:rFonts w:ascii="Verdana" w:eastAsia="Calibri" w:hAnsi="Verdana" w:cs="Arial"/>
          <w:bCs/>
          <w:kern w:val="2"/>
          <w:sz w:val="21"/>
          <w:szCs w:val="21"/>
          <w:lang w:val="es-ES_tradnl" w:eastAsia="es-ES_tradnl"/>
          <w14:ligatures w14:val="standardContextual"/>
        </w:rPr>
      </w:pPr>
    </w:p>
    <w:p w14:paraId="20A5879C" w14:textId="77777777" w:rsidR="000D6CD6" w:rsidRPr="00CB3758" w:rsidRDefault="000D6CD6" w:rsidP="00CB3758">
      <w:pPr>
        <w:pStyle w:val="Prrafodelista"/>
        <w:snapToGrid w:val="0"/>
        <w:spacing w:after="0" w:line="276" w:lineRule="auto"/>
        <w:ind w:left="1440" w:right="709"/>
        <w:jc w:val="both"/>
        <w:rPr>
          <w:rFonts w:ascii="Verdana" w:eastAsia="Calibri" w:hAnsi="Verdana" w:cs="Arial"/>
          <w:kern w:val="2"/>
          <w:sz w:val="21"/>
          <w:szCs w:val="21"/>
          <w:lang w:eastAsia="es-ES"/>
          <w14:ligatures w14:val="standardContextual"/>
        </w:rPr>
      </w:pPr>
      <w:r w:rsidRPr="00CB3758">
        <w:rPr>
          <w:rFonts w:ascii="Verdana" w:eastAsia="Calibri" w:hAnsi="Verdana" w:cs="Arial"/>
          <w:kern w:val="2"/>
          <w:sz w:val="21"/>
          <w:szCs w:val="21"/>
          <w:lang w:eastAsia="es-ES"/>
          <w14:ligatures w14:val="standardContextual"/>
        </w:rPr>
        <w:t xml:space="preserve">Así las cosas, es razonable que el concepto de “giro ordinario de los negocios” sea compatible, de cara al sub lite, con el objeto y funciones de las empresas industriales y comerciales del estado –EICE– de carácter financiero, como lo es Fonade, dado que para el desarrollo de su ejercicio comercial ha sido autorizada para actuar en términos equivalentes a los particulares, de manera que al incursionar en el mercado como un partícipe más, el </w:t>
      </w:r>
      <w:r w:rsidRPr="00CB3758">
        <w:rPr>
          <w:rFonts w:ascii="Verdana" w:eastAsia="Calibri" w:hAnsi="Verdana" w:cs="Arial"/>
          <w:kern w:val="2"/>
          <w:sz w:val="21"/>
          <w:szCs w:val="21"/>
          <w:lang w:eastAsia="es-ES"/>
          <w14:ligatures w14:val="standardContextual"/>
        </w:rPr>
        <w:lastRenderedPageBreak/>
        <w:t xml:space="preserve">desarrollo de su gestión está atada al giro ordinario de tales negocios, en los mismos términos en los que se desarrolla el objeto social de las empresas privadas.   </w:t>
      </w:r>
    </w:p>
    <w:p w14:paraId="09503EC5" w14:textId="77777777" w:rsidR="000D6CD6" w:rsidRPr="00A75D14" w:rsidRDefault="000D6CD6" w:rsidP="00CB3758">
      <w:pPr>
        <w:tabs>
          <w:tab w:val="left" w:pos="0"/>
        </w:tabs>
        <w:snapToGrid w:val="0"/>
        <w:spacing w:after="0" w:line="276" w:lineRule="auto"/>
        <w:ind w:left="720" w:right="709"/>
        <w:jc w:val="both"/>
        <w:rPr>
          <w:rFonts w:ascii="Verdana" w:eastAsia="Calibri" w:hAnsi="Verdana" w:cs="Arial"/>
          <w:bCs/>
          <w:kern w:val="2"/>
          <w:sz w:val="21"/>
          <w:szCs w:val="21"/>
          <w:lang w:val="es-ES_tradnl" w:eastAsia="es-ES_tradnl"/>
          <w14:ligatures w14:val="standardContextual"/>
        </w:rPr>
      </w:pPr>
    </w:p>
    <w:p w14:paraId="6684CFE6" w14:textId="77777777" w:rsidR="000D6CD6" w:rsidRPr="00CB3758" w:rsidRDefault="000D6CD6" w:rsidP="00CB3758">
      <w:pPr>
        <w:pStyle w:val="Prrafodelista"/>
        <w:spacing w:line="276" w:lineRule="auto"/>
        <w:ind w:left="1418" w:right="709"/>
        <w:jc w:val="both"/>
        <w:rPr>
          <w:rFonts w:ascii="Verdana" w:eastAsia="Calibri" w:hAnsi="Verdana" w:cs="Arial"/>
          <w:bCs/>
          <w:kern w:val="2"/>
          <w:sz w:val="21"/>
          <w:szCs w:val="21"/>
          <w:lang w:val="es-ES_tradnl" w:eastAsia="es-ES_tradnl"/>
          <w14:ligatures w14:val="standardContextual"/>
        </w:rPr>
      </w:pPr>
      <w:r w:rsidRPr="00CB3758">
        <w:rPr>
          <w:rFonts w:ascii="Verdana" w:eastAsia="Calibri" w:hAnsi="Verdana" w:cs="Arial"/>
          <w:bCs/>
          <w:kern w:val="2"/>
          <w:sz w:val="21"/>
          <w:szCs w:val="21"/>
          <w:lang w:val="es-ES_tradnl" w:eastAsia="es-ES_tradnl"/>
          <w14:ligatures w14:val="standardContextual"/>
        </w:rPr>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Pr>
          <w:rStyle w:val="Refdenotaalpie"/>
          <w:rFonts w:ascii="Verdana" w:eastAsia="Calibri" w:hAnsi="Verdana" w:cs="Arial"/>
          <w:bCs/>
          <w:kern w:val="2"/>
          <w:sz w:val="21"/>
          <w:szCs w:val="21"/>
          <w:lang w:val="es-ES_tradnl" w:eastAsia="es-ES_tradnl"/>
          <w14:ligatures w14:val="standardContextual"/>
        </w:rPr>
        <w:footnoteReference w:id="8"/>
      </w:r>
      <w:r w:rsidRPr="00CB3758">
        <w:rPr>
          <w:rFonts w:ascii="Verdana" w:eastAsia="Calibri" w:hAnsi="Verdana" w:cs="Arial"/>
          <w:bCs/>
          <w:kern w:val="2"/>
          <w:sz w:val="21"/>
          <w:szCs w:val="21"/>
          <w:lang w:val="es-ES_tradnl" w:eastAsia="es-ES_tradnl"/>
          <w14:ligatures w14:val="standardContextual"/>
        </w:rPr>
        <w:t>.</w:t>
      </w:r>
    </w:p>
    <w:p w14:paraId="10289D93" w14:textId="77777777" w:rsidR="000D6CD6" w:rsidRDefault="000D6CD6" w:rsidP="00CB3758">
      <w:pPr>
        <w:spacing w:line="276" w:lineRule="auto"/>
        <w:ind w:left="709" w:right="709"/>
        <w:jc w:val="both"/>
        <w:rPr>
          <w:rFonts w:ascii="Verdana" w:eastAsia="Calibri" w:hAnsi="Verdana" w:cs="Arial"/>
          <w:bCs/>
          <w:kern w:val="2"/>
          <w:sz w:val="21"/>
          <w:szCs w:val="21"/>
          <w:lang w:val="es-ES_tradnl" w:eastAsia="es-ES_tradnl"/>
          <w14:ligatures w14:val="standardContextual"/>
        </w:rPr>
      </w:pPr>
    </w:p>
    <w:p w14:paraId="0131BCEA" w14:textId="77777777" w:rsidR="000D6CD6" w:rsidRDefault="000D6CD6" w:rsidP="00CB3758">
      <w:pPr>
        <w:pStyle w:val="Prrafodelista"/>
        <w:numPr>
          <w:ilvl w:val="0"/>
          <w:numId w:val="19"/>
        </w:numPr>
        <w:spacing w:line="276" w:lineRule="auto"/>
        <w:ind w:right="709"/>
        <w:jc w:val="both"/>
        <w:rPr>
          <w:rFonts w:ascii="Verdana" w:eastAsia="Calibri" w:hAnsi="Verdana" w:cs="Arial"/>
          <w:kern w:val="2"/>
          <w:lang w:eastAsia="es-ES"/>
          <w14:ligatures w14:val="standardContextual"/>
        </w:rPr>
      </w:pPr>
      <w:r w:rsidRPr="00CB3758">
        <w:rPr>
          <w:rFonts w:ascii="Verdana" w:eastAsia="Calibri" w:hAnsi="Verdana" w:cs="Arial"/>
          <w:kern w:val="2"/>
          <w:lang w:eastAsia="es-ES"/>
          <w14:ligatures w14:val="standardContextual"/>
        </w:rPr>
        <w:t xml:space="preserve">Conforme con lo expresado en estas providencias, el </w:t>
      </w:r>
      <w:r w:rsidRPr="00CB3758">
        <w:rPr>
          <w:rFonts w:ascii="Verdana" w:eastAsia="Calibri" w:hAnsi="Verdana" w:cs="Arial"/>
          <w:i/>
          <w:iCs/>
          <w:kern w:val="2"/>
          <w:lang w:eastAsia="es-ES"/>
          <w14:ligatures w14:val="standardContextual"/>
        </w:rPr>
        <w:t xml:space="preserve">giro ordinario </w:t>
      </w:r>
      <w:r w:rsidRPr="00CB3758">
        <w:rPr>
          <w:rFonts w:ascii="Verdana" w:eastAsia="Calibri" w:hAnsi="Verdana" w:cs="Arial"/>
          <w:kern w:val="2"/>
          <w:lang w:eastAsia="es-ES"/>
          <w14:ligatures w14:val="standardContextual"/>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CB3758">
        <w:rPr>
          <w:rFonts w:ascii="Verdana" w:eastAsia="Times New Roman" w:hAnsi="Verdana" w:cs="Arial"/>
          <w:kern w:val="2"/>
          <w:lang w:eastAsia="es-ES"/>
          <w14:ligatures w14:val="standardContextual"/>
        </w:rPr>
        <w:t>s]e</w:t>
      </w:r>
      <w:r w:rsidRPr="00CB3758">
        <w:rPr>
          <w:rFonts w:ascii="Verdana" w:eastAsia="Calibri" w:hAnsi="Verdana" w:cs="Arial"/>
          <w:kern w:val="2"/>
          <w:lang w:eastAsia="es-ES"/>
          <w14:ligatures w14:val="standardContextua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Pr>
          <w:rStyle w:val="Refdenotaalpie"/>
          <w:rFonts w:ascii="Verdana" w:eastAsia="Calibri" w:hAnsi="Verdana" w:cs="Arial"/>
          <w:kern w:val="2"/>
          <w:lang w:eastAsia="es-ES"/>
          <w14:ligatures w14:val="standardContextual"/>
        </w:rPr>
        <w:footnoteReference w:id="9"/>
      </w:r>
      <w:r w:rsidRPr="00CB3758">
        <w:rPr>
          <w:rFonts w:ascii="Verdana" w:eastAsia="Calibri" w:hAnsi="Verdana" w:cs="Arial"/>
          <w:kern w:val="2"/>
          <w:lang w:eastAsia="es-ES"/>
          <w14:ligatures w14:val="standardContextual"/>
        </w:rPr>
        <w:t>.</w:t>
      </w:r>
    </w:p>
    <w:p w14:paraId="456009F5" w14:textId="77777777" w:rsidR="00CB3758" w:rsidRPr="00CB3758" w:rsidRDefault="00CB3758" w:rsidP="00CB3758">
      <w:pPr>
        <w:pStyle w:val="Prrafodelista"/>
        <w:rPr>
          <w:rFonts w:ascii="Verdana" w:eastAsia="Calibri" w:hAnsi="Verdana" w:cs="Arial"/>
          <w:kern w:val="2"/>
          <w:lang w:eastAsia="es-ES"/>
          <w14:ligatures w14:val="standardContextual"/>
        </w:rPr>
      </w:pPr>
    </w:p>
    <w:p w14:paraId="19C56929" w14:textId="77777777" w:rsidR="00CB3758" w:rsidRPr="00CB3758" w:rsidRDefault="00CB3758" w:rsidP="00CB3758">
      <w:pPr>
        <w:pStyle w:val="Prrafodelista"/>
        <w:spacing w:line="276" w:lineRule="auto"/>
        <w:ind w:right="709"/>
        <w:jc w:val="both"/>
        <w:rPr>
          <w:rFonts w:ascii="Verdana" w:eastAsia="Calibri" w:hAnsi="Verdana" w:cs="Arial"/>
          <w:kern w:val="2"/>
          <w:lang w:eastAsia="es-ES"/>
          <w14:ligatures w14:val="standardContextual"/>
        </w:rPr>
      </w:pPr>
    </w:p>
    <w:p w14:paraId="6C290C6F" w14:textId="77777777" w:rsidR="000D6CD6" w:rsidRPr="00CB3758" w:rsidRDefault="000D6CD6" w:rsidP="00CB3758">
      <w:pPr>
        <w:pStyle w:val="Prrafodelista"/>
        <w:numPr>
          <w:ilvl w:val="0"/>
          <w:numId w:val="19"/>
        </w:numPr>
        <w:tabs>
          <w:tab w:val="left" w:pos="0"/>
        </w:tabs>
        <w:snapToGrid w:val="0"/>
        <w:spacing w:after="0" w:line="276" w:lineRule="auto"/>
        <w:jc w:val="both"/>
        <w:rPr>
          <w:rFonts w:ascii="Verdana" w:eastAsia="Calibri" w:hAnsi="Verdana" w:cs="Arial"/>
          <w:bCs/>
          <w:kern w:val="2"/>
          <w:lang w:val="es-ES_tradnl" w:eastAsia="es-ES_tradnl"/>
          <w14:ligatures w14:val="standardContextual"/>
        </w:rPr>
      </w:pPr>
      <w:r w:rsidRPr="00CB3758">
        <w:rPr>
          <w:rFonts w:ascii="Verdana" w:eastAsia="Calibri" w:hAnsi="Verdana" w:cs="Arial"/>
          <w:bCs/>
          <w:kern w:val="2"/>
          <w:lang w:val="es-ES_tradnl" w:eastAsia="es-ES_tradnl"/>
          <w14:ligatures w14:val="standardContextual"/>
        </w:rPr>
        <w:t xml:space="preserve">De otra parte, la doctrina societaria también se ha encargado de definir el </w:t>
      </w:r>
      <w:r w:rsidRPr="00CB3758">
        <w:rPr>
          <w:rFonts w:ascii="Verdana" w:eastAsia="Calibri" w:hAnsi="Verdana" w:cs="Arial"/>
          <w:bCs/>
          <w:i/>
          <w:iCs/>
          <w:kern w:val="2"/>
          <w:lang w:val="es-ES_tradnl" w:eastAsia="es-ES_tradnl"/>
          <w14:ligatures w14:val="standardContextual"/>
        </w:rPr>
        <w:t>objeto social</w:t>
      </w:r>
      <w:r w:rsidRPr="00CB3758">
        <w:rPr>
          <w:rFonts w:ascii="Verdana" w:eastAsia="Calibri" w:hAnsi="Verdana" w:cs="Arial"/>
          <w:bCs/>
          <w:kern w:val="2"/>
          <w:lang w:val="es-ES_tradnl" w:eastAsia="es-ES_tradnl"/>
          <w14:ligatures w14:val="standardContextual"/>
        </w:rPr>
        <w:t xml:space="preserve">, así como su relación con el concepto de </w:t>
      </w:r>
      <w:r w:rsidRPr="00CB3758">
        <w:rPr>
          <w:rFonts w:ascii="Verdana" w:eastAsia="Calibri" w:hAnsi="Verdana" w:cs="Arial"/>
          <w:bCs/>
          <w:i/>
          <w:iCs/>
          <w:kern w:val="2"/>
          <w:lang w:val="es-ES_tradnl" w:eastAsia="es-ES_tradnl"/>
          <w14:ligatures w14:val="standardContextual"/>
        </w:rPr>
        <w:t>giro ordinario</w:t>
      </w:r>
      <w:r w:rsidRPr="00CB3758">
        <w:rPr>
          <w:rFonts w:ascii="Verdana" w:eastAsia="Calibri" w:hAnsi="Verdana" w:cs="Arial"/>
          <w:bCs/>
          <w:kern w:val="2"/>
          <w:lang w:val="es-ES_tradnl" w:eastAsia="es-ES_tradnl"/>
          <w14:ligatures w14:val="standardContextual"/>
        </w:rPr>
        <w:t>. Al respecto, la Superintendencia de Sociedades, citando doctrina autorizada en la materia, ha señalado:</w:t>
      </w:r>
    </w:p>
    <w:p w14:paraId="7DCEFDB3" w14:textId="77777777" w:rsidR="000D6CD6" w:rsidRDefault="000D6CD6" w:rsidP="00CB3758">
      <w:pPr>
        <w:tabs>
          <w:tab w:val="left" w:pos="0"/>
        </w:tabs>
        <w:snapToGrid w:val="0"/>
        <w:spacing w:after="0" w:line="276" w:lineRule="auto"/>
        <w:jc w:val="both"/>
        <w:rPr>
          <w:rFonts w:ascii="Verdana" w:eastAsia="Calibri" w:hAnsi="Verdana" w:cs="Arial"/>
          <w:bCs/>
          <w:kern w:val="2"/>
          <w:lang w:val="es-ES_tradnl" w:eastAsia="es-ES_tradnl"/>
          <w14:ligatures w14:val="standardContextual"/>
        </w:rPr>
      </w:pPr>
    </w:p>
    <w:p w14:paraId="08E7BFAE" w14:textId="77777777" w:rsidR="000D6CD6" w:rsidRDefault="000D6CD6" w:rsidP="00CB3758">
      <w:pPr>
        <w:tabs>
          <w:tab w:val="left" w:pos="0"/>
        </w:tabs>
        <w:snapToGrid w:val="0"/>
        <w:spacing w:after="0" w:line="276" w:lineRule="auto"/>
        <w:jc w:val="both"/>
        <w:rPr>
          <w:rFonts w:ascii="Verdana" w:eastAsia="Calibri" w:hAnsi="Verdana" w:cs="Arial"/>
          <w:bCs/>
          <w:kern w:val="2"/>
          <w:lang w:val="es-ES_tradnl" w:eastAsia="es-ES_tradnl"/>
          <w14:ligatures w14:val="standardContextual"/>
        </w:rPr>
      </w:pPr>
    </w:p>
    <w:p w14:paraId="3DB12F3B" w14:textId="77777777" w:rsidR="000D6CD6" w:rsidRPr="00CB3758" w:rsidRDefault="000D6CD6" w:rsidP="00CB3758">
      <w:pPr>
        <w:pStyle w:val="Prrafodelista"/>
        <w:snapToGrid w:val="0"/>
        <w:spacing w:after="0" w:line="276" w:lineRule="auto"/>
        <w:ind w:left="1440" w:right="709"/>
        <w:jc w:val="both"/>
        <w:rPr>
          <w:rFonts w:ascii="Verdana" w:eastAsia="Times New Roman" w:hAnsi="Verdana" w:cs="Arial"/>
          <w:kern w:val="2"/>
          <w:sz w:val="21"/>
          <w:szCs w:val="21"/>
          <w:lang w:eastAsia="es-ES"/>
          <w14:ligatures w14:val="standardContextual"/>
        </w:rPr>
      </w:pPr>
      <w:r w:rsidRPr="00CB3758">
        <w:rPr>
          <w:rFonts w:ascii="Verdana" w:eastAsia="Times New Roman" w:hAnsi="Verdana" w:cs="Arial"/>
          <w:kern w:val="2"/>
          <w:sz w:val="21"/>
          <w:szCs w:val="21"/>
          <w:lang w:eastAsia="es-ES"/>
          <w14:ligatures w14:val="standardContextual"/>
        </w:rPr>
        <w:t>“Si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p w14:paraId="516DCD0A" w14:textId="77777777" w:rsidR="000D6CD6" w:rsidRPr="00A75D14" w:rsidRDefault="000D6CD6" w:rsidP="00CB3758">
      <w:pPr>
        <w:snapToGrid w:val="0"/>
        <w:spacing w:after="0" w:line="276" w:lineRule="auto"/>
        <w:ind w:left="720" w:right="709"/>
        <w:jc w:val="both"/>
        <w:rPr>
          <w:rFonts w:ascii="Verdana" w:eastAsia="Times New Roman" w:hAnsi="Verdana" w:cs="Arial"/>
          <w:kern w:val="2"/>
          <w:sz w:val="21"/>
          <w:szCs w:val="21"/>
          <w:lang w:val="es-ES" w:eastAsia="es-ES"/>
          <w14:ligatures w14:val="standardContextual"/>
        </w:rPr>
      </w:pPr>
    </w:p>
    <w:p w14:paraId="7C5FD3F8" w14:textId="77777777" w:rsidR="000D6CD6" w:rsidRPr="00CB3758" w:rsidRDefault="000D6CD6" w:rsidP="00CB3758">
      <w:pPr>
        <w:pStyle w:val="Prrafodelista"/>
        <w:numPr>
          <w:ilvl w:val="0"/>
          <w:numId w:val="19"/>
        </w:numPr>
        <w:tabs>
          <w:tab w:val="left" w:pos="0"/>
        </w:tabs>
        <w:snapToGrid w:val="0"/>
        <w:spacing w:after="0" w:line="276" w:lineRule="auto"/>
        <w:jc w:val="both"/>
        <w:rPr>
          <w:rFonts w:ascii="Verdana" w:eastAsia="Times New Roman" w:hAnsi="Verdana" w:cs="Arial"/>
          <w:kern w:val="2"/>
          <w:sz w:val="21"/>
          <w:szCs w:val="21"/>
          <w:lang w:val="es-ES_tradnl" w:eastAsia="es-ES_tradnl"/>
          <w14:ligatures w14:val="standardContextual"/>
        </w:rPr>
      </w:pPr>
      <w:r w:rsidRPr="00CB3758">
        <w:rPr>
          <w:rFonts w:ascii="Verdana" w:eastAsia="Times New Roman" w:hAnsi="Verdana" w:cs="Arial"/>
          <w:kern w:val="2"/>
          <w:sz w:val="21"/>
          <w:szCs w:val="21"/>
          <w:lang w:val="es-ES_tradnl" w:eastAsia="es-ES_tradnl"/>
          <w14:ligatures w14:val="standardContextual"/>
        </w:rPr>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Pr>
          <w:rStyle w:val="Refdenotaalpie"/>
          <w:rFonts w:ascii="Verdana" w:eastAsia="Times New Roman" w:hAnsi="Verdana" w:cs="Arial"/>
          <w:kern w:val="2"/>
          <w:sz w:val="21"/>
          <w:szCs w:val="21"/>
          <w:lang w:val="es-ES_tradnl" w:eastAsia="es-ES_tradnl"/>
          <w14:ligatures w14:val="standardContextual"/>
        </w:rPr>
        <w:footnoteReference w:id="10"/>
      </w:r>
      <w:r w:rsidRPr="00CB3758">
        <w:rPr>
          <w:rFonts w:ascii="Verdana" w:eastAsia="Times New Roman" w:hAnsi="Verdana" w:cs="Arial"/>
          <w:kern w:val="2"/>
          <w:sz w:val="21"/>
          <w:szCs w:val="21"/>
          <w:lang w:val="es-ES_tradnl" w:eastAsia="es-ES_tradnl"/>
          <w14:ligatures w14:val="standardContextual"/>
        </w:rPr>
        <w:t>.</w:t>
      </w:r>
    </w:p>
    <w:p w14:paraId="0353BB0C" w14:textId="77777777" w:rsidR="000D6CD6" w:rsidRPr="00CB3758" w:rsidRDefault="000D6CD6" w:rsidP="00CB3758">
      <w:pPr>
        <w:pStyle w:val="Prrafodelista"/>
        <w:numPr>
          <w:ilvl w:val="0"/>
          <w:numId w:val="19"/>
        </w:numPr>
        <w:snapToGrid w:val="0"/>
        <w:spacing w:after="0" w:line="276" w:lineRule="auto"/>
        <w:jc w:val="both"/>
        <w:rPr>
          <w:rFonts w:ascii="Verdana" w:eastAsia="Calibri" w:hAnsi="Verdana" w:cs="Arial"/>
          <w:kern w:val="2"/>
          <w:lang w:eastAsia="es-ES"/>
          <w14:ligatures w14:val="standardContextual"/>
        </w:rPr>
      </w:pPr>
      <w:r w:rsidRPr="00CB3758">
        <w:rPr>
          <w:rFonts w:ascii="Verdana" w:eastAsia="Calibri" w:hAnsi="Verdana" w:cs="Arial"/>
          <w:kern w:val="2"/>
          <w:lang w:eastAsia="es-ES"/>
          <w14:ligatures w14:val="standardContextual"/>
        </w:rPr>
        <w:t xml:space="preserve">De acuerdo con estas consideraciones, no hay una plena equivalencia entre las actividades que hacen parte del desarrollo del </w:t>
      </w:r>
      <w:r w:rsidRPr="00CB3758">
        <w:rPr>
          <w:rFonts w:ascii="Verdana" w:eastAsia="Calibri" w:hAnsi="Verdana" w:cs="Arial"/>
          <w:i/>
          <w:kern w:val="2"/>
          <w:lang w:eastAsia="es-ES"/>
          <w14:ligatures w14:val="standardContextual"/>
        </w:rPr>
        <w:t>objeto social</w:t>
      </w:r>
      <w:r w:rsidRPr="00CB3758">
        <w:rPr>
          <w:rFonts w:ascii="Verdana" w:eastAsia="Calibri" w:hAnsi="Verdana" w:cs="Arial"/>
          <w:kern w:val="2"/>
          <w:lang w:eastAsia="es-ES"/>
          <w14:ligatures w14:val="standardContextual"/>
        </w:rPr>
        <w:t xml:space="preserve"> y las que </w:t>
      </w:r>
      <w:r w:rsidRPr="00CB3758">
        <w:rPr>
          <w:rFonts w:ascii="Verdana" w:eastAsia="Calibri" w:hAnsi="Verdana" w:cs="Arial"/>
          <w:kern w:val="2"/>
          <w:lang w:eastAsia="es-ES"/>
          <w14:ligatures w14:val="standardContextual"/>
        </w:rPr>
        <w:lastRenderedPageBreak/>
        <w:t xml:space="preserve">comprende el </w:t>
      </w:r>
      <w:r w:rsidRPr="00CB3758">
        <w:rPr>
          <w:rFonts w:ascii="Verdana" w:eastAsia="Calibri" w:hAnsi="Verdana" w:cs="Arial"/>
          <w:i/>
          <w:kern w:val="2"/>
          <w:lang w:eastAsia="es-ES"/>
          <w14:ligatures w14:val="standardContextual"/>
        </w:rPr>
        <w:t>giro ordinario</w:t>
      </w:r>
      <w:r w:rsidRPr="00CB3758">
        <w:rPr>
          <w:rFonts w:ascii="Verdana" w:eastAsia="Calibri" w:hAnsi="Verdana" w:cs="Arial"/>
          <w:kern w:val="2"/>
          <w:lang w:eastAsia="es-ES"/>
          <w14:ligatures w14:val="standardContextual"/>
        </w:rPr>
        <w:t xml:space="preserve">, pues, como precisa la Superintendencia de Sociedades, entre lo que designan estas categorías existe una relación de género a especie. </w:t>
      </w:r>
    </w:p>
    <w:p w14:paraId="3E3B68D7" w14:textId="77777777" w:rsidR="000D6CD6" w:rsidRPr="007D52F6" w:rsidRDefault="000D6CD6" w:rsidP="00CB3758">
      <w:pPr>
        <w:tabs>
          <w:tab w:val="left" w:pos="0"/>
        </w:tabs>
        <w:snapToGrid w:val="0"/>
        <w:spacing w:after="0" w:line="276" w:lineRule="auto"/>
        <w:jc w:val="both"/>
        <w:rPr>
          <w:rFonts w:ascii="Verdana" w:eastAsia="Calibri" w:hAnsi="Verdana" w:cs="Arial"/>
          <w:bCs/>
          <w:kern w:val="2"/>
          <w:lang w:val="es-ES" w:eastAsia="es-ES_tradnl"/>
          <w14:ligatures w14:val="standardContextual"/>
        </w:rPr>
      </w:pPr>
    </w:p>
    <w:p w14:paraId="733CC593" w14:textId="77777777" w:rsidR="00E36A6C" w:rsidRDefault="000D6CD6" w:rsidP="00CB3758">
      <w:pPr>
        <w:pStyle w:val="Prrafodelista"/>
        <w:numPr>
          <w:ilvl w:val="0"/>
          <w:numId w:val="19"/>
        </w:numPr>
        <w:snapToGrid w:val="0"/>
        <w:spacing w:after="0" w:line="276" w:lineRule="auto"/>
        <w:jc w:val="both"/>
        <w:rPr>
          <w:rFonts w:ascii="Verdana" w:eastAsia="Calibri" w:hAnsi="Verdana" w:cs="Arial"/>
          <w:kern w:val="2"/>
          <w:lang w:eastAsia="es-ES"/>
          <w14:ligatures w14:val="standardContextual"/>
        </w:rPr>
      </w:pPr>
      <w:r w:rsidRPr="00CB3758">
        <w:rPr>
          <w:rFonts w:ascii="Verdana" w:eastAsia="Calibri" w:hAnsi="Verdana" w:cs="Arial"/>
          <w:kern w:val="2"/>
          <w:lang w:eastAsia="es-ES"/>
          <w14:ligatures w14:val="standardContextual"/>
        </w:rPr>
        <w:t xml:space="preserve">En relación con la aplicación de lo dispuesto en el parágrafo del artículo 56 de la Ley 2195 de 2022, conviene aclarar que, a juicio de esta Agencia, la expresión </w:t>
      </w:r>
      <w:r w:rsidRPr="00CB3758">
        <w:rPr>
          <w:rFonts w:ascii="Verdana" w:eastAsia="Calibri" w:hAnsi="Verdana" w:cs="Arial"/>
          <w:i/>
          <w:kern w:val="2"/>
          <w:lang w:eastAsia="es-ES"/>
          <w14:ligatures w14:val="standardContextual"/>
        </w:rPr>
        <w:t xml:space="preserve">giro ordinario </w:t>
      </w:r>
      <w:r w:rsidRPr="00CB3758">
        <w:rPr>
          <w:rFonts w:ascii="Verdana" w:eastAsia="Calibri" w:hAnsi="Verdana" w:cs="Arial"/>
          <w:kern w:val="2"/>
          <w:lang w:eastAsia="es-ES"/>
          <w14:ligatures w14:val="standardContextual"/>
        </w:rPr>
        <w:t xml:space="preserve">en dicha norma se usa para designar a la contratación relacionada con los asuntos de la gestión habitual u ordinaria de los tipos de entidades mencionadas en el parágrafo. No obstante, la determinación de las actividades que comprenden el </w:t>
      </w:r>
      <w:r w:rsidRPr="00CB3758">
        <w:rPr>
          <w:rFonts w:ascii="Verdana" w:eastAsia="Calibri" w:hAnsi="Verdana" w:cs="Arial"/>
          <w:i/>
          <w:kern w:val="2"/>
          <w:lang w:eastAsia="es-ES"/>
          <w14:ligatures w14:val="standardContextual"/>
        </w:rPr>
        <w:t>giro ordinario</w:t>
      </w:r>
      <w:r w:rsidRPr="00CB3758">
        <w:rPr>
          <w:rFonts w:ascii="Verdana" w:eastAsia="Calibri" w:hAnsi="Verdana" w:cs="Arial"/>
          <w:kern w:val="2"/>
          <w:lang w:eastAsia="es-ES"/>
          <w14:ligatures w14:val="standardContextual"/>
        </w:rPr>
        <w:t xml:space="preserve"> es un asunto que se debe definir en cada caso concreto por parte de las entidades estatales –analizando lo establecido en sus actos de creación y verificando los negocios habituales u ordinarios que desarrollan–, pues el parágrafo del artículo 56 </w:t>
      </w:r>
      <w:r w:rsidRPr="00CB3758">
        <w:rPr>
          <w:rFonts w:ascii="Verdana" w:eastAsia="Calibri" w:hAnsi="Verdana" w:cs="Arial"/>
          <w:i/>
          <w:kern w:val="2"/>
          <w:lang w:eastAsia="es-ES"/>
          <w14:ligatures w14:val="standardContextual"/>
        </w:rPr>
        <w:t>ejusdem</w:t>
      </w:r>
      <w:r w:rsidRPr="00CB3758">
        <w:rPr>
          <w:rFonts w:ascii="Verdana" w:eastAsia="Calibri" w:hAnsi="Verdana" w:cs="Arial"/>
          <w:kern w:val="2"/>
          <w:lang w:eastAsia="es-ES"/>
          <w14:ligatures w14:val="standardContextual"/>
        </w:rPr>
        <w:t xml:space="preserve"> se limita a enunciar algunos tipos de entidades estatales, las cuales no solo difieren en su naturaleza jurídica, sino también en las actividades que realizan.</w:t>
      </w:r>
    </w:p>
    <w:p w14:paraId="7D747F6D" w14:textId="77777777" w:rsidR="00E36A6C" w:rsidRPr="00E36A6C" w:rsidRDefault="00E36A6C" w:rsidP="00E36A6C">
      <w:pPr>
        <w:pStyle w:val="Prrafodelista"/>
        <w:rPr>
          <w:rFonts w:ascii="Verdana" w:eastAsia="Calibri" w:hAnsi="Verdana" w:cs="Arial"/>
          <w:kern w:val="2"/>
          <w:lang w:eastAsia="es-ES"/>
          <w14:ligatures w14:val="standardContextual"/>
        </w:rPr>
      </w:pPr>
    </w:p>
    <w:p w14:paraId="0831E3C4" w14:textId="0E4B20FA" w:rsidR="000D6CD6" w:rsidRPr="00CB3758" w:rsidRDefault="000D6CD6" w:rsidP="00E36A6C">
      <w:pPr>
        <w:pStyle w:val="Prrafodelista"/>
        <w:snapToGrid w:val="0"/>
        <w:spacing w:after="0" w:line="276" w:lineRule="auto"/>
        <w:jc w:val="both"/>
        <w:rPr>
          <w:rFonts w:ascii="Verdana" w:eastAsia="Calibri" w:hAnsi="Verdana" w:cs="Arial"/>
          <w:kern w:val="2"/>
          <w:lang w:eastAsia="es-ES"/>
          <w14:ligatures w14:val="standardContextual"/>
        </w:rPr>
      </w:pPr>
      <w:r w:rsidRPr="00CB3758">
        <w:rPr>
          <w:rFonts w:ascii="Verdana" w:eastAsia="Calibri" w:hAnsi="Verdana" w:cs="Arial"/>
          <w:kern w:val="2"/>
          <w:lang w:eastAsia="es-ES"/>
          <w14:ligatures w14:val="standardContextual"/>
        </w:rPr>
        <w:t xml:space="preserve"> </w:t>
      </w:r>
    </w:p>
    <w:p w14:paraId="7CFB90A5" w14:textId="77777777" w:rsidR="000D6CD6" w:rsidRPr="00CB3758" w:rsidRDefault="000D6CD6" w:rsidP="00CB3758">
      <w:pPr>
        <w:pStyle w:val="Prrafodelista"/>
        <w:numPr>
          <w:ilvl w:val="0"/>
          <w:numId w:val="19"/>
        </w:numPr>
        <w:snapToGrid w:val="0"/>
        <w:spacing w:after="0" w:line="276" w:lineRule="auto"/>
        <w:jc w:val="both"/>
        <w:rPr>
          <w:rFonts w:ascii="Verdana" w:eastAsia="Calibri" w:hAnsi="Verdana" w:cs="Arial"/>
          <w:kern w:val="2"/>
          <w:lang w:eastAsia="es-ES"/>
          <w14:ligatures w14:val="standardContextual"/>
        </w:rPr>
      </w:pPr>
      <w:r w:rsidRPr="00CB3758">
        <w:rPr>
          <w:rFonts w:ascii="Verdana" w:eastAsia="Calibri" w:hAnsi="Verdana" w:cs="Arial"/>
          <w:kern w:val="2"/>
          <w:lang w:eastAsia="es-ES"/>
          <w14:ligatures w14:val="standardContextual"/>
        </w:rPr>
        <w:t xml:space="preserve">Por otra parte, es importante señalar que la excepción del parágrafo en comento es clara en establecer cuáles son las entidades exceptuadas de la aplicación del artículo 56 de la Ley 2195 de 2022. En ese sentido, la Agencia Nacional de Contratación Pública – Colombia Compra Eficiente, en sede consultiva, no puede establecer si otras entidades como los fondos mixtos se enmarcan en la aludida excepción, toda vez que este es un análisis que deberá realizarse en cada caso concreto, con el fin de i) determinar si la entidad puede catalogarse como una de aquellas definidas en el parágrafo y ii) si el objeto a contratar se enmarca en el concepto de </w:t>
      </w:r>
      <w:r w:rsidRPr="00CB3758">
        <w:rPr>
          <w:rFonts w:ascii="Verdana" w:eastAsia="Calibri" w:hAnsi="Verdana" w:cs="Arial"/>
          <w:i/>
          <w:iCs/>
          <w:kern w:val="2"/>
          <w:lang w:eastAsia="es-ES"/>
          <w14:ligatures w14:val="standardContextual"/>
        </w:rPr>
        <w:t>giro ordinario.</w:t>
      </w:r>
      <w:r w:rsidRPr="00CB3758">
        <w:rPr>
          <w:rFonts w:ascii="Verdana" w:eastAsia="Calibri" w:hAnsi="Verdana" w:cs="Arial"/>
          <w:kern w:val="2"/>
          <w:lang w:eastAsia="es-ES"/>
          <w14:ligatures w14:val="standardContextual"/>
        </w:rPr>
        <w:t xml:space="preserve"> </w:t>
      </w:r>
    </w:p>
    <w:p w14:paraId="59E8FDDB" w14:textId="77777777" w:rsidR="000D6CD6" w:rsidRDefault="000D6CD6" w:rsidP="00CB3758">
      <w:pPr>
        <w:snapToGrid w:val="0"/>
        <w:spacing w:after="0" w:line="276" w:lineRule="auto"/>
        <w:jc w:val="both"/>
        <w:rPr>
          <w:rFonts w:ascii="Verdana" w:eastAsia="Calibri" w:hAnsi="Verdana" w:cs="Arial"/>
          <w:kern w:val="2"/>
          <w:lang w:val="es-ES" w:eastAsia="es-ES"/>
          <w14:ligatures w14:val="standardContextual"/>
        </w:rPr>
      </w:pPr>
    </w:p>
    <w:p w14:paraId="5A5F9465" w14:textId="77777777" w:rsidR="000D6CD6" w:rsidRPr="00CB3758" w:rsidRDefault="000D6CD6" w:rsidP="00CB3758">
      <w:pPr>
        <w:pStyle w:val="Prrafodelista"/>
        <w:numPr>
          <w:ilvl w:val="0"/>
          <w:numId w:val="19"/>
        </w:numPr>
        <w:snapToGrid w:val="0"/>
        <w:spacing w:after="0" w:line="276" w:lineRule="auto"/>
        <w:jc w:val="both"/>
        <w:rPr>
          <w:rFonts w:ascii="Verdana" w:eastAsia="Calibri" w:hAnsi="Verdana" w:cs="Arial"/>
          <w:kern w:val="2"/>
          <w:lang w:eastAsia="es-ES"/>
          <w14:ligatures w14:val="standardContextual"/>
        </w:rPr>
      </w:pPr>
      <w:r w:rsidRPr="00CB3758">
        <w:rPr>
          <w:rFonts w:ascii="Verdana" w:eastAsia="Calibri" w:hAnsi="Verdana" w:cs="Arial"/>
          <w:kern w:val="2"/>
          <w:lang w:eastAsia="es-ES"/>
          <w14:ligatures w14:val="standardContextual"/>
        </w:rPr>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los documentos tipo únicamente para la contratación relacionada con el </w:t>
      </w:r>
      <w:r w:rsidRPr="00CB3758">
        <w:rPr>
          <w:rFonts w:ascii="Verdana" w:eastAsia="Calibri" w:hAnsi="Verdana" w:cs="Arial"/>
          <w:i/>
          <w:kern w:val="2"/>
          <w:lang w:eastAsia="es-ES"/>
          <w14:ligatures w14:val="standardContextual"/>
        </w:rPr>
        <w:t xml:space="preserve">giro ordinario </w:t>
      </w:r>
      <w:r w:rsidRPr="00CB3758">
        <w:rPr>
          <w:rFonts w:ascii="Verdana" w:eastAsia="Calibri" w:hAnsi="Verdana" w:cs="Arial"/>
          <w:kern w:val="2"/>
          <w:lang w:eastAsia="es-ES"/>
          <w14:ligatures w14:val="standardContextual"/>
        </w:rPr>
        <w:t xml:space="preserve">de sus asuntos, salvo que los manuales internos de contratación de estas entidades dispongan la obligación de tener en cuenta los documentos tipo como una buena práctica contractual. De acuerdo con este entendimiento, estas entidades, quedan, en principio, exceptuadas de los documentos </w:t>
      </w:r>
      <w:r w:rsidRPr="00CB3758">
        <w:rPr>
          <w:rFonts w:ascii="Verdana" w:eastAsia="Calibri" w:hAnsi="Verdana" w:cs="Arial"/>
          <w:kern w:val="2"/>
          <w:lang w:eastAsia="es-ES"/>
          <w14:ligatures w14:val="standardContextual"/>
        </w:rPr>
        <w:lastRenderedPageBreak/>
        <w:t xml:space="preserve">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CB3758">
        <w:rPr>
          <w:rFonts w:ascii="Verdana" w:eastAsia="Calibri" w:hAnsi="Verdana" w:cs="Arial"/>
          <w:i/>
          <w:kern w:val="2"/>
          <w:lang w:eastAsia="es-ES"/>
          <w14:ligatures w14:val="standardContextual"/>
        </w:rPr>
        <w:t>su giro ordinario</w:t>
      </w:r>
      <w:r w:rsidRPr="00CB3758">
        <w:rPr>
          <w:rFonts w:ascii="Verdana" w:eastAsia="Calibri" w:hAnsi="Verdana" w:cs="Arial"/>
          <w:kern w:val="2"/>
          <w:lang w:eastAsia="es-ES"/>
          <w14:ligatures w14:val="standardContextual"/>
        </w:rPr>
        <w:t xml:space="preserve">, entendido este conforme a los criterios jurisprudenciales y doctrinarios explicados. En otras palabras, ninguna entidad cuya naturaleza jurídica coincida con las mencionadas en el parágrafo del artículo 56, tendrá que someterse de manera obligatoria a los documentos tipo o el EGCAP para la contratación de obras o servicios asociadas a su </w:t>
      </w:r>
      <w:r w:rsidRPr="00CB3758">
        <w:rPr>
          <w:rFonts w:ascii="Verdana" w:eastAsia="Calibri" w:hAnsi="Verdana" w:cs="Arial"/>
          <w:i/>
          <w:kern w:val="2"/>
          <w:lang w:eastAsia="es-ES"/>
          <w14:ligatures w14:val="standardContextual"/>
        </w:rPr>
        <w:t>giro ordinario</w:t>
      </w:r>
      <w:r w:rsidRPr="00CB3758">
        <w:rPr>
          <w:rFonts w:ascii="Verdana" w:eastAsia="Calibri" w:hAnsi="Verdana" w:cs="Arial"/>
          <w:kern w:val="2"/>
          <w:lang w:eastAsia="es-ES"/>
          <w14:ligatures w14:val="standardContextual"/>
        </w:rPr>
        <w:t xml:space="preserve">, a menos que su manual de contratación establezca lo contrario. </w:t>
      </w:r>
    </w:p>
    <w:p w14:paraId="1F5930C8" w14:textId="77777777" w:rsidR="000D6CD6" w:rsidRDefault="000D6CD6" w:rsidP="00CB3758">
      <w:pPr>
        <w:widowControl w:val="0"/>
        <w:tabs>
          <w:tab w:val="left" w:pos="993"/>
        </w:tabs>
        <w:autoSpaceDE w:val="0"/>
        <w:autoSpaceDN w:val="0"/>
        <w:spacing w:after="0" w:line="276" w:lineRule="auto"/>
        <w:ind w:right="51"/>
        <w:jc w:val="both"/>
        <w:rPr>
          <w:rFonts w:ascii="Verdana" w:hAnsi="Verdana"/>
          <w:sz w:val="20"/>
          <w:szCs w:val="20"/>
          <w:lang w:val="es-ES"/>
        </w:rPr>
      </w:pPr>
    </w:p>
    <w:p w14:paraId="3BB11BC2" w14:textId="77777777" w:rsidR="000D6CD6" w:rsidRPr="0056666D" w:rsidRDefault="000D6CD6" w:rsidP="00CB3758">
      <w:pPr>
        <w:widowControl w:val="0"/>
        <w:tabs>
          <w:tab w:val="left" w:pos="993"/>
        </w:tabs>
        <w:autoSpaceDE w:val="0"/>
        <w:autoSpaceDN w:val="0"/>
        <w:spacing w:after="0" w:line="276" w:lineRule="auto"/>
        <w:ind w:right="51"/>
        <w:jc w:val="both"/>
        <w:rPr>
          <w:rFonts w:ascii="Verdana" w:eastAsia="Arial" w:hAnsi="Verdana" w:cs="Arial"/>
          <w:lang w:eastAsia="es-ES" w:bidi="es-ES"/>
        </w:rPr>
      </w:pPr>
    </w:p>
    <w:p w14:paraId="1482B6AC" w14:textId="77777777" w:rsidR="000D6CD6" w:rsidRPr="00C56A6D" w:rsidRDefault="000D6CD6" w:rsidP="00CB3758">
      <w:pPr>
        <w:tabs>
          <w:tab w:val="left" w:pos="142"/>
          <w:tab w:val="left" w:pos="284"/>
        </w:tabs>
        <w:spacing w:after="0" w:line="276" w:lineRule="auto"/>
        <w:jc w:val="both"/>
        <w:rPr>
          <w:rFonts w:ascii="Verdana" w:eastAsia="Century Gothic" w:hAnsi="Verdana" w:cs="Century Gothic"/>
          <w:b/>
          <w:lang w:val="es-ES"/>
        </w:rPr>
      </w:pPr>
      <w:r w:rsidRPr="00E63C0B">
        <w:rPr>
          <w:rFonts w:ascii="Verdana" w:eastAsia="Century Gothic" w:hAnsi="Verdana" w:cs="Century Gothic"/>
          <w:b/>
          <w:lang w:val="es-ES"/>
        </w:rPr>
        <w:t xml:space="preserve">4. </w:t>
      </w:r>
      <w:r w:rsidRPr="00C56A6D">
        <w:rPr>
          <w:rFonts w:ascii="Verdana" w:eastAsia="Century Gothic" w:hAnsi="Verdana" w:cs="Century Gothic"/>
          <w:b/>
          <w:lang w:val="es-ES"/>
        </w:rPr>
        <w:t>Referencias normativas, jurisprudenciales y otras fuentes:</w:t>
      </w:r>
    </w:p>
    <w:p w14:paraId="75A6AC1D" w14:textId="77777777" w:rsidR="000D6CD6" w:rsidRPr="00C56A6D" w:rsidRDefault="000D6CD6" w:rsidP="00CB3758">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D6CD6" w:rsidRPr="009C5A97" w14:paraId="0842D8E1" w14:textId="77777777" w:rsidTr="00ED4CCE">
        <w:trPr>
          <w:trHeight w:val="870"/>
        </w:trPr>
        <w:tc>
          <w:tcPr>
            <w:tcW w:w="8647" w:type="dxa"/>
          </w:tcPr>
          <w:p w14:paraId="1625C741" w14:textId="77777777" w:rsidR="000D6CD6" w:rsidRPr="00A75D14" w:rsidRDefault="000D6CD6" w:rsidP="00CB3758">
            <w:pPr>
              <w:widowControl w:val="0"/>
              <w:numPr>
                <w:ilvl w:val="0"/>
                <w:numId w:val="17"/>
              </w:numPr>
              <w:autoSpaceDE w:val="0"/>
              <w:autoSpaceDN w:val="0"/>
              <w:spacing w:after="120" w:line="276" w:lineRule="auto"/>
              <w:jc w:val="both"/>
              <w:rPr>
                <w:rFonts w:ascii="Verdana" w:eastAsia="Calibri" w:hAnsi="Verdana" w:cs="Arial"/>
              </w:rPr>
            </w:pPr>
            <w:r w:rsidRPr="00A75D14">
              <w:rPr>
                <w:rFonts w:ascii="Verdana" w:eastAsia="Calibri" w:hAnsi="Verdana" w:cs="Arial"/>
              </w:rPr>
              <w:t>Ley 2195 de 2022, artículo 56.</w:t>
            </w:r>
          </w:p>
          <w:p w14:paraId="4259BFB0" w14:textId="77777777" w:rsidR="000D6CD6" w:rsidRPr="005B50C8" w:rsidRDefault="000D6CD6" w:rsidP="00CB3758">
            <w:pPr>
              <w:widowControl w:val="0"/>
              <w:numPr>
                <w:ilvl w:val="0"/>
                <w:numId w:val="17"/>
              </w:numPr>
              <w:autoSpaceDE w:val="0"/>
              <w:autoSpaceDN w:val="0"/>
              <w:spacing w:after="120" w:line="276" w:lineRule="auto"/>
              <w:jc w:val="both"/>
              <w:rPr>
                <w:rFonts w:ascii="Verdana" w:eastAsia="Calibri" w:hAnsi="Verdana" w:cs="Arial"/>
              </w:rPr>
            </w:pPr>
            <w:r w:rsidRPr="00A75D14">
              <w:rPr>
                <w:rFonts w:ascii="Verdana" w:eastAsia="Calibri" w:hAnsi="Verdana" w:cs="Arial"/>
              </w:rPr>
              <w:t>Consejo de Estado. Sección Tercera. Subsección B. Sentencia del 12 de octubre de 2011. Exp. No. 20070. C.P. Danilo Rojas Betancourt.</w:t>
            </w:r>
          </w:p>
          <w:p w14:paraId="081B89D3" w14:textId="77777777" w:rsidR="000D6CD6" w:rsidRPr="00AD5123" w:rsidRDefault="000D6CD6" w:rsidP="00CB3758">
            <w:pPr>
              <w:widowControl w:val="0"/>
              <w:numPr>
                <w:ilvl w:val="0"/>
                <w:numId w:val="17"/>
              </w:numPr>
              <w:autoSpaceDE w:val="0"/>
              <w:autoSpaceDN w:val="0"/>
              <w:spacing w:after="120" w:line="276" w:lineRule="auto"/>
              <w:contextualSpacing/>
              <w:jc w:val="both"/>
              <w:rPr>
                <w:rFonts w:ascii="Verdana" w:eastAsia="Times New Roman" w:hAnsi="Verdana" w:cs="Arial"/>
                <w:lang w:val="es-ES"/>
              </w:rPr>
            </w:pPr>
            <w:r w:rsidRPr="00AD5123">
              <w:rPr>
                <w:rFonts w:ascii="Verdana" w:eastAsia="Times New Roman" w:hAnsi="Verdana" w:cs="Arial"/>
                <w:lang w:val="es-ES"/>
              </w:rPr>
              <w:t>Ley 1150 de 2007. Literal c), artículo 3</w:t>
            </w:r>
          </w:p>
          <w:p w14:paraId="238310B0" w14:textId="77777777" w:rsidR="000D6CD6" w:rsidRPr="00AD5123" w:rsidRDefault="000D6CD6" w:rsidP="00CB3758">
            <w:pPr>
              <w:widowControl w:val="0"/>
              <w:numPr>
                <w:ilvl w:val="0"/>
                <w:numId w:val="17"/>
              </w:numPr>
              <w:autoSpaceDE w:val="0"/>
              <w:autoSpaceDN w:val="0"/>
              <w:spacing w:after="120" w:line="276" w:lineRule="auto"/>
              <w:contextualSpacing/>
              <w:jc w:val="both"/>
              <w:rPr>
                <w:rFonts w:ascii="Verdana" w:eastAsia="Times New Roman" w:hAnsi="Verdana" w:cs="Arial"/>
                <w:lang w:val="es-ES"/>
              </w:rPr>
            </w:pPr>
            <w:r w:rsidRPr="00AD5123">
              <w:rPr>
                <w:rFonts w:ascii="Verdana" w:eastAsia="Times New Roman" w:hAnsi="Verdana" w:cs="Arial"/>
                <w:lang w:val="es-ES"/>
              </w:rPr>
              <w:t>Ley 1712 de 2014. Literal e), artículo 9</w:t>
            </w:r>
          </w:p>
          <w:p w14:paraId="7623E9C7" w14:textId="77777777" w:rsidR="000D6CD6" w:rsidRPr="00AD5123" w:rsidRDefault="000D6CD6" w:rsidP="00CB3758">
            <w:pPr>
              <w:widowControl w:val="0"/>
              <w:numPr>
                <w:ilvl w:val="0"/>
                <w:numId w:val="17"/>
              </w:numPr>
              <w:autoSpaceDE w:val="0"/>
              <w:autoSpaceDN w:val="0"/>
              <w:spacing w:after="120" w:line="276" w:lineRule="auto"/>
              <w:contextualSpacing/>
              <w:jc w:val="both"/>
              <w:rPr>
                <w:rFonts w:ascii="Verdana" w:eastAsia="Times New Roman" w:hAnsi="Verdana" w:cs="Arial"/>
                <w:lang w:val="es-ES"/>
              </w:rPr>
            </w:pPr>
            <w:r w:rsidRPr="00AD5123">
              <w:rPr>
                <w:rFonts w:ascii="Verdana" w:eastAsia="Times New Roman" w:hAnsi="Verdana" w:cs="Arial"/>
                <w:lang w:val="es-ES"/>
              </w:rPr>
              <w:t>Ley 1712 de 2014. Artículo 5</w:t>
            </w:r>
          </w:p>
          <w:p w14:paraId="5ACC8030" w14:textId="77777777" w:rsidR="000D6CD6" w:rsidRPr="00AD5123" w:rsidRDefault="000D6CD6" w:rsidP="00CB3758">
            <w:pPr>
              <w:widowControl w:val="0"/>
              <w:numPr>
                <w:ilvl w:val="0"/>
                <w:numId w:val="17"/>
              </w:numPr>
              <w:autoSpaceDE w:val="0"/>
              <w:autoSpaceDN w:val="0"/>
              <w:spacing w:after="120" w:line="276" w:lineRule="auto"/>
              <w:contextualSpacing/>
              <w:jc w:val="both"/>
              <w:rPr>
                <w:rFonts w:ascii="Verdana" w:eastAsia="Times New Roman" w:hAnsi="Verdana" w:cs="Arial"/>
                <w:lang w:val="es-ES"/>
              </w:rPr>
            </w:pPr>
            <w:r w:rsidRPr="00AD5123">
              <w:rPr>
                <w:rFonts w:ascii="Verdana" w:eastAsia="Times New Roman" w:hAnsi="Verdana" w:cs="Arial"/>
                <w:lang w:val="es-ES"/>
              </w:rPr>
              <w:t>Ley 1712 de 2014. Literal g), artículo 11</w:t>
            </w:r>
          </w:p>
          <w:p w14:paraId="725E85E1" w14:textId="77777777" w:rsidR="000D6CD6" w:rsidRPr="00AD5123" w:rsidRDefault="000D6CD6" w:rsidP="00CB3758">
            <w:pPr>
              <w:widowControl w:val="0"/>
              <w:numPr>
                <w:ilvl w:val="0"/>
                <w:numId w:val="17"/>
              </w:numPr>
              <w:autoSpaceDE w:val="0"/>
              <w:autoSpaceDN w:val="0"/>
              <w:spacing w:after="120" w:line="276" w:lineRule="auto"/>
              <w:contextualSpacing/>
              <w:jc w:val="both"/>
              <w:rPr>
                <w:rFonts w:ascii="Verdana" w:eastAsia="Times New Roman" w:hAnsi="Verdana" w:cs="Arial"/>
                <w:lang w:val="es-ES"/>
              </w:rPr>
            </w:pPr>
            <w:r w:rsidRPr="00AD5123">
              <w:rPr>
                <w:rFonts w:ascii="Verdana" w:eastAsia="Times New Roman" w:hAnsi="Verdana" w:cs="Arial"/>
                <w:lang w:val="es-ES"/>
              </w:rPr>
              <w:t>Ley 2195 de 2022. Artículo 53</w:t>
            </w:r>
          </w:p>
          <w:p w14:paraId="2F42FDC7" w14:textId="77777777" w:rsidR="000D6CD6" w:rsidRPr="00AD5123" w:rsidRDefault="000D6CD6" w:rsidP="00CB3758">
            <w:pPr>
              <w:widowControl w:val="0"/>
              <w:numPr>
                <w:ilvl w:val="0"/>
                <w:numId w:val="17"/>
              </w:numPr>
              <w:autoSpaceDE w:val="0"/>
              <w:autoSpaceDN w:val="0"/>
              <w:spacing w:after="120" w:line="276" w:lineRule="auto"/>
              <w:contextualSpacing/>
              <w:jc w:val="both"/>
              <w:rPr>
                <w:rFonts w:ascii="Verdana" w:eastAsia="Times New Roman" w:hAnsi="Verdana" w:cs="Arial"/>
                <w:lang w:val="es-ES"/>
              </w:rPr>
            </w:pPr>
            <w:r w:rsidRPr="00AD5123">
              <w:rPr>
                <w:rFonts w:ascii="Verdana" w:eastAsia="Times New Roman" w:hAnsi="Verdana" w:cs="Arial"/>
                <w:lang w:val="es-ES"/>
              </w:rPr>
              <w:t xml:space="preserve">Decreto 1081 de 2015. Artículo </w:t>
            </w:r>
            <w:r w:rsidRPr="00AD5123">
              <w:rPr>
                <w:rFonts w:ascii="Verdana" w:eastAsia="Times New Roman" w:hAnsi="Verdana" w:cs="Arial"/>
                <w:color w:val="000000"/>
                <w:shd w:val="clear" w:color="auto" w:fill="FFFFFF"/>
              </w:rPr>
              <w:t>2.1.1.2.1.7</w:t>
            </w:r>
          </w:p>
          <w:p w14:paraId="380E8AA5" w14:textId="77777777" w:rsidR="000D6CD6" w:rsidRPr="00CB5B56" w:rsidRDefault="000D6CD6" w:rsidP="00CB3758">
            <w:pPr>
              <w:widowControl w:val="0"/>
              <w:numPr>
                <w:ilvl w:val="0"/>
                <w:numId w:val="17"/>
              </w:numPr>
              <w:autoSpaceDE w:val="0"/>
              <w:autoSpaceDN w:val="0"/>
              <w:spacing w:after="120" w:line="276" w:lineRule="auto"/>
              <w:contextualSpacing/>
              <w:jc w:val="both"/>
              <w:rPr>
                <w:rFonts w:ascii="Verdana" w:eastAsia="Times New Roman" w:hAnsi="Verdana" w:cs="Arial"/>
                <w:lang w:val="es-ES"/>
              </w:rPr>
            </w:pPr>
            <w:r w:rsidRPr="00AD5123">
              <w:rPr>
                <w:rFonts w:ascii="Verdana" w:eastAsia="Times New Roman" w:hAnsi="Verdana" w:cs="Arial"/>
                <w:lang w:val="es-ES"/>
              </w:rPr>
              <w:t xml:space="preserve">Decreto 1082 de 2015. Artículo </w:t>
            </w:r>
            <w:r w:rsidRPr="00AD5123">
              <w:rPr>
                <w:rFonts w:ascii="Verdana" w:eastAsia="Times New Roman" w:hAnsi="Verdana" w:cs="Arial"/>
                <w:color w:val="000000"/>
                <w:shd w:val="clear" w:color="auto" w:fill="FFFFFF"/>
              </w:rPr>
              <w:t>2.2.1.1.1.7.1</w:t>
            </w:r>
          </w:p>
          <w:p w14:paraId="20E99D22" w14:textId="77777777" w:rsidR="000D6CD6" w:rsidRPr="00AD5123" w:rsidRDefault="000D6CD6" w:rsidP="00CB3758">
            <w:pPr>
              <w:widowControl w:val="0"/>
              <w:numPr>
                <w:ilvl w:val="0"/>
                <w:numId w:val="17"/>
              </w:numPr>
              <w:autoSpaceDE w:val="0"/>
              <w:autoSpaceDN w:val="0"/>
              <w:spacing w:after="120" w:line="276" w:lineRule="auto"/>
              <w:contextualSpacing/>
              <w:jc w:val="both"/>
              <w:rPr>
                <w:rFonts w:ascii="Verdana" w:eastAsia="Times New Roman" w:hAnsi="Verdana" w:cs="Arial"/>
                <w:lang w:val="es-ES"/>
              </w:rPr>
            </w:pPr>
            <w:r w:rsidRPr="00CB5B56">
              <w:rPr>
                <w:rFonts w:ascii="Verdana" w:eastAsia="Times New Roman" w:hAnsi="Verdana" w:cs="Arial"/>
              </w:rPr>
              <w:t>Circular Externa No. 002 del 23 de agosto de 2024</w:t>
            </w:r>
            <w:r>
              <w:rPr>
                <w:rFonts w:ascii="Verdana" w:eastAsia="Times New Roman" w:hAnsi="Verdana" w:cs="Arial"/>
              </w:rPr>
              <w:t xml:space="preserve">: </w:t>
            </w:r>
            <w:hyperlink r:id="rId12" w:history="1">
              <w:r w:rsidRPr="00112BF8">
                <w:rPr>
                  <w:rStyle w:val="Hipervnculo"/>
                  <w:rFonts w:ascii="Verdana" w:eastAsia="Times New Roman" w:hAnsi="Verdana" w:cs="Arial"/>
                </w:rPr>
                <w:t>doc-20240823-wa0021.pdf (colombiacompra.gov.co)</w:t>
              </w:r>
            </w:hyperlink>
          </w:p>
          <w:p w14:paraId="3D3DD5E0" w14:textId="77777777" w:rsidR="000D6CD6" w:rsidRPr="00C56A6D" w:rsidRDefault="000D6CD6" w:rsidP="00CB3758">
            <w:pPr>
              <w:pStyle w:val="Prrafodelista"/>
              <w:widowControl w:val="0"/>
              <w:autoSpaceDE w:val="0"/>
              <w:autoSpaceDN w:val="0"/>
              <w:spacing w:after="120" w:line="276" w:lineRule="auto"/>
              <w:jc w:val="both"/>
              <w:rPr>
                <w:rFonts w:ascii="Verdana" w:hAnsi="Verdana" w:cs="Arial"/>
              </w:rPr>
            </w:pPr>
          </w:p>
        </w:tc>
      </w:tr>
    </w:tbl>
    <w:p w14:paraId="0786F5CD" w14:textId="77777777" w:rsidR="000D6CD6" w:rsidRPr="00C56A6D" w:rsidRDefault="000D6CD6" w:rsidP="00CB3758">
      <w:pPr>
        <w:tabs>
          <w:tab w:val="left" w:pos="142"/>
          <w:tab w:val="left" w:pos="284"/>
        </w:tabs>
        <w:spacing w:after="0" w:line="276" w:lineRule="auto"/>
        <w:jc w:val="both"/>
        <w:rPr>
          <w:rFonts w:ascii="Verdana" w:eastAsia="Century Gothic" w:hAnsi="Verdana" w:cs="Century Gothic"/>
          <w:b/>
          <w:lang w:val="es-ES"/>
        </w:rPr>
      </w:pPr>
      <w:r w:rsidRPr="00E63C0B">
        <w:rPr>
          <w:rFonts w:ascii="Verdana" w:eastAsia="Century Gothic" w:hAnsi="Verdana" w:cs="Century Gothic"/>
          <w:b/>
          <w:lang w:val="es-ES"/>
        </w:rPr>
        <w:t xml:space="preserve">5. </w:t>
      </w:r>
      <w:r w:rsidRPr="00C56A6D">
        <w:rPr>
          <w:rFonts w:ascii="Verdana" w:eastAsia="Century Gothic" w:hAnsi="Verdana" w:cs="Century Gothic"/>
          <w:b/>
          <w:lang w:val="es-ES"/>
        </w:rPr>
        <w:t>Doctrina de la Agencia Nacional de Contratación Pública:</w:t>
      </w:r>
    </w:p>
    <w:p w14:paraId="5F906694" w14:textId="77777777" w:rsidR="000D6CD6" w:rsidRPr="00C56A6D" w:rsidRDefault="000D6CD6" w:rsidP="00CB3758">
      <w:pPr>
        <w:widowControl w:val="0"/>
        <w:autoSpaceDE w:val="0"/>
        <w:autoSpaceDN w:val="0"/>
        <w:spacing w:after="0" w:line="276" w:lineRule="auto"/>
        <w:jc w:val="both"/>
        <w:rPr>
          <w:rFonts w:ascii="Verdana" w:hAnsi="Verdana" w:cs="Arial"/>
        </w:rPr>
      </w:pPr>
    </w:p>
    <w:p w14:paraId="41BC22F1" w14:textId="77777777" w:rsidR="000D6CD6" w:rsidRDefault="000D6CD6" w:rsidP="00CB3758">
      <w:pPr>
        <w:widowControl w:val="0"/>
        <w:autoSpaceDE w:val="0"/>
        <w:autoSpaceDN w:val="0"/>
        <w:spacing w:after="0" w:line="276" w:lineRule="auto"/>
        <w:jc w:val="both"/>
        <w:rPr>
          <w:rFonts w:ascii="Verdana" w:hAnsi="Verdana" w:cs="Arial"/>
          <w:color w:val="FF0000"/>
          <w:shd w:val="clear" w:color="auto" w:fill="FFFFFF"/>
          <w:lang w:val="es-ES"/>
        </w:rPr>
      </w:pPr>
      <w:r w:rsidRPr="00A75D14">
        <w:rPr>
          <w:rFonts w:ascii="Verdana" w:eastAsia="Calibri" w:hAnsi="Verdana" w:cs="Arial"/>
          <w:shd w:val="clear" w:color="auto" w:fill="FFFFFF"/>
          <w:lang w:val="es-ES"/>
        </w:rPr>
        <w:t>La Agencia Nacional de Contratación Pública – Colombia Compra Eficiente se ha pronunciado sobre</w:t>
      </w:r>
      <w:r>
        <w:rPr>
          <w:rFonts w:ascii="Verdana" w:eastAsia="Calibri" w:hAnsi="Verdana" w:cs="Arial"/>
          <w:shd w:val="clear" w:color="auto" w:fill="FFFFFF"/>
          <w:lang w:val="es-ES"/>
        </w:rPr>
        <w:t xml:space="preserve"> la implementación de los Documentos tipo  en los conceptos </w:t>
      </w:r>
      <w:r w:rsidRPr="00A75D14">
        <w:rPr>
          <w:rFonts w:ascii="Verdana" w:eastAsia="Calibri" w:hAnsi="Verdana" w:cs="Arial"/>
          <w:shd w:val="clear" w:color="auto" w:fill="FFFFFF"/>
          <w:lang w:val="es-ES"/>
        </w:rPr>
        <w:t xml:space="preserve">C-066 del 28 de enero de 2022, cuya tesis se desarrolló y complementó en varios conceptos, como el C-320 del 20 de mayo de 2022, C-333 del 24 de mayo de 2022, C-404 del 26 de mayo de 2023, C-341 del 27 de mayo de 2022, C-382 del 27 de mayo de 2022, C-388 del 15 de junio de 2022, C-423 del 5 de julio de 2022, C-435 del 6 de julio de 2023, C-453 del 15 de julio de 2022, C-449 del 25 de julio de 2022, C-494 del 26 de julio de 2022, C-488 del 29 de julio de 2022, </w:t>
      </w:r>
      <w:r w:rsidRPr="00A75D14">
        <w:rPr>
          <w:rFonts w:ascii="Verdana" w:eastAsia="Calibri" w:hAnsi="Verdana" w:cs="Arial"/>
          <w:shd w:val="clear" w:color="auto" w:fill="FFFFFF"/>
          <w:lang w:val="es-ES"/>
        </w:rPr>
        <w:lastRenderedPageBreak/>
        <w:t>C-483 del 5 de agosto de 2022, C-496 del 3 de agosto de 2022, C-501 del 29 de julio de 2022, C-556 del 3 de agosto de 2022 y C-532 del 22 de agosto de 2022, entre otros. El mismo tema ha sido estudiado por esta Subdirección en los conceptos C-486 del 2 de septiembre de 2022, C-671 del 19 de octubre de 2022, C-576 del 25 de octubre de 2022, C-042 del 29 de marzo de 2023, C-299 del 24 de julio de 2023, C-399 del 29 de septiembre de 2023, C-055 del 9 de mayo de 2024 y C-079 del 5 de junio de 2024.</w:t>
      </w:r>
      <w:r w:rsidRPr="00C56A6D">
        <w:rPr>
          <w:rFonts w:ascii="Verdana" w:eastAsia="Calibri" w:hAnsi="Verdana" w:cs="Arial"/>
          <w:color w:val="000000"/>
          <w:lang w:val="es-ES"/>
        </w:rPr>
        <w:t xml:space="preserve"> Estos </w:t>
      </w:r>
      <w:r w:rsidRPr="00C56A6D">
        <w:rPr>
          <w:rFonts w:ascii="Verdana" w:hAnsi="Verdana"/>
        </w:rPr>
        <w:t>y otros conceptos se encuentran disponibles para consulta en el Sistema de relatoría de la Agencia, al cual se puede acceder a través del siguiente enlace:</w:t>
      </w:r>
      <w:r w:rsidRPr="00C56A6D">
        <w:rPr>
          <w:rFonts w:ascii="Verdana" w:hAnsi="Verdana" w:cs="Arial"/>
          <w:shd w:val="clear" w:color="auto" w:fill="FFFFFF"/>
          <w:lang w:val="es-ES"/>
        </w:rPr>
        <w:t xml:space="preserve"> </w:t>
      </w:r>
      <w:hyperlink r:id="rId13" w:history="1">
        <w:r w:rsidRPr="00C56A6D">
          <w:rPr>
            <w:rFonts w:ascii="Verdana" w:hAnsi="Verdana" w:cs="Arial"/>
            <w:color w:val="0563C1" w:themeColor="hyperlink"/>
            <w:u w:val="single"/>
            <w:shd w:val="clear" w:color="auto" w:fill="FFFFFF"/>
            <w:lang w:val="es-ES"/>
          </w:rPr>
          <w:t>https://relatoria.colombiacompra.gov.co/busqueda/conceptos</w:t>
        </w:r>
      </w:hyperlink>
      <w:r w:rsidRPr="00C56A6D">
        <w:rPr>
          <w:rFonts w:ascii="Verdana" w:hAnsi="Verdana" w:cs="Arial"/>
          <w:color w:val="FF0000"/>
          <w:shd w:val="clear" w:color="auto" w:fill="FFFFFF"/>
          <w:lang w:val="es-ES"/>
        </w:rPr>
        <w:t>.</w:t>
      </w:r>
    </w:p>
    <w:p w14:paraId="699555F5" w14:textId="77777777" w:rsidR="000D6CD6" w:rsidRPr="00244892" w:rsidRDefault="000D6CD6" w:rsidP="00CB3758">
      <w:pPr>
        <w:widowControl w:val="0"/>
        <w:autoSpaceDE w:val="0"/>
        <w:autoSpaceDN w:val="0"/>
        <w:spacing w:after="0" w:line="276" w:lineRule="auto"/>
        <w:jc w:val="both"/>
        <w:rPr>
          <w:rFonts w:ascii="Verdana" w:hAnsi="Verdana" w:cs="Arial"/>
          <w:color w:val="7030A0"/>
          <w:shd w:val="clear" w:color="auto" w:fill="FFFFFF"/>
          <w:lang w:val="es-ES"/>
        </w:rPr>
      </w:pPr>
    </w:p>
    <w:p w14:paraId="53248AAD" w14:textId="77777777" w:rsidR="00924410" w:rsidRPr="00CE448E" w:rsidRDefault="00924410" w:rsidP="00CB3758">
      <w:pPr>
        <w:spacing w:after="0" w:line="276" w:lineRule="auto"/>
        <w:jc w:val="both"/>
        <w:rPr>
          <w:rFonts w:ascii="Verdana" w:hAnsi="Verdana"/>
        </w:rPr>
      </w:pPr>
    </w:p>
    <w:p w14:paraId="00130932" w14:textId="77777777" w:rsidR="00E36A6C" w:rsidRPr="00942844" w:rsidRDefault="00E36A6C" w:rsidP="00E36A6C">
      <w:pPr>
        <w:widowControl w:val="0"/>
        <w:autoSpaceDE w:val="0"/>
        <w:autoSpaceDN w:val="0"/>
        <w:spacing w:after="0" w:line="276" w:lineRule="auto"/>
        <w:jc w:val="both"/>
        <w:rPr>
          <w:rFonts w:ascii="Verdana" w:eastAsia="Calibri" w:hAnsi="Verdana" w:cs="Arial"/>
          <w:shd w:val="clear" w:color="auto" w:fill="FFFFFF"/>
          <w:lang w:val="es-ES"/>
        </w:rPr>
      </w:pPr>
      <w:r w:rsidRPr="00942844">
        <w:rPr>
          <w:rFonts w:ascii="Verdana" w:hAnsi="Verdana" w:cs="Arial"/>
          <w:shd w:val="clear" w:color="auto" w:fill="FFFFFF"/>
        </w:rPr>
        <w:t>También le invitamos a consultar la versión VII  de 2024 , del Boletín de Relatoría de la Subdirección de Gestión Contractual relacionado con las ASOCIACIONES PÚBLICO POPULARES , el cual se puede descargar en la página web de la Agencia: </w:t>
      </w:r>
      <w:hyperlink r:id="rId14" w:tgtFrame="_blank" w:tooltip="Dirección URL original: https://www.colombiacompra.gov.co/sala-de-prensa/boletin-digital. Haga clic o pulse si confía en este vínculo." w:history="1">
        <w:r w:rsidRPr="00942844">
          <w:rPr>
            <w:rStyle w:val="Hipervnculo"/>
            <w:rFonts w:ascii="Verdana" w:hAnsi="Verdana" w:cs="Arial"/>
            <w:shd w:val="clear" w:color="auto" w:fill="FFFFFF"/>
          </w:rPr>
          <w:t>https://www.colombiacompra.gov.co/sala-de-prensa/boletin-digital</w:t>
        </w:r>
      </w:hyperlink>
      <w:r w:rsidRPr="00942844">
        <w:rPr>
          <w:rFonts w:ascii="Verdana" w:hAnsi="Verdana" w:cs="Arial"/>
          <w:shd w:val="clear" w:color="auto" w:fill="FFFFFF"/>
        </w:rPr>
        <w:t>    </w:t>
      </w:r>
    </w:p>
    <w:p w14:paraId="755473A4" w14:textId="77777777" w:rsidR="00E36A6C" w:rsidRPr="00942844" w:rsidRDefault="00E36A6C" w:rsidP="00E36A6C">
      <w:pPr>
        <w:spacing w:after="0" w:line="240" w:lineRule="auto"/>
        <w:jc w:val="both"/>
        <w:rPr>
          <w:rFonts w:ascii="Verdana" w:eastAsia="Calibri" w:hAnsi="Verdana" w:cs="Times New Roman"/>
        </w:rPr>
      </w:pPr>
      <w:r w:rsidRPr="00942844">
        <w:rPr>
          <w:rFonts w:ascii="Verdana" w:eastAsia="Calibri" w:hAnsi="Verdana" w:cs="Times New Roman"/>
        </w:rPr>
        <w:t xml:space="preserve">Por último, los invitamos a seguirnos en las redes sociales, en las cuales se difunde información institucional: </w:t>
      </w:r>
    </w:p>
    <w:p w14:paraId="43E5486D" w14:textId="77777777" w:rsidR="00E36A6C" w:rsidRPr="00942844" w:rsidRDefault="00E36A6C" w:rsidP="00E36A6C">
      <w:pPr>
        <w:spacing w:after="0" w:line="240" w:lineRule="auto"/>
        <w:jc w:val="both"/>
        <w:rPr>
          <w:rFonts w:ascii="Verdana" w:eastAsia="Calibri" w:hAnsi="Verdana" w:cs="Times New Roman"/>
        </w:rPr>
      </w:pPr>
    </w:p>
    <w:p w14:paraId="4E1849CD" w14:textId="77777777" w:rsidR="00E36A6C" w:rsidRPr="00942844" w:rsidRDefault="00E36A6C" w:rsidP="00E36A6C">
      <w:pPr>
        <w:spacing w:after="0" w:line="240" w:lineRule="auto"/>
        <w:jc w:val="both"/>
        <w:rPr>
          <w:rFonts w:ascii="Verdana" w:eastAsia="Calibri" w:hAnsi="Verdana" w:cs="Times New Roman"/>
        </w:rPr>
      </w:pPr>
      <w:r w:rsidRPr="00942844">
        <w:rPr>
          <w:rFonts w:ascii="Verdana" w:eastAsia="Calibri" w:hAnsi="Verdana" w:cs="Times New Roman"/>
        </w:rPr>
        <w:t xml:space="preserve">Twitter: </w:t>
      </w:r>
      <w:r w:rsidRPr="00942844">
        <w:rPr>
          <w:rFonts w:ascii="Verdana" w:eastAsia="Calibri" w:hAnsi="Verdana" w:cs="Times New Roman"/>
          <w:u w:val="single"/>
        </w:rPr>
        <w:t>@colombiacompra</w:t>
      </w:r>
      <w:r w:rsidRPr="00942844">
        <w:rPr>
          <w:rFonts w:ascii="Verdana" w:eastAsia="Calibri" w:hAnsi="Verdana" w:cs="Times New Roman"/>
        </w:rPr>
        <w:t xml:space="preserve"> </w:t>
      </w:r>
    </w:p>
    <w:p w14:paraId="14D40CE6" w14:textId="77777777" w:rsidR="00E36A6C" w:rsidRPr="00942844" w:rsidRDefault="00E36A6C" w:rsidP="00E36A6C">
      <w:pPr>
        <w:spacing w:after="0" w:line="240" w:lineRule="auto"/>
        <w:jc w:val="both"/>
        <w:rPr>
          <w:rFonts w:ascii="Verdana" w:eastAsia="Calibri" w:hAnsi="Verdana" w:cs="Times New Roman"/>
        </w:rPr>
      </w:pPr>
      <w:r w:rsidRPr="00942844">
        <w:rPr>
          <w:rFonts w:ascii="Verdana" w:eastAsia="Calibri" w:hAnsi="Verdana" w:cs="Times New Roman"/>
        </w:rPr>
        <w:t xml:space="preserve">Facebook: </w:t>
      </w:r>
      <w:r w:rsidRPr="00942844">
        <w:rPr>
          <w:rFonts w:ascii="Verdana" w:eastAsia="Calibri" w:hAnsi="Verdana" w:cs="Times New Roman"/>
          <w:u w:val="single"/>
        </w:rPr>
        <w:t>ColombiaCompraEficiente</w:t>
      </w:r>
    </w:p>
    <w:p w14:paraId="25FF9BB6" w14:textId="77777777" w:rsidR="00E36A6C" w:rsidRPr="00942844" w:rsidRDefault="00E36A6C" w:rsidP="00E36A6C">
      <w:pPr>
        <w:spacing w:after="0" w:line="240" w:lineRule="auto"/>
        <w:jc w:val="both"/>
        <w:rPr>
          <w:rFonts w:ascii="Verdana" w:eastAsia="Calibri" w:hAnsi="Verdana" w:cs="Times New Roman"/>
        </w:rPr>
      </w:pPr>
      <w:r w:rsidRPr="00942844">
        <w:rPr>
          <w:rFonts w:ascii="Verdana" w:eastAsia="Calibri" w:hAnsi="Verdana" w:cs="Times New Roman"/>
        </w:rPr>
        <w:t xml:space="preserve">LinkedIn: </w:t>
      </w:r>
      <w:r w:rsidRPr="00942844">
        <w:rPr>
          <w:rFonts w:ascii="Verdana" w:eastAsia="Calibri" w:hAnsi="Verdana" w:cs="Times New Roman"/>
          <w:u w:val="single"/>
        </w:rPr>
        <w:t>Agencia Nacional de Contratación Pública - Colombia Compra Eficiente</w:t>
      </w:r>
      <w:r w:rsidRPr="00942844">
        <w:rPr>
          <w:rFonts w:ascii="Verdana" w:eastAsia="Calibri" w:hAnsi="Verdana" w:cs="Times New Roman"/>
        </w:rPr>
        <w:t xml:space="preserve"> Instagram: </w:t>
      </w:r>
      <w:r w:rsidRPr="00942844">
        <w:rPr>
          <w:rFonts w:ascii="Verdana" w:eastAsia="Calibri" w:hAnsi="Verdana" w:cs="Times New Roman"/>
          <w:u w:val="single"/>
        </w:rPr>
        <w:t>@colombiacompraeficiente_cce</w:t>
      </w:r>
    </w:p>
    <w:p w14:paraId="5A056BE2" w14:textId="77777777" w:rsidR="00E36A6C" w:rsidRPr="00942844" w:rsidRDefault="00E36A6C" w:rsidP="00E36A6C">
      <w:pPr>
        <w:widowControl w:val="0"/>
        <w:autoSpaceDE w:val="0"/>
        <w:autoSpaceDN w:val="0"/>
        <w:spacing w:after="0" w:line="276" w:lineRule="auto"/>
        <w:jc w:val="both"/>
        <w:rPr>
          <w:rFonts w:ascii="Verdana" w:eastAsia="Calibri" w:hAnsi="Verdana" w:cs="Arial"/>
        </w:rPr>
      </w:pPr>
    </w:p>
    <w:p w14:paraId="1D08A3FB" w14:textId="77777777" w:rsidR="00E36A6C" w:rsidRPr="00942844" w:rsidRDefault="00E36A6C" w:rsidP="00E36A6C">
      <w:pPr>
        <w:widowControl w:val="0"/>
        <w:autoSpaceDE w:val="0"/>
        <w:autoSpaceDN w:val="0"/>
        <w:spacing w:after="0" w:line="276" w:lineRule="auto"/>
        <w:jc w:val="both"/>
        <w:rPr>
          <w:rFonts w:ascii="Verdana" w:eastAsia="Calibri" w:hAnsi="Verdana" w:cs="Arial"/>
          <w:lang w:val="es-ES_tradnl"/>
        </w:rPr>
      </w:pPr>
      <w:r w:rsidRPr="00942844">
        <w:rPr>
          <w:rFonts w:ascii="Verdana" w:eastAsia="Calibri" w:hAnsi="Verdana" w:cs="Arial"/>
        </w:rPr>
        <w:t xml:space="preserve">Este concepto tiene el alcance previsto en el artículo 28 del Código de Procedimiento Administrativo y de lo Contencioso Administrativo </w:t>
      </w:r>
      <w:r w:rsidRPr="00942844">
        <w:rPr>
          <w:rFonts w:ascii="Verdana" w:eastAsia="Calibri" w:hAnsi="Verdana" w:cs="Arial"/>
          <w:lang w:val="es-ES_tradnl"/>
        </w:rPr>
        <w:t>y las expresiones aquí utilizadas con mayúscula inicial deben ser entendidas con el significado que les otorga el artículo 2.2.1.1.1.3.1. del Decreto 1082 de 2015.</w:t>
      </w:r>
    </w:p>
    <w:p w14:paraId="08D48E63" w14:textId="77777777" w:rsidR="000D6CD6" w:rsidRPr="00E36A6C" w:rsidRDefault="000D6CD6" w:rsidP="00CB3758">
      <w:pPr>
        <w:widowControl w:val="0"/>
        <w:autoSpaceDE w:val="0"/>
        <w:autoSpaceDN w:val="0"/>
        <w:spacing w:after="0" w:line="276" w:lineRule="auto"/>
        <w:jc w:val="both"/>
        <w:rPr>
          <w:rFonts w:ascii="Verdana" w:hAnsi="Verdana" w:cs="Arial"/>
          <w:lang w:val="es-ES_tradnl"/>
        </w:rPr>
      </w:pPr>
    </w:p>
    <w:p w14:paraId="5D671014" w14:textId="77777777" w:rsidR="000D6CD6" w:rsidRPr="00C56A6D" w:rsidRDefault="000D6CD6" w:rsidP="00CB3758">
      <w:pPr>
        <w:widowControl w:val="0"/>
        <w:autoSpaceDE w:val="0"/>
        <w:autoSpaceDN w:val="0"/>
        <w:spacing w:after="0" w:line="276" w:lineRule="auto"/>
        <w:jc w:val="both"/>
        <w:rPr>
          <w:rFonts w:ascii="Verdana" w:hAnsi="Verdana" w:cs="Arial"/>
        </w:rPr>
      </w:pPr>
    </w:p>
    <w:p w14:paraId="55E0BE3C" w14:textId="77777777" w:rsidR="000D6CD6" w:rsidRPr="00C56A6D" w:rsidRDefault="000D6CD6" w:rsidP="00CB3758">
      <w:pPr>
        <w:spacing w:after="0" w:line="276" w:lineRule="auto"/>
        <w:rPr>
          <w:rFonts w:ascii="Verdana" w:hAnsi="Verdana" w:cs="Arial"/>
          <w:lang w:eastAsia="es-CO"/>
        </w:rPr>
      </w:pPr>
      <w:r w:rsidRPr="00C56A6D">
        <w:rPr>
          <w:rFonts w:ascii="Verdana" w:eastAsia="Times New Roman" w:hAnsi="Verdana" w:cs="Arial"/>
          <w:lang w:eastAsia="es-CO"/>
        </w:rPr>
        <w:t>Atentamente,</w:t>
      </w:r>
      <w:r w:rsidRPr="00C56A6D">
        <w:rPr>
          <w:rFonts w:ascii="Verdana" w:hAnsi="Verdana" w:cs="Arial"/>
          <w:lang w:eastAsia="es-CO"/>
        </w:rPr>
        <w:t xml:space="preserve"> </w:t>
      </w:r>
    </w:p>
    <w:p w14:paraId="29EEDE03" w14:textId="451B832E" w:rsidR="000D6CD6" w:rsidRPr="00C56A6D" w:rsidRDefault="00E72EC1" w:rsidP="00CB3758">
      <w:pPr>
        <w:spacing w:line="276" w:lineRule="auto"/>
        <w:jc w:val="center"/>
        <w:rPr>
          <w:rFonts w:ascii="Verdana" w:hAnsi="Verdana"/>
        </w:rPr>
      </w:pPr>
      <w:r w:rsidRPr="002C3AD6">
        <w:rPr>
          <w:rFonts w:ascii="Century Gothic" w:hAnsi="Century Gothic"/>
          <w:noProof/>
        </w:rPr>
        <w:drawing>
          <wp:inline distT="0" distB="0" distL="0" distR="0" wp14:anchorId="4B845447" wp14:editId="2EA1F618">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5"/>
                    <a:stretch>
                      <a:fillRect/>
                    </a:stretch>
                  </pic:blipFill>
                  <pic:spPr>
                    <a:xfrm>
                      <a:off x="0" y="0"/>
                      <a:ext cx="3772426" cy="1400370"/>
                    </a:xfrm>
                    <a:prstGeom prst="rect">
                      <a:avLst/>
                    </a:prstGeom>
                  </pic:spPr>
                </pic:pic>
              </a:graphicData>
            </a:graphic>
          </wp:inline>
        </w:drawing>
      </w:r>
    </w:p>
    <w:p w14:paraId="4BC7E73D" w14:textId="5BE82826" w:rsidR="000D6CD6" w:rsidRPr="00E63C0B" w:rsidRDefault="000D6CD6" w:rsidP="00CB3758">
      <w:pPr>
        <w:spacing w:line="276" w:lineRule="auto"/>
        <w:jc w:val="center"/>
        <w:rPr>
          <w:rFonts w:ascii="Verdana" w:hAnsi="Verdana"/>
          <w:color w:val="000000"/>
          <w:lang w:val="es-ES_tradnl" w:eastAsia="es-CO"/>
        </w:rPr>
      </w:pPr>
    </w:p>
    <w:p w14:paraId="4EFEFA4F" w14:textId="77777777" w:rsidR="000D6CD6" w:rsidRPr="009C5A97" w:rsidRDefault="000D6CD6" w:rsidP="00CB3758">
      <w:pPr>
        <w:spacing w:line="276" w:lineRule="auto"/>
        <w:jc w:val="center"/>
        <w:rPr>
          <w:rFonts w:ascii="Verdana" w:hAnsi="Verdana" w:cs="Arial"/>
          <w:color w:val="000000"/>
          <w:lang w:val="es-ES_tradnl" w:eastAsia="es-CO"/>
        </w:rPr>
      </w:pPr>
    </w:p>
    <w:tbl>
      <w:tblPr>
        <w:tblW w:w="56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
        <w:gridCol w:w="4806"/>
      </w:tblGrid>
      <w:tr w:rsidR="000D6CD6" w:rsidRPr="009C5A97" w14:paraId="4951DDF0" w14:textId="77777777" w:rsidTr="00ED4CCE">
        <w:trPr>
          <w:trHeight w:val="319"/>
        </w:trPr>
        <w:tc>
          <w:tcPr>
            <w:tcW w:w="882" w:type="dxa"/>
            <w:tcBorders>
              <w:top w:val="nil"/>
              <w:left w:val="nil"/>
              <w:bottom w:val="nil"/>
              <w:right w:val="nil"/>
            </w:tcBorders>
            <w:shd w:val="clear" w:color="auto" w:fill="auto"/>
            <w:vAlign w:val="center"/>
            <w:hideMark/>
          </w:tcPr>
          <w:p w14:paraId="26D578CD" w14:textId="77777777" w:rsidR="000D6CD6" w:rsidRPr="009C5A97" w:rsidRDefault="000D6CD6" w:rsidP="00CB3758">
            <w:pPr>
              <w:spacing w:after="0" w:line="276" w:lineRule="auto"/>
              <w:jc w:val="both"/>
              <w:textAlignment w:val="baseline"/>
              <w:rPr>
                <w:rFonts w:ascii="Verdana" w:eastAsia="Times New Roman" w:hAnsi="Verdana" w:cs="Segoe UI"/>
                <w:sz w:val="18"/>
                <w:szCs w:val="18"/>
                <w:lang w:eastAsia="es-CO"/>
              </w:rPr>
            </w:pPr>
            <w:r w:rsidRPr="009C5A97">
              <w:rPr>
                <w:rFonts w:ascii="Verdana" w:eastAsia="Times New Roman" w:hAnsi="Verdana" w:cs="Arial"/>
                <w:sz w:val="16"/>
                <w:szCs w:val="16"/>
                <w:lang w:eastAsia="es-CO"/>
              </w:rPr>
              <w:t>Elaboró: </w:t>
            </w:r>
            <w:r w:rsidRPr="009C5A97">
              <w:rPr>
                <w:rFonts w:ascii="Verdana" w:eastAsia="Times New Roman" w:hAnsi="Verdana" w:cs="Century Gothic"/>
                <w:sz w:val="16"/>
                <w:szCs w:val="16"/>
                <w:lang w:eastAsia="es-CO"/>
              </w:rPr>
              <w:t> </w:t>
            </w:r>
          </w:p>
        </w:tc>
        <w:tc>
          <w:tcPr>
            <w:tcW w:w="4806" w:type="dxa"/>
            <w:tcBorders>
              <w:top w:val="nil"/>
              <w:left w:val="nil"/>
              <w:bottom w:val="dotted" w:sz="6" w:space="0" w:color="7F7F7F" w:themeColor="text1" w:themeTint="80"/>
              <w:right w:val="nil"/>
            </w:tcBorders>
            <w:shd w:val="clear" w:color="auto" w:fill="auto"/>
            <w:vAlign w:val="center"/>
            <w:hideMark/>
          </w:tcPr>
          <w:p w14:paraId="66880A9D" w14:textId="36CFF5EF" w:rsidR="000D6CD6" w:rsidRPr="009C5A97" w:rsidRDefault="00F6134B" w:rsidP="00CB3758">
            <w:pPr>
              <w:spacing w:after="0" w:line="276" w:lineRule="auto"/>
              <w:jc w:val="both"/>
              <w:rPr>
                <w:rFonts w:ascii="Verdana" w:eastAsia="Calibri" w:hAnsi="Verdana" w:cs="Arial"/>
                <w:sz w:val="16"/>
                <w:szCs w:val="16"/>
              </w:rPr>
            </w:pPr>
            <w:r>
              <w:rPr>
                <w:rFonts w:ascii="Verdana" w:eastAsia="Calibri" w:hAnsi="Verdana" w:cs="Arial"/>
                <w:sz w:val="16"/>
                <w:szCs w:val="16"/>
              </w:rPr>
              <w:t xml:space="preserve">Diana </w:t>
            </w:r>
            <w:r w:rsidR="00E36A6C">
              <w:rPr>
                <w:rFonts w:ascii="Verdana" w:eastAsia="Calibri" w:hAnsi="Verdana" w:cs="Arial"/>
                <w:sz w:val="16"/>
                <w:szCs w:val="16"/>
              </w:rPr>
              <w:t xml:space="preserve">Carolina Blanco Rodriguez </w:t>
            </w:r>
          </w:p>
          <w:p w14:paraId="0C0C2771" w14:textId="6AD17447" w:rsidR="000D6CD6" w:rsidRPr="009C5A97" w:rsidRDefault="00E36A6C" w:rsidP="00CB3758">
            <w:pPr>
              <w:spacing w:after="0" w:line="276" w:lineRule="auto"/>
              <w:jc w:val="both"/>
              <w:rPr>
                <w:rFonts w:ascii="Verdana" w:eastAsia="Calibri" w:hAnsi="Verdana" w:cs="Arial"/>
                <w:sz w:val="16"/>
                <w:szCs w:val="16"/>
              </w:rPr>
            </w:pPr>
            <w:r>
              <w:rPr>
                <w:rFonts w:ascii="Verdana" w:eastAsia="Calibri" w:hAnsi="Verdana" w:cs="Arial"/>
                <w:sz w:val="16"/>
                <w:szCs w:val="16"/>
              </w:rPr>
              <w:t>Contratista</w:t>
            </w:r>
            <w:r w:rsidR="000D6CD6" w:rsidRPr="009C5A97">
              <w:rPr>
                <w:rFonts w:ascii="Verdana" w:eastAsia="Calibri" w:hAnsi="Verdana" w:cs="Arial"/>
                <w:sz w:val="16"/>
                <w:szCs w:val="16"/>
              </w:rPr>
              <w:t xml:space="preserve"> de la Subdirección de Gestión Contractual</w:t>
            </w:r>
          </w:p>
        </w:tc>
      </w:tr>
      <w:tr w:rsidR="000D6CD6" w:rsidRPr="009C5A97" w14:paraId="2DC6A8B9" w14:textId="77777777" w:rsidTr="00ED4CCE">
        <w:trPr>
          <w:trHeight w:val="319"/>
        </w:trPr>
        <w:tc>
          <w:tcPr>
            <w:tcW w:w="882" w:type="dxa"/>
            <w:tcBorders>
              <w:top w:val="nil"/>
              <w:left w:val="nil"/>
              <w:bottom w:val="nil"/>
              <w:right w:val="nil"/>
            </w:tcBorders>
            <w:shd w:val="clear" w:color="auto" w:fill="auto"/>
            <w:vAlign w:val="center"/>
            <w:hideMark/>
          </w:tcPr>
          <w:p w14:paraId="64BC0964" w14:textId="77777777" w:rsidR="000D6CD6" w:rsidRPr="009C5A97" w:rsidRDefault="000D6CD6" w:rsidP="00CB3758">
            <w:pPr>
              <w:spacing w:after="0" w:line="276" w:lineRule="auto"/>
              <w:jc w:val="both"/>
              <w:textAlignment w:val="baseline"/>
              <w:rPr>
                <w:rFonts w:ascii="Verdana" w:eastAsia="Times New Roman" w:hAnsi="Verdana" w:cs="Segoe UI"/>
                <w:sz w:val="18"/>
                <w:szCs w:val="18"/>
                <w:lang w:eastAsia="es-CO"/>
              </w:rPr>
            </w:pPr>
            <w:r w:rsidRPr="009C5A97">
              <w:rPr>
                <w:rFonts w:ascii="Verdana" w:eastAsia="Times New Roman" w:hAnsi="Verdana" w:cs="Arial"/>
                <w:sz w:val="16"/>
                <w:szCs w:val="16"/>
                <w:lang w:eastAsia="es-CO"/>
              </w:rPr>
              <w:t>Revisó: </w:t>
            </w:r>
            <w:r w:rsidRPr="009C5A97">
              <w:rPr>
                <w:rFonts w:ascii="Verdana" w:eastAsia="Times New Roman" w:hAnsi="Verdana" w:cs="Century Gothic"/>
                <w:sz w:val="16"/>
                <w:szCs w:val="16"/>
                <w:lang w:eastAsia="es-CO"/>
              </w:rPr>
              <w:t> </w:t>
            </w:r>
          </w:p>
        </w:tc>
        <w:tc>
          <w:tcPr>
            <w:tcW w:w="4806"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1CC12CED" w14:textId="24383556" w:rsidR="000D6CD6" w:rsidRPr="009C5A97" w:rsidRDefault="00E36A6C" w:rsidP="00CB3758">
            <w:pPr>
              <w:spacing w:after="0" w:line="276" w:lineRule="auto"/>
              <w:jc w:val="both"/>
              <w:rPr>
                <w:rFonts w:ascii="Verdana" w:eastAsia="Calibri" w:hAnsi="Verdana" w:cs="Arial"/>
                <w:sz w:val="16"/>
                <w:szCs w:val="16"/>
              </w:rPr>
            </w:pPr>
            <w:r>
              <w:rPr>
                <w:rFonts w:ascii="Verdana" w:eastAsia="Calibri" w:hAnsi="Verdana" w:cs="Arial"/>
                <w:sz w:val="16"/>
                <w:szCs w:val="16"/>
              </w:rPr>
              <w:t xml:space="preserve">Adriana López </w:t>
            </w:r>
          </w:p>
          <w:p w14:paraId="39E553A5" w14:textId="77777777" w:rsidR="000D6CD6" w:rsidRPr="009C5A97" w:rsidRDefault="000D6CD6" w:rsidP="00CB3758">
            <w:pPr>
              <w:spacing w:after="0" w:line="276" w:lineRule="auto"/>
              <w:jc w:val="both"/>
              <w:rPr>
                <w:rFonts w:ascii="Verdana" w:eastAsia="Calibri" w:hAnsi="Verdana" w:cs="Arial"/>
                <w:sz w:val="16"/>
                <w:szCs w:val="16"/>
              </w:rPr>
            </w:pPr>
            <w:r>
              <w:rPr>
                <w:rFonts w:ascii="Verdana" w:eastAsia="Calibri" w:hAnsi="Verdana" w:cs="Arial"/>
                <w:sz w:val="16"/>
                <w:szCs w:val="16"/>
              </w:rPr>
              <w:t>Contratista</w:t>
            </w:r>
            <w:r w:rsidRPr="009C5A97">
              <w:rPr>
                <w:rFonts w:ascii="Verdana" w:eastAsia="Calibri" w:hAnsi="Verdana" w:cs="Arial"/>
                <w:sz w:val="16"/>
                <w:szCs w:val="16"/>
              </w:rPr>
              <w:t xml:space="preserve"> de la Subdirección de Gestión Contractual</w:t>
            </w:r>
          </w:p>
        </w:tc>
      </w:tr>
      <w:tr w:rsidR="000D6CD6" w:rsidRPr="009C5A97" w14:paraId="344E8421" w14:textId="77777777" w:rsidTr="00ED4CCE">
        <w:trPr>
          <w:trHeight w:val="304"/>
        </w:trPr>
        <w:tc>
          <w:tcPr>
            <w:tcW w:w="882" w:type="dxa"/>
            <w:tcBorders>
              <w:top w:val="nil"/>
              <w:left w:val="nil"/>
              <w:bottom w:val="nil"/>
              <w:right w:val="nil"/>
            </w:tcBorders>
            <w:shd w:val="clear" w:color="auto" w:fill="auto"/>
            <w:vAlign w:val="center"/>
            <w:hideMark/>
          </w:tcPr>
          <w:p w14:paraId="39439B7F" w14:textId="77777777" w:rsidR="000D6CD6" w:rsidRPr="009C5A97" w:rsidRDefault="000D6CD6" w:rsidP="00CB3758">
            <w:pPr>
              <w:spacing w:after="0" w:line="276" w:lineRule="auto"/>
              <w:jc w:val="both"/>
              <w:textAlignment w:val="baseline"/>
              <w:rPr>
                <w:rFonts w:ascii="Verdana" w:eastAsia="Times New Roman" w:hAnsi="Verdana" w:cs="Segoe UI"/>
                <w:sz w:val="18"/>
                <w:szCs w:val="18"/>
                <w:lang w:eastAsia="es-CO"/>
              </w:rPr>
            </w:pPr>
            <w:r w:rsidRPr="009C5A97">
              <w:rPr>
                <w:rFonts w:ascii="Verdana" w:eastAsia="Times New Roman" w:hAnsi="Verdana" w:cs="Arial"/>
                <w:sz w:val="16"/>
                <w:szCs w:val="16"/>
                <w:lang w:eastAsia="es-CO"/>
              </w:rPr>
              <w:t>Aprobó: </w:t>
            </w:r>
            <w:r w:rsidRPr="009C5A97">
              <w:rPr>
                <w:rFonts w:ascii="Verdana" w:eastAsia="Times New Roman" w:hAnsi="Verdana" w:cs="Century Gothic"/>
                <w:sz w:val="16"/>
                <w:szCs w:val="16"/>
                <w:lang w:eastAsia="es-CO"/>
              </w:rPr>
              <w:t> </w:t>
            </w:r>
          </w:p>
        </w:tc>
        <w:tc>
          <w:tcPr>
            <w:tcW w:w="4806"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71B12C41" w14:textId="77777777" w:rsidR="000D6CD6" w:rsidRPr="009C5A97" w:rsidRDefault="000D6CD6" w:rsidP="00CB3758">
            <w:pPr>
              <w:spacing w:after="0" w:line="276" w:lineRule="auto"/>
              <w:jc w:val="both"/>
              <w:textAlignment w:val="baseline"/>
              <w:rPr>
                <w:rFonts w:ascii="Verdana" w:eastAsia="Calibri" w:hAnsi="Verdana" w:cs="Arial"/>
                <w:sz w:val="16"/>
                <w:szCs w:val="16"/>
              </w:rPr>
            </w:pPr>
            <w:r w:rsidRPr="009C5A97">
              <w:rPr>
                <w:rFonts w:ascii="Verdana" w:eastAsia="Calibri" w:hAnsi="Verdana" w:cs="Arial"/>
                <w:sz w:val="16"/>
                <w:szCs w:val="16"/>
              </w:rPr>
              <w:t>Carolina Quintero Gacharná</w:t>
            </w:r>
          </w:p>
          <w:p w14:paraId="34FBA0A4" w14:textId="77777777" w:rsidR="000D6CD6" w:rsidRPr="009C5A97" w:rsidRDefault="000D6CD6" w:rsidP="00CB3758">
            <w:pPr>
              <w:spacing w:after="0" w:line="276" w:lineRule="auto"/>
              <w:jc w:val="both"/>
              <w:textAlignment w:val="baseline"/>
              <w:rPr>
                <w:rFonts w:ascii="Verdana" w:eastAsia="Calibri" w:hAnsi="Verdana" w:cs="Arial"/>
                <w:sz w:val="16"/>
                <w:szCs w:val="16"/>
              </w:rPr>
            </w:pPr>
            <w:r w:rsidRPr="009C5A97">
              <w:rPr>
                <w:rFonts w:ascii="Verdana" w:eastAsia="Calibri" w:hAnsi="Verdana" w:cs="Arial"/>
                <w:sz w:val="16"/>
                <w:szCs w:val="16"/>
              </w:rPr>
              <w:t>Subdirectora de Gestión Contractual ANCP-CCE </w:t>
            </w:r>
          </w:p>
        </w:tc>
      </w:tr>
    </w:tbl>
    <w:p w14:paraId="432FA394" w14:textId="77777777" w:rsidR="000D6CD6" w:rsidRPr="009C5A97" w:rsidRDefault="000D6CD6" w:rsidP="00CB3758">
      <w:pPr>
        <w:spacing w:after="0" w:line="276" w:lineRule="auto"/>
        <w:rPr>
          <w:rFonts w:ascii="Verdana" w:eastAsia="Times New Roman" w:hAnsi="Verdana" w:cs="Arial"/>
          <w:sz w:val="24"/>
          <w:szCs w:val="24"/>
          <w:lang w:eastAsia="es-ES"/>
        </w:rPr>
      </w:pPr>
    </w:p>
    <w:p w14:paraId="15A34A72" w14:textId="77777777" w:rsidR="000D6CD6" w:rsidRPr="00E63C0B" w:rsidRDefault="000D6CD6" w:rsidP="00CB3758">
      <w:pPr>
        <w:spacing w:line="276" w:lineRule="auto"/>
        <w:rPr>
          <w:rFonts w:ascii="Verdana" w:hAnsi="Verdana"/>
        </w:rPr>
      </w:pPr>
    </w:p>
    <w:p w14:paraId="346BBD8C" w14:textId="77777777" w:rsidR="000D6CD6" w:rsidRPr="0044528D" w:rsidRDefault="000D6CD6" w:rsidP="00CB3758">
      <w:pPr>
        <w:spacing w:after="0" w:line="276" w:lineRule="auto"/>
        <w:rPr>
          <w:rFonts w:ascii="Verdana" w:hAnsi="Verdana"/>
        </w:rPr>
      </w:pPr>
    </w:p>
    <w:p w14:paraId="24537E4D" w14:textId="77777777" w:rsidR="000D6CD6" w:rsidRPr="0044528D" w:rsidRDefault="000D6CD6" w:rsidP="00CB3758">
      <w:pPr>
        <w:spacing w:after="0" w:line="276" w:lineRule="auto"/>
        <w:rPr>
          <w:rFonts w:ascii="Verdana" w:hAnsi="Verdana"/>
        </w:rPr>
      </w:pPr>
    </w:p>
    <w:p w14:paraId="0F293BF4" w14:textId="7BBFAB11" w:rsidR="00127233" w:rsidRPr="00E63C0B" w:rsidRDefault="00127233" w:rsidP="00CB3758">
      <w:pPr>
        <w:spacing w:line="276" w:lineRule="auto"/>
        <w:rPr>
          <w:rFonts w:ascii="Verdana" w:hAnsi="Verdana"/>
        </w:rPr>
      </w:pPr>
    </w:p>
    <w:sectPr w:rsidR="00127233" w:rsidRPr="00E63C0B" w:rsidSect="008A17A5">
      <w:headerReference w:type="default" r:id="rId16"/>
      <w:footerReference w:type="default" r:id="rId17"/>
      <w:pgSz w:w="12240" w:h="15840" w:code="1"/>
      <w:pgMar w:top="1417" w:right="1608"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02DCA" w14:textId="77777777" w:rsidR="00D91220" w:rsidRDefault="00D91220" w:rsidP="004A1847">
      <w:pPr>
        <w:spacing w:after="0" w:line="240" w:lineRule="auto"/>
      </w:pPr>
      <w:r>
        <w:separator/>
      </w:r>
    </w:p>
  </w:endnote>
  <w:endnote w:type="continuationSeparator" w:id="0">
    <w:p w14:paraId="31E459E2" w14:textId="77777777" w:rsidR="00D91220" w:rsidRDefault="00D91220" w:rsidP="004A1847">
      <w:pPr>
        <w:spacing w:after="0" w:line="240" w:lineRule="auto"/>
      </w:pPr>
      <w:r>
        <w:continuationSeparator/>
      </w:r>
    </w:p>
  </w:endnote>
  <w:endnote w:type="continuationNotice" w:id="1">
    <w:p w14:paraId="142141EA" w14:textId="77777777" w:rsidR="00D91220" w:rsidRDefault="00D912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default"/>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1D30A" w14:textId="77777777" w:rsidR="00D91220" w:rsidRDefault="00D91220" w:rsidP="004A1847">
      <w:pPr>
        <w:spacing w:after="0" w:line="240" w:lineRule="auto"/>
      </w:pPr>
      <w:r>
        <w:separator/>
      </w:r>
    </w:p>
  </w:footnote>
  <w:footnote w:type="continuationSeparator" w:id="0">
    <w:p w14:paraId="6A7B4A97" w14:textId="77777777" w:rsidR="00D91220" w:rsidRDefault="00D91220" w:rsidP="004A1847">
      <w:pPr>
        <w:spacing w:after="0" w:line="240" w:lineRule="auto"/>
      </w:pPr>
      <w:r>
        <w:continuationSeparator/>
      </w:r>
    </w:p>
  </w:footnote>
  <w:footnote w:type="continuationNotice" w:id="1">
    <w:p w14:paraId="15479FCA" w14:textId="77777777" w:rsidR="00D91220" w:rsidRDefault="00D91220">
      <w:pPr>
        <w:spacing w:after="0" w:line="240" w:lineRule="auto"/>
      </w:pPr>
    </w:p>
  </w:footnote>
  <w:footnote w:id="2">
    <w:p w14:paraId="5EEE09B8" w14:textId="77777777" w:rsidR="000D6CD6" w:rsidRPr="0086673B" w:rsidRDefault="000D6CD6" w:rsidP="000D6CD6">
      <w:pPr>
        <w:pStyle w:val="Textonotapie"/>
        <w:ind w:firstLine="708"/>
        <w:rPr>
          <w:lang w:val="es-ES"/>
        </w:rPr>
      </w:pPr>
      <w:r>
        <w:rPr>
          <w:rStyle w:val="Refdenotaalpie"/>
        </w:rPr>
        <w:footnoteRef/>
      </w:r>
      <w:r>
        <w:t xml:space="preserve"> </w:t>
      </w:r>
      <w:r w:rsidRPr="005966AF">
        <w:rPr>
          <w:rFonts w:ascii="Verdana" w:hAnsi="Verdana" w:cs="Arial"/>
          <w:sz w:val="14"/>
          <w:szCs w:val="14"/>
        </w:rPr>
        <w:t>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footnote>
  <w:footnote w:id="3">
    <w:p w14:paraId="6CF7ADC9" w14:textId="77777777" w:rsidR="000D6CD6" w:rsidRPr="005966AF" w:rsidRDefault="000D6CD6" w:rsidP="000D6CD6">
      <w:pPr>
        <w:pStyle w:val="Textonotapie"/>
        <w:jc w:val="both"/>
        <w:rPr>
          <w:rFonts w:ascii="Verdana" w:hAnsi="Verdana" w:cs="Arial"/>
          <w:sz w:val="14"/>
          <w:szCs w:val="14"/>
        </w:rPr>
      </w:pPr>
      <w:r>
        <w:rPr>
          <w:rStyle w:val="Refdenotaalpie"/>
        </w:rPr>
        <w:footnoteRef/>
      </w:r>
      <w:r>
        <w:t xml:space="preserve"> </w:t>
      </w:r>
      <w:r w:rsidRPr="005966AF">
        <w:rPr>
          <w:rFonts w:ascii="Verdana" w:hAnsi="Verdana" w:cs="Arial"/>
          <w:sz w:val="14"/>
          <w:szCs w:val="14"/>
        </w:rPr>
        <w:t>Decreto 2096 de 2020 “Artículo 2.2.1.2.6.2.3 Criterios para selección abreviada de menor cuantía. […] Los artículos 2.2.1.2.6.1 .4. y 2.2.1.2.6.1.5. del presente Decreto aplican para la modalidad de selección abreviada de menor cuantía para la contratación obra pública de infraestructura de transporte”.</w:t>
      </w:r>
    </w:p>
    <w:p w14:paraId="74D2DEF8" w14:textId="77777777" w:rsidR="000D6CD6" w:rsidRPr="00FA05C3" w:rsidRDefault="000D6CD6" w:rsidP="000D6CD6">
      <w:pPr>
        <w:pStyle w:val="Textonotapie"/>
      </w:pPr>
    </w:p>
  </w:footnote>
  <w:footnote w:id="4">
    <w:p w14:paraId="58C0C01C" w14:textId="77777777" w:rsidR="000D6CD6" w:rsidRPr="00B7669B" w:rsidRDefault="000D6CD6" w:rsidP="000D6CD6">
      <w:pPr>
        <w:pStyle w:val="Textonotapie"/>
        <w:rPr>
          <w:lang w:val="es-ES"/>
        </w:rPr>
      </w:pPr>
      <w:r>
        <w:rPr>
          <w:rStyle w:val="Refdenotaalpie"/>
        </w:rPr>
        <w:footnoteRef/>
      </w:r>
      <w:r>
        <w:t xml:space="preserve"> </w:t>
      </w:r>
      <w:r w:rsidRPr="005966AF">
        <w:rPr>
          <w:rFonts w:ascii="Verdana" w:hAnsi="Verdana" w:cs="Arial"/>
          <w:sz w:val="14"/>
          <w:szCs w:val="14"/>
        </w:rPr>
        <w:t>Decreto 594 de 2020 “Artículo 2.2.1.2.6.3.4 Inalterabilidad de los Documentos Tipo. Las entidades estatales contratantes no podrán incluir o modificar dentro de los Documentos del Proceso, condiciones habilitantes y factores económicos de escogencia distintos a los señalados en los Documentos Tipo”.</w:t>
      </w:r>
    </w:p>
  </w:footnote>
  <w:footnote w:id="5">
    <w:p w14:paraId="7596E14A" w14:textId="77777777" w:rsidR="000D6CD6" w:rsidRPr="00983A2D" w:rsidRDefault="000D6CD6" w:rsidP="000D6CD6">
      <w:pPr>
        <w:pStyle w:val="Textonotapie"/>
        <w:rPr>
          <w:sz w:val="14"/>
          <w:szCs w:val="14"/>
          <w:lang w:val="es-CO"/>
        </w:rPr>
      </w:pPr>
      <w:r>
        <w:rPr>
          <w:rStyle w:val="Refdenotaalpie"/>
        </w:rPr>
        <w:footnoteRef/>
      </w:r>
      <w:r>
        <w:t xml:space="preserve"> </w:t>
      </w:r>
      <w:r w:rsidRPr="00983A2D">
        <w:rPr>
          <w:rFonts w:ascii="Verdana" w:hAnsi="Verdana" w:cs="Arial"/>
          <w:color w:val="000000"/>
          <w:sz w:val="14"/>
          <w:szCs w:val="14"/>
          <w:lang w:val="es-ES"/>
        </w:rPr>
        <w:t>Según García de Enterría, “Estos concepto jurídicos indeterminados, o que se contienen en lo que también se llaman las normas flexibles, son consustanciales a toda la técnica jurídica y no</w:t>
      </w:r>
      <w:r w:rsidRPr="00743AC5">
        <w:rPr>
          <w:rFonts w:ascii="Verdana" w:hAnsi="Verdana" w:cs="Arial"/>
          <w:color w:val="000000"/>
          <w:sz w:val="18"/>
          <w:szCs w:val="18"/>
          <w:lang w:val="es-ES"/>
        </w:rPr>
        <w:t xml:space="preserve"> </w:t>
      </w:r>
      <w:r w:rsidRPr="00983A2D">
        <w:rPr>
          <w:rFonts w:ascii="Verdana" w:hAnsi="Verdana" w:cs="Arial"/>
          <w:color w:val="000000"/>
          <w:sz w:val="14"/>
          <w:szCs w:val="14"/>
          <w:lang w:val="es-ES"/>
        </w:rPr>
        <w:t>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w:t>
      </w:r>
    </w:p>
  </w:footnote>
  <w:footnote w:id="6">
    <w:p w14:paraId="384DBC09" w14:textId="77777777" w:rsidR="000D6CD6" w:rsidRPr="00983A2D" w:rsidRDefault="000D6CD6" w:rsidP="000D6CD6">
      <w:pPr>
        <w:pStyle w:val="Textonotapie"/>
        <w:ind w:firstLine="709"/>
        <w:jc w:val="both"/>
        <w:rPr>
          <w:rFonts w:ascii="Verdana" w:hAnsi="Verdana" w:cs="Arial"/>
          <w:color w:val="000000"/>
          <w:sz w:val="14"/>
          <w:szCs w:val="14"/>
        </w:rPr>
      </w:pPr>
      <w:r>
        <w:rPr>
          <w:rStyle w:val="Refdenotaalpie"/>
        </w:rPr>
        <w:footnoteRef/>
      </w:r>
      <w:r>
        <w:t xml:space="preserve"> </w:t>
      </w:r>
      <w:r w:rsidRPr="00983A2D">
        <w:rPr>
          <w:rFonts w:ascii="Verdana" w:hAnsi="Verdana" w:cs="Arial"/>
          <w:color w:val="000000"/>
          <w:sz w:val="14"/>
          <w:szCs w:val="14"/>
        </w:rPr>
        <w:t xml:space="preserve">La redacción original del parágrafo primero del artículo 32 de la Ley 80 de 1993, incluía la expresión </w:t>
      </w:r>
      <w:r w:rsidRPr="00983A2D">
        <w:rPr>
          <w:rFonts w:ascii="Verdana" w:hAnsi="Verdana" w:cs="Arial"/>
          <w:i/>
          <w:iCs/>
          <w:color w:val="000000"/>
          <w:sz w:val="14"/>
          <w:szCs w:val="14"/>
        </w:rPr>
        <w:t>giro ordinario</w:t>
      </w:r>
      <w:r w:rsidRPr="00983A2D">
        <w:rPr>
          <w:rFonts w:ascii="Verdana" w:hAnsi="Verdana" w:cs="Arial"/>
          <w:color w:val="000000"/>
          <w:sz w:val="14"/>
          <w:szCs w:val="14"/>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983A2D">
        <w:rPr>
          <w:rFonts w:ascii="Verdana" w:hAnsi="Verdana" w:cs="Arial"/>
          <w:i/>
          <w:iCs/>
          <w:color w:val="000000"/>
          <w:sz w:val="14"/>
          <w:szCs w:val="14"/>
        </w:rPr>
        <w:t>al giro ordinario de las actividades propias de su objeto social,</w:t>
      </w:r>
      <w:r w:rsidRPr="00983A2D">
        <w:rPr>
          <w:rFonts w:ascii="Verdana" w:hAnsi="Verdana" w:cs="Arial"/>
          <w:color w:val="000000"/>
          <w:sz w:val="14"/>
          <w:szCs w:val="14"/>
        </w:rPr>
        <w:t xml:space="preserve"> no estarán sujetos a las disposiciones del presente estatuto y se regirán por las disposiciones legales y reglamentarias aplicables a dichas actividades” [Énfasis fuera de texto].</w:t>
      </w:r>
    </w:p>
    <w:p w14:paraId="19336B55" w14:textId="77777777" w:rsidR="000D6CD6" w:rsidRPr="00B36949" w:rsidRDefault="000D6CD6" w:rsidP="000D6CD6">
      <w:pPr>
        <w:pStyle w:val="Textonotapie"/>
      </w:pPr>
    </w:p>
  </w:footnote>
  <w:footnote w:id="7">
    <w:p w14:paraId="64A948FC" w14:textId="77777777" w:rsidR="000D6CD6" w:rsidRPr="00E63C0B" w:rsidRDefault="000D6CD6" w:rsidP="000D6CD6">
      <w:pPr>
        <w:pStyle w:val="Textonotapie"/>
        <w:ind w:firstLine="709"/>
        <w:jc w:val="both"/>
        <w:rPr>
          <w:rFonts w:ascii="Verdana" w:hAnsi="Verdana" w:cs="Arial"/>
          <w:color w:val="000000"/>
          <w:sz w:val="14"/>
          <w:szCs w:val="14"/>
          <w:lang w:val="pt-PT"/>
        </w:rPr>
      </w:pPr>
      <w:r>
        <w:rPr>
          <w:rStyle w:val="Refdenotaalpie"/>
        </w:rPr>
        <w:footnoteRef/>
      </w:r>
      <w:r>
        <w:t xml:space="preserve"> </w:t>
      </w:r>
      <w:r w:rsidRPr="00983A2D">
        <w:rPr>
          <w:rFonts w:ascii="Verdana" w:hAnsi="Verdana" w:cs="Arial"/>
          <w:color w:val="000000"/>
          <w:sz w:val="14"/>
          <w:szCs w:val="14"/>
        </w:rPr>
        <w:t xml:space="preserve">Consejo de Estado. Sección Tercera. Subsección B. Sentencia del 12 de octubre de 2011. </w:t>
      </w:r>
      <w:r w:rsidRPr="00E63C0B">
        <w:rPr>
          <w:rFonts w:ascii="Verdana" w:hAnsi="Verdana" w:cs="Arial"/>
          <w:color w:val="000000"/>
          <w:sz w:val="14"/>
          <w:szCs w:val="14"/>
          <w:lang w:val="pt-PT"/>
        </w:rPr>
        <w:t>Exp. No. 20070. C.P. Danilo Rojas Betancourt.</w:t>
      </w:r>
    </w:p>
    <w:p w14:paraId="4D61D2B9" w14:textId="77777777" w:rsidR="000D6CD6" w:rsidRPr="00E63C0B" w:rsidRDefault="000D6CD6" w:rsidP="000D6CD6">
      <w:pPr>
        <w:pStyle w:val="Textonotapie"/>
        <w:rPr>
          <w:lang w:val="pt-PT"/>
        </w:rPr>
      </w:pPr>
    </w:p>
  </w:footnote>
  <w:footnote w:id="8">
    <w:p w14:paraId="3CDDE19E" w14:textId="77777777" w:rsidR="000D6CD6" w:rsidRPr="00983A2D" w:rsidRDefault="000D6CD6" w:rsidP="000D6CD6">
      <w:pPr>
        <w:spacing w:line="240" w:lineRule="auto"/>
        <w:ind w:firstLine="709"/>
        <w:jc w:val="both"/>
        <w:rPr>
          <w:rFonts w:ascii="Verdana" w:hAnsi="Verdana" w:cs="Arial"/>
          <w:color w:val="000000"/>
          <w:sz w:val="14"/>
          <w:szCs w:val="14"/>
        </w:rPr>
      </w:pPr>
      <w:r>
        <w:rPr>
          <w:rStyle w:val="Refdenotaalpie"/>
        </w:rPr>
        <w:footnoteRef/>
      </w:r>
      <w:r w:rsidRPr="00E63C0B">
        <w:rPr>
          <w:lang w:val="pt-PT"/>
        </w:rPr>
        <w:t xml:space="preserve"> </w:t>
      </w:r>
      <w:r w:rsidRPr="00E63C0B">
        <w:rPr>
          <w:rFonts w:ascii="Verdana" w:hAnsi="Verdana" w:cs="Arial"/>
          <w:color w:val="000000"/>
          <w:sz w:val="14"/>
          <w:szCs w:val="14"/>
          <w:lang w:val="pt-PT"/>
        </w:rPr>
        <w:t xml:space="preserve">Consejo de Estado. </w:t>
      </w:r>
      <w:r w:rsidRPr="00983A2D">
        <w:rPr>
          <w:rFonts w:ascii="Verdana" w:hAnsi="Verdana" w:cs="Arial"/>
          <w:color w:val="000000"/>
          <w:sz w:val="14"/>
          <w:szCs w:val="14"/>
        </w:rPr>
        <w:t>Sección Tercera. Subsección A. Sentencia del 3 de marzo de 2021. Exp. No. 51373. C.P. José Roberto Sáchica Méndez.</w:t>
      </w:r>
    </w:p>
    <w:p w14:paraId="27253F25" w14:textId="77777777" w:rsidR="000D6CD6" w:rsidRPr="000942EA" w:rsidRDefault="000D6CD6" w:rsidP="000D6CD6">
      <w:pPr>
        <w:pStyle w:val="Textonotapie"/>
        <w:rPr>
          <w:lang w:val="es-CO"/>
        </w:rPr>
      </w:pPr>
    </w:p>
  </w:footnote>
  <w:footnote w:id="9">
    <w:p w14:paraId="5AF432A0" w14:textId="77777777" w:rsidR="000D6CD6" w:rsidRPr="007B7F0B" w:rsidRDefault="000D6CD6" w:rsidP="000D6CD6">
      <w:pPr>
        <w:pStyle w:val="Textonotapie"/>
        <w:ind w:firstLine="709"/>
        <w:jc w:val="both"/>
        <w:rPr>
          <w:rFonts w:ascii="Verdana" w:hAnsi="Verdana" w:cs="Arial"/>
          <w:color w:val="000000"/>
          <w:sz w:val="14"/>
          <w:szCs w:val="14"/>
        </w:rPr>
      </w:pPr>
      <w:r>
        <w:rPr>
          <w:rStyle w:val="Refdenotaalpie"/>
        </w:rPr>
        <w:footnoteRef/>
      </w:r>
      <w:r>
        <w:t xml:space="preserve"> </w:t>
      </w:r>
      <w:r w:rsidRPr="007B7F0B">
        <w:rPr>
          <w:rFonts w:ascii="Verdana" w:hAnsi="Verdana" w:cs="Arial"/>
          <w:color w:val="000000"/>
          <w:sz w:val="14"/>
          <w:szCs w:val="14"/>
        </w:rPr>
        <w:t>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65470934" w14:textId="77777777" w:rsidR="000D6CD6" w:rsidRPr="007B7F0B" w:rsidRDefault="000D6CD6" w:rsidP="000D6CD6">
      <w:pPr>
        <w:pStyle w:val="Textonotapie"/>
        <w:ind w:firstLine="709"/>
        <w:jc w:val="both"/>
        <w:rPr>
          <w:rFonts w:ascii="Verdana" w:hAnsi="Verdana" w:cs="Arial"/>
          <w:color w:val="000000"/>
          <w:sz w:val="14"/>
          <w:szCs w:val="14"/>
        </w:rPr>
      </w:pPr>
      <w:r w:rsidRPr="007B7F0B">
        <w:rPr>
          <w:rFonts w:ascii="Verdana" w:hAnsi="Verdana" w:cs="Arial"/>
          <w:color w:val="000000"/>
          <w:sz w:val="14"/>
          <w:szCs w:val="14"/>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p w14:paraId="7138EB00" w14:textId="77777777" w:rsidR="000D6CD6" w:rsidRPr="003B5BA9" w:rsidRDefault="000D6CD6" w:rsidP="000D6CD6">
      <w:pPr>
        <w:pStyle w:val="Textonotapie"/>
        <w:rPr>
          <w:lang w:val="es-CO"/>
        </w:rPr>
      </w:pPr>
    </w:p>
  </w:footnote>
  <w:footnote w:id="10">
    <w:p w14:paraId="2F9C5A69" w14:textId="77777777" w:rsidR="000D6CD6" w:rsidRPr="009B1DE5" w:rsidRDefault="000D6CD6" w:rsidP="000D6CD6">
      <w:pPr>
        <w:pStyle w:val="Textonotapie"/>
        <w:rPr>
          <w:lang w:val="es-CO"/>
        </w:rPr>
      </w:pPr>
      <w:r>
        <w:rPr>
          <w:rStyle w:val="Refdenotaalpie"/>
        </w:rPr>
        <w:footnoteRef/>
      </w:r>
      <w:r>
        <w:t xml:space="preserve"> </w:t>
      </w:r>
      <w:r w:rsidRPr="008B4E12">
        <w:rPr>
          <w:rFonts w:ascii="Verdana" w:hAnsi="Verdana" w:cs="Arial"/>
          <w:color w:val="000000"/>
          <w:sz w:val="14"/>
          <w:szCs w:val="14"/>
        </w:rPr>
        <w:t>Superintendencia de Sociedades. Oficio 220-014111 del 18 de febrero de 2015. Consultado el 4 de junio de 2024 en:</w:t>
      </w:r>
      <w:r w:rsidRPr="00743AC5">
        <w:rPr>
          <w:rFonts w:ascii="Verdana" w:hAnsi="Verdana" w:cs="Arial"/>
          <w:color w:val="000000"/>
          <w:sz w:val="18"/>
          <w:szCs w:val="18"/>
        </w:rPr>
        <w:t xml:space="preserve"> </w:t>
      </w:r>
      <w:hyperlink r:id="rId1" w:history="1">
        <w:r w:rsidRPr="00743AC5">
          <w:rPr>
            <w:rStyle w:val="Hipervnculo"/>
            <w:rFonts w:ascii="Verdana" w:hAnsi="Verdana" w:cs="Arial"/>
            <w:sz w:val="18"/>
            <w:szCs w:val="18"/>
          </w:rPr>
          <w:t>https://www.google.com/url?sa=t&amp;source=web&amp;rct=j&amp;opi=89978449&amp;url=https://www.supersociedades.gov.co/documents/107391/159040/OFICIO%2B220-014111%2BDE%2B2015.pdf/eb5e710f-d8b7-df76-125b-960ff46a9304%3Ft%3D1670899573061%26download%3Dtrue&amp;ved=2ahUKEwj9kJParMKGAxXuTTABHaENC7wQFnoECBIQAQ&amp;usg=AOvVaw3ndDRzYhuwXRRSLBYPpr25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93899573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98518109" name="Imagen 998518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1B13"/>
      </v:shape>
    </w:pict>
  </w:numPicBullet>
  <w:abstractNum w:abstractNumId="0" w15:restartNumberingAfterBreak="0">
    <w:nsid w:val="01485A45"/>
    <w:multiLevelType w:val="multilevel"/>
    <w:tmpl w:val="94BC895E"/>
    <w:lvl w:ilvl="0">
      <w:start w:val="1"/>
      <w:numFmt w:val="decimal"/>
      <w:lvlText w:val="%1."/>
      <w:lvlJc w:val="left"/>
      <w:pPr>
        <w:ind w:left="1070" w:hanging="360"/>
      </w:pPr>
      <w:rPr>
        <w:rFonts w:hint="default"/>
      </w:rPr>
    </w:lvl>
    <w:lvl w:ilvl="1">
      <w:start w:val="1"/>
      <w:numFmt w:val="decimal"/>
      <w:isLgl/>
      <w:lvlText w:val="%1.%2"/>
      <w:lvlJc w:val="left"/>
      <w:pPr>
        <w:ind w:left="179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590" w:hanging="144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390" w:hanging="2160"/>
      </w:pPr>
      <w:rPr>
        <w:rFonts w:hint="default"/>
      </w:rPr>
    </w:lvl>
    <w:lvl w:ilvl="8">
      <w:start w:val="1"/>
      <w:numFmt w:val="decimal"/>
      <w:isLgl/>
      <w:lvlText w:val="%1.%2.%3.%4.%5.%6.%7.%8.%9"/>
      <w:lvlJc w:val="left"/>
      <w:pPr>
        <w:ind w:left="5750" w:hanging="2160"/>
      </w:pPr>
      <w:rPr>
        <w:rFonts w:hint="default"/>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7DB2567"/>
    <w:multiLevelType w:val="hybridMultilevel"/>
    <w:tmpl w:val="424AA6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3"/>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5"/>
  </w:num>
  <w:num w:numId="7" w16cid:durableId="1946422806">
    <w:abstractNumId w:val="6"/>
  </w:num>
  <w:num w:numId="8" w16cid:durableId="152644682">
    <w:abstractNumId w:val="14"/>
  </w:num>
  <w:num w:numId="9" w16cid:durableId="1317221377">
    <w:abstractNumId w:val="8"/>
  </w:num>
  <w:num w:numId="10" w16cid:durableId="1471245386">
    <w:abstractNumId w:val="13"/>
  </w:num>
  <w:num w:numId="11" w16cid:durableId="289172385">
    <w:abstractNumId w:val="9"/>
  </w:num>
  <w:num w:numId="12" w16cid:durableId="1470781324">
    <w:abstractNumId w:val="2"/>
  </w:num>
  <w:num w:numId="13" w16cid:durableId="1512908409">
    <w:abstractNumId w:val="4"/>
  </w:num>
  <w:num w:numId="14" w16cid:durableId="895897244">
    <w:abstractNumId w:val="16"/>
  </w:num>
  <w:num w:numId="15" w16cid:durableId="390349800">
    <w:abstractNumId w:val="12"/>
  </w:num>
  <w:num w:numId="16" w16cid:durableId="341274352">
    <w:abstractNumId w:val="1"/>
  </w:num>
  <w:num w:numId="17" w16cid:durableId="679089576">
    <w:abstractNumId w:val="10"/>
  </w:num>
  <w:num w:numId="18" w16cid:durableId="631398977">
    <w:abstractNumId w:val="0"/>
  </w:num>
  <w:num w:numId="19" w16cid:durableId="2664275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64C6"/>
    <w:rsid w:val="00061B2A"/>
    <w:rsid w:val="000672DB"/>
    <w:rsid w:val="00082362"/>
    <w:rsid w:val="000A683E"/>
    <w:rsid w:val="000B19B9"/>
    <w:rsid w:val="000D0334"/>
    <w:rsid w:val="000D6CD6"/>
    <w:rsid w:val="000F6486"/>
    <w:rsid w:val="00125105"/>
    <w:rsid w:val="00127233"/>
    <w:rsid w:val="001E4177"/>
    <w:rsid w:val="001F7DC6"/>
    <w:rsid w:val="002421BB"/>
    <w:rsid w:val="00255BCC"/>
    <w:rsid w:val="0025796E"/>
    <w:rsid w:val="002707A2"/>
    <w:rsid w:val="002951A0"/>
    <w:rsid w:val="002962BC"/>
    <w:rsid w:val="002A093D"/>
    <w:rsid w:val="002A0DD0"/>
    <w:rsid w:val="002A49AC"/>
    <w:rsid w:val="002A64FD"/>
    <w:rsid w:val="002C7A84"/>
    <w:rsid w:val="002E4FD9"/>
    <w:rsid w:val="00322A85"/>
    <w:rsid w:val="00324168"/>
    <w:rsid w:val="003448F4"/>
    <w:rsid w:val="003670C9"/>
    <w:rsid w:val="00374F5E"/>
    <w:rsid w:val="00377E3E"/>
    <w:rsid w:val="003A26D1"/>
    <w:rsid w:val="003A779E"/>
    <w:rsid w:val="003D0F4D"/>
    <w:rsid w:val="003D5B0D"/>
    <w:rsid w:val="003E0499"/>
    <w:rsid w:val="003F3941"/>
    <w:rsid w:val="00406575"/>
    <w:rsid w:val="0042722E"/>
    <w:rsid w:val="0044528D"/>
    <w:rsid w:val="004611CA"/>
    <w:rsid w:val="004A1847"/>
    <w:rsid w:val="004A305D"/>
    <w:rsid w:val="004B5789"/>
    <w:rsid w:val="004D03C7"/>
    <w:rsid w:val="004F21C4"/>
    <w:rsid w:val="004F685F"/>
    <w:rsid w:val="005029E1"/>
    <w:rsid w:val="005566E8"/>
    <w:rsid w:val="00574867"/>
    <w:rsid w:val="00591460"/>
    <w:rsid w:val="00592628"/>
    <w:rsid w:val="00595B75"/>
    <w:rsid w:val="005C3777"/>
    <w:rsid w:val="005C4F05"/>
    <w:rsid w:val="005C5CDC"/>
    <w:rsid w:val="005D476C"/>
    <w:rsid w:val="00610812"/>
    <w:rsid w:val="006219F8"/>
    <w:rsid w:val="00634D66"/>
    <w:rsid w:val="00650FF7"/>
    <w:rsid w:val="00665D70"/>
    <w:rsid w:val="00671DAC"/>
    <w:rsid w:val="006827D6"/>
    <w:rsid w:val="006900D9"/>
    <w:rsid w:val="006D12F8"/>
    <w:rsid w:val="006F03CE"/>
    <w:rsid w:val="00706C16"/>
    <w:rsid w:val="00756841"/>
    <w:rsid w:val="00760FA9"/>
    <w:rsid w:val="007649AB"/>
    <w:rsid w:val="00766271"/>
    <w:rsid w:val="00771D0C"/>
    <w:rsid w:val="00781CA2"/>
    <w:rsid w:val="007833AC"/>
    <w:rsid w:val="007B268C"/>
    <w:rsid w:val="007B7171"/>
    <w:rsid w:val="007C0C0F"/>
    <w:rsid w:val="007C3DC2"/>
    <w:rsid w:val="007E5497"/>
    <w:rsid w:val="007F5CA5"/>
    <w:rsid w:val="00806F5F"/>
    <w:rsid w:val="00820278"/>
    <w:rsid w:val="0082157E"/>
    <w:rsid w:val="00825584"/>
    <w:rsid w:val="00845F99"/>
    <w:rsid w:val="00873E5D"/>
    <w:rsid w:val="008843B6"/>
    <w:rsid w:val="00891928"/>
    <w:rsid w:val="008A17A5"/>
    <w:rsid w:val="008A3F52"/>
    <w:rsid w:val="008A446D"/>
    <w:rsid w:val="008D180B"/>
    <w:rsid w:val="008E423C"/>
    <w:rsid w:val="008F0EA7"/>
    <w:rsid w:val="00923EEF"/>
    <w:rsid w:val="00924410"/>
    <w:rsid w:val="009356F9"/>
    <w:rsid w:val="009419F9"/>
    <w:rsid w:val="0095685E"/>
    <w:rsid w:val="00961B09"/>
    <w:rsid w:val="00965334"/>
    <w:rsid w:val="0097093E"/>
    <w:rsid w:val="009934F4"/>
    <w:rsid w:val="009A0DFA"/>
    <w:rsid w:val="009B2D26"/>
    <w:rsid w:val="009C71FA"/>
    <w:rsid w:val="009C72E7"/>
    <w:rsid w:val="009D2583"/>
    <w:rsid w:val="009D3058"/>
    <w:rsid w:val="009F3A13"/>
    <w:rsid w:val="00A061C9"/>
    <w:rsid w:val="00A122D3"/>
    <w:rsid w:val="00A17F13"/>
    <w:rsid w:val="00A20739"/>
    <w:rsid w:val="00A33C78"/>
    <w:rsid w:val="00AA0E3E"/>
    <w:rsid w:val="00AB0ADB"/>
    <w:rsid w:val="00B01B1A"/>
    <w:rsid w:val="00B2555E"/>
    <w:rsid w:val="00B72CD3"/>
    <w:rsid w:val="00B72FFF"/>
    <w:rsid w:val="00BC3D36"/>
    <w:rsid w:val="00BD7F72"/>
    <w:rsid w:val="00C04FB3"/>
    <w:rsid w:val="00C330EB"/>
    <w:rsid w:val="00C754BE"/>
    <w:rsid w:val="00C76B1C"/>
    <w:rsid w:val="00C82635"/>
    <w:rsid w:val="00CB3758"/>
    <w:rsid w:val="00CB6357"/>
    <w:rsid w:val="00CC1B26"/>
    <w:rsid w:val="00D423A2"/>
    <w:rsid w:val="00D520D8"/>
    <w:rsid w:val="00D63AC2"/>
    <w:rsid w:val="00D7383B"/>
    <w:rsid w:val="00D74BAA"/>
    <w:rsid w:val="00D91220"/>
    <w:rsid w:val="00DA231B"/>
    <w:rsid w:val="00DA23A0"/>
    <w:rsid w:val="00DC39FC"/>
    <w:rsid w:val="00DE21BA"/>
    <w:rsid w:val="00DF5254"/>
    <w:rsid w:val="00E16408"/>
    <w:rsid w:val="00E20894"/>
    <w:rsid w:val="00E245AB"/>
    <w:rsid w:val="00E2764C"/>
    <w:rsid w:val="00E27F2E"/>
    <w:rsid w:val="00E36A6C"/>
    <w:rsid w:val="00E413EA"/>
    <w:rsid w:val="00E50AFE"/>
    <w:rsid w:val="00E63C0B"/>
    <w:rsid w:val="00E72EC1"/>
    <w:rsid w:val="00E75C92"/>
    <w:rsid w:val="00E771DC"/>
    <w:rsid w:val="00E843A2"/>
    <w:rsid w:val="00E8772A"/>
    <w:rsid w:val="00E90F6B"/>
    <w:rsid w:val="00E92C27"/>
    <w:rsid w:val="00EA0E3D"/>
    <w:rsid w:val="00EC38A7"/>
    <w:rsid w:val="00EE1AA8"/>
    <w:rsid w:val="00F25647"/>
    <w:rsid w:val="00F31EDC"/>
    <w:rsid w:val="00F462B3"/>
    <w:rsid w:val="00F5664F"/>
    <w:rsid w:val="00F6134B"/>
    <w:rsid w:val="00F666C4"/>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Lista vistosa - Énfasis 1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D6CD6"/>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D6CD6"/>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cce_circulares/doc-20240823-wa002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mailto:controlinterno@emcorintoesp.com.co"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ala-de-prensa%2Fboletin-digital&amp;data=05%7C02%7Cmartha.romero%40colombiacompra.gov.co%7C315ed31c447042b59dd908dd07f079f5%7C7b09041e245149d08cb179d5e3d8c1be%7C0%7C0%7C638675451604900896%7CUnknown%7CTWFpbGZsb3d8eyJFbXB0eU1hcGkiOnRydWUsIlYiOiIwLjAuMDAwMCIsIlAiOiJXaW4zMiIsIkFOIjoiTWFpbCIsIldUIjoyfQ%3D%3D%7C0%7C%7C%7C&amp;sdata=4OynsIcDoUi0wn09UzrJ8oeVVfEtQqotlfuOBHDZvw8%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source=web&amp;rct=j&amp;opi=89978449&amp;url=https://www.supersociedades.gov.co/documents/107391/159040/OFICIO%2B220-014111%2BDE%2B2015.pdf/eb5e710f-d8b7-df76-125b-960ff46a9304%3Ft%3D1670899573061%26download%3Dtrue&amp;ved=2ahUKEwj9kJParMKGAxXuTTABHaENC7wQFnoECBIQAQ&amp;usg=AOvVaw3ndDRzYhuwXRRSLBYPpr2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EA15B601-BF44-4CDF-B0C8-761975D13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5229</Words>
  <Characters>28765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Carolina Blanco Rodriguez</cp:lastModifiedBy>
  <cp:revision>6</cp:revision>
  <cp:lastPrinted>2023-01-10T21:18:00Z</cp:lastPrinted>
  <dcterms:created xsi:type="dcterms:W3CDTF">2024-12-04T03:33:00Z</dcterms:created>
  <dcterms:modified xsi:type="dcterms:W3CDTF">2024-12-19T23:51:00Z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