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CA0CA" w14:textId="77777777" w:rsidR="005120DE" w:rsidRPr="00EC69D7" w:rsidRDefault="005120DE" w:rsidP="005120DE">
      <w:pPr>
        <w:spacing w:after="0"/>
        <w:rPr>
          <w:rFonts w:ascii="Verdana" w:hAnsi="Verdana"/>
        </w:rPr>
      </w:pPr>
      <w:bookmarkStart w:id="0" w:name="_Hlk143780582"/>
      <w:r w:rsidRPr="00EC69D7">
        <w:rPr>
          <w:rFonts w:ascii="Verdana" w:hAnsi="Verdana"/>
          <w:b/>
          <w:bCs/>
          <w:color w:val="000000"/>
          <w:sz w:val="20"/>
          <w:szCs w:val="20"/>
        </w:rPr>
        <w:t>DOCUMENTOS TIPO – Fundamento normativo</w:t>
      </w:r>
    </w:p>
    <w:p w14:paraId="1C4149CA" w14:textId="77777777" w:rsidR="005120DE" w:rsidRPr="00EC69D7" w:rsidRDefault="005120DE" w:rsidP="005120DE">
      <w:pPr>
        <w:pStyle w:val="NormalWeb"/>
        <w:jc w:val="both"/>
        <w:rPr>
          <w:rFonts w:ascii="Verdana" w:hAnsi="Verdana"/>
          <w:color w:val="000000"/>
          <w:sz w:val="20"/>
          <w:szCs w:val="20"/>
        </w:rPr>
      </w:pPr>
      <w:r w:rsidRPr="00EC69D7">
        <w:rPr>
          <w:rFonts w:ascii="Verdana" w:hAnsi="Verdana"/>
          <w:color w:val="000000"/>
          <w:sz w:val="20"/>
          <w:szCs w:val="20"/>
        </w:rPr>
        <w:t>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p>
    <w:p w14:paraId="0FB88D26" w14:textId="77777777" w:rsidR="005120DE" w:rsidRDefault="005120DE" w:rsidP="005120DE">
      <w:pPr>
        <w:pStyle w:val="NormalWeb"/>
        <w:jc w:val="both"/>
        <w:rPr>
          <w:rFonts w:ascii="Verdana" w:hAnsi="Verdana"/>
          <w:color w:val="000000"/>
          <w:sz w:val="20"/>
          <w:szCs w:val="20"/>
        </w:rPr>
      </w:pPr>
      <w:r w:rsidRPr="00EC69D7">
        <w:rPr>
          <w:rFonts w:ascii="Verdana" w:hAnsi="Verdana"/>
          <w:color w:val="000000"/>
          <w:sz w:val="20"/>
          <w:szCs w:val="20"/>
        </w:rPr>
        <w:t>Por otra parte,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14:paraId="360B9836" w14:textId="77777777" w:rsidR="005120DE" w:rsidRPr="0023605C" w:rsidRDefault="005120DE" w:rsidP="005120DE">
      <w:pPr>
        <w:spacing w:after="0" w:line="240" w:lineRule="auto"/>
        <w:jc w:val="both"/>
        <w:rPr>
          <w:rFonts w:ascii="Verdana" w:eastAsia="Times New Roman" w:hAnsi="Verdana" w:cs="Times New Roman"/>
          <w:b/>
          <w:bCs/>
          <w:color w:val="000000"/>
          <w:sz w:val="20"/>
          <w:szCs w:val="20"/>
          <w:lang w:eastAsia="es-CO"/>
        </w:rPr>
      </w:pPr>
      <w:r w:rsidRPr="0023605C">
        <w:rPr>
          <w:rFonts w:ascii="Verdana" w:eastAsia="Times New Roman" w:hAnsi="Verdana" w:cs="Times New Roman"/>
          <w:b/>
          <w:bCs/>
          <w:color w:val="000000"/>
          <w:sz w:val="20"/>
          <w:szCs w:val="20"/>
          <w:lang w:eastAsia="es-CO"/>
        </w:rPr>
        <w:t>INDICADORES FINANCIEROS Y ORGANIZACIONALES ― Decreto 1082 de 2015 ― Carácter enunciativo</w:t>
      </w:r>
    </w:p>
    <w:p w14:paraId="75DB2C4D" w14:textId="77777777" w:rsidR="005120DE" w:rsidRPr="0023605C" w:rsidRDefault="005120DE" w:rsidP="005120DE">
      <w:pPr>
        <w:spacing w:after="0" w:line="240" w:lineRule="auto"/>
        <w:rPr>
          <w:rFonts w:ascii="Verdana" w:eastAsia="Times New Roman" w:hAnsi="Verdana" w:cs="Times New Roman"/>
          <w:color w:val="000000"/>
          <w:sz w:val="20"/>
          <w:szCs w:val="20"/>
          <w:lang w:eastAsia="es-CO"/>
        </w:rPr>
      </w:pPr>
    </w:p>
    <w:p w14:paraId="743F7A42" w14:textId="77777777" w:rsidR="005120DE" w:rsidRPr="0023605C" w:rsidRDefault="005120DE" w:rsidP="005120DE">
      <w:pPr>
        <w:spacing w:after="0" w:line="240" w:lineRule="auto"/>
        <w:jc w:val="both"/>
        <w:rPr>
          <w:rFonts w:ascii="Verdana" w:eastAsia="Times New Roman" w:hAnsi="Verdana" w:cs="Times New Roman"/>
          <w:color w:val="000000"/>
          <w:sz w:val="20"/>
          <w:szCs w:val="20"/>
          <w:lang w:eastAsia="es-CO"/>
        </w:rPr>
      </w:pPr>
      <w:r w:rsidRPr="0023605C">
        <w:rPr>
          <w:rFonts w:ascii="Verdana" w:eastAsia="Times New Roman" w:hAnsi="Verdana" w:cs="Times New Roman"/>
          <w:color w:val="000000"/>
          <w:sz w:val="20"/>
          <w:szCs w:val="20"/>
          <w:lang w:eastAsia="es-CO"/>
        </w:rPr>
        <w:t xml:space="preserve">Es necesario indagar si los requisitos habilitantes establecidos en el artículo 5, numeral 1, de la Ley 1150 de 2007, tienen la característica de taxativos, esto es, si son los únicos requisitos habilitantes que puede exigirles una entidad a los proponentes. Esta pregunta tiene, al menos, dos respuestas posibles. Por un lado, que sí lo son, pues la norma no hace referencia a otros diferentes. Por el otro, que no lo son, pues esta no contiene una expresión como </w:t>
      </w:r>
      <w:r>
        <w:rPr>
          <w:rFonts w:ascii="Verdana" w:eastAsia="Times New Roman" w:hAnsi="Verdana" w:cs="Times New Roman"/>
          <w:color w:val="000000"/>
          <w:sz w:val="20"/>
          <w:szCs w:val="20"/>
          <w:lang w:eastAsia="es-CO"/>
        </w:rPr>
        <w:t>“</w:t>
      </w:r>
      <w:r w:rsidRPr="0023605C">
        <w:rPr>
          <w:rFonts w:ascii="Verdana" w:eastAsia="Times New Roman" w:hAnsi="Verdana" w:cs="Times New Roman"/>
          <w:color w:val="000000"/>
          <w:sz w:val="20"/>
          <w:szCs w:val="20"/>
          <w:lang w:eastAsia="es-CO"/>
        </w:rPr>
        <w:t>únicamente</w:t>
      </w:r>
      <w:r>
        <w:rPr>
          <w:rFonts w:ascii="Verdana" w:eastAsia="Times New Roman" w:hAnsi="Verdana" w:cs="Times New Roman"/>
          <w:color w:val="000000"/>
          <w:sz w:val="20"/>
          <w:szCs w:val="20"/>
          <w:lang w:eastAsia="es-CO"/>
        </w:rPr>
        <w:t>”</w:t>
      </w:r>
      <w:r w:rsidRPr="0023605C">
        <w:rPr>
          <w:rFonts w:ascii="Verdana" w:eastAsia="Times New Roman" w:hAnsi="Verdana" w:cs="Times New Roman"/>
          <w:color w:val="000000"/>
          <w:sz w:val="20"/>
          <w:szCs w:val="20"/>
          <w:lang w:eastAsia="es-CO"/>
        </w:rPr>
        <w:t xml:space="preserve"> o </w:t>
      </w:r>
      <w:r>
        <w:rPr>
          <w:rFonts w:ascii="Verdana" w:eastAsia="Times New Roman" w:hAnsi="Verdana" w:cs="Times New Roman"/>
          <w:color w:val="000000"/>
          <w:sz w:val="20"/>
          <w:szCs w:val="20"/>
          <w:lang w:eastAsia="es-CO"/>
        </w:rPr>
        <w:t>“</w:t>
      </w:r>
      <w:r w:rsidRPr="0023605C">
        <w:rPr>
          <w:rFonts w:ascii="Verdana" w:eastAsia="Times New Roman" w:hAnsi="Verdana" w:cs="Times New Roman"/>
          <w:color w:val="000000"/>
          <w:sz w:val="20"/>
          <w:szCs w:val="20"/>
          <w:lang w:eastAsia="es-CO"/>
        </w:rPr>
        <w:t>solo</w:t>
      </w:r>
      <w:r>
        <w:rPr>
          <w:rFonts w:ascii="Verdana" w:eastAsia="Times New Roman" w:hAnsi="Verdana" w:cs="Times New Roman"/>
          <w:color w:val="000000"/>
          <w:sz w:val="20"/>
          <w:szCs w:val="20"/>
          <w:lang w:eastAsia="es-CO"/>
        </w:rPr>
        <w:t>”</w:t>
      </w:r>
      <w:r w:rsidRPr="0023605C">
        <w:rPr>
          <w:rFonts w:ascii="Verdana" w:eastAsia="Times New Roman" w:hAnsi="Verdana" w:cs="Times New Roman"/>
          <w:color w:val="000000"/>
          <w:sz w:val="20"/>
          <w:szCs w:val="20"/>
          <w:lang w:eastAsia="es-CO"/>
        </w:rPr>
        <w:t>,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Esta segunda respuesta contiene la interpretación jurídica que comparte la Agencia Nacional de Contratación Pública.</w:t>
      </w:r>
    </w:p>
    <w:p w14:paraId="42423295" w14:textId="77777777" w:rsidR="005120DE" w:rsidRPr="0023605C" w:rsidRDefault="005120DE" w:rsidP="005120DE">
      <w:pPr>
        <w:spacing w:after="0" w:line="240" w:lineRule="auto"/>
        <w:jc w:val="both"/>
        <w:rPr>
          <w:rFonts w:ascii="Verdana" w:eastAsia="Times New Roman" w:hAnsi="Verdana" w:cs="Times New Roman"/>
          <w:color w:val="000000"/>
          <w:sz w:val="20"/>
          <w:szCs w:val="20"/>
          <w:lang w:eastAsia="es-CO"/>
        </w:rPr>
      </w:pPr>
    </w:p>
    <w:p w14:paraId="009B5AAB" w14:textId="77777777" w:rsidR="005120DE" w:rsidRPr="0023605C" w:rsidRDefault="005120DE" w:rsidP="005120DE">
      <w:pPr>
        <w:spacing w:after="0" w:line="240" w:lineRule="auto"/>
        <w:jc w:val="both"/>
        <w:rPr>
          <w:rFonts w:ascii="Verdana" w:eastAsia="Times New Roman" w:hAnsi="Verdana" w:cs="Times New Roman"/>
          <w:b/>
          <w:bCs/>
          <w:color w:val="000000"/>
          <w:sz w:val="20"/>
          <w:szCs w:val="20"/>
          <w:lang w:eastAsia="es-CO"/>
        </w:rPr>
      </w:pPr>
      <w:r w:rsidRPr="0023605C">
        <w:rPr>
          <w:rFonts w:ascii="Verdana" w:eastAsia="Times New Roman" w:hAnsi="Verdana" w:cs="Times New Roman"/>
          <w:b/>
          <w:bCs/>
          <w:color w:val="000000"/>
          <w:sz w:val="20"/>
          <w:szCs w:val="20"/>
          <w:lang w:eastAsia="es-CO"/>
        </w:rPr>
        <w:t xml:space="preserve">INDICADORES FINANCIEROS Y ORGANIZACIONALES ― Competencia ― Determinación </w:t>
      </w:r>
    </w:p>
    <w:p w14:paraId="62F2121C" w14:textId="77777777" w:rsidR="005120DE" w:rsidRPr="0023605C" w:rsidRDefault="005120DE" w:rsidP="005120DE">
      <w:pPr>
        <w:spacing w:after="0" w:line="240" w:lineRule="auto"/>
        <w:jc w:val="both"/>
        <w:rPr>
          <w:rFonts w:ascii="Verdana" w:eastAsia="Times New Roman" w:hAnsi="Verdana" w:cs="Times New Roman"/>
          <w:color w:val="000000"/>
          <w:sz w:val="20"/>
          <w:szCs w:val="20"/>
          <w:lang w:eastAsia="es-CO"/>
        </w:rPr>
      </w:pPr>
    </w:p>
    <w:p w14:paraId="7BAD9AA8" w14:textId="77777777" w:rsidR="005120DE" w:rsidRPr="0023605C" w:rsidRDefault="005120DE" w:rsidP="005120DE">
      <w:pPr>
        <w:spacing w:after="0" w:line="240" w:lineRule="auto"/>
        <w:jc w:val="both"/>
        <w:rPr>
          <w:rFonts w:ascii="Verdana" w:eastAsia="Times New Roman" w:hAnsi="Verdana" w:cs="Times New Roman"/>
          <w:color w:val="000000"/>
          <w:sz w:val="20"/>
          <w:szCs w:val="20"/>
          <w:lang w:eastAsia="es-CO"/>
        </w:rPr>
      </w:pPr>
      <w:r w:rsidRPr="0023605C">
        <w:rPr>
          <w:rFonts w:ascii="Verdana" w:eastAsia="Times New Roman" w:hAnsi="Verdana" w:cs="Times New Roman"/>
          <w:color w:val="000000"/>
          <w:sz w:val="20"/>
          <w:szCs w:val="20"/>
          <w:lang w:eastAsia="es-CO"/>
        </w:rPr>
        <w:t xml:space="preserve">[…] corresponde a las entidades estatales, durante la etapa de planeación del contrato estatal, estudiar y determinar los requisitos habilitantes que establecerán en los pliegos </w:t>
      </w:r>
      <w:r w:rsidRPr="0023605C">
        <w:rPr>
          <w:rFonts w:ascii="Verdana" w:eastAsia="Times New Roman" w:hAnsi="Verdana" w:cs="Times New Roman"/>
          <w:color w:val="000000"/>
          <w:sz w:val="20"/>
          <w:szCs w:val="20"/>
          <w:lang w:eastAsia="es-CO"/>
        </w:rPr>
        <w:lastRenderedPageBreak/>
        <w:t>de condiciones, los cuales deben fijarse de forma adecuada y proporcional. Esto último, según se deriva de la lectura del artículo 2.2.1.1.1.6.2 del Decreto 1082 de 2015, debe hacerse de acuerdo con la naturaleza, el valor del contrato, la forma de pago, los riesgos asociados al contrato, el plazo y la complejidad de ejecución del objeto. Todo porque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 el artículo 5, parágrafo 2, de la Ley 1150 de 2007, relacionado con la prohibición de exigir certificaciones de sistemas de gestión de calidad como requisito habilitante.</w:t>
      </w:r>
    </w:p>
    <w:p w14:paraId="4E130635" w14:textId="77777777" w:rsidR="005120DE" w:rsidRPr="0023605C" w:rsidRDefault="005120DE" w:rsidP="005120DE">
      <w:pPr>
        <w:autoSpaceDE w:val="0"/>
        <w:autoSpaceDN w:val="0"/>
        <w:adjustRightInd w:val="0"/>
        <w:spacing w:after="0" w:line="240" w:lineRule="auto"/>
        <w:rPr>
          <w:rFonts w:ascii="Verdana" w:eastAsia="Times New Roman" w:hAnsi="Verdana" w:cs="Times New Roman"/>
          <w:color w:val="000000"/>
          <w:sz w:val="20"/>
          <w:szCs w:val="20"/>
          <w:lang w:eastAsia="es-CO"/>
        </w:rPr>
      </w:pPr>
    </w:p>
    <w:p w14:paraId="4AE1FDBD" w14:textId="77777777" w:rsidR="005120DE" w:rsidRPr="0023605C" w:rsidRDefault="005120DE" w:rsidP="005120DE">
      <w:pPr>
        <w:pStyle w:val="NormalWeb"/>
        <w:jc w:val="both"/>
        <w:rPr>
          <w:rFonts w:ascii="Verdana" w:hAnsi="Verdana"/>
          <w:color w:val="000000"/>
          <w:sz w:val="20"/>
          <w:szCs w:val="20"/>
        </w:rPr>
      </w:pPr>
    </w:p>
    <w:p w14:paraId="5AD0175F" w14:textId="77777777" w:rsidR="005120DE" w:rsidRPr="00EC69D7" w:rsidRDefault="005120DE" w:rsidP="005120DE">
      <w:pPr>
        <w:pStyle w:val="NormalWeb"/>
        <w:jc w:val="both"/>
        <w:rPr>
          <w:rFonts w:ascii="Verdana" w:hAnsi="Verdana"/>
          <w:color w:val="000000"/>
          <w:sz w:val="20"/>
          <w:szCs w:val="20"/>
        </w:rPr>
      </w:pPr>
    </w:p>
    <w:p w14:paraId="7C1D7DEF" w14:textId="77777777" w:rsidR="005120DE" w:rsidRPr="007E1698" w:rsidRDefault="005120DE" w:rsidP="005120DE">
      <w:pPr>
        <w:spacing w:after="0" w:line="240" w:lineRule="auto"/>
        <w:jc w:val="both"/>
        <w:rPr>
          <w:rFonts w:ascii="Verdana" w:eastAsia="Geomanist Light" w:hAnsi="Verdana" w:cs="Arial"/>
        </w:rPr>
      </w:pPr>
    </w:p>
    <w:p w14:paraId="127545A5" w14:textId="77777777" w:rsidR="005120DE" w:rsidRPr="007E1698" w:rsidRDefault="005120DE" w:rsidP="005120DE">
      <w:pPr>
        <w:spacing w:after="0" w:line="240" w:lineRule="auto"/>
        <w:jc w:val="both"/>
        <w:rPr>
          <w:rFonts w:ascii="Verdana" w:eastAsia="Geomanist Light" w:hAnsi="Verdana" w:cs="Arial"/>
          <w:b/>
          <w:bCs/>
          <w:lang w:val="es-MX"/>
        </w:rPr>
      </w:pPr>
    </w:p>
    <w:p w14:paraId="37FD7C52" w14:textId="77777777" w:rsidR="005120DE" w:rsidRDefault="005120DE" w:rsidP="005120DE">
      <w:pPr>
        <w:spacing w:after="0" w:line="240" w:lineRule="auto"/>
        <w:jc w:val="both"/>
        <w:rPr>
          <w:rFonts w:ascii="Verdana" w:eastAsia="Geomanist Light" w:hAnsi="Verdana" w:cs="Arial"/>
          <w:sz w:val="20"/>
          <w:szCs w:val="20"/>
          <w:lang w:val="es-ES_tradnl"/>
        </w:rPr>
      </w:pPr>
    </w:p>
    <w:p w14:paraId="1297242B" w14:textId="77777777" w:rsidR="005120DE" w:rsidRDefault="005120DE" w:rsidP="005120DE">
      <w:pPr>
        <w:spacing w:after="0" w:line="240" w:lineRule="auto"/>
        <w:jc w:val="both"/>
        <w:rPr>
          <w:rFonts w:ascii="Verdana" w:eastAsia="Geomanist Light" w:hAnsi="Verdana" w:cs="Arial"/>
          <w:sz w:val="20"/>
          <w:szCs w:val="20"/>
          <w:lang w:val="es-ES_tradnl"/>
        </w:rPr>
      </w:pPr>
    </w:p>
    <w:p w14:paraId="4B5338F2" w14:textId="77777777" w:rsidR="005120DE" w:rsidRDefault="005120DE" w:rsidP="005120DE">
      <w:pPr>
        <w:spacing w:after="0" w:line="240" w:lineRule="auto"/>
        <w:jc w:val="both"/>
        <w:rPr>
          <w:rFonts w:ascii="Verdana" w:eastAsia="Geomanist Light" w:hAnsi="Verdana" w:cs="Arial"/>
          <w:sz w:val="20"/>
          <w:szCs w:val="20"/>
          <w:lang w:val="es-ES_tradnl"/>
        </w:rPr>
      </w:pPr>
    </w:p>
    <w:p w14:paraId="52BC8603" w14:textId="77777777" w:rsidR="005120DE" w:rsidRDefault="005120DE" w:rsidP="005120DE">
      <w:pPr>
        <w:spacing w:after="0" w:line="240" w:lineRule="auto"/>
        <w:jc w:val="both"/>
        <w:rPr>
          <w:rFonts w:ascii="Verdana" w:eastAsia="Geomanist Light" w:hAnsi="Verdana" w:cs="Arial"/>
          <w:sz w:val="20"/>
          <w:szCs w:val="20"/>
          <w:lang w:val="es-ES_tradnl"/>
        </w:rPr>
      </w:pPr>
    </w:p>
    <w:p w14:paraId="256E02B9" w14:textId="77777777" w:rsidR="005120DE" w:rsidRDefault="005120DE" w:rsidP="005120DE">
      <w:pPr>
        <w:spacing w:after="0" w:line="240" w:lineRule="auto"/>
        <w:jc w:val="both"/>
        <w:rPr>
          <w:rFonts w:ascii="Verdana" w:eastAsia="Geomanist Light" w:hAnsi="Verdana" w:cs="Arial"/>
          <w:sz w:val="20"/>
          <w:szCs w:val="20"/>
          <w:lang w:val="es-ES_tradnl"/>
        </w:rPr>
      </w:pPr>
    </w:p>
    <w:p w14:paraId="086B40B0" w14:textId="77777777" w:rsidR="005120DE" w:rsidRDefault="005120DE" w:rsidP="005120DE">
      <w:pPr>
        <w:spacing w:after="0" w:line="240" w:lineRule="auto"/>
        <w:jc w:val="both"/>
        <w:rPr>
          <w:rFonts w:ascii="Verdana" w:eastAsia="Geomanist Light" w:hAnsi="Verdana" w:cs="Arial"/>
          <w:sz w:val="20"/>
          <w:szCs w:val="20"/>
          <w:lang w:val="es-ES_tradnl"/>
        </w:rPr>
      </w:pPr>
    </w:p>
    <w:p w14:paraId="159D4C5F" w14:textId="77777777" w:rsidR="005120DE" w:rsidRDefault="005120DE" w:rsidP="005120DE">
      <w:pPr>
        <w:spacing w:after="0" w:line="240" w:lineRule="auto"/>
        <w:jc w:val="both"/>
        <w:rPr>
          <w:rFonts w:ascii="Verdana" w:eastAsia="Geomanist Light" w:hAnsi="Verdana" w:cs="Arial"/>
          <w:sz w:val="20"/>
          <w:szCs w:val="20"/>
          <w:lang w:val="es-ES_tradnl"/>
        </w:rPr>
      </w:pPr>
    </w:p>
    <w:p w14:paraId="4E87A756" w14:textId="77777777" w:rsidR="005120DE" w:rsidRDefault="005120DE" w:rsidP="005120DE">
      <w:pPr>
        <w:spacing w:after="0" w:line="240" w:lineRule="auto"/>
        <w:jc w:val="both"/>
        <w:rPr>
          <w:rFonts w:ascii="Verdana" w:eastAsia="Geomanist Light" w:hAnsi="Verdana" w:cs="Arial"/>
          <w:sz w:val="20"/>
          <w:szCs w:val="20"/>
          <w:lang w:val="es-ES_tradnl"/>
        </w:rPr>
      </w:pPr>
    </w:p>
    <w:p w14:paraId="452B6B61" w14:textId="77777777" w:rsidR="005120DE" w:rsidRDefault="005120DE" w:rsidP="005120DE">
      <w:pPr>
        <w:spacing w:after="0" w:line="240" w:lineRule="auto"/>
        <w:jc w:val="both"/>
        <w:rPr>
          <w:rFonts w:ascii="Verdana" w:eastAsia="Geomanist Light" w:hAnsi="Verdana" w:cs="Arial"/>
          <w:sz w:val="20"/>
          <w:szCs w:val="20"/>
          <w:lang w:val="es-ES_tradnl"/>
        </w:rPr>
      </w:pPr>
    </w:p>
    <w:p w14:paraId="2DC3399D" w14:textId="77777777" w:rsidR="005120DE" w:rsidRDefault="005120DE" w:rsidP="005120DE">
      <w:pPr>
        <w:spacing w:after="0" w:line="240" w:lineRule="auto"/>
        <w:jc w:val="both"/>
        <w:rPr>
          <w:rFonts w:ascii="Verdana" w:eastAsia="Geomanist Light" w:hAnsi="Verdana" w:cs="Arial"/>
          <w:sz w:val="20"/>
          <w:szCs w:val="20"/>
          <w:lang w:val="es-ES_tradnl"/>
        </w:rPr>
      </w:pPr>
    </w:p>
    <w:p w14:paraId="3585F98D" w14:textId="77777777" w:rsidR="005120DE" w:rsidRDefault="005120DE" w:rsidP="005120DE">
      <w:pPr>
        <w:spacing w:after="0" w:line="240" w:lineRule="auto"/>
        <w:jc w:val="both"/>
        <w:rPr>
          <w:rFonts w:ascii="Verdana" w:eastAsia="Geomanist Light" w:hAnsi="Verdana" w:cs="Arial"/>
          <w:sz w:val="20"/>
          <w:szCs w:val="20"/>
          <w:lang w:val="es-ES_tradnl"/>
        </w:rPr>
      </w:pPr>
    </w:p>
    <w:p w14:paraId="6FC374EE" w14:textId="77777777" w:rsidR="005120DE" w:rsidRDefault="005120DE" w:rsidP="005120DE">
      <w:pPr>
        <w:spacing w:after="0" w:line="240" w:lineRule="auto"/>
        <w:jc w:val="both"/>
        <w:rPr>
          <w:rFonts w:ascii="Verdana" w:eastAsia="Geomanist Light" w:hAnsi="Verdana" w:cs="Arial"/>
          <w:sz w:val="20"/>
          <w:szCs w:val="20"/>
          <w:lang w:val="es-ES_tradnl"/>
        </w:rPr>
      </w:pPr>
    </w:p>
    <w:p w14:paraId="3869BF14" w14:textId="77777777" w:rsidR="005120DE" w:rsidRDefault="005120DE" w:rsidP="005120DE">
      <w:pPr>
        <w:spacing w:after="0" w:line="240" w:lineRule="auto"/>
        <w:jc w:val="both"/>
        <w:rPr>
          <w:rFonts w:ascii="Verdana" w:eastAsia="Geomanist Light" w:hAnsi="Verdana" w:cs="Arial"/>
          <w:sz w:val="20"/>
          <w:szCs w:val="20"/>
          <w:lang w:val="es-ES_tradnl"/>
        </w:rPr>
      </w:pPr>
    </w:p>
    <w:p w14:paraId="4BD43C67" w14:textId="77777777" w:rsidR="005120DE" w:rsidRDefault="005120DE" w:rsidP="005120DE">
      <w:pPr>
        <w:spacing w:after="0" w:line="240" w:lineRule="auto"/>
        <w:jc w:val="both"/>
        <w:rPr>
          <w:rFonts w:ascii="Verdana" w:eastAsia="Geomanist Light" w:hAnsi="Verdana" w:cs="Arial"/>
          <w:sz w:val="20"/>
          <w:szCs w:val="20"/>
          <w:lang w:val="es-ES_tradnl"/>
        </w:rPr>
      </w:pPr>
    </w:p>
    <w:p w14:paraId="281E28F7" w14:textId="77777777" w:rsidR="005120DE" w:rsidRDefault="005120DE" w:rsidP="005120DE">
      <w:pPr>
        <w:spacing w:after="0" w:line="240" w:lineRule="auto"/>
        <w:jc w:val="both"/>
        <w:rPr>
          <w:rFonts w:ascii="Verdana" w:eastAsia="Geomanist Light" w:hAnsi="Verdana" w:cs="Arial"/>
          <w:sz w:val="20"/>
          <w:szCs w:val="20"/>
          <w:lang w:val="es-ES_tradnl"/>
        </w:rPr>
      </w:pPr>
    </w:p>
    <w:p w14:paraId="281654A3" w14:textId="77777777" w:rsidR="005120DE" w:rsidRDefault="005120DE" w:rsidP="005120DE">
      <w:pPr>
        <w:spacing w:after="0" w:line="240" w:lineRule="auto"/>
        <w:jc w:val="both"/>
        <w:rPr>
          <w:rFonts w:ascii="Verdana" w:eastAsia="Geomanist Light" w:hAnsi="Verdana" w:cs="Arial"/>
          <w:sz w:val="20"/>
          <w:szCs w:val="20"/>
          <w:lang w:val="es-ES_tradnl"/>
        </w:rPr>
      </w:pPr>
    </w:p>
    <w:p w14:paraId="7BB9C0EF" w14:textId="77777777" w:rsidR="005120DE" w:rsidRDefault="005120DE" w:rsidP="005120DE">
      <w:pPr>
        <w:spacing w:after="0" w:line="240" w:lineRule="auto"/>
        <w:jc w:val="both"/>
        <w:rPr>
          <w:rFonts w:ascii="Verdana" w:eastAsia="Geomanist Light" w:hAnsi="Verdana" w:cs="Arial"/>
          <w:sz w:val="20"/>
          <w:szCs w:val="20"/>
          <w:lang w:val="es-ES_tradnl"/>
        </w:rPr>
      </w:pPr>
    </w:p>
    <w:p w14:paraId="202B9B38" w14:textId="77777777" w:rsidR="005120DE" w:rsidRDefault="005120DE" w:rsidP="005120DE">
      <w:pPr>
        <w:spacing w:after="0" w:line="240" w:lineRule="auto"/>
        <w:jc w:val="both"/>
        <w:rPr>
          <w:rFonts w:ascii="Verdana" w:eastAsia="Geomanist Light" w:hAnsi="Verdana" w:cs="Arial"/>
          <w:sz w:val="20"/>
          <w:szCs w:val="20"/>
          <w:lang w:val="es-ES_tradnl"/>
        </w:rPr>
      </w:pPr>
    </w:p>
    <w:p w14:paraId="43EE79B4" w14:textId="77777777" w:rsidR="005120DE" w:rsidRDefault="005120DE" w:rsidP="005120DE">
      <w:pPr>
        <w:spacing w:after="0" w:line="240" w:lineRule="auto"/>
        <w:jc w:val="both"/>
        <w:rPr>
          <w:rFonts w:ascii="Verdana" w:eastAsia="Geomanist Light" w:hAnsi="Verdana" w:cs="Arial"/>
          <w:sz w:val="20"/>
          <w:szCs w:val="20"/>
          <w:lang w:val="es-ES_tradnl"/>
        </w:rPr>
      </w:pPr>
    </w:p>
    <w:p w14:paraId="2EBFB75F" w14:textId="77777777" w:rsidR="005120DE" w:rsidRDefault="005120DE" w:rsidP="005120DE">
      <w:pPr>
        <w:spacing w:after="0" w:line="240" w:lineRule="auto"/>
        <w:jc w:val="both"/>
        <w:rPr>
          <w:rFonts w:ascii="Verdana" w:eastAsia="Geomanist Light" w:hAnsi="Verdana" w:cs="Arial"/>
          <w:sz w:val="20"/>
          <w:szCs w:val="20"/>
          <w:lang w:val="es-ES_tradnl"/>
        </w:rPr>
      </w:pPr>
    </w:p>
    <w:p w14:paraId="0BEA8E35" w14:textId="77777777" w:rsidR="005120DE" w:rsidRDefault="005120DE" w:rsidP="005120DE">
      <w:pPr>
        <w:spacing w:after="0" w:line="240" w:lineRule="auto"/>
        <w:jc w:val="both"/>
        <w:rPr>
          <w:rFonts w:ascii="Verdana" w:eastAsia="Geomanist Light" w:hAnsi="Verdana" w:cs="Arial"/>
          <w:sz w:val="20"/>
          <w:szCs w:val="20"/>
          <w:lang w:val="es-ES_tradnl"/>
        </w:rPr>
      </w:pPr>
    </w:p>
    <w:p w14:paraId="405E40CD" w14:textId="77777777" w:rsidR="005120DE" w:rsidRDefault="005120DE" w:rsidP="005120DE">
      <w:pPr>
        <w:spacing w:after="0" w:line="240" w:lineRule="auto"/>
        <w:jc w:val="both"/>
        <w:rPr>
          <w:rFonts w:ascii="Verdana" w:eastAsia="Geomanist Light" w:hAnsi="Verdana" w:cs="Arial"/>
          <w:sz w:val="20"/>
          <w:szCs w:val="20"/>
          <w:lang w:val="es-ES_tradnl"/>
        </w:rPr>
      </w:pPr>
    </w:p>
    <w:p w14:paraId="7AE8BF20" w14:textId="77777777" w:rsidR="005120DE" w:rsidRDefault="005120DE" w:rsidP="005120DE">
      <w:pPr>
        <w:spacing w:after="0" w:line="240" w:lineRule="auto"/>
        <w:jc w:val="both"/>
        <w:rPr>
          <w:rFonts w:ascii="Verdana" w:eastAsia="Geomanist Light" w:hAnsi="Verdana" w:cs="Arial"/>
          <w:sz w:val="20"/>
          <w:szCs w:val="20"/>
          <w:lang w:val="es-ES_tradnl"/>
        </w:rPr>
      </w:pPr>
    </w:p>
    <w:p w14:paraId="4DF939D7" w14:textId="77777777" w:rsidR="005120DE" w:rsidRDefault="005120DE" w:rsidP="005120DE">
      <w:pPr>
        <w:spacing w:after="0" w:line="240" w:lineRule="auto"/>
        <w:jc w:val="both"/>
        <w:rPr>
          <w:rFonts w:ascii="Verdana" w:eastAsia="Geomanist Light" w:hAnsi="Verdana" w:cs="Arial"/>
          <w:sz w:val="20"/>
          <w:szCs w:val="20"/>
          <w:lang w:val="es-ES_tradnl"/>
        </w:rPr>
      </w:pPr>
    </w:p>
    <w:p w14:paraId="6D2CD9D3" w14:textId="77777777" w:rsidR="005120DE" w:rsidRDefault="005120DE" w:rsidP="005120DE">
      <w:pPr>
        <w:spacing w:after="0" w:line="240" w:lineRule="auto"/>
        <w:jc w:val="both"/>
        <w:rPr>
          <w:rFonts w:ascii="Verdana" w:eastAsia="Geomanist Light" w:hAnsi="Verdana" w:cs="Arial"/>
          <w:sz w:val="20"/>
          <w:szCs w:val="20"/>
          <w:lang w:val="es-ES_tradnl"/>
        </w:rPr>
      </w:pPr>
    </w:p>
    <w:p w14:paraId="6CAD62FE" w14:textId="77777777" w:rsidR="005120DE" w:rsidRDefault="005120DE" w:rsidP="005120DE">
      <w:pPr>
        <w:spacing w:after="0" w:line="240" w:lineRule="auto"/>
        <w:jc w:val="both"/>
        <w:rPr>
          <w:rFonts w:ascii="Verdana" w:eastAsia="Geomanist Light" w:hAnsi="Verdana" w:cs="Arial"/>
          <w:sz w:val="20"/>
          <w:szCs w:val="20"/>
          <w:lang w:val="es-ES_tradnl"/>
        </w:rPr>
      </w:pPr>
    </w:p>
    <w:p w14:paraId="11340AE4" w14:textId="77777777" w:rsidR="005120DE" w:rsidRDefault="005120DE" w:rsidP="005120DE">
      <w:pPr>
        <w:spacing w:after="0" w:line="240" w:lineRule="auto"/>
        <w:jc w:val="both"/>
        <w:rPr>
          <w:rFonts w:ascii="Verdana" w:eastAsia="Geomanist Light" w:hAnsi="Verdana" w:cs="Arial"/>
          <w:sz w:val="20"/>
          <w:szCs w:val="20"/>
          <w:lang w:val="es-ES_tradnl"/>
        </w:rPr>
      </w:pPr>
    </w:p>
    <w:p w14:paraId="61A0749D" w14:textId="77777777" w:rsidR="005120DE" w:rsidRDefault="005120DE" w:rsidP="005120DE">
      <w:pPr>
        <w:spacing w:after="0" w:line="240" w:lineRule="auto"/>
        <w:jc w:val="both"/>
        <w:rPr>
          <w:rFonts w:ascii="Verdana" w:eastAsia="Geomanist Light" w:hAnsi="Verdana" w:cs="Arial"/>
          <w:lang w:val="es-ES_tradnl"/>
        </w:rPr>
      </w:pPr>
    </w:p>
    <w:p w14:paraId="14928AA6" w14:textId="77777777" w:rsidR="005120DE" w:rsidRPr="009322DA" w:rsidRDefault="005120DE" w:rsidP="005120DE">
      <w:pPr>
        <w:spacing w:after="0" w:line="240" w:lineRule="auto"/>
        <w:rPr>
          <w:rFonts w:ascii="Verdana" w:eastAsia="Geomanist Light" w:hAnsi="Verdana" w:cs="Arial"/>
          <w:lang w:val="es-MX"/>
        </w:rPr>
      </w:pPr>
      <w:r w:rsidRPr="009322DA">
        <w:rPr>
          <w:rFonts w:ascii="Verdana" w:eastAsia="Geomanist Light" w:hAnsi="Verdana" w:cs="Arial"/>
          <w:lang w:val="es-MX"/>
        </w:rPr>
        <w:lastRenderedPageBreak/>
        <w:t>Bogotá D.C., [Día] de [</w:t>
      </w:r>
      <w:proofErr w:type="spellStart"/>
      <w:r w:rsidRPr="009322DA">
        <w:rPr>
          <w:rFonts w:ascii="Verdana" w:eastAsia="Geomanist Light" w:hAnsi="Verdana" w:cs="Arial"/>
          <w:lang w:val="es-MX"/>
        </w:rPr>
        <w:t>Mes.NombreCapitalizado</w:t>
      </w:r>
      <w:proofErr w:type="spellEnd"/>
      <w:r w:rsidRPr="009322DA">
        <w:rPr>
          <w:rFonts w:ascii="Verdana" w:eastAsia="Geomanist Light" w:hAnsi="Verdana" w:cs="Arial"/>
          <w:lang w:val="es-MX"/>
        </w:rPr>
        <w:t>] de [Año]</w:t>
      </w:r>
    </w:p>
    <w:p w14:paraId="54DDB029" w14:textId="77777777" w:rsidR="005120DE" w:rsidRPr="009322DA" w:rsidRDefault="005120DE" w:rsidP="005120DE">
      <w:pPr>
        <w:spacing w:after="0" w:line="240" w:lineRule="auto"/>
        <w:jc w:val="both"/>
        <w:rPr>
          <w:rFonts w:ascii="Verdana" w:eastAsia="Calibri" w:hAnsi="Verdana" w:cs="Arial"/>
          <w:lang w:val="es-ES"/>
        </w:rPr>
      </w:pPr>
    </w:p>
    <w:p w14:paraId="57BBF507" w14:textId="77777777" w:rsidR="005120DE" w:rsidRDefault="005120DE" w:rsidP="005120DE">
      <w:pPr>
        <w:spacing w:after="0" w:line="240" w:lineRule="auto"/>
        <w:rPr>
          <w:rFonts w:ascii="Verdana" w:eastAsia="Calibri" w:hAnsi="Verdana" w:cs="Arial"/>
          <w:lang w:val="es-MX" w:eastAsia="es-ES"/>
        </w:rPr>
      </w:pPr>
    </w:p>
    <w:p w14:paraId="60B3E91B" w14:textId="77777777" w:rsidR="005120DE" w:rsidRDefault="005120DE" w:rsidP="005120DE">
      <w:pPr>
        <w:spacing w:after="0" w:line="240" w:lineRule="auto"/>
        <w:rPr>
          <w:rFonts w:ascii="Verdana" w:eastAsia="Calibri" w:hAnsi="Verdana" w:cs="Arial"/>
          <w:lang w:val="es-MX" w:eastAsia="es-ES"/>
        </w:rPr>
      </w:pPr>
    </w:p>
    <w:p w14:paraId="7102894C" w14:textId="77777777" w:rsidR="005120DE" w:rsidRDefault="005120DE" w:rsidP="005120DE">
      <w:pPr>
        <w:spacing w:after="0" w:line="240" w:lineRule="auto"/>
        <w:rPr>
          <w:rFonts w:ascii="Verdana" w:eastAsia="Calibri" w:hAnsi="Verdana" w:cs="Arial"/>
          <w:lang w:val="es-MX" w:eastAsia="es-ES"/>
        </w:rPr>
      </w:pPr>
      <w:r w:rsidRPr="009322DA">
        <w:rPr>
          <w:rFonts w:ascii="Verdana" w:eastAsia="Calibri" w:hAnsi="Verdana" w:cs="Arial"/>
          <w:lang w:val="es-MX" w:eastAsia="es-ES"/>
        </w:rPr>
        <w:t>Señor</w:t>
      </w:r>
    </w:p>
    <w:p w14:paraId="095A164F" w14:textId="77777777" w:rsidR="005120DE" w:rsidRPr="0055593B" w:rsidRDefault="005120DE" w:rsidP="005120DE">
      <w:pPr>
        <w:spacing w:after="0" w:line="240" w:lineRule="auto"/>
        <w:rPr>
          <w:rFonts w:ascii="Verdana" w:eastAsia="Calibri" w:hAnsi="Verdana" w:cs="Arial"/>
          <w:b/>
          <w:bCs/>
          <w:lang w:val="es-MX" w:eastAsia="es-ES"/>
        </w:rPr>
      </w:pPr>
      <w:r w:rsidRPr="0055593B">
        <w:rPr>
          <w:rFonts w:ascii="Verdana" w:eastAsia="Calibri" w:hAnsi="Verdana" w:cs="Arial"/>
          <w:b/>
          <w:bCs/>
          <w:lang w:val="es-MX" w:eastAsia="es-ES"/>
        </w:rPr>
        <w:t>Jair Gonzalo Ramírez Sánchez</w:t>
      </w:r>
    </w:p>
    <w:p w14:paraId="6016852D" w14:textId="77777777" w:rsidR="005120DE" w:rsidRDefault="005120DE" w:rsidP="005120DE">
      <w:pPr>
        <w:spacing w:after="0" w:line="240" w:lineRule="auto"/>
        <w:rPr>
          <w:rFonts w:ascii="Verdana" w:eastAsia="Calibri" w:hAnsi="Verdana" w:cs="Arial"/>
          <w:lang w:val="es-MX" w:eastAsia="es-ES"/>
        </w:rPr>
      </w:pPr>
      <w:hyperlink r:id="rId10" w:history="1">
        <w:r w:rsidRPr="00FB5D6C">
          <w:rPr>
            <w:rStyle w:val="Hipervnculo"/>
            <w:rFonts w:ascii="Verdana" w:eastAsia="Calibri" w:hAnsi="Verdana" w:cs="Arial"/>
            <w:lang w:val="es-MX" w:eastAsia="es-ES"/>
          </w:rPr>
          <w:t>jairgonzaloramirez@gmail.com</w:t>
        </w:r>
      </w:hyperlink>
      <w:r>
        <w:rPr>
          <w:rFonts w:ascii="Verdana" w:eastAsia="Calibri" w:hAnsi="Verdana" w:cs="Arial"/>
          <w:lang w:val="es-MX" w:eastAsia="es-ES"/>
        </w:rPr>
        <w:t xml:space="preserve"> </w:t>
      </w:r>
    </w:p>
    <w:p w14:paraId="5AFFFD31" w14:textId="77777777" w:rsidR="005120DE" w:rsidRPr="00D37430" w:rsidRDefault="005120DE" w:rsidP="005120DE">
      <w:pPr>
        <w:spacing w:after="0" w:line="240" w:lineRule="auto"/>
        <w:rPr>
          <w:rFonts w:ascii="Verdana" w:eastAsia="Calibri" w:hAnsi="Verdana" w:cs="Arial"/>
          <w:lang w:val="pt-BR" w:eastAsia="es-ES"/>
        </w:rPr>
      </w:pPr>
      <w:r>
        <w:rPr>
          <w:rFonts w:ascii="Verdana" w:eastAsia="Calibri" w:hAnsi="Verdana" w:cs="Arial"/>
          <w:lang w:val="es-MX" w:eastAsia="es-ES"/>
        </w:rPr>
        <w:t>Yopal, Casanare</w:t>
      </w:r>
    </w:p>
    <w:p w14:paraId="6E81EFAC" w14:textId="2B183ACA" w:rsidR="005120DE" w:rsidRPr="009322DA" w:rsidRDefault="000F193E" w:rsidP="005120DE">
      <w:pPr>
        <w:spacing w:after="0" w:line="240" w:lineRule="auto"/>
        <w:jc w:val="right"/>
        <w:rPr>
          <w:rFonts w:ascii="Verdana" w:eastAsia="Calibri" w:hAnsi="Verdana" w:cs="Arial"/>
          <w:b/>
          <w:bCs/>
          <w:lang w:val="es-ES_tradnl" w:eastAsia="es-ES_tradnl"/>
        </w:rPr>
      </w:pPr>
      <w:r w:rsidRPr="000F193E">
        <w:rPr>
          <w:rFonts w:ascii="Verdana" w:eastAsia="Calibri" w:hAnsi="Verdana" w:cs="Arial"/>
          <w:b/>
          <w:bCs/>
          <w:noProof/>
          <w:lang w:val="es-ES_tradnl" w:eastAsia="es-ES_tradnl"/>
        </w:rPr>
        <w:drawing>
          <wp:inline distT="0" distB="0" distL="0" distR="0" wp14:anchorId="5B9428D4" wp14:editId="3D3EF3E0">
            <wp:extent cx="3261643" cy="998307"/>
            <wp:effectExtent l="0" t="0" r="0" b="0"/>
            <wp:docPr id="57347355"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7355" name="Imagen 1" descr="Interfaz de usuario gráfica, Texto, Aplicación, Chat o mensaje de texto&#10;&#10;Descripción generada automáticamente"/>
                    <pic:cNvPicPr/>
                  </pic:nvPicPr>
                  <pic:blipFill>
                    <a:blip r:embed="rId11"/>
                    <a:stretch>
                      <a:fillRect/>
                    </a:stretch>
                  </pic:blipFill>
                  <pic:spPr>
                    <a:xfrm>
                      <a:off x="0" y="0"/>
                      <a:ext cx="3261643" cy="998307"/>
                    </a:xfrm>
                    <a:prstGeom prst="rect">
                      <a:avLst/>
                    </a:prstGeom>
                  </pic:spPr>
                </pic:pic>
              </a:graphicData>
            </a:graphic>
          </wp:inline>
        </w:drawing>
      </w:r>
    </w:p>
    <w:p w14:paraId="09D49E69" w14:textId="77777777" w:rsidR="005120DE" w:rsidRPr="009322DA" w:rsidRDefault="005120DE" w:rsidP="005120DE">
      <w:pPr>
        <w:spacing w:after="0" w:line="240" w:lineRule="auto"/>
        <w:rPr>
          <w:rFonts w:ascii="Verdana" w:eastAsia="Calibri" w:hAnsi="Verdana" w:cs="Arial"/>
          <w:b/>
          <w:bCs/>
          <w:lang w:val="es-ES_tradnl" w:eastAsia="es-ES_tradnl"/>
        </w:rPr>
      </w:pPr>
    </w:p>
    <w:tbl>
      <w:tblPr>
        <w:tblStyle w:val="Tablaconcuadrcula1"/>
        <w:tblW w:w="9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20"/>
        <w:gridCol w:w="6113"/>
      </w:tblGrid>
      <w:tr w:rsidR="005120DE" w:rsidRPr="009322DA" w14:paraId="37CA4C98" w14:textId="77777777" w:rsidTr="0AFA8A76">
        <w:trPr>
          <w:trHeight w:val="999"/>
        </w:trPr>
        <w:tc>
          <w:tcPr>
            <w:tcW w:w="3120" w:type="dxa"/>
          </w:tcPr>
          <w:p w14:paraId="3CCDDE9D" w14:textId="77777777" w:rsidR="005120DE" w:rsidRPr="009322DA" w:rsidRDefault="005120DE" w:rsidP="00854724">
            <w:pPr>
              <w:jc w:val="both"/>
              <w:rPr>
                <w:rFonts w:ascii="Verdana" w:hAnsi="Verdana" w:cs="Arial"/>
                <w:b/>
                <w:bCs/>
                <w:lang w:val="es-ES_tradnl" w:eastAsia="es-ES_tradnl"/>
              </w:rPr>
            </w:pPr>
          </w:p>
        </w:tc>
        <w:tc>
          <w:tcPr>
            <w:tcW w:w="6113" w:type="dxa"/>
            <w:hideMark/>
          </w:tcPr>
          <w:p w14:paraId="40E1F6EA" w14:textId="77777777" w:rsidR="005120DE" w:rsidRPr="009322DA" w:rsidRDefault="005120DE" w:rsidP="00854724">
            <w:pPr>
              <w:jc w:val="both"/>
              <w:rPr>
                <w:rFonts w:ascii="Verdana" w:hAnsi="Verdana" w:cs="Arial"/>
                <w:b/>
                <w:bCs/>
                <w:lang w:val="es-ES" w:eastAsia="es-ES"/>
              </w:rPr>
            </w:pPr>
            <w:r w:rsidRPr="009322DA">
              <w:rPr>
                <w:rFonts w:ascii="Verdana" w:hAnsi="Verdana" w:cs="Arial"/>
                <w:b/>
                <w:bCs/>
                <w:lang w:val="es-ES" w:eastAsia="es-ES"/>
              </w:rPr>
              <w:t xml:space="preserve">Concepto C- </w:t>
            </w:r>
            <w:r>
              <w:rPr>
                <w:rFonts w:ascii="Verdana" w:hAnsi="Verdana" w:cs="Arial"/>
                <w:b/>
                <w:bCs/>
                <w:lang w:val="es-ES" w:eastAsia="es-ES"/>
              </w:rPr>
              <w:t xml:space="preserve">828 </w:t>
            </w:r>
            <w:r w:rsidRPr="009322DA">
              <w:rPr>
                <w:rFonts w:ascii="Verdana" w:hAnsi="Verdana" w:cs="Arial"/>
                <w:b/>
                <w:bCs/>
                <w:lang w:val="es-ES" w:eastAsia="es-ES"/>
              </w:rPr>
              <w:t>de 2024</w:t>
            </w:r>
          </w:p>
        </w:tc>
      </w:tr>
      <w:tr w:rsidR="005120DE" w:rsidRPr="009322DA" w14:paraId="3092E45D" w14:textId="77777777" w:rsidTr="0AFA8A76">
        <w:trPr>
          <w:trHeight w:val="999"/>
        </w:trPr>
        <w:tc>
          <w:tcPr>
            <w:tcW w:w="3120" w:type="dxa"/>
            <w:hideMark/>
          </w:tcPr>
          <w:p w14:paraId="66E93809" w14:textId="77777777" w:rsidR="005120DE" w:rsidRPr="009322DA" w:rsidRDefault="005120DE" w:rsidP="00854724">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113" w:type="dxa"/>
          </w:tcPr>
          <w:p w14:paraId="1C17A2CA" w14:textId="77777777" w:rsidR="005120DE" w:rsidRPr="0023605C" w:rsidRDefault="005120DE" w:rsidP="00854724">
            <w:pPr>
              <w:jc w:val="both"/>
              <w:rPr>
                <w:rFonts w:ascii="Verdana" w:eastAsia="Times New Roman" w:hAnsi="Verdana" w:cs="Times New Roman"/>
                <w:b/>
                <w:bCs/>
                <w:color w:val="000000"/>
                <w:lang w:eastAsia="es-CO"/>
              </w:rPr>
            </w:pPr>
            <w:r w:rsidRPr="008B0E31">
              <w:rPr>
                <w:rFonts w:ascii="Verdana" w:hAnsi="Verdana" w:cs="Arial"/>
                <w:bCs/>
                <w:lang w:val="es-MX" w:eastAsia="es-ES"/>
              </w:rPr>
              <w:t xml:space="preserve">DOCUMENTO TIPO – Fundamento normativo / </w:t>
            </w:r>
            <w:r w:rsidRPr="0023605C">
              <w:rPr>
                <w:rFonts w:ascii="Verdana" w:eastAsia="Times New Roman" w:hAnsi="Verdana" w:cs="Times New Roman"/>
                <w:color w:val="000000"/>
                <w:lang w:eastAsia="es-CO"/>
              </w:rPr>
              <w:t>INDICADORES FINANCIEROS Y ORGANIZACIONALES ― Decreto 1082 de 2015 ― Carácter enunciativo</w:t>
            </w:r>
            <w:r w:rsidRPr="008B0E31">
              <w:rPr>
                <w:rFonts w:ascii="Verdana" w:eastAsia="Times New Roman" w:hAnsi="Verdana" w:cs="Times New Roman"/>
                <w:color w:val="000000"/>
                <w:lang w:eastAsia="es-CO"/>
              </w:rPr>
              <w:t xml:space="preserve"> </w:t>
            </w:r>
            <w:r w:rsidRPr="0023605C">
              <w:rPr>
                <w:rFonts w:ascii="Verdana" w:eastAsia="Times New Roman" w:hAnsi="Verdana" w:cs="Times New Roman"/>
                <w:color w:val="000000"/>
                <w:lang w:eastAsia="es-CO"/>
              </w:rPr>
              <w:t>INDICADORES FINANCIEROS Y ORGANIZACIONALES ― Competencia ― Determinación</w:t>
            </w:r>
            <w:r w:rsidRPr="0023605C">
              <w:rPr>
                <w:rFonts w:ascii="Verdana" w:eastAsia="Times New Roman" w:hAnsi="Verdana" w:cs="Times New Roman"/>
                <w:b/>
                <w:bCs/>
                <w:color w:val="000000"/>
                <w:lang w:eastAsia="es-CO"/>
              </w:rPr>
              <w:t xml:space="preserve"> </w:t>
            </w:r>
          </w:p>
          <w:p w14:paraId="51CCD9FA" w14:textId="77777777" w:rsidR="005120DE" w:rsidRPr="0023605C" w:rsidRDefault="005120DE" w:rsidP="00854724">
            <w:pPr>
              <w:jc w:val="both"/>
              <w:rPr>
                <w:rFonts w:ascii="Verdana" w:eastAsia="Times New Roman" w:hAnsi="Verdana" w:cs="Times New Roman"/>
                <w:b/>
                <w:bCs/>
                <w:color w:val="000000"/>
                <w:lang w:eastAsia="es-CO"/>
              </w:rPr>
            </w:pPr>
          </w:p>
          <w:p w14:paraId="3AD3274F" w14:textId="77777777" w:rsidR="005120DE" w:rsidRDefault="005120DE" w:rsidP="00854724">
            <w:pPr>
              <w:jc w:val="both"/>
              <w:rPr>
                <w:rFonts w:ascii="Verdana" w:hAnsi="Verdana" w:cs="Arial"/>
                <w:bCs/>
                <w:lang w:val="es-MX" w:eastAsia="es-ES"/>
              </w:rPr>
            </w:pPr>
          </w:p>
          <w:p w14:paraId="488EFD29" w14:textId="77777777" w:rsidR="005120DE" w:rsidRPr="00EB3000" w:rsidRDefault="005120DE" w:rsidP="00854724">
            <w:pPr>
              <w:jc w:val="both"/>
              <w:rPr>
                <w:rFonts w:ascii="Verdana" w:hAnsi="Verdana" w:cs="Arial"/>
                <w:lang w:val="es-ES_tradnl" w:eastAsia="es-ES"/>
              </w:rPr>
            </w:pPr>
          </w:p>
        </w:tc>
      </w:tr>
      <w:tr w:rsidR="005120DE" w:rsidRPr="009322DA" w14:paraId="49A08926" w14:textId="77777777" w:rsidTr="0AFA8A76">
        <w:trPr>
          <w:trHeight w:val="597"/>
        </w:trPr>
        <w:tc>
          <w:tcPr>
            <w:tcW w:w="3120" w:type="dxa"/>
            <w:hideMark/>
          </w:tcPr>
          <w:p w14:paraId="0E4F8ECB" w14:textId="77777777" w:rsidR="005120DE" w:rsidRPr="009322DA" w:rsidRDefault="005120DE" w:rsidP="00854724">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113" w:type="dxa"/>
          </w:tcPr>
          <w:p w14:paraId="1D25AE68" w14:textId="77777777" w:rsidR="005120DE" w:rsidRPr="009322DA" w:rsidRDefault="005120DE" w:rsidP="00854724">
            <w:pPr>
              <w:jc w:val="both"/>
              <w:rPr>
                <w:rFonts w:ascii="Verdana" w:hAnsi="Verdana" w:cs="Arial"/>
                <w:lang w:val="es-ES_tradnl" w:eastAsia="es-ES_tradnl"/>
              </w:rPr>
            </w:pPr>
            <w:r w:rsidRPr="009322DA">
              <w:rPr>
                <w:rFonts w:ascii="Verdana" w:hAnsi="Verdana" w:cs="Arial"/>
                <w:lang w:val="es-ES_tradnl" w:eastAsia="es-ES_tradnl"/>
              </w:rPr>
              <w:t xml:space="preserve">Respuesta a consulta con radicado No. </w:t>
            </w:r>
            <w:r w:rsidRPr="00BF5889">
              <w:rPr>
                <w:rFonts w:ascii="Verdana" w:hAnsi="Verdana"/>
                <w:lang w:eastAsia="es-ES_tradnl"/>
              </w:rPr>
              <w:t>P2024</w:t>
            </w:r>
            <w:r>
              <w:rPr>
                <w:rFonts w:ascii="Verdana" w:hAnsi="Verdana"/>
                <w:lang w:eastAsia="es-ES_tradnl"/>
              </w:rPr>
              <w:t>1107011223</w:t>
            </w:r>
          </w:p>
        </w:tc>
      </w:tr>
    </w:tbl>
    <w:p w14:paraId="2EBA4794" w14:textId="77777777" w:rsidR="005120DE" w:rsidRPr="009322DA" w:rsidRDefault="005120DE" w:rsidP="005120DE">
      <w:pPr>
        <w:spacing w:after="0" w:line="240" w:lineRule="auto"/>
        <w:jc w:val="both"/>
        <w:rPr>
          <w:rFonts w:ascii="Verdana" w:eastAsia="Calibri" w:hAnsi="Verdana" w:cs="Arial"/>
          <w:lang w:val="es-ES_tradnl" w:eastAsia="es-ES_tradnl"/>
        </w:rPr>
      </w:pPr>
    </w:p>
    <w:p w14:paraId="3B58CB43" w14:textId="77777777" w:rsidR="005120DE" w:rsidRPr="009322DA" w:rsidRDefault="005120DE" w:rsidP="005120DE">
      <w:pPr>
        <w:spacing w:after="0" w:line="240" w:lineRule="auto"/>
        <w:jc w:val="both"/>
        <w:rPr>
          <w:rFonts w:ascii="Verdana" w:eastAsia="Calibri" w:hAnsi="Verdana" w:cs="Arial"/>
          <w:lang w:val="es-ES_tradnl" w:eastAsia="es-ES_tradnl"/>
        </w:rPr>
      </w:pPr>
    </w:p>
    <w:p w14:paraId="587AA2A7" w14:textId="77777777" w:rsidR="005120DE" w:rsidRPr="009322DA" w:rsidRDefault="005120DE" w:rsidP="005120DE">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Estimad</w:t>
      </w:r>
      <w:r>
        <w:rPr>
          <w:rFonts w:ascii="Verdana" w:eastAsia="Calibri" w:hAnsi="Verdana" w:cs="Arial"/>
          <w:lang w:val="es-ES" w:eastAsia="es-ES"/>
        </w:rPr>
        <w:t>o</w:t>
      </w:r>
      <w:r w:rsidRPr="009322DA">
        <w:rPr>
          <w:rFonts w:ascii="Verdana" w:eastAsia="Calibri" w:hAnsi="Verdana" w:cs="Arial"/>
          <w:lang w:val="es-ES" w:eastAsia="es-ES"/>
        </w:rPr>
        <w:t xml:space="preserve"> señor</w:t>
      </w:r>
      <w:r>
        <w:rPr>
          <w:rFonts w:ascii="Verdana" w:eastAsia="Calibri" w:hAnsi="Verdana" w:cs="Arial"/>
          <w:lang w:val="es-ES" w:eastAsia="es-ES"/>
        </w:rPr>
        <w:t xml:space="preserve"> Ramírez: </w:t>
      </w:r>
      <w:r w:rsidRPr="009322DA">
        <w:rPr>
          <w:rFonts w:ascii="Verdana" w:eastAsia="Calibri" w:hAnsi="Verdana" w:cs="Arial"/>
          <w:lang w:val="es-ES" w:eastAsia="es-ES"/>
        </w:rPr>
        <w:t xml:space="preserve"> </w:t>
      </w:r>
    </w:p>
    <w:p w14:paraId="73BECE49" w14:textId="77777777" w:rsidR="005120DE" w:rsidRPr="009322DA" w:rsidRDefault="005120DE" w:rsidP="005120DE">
      <w:pPr>
        <w:tabs>
          <w:tab w:val="left" w:pos="3768"/>
        </w:tabs>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ab/>
      </w:r>
    </w:p>
    <w:p w14:paraId="79FCBCC1" w14:textId="77777777" w:rsidR="005120DE" w:rsidRPr="009322DA" w:rsidRDefault="005120DE" w:rsidP="005120DE">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En ejercicio de la competencia otorgada por los artículos 3, numeral 5º, y 11, numeral 8º, del Decreto Ley 4170 de 2011,</w:t>
      </w:r>
      <w:r w:rsidRPr="009322DA">
        <w:rPr>
          <w:rFonts w:ascii="Verdana" w:eastAsia="Arial MT" w:hAnsi="Verdana" w:cs="Arial MT"/>
          <w:lang w:val="es-ES" w:eastAsia="es-ES"/>
        </w:rPr>
        <w:t xml:space="preserve"> </w:t>
      </w:r>
      <w:r w:rsidRPr="009322DA">
        <w:rPr>
          <w:rFonts w:ascii="Verdana" w:eastAsia="Calibri" w:hAnsi="Verdana" w:cs="Arial"/>
        </w:rPr>
        <w:t xml:space="preserve">así como lo establecido en el artículo 4 de la Resolución 1707 de 2018 expedida por esta Entidad, </w:t>
      </w:r>
      <w:r w:rsidRPr="009322DA">
        <w:rPr>
          <w:rFonts w:ascii="Verdana" w:eastAsia="Calibri" w:hAnsi="Verdana" w:cs="Arial"/>
          <w:lang w:val="es-ES" w:eastAsia="es-ES"/>
        </w:rPr>
        <w:t xml:space="preserve">la Agencia Nacional de Contratación Pública – Colombia Compra Eficiente– responde su solicitud de consulta de fecha de </w:t>
      </w:r>
      <w:r>
        <w:rPr>
          <w:rFonts w:ascii="Verdana" w:eastAsia="Calibri" w:hAnsi="Verdana" w:cs="Arial"/>
          <w:lang w:val="es-ES" w:eastAsia="es-ES"/>
        </w:rPr>
        <w:t>07 de noviembre</w:t>
      </w:r>
      <w:r w:rsidRPr="009322DA">
        <w:rPr>
          <w:rFonts w:ascii="Verdana" w:eastAsia="Calibri" w:hAnsi="Verdana" w:cs="Arial"/>
          <w:lang w:val="es-ES" w:eastAsia="es-ES"/>
        </w:rPr>
        <w:t xml:space="preserve"> de 2024, en la cual manifiesta lo siguiente: </w:t>
      </w:r>
    </w:p>
    <w:p w14:paraId="6FE22A3A" w14:textId="77777777" w:rsidR="005120DE" w:rsidRPr="009322DA" w:rsidRDefault="005120DE" w:rsidP="005120DE">
      <w:pPr>
        <w:spacing w:after="0" w:line="240" w:lineRule="auto"/>
        <w:ind w:left="709" w:right="709"/>
        <w:jc w:val="both"/>
        <w:rPr>
          <w:rFonts w:ascii="Verdana" w:eastAsia="Century Gothic" w:hAnsi="Verdana" w:cs="Century Gothic"/>
          <w:sz w:val="20"/>
          <w:szCs w:val="20"/>
          <w:lang w:val="es-ES"/>
        </w:rPr>
      </w:pPr>
      <w:bookmarkStart w:id="1" w:name="_Hlk95313578"/>
    </w:p>
    <w:bookmarkEnd w:id="1"/>
    <w:p w14:paraId="527AE57C" w14:textId="77777777" w:rsidR="005120DE" w:rsidRDefault="005120DE" w:rsidP="005120DE">
      <w:pPr>
        <w:spacing w:line="240" w:lineRule="auto"/>
        <w:ind w:left="709" w:right="680"/>
        <w:jc w:val="both"/>
        <w:rPr>
          <w:rFonts w:ascii="Verdana" w:eastAsia="Century Gothic" w:hAnsi="Verdana" w:cs="Century Gothic"/>
          <w:sz w:val="20"/>
          <w:szCs w:val="20"/>
          <w:lang w:val="es-ES"/>
        </w:rPr>
      </w:pPr>
      <w:r w:rsidRPr="004D70FC">
        <w:rPr>
          <w:rFonts w:ascii="Verdana" w:eastAsia="Century Gothic" w:hAnsi="Verdana" w:cs="Century Gothic"/>
          <w:sz w:val="20"/>
          <w:szCs w:val="20"/>
          <w:lang w:val="es-ES"/>
        </w:rPr>
        <w:t>“</w:t>
      </w:r>
      <w:r>
        <w:rPr>
          <w:rFonts w:ascii="Verdana" w:eastAsia="Century Gothic" w:hAnsi="Verdana" w:cs="Century Gothic"/>
          <w:sz w:val="20"/>
          <w:szCs w:val="20"/>
          <w:lang w:val="es-ES"/>
        </w:rPr>
        <w:t xml:space="preserve">Dentro de la nueva versión de los pliegos tipo de infraestructura de transporte, en la capacitación del día 6 de noviembre de 2024, se hablaba </w:t>
      </w:r>
      <w:r>
        <w:rPr>
          <w:rFonts w:ascii="Verdana" w:eastAsia="Century Gothic" w:hAnsi="Verdana" w:cs="Century Gothic"/>
          <w:sz w:val="20"/>
          <w:szCs w:val="20"/>
          <w:lang w:val="es-ES"/>
        </w:rPr>
        <w:lastRenderedPageBreak/>
        <w:t>sobre una tabla sugiriendo un valor para los indicadores financieros, amablemente quisiera saber si estos valores son inmodificables por la entidad y se deben respetar siempre o existen criterios que permitan a la entidad modificarla dependiendo del tipo de proceso”</w:t>
      </w:r>
    </w:p>
    <w:p w14:paraId="4FC2ADF9" w14:textId="77777777" w:rsidR="005120DE" w:rsidRPr="004D70FC" w:rsidRDefault="005120DE" w:rsidP="005120DE">
      <w:pPr>
        <w:tabs>
          <w:tab w:val="left" w:pos="142"/>
          <w:tab w:val="left" w:pos="284"/>
        </w:tabs>
        <w:spacing w:line="276" w:lineRule="auto"/>
        <w:ind w:left="709" w:right="680"/>
        <w:contextualSpacing/>
        <w:jc w:val="both"/>
        <w:rPr>
          <w:rFonts w:ascii="Verdana" w:eastAsia="Century Gothic" w:hAnsi="Verdana" w:cs="Century Gothic"/>
          <w:b/>
          <w:bCs/>
          <w:sz w:val="20"/>
          <w:szCs w:val="20"/>
          <w:lang w:val="es-ES"/>
        </w:rPr>
      </w:pPr>
    </w:p>
    <w:p w14:paraId="7A9900D2" w14:textId="77777777" w:rsidR="005120DE" w:rsidRPr="009322DA" w:rsidRDefault="005120DE" w:rsidP="005120DE">
      <w:pPr>
        <w:spacing w:after="120" w:line="276" w:lineRule="auto"/>
        <w:ind w:firstLine="709"/>
        <w:jc w:val="both"/>
        <w:rPr>
          <w:rFonts w:ascii="Verdana" w:eastAsia="Calibri" w:hAnsi="Verdana" w:cs="Arial"/>
          <w:szCs w:val="24"/>
          <w:lang w:val="es-ES_tradnl" w:eastAsia="es-ES_tradnl"/>
        </w:rPr>
      </w:pPr>
      <w:r w:rsidRPr="009322DA">
        <w:rPr>
          <w:rFonts w:ascii="Verdana" w:eastAsia="Calibri" w:hAnsi="Verdana"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eastAsia="Calibri" w:hAnsi="Verdana" w:cs="Arial"/>
          <w:szCs w:val="24"/>
          <w:lang w:val="es-ES_tradnl" w:eastAsia="es-ES_tradnl"/>
        </w:rPr>
        <w:tab/>
      </w:r>
    </w:p>
    <w:p w14:paraId="5AC1708C" w14:textId="77777777" w:rsidR="005120DE" w:rsidRPr="009322DA" w:rsidRDefault="005120DE" w:rsidP="005120DE">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A07993A" w14:textId="77777777" w:rsidR="005120DE" w:rsidRPr="009322DA" w:rsidRDefault="005120DE" w:rsidP="005120DE">
      <w:pPr>
        <w:spacing w:after="0" w:line="276" w:lineRule="auto"/>
        <w:ind w:firstLine="709"/>
        <w:jc w:val="both"/>
        <w:rPr>
          <w:rFonts w:ascii="Verdana" w:eastAsia="Calibri" w:hAnsi="Verdana" w:cs="Arial"/>
          <w:lang w:val="es-ES" w:eastAsia="es-ES"/>
        </w:rPr>
      </w:pPr>
    </w:p>
    <w:p w14:paraId="208E3544" w14:textId="77777777" w:rsidR="005120DE" w:rsidRPr="009322DA" w:rsidRDefault="005120DE" w:rsidP="005120DE">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Problema planteado:</w:t>
      </w:r>
    </w:p>
    <w:p w14:paraId="0A9E3A76" w14:textId="77777777" w:rsidR="005120DE" w:rsidRPr="009322DA" w:rsidRDefault="005120DE" w:rsidP="005120DE">
      <w:pPr>
        <w:tabs>
          <w:tab w:val="left" w:pos="426"/>
        </w:tabs>
        <w:spacing w:after="0" w:line="276" w:lineRule="auto"/>
        <w:jc w:val="both"/>
        <w:rPr>
          <w:rFonts w:ascii="Verdana" w:eastAsia="Century Gothic" w:hAnsi="Verdana" w:cs="Century Gothic"/>
          <w:lang w:val="es-ES"/>
        </w:rPr>
      </w:pPr>
    </w:p>
    <w:p w14:paraId="733582A7" w14:textId="77777777" w:rsidR="005120DE" w:rsidRPr="009322DA" w:rsidRDefault="005120DE" w:rsidP="005120DE">
      <w:pPr>
        <w:spacing w:after="0" w:line="276" w:lineRule="auto"/>
        <w:jc w:val="both"/>
        <w:rPr>
          <w:rFonts w:ascii="Verdana" w:eastAsia="Century Gothic" w:hAnsi="Verdana" w:cs="Century Gothic"/>
        </w:rPr>
      </w:pPr>
      <w:r w:rsidRPr="009322DA">
        <w:rPr>
          <w:rFonts w:ascii="Verdana" w:eastAsia="Century Gothic" w:hAnsi="Verdana" w:cs="Century Gothic"/>
        </w:rPr>
        <w:t>De acuerdo con el contenido de su solicitud, esta Agencia resolverá los siguientes problemas jurídicos:</w:t>
      </w:r>
      <w:r>
        <w:rPr>
          <w:rFonts w:ascii="Verdana" w:eastAsia="Century Gothic" w:hAnsi="Verdana" w:cs="Century Gothic"/>
        </w:rPr>
        <w:t xml:space="preserve"> ¿Las Entidades Estatales pueden establecer o modificar los requisitos de capacidad financiera y organizacional establecidos en los documentos tipo de infraestructura de transporte?</w:t>
      </w:r>
    </w:p>
    <w:p w14:paraId="66E22CF0" w14:textId="77777777" w:rsidR="005120DE" w:rsidRPr="009322DA" w:rsidRDefault="005120DE" w:rsidP="005120DE">
      <w:pPr>
        <w:spacing w:after="0" w:line="276" w:lineRule="auto"/>
        <w:jc w:val="both"/>
        <w:rPr>
          <w:rFonts w:ascii="Verdana" w:eastAsia="Calibri" w:hAnsi="Verdana" w:cs="Arial"/>
          <w:lang w:val="es-ES"/>
        </w:rPr>
      </w:pPr>
    </w:p>
    <w:p w14:paraId="0DE2DF2A" w14:textId="77777777" w:rsidR="005120DE" w:rsidRPr="009322DA" w:rsidRDefault="005120DE" w:rsidP="005120DE">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Respuesta:</w:t>
      </w: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120DE" w:rsidRPr="009322DA" w14:paraId="2EEBD8E7" w14:textId="77777777" w:rsidTr="00854724">
        <w:tc>
          <w:tcPr>
            <w:tcW w:w="8828" w:type="dxa"/>
            <w:tcBorders>
              <w:top w:val="dotted" w:sz="4" w:space="0" w:color="auto"/>
              <w:left w:val="dotted" w:sz="4" w:space="0" w:color="auto"/>
              <w:bottom w:val="dotted" w:sz="4" w:space="0" w:color="auto"/>
              <w:right w:val="dotted" w:sz="4" w:space="0" w:color="auto"/>
            </w:tcBorders>
          </w:tcPr>
          <w:p w14:paraId="5397F7EB" w14:textId="77777777" w:rsidR="005120DE" w:rsidRDefault="005120DE" w:rsidP="00854724">
            <w:pPr>
              <w:jc w:val="both"/>
              <w:rPr>
                <w:rFonts w:ascii="Verdana" w:eastAsia="Times New Roman" w:hAnsi="Verdana" w:cs="Arial"/>
                <w:kern w:val="2"/>
              </w:rPr>
            </w:pPr>
            <w:r w:rsidRPr="00561374">
              <w:rPr>
                <w:rFonts w:ascii="Verdana" w:eastAsia="Times New Roman" w:hAnsi="Verdana" w:cs="Arial"/>
                <w:kern w:val="2"/>
              </w:rPr>
              <w:t xml:space="preserve">Los documentos tipo contiene las condiciones habilitantes, factores técnicos, económicos y otros factores de escogencia </w:t>
            </w:r>
            <w:r w:rsidRPr="00561374">
              <w:rPr>
                <w:rFonts w:ascii="Verdana" w:eastAsia="Times New Roman" w:hAnsi="Verdana" w:cs="Arial"/>
                <w:b/>
                <w:bCs/>
                <w:kern w:val="2"/>
              </w:rPr>
              <w:t>de carácter obligatorio</w:t>
            </w:r>
            <w:r w:rsidRPr="00561374">
              <w:rPr>
                <w:rFonts w:ascii="Verdana" w:eastAsia="Times New Roman" w:hAnsi="Verdana" w:cs="Arial"/>
                <w:kern w:val="2"/>
              </w:rPr>
              <w:t xml:space="preserve"> para las Entidades Estatales sometidas al régimen general de contratación pública, esto sin perjuicio de lo establecido en el artículo 56 de la Ley 2195 de 2022, mediante el cual se amplió el ámbito de aplicación de los Documentos Tipo para Entidades Exceptuadas del Estatuto.</w:t>
            </w:r>
          </w:p>
          <w:p w14:paraId="080ECBEA" w14:textId="77777777" w:rsidR="005120DE" w:rsidRPr="00561374" w:rsidRDefault="005120DE" w:rsidP="00854724">
            <w:pPr>
              <w:jc w:val="both"/>
              <w:rPr>
                <w:rFonts w:ascii="Verdana" w:eastAsia="Times New Roman" w:hAnsi="Verdana" w:cs="Arial"/>
                <w:kern w:val="2"/>
              </w:rPr>
            </w:pPr>
          </w:p>
          <w:p w14:paraId="3AB185CF" w14:textId="77777777" w:rsidR="005120DE" w:rsidRDefault="005120DE" w:rsidP="00854724">
            <w:pPr>
              <w:jc w:val="both"/>
              <w:rPr>
                <w:rFonts w:ascii="Verdana" w:eastAsia="Times New Roman" w:hAnsi="Verdana" w:cs="Arial"/>
                <w:kern w:val="2"/>
              </w:rPr>
            </w:pPr>
            <w:r w:rsidRPr="00561374">
              <w:rPr>
                <w:rFonts w:ascii="Verdana" w:eastAsia="Times New Roman" w:hAnsi="Verdana" w:cs="Arial"/>
                <w:kern w:val="2"/>
              </w:rPr>
              <w:lastRenderedPageBreak/>
              <w:t xml:space="preserve">Dentro de las condiciones habilitantes exigidas se encuentran los requisitos de capacidad financiera y organizacional, los cuales, por ejemplo, para el documento tipo de infraestructura de trasporte en la modalidad de licitación pública, se </w:t>
            </w:r>
            <w:r w:rsidRPr="00561374">
              <w:rPr>
                <w:rFonts w:ascii="Verdana" w:eastAsia="Times New Roman" w:hAnsi="Verdana" w:cs="Arial"/>
                <w:b/>
                <w:bCs/>
                <w:kern w:val="2"/>
              </w:rPr>
              <w:t>encuentran definidos</w:t>
            </w:r>
            <w:r w:rsidRPr="00561374">
              <w:rPr>
                <w:rFonts w:ascii="Verdana" w:eastAsia="Times New Roman" w:hAnsi="Verdana" w:cs="Arial"/>
                <w:kern w:val="2"/>
              </w:rPr>
              <w:t xml:space="preserve"> en los numerales 3.6 CAPACIDAD FINANCIERA, 3.7 CAPITAL DE TRABAJO, 3.8 PATRIMONIO Y 3.9 CAPACIDAD ORGANIZACIONAL del documento base y en la matriz 2. INDICADORES FINANCIEROS Y ORGANIZACIONALES OBRAS PARA INFRAESTRUCTURA DE TRANSPORTE.</w:t>
            </w:r>
          </w:p>
          <w:p w14:paraId="476719B6" w14:textId="77777777" w:rsidR="005120DE" w:rsidRPr="00561374" w:rsidRDefault="005120DE" w:rsidP="00854724">
            <w:pPr>
              <w:jc w:val="both"/>
              <w:rPr>
                <w:rFonts w:ascii="Verdana" w:eastAsia="Times New Roman" w:hAnsi="Verdana" w:cs="Arial"/>
                <w:kern w:val="2"/>
              </w:rPr>
            </w:pPr>
          </w:p>
          <w:p w14:paraId="595227D8" w14:textId="77777777" w:rsidR="005120DE" w:rsidRPr="00561374" w:rsidRDefault="005120DE" w:rsidP="00854724">
            <w:pPr>
              <w:jc w:val="both"/>
              <w:rPr>
                <w:rFonts w:ascii="Verdana" w:eastAsia="Times New Roman" w:hAnsi="Verdana" w:cs="Arial"/>
                <w:kern w:val="2"/>
              </w:rPr>
            </w:pPr>
            <w:r w:rsidRPr="00561374">
              <w:rPr>
                <w:rFonts w:ascii="Verdana" w:eastAsia="Times New Roman" w:hAnsi="Verdana" w:cs="Arial"/>
                <w:kern w:val="2"/>
              </w:rPr>
              <w:t xml:space="preserve">Es importante reiterar que estos </w:t>
            </w:r>
            <w:r w:rsidRPr="00561374">
              <w:rPr>
                <w:rFonts w:ascii="Verdana" w:eastAsia="Times New Roman" w:hAnsi="Verdana" w:cs="Arial"/>
                <w:b/>
                <w:bCs/>
                <w:kern w:val="2"/>
              </w:rPr>
              <w:t xml:space="preserve">requisitos deberán ser solicitados </w:t>
            </w:r>
            <w:r w:rsidRPr="00561374">
              <w:rPr>
                <w:rFonts w:ascii="Verdana" w:eastAsia="Times New Roman" w:hAnsi="Verdana" w:cs="Arial"/>
                <w:kern w:val="2"/>
              </w:rPr>
              <w:t>por las Entidades Estatales que se encuentren obligadas a estructurar sus procesos de selección para adquirir servicios de obra de infraestructura de transporte en el marco de los documentos tipo. Para ello, las Entidades deberán incluir los requisitos de capacidad financiera y organizacional definidos en el documento tipo (documento base y matriz 2), conforme con las condiciones particulares del proceso (presupuesto, plazo y demás condiciones establecidas).</w:t>
            </w:r>
          </w:p>
          <w:p w14:paraId="3FCF634F" w14:textId="77777777" w:rsidR="005120DE" w:rsidRPr="00561374" w:rsidRDefault="005120DE" w:rsidP="00854724">
            <w:pPr>
              <w:spacing w:line="276" w:lineRule="auto"/>
              <w:jc w:val="both"/>
              <w:rPr>
                <w:rFonts w:ascii="Verdana" w:eastAsia="Calibri" w:hAnsi="Verdana" w:cs="Arial"/>
              </w:rPr>
            </w:pPr>
          </w:p>
          <w:p w14:paraId="12219F60" w14:textId="77777777" w:rsidR="005120DE" w:rsidRPr="009322DA" w:rsidRDefault="005120DE" w:rsidP="00854724">
            <w:pPr>
              <w:spacing w:line="276" w:lineRule="auto"/>
              <w:jc w:val="both"/>
              <w:rPr>
                <w:rFonts w:ascii="Verdana" w:eastAsia="Calibri" w:hAnsi="Verdana" w:cs="Arial"/>
                <w:lang w:val="es-ES"/>
              </w:rPr>
            </w:pPr>
          </w:p>
        </w:tc>
      </w:tr>
    </w:tbl>
    <w:p w14:paraId="28ECE425" w14:textId="77777777" w:rsidR="005120DE" w:rsidRPr="009322DA" w:rsidRDefault="005120DE" w:rsidP="005120DE">
      <w:pPr>
        <w:tabs>
          <w:tab w:val="left" w:pos="142"/>
          <w:tab w:val="left" w:pos="284"/>
        </w:tabs>
        <w:spacing w:after="0" w:line="276" w:lineRule="auto"/>
        <w:jc w:val="both"/>
        <w:rPr>
          <w:rFonts w:ascii="Verdana" w:eastAsia="Century Gothic" w:hAnsi="Verdana" w:cs="Century Gothic"/>
          <w:b/>
          <w:bCs/>
          <w:lang w:val="es-ES"/>
        </w:rPr>
      </w:pPr>
    </w:p>
    <w:p w14:paraId="22F92B32" w14:textId="77777777" w:rsidR="005120DE" w:rsidRPr="009322DA" w:rsidRDefault="005120DE" w:rsidP="005120DE">
      <w:pPr>
        <w:tabs>
          <w:tab w:val="left" w:pos="142"/>
          <w:tab w:val="left" w:pos="284"/>
        </w:tabs>
        <w:spacing w:after="0" w:line="276" w:lineRule="auto"/>
        <w:jc w:val="both"/>
        <w:rPr>
          <w:rFonts w:ascii="Verdana" w:eastAsia="Century Gothic" w:hAnsi="Verdana" w:cs="Century Gothic"/>
          <w:b/>
          <w:bCs/>
          <w:lang w:val="es-ES"/>
        </w:rPr>
      </w:pPr>
    </w:p>
    <w:p w14:paraId="4BFAE924" w14:textId="77777777" w:rsidR="005120DE" w:rsidRPr="009322DA" w:rsidRDefault="005120DE" w:rsidP="005120DE">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Razones de la respuesta:</w:t>
      </w:r>
    </w:p>
    <w:p w14:paraId="73CEEAF5" w14:textId="77777777" w:rsidR="005120DE" w:rsidRPr="009322DA" w:rsidRDefault="005120DE" w:rsidP="005120DE">
      <w:pPr>
        <w:spacing w:after="0" w:line="276" w:lineRule="auto"/>
        <w:jc w:val="both"/>
        <w:rPr>
          <w:rFonts w:ascii="Verdana" w:eastAsia="Calibri" w:hAnsi="Verdana" w:cs="Arial"/>
          <w:lang w:val="es-ES"/>
        </w:rPr>
      </w:pPr>
    </w:p>
    <w:p w14:paraId="6418B3E2" w14:textId="77777777" w:rsidR="005120DE" w:rsidRDefault="005120DE" w:rsidP="005120DE">
      <w:pPr>
        <w:spacing w:after="0" w:line="276" w:lineRule="auto"/>
        <w:jc w:val="both"/>
        <w:rPr>
          <w:rFonts w:ascii="Verdana" w:eastAsia="Calibri" w:hAnsi="Verdana" w:cs="Arial"/>
          <w:lang w:val="es-ES"/>
        </w:rPr>
      </w:pPr>
      <w:r w:rsidRPr="009322DA">
        <w:rPr>
          <w:rFonts w:ascii="Verdana" w:eastAsia="Calibri" w:hAnsi="Verdana" w:cs="Arial"/>
          <w:lang w:val="es-ES"/>
        </w:rPr>
        <w:t xml:space="preserve">Lo anterior se sustenta en las siguientes consideraciones: </w:t>
      </w:r>
    </w:p>
    <w:p w14:paraId="22B9E11C" w14:textId="77777777" w:rsidR="005120DE" w:rsidRDefault="005120DE" w:rsidP="005120DE">
      <w:pPr>
        <w:spacing w:after="0" w:line="276" w:lineRule="auto"/>
        <w:jc w:val="both"/>
        <w:rPr>
          <w:rFonts w:ascii="Verdana" w:eastAsia="Calibri" w:hAnsi="Verdana" w:cs="Arial"/>
          <w:lang w:val="es-ES"/>
        </w:rPr>
      </w:pPr>
    </w:p>
    <w:p w14:paraId="4FFDBA40" w14:textId="77777777" w:rsidR="005120DE" w:rsidRDefault="005120DE" w:rsidP="005120DE">
      <w:pPr>
        <w:spacing w:after="0" w:line="276" w:lineRule="auto"/>
        <w:jc w:val="both"/>
        <w:rPr>
          <w:rFonts w:ascii="Verdana" w:eastAsia="Calibri" w:hAnsi="Verdana" w:cs="Arial"/>
          <w:lang w:val="es-ES"/>
        </w:rPr>
      </w:pPr>
    </w:p>
    <w:p w14:paraId="53DF033D" w14:textId="77777777" w:rsidR="005120DE" w:rsidRPr="008B5B75" w:rsidRDefault="005120DE" w:rsidP="005120DE">
      <w:pPr>
        <w:numPr>
          <w:ilvl w:val="0"/>
          <w:numId w:val="17"/>
        </w:numPr>
        <w:spacing w:after="0" w:line="276" w:lineRule="auto"/>
        <w:jc w:val="both"/>
        <w:rPr>
          <w:rFonts w:ascii="Verdana" w:eastAsia="Calibri" w:hAnsi="Verdana" w:cs="Arial"/>
          <w:b/>
          <w:bCs/>
          <w:lang w:val="es-ES"/>
        </w:rPr>
      </w:pPr>
      <w:r w:rsidRPr="008B5B75">
        <w:rPr>
          <w:rFonts w:ascii="Verdana" w:eastAsia="Calibri" w:hAnsi="Verdana" w:cs="Arial"/>
          <w:bCs/>
        </w:rPr>
        <w:t>La adopción de los documentos tipo obligatorios en el ordenamiento jurídico colombiano se incluyó por primera vez en el parágrafo 3 del artículo 2 de la Ley 1150 de 2007</w:t>
      </w:r>
      <w:r w:rsidRPr="008B5B75">
        <w:rPr>
          <w:rFonts w:ascii="Verdana" w:eastAsia="Calibri" w:hAnsi="Verdana" w:cs="Arial"/>
          <w:bCs/>
          <w:vertAlign w:val="superscript"/>
        </w:rPr>
        <w:footnoteReference w:id="1"/>
      </w:r>
      <w:r w:rsidRPr="008B5B75">
        <w:rPr>
          <w:rFonts w:ascii="Verdana" w:eastAsia="Calibri" w:hAnsi="Verdana" w:cs="Arial"/>
          <w:bCs/>
        </w:rPr>
        <w:t>, que facultó al gobierno nacional para expedirlos, pero solo cuando se tratara de la adquisición o suministro de bienes y servicios de características técnicas uniformes y de común utilización. Sin embargo, esta facultad no ha sido ejercida hasta la actualidad.</w:t>
      </w:r>
    </w:p>
    <w:p w14:paraId="2D8C1AC5" w14:textId="77777777" w:rsidR="005120DE" w:rsidRPr="008B5B75" w:rsidRDefault="005120DE" w:rsidP="005120DE">
      <w:pPr>
        <w:spacing w:after="0" w:line="276" w:lineRule="auto"/>
        <w:jc w:val="both"/>
        <w:rPr>
          <w:rFonts w:ascii="Verdana" w:eastAsia="Calibri" w:hAnsi="Verdana" w:cs="Arial"/>
          <w:b/>
          <w:bCs/>
          <w:lang w:val="es-ES"/>
        </w:rPr>
      </w:pPr>
    </w:p>
    <w:p w14:paraId="72EBC8B6" w14:textId="77777777" w:rsidR="005120DE" w:rsidRPr="009C11F0" w:rsidRDefault="005120DE" w:rsidP="005120DE">
      <w:pPr>
        <w:numPr>
          <w:ilvl w:val="0"/>
          <w:numId w:val="17"/>
        </w:numPr>
        <w:spacing w:after="0" w:line="276" w:lineRule="auto"/>
        <w:jc w:val="both"/>
        <w:rPr>
          <w:rFonts w:ascii="Verdana" w:eastAsia="Calibri" w:hAnsi="Verdana" w:cs="Arial"/>
          <w:bCs/>
        </w:rPr>
      </w:pPr>
      <w:r w:rsidRPr="009C11F0">
        <w:rPr>
          <w:rFonts w:ascii="Verdana" w:eastAsia="Calibri" w:hAnsi="Verdana" w:cs="Arial"/>
          <w:bCs/>
        </w:rPr>
        <w:t xml:space="preserve">Debido a lo anterior, el artículo 4 de la Ley 1882 de 2018 es el antecedente más relevante de la expedición de documentos tipo con alcance </w:t>
      </w:r>
      <w:r w:rsidRPr="009C11F0">
        <w:rPr>
          <w:rFonts w:ascii="Verdana" w:eastAsia="Calibri" w:hAnsi="Verdana" w:cs="Arial"/>
          <w:bCs/>
        </w:rPr>
        <w:lastRenderedPageBreak/>
        <w:t xml:space="preserve">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5A7FE374" w14:textId="77777777" w:rsidR="005120DE" w:rsidRPr="009C11F0" w:rsidRDefault="005120DE" w:rsidP="005120DE">
      <w:pPr>
        <w:spacing w:after="0" w:line="276" w:lineRule="auto"/>
        <w:jc w:val="both"/>
        <w:rPr>
          <w:rFonts w:ascii="Verdana" w:eastAsia="Calibri" w:hAnsi="Verdana" w:cs="Arial"/>
        </w:rPr>
      </w:pPr>
    </w:p>
    <w:p w14:paraId="7745C45C" w14:textId="77777777" w:rsidR="005120DE" w:rsidRPr="00685B3D" w:rsidRDefault="005120DE" w:rsidP="005120DE">
      <w:pPr>
        <w:pStyle w:val="Prrafodelista"/>
        <w:numPr>
          <w:ilvl w:val="0"/>
          <w:numId w:val="17"/>
        </w:numPr>
        <w:spacing w:after="120" w:line="276" w:lineRule="auto"/>
        <w:jc w:val="both"/>
        <w:rPr>
          <w:rFonts w:ascii="Arial" w:eastAsia="Calibri" w:hAnsi="Arial" w:cs="Arial"/>
          <w:color w:val="000000"/>
          <w:lang w:val="es-ES_tradnl" w:eastAsia="es-MX"/>
        </w:rPr>
      </w:pPr>
      <w:r w:rsidRPr="00815993">
        <w:rPr>
          <w:rFonts w:ascii="Verdana" w:eastAsia="Calibri" w:hAnsi="Verdana" w:cs="Arial"/>
          <w:bCs/>
          <w:lang w:val="es-CO"/>
        </w:rPr>
        <w:t xml:space="preserve">La capacidad financiera se determina a través de la liquidez y el endeudamiento de los proponentes. Esta busca establecer condiciones mínimas en relación con la </w:t>
      </w:r>
      <w:r>
        <w:rPr>
          <w:rFonts w:ascii="Verdana" w:eastAsia="Calibri" w:hAnsi="Verdana" w:cs="Arial"/>
          <w:bCs/>
          <w:lang w:val="es-CO"/>
        </w:rPr>
        <w:t>“</w:t>
      </w:r>
      <w:r w:rsidRPr="00815993">
        <w:rPr>
          <w:rFonts w:ascii="Verdana" w:eastAsia="Calibri" w:hAnsi="Verdana" w:cs="Arial"/>
          <w:bCs/>
          <w:lang w:val="es-CO"/>
        </w:rPr>
        <w:t>salud financiera</w:t>
      </w:r>
      <w:r>
        <w:rPr>
          <w:rFonts w:ascii="Verdana" w:eastAsia="Calibri" w:hAnsi="Verdana" w:cs="Arial"/>
          <w:bCs/>
          <w:lang w:val="es-CO"/>
        </w:rPr>
        <w:t>”</w:t>
      </w:r>
      <w:r w:rsidRPr="00815993">
        <w:rPr>
          <w:rFonts w:ascii="Verdana" w:eastAsia="Calibri" w:hAnsi="Verdana" w:cs="Arial"/>
          <w:bCs/>
          <w:lang w:val="es-CO"/>
        </w:rPr>
        <w:t xml:space="preserve"> de estos últimos, particularmente, demostrar su aptitud para cumplir oportuna y cabalmente el objeto del contrato. Para la doctrina, este requisito </w:t>
      </w:r>
      <w:r>
        <w:rPr>
          <w:rFonts w:ascii="Verdana" w:eastAsia="Calibri" w:hAnsi="Verdana" w:cs="Arial"/>
          <w:bCs/>
          <w:lang w:val="es-CO"/>
        </w:rPr>
        <w:t>“</w:t>
      </w:r>
      <w:r w:rsidRPr="00815993">
        <w:rPr>
          <w:rFonts w:ascii="Verdana" w:eastAsia="Calibri" w:hAnsi="Verdana" w:cs="Arial"/>
          <w:bCs/>
          <w:lang w:val="es-CO"/>
        </w:rPr>
        <w:t>[…] corresponde a la idea de que el proponente tiene la solidez económica y financiera suficiente para responder por el objeto contractual que se llegue a pactar. Para el efecto, se analizan los principales indicadores económicos del proponente (patrimonio, liquidez y nivel de endeudamiento) y, con fundamento en ellos, se determina si este es suficientemente idóneo desde la perspectiva económica para ejecutar adecuadamente el contrato</w:t>
      </w:r>
      <w:r>
        <w:rPr>
          <w:rFonts w:ascii="Arial" w:eastAsia="Calibri" w:hAnsi="Arial" w:cs="Arial"/>
          <w:color w:val="000000"/>
          <w:lang w:val="es-ES_tradnl" w:eastAsia="es-MX"/>
        </w:rPr>
        <w:t>”</w:t>
      </w:r>
      <w:r w:rsidRPr="008614D7">
        <w:rPr>
          <w:vertAlign w:val="superscript"/>
          <w:lang w:eastAsia="es-MX"/>
        </w:rPr>
        <w:footnoteReference w:id="2"/>
      </w:r>
      <w:r w:rsidRPr="00685B3D">
        <w:rPr>
          <w:rFonts w:ascii="Arial" w:eastAsia="Calibri" w:hAnsi="Arial" w:cs="Arial"/>
          <w:color w:val="000000"/>
          <w:lang w:val="es-ES_tradnl" w:eastAsia="es-MX"/>
        </w:rPr>
        <w:t xml:space="preserve">. </w:t>
      </w:r>
    </w:p>
    <w:p w14:paraId="4A8AFADA" w14:textId="77777777" w:rsidR="005120DE" w:rsidRPr="00685B3D" w:rsidRDefault="005120DE" w:rsidP="005120DE">
      <w:pPr>
        <w:pStyle w:val="Prrafodelista"/>
        <w:rPr>
          <w:rFonts w:ascii="Arial" w:eastAsia="Calibri" w:hAnsi="Arial" w:cs="Arial"/>
          <w:color w:val="000000"/>
          <w:lang w:val="es-ES_tradnl" w:eastAsia="es-MX"/>
        </w:rPr>
      </w:pPr>
    </w:p>
    <w:p w14:paraId="50C659BB" w14:textId="77777777" w:rsidR="005120DE" w:rsidRPr="00815993" w:rsidRDefault="005120DE" w:rsidP="005120DE">
      <w:pPr>
        <w:pStyle w:val="Prrafodelista"/>
        <w:numPr>
          <w:ilvl w:val="0"/>
          <w:numId w:val="17"/>
        </w:numPr>
        <w:spacing w:after="0" w:line="276" w:lineRule="auto"/>
        <w:jc w:val="both"/>
        <w:rPr>
          <w:rFonts w:ascii="Verdana" w:eastAsia="Calibri" w:hAnsi="Verdana" w:cs="Arial"/>
          <w:bCs/>
          <w:lang w:val="es-CO"/>
        </w:rPr>
      </w:pPr>
      <w:r w:rsidRPr="00815993">
        <w:rPr>
          <w:rFonts w:ascii="Verdana" w:eastAsia="Calibri" w:hAnsi="Verdana" w:cs="Arial"/>
          <w:bCs/>
          <w:lang w:val="es-CO"/>
        </w:rPr>
        <w:t xml:space="preserve">Según el artículo 2.2.1.1.1.5.3 del Decreto 1082 de 2015, son indicadores de la capacidad financiera los siguientes: i) el índice de liquidez, que corresponde a la división entre el activo corriente y el pasivo corriente, y que determina la capacidad que tiene el proponente para cumplir con sus obligaciones de corto plazo; ii) el índice de endeudamiento, que se calcula dividiendo el pasivo total por el activo total, el cual determina el grado de endeudamiento en la estructura de financiación del proponente; y </w:t>
      </w:r>
      <w:proofErr w:type="spellStart"/>
      <w:r w:rsidRPr="00815993">
        <w:rPr>
          <w:rFonts w:ascii="Verdana" w:eastAsia="Calibri" w:hAnsi="Verdana" w:cs="Arial"/>
          <w:bCs/>
          <w:lang w:val="es-CO"/>
        </w:rPr>
        <w:t>iii</w:t>
      </w:r>
      <w:proofErr w:type="spellEnd"/>
      <w:r w:rsidRPr="00815993">
        <w:rPr>
          <w:rFonts w:ascii="Verdana" w:eastAsia="Calibri" w:hAnsi="Verdana" w:cs="Arial"/>
          <w:bCs/>
          <w:lang w:val="es-CO"/>
        </w:rPr>
        <w:t xml:space="preserve">) la razón de cobertura de intereses, que es igual a la utilidad operacional, sobre los gastos de intereses, y que refleja la capacidad del proponente para cumplir con sus obligaciones financieras. Adicionalmente, Colombia Compra Eficiente recomienda valorar otro tipo de indicadores como el </w:t>
      </w:r>
      <w:r w:rsidRPr="00815993">
        <w:rPr>
          <w:rFonts w:ascii="Verdana" w:eastAsia="Calibri" w:hAnsi="Verdana" w:cs="Arial"/>
          <w:bCs/>
          <w:lang w:val="es-CO"/>
        </w:rPr>
        <w:lastRenderedPageBreak/>
        <w:t>capital de trabajo, la razón de efectivo, la denominada prueba ácida</w:t>
      </w:r>
      <w:r w:rsidRPr="008614D7">
        <w:rPr>
          <w:vertAlign w:val="superscript"/>
          <w:lang w:eastAsia="es-MX"/>
        </w:rPr>
        <w:footnoteReference w:id="3"/>
      </w:r>
      <w:r w:rsidRPr="00685B3D">
        <w:rPr>
          <w:rFonts w:ascii="Arial" w:eastAsia="Calibri" w:hAnsi="Arial" w:cs="Arial"/>
          <w:color w:val="000000"/>
          <w:lang w:val="es-ES_tradnl" w:eastAsia="es-MX"/>
        </w:rPr>
        <w:t xml:space="preserve">, </w:t>
      </w:r>
      <w:r w:rsidRPr="00815993">
        <w:rPr>
          <w:rFonts w:ascii="Verdana" w:eastAsia="Calibri" w:hAnsi="Verdana" w:cs="Arial"/>
          <w:bCs/>
          <w:lang w:val="es-CO"/>
        </w:rPr>
        <w:t>la concentración de endeudamiento a corto y a largo plazo y el patrimonio.</w:t>
      </w:r>
    </w:p>
    <w:p w14:paraId="646D4149" w14:textId="77777777" w:rsidR="005120DE" w:rsidRPr="00685B3D" w:rsidRDefault="005120DE" w:rsidP="005120DE">
      <w:pPr>
        <w:pStyle w:val="Prrafodelista"/>
        <w:rPr>
          <w:rFonts w:ascii="Arial" w:eastAsia="Calibri" w:hAnsi="Arial" w:cs="Arial"/>
          <w:color w:val="000000"/>
          <w:lang w:val="es-ES_tradnl"/>
        </w:rPr>
      </w:pPr>
    </w:p>
    <w:p w14:paraId="4E6E6C01" w14:textId="77777777" w:rsidR="005120DE" w:rsidRPr="00815993" w:rsidRDefault="005120DE" w:rsidP="005120DE">
      <w:pPr>
        <w:pStyle w:val="Prrafodelista"/>
        <w:numPr>
          <w:ilvl w:val="0"/>
          <w:numId w:val="17"/>
        </w:numPr>
        <w:spacing w:before="120" w:after="0" w:line="276" w:lineRule="auto"/>
        <w:jc w:val="both"/>
        <w:rPr>
          <w:rFonts w:ascii="Verdana" w:eastAsia="Calibri" w:hAnsi="Verdana" w:cs="Arial"/>
          <w:bCs/>
          <w:lang w:val="es-CO"/>
        </w:rPr>
      </w:pPr>
      <w:r w:rsidRPr="00815993">
        <w:rPr>
          <w:rFonts w:ascii="Verdana" w:eastAsia="Calibri" w:hAnsi="Verdana" w:cs="Arial"/>
          <w:bCs/>
          <w:lang w:val="es-CO"/>
        </w:rPr>
        <w:t xml:space="preserve">Por otra parte, la capacidad de organización, según el </w:t>
      </w:r>
      <w:r>
        <w:rPr>
          <w:rFonts w:ascii="Verdana" w:eastAsia="Calibri" w:hAnsi="Verdana" w:cs="Arial"/>
          <w:bCs/>
          <w:lang w:val="es-CO"/>
        </w:rPr>
        <w:t>“</w:t>
      </w:r>
      <w:r w:rsidRPr="00815993">
        <w:rPr>
          <w:rFonts w:ascii="Verdana" w:eastAsia="Calibri" w:hAnsi="Verdana" w:cs="Arial"/>
          <w:bCs/>
          <w:lang w:val="es-CO"/>
        </w:rPr>
        <w:t>Manual para determinar y verificar los requisitos habilitantes en los Procesos de Contratación</w:t>
      </w:r>
      <w:r>
        <w:rPr>
          <w:rFonts w:ascii="Verdana" w:eastAsia="Calibri" w:hAnsi="Verdana" w:cs="Arial"/>
          <w:bCs/>
          <w:lang w:val="es-CO"/>
        </w:rPr>
        <w:t>”</w:t>
      </w:r>
      <w:r w:rsidRPr="00815993">
        <w:rPr>
          <w:rFonts w:ascii="Verdana" w:eastAsia="Calibri" w:hAnsi="Verdana" w:cs="Arial"/>
          <w:bCs/>
          <w:lang w:val="es-CO"/>
        </w:rPr>
        <w:t xml:space="preserve">, elaborado por la Agencia Nacional de Contratación Pública, es </w:t>
      </w:r>
      <w:r>
        <w:rPr>
          <w:rFonts w:ascii="Verdana" w:eastAsia="Calibri" w:hAnsi="Verdana" w:cs="Arial"/>
          <w:bCs/>
          <w:lang w:val="es-CO"/>
        </w:rPr>
        <w:t>“</w:t>
      </w:r>
      <w:r w:rsidRPr="00815993">
        <w:rPr>
          <w:rFonts w:ascii="Verdana" w:eastAsia="Calibri" w:hAnsi="Verdana" w:cs="Arial"/>
          <w:bCs/>
          <w:lang w:val="es-CO"/>
        </w:rPr>
        <w:t>la aptitud de un proponente para cumplir oportuna y cabalmente el objeto del contrato en función de su organización interna</w:t>
      </w:r>
      <w:r>
        <w:rPr>
          <w:rFonts w:ascii="Verdana" w:eastAsia="Calibri" w:hAnsi="Verdana" w:cs="Arial"/>
          <w:bCs/>
          <w:lang w:val="es-CO"/>
        </w:rPr>
        <w:t>”</w:t>
      </w:r>
      <w:r w:rsidRPr="00815993">
        <w:rPr>
          <w:rFonts w:ascii="Verdana" w:eastAsia="Calibri" w:hAnsi="Verdana" w:cs="Arial"/>
          <w:bCs/>
          <w:lang w:val="es-CO"/>
        </w:rPr>
        <w:t>. Según el artículo 2.2.1.1.1.5.3., numeral 4, del Decreto 1082 de 2015, los indicadores para medir la capacidad organizacional de un proponente son: por un lado, la rentabilidad del patrimonio,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rentabilidad del activo,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7D323E12" w14:textId="77777777" w:rsidR="005120DE" w:rsidRPr="00815993" w:rsidRDefault="005120DE" w:rsidP="005120DE">
      <w:pPr>
        <w:pStyle w:val="Prrafodelista"/>
        <w:numPr>
          <w:ilvl w:val="0"/>
          <w:numId w:val="17"/>
        </w:numPr>
        <w:spacing w:before="120" w:after="120" w:line="276" w:lineRule="auto"/>
        <w:jc w:val="both"/>
        <w:rPr>
          <w:rFonts w:ascii="Arial" w:eastAsia="Calibri" w:hAnsi="Arial" w:cs="Arial"/>
          <w:color w:val="000000"/>
          <w:lang w:val="es-ES_tradnl"/>
        </w:rPr>
      </w:pPr>
      <w:r w:rsidRPr="00815993">
        <w:rPr>
          <w:rFonts w:ascii="Verdana" w:eastAsia="Calibri" w:hAnsi="Verdana" w:cs="Arial"/>
          <w:bCs/>
          <w:lang w:val="es-CO"/>
        </w:rPr>
        <w:t xml:space="preserve">A juicio de esta Agencia, también son relevantes los siguientes indicadores, pero únicamente en aquellos casos en los que, por las características del objeto a contratar, la naturaleza o la complejidad del proceso de contratación, se requieran: i) margen bruto; </w:t>
      </w:r>
      <w:proofErr w:type="spellStart"/>
      <w:r w:rsidRPr="00815993">
        <w:rPr>
          <w:rFonts w:ascii="Verdana" w:eastAsia="Calibri" w:hAnsi="Verdana" w:cs="Arial"/>
          <w:bCs/>
          <w:lang w:val="es-CO"/>
        </w:rPr>
        <w:t>ii</w:t>
      </w:r>
      <w:proofErr w:type="spellEnd"/>
      <w:r w:rsidRPr="00815993">
        <w:rPr>
          <w:rFonts w:ascii="Verdana" w:eastAsia="Calibri" w:hAnsi="Verdana" w:cs="Arial"/>
          <w:bCs/>
          <w:lang w:val="es-CO"/>
        </w:rPr>
        <w:t xml:space="preserve">) margen operacional; </w:t>
      </w:r>
      <w:proofErr w:type="spellStart"/>
      <w:r w:rsidRPr="00815993">
        <w:rPr>
          <w:rFonts w:ascii="Verdana" w:eastAsia="Calibri" w:hAnsi="Verdana" w:cs="Arial"/>
          <w:bCs/>
          <w:lang w:val="es-CO"/>
        </w:rPr>
        <w:t>iii</w:t>
      </w:r>
      <w:proofErr w:type="spellEnd"/>
      <w:r w:rsidRPr="00815993">
        <w:rPr>
          <w:rFonts w:ascii="Verdana" w:eastAsia="Calibri" w:hAnsi="Verdana" w:cs="Arial"/>
          <w:bCs/>
          <w:lang w:val="es-CO"/>
        </w:rPr>
        <w:t xml:space="preserve">) margen neto; </w:t>
      </w:r>
      <w:proofErr w:type="spellStart"/>
      <w:r w:rsidRPr="00815993">
        <w:rPr>
          <w:rFonts w:ascii="Verdana" w:eastAsia="Calibri" w:hAnsi="Verdana" w:cs="Arial"/>
          <w:bCs/>
          <w:lang w:val="es-CO"/>
        </w:rPr>
        <w:t>iv</w:t>
      </w:r>
      <w:proofErr w:type="spellEnd"/>
      <w:r w:rsidRPr="00815993">
        <w:rPr>
          <w:rFonts w:ascii="Verdana" w:eastAsia="Calibri" w:hAnsi="Verdana" w:cs="Arial"/>
          <w:bCs/>
          <w:lang w:val="es-CO"/>
        </w:rPr>
        <w:t xml:space="preserve">) retorno sobre capital invertido; v) rotación de activos totales; vi) rotación de activos fijos; y </w:t>
      </w:r>
      <w:proofErr w:type="spellStart"/>
      <w:r w:rsidRPr="00815993">
        <w:rPr>
          <w:rFonts w:ascii="Verdana" w:eastAsia="Calibri" w:hAnsi="Verdana" w:cs="Arial"/>
          <w:bCs/>
          <w:lang w:val="es-CO"/>
        </w:rPr>
        <w:t>vii</w:t>
      </w:r>
      <w:proofErr w:type="spellEnd"/>
      <w:r w:rsidRPr="00815993">
        <w:rPr>
          <w:rFonts w:ascii="Verdana" w:eastAsia="Calibri" w:hAnsi="Verdana" w:cs="Arial"/>
          <w:bCs/>
          <w:lang w:val="es-CO"/>
        </w:rPr>
        <w:t>) rotación de inventarios</w:t>
      </w:r>
      <w:r w:rsidRPr="00815993">
        <w:rPr>
          <w:rFonts w:ascii="Arial" w:eastAsia="Calibri" w:hAnsi="Arial" w:cs="Arial"/>
          <w:color w:val="000000"/>
          <w:lang w:val="es-ES_tradnl"/>
        </w:rPr>
        <w:t>.</w:t>
      </w:r>
    </w:p>
    <w:p w14:paraId="0B844555" w14:textId="77777777" w:rsidR="005120DE" w:rsidRPr="00815993" w:rsidRDefault="005120DE" w:rsidP="005120DE">
      <w:pPr>
        <w:pStyle w:val="Prrafodelista"/>
        <w:numPr>
          <w:ilvl w:val="0"/>
          <w:numId w:val="17"/>
        </w:numPr>
        <w:spacing w:after="120" w:line="276" w:lineRule="auto"/>
        <w:jc w:val="both"/>
        <w:rPr>
          <w:rFonts w:ascii="Verdana" w:eastAsia="Calibri" w:hAnsi="Verdana" w:cs="Arial"/>
          <w:bCs/>
          <w:lang w:val="es-CO"/>
        </w:rPr>
      </w:pPr>
      <w:r w:rsidRPr="00815993">
        <w:rPr>
          <w:rFonts w:ascii="Verdana" w:eastAsia="Calibri" w:hAnsi="Verdana" w:cs="Arial"/>
          <w:bCs/>
          <w:lang w:val="es-CO"/>
        </w:rPr>
        <w:t xml:space="preserve">En este contexto, la capacidad financiera y organizacional que la entidad requiera para un proceso de contratación debe ser adecuada y proporcional a la naturaleza y al valor del contrato. Además, deben </w:t>
      </w:r>
      <w:r w:rsidRPr="00815993">
        <w:rPr>
          <w:rFonts w:ascii="Verdana" w:eastAsia="Calibri" w:hAnsi="Verdana" w:cs="Arial"/>
          <w:bCs/>
          <w:lang w:val="es-CO"/>
        </w:rPr>
        <w:lastRenderedPageBreak/>
        <w:t xml:space="preserve">establecerse con fundamento en los estudios del sector, los cuales pueden ser elaborados según la </w:t>
      </w:r>
      <w:r>
        <w:rPr>
          <w:rFonts w:ascii="Verdana" w:eastAsia="Calibri" w:hAnsi="Verdana" w:cs="Arial"/>
          <w:bCs/>
          <w:lang w:val="es-CO"/>
        </w:rPr>
        <w:t>“</w:t>
      </w:r>
      <w:r w:rsidRPr="00815993">
        <w:rPr>
          <w:rFonts w:ascii="Verdana" w:eastAsia="Calibri" w:hAnsi="Verdana" w:cs="Arial"/>
          <w:bCs/>
          <w:lang w:val="es-CO"/>
        </w:rPr>
        <w:t>Guía para la Elaboración de Estudios de Sector</w:t>
      </w:r>
      <w:r>
        <w:rPr>
          <w:rFonts w:ascii="Verdana" w:eastAsia="Calibri" w:hAnsi="Verdana" w:cs="Arial"/>
          <w:bCs/>
          <w:lang w:val="es-CO"/>
        </w:rPr>
        <w:t>”</w:t>
      </w:r>
      <w:r w:rsidRPr="00815993">
        <w:rPr>
          <w:rFonts w:ascii="Verdana" w:eastAsia="Calibri" w:hAnsi="Verdana" w:cs="Arial"/>
          <w:bCs/>
          <w:lang w:val="es-CO"/>
        </w:rPr>
        <w:t>, de esta Agencia. En atención a la naturaleza del contrato a suscribir y su valor, plazo y forma de pago, la entidad debe usar los indicadores que considere adecuados respecto al objeto del proceso de contratación, para lo cual no es suficiente la aplicación mecánica de fórmulas financieras, pues deben conocer cada indicador, sus fórmulas de cálculo y su interpretación.</w:t>
      </w:r>
    </w:p>
    <w:p w14:paraId="6C648D0B" w14:textId="77777777" w:rsidR="005120DE" w:rsidRPr="008614D7" w:rsidRDefault="005120DE" w:rsidP="005120DE">
      <w:pPr>
        <w:pStyle w:val="Prrafodelista"/>
        <w:rPr>
          <w:rFonts w:ascii="Verdana" w:eastAsia="Calibri" w:hAnsi="Verdana" w:cs="Arial"/>
          <w:lang w:val="es-ES_tradnl"/>
        </w:rPr>
      </w:pPr>
      <w:r>
        <w:rPr>
          <w:rFonts w:ascii="Verdana" w:eastAsia="Calibri" w:hAnsi="Verdana" w:cs="Arial"/>
          <w:lang w:val="es-ES_tradnl"/>
        </w:rPr>
        <w:t xml:space="preserve">                  </w:t>
      </w:r>
    </w:p>
    <w:p w14:paraId="6883BD8E" w14:textId="77777777" w:rsidR="005120DE" w:rsidRPr="009322DA" w:rsidRDefault="005120DE" w:rsidP="005120DE">
      <w:pPr>
        <w:jc w:val="both"/>
        <w:rPr>
          <w:rFonts w:ascii="Verdana" w:eastAsia="Calibri" w:hAnsi="Verdana" w:cs="Arial"/>
          <w:b/>
          <w:bCs/>
        </w:rPr>
      </w:pPr>
      <w:r w:rsidRPr="009322DA">
        <w:rPr>
          <w:rFonts w:ascii="Verdana" w:eastAsia="Calibri" w:hAnsi="Verdana" w:cs="Arial"/>
          <w:b/>
          <w:bCs/>
        </w:rPr>
        <w:t>4. Referencias 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5120DE" w:rsidRPr="009322DA" w14:paraId="6987BCF2" w14:textId="77777777" w:rsidTr="00854724">
        <w:trPr>
          <w:trHeight w:val="870"/>
        </w:trPr>
        <w:tc>
          <w:tcPr>
            <w:tcW w:w="8647" w:type="dxa"/>
            <w:tcBorders>
              <w:top w:val="dotted" w:sz="4" w:space="0" w:color="auto"/>
              <w:left w:val="dotted" w:sz="4" w:space="0" w:color="auto"/>
              <w:bottom w:val="dotted" w:sz="4" w:space="0" w:color="auto"/>
              <w:right w:val="dotted" w:sz="4" w:space="0" w:color="auto"/>
            </w:tcBorders>
          </w:tcPr>
          <w:p w14:paraId="210BD36B" w14:textId="77777777" w:rsidR="005120DE" w:rsidRPr="000C6AD5" w:rsidRDefault="005120DE" w:rsidP="005120DE">
            <w:pPr>
              <w:pStyle w:val="Prrafodelista"/>
              <w:numPr>
                <w:ilvl w:val="0"/>
                <w:numId w:val="18"/>
              </w:numPr>
              <w:jc w:val="both"/>
              <w:rPr>
                <w:rFonts w:ascii="Verdana" w:eastAsia="Calibri" w:hAnsi="Verdana" w:cs="Arial"/>
                <w:bCs/>
              </w:rPr>
            </w:pPr>
            <w:r w:rsidRPr="000C6AD5">
              <w:rPr>
                <w:rFonts w:ascii="Verdana" w:eastAsia="Calibri" w:hAnsi="Verdana" w:cs="Arial"/>
                <w:bCs/>
              </w:rPr>
              <w:t>Ley 1150 de 2007</w:t>
            </w:r>
          </w:p>
          <w:p w14:paraId="5DBA79C0" w14:textId="77777777" w:rsidR="005120DE" w:rsidRPr="000C6AD5" w:rsidRDefault="005120DE" w:rsidP="005120DE">
            <w:pPr>
              <w:pStyle w:val="Prrafodelista"/>
              <w:numPr>
                <w:ilvl w:val="0"/>
                <w:numId w:val="18"/>
              </w:numPr>
              <w:jc w:val="both"/>
              <w:rPr>
                <w:rFonts w:ascii="Verdana" w:eastAsia="Calibri" w:hAnsi="Verdana" w:cs="Arial"/>
                <w:bCs/>
              </w:rPr>
            </w:pPr>
            <w:r w:rsidRPr="000C6AD5">
              <w:rPr>
                <w:rFonts w:ascii="Verdana" w:eastAsia="Calibri" w:hAnsi="Verdana" w:cs="Arial"/>
                <w:bCs/>
              </w:rPr>
              <w:t>Ley 1882 de 2018, articulo 4</w:t>
            </w:r>
          </w:p>
          <w:p w14:paraId="55DD9856" w14:textId="77777777" w:rsidR="005120DE" w:rsidRPr="000C6AD5" w:rsidRDefault="005120DE" w:rsidP="005120DE">
            <w:pPr>
              <w:pStyle w:val="Prrafodelista"/>
              <w:numPr>
                <w:ilvl w:val="0"/>
                <w:numId w:val="18"/>
              </w:numPr>
              <w:jc w:val="both"/>
              <w:rPr>
                <w:rFonts w:ascii="Verdana" w:eastAsia="Calibri" w:hAnsi="Verdana" w:cs="Arial"/>
                <w:bCs/>
              </w:rPr>
            </w:pPr>
            <w:r w:rsidRPr="000C6AD5">
              <w:rPr>
                <w:rFonts w:ascii="Verdana" w:eastAsia="Calibri" w:hAnsi="Verdana" w:cs="Arial"/>
                <w:bCs/>
              </w:rPr>
              <w:t>Ley 2022 de 2020</w:t>
            </w:r>
          </w:p>
          <w:p w14:paraId="3129F010" w14:textId="77777777" w:rsidR="005120DE" w:rsidRPr="000C6AD5" w:rsidRDefault="005120DE" w:rsidP="005120DE">
            <w:pPr>
              <w:pStyle w:val="Prrafodelista"/>
              <w:numPr>
                <w:ilvl w:val="0"/>
                <w:numId w:val="18"/>
              </w:numPr>
              <w:jc w:val="both"/>
              <w:rPr>
                <w:rFonts w:ascii="Verdana" w:eastAsia="Calibri" w:hAnsi="Verdana" w:cs="Arial"/>
                <w:bCs/>
              </w:rPr>
            </w:pPr>
            <w:r w:rsidRPr="000C6AD5">
              <w:rPr>
                <w:rFonts w:ascii="Verdana" w:eastAsia="Calibri" w:hAnsi="Verdana" w:cs="Arial"/>
                <w:bCs/>
              </w:rPr>
              <w:t xml:space="preserve">Decreto 1082 de 2015, articulo </w:t>
            </w:r>
            <w:r w:rsidRPr="0023605C">
              <w:rPr>
                <w:rFonts w:ascii="Verdana" w:eastAsia="Times New Roman" w:hAnsi="Verdana" w:cs="Times New Roman"/>
                <w:bCs/>
                <w:color w:val="000000"/>
                <w:lang w:val="es-CO" w:eastAsia="es-CO"/>
              </w:rPr>
              <w:t>2.2.1.1.1.6.2</w:t>
            </w:r>
          </w:p>
          <w:p w14:paraId="30EB60F8" w14:textId="77777777" w:rsidR="005120DE" w:rsidRPr="00693989" w:rsidRDefault="005120DE" w:rsidP="005120DE">
            <w:pPr>
              <w:pStyle w:val="Prrafodelista"/>
              <w:numPr>
                <w:ilvl w:val="0"/>
                <w:numId w:val="18"/>
              </w:numPr>
              <w:jc w:val="both"/>
              <w:rPr>
                <w:rFonts w:ascii="Verdana" w:eastAsia="Calibri" w:hAnsi="Verdana" w:cs="Arial"/>
                <w:bCs/>
              </w:rPr>
            </w:pPr>
            <w:r w:rsidRPr="000C6AD5">
              <w:rPr>
                <w:rFonts w:ascii="Verdana" w:eastAsia="Times New Roman" w:hAnsi="Verdana" w:cs="Times New Roman"/>
                <w:bCs/>
                <w:color w:val="000000"/>
                <w:lang w:val="es-CO" w:eastAsia="es-CO"/>
              </w:rPr>
              <w:t>Ley 2195 de 2022, articulo 56</w:t>
            </w:r>
          </w:p>
          <w:p w14:paraId="50F3C4B0" w14:textId="77777777" w:rsidR="005120DE" w:rsidRPr="00340039" w:rsidRDefault="005120DE" w:rsidP="005120DE">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D769C5">
              <w:rPr>
                <w:rFonts w:ascii="Verdana" w:hAnsi="Verdana" w:cs="Arial"/>
                <w:color w:val="7030A0"/>
              </w:rPr>
              <w:t>Jurisprudencia del Consejo de Estado</w:t>
            </w:r>
            <w:r w:rsidRPr="00340039">
              <w:rPr>
                <w:rFonts w:ascii="Verdana" w:hAnsi="Verdana" w:cs="Arial"/>
              </w:rPr>
              <w:t>.</w:t>
            </w:r>
            <w:r w:rsidRPr="00D769C5">
              <w:rPr>
                <w:rFonts w:ascii="Verdana" w:hAnsi="Verdana" w:cs="Arial"/>
                <w:color w:val="7030A0"/>
              </w:rPr>
              <w:t xml:space="preserve"> Disponible en: </w:t>
            </w:r>
            <w:hyperlink r:id="rId12" w:history="1">
              <w:r w:rsidRPr="003705EA">
                <w:rPr>
                  <w:rStyle w:val="Hipervnculo"/>
                  <w:rFonts w:ascii="Verdana" w:hAnsi="Verdana" w:cs="Arial"/>
                </w:rPr>
                <w:t>https://relatoria.colombiacompra.gov.co/providencias-consejo-de-estado/</w:t>
              </w:r>
            </w:hyperlink>
            <w:r>
              <w:rPr>
                <w:rFonts w:ascii="Verdana" w:hAnsi="Verdana" w:cs="Arial"/>
              </w:rPr>
              <w:t xml:space="preserve"> </w:t>
            </w:r>
          </w:p>
          <w:p w14:paraId="32CD6F6D" w14:textId="77777777" w:rsidR="005120DE" w:rsidRPr="00D44E7B" w:rsidRDefault="005120DE" w:rsidP="005120DE">
            <w:pPr>
              <w:pStyle w:val="Prrafodelista"/>
              <w:numPr>
                <w:ilvl w:val="0"/>
                <w:numId w:val="18"/>
              </w:numPr>
              <w:spacing w:after="160" w:line="259" w:lineRule="auto"/>
              <w:rPr>
                <w:rFonts w:ascii="Verdana" w:hAnsi="Verdana"/>
              </w:rPr>
            </w:pPr>
            <w:r w:rsidRPr="00340039">
              <w:rPr>
                <w:rFonts w:ascii="Verdana" w:hAnsi="Verdana" w:cs="Arial"/>
                <w:color w:val="7030A0"/>
              </w:rPr>
              <w:t>Guías y manuales expedidos por la ANCP-CCE. Disponible en:</w:t>
            </w:r>
            <w:r w:rsidRPr="00340039">
              <w:rPr>
                <w:color w:val="7030A0"/>
              </w:rPr>
              <w:t xml:space="preserve"> </w:t>
            </w:r>
            <w:hyperlink r:id="rId13" w:history="1">
              <w:r w:rsidRPr="00340039">
                <w:rPr>
                  <w:rStyle w:val="Hipervnculo"/>
                  <w:rFonts w:ascii="Verdana" w:hAnsi="Verdana" w:cs="Arial"/>
                </w:rPr>
                <w:t>https://www.colombiacompra.gov.co/manuales-guias-y-pliegos-tipo/manuales-y-guias</w:t>
              </w:r>
            </w:hyperlink>
          </w:p>
          <w:p w14:paraId="0E387A1F" w14:textId="77777777" w:rsidR="005120DE" w:rsidRPr="000C6AD5" w:rsidRDefault="005120DE" w:rsidP="00854724">
            <w:pPr>
              <w:pStyle w:val="Prrafodelista"/>
              <w:jc w:val="both"/>
              <w:rPr>
                <w:rFonts w:ascii="Verdana" w:eastAsia="Calibri" w:hAnsi="Verdana" w:cs="Arial"/>
                <w:bCs/>
              </w:rPr>
            </w:pPr>
          </w:p>
          <w:p w14:paraId="27B1C2B7" w14:textId="77777777" w:rsidR="005120DE" w:rsidRPr="00775458" w:rsidRDefault="005120DE" w:rsidP="00854724">
            <w:pPr>
              <w:widowControl w:val="0"/>
              <w:autoSpaceDE w:val="0"/>
              <w:autoSpaceDN w:val="0"/>
              <w:spacing w:line="276" w:lineRule="auto"/>
              <w:contextualSpacing/>
              <w:jc w:val="both"/>
              <w:rPr>
                <w:rFonts w:ascii="Verdana" w:hAnsi="Verdana" w:cs="Arial"/>
              </w:rPr>
            </w:pPr>
          </w:p>
        </w:tc>
      </w:tr>
    </w:tbl>
    <w:p w14:paraId="17688149" w14:textId="77777777" w:rsidR="005120DE" w:rsidRPr="009322DA" w:rsidRDefault="005120DE" w:rsidP="005120DE">
      <w:pPr>
        <w:tabs>
          <w:tab w:val="left" w:pos="142"/>
          <w:tab w:val="left" w:pos="284"/>
        </w:tabs>
        <w:spacing w:after="0" w:line="276" w:lineRule="auto"/>
        <w:jc w:val="both"/>
        <w:rPr>
          <w:rFonts w:ascii="Verdana" w:eastAsia="Calibri" w:hAnsi="Verdana" w:cs="Arial"/>
        </w:rPr>
      </w:pPr>
    </w:p>
    <w:p w14:paraId="1F347A2E" w14:textId="77777777" w:rsidR="005120DE" w:rsidRPr="009322DA" w:rsidRDefault="005120DE" w:rsidP="005120DE">
      <w:pPr>
        <w:tabs>
          <w:tab w:val="left" w:pos="142"/>
          <w:tab w:val="left" w:pos="284"/>
        </w:tabs>
        <w:spacing w:after="0" w:line="276" w:lineRule="auto"/>
        <w:jc w:val="both"/>
        <w:rPr>
          <w:rFonts w:ascii="Verdana" w:eastAsia="Century Gothic" w:hAnsi="Verdana" w:cs="Century Gothic"/>
          <w:b/>
          <w:bCs/>
          <w:lang w:val="es-ES"/>
        </w:rPr>
      </w:pPr>
      <w:r w:rsidRPr="009322DA">
        <w:rPr>
          <w:rFonts w:ascii="Verdana" w:eastAsia="Calibri" w:hAnsi="Verdana" w:cs="Arial"/>
        </w:rPr>
        <w:t>5.</w:t>
      </w:r>
      <w:r w:rsidRPr="009322DA">
        <w:rPr>
          <w:rFonts w:ascii="Verdana" w:eastAsia="Century Gothic" w:hAnsi="Verdana" w:cs="Century Gothic"/>
          <w:b/>
          <w:bCs/>
          <w:lang w:val="es-ES"/>
        </w:rPr>
        <w:t>Doctrina de la Agencia Nacional de Contratación Pública:</w:t>
      </w:r>
    </w:p>
    <w:p w14:paraId="3B3FF414" w14:textId="77777777" w:rsidR="005120DE" w:rsidRPr="009322DA" w:rsidRDefault="005120DE" w:rsidP="005120DE">
      <w:pPr>
        <w:widowControl w:val="0"/>
        <w:autoSpaceDE w:val="0"/>
        <w:autoSpaceDN w:val="0"/>
        <w:spacing w:after="0" w:line="276" w:lineRule="auto"/>
        <w:jc w:val="both"/>
        <w:rPr>
          <w:rFonts w:ascii="Verdana" w:eastAsia="Calibri" w:hAnsi="Verdana" w:cs="Arial"/>
        </w:rPr>
      </w:pPr>
    </w:p>
    <w:p w14:paraId="1F83740A" w14:textId="77777777" w:rsidR="005120DE" w:rsidRPr="0075145D" w:rsidRDefault="005120DE" w:rsidP="005120DE">
      <w:pPr>
        <w:widowControl w:val="0"/>
        <w:autoSpaceDE w:val="0"/>
        <w:autoSpaceDN w:val="0"/>
        <w:spacing w:after="0" w:line="276" w:lineRule="auto"/>
        <w:jc w:val="both"/>
        <w:rPr>
          <w:rFonts w:ascii="Verdana" w:eastAsia="Calibri" w:hAnsi="Verdana" w:cs="Arial"/>
          <w:shd w:val="clear" w:color="auto" w:fill="FFFFFF"/>
          <w:lang w:val="es-ES"/>
        </w:rPr>
      </w:pPr>
      <w:r w:rsidRPr="00C269C0">
        <w:rPr>
          <w:rFonts w:ascii="Verdana" w:eastAsia="Calibri" w:hAnsi="Verdana" w:cs="Arial"/>
          <w:shd w:val="clear" w:color="auto" w:fill="FFFFFF"/>
        </w:rPr>
        <w:t>L</w:t>
      </w:r>
      <w:r w:rsidRPr="00C269C0">
        <w:rPr>
          <w:rFonts w:ascii="Verdana" w:eastAsia="Calibri" w:hAnsi="Verdana" w:cs="Arial"/>
          <w:shd w:val="clear" w:color="auto" w:fill="FFFFFF"/>
          <w:lang w:val="es-ES"/>
        </w:rPr>
        <w:t>a Agencia Nacional de Contratación Pública – Colombia Compra Eficiente,</w:t>
      </w:r>
      <w:r w:rsidRPr="0075145D">
        <w:rPr>
          <w:rFonts w:ascii="Verdana" w:eastAsia="Calibri" w:hAnsi="Verdana" w:cs="Arial"/>
          <w:shd w:val="clear" w:color="auto" w:fill="FFFFFF"/>
          <w:lang w:val="es-ES"/>
        </w:rPr>
        <w:t xml:space="preserve"> </w:t>
      </w:r>
      <w:r>
        <w:rPr>
          <w:rFonts w:ascii="Verdana" w:eastAsia="Calibri" w:hAnsi="Verdana" w:cs="Arial"/>
          <w:shd w:val="clear" w:color="auto" w:fill="FFFFFF"/>
          <w:lang w:val="es-ES"/>
        </w:rPr>
        <w:t>se ha pronunciado sobre los indicadores financieros y organizacionales en los procesos de contratación</w:t>
      </w:r>
      <w:r w:rsidRPr="00C269C0">
        <w:rPr>
          <w:rFonts w:ascii="Verdana" w:eastAsia="Calibri" w:hAnsi="Verdana" w:cs="Arial"/>
          <w:shd w:val="clear" w:color="auto" w:fill="FFFFFF"/>
          <w:lang w:val="es-ES"/>
        </w:rPr>
        <w:t xml:space="preserve"> en los conceptos</w:t>
      </w:r>
      <w:r>
        <w:rPr>
          <w:rFonts w:ascii="Verdana" w:eastAsia="Calibri" w:hAnsi="Verdana" w:cs="Arial"/>
          <w:shd w:val="clear" w:color="auto" w:fill="FFFFFF"/>
          <w:lang w:val="es-ES"/>
        </w:rPr>
        <w:t xml:space="preserve"> </w:t>
      </w:r>
      <w:r>
        <w:rPr>
          <w:rFonts w:ascii="Verdana" w:eastAsia="Century Gothic" w:hAnsi="Verdana" w:cs="Century Gothic"/>
          <w:color w:val="000000" w:themeColor="text1"/>
          <w:lang w:val="es-ES"/>
        </w:rPr>
        <w:t xml:space="preserve">C-439 de 5 de julio de 2022, C-831 del 28 de noviembre del 2022, C-005 de 21 de febrero de 2023, C-050 de 22 de marzo de 2023, C-185 de 8 de junio de 2023, C-277 de 14 de julio de 2023, C-350 del 28 de agosto de 2023 </w:t>
      </w:r>
      <w:r>
        <w:rPr>
          <w:rFonts w:ascii="Verdana" w:eastAsia="Calibri" w:hAnsi="Verdana" w:cs="Arial"/>
          <w:shd w:val="clear" w:color="auto" w:fill="FFFFFF"/>
          <w:lang w:val="es-ES"/>
        </w:rPr>
        <w:t xml:space="preserve">C- 669 del 03 de diciembre de 2021, C- 246 del 16 de julio de 2024  y  C- 688 del 19 de noviembre de 2024, </w:t>
      </w:r>
      <w:r w:rsidRPr="008328CE">
        <w:rPr>
          <w:rFonts w:ascii="Verdana" w:eastAsia="Calibri" w:hAnsi="Verdana" w:cs="Arial"/>
          <w:color w:val="000000" w:themeColor="text1"/>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w:t>
      </w:r>
      <w:r w:rsidRPr="008328CE">
        <w:rPr>
          <w:rFonts w:ascii="Verdana" w:eastAsia="Calibri" w:hAnsi="Verdana" w:cs="Arial"/>
          <w:color w:val="000000" w:themeColor="text1"/>
          <w:shd w:val="clear" w:color="auto" w:fill="FFFFFF"/>
        </w:rPr>
        <w:lastRenderedPageBreak/>
        <w:t>enlace: </w:t>
      </w:r>
      <w:hyperlink r:id="rId14" w:tgtFrame="_blank" w:tooltip="Dirección URL original: https://relatoria.colombiacompra.gov.co/. Haga clic o pulse si confía en este vínculo." w:history="1">
        <w:r w:rsidRPr="008328CE">
          <w:rPr>
            <w:rStyle w:val="Hipervnculo"/>
            <w:rFonts w:ascii="Verdana" w:eastAsia="Calibri" w:hAnsi="Verdana" w:cs="Arial"/>
            <w:color w:val="000000" w:themeColor="text1"/>
            <w:shd w:val="clear" w:color="auto" w:fill="FFFFFF"/>
          </w:rPr>
          <w:t>https://relatoria.colombiacompra.gov.co/</w:t>
        </w:r>
      </w:hyperlink>
      <w:r w:rsidRPr="008328CE">
        <w:rPr>
          <w:rFonts w:ascii="Verdana" w:eastAsia="Calibri" w:hAnsi="Verdana" w:cs="Arial"/>
          <w:color w:val="000000" w:themeColor="text1"/>
          <w:shd w:val="clear" w:color="auto" w:fill="FFFFFF"/>
        </w:rPr>
        <w:t> .</w:t>
      </w:r>
    </w:p>
    <w:p w14:paraId="11077622" w14:textId="77777777" w:rsidR="005120DE" w:rsidRDefault="005120DE" w:rsidP="005120DE">
      <w:pPr>
        <w:spacing w:after="0" w:line="240" w:lineRule="auto"/>
        <w:jc w:val="both"/>
        <w:rPr>
          <w:rFonts w:ascii="Verdana" w:eastAsia="Calibri" w:hAnsi="Verdana" w:cs="Arial"/>
          <w:color w:val="000000" w:themeColor="text1"/>
          <w:shd w:val="clear" w:color="auto" w:fill="FFFFFF"/>
        </w:rPr>
      </w:pPr>
    </w:p>
    <w:p w14:paraId="664BA94D" w14:textId="77777777" w:rsidR="005120DE" w:rsidRDefault="005120DE" w:rsidP="005120DE">
      <w:pPr>
        <w:spacing w:after="0" w:line="240" w:lineRule="auto"/>
        <w:jc w:val="both"/>
        <w:rPr>
          <w:rFonts w:ascii="Verdana" w:eastAsia="Calibri" w:hAnsi="Verdana" w:cs="Arial"/>
          <w:color w:val="000000" w:themeColor="text1"/>
          <w:shd w:val="clear" w:color="auto" w:fill="FFFFFF"/>
        </w:rPr>
      </w:pPr>
    </w:p>
    <w:p w14:paraId="7FAADC97" w14:textId="77777777" w:rsidR="005120DE" w:rsidRDefault="005120DE" w:rsidP="005120DE">
      <w:pPr>
        <w:widowControl w:val="0"/>
        <w:autoSpaceDE w:val="0"/>
        <w:autoSpaceDN w:val="0"/>
        <w:spacing w:after="0" w:line="276" w:lineRule="auto"/>
        <w:jc w:val="both"/>
      </w:pPr>
      <w:r w:rsidRPr="00207C10">
        <w:rPr>
          <w:rFonts w:ascii="Verdana" w:hAnsi="Verdana" w:cs="Vrinda"/>
          <w:color w:val="000000"/>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w:t>
      </w:r>
      <w:r w:rsidRPr="00207C10">
        <w:rPr>
          <w:rFonts w:ascii="Aptos" w:hAnsi="Aptos"/>
          <w:color w:val="000000"/>
          <w:shd w:val="clear" w:color="auto" w:fill="FFFFFF"/>
        </w:rPr>
        <w:t> </w:t>
      </w:r>
      <w:hyperlink r:id="rId15" w:tgtFrame="_blank" w:tooltip="Dirección URL original: https://www.colombiacompra.gov.co/sites/cce_public/files/cce_documents/manual_para_el_manejo_de_acuerdos_comerciales_vf.pdf. Haga clic o pulse si confía en este vínculo." w:history="1">
        <w:r w:rsidRPr="00207C10">
          <w:rPr>
            <w:rFonts w:ascii="Aptos" w:hAnsi="Aptos"/>
            <w:color w:val="0000FF"/>
            <w:u w:val="single"/>
            <w:bdr w:val="none" w:sz="0" w:space="0" w:color="auto" w:frame="1"/>
            <w:shd w:val="clear" w:color="auto" w:fill="FFFFFF"/>
          </w:rPr>
          <w:t>manual_para_el_manejo_de_acuerdos_comerciales_vf.pdf</w:t>
        </w:r>
      </w:hyperlink>
      <w:r>
        <w:t>.</w:t>
      </w:r>
    </w:p>
    <w:p w14:paraId="58DD8317" w14:textId="77777777" w:rsidR="005120DE" w:rsidRDefault="005120DE" w:rsidP="005120DE">
      <w:pPr>
        <w:widowControl w:val="0"/>
        <w:autoSpaceDE w:val="0"/>
        <w:autoSpaceDN w:val="0"/>
        <w:spacing w:after="0" w:line="276" w:lineRule="auto"/>
        <w:jc w:val="both"/>
      </w:pPr>
    </w:p>
    <w:p w14:paraId="44FAFB79" w14:textId="77777777" w:rsidR="005120DE" w:rsidRPr="00702B47" w:rsidRDefault="005120DE" w:rsidP="005120DE">
      <w:pPr>
        <w:shd w:val="clear" w:color="auto" w:fill="FFFFFF"/>
        <w:spacing w:after="0" w:line="240" w:lineRule="auto"/>
        <w:textAlignment w:val="baseline"/>
        <w:rPr>
          <w:rFonts w:ascii="Aptos" w:eastAsia="Times New Roman" w:hAnsi="Aptos" w:cs="Times New Roman"/>
          <w:color w:val="000000"/>
          <w:sz w:val="24"/>
          <w:szCs w:val="24"/>
          <w:lang w:eastAsia="es-CO"/>
        </w:rPr>
      </w:pPr>
      <w:r w:rsidRPr="00235BE4">
        <w:rPr>
          <w:rFonts w:ascii="Verdana" w:hAnsi="Verdana" w:cs="Vrinda"/>
          <w:color w:val="000000"/>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w:t>
      </w:r>
      <w:r w:rsidRPr="00235BE4">
        <w:rPr>
          <w:rFonts w:ascii="Aptos" w:eastAsia="Times New Roman" w:hAnsi="Aptos" w:cs="Times New Roman"/>
          <w:color w:val="000000"/>
          <w:sz w:val="24"/>
          <w:szCs w:val="24"/>
          <w:lang w:eastAsia="es-CO"/>
        </w:rPr>
        <w:t> </w:t>
      </w:r>
      <w:hyperlink r:id="rId16" w:tgtFrame="_blank" w:tooltip="Dirección URL original: https://www.colombiacompra.gov.co/sala-de-prensa/boletin-digital. Haga clic o pulse si confía en este vínculo." w:history="1">
        <w:r w:rsidRPr="00235BE4">
          <w:rPr>
            <w:rFonts w:ascii="Aptos" w:eastAsia="Times New Roman" w:hAnsi="Aptos" w:cs="Times New Roman"/>
            <w:color w:val="0000FF"/>
            <w:sz w:val="24"/>
            <w:szCs w:val="24"/>
            <w:u w:val="single"/>
            <w:bdr w:val="none" w:sz="0" w:space="0" w:color="auto" w:frame="1"/>
            <w:lang w:eastAsia="es-CO"/>
          </w:rPr>
          <w:t>https://www.colombiacompra.gov.co/sala-de-prensa/boletin-digital</w:t>
        </w:r>
      </w:hyperlink>
    </w:p>
    <w:p w14:paraId="6B8E1CEF" w14:textId="77777777" w:rsidR="005120DE" w:rsidRPr="009322DA" w:rsidRDefault="005120DE" w:rsidP="005120DE">
      <w:pPr>
        <w:spacing w:after="0" w:line="240" w:lineRule="auto"/>
        <w:jc w:val="both"/>
        <w:rPr>
          <w:rFonts w:ascii="Verdana" w:eastAsia="Calibri" w:hAnsi="Verdana" w:cs="Arial"/>
          <w:color w:val="FF0000"/>
          <w:shd w:val="clear" w:color="auto" w:fill="FFFFFF"/>
        </w:rPr>
      </w:pPr>
    </w:p>
    <w:p w14:paraId="45F8DDB5" w14:textId="77777777" w:rsidR="005120DE" w:rsidRPr="009322DA" w:rsidRDefault="005120DE" w:rsidP="005120DE">
      <w:pPr>
        <w:spacing w:after="0" w:line="240"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775E3D58" w14:textId="77777777" w:rsidR="005120DE" w:rsidRPr="0044528D" w:rsidRDefault="005120DE" w:rsidP="005120DE">
      <w:pPr>
        <w:spacing w:after="0" w:line="240" w:lineRule="auto"/>
        <w:jc w:val="both"/>
        <w:rPr>
          <w:rFonts w:ascii="Verdana" w:hAnsi="Verdana"/>
        </w:rPr>
      </w:pPr>
    </w:p>
    <w:p w14:paraId="75645BF1" w14:textId="77777777" w:rsidR="005120DE" w:rsidRPr="0044528D" w:rsidRDefault="005120DE" w:rsidP="005120DE">
      <w:pPr>
        <w:spacing w:after="0" w:line="240" w:lineRule="auto"/>
        <w:jc w:val="both"/>
        <w:rPr>
          <w:rFonts w:ascii="Verdana" w:hAnsi="Verdana"/>
        </w:rPr>
      </w:pPr>
      <w:r w:rsidRPr="0044528D">
        <w:rPr>
          <w:rFonts w:ascii="Verdana" w:hAnsi="Verdana"/>
        </w:rPr>
        <w:t xml:space="preserve">Twitter: </w:t>
      </w:r>
      <w:r w:rsidRPr="009322DA">
        <w:rPr>
          <w:rFonts w:ascii="Verdana" w:eastAsia="Calibri" w:hAnsi="Verdana" w:cs="Times New Roman"/>
          <w:color w:val="4472C4" w:themeColor="accent1"/>
          <w:u w:val="single"/>
        </w:rPr>
        <w:t>@colombiacompra</w:t>
      </w:r>
      <w:r w:rsidRPr="009322DA">
        <w:rPr>
          <w:rFonts w:ascii="Verdana" w:eastAsia="Calibri" w:hAnsi="Verdana" w:cs="Times New Roman"/>
          <w:color w:val="4472C4" w:themeColor="accent1"/>
        </w:rPr>
        <w:t xml:space="preserve"> </w:t>
      </w:r>
    </w:p>
    <w:p w14:paraId="262819E0" w14:textId="77777777" w:rsidR="005120DE" w:rsidRPr="0044528D" w:rsidRDefault="005120DE" w:rsidP="005120DE">
      <w:pPr>
        <w:spacing w:after="0" w:line="240" w:lineRule="auto"/>
        <w:jc w:val="both"/>
        <w:rPr>
          <w:rFonts w:ascii="Verdana" w:hAnsi="Verdana"/>
        </w:rPr>
      </w:pPr>
      <w:r w:rsidRPr="0044528D">
        <w:rPr>
          <w:rFonts w:ascii="Verdana" w:hAnsi="Verdana"/>
        </w:rPr>
        <w:t xml:space="preserve">Facebook: </w:t>
      </w:r>
      <w:proofErr w:type="spellStart"/>
      <w:r w:rsidRPr="009322DA">
        <w:rPr>
          <w:rFonts w:ascii="Verdana" w:eastAsia="Calibri" w:hAnsi="Verdana" w:cs="Times New Roman"/>
          <w:color w:val="4472C4" w:themeColor="accent1"/>
          <w:u w:val="single"/>
        </w:rPr>
        <w:t>ColombiaCompraEficiente</w:t>
      </w:r>
      <w:proofErr w:type="spellEnd"/>
    </w:p>
    <w:p w14:paraId="6B755A73" w14:textId="77777777" w:rsidR="005120DE" w:rsidRPr="0044528D" w:rsidRDefault="005120DE" w:rsidP="005120DE">
      <w:pPr>
        <w:spacing w:after="0" w:line="240" w:lineRule="auto"/>
        <w:jc w:val="both"/>
        <w:rPr>
          <w:rFonts w:ascii="Verdana" w:hAnsi="Verdana"/>
        </w:rPr>
      </w:pPr>
      <w:r w:rsidRPr="0044528D">
        <w:rPr>
          <w:rFonts w:ascii="Verdana" w:hAnsi="Verdana"/>
        </w:rPr>
        <w:t xml:space="preserve">LinkedIn: </w:t>
      </w:r>
      <w:r w:rsidRPr="009322DA">
        <w:rPr>
          <w:rFonts w:ascii="Verdana" w:eastAsia="Calibri" w:hAnsi="Verdana" w:cs="Times New Roman"/>
          <w:color w:val="4472C4" w:themeColor="accent1"/>
          <w:u w:val="single"/>
        </w:rPr>
        <w:t>Agencia Nacional de Contratación Pública - Colombia Compra Eficiente</w:t>
      </w:r>
      <w:r w:rsidRPr="009322DA">
        <w:rPr>
          <w:rFonts w:ascii="Verdana" w:eastAsia="Calibri" w:hAnsi="Verdana" w:cs="Times New Roman"/>
          <w:color w:val="4472C4" w:themeColor="accent1"/>
        </w:rPr>
        <w:t xml:space="preserve"> </w:t>
      </w:r>
      <w:r w:rsidRPr="0044528D">
        <w:rPr>
          <w:rFonts w:ascii="Verdana" w:hAnsi="Verdana"/>
        </w:rPr>
        <w:t xml:space="preserve">Instagram: </w:t>
      </w:r>
      <w:r w:rsidRPr="009322DA">
        <w:rPr>
          <w:rFonts w:ascii="Verdana" w:eastAsia="Calibri" w:hAnsi="Verdana" w:cs="Times New Roman"/>
          <w:color w:val="4472C4" w:themeColor="accent1"/>
          <w:u w:val="single"/>
        </w:rPr>
        <w:t>@colombiacompraeficiente_cce</w:t>
      </w:r>
    </w:p>
    <w:p w14:paraId="101BD0D6" w14:textId="77777777" w:rsidR="005120DE" w:rsidRPr="0044528D" w:rsidRDefault="005120DE" w:rsidP="005120DE">
      <w:pPr>
        <w:widowControl w:val="0"/>
        <w:autoSpaceDE w:val="0"/>
        <w:autoSpaceDN w:val="0"/>
        <w:spacing w:after="0" w:line="276" w:lineRule="auto"/>
        <w:jc w:val="both"/>
        <w:rPr>
          <w:rFonts w:ascii="Verdana" w:hAnsi="Verdana"/>
        </w:rPr>
      </w:pPr>
    </w:p>
    <w:p w14:paraId="16275A51" w14:textId="77777777" w:rsidR="005120DE" w:rsidRPr="009322DA" w:rsidRDefault="005120DE" w:rsidP="005120DE">
      <w:pPr>
        <w:widowControl w:val="0"/>
        <w:autoSpaceDE w:val="0"/>
        <w:autoSpaceDN w:val="0"/>
        <w:spacing w:after="0" w:line="276" w:lineRule="auto"/>
        <w:jc w:val="both"/>
        <w:rPr>
          <w:rFonts w:ascii="Verdana" w:eastAsia="Calibri" w:hAnsi="Verdana" w:cs="Arial"/>
          <w:lang w:val="es-ES_tradnl"/>
        </w:rPr>
      </w:pPr>
      <w:r w:rsidRPr="009322DA">
        <w:rPr>
          <w:rFonts w:ascii="Verdana" w:eastAsia="Calibri" w:hAnsi="Verdana" w:cs="Arial"/>
        </w:rPr>
        <w:t>Este concepto tiene el alcance previsto en el artículo 28 del Código de Procedimiento Administrativo y de lo Contencioso Administrativo.</w:t>
      </w:r>
    </w:p>
    <w:p w14:paraId="7EC08E38" w14:textId="77777777" w:rsidR="005120DE" w:rsidRPr="009322DA" w:rsidRDefault="005120DE" w:rsidP="005120DE">
      <w:pPr>
        <w:widowControl w:val="0"/>
        <w:autoSpaceDE w:val="0"/>
        <w:autoSpaceDN w:val="0"/>
        <w:spacing w:after="0" w:line="276" w:lineRule="auto"/>
        <w:jc w:val="both"/>
        <w:rPr>
          <w:rFonts w:ascii="Verdana" w:eastAsia="Calibri" w:hAnsi="Verdana" w:cs="Arial"/>
        </w:rPr>
      </w:pPr>
    </w:p>
    <w:p w14:paraId="3C1CEE69" w14:textId="77777777" w:rsidR="005120DE" w:rsidRPr="009322DA" w:rsidRDefault="005120DE" w:rsidP="005120DE">
      <w:pPr>
        <w:spacing w:after="0" w:line="240" w:lineRule="auto"/>
        <w:rPr>
          <w:rFonts w:ascii="Verdana" w:eastAsia="Calibri" w:hAnsi="Verdana" w:cs="Arial"/>
          <w:lang w:eastAsia="es-CO"/>
        </w:rPr>
      </w:pPr>
      <w:r w:rsidRPr="009322DA">
        <w:rPr>
          <w:rFonts w:ascii="Verdana" w:eastAsia="Times New Roman" w:hAnsi="Verdana" w:cs="Arial"/>
          <w:lang w:eastAsia="es-CO"/>
        </w:rPr>
        <w:t>Atentamente,</w:t>
      </w:r>
      <w:r w:rsidRPr="009322DA">
        <w:rPr>
          <w:rFonts w:ascii="Verdana" w:eastAsia="Calibri" w:hAnsi="Verdana" w:cs="Arial"/>
          <w:lang w:eastAsia="es-CO"/>
        </w:rPr>
        <w:t xml:space="preserve"> </w:t>
      </w:r>
    </w:p>
    <w:p w14:paraId="3CF2F38F" w14:textId="77777777" w:rsidR="005120DE" w:rsidRDefault="005120DE" w:rsidP="005120DE">
      <w:pPr>
        <w:spacing w:line="276" w:lineRule="auto"/>
        <w:rPr>
          <w:rFonts w:ascii="Century Gothic" w:hAnsi="Century Gothic"/>
          <w:noProof/>
          <w:color w:val="000000"/>
        </w:rPr>
      </w:pPr>
    </w:p>
    <w:p w14:paraId="4F767E61" w14:textId="0F916772" w:rsidR="005120DE" w:rsidRDefault="00D2346F" w:rsidP="005120DE">
      <w:pPr>
        <w:spacing w:line="276" w:lineRule="auto"/>
        <w:jc w:val="center"/>
        <w:rPr>
          <w:rFonts w:ascii="Century Gothic" w:hAnsi="Century Gothic"/>
          <w:noProof/>
          <w:color w:val="000000"/>
        </w:rPr>
      </w:pPr>
      <w:r>
        <w:rPr>
          <w:noProof/>
        </w:rPr>
        <w:drawing>
          <wp:inline distT="0" distB="0" distL="0" distR="0" wp14:anchorId="583A2E0B" wp14:editId="4B054D96">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17"/>
                    <a:stretch>
                      <a:fillRect/>
                    </a:stretch>
                  </pic:blipFill>
                  <pic:spPr>
                    <a:xfrm>
                      <a:off x="0" y="0"/>
                      <a:ext cx="3705225" cy="1590675"/>
                    </a:xfrm>
                    <a:prstGeom prst="rect">
                      <a:avLst/>
                    </a:prstGeom>
                  </pic:spPr>
                </pic:pic>
              </a:graphicData>
            </a:graphic>
          </wp:inline>
        </w:drawing>
      </w:r>
    </w:p>
    <w:p w14:paraId="0FDB2961" w14:textId="77777777" w:rsidR="005120DE" w:rsidRPr="009322DA" w:rsidRDefault="005120DE" w:rsidP="005120DE">
      <w:pPr>
        <w:spacing w:line="276" w:lineRule="auto"/>
        <w:jc w:val="center"/>
        <w:rPr>
          <w:rFonts w:ascii="Verdana" w:eastAsia="Calibri" w:hAnsi="Verdana" w:cs="Arial"/>
          <w:color w:val="000000"/>
          <w:lang w:val="es-ES_tradnl" w:eastAsia="es-CO"/>
        </w:rPr>
      </w:pP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120DE" w:rsidRPr="009322DA" w14:paraId="7D514BD0" w14:textId="77777777" w:rsidTr="00854724">
        <w:trPr>
          <w:trHeight w:val="315"/>
        </w:trPr>
        <w:tc>
          <w:tcPr>
            <w:tcW w:w="893" w:type="dxa"/>
            <w:vAlign w:val="center"/>
            <w:hideMark/>
          </w:tcPr>
          <w:p w14:paraId="65CF356B" w14:textId="77777777" w:rsidR="005120DE" w:rsidRPr="009322DA" w:rsidRDefault="005120DE" w:rsidP="00854724">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59413923" w14:textId="77777777" w:rsidR="005120DE" w:rsidRPr="009322DA" w:rsidRDefault="005120DE" w:rsidP="00854724">
            <w:pPr>
              <w:spacing w:after="255"/>
              <w:contextualSpacing/>
              <w:rPr>
                <w:rFonts w:ascii="Verdana" w:eastAsia="Arial" w:hAnsi="Verdana" w:cs="Arial"/>
                <w:sz w:val="16"/>
                <w:szCs w:val="16"/>
              </w:rPr>
            </w:pPr>
            <w:r>
              <w:rPr>
                <w:rFonts w:ascii="Verdana" w:eastAsia="Arial" w:hAnsi="Verdana" w:cs="Arial"/>
                <w:sz w:val="16"/>
                <w:szCs w:val="16"/>
              </w:rPr>
              <w:t xml:space="preserve">Héctor Luis Quiñones </w:t>
            </w:r>
            <w:proofErr w:type="spellStart"/>
            <w:r>
              <w:rPr>
                <w:rFonts w:ascii="Verdana" w:eastAsia="Arial" w:hAnsi="Verdana" w:cs="Arial"/>
                <w:sz w:val="16"/>
                <w:szCs w:val="16"/>
              </w:rPr>
              <w:t>Quiñones</w:t>
            </w:r>
            <w:proofErr w:type="spellEnd"/>
          </w:p>
          <w:p w14:paraId="3639E9CE" w14:textId="77777777" w:rsidR="005120DE" w:rsidRDefault="005120DE" w:rsidP="00854724">
            <w:pPr>
              <w:spacing w:after="255"/>
              <w:contextualSpacing/>
              <w:rPr>
                <w:rFonts w:ascii="Verdana" w:eastAsia="Arial" w:hAnsi="Verdana" w:cs="Arial"/>
                <w:sz w:val="16"/>
                <w:szCs w:val="16"/>
              </w:rPr>
            </w:pPr>
            <w:r>
              <w:rPr>
                <w:rFonts w:ascii="Verdana" w:eastAsia="Arial" w:hAnsi="Verdana" w:cs="Arial"/>
                <w:sz w:val="16"/>
                <w:szCs w:val="16"/>
              </w:rPr>
              <w:t>Analista T2 – 02</w:t>
            </w:r>
            <w:r w:rsidRPr="009322DA">
              <w:rPr>
                <w:rFonts w:ascii="Verdana" w:eastAsia="Arial" w:hAnsi="Verdana" w:cs="Arial"/>
                <w:sz w:val="16"/>
                <w:szCs w:val="16"/>
              </w:rPr>
              <w:t xml:space="preserve"> de la Subdirección de Gestión Contractual</w:t>
            </w:r>
          </w:p>
          <w:p w14:paraId="66CB4180" w14:textId="77777777" w:rsidR="005120DE" w:rsidRDefault="005120DE" w:rsidP="00854724">
            <w:pPr>
              <w:spacing w:after="255"/>
              <w:contextualSpacing/>
              <w:rPr>
                <w:rFonts w:ascii="Verdana" w:eastAsia="Arial" w:hAnsi="Verdana" w:cs="Arial"/>
                <w:sz w:val="16"/>
                <w:szCs w:val="16"/>
              </w:rPr>
            </w:pPr>
            <w:r>
              <w:rPr>
                <w:rFonts w:ascii="Verdana" w:eastAsia="Arial" w:hAnsi="Verdana" w:cs="Arial"/>
                <w:sz w:val="16"/>
                <w:szCs w:val="16"/>
              </w:rPr>
              <w:t>Alejandro Gamboa Cárdenas</w:t>
            </w:r>
          </w:p>
          <w:p w14:paraId="1E9CB826" w14:textId="77777777" w:rsidR="005120DE" w:rsidRPr="009322DA" w:rsidRDefault="005120DE" w:rsidP="00854724">
            <w:pPr>
              <w:spacing w:after="255"/>
              <w:contextualSpacing/>
              <w:rPr>
                <w:rFonts w:ascii="Verdana" w:eastAsia="Arial" w:hAnsi="Verdana" w:cs="Arial"/>
                <w:sz w:val="16"/>
                <w:szCs w:val="16"/>
              </w:rPr>
            </w:pPr>
            <w:r>
              <w:rPr>
                <w:rFonts w:ascii="Verdana" w:eastAsia="Arial" w:hAnsi="Verdana" w:cs="Arial"/>
                <w:sz w:val="16"/>
                <w:szCs w:val="16"/>
              </w:rPr>
              <w:t xml:space="preserve">Contratista de la Subdirección de Gestión Contractual </w:t>
            </w:r>
          </w:p>
        </w:tc>
      </w:tr>
      <w:tr w:rsidR="005120DE" w:rsidRPr="009322DA" w14:paraId="32328411" w14:textId="77777777" w:rsidTr="00854724">
        <w:trPr>
          <w:trHeight w:val="330"/>
        </w:trPr>
        <w:tc>
          <w:tcPr>
            <w:tcW w:w="893" w:type="dxa"/>
            <w:vAlign w:val="center"/>
            <w:hideMark/>
          </w:tcPr>
          <w:p w14:paraId="32D66BBD" w14:textId="77777777" w:rsidR="005120DE" w:rsidRPr="009322DA" w:rsidRDefault="005120DE" w:rsidP="00854724">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6F01131" w14:textId="77777777" w:rsidR="005120DE" w:rsidRPr="009322DA" w:rsidRDefault="005120DE" w:rsidP="00854724">
            <w:pPr>
              <w:spacing w:after="255"/>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eastAsia="es-ES_tradnl"/>
              </w:rPr>
              <w:t>Juan Carlos González</w:t>
            </w:r>
          </w:p>
          <w:p w14:paraId="22D07558" w14:textId="77777777" w:rsidR="005120DE" w:rsidRPr="009322DA" w:rsidRDefault="005120DE" w:rsidP="00854724">
            <w:pPr>
              <w:contextualSpacing/>
              <w:textAlignment w:val="baseline"/>
              <w:rPr>
                <w:rFonts w:ascii="Verdana" w:eastAsia="Times New Roman" w:hAnsi="Verdana" w:cs="Segoe UI"/>
                <w:sz w:val="16"/>
                <w:szCs w:val="16"/>
                <w:lang w:eastAsia="es-ES_tradnl"/>
              </w:rPr>
            </w:pPr>
            <w:r w:rsidRPr="009322DA">
              <w:rPr>
                <w:rFonts w:ascii="Verdana" w:eastAsia="Times New Roman" w:hAnsi="Verdana" w:cs="Arial"/>
                <w:sz w:val="16"/>
                <w:szCs w:val="16"/>
                <w:lang w:eastAsia="es-ES_tradnl"/>
              </w:rPr>
              <w:t>Contratista de la Subdirección de Gestión Contractual</w:t>
            </w:r>
          </w:p>
        </w:tc>
      </w:tr>
      <w:tr w:rsidR="005120DE" w:rsidRPr="009322DA" w14:paraId="4645337C" w14:textId="77777777" w:rsidTr="00854724">
        <w:trPr>
          <w:trHeight w:val="300"/>
        </w:trPr>
        <w:tc>
          <w:tcPr>
            <w:tcW w:w="893" w:type="dxa"/>
            <w:vAlign w:val="center"/>
            <w:hideMark/>
          </w:tcPr>
          <w:p w14:paraId="57014482" w14:textId="77777777" w:rsidR="005120DE" w:rsidRPr="009322DA" w:rsidRDefault="005120DE" w:rsidP="00854724">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6AE223D" w14:textId="77777777" w:rsidR="005120DE" w:rsidRPr="009322DA" w:rsidRDefault="005120DE" w:rsidP="00854724">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 xml:space="preserve">Carolina Quintero </w:t>
            </w:r>
            <w:proofErr w:type="spellStart"/>
            <w:r w:rsidRPr="009322DA">
              <w:rPr>
                <w:rFonts w:ascii="Verdana" w:hAnsi="Verdana" w:cs="Arial"/>
                <w:sz w:val="16"/>
                <w:szCs w:val="16"/>
                <w:lang w:val="pt-BR" w:eastAsia="es-ES"/>
              </w:rPr>
              <w:t>Gacharná</w:t>
            </w:r>
            <w:proofErr w:type="spellEnd"/>
          </w:p>
          <w:p w14:paraId="41647765" w14:textId="77777777" w:rsidR="005120DE" w:rsidRPr="009322DA" w:rsidRDefault="005120DE" w:rsidP="00854724">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Gestión </w:t>
            </w:r>
            <w:proofErr w:type="spellStart"/>
            <w:r w:rsidRPr="009322DA">
              <w:rPr>
                <w:rFonts w:ascii="Verdana" w:hAnsi="Verdana" w:cs="Arial"/>
                <w:sz w:val="16"/>
                <w:szCs w:val="16"/>
                <w:lang w:val="pt-BR" w:eastAsia="es-ES"/>
              </w:rPr>
              <w:t>Contractual</w:t>
            </w:r>
            <w:proofErr w:type="spellEnd"/>
            <w:r w:rsidRPr="009322DA">
              <w:rPr>
                <w:rFonts w:ascii="Verdana" w:hAnsi="Verdana" w:cs="Arial"/>
                <w:sz w:val="16"/>
                <w:szCs w:val="16"/>
                <w:lang w:val="pt-BR" w:eastAsia="es-ES"/>
              </w:rPr>
              <w:t xml:space="preserve"> ANCP – CCE</w:t>
            </w:r>
          </w:p>
        </w:tc>
      </w:tr>
    </w:tbl>
    <w:p w14:paraId="67D4F50F" w14:textId="77777777" w:rsidR="005120DE" w:rsidRPr="009322DA" w:rsidRDefault="005120DE" w:rsidP="005120DE"/>
    <w:bookmarkEnd w:id="0"/>
    <w:p w14:paraId="6FCA388F" w14:textId="77777777" w:rsidR="005120DE" w:rsidRPr="0044528D" w:rsidRDefault="005120DE" w:rsidP="005120DE">
      <w:pPr>
        <w:spacing w:after="0"/>
        <w:rPr>
          <w:rFonts w:ascii="Verdana" w:hAnsi="Verdana"/>
        </w:rPr>
      </w:pPr>
    </w:p>
    <w:p w14:paraId="3900974D" w14:textId="77777777" w:rsidR="003D5B0D" w:rsidRPr="00CA780E" w:rsidRDefault="003D5B0D" w:rsidP="00CA780E"/>
    <w:sectPr w:rsidR="003D5B0D" w:rsidRPr="00CA780E"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EE1E8" w14:textId="77777777" w:rsidR="00ED7384" w:rsidRDefault="00ED7384" w:rsidP="004A1847">
      <w:pPr>
        <w:spacing w:after="0" w:line="240" w:lineRule="auto"/>
      </w:pPr>
      <w:r>
        <w:separator/>
      </w:r>
    </w:p>
  </w:endnote>
  <w:endnote w:type="continuationSeparator" w:id="0">
    <w:p w14:paraId="4A7AB4CB" w14:textId="77777777" w:rsidR="00ED7384" w:rsidRDefault="00ED738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4B691" w14:textId="77777777" w:rsidR="00ED7384" w:rsidRDefault="00ED7384" w:rsidP="004A1847">
      <w:pPr>
        <w:spacing w:after="0" w:line="240" w:lineRule="auto"/>
      </w:pPr>
      <w:r>
        <w:separator/>
      </w:r>
    </w:p>
  </w:footnote>
  <w:footnote w:type="continuationSeparator" w:id="0">
    <w:p w14:paraId="46133D6B" w14:textId="77777777" w:rsidR="00ED7384" w:rsidRDefault="00ED7384" w:rsidP="004A1847">
      <w:pPr>
        <w:spacing w:after="0" w:line="240" w:lineRule="auto"/>
      </w:pPr>
      <w:r>
        <w:continuationSeparator/>
      </w:r>
    </w:p>
  </w:footnote>
  <w:footnote w:id="1">
    <w:p w14:paraId="411BE0B4" w14:textId="77777777" w:rsidR="005120DE" w:rsidRPr="00F65E69" w:rsidRDefault="005120DE" w:rsidP="005120DE">
      <w:pPr>
        <w:pStyle w:val="Textonotapie"/>
        <w:ind w:firstLine="709"/>
        <w:jc w:val="both"/>
        <w:rPr>
          <w:rFonts w:ascii="Verdana" w:hAnsi="Verdana"/>
          <w:color w:val="000000"/>
          <w:sz w:val="14"/>
          <w:szCs w:val="14"/>
        </w:rPr>
      </w:pPr>
      <w:r w:rsidRPr="00F65E69">
        <w:rPr>
          <w:rFonts w:ascii="Verdana" w:hAnsi="Verdana"/>
          <w:sz w:val="14"/>
          <w:szCs w:val="14"/>
          <w:vertAlign w:val="superscript"/>
        </w:rPr>
        <w:footnoteRef/>
      </w:r>
      <w:r w:rsidRPr="00F65E69">
        <w:rPr>
          <w:rFonts w:ascii="Verdana" w:hAnsi="Verdana"/>
          <w:sz w:val="14"/>
          <w:szCs w:val="14"/>
        </w:rPr>
        <w:t xml:space="preserve"> </w:t>
      </w:r>
      <w:r w:rsidRPr="00F65E69">
        <w:rPr>
          <w:rFonts w:ascii="Verdana" w:hAnsi="Verdana"/>
          <w:color w:val="000000"/>
          <w:sz w:val="14"/>
          <w:szCs w:val="14"/>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65883FF7" w14:textId="77777777" w:rsidR="005120DE" w:rsidRDefault="005120DE" w:rsidP="005120DE">
      <w:pPr>
        <w:pStyle w:val="Textonotapie"/>
        <w:ind w:firstLine="709"/>
        <w:jc w:val="both"/>
      </w:pPr>
    </w:p>
  </w:footnote>
  <w:footnote w:id="2">
    <w:p w14:paraId="370ADA1F" w14:textId="77777777" w:rsidR="005120DE" w:rsidRPr="005A773A" w:rsidRDefault="005120DE" w:rsidP="005120DE">
      <w:pPr>
        <w:pStyle w:val="Textonotapie"/>
        <w:ind w:firstLine="708"/>
        <w:jc w:val="both"/>
        <w:rPr>
          <w:rFonts w:ascii="Verdana" w:hAnsi="Verdana" w:cs="Arial"/>
          <w:sz w:val="16"/>
          <w:szCs w:val="16"/>
        </w:rPr>
      </w:pPr>
      <w:r w:rsidRPr="002B4D3F">
        <w:rPr>
          <w:rStyle w:val="Refdenotaalpie"/>
          <w:rFonts w:ascii="Arial" w:hAnsi="Arial" w:cs="Arial"/>
          <w:sz w:val="19"/>
          <w:szCs w:val="19"/>
        </w:rPr>
        <w:footnoteRef/>
      </w:r>
      <w:r w:rsidRPr="002B4D3F">
        <w:rPr>
          <w:rFonts w:ascii="Arial" w:hAnsi="Arial" w:cs="Arial"/>
          <w:sz w:val="19"/>
          <w:szCs w:val="19"/>
        </w:rPr>
        <w:t xml:space="preserve"> </w:t>
      </w:r>
      <w:r w:rsidRPr="005A773A">
        <w:rPr>
          <w:rFonts w:ascii="Verdana" w:hAnsi="Verdana" w:cs="Arial"/>
          <w:sz w:val="16"/>
          <w:szCs w:val="16"/>
        </w:rPr>
        <w:t>EXPÓSITO VÉLEZ, Juan Carlos. El deber de selección objetiva. En: Del contrato estatal a los sistemas de compras públicas. Bogotá: Universidad Externado de Colombia. p. 150-151</w:t>
      </w:r>
    </w:p>
    <w:p w14:paraId="365EA69D" w14:textId="77777777" w:rsidR="005120DE" w:rsidRPr="005A773A" w:rsidRDefault="005120DE" w:rsidP="005120DE">
      <w:pPr>
        <w:pStyle w:val="Textonotapie"/>
        <w:ind w:firstLine="708"/>
        <w:jc w:val="both"/>
        <w:rPr>
          <w:rFonts w:ascii="Verdana" w:hAnsi="Verdana" w:cs="Arial"/>
          <w:sz w:val="16"/>
          <w:szCs w:val="16"/>
        </w:rPr>
      </w:pPr>
    </w:p>
  </w:footnote>
  <w:footnote w:id="3">
    <w:p w14:paraId="682A9638" w14:textId="77777777" w:rsidR="005120DE" w:rsidRPr="005A773A" w:rsidRDefault="005120DE" w:rsidP="005120DE">
      <w:pPr>
        <w:pStyle w:val="Textonotapie"/>
        <w:ind w:firstLine="708"/>
        <w:jc w:val="both"/>
        <w:rPr>
          <w:rFonts w:ascii="Verdana" w:hAnsi="Verdana" w:cs="Arial"/>
          <w:sz w:val="16"/>
          <w:szCs w:val="16"/>
          <w:lang w:val="es-ES"/>
        </w:rPr>
      </w:pPr>
      <w:r w:rsidRPr="005A773A">
        <w:rPr>
          <w:rStyle w:val="Refdenotaalpie"/>
          <w:rFonts w:ascii="Verdana" w:hAnsi="Verdana" w:cs="Arial"/>
          <w:sz w:val="16"/>
          <w:szCs w:val="16"/>
        </w:rPr>
        <w:footnoteRef/>
      </w:r>
      <w:r w:rsidRPr="005A773A">
        <w:rPr>
          <w:rFonts w:ascii="Verdana" w:hAnsi="Verdana" w:cs="Arial"/>
          <w:sz w:val="16"/>
          <w:szCs w:val="16"/>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9924635"/>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62902FB"/>
    <w:multiLevelType w:val="hybridMultilevel"/>
    <w:tmpl w:val="FFFFFFFF"/>
    <w:lvl w:ilvl="0" w:tplc="97A661EA">
      <w:start w:val="5"/>
      <w:numFmt w:val="bullet"/>
      <w:lvlText w:val=""/>
      <w:lvlJc w:val="left"/>
      <w:pPr>
        <w:ind w:left="720" w:hanging="360"/>
      </w:pPr>
      <w:rPr>
        <w:rFonts w:ascii="Symbol" w:eastAsia="Times New Roman"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0"/>
  </w:num>
  <w:num w:numId="16" w16cid:durableId="16998160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67968">
    <w:abstractNumId w:val="11"/>
  </w:num>
  <w:num w:numId="18" w16cid:durableId="1548108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24EEF"/>
    <w:rsid w:val="00046945"/>
    <w:rsid w:val="00061B2A"/>
    <w:rsid w:val="00082362"/>
    <w:rsid w:val="000A683E"/>
    <w:rsid w:val="000B19B9"/>
    <w:rsid w:val="000D0334"/>
    <w:rsid w:val="000F193E"/>
    <w:rsid w:val="000F6486"/>
    <w:rsid w:val="00125105"/>
    <w:rsid w:val="00127233"/>
    <w:rsid w:val="001511A0"/>
    <w:rsid w:val="001E4177"/>
    <w:rsid w:val="001F7DC6"/>
    <w:rsid w:val="002421BB"/>
    <w:rsid w:val="0025796E"/>
    <w:rsid w:val="002707A2"/>
    <w:rsid w:val="002951A0"/>
    <w:rsid w:val="002962BC"/>
    <w:rsid w:val="002A093D"/>
    <w:rsid w:val="002A0DD0"/>
    <w:rsid w:val="002A49AC"/>
    <w:rsid w:val="002A64FD"/>
    <w:rsid w:val="002C7A84"/>
    <w:rsid w:val="002E4FD9"/>
    <w:rsid w:val="00311AB6"/>
    <w:rsid w:val="00322A85"/>
    <w:rsid w:val="00324168"/>
    <w:rsid w:val="003448F4"/>
    <w:rsid w:val="00374F5E"/>
    <w:rsid w:val="00377E3E"/>
    <w:rsid w:val="003A779E"/>
    <w:rsid w:val="003D0F4D"/>
    <w:rsid w:val="003D5B0D"/>
    <w:rsid w:val="003E0499"/>
    <w:rsid w:val="003F3941"/>
    <w:rsid w:val="00406575"/>
    <w:rsid w:val="0041210F"/>
    <w:rsid w:val="00414C74"/>
    <w:rsid w:val="0042722E"/>
    <w:rsid w:val="0044528D"/>
    <w:rsid w:val="004A1847"/>
    <w:rsid w:val="004A305D"/>
    <w:rsid w:val="004F21C4"/>
    <w:rsid w:val="004F685F"/>
    <w:rsid w:val="005120DE"/>
    <w:rsid w:val="005566E8"/>
    <w:rsid w:val="00574867"/>
    <w:rsid w:val="00591460"/>
    <w:rsid w:val="005B1B22"/>
    <w:rsid w:val="005B3816"/>
    <w:rsid w:val="005C3777"/>
    <w:rsid w:val="005C5CDC"/>
    <w:rsid w:val="005D476C"/>
    <w:rsid w:val="005F1F0F"/>
    <w:rsid w:val="006219F8"/>
    <w:rsid w:val="00665D70"/>
    <w:rsid w:val="006900D9"/>
    <w:rsid w:val="00706C16"/>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C0D79"/>
    <w:rsid w:val="008D180B"/>
    <w:rsid w:val="008F0EA7"/>
    <w:rsid w:val="00923EEF"/>
    <w:rsid w:val="00937660"/>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B0ADB"/>
    <w:rsid w:val="00AF5FA3"/>
    <w:rsid w:val="00B01B1A"/>
    <w:rsid w:val="00B66319"/>
    <w:rsid w:val="00B72CD3"/>
    <w:rsid w:val="00B72FFF"/>
    <w:rsid w:val="00BA1D26"/>
    <w:rsid w:val="00BC3D36"/>
    <w:rsid w:val="00BD7F72"/>
    <w:rsid w:val="00C04FB3"/>
    <w:rsid w:val="00C330EB"/>
    <w:rsid w:val="00C41061"/>
    <w:rsid w:val="00C754BE"/>
    <w:rsid w:val="00C76B1C"/>
    <w:rsid w:val="00CA780E"/>
    <w:rsid w:val="00CB6357"/>
    <w:rsid w:val="00CB766C"/>
    <w:rsid w:val="00CC1B26"/>
    <w:rsid w:val="00D2346F"/>
    <w:rsid w:val="00D423A2"/>
    <w:rsid w:val="00D520D8"/>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A47C0"/>
    <w:rsid w:val="00FB5DD1"/>
    <w:rsid w:val="00FC2B5D"/>
    <w:rsid w:val="00FF1449"/>
    <w:rsid w:val="0AFA8A7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120DE"/>
    <w:pPr>
      <w:spacing w:line="240" w:lineRule="exact"/>
    </w:pPr>
    <w:rPr>
      <w:vertAlign w:val="superscript"/>
    </w:rPr>
  </w:style>
  <w:style w:type="table" w:customStyle="1" w:styleId="Tablaconcuadrcula1">
    <w:name w:val="Tabla con cuadrícula1"/>
    <w:basedOn w:val="Tablanormal"/>
    <w:next w:val="Tablaconcuadrcula"/>
    <w:uiPriority w:val="39"/>
    <w:qFormat/>
    <w:rsid w:val="0051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120D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manuales-guias-y-pliegos-tipo/manuales-y-guia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hector.quinones%40colombiacompra.gov.co%7C6192b0470d324981a09708dd0a6c28db%7C7b09041e245149d08cb179d5e3d8c1be%7C0%7C0%7C638678181875662810%7CUnknown%7CTWFpbGZsb3d8eyJFbXB0eU1hcGkiOnRydWUsIlYiOiIwLjAuMDAwMCIsIlAiOiJXaW4zMiIsIkFOIjoiTWFpbCIsIldUIjoyfQ%3D%3D%7C0%7C%7C%7C&amp;sdata=j32Eawx%2FOwZyCv8iqEPBYw1Uu7E70q3G3Kyd%2BrjzMhI%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cce_documents%2Fmanual_para_el_manejo_de_acuerdos_comerciales_vf.pdf&amp;data=05%7C02%7Chector.quinones%40colombiacompra.gov.co%7C6192b0470d324981a09708dd0a6c28db%7C7b09041e245149d08cb179d5e3d8c1be%7C0%7C0%7C638678181875618064%7CUnknown%7CTWFpbGZsb3d8eyJFbXB0eU1hcGkiOnRydWUsIlYiOiIwLjAuMDAwMCIsIlAiOiJXaW4zMiIsIkFOIjoiTWFpbCIsIldUIjoyfQ%3D%3D%7C0%7C%7C%7C&amp;sdata=7YzcFZ%2B9wtn9TvPfL3DFc4wg2UsxZeAWmlrryuMA76A%3D&amp;reserved=0" TargetMode="External"/><Relationship Id="rId10" Type="http://schemas.openxmlformats.org/officeDocument/2006/relationships/hyperlink" Target="mailto:jairgonzaloramirez@gmail.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a6cb9e4b-f1d1-4245-83ec-6cad768d538a"/>
    <ds:schemaRef ds:uri="http://purl.org/dc/elements/1.1/"/>
    <ds:schemaRef ds:uri="http://www.w3.org/XML/1998/namespace"/>
    <ds:schemaRef ds:uri="http://purl.org/dc/terms/"/>
    <ds:schemaRef ds:uri="http://schemas.microsoft.com/office/2006/metadata/properties"/>
    <ds:schemaRef ds:uri="9d85dbaf-23eb-4e57-a637-93dcacc8b1a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3AEC48C-D31B-4E63-8FDD-5C2017465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2918</Words>
  <Characters>16053</Characters>
  <Application>Microsoft Office Word</Application>
  <DocSecurity>0</DocSecurity>
  <Lines>133</Lines>
  <Paragraphs>37</Paragraphs>
  <ScaleCrop>false</ScaleCrop>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2024-12-31T00:49:00Z</dcterms:created>
  <dcterms:modified xsi:type="dcterms:W3CDTF">2024-12-31T00:49:00Z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